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407" w:rsidRPr="00C51894" w:rsidRDefault="00552074" w:rsidP="00494407">
      <w:pPr>
        <w:pStyle w:val="ICMEHeading1"/>
      </w:pPr>
      <w:r>
        <w:t xml:space="preserve">Investigating </w:t>
      </w:r>
      <w:r w:rsidR="00471F96">
        <w:t xml:space="preserve">Third Level Lecturers’ </w:t>
      </w:r>
      <w:r>
        <w:t xml:space="preserve">awareness OF </w:t>
      </w:r>
      <w:r w:rsidR="00B50DC9">
        <w:t>Second</w:t>
      </w:r>
      <w:r w:rsidR="00471F96">
        <w:t xml:space="preserve"> level Curriculum reform</w:t>
      </w:r>
    </w:p>
    <w:p w:rsidR="00494407" w:rsidRPr="00C51894" w:rsidRDefault="00552074" w:rsidP="00494407">
      <w:pPr>
        <w:pStyle w:val="ICMEAuthorInstitution"/>
      </w:pPr>
      <w:r>
        <w:t>Mark Prendergast*, Cormac Breen, Michael Carr, Fiona Faulkner</w:t>
      </w:r>
    </w:p>
    <w:p w:rsidR="00494407" w:rsidRPr="00C51894" w:rsidRDefault="005604FD" w:rsidP="00494407">
      <w:pPr>
        <w:pStyle w:val="ICMEAuthorInstitution"/>
      </w:pPr>
      <w:r>
        <w:t>University of Dublin Trinity College</w:t>
      </w:r>
      <w:r w:rsidR="00552074">
        <w:t xml:space="preserve">*, Dublin Institute of Technology, </w:t>
      </w:r>
    </w:p>
    <w:p w:rsidR="00494407" w:rsidRPr="00C51894" w:rsidRDefault="00494407" w:rsidP="00E83448">
      <w:pPr>
        <w:pStyle w:val="ICMENormal"/>
      </w:pPr>
    </w:p>
    <w:p w:rsidR="002A0BC7" w:rsidRDefault="002A0BC7" w:rsidP="009E5BB7">
      <w:pPr>
        <w:pStyle w:val="ICMEHeading3"/>
        <w:rPr>
          <w:b w:val="0"/>
          <w:i/>
          <w:iCs/>
          <w:lang w:val="en-US"/>
          <w14:numSpacing w14:val="proportional"/>
        </w:rPr>
      </w:pPr>
      <w:r w:rsidRPr="002A0BC7">
        <w:rPr>
          <w:b w:val="0"/>
          <w:i/>
          <w:iCs/>
          <w:lang w:val="en-US"/>
          <w14:numSpacing w14:val="proportional"/>
        </w:rPr>
        <w:t>This study aims to evaluate third level mathematics lecturers’ awareness of recent changes to the second level mathematics curriculum</w:t>
      </w:r>
      <w:r w:rsidR="00B50DC9">
        <w:rPr>
          <w:b w:val="0"/>
          <w:i/>
          <w:iCs/>
          <w:lang w:val="en-US"/>
          <w14:numSpacing w14:val="proportional"/>
        </w:rPr>
        <w:t xml:space="preserve"> in Ireland. The reform entitled ‘Project Maths’  involved changes to what second level students learn in mathematics, how they learn it and how they are assessed. </w:t>
      </w:r>
      <w:r w:rsidR="00B50DC9" w:rsidRPr="00B50DC9">
        <w:rPr>
          <w:b w:val="0"/>
          <w:i/>
          <w:iCs/>
          <w:lang w:val="en-IE"/>
          <w14:numSpacing w14:val="proportional"/>
        </w:rPr>
        <w:t>Changes were rolled out nationally on a phased basis in</w:t>
      </w:r>
      <w:r w:rsidR="00B50DC9">
        <w:rPr>
          <w:b w:val="0"/>
          <w:i/>
          <w:iCs/>
          <w:lang w:val="en-IE"/>
          <w14:numSpacing w14:val="proportional"/>
        </w:rPr>
        <w:t xml:space="preserve"> September</w:t>
      </w:r>
      <w:r w:rsidR="00B50DC9" w:rsidRPr="00B50DC9">
        <w:rPr>
          <w:b w:val="0"/>
          <w:i/>
          <w:iCs/>
          <w:lang w:val="en-IE"/>
          <w14:numSpacing w14:val="proportional"/>
        </w:rPr>
        <w:t xml:space="preserve"> 2010. </w:t>
      </w:r>
      <w:r w:rsidR="005A2152">
        <w:rPr>
          <w:b w:val="0"/>
          <w:i/>
          <w:iCs/>
          <w:lang w:val="en-IE"/>
          <w14:numSpacing w14:val="proportional"/>
        </w:rPr>
        <w:t>T</w:t>
      </w:r>
      <w:r w:rsidR="00B50DC9" w:rsidRPr="00B50DC9">
        <w:rPr>
          <w:b w:val="0"/>
          <w:i/>
          <w:iCs/>
          <w:lang w:val="en-IE"/>
          <w14:numSpacing w14:val="proportional"/>
        </w:rPr>
        <w:t xml:space="preserve">he first students who </w:t>
      </w:r>
      <w:r w:rsidR="005400E8">
        <w:rPr>
          <w:b w:val="0"/>
          <w:i/>
          <w:iCs/>
          <w:lang w:val="en-IE"/>
          <w14:numSpacing w14:val="proportional"/>
        </w:rPr>
        <w:t>were taught and assessed through the new curriculum</w:t>
      </w:r>
      <w:r w:rsidR="00B50DC9" w:rsidRPr="00B50DC9">
        <w:rPr>
          <w:b w:val="0"/>
          <w:i/>
          <w:iCs/>
          <w:lang w:val="en-IE"/>
          <w14:numSpacing w14:val="proportional"/>
        </w:rPr>
        <w:t xml:space="preserve"> </w:t>
      </w:r>
      <w:r w:rsidR="00106327">
        <w:rPr>
          <w:b w:val="0"/>
          <w:i/>
          <w:iCs/>
          <w:lang w:val="en-IE"/>
          <w14:numSpacing w14:val="proportional"/>
        </w:rPr>
        <w:t>entered</w:t>
      </w:r>
      <w:r w:rsidR="005A2152">
        <w:rPr>
          <w:b w:val="0"/>
          <w:i/>
          <w:iCs/>
          <w:lang w:val="en-IE"/>
          <w14:numSpacing w14:val="proportional"/>
        </w:rPr>
        <w:t xml:space="preserve"> </w:t>
      </w:r>
      <w:r w:rsidR="005A2152" w:rsidRPr="00B50DC9">
        <w:rPr>
          <w:b w:val="0"/>
          <w:i/>
          <w:iCs/>
          <w:lang w:val="en-IE"/>
          <w14:numSpacing w14:val="proportional"/>
        </w:rPr>
        <w:t>third</w:t>
      </w:r>
      <w:r w:rsidR="00B50DC9" w:rsidRPr="00B50DC9">
        <w:rPr>
          <w:b w:val="0"/>
          <w:i/>
          <w:iCs/>
          <w:lang w:val="en-IE"/>
          <w14:numSpacing w14:val="proportional"/>
        </w:rPr>
        <w:t xml:space="preserve"> level education in September 2012. </w:t>
      </w:r>
      <w:r w:rsidR="005A2152">
        <w:rPr>
          <w:b w:val="0"/>
          <w:i/>
          <w:iCs/>
          <w:lang w:val="en-IE"/>
          <w14:numSpacing w14:val="proportional"/>
        </w:rPr>
        <w:t>It is important that third level mathematics lecture</w:t>
      </w:r>
      <w:r w:rsidR="00E811B7">
        <w:rPr>
          <w:b w:val="0"/>
          <w:i/>
          <w:iCs/>
          <w:lang w:val="en-IE"/>
          <w14:numSpacing w14:val="proportional"/>
        </w:rPr>
        <w:t>r</w:t>
      </w:r>
      <w:r w:rsidR="005A2152">
        <w:rPr>
          <w:b w:val="0"/>
          <w:i/>
          <w:iCs/>
          <w:lang w:val="en-IE"/>
          <w14:numSpacing w14:val="proportional"/>
        </w:rPr>
        <w:t xml:space="preserve">s are aware of the changes to the </w:t>
      </w:r>
      <w:r w:rsidR="008077E3">
        <w:rPr>
          <w:b w:val="0"/>
          <w:i/>
          <w:iCs/>
          <w:lang w:val="en-IE"/>
          <w14:numSpacing w14:val="proportional"/>
        </w:rPr>
        <w:t>curriculum</w:t>
      </w:r>
      <w:r w:rsidR="005A2152">
        <w:rPr>
          <w:b w:val="0"/>
          <w:i/>
          <w:iCs/>
          <w:lang w:val="en-IE"/>
          <w14:numSpacing w14:val="proportional"/>
        </w:rPr>
        <w:t xml:space="preserve"> since certain topics such as vectors and matrices are no longer taught at </w:t>
      </w:r>
      <w:r w:rsidR="005E341E">
        <w:rPr>
          <w:b w:val="0"/>
          <w:i/>
          <w:iCs/>
          <w:lang w:val="en-IE"/>
          <w14:numSpacing w14:val="proportional"/>
        </w:rPr>
        <w:t xml:space="preserve">second level. </w:t>
      </w:r>
      <w:r w:rsidR="00E811B7">
        <w:rPr>
          <w:b w:val="0"/>
          <w:i/>
          <w:iCs/>
          <w:lang w:val="en-IE"/>
          <w14:numSpacing w14:val="proportional"/>
        </w:rPr>
        <w:t xml:space="preserve">Hence </w:t>
      </w:r>
      <w:r w:rsidR="005A2152">
        <w:rPr>
          <w:b w:val="0"/>
          <w:i/>
          <w:iCs/>
          <w:lang w:val="en-IE"/>
          <w14:numSpacing w14:val="proportional"/>
        </w:rPr>
        <w:t xml:space="preserve">third level courses </w:t>
      </w:r>
      <w:r w:rsidR="00494B6A">
        <w:rPr>
          <w:b w:val="0"/>
          <w:i/>
          <w:iCs/>
          <w:lang w:val="en-IE"/>
          <w14:numSpacing w14:val="proportional"/>
        </w:rPr>
        <w:t>may need to</w:t>
      </w:r>
      <w:r w:rsidR="005A2152">
        <w:rPr>
          <w:b w:val="0"/>
          <w:i/>
          <w:iCs/>
          <w:lang w:val="en-IE"/>
          <w14:numSpacing w14:val="proportional"/>
        </w:rPr>
        <w:t xml:space="preserve"> be adapted accordingly. </w:t>
      </w:r>
      <w:r w:rsidR="009E5BB7">
        <w:rPr>
          <w:b w:val="0"/>
          <w:i/>
          <w:iCs/>
          <w:lang w:val="en-IE"/>
          <w14:numSpacing w14:val="proportional"/>
        </w:rPr>
        <w:t>This study</w:t>
      </w:r>
      <w:r w:rsidRPr="002A0BC7">
        <w:rPr>
          <w:b w:val="0"/>
          <w:i/>
          <w:iCs/>
          <w:lang w:val="en-US"/>
          <w14:numSpacing w14:val="proportional"/>
        </w:rPr>
        <w:t xml:space="preserve"> investigate</w:t>
      </w:r>
      <w:r w:rsidR="00DE2DCC">
        <w:rPr>
          <w:b w:val="0"/>
          <w:i/>
          <w:iCs/>
          <w:lang w:val="en-US"/>
          <w14:numSpacing w14:val="proportional"/>
        </w:rPr>
        <w:t>s</w:t>
      </w:r>
      <w:r w:rsidRPr="002A0BC7">
        <w:rPr>
          <w:b w:val="0"/>
          <w:i/>
          <w:iCs/>
          <w:lang w:val="en-US"/>
          <w14:numSpacing w14:val="proportional"/>
        </w:rPr>
        <w:t xml:space="preserve"> how Project Maths is being received by mathematics lecturers and whether there have been any adaptions to course content, teaching and assessment approaches as a result. </w:t>
      </w:r>
    </w:p>
    <w:p w:rsidR="00494407" w:rsidRDefault="0069002E" w:rsidP="007B27AA">
      <w:pPr>
        <w:pStyle w:val="ICMEHeading3"/>
        <w:rPr>
          <w:lang w:val="en-US"/>
        </w:rPr>
      </w:pPr>
      <w:r>
        <w:rPr>
          <w:lang w:val="en-US"/>
        </w:rPr>
        <w:t>BACKGROUND TO THE STUDY</w:t>
      </w:r>
    </w:p>
    <w:p w:rsidR="003C694F" w:rsidRDefault="00576589" w:rsidP="003C694F">
      <w:pPr>
        <w:pStyle w:val="ICMEHeading3"/>
        <w:spacing w:after="0" w:line="276" w:lineRule="auto"/>
        <w:rPr>
          <w:b w:val="0"/>
          <w:lang w:val="en-IE"/>
        </w:rPr>
      </w:pPr>
      <w:r w:rsidRPr="00576589">
        <w:rPr>
          <w:rFonts w:cs="Times New Roman"/>
          <w:b w:val="0"/>
          <w:szCs w:val="24"/>
        </w:rPr>
        <w:t>Formal education in Ireland takes place in three stages, primary, post-primary (also re</w:t>
      </w:r>
      <w:r w:rsidR="00CB4B65">
        <w:rPr>
          <w:rFonts w:cs="Times New Roman"/>
          <w:b w:val="0"/>
          <w:szCs w:val="24"/>
        </w:rPr>
        <w:t>ferred to as second level) and higher e</w:t>
      </w:r>
      <w:r w:rsidRPr="00576589">
        <w:rPr>
          <w:rFonts w:cs="Times New Roman"/>
          <w:b w:val="0"/>
          <w:szCs w:val="24"/>
        </w:rPr>
        <w:t xml:space="preserve">ducation (also referred to as third level). </w:t>
      </w:r>
      <w:r w:rsidR="00F42C44" w:rsidRPr="00576589">
        <w:rPr>
          <w:b w:val="0"/>
          <w:lang w:val="en-US"/>
        </w:rPr>
        <w:t xml:space="preserve">In recent years low retention rates in STEM </w:t>
      </w:r>
      <w:r w:rsidR="00F42C44" w:rsidRPr="00576589">
        <w:rPr>
          <w:b w:val="0"/>
          <w:lang w:val="en-IE"/>
        </w:rPr>
        <w:t xml:space="preserve">(Science, Technology, Engineering, Mathematics) </w:t>
      </w:r>
      <w:r w:rsidR="00F42C44" w:rsidRPr="00576589">
        <w:rPr>
          <w:b w:val="0"/>
          <w:lang w:val="en-US"/>
        </w:rPr>
        <w:t xml:space="preserve">courses </w:t>
      </w:r>
      <w:r w:rsidR="00FE6A54" w:rsidRPr="00576589">
        <w:rPr>
          <w:b w:val="0"/>
          <w:lang w:val="en-US"/>
        </w:rPr>
        <w:t xml:space="preserve">at </w:t>
      </w:r>
      <w:r w:rsidR="00586EB9">
        <w:rPr>
          <w:b w:val="0"/>
          <w:lang w:val="en-US"/>
        </w:rPr>
        <w:t>third</w:t>
      </w:r>
      <w:r w:rsidR="00FE6A54" w:rsidRPr="00576589">
        <w:rPr>
          <w:b w:val="0"/>
          <w:lang w:val="en-US"/>
        </w:rPr>
        <w:t xml:space="preserve"> level </w:t>
      </w:r>
      <w:r w:rsidR="00E811B7">
        <w:rPr>
          <w:b w:val="0"/>
          <w:lang w:val="en-US"/>
        </w:rPr>
        <w:t>have</w:t>
      </w:r>
      <w:r w:rsidR="00F42C44" w:rsidRPr="00576589">
        <w:rPr>
          <w:b w:val="0"/>
          <w:lang w:val="en-US"/>
        </w:rPr>
        <w:t xml:space="preserve"> resulted in </w:t>
      </w:r>
      <w:r w:rsidR="00FE6A54" w:rsidRPr="00576589">
        <w:rPr>
          <w:b w:val="0"/>
          <w:lang w:val="en-US"/>
        </w:rPr>
        <w:t>international</w:t>
      </w:r>
      <w:r w:rsidR="00FE6A54">
        <w:rPr>
          <w:b w:val="0"/>
          <w:lang w:val="en-US"/>
        </w:rPr>
        <w:t xml:space="preserve"> </w:t>
      </w:r>
      <w:r w:rsidR="00F42C44">
        <w:rPr>
          <w:b w:val="0"/>
          <w:lang w:val="en-US"/>
        </w:rPr>
        <w:t>concern</w:t>
      </w:r>
      <w:r w:rsidR="00F42C44">
        <w:rPr>
          <w:b w:val="0"/>
          <w:lang w:val="en-IE"/>
        </w:rPr>
        <w:t xml:space="preserve"> regarding the transition of students from second level to </w:t>
      </w:r>
      <w:r w:rsidR="00FE6A54">
        <w:rPr>
          <w:b w:val="0"/>
          <w:lang w:val="en-IE"/>
        </w:rPr>
        <w:t>further</w:t>
      </w:r>
      <w:r w:rsidR="00F42C44">
        <w:rPr>
          <w:b w:val="0"/>
          <w:lang w:val="en-IE"/>
        </w:rPr>
        <w:t xml:space="preserve"> education (Bourn, 2007). </w:t>
      </w:r>
      <w:r w:rsidR="007A6E5A">
        <w:rPr>
          <w:b w:val="0"/>
          <w:lang w:val="en-IE"/>
        </w:rPr>
        <w:t>Much of this concern has focused on the mathematical under</w:t>
      </w:r>
      <w:r w:rsidR="00236FED">
        <w:rPr>
          <w:b w:val="0"/>
          <w:lang w:val="en-IE"/>
        </w:rPr>
        <w:t xml:space="preserve">-preparedness of </w:t>
      </w:r>
      <w:r w:rsidR="007A6E5A">
        <w:rPr>
          <w:b w:val="0"/>
          <w:lang w:val="en-IE"/>
        </w:rPr>
        <w:t>incoming third level students</w:t>
      </w:r>
      <w:r w:rsidR="00516FA6">
        <w:rPr>
          <w:b w:val="0"/>
          <w:lang w:val="en-IE"/>
        </w:rPr>
        <w:t xml:space="preserve">. </w:t>
      </w:r>
      <w:r w:rsidR="00516FA6" w:rsidRPr="00516FA6">
        <w:rPr>
          <w:b w:val="0"/>
          <w:lang w:val="en-IE"/>
        </w:rPr>
        <w:t>This phenome</w:t>
      </w:r>
      <w:r w:rsidR="009233D8">
        <w:rPr>
          <w:b w:val="0"/>
          <w:lang w:val="en-IE"/>
        </w:rPr>
        <w:t>non in which students are under-</w:t>
      </w:r>
      <w:r w:rsidR="00516FA6" w:rsidRPr="00516FA6">
        <w:rPr>
          <w:b w:val="0"/>
          <w:lang w:val="en-IE"/>
        </w:rPr>
        <w:t>prepared for the mathematical demands of</w:t>
      </w:r>
      <w:r w:rsidR="00516FA6">
        <w:rPr>
          <w:b w:val="0"/>
          <w:lang w:val="en-IE"/>
        </w:rPr>
        <w:t xml:space="preserve"> </w:t>
      </w:r>
      <w:r w:rsidR="00516FA6" w:rsidRPr="00516FA6">
        <w:rPr>
          <w:b w:val="0"/>
          <w:lang w:val="en-IE"/>
        </w:rPr>
        <w:t>their undergraduate courses</w:t>
      </w:r>
      <w:r w:rsidR="00516FA6">
        <w:rPr>
          <w:b w:val="0"/>
          <w:lang w:val="en-IE"/>
        </w:rPr>
        <w:t xml:space="preserve"> has been reported in </w:t>
      </w:r>
      <w:r w:rsidR="00516FA6" w:rsidRPr="00CD77A6">
        <w:rPr>
          <w:b w:val="0"/>
          <w:lang w:val="en-IE"/>
        </w:rPr>
        <w:t>Ireland, UK,</w:t>
      </w:r>
      <w:r w:rsidR="00516FA6">
        <w:rPr>
          <w:b w:val="0"/>
          <w:lang w:val="en-IE"/>
        </w:rPr>
        <w:t xml:space="preserve"> </w:t>
      </w:r>
      <w:r w:rsidR="00516FA6" w:rsidRPr="00CD77A6">
        <w:rPr>
          <w:b w:val="0"/>
          <w:lang w:val="en-IE"/>
        </w:rPr>
        <w:t>Australia, and the United States</w:t>
      </w:r>
      <w:r w:rsidR="00516FA6">
        <w:rPr>
          <w:b w:val="0"/>
          <w:lang w:val="en-IE"/>
        </w:rPr>
        <w:t xml:space="preserve"> and</w:t>
      </w:r>
      <w:r w:rsidR="00516FA6" w:rsidRPr="00516FA6">
        <w:rPr>
          <w:b w:val="0"/>
          <w:lang w:val="en-IE"/>
        </w:rPr>
        <w:t xml:space="preserve"> is regularly referr</w:t>
      </w:r>
      <w:r w:rsidR="00516FA6">
        <w:rPr>
          <w:b w:val="0"/>
          <w:lang w:val="en-IE"/>
        </w:rPr>
        <w:t xml:space="preserve">ed to </w:t>
      </w:r>
      <w:r w:rsidR="005B573A">
        <w:rPr>
          <w:b w:val="0"/>
          <w:lang w:val="en-IE"/>
        </w:rPr>
        <w:t>as the ‘Maths Problem’ (Lawson</w:t>
      </w:r>
      <w:r w:rsidR="00680019">
        <w:rPr>
          <w:b w:val="0"/>
          <w:lang w:val="en-IE"/>
        </w:rPr>
        <w:t>,</w:t>
      </w:r>
      <w:r w:rsidR="008077E3">
        <w:rPr>
          <w:b w:val="0"/>
          <w:lang w:val="en-IE"/>
        </w:rPr>
        <w:t xml:space="preserve"> Croft and Waller, 2012</w:t>
      </w:r>
      <w:r w:rsidR="00516FA6">
        <w:rPr>
          <w:b w:val="0"/>
          <w:lang w:val="en-IE"/>
        </w:rPr>
        <w:t xml:space="preserve">). It is characterised by </w:t>
      </w:r>
      <w:r w:rsidR="00CD77A6" w:rsidRPr="00CD77A6">
        <w:rPr>
          <w:b w:val="0"/>
          <w:lang w:val="en-IE"/>
        </w:rPr>
        <w:t>beginning undergraduates</w:t>
      </w:r>
      <w:r w:rsidR="00CD77A6">
        <w:rPr>
          <w:b w:val="0"/>
          <w:lang w:val="en-IE"/>
        </w:rPr>
        <w:t xml:space="preserve"> </w:t>
      </w:r>
      <w:r w:rsidR="00CD77A6" w:rsidRPr="00CD77A6">
        <w:rPr>
          <w:b w:val="0"/>
          <w:lang w:val="en-IE"/>
        </w:rPr>
        <w:t>displaying a lack of basic mathematical skills, as well as fragmented understanding, inadequate</w:t>
      </w:r>
      <w:r w:rsidR="00CD77A6">
        <w:rPr>
          <w:b w:val="0"/>
          <w:lang w:val="en-IE"/>
        </w:rPr>
        <w:t xml:space="preserve"> </w:t>
      </w:r>
      <w:r w:rsidR="00CD77A6" w:rsidRPr="00CD77A6">
        <w:rPr>
          <w:b w:val="0"/>
          <w:lang w:val="en-IE"/>
        </w:rPr>
        <w:t>concept knowledge, and inability to successful</w:t>
      </w:r>
      <w:r w:rsidR="00AF592B">
        <w:rPr>
          <w:b w:val="0"/>
          <w:lang w:val="en-IE"/>
        </w:rPr>
        <w:t>ly solve mathematical problems (</w:t>
      </w:r>
      <w:proofErr w:type="spellStart"/>
      <w:r w:rsidR="00AF592B">
        <w:rPr>
          <w:b w:val="0"/>
          <w:lang w:val="en-IE"/>
        </w:rPr>
        <w:t>Rylands</w:t>
      </w:r>
      <w:proofErr w:type="spellEnd"/>
      <w:r w:rsidR="00AF592B">
        <w:rPr>
          <w:b w:val="0"/>
          <w:lang w:val="en-IE"/>
        </w:rPr>
        <w:t xml:space="preserve"> an</w:t>
      </w:r>
      <w:r w:rsidR="00471F96">
        <w:rPr>
          <w:b w:val="0"/>
          <w:lang w:val="en-IE"/>
        </w:rPr>
        <w:t xml:space="preserve">d </w:t>
      </w:r>
      <w:proofErr w:type="spellStart"/>
      <w:r w:rsidR="00471F96">
        <w:rPr>
          <w:b w:val="0"/>
          <w:lang w:val="en-IE"/>
        </w:rPr>
        <w:t>Coady</w:t>
      </w:r>
      <w:proofErr w:type="spellEnd"/>
      <w:r w:rsidR="00471F96">
        <w:rPr>
          <w:b w:val="0"/>
          <w:lang w:val="en-IE"/>
        </w:rPr>
        <w:t xml:space="preserve">, 2009; Gill, </w:t>
      </w:r>
      <w:proofErr w:type="spellStart"/>
      <w:r w:rsidR="00471F96">
        <w:rPr>
          <w:b w:val="0"/>
          <w:lang w:val="en-IE"/>
        </w:rPr>
        <w:t>O’Donoghue</w:t>
      </w:r>
      <w:proofErr w:type="spellEnd"/>
      <w:r w:rsidR="00471F96">
        <w:rPr>
          <w:b w:val="0"/>
          <w:lang w:val="en-IE"/>
        </w:rPr>
        <w:t>, Faulkner &amp; Hannigan,</w:t>
      </w:r>
      <w:r w:rsidR="00AF592B">
        <w:rPr>
          <w:b w:val="0"/>
          <w:lang w:val="en-IE"/>
        </w:rPr>
        <w:t xml:space="preserve"> 2010). </w:t>
      </w:r>
    </w:p>
    <w:p w:rsidR="00425B2B" w:rsidRDefault="00131F31" w:rsidP="0050352A">
      <w:pPr>
        <w:pStyle w:val="ICMEHeading3"/>
        <w:spacing w:after="0" w:line="276" w:lineRule="auto"/>
        <w:ind w:firstLine="709"/>
        <w:rPr>
          <w:b w:val="0"/>
          <w:lang w:val="en-IE"/>
        </w:rPr>
      </w:pPr>
      <w:r w:rsidRPr="00131F31">
        <w:rPr>
          <w:b w:val="0"/>
          <w:lang w:val="en-IE"/>
        </w:rPr>
        <w:t>In Ireland, measures have recently been put in place in an attempt to counteract the deficiencies reported in students’ mathematic</w:t>
      </w:r>
      <w:r>
        <w:rPr>
          <w:b w:val="0"/>
          <w:lang w:val="en-IE"/>
        </w:rPr>
        <w:t>al performances within second</w:t>
      </w:r>
      <w:r w:rsidRPr="00131F31">
        <w:rPr>
          <w:b w:val="0"/>
          <w:lang w:val="en-IE"/>
        </w:rPr>
        <w:t xml:space="preserve"> level education. Significant changes</w:t>
      </w:r>
      <w:r>
        <w:rPr>
          <w:b w:val="0"/>
          <w:lang w:val="en-IE"/>
        </w:rPr>
        <w:t xml:space="preserve"> have been made to the second level</w:t>
      </w:r>
      <w:r w:rsidRPr="00131F31">
        <w:rPr>
          <w:b w:val="0"/>
          <w:lang w:val="en-IE"/>
        </w:rPr>
        <w:t xml:space="preserve"> school mathematics </w:t>
      </w:r>
      <w:r w:rsidR="00471F96">
        <w:rPr>
          <w:b w:val="0"/>
          <w:lang w:val="en-IE"/>
        </w:rPr>
        <w:t>curriculum</w:t>
      </w:r>
      <w:r w:rsidRPr="00131F31">
        <w:rPr>
          <w:b w:val="0"/>
          <w:lang w:val="en-IE"/>
        </w:rPr>
        <w:t xml:space="preserve"> at both junior cycle (</w:t>
      </w:r>
      <w:r w:rsidR="00CB4B65">
        <w:rPr>
          <w:b w:val="0"/>
          <w:lang w:val="en-IE"/>
        </w:rPr>
        <w:t>lower second</w:t>
      </w:r>
      <w:r w:rsidRPr="00131F31">
        <w:rPr>
          <w:b w:val="0"/>
          <w:lang w:val="en-IE"/>
        </w:rPr>
        <w:t xml:space="preserve"> level) and senior cycle (</w:t>
      </w:r>
      <w:r w:rsidR="00CB4B65">
        <w:rPr>
          <w:b w:val="0"/>
          <w:lang w:val="en-IE"/>
        </w:rPr>
        <w:t>upper second</w:t>
      </w:r>
      <w:r w:rsidRPr="00131F31">
        <w:rPr>
          <w:b w:val="0"/>
          <w:lang w:val="en-IE"/>
        </w:rPr>
        <w:t xml:space="preserve"> level) with the introduction of ‘Project Maths’</w:t>
      </w:r>
      <w:r w:rsidR="001A42DD">
        <w:rPr>
          <w:b w:val="0"/>
          <w:lang w:val="en-IE"/>
        </w:rPr>
        <w:t xml:space="preserve"> (Prendergast and </w:t>
      </w:r>
      <w:proofErr w:type="spellStart"/>
      <w:r w:rsidR="001A42DD">
        <w:rPr>
          <w:b w:val="0"/>
          <w:lang w:val="en-IE"/>
        </w:rPr>
        <w:t>O’Donoghue</w:t>
      </w:r>
      <w:proofErr w:type="spellEnd"/>
      <w:r w:rsidR="001A42DD">
        <w:rPr>
          <w:b w:val="0"/>
          <w:lang w:val="en-IE"/>
        </w:rPr>
        <w:t>, 2014)</w:t>
      </w:r>
      <w:r w:rsidRPr="00131F31">
        <w:rPr>
          <w:b w:val="0"/>
          <w:lang w:val="en-IE"/>
        </w:rPr>
        <w:t xml:space="preserve">. </w:t>
      </w:r>
      <w:r w:rsidR="00471F96">
        <w:rPr>
          <w:b w:val="0"/>
          <w:lang w:val="en-IE"/>
        </w:rPr>
        <w:t>This</w:t>
      </w:r>
      <w:r w:rsidRPr="00131F31">
        <w:rPr>
          <w:b w:val="0"/>
          <w:lang w:val="en-IE"/>
        </w:rPr>
        <w:t xml:space="preserve"> new </w:t>
      </w:r>
      <w:r w:rsidR="00471F96">
        <w:rPr>
          <w:b w:val="0"/>
          <w:lang w:val="en-IE"/>
        </w:rPr>
        <w:t>curriculum</w:t>
      </w:r>
      <w:r w:rsidR="00471F96" w:rsidRPr="00131F31">
        <w:rPr>
          <w:b w:val="0"/>
          <w:lang w:val="en-IE"/>
        </w:rPr>
        <w:t xml:space="preserve"> </w:t>
      </w:r>
      <w:r w:rsidRPr="00131F31">
        <w:rPr>
          <w:b w:val="0"/>
          <w:lang w:val="en-IE"/>
        </w:rPr>
        <w:t>aim</w:t>
      </w:r>
      <w:r w:rsidR="00471F96">
        <w:rPr>
          <w:b w:val="0"/>
          <w:lang w:val="en-IE"/>
        </w:rPr>
        <w:t>s</w:t>
      </w:r>
      <w:r w:rsidRPr="00131F31">
        <w:rPr>
          <w:b w:val="0"/>
          <w:lang w:val="en-IE"/>
        </w:rPr>
        <w:t xml:space="preserve"> to place greater emphasis on student understanding of mathematical concepts, enabling students to relate mathematics to everyday scenarios with increased use of contexts and applications. Project Maths also aims to promote further focus on problem-solving skills and the alignment of assessment with the aforementioned </w:t>
      </w:r>
      <w:r>
        <w:rPr>
          <w:b w:val="0"/>
          <w:lang w:val="en-IE"/>
        </w:rPr>
        <w:t>re</w:t>
      </w:r>
      <w:r w:rsidR="005B573A">
        <w:rPr>
          <w:b w:val="0"/>
          <w:lang w:val="en-IE"/>
        </w:rPr>
        <w:t>vised classroom practices</w:t>
      </w:r>
      <w:r>
        <w:rPr>
          <w:b w:val="0"/>
          <w:lang w:val="en-IE"/>
        </w:rPr>
        <w:t xml:space="preserve">. </w:t>
      </w:r>
      <w:r w:rsidR="00E811B7">
        <w:rPr>
          <w:b w:val="0"/>
          <w:lang w:val="en-IE"/>
        </w:rPr>
        <w:t xml:space="preserve">Overall the reform consists </w:t>
      </w:r>
      <w:r>
        <w:rPr>
          <w:b w:val="0"/>
          <w:lang w:val="en-IE"/>
        </w:rPr>
        <w:t xml:space="preserve">of three main changes, namely; </w:t>
      </w:r>
      <w:r w:rsidRPr="00131F31">
        <w:rPr>
          <w:b w:val="0"/>
          <w:lang w:val="en-IE"/>
        </w:rPr>
        <w:t>what students learn in mathematics, how they learn it and how they will be assessed</w:t>
      </w:r>
      <w:r w:rsidR="00E811B7">
        <w:rPr>
          <w:b w:val="0"/>
          <w:lang w:val="en-IE"/>
        </w:rPr>
        <w:t xml:space="preserve">. The </w:t>
      </w:r>
      <w:r w:rsidR="00E811B7">
        <w:rPr>
          <w:b w:val="0"/>
          <w:lang w:val="en-IE"/>
        </w:rPr>
        <w:lastRenderedPageBreak/>
        <w:t>syllabi were</w:t>
      </w:r>
      <w:r>
        <w:rPr>
          <w:b w:val="0"/>
          <w:lang w:val="en-IE"/>
        </w:rPr>
        <w:t xml:space="preserve"> rearranged and divided into five main strands (Number, Algebra, Functions and Calculus, Geometry and Trigonometry and Statistics and Probability). </w:t>
      </w:r>
    </w:p>
    <w:p w:rsidR="00425B2B" w:rsidRPr="00D926CF" w:rsidRDefault="004823CF" w:rsidP="00D926CF">
      <w:pPr>
        <w:pStyle w:val="ICMEHeading3"/>
        <w:spacing w:after="0" w:line="276" w:lineRule="auto"/>
        <w:ind w:firstLine="709"/>
        <w:rPr>
          <w:b w:val="0"/>
          <w:lang w:val="en-IE"/>
        </w:rPr>
      </w:pPr>
      <w:r>
        <w:rPr>
          <w:rFonts w:eastAsia="Calibri" w:cs="Times New Roman"/>
          <w:b w:val="0"/>
          <w:szCs w:val="24"/>
          <w:lang w:val="en-IE" w:eastAsia="en-US"/>
        </w:rPr>
        <w:t>C</w:t>
      </w:r>
      <w:r w:rsidR="00425B2B" w:rsidRPr="00425B2B">
        <w:rPr>
          <w:rFonts w:eastAsia="Calibri" w:cs="Times New Roman"/>
          <w:b w:val="0"/>
          <w:szCs w:val="24"/>
          <w:lang w:val="en-IE" w:eastAsia="en-US"/>
        </w:rPr>
        <w:t>hanges were rolled out nationally on a phased basis in September 2010 with different strands being introduced each year and subsequent adaptations being made to the assessment in state examinations. Strands 1 and 2 of the revised syllabi were first examined at senior cycle level in all schools nationally in June 2012. Hence the first students who had encountered Project Maths entered third level education in September 2012. The phased implementation means that for each consecutive year after 2012, students have entered third level after being examined on more and more of the Project Maths syllabi. It will be 2017 before the first cohort of students who have experienced all five strands of Project Maths throughout their entire second level education will enter third level.</w:t>
      </w:r>
    </w:p>
    <w:p w:rsidR="00591B19" w:rsidRPr="00FF7C45" w:rsidRDefault="00EA2DA8" w:rsidP="00FF7C45">
      <w:pPr>
        <w:pStyle w:val="ICMEHeading3"/>
        <w:spacing w:line="276" w:lineRule="auto"/>
        <w:ind w:firstLine="709"/>
        <w:rPr>
          <w:b w:val="0"/>
          <w:lang w:val="en-IE"/>
        </w:rPr>
      </w:pPr>
      <w:r>
        <w:rPr>
          <w:b w:val="0"/>
          <w:lang w:val="en-IE"/>
        </w:rPr>
        <w:t>Hence w</w:t>
      </w:r>
      <w:r w:rsidR="00C37BFA">
        <w:rPr>
          <w:b w:val="0"/>
          <w:lang w:val="en-IE"/>
        </w:rPr>
        <w:t xml:space="preserve">hile it is very early to evaluate the success of the curriculum reform at second </w:t>
      </w:r>
      <w:r w:rsidR="001076CB">
        <w:rPr>
          <w:b w:val="0"/>
          <w:lang w:val="en-IE"/>
        </w:rPr>
        <w:t>level</w:t>
      </w:r>
      <w:r>
        <w:rPr>
          <w:b w:val="0"/>
          <w:lang w:val="en-IE"/>
        </w:rPr>
        <w:t>,</w:t>
      </w:r>
      <w:r w:rsidR="001076CB">
        <w:rPr>
          <w:b w:val="0"/>
          <w:lang w:val="en-IE"/>
        </w:rPr>
        <w:t xml:space="preserve"> </w:t>
      </w:r>
      <w:r w:rsidR="001076CB" w:rsidRPr="001076CB">
        <w:rPr>
          <w:b w:val="0"/>
          <w:lang w:val="en-IE"/>
        </w:rPr>
        <w:t xml:space="preserve">an interim report </w:t>
      </w:r>
      <w:r w:rsidR="001076CB">
        <w:rPr>
          <w:b w:val="0"/>
          <w:lang w:val="en-IE"/>
        </w:rPr>
        <w:t xml:space="preserve">has </w:t>
      </w:r>
      <w:r w:rsidR="001076CB" w:rsidRPr="001076CB">
        <w:rPr>
          <w:b w:val="0"/>
          <w:lang w:val="en-IE"/>
        </w:rPr>
        <w:t>found that there is emerging evidence of the positive impacts of Project Maths on students’ experiences of, and attitud</w:t>
      </w:r>
      <w:r w:rsidR="0024180C">
        <w:rPr>
          <w:b w:val="0"/>
          <w:lang w:val="en-IE"/>
        </w:rPr>
        <w:t>es towards, mathematics (</w:t>
      </w:r>
      <w:proofErr w:type="spellStart"/>
      <w:r w:rsidR="0024180C">
        <w:rPr>
          <w:b w:val="0"/>
          <w:lang w:val="en-IE"/>
        </w:rPr>
        <w:t>Jeffes</w:t>
      </w:r>
      <w:proofErr w:type="spellEnd"/>
      <w:r w:rsidR="001076CB" w:rsidRPr="001076CB">
        <w:rPr>
          <w:b w:val="0"/>
          <w:lang w:val="en-IE"/>
        </w:rPr>
        <w:t xml:space="preserve"> et al., 2013). Furthermore, students’ </w:t>
      </w:r>
      <w:r w:rsidR="00425E50">
        <w:rPr>
          <w:b w:val="0"/>
          <w:lang w:val="en-IE"/>
        </w:rPr>
        <w:t>have been found to achieve</w:t>
      </w:r>
      <w:r w:rsidR="001076CB" w:rsidRPr="001076CB">
        <w:rPr>
          <w:b w:val="0"/>
          <w:lang w:val="en-IE"/>
        </w:rPr>
        <w:t xml:space="preserve"> m</w:t>
      </w:r>
      <w:r w:rsidR="00586EB9">
        <w:rPr>
          <w:b w:val="0"/>
          <w:lang w:val="en-IE"/>
        </w:rPr>
        <w:t xml:space="preserve">ore at individual strand level </w:t>
      </w:r>
      <w:r w:rsidR="0024180C">
        <w:rPr>
          <w:b w:val="0"/>
          <w:lang w:val="en-IE"/>
        </w:rPr>
        <w:t>(</w:t>
      </w:r>
      <w:proofErr w:type="spellStart"/>
      <w:r w:rsidR="0024180C">
        <w:rPr>
          <w:b w:val="0"/>
          <w:lang w:val="en-IE"/>
        </w:rPr>
        <w:t>Jeffes</w:t>
      </w:r>
      <w:proofErr w:type="spellEnd"/>
      <w:r w:rsidR="001076CB" w:rsidRPr="001076CB">
        <w:rPr>
          <w:b w:val="0"/>
          <w:lang w:val="en-IE"/>
        </w:rPr>
        <w:t xml:space="preserve"> et al., 2013).</w:t>
      </w:r>
      <w:r w:rsidR="001076CB">
        <w:rPr>
          <w:b w:val="0"/>
          <w:lang w:val="en-IE"/>
        </w:rPr>
        <w:t xml:space="preserve"> </w:t>
      </w:r>
      <w:r w:rsidR="00425E50">
        <w:rPr>
          <w:b w:val="0"/>
          <w:lang w:val="en-IE"/>
        </w:rPr>
        <w:t>However d</w:t>
      </w:r>
      <w:r w:rsidR="001076CB">
        <w:rPr>
          <w:b w:val="0"/>
          <w:lang w:val="en-IE"/>
        </w:rPr>
        <w:t xml:space="preserve">espite </w:t>
      </w:r>
      <w:r w:rsidR="00425E50">
        <w:rPr>
          <w:b w:val="0"/>
          <w:lang w:val="en-IE"/>
        </w:rPr>
        <w:t>these early positive</w:t>
      </w:r>
      <w:r>
        <w:rPr>
          <w:b w:val="0"/>
          <w:lang w:val="en-IE"/>
        </w:rPr>
        <w:t>s</w:t>
      </w:r>
      <w:r w:rsidR="00425E50">
        <w:rPr>
          <w:b w:val="0"/>
          <w:lang w:val="en-IE"/>
        </w:rPr>
        <w:t xml:space="preserve">, there is </w:t>
      </w:r>
      <w:r>
        <w:rPr>
          <w:b w:val="0"/>
          <w:lang w:val="en-IE"/>
        </w:rPr>
        <w:t xml:space="preserve">also </w:t>
      </w:r>
      <w:r w:rsidR="00425E50">
        <w:rPr>
          <w:b w:val="0"/>
          <w:lang w:val="en-IE"/>
        </w:rPr>
        <w:t xml:space="preserve">evidence to suggest that the reform is not having the desired effect at third level. </w:t>
      </w:r>
      <w:r w:rsidR="00E811B7">
        <w:rPr>
          <w:b w:val="0"/>
          <w:lang w:val="en-IE"/>
        </w:rPr>
        <w:t>R</w:t>
      </w:r>
      <w:r w:rsidR="00425E50">
        <w:rPr>
          <w:b w:val="0"/>
          <w:lang w:val="en-IE"/>
        </w:rPr>
        <w:t xml:space="preserve">esearch carried out by Treacy and Faulkner (2015) </w:t>
      </w:r>
      <w:r w:rsidR="009233D8">
        <w:rPr>
          <w:b w:val="0"/>
          <w:lang w:val="en-IE"/>
        </w:rPr>
        <w:t xml:space="preserve">and Prendergast and Treacy (2015) </w:t>
      </w:r>
      <w:r w:rsidR="00425E50">
        <w:rPr>
          <w:b w:val="0"/>
          <w:lang w:val="en-IE"/>
        </w:rPr>
        <w:t>has found that the</w:t>
      </w:r>
      <w:r w:rsidR="008077E3">
        <w:rPr>
          <w:b w:val="0"/>
          <w:lang w:val="en-IE"/>
        </w:rPr>
        <w:t xml:space="preserve"> transition to the new curriculum</w:t>
      </w:r>
      <w:r w:rsidR="00425E50">
        <w:rPr>
          <w:b w:val="0"/>
          <w:lang w:val="en-IE"/>
        </w:rPr>
        <w:t xml:space="preserve"> has coincided with a further decline of basic mathematics skills. </w:t>
      </w:r>
      <w:r w:rsidR="008077E3">
        <w:rPr>
          <w:b w:val="0"/>
          <w:lang w:val="en-IE"/>
        </w:rPr>
        <w:t>Additionally</w:t>
      </w:r>
      <w:r w:rsidR="00425E50">
        <w:rPr>
          <w:b w:val="0"/>
          <w:lang w:val="en-IE"/>
        </w:rPr>
        <w:t xml:space="preserve"> there is anecdotal evidence </w:t>
      </w:r>
      <w:r w:rsidR="005B24E6">
        <w:rPr>
          <w:b w:val="0"/>
          <w:lang w:val="en-IE"/>
        </w:rPr>
        <w:t xml:space="preserve">of negative attitudes and ambiguity towards the reform amongst third level </w:t>
      </w:r>
      <w:r w:rsidR="00EA50D4">
        <w:rPr>
          <w:b w:val="0"/>
          <w:lang w:val="en-IE"/>
        </w:rPr>
        <w:t>mathematics</w:t>
      </w:r>
      <w:r w:rsidR="005B24E6">
        <w:rPr>
          <w:b w:val="0"/>
          <w:lang w:val="en-IE"/>
        </w:rPr>
        <w:t xml:space="preserve"> lecturers</w:t>
      </w:r>
      <w:r w:rsidR="00E8756C">
        <w:rPr>
          <w:b w:val="0"/>
          <w:lang w:val="en-IE"/>
        </w:rPr>
        <w:t xml:space="preserve"> (The Irish Times, June 2015</w:t>
      </w:r>
      <w:r w:rsidR="00EA50D4">
        <w:rPr>
          <w:b w:val="0"/>
          <w:lang w:val="en-IE"/>
        </w:rPr>
        <w:t>)</w:t>
      </w:r>
      <w:r w:rsidR="005B24E6">
        <w:rPr>
          <w:b w:val="0"/>
          <w:lang w:val="en-IE"/>
        </w:rPr>
        <w:t xml:space="preserve">. </w:t>
      </w:r>
      <w:r w:rsidR="00131F31" w:rsidRPr="00131F31">
        <w:rPr>
          <w:b w:val="0"/>
          <w:lang w:val="en-IE"/>
        </w:rPr>
        <w:t>This study aims</w:t>
      </w:r>
      <w:r w:rsidR="00471F96">
        <w:rPr>
          <w:b w:val="0"/>
          <w:lang w:val="en-IE"/>
        </w:rPr>
        <w:t xml:space="preserve"> to</w:t>
      </w:r>
      <w:r w:rsidR="00131F31" w:rsidRPr="00131F31">
        <w:rPr>
          <w:b w:val="0"/>
          <w:lang w:val="en-IE"/>
        </w:rPr>
        <w:t xml:space="preserve"> </w:t>
      </w:r>
      <w:r w:rsidR="00E811B7">
        <w:rPr>
          <w:b w:val="0"/>
          <w:lang w:val="en-IE"/>
        </w:rPr>
        <w:t xml:space="preserve">investigate this further and </w:t>
      </w:r>
      <w:r w:rsidR="00131F31" w:rsidRPr="00131F31">
        <w:rPr>
          <w:b w:val="0"/>
          <w:lang w:val="en-IE"/>
        </w:rPr>
        <w:t xml:space="preserve">to evaluate third level mathematics lecturers’ awareness of the recent changes to the second level mathematics curriculum brought about by Project Maths. It also wishes to investigate how Project Maths is being received by mathematics lecturers at third level and whether there have been any adaptions to course content, teaching and assessment approaches as a result. </w:t>
      </w:r>
    </w:p>
    <w:p w:rsidR="00FF7C45" w:rsidRPr="005C388F" w:rsidRDefault="00FF7C45" w:rsidP="00FF7C45">
      <w:pPr>
        <w:pStyle w:val="ICMEHeading3"/>
        <w:rPr>
          <w:lang w:val="en-US"/>
        </w:rPr>
      </w:pPr>
      <w:r>
        <w:rPr>
          <w:lang w:val="en-US"/>
        </w:rPr>
        <w:t>METHODOLOGY</w:t>
      </w:r>
    </w:p>
    <w:p w:rsidR="00FF7C45" w:rsidRPr="00A73798" w:rsidRDefault="00FF7C45" w:rsidP="00B77B90">
      <w:pPr>
        <w:pStyle w:val="ICMEHeading3"/>
        <w:rPr>
          <w:b w:val="0"/>
          <w:lang w:val="en-US"/>
        </w:rPr>
      </w:pPr>
      <w:r>
        <w:rPr>
          <w:b w:val="0"/>
          <w:lang w:val="en-US"/>
        </w:rPr>
        <w:t xml:space="preserve">The methodology involved </w:t>
      </w:r>
      <w:r w:rsidRPr="0069002E">
        <w:rPr>
          <w:b w:val="0"/>
          <w:lang w:val="en-US"/>
        </w:rPr>
        <w:t xml:space="preserve">the distribution of a </w:t>
      </w:r>
      <w:r>
        <w:rPr>
          <w:b w:val="0"/>
          <w:lang w:val="en-US"/>
        </w:rPr>
        <w:t xml:space="preserve">mixed methods </w:t>
      </w:r>
      <w:r w:rsidRPr="0069002E">
        <w:rPr>
          <w:b w:val="0"/>
          <w:lang w:val="en-US"/>
        </w:rPr>
        <w:t>questionnaire to mathematics lecturers in</w:t>
      </w:r>
      <w:r>
        <w:rPr>
          <w:b w:val="0"/>
          <w:lang w:val="en-US"/>
        </w:rPr>
        <w:t xml:space="preserve"> Irish third level</w:t>
      </w:r>
      <w:r w:rsidRPr="00D62932">
        <w:rPr>
          <w:b w:val="0"/>
          <w:lang w:val="en-US"/>
        </w:rPr>
        <w:t xml:space="preserve"> </w:t>
      </w:r>
      <w:r>
        <w:rPr>
          <w:b w:val="0"/>
          <w:lang w:val="en-US"/>
        </w:rPr>
        <w:t xml:space="preserve">universities and institutes of technology. This questionnaire was designed by the authors and consisted of twelve questions, including a mixture of dichotomous questions, rating scales and open ended questions. The questions looked to gather information on a range of matters in relation to third level lecturers’ awareness of </w:t>
      </w:r>
      <w:r w:rsidR="00CB4B65">
        <w:rPr>
          <w:b w:val="0"/>
          <w:lang w:val="en-US"/>
        </w:rPr>
        <w:t>the curriculum reform</w:t>
      </w:r>
      <w:r>
        <w:rPr>
          <w:b w:val="0"/>
          <w:lang w:val="en-US"/>
        </w:rPr>
        <w:t>. For example in the first three questions participants were asked to indicate how familiar they were with any changes to the syllabus, teaching approaches and assessment at second level. They were also asked to describe any of changes which they were familiar with and outline any modifications that they had made to reflect these changes in their own course work. Prior to distribution, the questionnaire was piloted with five mathematics lecture</w:t>
      </w:r>
      <w:r w:rsidR="00CB4B65">
        <w:rPr>
          <w:b w:val="0"/>
          <w:lang w:val="en-US"/>
        </w:rPr>
        <w:t>r</w:t>
      </w:r>
      <w:r>
        <w:rPr>
          <w:b w:val="0"/>
          <w:lang w:val="en-US"/>
        </w:rPr>
        <w:t xml:space="preserve">s who offered advice regarding the layout and structure of the questionnaire and the wording of some questions. </w:t>
      </w:r>
      <w:r w:rsidR="00CB4B65">
        <w:rPr>
          <w:b w:val="0"/>
          <w:lang w:val="en-US"/>
        </w:rPr>
        <w:t xml:space="preserve">The </w:t>
      </w:r>
      <w:proofErr w:type="spellStart"/>
      <w:r w:rsidR="00CB4B65">
        <w:rPr>
          <w:b w:val="0"/>
          <w:lang w:val="en-US"/>
        </w:rPr>
        <w:t>finalis</w:t>
      </w:r>
      <w:r w:rsidRPr="00B77B90">
        <w:rPr>
          <w:b w:val="0"/>
          <w:lang w:val="en-US"/>
        </w:rPr>
        <w:t>ed</w:t>
      </w:r>
      <w:proofErr w:type="spellEnd"/>
      <w:r w:rsidRPr="00B77B90">
        <w:rPr>
          <w:b w:val="0"/>
          <w:lang w:val="en-US"/>
        </w:rPr>
        <w:t xml:space="preserve"> version was then transcribed into Google forms and circulated via email to mathematics departments in </w:t>
      </w:r>
      <w:r>
        <w:rPr>
          <w:b w:val="0"/>
          <w:lang w:val="en-US"/>
        </w:rPr>
        <w:t>third level</w:t>
      </w:r>
      <w:r w:rsidRPr="00B77B90">
        <w:rPr>
          <w:b w:val="0"/>
          <w:lang w:val="en-US"/>
        </w:rPr>
        <w:t xml:space="preserve"> institutions around the country</w:t>
      </w:r>
      <w:r w:rsidR="00CA1245">
        <w:rPr>
          <w:b w:val="0"/>
          <w:lang w:val="en-US"/>
        </w:rPr>
        <w:t xml:space="preserve">. The intention was to gather data from mathematics lecturers </w:t>
      </w:r>
      <w:r>
        <w:rPr>
          <w:b w:val="0"/>
          <w:lang w:val="en-US"/>
        </w:rPr>
        <w:t xml:space="preserve">to answer the following </w:t>
      </w:r>
      <w:r>
        <w:rPr>
          <w:b w:val="0"/>
          <w:lang w:val="en-US"/>
        </w:rPr>
        <w:lastRenderedPageBreak/>
        <w:t>research question: How aware are Irish third level mathematics lecture</w:t>
      </w:r>
      <w:r w:rsidR="00843A53">
        <w:rPr>
          <w:b w:val="0"/>
          <w:lang w:val="en-US"/>
        </w:rPr>
        <w:t>r</w:t>
      </w:r>
      <w:r>
        <w:rPr>
          <w:b w:val="0"/>
          <w:lang w:val="en-US"/>
        </w:rPr>
        <w:t>s of the recent curriculum reform at second level?</w:t>
      </w:r>
    </w:p>
    <w:p w:rsidR="00B77B90" w:rsidRDefault="00203ADC" w:rsidP="00B77B90">
      <w:pPr>
        <w:pStyle w:val="ICMEHeading3"/>
        <w:rPr>
          <w:lang w:val="en-US"/>
        </w:rPr>
      </w:pPr>
      <w:r>
        <w:rPr>
          <w:lang w:val="en-US"/>
        </w:rPr>
        <w:t>FINDINGS</w:t>
      </w:r>
    </w:p>
    <w:p w:rsidR="00203ADC" w:rsidRPr="00203ADC" w:rsidRDefault="00203ADC" w:rsidP="00D926CF">
      <w:pPr>
        <w:spacing w:after="0" w:line="259" w:lineRule="auto"/>
        <w:rPr>
          <w:rFonts w:eastAsia="Calibri" w:cs="Times New Roman"/>
          <w:sz w:val="24"/>
          <w:szCs w:val="24"/>
          <w:lang w:val="en-IE" w:eastAsia="en-US"/>
        </w:rPr>
      </w:pPr>
      <w:r w:rsidRPr="00203ADC">
        <w:rPr>
          <w:rFonts w:eastAsia="Calibri" w:cs="Times New Roman"/>
          <w:sz w:val="24"/>
          <w:szCs w:val="24"/>
          <w:lang w:val="en-IE" w:eastAsia="en-US"/>
        </w:rPr>
        <w:t>A total of 46 mathematics lecture</w:t>
      </w:r>
      <w:r w:rsidR="00CB4B65">
        <w:rPr>
          <w:rFonts w:eastAsia="Calibri" w:cs="Times New Roman"/>
          <w:sz w:val="24"/>
          <w:szCs w:val="24"/>
          <w:lang w:val="en-IE" w:eastAsia="en-US"/>
        </w:rPr>
        <w:t>r</w:t>
      </w:r>
      <w:r w:rsidRPr="00203ADC">
        <w:rPr>
          <w:rFonts w:eastAsia="Calibri" w:cs="Times New Roman"/>
          <w:sz w:val="24"/>
          <w:szCs w:val="24"/>
          <w:lang w:val="en-IE" w:eastAsia="en-US"/>
        </w:rPr>
        <w:t>s responded to the questionnaire.</w:t>
      </w:r>
      <w:r w:rsidR="00E240A5" w:rsidRPr="00E240A5">
        <w:rPr>
          <w:rFonts w:eastAsiaTheme="minorHAnsi" w:cs="Times New Roman"/>
          <w:sz w:val="20"/>
          <w:szCs w:val="20"/>
          <w:lang w:val="en-IE" w:eastAsia="en-IE"/>
        </w:rPr>
        <w:t xml:space="preserve"> </w:t>
      </w:r>
      <w:r w:rsidR="00775E9D">
        <w:rPr>
          <w:rFonts w:eastAsia="Calibri" w:cs="Times New Roman"/>
          <w:sz w:val="24"/>
          <w:szCs w:val="24"/>
          <w:lang w:val="en-IE" w:eastAsia="en-US"/>
        </w:rPr>
        <w:t>The</w:t>
      </w:r>
      <w:r w:rsidR="00E240A5" w:rsidRPr="00E240A5">
        <w:rPr>
          <w:rFonts w:eastAsia="Calibri" w:cs="Times New Roman"/>
          <w:sz w:val="24"/>
          <w:szCs w:val="24"/>
          <w:lang w:val="en-IE" w:eastAsia="en-US"/>
        </w:rPr>
        <w:t xml:space="preserve"> lack of dist</w:t>
      </w:r>
      <w:r w:rsidR="00E240A5">
        <w:rPr>
          <w:rFonts w:eastAsia="Calibri" w:cs="Times New Roman"/>
          <w:sz w:val="24"/>
          <w:szCs w:val="24"/>
          <w:lang w:val="en-IE" w:eastAsia="en-US"/>
        </w:rPr>
        <w:t xml:space="preserve">inct mathematics departments in </w:t>
      </w:r>
      <w:r w:rsidR="00E240A5" w:rsidRPr="00E240A5">
        <w:rPr>
          <w:rFonts w:eastAsia="Calibri" w:cs="Times New Roman"/>
          <w:sz w:val="24"/>
          <w:szCs w:val="24"/>
          <w:lang w:val="en-IE" w:eastAsia="en-US"/>
        </w:rPr>
        <w:t>some</w:t>
      </w:r>
      <w:r w:rsidR="00E240A5">
        <w:rPr>
          <w:rFonts w:eastAsia="Calibri" w:cs="Times New Roman"/>
          <w:sz w:val="24"/>
          <w:szCs w:val="24"/>
          <w:lang w:val="en-IE" w:eastAsia="en-US"/>
        </w:rPr>
        <w:t xml:space="preserve"> Irish third </w:t>
      </w:r>
      <w:r w:rsidR="00775E9D">
        <w:rPr>
          <w:rFonts w:eastAsia="Calibri" w:cs="Times New Roman"/>
          <w:sz w:val="24"/>
          <w:szCs w:val="24"/>
          <w:lang w:val="en-IE" w:eastAsia="en-US"/>
        </w:rPr>
        <w:t>level institutes</w:t>
      </w:r>
      <w:r w:rsidR="00E240A5">
        <w:rPr>
          <w:rFonts w:eastAsia="Calibri" w:cs="Times New Roman"/>
          <w:sz w:val="24"/>
          <w:szCs w:val="24"/>
          <w:lang w:val="en-IE" w:eastAsia="en-US"/>
        </w:rPr>
        <w:t> </w:t>
      </w:r>
      <w:r w:rsidR="00775E9D">
        <w:rPr>
          <w:rFonts w:eastAsia="Calibri" w:cs="Times New Roman"/>
          <w:sz w:val="24"/>
          <w:szCs w:val="24"/>
          <w:lang w:val="en-IE" w:eastAsia="en-US"/>
        </w:rPr>
        <w:t xml:space="preserve">means that </w:t>
      </w:r>
      <w:r w:rsidR="00E240A5" w:rsidRPr="00E240A5">
        <w:rPr>
          <w:rFonts w:eastAsia="Calibri" w:cs="Times New Roman"/>
          <w:sz w:val="24"/>
          <w:szCs w:val="24"/>
          <w:lang w:val="en-IE" w:eastAsia="en-US"/>
        </w:rPr>
        <w:t xml:space="preserve">the total number of mathematics lecturers in Ireland is difficult to obtain.  However a headcount of staff in institutes that have </w:t>
      </w:r>
      <w:r w:rsidR="00E240A5">
        <w:rPr>
          <w:rFonts w:eastAsia="Calibri" w:cs="Times New Roman"/>
          <w:sz w:val="24"/>
          <w:szCs w:val="24"/>
          <w:lang w:val="en-IE" w:eastAsia="en-US"/>
        </w:rPr>
        <w:t>mathematics d</w:t>
      </w:r>
      <w:r w:rsidR="00E240A5" w:rsidRPr="00E240A5">
        <w:rPr>
          <w:rFonts w:eastAsia="Calibri" w:cs="Times New Roman"/>
          <w:sz w:val="24"/>
          <w:szCs w:val="24"/>
          <w:lang w:val="en-IE" w:eastAsia="en-US"/>
        </w:rPr>
        <w:t>epartment</w:t>
      </w:r>
      <w:r w:rsidR="00E240A5">
        <w:rPr>
          <w:rFonts w:eastAsia="Calibri" w:cs="Times New Roman"/>
          <w:sz w:val="24"/>
          <w:szCs w:val="24"/>
          <w:lang w:val="en-IE" w:eastAsia="en-US"/>
        </w:rPr>
        <w:t>s</w:t>
      </w:r>
      <w:r w:rsidR="00E240A5" w:rsidRPr="00E240A5">
        <w:rPr>
          <w:rFonts w:eastAsia="Calibri" w:cs="Times New Roman"/>
          <w:sz w:val="24"/>
          <w:szCs w:val="24"/>
          <w:lang w:val="en-IE" w:eastAsia="en-US"/>
        </w:rPr>
        <w:t xml:space="preserve"> yields a total of 204 lecturers. Viewing this as the population of mathematics lecturers in Ireland, the response rate for this </w:t>
      </w:r>
      <w:r w:rsidR="00732537">
        <w:rPr>
          <w:rFonts w:eastAsia="Calibri" w:cs="Times New Roman"/>
          <w:sz w:val="24"/>
          <w:szCs w:val="24"/>
          <w:lang w:val="en-IE" w:eastAsia="en-US"/>
        </w:rPr>
        <w:t>study</w:t>
      </w:r>
      <w:r w:rsidR="00E240A5" w:rsidRPr="00E240A5">
        <w:rPr>
          <w:rFonts w:eastAsia="Calibri" w:cs="Times New Roman"/>
          <w:sz w:val="24"/>
          <w:szCs w:val="24"/>
          <w:lang w:val="en-IE" w:eastAsia="en-US"/>
        </w:rPr>
        <w:t xml:space="preserve"> </w:t>
      </w:r>
      <w:r w:rsidR="00E240A5">
        <w:rPr>
          <w:rFonts w:eastAsia="Calibri" w:cs="Times New Roman"/>
          <w:sz w:val="24"/>
          <w:szCs w:val="24"/>
          <w:lang w:val="en-IE" w:eastAsia="en-US"/>
        </w:rPr>
        <w:t>can be estimated as being 23%. </w:t>
      </w:r>
      <w:r w:rsidRPr="00203ADC">
        <w:rPr>
          <w:rFonts w:eastAsia="Calibri" w:cs="Times New Roman"/>
          <w:sz w:val="24"/>
          <w:szCs w:val="24"/>
          <w:lang w:val="en-IE" w:eastAsia="en-US"/>
        </w:rPr>
        <w:t xml:space="preserve"> </w:t>
      </w:r>
      <w:r w:rsidR="00D926CF">
        <w:rPr>
          <w:rFonts w:eastAsia="Calibri" w:cs="Times New Roman"/>
          <w:sz w:val="24"/>
          <w:szCs w:val="24"/>
          <w:lang w:val="en-IE" w:eastAsia="en-US"/>
        </w:rPr>
        <w:t>T</w:t>
      </w:r>
      <w:r w:rsidRPr="00203ADC">
        <w:rPr>
          <w:rFonts w:eastAsia="Calibri" w:cs="Times New Roman"/>
          <w:sz w:val="24"/>
          <w:szCs w:val="24"/>
          <w:lang w:val="en-IE" w:eastAsia="en-US"/>
        </w:rPr>
        <w:t>he majority of respondents were male (72%), aged 51 – 60 years old (39</w:t>
      </w:r>
      <w:r w:rsidR="00D926CF">
        <w:rPr>
          <w:rFonts w:eastAsia="Calibri" w:cs="Times New Roman"/>
          <w:sz w:val="24"/>
          <w:szCs w:val="24"/>
          <w:lang w:val="en-IE" w:eastAsia="en-US"/>
        </w:rPr>
        <w:t xml:space="preserve">%) and </w:t>
      </w:r>
      <w:r w:rsidRPr="00203ADC">
        <w:rPr>
          <w:rFonts w:eastAsia="Calibri" w:cs="Times New Roman"/>
          <w:sz w:val="24"/>
          <w:szCs w:val="24"/>
          <w:lang w:val="en-IE" w:eastAsia="en-US"/>
        </w:rPr>
        <w:t>were University mathematics lecturers</w:t>
      </w:r>
      <w:r w:rsidR="00D926CF">
        <w:rPr>
          <w:rFonts w:eastAsia="Calibri" w:cs="Times New Roman"/>
          <w:sz w:val="24"/>
          <w:szCs w:val="24"/>
          <w:lang w:val="en-IE" w:eastAsia="en-US"/>
        </w:rPr>
        <w:t xml:space="preserve"> (54%)</w:t>
      </w:r>
      <w:r w:rsidRPr="00203ADC">
        <w:rPr>
          <w:rFonts w:eastAsia="Calibri" w:cs="Times New Roman"/>
          <w:sz w:val="24"/>
          <w:szCs w:val="24"/>
          <w:lang w:val="en-IE" w:eastAsia="en-US"/>
        </w:rPr>
        <w:t>. The dat</w:t>
      </w:r>
      <w:r w:rsidR="00732537">
        <w:rPr>
          <w:rFonts w:eastAsia="Calibri" w:cs="Times New Roman"/>
          <w:sz w:val="24"/>
          <w:szCs w:val="24"/>
          <w:lang w:val="en-IE" w:eastAsia="en-US"/>
        </w:rPr>
        <w:t>a also shows that 87% were full-</w:t>
      </w:r>
      <w:r w:rsidRPr="00203ADC">
        <w:rPr>
          <w:rFonts w:eastAsia="Calibri" w:cs="Times New Roman"/>
          <w:sz w:val="24"/>
          <w:szCs w:val="24"/>
          <w:lang w:val="en-IE" w:eastAsia="en-US"/>
        </w:rPr>
        <w:t xml:space="preserve">time mathematics lecturers. </w:t>
      </w:r>
    </w:p>
    <w:p w:rsidR="00203ADC" w:rsidRDefault="00203ADC" w:rsidP="00203ADC">
      <w:pPr>
        <w:spacing w:after="0" w:line="259" w:lineRule="auto"/>
        <w:rPr>
          <w:b/>
          <w:sz w:val="24"/>
          <w:lang w:val="en-US"/>
        </w:rPr>
      </w:pPr>
    </w:p>
    <w:p w:rsidR="00203ADC" w:rsidRPr="00203ADC" w:rsidRDefault="00203ADC" w:rsidP="00203ADC">
      <w:pPr>
        <w:spacing w:after="0" w:line="259" w:lineRule="auto"/>
        <w:rPr>
          <w:rFonts w:eastAsia="Calibri" w:cs="Times New Roman"/>
          <w:sz w:val="24"/>
          <w:szCs w:val="24"/>
          <w:lang w:val="en-IE" w:eastAsia="en-US"/>
        </w:rPr>
      </w:pPr>
      <w:r w:rsidRPr="00203ADC">
        <w:rPr>
          <w:rFonts w:eastAsia="Calibri" w:cs="Times New Roman"/>
          <w:sz w:val="24"/>
          <w:szCs w:val="24"/>
          <w:lang w:val="en-IE" w:eastAsia="en-US"/>
        </w:rPr>
        <w:t xml:space="preserve">In the questionnaire lecturers were asked to indicate their level of familiarity with any changes to the syllabus, teaching or assessment approaches at second level under the new reform. They were also asked to detail specific changes which they were familiar with. As mentioned previously there were three main changes brought about by Project Maths, namely changes to what mathematics is taught, how it is taught </w:t>
      </w:r>
      <w:r w:rsidR="004823CF">
        <w:rPr>
          <w:rFonts w:eastAsia="Calibri" w:cs="Times New Roman"/>
          <w:sz w:val="24"/>
          <w:szCs w:val="24"/>
          <w:lang w:val="en-IE" w:eastAsia="en-US"/>
        </w:rPr>
        <w:t>and how it is assessed. Figure 1</w:t>
      </w:r>
      <w:r w:rsidRPr="00203ADC">
        <w:rPr>
          <w:rFonts w:eastAsia="Calibri" w:cs="Times New Roman"/>
          <w:sz w:val="24"/>
          <w:szCs w:val="24"/>
          <w:lang w:val="en-IE" w:eastAsia="en-US"/>
        </w:rPr>
        <w:t xml:space="preserve"> </w:t>
      </w:r>
      <w:r w:rsidR="00E240A5">
        <w:rPr>
          <w:rFonts w:eastAsia="Calibri" w:cs="Times New Roman"/>
          <w:sz w:val="24"/>
          <w:szCs w:val="24"/>
          <w:lang w:val="en-IE" w:eastAsia="en-US"/>
        </w:rPr>
        <w:t>demonstrates</w:t>
      </w:r>
      <w:r w:rsidRPr="00203ADC">
        <w:rPr>
          <w:rFonts w:eastAsia="Calibri" w:cs="Times New Roman"/>
          <w:sz w:val="24"/>
          <w:szCs w:val="24"/>
          <w:lang w:val="en-IE" w:eastAsia="en-US"/>
        </w:rPr>
        <w:t xml:space="preserve"> that mathematics lecturers at third level became less and less familiar as they moved through these three changes. </w:t>
      </w:r>
    </w:p>
    <w:p w:rsidR="00203ADC" w:rsidRPr="00203ADC" w:rsidRDefault="00203ADC" w:rsidP="00203ADC">
      <w:pPr>
        <w:spacing w:after="0" w:line="259" w:lineRule="auto"/>
        <w:rPr>
          <w:rFonts w:eastAsia="Calibri" w:cs="Times New Roman"/>
          <w:sz w:val="24"/>
          <w:szCs w:val="24"/>
          <w:lang w:val="en-IE" w:eastAsia="en-US"/>
        </w:rPr>
      </w:pPr>
    </w:p>
    <w:p w:rsidR="00203ADC" w:rsidRPr="00203ADC" w:rsidRDefault="00203ADC" w:rsidP="00203ADC">
      <w:pPr>
        <w:spacing w:after="0" w:line="259" w:lineRule="auto"/>
        <w:jc w:val="left"/>
        <w:rPr>
          <w:rFonts w:eastAsia="Calibri" w:cs="Times New Roman"/>
          <w:sz w:val="24"/>
          <w:szCs w:val="24"/>
          <w:lang w:val="en-IE" w:eastAsia="en-US"/>
        </w:rPr>
      </w:pPr>
      <w:r w:rsidRPr="00203ADC">
        <w:rPr>
          <w:rFonts w:ascii="Calibri" w:eastAsia="Calibri" w:hAnsi="Calibri" w:cs="Times New Roman"/>
          <w:b/>
          <w:noProof/>
          <w:sz w:val="22"/>
          <w:szCs w:val="22"/>
          <w:lang w:val="en-IE" w:eastAsia="en-IE"/>
        </w:rPr>
        <w:drawing>
          <wp:inline distT="0" distB="0" distL="0" distR="0" wp14:anchorId="30017F8F" wp14:editId="448759A1">
            <wp:extent cx="6086475" cy="34671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03ADC" w:rsidRPr="00203ADC" w:rsidRDefault="004823CF" w:rsidP="00203ADC">
      <w:pPr>
        <w:spacing w:after="0" w:line="259" w:lineRule="auto"/>
        <w:rPr>
          <w:rFonts w:eastAsia="Calibri" w:cs="Times New Roman"/>
          <w:sz w:val="24"/>
          <w:szCs w:val="24"/>
          <w:lang w:val="en-IE" w:eastAsia="en-US"/>
        </w:rPr>
      </w:pPr>
      <w:r>
        <w:rPr>
          <w:rFonts w:eastAsia="Calibri" w:cs="Times New Roman"/>
          <w:sz w:val="24"/>
          <w:szCs w:val="24"/>
          <w:lang w:val="en-IE" w:eastAsia="en-US"/>
        </w:rPr>
        <w:t>Figure 1</w:t>
      </w:r>
      <w:r w:rsidR="00203ADC" w:rsidRPr="00203ADC">
        <w:rPr>
          <w:rFonts w:eastAsia="Calibri" w:cs="Times New Roman"/>
          <w:sz w:val="24"/>
          <w:szCs w:val="24"/>
          <w:lang w:val="en-IE" w:eastAsia="en-US"/>
        </w:rPr>
        <w:t>: Third Level Lecture</w:t>
      </w:r>
      <w:r w:rsidR="00843A53">
        <w:rPr>
          <w:rFonts w:eastAsia="Calibri" w:cs="Times New Roman"/>
          <w:sz w:val="24"/>
          <w:szCs w:val="24"/>
          <w:lang w:val="en-IE" w:eastAsia="en-US"/>
        </w:rPr>
        <w:t>r</w:t>
      </w:r>
      <w:r w:rsidR="00203ADC" w:rsidRPr="00203ADC">
        <w:rPr>
          <w:rFonts w:eastAsia="Calibri" w:cs="Times New Roman"/>
          <w:sz w:val="24"/>
          <w:szCs w:val="24"/>
          <w:lang w:val="en-IE" w:eastAsia="en-US"/>
        </w:rPr>
        <w:t xml:space="preserve">s Familiarity with Reform at Second Level </w:t>
      </w:r>
    </w:p>
    <w:p w:rsidR="00203ADC" w:rsidRPr="00203ADC" w:rsidRDefault="00203ADC" w:rsidP="001D2617">
      <w:pPr>
        <w:spacing w:after="0" w:line="259" w:lineRule="auto"/>
        <w:rPr>
          <w:rFonts w:eastAsia="Calibri" w:cs="Times New Roman"/>
          <w:sz w:val="24"/>
          <w:szCs w:val="24"/>
          <w:lang w:val="en-IE" w:eastAsia="en-US"/>
        </w:rPr>
      </w:pPr>
    </w:p>
    <w:p w:rsidR="00203ADC" w:rsidRDefault="00203ADC" w:rsidP="00203ADC">
      <w:pPr>
        <w:spacing w:after="0" w:line="259" w:lineRule="auto"/>
        <w:rPr>
          <w:rFonts w:eastAsia="Calibri" w:cs="Times New Roman"/>
          <w:b/>
          <w:sz w:val="24"/>
          <w:szCs w:val="24"/>
          <w:lang w:val="en-IE" w:eastAsia="en-US"/>
        </w:rPr>
      </w:pPr>
      <w:r w:rsidRPr="00203ADC">
        <w:rPr>
          <w:rFonts w:eastAsia="Calibri" w:cs="Times New Roman"/>
          <w:sz w:val="24"/>
          <w:szCs w:val="24"/>
          <w:lang w:val="en-IE" w:eastAsia="en-US"/>
        </w:rPr>
        <w:t xml:space="preserve">11% of lecturers stated that were not at all familiar with the changes to the syllabus. 40% of lecturers stated that they were somewhat familiar while 20% were extremely familiar. In the qualitative data, the most common theme which emerged within lecturers’ responses to this question was the </w:t>
      </w:r>
      <w:r w:rsidRPr="00203ADC">
        <w:rPr>
          <w:rFonts w:eastAsia="Calibri" w:cs="Times New Roman"/>
          <w:i/>
          <w:sz w:val="24"/>
          <w:szCs w:val="24"/>
          <w:lang w:val="en-IE" w:eastAsia="en-US"/>
        </w:rPr>
        <w:t>Removal of integration/ less Calculus</w:t>
      </w:r>
      <w:r w:rsidRPr="00203ADC">
        <w:rPr>
          <w:rFonts w:eastAsia="Calibri" w:cs="Times New Roman"/>
          <w:sz w:val="24"/>
          <w:szCs w:val="24"/>
          <w:lang w:val="en-IE" w:eastAsia="en-US"/>
        </w:rPr>
        <w:t xml:space="preserve"> which wa</w:t>
      </w:r>
      <w:r w:rsidR="000933D2">
        <w:rPr>
          <w:rFonts w:eastAsia="Calibri" w:cs="Times New Roman"/>
          <w:sz w:val="24"/>
          <w:szCs w:val="24"/>
          <w:lang w:val="en-IE" w:eastAsia="en-US"/>
        </w:rPr>
        <w:t>s mentioned in 82% of responses.</w:t>
      </w:r>
    </w:p>
    <w:p w:rsidR="00732537" w:rsidRDefault="00203ADC" w:rsidP="00203ADC">
      <w:pPr>
        <w:spacing w:after="0" w:line="259" w:lineRule="auto"/>
        <w:ind w:firstLine="709"/>
        <w:rPr>
          <w:rFonts w:eastAsia="Calibri" w:cs="Times New Roman"/>
          <w:sz w:val="24"/>
          <w:szCs w:val="24"/>
          <w:lang w:val="en-IE" w:eastAsia="en-US"/>
        </w:rPr>
      </w:pPr>
      <w:r w:rsidRPr="00203ADC">
        <w:rPr>
          <w:rFonts w:eastAsia="Calibri" w:cs="Times New Roman"/>
          <w:sz w:val="24"/>
          <w:szCs w:val="24"/>
          <w:lang w:val="en-IE" w:eastAsia="en-US"/>
        </w:rPr>
        <w:t>With specific reference to the teaching approaches, 28% were not at all familiar with the changes, 20% stated that they were somewhat familiar, whil</w:t>
      </w:r>
      <w:r w:rsidR="000933D2">
        <w:rPr>
          <w:rFonts w:eastAsia="Calibri" w:cs="Times New Roman"/>
          <w:sz w:val="24"/>
          <w:szCs w:val="24"/>
          <w:lang w:val="en-IE" w:eastAsia="en-US"/>
        </w:rPr>
        <w:t xml:space="preserve">e 15% were extremely familiar. </w:t>
      </w:r>
      <w:r w:rsidRPr="00203ADC">
        <w:rPr>
          <w:rFonts w:eastAsia="Calibri" w:cs="Times New Roman"/>
          <w:sz w:val="24"/>
          <w:szCs w:val="24"/>
          <w:lang w:val="en-IE" w:eastAsia="en-US"/>
        </w:rPr>
        <w:t xml:space="preserve">The response to this question in the qualitative data was almost unanimous in that 90% of the lecturers </w:t>
      </w:r>
      <w:r w:rsidRPr="00203ADC">
        <w:rPr>
          <w:rFonts w:eastAsia="Calibri" w:cs="Times New Roman"/>
          <w:sz w:val="24"/>
          <w:szCs w:val="24"/>
          <w:lang w:val="en-IE" w:eastAsia="en-US"/>
        </w:rPr>
        <w:lastRenderedPageBreak/>
        <w:t xml:space="preserve">mentioned the </w:t>
      </w:r>
      <w:r w:rsidRPr="00203ADC">
        <w:rPr>
          <w:rFonts w:eastAsia="Calibri" w:cs="Times New Roman"/>
          <w:i/>
          <w:sz w:val="24"/>
          <w:szCs w:val="24"/>
          <w:lang w:val="en-IE" w:eastAsia="en-US"/>
        </w:rPr>
        <w:t>Changes to the Teaching Approaches</w:t>
      </w:r>
      <w:r w:rsidR="000933D2">
        <w:rPr>
          <w:rFonts w:eastAsia="Calibri" w:cs="Times New Roman"/>
          <w:sz w:val="24"/>
          <w:szCs w:val="24"/>
          <w:lang w:val="en-IE" w:eastAsia="en-US"/>
        </w:rPr>
        <w:t>.</w:t>
      </w:r>
      <w:r w:rsidRPr="00203ADC">
        <w:rPr>
          <w:rFonts w:eastAsia="Calibri" w:cs="Times New Roman"/>
          <w:sz w:val="24"/>
          <w:szCs w:val="24"/>
          <w:lang w:val="en-IE" w:eastAsia="en-US"/>
        </w:rPr>
        <w:t xml:space="preserve"> The lecture</w:t>
      </w:r>
      <w:r w:rsidR="000933D2">
        <w:rPr>
          <w:rFonts w:eastAsia="Calibri" w:cs="Times New Roman"/>
          <w:sz w:val="24"/>
          <w:szCs w:val="24"/>
          <w:lang w:val="en-IE" w:eastAsia="en-US"/>
        </w:rPr>
        <w:t>r</w:t>
      </w:r>
      <w:r w:rsidRPr="00203ADC">
        <w:rPr>
          <w:rFonts w:eastAsia="Calibri" w:cs="Times New Roman"/>
          <w:sz w:val="24"/>
          <w:szCs w:val="24"/>
          <w:lang w:val="en-IE" w:eastAsia="en-US"/>
        </w:rPr>
        <w:t>s saw a reduction in prescriptive material, procedure focus, didactic/traditional teaching and an increased emphasis on problem based learning, teaching for understanding, active learning and applications and contex</w:t>
      </w:r>
      <w:r w:rsidR="000933D2">
        <w:rPr>
          <w:rFonts w:eastAsia="Calibri" w:cs="Times New Roman"/>
          <w:sz w:val="24"/>
          <w:szCs w:val="24"/>
          <w:lang w:val="en-IE" w:eastAsia="en-US"/>
        </w:rPr>
        <w:t xml:space="preserve">t. </w:t>
      </w:r>
    </w:p>
    <w:p w:rsidR="00203ADC" w:rsidRPr="00203ADC" w:rsidRDefault="004823CF" w:rsidP="00203ADC">
      <w:pPr>
        <w:spacing w:after="0" w:line="259" w:lineRule="auto"/>
        <w:ind w:firstLine="709"/>
        <w:rPr>
          <w:rFonts w:eastAsia="Calibri" w:cs="Times New Roman"/>
          <w:b/>
          <w:sz w:val="24"/>
          <w:szCs w:val="24"/>
          <w:lang w:val="en-IE" w:eastAsia="en-US"/>
        </w:rPr>
      </w:pPr>
      <w:r>
        <w:rPr>
          <w:rFonts w:eastAsia="Calibri" w:cs="Times New Roman"/>
          <w:sz w:val="24"/>
          <w:szCs w:val="24"/>
          <w:lang w:val="en-IE" w:eastAsia="en-US"/>
        </w:rPr>
        <w:t>As evidenced in Figure 1</w:t>
      </w:r>
      <w:r w:rsidR="00203ADC" w:rsidRPr="00203ADC">
        <w:rPr>
          <w:rFonts w:eastAsia="Calibri" w:cs="Times New Roman"/>
          <w:sz w:val="24"/>
          <w:szCs w:val="24"/>
          <w:lang w:val="en-IE" w:eastAsia="en-US"/>
        </w:rPr>
        <w:t xml:space="preserve">, lecturers were least familiar with changes to the assessment approaches. 48% were not at all familiar, 4% stated that they were somewhat familiar, while 13% stated that they were extremely familiar with the changes. The most prevalent change to the assessment mentioned by 57% of the lecturers within this study was that the </w:t>
      </w:r>
      <w:r w:rsidR="00203ADC" w:rsidRPr="00203ADC">
        <w:rPr>
          <w:rFonts w:eastAsia="Calibri" w:cs="Times New Roman"/>
          <w:i/>
          <w:sz w:val="24"/>
          <w:szCs w:val="24"/>
          <w:lang w:val="en-IE" w:eastAsia="en-US"/>
        </w:rPr>
        <w:t>Examination Questions are no Longer Predictable</w:t>
      </w:r>
      <w:r w:rsidR="00203ADC" w:rsidRPr="00203ADC">
        <w:rPr>
          <w:rFonts w:eastAsia="Calibri" w:cs="Times New Roman"/>
          <w:sz w:val="24"/>
          <w:szCs w:val="24"/>
          <w:lang w:val="en-IE" w:eastAsia="en-US"/>
        </w:rPr>
        <w:t xml:space="preserve"> and that answers require some interpretation and discussion whi</w:t>
      </w:r>
      <w:r w:rsidR="000933D2">
        <w:rPr>
          <w:rFonts w:eastAsia="Calibri" w:cs="Times New Roman"/>
          <w:sz w:val="24"/>
          <w:szCs w:val="24"/>
          <w:lang w:val="en-IE" w:eastAsia="en-US"/>
        </w:rPr>
        <w:t>ch demonstrates understanding.</w:t>
      </w:r>
      <w:r w:rsidR="00203ADC" w:rsidRPr="00203ADC">
        <w:rPr>
          <w:rFonts w:eastAsia="Calibri" w:cs="Times New Roman"/>
          <w:sz w:val="24"/>
          <w:szCs w:val="24"/>
          <w:lang w:val="en-IE" w:eastAsia="en-US"/>
        </w:rPr>
        <w:t xml:space="preserve"> </w:t>
      </w:r>
    </w:p>
    <w:p w:rsidR="00203ADC" w:rsidRPr="00203ADC" w:rsidRDefault="00203ADC" w:rsidP="00203ADC">
      <w:pPr>
        <w:spacing w:after="0" w:line="259" w:lineRule="auto"/>
        <w:rPr>
          <w:rFonts w:eastAsia="Calibri" w:cs="Times New Roman"/>
          <w:sz w:val="24"/>
          <w:szCs w:val="24"/>
          <w:lang w:val="en-IE" w:eastAsia="en-US"/>
        </w:rPr>
      </w:pPr>
    </w:p>
    <w:p w:rsidR="00203ADC" w:rsidRPr="00203ADC" w:rsidRDefault="004823CF" w:rsidP="00203ADC">
      <w:pPr>
        <w:spacing w:after="0" w:line="259" w:lineRule="auto"/>
        <w:rPr>
          <w:rFonts w:eastAsia="Calibri" w:cs="Times New Roman"/>
          <w:bCs/>
          <w:sz w:val="24"/>
          <w:szCs w:val="24"/>
          <w:lang w:val="en-IE" w:eastAsia="en-US"/>
        </w:rPr>
      </w:pPr>
      <w:r>
        <w:rPr>
          <w:rFonts w:eastAsia="Calibri" w:cs="Times New Roman"/>
          <w:bCs/>
          <w:sz w:val="24"/>
          <w:szCs w:val="24"/>
          <w:lang w:val="en-IE" w:eastAsia="en-US"/>
        </w:rPr>
        <w:t>L</w:t>
      </w:r>
      <w:r w:rsidR="00203ADC" w:rsidRPr="00203ADC">
        <w:rPr>
          <w:rFonts w:eastAsia="Calibri" w:cs="Times New Roman"/>
          <w:bCs/>
          <w:sz w:val="24"/>
          <w:szCs w:val="24"/>
          <w:lang w:val="en-IE" w:eastAsia="en-US"/>
        </w:rPr>
        <w:t xml:space="preserve">ecturers were also asked to specify whether they had adapted any of the course content, teaching or assessment approaches of their modules at third level to reflect the changes to the curriculum at second level. </w:t>
      </w:r>
    </w:p>
    <w:p w:rsidR="00203ADC" w:rsidRPr="00203ADC" w:rsidRDefault="00203ADC" w:rsidP="00203ADC">
      <w:pPr>
        <w:spacing w:after="0" w:line="259" w:lineRule="auto"/>
        <w:rPr>
          <w:rFonts w:eastAsia="Calibri" w:cs="Times New Roman"/>
          <w:bCs/>
          <w:sz w:val="24"/>
          <w:szCs w:val="24"/>
          <w:lang w:val="en-IE" w:eastAsia="en-US"/>
        </w:rPr>
      </w:pPr>
    </w:p>
    <w:p w:rsidR="00203ADC" w:rsidRPr="00203ADC" w:rsidRDefault="00203ADC" w:rsidP="00203ADC">
      <w:pPr>
        <w:spacing w:after="0" w:line="259" w:lineRule="auto"/>
        <w:rPr>
          <w:rFonts w:eastAsia="Calibri" w:cs="Times New Roman"/>
          <w:sz w:val="24"/>
          <w:szCs w:val="24"/>
          <w:lang w:val="en-IE" w:eastAsia="en-US"/>
        </w:rPr>
      </w:pPr>
      <w:r w:rsidRPr="00203ADC">
        <w:rPr>
          <w:rFonts w:eastAsia="Calibri" w:cs="Times New Roman"/>
          <w:noProof/>
          <w:sz w:val="24"/>
          <w:szCs w:val="24"/>
          <w:lang w:val="en-IE" w:eastAsia="en-IE"/>
        </w:rPr>
        <w:drawing>
          <wp:inline distT="0" distB="0" distL="0" distR="0" wp14:anchorId="178656AC" wp14:editId="17B7CE84">
            <wp:extent cx="6067425" cy="33623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03ADC" w:rsidRPr="00203ADC" w:rsidRDefault="004823CF" w:rsidP="00203ADC">
      <w:pPr>
        <w:spacing w:after="0" w:line="259" w:lineRule="auto"/>
        <w:rPr>
          <w:rFonts w:eastAsia="Calibri" w:cs="Times New Roman"/>
          <w:sz w:val="24"/>
          <w:szCs w:val="24"/>
          <w:lang w:val="en-IE" w:eastAsia="en-US"/>
        </w:rPr>
      </w:pPr>
      <w:r>
        <w:rPr>
          <w:rFonts w:eastAsia="Calibri" w:cs="Times New Roman"/>
          <w:sz w:val="24"/>
          <w:szCs w:val="24"/>
          <w:lang w:val="en-IE" w:eastAsia="en-US"/>
        </w:rPr>
        <w:t>Figure 2</w:t>
      </w:r>
      <w:r w:rsidR="00203ADC" w:rsidRPr="00203ADC">
        <w:rPr>
          <w:rFonts w:eastAsia="Calibri" w:cs="Times New Roman"/>
          <w:sz w:val="24"/>
          <w:szCs w:val="24"/>
          <w:lang w:val="en-IE" w:eastAsia="en-US"/>
        </w:rPr>
        <w:t>: Changes been made at Third Level in Response to Project Maths</w:t>
      </w:r>
    </w:p>
    <w:p w:rsidR="00203ADC" w:rsidRPr="00203ADC" w:rsidRDefault="00203ADC" w:rsidP="00203ADC">
      <w:pPr>
        <w:spacing w:after="0" w:line="259" w:lineRule="auto"/>
        <w:rPr>
          <w:rFonts w:eastAsia="Calibri" w:cs="Times New Roman"/>
          <w:b/>
          <w:sz w:val="24"/>
          <w:szCs w:val="24"/>
          <w:lang w:val="en-IE" w:eastAsia="en-US"/>
        </w:rPr>
      </w:pPr>
    </w:p>
    <w:p w:rsidR="00203ADC" w:rsidRPr="00203ADC" w:rsidRDefault="00203ADC" w:rsidP="00203ADC">
      <w:pPr>
        <w:spacing w:after="0" w:line="259" w:lineRule="auto"/>
        <w:rPr>
          <w:rFonts w:eastAsia="Calibri" w:cs="Times New Roman"/>
          <w:sz w:val="24"/>
          <w:szCs w:val="24"/>
          <w:lang w:val="en-IE" w:eastAsia="en-US"/>
        </w:rPr>
      </w:pPr>
      <w:r w:rsidRPr="00203ADC">
        <w:rPr>
          <w:rFonts w:eastAsia="Calibri" w:cs="Times New Roman"/>
          <w:sz w:val="24"/>
          <w:szCs w:val="24"/>
          <w:lang w:val="en-IE" w:eastAsia="en-US"/>
        </w:rPr>
        <w:t>39% of lecturers declared that they have made changes to their course content</w:t>
      </w:r>
      <w:r w:rsidR="000933D2">
        <w:rPr>
          <w:rFonts w:eastAsia="Calibri" w:cs="Times New Roman"/>
          <w:sz w:val="24"/>
          <w:szCs w:val="24"/>
          <w:lang w:val="en-IE" w:eastAsia="en-US"/>
        </w:rPr>
        <w:t xml:space="preserve"> (Figure 2)</w:t>
      </w:r>
      <w:r w:rsidRPr="00203ADC">
        <w:rPr>
          <w:rFonts w:eastAsia="Calibri" w:cs="Times New Roman"/>
          <w:sz w:val="24"/>
          <w:szCs w:val="24"/>
          <w:lang w:val="en-IE" w:eastAsia="en-US"/>
        </w:rPr>
        <w:t xml:space="preserve">. Over half of the responses (53%) to the qualitative data mentioned that they had </w:t>
      </w:r>
      <w:r w:rsidRPr="00203ADC">
        <w:rPr>
          <w:rFonts w:eastAsia="Calibri" w:cs="Times New Roman"/>
          <w:i/>
          <w:sz w:val="24"/>
          <w:szCs w:val="24"/>
          <w:lang w:val="en-IE" w:eastAsia="en-US"/>
        </w:rPr>
        <w:t>Introduced Matrices/Vectors/Calculus from a more Basic/Beginners Level</w:t>
      </w:r>
      <w:r w:rsidRPr="00203ADC">
        <w:rPr>
          <w:rFonts w:eastAsia="Calibri" w:cs="Times New Roman"/>
          <w:sz w:val="24"/>
          <w:szCs w:val="24"/>
          <w:lang w:val="en-IE" w:eastAsia="en-US"/>
        </w:rPr>
        <w:t xml:space="preserve"> due to students not having covered it; “I obviously can assume no linear algebra background and minimal calculus. Modules have been adjusted already in light of these changes. An extra linear algebra module is now taught in first year”. </w:t>
      </w:r>
    </w:p>
    <w:p w:rsidR="00D926CF" w:rsidRDefault="00203ADC" w:rsidP="00203ADC">
      <w:pPr>
        <w:spacing w:after="0" w:line="259" w:lineRule="auto"/>
        <w:ind w:firstLine="709"/>
        <w:rPr>
          <w:rFonts w:eastAsia="Calibri" w:cs="Times New Roman"/>
          <w:sz w:val="24"/>
          <w:szCs w:val="24"/>
          <w:lang w:val="en-IE" w:eastAsia="en-US"/>
        </w:rPr>
      </w:pPr>
      <w:r w:rsidRPr="00203ADC">
        <w:rPr>
          <w:rFonts w:eastAsia="Calibri" w:cs="Times New Roman"/>
          <w:sz w:val="24"/>
          <w:szCs w:val="24"/>
          <w:lang w:val="en-IE" w:eastAsia="en-US"/>
        </w:rPr>
        <w:t>Less than half the number of lecturers who made changes to their course content, made changes to th</w:t>
      </w:r>
      <w:r w:rsidR="00732537">
        <w:rPr>
          <w:rFonts w:eastAsia="Calibri" w:cs="Times New Roman"/>
          <w:sz w:val="24"/>
          <w:szCs w:val="24"/>
          <w:lang w:val="en-IE" w:eastAsia="en-US"/>
        </w:rPr>
        <w:t xml:space="preserve">eir teaching approaches (16%). </w:t>
      </w:r>
      <w:r w:rsidRPr="00203ADC">
        <w:rPr>
          <w:rFonts w:eastAsia="Calibri" w:cs="Times New Roman"/>
          <w:sz w:val="24"/>
          <w:szCs w:val="24"/>
          <w:lang w:val="en-IE" w:eastAsia="en-US"/>
        </w:rPr>
        <w:t xml:space="preserve">The qualitative responses to this question can be organised into three main themes with 29% of respondent’s stating that they did </w:t>
      </w:r>
      <w:r w:rsidRPr="00203ADC">
        <w:rPr>
          <w:rFonts w:eastAsia="Calibri" w:cs="Times New Roman"/>
          <w:i/>
          <w:sz w:val="24"/>
          <w:szCs w:val="24"/>
          <w:lang w:val="en-IE" w:eastAsia="en-US"/>
        </w:rPr>
        <w:t>Change their Teaching Approaches as a Result of Project Maths</w:t>
      </w:r>
      <w:r w:rsidRPr="00203ADC">
        <w:rPr>
          <w:rFonts w:eastAsia="Calibri" w:cs="Times New Roman"/>
          <w:sz w:val="24"/>
          <w:szCs w:val="24"/>
          <w:lang w:val="en-IE" w:eastAsia="en-US"/>
        </w:rPr>
        <w:t xml:space="preserve">. Approximately the same proportion of respondents said they have </w:t>
      </w:r>
      <w:r w:rsidRPr="00203ADC">
        <w:rPr>
          <w:rFonts w:eastAsia="Calibri" w:cs="Times New Roman"/>
          <w:i/>
          <w:sz w:val="24"/>
          <w:szCs w:val="24"/>
          <w:lang w:val="en-IE" w:eastAsia="en-US"/>
        </w:rPr>
        <w:t>adapted their Teaching Approaches but not because of the Implementation of Project Maths</w:t>
      </w:r>
      <w:r w:rsidRPr="00203ADC">
        <w:rPr>
          <w:rFonts w:eastAsia="Calibri" w:cs="Times New Roman"/>
          <w:sz w:val="24"/>
          <w:szCs w:val="24"/>
          <w:lang w:val="en-IE" w:eastAsia="en-US"/>
        </w:rPr>
        <w:t xml:space="preserve">. Just under 10% of lecturers’ responses detailed that they </w:t>
      </w:r>
      <w:proofErr w:type="gramStart"/>
      <w:r w:rsidR="000933D2">
        <w:rPr>
          <w:rFonts w:eastAsia="Calibri" w:cs="Times New Roman"/>
          <w:i/>
          <w:sz w:val="24"/>
          <w:szCs w:val="24"/>
          <w:lang w:val="en-IE" w:eastAsia="en-US"/>
        </w:rPr>
        <w:t>T</w:t>
      </w:r>
      <w:r w:rsidR="000933D2" w:rsidRPr="00203ADC">
        <w:rPr>
          <w:rFonts w:eastAsia="Calibri" w:cs="Times New Roman"/>
          <w:i/>
          <w:sz w:val="24"/>
          <w:szCs w:val="24"/>
          <w:lang w:val="en-IE" w:eastAsia="en-US"/>
        </w:rPr>
        <w:t>each</w:t>
      </w:r>
      <w:proofErr w:type="gramEnd"/>
      <w:r w:rsidRPr="00203ADC">
        <w:rPr>
          <w:rFonts w:eastAsia="Calibri" w:cs="Times New Roman"/>
          <w:i/>
          <w:sz w:val="24"/>
          <w:szCs w:val="24"/>
          <w:lang w:val="en-IE" w:eastAsia="en-US"/>
        </w:rPr>
        <w:t xml:space="preserve"> the Material Slower and Include more Foundation Material</w:t>
      </w:r>
      <w:r w:rsidRPr="00203ADC">
        <w:rPr>
          <w:rFonts w:eastAsia="Calibri" w:cs="Times New Roman"/>
          <w:sz w:val="24"/>
          <w:szCs w:val="24"/>
          <w:lang w:val="en-IE" w:eastAsia="en-US"/>
        </w:rPr>
        <w:t xml:space="preserve"> due to th</w:t>
      </w:r>
      <w:r>
        <w:rPr>
          <w:rFonts w:eastAsia="Calibri" w:cs="Times New Roman"/>
          <w:sz w:val="24"/>
          <w:szCs w:val="24"/>
          <w:lang w:val="en-IE" w:eastAsia="en-US"/>
        </w:rPr>
        <w:t xml:space="preserve">e introduction of Project Maths. </w:t>
      </w:r>
    </w:p>
    <w:p w:rsidR="00203ADC" w:rsidRPr="00203ADC" w:rsidRDefault="00203ADC" w:rsidP="00764641">
      <w:pPr>
        <w:spacing w:after="0" w:line="259" w:lineRule="auto"/>
        <w:ind w:firstLine="709"/>
        <w:rPr>
          <w:rFonts w:eastAsia="Calibri" w:cs="Times New Roman"/>
          <w:sz w:val="24"/>
          <w:szCs w:val="24"/>
          <w:lang w:val="en-IE" w:eastAsia="en-US"/>
        </w:rPr>
      </w:pPr>
      <w:r w:rsidRPr="00203ADC">
        <w:rPr>
          <w:rFonts w:eastAsia="Calibri" w:cs="Times New Roman"/>
          <w:sz w:val="24"/>
          <w:szCs w:val="24"/>
          <w:lang w:val="en-IE" w:eastAsia="en-US"/>
        </w:rPr>
        <w:lastRenderedPageBreak/>
        <w:t xml:space="preserve">11% of lecturers stated that they made changes to their assessment approaches in response to Project Maths. The reason for this low number </w:t>
      </w:r>
      <w:r w:rsidR="000933D2">
        <w:rPr>
          <w:rFonts w:eastAsia="Calibri" w:cs="Times New Roman"/>
          <w:sz w:val="24"/>
          <w:szCs w:val="24"/>
          <w:lang w:val="en-IE" w:eastAsia="en-US"/>
        </w:rPr>
        <w:t>was</w:t>
      </w:r>
      <w:r w:rsidRPr="00203ADC">
        <w:rPr>
          <w:rFonts w:eastAsia="Calibri" w:cs="Times New Roman"/>
          <w:sz w:val="24"/>
          <w:szCs w:val="24"/>
          <w:lang w:val="en-IE" w:eastAsia="en-US"/>
        </w:rPr>
        <w:t xml:space="preserve"> clarified in the qualitative data. 42% of respondents stated that they </w:t>
      </w:r>
      <w:r w:rsidRPr="00203ADC">
        <w:rPr>
          <w:rFonts w:eastAsia="Calibri" w:cs="Times New Roman"/>
          <w:i/>
          <w:sz w:val="24"/>
          <w:szCs w:val="24"/>
          <w:lang w:val="en-IE" w:eastAsia="en-US"/>
        </w:rPr>
        <w:t>Already Use Continuous Assessment</w:t>
      </w:r>
      <w:r w:rsidRPr="00203ADC">
        <w:rPr>
          <w:rFonts w:eastAsia="Calibri" w:cs="Times New Roman"/>
          <w:sz w:val="24"/>
          <w:szCs w:val="24"/>
          <w:lang w:val="en-IE" w:eastAsia="en-US"/>
        </w:rPr>
        <w:t xml:space="preserve"> in a range of forms and so did not feel the need to make further changes</w:t>
      </w:r>
      <w:r w:rsidR="000933D2">
        <w:rPr>
          <w:rFonts w:eastAsia="Calibri" w:cs="Times New Roman"/>
          <w:sz w:val="24"/>
          <w:szCs w:val="24"/>
          <w:lang w:val="en-IE" w:eastAsia="en-US"/>
        </w:rPr>
        <w:t>.</w:t>
      </w:r>
      <w:r w:rsidRPr="00203ADC">
        <w:rPr>
          <w:rFonts w:eastAsia="Calibri" w:cs="Times New Roman"/>
          <w:sz w:val="24"/>
          <w:szCs w:val="24"/>
          <w:lang w:val="en-IE" w:eastAsia="en-US"/>
        </w:rPr>
        <w:t xml:space="preserve">  </w:t>
      </w:r>
    </w:p>
    <w:p w:rsidR="00203ADC" w:rsidRPr="00203ADC" w:rsidRDefault="00203ADC" w:rsidP="00CD53FB">
      <w:pPr>
        <w:spacing w:after="0" w:line="259" w:lineRule="auto"/>
        <w:rPr>
          <w:rFonts w:eastAsia="Calibri" w:cs="Times New Roman"/>
          <w:b/>
          <w:sz w:val="24"/>
          <w:szCs w:val="24"/>
          <w:lang w:val="en-IE" w:eastAsia="en-US"/>
        </w:rPr>
      </w:pPr>
    </w:p>
    <w:p w:rsidR="00D926CF" w:rsidRDefault="00764641" w:rsidP="00203ADC">
      <w:pPr>
        <w:spacing w:after="0" w:line="259" w:lineRule="auto"/>
        <w:rPr>
          <w:rFonts w:eastAsia="Calibri" w:cs="Times New Roman"/>
          <w:sz w:val="24"/>
          <w:szCs w:val="24"/>
          <w:lang w:val="en-IE" w:eastAsia="en-US"/>
        </w:rPr>
      </w:pPr>
      <w:r>
        <w:rPr>
          <w:rFonts w:eastAsia="Calibri" w:cs="Times New Roman"/>
          <w:sz w:val="24"/>
          <w:szCs w:val="24"/>
          <w:lang w:val="en-IE" w:eastAsia="en-US"/>
        </w:rPr>
        <w:t>L</w:t>
      </w:r>
      <w:r w:rsidR="00203ADC" w:rsidRPr="00203ADC">
        <w:rPr>
          <w:rFonts w:eastAsia="Calibri" w:cs="Times New Roman"/>
          <w:sz w:val="24"/>
          <w:szCs w:val="24"/>
          <w:lang w:val="en-IE" w:eastAsia="en-US"/>
        </w:rPr>
        <w:t xml:space="preserve">ecturers were asked whether they had received any formal professional development </w:t>
      </w:r>
      <w:r w:rsidR="000933D2">
        <w:rPr>
          <w:rFonts w:eastAsia="Calibri" w:cs="Times New Roman"/>
          <w:sz w:val="24"/>
          <w:szCs w:val="24"/>
          <w:lang w:val="en-IE" w:eastAsia="en-US"/>
        </w:rPr>
        <w:t>in relation to</w:t>
      </w:r>
      <w:r w:rsidR="00203ADC" w:rsidRPr="00203ADC">
        <w:rPr>
          <w:rFonts w:eastAsia="Calibri" w:cs="Times New Roman"/>
          <w:sz w:val="24"/>
          <w:szCs w:val="24"/>
          <w:lang w:val="en-IE" w:eastAsia="en-US"/>
        </w:rPr>
        <w:t xml:space="preserve"> Project Maths and to specify who it was from and what it entailed. If they had not received any, they were asked to detail how they became knowledgeable on the reform. In the quantitative data</w:t>
      </w:r>
      <w:r w:rsidR="00732537">
        <w:rPr>
          <w:rFonts w:eastAsia="Calibri" w:cs="Times New Roman"/>
          <w:sz w:val="24"/>
          <w:szCs w:val="24"/>
          <w:lang w:val="en-IE" w:eastAsia="en-US"/>
        </w:rPr>
        <w:t>,</w:t>
      </w:r>
      <w:r w:rsidR="00203ADC" w:rsidRPr="00203ADC">
        <w:rPr>
          <w:rFonts w:eastAsia="Calibri" w:cs="Times New Roman"/>
          <w:sz w:val="24"/>
          <w:szCs w:val="24"/>
          <w:lang w:val="en-IE" w:eastAsia="en-US"/>
        </w:rPr>
        <w:t xml:space="preserve"> 83% of respondents stated that they had not received any</w:t>
      </w:r>
      <w:r w:rsidR="000933D2">
        <w:rPr>
          <w:rFonts w:eastAsia="Calibri" w:cs="Times New Roman"/>
          <w:sz w:val="24"/>
          <w:szCs w:val="24"/>
          <w:lang w:val="en-IE" w:eastAsia="en-US"/>
        </w:rPr>
        <w:t xml:space="preserve"> form of</w:t>
      </w:r>
      <w:r w:rsidR="00203ADC" w:rsidRPr="00203ADC">
        <w:rPr>
          <w:rFonts w:eastAsia="Calibri" w:cs="Times New Roman"/>
          <w:sz w:val="24"/>
          <w:szCs w:val="24"/>
          <w:lang w:val="en-IE" w:eastAsia="en-US"/>
        </w:rPr>
        <w:t xml:space="preserve"> professional development. </w:t>
      </w:r>
    </w:p>
    <w:p w:rsidR="00D926CF" w:rsidRDefault="00203ADC" w:rsidP="00D926CF">
      <w:pPr>
        <w:spacing w:after="0" w:line="259" w:lineRule="auto"/>
        <w:ind w:firstLine="709"/>
        <w:rPr>
          <w:rFonts w:eastAsia="Calibri" w:cs="Times New Roman"/>
          <w:sz w:val="24"/>
          <w:szCs w:val="24"/>
          <w:lang w:val="en-IE" w:eastAsia="en-US"/>
        </w:rPr>
      </w:pPr>
      <w:r w:rsidRPr="00203ADC">
        <w:rPr>
          <w:rFonts w:eastAsia="Calibri" w:cs="Times New Roman"/>
          <w:sz w:val="24"/>
          <w:szCs w:val="24"/>
          <w:lang w:val="en-IE" w:eastAsia="en-US"/>
        </w:rPr>
        <w:t>63% of respondents</w:t>
      </w:r>
      <w:r w:rsidR="00732537">
        <w:rPr>
          <w:rFonts w:eastAsia="Calibri" w:cs="Times New Roman"/>
          <w:sz w:val="24"/>
          <w:szCs w:val="24"/>
          <w:lang w:val="en-IE" w:eastAsia="en-US"/>
        </w:rPr>
        <w:t xml:space="preserve"> to the qualitative data</w:t>
      </w:r>
      <w:r w:rsidRPr="00203ADC">
        <w:rPr>
          <w:rFonts w:eastAsia="Calibri" w:cs="Times New Roman"/>
          <w:sz w:val="24"/>
          <w:szCs w:val="24"/>
          <w:lang w:val="en-IE" w:eastAsia="en-US"/>
        </w:rPr>
        <w:t xml:space="preserve"> stated that they had </w:t>
      </w:r>
      <w:r w:rsidRPr="00203ADC">
        <w:rPr>
          <w:rFonts w:eastAsia="Calibri" w:cs="Times New Roman"/>
          <w:i/>
          <w:sz w:val="24"/>
          <w:szCs w:val="24"/>
          <w:lang w:val="en-IE" w:eastAsia="en-US"/>
        </w:rPr>
        <w:t>obtained the knowledge of the new curriculum themselves.</w:t>
      </w:r>
      <w:r w:rsidRPr="00203ADC">
        <w:rPr>
          <w:rFonts w:eastAsia="Calibri" w:cs="Times New Roman"/>
          <w:sz w:val="24"/>
          <w:szCs w:val="24"/>
          <w:lang w:val="en-IE" w:eastAsia="en-US"/>
        </w:rPr>
        <w:t xml:space="preserve"> This was done in a variety of ways, for example 42% through their </w:t>
      </w:r>
      <w:r w:rsidRPr="00203ADC">
        <w:rPr>
          <w:rFonts w:eastAsia="Calibri" w:cs="Times New Roman"/>
          <w:i/>
          <w:sz w:val="24"/>
          <w:szCs w:val="24"/>
          <w:lang w:val="en-IE" w:eastAsia="en-US"/>
        </w:rPr>
        <w:t>own research</w:t>
      </w:r>
      <w:r w:rsidRPr="00203ADC">
        <w:rPr>
          <w:rFonts w:eastAsia="Calibri" w:cs="Times New Roman"/>
          <w:sz w:val="24"/>
          <w:szCs w:val="24"/>
          <w:lang w:val="en-IE" w:eastAsia="en-US"/>
        </w:rPr>
        <w:t xml:space="preserve">; “read information published by the department”, 21% through </w:t>
      </w:r>
      <w:r w:rsidRPr="00203ADC">
        <w:rPr>
          <w:rFonts w:eastAsia="Calibri" w:cs="Times New Roman"/>
          <w:i/>
          <w:sz w:val="24"/>
          <w:szCs w:val="24"/>
          <w:lang w:val="en-IE" w:eastAsia="en-US"/>
        </w:rPr>
        <w:t>engagement with secondary schools</w:t>
      </w:r>
      <w:r w:rsidRPr="00203ADC">
        <w:rPr>
          <w:rFonts w:eastAsia="Calibri" w:cs="Times New Roman"/>
          <w:sz w:val="24"/>
          <w:szCs w:val="24"/>
          <w:lang w:val="en-IE" w:eastAsia="en-US"/>
        </w:rPr>
        <w:t xml:space="preserve">; “I used to help students in a pilot school” or “My daughter is doing the course now”. 53% of respondents stated that they </w:t>
      </w:r>
      <w:r w:rsidRPr="00203ADC">
        <w:rPr>
          <w:rFonts w:eastAsia="Calibri" w:cs="Times New Roman"/>
          <w:i/>
          <w:sz w:val="24"/>
          <w:szCs w:val="24"/>
          <w:lang w:val="en-IE" w:eastAsia="en-US"/>
        </w:rPr>
        <w:t>attended presentations on Project Maths</w:t>
      </w:r>
      <w:r w:rsidRPr="00203ADC">
        <w:rPr>
          <w:rFonts w:eastAsia="Calibri" w:cs="Times New Roman"/>
          <w:sz w:val="24"/>
          <w:szCs w:val="24"/>
          <w:lang w:val="en-IE" w:eastAsia="en-US"/>
        </w:rPr>
        <w:t>. However only 16% of respondents stated explicitly that these present</w:t>
      </w:r>
      <w:r w:rsidR="00380CBA">
        <w:rPr>
          <w:rFonts w:eastAsia="Calibri" w:cs="Times New Roman"/>
          <w:sz w:val="24"/>
          <w:szCs w:val="24"/>
          <w:lang w:val="en-IE" w:eastAsia="en-US"/>
        </w:rPr>
        <w:t>ations were organised by their institution/d</w:t>
      </w:r>
      <w:r w:rsidRPr="00203ADC">
        <w:rPr>
          <w:rFonts w:eastAsia="Calibri" w:cs="Times New Roman"/>
          <w:sz w:val="24"/>
          <w:szCs w:val="24"/>
          <w:lang w:val="en-IE" w:eastAsia="en-US"/>
        </w:rPr>
        <w:t>epartment. One respondent attended talks that “were running to inform parents about the changes”.</w:t>
      </w:r>
    </w:p>
    <w:p w:rsidR="00203ADC" w:rsidRPr="00203ADC" w:rsidRDefault="00203ADC" w:rsidP="00DA5A1A">
      <w:pPr>
        <w:spacing w:line="259" w:lineRule="auto"/>
        <w:ind w:firstLine="709"/>
        <w:rPr>
          <w:rFonts w:eastAsia="Calibri" w:cs="Times New Roman"/>
          <w:sz w:val="24"/>
          <w:szCs w:val="24"/>
          <w:lang w:val="en-IE" w:eastAsia="en-US"/>
        </w:rPr>
      </w:pPr>
      <w:r w:rsidRPr="00203ADC">
        <w:rPr>
          <w:rFonts w:eastAsia="Calibri" w:cs="Times New Roman"/>
          <w:sz w:val="24"/>
          <w:szCs w:val="24"/>
          <w:lang w:val="en-IE" w:eastAsia="en-US"/>
        </w:rPr>
        <w:t>Lecturers were also asked whether they felt they should receive professional development regarding curriculum reform at second level. 41% of respondents felt that third level lecturers should</w:t>
      </w:r>
      <w:r w:rsidR="00D926CF">
        <w:rPr>
          <w:rFonts w:eastAsia="Calibri" w:cs="Times New Roman"/>
          <w:sz w:val="24"/>
          <w:szCs w:val="24"/>
          <w:lang w:val="en-IE" w:eastAsia="en-US"/>
        </w:rPr>
        <w:t xml:space="preserve"> not receive any such training. </w:t>
      </w:r>
      <w:r w:rsidRPr="00203ADC">
        <w:rPr>
          <w:rFonts w:eastAsia="Calibri" w:cs="Times New Roman"/>
          <w:sz w:val="24"/>
          <w:szCs w:val="24"/>
          <w:lang w:val="en-IE" w:eastAsia="en-US"/>
        </w:rPr>
        <w:t>This opinion is best summed up by in the qualitative data through the following response; “To be honest, I don't think even if there was formal professional development offered, that many lecturers would attend. Therefore I don't see the point in offering it. Most lecture</w:t>
      </w:r>
      <w:r w:rsidR="00843A53">
        <w:rPr>
          <w:rFonts w:eastAsia="Calibri" w:cs="Times New Roman"/>
          <w:sz w:val="24"/>
          <w:szCs w:val="24"/>
          <w:lang w:val="en-IE" w:eastAsia="en-US"/>
        </w:rPr>
        <w:t>r</w:t>
      </w:r>
      <w:r w:rsidRPr="00203ADC">
        <w:rPr>
          <w:rFonts w:eastAsia="Calibri" w:cs="Times New Roman"/>
          <w:sz w:val="24"/>
          <w:szCs w:val="24"/>
          <w:lang w:val="en-IE" w:eastAsia="en-US"/>
        </w:rPr>
        <w:t>s would be comfortable in just reading up about any curriculum changes once they were directed to the appropriate reading material</w:t>
      </w:r>
      <w:r w:rsidRPr="00203ADC">
        <w:rPr>
          <w:rFonts w:eastAsia="Calibri" w:cs="Times New Roman"/>
          <w:sz w:val="24"/>
          <w:szCs w:val="24"/>
          <w:lang w:val="en-US" w:eastAsia="en-US"/>
        </w:rPr>
        <w:t xml:space="preserve">”. </w:t>
      </w:r>
    </w:p>
    <w:p w:rsidR="00DA5A1A" w:rsidRPr="00DA5A1A" w:rsidRDefault="00DA5A1A" w:rsidP="00DA5A1A">
      <w:pPr>
        <w:pStyle w:val="ICMEHeading3"/>
        <w:rPr>
          <w:rFonts w:eastAsia="Calibri" w:cs="Times New Roman"/>
          <w:szCs w:val="24"/>
          <w:lang w:val="en-US" w:eastAsia="en-US"/>
        </w:rPr>
      </w:pPr>
      <w:r>
        <w:rPr>
          <w:rFonts w:eastAsia="Calibri" w:cs="Times New Roman"/>
          <w:szCs w:val="24"/>
          <w:lang w:val="en-US" w:eastAsia="en-US"/>
        </w:rPr>
        <w:t>DISCUSSION</w:t>
      </w:r>
    </w:p>
    <w:p w:rsidR="00764641" w:rsidRPr="00C5335C" w:rsidRDefault="00764641" w:rsidP="00764641">
      <w:pPr>
        <w:pStyle w:val="ICMEHeading3"/>
        <w:rPr>
          <w:b w:val="0"/>
          <w:szCs w:val="24"/>
          <w:lang w:val="en-US"/>
        </w:rPr>
      </w:pPr>
      <w:r w:rsidRPr="00C5335C">
        <w:rPr>
          <w:b w:val="0"/>
          <w:szCs w:val="24"/>
          <w:lang w:val="en-US"/>
        </w:rPr>
        <w:t>How aware are Irish third level mathematics lecture</w:t>
      </w:r>
      <w:r w:rsidR="00843A53">
        <w:rPr>
          <w:b w:val="0"/>
          <w:szCs w:val="24"/>
          <w:lang w:val="en-US"/>
        </w:rPr>
        <w:t>r</w:t>
      </w:r>
      <w:r w:rsidRPr="00C5335C">
        <w:rPr>
          <w:b w:val="0"/>
          <w:szCs w:val="24"/>
          <w:lang w:val="en-US"/>
        </w:rPr>
        <w:t>s of the recent curriculum reform at second level?</w:t>
      </w:r>
    </w:p>
    <w:p w:rsidR="00203ADC" w:rsidRPr="00203ADC" w:rsidRDefault="00203ADC" w:rsidP="00203ADC">
      <w:pPr>
        <w:spacing w:after="0" w:line="259" w:lineRule="auto"/>
        <w:rPr>
          <w:rFonts w:eastAsia="Calibri" w:cs="Times New Roman"/>
          <w:sz w:val="24"/>
          <w:szCs w:val="24"/>
          <w:lang w:val="en-IE" w:eastAsia="en-US"/>
        </w:rPr>
      </w:pPr>
      <w:r w:rsidRPr="00C5335C">
        <w:rPr>
          <w:rFonts w:eastAsia="Calibri" w:cs="Times New Roman"/>
          <w:sz w:val="24"/>
          <w:szCs w:val="24"/>
          <w:lang w:val="en-IE" w:eastAsia="en-US"/>
        </w:rPr>
        <w:t xml:space="preserve">The quantitative data showed that lecturers’ at third level became less and less familiar as they moved through these three main changes </w:t>
      </w:r>
      <w:r w:rsidR="00C5335C" w:rsidRPr="00C5335C">
        <w:rPr>
          <w:rFonts w:eastAsia="Calibri" w:cs="Times New Roman"/>
          <w:sz w:val="24"/>
          <w:szCs w:val="24"/>
          <w:lang w:val="en-IE" w:eastAsia="en-US"/>
        </w:rPr>
        <w:t>to the mathematics curriculum at second level</w:t>
      </w:r>
      <w:r w:rsidR="00C5335C" w:rsidRPr="00C5335C">
        <w:rPr>
          <w:sz w:val="24"/>
          <w:szCs w:val="24"/>
          <w:lang w:val="en-IE"/>
        </w:rPr>
        <w:t xml:space="preserve"> namely; what students learn in mathematics, how they learn it and how they will be assessed</w:t>
      </w:r>
      <w:r w:rsidR="00C5335C" w:rsidRPr="00C5335C">
        <w:rPr>
          <w:rFonts w:eastAsia="Calibri" w:cs="Times New Roman"/>
          <w:sz w:val="24"/>
          <w:szCs w:val="24"/>
          <w:lang w:val="en-IE" w:eastAsia="en-US"/>
        </w:rPr>
        <w:t xml:space="preserve"> </w:t>
      </w:r>
      <w:r w:rsidRPr="00C5335C">
        <w:rPr>
          <w:rFonts w:eastAsia="Calibri" w:cs="Times New Roman"/>
          <w:sz w:val="24"/>
          <w:szCs w:val="24"/>
          <w:lang w:val="en-IE" w:eastAsia="en-US"/>
        </w:rPr>
        <w:t>. For example 40% stated that they were somewhat familiar</w:t>
      </w:r>
      <w:r w:rsidRPr="00203ADC">
        <w:rPr>
          <w:rFonts w:eastAsia="Calibri" w:cs="Times New Roman"/>
          <w:sz w:val="24"/>
          <w:szCs w:val="24"/>
          <w:lang w:val="en-IE" w:eastAsia="en-US"/>
        </w:rPr>
        <w:t xml:space="preserve"> with changes to the syllabus. This figure fell to 20% </w:t>
      </w:r>
      <w:r w:rsidR="0092201C">
        <w:rPr>
          <w:rFonts w:eastAsia="Calibri" w:cs="Times New Roman"/>
          <w:sz w:val="24"/>
          <w:szCs w:val="24"/>
          <w:lang w:val="en-IE" w:eastAsia="en-US"/>
        </w:rPr>
        <w:t>when familiarity with</w:t>
      </w:r>
      <w:r w:rsidRPr="00203ADC">
        <w:rPr>
          <w:rFonts w:eastAsia="Calibri" w:cs="Times New Roman"/>
          <w:sz w:val="24"/>
          <w:szCs w:val="24"/>
          <w:lang w:val="en-IE" w:eastAsia="en-US"/>
        </w:rPr>
        <w:t xml:space="preserve"> teaching approaches </w:t>
      </w:r>
      <w:r w:rsidR="0092201C">
        <w:rPr>
          <w:rFonts w:eastAsia="Calibri" w:cs="Times New Roman"/>
          <w:sz w:val="24"/>
          <w:szCs w:val="24"/>
          <w:lang w:val="en-IE" w:eastAsia="en-US"/>
        </w:rPr>
        <w:t xml:space="preserve">was examined </w:t>
      </w:r>
      <w:r w:rsidRPr="00203ADC">
        <w:rPr>
          <w:rFonts w:eastAsia="Calibri" w:cs="Times New Roman"/>
          <w:sz w:val="24"/>
          <w:szCs w:val="24"/>
          <w:lang w:val="en-IE" w:eastAsia="en-US"/>
        </w:rPr>
        <w:t xml:space="preserve">and 4% for assessment. It was clear from both sets of data that the lecturers within this research were quite well informed of the changes which have been made to the syllabus with the majority being familiar with the changes in content (reduction/increase in material in particular subject areas) and a smaller proportion detailing the change in emphasis from rote learning to teaching for understanding. The lecturers were very aware of the most significant change to the teaching approaches under the new reform as almost all of them mentioned what the </w:t>
      </w:r>
      <w:r w:rsidR="0024180C">
        <w:rPr>
          <w:rFonts w:eastAsia="Calibri" w:cs="Times New Roman"/>
          <w:sz w:val="24"/>
          <w:szCs w:val="24"/>
          <w:lang w:val="en-IE" w:eastAsia="en-US"/>
        </w:rPr>
        <w:t>National Council for Curriculum and Assessment (</w:t>
      </w:r>
      <w:r w:rsidRPr="00203ADC">
        <w:rPr>
          <w:rFonts w:eastAsia="Calibri" w:cs="Times New Roman"/>
          <w:sz w:val="24"/>
          <w:szCs w:val="24"/>
          <w:lang w:val="en-IE" w:eastAsia="en-US"/>
        </w:rPr>
        <w:t>NCCA</w:t>
      </w:r>
      <w:r w:rsidR="0024180C">
        <w:rPr>
          <w:rFonts w:eastAsia="Calibri" w:cs="Times New Roman"/>
          <w:sz w:val="24"/>
          <w:szCs w:val="24"/>
          <w:lang w:val="en-IE" w:eastAsia="en-US"/>
        </w:rPr>
        <w:t>)</w:t>
      </w:r>
      <w:r w:rsidRPr="00203ADC">
        <w:rPr>
          <w:rFonts w:eastAsia="Calibri" w:cs="Times New Roman"/>
          <w:sz w:val="24"/>
          <w:szCs w:val="24"/>
          <w:lang w:val="en-IE" w:eastAsia="en-US"/>
        </w:rPr>
        <w:t xml:space="preserve"> summarise as the most significant changes in this respect: “There is more of an emphasis on understanding of the concepts. Students encounter maths in context, and investigate and explore mathematical ideas. Active methodologies are used to promote students engagement in mathematics classes and to provide insights into mathematics and its applications” (NCCA</w:t>
      </w:r>
      <w:r w:rsidR="004F6B56">
        <w:rPr>
          <w:rFonts w:eastAsia="Calibri" w:cs="Times New Roman"/>
          <w:sz w:val="24"/>
          <w:szCs w:val="24"/>
          <w:lang w:val="en-IE" w:eastAsia="en-US"/>
        </w:rPr>
        <w:t>,</w:t>
      </w:r>
      <w:r w:rsidRPr="00203ADC">
        <w:rPr>
          <w:rFonts w:eastAsia="Calibri" w:cs="Times New Roman"/>
          <w:sz w:val="24"/>
          <w:szCs w:val="24"/>
          <w:lang w:val="en-IE" w:eastAsia="en-US"/>
        </w:rPr>
        <w:t xml:space="preserve"> 2015).</w:t>
      </w:r>
    </w:p>
    <w:p w:rsidR="00203ADC" w:rsidRPr="00203ADC" w:rsidRDefault="00203ADC" w:rsidP="00203ADC">
      <w:pPr>
        <w:spacing w:after="0" w:line="259" w:lineRule="auto"/>
        <w:rPr>
          <w:rFonts w:eastAsia="Calibri" w:cs="Times New Roman"/>
          <w:b/>
          <w:sz w:val="24"/>
          <w:szCs w:val="24"/>
          <w:lang w:val="en-IE" w:eastAsia="en-US"/>
        </w:rPr>
      </w:pPr>
    </w:p>
    <w:p w:rsidR="00203ADC" w:rsidRPr="00203ADC" w:rsidRDefault="00203ADC" w:rsidP="00203ADC">
      <w:pPr>
        <w:spacing w:after="0" w:line="259" w:lineRule="auto"/>
        <w:rPr>
          <w:rFonts w:eastAsia="Calibri" w:cs="Times New Roman"/>
          <w:sz w:val="24"/>
          <w:szCs w:val="24"/>
          <w:lang w:val="en-IE" w:eastAsia="en-US"/>
        </w:rPr>
      </w:pPr>
      <w:r w:rsidRPr="00203ADC">
        <w:rPr>
          <w:rFonts w:eastAsia="Calibri" w:cs="Times New Roman"/>
          <w:sz w:val="24"/>
          <w:szCs w:val="24"/>
          <w:lang w:val="en-IE" w:eastAsia="en-US"/>
        </w:rPr>
        <w:t>Despite</w:t>
      </w:r>
      <w:r w:rsidRPr="00203ADC">
        <w:rPr>
          <w:rFonts w:eastAsia="Calibri" w:cs="Times New Roman"/>
          <w:b/>
          <w:sz w:val="24"/>
          <w:szCs w:val="24"/>
          <w:lang w:val="en-IE" w:eastAsia="en-US"/>
        </w:rPr>
        <w:t xml:space="preserve"> </w:t>
      </w:r>
      <w:r w:rsidRPr="00203ADC">
        <w:rPr>
          <w:rFonts w:eastAsia="Calibri" w:cs="Times New Roman"/>
          <w:sz w:val="24"/>
          <w:szCs w:val="24"/>
          <w:lang w:val="en-IE" w:eastAsia="en-US"/>
        </w:rPr>
        <w:t>47% of the</w:t>
      </w:r>
      <w:r w:rsidRPr="00203ADC">
        <w:rPr>
          <w:rFonts w:eastAsia="Calibri" w:cs="Times New Roman"/>
          <w:b/>
          <w:sz w:val="24"/>
          <w:szCs w:val="24"/>
          <w:lang w:val="en-IE" w:eastAsia="en-US"/>
        </w:rPr>
        <w:t xml:space="preserve"> </w:t>
      </w:r>
      <w:r w:rsidRPr="00203ADC">
        <w:rPr>
          <w:rFonts w:eastAsia="Calibri" w:cs="Times New Roman"/>
          <w:sz w:val="24"/>
          <w:szCs w:val="24"/>
          <w:lang w:val="en-IE" w:eastAsia="en-US"/>
        </w:rPr>
        <w:t>lecture</w:t>
      </w:r>
      <w:r w:rsidR="004F6B56">
        <w:rPr>
          <w:rFonts w:eastAsia="Calibri" w:cs="Times New Roman"/>
          <w:sz w:val="24"/>
          <w:szCs w:val="24"/>
          <w:lang w:val="en-IE" w:eastAsia="en-US"/>
        </w:rPr>
        <w:t>r</w:t>
      </w:r>
      <w:r w:rsidRPr="00203ADC">
        <w:rPr>
          <w:rFonts w:eastAsia="Calibri" w:cs="Times New Roman"/>
          <w:sz w:val="24"/>
          <w:szCs w:val="24"/>
          <w:lang w:val="en-IE" w:eastAsia="en-US"/>
        </w:rPr>
        <w:t xml:space="preserve">s stating that they were not at all familiar with changes to the assessment, as a group they hit on all of the key points in the qualitative data as outlined by the NCCA (2015); “The emphasis in assessment is on understanding mathematical concepts, questions in context and applications”. Many of the responses referred to the summative examination and made no reference </w:t>
      </w:r>
      <w:r w:rsidRPr="00203ADC">
        <w:rPr>
          <w:rFonts w:eastAsia="Calibri" w:cs="Times New Roman"/>
          <w:sz w:val="24"/>
          <w:szCs w:val="24"/>
          <w:lang w:val="en-IE" w:eastAsia="en-US"/>
        </w:rPr>
        <w:lastRenderedPageBreak/>
        <w:t>to the type of formative assessment that should now be present in the Project Maths classroom s</w:t>
      </w:r>
      <w:r w:rsidR="00DF5350">
        <w:rPr>
          <w:rFonts w:eastAsia="Calibri" w:cs="Times New Roman"/>
          <w:sz w:val="24"/>
          <w:szCs w:val="24"/>
          <w:lang w:val="en-IE" w:eastAsia="en-US"/>
        </w:rPr>
        <w:t xml:space="preserve">uch as higher order questions, </w:t>
      </w:r>
      <w:r w:rsidRPr="00203ADC">
        <w:rPr>
          <w:rFonts w:eastAsia="Calibri" w:cs="Times New Roman"/>
          <w:sz w:val="24"/>
          <w:szCs w:val="24"/>
          <w:lang w:val="en-IE" w:eastAsia="en-US"/>
        </w:rPr>
        <w:t>investigations, class tests, investigation</w:t>
      </w:r>
      <w:r w:rsidR="00380CBA">
        <w:rPr>
          <w:rFonts w:eastAsia="Calibri" w:cs="Times New Roman"/>
          <w:sz w:val="24"/>
          <w:szCs w:val="24"/>
          <w:lang w:val="en-IE" w:eastAsia="en-US"/>
        </w:rPr>
        <w:t xml:space="preserve"> reports, oral explanation etc.</w:t>
      </w:r>
      <w:r w:rsidRPr="00203ADC">
        <w:rPr>
          <w:rFonts w:eastAsia="Calibri" w:cs="Times New Roman"/>
          <w:sz w:val="24"/>
          <w:szCs w:val="24"/>
          <w:lang w:val="en-IE" w:eastAsia="en-US"/>
        </w:rPr>
        <w:t xml:space="preserve"> (Department of Education</w:t>
      </w:r>
      <w:r w:rsidR="00AF2CCC">
        <w:rPr>
          <w:rFonts w:eastAsia="Calibri" w:cs="Times New Roman"/>
          <w:sz w:val="24"/>
          <w:szCs w:val="24"/>
          <w:lang w:val="en-IE" w:eastAsia="en-US"/>
        </w:rPr>
        <w:t xml:space="preserve"> and Skills</w:t>
      </w:r>
      <w:r w:rsidR="00380CBA">
        <w:rPr>
          <w:rFonts w:eastAsia="Calibri" w:cs="Times New Roman"/>
          <w:sz w:val="24"/>
          <w:szCs w:val="24"/>
          <w:lang w:val="en-IE" w:eastAsia="en-US"/>
        </w:rPr>
        <w:t>, 2013</w:t>
      </w:r>
      <w:r w:rsidRPr="00203ADC">
        <w:rPr>
          <w:rFonts w:eastAsia="Calibri" w:cs="Times New Roman"/>
          <w:sz w:val="24"/>
          <w:szCs w:val="24"/>
          <w:lang w:val="en-IE" w:eastAsia="en-US"/>
        </w:rPr>
        <w:t xml:space="preserve">).  </w:t>
      </w:r>
    </w:p>
    <w:p w:rsidR="00764641" w:rsidRDefault="00764641" w:rsidP="00203ADC">
      <w:pPr>
        <w:spacing w:after="0" w:line="259" w:lineRule="auto"/>
        <w:rPr>
          <w:rFonts w:eastAsia="Calibri" w:cs="Times New Roman"/>
          <w:b/>
          <w:sz w:val="24"/>
          <w:szCs w:val="24"/>
          <w:lang w:val="en-IE" w:eastAsia="en-US"/>
        </w:rPr>
      </w:pPr>
    </w:p>
    <w:p w:rsidR="00B53E40" w:rsidRDefault="00203ADC" w:rsidP="00203ADC">
      <w:pPr>
        <w:spacing w:after="0" w:line="259" w:lineRule="auto"/>
        <w:rPr>
          <w:rFonts w:eastAsia="Calibri" w:cs="Times New Roman"/>
          <w:color w:val="000000"/>
          <w:sz w:val="24"/>
          <w:szCs w:val="24"/>
          <w:lang w:val="en-IE" w:eastAsia="en-US"/>
        </w:rPr>
      </w:pPr>
      <w:r w:rsidRPr="00203ADC">
        <w:rPr>
          <w:rFonts w:eastAsia="Calibri" w:cs="Times New Roman"/>
          <w:sz w:val="24"/>
          <w:szCs w:val="24"/>
          <w:lang w:val="en-IE" w:eastAsia="en-US"/>
        </w:rPr>
        <w:t>The findings determined that 39%</w:t>
      </w:r>
      <w:r w:rsidR="00DF5350">
        <w:rPr>
          <w:rFonts w:eastAsia="Calibri" w:cs="Times New Roman"/>
          <w:sz w:val="24"/>
          <w:szCs w:val="24"/>
          <w:lang w:val="en-IE" w:eastAsia="en-US"/>
        </w:rPr>
        <w:t xml:space="preserve"> of lecturers</w:t>
      </w:r>
      <w:r w:rsidRPr="00203ADC">
        <w:rPr>
          <w:rFonts w:eastAsia="Calibri" w:cs="Times New Roman"/>
          <w:sz w:val="24"/>
          <w:szCs w:val="24"/>
          <w:lang w:val="en-IE" w:eastAsia="en-US"/>
        </w:rPr>
        <w:t xml:space="preserve"> had made content changes to their third level mathematics modules. However in the majority of cases these changes came in the form of a reduction in the volume of assumed pre-requisite knowledge. The quantitative data showed that just 16% of lecturers have made changes to their teaching approaches. The qualitative data explained that that the reason for this low figure is because the teaching approaches advocated by Project Maths are </w:t>
      </w:r>
      <w:r w:rsidR="00F55D3C">
        <w:rPr>
          <w:rFonts w:eastAsia="Calibri" w:cs="Times New Roman"/>
          <w:sz w:val="24"/>
          <w:szCs w:val="24"/>
          <w:lang w:val="en-IE" w:eastAsia="en-US"/>
        </w:rPr>
        <w:t>those</w:t>
      </w:r>
      <w:r w:rsidRPr="00203ADC">
        <w:rPr>
          <w:rFonts w:eastAsia="Calibri" w:cs="Times New Roman"/>
          <w:sz w:val="24"/>
          <w:szCs w:val="24"/>
          <w:lang w:val="en-IE" w:eastAsia="en-US"/>
        </w:rPr>
        <w:t xml:space="preserve"> that many lecturers have always tried to implement. </w:t>
      </w:r>
      <w:r w:rsidRPr="00203ADC">
        <w:rPr>
          <w:rFonts w:eastAsia="Calibri" w:cs="Times New Roman"/>
          <w:color w:val="000000"/>
          <w:sz w:val="24"/>
          <w:szCs w:val="24"/>
          <w:lang w:val="en-IE" w:eastAsia="en-US"/>
        </w:rPr>
        <w:t>Similarly the majority of lecturers within this research felt they are already implementing assessment which aims to assess conceptual understanding as well as procedural and this is something which th</w:t>
      </w:r>
      <w:r w:rsidR="00380CBA">
        <w:rPr>
          <w:rFonts w:eastAsia="Calibri" w:cs="Times New Roman"/>
          <w:color w:val="000000"/>
          <w:sz w:val="24"/>
          <w:szCs w:val="24"/>
          <w:lang w:val="en-IE" w:eastAsia="en-US"/>
        </w:rPr>
        <w:t>ey have always done. There seemed</w:t>
      </w:r>
      <w:r w:rsidRPr="00203ADC">
        <w:rPr>
          <w:rFonts w:eastAsia="Calibri" w:cs="Times New Roman"/>
          <w:color w:val="000000"/>
          <w:sz w:val="24"/>
          <w:szCs w:val="24"/>
          <w:lang w:val="en-IE" w:eastAsia="en-US"/>
        </w:rPr>
        <w:t xml:space="preserve"> to be a running theme that lecturers do not attribute what they are currently doing or what they intend to change in the future to the introduction of Project Maths but rather to their own expertise in the area of mathematics education at third level. The data suggests that third level mathematics lecturers’ are delivering mathematics education which does not rely on rote learning and procedural skills. This is in line with a report by the Higher Education Authority (HEA) (2015) which details that the transitional issues</w:t>
      </w:r>
      <w:r w:rsidR="00240EE0">
        <w:rPr>
          <w:rFonts w:eastAsia="Calibri" w:cs="Times New Roman"/>
          <w:color w:val="000000"/>
          <w:sz w:val="24"/>
          <w:szCs w:val="24"/>
          <w:lang w:val="en-IE" w:eastAsia="en-US"/>
        </w:rPr>
        <w:t xml:space="preserve"> which second level students are reported to have upon entry to higher education</w:t>
      </w:r>
      <w:r w:rsidRPr="00203ADC">
        <w:rPr>
          <w:rFonts w:eastAsia="Calibri" w:cs="Times New Roman"/>
          <w:color w:val="000000"/>
          <w:sz w:val="24"/>
          <w:szCs w:val="24"/>
          <w:lang w:val="en-IE" w:eastAsia="en-US"/>
        </w:rPr>
        <w:t xml:space="preserve"> lie with the stakeholders in second level education. </w:t>
      </w:r>
      <w:r w:rsidR="00B53E40" w:rsidRPr="00B53E40">
        <w:rPr>
          <w:rFonts w:eastAsia="Calibri" w:cs="Times New Roman"/>
          <w:color w:val="000000"/>
          <w:sz w:val="24"/>
          <w:szCs w:val="24"/>
          <w:lang w:val="en-IE" w:eastAsia="en-US"/>
        </w:rPr>
        <w:t xml:space="preserve">Consequently should third level mathematics lecturers be expected to make changes if their system doesn’t seem to be the one with the problems? It is the opinion of the authors that </w:t>
      </w:r>
      <w:r w:rsidR="00B53E40">
        <w:rPr>
          <w:rFonts w:eastAsia="Calibri" w:cs="Times New Roman"/>
          <w:color w:val="000000"/>
          <w:sz w:val="24"/>
          <w:szCs w:val="24"/>
          <w:lang w:val="en-IE" w:eastAsia="en-US"/>
        </w:rPr>
        <w:t xml:space="preserve">mathematics educators at both second and third level must work together regardless of the origins of the issues. </w:t>
      </w:r>
      <w:r w:rsidR="004E3C26">
        <w:rPr>
          <w:rFonts w:eastAsia="Calibri" w:cs="Times New Roman"/>
          <w:color w:val="000000"/>
          <w:sz w:val="24"/>
          <w:szCs w:val="24"/>
          <w:lang w:val="en-IE" w:eastAsia="en-US"/>
        </w:rPr>
        <w:t>S</w:t>
      </w:r>
      <w:r w:rsidR="00B53E40" w:rsidRPr="00B53E40">
        <w:rPr>
          <w:rFonts w:eastAsia="Calibri" w:cs="Times New Roman"/>
          <w:color w:val="000000"/>
          <w:sz w:val="24"/>
          <w:szCs w:val="24"/>
          <w:lang w:val="en-IE" w:eastAsia="en-US"/>
        </w:rPr>
        <w:t>ec</w:t>
      </w:r>
      <w:r w:rsidR="004E3C26">
        <w:rPr>
          <w:rFonts w:eastAsia="Calibri" w:cs="Times New Roman"/>
          <w:color w:val="000000"/>
          <w:sz w:val="24"/>
          <w:szCs w:val="24"/>
          <w:lang w:val="en-IE" w:eastAsia="en-US"/>
        </w:rPr>
        <w:t xml:space="preserve">ond level mathematics educators </w:t>
      </w:r>
      <w:r w:rsidR="00B53E40" w:rsidRPr="00B53E40">
        <w:rPr>
          <w:rFonts w:eastAsia="Calibri" w:cs="Times New Roman"/>
          <w:color w:val="000000"/>
          <w:sz w:val="24"/>
          <w:szCs w:val="24"/>
          <w:lang w:val="en-IE" w:eastAsia="en-US"/>
        </w:rPr>
        <w:t xml:space="preserve">must continue to </w:t>
      </w:r>
      <w:r w:rsidR="004E3C26">
        <w:rPr>
          <w:rFonts w:eastAsia="Calibri" w:cs="Times New Roman"/>
          <w:color w:val="000000"/>
          <w:sz w:val="24"/>
          <w:szCs w:val="24"/>
          <w:lang w:val="en-IE" w:eastAsia="en-US"/>
        </w:rPr>
        <w:t>improve</w:t>
      </w:r>
      <w:r w:rsidR="00B53E40" w:rsidRPr="00B53E40">
        <w:rPr>
          <w:rFonts w:eastAsia="Calibri" w:cs="Times New Roman"/>
          <w:color w:val="000000"/>
          <w:sz w:val="24"/>
          <w:szCs w:val="24"/>
          <w:lang w:val="en-IE" w:eastAsia="en-US"/>
        </w:rPr>
        <w:t xml:space="preserve"> the d</w:t>
      </w:r>
      <w:r w:rsidR="004E3C26">
        <w:rPr>
          <w:rFonts w:eastAsia="Calibri" w:cs="Times New Roman"/>
          <w:color w:val="000000"/>
          <w:sz w:val="24"/>
          <w:szCs w:val="24"/>
          <w:lang w:val="en-IE" w:eastAsia="en-US"/>
        </w:rPr>
        <w:t xml:space="preserve">elivery </w:t>
      </w:r>
      <w:r w:rsidR="00B53E40" w:rsidRPr="00B53E40">
        <w:rPr>
          <w:rFonts w:eastAsia="Calibri" w:cs="Times New Roman"/>
          <w:color w:val="000000"/>
          <w:sz w:val="24"/>
          <w:szCs w:val="24"/>
          <w:lang w:val="en-IE" w:eastAsia="en-US"/>
        </w:rPr>
        <w:t>of the new mathematics curriculum</w:t>
      </w:r>
      <w:r w:rsidR="004E3C26">
        <w:rPr>
          <w:rFonts w:eastAsia="Calibri" w:cs="Times New Roman"/>
          <w:color w:val="000000"/>
          <w:sz w:val="24"/>
          <w:szCs w:val="24"/>
          <w:lang w:val="en-IE" w:eastAsia="en-US"/>
        </w:rPr>
        <w:t>,</w:t>
      </w:r>
      <w:r w:rsidR="00B53E40" w:rsidRPr="00B53E40">
        <w:rPr>
          <w:rFonts w:eastAsia="Calibri" w:cs="Times New Roman"/>
          <w:color w:val="000000"/>
          <w:sz w:val="24"/>
          <w:szCs w:val="24"/>
          <w:lang w:val="en-IE" w:eastAsia="en-US"/>
        </w:rPr>
        <w:t xml:space="preserve"> while third level lecturers must be cognisant of the implications </w:t>
      </w:r>
      <w:r w:rsidR="004E3C26">
        <w:rPr>
          <w:rFonts w:eastAsia="Calibri" w:cs="Times New Roman"/>
          <w:color w:val="000000"/>
          <w:sz w:val="24"/>
          <w:szCs w:val="24"/>
          <w:lang w:val="en-IE" w:eastAsia="en-US"/>
        </w:rPr>
        <w:t xml:space="preserve">any changes </w:t>
      </w:r>
      <w:r w:rsidR="00B53E40" w:rsidRPr="00B53E40">
        <w:rPr>
          <w:rFonts w:eastAsia="Calibri" w:cs="Times New Roman"/>
          <w:color w:val="000000"/>
          <w:sz w:val="24"/>
          <w:szCs w:val="24"/>
          <w:lang w:val="en-IE" w:eastAsia="en-US"/>
        </w:rPr>
        <w:t xml:space="preserve">at second level </w:t>
      </w:r>
      <w:r w:rsidR="004E3C26">
        <w:rPr>
          <w:rFonts w:eastAsia="Calibri" w:cs="Times New Roman"/>
          <w:color w:val="000000"/>
          <w:sz w:val="24"/>
          <w:szCs w:val="24"/>
          <w:lang w:val="en-IE" w:eastAsia="en-US"/>
        </w:rPr>
        <w:t xml:space="preserve">have </w:t>
      </w:r>
      <w:r w:rsidR="00B53E40" w:rsidRPr="00B53E40">
        <w:rPr>
          <w:rFonts w:eastAsia="Calibri" w:cs="Times New Roman"/>
          <w:color w:val="000000"/>
          <w:sz w:val="24"/>
          <w:szCs w:val="24"/>
          <w:lang w:val="en-IE" w:eastAsia="en-US"/>
        </w:rPr>
        <w:t>on their own modules i.e. making</w:t>
      </w:r>
      <w:r w:rsidR="004E3C26">
        <w:rPr>
          <w:rFonts w:eastAsia="Calibri" w:cs="Times New Roman"/>
          <w:color w:val="000000"/>
          <w:sz w:val="24"/>
          <w:szCs w:val="24"/>
          <w:lang w:val="en-IE" w:eastAsia="en-US"/>
        </w:rPr>
        <w:t xml:space="preserve"> necessary</w:t>
      </w:r>
      <w:r w:rsidR="00B53E40" w:rsidRPr="00B53E40">
        <w:rPr>
          <w:rFonts w:eastAsia="Calibri" w:cs="Times New Roman"/>
          <w:color w:val="000000"/>
          <w:sz w:val="24"/>
          <w:szCs w:val="24"/>
          <w:lang w:val="en-IE" w:eastAsia="en-US"/>
        </w:rPr>
        <w:t xml:space="preserve"> adaptations to course content and teaching and assessment strategies based on knowledge of changes made at second level.</w:t>
      </w:r>
    </w:p>
    <w:p w:rsidR="00B53E40" w:rsidRPr="00203ADC" w:rsidRDefault="00B53E40" w:rsidP="00203ADC">
      <w:pPr>
        <w:spacing w:after="0" w:line="259" w:lineRule="auto"/>
        <w:rPr>
          <w:rFonts w:eastAsia="Calibri" w:cs="Times New Roman"/>
          <w:sz w:val="24"/>
          <w:szCs w:val="24"/>
          <w:lang w:val="en-IE" w:eastAsia="en-US"/>
        </w:rPr>
      </w:pPr>
    </w:p>
    <w:p w:rsidR="00DA5A1A" w:rsidRDefault="00764641" w:rsidP="00DA5A1A">
      <w:pPr>
        <w:spacing w:line="259" w:lineRule="auto"/>
        <w:rPr>
          <w:rFonts w:eastAsia="Calibri" w:cs="Times New Roman"/>
          <w:sz w:val="24"/>
          <w:szCs w:val="24"/>
          <w:lang w:val="en-IE" w:eastAsia="en-US"/>
        </w:rPr>
      </w:pPr>
      <w:r>
        <w:rPr>
          <w:rFonts w:eastAsia="Calibri" w:cs="Times New Roman"/>
          <w:sz w:val="24"/>
          <w:szCs w:val="24"/>
          <w:lang w:val="en-IE" w:eastAsia="en-US"/>
        </w:rPr>
        <w:t>A noteworthy finding is that in</w:t>
      </w:r>
      <w:r w:rsidR="00203ADC" w:rsidRPr="00203ADC">
        <w:rPr>
          <w:rFonts w:eastAsia="Calibri" w:cs="Times New Roman"/>
          <w:sz w:val="24"/>
          <w:szCs w:val="24"/>
          <w:lang w:val="en-IE" w:eastAsia="en-US"/>
        </w:rPr>
        <w:t xml:space="preserve"> the quantitative data</w:t>
      </w:r>
      <w:r w:rsidR="001B7BC3">
        <w:rPr>
          <w:rFonts w:eastAsia="Calibri" w:cs="Times New Roman"/>
          <w:sz w:val="24"/>
          <w:szCs w:val="24"/>
          <w:lang w:val="en-IE" w:eastAsia="en-US"/>
        </w:rPr>
        <w:t>,</w:t>
      </w:r>
      <w:r w:rsidR="00203ADC" w:rsidRPr="00203ADC">
        <w:rPr>
          <w:rFonts w:eastAsia="Calibri" w:cs="Times New Roman"/>
          <w:sz w:val="24"/>
          <w:szCs w:val="24"/>
          <w:lang w:val="en-IE" w:eastAsia="en-US"/>
        </w:rPr>
        <w:t xml:space="preserve"> 83% of respondents stated that they had not received any professional development. The data revealed </w:t>
      </w:r>
      <w:r w:rsidR="001B7BC3">
        <w:rPr>
          <w:rFonts w:eastAsia="Calibri" w:cs="Times New Roman"/>
          <w:sz w:val="24"/>
          <w:szCs w:val="24"/>
          <w:lang w:val="en-IE" w:eastAsia="en-US"/>
        </w:rPr>
        <w:t xml:space="preserve">that lecturers received information from </w:t>
      </w:r>
      <w:r w:rsidR="00203ADC" w:rsidRPr="00203ADC">
        <w:rPr>
          <w:rFonts w:eastAsia="Calibri" w:cs="Times New Roman"/>
          <w:sz w:val="24"/>
          <w:szCs w:val="24"/>
          <w:lang w:val="en-IE" w:eastAsia="en-US"/>
        </w:rPr>
        <w:t>a wide variety of alternative sources on the reform (“My own children”; “Common room gossip”; “My own research”; Media”). In both the quantitative (41%) and qualitative (33%) data sets</w:t>
      </w:r>
      <w:r w:rsidR="00E57A21">
        <w:rPr>
          <w:rFonts w:eastAsia="Calibri" w:cs="Times New Roman"/>
          <w:sz w:val="24"/>
          <w:szCs w:val="24"/>
          <w:lang w:val="en-IE" w:eastAsia="en-US"/>
        </w:rPr>
        <w:t>,</w:t>
      </w:r>
      <w:r w:rsidR="00203ADC" w:rsidRPr="00203ADC">
        <w:rPr>
          <w:rFonts w:eastAsia="Calibri" w:cs="Times New Roman"/>
          <w:sz w:val="24"/>
          <w:szCs w:val="24"/>
          <w:lang w:val="en-IE" w:eastAsia="en-US"/>
        </w:rPr>
        <w:t xml:space="preserve"> many respondents felt that it was not necessary for third level lecturers to receive professional development regarding the curriculum reform. This opinion is best summed up by the following response;</w:t>
      </w:r>
      <w:r w:rsidR="00203ADC" w:rsidRPr="00203ADC">
        <w:rPr>
          <w:rFonts w:eastAsia="Calibri" w:cs="Times New Roman"/>
          <w:b/>
          <w:sz w:val="24"/>
          <w:szCs w:val="24"/>
          <w:lang w:val="en-IE" w:eastAsia="en-US"/>
        </w:rPr>
        <w:t xml:space="preserve"> </w:t>
      </w:r>
      <w:r w:rsidR="00203ADC" w:rsidRPr="00203ADC">
        <w:rPr>
          <w:rFonts w:eastAsia="Calibri" w:cs="Times New Roman"/>
          <w:sz w:val="24"/>
          <w:szCs w:val="24"/>
          <w:lang w:val="en-IE" w:eastAsia="en-US"/>
        </w:rPr>
        <w:t>“To be honest, I don't think even if there was formal professional development offered, that many lecturers would attend</w:t>
      </w:r>
      <w:r w:rsidR="00203ADC" w:rsidRPr="00203ADC">
        <w:rPr>
          <w:rFonts w:eastAsia="Calibri" w:cs="Times New Roman"/>
          <w:i/>
          <w:sz w:val="24"/>
          <w:szCs w:val="24"/>
          <w:lang w:val="en-IE" w:eastAsia="en-US"/>
        </w:rPr>
        <w:t>”.</w:t>
      </w:r>
      <w:r w:rsidR="00203ADC" w:rsidRPr="00203ADC">
        <w:rPr>
          <w:rFonts w:eastAsia="Calibri" w:cs="Times New Roman"/>
          <w:sz w:val="24"/>
          <w:szCs w:val="24"/>
          <w:lang w:val="en-IE" w:eastAsia="en-US"/>
        </w:rPr>
        <w:t xml:space="preserve"> </w:t>
      </w:r>
      <w:r w:rsidR="006C2A92">
        <w:rPr>
          <w:rFonts w:eastAsia="Calibri" w:cs="Times New Roman"/>
          <w:sz w:val="24"/>
          <w:szCs w:val="24"/>
          <w:lang w:val="en-IE" w:eastAsia="en-US"/>
        </w:rPr>
        <w:t xml:space="preserve">The </w:t>
      </w:r>
      <w:r w:rsidR="00203ADC" w:rsidRPr="00203ADC">
        <w:rPr>
          <w:rFonts w:eastAsia="Calibri" w:cs="Times New Roman"/>
          <w:sz w:val="24"/>
          <w:szCs w:val="24"/>
          <w:lang w:val="en-IE" w:eastAsia="en-US"/>
        </w:rPr>
        <w:t>provision</w:t>
      </w:r>
      <w:r w:rsidR="006C2A92">
        <w:rPr>
          <w:rFonts w:eastAsia="Calibri" w:cs="Times New Roman"/>
          <w:sz w:val="24"/>
          <w:szCs w:val="24"/>
          <w:lang w:val="en-IE" w:eastAsia="en-US"/>
        </w:rPr>
        <w:t xml:space="preserve"> of professional development</w:t>
      </w:r>
      <w:r w:rsidR="00203ADC" w:rsidRPr="00203ADC">
        <w:rPr>
          <w:rFonts w:eastAsia="Calibri" w:cs="Times New Roman"/>
          <w:sz w:val="24"/>
          <w:szCs w:val="24"/>
          <w:lang w:val="en-IE" w:eastAsia="en-US"/>
        </w:rPr>
        <w:t xml:space="preserve"> is a central component to effective teaching (Smith, 2004) and has been a highly topical issue in second level education for many years. Ball (2001) argues that teaching is a complex practice that can be learned and continually improved. It is an active process and development does not happen merely as a result of years of teaching. Dean (1991) makes the point that teachers must actually work to develop. Until recent years all third level lecturers have not been subjected to the same scrutiny and evaluation of their teaching as their second level counterparts (</w:t>
      </w:r>
      <w:proofErr w:type="spellStart"/>
      <w:r w:rsidR="00203ADC" w:rsidRPr="00203ADC">
        <w:rPr>
          <w:rFonts w:eastAsia="Calibri" w:cs="Times New Roman"/>
          <w:sz w:val="24"/>
          <w:szCs w:val="24"/>
          <w:lang w:val="en-IE" w:eastAsia="en-US"/>
        </w:rPr>
        <w:t>Hounsell</w:t>
      </w:r>
      <w:proofErr w:type="spellEnd"/>
      <w:r w:rsidR="00203ADC" w:rsidRPr="00203ADC">
        <w:rPr>
          <w:rFonts w:eastAsia="Calibri" w:cs="Times New Roman"/>
          <w:sz w:val="24"/>
          <w:szCs w:val="24"/>
          <w:lang w:val="en-IE" w:eastAsia="en-US"/>
        </w:rPr>
        <w:t>, 2003). Indeed some academics have regarded any such measures as an affront to their academic autonomy and an unwarranted deference to student opinion (</w:t>
      </w:r>
      <w:proofErr w:type="spellStart"/>
      <w:r w:rsidR="00203ADC" w:rsidRPr="00203ADC">
        <w:rPr>
          <w:rFonts w:eastAsia="Calibri" w:cs="Times New Roman"/>
          <w:sz w:val="24"/>
          <w:szCs w:val="24"/>
          <w:lang w:val="en-IE" w:eastAsia="en-US"/>
        </w:rPr>
        <w:t>Hounsell</w:t>
      </w:r>
      <w:proofErr w:type="spellEnd"/>
      <w:r w:rsidR="00203ADC" w:rsidRPr="00203ADC">
        <w:rPr>
          <w:rFonts w:eastAsia="Calibri" w:cs="Times New Roman"/>
          <w:sz w:val="24"/>
          <w:szCs w:val="24"/>
          <w:lang w:val="en-IE" w:eastAsia="en-US"/>
        </w:rPr>
        <w:t xml:space="preserve">, 2003). However the growth in participation in higher education in recent years and measures to widen access </w:t>
      </w:r>
      <w:r w:rsidR="00240EE0">
        <w:rPr>
          <w:rFonts w:eastAsia="Calibri" w:cs="Times New Roman"/>
          <w:sz w:val="24"/>
          <w:szCs w:val="24"/>
          <w:lang w:val="en-IE" w:eastAsia="en-US"/>
        </w:rPr>
        <w:t>has resulted in a</w:t>
      </w:r>
      <w:r w:rsidR="00203ADC" w:rsidRPr="00203ADC">
        <w:rPr>
          <w:rFonts w:eastAsia="Calibri" w:cs="Times New Roman"/>
          <w:sz w:val="24"/>
          <w:szCs w:val="24"/>
          <w:lang w:val="en-IE" w:eastAsia="en-US"/>
        </w:rPr>
        <w:t xml:space="preserve"> third level </w:t>
      </w:r>
      <w:r w:rsidR="00240EE0">
        <w:rPr>
          <w:rFonts w:eastAsia="Calibri" w:cs="Times New Roman"/>
          <w:sz w:val="24"/>
          <w:szCs w:val="24"/>
          <w:lang w:val="en-IE" w:eastAsia="en-US"/>
        </w:rPr>
        <w:t xml:space="preserve">education </w:t>
      </w:r>
      <w:r w:rsidR="00203ADC" w:rsidRPr="00203ADC">
        <w:rPr>
          <w:rFonts w:eastAsia="Calibri" w:cs="Times New Roman"/>
          <w:sz w:val="24"/>
          <w:szCs w:val="24"/>
          <w:lang w:val="en-IE" w:eastAsia="en-US"/>
        </w:rPr>
        <w:t>system</w:t>
      </w:r>
      <w:r w:rsidR="00530C3D">
        <w:rPr>
          <w:rFonts w:eastAsia="Calibri" w:cs="Times New Roman"/>
          <w:sz w:val="24"/>
          <w:szCs w:val="24"/>
          <w:lang w:val="en-IE" w:eastAsia="en-US"/>
        </w:rPr>
        <w:t xml:space="preserve"> with</w:t>
      </w:r>
      <w:r w:rsidR="00203ADC" w:rsidRPr="00203ADC">
        <w:rPr>
          <w:rFonts w:eastAsia="Calibri" w:cs="Times New Roman"/>
          <w:sz w:val="24"/>
          <w:szCs w:val="24"/>
          <w:lang w:val="en-IE" w:eastAsia="en-US"/>
        </w:rPr>
        <w:t xml:space="preserve"> students from a broad spectrum of ability </w:t>
      </w:r>
      <w:r w:rsidR="00240EE0">
        <w:rPr>
          <w:rFonts w:eastAsia="Calibri" w:cs="Times New Roman"/>
          <w:sz w:val="24"/>
          <w:szCs w:val="24"/>
          <w:lang w:val="en-IE" w:eastAsia="en-US"/>
        </w:rPr>
        <w:t>levels and from diverse background demographics</w:t>
      </w:r>
      <w:r w:rsidR="00203ADC" w:rsidRPr="00203ADC">
        <w:rPr>
          <w:rFonts w:eastAsia="Calibri" w:cs="Times New Roman"/>
          <w:sz w:val="24"/>
          <w:szCs w:val="24"/>
          <w:lang w:val="en-IE" w:eastAsia="en-US"/>
        </w:rPr>
        <w:t xml:space="preserve"> (Horgan, 2003). These factors present an enormous challenge to third level lecturers who are expected to ‘combine the talents of scholar, writer, producer, comedian, showman and teacher in ways that contribute to student learning’ (</w:t>
      </w:r>
      <w:proofErr w:type="spellStart"/>
      <w:r w:rsidR="00203ADC" w:rsidRPr="00203ADC">
        <w:rPr>
          <w:rFonts w:eastAsia="Calibri" w:cs="Times New Roman"/>
          <w:sz w:val="24"/>
          <w:szCs w:val="24"/>
          <w:lang w:val="en-IE" w:eastAsia="en-US"/>
        </w:rPr>
        <w:t>McKeachie</w:t>
      </w:r>
      <w:proofErr w:type="spellEnd"/>
      <w:r w:rsidR="00203ADC" w:rsidRPr="00203ADC">
        <w:rPr>
          <w:rFonts w:eastAsia="Calibri" w:cs="Times New Roman"/>
          <w:sz w:val="24"/>
          <w:szCs w:val="24"/>
          <w:lang w:val="en-IE" w:eastAsia="en-US"/>
        </w:rPr>
        <w:t xml:space="preserve">, </w:t>
      </w:r>
      <w:r w:rsidR="00203ADC" w:rsidRPr="00203ADC">
        <w:rPr>
          <w:rFonts w:eastAsia="Calibri" w:cs="Times New Roman"/>
          <w:sz w:val="24"/>
          <w:szCs w:val="24"/>
          <w:lang w:val="en-IE" w:eastAsia="en-US"/>
        </w:rPr>
        <w:lastRenderedPageBreak/>
        <w:t xml:space="preserve">1994). Incentives must be put in place to encourage lecturers to engage in professional development initiatives which will ensure they can rise to this challenge.  </w:t>
      </w:r>
    </w:p>
    <w:p w:rsidR="00FD291F" w:rsidRPr="00DA5A1A" w:rsidRDefault="00FD291F" w:rsidP="00DA5A1A">
      <w:pPr>
        <w:spacing w:line="259" w:lineRule="auto"/>
        <w:rPr>
          <w:rFonts w:eastAsia="Calibri" w:cs="Times New Roman"/>
          <w:sz w:val="24"/>
          <w:szCs w:val="24"/>
          <w:lang w:val="en-IE" w:eastAsia="en-US"/>
        </w:rPr>
      </w:pPr>
    </w:p>
    <w:p w:rsidR="00DA5A1A" w:rsidRDefault="00DA5A1A" w:rsidP="00DA5A1A">
      <w:pPr>
        <w:spacing w:line="259" w:lineRule="auto"/>
        <w:rPr>
          <w:rFonts w:eastAsia="Calibri" w:cs="Times New Roman"/>
          <w:b/>
          <w:sz w:val="24"/>
          <w:szCs w:val="24"/>
          <w:lang w:val="en-IE" w:eastAsia="en-US"/>
        </w:rPr>
      </w:pPr>
      <w:r>
        <w:rPr>
          <w:rFonts w:eastAsia="Calibri" w:cs="Times New Roman"/>
          <w:b/>
          <w:sz w:val="24"/>
          <w:szCs w:val="24"/>
          <w:lang w:val="en-IE" w:eastAsia="en-US"/>
        </w:rPr>
        <w:t>CONCLUSION</w:t>
      </w:r>
    </w:p>
    <w:p w:rsidR="00203ADC" w:rsidRPr="00203ADC" w:rsidRDefault="00203ADC" w:rsidP="00DA5A1A">
      <w:pPr>
        <w:spacing w:line="259" w:lineRule="auto"/>
        <w:rPr>
          <w:rFonts w:eastAsia="Calibri" w:cs="Times New Roman"/>
          <w:sz w:val="24"/>
          <w:szCs w:val="24"/>
          <w:lang w:val="en-IE" w:eastAsia="en-US"/>
        </w:rPr>
      </w:pPr>
      <w:r w:rsidRPr="00203ADC">
        <w:rPr>
          <w:rFonts w:eastAsia="Calibri" w:cs="Times New Roman"/>
          <w:sz w:val="24"/>
          <w:szCs w:val="24"/>
          <w:lang w:val="en-IE" w:eastAsia="en-US"/>
        </w:rPr>
        <w:t xml:space="preserve">An Irish study conducted by McCoy (2014) found that 80% of school leavers in Ireland reported significant differences in approaches to teaching and learning mathematics between second and third level education. More recent </w:t>
      </w:r>
      <w:r w:rsidRPr="00203ADC">
        <w:rPr>
          <w:rFonts w:eastAsia="Calibri" w:cs="Times New Roman"/>
          <w:color w:val="000000"/>
          <w:sz w:val="24"/>
          <w:szCs w:val="24"/>
          <w:lang w:val="en-IE" w:eastAsia="en-US"/>
        </w:rPr>
        <w:t>research conducted by the HEA in Ireland has called for a better transition for second level students to higher education (HEA</w:t>
      </w:r>
      <w:r w:rsidR="00E57A21">
        <w:rPr>
          <w:rFonts w:eastAsia="Calibri" w:cs="Times New Roman"/>
          <w:color w:val="000000"/>
          <w:sz w:val="24"/>
          <w:szCs w:val="24"/>
          <w:lang w:val="en-IE" w:eastAsia="en-US"/>
        </w:rPr>
        <w:t>,</w:t>
      </w:r>
      <w:r w:rsidRPr="00203ADC">
        <w:rPr>
          <w:rFonts w:eastAsia="Calibri" w:cs="Times New Roman"/>
          <w:color w:val="000000"/>
          <w:sz w:val="24"/>
          <w:szCs w:val="24"/>
          <w:lang w:val="en-IE" w:eastAsia="en-US"/>
        </w:rPr>
        <w:t xml:space="preserve"> 2015). The introduction of Project Maths has been </w:t>
      </w:r>
      <w:r w:rsidR="00380CBA">
        <w:rPr>
          <w:rFonts w:eastAsia="Calibri" w:cs="Times New Roman"/>
          <w:color w:val="000000"/>
          <w:sz w:val="24"/>
          <w:szCs w:val="24"/>
          <w:lang w:val="en-IE" w:eastAsia="en-US"/>
        </w:rPr>
        <w:t>identified as one means to improve the transition and equip</w:t>
      </w:r>
      <w:r w:rsidRPr="00203ADC">
        <w:rPr>
          <w:rFonts w:eastAsia="Calibri" w:cs="Times New Roman"/>
          <w:color w:val="000000"/>
          <w:sz w:val="24"/>
          <w:szCs w:val="24"/>
          <w:lang w:val="en-IE" w:eastAsia="en-US"/>
        </w:rPr>
        <w:t xml:space="preserve"> students with the necessary skills to cope with the demands and nature of mathematics education at higher education (NCCA</w:t>
      </w:r>
      <w:r w:rsidR="00E57A21">
        <w:rPr>
          <w:rFonts w:eastAsia="Calibri" w:cs="Times New Roman"/>
          <w:color w:val="000000"/>
          <w:sz w:val="24"/>
          <w:szCs w:val="24"/>
          <w:lang w:val="en-IE" w:eastAsia="en-US"/>
        </w:rPr>
        <w:t>,</w:t>
      </w:r>
      <w:r w:rsidRPr="00203ADC">
        <w:rPr>
          <w:rFonts w:eastAsia="Calibri" w:cs="Times New Roman"/>
          <w:color w:val="000000"/>
          <w:sz w:val="24"/>
          <w:szCs w:val="24"/>
          <w:lang w:val="en-IE" w:eastAsia="en-US"/>
        </w:rPr>
        <w:t xml:space="preserve"> 2015). The benefits of the </w:t>
      </w:r>
      <w:r w:rsidR="00380CBA">
        <w:rPr>
          <w:rFonts w:eastAsia="Calibri" w:cs="Times New Roman"/>
          <w:color w:val="000000"/>
          <w:sz w:val="24"/>
          <w:szCs w:val="24"/>
          <w:lang w:val="en-IE" w:eastAsia="en-US"/>
        </w:rPr>
        <w:t>reformed</w:t>
      </w:r>
      <w:r w:rsidRPr="00203ADC">
        <w:rPr>
          <w:rFonts w:eastAsia="Calibri" w:cs="Times New Roman"/>
          <w:color w:val="000000"/>
          <w:sz w:val="24"/>
          <w:szCs w:val="24"/>
          <w:lang w:val="en-IE" w:eastAsia="en-US"/>
        </w:rPr>
        <w:t xml:space="preserve"> mathematics curriculum at second level will evidently take more time to embed and to ease the transition from second level to higher education. However it must be seen as a two way street. Those involved in second level mathematics education must continue to work on and learn about the expec</w:t>
      </w:r>
      <w:r w:rsidR="004E3C26">
        <w:rPr>
          <w:rFonts w:eastAsia="Calibri" w:cs="Times New Roman"/>
          <w:color w:val="000000"/>
          <w:sz w:val="24"/>
          <w:szCs w:val="24"/>
          <w:lang w:val="en-IE" w:eastAsia="en-US"/>
        </w:rPr>
        <w:t>tations regarding the delivery</w:t>
      </w:r>
      <w:r w:rsidRPr="00203ADC">
        <w:rPr>
          <w:rFonts w:eastAsia="Calibri" w:cs="Times New Roman"/>
          <w:color w:val="000000"/>
          <w:sz w:val="24"/>
          <w:szCs w:val="24"/>
          <w:lang w:val="en-IE" w:eastAsia="en-US"/>
        </w:rPr>
        <w:t xml:space="preserve"> of the new mathematics curriculum while third level lecturers must be </w:t>
      </w:r>
      <w:r w:rsidR="004E3C26" w:rsidRPr="00203ADC">
        <w:rPr>
          <w:rFonts w:eastAsia="Calibri" w:cs="Times New Roman"/>
          <w:color w:val="000000"/>
          <w:sz w:val="24"/>
          <w:szCs w:val="24"/>
          <w:lang w:val="en-IE" w:eastAsia="en-US"/>
        </w:rPr>
        <w:t>mindful</w:t>
      </w:r>
      <w:r w:rsidRPr="00203ADC">
        <w:rPr>
          <w:rFonts w:eastAsia="Calibri" w:cs="Times New Roman"/>
          <w:color w:val="000000"/>
          <w:sz w:val="24"/>
          <w:szCs w:val="24"/>
          <w:lang w:val="en-IE" w:eastAsia="en-US"/>
        </w:rPr>
        <w:t xml:space="preserve"> of </w:t>
      </w:r>
      <w:r w:rsidR="004E3C26">
        <w:rPr>
          <w:rFonts w:eastAsia="Calibri" w:cs="Times New Roman"/>
          <w:color w:val="000000"/>
          <w:sz w:val="24"/>
          <w:szCs w:val="24"/>
          <w:lang w:val="en-IE" w:eastAsia="en-US"/>
        </w:rPr>
        <w:t>any</w:t>
      </w:r>
      <w:r w:rsidRPr="00203ADC">
        <w:rPr>
          <w:rFonts w:eastAsia="Calibri" w:cs="Times New Roman"/>
          <w:color w:val="000000"/>
          <w:sz w:val="24"/>
          <w:szCs w:val="24"/>
          <w:lang w:val="en-IE" w:eastAsia="en-US"/>
        </w:rPr>
        <w:t xml:space="preserve"> implications </w:t>
      </w:r>
      <w:r w:rsidR="004E3C26">
        <w:rPr>
          <w:rFonts w:eastAsia="Calibri" w:cs="Times New Roman"/>
          <w:color w:val="000000"/>
          <w:sz w:val="24"/>
          <w:szCs w:val="24"/>
          <w:lang w:val="en-IE" w:eastAsia="en-US"/>
        </w:rPr>
        <w:t>which</w:t>
      </w:r>
      <w:r w:rsidRPr="00203ADC">
        <w:rPr>
          <w:rFonts w:eastAsia="Calibri" w:cs="Times New Roman"/>
          <w:color w:val="000000"/>
          <w:sz w:val="24"/>
          <w:szCs w:val="24"/>
          <w:lang w:val="en-IE" w:eastAsia="en-US"/>
        </w:rPr>
        <w:t xml:space="preserve"> the adaptations at</w:t>
      </w:r>
      <w:r w:rsidR="004E3C26">
        <w:rPr>
          <w:rFonts w:eastAsia="Calibri" w:cs="Times New Roman"/>
          <w:color w:val="000000"/>
          <w:sz w:val="24"/>
          <w:szCs w:val="24"/>
          <w:lang w:val="en-IE" w:eastAsia="en-US"/>
        </w:rPr>
        <w:t xml:space="preserve"> </w:t>
      </w:r>
      <w:r w:rsidRPr="00203ADC">
        <w:rPr>
          <w:rFonts w:eastAsia="Calibri" w:cs="Times New Roman"/>
          <w:color w:val="000000"/>
          <w:sz w:val="24"/>
          <w:szCs w:val="24"/>
          <w:lang w:val="en-IE" w:eastAsia="en-US"/>
        </w:rPr>
        <w:t xml:space="preserve">second level </w:t>
      </w:r>
      <w:r w:rsidR="004E3C26">
        <w:rPr>
          <w:rFonts w:eastAsia="Calibri" w:cs="Times New Roman"/>
          <w:color w:val="000000"/>
          <w:sz w:val="24"/>
          <w:szCs w:val="24"/>
          <w:lang w:val="en-IE" w:eastAsia="en-US"/>
        </w:rPr>
        <w:t xml:space="preserve">have </w:t>
      </w:r>
      <w:r w:rsidRPr="00203ADC">
        <w:rPr>
          <w:rFonts w:eastAsia="Calibri" w:cs="Times New Roman"/>
          <w:color w:val="000000"/>
          <w:sz w:val="24"/>
          <w:szCs w:val="24"/>
          <w:lang w:val="en-IE" w:eastAsia="en-US"/>
        </w:rPr>
        <w:t>on their own modules in higher education</w:t>
      </w:r>
      <w:r w:rsidR="004E3C26">
        <w:rPr>
          <w:rFonts w:eastAsia="Calibri" w:cs="Times New Roman"/>
          <w:color w:val="000000"/>
          <w:sz w:val="24"/>
          <w:szCs w:val="24"/>
          <w:lang w:val="en-IE" w:eastAsia="en-US"/>
        </w:rPr>
        <w:t>.</w:t>
      </w:r>
    </w:p>
    <w:p w:rsidR="003B7511" w:rsidRDefault="00203ADC" w:rsidP="003B7511">
      <w:pPr>
        <w:spacing w:line="259" w:lineRule="auto"/>
        <w:ind w:firstLine="720"/>
        <w:rPr>
          <w:rFonts w:eastAsia="Calibri" w:cs="Times New Roman"/>
          <w:sz w:val="24"/>
          <w:szCs w:val="24"/>
          <w:lang w:val="en-IE" w:eastAsia="en-US"/>
        </w:rPr>
      </w:pPr>
      <w:r w:rsidRPr="00203ADC">
        <w:rPr>
          <w:rFonts w:eastAsia="Calibri" w:cs="Times New Roman"/>
          <w:sz w:val="24"/>
          <w:szCs w:val="24"/>
          <w:lang w:val="en-IE" w:eastAsia="en-US"/>
        </w:rPr>
        <w:t>The findings of this study highlight that this is not presently the case. Students who have been taught and assessed under the reformed curriculum have been entering third level education since September 2012. Despite this</w:t>
      </w:r>
      <w:r w:rsidR="00380CBA">
        <w:rPr>
          <w:rFonts w:eastAsia="Calibri" w:cs="Times New Roman"/>
          <w:sz w:val="24"/>
          <w:szCs w:val="24"/>
          <w:lang w:val="en-IE" w:eastAsia="en-US"/>
        </w:rPr>
        <w:t>,</w:t>
      </w:r>
      <w:r w:rsidRPr="00203ADC">
        <w:rPr>
          <w:rFonts w:eastAsia="Calibri" w:cs="Times New Roman"/>
          <w:sz w:val="24"/>
          <w:szCs w:val="24"/>
          <w:lang w:val="en-IE" w:eastAsia="en-US"/>
        </w:rPr>
        <w:t xml:space="preserve"> 61% of the third level mathematics lecturers surveyed stated that they were either not at all familiar or slightly familiar with changes to teaching approaches brought about by recent second level reform. This figure rose to 69% for assessment approaches. While second level mathematics teachers are receiving intensive professional development and retraining on how to modify their teaching methods, course content and assessment strategies, third level education mathematics lecturers have not been catered for</w:t>
      </w:r>
      <w:r w:rsidR="00380CBA">
        <w:rPr>
          <w:rFonts w:eastAsia="Calibri" w:cs="Times New Roman"/>
          <w:sz w:val="24"/>
          <w:szCs w:val="24"/>
          <w:lang w:val="en-IE" w:eastAsia="en-US"/>
        </w:rPr>
        <w:t>,</w:t>
      </w:r>
      <w:r w:rsidRPr="00203ADC">
        <w:rPr>
          <w:rFonts w:eastAsia="Calibri" w:cs="Times New Roman"/>
          <w:sz w:val="24"/>
          <w:szCs w:val="24"/>
          <w:lang w:val="en-IE" w:eastAsia="en-US"/>
        </w:rPr>
        <w:t xml:space="preserve"> with 41% of them believing they should not be catered for. The findings show that although many lecturers are mindful of the concept of Project Maths, they are not aware of the changes in full and how it </w:t>
      </w:r>
      <w:r w:rsidR="000A1E38">
        <w:rPr>
          <w:rFonts w:eastAsia="Calibri" w:cs="Times New Roman"/>
          <w:sz w:val="24"/>
          <w:szCs w:val="24"/>
          <w:lang w:val="en-IE" w:eastAsia="en-US"/>
        </w:rPr>
        <w:t>may affect</w:t>
      </w:r>
      <w:r w:rsidRPr="00203ADC">
        <w:rPr>
          <w:rFonts w:eastAsia="Calibri" w:cs="Times New Roman"/>
          <w:sz w:val="24"/>
          <w:szCs w:val="24"/>
          <w:lang w:val="en-IE" w:eastAsia="en-US"/>
        </w:rPr>
        <w:t xml:space="preserve"> their own course content, teaching and assessment strategies. It is clear that more needs to be done to ensure there is coherent and uniform approaches to the teaching, learning and assessment of mathematics in the transition from second to third level education. This need is particularly heightened during periods of curriculum reform at either level. </w:t>
      </w:r>
    </w:p>
    <w:p w:rsidR="003B7511" w:rsidRPr="00F0444E" w:rsidRDefault="003B7511" w:rsidP="003B7511">
      <w:pPr>
        <w:spacing w:before="360" w:after="60" w:line="240" w:lineRule="auto"/>
        <w:rPr>
          <w:rFonts w:cs="Times New Roman"/>
          <w:b/>
          <w:sz w:val="24"/>
          <w:szCs w:val="24"/>
          <w:lang w:val="tr-TR"/>
        </w:rPr>
      </w:pPr>
      <w:r>
        <w:rPr>
          <w:rFonts w:cs="Times New Roman"/>
          <w:b/>
          <w:sz w:val="24"/>
          <w:szCs w:val="24"/>
          <w:lang w:val="tr-TR"/>
        </w:rPr>
        <w:t xml:space="preserve">Acknowledgements: </w:t>
      </w:r>
      <w:r w:rsidRPr="008D63C1">
        <w:rPr>
          <w:rFonts w:cs="Times New Roman"/>
          <w:sz w:val="24"/>
          <w:szCs w:val="24"/>
          <w:lang w:val="tr-TR"/>
        </w:rPr>
        <w:t>The authors wish to acknowledge the mathemnatics lecture</w:t>
      </w:r>
      <w:r>
        <w:rPr>
          <w:rFonts w:cs="Times New Roman"/>
          <w:sz w:val="24"/>
          <w:szCs w:val="24"/>
          <w:lang w:val="tr-TR"/>
        </w:rPr>
        <w:t>r</w:t>
      </w:r>
      <w:r w:rsidRPr="008D63C1">
        <w:rPr>
          <w:rFonts w:cs="Times New Roman"/>
          <w:sz w:val="24"/>
          <w:szCs w:val="24"/>
          <w:lang w:val="tr-TR"/>
        </w:rPr>
        <w:t>s who took the time to response to the surevy and also the five mathematics lecture</w:t>
      </w:r>
      <w:r>
        <w:rPr>
          <w:rFonts w:cs="Times New Roman"/>
          <w:sz w:val="24"/>
          <w:szCs w:val="24"/>
          <w:lang w:val="tr-TR"/>
        </w:rPr>
        <w:t>r</w:t>
      </w:r>
      <w:r w:rsidRPr="008D63C1">
        <w:rPr>
          <w:rFonts w:cs="Times New Roman"/>
          <w:sz w:val="24"/>
          <w:szCs w:val="24"/>
          <w:lang w:val="tr-TR"/>
        </w:rPr>
        <w:t>s who piloted the survey and provided invaluable feedback namely; Dr. Olivia Fitzmaurice (University of Limerick), Dr. Eabhnat Ní Fhloinn (Dublin City University), Professor John O’Donoghue (National Centre for Excellence in Mathematics and Science Teaching and Learning), Dr. Ciaran O’Sullivan (Tallaght Institute of Technology), and Dr. Niamh O’Meara (University of Limerick).</w:t>
      </w:r>
    </w:p>
    <w:p w:rsidR="003B7511" w:rsidRPr="00203ADC" w:rsidRDefault="003B7511" w:rsidP="003B7511">
      <w:pPr>
        <w:spacing w:line="259" w:lineRule="auto"/>
        <w:rPr>
          <w:rFonts w:eastAsia="Calibri" w:cs="Times New Roman"/>
          <w:sz w:val="24"/>
          <w:szCs w:val="24"/>
          <w:lang w:val="en-IE" w:eastAsia="en-US"/>
        </w:rPr>
      </w:pPr>
    </w:p>
    <w:p w:rsidR="00203ADC" w:rsidRPr="00E00869" w:rsidRDefault="00203ADC" w:rsidP="00E00869">
      <w:pPr>
        <w:spacing w:after="0" w:line="259" w:lineRule="auto"/>
        <w:rPr>
          <w:rFonts w:eastAsia="Calibri" w:cs="Times New Roman"/>
          <w:b/>
          <w:sz w:val="24"/>
          <w:szCs w:val="24"/>
          <w:lang w:val="en-IE" w:eastAsia="en-US"/>
        </w:rPr>
      </w:pPr>
      <w:r w:rsidRPr="00E00869">
        <w:rPr>
          <w:rFonts w:eastAsia="Calibri" w:cs="Times New Roman"/>
          <w:b/>
          <w:sz w:val="24"/>
          <w:szCs w:val="24"/>
          <w:lang w:val="en-IE" w:eastAsia="en-US"/>
        </w:rPr>
        <w:t>References</w:t>
      </w:r>
    </w:p>
    <w:p w:rsidR="00A21E66" w:rsidRPr="00E00869" w:rsidRDefault="000F6D64" w:rsidP="00E00869">
      <w:pPr>
        <w:spacing w:after="0" w:line="260" w:lineRule="atLeast"/>
        <w:ind w:left="289" w:hanging="289"/>
        <w:rPr>
          <w:rFonts w:eastAsia="Times New Roman" w:cs="Times New Roman"/>
          <w:sz w:val="24"/>
          <w:szCs w:val="24"/>
          <w:lang w:val="en-IE" w:eastAsia="ar-SA"/>
        </w:rPr>
      </w:pPr>
      <w:r>
        <w:rPr>
          <w:rFonts w:eastAsia="Times New Roman" w:cs="Times New Roman"/>
          <w:sz w:val="24"/>
          <w:szCs w:val="24"/>
          <w:lang w:val="en-IE" w:eastAsia="ar-SA"/>
        </w:rPr>
        <w:t xml:space="preserve">Ball, D.L. (2001). </w:t>
      </w:r>
      <w:r w:rsidR="00A21E66" w:rsidRPr="00E00869">
        <w:rPr>
          <w:rFonts w:eastAsia="Times New Roman" w:cs="Times New Roman"/>
          <w:sz w:val="24"/>
          <w:szCs w:val="24"/>
          <w:lang w:val="en-IE" w:eastAsia="ar-SA"/>
        </w:rPr>
        <w:t>Developing a mathematically proficient public: What are the problems, what do we know about them, and what would it take to solve them?</w:t>
      </w:r>
      <w:r>
        <w:rPr>
          <w:rFonts w:eastAsia="Times New Roman" w:cs="Times New Roman"/>
          <w:sz w:val="24"/>
          <w:szCs w:val="24"/>
          <w:lang w:val="en-IE" w:eastAsia="ar-SA"/>
        </w:rPr>
        <w:t xml:space="preserve"> A</w:t>
      </w:r>
      <w:r w:rsidR="00A21E66" w:rsidRPr="00E00869">
        <w:rPr>
          <w:rFonts w:eastAsia="Times New Roman" w:cs="Times New Roman"/>
          <w:sz w:val="24"/>
          <w:szCs w:val="24"/>
          <w:lang w:val="en-IE" w:eastAsia="ar-SA"/>
        </w:rPr>
        <w:t xml:space="preserve">ccepted for </w:t>
      </w:r>
      <w:r w:rsidR="00A21E66" w:rsidRPr="00E00869">
        <w:rPr>
          <w:rFonts w:eastAsia="Times New Roman" w:cs="Times New Roman"/>
          <w:i/>
          <w:sz w:val="24"/>
          <w:szCs w:val="24"/>
          <w:lang w:val="en-IE" w:eastAsia="ar-SA"/>
        </w:rPr>
        <w:t>Aspen Institute congressional conference on ‘Promoting Excellence in the New Economy: The Challenges to National Policy’</w:t>
      </w:r>
      <w:r w:rsidR="00A21E66" w:rsidRPr="00E00869">
        <w:rPr>
          <w:rFonts w:eastAsia="Times New Roman" w:cs="Times New Roman"/>
          <w:sz w:val="24"/>
          <w:szCs w:val="24"/>
          <w:lang w:val="en-IE" w:eastAsia="ar-SA"/>
        </w:rPr>
        <w:t xml:space="preserve">, St, Petersburg, </w:t>
      </w:r>
      <w:r>
        <w:rPr>
          <w:rFonts w:eastAsia="Times New Roman" w:cs="Times New Roman"/>
          <w:sz w:val="24"/>
          <w:szCs w:val="24"/>
          <w:lang w:val="en-IE" w:eastAsia="ar-SA"/>
        </w:rPr>
        <w:t>Florida, February 16 – 19.</w:t>
      </w:r>
    </w:p>
    <w:p w:rsidR="00A21E66" w:rsidRPr="00E00869" w:rsidRDefault="00A21E66" w:rsidP="00E00869">
      <w:pPr>
        <w:spacing w:after="0" w:line="260" w:lineRule="atLeast"/>
        <w:ind w:left="289" w:hanging="289"/>
        <w:rPr>
          <w:rFonts w:eastAsia="Times New Roman" w:cs="Times New Roman"/>
          <w:sz w:val="24"/>
          <w:szCs w:val="24"/>
          <w:lang w:val="en-IE" w:eastAsia="ar-SA"/>
        </w:rPr>
      </w:pPr>
      <w:r w:rsidRPr="00E00869">
        <w:rPr>
          <w:rFonts w:eastAsia="Times New Roman" w:cs="Times New Roman"/>
          <w:sz w:val="24"/>
          <w:szCs w:val="24"/>
          <w:lang w:val="en-IE" w:eastAsia="ar-SA"/>
        </w:rPr>
        <w:t xml:space="preserve">Bourn, J. (2007). </w:t>
      </w:r>
      <w:r w:rsidRPr="00E00869">
        <w:rPr>
          <w:rFonts w:eastAsia="Times New Roman" w:cs="Times New Roman"/>
          <w:i/>
          <w:sz w:val="24"/>
          <w:szCs w:val="24"/>
          <w:lang w:val="en-IE" w:eastAsia="ar-SA"/>
        </w:rPr>
        <w:t>Staying the course: the retention of students in higher education</w:t>
      </w:r>
      <w:r w:rsidRPr="00E00869">
        <w:rPr>
          <w:rFonts w:eastAsia="Times New Roman" w:cs="Times New Roman"/>
          <w:sz w:val="24"/>
          <w:szCs w:val="24"/>
          <w:lang w:val="en-IE" w:eastAsia="ar-SA"/>
        </w:rPr>
        <w:t>. London: National</w:t>
      </w:r>
      <w:r w:rsidRPr="00E00869">
        <w:rPr>
          <w:rFonts w:eastAsia="Times New Roman" w:cs="Times New Roman"/>
          <w:sz w:val="24"/>
          <w:szCs w:val="24"/>
          <w:lang w:val="en-US" w:eastAsia="ar-SA"/>
        </w:rPr>
        <w:t xml:space="preserve"> </w:t>
      </w:r>
      <w:r w:rsidRPr="00E00869">
        <w:rPr>
          <w:rFonts w:eastAsia="Times New Roman" w:cs="Times New Roman"/>
          <w:sz w:val="24"/>
          <w:szCs w:val="24"/>
          <w:lang w:val="en-IE" w:eastAsia="ar-SA"/>
        </w:rPr>
        <w:t>Audit Office.</w:t>
      </w:r>
    </w:p>
    <w:p w:rsidR="00A21E66" w:rsidRPr="00E00869" w:rsidRDefault="00A21E66" w:rsidP="00E00869">
      <w:pPr>
        <w:spacing w:after="0" w:line="260" w:lineRule="atLeast"/>
        <w:ind w:left="289" w:hanging="289"/>
        <w:rPr>
          <w:rFonts w:eastAsia="Times New Roman" w:cs="Times New Roman"/>
          <w:sz w:val="24"/>
          <w:szCs w:val="24"/>
          <w:lang w:val="en-IE" w:eastAsia="ar-SA"/>
        </w:rPr>
      </w:pPr>
      <w:r w:rsidRPr="00E00869">
        <w:rPr>
          <w:rFonts w:eastAsia="Times New Roman" w:cs="Times New Roman"/>
          <w:sz w:val="24"/>
          <w:szCs w:val="24"/>
          <w:lang w:val="en-IE" w:eastAsia="ar-SA"/>
        </w:rPr>
        <w:lastRenderedPageBreak/>
        <w:t>Dean, J. (1991)</w:t>
      </w:r>
      <w:r w:rsidR="000F6D64">
        <w:rPr>
          <w:rFonts w:eastAsia="Times New Roman" w:cs="Times New Roman"/>
          <w:sz w:val="24"/>
          <w:szCs w:val="24"/>
          <w:lang w:val="en-IE" w:eastAsia="ar-SA"/>
        </w:rPr>
        <w:t>.</w:t>
      </w:r>
      <w:r w:rsidRPr="00E00869">
        <w:rPr>
          <w:rFonts w:eastAsia="Times New Roman" w:cs="Times New Roman"/>
          <w:sz w:val="24"/>
          <w:szCs w:val="24"/>
          <w:lang w:val="en-IE" w:eastAsia="ar-SA"/>
        </w:rPr>
        <w:t xml:space="preserve"> </w:t>
      </w:r>
      <w:r w:rsidRPr="00E00869">
        <w:rPr>
          <w:rFonts w:eastAsia="Times New Roman" w:cs="Times New Roman"/>
          <w:i/>
          <w:sz w:val="24"/>
          <w:szCs w:val="24"/>
          <w:lang w:val="en-IE" w:eastAsia="ar-SA"/>
        </w:rPr>
        <w:t>Professional Development in School – Developing Teachers and Teaching</w:t>
      </w:r>
      <w:r w:rsidR="000F6D64">
        <w:rPr>
          <w:rFonts w:eastAsia="Times New Roman" w:cs="Times New Roman"/>
          <w:sz w:val="24"/>
          <w:szCs w:val="24"/>
          <w:lang w:val="en-IE" w:eastAsia="ar-SA"/>
        </w:rPr>
        <w:t>.</w:t>
      </w:r>
      <w:r w:rsidRPr="00E00869">
        <w:rPr>
          <w:rFonts w:eastAsia="Times New Roman" w:cs="Times New Roman"/>
          <w:sz w:val="24"/>
          <w:szCs w:val="24"/>
          <w:lang w:val="en-IE" w:eastAsia="ar-SA"/>
        </w:rPr>
        <w:t xml:space="preserve"> Philadelphia: Open University Press.</w:t>
      </w:r>
    </w:p>
    <w:p w:rsidR="00CD53FB" w:rsidRPr="00E00869" w:rsidRDefault="00203ADC" w:rsidP="00E00869">
      <w:pPr>
        <w:spacing w:after="0" w:line="260" w:lineRule="atLeast"/>
        <w:ind w:left="289" w:hanging="289"/>
        <w:rPr>
          <w:rFonts w:eastAsia="Times New Roman" w:cs="Times New Roman"/>
          <w:sz w:val="24"/>
          <w:szCs w:val="24"/>
          <w:lang w:val="en-IE" w:eastAsia="ar-SA"/>
        </w:rPr>
      </w:pPr>
      <w:r w:rsidRPr="00E00869">
        <w:rPr>
          <w:rFonts w:eastAsia="Times New Roman" w:cs="Times New Roman"/>
          <w:sz w:val="24"/>
          <w:szCs w:val="24"/>
          <w:lang w:val="en-IE" w:eastAsia="ar-SA"/>
        </w:rPr>
        <w:t xml:space="preserve">Department of Education </w:t>
      </w:r>
      <w:r w:rsidR="00AF2CCC" w:rsidRPr="00E00869">
        <w:rPr>
          <w:rFonts w:eastAsia="Times New Roman" w:cs="Times New Roman"/>
          <w:sz w:val="24"/>
          <w:szCs w:val="24"/>
          <w:lang w:val="en-IE" w:eastAsia="ar-SA"/>
        </w:rPr>
        <w:t xml:space="preserve">and Skills </w:t>
      </w:r>
      <w:r w:rsidRPr="00E00869">
        <w:rPr>
          <w:rFonts w:eastAsia="Times New Roman" w:cs="Times New Roman"/>
          <w:sz w:val="24"/>
          <w:szCs w:val="24"/>
          <w:lang w:val="en-IE" w:eastAsia="ar-SA"/>
        </w:rPr>
        <w:t>(2013)</w:t>
      </w:r>
      <w:r w:rsidR="000F6D64">
        <w:rPr>
          <w:rFonts w:eastAsia="Times New Roman" w:cs="Times New Roman"/>
          <w:sz w:val="24"/>
          <w:szCs w:val="24"/>
          <w:lang w:val="en-IE" w:eastAsia="ar-SA"/>
        </w:rPr>
        <w:t xml:space="preserve">. </w:t>
      </w:r>
      <w:r w:rsidRPr="00A67BEC">
        <w:rPr>
          <w:rFonts w:eastAsia="Times New Roman" w:cs="Times New Roman"/>
          <w:i/>
          <w:sz w:val="24"/>
          <w:szCs w:val="24"/>
          <w:lang w:val="en-IE" w:eastAsia="ar-SA"/>
        </w:rPr>
        <w:t>Leaving Certificate Mathematics Syllabus: Foundat</w:t>
      </w:r>
      <w:r w:rsidR="000F6D64" w:rsidRPr="00A67BEC">
        <w:rPr>
          <w:rFonts w:eastAsia="Times New Roman" w:cs="Times New Roman"/>
          <w:i/>
          <w:sz w:val="24"/>
          <w:szCs w:val="24"/>
          <w:lang w:val="en-IE" w:eastAsia="ar-SA"/>
        </w:rPr>
        <w:t>ion, Ord</w:t>
      </w:r>
      <w:r w:rsidR="00A67BEC" w:rsidRPr="00A67BEC">
        <w:rPr>
          <w:rFonts w:eastAsia="Times New Roman" w:cs="Times New Roman"/>
          <w:i/>
          <w:sz w:val="24"/>
          <w:szCs w:val="24"/>
          <w:lang w:val="en-IE" w:eastAsia="ar-SA"/>
        </w:rPr>
        <w:t>inary and Higher Level</w:t>
      </w:r>
      <w:r w:rsidR="00A67BEC">
        <w:rPr>
          <w:rFonts w:eastAsia="Times New Roman" w:cs="Times New Roman"/>
          <w:sz w:val="24"/>
          <w:szCs w:val="24"/>
          <w:lang w:val="en-IE" w:eastAsia="ar-SA"/>
        </w:rPr>
        <w:t xml:space="preserve">. Dublin: </w:t>
      </w:r>
      <w:r w:rsidR="000F6D64">
        <w:rPr>
          <w:rFonts w:eastAsia="Times New Roman" w:cs="Times New Roman"/>
          <w:sz w:val="24"/>
          <w:szCs w:val="24"/>
          <w:lang w:val="en-IE" w:eastAsia="ar-SA"/>
        </w:rPr>
        <w:t>DES.</w:t>
      </w:r>
    </w:p>
    <w:p w:rsidR="00CD53FB" w:rsidRPr="00E00869" w:rsidRDefault="00203ADC" w:rsidP="00E00869">
      <w:pPr>
        <w:spacing w:after="0" w:line="260" w:lineRule="atLeast"/>
        <w:ind w:left="289" w:hanging="289"/>
        <w:rPr>
          <w:rFonts w:eastAsia="Times New Roman" w:cs="Times New Roman"/>
          <w:sz w:val="24"/>
          <w:szCs w:val="24"/>
          <w:lang w:val="en-IE" w:eastAsia="ar-SA"/>
        </w:rPr>
      </w:pPr>
      <w:r w:rsidRPr="00E00869">
        <w:rPr>
          <w:rFonts w:eastAsia="Times New Roman" w:cs="Times New Roman"/>
          <w:sz w:val="24"/>
          <w:szCs w:val="24"/>
          <w:lang w:val="en-US" w:eastAsia="ar-SA"/>
        </w:rPr>
        <w:t xml:space="preserve">Gill, O., </w:t>
      </w:r>
      <w:proofErr w:type="spellStart"/>
      <w:r w:rsidRPr="00E00869">
        <w:rPr>
          <w:rFonts w:eastAsia="Times New Roman" w:cs="Times New Roman"/>
          <w:sz w:val="24"/>
          <w:szCs w:val="24"/>
          <w:lang w:val="en-US" w:eastAsia="ar-SA"/>
        </w:rPr>
        <w:t>O’Donoghue</w:t>
      </w:r>
      <w:proofErr w:type="spellEnd"/>
      <w:r w:rsidRPr="00E00869">
        <w:rPr>
          <w:rFonts w:eastAsia="Times New Roman" w:cs="Times New Roman"/>
          <w:sz w:val="24"/>
          <w:szCs w:val="24"/>
          <w:lang w:val="en-US" w:eastAsia="ar-SA"/>
        </w:rPr>
        <w:t xml:space="preserve">, J., Faulkner, F., &amp; Hannigan, A. (2010). Trends in performance of science and technology students in Ireland. </w:t>
      </w:r>
      <w:r w:rsidRPr="00E00869">
        <w:rPr>
          <w:rFonts w:eastAsia="Times New Roman" w:cs="Times New Roman"/>
          <w:i/>
          <w:sz w:val="24"/>
          <w:szCs w:val="24"/>
          <w:lang w:val="en-US"/>
        </w:rPr>
        <w:t>International Journal of Mathematical Education in Science and Technology</w:t>
      </w:r>
      <w:r w:rsidRPr="00E00869">
        <w:rPr>
          <w:rFonts w:eastAsia="Times New Roman" w:cs="Times New Roman"/>
          <w:sz w:val="24"/>
          <w:szCs w:val="24"/>
          <w:lang w:val="en-US" w:eastAsia="ar-SA"/>
        </w:rPr>
        <w:t xml:space="preserve">, 41(3), 323–339. </w:t>
      </w:r>
      <w:bookmarkStart w:id="0" w:name="_Ref359624092"/>
      <w:bookmarkEnd w:id="0"/>
    </w:p>
    <w:p w:rsidR="00CD53FB" w:rsidRPr="00E00869" w:rsidRDefault="00203ADC" w:rsidP="00E00869">
      <w:pPr>
        <w:spacing w:after="0" w:line="260" w:lineRule="atLeast"/>
        <w:ind w:left="289" w:hanging="289"/>
        <w:rPr>
          <w:rFonts w:eastAsia="Times New Roman" w:cs="Times New Roman"/>
          <w:sz w:val="24"/>
          <w:szCs w:val="24"/>
          <w:lang w:val="en-US" w:eastAsia="ar-SA"/>
        </w:rPr>
      </w:pPr>
      <w:r w:rsidRPr="00E00869">
        <w:rPr>
          <w:rFonts w:eastAsia="Times New Roman" w:cs="Times New Roman"/>
          <w:sz w:val="24"/>
          <w:szCs w:val="24"/>
          <w:lang w:val="en-US" w:eastAsia="ar-SA"/>
        </w:rPr>
        <w:t xml:space="preserve">Higher Education Authority (2015). </w:t>
      </w:r>
      <w:r w:rsidRPr="00A67BEC">
        <w:rPr>
          <w:rFonts w:eastAsia="Times New Roman" w:cs="Times New Roman"/>
          <w:i/>
          <w:sz w:val="24"/>
          <w:szCs w:val="24"/>
          <w:lang w:val="en-US" w:eastAsia="ar-SA"/>
        </w:rPr>
        <w:t>Supporting a better transition from second level to higher education: Implementation and next steps.</w:t>
      </w:r>
      <w:r w:rsidRPr="00E00869">
        <w:rPr>
          <w:rFonts w:eastAsia="Times New Roman" w:cs="Times New Roman"/>
          <w:sz w:val="24"/>
          <w:szCs w:val="24"/>
          <w:lang w:val="en-US" w:eastAsia="ar-SA"/>
        </w:rPr>
        <w:t xml:space="preserve"> Dublin: Higher Education Authority. </w:t>
      </w:r>
    </w:p>
    <w:p w:rsidR="0061502C" w:rsidRPr="00E00869" w:rsidRDefault="0061502C" w:rsidP="00E00869">
      <w:pPr>
        <w:spacing w:after="0" w:line="260" w:lineRule="atLeast"/>
        <w:ind w:left="289" w:hanging="289"/>
        <w:rPr>
          <w:rFonts w:eastAsia="Times New Roman" w:cs="Times New Roman"/>
          <w:iCs/>
          <w:sz w:val="24"/>
          <w:szCs w:val="24"/>
          <w:lang w:val="en-IE"/>
        </w:rPr>
      </w:pPr>
      <w:proofErr w:type="spellStart"/>
      <w:r w:rsidRPr="00E00869">
        <w:rPr>
          <w:rFonts w:eastAsia="Times New Roman" w:cs="Times New Roman"/>
          <w:iCs/>
          <w:sz w:val="24"/>
          <w:szCs w:val="24"/>
          <w:lang w:val="en-IE"/>
        </w:rPr>
        <w:t>Hounsell</w:t>
      </w:r>
      <w:proofErr w:type="spellEnd"/>
      <w:r w:rsidR="000F6D64">
        <w:rPr>
          <w:rFonts w:eastAsia="Times New Roman" w:cs="Times New Roman"/>
          <w:iCs/>
          <w:sz w:val="24"/>
          <w:szCs w:val="24"/>
          <w:lang w:val="en-IE"/>
        </w:rPr>
        <w:t>,</w:t>
      </w:r>
      <w:r w:rsidRPr="00E00869">
        <w:rPr>
          <w:rFonts w:eastAsia="Times New Roman" w:cs="Times New Roman"/>
          <w:iCs/>
          <w:sz w:val="24"/>
          <w:szCs w:val="24"/>
          <w:lang w:val="en-IE"/>
        </w:rPr>
        <w:t xml:space="preserve"> D</w:t>
      </w:r>
      <w:r w:rsidR="000F6D64">
        <w:rPr>
          <w:rFonts w:eastAsia="Times New Roman" w:cs="Times New Roman"/>
          <w:iCs/>
          <w:sz w:val="24"/>
          <w:szCs w:val="24"/>
          <w:lang w:val="en-IE"/>
        </w:rPr>
        <w:t xml:space="preserve"> (2003)</w:t>
      </w:r>
      <w:r w:rsidRPr="00E00869">
        <w:rPr>
          <w:rFonts w:eastAsia="Times New Roman" w:cs="Times New Roman"/>
          <w:iCs/>
          <w:sz w:val="24"/>
          <w:szCs w:val="24"/>
          <w:lang w:val="en-IE"/>
        </w:rPr>
        <w:t xml:space="preserve">. The Evaluation of Teaching. In Fry H, </w:t>
      </w:r>
      <w:proofErr w:type="spellStart"/>
      <w:r w:rsidRPr="00E00869">
        <w:rPr>
          <w:rFonts w:eastAsia="Times New Roman" w:cs="Times New Roman"/>
          <w:iCs/>
          <w:sz w:val="24"/>
          <w:szCs w:val="24"/>
          <w:lang w:val="en-IE"/>
        </w:rPr>
        <w:t>Ketteridge</w:t>
      </w:r>
      <w:proofErr w:type="spellEnd"/>
      <w:r w:rsidRPr="00E00869">
        <w:rPr>
          <w:rFonts w:eastAsia="Times New Roman" w:cs="Times New Roman"/>
          <w:iCs/>
          <w:sz w:val="24"/>
          <w:szCs w:val="24"/>
          <w:lang w:val="en-IE"/>
        </w:rPr>
        <w:t xml:space="preserve"> S, Marshall S, editors, </w:t>
      </w:r>
      <w:r w:rsidRPr="00A67BEC">
        <w:rPr>
          <w:rFonts w:eastAsia="Times New Roman" w:cs="Times New Roman"/>
          <w:i/>
          <w:iCs/>
          <w:sz w:val="24"/>
          <w:szCs w:val="24"/>
          <w:lang w:val="en-IE"/>
        </w:rPr>
        <w:t>A Handbook for Teaching and Learning in Higher Education: Enhancing Academic Practice. 2nd Revised Edition</w:t>
      </w:r>
      <w:r w:rsidRPr="00E00869">
        <w:rPr>
          <w:rFonts w:eastAsia="Times New Roman" w:cs="Times New Roman"/>
          <w:iCs/>
          <w:sz w:val="24"/>
          <w:szCs w:val="24"/>
          <w:lang w:val="en-IE"/>
        </w:rPr>
        <w:t xml:space="preserve">. </w:t>
      </w:r>
      <w:proofErr w:type="spellStart"/>
      <w:r w:rsidRPr="00E00869">
        <w:rPr>
          <w:rFonts w:eastAsia="Times New Roman" w:cs="Times New Roman"/>
          <w:iCs/>
          <w:sz w:val="24"/>
          <w:szCs w:val="24"/>
          <w:lang w:val="en-IE"/>
        </w:rPr>
        <w:t>Kogan</w:t>
      </w:r>
      <w:proofErr w:type="spellEnd"/>
      <w:r w:rsidRPr="00E00869">
        <w:rPr>
          <w:rFonts w:eastAsia="Times New Roman" w:cs="Times New Roman"/>
          <w:iCs/>
          <w:sz w:val="24"/>
          <w:szCs w:val="24"/>
          <w:lang w:val="en-IE"/>
        </w:rPr>
        <w:t xml:space="preserve"> Page. p. 200-212.</w:t>
      </w:r>
    </w:p>
    <w:p w:rsidR="0061502C" w:rsidRPr="00E00869" w:rsidRDefault="0061502C" w:rsidP="00E00869">
      <w:pPr>
        <w:spacing w:after="0" w:line="260" w:lineRule="atLeast"/>
        <w:ind w:left="289" w:hanging="289"/>
        <w:rPr>
          <w:rFonts w:eastAsia="Times New Roman" w:cs="Times New Roman"/>
          <w:iCs/>
          <w:sz w:val="24"/>
          <w:szCs w:val="24"/>
          <w:lang w:val="en-IE"/>
        </w:rPr>
      </w:pPr>
      <w:r w:rsidRPr="00E00869">
        <w:rPr>
          <w:rFonts w:eastAsia="Times New Roman" w:cs="Times New Roman"/>
          <w:iCs/>
          <w:sz w:val="24"/>
          <w:szCs w:val="24"/>
          <w:lang w:val="en-IE"/>
        </w:rPr>
        <w:t>Horgan J.</w:t>
      </w:r>
      <w:r w:rsidR="000F6D64">
        <w:rPr>
          <w:rFonts w:eastAsia="Times New Roman" w:cs="Times New Roman"/>
          <w:iCs/>
          <w:sz w:val="24"/>
          <w:szCs w:val="24"/>
          <w:lang w:val="en-IE"/>
        </w:rPr>
        <w:t xml:space="preserve"> (2003)</w:t>
      </w:r>
      <w:r w:rsidRPr="00E00869">
        <w:rPr>
          <w:rFonts w:eastAsia="Times New Roman" w:cs="Times New Roman"/>
          <w:iCs/>
          <w:sz w:val="24"/>
          <w:szCs w:val="24"/>
          <w:lang w:val="en-IE"/>
        </w:rPr>
        <w:t xml:space="preserve"> Lecturing for Learning. In Fry H, </w:t>
      </w:r>
      <w:proofErr w:type="spellStart"/>
      <w:r w:rsidRPr="00E00869">
        <w:rPr>
          <w:rFonts w:eastAsia="Times New Roman" w:cs="Times New Roman"/>
          <w:iCs/>
          <w:sz w:val="24"/>
          <w:szCs w:val="24"/>
          <w:lang w:val="en-IE"/>
        </w:rPr>
        <w:t>Ketteridge</w:t>
      </w:r>
      <w:proofErr w:type="spellEnd"/>
      <w:r w:rsidRPr="00E00869">
        <w:rPr>
          <w:rFonts w:eastAsia="Times New Roman" w:cs="Times New Roman"/>
          <w:iCs/>
          <w:sz w:val="24"/>
          <w:szCs w:val="24"/>
          <w:lang w:val="en-IE"/>
        </w:rPr>
        <w:t xml:space="preserve"> S, Marshall S, editors, </w:t>
      </w:r>
      <w:r w:rsidRPr="00A67BEC">
        <w:rPr>
          <w:rFonts w:eastAsia="Times New Roman" w:cs="Times New Roman"/>
          <w:i/>
          <w:iCs/>
          <w:sz w:val="24"/>
          <w:szCs w:val="24"/>
          <w:lang w:val="en-IE"/>
        </w:rPr>
        <w:t>A Handbook for Teaching and Learning in Higher Education: Enhancing Academic Practice. 2nd</w:t>
      </w:r>
      <w:r w:rsidR="000F6D64" w:rsidRPr="00A67BEC">
        <w:rPr>
          <w:rFonts w:eastAsia="Times New Roman" w:cs="Times New Roman"/>
          <w:i/>
          <w:iCs/>
          <w:sz w:val="24"/>
          <w:szCs w:val="24"/>
          <w:lang w:val="en-IE"/>
        </w:rPr>
        <w:t xml:space="preserve"> Revised Edition</w:t>
      </w:r>
      <w:r w:rsidR="000F6D64">
        <w:rPr>
          <w:rFonts w:eastAsia="Times New Roman" w:cs="Times New Roman"/>
          <w:iCs/>
          <w:sz w:val="24"/>
          <w:szCs w:val="24"/>
          <w:lang w:val="en-IE"/>
        </w:rPr>
        <w:t xml:space="preserve">. </w:t>
      </w:r>
      <w:proofErr w:type="spellStart"/>
      <w:r w:rsidR="000F6D64">
        <w:rPr>
          <w:rFonts w:eastAsia="Times New Roman" w:cs="Times New Roman"/>
          <w:iCs/>
          <w:sz w:val="24"/>
          <w:szCs w:val="24"/>
          <w:lang w:val="en-IE"/>
        </w:rPr>
        <w:t>Kogan</w:t>
      </w:r>
      <w:proofErr w:type="spellEnd"/>
      <w:r w:rsidR="000F6D64">
        <w:rPr>
          <w:rFonts w:eastAsia="Times New Roman" w:cs="Times New Roman"/>
          <w:iCs/>
          <w:sz w:val="24"/>
          <w:szCs w:val="24"/>
          <w:lang w:val="en-IE"/>
        </w:rPr>
        <w:t xml:space="preserve"> Page.</w:t>
      </w:r>
      <w:r w:rsidRPr="00E00869">
        <w:rPr>
          <w:rFonts w:eastAsia="Times New Roman" w:cs="Times New Roman"/>
          <w:iCs/>
          <w:sz w:val="24"/>
          <w:szCs w:val="24"/>
          <w:lang w:val="en-IE"/>
        </w:rPr>
        <w:t xml:space="preserve"> p. 75-90.</w:t>
      </w:r>
    </w:p>
    <w:p w:rsidR="00EA1FA7" w:rsidRPr="00E00869" w:rsidRDefault="00203ADC" w:rsidP="00E00869">
      <w:pPr>
        <w:spacing w:after="0" w:line="260" w:lineRule="atLeast"/>
        <w:ind w:left="289" w:hanging="289"/>
        <w:rPr>
          <w:rFonts w:eastAsia="Times New Roman" w:cs="Times New Roman"/>
          <w:sz w:val="24"/>
          <w:szCs w:val="24"/>
          <w:lang w:val="en-IE" w:eastAsia="ar-SA"/>
        </w:rPr>
      </w:pPr>
      <w:proofErr w:type="spellStart"/>
      <w:r w:rsidRPr="00E00869">
        <w:rPr>
          <w:rFonts w:eastAsia="Times New Roman" w:cs="Times New Roman"/>
          <w:sz w:val="24"/>
          <w:szCs w:val="24"/>
          <w:lang w:val="en-US"/>
        </w:rPr>
        <w:t>Jeffes</w:t>
      </w:r>
      <w:proofErr w:type="spellEnd"/>
      <w:r w:rsidRPr="00E00869">
        <w:rPr>
          <w:rFonts w:eastAsia="Times New Roman" w:cs="Times New Roman"/>
          <w:sz w:val="24"/>
          <w:szCs w:val="24"/>
          <w:lang w:val="en-US"/>
        </w:rPr>
        <w:t xml:space="preserve">, J., Jones, E., Wilson, M., Lamont, E., Straw, S., </w:t>
      </w:r>
      <w:proofErr w:type="spellStart"/>
      <w:r w:rsidRPr="00E00869">
        <w:rPr>
          <w:rFonts w:eastAsia="Times New Roman" w:cs="Times New Roman"/>
          <w:sz w:val="24"/>
          <w:szCs w:val="24"/>
          <w:lang w:val="en-US"/>
        </w:rPr>
        <w:t>Wheater</w:t>
      </w:r>
      <w:proofErr w:type="spellEnd"/>
      <w:r w:rsidRPr="00E00869">
        <w:rPr>
          <w:rFonts w:eastAsia="Times New Roman" w:cs="Times New Roman"/>
          <w:sz w:val="24"/>
          <w:szCs w:val="24"/>
          <w:lang w:val="en-US"/>
        </w:rPr>
        <w:t xml:space="preserve">, R., &amp; Dawson, A. (2013). </w:t>
      </w:r>
      <w:r w:rsidRPr="00E00869">
        <w:rPr>
          <w:rFonts w:eastAsia="Times New Roman" w:cs="Times New Roman"/>
          <w:i/>
          <w:sz w:val="24"/>
          <w:szCs w:val="24"/>
          <w:lang w:val="en-US"/>
        </w:rPr>
        <w:t>Research into the impact of Project Maths</w:t>
      </w:r>
      <w:r w:rsidRPr="00E00869">
        <w:rPr>
          <w:rFonts w:eastAsia="Times New Roman" w:cs="Times New Roman"/>
          <w:sz w:val="24"/>
          <w:szCs w:val="24"/>
          <w:lang w:val="en-US"/>
        </w:rPr>
        <w:t>, Slough: NFER.</w:t>
      </w:r>
    </w:p>
    <w:p w:rsidR="00203ADC" w:rsidRPr="00E00869" w:rsidRDefault="00203ADC" w:rsidP="00E00869">
      <w:pPr>
        <w:spacing w:after="0" w:line="260" w:lineRule="atLeast"/>
        <w:ind w:left="289" w:hanging="289"/>
        <w:rPr>
          <w:rFonts w:eastAsia="Times New Roman" w:cs="Times New Roman"/>
          <w:sz w:val="24"/>
          <w:szCs w:val="24"/>
          <w:u w:val="single"/>
          <w:lang w:val="en-IE" w:eastAsia="ar-SA"/>
        </w:rPr>
      </w:pPr>
      <w:r w:rsidRPr="00E00869">
        <w:rPr>
          <w:rFonts w:eastAsia="Times New Roman" w:cs="Times New Roman"/>
          <w:sz w:val="24"/>
          <w:szCs w:val="24"/>
          <w:lang w:val="en-IE" w:eastAsia="ar-SA"/>
        </w:rPr>
        <w:t xml:space="preserve">Lawson, D., Croft, T., &amp; Waller, D. (2012). Mathematics support past, present and future. </w:t>
      </w:r>
      <w:r w:rsidRPr="00E00869">
        <w:rPr>
          <w:rFonts w:eastAsia="Times New Roman" w:cs="Times New Roman"/>
          <w:i/>
          <w:sz w:val="24"/>
          <w:szCs w:val="24"/>
          <w:lang w:val="en-US"/>
        </w:rPr>
        <w:t>Innovation, Practice and Research in Engineering Education.</w:t>
      </w:r>
      <w:r w:rsidRPr="00E00869">
        <w:rPr>
          <w:rFonts w:eastAsia="Times New Roman" w:cs="Times New Roman"/>
          <w:sz w:val="24"/>
          <w:szCs w:val="24"/>
          <w:lang w:val="en-IE" w:eastAsia="ar-SA"/>
        </w:rPr>
        <w:t xml:space="preserve"> Retrieved on 14/08/2015 from</w:t>
      </w:r>
      <w:r w:rsidRPr="00E00869">
        <w:rPr>
          <w:rFonts w:eastAsia="Times New Roman" w:cs="Times New Roman"/>
          <w:sz w:val="24"/>
          <w:szCs w:val="24"/>
          <w:lang w:val="en-US" w:eastAsia="ar-SA"/>
        </w:rPr>
        <w:t xml:space="preserve"> </w:t>
      </w:r>
      <w:hyperlink r:id="rId9" w:history="1">
        <w:r w:rsidR="00EA1FA7" w:rsidRPr="00E00869">
          <w:rPr>
            <w:rStyle w:val="Hyperlink"/>
            <w:rFonts w:eastAsia="Times New Roman" w:cs="Times New Roman"/>
            <w:sz w:val="24"/>
            <w:szCs w:val="24"/>
            <w:lang w:val="en-IE" w:eastAsia="ar-SA"/>
          </w:rPr>
          <w:t>http://www.academia.edu/2715773/Mathematics_support_past_present_and_future</w:t>
        </w:r>
      </w:hyperlink>
      <w:r w:rsidR="00EA1FA7" w:rsidRPr="00E00869">
        <w:rPr>
          <w:rFonts w:eastAsia="Times New Roman" w:cs="Times New Roman"/>
          <w:sz w:val="24"/>
          <w:szCs w:val="24"/>
          <w:u w:val="single"/>
          <w:lang w:val="en-IE" w:eastAsia="ar-SA"/>
        </w:rPr>
        <w:t xml:space="preserve">. </w:t>
      </w:r>
    </w:p>
    <w:p w:rsidR="0061502C" w:rsidRPr="00E00869" w:rsidRDefault="0061502C" w:rsidP="00E00869">
      <w:pPr>
        <w:spacing w:after="0" w:line="260" w:lineRule="atLeast"/>
        <w:ind w:left="289" w:hanging="289"/>
        <w:rPr>
          <w:rFonts w:eastAsia="Times New Roman" w:cs="Times New Roman"/>
          <w:sz w:val="24"/>
          <w:szCs w:val="24"/>
          <w:u w:val="single"/>
          <w:lang w:val="en-IE"/>
        </w:rPr>
      </w:pPr>
      <w:r w:rsidRPr="00E00869">
        <w:rPr>
          <w:rFonts w:eastAsia="Times New Roman" w:cs="Times New Roman"/>
          <w:sz w:val="24"/>
          <w:szCs w:val="24"/>
          <w:lang w:val="en-IE"/>
        </w:rPr>
        <w:t xml:space="preserve">Leaving Cert: higher maths paper 1 ‘easiest on record’ (2015, June 24). The Irish Times. Retrieved on 21/10/2015 from </w:t>
      </w:r>
      <w:hyperlink r:id="rId10" w:history="1">
        <w:r w:rsidRPr="00E00869">
          <w:rPr>
            <w:rStyle w:val="Hyperlink"/>
            <w:rFonts w:eastAsia="Times New Roman" w:cs="Times New Roman"/>
            <w:sz w:val="24"/>
            <w:szCs w:val="24"/>
            <w:lang w:val="en-IE"/>
          </w:rPr>
          <w:t>http://www.irishtimes.com/news/education/leaving-cert-higher-maths-paper-1-easiest-on-record-1.2240566</w:t>
        </w:r>
      </w:hyperlink>
      <w:r w:rsidRPr="00E00869">
        <w:rPr>
          <w:rFonts w:eastAsia="Times New Roman" w:cs="Times New Roman"/>
          <w:sz w:val="24"/>
          <w:szCs w:val="24"/>
          <w:u w:val="single"/>
          <w:lang w:val="en-IE"/>
        </w:rPr>
        <w:t xml:space="preserve"> </w:t>
      </w:r>
    </w:p>
    <w:p w:rsidR="0061502C" w:rsidRPr="00E00869" w:rsidRDefault="0061502C" w:rsidP="00E00869">
      <w:pPr>
        <w:spacing w:after="0" w:line="260" w:lineRule="atLeast"/>
        <w:ind w:left="289" w:hanging="289"/>
        <w:rPr>
          <w:rFonts w:eastAsia="Times New Roman" w:cs="Times New Roman"/>
          <w:i/>
          <w:iCs/>
          <w:sz w:val="24"/>
          <w:szCs w:val="24"/>
          <w:lang w:val="en-US"/>
        </w:rPr>
      </w:pPr>
      <w:proofErr w:type="spellStart"/>
      <w:r w:rsidRPr="00E00869">
        <w:rPr>
          <w:rFonts w:eastAsia="Times New Roman" w:cs="Times New Roman"/>
          <w:iCs/>
          <w:sz w:val="24"/>
          <w:szCs w:val="24"/>
          <w:lang w:val="en-US"/>
        </w:rPr>
        <w:t>McKeachie</w:t>
      </w:r>
      <w:proofErr w:type="spellEnd"/>
      <w:r w:rsidR="000F6D64">
        <w:rPr>
          <w:rFonts w:eastAsia="Times New Roman" w:cs="Times New Roman"/>
          <w:iCs/>
          <w:sz w:val="24"/>
          <w:szCs w:val="24"/>
          <w:lang w:val="en-US"/>
        </w:rPr>
        <w:t>,</w:t>
      </w:r>
      <w:r w:rsidRPr="00E00869">
        <w:rPr>
          <w:rFonts w:eastAsia="Times New Roman" w:cs="Times New Roman"/>
          <w:iCs/>
          <w:sz w:val="24"/>
          <w:szCs w:val="24"/>
          <w:lang w:val="en-US"/>
        </w:rPr>
        <w:t xml:space="preserve"> W.J.</w:t>
      </w:r>
      <w:r w:rsidR="000F6D64">
        <w:rPr>
          <w:rFonts w:eastAsia="Times New Roman" w:cs="Times New Roman"/>
          <w:iCs/>
          <w:sz w:val="24"/>
          <w:szCs w:val="24"/>
          <w:lang w:val="en-US"/>
        </w:rPr>
        <w:t xml:space="preserve"> (1994).</w:t>
      </w:r>
      <w:r w:rsidRPr="00E00869">
        <w:rPr>
          <w:rFonts w:eastAsia="Times New Roman" w:cs="Times New Roman"/>
          <w:iCs/>
          <w:sz w:val="24"/>
          <w:szCs w:val="24"/>
          <w:lang w:val="en-US"/>
        </w:rPr>
        <w:t xml:space="preserve"> </w:t>
      </w:r>
      <w:r w:rsidRPr="000F6D64">
        <w:rPr>
          <w:rFonts w:eastAsia="Times New Roman" w:cs="Times New Roman"/>
          <w:i/>
          <w:iCs/>
          <w:sz w:val="24"/>
          <w:szCs w:val="24"/>
          <w:lang w:val="en-US"/>
        </w:rPr>
        <w:t xml:space="preserve">Teaching Tips: Strategies, research and theory for college and university </w:t>
      </w:r>
      <w:r w:rsidRPr="000F6D64">
        <w:rPr>
          <w:rFonts w:eastAsia="Times New Roman" w:cs="Times New Roman"/>
          <w:i/>
          <w:iCs/>
          <w:sz w:val="24"/>
          <w:szCs w:val="24"/>
          <w:lang w:val="en-IE"/>
        </w:rPr>
        <w:t>teachers</w:t>
      </w:r>
      <w:r w:rsidRPr="00E00869">
        <w:rPr>
          <w:rFonts w:eastAsia="Times New Roman" w:cs="Times New Roman"/>
          <w:iCs/>
          <w:sz w:val="24"/>
          <w:szCs w:val="24"/>
          <w:lang w:val="en-IE"/>
        </w:rPr>
        <w:t>. Lexington, M</w:t>
      </w:r>
      <w:r w:rsidR="000F6D64">
        <w:rPr>
          <w:rFonts w:eastAsia="Times New Roman" w:cs="Times New Roman"/>
          <w:iCs/>
          <w:sz w:val="24"/>
          <w:szCs w:val="24"/>
          <w:lang w:val="en-IE"/>
        </w:rPr>
        <w:t>assachusetts: Heath and Co.</w:t>
      </w:r>
    </w:p>
    <w:p w:rsidR="00203ADC" w:rsidRPr="00E00869" w:rsidRDefault="00203ADC" w:rsidP="00E00869">
      <w:pPr>
        <w:spacing w:after="0" w:line="260" w:lineRule="atLeast"/>
        <w:ind w:left="289" w:hanging="289"/>
        <w:rPr>
          <w:rFonts w:eastAsia="Times New Roman" w:cs="Times New Roman"/>
          <w:sz w:val="24"/>
          <w:szCs w:val="24"/>
          <w:lang w:val="en-IE"/>
        </w:rPr>
      </w:pPr>
      <w:r w:rsidRPr="00E00869">
        <w:rPr>
          <w:rFonts w:eastAsia="Times New Roman" w:cs="Times New Roman"/>
          <w:sz w:val="24"/>
          <w:szCs w:val="24"/>
          <w:lang w:val="en-IE"/>
        </w:rPr>
        <w:t xml:space="preserve">McCoy, S. (2014). </w:t>
      </w:r>
      <w:r w:rsidRPr="00E00869">
        <w:rPr>
          <w:rFonts w:eastAsia="Times New Roman" w:cs="Times New Roman"/>
          <w:i/>
          <w:sz w:val="24"/>
          <w:szCs w:val="24"/>
          <w:lang w:val="en-IE"/>
        </w:rPr>
        <w:t>Leaving School in Ireland: a longitudinal study of post school transitions</w:t>
      </w:r>
      <w:r w:rsidRPr="00E00869">
        <w:rPr>
          <w:rFonts w:eastAsia="Times New Roman" w:cs="Times New Roman"/>
          <w:sz w:val="24"/>
          <w:szCs w:val="24"/>
          <w:lang w:val="en-IE"/>
        </w:rPr>
        <w:t>. Dublin:</w:t>
      </w:r>
      <w:r w:rsidRPr="00E00869">
        <w:rPr>
          <w:rFonts w:eastAsia="Times New Roman" w:cs="Times New Roman"/>
          <w:sz w:val="24"/>
          <w:szCs w:val="24"/>
          <w:lang w:val="en-US" w:eastAsia="ar-SA"/>
        </w:rPr>
        <w:t xml:space="preserve"> </w:t>
      </w:r>
      <w:r w:rsidRPr="00E00869">
        <w:rPr>
          <w:rFonts w:eastAsia="Times New Roman" w:cs="Times New Roman"/>
          <w:sz w:val="24"/>
          <w:szCs w:val="24"/>
          <w:lang w:val="en-IE"/>
        </w:rPr>
        <w:t>ESRI.</w:t>
      </w:r>
    </w:p>
    <w:p w:rsidR="001A42DD" w:rsidRDefault="00203ADC" w:rsidP="001A42DD">
      <w:pPr>
        <w:spacing w:after="0" w:line="260" w:lineRule="atLeast"/>
        <w:ind w:left="289" w:hanging="289"/>
        <w:rPr>
          <w:rFonts w:eastAsia="Times New Roman" w:cs="Times New Roman"/>
          <w:sz w:val="24"/>
          <w:szCs w:val="24"/>
          <w:u w:val="single"/>
          <w:lang w:val="en-US"/>
        </w:rPr>
      </w:pPr>
      <w:r w:rsidRPr="00E00869">
        <w:rPr>
          <w:rFonts w:eastAsia="Times New Roman" w:cs="Times New Roman"/>
          <w:sz w:val="24"/>
          <w:szCs w:val="24"/>
          <w:lang w:val="en-US"/>
        </w:rPr>
        <w:t>National Council for Curriculum and Assessment (2015)</w:t>
      </w:r>
      <w:r w:rsidR="00A67BEC">
        <w:rPr>
          <w:rFonts w:eastAsia="Times New Roman" w:cs="Times New Roman"/>
          <w:sz w:val="24"/>
          <w:szCs w:val="24"/>
          <w:lang w:val="en-US"/>
        </w:rPr>
        <w:t xml:space="preserve">. </w:t>
      </w:r>
      <w:r w:rsidRPr="00A67BEC">
        <w:rPr>
          <w:rFonts w:eastAsia="Times New Roman" w:cs="Times New Roman"/>
          <w:i/>
          <w:sz w:val="24"/>
          <w:szCs w:val="24"/>
          <w:lang w:val="en-US"/>
        </w:rPr>
        <w:t>Project Mat</w:t>
      </w:r>
      <w:r w:rsidR="00A67BEC" w:rsidRPr="00A67BEC">
        <w:rPr>
          <w:rFonts w:eastAsia="Times New Roman" w:cs="Times New Roman"/>
          <w:i/>
          <w:sz w:val="24"/>
          <w:szCs w:val="24"/>
          <w:lang w:val="en-US"/>
        </w:rPr>
        <w:t>hs Frequently Asked Questions</w:t>
      </w:r>
      <w:r w:rsidR="00A67BEC">
        <w:rPr>
          <w:rFonts w:eastAsia="Times New Roman" w:cs="Times New Roman"/>
          <w:sz w:val="24"/>
          <w:szCs w:val="24"/>
          <w:lang w:val="en-US"/>
        </w:rPr>
        <w:t xml:space="preserve">. </w:t>
      </w:r>
      <w:r w:rsidR="00A67BEC">
        <w:rPr>
          <w:rFonts w:eastAsia="Times New Roman" w:cs="Times New Roman"/>
          <w:sz w:val="24"/>
          <w:szCs w:val="24"/>
          <w:lang w:val="en-IE" w:eastAsia="ar-SA"/>
        </w:rPr>
        <w:t>Retrieved on 23/11</w:t>
      </w:r>
      <w:r w:rsidR="00A67BEC" w:rsidRPr="00E00869">
        <w:rPr>
          <w:rFonts w:eastAsia="Times New Roman" w:cs="Times New Roman"/>
          <w:sz w:val="24"/>
          <w:szCs w:val="24"/>
          <w:lang w:val="en-IE" w:eastAsia="ar-SA"/>
        </w:rPr>
        <w:t>/2015 from</w:t>
      </w:r>
      <w:r w:rsidR="00A67BEC" w:rsidRPr="00E00869">
        <w:rPr>
          <w:rFonts w:eastAsia="Times New Roman" w:cs="Times New Roman"/>
          <w:sz w:val="24"/>
          <w:szCs w:val="24"/>
          <w:lang w:val="en-US" w:eastAsia="ar-SA"/>
        </w:rPr>
        <w:t xml:space="preserve"> </w:t>
      </w:r>
      <w:hyperlink r:id="rId11" w:history="1">
        <w:r w:rsidR="00EA1FA7" w:rsidRPr="00E00869">
          <w:rPr>
            <w:rStyle w:val="Hyperlink"/>
            <w:rFonts w:eastAsia="Times New Roman" w:cs="Times New Roman"/>
            <w:sz w:val="24"/>
            <w:szCs w:val="24"/>
            <w:lang w:val="en-US"/>
          </w:rPr>
          <w:t>http://www.ncca.ie/en/Curriculum_and_Assessment/Post-Primary_Education/Project_Maths/</w:t>
        </w:r>
      </w:hyperlink>
      <w:r w:rsidR="00EA1FA7" w:rsidRPr="00E00869">
        <w:rPr>
          <w:rFonts w:eastAsia="Times New Roman" w:cs="Times New Roman"/>
          <w:sz w:val="24"/>
          <w:szCs w:val="24"/>
          <w:u w:val="single"/>
          <w:lang w:val="en-US"/>
        </w:rPr>
        <w:t xml:space="preserve">. </w:t>
      </w:r>
    </w:p>
    <w:p w:rsidR="001A42DD" w:rsidRPr="001A42DD" w:rsidRDefault="001A42DD" w:rsidP="001A42DD">
      <w:pPr>
        <w:spacing w:after="0" w:line="260" w:lineRule="atLeast"/>
        <w:ind w:left="289" w:hanging="289"/>
        <w:rPr>
          <w:rFonts w:eastAsia="Times New Roman" w:cs="Times New Roman"/>
          <w:sz w:val="24"/>
          <w:szCs w:val="24"/>
          <w:lang w:val="en-IE"/>
        </w:rPr>
      </w:pPr>
      <w:r w:rsidRPr="001A42DD">
        <w:rPr>
          <w:rFonts w:eastAsia="Times New Roman" w:cs="Times New Roman"/>
          <w:sz w:val="24"/>
          <w:szCs w:val="24"/>
          <w:lang w:val="en-IE"/>
        </w:rPr>
        <w:t>Pr</w:t>
      </w:r>
      <w:r>
        <w:rPr>
          <w:rFonts w:eastAsia="Times New Roman" w:cs="Times New Roman"/>
          <w:sz w:val="24"/>
          <w:szCs w:val="24"/>
          <w:lang w:val="en-IE"/>
        </w:rPr>
        <w:t xml:space="preserve">endergast, M., &amp; </w:t>
      </w:r>
      <w:proofErr w:type="spellStart"/>
      <w:r>
        <w:rPr>
          <w:rFonts w:eastAsia="Times New Roman" w:cs="Times New Roman"/>
          <w:sz w:val="24"/>
          <w:szCs w:val="24"/>
          <w:lang w:val="en-IE"/>
        </w:rPr>
        <w:t>O’Donoghue</w:t>
      </w:r>
      <w:proofErr w:type="spellEnd"/>
      <w:r>
        <w:rPr>
          <w:rFonts w:eastAsia="Times New Roman" w:cs="Times New Roman"/>
          <w:sz w:val="24"/>
          <w:szCs w:val="24"/>
          <w:lang w:val="en-IE"/>
        </w:rPr>
        <w:t>, J.</w:t>
      </w:r>
      <w:r w:rsidRPr="001A42DD">
        <w:rPr>
          <w:rFonts w:eastAsia="Times New Roman" w:cs="Times New Roman"/>
          <w:sz w:val="24"/>
          <w:szCs w:val="24"/>
          <w:lang w:val="en-IE"/>
        </w:rPr>
        <w:t xml:space="preserve"> (2014). ‘Students enjoyed and talked about the classes in the corridors’: pedagogical framework promoting interest in algebra. </w:t>
      </w:r>
      <w:r w:rsidRPr="001A42DD">
        <w:rPr>
          <w:rFonts w:eastAsia="Times New Roman" w:cs="Times New Roman"/>
          <w:i/>
          <w:sz w:val="24"/>
          <w:szCs w:val="24"/>
          <w:lang w:val="en-IE"/>
        </w:rPr>
        <w:t>International Journal of Mathematical Education in Science and Technology</w:t>
      </w:r>
      <w:r w:rsidRPr="001A42DD">
        <w:rPr>
          <w:rFonts w:eastAsia="Times New Roman" w:cs="Times New Roman"/>
          <w:sz w:val="24"/>
          <w:szCs w:val="24"/>
          <w:lang w:val="en-IE"/>
        </w:rPr>
        <w:t>, 45(6), 795-812.</w:t>
      </w:r>
    </w:p>
    <w:p w:rsidR="00A44C8D" w:rsidRDefault="001A42DD" w:rsidP="00A44C8D">
      <w:pPr>
        <w:spacing w:after="0" w:line="260" w:lineRule="atLeast"/>
        <w:ind w:left="289" w:hanging="289"/>
        <w:rPr>
          <w:rFonts w:eastAsia="Times New Roman" w:cs="Times New Roman"/>
          <w:sz w:val="24"/>
          <w:szCs w:val="24"/>
          <w:lang w:val="en-IE"/>
        </w:rPr>
      </w:pPr>
      <w:r>
        <w:rPr>
          <w:rFonts w:eastAsia="Times New Roman" w:cs="Times New Roman"/>
          <w:sz w:val="24"/>
          <w:szCs w:val="24"/>
          <w:lang w:val="en-IE"/>
        </w:rPr>
        <w:t>Prendergast, M., &amp; Treacy, P.</w:t>
      </w:r>
      <w:r w:rsidRPr="001A42DD">
        <w:rPr>
          <w:rFonts w:eastAsia="Times New Roman" w:cs="Times New Roman"/>
          <w:sz w:val="24"/>
          <w:szCs w:val="24"/>
          <w:lang w:val="en-IE"/>
        </w:rPr>
        <w:t xml:space="preserve"> (2015). Analys</w:t>
      </w:r>
      <w:r w:rsidR="00A44C8D">
        <w:rPr>
          <w:rFonts w:eastAsia="Times New Roman" w:cs="Times New Roman"/>
          <w:sz w:val="24"/>
          <w:szCs w:val="24"/>
          <w:lang w:val="en-IE"/>
        </w:rPr>
        <w:t xml:space="preserve">ing Ireland’s ‘Algebra Problem’. </w:t>
      </w:r>
      <w:r w:rsidR="00A44C8D" w:rsidRPr="00A44C8D">
        <w:rPr>
          <w:rFonts w:eastAsia="Times New Roman" w:cs="Times New Roman"/>
          <w:i/>
          <w:sz w:val="24"/>
          <w:szCs w:val="24"/>
          <w:lang w:val="en-IE"/>
        </w:rPr>
        <w:t xml:space="preserve">In </w:t>
      </w:r>
      <w:r w:rsidR="00A44C8D" w:rsidRPr="00A44C8D">
        <w:rPr>
          <w:rFonts w:eastAsia="Times New Roman" w:cs="Times New Roman"/>
          <w:i/>
          <w:sz w:val="24"/>
          <w:szCs w:val="24"/>
        </w:rPr>
        <w:t>p</w:t>
      </w:r>
      <w:r w:rsidR="00A44C8D" w:rsidRPr="00A44C8D">
        <w:rPr>
          <w:rFonts w:eastAsia="Times New Roman" w:cs="Times New Roman"/>
          <w:i/>
          <w:sz w:val="24"/>
          <w:szCs w:val="24"/>
        </w:rPr>
        <w:t>roceedings of the Ninth Congress of the European Society for Research in Mathematics Education</w:t>
      </w:r>
      <w:r w:rsidR="00A44C8D" w:rsidRPr="00A44C8D">
        <w:rPr>
          <w:rFonts w:eastAsia="Times New Roman" w:cs="Times New Roman"/>
          <w:i/>
          <w:sz w:val="24"/>
          <w:szCs w:val="24"/>
          <w:lang w:val="en-IE"/>
        </w:rPr>
        <w:t xml:space="preserve"> </w:t>
      </w:r>
      <w:r w:rsidR="00A44C8D">
        <w:rPr>
          <w:rFonts w:eastAsia="Times New Roman" w:cs="Times New Roman"/>
          <w:sz w:val="24"/>
          <w:szCs w:val="24"/>
          <w:lang w:val="en-IE"/>
        </w:rPr>
        <w:t>(</w:t>
      </w:r>
      <w:r w:rsidR="00A44C8D">
        <w:rPr>
          <w:rFonts w:eastAsia="Times New Roman" w:cs="Times New Roman"/>
          <w:sz w:val="24"/>
          <w:szCs w:val="24"/>
        </w:rPr>
        <w:t>CERME 9),</w:t>
      </w:r>
      <w:r w:rsidR="00A44C8D" w:rsidRPr="00A44C8D">
        <w:rPr>
          <w:rFonts w:eastAsia="Times New Roman" w:cs="Times New Roman"/>
          <w:sz w:val="24"/>
          <w:szCs w:val="24"/>
        </w:rPr>
        <w:t xml:space="preserve"> </w:t>
      </w:r>
      <w:r w:rsidR="00A44C8D" w:rsidRPr="00A44C8D">
        <w:rPr>
          <w:rFonts w:eastAsia="Times New Roman" w:cs="Times New Roman"/>
          <w:sz w:val="24"/>
          <w:szCs w:val="24"/>
        </w:rPr>
        <w:t>pp.460-466</w:t>
      </w:r>
      <w:r w:rsidR="00A44C8D">
        <w:rPr>
          <w:rFonts w:eastAsia="Times New Roman" w:cs="Times New Roman"/>
          <w:sz w:val="24"/>
          <w:szCs w:val="24"/>
        </w:rPr>
        <w:t xml:space="preserve">, </w:t>
      </w:r>
      <w:r w:rsidR="00A44C8D" w:rsidRPr="00A44C8D">
        <w:rPr>
          <w:rFonts w:eastAsia="Times New Roman" w:cs="Times New Roman"/>
          <w:sz w:val="24"/>
          <w:szCs w:val="24"/>
        </w:rPr>
        <w:t xml:space="preserve">Prague, Czech Republic., </w:t>
      </w:r>
      <w:bookmarkStart w:id="1" w:name="_GoBack"/>
      <w:bookmarkEnd w:id="1"/>
    </w:p>
    <w:p w:rsidR="0061502C" w:rsidRPr="00A44C8D" w:rsidRDefault="00203ADC" w:rsidP="00A44C8D">
      <w:pPr>
        <w:spacing w:after="0" w:line="260" w:lineRule="atLeast"/>
        <w:ind w:left="289" w:hanging="289"/>
        <w:rPr>
          <w:rFonts w:eastAsia="Times New Roman" w:cs="Times New Roman"/>
          <w:sz w:val="24"/>
          <w:szCs w:val="24"/>
          <w:lang w:val="en-IE"/>
        </w:rPr>
      </w:pPr>
      <w:proofErr w:type="spellStart"/>
      <w:r w:rsidRPr="00E00869">
        <w:rPr>
          <w:rFonts w:eastAsia="Times New Roman" w:cs="Times New Roman"/>
          <w:sz w:val="24"/>
          <w:szCs w:val="24"/>
          <w:lang w:val="en-US" w:eastAsia="ar-SA"/>
        </w:rPr>
        <w:t>Rylands</w:t>
      </w:r>
      <w:proofErr w:type="spellEnd"/>
      <w:r w:rsidRPr="00E00869">
        <w:rPr>
          <w:rFonts w:eastAsia="Times New Roman" w:cs="Times New Roman"/>
          <w:sz w:val="24"/>
          <w:szCs w:val="24"/>
          <w:lang w:val="en-US" w:eastAsia="ar-SA"/>
        </w:rPr>
        <w:t xml:space="preserve">, L., &amp; </w:t>
      </w:r>
      <w:proofErr w:type="spellStart"/>
      <w:r w:rsidRPr="00E00869">
        <w:rPr>
          <w:rFonts w:eastAsia="Times New Roman" w:cs="Times New Roman"/>
          <w:sz w:val="24"/>
          <w:szCs w:val="24"/>
          <w:lang w:val="en-US" w:eastAsia="ar-SA"/>
        </w:rPr>
        <w:t>Coady</w:t>
      </w:r>
      <w:proofErr w:type="spellEnd"/>
      <w:r w:rsidRPr="00E00869">
        <w:rPr>
          <w:rFonts w:eastAsia="Times New Roman" w:cs="Times New Roman"/>
          <w:sz w:val="24"/>
          <w:szCs w:val="24"/>
          <w:lang w:val="en-US" w:eastAsia="ar-SA"/>
        </w:rPr>
        <w:t xml:space="preserve">, C. (2009). Performance of students with weak mathematics in first-year mathematics and science. </w:t>
      </w:r>
      <w:r w:rsidRPr="00E00869">
        <w:rPr>
          <w:rFonts w:eastAsia="Times New Roman" w:cs="Times New Roman"/>
          <w:i/>
          <w:sz w:val="24"/>
          <w:szCs w:val="24"/>
          <w:lang w:val="en-US"/>
        </w:rPr>
        <w:t>International Journal of Mathematical Education in Science and Technology</w:t>
      </w:r>
      <w:r w:rsidRPr="00E00869">
        <w:rPr>
          <w:rFonts w:eastAsia="Times New Roman" w:cs="Times New Roman"/>
          <w:sz w:val="24"/>
          <w:szCs w:val="24"/>
          <w:lang w:val="en-US" w:eastAsia="ar-SA"/>
        </w:rPr>
        <w:t>, 40 (6),</w:t>
      </w:r>
      <w:r w:rsidR="00A67BEC">
        <w:rPr>
          <w:rFonts w:eastAsia="Times New Roman" w:cs="Times New Roman"/>
          <w:sz w:val="24"/>
          <w:szCs w:val="24"/>
          <w:lang w:val="en-US" w:eastAsia="ar-SA"/>
        </w:rPr>
        <w:t xml:space="preserve"> </w:t>
      </w:r>
      <w:r w:rsidRPr="00E00869">
        <w:rPr>
          <w:rFonts w:eastAsia="Times New Roman" w:cs="Times New Roman"/>
          <w:sz w:val="24"/>
          <w:szCs w:val="24"/>
          <w:lang w:val="en-US" w:eastAsia="ar-SA"/>
        </w:rPr>
        <w:t>741–753.</w:t>
      </w:r>
    </w:p>
    <w:p w:rsidR="0061502C" w:rsidRPr="00E00869" w:rsidRDefault="0061502C" w:rsidP="00E00869">
      <w:pPr>
        <w:spacing w:after="0" w:line="260" w:lineRule="atLeast"/>
        <w:ind w:left="289" w:hanging="289"/>
        <w:rPr>
          <w:rFonts w:eastAsia="Times New Roman" w:cs="Times New Roman"/>
          <w:sz w:val="24"/>
          <w:szCs w:val="24"/>
          <w:lang w:val="en-US" w:eastAsia="ar-SA"/>
        </w:rPr>
      </w:pPr>
      <w:r w:rsidRPr="00E00869">
        <w:rPr>
          <w:rFonts w:eastAsia="MS Mincho" w:cs="Times New Roman"/>
          <w:sz w:val="24"/>
          <w:szCs w:val="24"/>
          <w:lang w:eastAsia="ja-JP"/>
        </w:rPr>
        <w:t>Smith, A. (2004)</w:t>
      </w:r>
      <w:r w:rsidR="00A67BEC">
        <w:rPr>
          <w:rFonts w:eastAsia="MS Mincho" w:cs="Times New Roman"/>
          <w:sz w:val="24"/>
          <w:szCs w:val="24"/>
          <w:lang w:eastAsia="ja-JP"/>
        </w:rPr>
        <w:t>.</w:t>
      </w:r>
      <w:r w:rsidRPr="00E00869">
        <w:rPr>
          <w:rFonts w:eastAsia="MS Mincho" w:cs="Times New Roman"/>
          <w:sz w:val="24"/>
          <w:szCs w:val="24"/>
          <w:lang w:eastAsia="ja-JP"/>
        </w:rPr>
        <w:t xml:space="preserve"> </w:t>
      </w:r>
      <w:r w:rsidRPr="00E00869">
        <w:rPr>
          <w:rFonts w:eastAsia="MS Mincho" w:cs="Times New Roman"/>
          <w:i/>
          <w:sz w:val="24"/>
          <w:szCs w:val="24"/>
          <w:lang w:eastAsia="ja-JP"/>
        </w:rPr>
        <w:t>Making Mathematics Count – The Report of professor Adrian Smith’s Inquiry into Post – 14 Mathematics Education</w:t>
      </w:r>
      <w:r w:rsidR="00A67BEC">
        <w:rPr>
          <w:rFonts w:eastAsia="MS Mincho" w:cs="Times New Roman"/>
          <w:i/>
          <w:sz w:val="24"/>
          <w:szCs w:val="24"/>
          <w:lang w:eastAsia="ja-JP"/>
        </w:rPr>
        <w:t>.</w:t>
      </w:r>
      <w:r w:rsidRPr="00E00869">
        <w:rPr>
          <w:rFonts w:eastAsia="MS Mincho" w:cs="Times New Roman"/>
          <w:sz w:val="24"/>
          <w:szCs w:val="24"/>
          <w:lang w:eastAsia="ja-JP"/>
        </w:rPr>
        <w:t xml:space="preserve"> </w:t>
      </w:r>
      <w:r w:rsidR="00A67BEC">
        <w:rPr>
          <w:rFonts w:eastAsia="MS Mincho" w:cs="Times New Roman"/>
          <w:sz w:val="24"/>
          <w:szCs w:val="24"/>
          <w:lang w:eastAsia="ja-JP"/>
        </w:rPr>
        <w:t xml:space="preserve">London: </w:t>
      </w:r>
      <w:r w:rsidRPr="00E00869">
        <w:rPr>
          <w:rFonts w:eastAsia="MS Mincho" w:cs="Times New Roman"/>
          <w:sz w:val="24"/>
          <w:szCs w:val="24"/>
          <w:lang w:eastAsia="ja-JP"/>
        </w:rPr>
        <w:t>The Stationary Office Limited.</w:t>
      </w:r>
    </w:p>
    <w:p w:rsidR="00203ADC" w:rsidRPr="00E00869" w:rsidRDefault="00203ADC" w:rsidP="00E00869">
      <w:pPr>
        <w:spacing w:after="0" w:line="260" w:lineRule="atLeast"/>
        <w:ind w:left="289" w:hanging="289"/>
        <w:rPr>
          <w:rFonts w:eastAsia="Times New Roman" w:cs="Times New Roman"/>
          <w:sz w:val="24"/>
          <w:szCs w:val="24"/>
          <w:lang w:val="en-IE"/>
        </w:rPr>
      </w:pPr>
      <w:r w:rsidRPr="00E00869">
        <w:rPr>
          <w:rFonts w:eastAsia="Times New Roman" w:cs="Times New Roman"/>
          <w:sz w:val="24"/>
          <w:szCs w:val="24"/>
          <w:lang w:val="en-US"/>
        </w:rPr>
        <w:t xml:space="preserve">Treacy, P. &amp; Faulkner, F. (2015). Trends in basic mathematical competencies of beginning undergraduates in Ireland, 2003–2013, </w:t>
      </w:r>
      <w:r w:rsidRPr="00E00869">
        <w:rPr>
          <w:rFonts w:eastAsia="Times New Roman" w:cs="Times New Roman"/>
          <w:i/>
          <w:sz w:val="24"/>
          <w:szCs w:val="24"/>
          <w:lang w:val="en-US"/>
        </w:rPr>
        <w:t>International Journal of Mathematical Education in Science and Technology</w:t>
      </w:r>
      <w:r w:rsidRPr="00E00869">
        <w:rPr>
          <w:rFonts w:eastAsia="Times New Roman" w:cs="Times New Roman"/>
          <w:sz w:val="24"/>
          <w:szCs w:val="24"/>
          <w:lang w:val="en-US"/>
        </w:rPr>
        <w:t>, DOI: 10.1080/0020739X.2015.1050707.</w:t>
      </w:r>
    </w:p>
    <w:p w:rsidR="006F4277" w:rsidRPr="00E00869" w:rsidRDefault="006F4277" w:rsidP="00E00869">
      <w:pPr>
        <w:spacing w:after="0" w:line="260" w:lineRule="atLeast"/>
        <w:ind w:left="289" w:hanging="289"/>
        <w:rPr>
          <w:rFonts w:eastAsia="Times New Roman" w:cs="Times New Roman"/>
          <w:iCs/>
          <w:sz w:val="24"/>
          <w:szCs w:val="24"/>
          <w:lang w:val="en-IE"/>
        </w:rPr>
      </w:pPr>
    </w:p>
    <w:p w:rsidR="00923E75" w:rsidRPr="00CD53FB" w:rsidRDefault="00923E75" w:rsidP="0061502C">
      <w:pPr>
        <w:spacing w:after="0" w:line="260" w:lineRule="atLeast"/>
        <w:rPr>
          <w:rFonts w:eastAsia="Times New Roman" w:cs="Times New Roman"/>
          <w:sz w:val="24"/>
          <w:szCs w:val="24"/>
          <w:lang w:val="en-US"/>
        </w:rPr>
      </w:pPr>
    </w:p>
    <w:sectPr w:rsidR="00923E75" w:rsidRPr="00CD53FB" w:rsidSect="00BF576D">
      <w:headerReference w:type="even" r:id="rId12"/>
      <w:headerReference w:type="default" r:id="rId13"/>
      <w:footerReference w:type="even" r:id="rId14"/>
      <w:footerReference w:type="default" r:id="rId15"/>
      <w:headerReference w:type="first" r:id="rId16"/>
      <w:footerReference w:type="first" r:id="rId17"/>
      <w:pgSz w:w="11900" w:h="16840" w:code="9"/>
      <w:pgMar w:top="1418" w:right="1134" w:bottom="1418" w:left="1134" w:header="709" w:footer="65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361" w:rsidRDefault="002E4361" w:rsidP="00C04FCA">
      <w:pPr>
        <w:spacing w:after="0" w:line="240" w:lineRule="auto"/>
      </w:pPr>
      <w:r>
        <w:separator/>
      </w:r>
    </w:p>
  </w:endnote>
  <w:endnote w:type="continuationSeparator" w:id="0">
    <w:p w:rsidR="002E4361" w:rsidRDefault="002E4361" w:rsidP="00C04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17" w:rsidRDefault="00732117" w:rsidP="00F40017">
    <w:pPr>
      <w:pStyle w:val="ICMEBaselineFirstPage"/>
      <w:pBdr>
        <w:top w:val="single" w:sz="4" w:space="1" w:color="auto"/>
      </w:pBdr>
      <w:jc w:val="left"/>
    </w:pPr>
    <w:r>
      <w:t xml:space="preserve">1 - </w:t>
    </w:r>
    <w:r>
      <w:fldChar w:fldCharType="begin"/>
    </w:r>
    <w:r>
      <w:instrText xml:space="preserve"> PAGE  \* MERGEFORMAT </w:instrText>
    </w:r>
    <w:r>
      <w:fldChar w:fldCharType="separate"/>
    </w:r>
    <w:r w:rsidR="00A44C8D">
      <w:rPr>
        <w:noProof/>
      </w:rPr>
      <w:t>6</w:t>
    </w:r>
    <w:r>
      <w:fldChar w:fldCharType="end"/>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17" w:rsidRDefault="00732117" w:rsidP="00F40017">
    <w:pPr>
      <w:pStyle w:val="ICMEBaselineFirstPage"/>
      <w:pBdr>
        <w:top w:val="single" w:sz="4" w:space="1" w:color="auto"/>
      </w:pBdr>
      <w:jc w:val="right"/>
    </w:pPr>
    <w:r>
      <w:tab/>
      <w:t xml:space="preserve">1 - </w:t>
    </w:r>
    <w:r>
      <w:fldChar w:fldCharType="begin"/>
    </w:r>
    <w:r>
      <w:instrText xml:space="preserve"> PAGE  \* MERGEFORMAT </w:instrText>
    </w:r>
    <w:r>
      <w:fldChar w:fldCharType="separate"/>
    </w:r>
    <w:r w:rsidR="00A44C8D">
      <w:rPr>
        <w:noProof/>
      </w:rPr>
      <w:t>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17" w:rsidRDefault="00732117" w:rsidP="000F3151">
    <w:pPr>
      <w:pStyle w:val="ICMEBaselineFirstPage"/>
      <w:pBdr>
        <w:top w:val="single" w:sz="4" w:space="1" w:color="auto"/>
      </w:pBdr>
      <w:jc w:val="right"/>
    </w:pPr>
    <w:r>
      <w:t xml:space="preserve">1 - </w:t>
    </w:r>
    <w:r>
      <w:fldChar w:fldCharType="begin"/>
    </w:r>
    <w:r>
      <w:instrText xml:space="preserve"> PAGE  \* MERGEFORMAT </w:instrText>
    </w:r>
    <w:r>
      <w:fldChar w:fldCharType="separate"/>
    </w:r>
    <w:r w:rsidR="00A44C8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361" w:rsidRDefault="002E4361" w:rsidP="00C04FCA">
      <w:pPr>
        <w:spacing w:after="0" w:line="240" w:lineRule="auto"/>
      </w:pPr>
      <w:r>
        <w:separator/>
      </w:r>
    </w:p>
  </w:footnote>
  <w:footnote w:type="continuationSeparator" w:id="0">
    <w:p w:rsidR="002E4361" w:rsidRDefault="002E4361" w:rsidP="00C04F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17" w:rsidRPr="005C388F" w:rsidRDefault="00B77B90" w:rsidP="001A1727">
    <w:pPr>
      <w:pStyle w:val="ICMEHeadline"/>
      <w:rPr>
        <w:lang w:val="en-US"/>
      </w:rPr>
    </w:pPr>
    <w:r>
      <w:rPr>
        <w:lang w:val="en-US"/>
      </w:rPr>
      <w:t>Prendergast, Breen, Carr &amp; Faulkner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17" w:rsidRPr="005C388F" w:rsidRDefault="00B77B90" w:rsidP="001A1727">
    <w:pPr>
      <w:pStyle w:val="ICMEHeadline"/>
      <w:jc w:val="right"/>
      <w:rPr>
        <w:lang w:val="en-US"/>
      </w:rPr>
    </w:pPr>
    <w:r>
      <w:rPr>
        <w:lang w:val="en-US"/>
      </w:rPr>
      <w:t>Prendergast, Breen, Carr &amp; Faulkner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4EA" w:rsidRDefault="008E54EA" w:rsidP="008E54EA">
    <w:pPr>
      <w:pStyle w:val="Header"/>
      <w:rPr>
        <w:lang w:val="en-US"/>
      </w:rPr>
    </w:pPr>
    <w:r w:rsidRPr="008E54EA">
      <w:rPr>
        <w:lang w:val="en-US"/>
      </w:rPr>
      <w:t>13th International Congress on Mathematical Education</w:t>
    </w:r>
    <w:r>
      <w:rPr>
        <w:lang w:val="en-US"/>
      </w:rPr>
      <w:t xml:space="preserve"> </w:t>
    </w:r>
    <w:r w:rsidR="00AE0ACF">
      <w:rPr>
        <w:lang w:val="en-US"/>
      </w:rPr>
      <w:tab/>
    </w:r>
  </w:p>
  <w:p w:rsidR="008E54EA" w:rsidRPr="008E54EA" w:rsidRDefault="008E54EA" w:rsidP="008E54EA">
    <w:pPr>
      <w:pStyle w:val="Header"/>
      <w:rPr>
        <w:lang w:val="en-US"/>
      </w:rPr>
    </w:pPr>
    <w:r>
      <w:rPr>
        <w:lang w:val="en-US"/>
      </w:rPr>
      <w:t>Hamburg, 24-31 July 2016</w:t>
    </w:r>
    <w:r w:rsidR="008D3E39">
      <w:rPr>
        <w:lang w:val="en-US"/>
      </w:rPr>
      <w:tab/>
      <w:t xml:space="preserve">                                                    </w:t>
    </w:r>
  </w:p>
  <w:p w:rsidR="008E54EA" w:rsidRPr="008E54EA" w:rsidRDefault="008E54EA">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63008"/>
    <w:multiLevelType w:val="hybridMultilevel"/>
    <w:tmpl w:val="8CCA8AD0"/>
    <w:lvl w:ilvl="0" w:tplc="18090011">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 w15:restartNumberingAfterBreak="0">
    <w:nsid w:val="52AB2C3D"/>
    <w:multiLevelType w:val="multilevel"/>
    <w:tmpl w:val="E1EE0B42"/>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61205FD5"/>
    <w:multiLevelType w:val="hybridMultilevel"/>
    <w:tmpl w:val="C7D26A4E"/>
    <w:lvl w:ilvl="0" w:tplc="A372BA24">
      <w:start w:val="1"/>
      <w:numFmt w:val="bullet"/>
      <w:pStyle w:val="PMEBullet"/>
      <w:lvlText w:val=""/>
      <w:lvlJc w:val="left"/>
      <w:pPr>
        <w:ind w:left="1145" w:hanging="360"/>
      </w:pPr>
      <w:rPr>
        <w:rFonts w:ascii="Symbol" w:hAnsi="Symbol" w:hint="default"/>
      </w:rPr>
    </w:lvl>
    <w:lvl w:ilvl="1" w:tplc="04070003" w:tentative="1">
      <w:start w:val="1"/>
      <w:numFmt w:val="bullet"/>
      <w:lvlText w:val="o"/>
      <w:lvlJc w:val="left"/>
      <w:pPr>
        <w:ind w:left="1865" w:hanging="360"/>
      </w:pPr>
      <w:rPr>
        <w:rFonts w:ascii="Courier New" w:hAnsi="Courier New" w:hint="default"/>
      </w:rPr>
    </w:lvl>
    <w:lvl w:ilvl="2" w:tplc="04070005" w:tentative="1">
      <w:start w:val="1"/>
      <w:numFmt w:val="bullet"/>
      <w:lvlText w:val=""/>
      <w:lvlJc w:val="left"/>
      <w:pPr>
        <w:ind w:left="2585" w:hanging="360"/>
      </w:pPr>
      <w:rPr>
        <w:rFonts w:ascii="Wingdings" w:hAnsi="Wingdings" w:hint="default"/>
      </w:rPr>
    </w:lvl>
    <w:lvl w:ilvl="3" w:tplc="04070001" w:tentative="1">
      <w:start w:val="1"/>
      <w:numFmt w:val="bullet"/>
      <w:lvlText w:val=""/>
      <w:lvlJc w:val="left"/>
      <w:pPr>
        <w:ind w:left="3305" w:hanging="360"/>
      </w:pPr>
      <w:rPr>
        <w:rFonts w:ascii="Symbol" w:hAnsi="Symbol" w:hint="default"/>
      </w:rPr>
    </w:lvl>
    <w:lvl w:ilvl="4" w:tplc="04070003" w:tentative="1">
      <w:start w:val="1"/>
      <w:numFmt w:val="bullet"/>
      <w:lvlText w:val="o"/>
      <w:lvlJc w:val="left"/>
      <w:pPr>
        <w:ind w:left="4025" w:hanging="360"/>
      </w:pPr>
      <w:rPr>
        <w:rFonts w:ascii="Courier New" w:hAnsi="Courier New" w:hint="default"/>
      </w:rPr>
    </w:lvl>
    <w:lvl w:ilvl="5" w:tplc="04070005" w:tentative="1">
      <w:start w:val="1"/>
      <w:numFmt w:val="bullet"/>
      <w:lvlText w:val=""/>
      <w:lvlJc w:val="left"/>
      <w:pPr>
        <w:ind w:left="4745" w:hanging="360"/>
      </w:pPr>
      <w:rPr>
        <w:rFonts w:ascii="Wingdings" w:hAnsi="Wingdings" w:hint="default"/>
      </w:rPr>
    </w:lvl>
    <w:lvl w:ilvl="6" w:tplc="04070001" w:tentative="1">
      <w:start w:val="1"/>
      <w:numFmt w:val="bullet"/>
      <w:lvlText w:val=""/>
      <w:lvlJc w:val="left"/>
      <w:pPr>
        <w:ind w:left="5465" w:hanging="360"/>
      </w:pPr>
      <w:rPr>
        <w:rFonts w:ascii="Symbol" w:hAnsi="Symbol" w:hint="default"/>
      </w:rPr>
    </w:lvl>
    <w:lvl w:ilvl="7" w:tplc="04070003" w:tentative="1">
      <w:start w:val="1"/>
      <w:numFmt w:val="bullet"/>
      <w:lvlText w:val="o"/>
      <w:lvlJc w:val="left"/>
      <w:pPr>
        <w:ind w:left="6185" w:hanging="360"/>
      </w:pPr>
      <w:rPr>
        <w:rFonts w:ascii="Courier New" w:hAnsi="Courier New" w:hint="default"/>
      </w:rPr>
    </w:lvl>
    <w:lvl w:ilvl="8" w:tplc="04070005" w:tentative="1">
      <w:start w:val="1"/>
      <w:numFmt w:val="bullet"/>
      <w:lvlText w:val=""/>
      <w:lvlJc w:val="left"/>
      <w:pPr>
        <w:ind w:left="6905" w:hanging="360"/>
      </w:pPr>
      <w:rPr>
        <w:rFonts w:ascii="Wingdings" w:hAnsi="Wingdings" w:hint="default"/>
      </w:rPr>
    </w:lvl>
  </w:abstractNum>
  <w:abstractNum w:abstractNumId="3" w15:restartNumberingAfterBreak="0">
    <w:nsid w:val="64AE2D05"/>
    <w:multiLevelType w:val="hybridMultilevel"/>
    <w:tmpl w:val="8CCA8AD0"/>
    <w:lvl w:ilvl="0" w:tplc="18090011">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 w15:restartNumberingAfterBreak="0">
    <w:nsid w:val="6949543F"/>
    <w:multiLevelType w:val="hybridMultilevel"/>
    <w:tmpl w:val="43AA23E2"/>
    <w:lvl w:ilvl="0" w:tplc="18090011">
      <w:start w:val="1"/>
      <w:numFmt w:val="decimal"/>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B36"/>
    <w:rsid w:val="0000296C"/>
    <w:rsid w:val="00003C25"/>
    <w:rsid w:val="000118FB"/>
    <w:rsid w:val="00050123"/>
    <w:rsid w:val="000910BB"/>
    <w:rsid w:val="00092FAC"/>
    <w:rsid w:val="000933D2"/>
    <w:rsid w:val="00096F28"/>
    <w:rsid w:val="000A1E38"/>
    <w:rsid w:val="000B0011"/>
    <w:rsid w:val="000C120A"/>
    <w:rsid w:val="000F3151"/>
    <w:rsid w:val="000F6D64"/>
    <w:rsid w:val="00106327"/>
    <w:rsid w:val="001076CB"/>
    <w:rsid w:val="00123861"/>
    <w:rsid w:val="00131F31"/>
    <w:rsid w:val="00140D5B"/>
    <w:rsid w:val="001A1727"/>
    <w:rsid w:val="001A42DD"/>
    <w:rsid w:val="001B7BC3"/>
    <w:rsid w:val="001D2256"/>
    <w:rsid w:val="001D2617"/>
    <w:rsid w:val="001D36F8"/>
    <w:rsid w:val="001F04BC"/>
    <w:rsid w:val="001F3552"/>
    <w:rsid w:val="001F59D2"/>
    <w:rsid w:val="001F5DFD"/>
    <w:rsid w:val="00203ADC"/>
    <w:rsid w:val="00207BF1"/>
    <w:rsid w:val="00236FED"/>
    <w:rsid w:val="002376F0"/>
    <w:rsid w:val="00240EE0"/>
    <w:rsid w:val="0024180C"/>
    <w:rsid w:val="00244124"/>
    <w:rsid w:val="0025519F"/>
    <w:rsid w:val="00267809"/>
    <w:rsid w:val="00272AE0"/>
    <w:rsid w:val="00283FEC"/>
    <w:rsid w:val="00287A73"/>
    <w:rsid w:val="002A0BC7"/>
    <w:rsid w:val="002C6992"/>
    <w:rsid w:val="002E4361"/>
    <w:rsid w:val="00321450"/>
    <w:rsid w:val="003216BE"/>
    <w:rsid w:val="0032198F"/>
    <w:rsid w:val="00323907"/>
    <w:rsid w:val="00326F77"/>
    <w:rsid w:val="00331BE0"/>
    <w:rsid w:val="00343180"/>
    <w:rsid w:val="003728EA"/>
    <w:rsid w:val="00380CBA"/>
    <w:rsid w:val="003A764E"/>
    <w:rsid w:val="003B7511"/>
    <w:rsid w:val="003C694F"/>
    <w:rsid w:val="003D2213"/>
    <w:rsid w:val="003F0D5C"/>
    <w:rsid w:val="003F1E5B"/>
    <w:rsid w:val="00425B2B"/>
    <w:rsid w:val="00425E50"/>
    <w:rsid w:val="00435C24"/>
    <w:rsid w:val="00446C5E"/>
    <w:rsid w:val="00451264"/>
    <w:rsid w:val="00471F96"/>
    <w:rsid w:val="00480891"/>
    <w:rsid w:val="004823CF"/>
    <w:rsid w:val="00490318"/>
    <w:rsid w:val="00492138"/>
    <w:rsid w:val="00494407"/>
    <w:rsid w:val="00494B6A"/>
    <w:rsid w:val="004C023E"/>
    <w:rsid w:val="004C2622"/>
    <w:rsid w:val="004E3C26"/>
    <w:rsid w:val="004F6B56"/>
    <w:rsid w:val="00500E5A"/>
    <w:rsid w:val="0050352A"/>
    <w:rsid w:val="00516FA6"/>
    <w:rsid w:val="00530C3D"/>
    <w:rsid w:val="00536BB7"/>
    <w:rsid w:val="005400E8"/>
    <w:rsid w:val="00547C06"/>
    <w:rsid w:val="00552074"/>
    <w:rsid w:val="005604FD"/>
    <w:rsid w:val="00576589"/>
    <w:rsid w:val="00586EB9"/>
    <w:rsid w:val="00591B19"/>
    <w:rsid w:val="005A2152"/>
    <w:rsid w:val="005A2CE2"/>
    <w:rsid w:val="005A6ECA"/>
    <w:rsid w:val="005B228B"/>
    <w:rsid w:val="005B24E6"/>
    <w:rsid w:val="005B573A"/>
    <w:rsid w:val="005C388F"/>
    <w:rsid w:val="005C3DEA"/>
    <w:rsid w:val="005C7B8F"/>
    <w:rsid w:val="005E341E"/>
    <w:rsid w:val="005F0B37"/>
    <w:rsid w:val="005F3FFC"/>
    <w:rsid w:val="00604F29"/>
    <w:rsid w:val="006050BA"/>
    <w:rsid w:val="0060657B"/>
    <w:rsid w:val="006113F0"/>
    <w:rsid w:val="00613004"/>
    <w:rsid w:val="0061502C"/>
    <w:rsid w:val="006242F1"/>
    <w:rsid w:val="00627437"/>
    <w:rsid w:val="006325BD"/>
    <w:rsid w:val="006356E3"/>
    <w:rsid w:val="00674A3C"/>
    <w:rsid w:val="00680019"/>
    <w:rsid w:val="0069002E"/>
    <w:rsid w:val="006A7A32"/>
    <w:rsid w:val="006B7122"/>
    <w:rsid w:val="006C2A92"/>
    <w:rsid w:val="006E7D19"/>
    <w:rsid w:val="006F0629"/>
    <w:rsid w:val="006F4277"/>
    <w:rsid w:val="007066A3"/>
    <w:rsid w:val="00732117"/>
    <w:rsid w:val="00732537"/>
    <w:rsid w:val="00736370"/>
    <w:rsid w:val="00753AC0"/>
    <w:rsid w:val="00764641"/>
    <w:rsid w:val="007666D7"/>
    <w:rsid w:val="00766B36"/>
    <w:rsid w:val="00775E9D"/>
    <w:rsid w:val="007A6E5A"/>
    <w:rsid w:val="007A7B91"/>
    <w:rsid w:val="007B27AA"/>
    <w:rsid w:val="007C4D22"/>
    <w:rsid w:val="007E1C81"/>
    <w:rsid w:val="008077E3"/>
    <w:rsid w:val="0081710F"/>
    <w:rsid w:val="0082163D"/>
    <w:rsid w:val="00831627"/>
    <w:rsid w:val="00843A53"/>
    <w:rsid w:val="00853025"/>
    <w:rsid w:val="00857248"/>
    <w:rsid w:val="00881552"/>
    <w:rsid w:val="00884EE6"/>
    <w:rsid w:val="008968E1"/>
    <w:rsid w:val="008B1301"/>
    <w:rsid w:val="008B192A"/>
    <w:rsid w:val="008B6927"/>
    <w:rsid w:val="008D3E39"/>
    <w:rsid w:val="008D7FC2"/>
    <w:rsid w:val="008E0E89"/>
    <w:rsid w:val="008E54EA"/>
    <w:rsid w:val="008F1768"/>
    <w:rsid w:val="009066EF"/>
    <w:rsid w:val="0092201C"/>
    <w:rsid w:val="009233D8"/>
    <w:rsid w:val="00923E75"/>
    <w:rsid w:val="00933A55"/>
    <w:rsid w:val="00934E7E"/>
    <w:rsid w:val="00983EF6"/>
    <w:rsid w:val="009B36F1"/>
    <w:rsid w:val="009D64CC"/>
    <w:rsid w:val="009E5BB7"/>
    <w:rsid w:val="00A063A3"/>
    <w:rsid w:val="00A166B6"/>
    <w:rsid w:val="00A21E66"/>
    <w:rsid w:val="00A2531A"/>
    <w:rsid w:val="00A331F7"/>
    <w:rsid w:val="00A42AA4"/>
    <w:rsid w:val="00A44C8D"/>
    <w:rsid w:val="00A67BEC"/>
    <w:rsid w:val="00A704D9"/>
    <w:rsid w:val="00A73798"/>
    <w:rsid w:val="00AC549F"/>
    <w:rsid w:val="00AC6A5E"/>
    <w:rsid w:val="00AD52A6"/>
    <w:rsid w:val="00AE0ACF"/>
    <w:rsid w:val="00AF2CCC"/>
    <w:rsid w:val="00AF592B"/>
    <w:rsid w:val="00B01FD0"/>
    <w:rsid w:val="00B079F5"/>
    <w:rsid w:val="00B12C60"/>
    <w:rsid w:val="00B33283"/>
    <w:rsid w:val="00B412BC"/>
    <w:rsid w:val="00B50DC9"/>
    <w:rsid w:val="00B50E92"/>
    <w:rsid w:val="00B53E40"/>
    <w:rsid w:val="00B5503C"/>
    <w:rsid w:val="00B74C6E"/>
    <w:rsid w:val="00B75D66"/>
    <w:rsid w:val="00B77B90"/>
    <w:rsid w:val="00B85836"/>
    <w:rsid w:val="00BA3381"/>
    <w:rsid w:val="00BA67DF"/>
    <w:rsid w:val="00BE0582"/>
    <w:rsid w:val="00BF1C3F"/>
    <w:rsid w:val="00BF576D"/>
    <w:rsid w:val="00C04FCA"/>
    <w:rsid w:val="00C13E88"/>
    <w:rsid w:val="00C35793"/>
    <w:rsid w:val="00C36A2C"/>
    <w:rsid w:val="00C37BFA"/>
    <w:rsid w:val="00C51894"/>
    <w:rsid w:val="00C5335C"/>
    <w:rsid w:val="00C96E0A"/>
    <w:rsid w:val="00CA1245"/>
    <w:rsid w:val="00CA7022"/>
    <w:rsid w:val="00CB4B65"/>
    <w:rsid w:val="00CC0379"/>
    <w:rsid w:val="00CD53FB"/>
    <w:rsid w:val="00CD77A6"/>
    <w:rsid w:val="00CF6AB5"/>
    <w:rsid w:val="00D070B5"/>
    <w:rsid w:val="00D3620E"/>
    <w:rsid w:val="00D42AB3"/>
    <w:rsid w:val="00D62932"/>
    <w:rsid w:val="00D7479A"/>
    <w:rsid w:val="00D82825"/>
    <w:rsid w:val="00D867D4"/>
    <w:rsid w:val="00D8727E"/>
    <w:rsid w:val="00D926CF"/>
    <w:rsid w:val="00D97C76"/>
    <w:rsid w:val="00DA3562"/>
    <w:rsid w:val="00DA5A1A"/>
    <w:rsid w:val="00DA61A3"/>
    <w:rsid w:val="00DC39FE"/>
    <w:rsid w:val="00DE2DCC"/>
    <w:rsid w:val="00DF5350"/>
    <w:rsid w:val="00E00869"/>
    <w:rsid w:val="00E034CF"/>
    <w:rsid w:val="00E03DE8"/>
    <w:rsid w:val="00E240A5"/>
    <w:rsid w:val="00E3122B"/>
    <w:rsid w:val="00E3337D"/>
    <w:rsid w:val="00E35847"/>
    <w:rsid w:val="00E36C1E"/>
    <w:rsid w:val="00E57A21"/>
    <w:rsid w:val="00E638BC"/>
    <w:rsid w:val="00E81107"/>
    <w:rsid w:val="00E811B7"/>
    <w:rsid w:val="00E83448"/>
    <w:rsid w:val="00E8756C"/>
    <w:rsid w:val="00E92920"/>
    <w:rsid w:val="00E977A6"/>
    <w:rsid w:val="00EA1FA7"/>
    <w:rsid w:val="00EA2DA8"/>
    <w:rsid w:val="00EA50D4"/>
    <w:rsid w:val="00EB26D8"/>
    <w:rsid w:val="00EC1ACB"/>
    <w:rsid w:val="00ED550D"/>
    <w:rsid w:val="00F40017"/>
    <w:rsid w:val="00F42C44"/>
    <w:rsid w:val="00F55D3C"/>
    <w:rsid w:val="00F57CDA"/>
    <w:rsid w:val="00F8178F"/>
    <w:rsid w:val="00F90AE9"/>
    <w:rsid w:val="00FD291F"/>
    <w:rsid w:val="00FE0F9D"/>
    <w:rsid w:val="00FE6A54"/>
    <w:rsid w:val="00FF02AD"/>
    <w:rsid w:val="00FF5F01"/>
    <w:rsid w:val="00FF7C4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7522CE3-01EB-46D0-A573-FAE5A035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8"/>
        <w:szCs w:val="28"/>
        <w:lang w:val="de-DE" w:eastAsia="de-DE"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4FCA"/>
    <w:pPr>
      <w:spacing w:after="120" w:line="320" w:lineRule="atLeast"/>
      <w:jc w:val="both"/>
    </w:pPr>
  </w:style>
  <w:style w:type="paragraph" w:styleId="Heading1">
    <w:name w:val="heading 1"/>
    <w:basedOn w:val="Normal"/>
    <w:next w:val="Normal"/>
    <w:link w:val="Heading1Char"/>
    <w:uiPriority w:val="9"/>
    <w:rsid w:val="0049440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407"/>
    <w:rPr>
      <w:rFonts w:asciiTheme="majorHAnsi" w:eastAsiaTheme="majorEastAsia" w:hAnsiTheme="majorHAnsi" w:cstheme="majorBidi"/>
      <w:b/>
      <w:bCs/>
      <w:color w:val="345A8A" w:themeColor="accent1" w:themeShade="B5"/>
      <w:sz w:val="32"/>
      <w:szCs w:val="32"/>
    </w:rPr>
  </w:style>
  <w:style w:type="paragraph" w:customStyle="1" w:styleId="ICMEHeading1">
    <w:name w:val="ICME Heading 1"/>
    <w:basedOn w:val="ICMENormal"/>
    <w:qFormat/>
    <w:rsid w:val="007B27AA"/>
    <w:pPr>
      <w:keepNext/>
      <w:spacing w:before="120"/>
      <w:jc w:val="center"/>
      <w:outlineLvl w:val="0"/>
    </w:pPr>
    <w:rPr>
      <w:b/>
      <w:bCs/>
      <w:caps/>
      <w:sz w:val="28"/>
      <w:szCs w:val="32"/>
    </w:rPr>
  </w:style>
  <w:style w:type="paragraph" w:customStyle="1" w:styleId="ICMEAuthorInstitution">
    <w:name w:val="ICME Author/Institution"/>
    <w:basedOn w:val="ICMENormal"/>
    <w:qFormat/>
    <w:rsid w:val="008B1301"/>
    <w:pPr>
      <w:jc w:val="center"/>
    </w:pPr>
  </w:style>
  <w:style w:type="paragraph" w:customStyle="1" w:styleId="ICMEAbstract">
    <w:name w:val="ICME Abstract"/>
    <w:basedOn w:val="ICMENormal"/>
    <w:qFormat/>
    <w:rsid w:val="008B1301"/>
    <w:pPr>
      <w:spacing w:after="240"/>
    </w:pPr>
    <w:rPr>
      <w:i/>
    </w:rPr>
  </w:style>
  <w:style w:type="paragraph" w:customStyle="1" w:styleId="ICMEHeading2">
    <w:name w:val="ICME Heading 2"/>
    <w:basedOn w:val="Normal"/>
    <w:qFormat/>
    <w:rsid w:val="00BE0582"/>
    <w:pPr>
      <w:keepNext/>
      <w:spacing w:before="120"/>
      <w:outlineLvl w:val="1"/>
    </w:pPr>
    <w:rPr>
      <w:b/>
      <w:bCs/>
      <w:caps/>
      <w:kern w:val="28"/>
      <w:sz w:val="24"/>
    </w:rPr>
  </w:style>
  <w:style w:type="paragraph" w:customStyle="1" w:styleId="ICMEHeading3">
    <w:name w:val="ICME Heading 3"/>
    <w:basedOn w:val="Normal"/>
    <w:qFormat/>
    <w:rsid w:val="00BE0582"/>
    <w:pPr>
      <w:keepNext/>
      <w:outlineLvl w:val="2"/>
    </w:pPr>
    <w:rPr>
      <w:b/>
      <w:sz w:val="24"/>
    </w:rPr>
  </w:style>
  <w:style w:type="paragraph" w:styleId="Header">
    <w:name w:val="header"/>
    <w:basedOn w:val="Normal"/>
    <w:link w:val="HeaderChar"/>
    <w:uiPriority w:val="99"/>
    <w:unhideWhenUsed/>
    <w:rsid w:val="00C04FC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4FCA"/>
    <w:rPr>
      <w:rFonts w:ascii="Times New Roman" w:hAnsi="Times New Roman"/>
      <w:sz w:val="28"/>
      <w:lang w:val="en-US"/>
    </w:rPr>
  </w:style>
  <w:style w:type="paragraph" w:styleId="Footer">
    <w:name w:val="footer"/>
    <w:basedOn w:val="Normal"/>
    <w:link w:val="FooterChar"/>
    <w:uiPriority w:val="99"/>
    <w:unhideWhenUsed/>
    <w:rsid w:val="00283FEC"/>
    <w:pPr>
      <w:pBdr>
        <w:top w:val="single" w:sz="4" w:space="1" w:color="auto"/>
      </w:pBdr>
      <w:tabs>
        <w:tab w:val="center" w:pos="4536"/>
        <w:tab w:val="right" w:pos="9072"/>
      </w:tabs>
      <w:spacing w:after="0" w:line="240" w:lineRule="auto"/>
    </w:pPr>
  </w:style>
  <w:style w:type="character" w:customStyle="1" w:styleId="FooterChar">
    <w:name w:val="Footer Char"/>
    <w:basedOn w:val="DefaultParagraphFont"/>
    <w:link w:val="Footer"/>
    <w:uiPriority w:val="99"/>
    <w:rsid w:val="00283FEC"/>
    <w:rPr>
      <w:rFonts w:ascii="Times New Roman" w:hAnsi="Times New Roman"/>
      <w:sz w:val="28"/>
      <w:lang w:val="en-US"/>
    </w:rPr>
  </w:style>
  <w:style w:type="paragraph" w:customStyle="1" w:styleId="ICMEBaselineFirstPage">
    <w:name w:val="ICME Baseline First Page"/>
    <w:basedOn w:val="ICMENormal"/>
    <w:qFormat/>
    <w:rsid w:val="00BE0582"/>
    <w:pPr>
      <w:spacing w:after="0" w:line="240" w:lineRule="auto"/>
    </w:pPr>
    <w:rPr>
      <w:sz w:val="21"/>
      <w:szCs w:val="21"/>
    </w:rPr>
  </w:style>
  <w:style w:type="table" w:styleId="TableGrid">
    <w:name w:val="Table Grid"/>
    <w:basedOn w:val="TableNormal"/>
    <w:uiPriority w:val="59"/>
    <w:rsid w:val="00C96E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CMENormal">
    <w:name w:val="ICME Normal"/>
    <w:qFormat/>
    <w:rsid w:val="00BE0582"/>
    <w:pPr>
      <w:spacing w:after="120" w:line="320" w:lineRule="atLeast"/>
      <w:jc w:val="both"/>
    </w:pPr>
    <w:rPr>
      <w:sz w:val="24"/>
      <w:lang w:val="en-US"/>
    </w:rPr>
  </w:style>
  <w:style w:type="paragraph" w:customStyle="1" w:styleId="PMEBaseline">
    <w:name w:val="PME Baseline"/>
    <w:basedOn w:val="ICMENormal"/>
    <w:rsid w:val="00E83448"/>
    <w:pPr>
      <w:tabs>
        <w:tab w:val="right" w:pos="9639"/>
      </w:tabs>
    </w:pPr>
  </w:style>
  <w:style w:type="paragraph" w:customStyle="1" w:styleId="ICMEHeadline">
    <w:name w:val="ICME Headline"/>
    <w:basedOn w:val="Normal"/>
    <w:rsid w:val="001A1727"/>
    <w:rPr>
      <w:i/>
    </w:rPr>
  </w:style>
  <w:style w:type="paragraph" w:customStyle="1" w:styleId="PMEFigTitle">
    <w:name w:val="PME Fig Title"/>
    <w:basedOn w:val="ICMENormal"/>
    <w:next w:val="ICMENormal"/>
    <w:rsid w:val="00E83448"/>
    <w:pPr>
      <w:spacing w:before="120"/>
      <w:jc w:val="center"/>
    </w:pPr>
  </w:style>
  <w:style w:type="paragraph" w:customStyle="1" w:styleId="ICMEQuote">
    <w:name w:val="ICME Quote"/>
    <w:basedOn w:val="ICMENormal"/>
    <w:next w:val="ICMENormal"/>
    <w:qFormat/>
    <w:rsid w:val="006325BD"/>
    <w:pPr>
      <w:spacing w:line="260" w:lineRule="atLeast"/>
      <w:ind w:left="289"/>
    </w:pPr>
    <w:rPr>
      <w:sz w:val="22"/>
      <w:szCs w:val="26"/>
    </w:rPr>
  </w:style>
  <w:style w:type="paragraph" w:customStyle="1" w:styleId="ICMENumberedTranscript">
    <w:name w:val="ICME Numbered Transcript"/>
    <w:basedOn w:val="ICMENormal"/>
    <w:qFormat/>
    <w:rsid w:val="00F40017"/>
    <w:pPr>
      <w:tabs>
        <w:tab w:val="left" w:pos="992"/>
      </w:tabs>
      <w:spacing w:line="260" w:lineRule="atLeast"/>
      <w:ind w:left="1843" w:hanging="1440"/>
    </w:pPr>
  </w:style>
  <w:style w:type="paragraph" w:customStyle="1" w:styleId="ICMETranscript">
    <w:name w:val="ICME Transcript"/>
    <w:basedOn w:val="ICMENormal"/>
    <w:qFormat/>
    <w:rsid w:val="008D7FC2"/>
    <w:pPr>
      <w:spacing w:line="260" w:lineRule="atLeast"/>
      <w:ind w:left="1843" w:hanging="1440"/>
    </w:pPr>
    <w:rPr>
      <w:sz w:val="22"/>
      <w:szCs w:val="26"/>
    </w:rPr>
  </w:style>
  <w:style w:type="paragraph" w:customStyle="1" w:styleId="PMEBullet">
    <w:name w:val="PME Bullet"/>
    <w:basedOn w:val="ICMENormal"/>
    <w:rsid w:val="000F3151"/>
    <w:pPr>
      <w:numPr>
        <w:numId w:val="1"/>
      </w:numPr>
      <w:spacing w:after="0"/>
      <w:ind w:left="992" w:hanging="567"/>
    </w:pPr>
  </w:style>
  <w:style w:type="paragraph" w:customStyle="1" w:styleId="ICMEReferences">
    <w:name w:val="ICME References"/>
    <w:basedOn w:val="ICMENormal"/>
    <w:qFormat/>
    <w:rsid w:val="007B27AA"/>
    <w:pPr>
      <w:spacing w:line="260" w:lineRule="atLeast"/>
      <w:ind w:left="289" w:hanging="289"/>
    </w:pPr>
    <w:rPr>
      <w:sz w:val="22"/>
      <w:szCs w:val="26"/>
    </w:rPr>
  </w:style>
  <w:style w:type="paragraph" w:styleId="BalloonText">
    <w:name w:val="Balloon Text"/>
    <w:basedOn w:val="Normal"/>
    <w:link w:val="BalloonTextChar"/>
    <w:uiPriority w:val="99"/>
    <w:semiHidden/>
    <w:unhideWhenUsed/>
    <w:rsid w:val="008E54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4EA"/>
    <w:rPr>
      <w:rFonts w:ascii="Tahoma" w:hAnsi="Tahoma" w:cs="Tahoma"/>
      <w:sz w:val="16"/>
      <w:szCs w:val="16"/>
    </w:rPr>
  </w:style>
  <w:style w:type="paragraph" w:customStyle="1" w:styleId="ICMEFigTitle">
    <w:name w:val="ICME Fig Title"/>
    <w:basedOn w:val="PMEFigTitle"/>
    <w:qFormat/>
    <w:rsid w:val="00F40017"/>
  </w:style>
  <w:style w:type="paragraph" w:customStyle="1" w:styleId="metin">
    <w:name w:val="metin"/>
    <w:basedOn w:val="Normal"/>
    <w:rsid w:val="00451264"/>
    <w:pPr>
      <w:tabs>
        <w:tab w:val="left" w:pos="9072"/>
      </w:tabs>
      <w:suppressAutoHyphens/>
      <w:spacing w:before="120" w:after="0" w:line="240" w:lineRule="auto"/>
    </w:pPr>
    <w:rPr>
      <w:rFonts w:eastAsia="Times New Roman" w:cs="Calibri"/>
      <w:sz w:val="20"/>
      <w:szCs w:val="20"/>
      <w:lang w:val="en-IE" w:eastAsia="ar-SA"/>
    </w:rPr>
  </w:style>
  <w:style w:type="character" w:styleId="CommentReference">
    <w:name w:val="annotation reference"/>
    <w:basedOn w:val="DefaultParagraphFont"/>
    <w:uiPriority w:val="99"/>
    <w:semiHidden/>
    <w:unhideWhenUsed/>
    <w:rsid w:val="007E1C81"/>
    <w:rPr>
      <w:sz w:val="16"/>
      <w:szCs w:val="16"/>
    </w:rPr>
  </w:style>
  <w:style w:type="paragraph" w:styleId="CommentText">
    <w:name w:val="annotation text"/>
    <w:basedOn w:val="Normal"/>
    <w:link w:val="CommentTextChar"/>
    <w:uiPriority w:val="99"/>
    <w:semiHidden/>
    <w:unhideWhenUsed/>
    <w:rsid w:val="007E1C81"/>
    <w:pPr>
      <w:spacing w:line="240" w:lineRule="auto"/>
    </w:pPr>
    <w:rPr>
      <w:sz w:val="20"/>
      <w:szCs w:val="20"/>
    </w:rPr>
  </w:style>
  <w:style w:type="character" w:customStyle="1" w:styleId="CommentTextChar">
    <w:name w:val="Comment Text Char"/>
    <w:basedOn w:val="DefaultParagraphFont"/>
    <w:link w:val="CommentText"/>
    <w:uiPriority w:val="99"/>
    <w:semiHidden/>
    <w:rsid w:val="007E1C81"/>
    <w:rPr>
      <w:sz w:val="20"/>
      <w:szCs w:val="20"/>
    </w:rPr>
  </w:style>
  <w:style w:type="paragraph" w:styleId="CommentSubject">
    <w:name w:val="annotation subject"/>
    <w:basedOn w:val="CommentText"/>
    <w:next w:val="CommentText"/>
    <w:link w:val="CommentSubjectChar"/>
    <w:uiPriority w:val="99"/>
    <w:semiHidden/>
    <w:unhideWhenUsed/>
    <w:rsid w:val="007E1C81"/>
    <w:rPr>
      <w:b/>
      <w:bCs/>
    </w:rPr>
  </w:style>
  <w:style w:type="character" w:customStyle="1" w:styleId="CommentSubjectChar">
    <w:name w:val="Comment Subject Char"/>
    <w:basedOn w:val="CommentTextChar"/>
    <w:link w:val="CommentSubject"/>
    <w:uiPriority w:val="99"/>
    <w:semiHidden/>
    <w:rsid w:val="007E1C81"/>
    <w:rPr>
      <w:b/>
      <w:bCs/>
      <w:sz w:val="20"/>
      <w:szCs w:val="20"/>
    </w:rPr>
  </w:style>
  <w:style w:type="character" w:styleId="Hyperlink">
    <w:name w:val="Hyperlink"/>
    <w:basedOn w:val="DefaultParagraphFont"/>
    <w:uiPriority w:val="99"/>
    <w:unhideWhenUsed/>
    <w:rsid w:val="00E875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478157">
      <w:bodyDiv w:val="1"/>
      <w:marLeft w:val="0"/>
      <w:marRight w:val="0"/>
      <w:marTop w:val="0"/>
      <w:marBottom w:val="0"/>
      <w:divBdr>
        <w:top w:val="none" w:sz="0" w:space="0" w:color="auto"/>
        <w:left w:val="none" w:sz="0" w:space="0" w:color="auto"/>
        <w:bottom w:val="none" w:sz="0" w:space="0" w:color="auto"/>
        <w:right w:val="none" w:sz="0" w:space="0" w:color="auto"/>
      </w:divBdr>
    </w:div>
    <w:div w:id="780103354">
      <w:bodyDiv w:val="1"/>
      <w:marLeft w:val="0"/>
      <w:marRight w:val="0"/>
      <w:marTop w:val="0"/>
      <w:marBottom w:val="0"/>
      <w:divBdr>
        <w:top w:val="none" w:sz="0" w:space="0" w:color="auto"/>
        <w:left w:val="none" w:sz="0" w:space="0" w:color="auto"/>
        <w:bottom w:val="none" w:sz="0" w:space="0" w:color="auto"/>
        <w:right w:val="none" w:sz="0" w:space="0" w:color="auto"/>
      </w:divBdr>
      <w:divsChild>
        <w:div w:id="1670987452">
          <w:marLeft w:val="0"/>
          <w:marRight w:val="0"/>
          <w:marTop w:val="0"/>
          <w:marBottom w:val="0"/>
          <w:divBdr>
            <w:top w:val="none" w:sz="0" w:space="0" w:color="auto"/>
            <w:left w:val="none" w:sz="0" w:space="0" w:color="auto"/>
            <w:bottom w:val="none" w:sz="0" w:space="0" w:color="auto"/>
            <w:right w:val="none" w:sz="0" w:space="0" w:color="auto"/>
          </w:divBdr>
        </w:div>
        <w:div w:id="1588804000">
          <w:marLeft w:val="0"/>
          <w:marRight w:val="0"/>
          <w:marTop w:val="0"/>
          <w:marBottom w:val="0"/>
          <w:divBdr>
            <w:top w:val="none" w:sz="0" w:space="0" w:color="auto"/>
            <w:left w:val="none" w:sz="0" w:space="0" w:color="auto"/>
            <w:bottom w:val="none" w:sz="0" w:space="0" w:color="auto"/>
            <w:right w:val="none" w:sz="0" w:space="0" w:color="auto"/>
          </w:divBdr>
        </w:div>
        <w:div w:id="1278174182">
          <w:marLeft w:val="0"/>
          <w:marRight w:val="0"/>
          <w:marTop w:val="0"/>
          <w:marBottom w:val="0"/>
          <w:divBdr>
            <w:top w:val="none" w:sz="0" w:space="0" w:color="auto"/>
            <w:left w:val="none" w:sz="0" w:space="0" w:color="auto"/>
            <w:bottom w:val="none" w:sz="0" w:space="0" w:color="auto"/>
            <w:right w:val="none" w:sz="0" w:space="0" w:color="auto"/>
          </w:divBdr>
        </w:div>
        <w:div w:id="599875327">
          <w:marLeft w:val="0"/>
          <w:marRight w:val="0"/>
          <w:marTop w:val="0"/>
          <w:marBottom w:val="0"/>
          <w:divBdr>
            <w:top w:val="none" w:sz="0" w:space="0" w:color="auto"/>
            <w:left w:val="none" w:sz="0" w:space="0" w:color="auto"/>
            <w:bottom w:val="none" w:sz="0" w:space="0" w:color="auto"/>
            <w:right w:val="none" w:sz="0" w:space="0" w:color="auto"/>
          </w:divBdr>
        </w:div>
        <w:div w:id="1894148859">
          <w:marLeft w:val="0"/>
          <w:marRight w:val="0"/>
          <w:marTop w:val="0"/>
          <w:marBottom w:val="0"/>
          <w:divBdr>
            <w:top w:val="none" w:sz="0" w:space="0" w:color="auto"/>
            <w:left w:val="none" w:sz="0" w:space="0" w:color="auto"/>
            <w:bottom w:val="none" w:sz="0" w:space="0" w:color="auto"/>
            <w:right w:val="none" w:sz="0" w:space="0" w:color="auto"/>
          </w:divBdr>
        </w:div>
        <w:div w:id="1508670167">
          <w:marLeft w:val="0"/>
          <w:marRight w:val="0"/>
          <w:marTop w:val="0"/>
          <w:marBottom w:val="0"/>
          <w:divBdr>
            <w:top w:val="none" w:sz="0" w:space="0" w:color="auto"/>
            <w:left w:val="none" w:sz="0" w:space="0" w:color="auto"/>
            <w:bottom w:val="none" w:sz="0" w:space="0" w:color="auto"/>
            <w:right w:val="none" w:sz="0" w:space="0" w:color="auto"/>
          </w:divBdr>
        </w:div>
        <w:div w:id="824203238">
          <w:marLeft w:val="0"/>
          <w:marRight w:val="0"/>
          <w:marTop w:val="0"/>
          <w:marBottom w:val="0"/>
          <w:divBdr>
            <w:top w:val="none" w:sz="0" w:space="0" w:color="auto"/>
            <w:left w:val="none" w:sz="0" w:space="0" w:color="auto"/>
            <w:bottom w:val="none" w:sz="0" w:space="0" w:color="auto"/>
            <w:right w:val="none" w:sz="0" w:space="0" w:color="auto"/>
          </w:divBdr>
        </w:div>
        <w:div w:id="1188904262">
          <w:marLeft w:val="0"/>
          <w:marRight w:val="0"/>
          <w:marTop w:val="0"/>
          <w:marBottom w:val="0"/>
          <w:divBdr>
            <w:top w:val="none" w:sz="0" w:space="0" w:color="auto"/>
            <w:left w:val="none" w:sz="0" w:space="0" w:color="auto"/>
            <w:bottom w:val="none" w:sz="0" w:space="0" w:color="auto"/>
            <w:right w:val="none" w:sz="0" w:space="0" w:color="auto"/>
          </w:divBdr>
        </w:div>
        <w:div w:id="1237012054">
          <w:marLeft w:val="0"/>
          <w:marRight w:val="0"/>
          <w:marTop w:val="0"/>
          <w:marBottom w:val="0"/>
          <w:divBdr>
            <w:top w:val="none" w:sz="0" w:space="0" w:color="auto"/>
            <w:left w:val="none" w:sz="0" w:space="0" w:color="auto"/>
            <w:bottom w:val="none" w:sz="0" w:space="0" w:color="auto"/>
            <w:right w:val="none" w:sz="0" w:space="0" w:color="auto"/>
          </w:divBdr>
        </w:div>
        <w:div w:id="1491562305">
          <w:marLeft w:val="0"/>
          <w:marRight w:val="0"/>
          <w:marTop w:val="0"/>
          <w:marBottom w:val="0"/>
          <w:divBdr>
            <w:top w:val="none" w:sz="0" w:space="0" w:color="auto"/>
            <w:left w:val="none" w:sz="0" w:space="0" w:color="auto"/>
            <w:bottom w:val="none" w:sz="0" w:space="0" w:color="auto"/>
            <w:right w:val="none" w:sz="0" w:space="0" w:color="auto"/>
          </w:divBdr>
        </w:div>
        <w:div w:id="1061445158">
          <w:marLeft w:val="0"/>
          <w:marRight w:val="0"/>
          <w:marTop w:val="0"/>
          <w:marBottom w:val="0"/>
          <w:divBdr>
            <w:top w:val="none" w:sz="0" w:space="0" w:color="auto"/>
            <w:left w:val="none" w:sz="0" w:space="0" w:color="auto"/>
            <w:bottom w:val="none" w:sz="0" w:space="0" w:color="auto"/>
            <w:right w:val="none" w:sz="0" w:space="0" w:color="auto"/>
          </w:divBdr>
        </w:div>
        <w:div w:id="140539141">
          <w:marLeft w:val="0"/>
          <w:marRight w:val="0"/>
          <w:marTop w:val="0"/>
          <w:marBottom w:val="0"/>
          <w:divBdr>
            <w:top w:val="none" w:sz="0" w:space="0" w:color="auto"/>
            <w:left w:val="none" w:sz="0" w:space="0" w:color="auto"/>
            <w:bottom w:val="none" w:sz="0" w:space="0" w:color="auto"/>
            <w:right w:val="none" w:sz="0" w:space="0" w:color="auto"/>
          </w:divBdr>
        </w:div>
        <w:div w:id="1734691144">
          <w:marLeft w:val="0"/>
          <w:marRight w:val="0"/>
          <w:marTop w:val="0"/>
          <w:marBottom w:val="0"/>
          <w:divBdr>
            <w:top w:val="none" w:sz="0" w:space="0" w:color="auto"/>
            <w:left w:val="none" w:sz="0" w:space="0" w:color="auto"/>
            <w:bottom w:val="none" w:sz="0" w:space="0" w:color="auto"/>
            <w:right w:val="none" w:sz="0" w:space="0" w:color="auto"/>
          </w:divBdr>
        </w:div>
        <w:div w:id="2014601283">
          <w:marLeft w:val="0"/>
          <w:marRight w:val="0"/>
          <w:marTop w:val="0"/>
          <w:marBottom w:val="0"/>
          <w:divBdr>
            <w:top w:val="none" w:sz="0" w:space="0" w:color="auto"/>
            <w:left w:val="none" w:sz="0" w:space="0" w:color="auto"/>
            <w:bottom w:val="none" w:sz="0" w:space="0" w:color="auto"/>
            <w:right w:val="none" w:sz="0" w:space="0" w:color="auto"/>
          </w:divBdr>
        </w:div>
        <w:div w:id="33426563">
          <w:marLeft w:val="0"/>
          <w:marRight w:val="0"/>
          <w:marTop w:val="0"/>
          <w:marBottom w:val="0"/>
          <w:divBdr>
            <w:top w:val="none" w:sz="0" w:space="0" w:color="auto"/>
            <w:left w:val="none" w:sz="0" w:space="0" w:color="auto"/>
            <w:bottom w:val="none" w:sz="0" w:space="0" w:color="auto"/>
            <w:right w:val="none" w:sz="0" w:space="0" w:color="auto"/>
          </w:divBdr>
        </w:div>
        <w:div w:id="439378191">
          <w:marLeft w:val="0"/>
          <w:marRight w:val="0"/>
          <w:marTop w:val="0"/>
          <w:marBottom w:val="0"/>
          <w:divBdr>
            <w:top w:val="none" w:sz="0" w:space="0" w:color="auto"/>
            <w:left w:val="none" w:sz="0" w:space="0" w:color="auto"/>
            <w:bottom w:val="none" w:sz="0" w:space="0" w:color="auto"/>
            <w:right w:val="none" w:sz="0" w:space="0" w:color="auto"/>
          </w:divBdr>
        </w:div>
        <w:div w:id="653754350">
          <w:marLeft w:val="0"/>
          <w:marRight w:val="0"/>
          <w:marTop w:val="0"/>
          <w:marBottom w:val="0"/>
          <w:divBdr>
            <w:top w:val="none" w:sz="0" w:space="0" w:color="auto"/>
            <w:left w:val="none" w:sz="0" w:space="0" w:color="auto"/>
            <w:bottom w:val="none" w:sz="0" w:space="0" w:color="auto"/>
            <w:right w:val="none" w:sz="0" w:space="0" w:color="auto"/>
          </w:divBdr>
        </w:div>
        <w:div w:id="1816794078">
          <w:marLeft w:val="0"/>
          <w:marRight w:val="0"/>
          <w:marTop w:val="0"/>
          <w:marBottom w:val="0"/>
          <w:divBdr>
            <w:top w:val="none" w:sz="0" w:space="0" w:color="auto"/>
            <w:left w:val="none" w:sz="0" w:space="0" w:color="auto"/>
            <w:bottom w:val="none" w:sz="0" w:space="0" w:color="auto"/>
            <w:right w:val="none" w:sz="0" w:space="0" w:color="auto"/>
          </w:divBdr>
        </w:div>
      </w:divsChild>
    </w:div>
    <w:div w:id="2130051562">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ca.ie/en/Curriculum_and_Assessment/Post-Primary_Education/Project_Math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irishtimes.com/news/education/leaving-cert-higher-maths-paper-1-easiest-on-record-1.224056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cademia.edu/2715773/Mathematics_support_past_present_and_future"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ieleKaiser\AppData\Local\Microsoft\Windows\Temporary%20Internet%20Files\Content.Outlook\FDFIZ6KX\1301xx_PME_Template.dot"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800204551895802"/>
          <c:y val="5.8608058608058608E-2"/>
          <c:w val="0.73887857914474309"/>
          <c:h val="0.74384673069712437"/>
        </c:manualLayout>
      </c:layout>
      <c:barChart>
        <c:barDir val="bar"/>
        <c:grouping val="percentStacked"/>
        <c:varyColors val="0"/>
        <c:ser>
          <c:idx val="0"/>
          <c:order val="0"/>
          <c:tx>
            <c:strRef>
              <c:f>Sheet1!$B$1</c:f>
              <c:strCache>
                <c:ptCount val="1"/>
                <c:pt idx="0">
                  <c:v>Not at all Familiar</c:v>
                </c:pt>
              </c:strCache>
            </c:strRef>
          </c:tx>
          <c:spPr>
            <a:solidFill>
              <a:schemeClr val="accent5">
                <a:lumMod val="40000"/>
                <a:lumOff val="60000"/>
              </a:schemeClr>
            </a:solidFill>
            <a:ln>
              <a:noFill/>
            </a:ln>
            <a:effectLst/>
          </c:spPr>
          <c:invertIfNegative val="0"/>
          <c:cat>
            <c:strRef>
              <c:f>Sheet1!$A$2:$A$4</c:f>
              <c:strCache>
                <c:ptCount val="3"/>
                <c:pt idx="0">
                  <c:v>Assessment</c:v>
                </c:pt>
                <c:pt idx="1">
                  <c:v>Teaching Approaches</c:v>
                </c:pt>
                <c:pt idx="2">
                  <c:v>Syllabus</c:v>
                </c:pt>
              </c:strCache>
            </c:strRef>
          </c:cat>
          <c:val>
            <c:numRef>
              <c:f>Sheet1!$B$2:$B$4</c:f>
              <c:numCache>
                <c:formatCode>General</c:formatCode>
                <c:ptCount val="3"/>
                <c:pt idx="0">
                  <c:v>46.7</c:v>
                </c:pt>
                <c:pt idx="1">
                  <c:v>28.3</c:v>
                </c:pt>
                <c:pt idx="2">
                  <c:v>11.1</c:v>
                </c:pt>
              </c:numCache>
            </c:numRef>
          </c:val>
        </c:ser>
        <c:ser>
          <c:idx val="1"/>
          <c:order val="1"/>
          <c:tx>
            <c:strRef>
              <c:f>Sheet1!$C$1</c:f>
              <c:strCache>
                <c:ptCount val="1"/>
                <c:pt idx="0">
                  <c:v>Slightly Familiar</c:v>
                </c:pt>
              </c:strCache>
            </c:strRef>
          </c:tx>
          <c:spPr>
            <a:solidFill>
              <a:schemeClr val="accent2"/>
            </a:solidFill>
            <a:ln>
              <a:noFill/>
            </a:ln>
            <a:effectLst/>
          </c:spPr>
          <c:invertIfNegative val="0"/>
          <c:cat>
            <c:strRef>
              <c:f>Sheet1!$A$2:$A$4</c:f>
              <c:strCache>
                <c:ptCount val="3"/>
                <c:pt idx="0">
                  <c:v>Assessment</c:v>
                </c:pt>
                <c:pt idx="1">
                  <c:v>Teaching Approaches</c:v>
                </c:pt>
                <c:pt idx="2">
                  <c:v>Syllabus</c:v>
                </c:pt>
              </c:strCache>
            </c:strRef>
          </c:cat>
          <c:val>
            <c:numRef>
              <c:f>Sheet1!$C$2:$C$4</c:f>
              <c:numCache>
                <c:formatCode>General</c:formatCode>
                <c:ptCount val="3"/>
                <c:pt idx="0">
                  <c:v>22.2</c:v>
                </c:pt>
                <c:pt idx="1">
                  <c:v>32.6</c:v>
                </c:pt>
                <c:pt idx="2">
                  <c:v>17.8</c:v>
                </c:pt>
              </c:numCache>
            </c:numRef>
          </c:val>
        </c:ser>
        <c:ser>
          <c:idx val="2"/>
          <c:order val="2"/>
          <c:tx>
            <c:strRef>
              <c:f>Sheet1!$D$1</c:f>
              <c:strCache>
                <c:ptCount val="1"/>
                <c:pt idx="0">
                  <c:v>Somewhat Familiar</c:v>
                </c:pt>
              </c:strCache>
            </c:strRef>
          </c:tx>
          <c:spPr>
            <a:solidFill>
              <a:schemeClr val="accent6">
                <a:lumMod val="60000"/>
                <a:lumOff val="40000"/>
              </a:schemeClr>
            </a:solidFill>
            <a:ln>
              <a:noFill/>
            </a:ln>
            <a:effectLst/>
          </c:spPr>
          <c:invertIfNegative val="0"/>
          <c:cat>
            <c:strRef>
              <c:f>Sheet1!$A$2:$A$4</c:f>
              <c:strCache>
                <c:ptCount val="3"/>
                <c:pt idx="0">
                  <c:v>Assessment</c:v>
                </c:pt>
                <c:pt idx="1">
                  <c:v>Teaching Approaches</c:v>
                </c:pt>
                <c:pt idx="2">
                  <c:v>Syllabus</c:v>
                </c:pt>
              </c:strCache>
            </c:strRef>
          </c:cat>
          <c:val>
            <c:numRef>
              <c:f>Sheet1!$D$2:$D$4</c:f>
              <c:numCache>
                <c:formatCode>General</c:formatCode>
                <c:ptCount val="3"/>
                <c:pt idx="0">
                  <c:v>4.4000000000000004</c:v>
                </c:pt>
                <c:pt idx="1">
                  <c:v>19.600000000000001</c:v>
                </c:pt>
                <c:pt idx="2">
                  <c:v>40</c:v>
                </c:pt>
              </c:numCache>
            </c:numRef>
          </c:val>
        </c:ser>
        <c:ser>
          <c:idx val="3"/>
          <c:order val="3"/>
          <c:tx>
            <c:strRef>
              <c:f>Sheet1!$E$1</c:f>
              <c:strCache>
                <c:ptCount val="1"/>
                <c:pt idx="0">
                  <c:v>Moderately Familiar</c:v>
                </c:pt>
              </c:strCache>
            </c:strRef>
          </c:tx>
          <c:spPr>
            <a:solidFill>
              <a:schemeClr val="accent4"/>
            </a:solidFill>
            <a:ln>
              <a:noFill/>
            </a:ln>
            <a:effectLst/>
          </c:spPr>
          <c:invertIfNegative val="0"/>
          <c:cat>
            <c:strRef>
              <c:f>Sheet1!$A$2:$A$4</c:f>
              <c:strCache>
                <c:ptCount val="3"/>
                <c:pt idx="0">
                  <c:v>Assessment</c:v>
                </c:pt>
                <c:pt idx="1">
                  <c:v>Teaching Approaches</c:v>
                </c:pt>
                <c:pt idx="2">
                  <c:v>Syllabus</c:v>
                </c:pt>
              </c:strCache>
            </c:strRef>
          </c:cat>
          <c:val>
            <c:numRef>
              <c:f>Sheet1!$E$2:$E$4</c:f>
              <c:numCache>
                <c:formatCode>General</c:formatCode>
                <c:ptCount val="3"/>
                <c:pt idx="0">
                  <c:v>13.3</c:v>
                </c:pt>
                <c:pt idx="1">
                  <c:v>4.3</c:v>
                </c:pt>
                <c:pt idx="2">
                  <c:v>11.1</c:v>
                </c:pt>
              </c:numCache>
            </c:numRef>
          </c:val>
        </c:ser>
        <c:ser>
          <c:idx val="4"/>
          <c:order val="4"/>
          <c:tx>
            <c:strRef>
              <c:f>Sheet1!$F$1</c:f>
              <c:strCache>
                <c:ptCount val="1"/>
                <c:pt idx="0">
                  <c:v>Extremely Familiar</c:v>
                </c:pt>
              </c:strCache>
            </c:strRef>
          </c:tx>
          <c:spPr>
            <a:solidFill>
              <a:schemeClr val="accent5"/>
            </a:solidFill>
            <a:ln>
              <a:noFill/>
            </a:ln>
            <a:effectLst/>
          </c:spPr>
          <c:invertIfNegative val="0"/>
          <c:cat>
            <c:strRef>
              <c:f>Sheet1!$A$2:$A$4</c:f>
              <c:strCache>
                <c:ptCount val="3"/>
                <c:pt idx="0">
                  <c:v>Assessment</c:v>
                </c:pt>
                <c:pt idx="1">
                  <c:v>Teaching Approaches</c:v>
                </c:pt>
                <c:pt idx="2">
                  <c:v>Syllabus</c:v>
                </c:pt>
              </c:strCache>
            </c:strRef>
          </c:cat>
          <c:val>
            <c:numRef>
              <c:f>Sheet1!$F$2:$F$4</c:f>
              <c:numCache>
                <c:formatCode>General</c:formatCode>
                <c:ptCount val="3"/>
                <c:pt idx="0">
                  <c:v>13.3</c:v>
                </c:pt>
                <c:pt idx="1">
                  <c:v>15.2</c:v>
                </c:pt>
                <c:pt idx="2">
                  <c:v>20</c:v>
                </c:pt>
              </c:numCache>
            </c:numRef>
          </c:val>
        </c:ser>
        <c:dLbls>
          <c:showLegendKey val="0"/>
          <c:showVal val="0"/>
          <c:showCatName val="0"/>
          <c:showSerName val="0"/>
          <c:showPercent val="0"/>
          <c:showBubbleSize val="0"/>
        </c:dLbls>
        <c:gapWidth val="150"/>
        <c:overlap val="100"/>
        <c:axId val="340487904"/>
        <c:axId val="340485944"/>
      </c:barChart>
      <c:catAx>
        <c:axId val="340487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en-US"/>
          </a:p>
        </c:txPr>
        <c:crossAx val="340485944"/>
        <c:crosses val="autoZero"/>
        <c:auto val="1"/>
        <c:lblAlgn val="ctr"/>
        <c:lblOffset val="100"/>
        <c:noMultiLvlLbl val="0"/>
      </c:catAx>
      <c:valAx>
        <c:axId val="3404859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en-US"/>
          </a:p>
        </c:txPr>
        <c:crossAx val="340487904"/>
        <c:crosses val="autoZero"/>
        <c:crossBetween val="between"/>
      </c:valAx>
      <c:spPr>
        <a:noFill/>
        <a:ln>
          <a:noFill/>
        </a:ln>
        <a:effectLst/>
      </c:spPr>
    </c:plotArea>
    <c:legend>
      <c:legendPos val="b"/>
      <c:layout>
        <c:manualLayout>
          <c:xMode val="edge"/>
          <c:yMode val="edge"/>
          <c:x val="4.3813537392332999E-2"/>
          <c:y val="0.87186438233682328"/>
          <c:w val="0.91279126567512436"/>
          <c:h val="0.1245588051493563"/>
        </c:manualLayout>
      </c:layout>
      <c:overlay val="0"/>
      <c:spPr>
        <a:noFill/>
        <a:ln>
          <a:noFill/>
        </a:ln>
        <a:effectLst/>
      </c:spPr>
      <c:txPr>
        <a:bodyPr rot="0" spcFirstLastPara="1" vertOverflow="ellipsis" vert="horz" wrap="square" anchor="ctr" anchorCtr="1"/>
        <a:lstStyle/>
        <a:p>
          <a:pPr>
            <a:defRPr sz="950" b="0" i="0" u="none" strike="noStrike" kern="1200" baseline="0">
              <a:solidFill>
                <a:schemeClr val="tx1"/>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Changes Made</c:v>
                </c:pt>
              </c:strCache>
            </c:strRef>
          </c:tx>
          <c:spPr>
            <a:solidFill>
              <a:srgbClr val="92D050"/>
            </a:solidFill>
            <a:ln>
              <a:noFill/>
            </a:ln>
            <a:effectLst/>
          </c:spPr>
          <c:invertIfNegative val="0"/>
          <c:cat>
            <c:strRef>
              <c:f>Sheet1!$A$2:$A$4</c:f>
              <c:strCache>
                <c:ptCount val="3"/>
                <c:pt idx="0">
                  <c:v>Course Content</c:v>
                </c:pt>
                <c:pt idx="1">
                  <c:v>Teaching Approaches</c:v>
                </c:pt>
                <c:pt idx="2">
                  <c:v>Assessment Approaches</c:v>
                </c:pt>
              </c:strCache>
            </c:strRef>
          </c:cat>
          <c:val>
            <c:numRef>
              <c:f>Sheet1!$B$2:$B$4</c:f>
              <c:numCache>
                <c:formatCode>General</c:formatCode>
                <c:ptCount val="3"/>
                <c:pt idx="0">
                  <c:v>39.1</c:v>
                </c:pt>
                <c:pt idx="1">
                  <c:v>15.6</c:v>
                </c:pt>
                <c:pt idx="2">
                  <c:v>10.9</c:v>
                </c:pt>
              </c:numCache>
            </c:numRef>
          </c:val>
        </c:ser>
        <c:ser>
          <c:idx val="1"/>
          <c:order val="1"/>
          <c:tx>
            <c:strRef>
              <c:f>Sheet1!$C$1</c:f>
              <c:strCache>
                <c:ptCount val="1"/>
                <c:pt idx="0">
                  <c:v>Furture Changes Planned</c:v>
                </c:pt>
              </c:strCache>
            </c:strRef>
          </c:tx>
          <c:spPr>
            <a:solidFill>
              <a:srgbClr val="9BBB59">
                <a:lumMod val="40000"/>
                <a:lumOff val="60000"/>
              </a:srgbClr>
            </a:solidFill>
            <a:ln>
              <a:noFill/>
            </a:ln>
            <a:effectLst/>
          </c:spPr>
          <c:invertIfNegative val="0"/>
          <c:cat>
            <c:strRef>
              <c:f>Sheet1!$A$2:$A$4</c:f>
              <c:strCache>
                <c:ptCount val="3"/>
                <c:pt idx="0">
                  <c:v>Course Content</c:v>
                </c:pt>
                <c:pt idx="1">
                  <c:v>Teaching Approaches</c:v>
                </c:pt>
                <c:pt idx="2">
                  <c:v>Assessment Approaches</c:v>
                </c:pt>
              </c:strCache>
            </c:strRef>
          </c:cat>
          <c:val>
            <c:numRef>
              <c:f>Sheet1!$C$2:$C$4</c:f>
              <c:numCache>
                <c:formatCode>General</c:formatCode>
                <c:ptCount val="3"/>
                <c:pt idx="0">
                  <c:v>39.1</c:v>
                </c:pt>
                <c:pt idx="1">
                  <c:v>27</c:v>
                </c:pt>
                <c:pt idx="2">
                  <c:v>11.1</c:v>
                </c:pt>
              </c:numCache>
            </c:numRef>
          </c:val>
        </c:ser>
        <c:ser>
          <c:idx val="2"/>
          <c:order val="2"/>
          <c:tx>
            <c:strRef>
              <c:f>Sheet1!$D$1</c:f>
              <c:strCache>
                <c:ptCount val="1"/>
                <c:pt idx="0">
                  <c:v>No Changes Made</c:v>
                </c:pt>
              </c:strCache>
            </c:strRef>
          </c:tx>
          <c:spPr>
            <a:solidFill>
              <a:srgbClr val="F79646"/>
            </a:solidFill>
            <a:ln>
              <a:noFill/>
            </a:ln>
            <a:effectLst/>
          </c:spPr>
          <c:invertIfNegative val="0"/>
          <c:cat>
            <c:strRef>
              <c:f>Sheet1!$A$2:$A$4</c:f>
              <c:strCache>
                <c:ptCount val="3"/>
                <c:pt idx="0">
                  <c:v>Course Content</c:v>
                </c:pt>
                <c:pt idx="1">
                  <c:v>Teaching Approaches</c:v>
                </c:pt>
                <c:pt idx="2">
                  <c:v>Assessment Approaches</c:v>
                </c:pt>
              </c:strCache>
            </c:strRef>
          </c:cat>
          <c:val>
            <c:numRef>
              <c:f>Sheet1!$D$2:$D$4</c:f>
              <c:numCache>
                <c:formatCode>General</c:formatCode>
                <c:ptCount val="3"/>
                <c:pt idx="0">
                  <c:v>60.9</c:v>
                </c:pt>
                <c:pt idx="1">
                  <c:v>84.4</c:v>
                </c:pt>
                <c:pt idx="2">
                  <c:v>89.1</c:v>
                </c:pt>
              </c:numCache>
            </c:numRef>
          </c:val>
        </c:ser>
        <c:ser>
          <c:idx val="3"/>
          <c:order val="3"/>
          <c:tx>
            <c:strRef>
              <c:f>Sheet1!$E$1</c:f>
              <c:strCache>
                <c:ptCount val="1"/>
                <c:pt idx="0">
                  <c:v>No Furture Changes Planned</c:v>
                </c:pt>
              </c:strCache>
            </c:strRef>
          </c:tx>
          <c:spPr>
            <a:solidFill>
              <a:srgbClr val="FFC000">
                <a:lumMod val="60000"/>
                <a:lumOff val="40000"/>
              </a:srgbClr>
            </a:solidFill>
            <a:ln>
              <a:noFill/>
            </a:ln>
            <a:effectLst/>
          </c:spPr>
          <c:invertIfNegative val="0"/>
          <c:cat>
            <c:strRef>
              <c:f>Sheet1!$A$2:$A$4</c:f>
              <c:strCache>
                <c:ptCount val="3"/>
                <c:pt idx="0">
                  <c:v>Course Content</c:v>
                </c:pt>
                <c:pt idx="1">
                  <c:v>Teaching Approaches</c:v>
                </c:pt>
                <c:pt idx="2">
                  <c:v>Assessment Approaches</c:v>
                </c:pt>
              </c:strCache>
            </c:strRef>
          </c:cat>
          <c:val>
            <c:numRef>
              <c:f>Sheet1!$E$2:$E$4</c:f>
              <c:numCache>
                <c:formatCode>General</c:formatCode>
                <c:ptCount val="3"/>
                <c:pt idx="0">
                  <c:v>60.9</c:v>
                </c:pt>
                <c:pt idx="1">
                  <c:v>73</c:v>
                </c:pt>
                <c:pt idx="2">
                  <c:v>88.9</c:v>
                </c:pt>
              </c:numCache>
            </c:numRef>
          </c:val>
        </c:ser>
        <c:dLbls>
          <c:showLegendKey val="0"/>
          <c:showVal val="0"/>
          <c:showCatName val="0"/>
          <c:showSerName val="0"/>
          <c:showPercent val="0"/>
          <c:showBubbleSize val="0"/>
        </c:dLbls>
        <c:gapWidth val="150"/>
        <c:axId val="340487120"/>
        <c:axId val="338886872"/>
      </c:barChart>
      <c:catAx>
        <c:axId val="340487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en-US"/>
          </a:p>
        </c:txPr>
        <c:crossAx val="338886872"/>
        <c:crosses val="autoZero"/>
        <c:auto val="1"/>
        <c:lblAlgn val="ctr"/>
        <c:lblOffset val="100"/>
        <c:noMultiLvlLbl val="0"/>
      </c:catAx>
      <c:valAx>
        <c:axId val="338886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en-US"/>
          </a:p>
        </c:txPr>
        <c:crossAx val="340487120"/>
        <c:crosses val="autoZero"/>
        <c:crossBetween val="between"/>
        <c:dispUnits>
          <c:builtInUnit val="hundreds"/>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1301xx_PME_Template</Template>
  <TotalTime>174</TotalTime>
  <Pages>8</Pages>
  <Words>3960</Words>
  <Characters>22576</Characters>
  <Application>Microsoft Office Word</Application>
  <DocSecurity>0</DocSecurity>
  <Lines>188</Lines>
  <Paragraphs>52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template-ICME-13</vt:lpstr>
      <vt:lpstr>template-ICME-13</vt:lpstr>
    </vt:vector>
  </TitlesOfParts>
  <Company>LMU München</Company>
  <LinksUpToDate>false</LinksUpToDate>
  <CharactersWithSpaces>26484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template-ICME-13</dc:title>
  <dc:creator>GabrieleKaiser</dc:creator>
  <cp:lastModifiedBy>Mark Prendergast</cp:lastModifiedBy>
  <cp:revision>48</cp:revision>
  <dcterms:created xsi:type="dcterms:W3CDTF">2016-02-23T22:10:00Z</dcterms:created>
  <dcterms:modified xsi:type="dcterms:W3CDTF">2016-03-22T15:18:00Z</dcterms:modified>
</cp:coreProperties>
</file>