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69F7E" w14:textId="2CA41762" w:rsidR="00215F50" w:rsidRPr="00215F50" w:rsidRDefault="00215F50">
      <w:pPr>
        <w:shd w:val="clear" w:color="auto" w:fill="FFFFFF"/>
        <w:spacing w:after="0" w:line="240" w:lineRule="auto"/>
        <w:rPr>
          <w:color w:val="222222"/>
        </w:rPr>
      </w:pPr>
      <w:r>
        <w:rPr>
          <w:b/>
          <w:color w:val="222222"/>
        </w:rPr>
        <w:t xml:space="preserve">Narrative and Remaking Social Futures Within Times of Pandemic Crisis: The Story-making and </w:t>
      </w:r>
      <w:proofErr w:type="gramStart"/>
      <w:r>
        <w:rPr>
          <w:b/>
          <w:color w:val="222222"/>
        </w:rPr>
        <w:t>Story-telling</w:t>
      </w:r>
      <w:proofErr w:type="gramEnd"/>
      <w:r>
        <w:rPr>
          <w:b/>
          <w:color w:val="222222"/>
        </w:rPr>
        <w:t xml:space="preserve"> of the Heroic Nurse</w:t>
      </w:r>
    </w:p>
    <w:p w14:paraId="00000002" w14:textId="77777777" w:rsidR="00CD30C3" w:rsidRDefault="00741E18">
      <w:pPr>
        <w:shd w:val="clear" w:color="auto" w:fill="FFFFFF"/>
        <w:spacing w:after="0" w:line="240" w:lineRule="auto"/>
        <w:rPr>
          <w:color w:val="222222"/>
        </w:rPr>
      </w:pPr>
      <w:r>
        <w:rPr>
          <w:b/>
          <w:color w:val="222222"/>
        </w:rPr>
        <w:br/>
      </w:r>
    </w:p>
    <w:p w14:paraId="00000003" w14:textId="65A0C924" w:rsidR="00CD30C3" w:rsidRPr="00655B87" w:rsidRDefault="00741E18" w:rsidP="003660C1">
      <w:pPr>
        <w:shd w:val="clear" w:color="auto" w:fill="FFFFFF"/>
        <w:ind w:firstLine="720"/>
        <w:jc w:val="both"/>
        <w:rPr>
          <w:color w:val="222222"/>
        </w:rPr>
      </w:pPr>
      <w:r>
        <w:rPr>
          <w:color w:val="222222"/>
        </w:rPr>
        <w:t xml:space="preserve">Heroes come in many forms. We propose that through times of Covid-19 pandemic crisis, practices of story-making and </w:t>
      </w:r>
      <w:proofErr w:type="gramStart"/>
      <w:r>
        <w:rPr>
          <w:color w:val="222222"/>
        </w:rPr>
        <w:t>story-telling</w:t>
      </w:r>
      <w:proofErr w:type="gramEnd"/>
      <w:r>
        <w:rPr>
          <w:color w:val="222222"/>
        </w:rPr>
        <w:t xml:space="preserve"> have radically reconceived contemporary archetypes of heroism</w:t>
      </w:r>
      <w:r w:rsidR="003660C1">
        <w:rPr>
          <w:color w:val="222222"/>
        </w:rPr>
        <w:t xml:space="preserve">. Many </w:t>
      </w:r>
      <w:r w:rsidR="00215F50">
        <w:rPr>
          <w:color w:val="222222"/>
        </w:rPr>
        <w:t xml:space="preserve">health and social care </w:t>
      </w:r>
      <w:r w:rsidR="003660C1">
        <w:rPr>
          <w:color w:val="222222"/>
        </w:rPr>
        <w:t>professionals have been challenged in frontline practice within the pandemic. Our focus is on the</w:t>
      </w:r>
      <w:r w:rsidR="00215F50">
        <w:rPr>
          <w:color w:val="222222"/>
        </w:rPr>
        <w:t xml:space="preserve"> </w:t>
      </w:r>
      <w:r>
        <w:rPr>
          <w:color w:val="222222"/>
        </w:rPr>
        <w:t>casting</w:t>
      </w:r>
      <w:r w:rsidR="003660C1">
        <w:rPr>
          <w:color w:val="222222"/>
        </w:rPr>
        <w:t xml:space="preserve"> of</w:t>
      </w:r>
      <w:r>
        <w:rPr>
          <w:color w:val="222222"/>
        </w:rPr>
        <w:t xml:space="preserve"> nurses into the limelight as everyday heroes and arbiters of hope</w:t>
      </w:r>
      <w:r w:rsidR="003660C1">
        <w:rPr>
          <w:color w:val="222222"/>
        </w:rPr>
        <w:t xml:space="preserve"> within pandemic crisis</w:t>
      </w:r>
      <w:r>
        <w:rPr>
          <w:color w:val="222222"/>
        </w:rPr>
        <w:t xml:space="preserve">. Of interest to question is how (auto)-biographical and narrative methodologies may revisit and reframe otherwise silent intricacies of these stories. Specifically, we make the case for the Biographical Narrative Interpretive Method (BNIM) as a productive methodological possibility for sociological questions such as this. As such, </w:t>
      </w:r>
      <w:r w:rsidR="003660C1">
        <w:rPr>
          <w:color w:val="222222"/>
        </w:rPr>
        <w:t xml:space="preserve">two </w:t>
      </w:r>
      <w:r>
        <w:rPr>
          <w:color w:val="222222"/>
        </w:rPr>
        <w:t xml:space="preserve">exemplary conventions of the method are taken up within critical discussion, which are respectively: </w:t>
      </w:r>
      <w:r>
        <w:t>Generalising whilst particularising</w:t>
      </w:r>
      <w:r w:rsidR="003660C1">
        <w:t xml:space="preserve"> </w:t>
      </w:r>
      <w:r>
        <w:t xml:space="preserve">and conceptual attention to biography, narrative and interpretation. </w:t>
      </w:r>
    </w:p>
    <w:p w14:paraId="00000004" w14:textId="77777777" w:rsidR="00CD30C3" w:rsidRDefault="00CD30C3" w:rsidP="00741E18">
      <w:pPr>
        <w:shd w:val="clear" w:color="auto" w:fill="FFFFFF"/>
        <w:jc w:val="both"/>
        <w:rPr>
          <w:color w:val="222222"/>
        </w:rPr>
      </w:pPr>
    </w:p>
    <w:p w14:paraId="00000005" w14:textId="77777777" w:rsidR="00CD30C3" w:rsidRDefault="00741E18" w:rsidP="00741E18">
      <w:pPr>
        <w:shd w:val="clear" w:color="auto" w:fill="FFFFFF"/>
        <w:jc w:val="both"/>
        <w:rPr>
          <w:b/>
          <w:color w:val="0070C0"/>
        </w:rPr>
      </w:pPr>
      <w:r>
        <w:rPr>
          <w:b/>
          <w:color w:val="222222"/>
        </w:rPr>
        <w:t xml:space="preserve">Introduction </w:t>
      </w:r>
    </w:p>
    <w:p w14:paraId="2BA2EF05" w14:textId="2C904801" w:rsidR="00181D0A" w:rsidRPr="00215F50" w:rsidRDefault="00741E18" w:rsidP="008773A3">
      <w:pPr>
        <w:spacing w:after="0" w:line="276" w:lineRule="auto"/>
        <w:jc w:val="both"/>
      </w:pPr>
      <w:r>
        <w:t>Stories of health and healing, illness and recovery permeate into our lives.  Stories, by their very nature, assist in communication and sense making processes for us all. This human tradition of oral story-telling which casts otherwise meaningless experience into a coherent plot, is often conceived of as ‘narrative’</w:t>
      </w:r>
      <w:r w:rsidR="00827F10">
        <w:t xml:space="preserve"> (</w:t>
      </w:r>
      <w:proofErr w:type="spellStart"/>
      <w:r w:rsidR="00827F10">
        <w:t>Reissman</w:t>
      </w:r>
      <w:proofErr w:type="spellEnd"/>
      <w:r w:rsidR="00827F10">
        <w:t>, 2008)</w:t>
      </w:r>
      <w:r>
        <w:t>. Within the social sciences and academy beyond, the term narrative refers not only to such a phenomenon, but in a separate respect, to a method (</w:t>
      </w:r>
      <w:proofErr w:type="spellStart"/>
      <w:r>
        <w:t>Clandinin</w:t>
      </w:r>
      <w:proofErr w:type="spellEnd"/>
      <w:r>
        <w:t xml:space="preserve"> and Connelly, 1994). In this paper, we loosely deal with both, focussing specifically on the utility of the Biographical Narrative Interpretive Method (BNIM) (</w:t>
      </w:r>
      <w:proofErr w:type="spellStart"/>
      <w:r>
        <w:t>Wengraf</w:t>
      </w:r>
      <w:proofErr w:type="spellEnd"/>
      <w:r>
        <w:t xml:space="preserve">, 2020). The proposition is that BNIM lends itself powerfully toward sociologically reimagining and rendering visible, the heroic nature of </w:t>
      </w:r>
      <w:r w:rsidRPr="00215F50">
        <w:t>the nursing endeavour, during times of Covid-19 pandemic crisis.</w:t>
      </w:r>
    </w:p>
    <w:p w14:paraId="48A36CB2" w14:textId="681F398C" w:rsidR="00D97501" w:rsidRDefault="00741E18" w:rsidP="00181D0A">
      <w:pPr>
        <w:spacing w:after="0" w:line="276" w:lineRule="auto"/>
        <w:ind w:firstLine="720"/>
        <w:jc w:val="both"/>
      </w:pPr>
      <w:r>
        <w:t xml:space="preserve"> </w:t>
      </w:r>
      <w:r w:rsidR="00655B87">
        <w:t>One example</w:t>
      </w:r>
      <w:r w:rsidR="00CA549E">
        <w:t xml:space="preserve"> of nursing heroism in the pandemic has been nurses’ </w:t>
      </w:r>
      <w:r w:rsidR="00BF222C">
        <w:t xml:space="preserve">alleged </w:t>
      </w:r>
      <w:r w:rsidR="00CA549E">
        <w:t xml:space="preserve">bravery </w:t>
      </w:r>
      <w:r w:rsidR="00655B87">
        <w:t xml:space="preserve">in </w:t>
      </w:r>
      <w:r w:rsidR="00CA549E">
        <w:t xml:space="preserve">working with patients where they face potential exposure to </w:t>
      </w:r>
      <w:r w:rsidR="00181D0A">
        <w:t>corona</w:t>
      </w:r>
      <w:r w:rsidR="00CA549E">
        <w:t xml:space="preserve">virus </w:t>
      </w:r>
      <w:r w:rsidR="00181D0A">
        <w:t xml:space="preserve">thereby “risking their lives” </w:t>
      </w:r>
      <w:r w:rsidR="008773A3">
        <w:t>(</w:t>
      </w:r>
      <w:proofErr w:type="spellStart"/>
      <w:r w:rsidR="00181D0A" w:rsidRPr="00FD57D3">
        <w:t>Bauchner</w:t>
      </w:r>
      <w:proofErr w:type="spellEnd"/>
      <w:r w:rsidR="00181D0A">
        <w:t xml:space="preserve"> &amp;</w:t>
      </w:r>
      <w:r w:rsidR="00181D0A" w:rsidRPr="00FD57D3">
        <w:t xml:space="preserve"> Easley</w:t>
      </w:r>
      <w:r w:rsidR="00181D0A">
        <w:t>,</w:t>
      </w:r>
      <w:r w:rsidR="00181D0A" w:rsidRPr="00FD57D3">
        <w:t xml:space="preserve"> </w:t>
      </w:r>
      <w:r w:rsidR="00181D0A">
        <w:t>2020, p.1</w:t>
      </w:r>
      <w:r w:rsidR="008773A3">
        <w:t xml:space="preserve">).  </w:t>
      </w:r>
      <w:r w:rsidR="00CA549E">
        <w:t xml:space="preserve">Unlike many other methods, </w:t>
      </w:r>
      <w:r w:rsidR="008A0FBA">
        <w:t xml:space="preserve">BNIM </w:t>
      </w:r>
      <w:r w:rsidR="00CA549E">
        <w:t xml:space="preserve">is calibrated to </w:t>
      </w:r>
      <w:r w:rsidR="008773A3">
        <w:t xml:space="preserve">highlight </w:t>
      </w:r>
      <w:r w:rsidR="00BF222C">
        <w:t xml:space="preserve">narrative contradictions, which occur when the meta narrative of </w:t>
      </w:r>
      <w:r w:rsidR="008773A3">
        <w:t>nurses a</w:t>
      </w:r>
      <w:r w:rsidR="00BF222C">
        <w:t>s</w:t>
      </w:r>
      <w:r w:rsidR="008773A3">
        <w:t xml:space="preserve"> heroes of the pandemic</w:t>
      </w:r>
      <w:r w:rsidR="00181D0A">
        <w:t xml:space="preserve"> due to this </w:t>
      </w:r>
      <w:r w:rsidR="00715595">
        <w:t xml:space="preserve">significant </w:t>
      </w:r>
      <w:r w:rsidR="00181D0A">
        <w:t>risk</w:t>
      </w:r>
      <w:r w:rsidR="008773A3">
        <w:t xml:space="preserve"> (</w:t>
      </w:r>
      <w:r w:rsidR="00181D0A">
        <w:t>Cox, 2020; Stokes-parish et al., 2020</w:t>
      </w:r>
      <w:r w:rsidR="008773A3">
        <w:t>),</w:t>
      </w:r>
      <w:r w:rsidR="008A0FBA">
        <w:t xml:space="preserve"> </w:t>
      </w:r>
      <w:r w:rsidR="008773A3">
        <w:t>is at odds with</w:t>
      </w:r>
      <w:r w:rsidR="008A0FBA">
        <w:t xml:space="preserve"> biographic </w:t>
      </w:r>
      <w:r w:rsidR="00181D0A">
        <w:t xml:space="preserve">lived </w:t>
      </w:r>
      <w:r w:rsidR="008A0FBA">
        <w:t>experience</w:t>
      </w:r>
      <w:r w:rsidR="00715595">
        <w:t>, for instance</w:t>
      </w:r>
      <w:r w:rsidR="006E0BC0">
        <w:t>,</w:t>
      </w:r>
      <w:r w:rsidR="00715595">
        <w:t xml:space="preserve"> the frontline</w:t>
      </w:r>
      <w:r w:rsidR="006E0BC0">
        <w:t xml:space="preserve"> lived</w:t>
      </w:r>
      <w:r w:rsidR="00715595">
        <w:t xml:space="preserve"> experience</w:t>
      </w:r>
      <w:r w:rsidR="00181D0A">
        <w:t xml:space="preserve"> of nursing</w:t>
      </w:r>
      <w:r w:rsidR="008773A3">
        <w:t xml:space="preserve">. </w:t>
      </w:r>
      <w:r w:rsidR="00181D0A">
        <w:t>Stokes-parish et al. (2020)</w:t>
      </w:r>
      <w:r w:rsidR="008773A3">
        <w:t xml:space="preserve"> illustrate</w:t>
      </w:r>
      <w:r w:rsidR="00181D0A">
        <w:t>, for instance,</w:t>
      </w:r>
      <w:r w:rsidR="008773A3">
        <w:t xml:space="preserve"> how the narrative of heroism due to virus exposure </w:t>
      </w:r>
      <w:r w:rsidR="00715595">
        <w:t xml:space="preserve">within the pandemic </w:t>
      </w:r>
      <w:r w:rsidR="008773A3">
        <w:t>is a fals</w:t>
      </w:r>
      <w:r w:rsidR="00715595">
        <w:t>ification</w:t>
      </w:r>
      <w:r w:rsidR="008773A3">
        <w:t xml:space="preserve"> of nurses</w:t>
      </w:r>
      <w:r w:rsidR="00181D0A">
        <w:t>’</w:t>
      </w:r>
      <w:r w:rsidR="008773A3">
        <w:t xml:space="preserve"> biographic reality</w:t>
      </w:r>
      <w:r w:rsidR="00181D0A">
        <w:t>,</w:t>
      </w:r>
      <w:r w:rsidR="008773A3">
        <w:t xml:space="preserve"> as nurses are </w:t>
      </w:r>
      <w:r w:rsidR="008773A3" w:rsidRPr="00715595">
        <w:t>always</w:t>
      </w:r>
      <w:r w:rsidR="008773A3" w:rsidRPr="00655B87">
        <w:rPr>
          <w:i/>
          <w:iCs/>
        </w:rPr>
        <w:t xml:space="preserve"> </w:t>
      </w:r>
      <w:r w:rsidR="008773A3">
        <w:t>exposed to health risks in this way</w:t>
      </w:r>
      <w:r w:rsidR="00181D0A">
        <w:t>. T</w:t>
      </w:r>
      <w:r w:rsidR="008773A3">
        <w:t>herefore</w:t>
      </w:r>
      <w:r w:rsidR="00181D0A">
        <w:t>,</w:t>
      </w:r>
      <w:r w:rsidR="008773A3">
        <w:t xml:space="preserve"> to wed their heroism to the pandemic, </w:t>
      </w:r>
      <w:r w:rsidR="00181D0A">
        <w:t>implies that the</w:t>
      </w:r>
      <w:r w:rsidR="008773A3">
        <w:t xml:space="preserve"> risk</w:t>
      </w:r>
      <w:r w:rsidR="00181D0A">
        <w:t xml:space="preserve"> of becoming sick due to exposure to contagious illnesses</w:t>
      </w:r>
      <w:r w:rsidR="008773A3">
        <w:t xml:space="preserve"> is simply an acceptable part of their job </w:t>
      </w:r>
      <w:r w:rsidR="00715595">
        <w:t>in all other instances</w:t>
      </w:r>
      <w:r w:rsidR="00181D0A">
        <w:t xml:space="preserve"> (Stokes-parish et al., 2020)</w:t>
      </w:r>
      <w:r w:rsidR="008773A3">
        <w:t xml:space="preserve">. </w:t>
      </w:r>
    </w:p>
    <w:p w14:paraId="04E8DA31" w14:textId="44FEDFE8" w:rsidR="00A378B1" w:rsidRDefault="00D97501" w:rsidP="00A378B1">
      <w:pPr>
        <w:spacing w:after="0" w:line="276" w:lineRule="auto"/>
        <w:ind w:firstLine="720"/>
        <w:jc w:val="both"/>
      </w:pPr>
      <w:r>
        <w:t xml:space="preserve">It </w:t>
      </w:r>
      <w:r w:rsidR="006E0BC0">
        <w:t>remains</w:t>
      </w:r>
      <w:r>
        <w:t xml:space="preserve"> the case that</w:t>
      </w:r>
      <w:r w:rsidR="008773A3">
        <w:t xml:space="preserve"> narrative inquiry</w:t>
      </w:r>
      <w:r w:rsidR="00560B85">
        <w:t>,</w:t>
      </w:r>
      <w:r w:rsidR="00181D0A">
        <w:t xml:space="preserve"> </w:t>
      </w:r>
      <w:r w:rsidR="008773A3">
        <w:t>in the form of BNIM</w:t>
      </w:r>
      <w:r w:rsidR="00560B85">
        <w:t>,</w:t>
      </w:r>
      <w:r w:rsidR="00181D0A">
        <w:t xml:space="preserve"> does not relate </w:t>
      </w:r>
      <w:r w:rsidR="008773A3">
        <w:t xml:space="preserve">directly to </w:t>
      </w:r>
      <w:r w:rsidR="008A0FBA" w:rsidRPr="008A0FBA">
        <w:t>heroism</w:t>
      </w:r>
      <w:r w:rsidR="00883F3E">
        <w:t xml:space="preserve"> per se</w:t>
      </w:r>
      <w:r w:rsidR="003B728C">
        <w:t>,</w:t>
      </w:r>
      <w:r w:rsidR="00181D0A">
        <w:t xml:space="preserve"> nor to nursing. </w:t>
      </w:r>
      <w:r>
        <w:t>Rather, we suggest that it</w:t>
      </w:r>
      <w:r w:rsidR="003B728C">
        <w:t xml:space="preserve"> </w:t>
      </w:r>
      <w:r w:rsidR="00715595">
        <w:t>does provide a</w:t>
      </w:r>
      <w:r w:rsidR="00181D0A">
        <w:t xml:space="preserve"> method</w:t>
      </w:r>
      <w:r w:rsidR="008773A3">
        <w:t xml:space="preserve"> </w:t>
      </w:r>
      <w:r w:rsidR="003B728C">
        <w:t>by which one can</w:t>
      </w:r>
      <w:r w:rsidR="008773A3">
        <w:t xml:space="preserve"> </w:t>
      </w:r>
      <w:r w:rsidR="008A0FBA" w:rsidRPr="008A0FBA">
        <w:t xml:space="preserve">reveal </w:t>
      </w:r>
      <w:r w:rsidR="008773A3">
        <w:t xml:space="preserve">important </w:t>
      </w:r>
      <w:r w:rsidR="003B728C">
        <w:t>intricacies and complexities of</w:t>
      </w:r>
      <w:r w:rsidR="008773A3">
        <w:t xml:space="preserve"> </w:t>
      </w:r>
      <w:r w:rsidR="003B728C">
        <w:t>any</w:t>
      </w:r>
      <w:r w:rsidR="00181D0A">
        <w:t xml:space="preserve"> kind of narrative or biograph</w:t>
      </w:r>
      <w:r w:rsidR="003B728C">
        <w:t>ic phenomena</w:t>
      </w:r>
      <w:r>
        <w:t xml:space="preserve"> (</w:t>
      </w:r>
      <w:proofErr w:type="spellStart"/>
      <w:r>
        <w:t>Wengraf</w:t>
      </w:r>
      <w:proofErr w:type="spellEnd"/>
      <w:r>
        <w:t>, 2020)</w:t>
      </w:r>
      <w:r w:rsidR="003B728C">
        <w:t xml:space="preserve">, </w:t>
      </w:r>
      <w:r w:rsidR="00715595">
        <w:t xml:space="preserve">and </w:t>
      </w:r>
      <w:r w:rsidR="00560B85">
        <w:t xml:space="preserve">specifically </w:t>
      </w:r>
      <w:r w:rsidR="00715595">
        <w:t xml:space="preserve">we </w:t>
      </w:r>
      <w:r>
        <w:t>contend</w:t>
      </w:r>
      <w:r w:rsidR="00715595">
        <w:t>,</w:t>
      </w:r>
      <w:r w:rsidR="003B728C">
        <w:t xml:space="preserve"> </w:t>
      </w:r>
      <w:r w:rsidR="00715595">
        <w:t xml:space="preserve">the case of </w:t>
      </w:r>
      <w:r w:rsidR="003B728C">
        <w:t>nursing</w:t>
      </w:r>
      <w:r w:rsidR="00715595">
        <w:t xml:space="preserve"> in the pandemic is a particularly powerful </w:t>
      </w:r>
      <w:r w:rsidR="00800E86">
        <w:t>example</w:t>
      </w:r>
      <w:r w:rsidR="00715595">
        <w:t xml:space="preserve"> by which we can illustrate this</w:t>
      </w:r>
      <w:r w:rsidR="003B728C">
        <w:t xml:space="preserve">. </w:t>
      </w:r>
      <w:r w:rsidR="00BF222C">
        <w:t>Man</w:t>
      </w:r>
      <w:r w:rsidR="00FD57D3">
        <w:t xml:space="preserve">y </w:t>
      </w:r>
      <w:r w:rsidR="009F3A7D">
        <w:t xml:space="preserve">health and social care </w:t>
      </w:r>
      <w:r w:rsidR="00FD57D3">
        <w:t xml:space="preserve">professionals, such as social workers, doctors, personal </w:t>
      </w:r>
      <w:proofErr w:type="gramStart"/>
      <w:r w:rsidR="00FD57D3">
        <w:t>assistants</w:t>
      </w:r>
      <w:proofErr w:type="gramEnd"/>
      <w:r w:rsidR="00FD57D3">
        <w:t xml:space="preserve"> and health care assistants, have shown heroism and commitment within practice during the Covid</w:t>
      </w:r>
      <w:r w:rsidR="00BF222C">
        <w:t>-</w:t>
      </w:r>
      <w:r w:rsidR="00FD57D3">
        <w:t>19 Pandemic</w:t>
      </w:r>
      <w:r w:rsidR="00FD5C3A">
        <w:t xml:space="preserve"> (</w:t>
      </w:r>
      <w:proofErr w:type="spellStart"/>
      <w:r w:rsidR="00FD5C3A" w:rsidRPr="00FD57D3">
        <w:t>Bauchner</w:t>
      </w:r>
      <w:proofErr w:type="spellEnd"/>
      <w:r w:rsidR="00827F10">
        <w:t xml:space="preserve"> </w:t>
      </w:r>
      <w:r w:rsidR="00FD5C3A">
        <w:t>&amp;</w:t>
      </w:r>
      <w:r w:rsidR="00FD5C3A" w:rsidRPr="00FD57D3">
        <w:t xml:space="preserve"> Easley</w:t>
      </w:r>
      <w:r w:rsidR="00FD5C3A">
        <w:t>, 2020)</w:t>
      </w:r>
      <w:r w:rsidR="00FD57D3">
        <w:t>. Notwithstanding this, a powerful public narrative specifically pertaining to nurses as</w:t>
      </w:r>
      <w:r w:rsidR="00697F02">
        <w:t xml:space="preserve"> health care</w:t>
      </w:r>
      <w:r w:rsidR="00FD57D3">
        <w:t xml:space="preserve"> heroes is our focus (</w:t>
      </w:r>
      <w:proofErr w:type="spellStart"/>
      <w:r w:rsidR="00FD57D3" w:rsidRPr="00FD57D3">
        <w:t>Bauchner</w:t>
      </w:r>
      <w:proofErr w:type="spellEnd"/>
      <w:r w:rsidR="00FD57D3">
        <w:t xml:space="preserve"> &amp;</w:t>
      </w:r>
      <w:r w:rsidR="00FD57D3" w:rsidRPr="00FD57D3">
        <w:t xml:space="preserve"> Easley</w:t>
      </w:r>
      <w:r w:rsidR="00FD57D3">
        <w:t>, 2020; Cox, 2020</w:t>
      </w:r>
      <w:r w:rsidR="00697F02">
        <w:t>; Stokes-parish et al., 2020</w:t>
      </w:r>
      <w:r w:rsidR="00FD57D3">
        <w:t xml:space="preserve">). </w:t>
      </w:r>
      <w:r w:rsidR="00D33B42">
        <w:t>This is because</w:t>
      </w:r>
      <w:r w:rsidR="00697F02">
        <w:t xml:space="preserve"> literature demonstrates that this narrative affects the lived (biographic) reality of nurses (Stokes-</w:t>
      </w:r>
      <w:r w:rsidR="00697F02">
        <w:lastRenderedPageBreak/>
        <w:t xml:space="preserve">parish et al., 2020), making it a </w:t>
      </w:r>
      <w:r w:rsidR="00FD5C3A">
        <w:t xml:space="preserve">strong </w:t>
      </w:r>
      <w:r w:rsidR="00697F02">
        <w:t xml:space="preserve">example by which we can illustrate the productive capability of BNIM. </w:t>
      </w:r>
      <w:r w:rsidR="00D56A4C">
        <w:t>There ha</w:t>
      </w:r>
      <w:r w:rsidR="00646B34">
        <w:t xml:space="preserve">s </w:t>
      </w:r>
      <w:r w:rsidR="00D56A4C">
        <w:t xml:space="preserve">also been tangible public acceptance of the </w:t>
      </w:r>
      <w:r w:rsidR="005677DB">
        <w:t>veracity</w:t>
      </w:r>
      <w:r w:rsidR="00D56A4C">
        <w:t xml:space="preserve"> of the nurse as </w:t>
      </w:r>
      <w:r w:rsidR="00560B85">
        <w:t xml:space="preserve">an icon of </w:t>
      </w:r>
      <w:r w:rsidR="00D56A4C">
        <w:t>heroi</w:t>
      </w:r>
      <w:r w:rsidR="00560B85">
        <w:t>sm</w:t>
      </w:r>
      <w:r w:rsidR="00D56A4C">
        <w:t xml:space="preserve"> in pandemic </w:t>
      </w:r>
      <w:r w:rsidR="005677DB">
        <w:t xml:space="preserve">conditions </w:t>
      </w:r>
      <w:r w:rsidR="00D56A4C">
        <w:t xml:space="preserve">such as the ‘clap for nurses’ initiative (see </w:t>
      </w:r>
      <w:r w:rsidR="005677DB">
        <w:t>Ford, 2020</w:t>
      </w:r>
      <w:r w:rsidR="00D56A4C">
        <w:t xml:space="preserve">) and </w:t>
      </w:r>
      <w:r w:rsidR="000A6B85">
        <w:t xml:space="preserve">acclaimed artist Banksy’s </w:t>
      </w:r>
      <w:r w:rsidR="000A6B85" w:rsidRPr="000A6B85">
        <w:t xml:space="preserve">painting for the Southampton General Hospital called Game Changer </w:t>
      </w:r>
      <w:r w:rsidR="000A6B85">
        <w:t xml:space="preserve">that depicts a nurse figure as a superhero </w:t>
      </w:r>
      <w:r w:rsidR="000A6B85" w:rsidRPr="000A6B85">
        <w:t>(</w:t>
      </w:r>
      <w:r w:rsidR="000A6B85">
        <w:t xml:space="preserve">Goldstein, </w:t>
      </w:r>
      <w:r w:rsidR="000A6B85" w:rsidRPr="000A6B85">
        <w:t>2020)</w:t>
      </w:r>
      <w:r w:rsidR="00D56A4C">
        <w:t xml:space="preserve">. </w:t>
      </w:r>
      <w:r w:rsidR="00646B34">
        <w:t>Specifically</w:t>
      </w:r>
      <w:r w:rsidR="005677DB">
        <w:t>,</w:t>
      </w:r>
      <w:r w:rsidR="00646B34">
        <w:t xml:space="preserve"> the potential of BNIM as </w:t>
      </w:r>
      <w:r w:rsidR="001C2FD9">
        <w:t xml:space="preserve">viable </w:t>
      </w:r>
      <w:r w:rsidR="00646B34">
        <w:t xml:space="preserve">way </w:t>
      </w:r>
      <w:r w:rsidR="001C2FD9">
        <w:t>of further</w:t>
      </w:r>
      <w:r w:rsidR="00646B34">
        <w:t xml:space="preserve"> understand</w:t>
      </w:r>
      <w:r w:rsidR="001C2FD9">
        <w:t>ing</w:t>
      </w:r>
      <w:r w:rsidR="00646B34">
        <w:t xml:space="preserve"> narratives </w:t>
      </w:r>
      <w:r w:rsidR="001C2FD9">
        <w:t>of</w:t>
      </w:r>
      <w:r w:rsidR="00646B34">
        <w:t xml:space="preserve"> nursing</w:t>
      </w:r>
      <w:r w:rsidR="005677DB">
        <w:t xml:space="preserve"> in the pandemic</w:t>
      </w:r>
      <w:r w:rsidR="001C2FD9">
        <w:t xml:space="preserve"> is presented</w:t>
      </w:r>
      <w:r w:rsidR="00FD5C3A">
        <w:t xml:space="preserve">. </w:t>
      </w:r>
    </w:p>
    <w:p w14:paraId="35872881" w14:textId="26DCAE3E" w:rsidR="00560B85" w:rsidRDefault="00A378B1" w:rsidP="00A378B1">
      <w:pPr>
        <w:spacing w:after="0" w:line="276" w:lineRule="auto"/>
        <w:ind w:firstLine="720"/>
        <w:jc w:val="both"/>
      </w:pPr>
      <w:r>
        <w:t xml:space="preserve">In this context, the </w:t>
      </w:r>
      <w:r w:rsidRPr="00DD4490">
        <w:t xml:space="preserve">triadic focus </w:t>
      </w:r>
      <w:r>
        <w:t xml:space="preserve">in BNIM on narrative, </w:t>
      </w:r>
      <w:proofErr w:type="gramStart"/>
      <w:r>
        <w:t>biography</w:t>
      </w:r>
      <w:proofErr w:type="gramEnd"/>
      <w:r>
        <w:t xml:space="preserve"> and interpretation (</w:t>
      </w:r>
      <w:proofErr w:type="spellStart"/>
      <w:r>
        <w:t>Wengraf</w:t>
      </w:r>
      <w:proofErr w:type="spellEnd"/>
      <w:r>
        <w:t xml:space="preserve">, 2020) can help to powerfully illuminate </w:t>
      </w:r>
      <w:r w:rsidR="00827F10">
        <w:t xml:space="preserve">complex </w:t>
      </w:r>
      <w:r>
        <w:t>phenomena, such as nursing</w:t>
      </w:r>
      <w:r w:rsidR="00827F10">
        <w:t xml:space="preserve"> in the context of Covid</w:t>
      </w:r>
      <w:r w:rsidR="001D3A6D">
        <w:t>-</w:t>
      </w:r>
      <w:r w:rsidR="00827F10">
        <w:t>19</w:t>
      </w:r>
      <w:r>
        <w:t>. Firstly, BNIM is concerned with the phenomenon of narrative as the act of crafting lived experience into storied form (</w:t>
      </w:r>
      <w:proofErr w:type="spellStart"/>
      <w:r>
        <w:t>Clandinin</w:t>
      </w:r>
      <w:proofErr w:type="spellEnd"/>
      <w:r>
        <w:t xml:space="preserve"> and Connelly, 1994). Narratives of nursing within the pandemic, as continually recounted in popular media, speak to the heroic archetype of the nurse. Yet, BNIM helps us speak to the question of whether these narratives authentically reflect actual nursing practice</w:t>
      </w:r>
      <w:r w:rsidR="00376710">
        <w:t>.</w:t>
      </w:r>
      <w:r>
        <w:t xml:space="preserve"> This leads us to the second important focus, referred to as biography. Biography in BNIM tradition, is concerned with the life that one has lived, which may be at odds with the story told.  It may seek to capture one’s entire life trajectory from cradle to grave, or a life story that is thematically knitted through it, such as the participant’s lived experience of performing nursing (</w:t>
      </w:r>
      <w:proofErr w:type="spellStart"/>
      <w:r>
        <w:t>Wengraf</w:t>
      </w:r>
      <w:proofErr w:type="spellEnd"/>
      <w:r>
        <w:t xml:space="preserve">, 2020).  Finally, the third element is interpretation. Here it is not just the life that is lived, nor the story told about it, but the interpretation of both that comes into play. </w:t>
      </w:r>
    </w:p>
    <w:p w14:paraId="0B31D138" w14:textId="77777777" w:rsidR="00A378B1" w:rsidRPr="00655B87" w:rsidRDefault="00A378B1" w:rsidP="00655B87">
      <w:pPr>
        <w:spacing w:after="0" w:line="276" w:lineRule="auto"/>
        <w:ind w:firstLine="720"/>
        <w:jc w:val="both"/>
      </w:pPr>
    </w:p>
    <w:p w14:paraId="00000007" w14:textId="77777777" w:rsidR="00CD30C3" w:rsidRDefault="00741E18" w:rsidP="00741E18">
      <w:pPr>
        <w:jc w:val="both"/>
        <w:rPr>
          <w:b/>
        </w:rPr>
      </w:pPr>
      <w:r>
        <w:rPr>
          <w:b/>
        </w:rPr>
        <w:t>Nursing and narrative</w:t>
      </w:r>
    </w:p>
    <w:p w14:paraId="55CAE0A6" w14:textId="6CBB4F1B" w:rsidR="00684BB2" w:rsidRDefault="00741E18" w:rsidP="00655B87">
      <w:pPr>
        <w:spacing w:after="0" w:line="276" w:lineRule="auto"/>
        <w:jc w:val="both"/>
      </w:pPr>
      <w:r>
        <w:t>Nurses have been saving lives every day for centuries.  This extraordinary (heroic) practice is an everyday feature of nursing work</w:t>
      </w:r>
      <w:r w:rsidR="001B363B">
        <w:t xml:space="preserve"> (</w:t>
      </w:r>
      <w:r w:rsidR="00843906">
        <w:t>Catton, 20</w:t>
      </w:r>
      <w:r w:rsidR="00F50F52">
        <w:t xml:space="preserve">20; </w:t>
      </w:r>
      <w:r w:rsidR="001B363B">
        <w:t>Stokes-Parish et al., 2020)</w:t>
      </w:r>
      <w:r>
        <w:t>.  Listening to and interpreting stories of patients is an inescapable facet of nursing practice</w:t>
      </w:r>
      <w:r w:rsidR="00707F33">
        <w:t xml:space="preserve"> (Holloway &amp; Freshwater, 2007)</w:t>
      </w:r>
      <w:r>
        <w:t xml:space="preserve">. </w:t>
      </w:r>
      <w:r w:rsidR="00FD78E3">
        <w:t>There is a tenuous relationship between the actuality of nursing and the challenges of ‘telling stories’ due to challenges of confidentiality and professional responsibility and sustaining employment. Here, the sophistication of BNIM as a method is helpful as through mechanisms such as what BNIM calls ‘twin track epistemology’, both the actual life that is lived, and the way that life is explained through narrative, are of concern (</w:t>
      </w:r>
      <w:proofErr w:type="spellStart"/>
      <w:r w:rsidR="00FD78E3">
        <w:t>Wengraf</w:t>
      </w:r>
      <w:proofErr w:type="spellEnd"/>
      <w:r w:rsidR="00FD78E3">
        <w:t>, 2020).</w:t>
      </w:r>
      <w:r>
        <w:t xml:space="preserve"> Although the practice of nursing requires understanding of the biographies of individuals, making sense of the complex work nurses do remains challenging</w:t>
      </w:r>
      <w:r w:rsidR="00FD78E3">
        <w:t xml:space="preserve"> (Holloway &amp; Freshwater, 2009)</w:t>
      </w:r>
      <w:r>
        <w:t xml:space="preserve">.  BNIM is ideally suited to unravelling such complexities due to its comprehensive (intensive) analytical perspectives.  </w:t>
      </w:r>
    </w:p>
    <w:p w14:paraId="532C240A" w14:textId="3639A73C" w:rsidR="00827F10" w:rsidRDefault="001D3A6D" w:rsidP="001B363B">
      <w:pPr>
        <w:spacing w:after="0" w:line="276" w:lineRule="auto"/>
        <w:ind w:firstLine="720"/>
        <w:jc w:val="both"/>
      </w:pPr>
      <w:r>
        <w:t>W</w:t>
      </w:r>
      <w:r w:rsidR="001033B2">
        <w:t xml:space="preserve">ithin the interdisciplinary field of narrative more broadly, Flynn (2019) outlines that there is a continuum of </w:t>
      </w:r>
      <w:r>
        <w:t xml:space="preserve">narrative </w:t>
      </w:r>
      <w:r w:rsidR="001033B2">
        <w:t>methods</w:t>
      </w:r>
      <w:r>
        <w:t xml:space="preserve"> available</w:t>
      </w:r>
      <w:r w:rsidR="001033B2">
        <w:t xml:space="preserve">. </w:t>
      </w:r>
      <w:r w:rsidR="00800E86">
        <w:t>The continuum ranges</w:t>
      </w:r>
      <w:r w:rsidR="001033B2">
        <w:t xml:space="preserve"> from highly analytical approaches that heavily process narrative such as BNIM (see </w:t>
      </w:r>
      <w:proofErr w:type="spellStart"/>
      <w:r w:rsidR="001033B2">
        <w:t>Wengraf</w:t>
      </w:r>
      <w:proofErr w:type="spellEnd"/>
      <w:r w:rsidR="001033B2">
        <w:t xml:space="preserve">, 2020) to methods based on simply presenting ‘raw’ or ‘unprocessed’ narrative </w:t>
      </w:r>
      <w:r w:rsidR="00800E86">
        <w:t xml:space="preserve">with no concern for the ‘reality’ behind them, </w:t>
      </w:r>
      <w:r w:rsidR="001033B2">
        <w:t xml:space="preserve">such as the ground-breaking work of </w:t>
      </w:r>
      <w:r w:rsidR="001033B2" w:rsidRPr="008A0FBA">
        <w:t>Louis ‘Studs’ Terkel (2013)</w:t>
      </w:r>
      <w:r w:rsidR="001033B2">
        <w:t xml:space="preserve"> (Flynn, 2019). </w:t>
      </w:r>
      <w:r w:rsidR="00684BB2">
        <w:t>In particular</w:t>
      </w:r>
      <w:r>
        <w:t>,</w:t>
      </w:r>
      <w:r w:rsidR="00684BB2">
        <w:t xml:space="preserve"> two </w:t>
      </w:r>
      <w:r w:rsidR="00741E18">
        <w:t xml:space="preserve">exemplary conventions of BNIM </w:t>
      </w:r>
      <w:r w:rsidR="00684BB2">
        <w:t xml:space="preserve">are </w:t>
      </w:r>
      <w:r w:rsidR="00741E18">
        <w:t xml:space="preserve">of interest to consider </w:t>
      </w:r>
      <w:proofErr w:type="gramStart"/>
      <w:r w:rsidR="00741E18">
        <w:t>further;</w:t>
      </w:r>
      <w:proofErr w:type="gramEnd"/>
      <w:r w:rsidR="00741E18">
        <w:t xml:space="preserve"> Generalising whilst particularising, and triadic conceptual attention to biography, narrative and interpretation.  </w:t>
      </w:r>
      <w:r w:rsidR="00684BB2">
        <w:t>Whilst t</w:t>
      </w:r>
      <w:r w:rsidR="00741E18">
        <w:t>hese are expounded upon further below with reference to nursing</w:t>
      </w:r>
      <w:r w:rsidR="00684BB2">
        <w:t>, it is worth also dwelling momentarily on why these a</w:t>
      </w:r>
      <w:r w:rsidR="00684BB2" w:rsidRPr="00684BB2">
        <w:t xml:space="preserve">spects </w:t>
      </w:r>
      <w:r w:rsidR="00684BB2">
        <w:t>demonstrate how one</w:t>
      </w:r>
      <w:r w:rsidR="00684BB2" w:rsidRPr="00684BB2">
        <w:t xml:space="preserve"> can do more </w:t>
      </w:r>
      <w:r w:rsidR="00684BB2">
        <w:t xml:space="preserve">with BNIM, </w:t>
      </w:r>
      <w:r w:rsidR="00684BB2" w:rsidRPr="00684BB2">
        <w:t xml:space="preserve">than </w:t>
      </w:r>
      <w:r w:rsidR="00684BB2">
        <w:t xml:space="preserve">with </w:t>
      </w:r>
      <w:r w:rsidR="00684BB2" w:rsidRPr="00684BB2">
        <w:t>some other more generalised narrative approaches</w:t>
      </w:r>
      <w:r w:rsidR="00684BB2">
        <w:t xml:space="preserve">. </w:t>
      </w:r>
    </w:p>
    <w:p w14:paraId="01011F32" w14:textId="4FF1D571" w:rsidR="00684BB2" w:rsidRDefault="00684BB2" w:rsidP="001B363B">
      <w:pPr>
        <w:spacing w:after="0" w:line="276" w:lineRule="auto"/>
        <w:ind w:firstLine="720"/>
        <w:jc w:val="both"/>
      </w:pPr>
      <w:r>
        <w:t>Thematic narrative analysis</w:t>
      </w:r>
      <w:r w:rsidR="005B1736">
        <w:t>,</w:t>
      </w:r>
      <w:r w:rsidR="005B1736" w:rsidRPr="005B1736">
        <w:t xml:space="preserve"> </w:t>
      </w:r>
      <w:r w:rsidR="005B1736">
        <w:t>for instance,</w:t>
      </w:r>
      <w:r w:rsidR="00976A3B">
        <w:t xml:space="preserve"> as a popular general method</w:t>
      </w:r>
      <w:r>
        <w:t xml:space="preserve">, performs structural analysis of stories and assumes that it is helpful to catalogue commonalities across </w:t>
      </w:r>
      <w:r w:rsidR="00827F10">
        <w:t>varied narrative accounts</w:t>
      </w:r>
      <w:r>
        <w:t xml:space="preserve"> (</w:t>
      </w:r>
      <w:proofErr w:type="spellStart"/>
      <w:r>
        <w:t>Reissman</w:t>
      </w:r>
      <w:proofErr w:type="spellEnd"/>
      <w:r>
        <w:t xml:space="preserve">, 2008). </w:t>
      </w:r>
      <w:r w:rsidR="00976A3B">
        <w:t>With</w:t>
      </w:r>
      <w:r>
        <w:t xml:space="preserve"> BNIM, </w:t>
      </w:r>
      <w:r w:rsidR="00976A3B">
        <w:t>a</w:t>
      </w:r>
      <w:r>
        <w:t xml:space="preserve"> thematic </w:t>
      </w:r>
      <w:r w:rsidR="00976A3B">
        <w:t xml:space="preserve">offering is also available within </w:t>
      </w:r>
      <w:proofErr w:type="gramStart"/>
      <w:r w:rsidR="00976A3B">
        <w:t>analysis</w:t>
      </w:r>
      <w:proofErr w:type="gramEnd"/>
      <w:r w:rsidR="00976A3B">
        <w:t xml:space="preserve"> but this is </w:t>
      </w:r>
      <w:r w:rsidR="00976A3B">
        <w:lastRenderedPageBreak/>
        <w:t>coupled with a powerful commitment to retain particularity and individuality of cases (</w:t>
      </w:r>
      <w:proofErr w:type="spellStart"/>
      <w:r w:rsidR="00976A3B">
        <w:t>Wengraf</w:t>
      </w:r>
      <w:proofErr w:type="spellEnd"/>
      <w:r w:rsidR="00976A3B">
        <w:t>, 2020): seeing both the wood and the trees. Whilst the practice reality for many nurses in the pandemic may be thematically represented by the notion of heroism (Cox, 2020), the particularity of this heroism in each nurses’ story may have profound difference.</w:t>
      </w:r>
      <w:r w:rsidR="00716EF9">
        <w:t xml:space="preserve"> Here</w:t>
      </w:r>
      <w:r w:rsidR="00976A3B">
        <w:t xml:space="preserve"> BNIM researchers often take a smaller sample and apply to it deeper and more complex analysis which includes but is not predominately concerned with generating thematic insights</w:t>
      </w:r>
      <w:r w:rsidR="001B363B">
        <w:t xml:space="preserve"> (</w:t>
      </w:r>
      <w:proofErr w:type="spellStart"/>
      <w:r w:rsidR="001B363B">
        <w:t>Wengraf</w:t>
      </w:r>
      <w:proofErr w:type="spellEnd"/>
      <w:r w:rsidR="001B363B">
        <w:t>, 2020)</w:t>
      </w:r>
      <w:r w:rsidR="00976A3B">
        <w:t xml:space="preserve">. </w:t>
      </w:r>
      <w:r>
        <w:t xml:space="preserve">In essence, BNIM could be likened to a holistic approach used by nurses in the conduct of care.  </w:t>
      </w:r>
    </w:p>
    <w:p w14:paraId="1B6DB142" w14:textId="77777777" w:rsidR="001B363B" w:rsidRDefault="001B363B" w:rsidP="00655B87">
      <w:pPr>
        <w:spacing w:after="0" w:line="276" w:lineRule="auto"/>
        <w:ind w:firstLine="720"/>
        <w:jc w:val="both"/>
      </w:pPr>
    </w:p>
    <w:p w14:paraId="00000009" w14:textId="77777777" w:rsidR="00CD30C3" w:rsidRDefault="00741E18" w:rsidP="00741E18">
      <w:pPr>
        <w:shd w:val="clear" w:color="auto" w:fill="FFFFFF"/>
        <w:jc w:val="both"/>
        <w:rPr>
          <w:b/>
        </w:rPr>
      </w:pPr>
      <w:r>
        <w:rPr>
          <w:b/>
        </w:rPr>
        <w:t xml:space="preserve">Generalising whilst particularising </w:t>
      </w:r>
    </w:p>
    <w:p w14:paraId="7F2F4437" w14:textId="13E952DC" w:rsidR="00865987" w:rsidRPr="001D3A6D" w:rsidRDefault="00741E18" w:rsidP="00655B87">
      <w:pPr>
        <w:spacing w:after="0"/>
        <w:jc w:val="both"/>
      </w:pPr>
      <w:r>
        <w:t>Particularly during the Covid-19 pandemic, the global presence of nursing and its criticality to world recovery was at the forefront of media reports</w:t>
      </w:r>
      <w:r w:rsidR="005B1736">
        <w:t xml:space="preserve"> (</w:t>
      </w:r>
      <w:proofErr w:type="spellStart"/>
      <w:r w:rsidR="005B1736" w:rsidRPr="00FD57D3">
        <w:t>Bauchner</w:t>
      </w:r>
      <w:proofErr w:type="spellEnd"/>
      <w:r w:rsidR="005B1736">
        <w:t xml:space="preserve"> &amp;</w:t>
      </w:r>
      <w:r w:rsidR="005B1736" w:rsidRPr="00FD57D3">
        <w:t xml:space="preserve"> Easley</w:t>
      </w:r>
      <w:r w:rsidR="005B1736">
        <w:t>, 2020; Catton, 2020; Cox, 2020; Stokes-parish et al., 2020)</w:t>
      </w:r>
      <w:r>
        <w:t xml:space="preserve">.  </w:t>
      </w:r>
      <w:r w:rsidR="005B1736">
        <w:t xml:space="preserve">A concept of relevance here is the notion </w:t>
      </w:r>
      <w:r w:rsidR="00716EF9">
        <w:t>of situated subjectivity which is take up by BNIM but not exclusive to it, and refers to the subjectivity of actors (such as researchers and research participants) as being always situated in a particular context that is instrumental to that subjectivity (</w:t>
      </w:r>
      <w:proofErr w:type="spellStart"/>
      <w:r w:rsidR="00716EF9">
        <w:t>Kelz</w:t>
      </w:r>
      <w:proofErr w:type="spellEnd"/>
      <w:r w:rsidR="00716EF9">
        <w:t xml:space="preserve">, 2016; </w:t>
      </w:r>
      <w:proofErr w:type="spellStart"/>
      <w:r w:rsidR="00716EF9">
        <w:t>Wengraf</w:t>
      </w:r>
      <w:proofErr w:type="spellEnd"/>
      <w:r w:rsidR="00716EF9">
        <w:t xml:space="preserve">, 2020). </w:t>
      </w:r>
      <w:r w:rsidR="005818BC">
        <w:t>Linking this back to its relevance to</w:t>
      </w:r>
      <w:r w:rsidR="00716EF9" w:rsidRPr="00716EF9">
        <w:t xml:space="preserve"> research on nurses</w:t>
      </w:r>
      <w:r w:rsidR="00376710">
        <w:t>’</w:t>
      </w:r>
      <w:r w:rsidR="00716EF9" w:rsidRPr="00716EF9">
        <w:t xml:space="preserve"> lives, </w:t>
      </w:r>
      <w:proofErr w:type="gramStart"/>
      <w:r w:rsidR="005818BC">
        <w:t>it is clear that narratives</w:t>
      </w:r>
      <w:proofErr w:type="gramEnd"/>
      <w:r w:rsidR="005818BC">
        <w:t xml:space="preserve"> told by and about nurses are subjective, and occur in a</w:t>
      </w:r>
      <w:r w:rsidR="00716EF9" w:rsidRPr="00716EF9">
        <w:t xml:space="preserve"> specific time, place and context</w:t>
      </w:r>
      <w:r w:rsidR="005818BC">
        <w:t xml:space="preserve">, and this </w:t>
      </w:r>
      <w:r w:rsidR="005818BC" w:rsidRPr="001D3A6D">
        <w:t xml:space="preserve">must be accounted for. </w:t>
      </w:r>
      <w:r w:rsidR="00345A9D" w:rsidRPr="001D3A6D">
        <w:t xml:space="preserve">Whilst Stokes-parish et al. (2020) refer to the hero narrative of nursing, </w:t>
      </w:r>
      <w:r w:rsidR="001D3A6D" w:rsidRPr="001D3A6D">
        <w:t xml:space="preserve">it is noted that </w:t>
      </w:r>
      <w:r w:rsidR="003A1B16" w:rsidRPr="001D3A6D">
        <w:t>n</w:t>
      </w:r>
      <w:r w:rsidR="00345A9D" w:rsidRPr="001D3A6D">
        <w:t xml:space="preserve">arratives of nursing </w:t>
      </w:r>
      <w:r w:rsidR="003A1B16" w:rsidRPr="001D3A6D">
        <w:t xml:space="preserve">in the context of </w:t>
      </w:r>
      <w:proofErr w:type="spellStart"/>
      <w:r w:rsidR="00827F10" w:rsidRPr="001D3A6D">
        <w:t>C</w:t>
      </w:r>
      <w:r w:rsidR="003A1B16" w:rsidRPr="001D3A6D">
        <w:t>ovid</w:t>
      </w:r>
      <w:proofErr w:type="spellEnd"/>
      <w:r w:rsidR="003A1B16" w:rsidRPr="001D3A6D">
        <w:t xml:space="preserve"> 19 are tainted by public misunderstanding about the risk of pandemics</w:t>
      </w:r>
      <w:r w:rsidR="00827F10" w:rsidRPr="001D3A6D">
        <w:t>,</w:t>
      </w:r>
      <w:r w:rsidR="003A1B16" w:rsidRPr="001D3A6D">
        <w:t xml:space="preserve"> as though the present </w:t>
      </w:r>
      <w:r w:rsidR="00827F10" w:rsidRPr="001D3A6D">
        <w:t>pandemic</w:t>
      </w:r>
      <w:r w:rsidR="003A1B16" w:rsidRPr="001D3A6D">
        <w:t xml:space="preserve"> is simply a once off nemesis rather than </w:t>
      </w:r>
      <w:r w:rsidR="00827F10" w:rsidRPr="001D3A6D">
        <w:t xml:space="preserve">reflective of a </w:t>
      </w:r>
      <w:r w:rsidR="003A1B16" w:rsidRPr="001D3A6D">
        <w:t>reoccurring foe (</w:t>
      </w:r>
      <w:r w:rsidR="001D3A6D" w:rsidRPr="001D3A6D">
        <w:t xml:space="preserve">Catton 2020, </w:t>
      </w:r>
      <w:r w:rsidR="003A1B16" w:rsidRPr="001D3A6D">
        <w:t xml:space="preserve">Stokes-parish et al., 2020). </w:t>
      </w:r>
    </w:p>
    <w:p w14:paraId="0000000A" w14:textId="3613C806" w:rsidR="00CD30C3" w:rsidRDefault="00741E18" w:rsidP="00865987">
      <w:pPr>
        <w:spacing w:after="0"/>
        <w:ind w:firstLine="720"/>
        <w:jc w:val="both"/>
      </w:pPr>
      <w:r>
        <w:t>Understanding the situated subjectivities of nurses practising within unprecedented situations is ideally suited to BNIM due to its capacity to both attend to the particularities of nursing work whilst simultaneously acknowledging the effect on the general societal context.  Whilst nursing transcends all levels of society, much of the ‘heroic’ aspects of nursing work remains largely invisible in a generalising sense</w:t>
      </w:r>
      <w:r w:rsidR="00865987">
        <w:t xml:space="preserve"> (Stokes-parish et al., 2020</w:t>
      </w:r>
      <w:r w:rsidR="00C416A5">
        <w:t xml:space="preserve">; </w:t>
      </w:r>
      <w:r w:rsidR="00C416A5" w:rsidRPr="00C416A5">
        <w:t xml:space="preserve">ten </w:t>
      </w:r>
      <w:proofErr w:type="spellStart"/>
      <w:r w:rsidR="00C416A5" w:rsidRPr="00C416A5">
        <w:t>Hoeve</w:t>
      </w:r>
      <w:proofErr w:type="spellEnd"/>
      <w:r w:rsidR="00C416A5" w:rsidRPr="00C416A5">
        <w:t xml:space="preserve">, Jansen, &amp; </w:t>
      </w:r>
      <w:proofErr w:type="spellStart"/>
      <w:r w:rsidR="00C416A5" w:rsidRPr="00C416A5">
        <w:t>Roodbol</w:t>
      </w:r>
      <w:proofErr w:type="spellEnd"/>
      <w:r w:rsidR="00C416A5" w:rsidRPr="00C416A5">
        <w:t>, 2014</w:t>
      </w:r>
      <w:r w:rsidR="00865987">
        <w:t>)</w:t>
      </w:r>
      <w:r>
        <w:t>.  Measuring vital signs, washing, suctioning, repositioning and indeed resuscitation of patients for example is done behind curtains with only the patient and a handful of others witnessing these practices</w:t>
      </w:r>
      <w:r w:rsidR="00DD4490">
        <w:t>.</w:t>
      </w:r>
      <w:r w:rsidR="00865987">
        <w:t xml:space="preserve"> </w:t>
      </w:r>
      <w:r>
        <w:t>Indeed, there remains debate within the profession regarding how to make the complexities of nursing more visible.  The world knows nurses do good work but knowing ‘how’ this is done is a challenge which BNIM has the potential to assist in unearthing.  Generating case accounts which highlight the intricacies and intimacies of care nurses perform become known, not just to the profession, but to others.  One way is through ‘case accounting’ where the generalising and particularising techniques interface</w:t>
      </w:r>
      <w:r w:rsidR="00605B97">
        <w:t xml:space="preserve"> (</w:t>
      </w:r>
      <w:proofErr w:type="spellStart"/>
      <w:r w:rsidR="00605B97">
        <w:t>Wengraf</w:t>
      </w:r>
      <w:proofErr w:type="spellEnd"/>
      <w:r w:rsidR="00605B97">
        <w:t>, 2020)</w:t>
      </w:r>
      <w:r>
        <w:t xml:space="preserve">.  It is also of note that BNIM arose from endeavours to make sense of a previous world crisis (namely World War II) when particular lives lived and the rationale for the living and working in these lives could only be understood within the broader </w:t>
      </w:r>
      <w:r w:rsidRPr="001D3A6D">
        <w:t>context</w:t>
      </w:r>
      <w:r w:rsidR="00605B97" w:rsidRPr="001D3A6D">
        <w:t xml:space="preserve"> (</w:t>
      </w:r>
      <w:proofErr w:type="spellStart"/>
      <w:r w:rsidR="00376710" w:rsidRPr="001D3A6D">
        <w:t>Schutze</w:t>
      </w:r>
      <w:proofErr w:type="spellEnd"/>
      <w:r w:rsidR="00DD4490" w:rsidRPr="001D3A6D">
        <w:t xml:space="preserve"> 1992</w:t>
      </w:r>
      <w:r w:rsidR="008F1277" w:rsidRPr="001D3A6D">
        <w:t xml:space="preserve"> Fischer-Rosenthal</w:t>
      </w:r>
      <w:r w:rsidR="00DD4490" w:rsidRPr="001D3A6D">
        <w:t xml:space="preserve"> 2000)</w:t>
      </w:r>
      <w:r w:rsidRPr="001D3A6D">
        <w:t xml:space="preserve">.  It </w:t>
      </w:r>
      <w:r>
        <w:t xml:space="preserve">is our belief that BNIM again has a unique capacity to capture </w:t>
      </w:r>
      <w:r w:rsidR="00605B97">
        <w:t xml:space="preserve">what are </w:t>
      </w:r>
      <w:r>
        <w:t>heroic acts, living and dying, and the conduct of care within this overarching world crisis we are all currently experiencing</w:t>
      </w:r>
      <w:r w:rsidR="00605B97">
        <w:t xml:space="preserve"> (Carron, 2020)</w:t>
      </w:r>
      <w:r>
        <w:t xml:space="preserve">. </w:t>
      </w:r>
    </w:p>
    <w:p w14:paraId="3BC85B79" w14:textId="77777777" w:rsidR="00605B97" w:rsidRDefault="00605B97" w:rsidP="00655B87">
      <w:pPr>
        <w:spacing w:after="0"/>
        <w:ind w:firstLine="720"/>
        <w:jc w:val="both"/>
      </w:pPr>
    </w:p>
    <w:p w14:paraId="0000000D" w14:textId="77777777" w:rsidR="00CD30C3" w:rsidRDefault="00741E18">
      <w:pPr>
        <w:shd w:val="clear" w:color="auto" w:fill="FFFFFF"/>
        <w:spacing w:before="240" w:after="240" w:line="256" w:lineRule="auto"/>
        <w:jc w:val="both"/>
        <w:rPr>
          <w:b/>
        </w:rPr>
      </w:pPr>
      <w:r>
        <w:rPr>
          <w:b/>
        </w:rPr>
        <w:t>Triadic conceptual attention</w:t>
      </w:r>
    </w:p>
    <w:p w14:paraId="381F4619" w14:textId="0A6C5706" w:rsidR="00A378B1" w:rsidRDefault="00741E18" w:rsidP="00655B87">
      <w:pPr>
        <w:shd w:val="clear" w:color="auto" w:fill="FFFFFF"/>
        <w:spacing w:after="0" w:line="256" w:lineRule="auto"/>
        <w:jc w:val="both"/>
      </w:pPr>
      <w:r>
        <w:t>In th</w:t>
      </w:r>
      <w:r w:rsidR="001D3A6D">
        <w:t xml:space="preserve">is </w:t>
      </w:r>
      <w:r>
        <w:t>pandemic, it may certainly be the case that nurses have been heroic</w:t>
      </w:r>
      <w:r w:rsidR="00827F10">
        <w:t xml:space="preserve"> (</w:t>
      </w:r>
      <w:proofErr w:type="spellStart"/>
      <w:r w:rsidR="00827F10" w:rsidRPr="00FD57D3">
        <w:t>Bauchner</w:t>
      </w:r>
      <w:proofErr w:type="spellEnd"/>
      <w:r w:rsidR="00827F10">
        <w:t xml:space="preserve"> &amp;</w:t>
      </w:r>
      <w:r w:rsidR="00827F10" w:rsidRPr="00FD57D3">
        <w:t xml:space="preserve"> Easley</w:t>
      </w:r>
      <w:r w:rsidR="00827F10">
        <w:t>, 2020; Catton, 2020; Cox, 2020; Stokes-parish et al., 2020)</w:t>
      </w:r>
      <w:r>
        <w:t xml:space="preserve">. </w:t>
      </w:r>
      <w:r w:rsidR="001D3A6D">
        <w:t xml:space="preserve">This is also </w:t>
      </w:r>
      <w:r>
        <w:t xml:space="preserve">the case for cognate professionals such as social care workers who work along similar lines but are rarely afforded due acknowledgement in this capacity. Yet, the biographic reality not yet narrated here, is that nursing pay remains pitifully low, leaving nurses who must place their own health and that of their families in jeopardy, tending to </w:t>
      </w:r>
      <w:r>
        <w:lastRenderedPageBreak/>
        <w:t xml:space="preserve">formidable practice demands under conditions of paltry remuneration. </w:t>
      </w:r>
      <w:r w:rsidR="00827F10">
        <w:t xml:space="preserve">This relates to the second aspect of BNIM worth particular attention. That </w:t>
      </w:r>
      <w:r w:rsidR="002652BD">
        <w:t>is, the</w:t>
      </w:r>
      <w:r w:rsidR="00827F10">
        <w:t xml:space="preserve"> triadic focus in BNIM on narrative, </w:t>
      </w:r>
      <w:proofErr w:type="gramStart"/>
      <w:r w:rsidR="00827F10">
        <w:t>biography</w:t>
      </w:r>
      <w:proofErr w:type="gramEnd"/>
      <w:r w:rsidR="00827F10">
        <w:t xml:space="preserve"> and interpretation (</w:t>
      </w:r>
      <w:proofErr w:type="spellStart"/>
      <w:r w:rsidR="00827F10">
        <w:t>Wengraf</w:t>
      </w:r>
      <w:proofErr w:type="spellEnd"/>
      <w:r w:rsidR="00827F10">
        <w:t>, 2020)</w:t>
      </w:r>
      <w:r>
        <w:t xml:space="preserve">. </w:t>
      </w:r>
      <w:proofErr w:type="gramStart"/>
      <w:r w:rsidR="00827F10">
        <w:t>With regard to</w:t>
      </w:r>
      <w:proofErr w:type="gramEnd"/>
      <w:r w:rsidR="00827F10">
        <w:t xml:space="preserve"> the latter, i</w:t>
      </w:r>
      <w:r>
        <w:t>n BNIM the paradigm of interpretivism holds sway. The contention is that the truth of a matter is contingent upon one’s interpretation of what is true (</w:t>
      </w:r>
      <w:proofErr w:type="spellStart"/>
      <w:r>
        <w:t>Wengraf</w:t>
      </w:r>
      <w:proofErr w:type="spellEnd"/>
      <w:r>
        <w:t>, 2020).  In this sense, the BNIM analytic method takes account of subjectivity. If the archetype of the heroic nurse is interpreted in a manner that makes poor conditions and pay more permissible, then the everyday lives (biography) of nurses are accordingly affected.</w:t>
      </w:r>
      <w:r w:rsidR="00F04696">
        <w:t xml:space="preserve"> </w:t>
      </w:r>
    </w:p>
    <w:p w14:paraId="0F695B4B" w14:textId="27A35516" w:rsidR="00DD4490" w:rsidRDefault="00F04696" w:rsidP="00655B87">
      <w:pPr>
        <w:shd w:val="clear" w:color="auto" w:fill="FFFFFF"/>
        <w:spacing w:after="0" w:line="256" w:lineRule="auto"/>
        <w:ind w:firstLine="720"/>
        <w:jc w:val="both"/>
      </w:pPr>
      <w:r>
        <w:t xml:space="preserve">This links to </w:t>
      </w:r>
      <w:r w:rsidR="008936C8">
        <w:t xml:space="preserve">the wider </w:t>
      </w:r>
      <w:r>
        <w:t>notions of voices and legitimation that have powerful currency in narrative research more broadly (</w:t>
      </w:r>
      <w:proofErr w:type="spellStart"/>
      <w:r>
        <w:t>Reissman</w:t>
      </w:r>
      <w:proofErr w:type="spellEnd"/>
      <w:r>
        <w:t>, 2008) and in BNIM particul</w:t>
      </w:r>
      <w:r w:rsidR="00A378B1">
        <w:t>a</w:t>
      </w:r>
      <w:r>
        <w:t xml:space="preserve">rly, which is claimed to be a method that can </w:t>
      </w:r>
      <w:r w:rsidR="008936C8">
        <w:t>e</w:t>
      </w:r>
      <w:r>
        <w:t>xpose and legitimise otherwise marginalised narratives (</w:t>
      </w:r>
      <w:r w:rsidRPr="00F04696">
        <w:t xml:space="preserve">Peta, </w:t>
      </w:r>
      <w:proofErr w:type="spellStart"/>
      <w:r w:rsidRPr="00F04696">
        <w:t>Wengraf</w:t>
      </w:r>
      <w:proofErr w:type="spellEnd"/>
      <w:r w:rsidRPr="00F04696">
        <w:t xml:space="preserve"> &amp; McKenzie</w:t>
      </w:r>
      <w:r>
        <w:t xml:space="preserve">, </w:t>
      </w:r>
      <w:r w:rsidRPr="00F04696">
        <w:t>2019)</w:t>
      </w:r>
      <w:r>
        <w:t xml:space="preserve">. </w:t>
      </w:r>
      <w:r w:rsidR="00D45E53">
        <w:t>Narrative researchers understand that some voices and narratives are accorded legitimacy above others (</w:t>
      </w:r>
      <w:proofErr w:type="spellStart"/>
      <w:r w:rsidR="00D45E53">
        <w:t>Reissman</w:t>
      </w:r>
      <w:proofErr w:type="spellEnd"/>
      <w:r w:rsidR="00D45E53">
        <w:t xml:space="preserve">, 2008) and in the pandemic the narrative that nurses are healthcare heroes has certainly gained currency </w:t>
      </w:r>
      <w:r w:rsidR="00D45E53" w:rsidRPr="00D45E53">
        <w:t>(</w:t>
      </w:r>
      <w:proofErr w:type="spellStart"/>
      <w:r w:rsidR="00D45E53" w:rsidRPr="00D45E53">
        <w:t>Bauchner</w:t>
      </w:r>
      <w:proofErr w:type="spellEnd"/>
      <w:r w:rsidR="00D45E53" w:rsidRPr="00D45E53">
        <w:t xml:space="preserve"> &amp; Easley, 2020; Catton, 2020; Cox, 2020; Stokes-parish et al., 2020)</w:t>
      </w:r>
      <w:r w:rsidR="00D45E53">
        <w:t>. BNIM can arguably illuminate</w:t>
      </w:r>
      <w:r w:rsidR="00A378B1">
        <w:t xml:space="preserve">, however, </w:t>
      </w:r>
      <w:r w:rsidR="00D45E53">
        <w:t>less legitimised narratives</w:t>
      </w:r>
      <w:r w:rsidR="00A378B1">
        <w:t xml:space="preserve"> that occur concurrently</w:t>
      </w:r>
      <w:r w:rsidR="00D45E53">
        <w:t xml:space="preserve"> such as that acknowledging nurse’s heroism is simply not sufficient to compensate for the risks in practice, such as the lack of Personal Protective Equipment (PPE) made available to them in the pandemic (</w:t>
      </w:r>
      <w:r w:rsidR="00A378B1">
        <w:t>Catton, 2020</w:t>
      </w:r>
      <w:r w:rsidR="00D45E53">
        <w:t xml:space="preserve">). </w:t>
      </w:r>
      <w:r w:rsidR="008936C8">
        <w:t>In this sense, it is arguably conclusive, that the sophistication of BNIM can helpfully expose otherwise embedded and invisible accounts.</w:t>
      </w:r>
    </w:p>
    <w:p w14:paraId="00000010" w14:textId="77777777" w:rsidR="00CD30C3" w:rsidRDefault="00741E18">
      <w:pPr>
        <w:shd w:val="clear" w:color="auto" w:fill="FFFFFF"/>
        <w:spacing w:before="240" w:after="240" w:line="256" w:lineRule="auto"/>
        <w:jc w:val="both"/>
        <w:rPr>
          <w:b/>
        </w:rPr>
      </w:pPr>
      <w:r>
        <w:rPr>
          <w:b/>
        </w:rPr>
        <w:t>Conclusion</w:t>
      </w:r>
    </w:p>
    <w:p w14:paraId="00000011" w14:textId="4003EF74" w:rsidR="00CD30C3" w:rsidRDefault="00741E18">
      <w:pPr>
        <w:shd w:val="clear" w:color="auto" w:fill="FFFFFF"/>
        <w:spacing w:before="240" w:after="240" w:line="256" w:lineRule="auto"/>
        <w:jc w:val="both"/>
      </w:pPr>
      <w:r>
        <w:t xml:space="preserve">The question of what nursing is and ought to be, is a question deserving of greater attention than could ever be afforded here. We have, however, made headway toward showcasing the utility of BNIM in answering questions of sociological importance such as this. Arguably now conclusive is our proposition, that through times of Covid-19 pandemic crisis, contemporary archetypes of heroism have been reconceived. Here, the intention has been to illustrate how (auto)-biographical and narrative methodologies have the potential to make the invisible elements of nursing more visible. In focussing on </w:t>
      </w:r>
      <w:r w:rsidR="008936C8">
        <w:t xml:space="preserve">two </w:t>
      </w:r>
      <w:r>
        <w:t>conventions of BNIM, we have been able to demonstrate the potential of the scope of this analytic method.</w:t>
      </w:r>
    </w:p>
    <w:p w14:paraId="00000012" w14:textId="77777777" w:rsidR="00CD30C3" w:rsidRDefault="00741E18">
      <w:pPr>
        <w:shd w:val="clear" w:color="auto" w:fill="FFFFFF"/>
        <w:spacing w:before="240" w:after="240" w:line="256" w:lineRule="auto"/>
        <w:jc w:val="both"/>
        <w:rPr>
          <w:b/>
          <w:u w:val="single"/>
        </w:rPr>
      </w:pPr>
      <w:r>
        <w:rPr>
          <w:b/>
          <w:u w:val="single"/>
        </w:rPr>
        <w:t>References</w:t>
      </w:r>
    </w:p>
    <w:p w14:paraId="1E414BCA" w14:textId="64FFD657" w:rsidR="00FD57D3" w:rsidRDefault="00FD57D3">
      <w:pPr>
        <w:shd w:val="clear" w:color="auto" w:fill="FFFFFF"/>
        <w:spacing w:before="240" w:after="240"/>
        <w:jc w:val="both"/>
      </w:pPr>
      <w:proofErr w:type="spellStart"/>
      <w:r w:rsidRPr="00FD57D3">
        <w:t>Bauchner</w:t>
      </w:r>
      <w:proofErr w:type="spellEnd"/>
      <w:r>
        <w:t>, H. &amp;</w:t>
      </w:r>
      <w:r w:rsidRPr="00FD57D3">
        <w:t xml:space="preserve"> Easley</w:t>
      </w:r>
      <w:r>
        <w:t>,</w:t>
      </w:r>
      <w:r w:rsidRPr="00FD57D3">
        <w:t xml:space="preserve"> T</w:t>
      </w:r>
      <w:r>
        <w:t>.</w:t>
      </w:r>
      <w:r w:rsidRPr="00FD57D3">
        <w:t>J</w:t>
      </w:r>
      <w:r>
        <w:t xml:space="preserve">. 2020. </w:t>
      </w:r>
      <w:r w:rsidRPr="00655B87">
        <w:rPr>
          <w:i/>
          <w:iCs/>
        </w:rPr>
        <w:t>Health care heroes of the COVID-19 pandemic</w:t>
      </w:r>
      <w:r w:rsidRPr="00FD57D3">
        <w:t>. JAMA. 323(20) doi:10.1001/jama.2020.6197</w:t>
      </w:r>
    </w:p>
    <w:p w14:paraId="45CEAB7C" w14:textId="2ACA9F22" w:rsidR="004C12A7" w:rsidRDefault="004C12A7">
      <w:pPr>
        <w:shd w:val="clear" w:color="auto" w:fill="FFFFFF"/>
        <w:spacing w:before="240" w:after="240"/>
        <w:jc w:val="both"/>
      </w:pPr>
      <w:r>
        <w:t>Catton, H. 20</w:t>
      </w:r>
      <w:r w:rsidR="00F50F52">
        <w:t>20</w:t>
      </w:r>
      <w:r>
        <w:t xml:space="preserve">. </w:t>
      </w:r>
      <w:r w:rsidRPr="004C12A7">
        <w:t xml:space="preserve">Nursing in the COVID‐19 pandemic and beyond: protecting, saving, </w:t>
      </w:r>
      <w:proofErr w:type="gramStart"/>
      <w:r w:rsidRPr="004C12A7">
        <w:t>supporting</w:t>
      </w:r>
      <w:proofErr w:type="gramEnd"/>
      <w:r w:rsidRPr="004C12A7">
        <w:t xml:space="preserve"> and honouring nurses</w:t>
      </w:r>
      <w:r>
        <w:t xml:space="preserve">. International Nursing Review, 67 (2), </w:t>
      </w:r>
      <w:r w:rsidRPr="004C12A7">
        <w:t>157-159</w:t>
      </w:r>
      <w:r>
        <w:t xml:space="preserve">. </w:t>
      </w:r>
    </w:p>
    <w:p w14:paraId="34225573" w14:textId="0D76B66E" w:rsidR="003660C1" w:rsidRPr="00655B87" w:rsidRDefault="003660C1">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Cox, C.L. 2020. ‘Healthcare Heroes’: problems with media focus on heroism from healthcare workers during the COVID-19 pandemic. </w:t>
      </w:r>
      <w:r w:rsidRPr="00655B87">
        <w:rPr>
          <w:rFonts w:asciiTheme="minorHAnsi" w:hAnsiTheme="minorHAnsi" w:cstheme="minorHAnsi"/>
          <w:i/>
          <w:iCs/>
        </w:rPr>
        <w:t>Journal of Medical Ethics</w:t>
      </w:r>
      <w:r w:rsidRPr="00655B87">
        <w:rPr>
          <w:rFonts w:asciiTheme="minorHAnsi" w:hAnsiTheme="minorHAnsi" w:cstheme="minorHAnsi"/>
        </w:rPr>
        <w:t xml:space="preserve"> 46</w:t>
      </w:r>
      <w:r w:rsidR="005C5813" w:rsidRPr="00655B87">
        <w:rPr>
          <w:rFonts w:asciiTheme="minorHAnsi" w:hAnsiTheme="minorHAnsi" w:cstheme="minorHAnsi"/>
        </w:rPr>
        <w:t xml:space="preserve">, </w:t>
      </w:r>
      <w:r w:rsidRPr="00655B87">
        <w:rPr>
          <w:rFonts w:asciiTheme="minorHAnsi" w:hAnsiTheme="minorHAnsi" w:cstheme="minorHAnsi"/>
        </w:rPr>
        <w:t>510-513.</w:t>
      </w:r>
    </w:p>
    <w:p w14:paraId="00000013" w14:textId="2B79FA6A" w:rsidR="00CD30C3" w:rsidRPr="00655B87" w:rsidRDefault="00741E18">
      <w:pPr>
        <w:shd w:val="clear" w:color="auto" w:fill="FFFFFF"/>
        <w:spacing w:before="240" w:after="240"/>
        <w:jc w:val="both"/>
        <w:rPr>
          <w:rFonts w:asciiTheme="minorHAnsi" w:hAnsiTheme="minorHAnsi" w:cstheme="minorHAnsi"/>
        </w:rPr>
      </w:pPr>
      <w:proofErr w:type="spellStart"/>
      <w:r w:rsidRPr="00655B87">
        <w:rPr>
          <w:rFonts w:asciiTheme="minorHAnsi" w:hAnsiTheme="minorHAnsi" w:cstheme="minorHAnsi"/>
        </w:rPr>
        <w:t>Clandinin</w:t>
      </w:r>
      <w:proofErr w:type="spellEnd"/>
      <w:r w:rsidRPr="00655B87">
        <w:rPr>
          <w:rFonts w:asciiTheme="minorHAnsi" w:hAnsiTheme="minorHAnsi" w:cstheme="minorHAnsi"/>
        </w:rPr>
        <w:t xml:space="preserve">, </w:t>
      </w:r>
      <w:r w:rsidR="00FD57D3" w:rsidRPr="00655B87">
        <w:rPr>
          <w:rFonts w:asciiTheme="minorHAnsi" w:hAnsiTheme="minorHAnsi" w:cstheme="minorHAnsi"/>
        </w:rPr>
        <w:t>J.</w:t>
      </w:r>
      <w:r w:rsidRPr="00655B87">
        <w:rPr>
          <w:rFonts w:asciiTheme="minorHAnsi" w:hAnsiTheme="minorHAnsi" w:cstheme="minorHAnsi"/>
        </w:rPr>
        <w:t xml:space="preserve">D., </w:t>
      </w:r>
      <w:r w:rsidR="00FD57D3" w:rsidRPr="00655B87">
        <w:rPr>
          <w:rFonts w:asciiTheme="minorHAnsi" w:hAnsiTheme="minorHAnsi" w:cstheme="minorHAnsi"/>
        </w:rPr>
        <w:t>&amp;</w:t>
      </w:r>
      <w:r w:rsidRPr="00655B87">
        <w:rPr>
          <w:rFonts w:asciiTheme="minorHAnsi" w:hAnsiTheme="minorHAnsi" w:cstheme="minorHAnsi"/>
        </w:rPr>
        <w:t>Connelly</w:t>
      </w:r>
      <w:r w:rsidR="00FD57D3" w:rsidRPr="00655B87">
        <w:rPr>
          <w:rFonts w:asciiTheme="minorHAnsi" w:hAnsiTheme="minorHAnsi" w:cstheme="minorHAnsi"/>
        </w:rPr>
        <w:t>, M.F</w:t>
      </w:r>
      <w:r w:rsidRPr="00655B87">
        <w:rPr>
          <w:rFonts w:asciiTheme="minorHAnsi" w:hAnsiTheme="minorHAnsi" w:cstheme="minorHAnsi"/>
        </w:rPr>
        <w:t xml:space="preserve"> 1994. Personal Experience Methods. In Handbook of Qualitative Research, edited by Norman K. Denzin and </w:t>
      </w:r>
      <w:proofErr w:type="spellStart"/>
      <w:r w:rsidRPr="00655B87">
        <w:rPr>
          <w:rFonts w:asciiTheme="minorHAnsi" w:hAnsiTheme="minorHAnsi" w:cstheme="minorHAnsi"/>
        </w:rPr>
        <w:t>Yvonna</w:t>
      </w:r>
      <w:proofErr w:type="spellEnd"/>
      <w:r w:rsidRPr="00655B87">
        <w:rPr>
          <w:rFonts w:asciiTheme="minorHAnsi" w:hAnsiTheme="minorHAnsi" w:cstheme="minorHAnsi"/>
        </w:rPr>
        <w:t xml:space="preserve"> S. Lincoln, 413–427. London: Sage. </w:t>
      </w:r>
    </w:p>
    <w:p w14:paraId="4C6D905A" w14:textId="77777777" w:rsidR="00DD4490" w:rsidRPr="00655B87" w:rsidRDefault="00DD4490" w:rsidP="00DD4490">
      <w:pPr>
        <w:pStyle w:val="NormalWeb"/>
        <w:rPr>
          <w:rFonts w:asciiTheme="minorHAnsi" w:hAnsiTheme="minorHAnsi" w:cstheme="minorHAnsi"/>
          <w:sz w:val="22"/>
          <w:szCs w:val="22"/>
        </w:rPr>
      </w:pPr>
      <w:r w:rsidRPr="00655B87">
        <w:rPr>
          <w:rFonts w:asciiTheme="minorHAnsi" w:hAnsiTheme="minorHAnsi" w:cstheme="minorHAnsi"/>
          <w:sz w:val="22"/>
          <w:szCs w:val="22"/>
        </w:rPr>
        <w:t>Fischer-Rosenthal, W. 2000. Biographical work and biographical structuring in present-day societies</w:t>
      </w:r>
      <w:r w:rsidRPr="00655B87">
        <w:rPr>
          <w:rFonts w:asciiTheme="minorHAnsi" w:hAnsiTheme="minorHAnsi" w:cstheme="minorHAnsi"/>
          <w:i/>
          <w:iCs/>
          <w:sz w:val="22"/>
          <w:szCs w:val="22"/>
        </w:rPr>
        <w:t xml:space="preserve"> IN: </w:t>
      </w:r>
      <w:proofErr w:type="spellStart"/>
      <w:r w:rsidRPr="00655B87">
        <w:rPr>
          <w:rFonts w:asciiTheme="minorHAnsi" w:hAnsiTheme="minorHAnsi" w:cstheme="minorHAnsi"/>
          <w:sz w:val="22"/>
          <w:szCs w:val="22"/>
        </w:rPr>
        <w:t>Chamberlayne</w:t>
      </w:r>
      <w:proofErr w:type="spellEnd"/>
      <w:r w:rsidRPr="00655B87">
        <w:rPr>
          <w:rFonts w:asciiTheme="minorHAnsi" w:hAnsiTheme="minorHAnsi" w:cstheme="minorHAnsi"/>
          <w:sz w:val="22"/>
          <w:szCs w:val="22"/>
        </w:rPr>
        <w:t xml:space="preserve">, P., </w:t>
      </w:r>
      <w:proofErr w:type="spellStart"/>
      <w:r w:rsidRPr="00655B87">
        <w:rPr>
          <w:rFonts w:asciiTheme="minorHAnsi" w:hAnsiTheme="minorHAnsi" w:cstheme="minorHAnsi"/>
          <w:sz w:val="22"/>
          <w:szCs w:val="22"/>
        </w:rPr>
        <w:t>Bornat</w:t>
      </w:r>
      <w:proofErr w:type="spellEnd"/>
      <w:r w:rsidRPr="00655B87">
        <w:rPr>
          <w:rFonts w:asciiTheme="minorHAnsi" w:hAnsiTheme="minorHAnsi" w:cstheme="minorHAnsi"/>
          <w:sz w:val="22"/>
          <w:szCs w:val="22"/>
        </w:rPr>
        <w:t xml:space="preserve">, J. and </w:t>
      </w:r>
      <w:proofErr w:type="spellStart"/>
      <w:r w:rsidRPr="00655B87">
        <w:rPr>
          <w:rFonts w:asciiTheme="minorHAnsi" w:hAnsiTheme="minorHAnsi" w:cstheme="minorHAnsi"/>
          <w:sz w:val="22"/>
          <w:szCs w:val="22"/>
        </w:rPr>
        <w:t>Wengraf</w:t>
      </w:r>
      <w:proofErr w:type="spellEnd"/>
      <w:r w:rsidRPr="00655B87">
        <w:rPr>
          <w:rFonts w:asciiTheme="minorHAnsi" w:hAnsiTheme="minorHAnsi" w:cstheme="minorHAnsi"/>
          <w:sz w:val="22"/>
          <w:szCs w:val="22"/>
        </w:rPr>
        <w:t xml:space="preserve">, T. (eds.) </w:t>
      </w:r>
      <w:r w:rsidRPr="00655B87">
        <w:rPr>
          <w:rFonts w:asciiTheme="minorHAnsi" w:hAnsiTheme="minorHAnsi" w:cstheme="minorHAnsi"/>
          <w:i/>
          <w:iCs/>
          <w:sz w:val="22"/>
          <w:szCs w:val="22"/>
        </w:rPr>
        <w:t xml:space="preserve">The Turn to Biographical Methods in Social Science. </w:t>
      </w:r>
      <w:r w:rsidRPr="00655B87">
        <w:rPr>
          <w:rFonts w:asciiTheme="minorHAnsi" w:hAnsiTheme="minorHAnsi" w:cstheme="minorHAnsi"/>
          <w:sz w:val="22"/>
          <w:szCs w:val="22"/>
        </w:rPr>
        <w:t xml:space="preserve">London Routledge, </w:t>
      </w:r>
    </w:p>
    <w:p w14:paraId="593474B1" w14:textId="77777777" w:rsidR="00DD4490" w:rsidRPr="00655B87" w:rsidRDefault="00DD4490">
      <w:pPr>
        <w:shd w:val="clear" w:color="auto" w:fill="FFFFFF"/>
        <w:spacing w:before="240" w:after="240"/>
        <w:jc w:val="both"/>
        <w:rPr>
          <w:rFonts w:asciiTheme="minorHAnsi" w:hAnsiTheme="minorHAnsi" w:cstheme="minorHAnsi"/>
        </w:rPr>
      </w:pPr>
    </w:p>
    <w:p w14:paraId="10B8C0CA" w14:textId="47AD5ECF" w:rsidR="001033B2" w:rsidRPr="00655B87" w:rsidRDefault="001033B2">
      <w:pPr>
        <w:shd w:val="clear" w:color="auto" w:fill="FFFFFF"/>
        <w:spacing w:before="240" w:after="240"/>
        <w:jc w:val="both"/>
        <w:rPr>
          <w:rFonts w:asciiTheme="minorHAnsi" w:hAnsiTheme="minorHAnsi" w:cstheme="minorHAnsi"/>
        </w:rPr>
      </w:pPr>
      <w:r w:rsidRPr="00655B87">
        <w:rPr>
          <w:rFonts w:asciiTheme="minorHAnsi" w:hAnsiTheme="minorHAnsi" w:cstheme="minorHAnsi"/>
        </w:rPr>
        <w:lastRenderedPageBreak/>
        <w:t xml:space="preserve">Flynn, S., 2019. Rethinking Debates in Narrative Methods: Narrative Orthodoxy and Research Challenges with Children with Intellectual Disability. </w:t>
      </w:r>
      <w:r w:rsidRPr="00655B87">
        <w:rPr>
          <w:rFonts w:asciiTheme="minorHAnsi" w:hAnsiTheme="minorHAnsi" w:cstheme="minorHAnsi"/>
          <w:i/>
          <w:iCs/>
        </w:rPr>
        <w:t>Scandinavian Journal of Disability Research,</w:t>
      </w:r>
      <w:r w:rsidRPr="00655B87">
        <w:rPr>
          <w:rFonts w:asciiTheme="minorHAnsi" w:hAnsiTheme="minorHAnsi" w:cstheme="minorHAnsi"/>
        </w:rPr>
        <w:t xml:space="preserve"> 21(1), 167–176. </w:t>
      </w:r>
    </w:p>
    <w:p w14:paraId="266775C9" w14:textId="56C8BFA4" w:rsidR="00D56A4C" w:rsidRPr="00655B87" w:rsidRDefault="00D56A4C">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Ford, S. 2020. </w:t>
      </w:r>
      <w:r w:rsidRPr="00655B87">
        <w:rPr>
          <w:rFonts w:asciiTheme="minorHAnsi" w:hAnsiTheme="minorHAnsi" w:cstheme="minorHAnsi"/>
          <w:i/>
          <w:iCs/>
        </w:rPr>
        <w:t>Nation urged to applaud frontline healthcare staff tackling Covid-19.</w:t>
      </w:r>
      <w:r w:rsidRPr="00655B87">
        <w:rPr>
          <w:rFonts w:asciiTheme="minorHAnsi" w:hAnsiTheme="minorHAnsi" w:cstheme="minorHAnsi"/>
        </w:rPr>
        <w:t xml:space="preserve"> </w:t>
      </w:r>
      <w:r w:rsidR="003C4D3C" w:rsidRPr="00655B87">
        <w:rPr>
          <w:rFonts w:asciiTheme="minorHAnsi" w:hAnsiTheme="minorHAnsi" w:cstheme="minorHAnsi"/>
        </w:rPr>
        <w:t xml:space="preserve">Nursing Times. Available at: </w:t>
      </w:r>
      <w:hyperlink r:id="rId5" w:history="1">
        <w:r w:rsidR="00DE6732" w:rsidRPr="00655B87">
          <w:rPr>
            <w:rStyle w:val="Hyperlink"/>
            <w:rFonts w:asciiTheme="minorHAnsi" w:hAnsiTheme="minorHAnsi" w:cstheme="minorHAnsi"/>
          </w:rPr>
          <w:t>https://www.nursingtimes.net/news/workforce/nation-urged-to-applaud-frontline-healthcare-staff-tackling-covid-19-26-03-2020/</w:t>
        </w:r>
      </w:hyperlink>
    </w:p>
    <w:p w14:paraId="0214A11D" w14:textId="56AEBC9A" w:rsidR="00DE6732" w:rsidRPr="00655B87" w:rsidRDefault="00DE6732">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Goldstein, C. 2020. </w:t>
      </w:r>
      <w:r w:rsidRPr="00655B87">
        <w:rPr>
          <w:rFonts w:asciiTheme="minorHAnsi" w:hAnsiTheme="minorHAnsi" w:cstheme="minorHAnsi"/>
          <w:i/>
          <w:iCs/>
        </w:rPr>
        <w:t>Banksy just made a surprisingly earnest painting of a superhero nurse and donated it to a British hospital as a morale booster</w:t>
      </w:r>
      <w:r w:rsidRPr="00655B87">
        <w:rPr>
          <w:rFonts w:asciiTheme="minorHAnsi" w:hAnsiTheme="minorHAnsi" w:cstheme="minorHAnsi"/>
        </w:rPr>
        <w:t xml:space="preserve">. Art World. Available at: </w:t>
      </w:r>
      <w:hyperlink r:id="rId6" w:history="1">
        <w:r w:rsidR="001B363B" w:rsidRPr="00655B87">
          <w:rPr>
            <w:rStyle w:val="Hyperlink"/>
            <w:rFonts w:asciiTheme="minorHAnsi" w:hAnsiTheme="minorHAnsi" w:cstheme="minorHAnsi"/>
          </w:rPr>
          <w:t>https://news.artnet.com/art-world/banksy-hospital-donation-1854333</w:t>
        </w:r>
      </w:hyperlink>
    </w:p>
    <w:p w14:paraId="08864900" w14:textId="1D11DCDA" w:rsidR="00707F33" w:rsidRPr="00655B87" w:rsidRDefault="00707F33">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Holloway, I. and Freshwater, D. 2009. Narrative research in nursing. </w:t>
      </w:r>
      <w:r w:rsidR="005B1736" w:rsidRPr="00655B87">
        <w:rPr>
          <w:rFonts w:asciiTheme="minorHAnsi" w:hAnsiTheme="minorHAnsi" w:cstheme="minorHAnsi"/>
        </w:rPr>
        <w:t>Oxford</w:t>
      </w:r>
      <w:r w:rsidRPr="00655B87">
        <w:rPr>
          <w:rFonts w:asciiTheme="minorHAnsi" w:hAnsiTheme="minorHAnsi" w:cstheme="minorHAnsi"/>
        </w:rPr>
        <w:t xml:space="preserve">: Blackwell Publishing. </w:t>
      </w:r>
    </w:p>
    <w:p w14:paraId="51524C2B" w14:textId="28C02FB7" w:rsidR="00716EF9" w:rsidRPr="00655B87" w:rsidRDefault="00716EF9">
      <w:pPr>
        <w:shd w:val="clear" w:color="auto" w:fill="FFFFFF"/>
        <w:spacing w:before="240" w:after="240"/>
        <w:jc w:val="both"/>
        <w:rPr>
          <w:rFonts w:asciiTheme="minorHAnsi" w:hAnsiTheme="minorHAnsi" w:cstheme="minorHAnsi"/>
        </w:rPr>
      </w:pPr>
      <w:proofErr w:type="spellStart"/>
      <w:r w:rsidRPr="00655B87">
        <w:rPr>
          <w:rFonts w:asciiTheme="minorHAnsi" w:hAnsiTheme="minorHAnsi" w:cstheme="minorHAnsi"/>
        </w:rPr>
        <w:t>Kelz</w:t>
      </w:r>
      <w:proofErr w:type="spellEnd"/>
      <w:r w:rsidRPr="00655B87">
        <w:rPr>
          <w:rFonts w:asciiTheme="minorHAnsi" w:hAnsiTheme="minorHAnsi" w:cstheme="minorHAnsi"/>
        </w:rPr>
        <w:t xml:space="preserve">, R. 2016. </w:t>
      </w:r>
      <w:r w:rsidRPr="00655B87">
        <w:rPr>
          <w:rFonts w:asciiTheme="minorHAnsi" w:hAnsiTheme="minorHAnsi" w:cstheme="minorHAnsi"/>
          <w:i/>
          <w:iCs/>
        </w:rPr>
        <w:t>The Non-Sovereign Self, Responsibility, and Otherness: Hannah Arendt, Judith Butler, and Stanley Cavell on Moral Philosophy and Political Agency</w:t>
      </w:r>
      <w:r w:rsidRPr="00655B87">
        <w:rPr>
          <w:rFonts w:asciiTheme="minorHAnsi" w:hAnsiTheme="minorHAnsi" w:cstheme="minorHAnsi"/>
        </w:rPr>
        <w:t xml:space="preserve">. New York: Palgrave MacMillan. </w:t>
      </w:r>
    </w:p>
    <w:p w14:paraId="6FF34995" w14:textId="3179B985" w:rsidR="00F04696" w:rsidRPr="00655B87" w:rsidRDefault="00F04696">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Peta, C., </w:t>
      </w:r>
      <w:proofErr w:type="spellStart"/>
      <w:r w:rsidRPr="00655B87">
        <w:rPr>
          <w:rFonts w:asciiTheme="minorHAnsi" w:hAnsiTheme="minorHAnsi" w:cstheme="minorHAnsi"/>
        </w:rPr>
        <w:t>Wengraf</w:t>
      </w:r>
      <w:proofErr w:type="spellEnd"/>
      <w:r w:rsidRPr="00655B87">
        <w:rPr>
          <w:rFonts w:asciiTheme="minorHAnsi" w:hAnsiTheme="minorHAnsi" w:cstheme="minorHAnsi"/>
        </w:rPr>
        <w:t xml:space="preserve">, T. &amp; McKenzie, J. 2019. Facilitating the voice of disabled women: the biographic narrative interpretive method (BNIM) in action, </w:t>
      </w:r>
      <w:r w:rsidRPr="00655B87">
        <w:rPr>
          <w:rFonts w:asciiTheme="minorHAnsi" w:hAnsiTheme="minorHAnsi" w:cstheme="minorHAnsi"/>
          <w:i/>
          <w:iCs/>
        </w:rPr>
        <w:t>Contemporary Social Science</w:t>
      </w:r>
      <w:r w:rsidRPr="00655B87">
        <w:rPr>
          <w:rFonts w:asciiTheme="minorHAnsi" w:hAnsiTheme="minorHAnsi" w:cstheme="minorHAnsi"/>
        </w:rPr>
        <w:t>, 14:3-4, 515-527, DOI: 10.1080/21582041.2018.1450520</w:t>
      </w:r>
    </w:p>
    <w:p w14:paraId="58F0C737" w14:textId="0608B38A" w:rsidR="00F04696" w:rsidRPr="00655B87" w:rsidRDefault="001B363B">
      <w:pPr>
        <w:shd w:val="clear" w:color="auto" w:fill="FFFFFF"/>
        <w:spacing w:before="240" w:after="240"/>
        <w:jc w:val="both"/>
        <w:rPr>
          <w:rFonts w:asciiTheme="minorHAnsi" w:hAnsiTheme="minorHAnsi" w:cstheme="minorHAnsi"/>
        </w:rPr>
      </w:pPr>
      <w:proofErr w:type="spellStart"/>
      <w:r w:rsidRPr="00655B87">
        <w:rPr>
          <w:rFonts w:asciiTheme="minorHAnsi" w:hAnsiTheme="minorHAnsi" w:cstheme="minorHAnsi"/>
        </w:rPr>
        <w:t>Reissman</w:t>
      </w:r>
      <w:proofErr w:type="spellEnd"/>
      <w:r w:rsidRPr="00655B87">
        <w:rPr>
          <w:rFonts w:asciiTheme="minorHAnsi" w:hAnsiTheme="minorHAnsi" w:cstheme="minorHAnsi"/>
        </w:rPr>
        <w:t xml:space="preserve">, C.K. 2008. </w:t>
      </w:r>
      <w:r w:rsidRPr="00655B87">
        <w:rPr>
          <w:rFonts w:asciiTheme="minorHAnsi" w:hAnsiTheme="minorHAnsi" w:cstheme="minorHAnsi"/>
          <w:i/>
          <w:iCs/>
        </w:rPr>
        <w:t>Narrative Methods for the Human Sciences.</w:t>
      </w:r>
      <w:r w:rsidRPr="00655B87">
        <w:rPr>
          <w:rFonts w:asciiTheme="minorHAnsi" w:hAnsiTheme="minorHAnsi" w:cstheme="minorHAnsi"/>
        </w:rPr>
        <w:t xml:space="preserve"> Los Angeles: Sage Publications. </w:t>
      </w:r>
    </w:p>
    <w:p w14:paraId="22BCA24B" w14:textId="77777777" w:rsidR="00376710" w:rsidRPr="00655B87" w:rsidRDefault="00376710" w:rsidP="00376710">
      <w:pPr>
        <w:pStyle w:val="NormalWeb"/>
        <w:rPr>
          <w:rFonts w:asciiTheme="minorHAnsi" w:hAnsiTheme="minorHAnsi" w:cstheme="minorHAnsi"/>
          <w:sz w:val="22"/>
          <w:szCs w:val="22"/>
        </w:rPr>
      </w:pPr>
      <w:proofErr w:type="spellStart"/>
      <w:r w:rsidRPr="00655B87">
        <w:rPr>
          <w:rFonts w:asciiTheme="minorHAnsi" w:hAnsiTheme="minorHAnsi" w:cstheme="minorHAnsi"/>
          <w:sz w:val="22"/>
          <w:szCs w:val="22"/>
        </w:rPr>
        <w:t>Schutze</w:t>
      </w:r>
      <w:proofErr w:type="spellEnd"/>
      <w:r w:rsidRPr="00655B87">
        <w:rPr>
          <w:rFonts w:asciiTheme="minorHAnsi" w:hAnsiTheme="minorHAnsi" w:cstheme="minorHAnsi"/>
          <w:sz w:val="22"/>
          <w:szCs w:val="22"/>
        </w:rPr>
        <w:t xml:space="preserve">, F. 1992. Pressure and guilt: war experiences of a young German soldier (part 1). </w:t>
      </w:r>
      <w:r w:rsidRPr="00655B87">
        <w:rPr>
          <w:rFonts w:asciiTheme="minorHAnsi" w:hAnsiTheme="minorHAnsi" w:cstheme="minorHAnsi"/>
          <w:i/>
          <w:iCs/>
          <w:sz w:val="22"/>
          <w:szCs w:val="22"/>
        </w:rPr>
        <w:t xml:space="preserve">International Sociology, </w:t>
      </w:r>
      <w:r w:rsidRPr="00655B87">
        <w:rPr>
          <w:rFonts w:asciiTheme="minorHAnsi" w:hAnsiTheme="minorHAnsi" w:cstheme="minorHAnsi"/>
          <w:sz w:val="22"/>
          <w:szCs w:val="22"/>
        </w:rPr>
        <w:t xml:space="preserve">7(2), pp.187-208. </w:t>
      </w:r>
    </w:p>
    <w:p w14:paraId="351273CA" w14:textId="01887327" w:rsidR="0073079E" w:rsidRPr="00655B87" w:rsidRDefault="00697F02">
      <w:pPr>
        <w:shd w:val="clear" w:color="auto" w:fill="FFFFFF"/>
        <w:spacing w:before="240" w:after="240"/>
        <w:jc w:val="both"/>
        <w:rPr>
          <w:rFonts w:asciiTheme="minorHAnsi" w:hAnsiTheme="minorHAnsi" w:cstheme="minorHAnsi"/>
        </w:rPr>
      </w:pPr>
      <w:r w:rsidRPr="00655B87">
        <w:rPr>
          <w:rFonts w:asciiTheme="minorHAnsi" w:hAnsiTheme="minorHAnsi" w:cstheme="minorHAnsi"/>
        </w:rPr>
        <w:t xml:space="preserve">Stokes-Parish, J., Elliott, R., Rolls, K. &amp; Massey, D. 2020. Angels and heroes: The unintended consequence of the hero narrative. </w:t>
      </w:r>
      <w:r w:rsidRPr="00655B87">
        <w:rPr>
          <w:rFonts w:asciiTheme="minorHAnsi" w:hAnsiTheme="minorHAnsi" w:cstheme="minorHAnsi"/>
          <w:i/>
          <w:iCs/>
        </w:rPr>
        <w:t xml:space="preserve">J </w:t>
      </w:r>
      <w:proofErr w:type="spellStart"/>
      <w:r w:rsidRPr="00655B87">
        <w:rPr>
          <w:rFonts w:asciiTheme="minorHAnsi" w:hAnsiTheme="minorHAnsi" w:cstheme="minorHAnsi"/>
          <w:i/>
          <w:iCs/>
        </w:rPr>
        <w:t>Nurs</w:t>
      </w:r>
      <w:proofErr w:type="spellEnd"/>
      <w:r w:rsidRPr="00655B87">
        <w:rPr>
          <w:rFonts w:asciiTheme="minorHAnsi" w:hAnsiTheme="minorHAnsi" w:cstheme="minorHAnsi"/>
          <w:i/>
          <w:iCs/>
        </w:rPr>
        <w:t xml:space="preserve"> </w:t>
      </w:r>
      <w:proofErr w:type="spellStart"/>
      <w:r w:rsidRPr="00655B87">
        <w:rPr>
          <w:rFonts w:asciiTheme="minorHAnsi" w:hAnsiTheme="minorHAnsi" w:cstheme="minorHAnsi"/>
          <w:i/>
          <w:iCs/>
        </w:rPr>
        <w:t>Scholarsh</w:t>
      </w:r>
      <w:proofErr w:type="spellEnd"/>
      <w:r w:rsidRPr="00655B87">
        <w:rPr>
          <w:rFonts w:asciiTheme="minorHAnsi" w:hAnsiTheme="minorHAnsi" w:cstheme="minorHAnsi"/>
          <w:i/>
          <w:iCs/>
        </w:rPr>
        <w:t>.</w:t>
      </w:r>
      <w:r w:rsidRPr="00655B87">
        <w:rPr>
          <w:rFonts w:asciiTheme="minorHAnsi" w:hAnsiTheme="minorHAnsi" w:cstheme="minorHAnsi"/>
        </w:rPr>
        <w:t xml:space="preserve"> 52(5), 462-466. </w:t>
      </w:r>
      <w:proofErr w:type="gramStart"/>
      <w:r w:rsidRPr="00655B87">
        <w:rPr>
          <w:rFonts w:asciiTheme="minorHAnsi" w:hAnsiTheme="minorHAnsi" w:cstheme="minorHAnsi"/>
        </w:rPr>
        <w:t>doi:10.1111/jnu.12591</w:t>
      </w:r>
      <w:r w:rsidR="0073079E" w:rsidRPr="00655B87">
        <w:rPr>
          <w:rFonts w:asciiTheme="minorHAnsi" w:hAnsiTheme="minorHAnsi" w:cstheme="minorHAnsi"/>
        </w:rPr>
        <w:t>ten</w:t>
      </w:r>
      <w:proofErr w:type="gramEnd"/>
      <w:r w:rsidR="0073079E" w:rsidRPr="00655B87">
        <w:rPr>
          <w:rFonts w:asciiTheme="minorHAnsi" w:hAnsiTheme="minorHAnsi" w:cstheme="minorHAnsi"/>
        </w:rPr>
        <w:t xml:space="preserve"> </w:t>
      </w:r>
      <w:proofErr w:type="spellStart"/>
      <w:r w:rsidR="0073079E" w:rsidRPr="00655B87">
        <w:rPr>
          <w:rFonts w:asciiTheme="minorHAnsi" w:hAnsiTheme="minorHAnsi" w:cstheme="minorHAnsi"/>
        </w:rPr>
        <w:t>Hoeve</w:t>
      </w:r>
      <w:proofErr w:type="spellEnd"/>
      <w:r w:rsidR="0073079E" w:rsidRPr="00655B87">
        <w:rPr>
          <w:rFonts w:asciiTheme="minorHAnsi" w:hAnsiTheme="minorHAnsi" w:cstheme="minorHAnsi"/>
        </w:rPr>
        <w:t xml:space="preserve">, Y., Jansen, G., &amp; </w:t>
      </w:r>
      <w:proofErr w:type="spellStart"/>
      <w:r w:rsidR="0073079E" w:rsidRPr="00655B87">
        <w:rPr>
          <w:rFonts w:asciiTheme="minorHAnsi" w:hAnsiTheme="minorHAnsi" w:cstheme="minorHAnsi"/>
        </w:rPr>
        <w:t>Roodbol</w:t>
      </w:r>
      <w:proofErr w:type="spellEnd"/>
      <w:r w:rsidR="0073079E" w:rsidRPr="00655B87">
        <w:rPr>
          <w:rFonts w:asciiTheme="minorHAnsi" w:hAnsiTheme="minorHAnsi" w:cstheme="minorHAnsi"/>
        </w:rPr>
        <w:t xml:space="preserve">, P. (2014). The nursing profession: Public image, </w:t>
      </w:r>
      <w:proofErr w:type="gramStart"/>
      <w:r w:rsidR="0073079E" w:rsidRPr="00655B87">
        <w:rPr>
          <w:rFonts w:asciiTheme="minorHAnsi" w:hAnsiTheme="minorHAnsi" w:cstheme="minorHAnsi"/>
        </w:rPr>
        <w:t>self‐concept</w:t>
      </w:r>
      <w:proofErr w:type="gramEnd"/>
      <w:r w:rsidR="0073079E" w:rsidRPr="00655B87">
        <w:rPr>
          <w:rFonts w:asciiTheme="minorHAnsi" w:hAnsiTheme="minorHAnsi" w:cstheme="minorHAnsi"/>
        </w:rPr>
        <w:t xml:space="preserve"> and professional identity. A discussion </w:t>
      </w:r>
      <w:proofErr w:type="gramStart"/>
      <w:r w:rsidR="0073079E" w:rsidRPr="00655B87">
        <w:rPr>
          <w:rFonts w:asciiTheme="minorHAnsi" w:hAnsiTheme="minorHAnsi" w:cstheme="minorHAnsi"/>
        </w:rPr>
        <w:t>paper</w:t>
      </w:r>
      <w:proofErr w:type="gramEnd"/>
      <w:r w:rsidR="0073079E" w:rsidRPr="00655B87">
        <w:rPr>
          <w:rFonts w:asciiTheme="minorHAnsi" w:hAnsiTheme="minorHAnsi" w:cstheme="minorHAnsi"/>
        </w:rPr>
        <w:t xml:space="preserve">. </w:t>
      </w:r>
      <w:r w:rsidR="0073079E" w:rsidRPr="00655B87">
        <w:rPr>
          <w:rFonts w:asciiTheme="minorHAnsi" w:hAnsiTheme="minorHAnsi" w:cstheme="minorHAnsi"/>
          <w:i/>
          <w:iCs/>
        </w:rPr>
        <w:t>Journal of Advanced Nursing,</w:t>
      </w:r>
      <w:r w:rsidR="0073079E" w:rsidRPr="00655B87">
        <w:rPr>
          <w:rFonts w:asciiTheme="minorHAnsi" w:hAnsiTheme="minorHAnsi" w:cstheme="minorHAnsi"/>
        </w:rPr>
        <w:t xml:space="preserve"> 70(2), 295– 309. https://doi.org/10.1111/jan.12177</w:t>
      </w:r>
    </w:p>
    <w:p w14:paraId="57DA0EA6" w14:textId="5E74C07C" w:rsidR="00CA549E" w:rsidRPr="00655B87" w:rsidRDefault="00CA549E">
      <w:pPr>
        <w:shd w:val="clear" w:color="auto" w:fill="FFFFFF"/>
        <w:spacing w:before="240" w:after="240"/>
        <w:jc w:val="both"/>
        <w:rPr>
          <w:rFonts w:asciiTheme="minorHAnsi" w:hAnsiTheme="minorHAnsi" w:cstheme="minorHAnsi"/>
        </w:rPr>
      </w:pPr>
      <w:r w:rsidRPr="00655B87">
        <w:rPr>
          <w:rFonts w:asciiTheme="minorHAnsi" w:hAnsiTheme="minorHAnsi" w:cstheme="minorHAnsi"/>
        </w:rPr>
        <w:t>Terkel, S. 2013. Hard Times an Oral History of the Great Depression. New York: The New Press</w:t>
      </w:r>
    </w:p>
    <w:p w14:paraId="00000014" w14:textId="6AB64CF2" w:rsidR="00CD30C3" w:rsidRDefault="00741E18">
      <w:pPr>
        <w:shd w:val="clear" w:color="auto" w:fill="FFFFFF"/>
        <w:spacing w:before="240" w:after="240"/>
        <w:jc w:val="both"/>
      </w:pPr>
      <w:proofErr w:type="spellStart"/>
      <w:r w:rsidRPr="00655B87">
        <w:rPr>
          <w:rFonts w:asciiTheme="minorHAnsi" w:hAnsiTheme="minorHAnsi" w:cstheme="minorHAnsi"/>
        </w:rPr>
        <w:t>Wengraf</w:t>
      </w:r>
      <w:proofErr w:type="spellEnd"/>
      <w:r w:rsidRPr="00655B87">
        <w:rPr>
          <w:rFonts w:asciiTheme="minorHAnsi" w:hAnsiTheme="minorHAnsi" w:cstheme="minorHAnsi"/>
        </w:rPr>
        <w:t xml:space="preserve">, </w:t>
      </w:r>
      <w:r w:rsidR="00605B97" w:rsidRPr="00655B87">
        <w:rPr>
          <w:rFonts w:asciiTheme="minorHAnsi" w:hAnsiTheme="minorHAnsi" w:cstheme="minorHAnsi"/>
        </w:rPr>
        <w:t>T</w:t>
      </w:r>
      <w:r w:rsidRPr="00655B87">
        <w:rPr>
          <w:rFonts w:asciiTheme="minorHAnsi" w:hAnsiTheme="minorHAnsi" w:cstheme="minorHAnsi"/>
        </w:rPr>
        <w:t>. 2020. BNIM Detailed Manual. Available through written correspondence to</w:t>
      </w:r>
      <w:r>
        <w:t xml:space="preserve"> </w:t>
      </w:r>
      <w:hyperlink r:id="rId7" w:history="1">
        <w:r w:rsidR="00865987" w:rsidRPr="00687E25">
          <w:rPr>
            <w:rStyle w:val="Hyperlink"/>
          </w:rPr>
          <w:t>tom@tomwengraf.com</w:t>
        </w:r>
      </w:hyperlink>
      <w:r>
        <w:t>.</w:t>
      </w:r>
    </w:p>
    <w:p w14:paraId="00000015" w14:textId="1910767C" w:rsidR="00CD30C3" w:rsidRDefault="00CD30C3">
      <w:pPr>
        <w:shd w:val="clear" w:color="auto" w:fill="FFFFFF"/>
        <w:spacing w:before="240" w:after="240" w:line="256" w:lineRule="auto"/>
        <w:ind w:firstLine="720"/>
        <w:jc w:val="both"/>
      </w:pPr>
    </w:p>
    <w:p w14:paraId="00000016" w14:textId="77777777" w:rsidR="00CD30C3" w:rsidRDefault="00CD30C3">
      <w:pPr>
        <w:shd w:val="clear" w:color="auto" w:fill="FFFFFF"/>
        <w:ind w:firstLine="720"/>
        <w:jc w:val="both"/>
      </w:pPr>
    </w:p>
    <w:p w14:paraId="00000017" w14:textId="77777777" w:rsidR="00CD30C3" w:rsidRDefault="00CD30C3"/>
    <w:sectPr w:rsidR="00CD30C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0C3"/>
    <w:rsid w:val="00035AEF"/>
    <w:rsid w:val="000A6B85"/>
    <w:rsid w:val="001033B2"/>
    <w:rsid w:val="00133B81"/>
    <w:rsid w:val="00181D0A"/>
    <w:rsid w:val="001B363B"/>
    <w:rsid w:val="001C2FD9"/>
    <w:rsid w:val="001D3A6D"/>
    <w:rsid w:val="00215F50"/>
    <w:rsid w:val="002652BD"/>
    <w:rsid w:val="00345A9D"/>
    <w:rsid w:val="003660C1"/>
    <w:rsid w:val="00376710"/>
    <w:rsid w:val="003A1B16"/>
    <w:rsid w:val="003B728C"/>
    <w:rsid w:val="003C4D3C"/>
    <w:rsid w:val="004C12A7"/>
    <w:rsid w:val="00560B85"/>
    <w:rsid w:val="00563EC5"/>
    <w:rsid w:val="005677DB"/>
    <w:rsid w:val="005818BC"/>
    <w:rsid w:val="005B1736"/>
    <w:rsid w:val="005C5813"/>
    <w:rsid w:val="00605B97"/>
    <w:rsid w:val="00646B34"/>
    <w:rsid w:val="00655B87"/>
    <w:rsid w:val="00684BB2"/>
    <w:rsid w:val="00697F02"/>
    <w:rsid w:val="006E0BC0"/>
    <w:rsid w:val="00706DE7"/>
    <w:rsid w:val="00707F33"/>
    <w:rsid w:val="00715595"/>
    <w:rsid w:val="00716EF9"/>
    <w:rsid w:val="0073079E"/>
    <w:rsid w:val="00741E18"/>
    <w:rsid w:val="007E07CA"/>
    <w:rsid w:val="00800E86"/>
    <w:rsid w:val="00827F10"/>
    <w:rsid w:val="00843906"/>
    <w:rsid w:val="00865987"/>
    <w:rsid w:val="008773A3"/>
    <w:rsid w:val="00883F3E"/>
    <w:rsid w:val="008936C8"/>
    <w:rsid w:val="008A0FBA"/>
    <w:rsid w:val="008C00CE"/>
    <w:rsid w:val="008F1277"/>
    <w:rsid w:val="00976A3B"/>
    <w:rsid w:val="009F3A7D"/>
    <w:rsid w:val="00A378B1"/>
    <w:rsid w:val="00AC088A"/>
    <w:rsid w:val="00BF222C"/>
    <w:rsid w:val="00C416A5"/>
    <w:rsid w:val="00CA549E"/>
    <w:rsid w:val="00CD30C3"/>
    <w:rsid w:val="00D33B42"/>
    <w:rsid w:val="00D45E53"/>
    <w:rsid w:val="00D56A4C"/>
    <w:rsid w:val="00D97501"/>
    <w:rsid w:val="00DD1620"/>
    <w:rsid w:val="00DD4490"/>
    <w:rsid w:val="00DE6732"/>
    <w:rsid w:val="00F04696"/>
    <w:rsid w:val="00F50F52"/>
    <w:rsid w:val="00FD57D3"/>
    <w:rsid w:val="00FD5C3A"/>
    <w:rsid w:val="00FD78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F549"/>
  <w15:docId w15:val="{11CF5AC6-D50B-4B9E-BB5B-977E9DBEC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115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A629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91151"/>
    <w:rPr>
      <w:rFonts w:ascii="Times New Roman" w:eastAsia="Times New Roman" w:hAnsi="Times New Roman" w:cs="Times New Roman"/>
      <w:b/>
      <w:bCs/>
      <w:kern w:val="36"/>
      <w:sz w:val="48"/>
      <w:szCs w:val="48"/>
      <w:lang w:eastAsia="en-IE"/>
    </w:rPr>
  </w:style>
  <w:style w:type="character" w:styleId="Hyperlink">
    <w:name w:val="Hyperlink"/>
    <w:basedOn w:val="DefaultParagraphFont"/>
    <w:uiPriority w:val="99"/>
    <w:unhideWhenUsed/>
    <w:rsid w:val="00D91151"/>
    <w:rPr>
      <w:color w:val="0000FF"/>
      <w:u w:val="single"/>
    </w:rPr>
  </w:style>
  <w:style w:type="character" w:customStyle="1" w:styleId="doi">
    <w:name w:val="doi"/>
    <w:basedOn w:val="DefaultParagraphFont"/>
    <w:rsid w:val="00D91151"/>
  </w:style>
  <w:style w:type="character" w:customStyle="1" w:styleId="Heading3Char">
    <w:name w:val="Heading 3 Char"/>
    <w:basedOn w:val="DefaultParagraphFont"/>
    <w:link w:val="Heading3"/>
    <w:uiPriority w:val="9"/>
    <w:semiHidden/>
    <w:rsid w:val="00A62915"/>
    <w:rPr>
      <w:rFonts w:asciiTheme="majorHAnsi" w:eastAsiaTheme="majorEastAsia" w:hAnsiTheme="majorHAnsi" w:cstheme="majorBidi"/>
      <w:color w:val="1F4D78" w:themeColor="accent1" w:themeShade="7F"/>
      <w:sz w:val="24"/>
      <w:szCs w:val="24"/>
    </w:rPr>
  </w:style>
  <w:style w:type="character" w:customStyle="1" w:styleId="qu">
    <w:name w:val="qu"/>
    <w:basedOn w:val="DefaultParagraphFont"/>
    <w:rsid w:val="00A62915"/>
  </w:style>
  <w:style w:type="character" w:customStyle="1" w:styleId="gd">
    <w:name w:val="gd"/>
    <w:basedOn w:val="DefaultParagraphFont"/>
    <w:rsid w:val="00A62915"/>
  </w:style>
  <w:style w:type="character" w:customStyle="1" w:styleId="go">
    <w:name w:val="go"/>
    <w:basedOn w:val="DefaultParagraphFont"/>
    <w:rsid w:val="00A62915"/>
  </w:style>
  <w:style w:type="character" w:customStyle="1" w:styleId="g3">
    <w:name w:val="g3"/>
    <w:basedOn w:val="DefaultParagraphFont"/>
    <w:rsid w:val="00A62915"/>
  </w:style>
  <w:style w:type="character" w:customStyle="1" w:styleId="hb">
    <w:name w:val="hb"/>
    <w:basedOn w:val="DefaultParagraphFont"/>
    <w:rsid w:val="00A62915"/>
  </w:style>
  <w:style w:type="character" w:customStyle="1" w:styleId="g2">
    <w:name w:val="g2"/>
    <w:basedOn w:val="DefaultParagraphFont"/>
    <w:rsid w:val="00A62915"/>
  </w:style>
  <w:style w:type="paragraph" w:styleId="ListParagraph">
    <w:name w:val="List Paragraph"/>
    <w:basedOn w:val="Normal"/>
    <w:uiPriority w:val="34"/>
    <w:qFormat/>
    <w:rsid w:val="00A6291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66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0C1"/>
    <w:rPr>
      <w:rFonts w:ascii="Segoe UI" w:hAnsi="Segoe UI" w:cs="Segoe UI"/>
      <w:sz w:val="18"/>
      <w:szCs w:val="18"/>
    </w:rPr>
  </w:style>
  <w:style w:type="character" w:customStyle="1" w:styleId="UnresolvedMention1">
    <w:name w:val="Unresolved Mention1"/>
    <w:basedOn w:val="DefaultParagraphFont"/>
    <w:uiPriority w:val="99"/>
    <w:semiHidden/>
    <w:unhideWhenUsed/>
    <w:rsid w:val="00DE6732"/>
    <w:rPr>
      <w:color w:val="605E5C"/>
      <w:shd w:val="clear" w:color="auto" w:fill="E1DFDD"/>
    </w:rPr>
  </w:style>
  <w:style w:type="paragraph" w:styleId="NormalWeb">
    <w:name w:val="Normal (Web)"/>
    <w:basedOn w:val="Normal"/>
    <w:rsid w:val="0037671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655B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024759">
      <w:bodyDiv w:val="1"/>
      <w:marLeft w:val="0"/>
      <w:marRight w:val="0"/>
      <w:marTop w:val="0"/>
      <w:marBottom w:val="0"/>
      <w:divBdr>
        <w:top w:val="none" w:sz="0" w:space="0" w:color="auto"/>
        <w:left w:val="none" w:sz="0" w:space="0" w:color="auto"/>
        <w:bottom w:val="none" w:sz="0" w:space="0" w:color="auto"/>
        <w:right w:val="none" w:sz="0" w:space="0" w:color="auto"/>
      </w:divBdr>
    </w:div>
    <w:div w:id="380444874">
      <w:bodyDiv w:val="1"/>
      <w:marLeft w:val="0"/>
      <w:marRight w:val="0"/>
      <w:marTop w:val="0"/>
      <w:marBottom w:val="0"/>
      <w:divBdr>
        <w:top w:val="none" w:sz="0" w:space="0" w:color="auto"/>
        <w:left w:val="none" w:sz="0" w:space="0" w:color="auto"/>
        <w:bottom w:val="none" w:sz="0" w:space="0" w:color="auto"/>
        <w:right w:val="none" w:sz="0" w:space="0" w:color="auto"/>
      </w:divBdr>
    </w:div>
    <w:div w:id="410811947">
      <w:bodyDiv w:val="1"/>
      <w:marLeft w:val="0"/>
      <w:marRight w:val="0"/>
      <w:marTop w:val="0"/>
      <w:marBottom w:val="0"/>
      <w:divBdr>
        <w:top w:val="none" w:sz="0" w:space="0" w:color="auto"/>
        <w:left w:val="none" w:sz="0" w:space="0" w:color="auto"/>
        <w:bottom w:val="none" w:sz="0" w:space="0" w:color="auto"/>
        <w:right w:val="none" w:sz="0" w:space="0" w:color="auto"/>
      </w:divBdr>
    </w:div>
    <w:div w:id="492067459">
      <w:bodyDiv w:val="1"/>
      <w:marLeft w:val="0"/>
      <w:marRight w:val="0"/>
      <w:marTop w:val="0"/>
      <w:marBottom w:val="0"/>
      <w:divBdr>
        <w:top w:val="none" w:sz="0" w:space="0" w:color="auto"/>
        <w:left w:val="none" w:sz="0" w:space="0" w:color="auto"/>
        <w:bottom w:val="none" w:sz="0" w:space="0" w:color="auto"/>
        <w:right w:val="none" w:sz="0" w:space="0" w:color="auto"/>
      </w:divBdr>
    </w:div>
    <w:div w:id="864170554">
      <w:bodyDiv w:val="1"/>
      <w:marLeft w:val="0"/>
      <w:marRight w:val="0"/>
      <w:marTop w:val="0"/>
      <w:marBottom w:val="0"/>
      <w:divBdr>
        <w:top w:val="none" w:sz="0" w:space="0" w:color="auto"/>
        <w:left w:val="none" w:sz="0" w:space="0" w:color="auto"/>
        <w:bottom w:val="none" w:sz="0" w:space="0" w:color="auto"/>
        <w:right w:val="none" w:sz="0" w:space="0" w:color="auto"/>
      </w:divBdr>
    </w:div>
    <w:div w:id="1099521209">
      <w:bodyDiv w:val="1"/>
      <w:marLeft w:val="0"/>
      <w:marRight w:val="0"/>
      <w:marTop w:val="0"/>
      <w:marBottom w:val="0"/>
      <w:divBdr>
        <w:top w:val="none" w:sz="0" w:space="0" w:color="auto"/>
        <w:left w:val="none" w:sz="0" w:space="0" w:color="auto"/>
        <w:bottom w:val="none" w:sz="0" w:space="0" w:color="auto"/>
        <w:right w:val="none" w:sz="0" w:space="0" w:color="auto"/>
      </w:divBdr>
      <w:divsChild>
        <w:div w:id="1593274749">
          <w:marLeft w:val="0"/>
          <w:marRight w:val="0"/>
          <w:marTop w:val="0"/>
          <w:marBottom w:val="0"/>
          <w:divBdr>
            <w:top w:val="none" w:sz="0" w:space="0" w:color="auto"/>
            <w:left w:val="none" w:sz="0" w:space="0" w:color="auto"/>
            <w:bottom w:val="none" w:sz="0" w:space="0" w:color="auto"/>
            <w:right w:val="none" w:sz="0" w:space="0" w:color="auto"/>
          </w:divBdr>
          <w:divsChild>
            <w:div w:id="1950234206">
              <w:marLeft w:val="0"/>
              <w:marRight w:val="0"/>
              <w:marTop w:val="0"/>
              <w:marBottom w:val="0"/>
              <w:divBdr>
                <w:top w:val="none" w:sz="0" w:space="0" w:color="auto"/>
                <w:left w:val="none" w:sz="0" w:space="0" w:color="auto"/>
                <w:bottom w:val="none" w:sz="0" w:space="0" w:color="auto"/>
                <w:right w:val="none" w:sz="0" w:space="0" w:color="auto"/>
              </w:divBdr>
              <w:divsChild>
                <w:div w:id="181364416">
                  <w:marLeft w:val="0"/>
                  <w:marRight w:val="0"/>
                  <w:marTop w:val="0"/>
                  <w:marBottom w:val="0"/>
                  <w:divBdr>
                    <w:top w:val="none" w:sz="0" w:space="0" w:color="auto"/>
                    <w:left w:val="none" w:sz="0" w:space="0" w:color="auto"/>
                    <w:bottom w:val="none" w:sz="0" w:space="0" w:color="auto"/>
                    <w:right w:val="none" w:sz="0" w:space="0" w:color="auto"/>
                  </w:divBdr>
                  <w:divsChild>
                    <w:div w:id="817645953">
                      <w:marLeft w:val="0"/>
                      <w:marRight w:val="0"/>
                      <w:marTop w:val="0"/>
                      <w:marBottom w:val="0"/>
                      <w:divBdr>
                        <w:top w:val="none" w:sz="0" w:space="0" w:color="auto"/>
                        <w:left w:val="none" w:sz="0" w:space="0" w:color="auto"/>
                        <w:bottom w:val="none" w:sz="0" w:space="0" w:color="auto"/>
                        <w:right w:val="none" w:sz="0" w:space="0" w:color="auto"/>
                      </w:divBdr>
                      <w:divsChild>
                        <w:div w:id="1550415174">
                          <w:marLeft w:val="0"/>
                          <w:marRight w:val="0"/>
                          <w:marTop w:val="0"/>
                          <w:marBottom w:val="0"/>
                          <w:divBdr>
                            <w:top w:val="none" w:sz="0" w:space="0" w:color="auto"/>
                            <w:left w:val="none" w:sz="0" w:space="0" w:color="auto"/>
                            <w:bottom w:val="none" w:sz="0" w:space="0" w:color="auto"/>
                            <w:right w:val="none" w:sz="0" w:space="0" w:color="auto"/>
                          </w:divBdr>
                        </w:div>
                        <w:div w:id="77544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726945">
      <w:bodyDiv w:val="1"/>
      <w:marLeft w:val="0"/>
      <w:marRight w:val="0"/>
      <w:marTop w:val="0"/>
      <w:marBottom w:val="0"/>
      <w:divBdr>
        <w:top w:val="none" w:sz="0" w:space="0" w:color="auto"/>
        <w:left w:val="none" w:sz="0" w:space="0" w:color="auto"/>
        <w:bottom w:val="none" w:sz="0" w:space="0" w:color="auto"/>
        <w:right w:val="none" w:sz="0" w:space="0" w:color="auto"/>
      </w:divBdr>
    </w:div>
    <w:div w:id="1761489674">
      <w:bodyDiv w:val="1"/>
      <w:marLeft w:val="0"/>
      <w:marRight w:val="0"/>
      <w:marTop w:val="0"/>
      <w:marBottom w:val="0"/>
      <w:divBdr>
        <w:top w:val="none" w:sz="0" w:space="0" w:color="auto"/>
        <w:left w:val="none" w:sz="0" w:space="0" w:color="auto"/>
        <w:bottom w:val="none" w:sz="0" w:space="0" w:color="auto"/>
        <w:right w:val="none" w:sz="0" w:space="0" w:color="auto"/>
      </w:divBdr>
    </w:div>
    <w:div w:id="1857885444">
      <w:bodyDiv w:val="1"/>
      <w:marLeft w:val="0"/>
      <w:marRight w:val="0"/>
      <w:marTop w:val="0"/>
      <w:marBottom w:val="0"/>
      <w:divBdr>
        <w:top w:val="none" w:sz="0" w:space="0" w:color="auto"/>
        <w:left w:val="none" w:sz="0" w:space="0" w:color="auto"/>
        <w:bottom w:val="none" w:sz="0" w:space="0" w:color="auto"/>
        <w:right w:val="none" w:sz="0" w:space="0" w:color="auto"/>
      </w:divBdr>
    </w:div>
    <w:div w:id="195428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m@tomwengraf.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news.artnet.com/art-world/banksy-hospital-donation-1854333" TargetMode="External"/><Relationship Id="rId5" Type="http://schemas.openxmlformats.org/officeDocument/2006/relationships/hyperlink" Target="https://www.nursingtimes.net/news/workforce/nation-urged-to-applaud-frontline-healthcare-staff-tackling-covid-19-26-03-20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6mBYPKG5H1KI5d2Qq7UTt3sC4g==">AMUW2mU2G+QuHx4h16vM0Krrpp6zUVts2lIU7lqn0+WfYM2rkU7R7OV7LcyptbB2y+oejjgDxvucNvDvRwmodd61y8/5Y1+zBct7yruWNxMkoKaTEbGYvFg1IS5iW6NJshC3pRvBP8Zs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Corbally</dc:creator>
  <cp:lastModifiedBy>Susan Flynn</cp:lastModifiedBy>
  <cp:revision>2</cp:revision>
  <dcterms:created xsi:type="dcterms:W3CDTF">2021-08-11T15:08:00Z</dcterms:created>
  <dcterms:modified xsi:type="dcterms:W3CDTF">2021-08-11T15:08:00Z</dcterms:modified>
</cp:coreProperties>
</file>