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E9D" w:rsidRPr="00996AB0" w:rsidRDefault="009C0E9D" w:rsidP="00732DEF">
      <w:pPr>
        <w:spacing w:line="480" w:lineRule="auto"/>
        <w:rPr>
          <w:rFonts w:ascii="Times New Roman" w:hAnsi="Times New Roman" w:cs="Times New Roman"/>
          <w:b/>
          <w:sz w:val="28"/>
          <w:szCs w:val="28"/>
        </w:rPr>
      </w:pPr>
      <w:r w:rsidRPr="00996AB0">
        <w:rPr>
          <w:rFonts w:ascii="Times New Roman" w:hAnsi="Times New Roman" w:cs="Times New Roman"/>
          <w:b/>
          <w:sz w:val="28"/>
          <w:szCs w:val="28"/>
        </w:rPr>
        <w:t>A Systems Approach to Policy Evaluation</w:t>
      </w:r>
    </w:p>
    <w:p w:rsidR="00996AB0" w:rsidRPr="00996AB0" w:rsidRDefault="00996AB0" w:rsidP="00732DEF">
      <w:pPr>
        <w:spacing w:line="480" w:lineRule="auto"/>
        <w:rPr>
          <w:rFonts w:ascii="Times New Roman" w:hAnsi="Times New Roman" w:cs="Times New Roman"/>
          <w:sz w:val="24"/>
          <w:szCs w:val="24"/>
        </w:rPr>
      </w:pPr>
      <w:r w:rsidRPr="00996AB0">
        <w:rPr>
          <w:rFonts w:ascii="Times New Roman" w:hAnsi="Times New Roman" w:cs="Times New Roman"/>
          <w:sz w:val="24"/>
          <w:szCs w:val="24"/>
        </w:rPr>
        <w:t>Dr. Louise Caffrey, School of Social Work &amp; Social Policy, Trinity College Dublin, Ireland.</w:t>
      </w:r>
    </w:p>
    <w:p w:rsidR="00996AB0" w:rsidRDefault="00996AB0" w:rsidP="00732DEF">
      <w:pPr>
        <w:spacing w:line="480" w:lineRule="auto"/>
        <w:rPr>
          <w:rFonts w:ascii="Times New Roman" w:hAnsi="Times New Roman" w:cs="Times New Roman"/>
          <w:sz w:val="24"/>
          <w:szCs w:val="24"/>
        </w:rPr>
      </w:pPr>
      <w:r w:rsidRPr="00996AB0">
        <w:rPr>
          <w:rFonts w:ascii="Times New Roman" w:hAnsi="Times New Roman" w:cs="Times New Roman"/>
          <w:sz w:val="24"/>
          <w:szCs w:val="24"/>
        </w:rPr>
        <w:t xml:space="preserve">Professor Eileen Munro, Department of Social Policy, London School of Economics </w:t>
      </w:r>
      <w:r>
        <w:rPr>
          <w:rFonts w:ascii="Times New Roman" w:hAnsi="Times New Roman" w:cs="Times New Roman"/>
          <w:sz w:val="24"/>
          <w:szCs w:val="24"/>
        </w:rPr>
        <w:t xml:space="preserve"> &amp; Political Science </w:t>
      </w:r>
      <w:r w:rsidRPr="00996AB0">
        <w:rPr>
          <w:rFonts w:ascii="Times New Roman" w:hAnsi="Times New Roman" w:cs="Times New Roman"/>
          <w:sz w:val="24"/>
          <w:szCs w:val="24"/>
        </w:rPr>
        <w:t xml:space="preserve">(LSE), UK. </w:t>
      </w:r>
    </w:p>
    <w:p w:rsidR="00C47437" w:rsidRPr="00996AB0" w:rsidRDefault="00C47437"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t xml:space="preserve">ABSTRACT </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There is growing interest in evaluating policy implementation in ways that grapple with the complexity of the process. This article offers an example of using systems methodology to explore how the child protection policy in child contact centres has functioned in practice. Rather than just asking the traditional evaluation question “is it working?” this study sought to understand how the policy was working and how it was interpreted as it interacted with other systems, producing conflicts, local variation and emergent effects. It illustrates how the systems concepts of ‘emergence’, ‘local rationality’, ‘socio-technical systems’ and ‘feedback for learning’ can contribute new knowledge and understanding to a complex policy evaluation problem.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b/>
          <w:sz w:val="24"/>
          <w:szCs w:val="24"/>
        </w:rPr>
        <w:t xml:space="preserve">KEY WORDS: </w:t>
      </w:r>
      <w:r w:rsidRPr="00732DEF">
        <w:rPr>
          <w:rFonts w:ascii="Times New Roman" w:hAnsi="Times New Roman" w:cs="Times New Roman"/>
          <w:sz w:val="24"/>
          <w:szCs w:val="24"/>
        </w:rPr>
        <w:t xml:space="preserve">Systems approaches, complex systems, policy evaluation, child protection </w:t>
      </w:r>
    </w:p>
    <w:p w:rsidR="009C0E9D" w:rsidRPr="00732DEF" w:rsidRDefault="009C0E9D" w:rsidP="00732DEF">
      <w:pPr>
        <w:spacing w:line="480" w:lineRule="auto"/>
        <w:rPr>
          <w:rFonts w:ascii="Times New Roman" w:hAnsi="Times New Roman" w:cs="Times New Roman"/>
          <w:b/>
          <w:sz w:val="24"/>
          <w:szCs w:val="24"/>
        </w:rPr>
      </w:pPr>
    </w:p>
    <w:p w:rsidR="009C0E9D" w:rsidRPr="00732DEF" w:rsidRDefault="009C0E9D" w:rsidP="00732DEF">
      <w:pPr>
        <w:spacing w:line="480" w:lineRule="auto"/>
        <w:rPr>
          <w:rFonts w:ascii="Times New Roman" w:hAnsi="Times New Roman" w:cs="Times New Roman"/>
          <w:b/>
          <w:sz w:val="24"/>
          <w:szCs w:val="24"/>
        </w:rPr>
      </w:pPr>
    </w:p>
    <w:p w:rsidR="009C0E9D" w:rsidRPr="00732DEF" w:rsidRDefault="009C0E9D" w:rsidP="00732DEF">
      <w:pPr>
        <w:spacing w:line="480" w:lineRule="auto"/>
        <w:rPr>
          <w:rFonts w:ascii="Times New Roman" w:hAnsi="Times New Roman" w:cs="Times New Roman"/>
          <w:b/>
          <w:sz w:val="24"/>
          <w:szCs w:val="24"/>
        </w:rPr>
      </w:pPr>
    </w:p>
    <w:p w:rsidR="009C0E9D" w:rsidRPr="00732DEF" w:rsidRDefault="009C0E9D" w:rsidP="00732DEF">
      <w:pPr>
        <w:spacing w:line="480" w:lineRule="auto"/>
        <w:rPr>
          <w:rFonts w:ascii="Times New Roman" w:hAnsi="Times New Roman" w:cs="Times New Roman"/>
          <w:b/>
          <w:sz w:val="24"/>
          <w:szCs w:val="24"/>
        </w:rPr>
      </w:pPr>
    </w:p>
    <w:p w:rsidR="009C0E9D" w:rsidRPr="00732DEF" w:rsidRDefault="009C0E9D" w:rsidP="00732DEF">
      <w:pPr>
        <w:spacing w:line="480" w:lineRule="auto"/>
        <w:rPr>
          <w:rFonts w:ascii="Times New Roman" w:hAnsi="Times New Roman" w:cs="Times New Roman"/>
          <w:b/>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lastRenderedPageBreak/>
        <w:t>INTRODUCTION</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There is increasing interest in evaluating policy implementation in ways that acknowledge and deal with the complexity of the process </w:t>
      </w:r>
      <w:r w:rsidRPr="00732DEF">
        <w:rPr>
          <w:rFonts w:ascii="Times New Roman" w:hAnsi="Times New Roman" w:cs="Times New Roman"/>
          <w:noProof/>
          <w:sz w:val="24"/>
          <w:szCs w:val="24"/>
        </w:rPr>
        <w:t>(Barnes et al., 2003; Byrne, 2013; Callaghan, 2008; Sanderson, 2000).</w:t>
      </w:r>
      <w:r w:rsidRPr="00732DEF">
        <w:rPr>
          <w:rFonts w:ascii="Times New Roman" w:hAnsi="Times New Roman" w:cs="Times New Roman"/>
          <w:sz w:val="24"/>
          <w:szCs w:val="24"/>
        </w:rPr>
        <w:t xml:space="preserve"> When policies are not implemented as expected, a common policy response is to introduce reforms </w:t>
      </w:r>
      <w:r w:rsidRPr="00065ADF">
        <w:rPr>
          <w:rFonts w:ascii="Times New Roman" w:hAnsi="Times New Roman" w:cs="Times New Roman"/>
          <w:sz w:val="24"/>
          <w:szCs w:val="24"/>
        </w:rPr>
        <w:t xml:space="preserve">aimed at more prescription and control of workers’ practice. This was a finding of the Munro Review </w:t>
      </w:r>
      <w:r w:rsidRPr="00065ADF">
        <w:rPr>
          <w:rFonts w:ascii="Times New Roman" w:hAnsi="Times New Roman" w:cs="Times New Roman"/>
          <w:noProof/>
          <w:sz w:val="24"/>
          <w:szCs w:val="24"/>
        </w:rPr>
        <w:t>(2011)</w:t>
      </w:r>
      <w:r w:rsidRPr="00065ADF">
        <w:rPr>
          <w:rFonts w:ascii="Times New Roman" w:hAnsi="Times New Roman" w:cs="Times New Roman"/>
          <w:sz w:val="24"/>
          <w:szCs w:val="24"/>
        </w:rPr>
        <w:t>,</w:t>
      </w:r>
      <w:r w:rsidRPr="00732DEF">
        <w:rPr>
          <w:rFonts w:ascii="Times New Roman" w:hAnsi="Times New Roman" w:cs="Times New Roman"/>
          <w:sz w:val="24"/>
          <w:szCs w:val="24"/>
        </w:rPr>
        <w:t xml:space="preserve"> which, at the request of the Government, reviewed the statutory child protection system in England. It is also in keeping with wider trends in public management over the past thirty years, characterised by ubiquitous evaluation aimed at checking that workers are following policy designs </w:t>
      </w:r>
      <w:r w:rsidRPr="00732DEF">
        <w:rPr>
          <w:rFonts w:ascii="Times New Roman" w:hAnsi="Times New Roman" w:cs="Times New Roman"/>
          <w:noProof/>
          <w:sz w:val="24"/>
          <w:szCs w:val="24"/>
        </w:rPr>
        <w:t>(Hood, 1991; Hood et al., 2015; Pollitt et al., 1999; Power, 1997)</w:t>
      </w:r>
      <w:r w:rsidRPr="00732DEF">
        <w:rPr>
          <w:rFonts w:ascii="Times New Roman" w:hAnsi="Times New Roman" w:cs="Times New Roman"/>
          <w:sz w:val="24"/>
          <w:szCs w:val="24"/>
        </w:rPr>
        <w:t xml:space="preserve">.  In this context, evaluation can come to typically embody a top-down approach, principally concerned to promote accountability and control through compliance with policy implementation targets and standards </w:t>
      </w:r>
      <w:r w:rsidRPr="00732DEF">
        <w:rPr>
          <w:rFonts w:ascii="Times New Roman" w:hAnsi="Times New Roman" w:cs="Times New Roman"/>
          <w:noProof/>
          <w:sz w:val="24"/>
          <w:szCs w:val="24"/>
        </w:rPr>
        <w:t>(Sanderson, 2000, p. 438)</w:t>
      </w:r>
      <w:r w:rsidRPr="00732DEF">
        <w:rPr>
          <w:rFonts w:ascii="Times New Roman" w:hAnsi="Times New Roman" w:cs="Times New Roman"/>
          <w:sz w:val="24"/>
          <w:szCs w:val="24"/>
        </w:rPr>
        <w:t xml:space="preserve">. Systems methodology, adopted in the Munro Review (2011) and in the case study research presented in this paper, provides an alternative way of thinking about policy implementation.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In this article we illustrate how a systems approach was used to understand how child protection policy in child contact centres was interpreted as it interacted with other systems, producing conflicts, local variation and emergent effects. Workers were viewed, not as individual, autonomous, rational actors, but as components of a socio-technical system, influenced by both overt and covert messages, the tools available to them and the interacting parts of the larger system they were operating in. The tools and prescription that had been introduced in order to address problematic practice were not assumed to have positive or neutral effects. Instead, these reforms were positioned as a component of the system and </w:t>
      </w:r>
      <w:r w:rsidRPr="00732DEF">
        <w:rPr>
          <w:rFonts w:ascii="Times New Roman" w:hAnsi="Times New Roman" w:cs="Times New Roman"/>
          <w:sz w:val="24"/>
          <w:szCs w:val="24"/>
        </w:rPr>
        <w:lastRenderedPageBreak/>
        <w:t xml:space="preserve">subject to analysis of their interacting effects. We use key findings from this study to illustrate how the systems concepts of ‘emergence’, ‘local rationality’, ‘socio-technical systems’ and ‘feedback for learning’ can contribute new knowledge and understanding to a complex policy evaluation problem.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t xml:space="preserve">SYSTEMS APPROACHES </w:t>
      </w:r>
    </w:p>
    <w:p w:rsidR="009C0E9D" w:rsidRPr="00732DEF" w:rsidRDefault="009C0E9D" w:rsidP="00732DEF">
      <w:pPr>
        <w:spacing w:line="480" w:lineRule="auto"/>
        <w:rPr>
          <w:rFonts w:ascii="Times New Roman" w:hAnsi="Times New Roman" w:cs="Times New Roman"/>
          <w:color w:val="2E2E2E"/>
          <w:sz w:val="24"/>
          <w:szCs w:val="24"/>
          <w:shd w:val="clear" w:color="auto" w:fill="FFFFFF"/>
        </w:rPr>
      </w:pPr>
      <w:r w:rsidRPr="00732DEF">
        <w:rPr>
          <w:rFonts w:ascii="Times New Roman" w:hAnsi="Times New Roman" w:cs="Times New Roman"/>
          <w:sz w:val="24"/>
          <w:szCs w:val="24"/>
        </w:rPr>
        <w:t xml:space="preserve">Systems approaches are a conceptual framework </w:t>
      </w:r>
      <w:r w:rsidRPr="00732DEF">
        <w:rPr>
          <w:rFonts w:ascii="Times New Roman" w:hAnsi="Times New Roman" w:cs="Times New Roman"/>
          <w:noProof/>
          <w:sz w:val="24"/>
          <w:szCs w:val="24"/>
        </w:rPr>
        <w:t>(Hummelbrunner, 2011)</w:t>
      </w:r>
      <w:r w:rsidRPr="00732DEF">
        <w:rPr>
          <w:rFonts w:ascii="Times New Roman" w:hAnsi="Times New Roman" w:cs="Times New Roman"/>
          <w:sz w:val="24"/>
          <w:szCs w:val="24"/>
        </w:rPr>
        <w:t>, a way of seeing the world that provides a language to communicate and investigate complex issues, including the evaluation of policy. Systems approaches encompass a broad church, spanning multiple disciplines</w:t>
      </w:r>
      <w:r w:rsidR="00EF2EC1">
        <w:rPr>
          <w:rFonts w:ascii="Times New Roman" w:hAnsi="Times New Roman" w:cs="Times New Roman"/>
          <w:sz w:val="24"/>
          <w:szCs w:val="24"/>
        </w:rPr>
        <w:t xml:space="preserve"> such as</w:t>
      </w:r>
      <w:r w:rsidRPr="00732DEF">
        <w:rPr>
          <w:rFonts w:ascii="Times New Roman" w:hAnsi="Times New Roman" w:cs="Times New Roman"/>
          <w:sz w:val="24"/>
          <w:szCs w:val="24"/>
        </w:rPr>
        <w:t xml:space="preserve">, General Systems Theory, developed by biologist, von Bertalanffy; Cybernetics, pioneered by Ashby, a psychiatrist and Bateson, an anthropologist; System Dynamics, developed by Forrester, a computer engineer; Soft Systems Methodology, devised by Checkland, a management scientist; as well as safety engineering systems approaches, pioneered by engineers, including Heinrich. These diverse schools are united by their focus on understanding how factors are connected to each other in a system: a set of things working together as a complex whole. They are also unified by the concept of emergence: that interactions between the parts of a system can produce ‘emergent’ properties that cannot be understood by examining each part in isolation. Systems approaches therefore focus on “functional abstraction rather than structural decomposition” </w:t>
      </w:r>
      <w:r w:rsidRPr="00732DEF">
        <w:rPr>
          <w:rFonts w:ascii="Times New Roman" w:hAnsi="Times New Roman" w:cs="Times New Roman"/>
          <w:noProof/>
          <w:sz w:val="24"/>
          <w:szCs w:val="24"/>
        </w:rPr>
        <w:t>(Rasmussen, 1997, p. 183)</w:t>
      </w:r>
      <w:r w:rsidRPr="00732DEF">
        <w:rPr>
          <w:rFonts w:ascii="Times New Roman" w:hAnsi="Times New Roman" w:cs="Times New Roman"/>
          <w:color w:val="2E2E2E"/>
          <w:sz w:val="24"/>
          <w:szCs w:val="24"/>
          <w:shd w:val="clear" w:color="auto" w:fill="FFFFFF"/>
        </w:rPr>
        <w:t xml:space="preserve">. The application of systems approaches to the field of evaluation has focused on the generic systems concepts of interrelations, perspectives and boundaries </w:t>
      </w:r>
      <w:r w:rsidRPr="00732DEF">
        <w:rPr>
          <w:rFonts w:ascii="Times New Roman" w:hAnsi="Times New Roman" w:cs="Times New Roman"/>
          <w:noProof/>
          <w:color w:val="2E2E2E"/>
          <w:sz w:val="24"/>
          <w:szCs w:val="24"/>
          <w:shd w:val="clear" w:color="auto" w:fill="FFFFFF"/>
        </w:rPr>
        <w:t>(Hummelbrunner, 2011; Midgley, 2007; Reynolds, 2014)</w:t>
      </w:r>
      <w:r w:rsidRPr="00732DEF">
        <w:rPr>
          <w:rFonts w:ascii="Times New Roman" w:hAnsi="Times New Roman" w:cs="Times New Roman"/>
          <w:color w:val="2E2E2E"/>
          <w:sz w:val="24"/>
          <w:szCs w:val="24"/>
          <w:shd w:val="clear" w:color="auto" w:fill="FFFFFF"/>
        </w:rPr>
        <w:t>. Reynolds (2014: 81) for example, suggest</w:t>
      </w:r>
      <w:r w:rsidR="00EF2EC1">
        <w:rPr>
          <w:rFonts w:ascii="Times New Roman" w:hAnsi="Times New Roman" w:cs="Times New Roman"/>
          <w:color w:val="2E2E2E"/>
          <w:sz w:val="24"/>
          <w:szCs w:val="24"/>
          <w:shd w:val="clear" w:color="auto" w:fill="FFFFFF"/>
        </w:rPr>
        <w:t>s</w:t>
      </w:r>
      <w:r w:rsidRPr="00732DEF">
        <w:rPr>
          <w:rFonts w:ascii="Times New Roman" w:hAnsi="Times New Roman" w:cs="Times New Roman"/>
          <w:color w:val="2E2E2E"/>
          <w:sz w:val="24"/>
          <w:szCs w:val="24"/>
          <w:shd w:val="clear" w:color="auto" w:fill="FFFFFF"/>
        </w:rPr>
        <w:t xml:space="preserve"> that in the context of evaluation, these concepts relate to “understanding interrelationships associated </w:t>
      </w:r>
      <w:r w:rsidRPr="00732DEF">
        <w:rPr>
          <w:rFonts w:ascii="Times New Roman" w:hAnsi="Times New Roman" w:cs="Times New Roman"/>
          <w:color w:val="2E2E2E"/>
          <w:sz w:val="24"/>
          <w:szCs w:val="24"/>
          <w:shd w:val="clear" w:color="auto" w:fill="FFFFFF"/>
        </w:rPr>
        <w:lastRenderedPageBreak/>
        <w:t xml:space="preserve">with a situation; engaging with contrasting perspectives regarding a situation; and reflecting on boundaries of such representations and interactions”. </w:t>
      </w:r>
    </w:p>
    <w:p w:rsidR="009C0E9D" w:rsidRPr="00732DEF" w:rsidRDefault="009C0E9D" w:rsidP="00732DEF">
      <w:pPr>
        <w:spacing w:line="480" w:lineRule="auto"/>
        <w:rPr>
          <w:rFonts w:ascii="Times New Roman" w:hAnsi="Times New Roman" w:cs="Times New Roman"/>
          <w:color w:val="2E2E2E"/>
          <w:sz w:val="24"/>
          <w:szCs w:val="24"/>
          <w:shd w:val="clear" w:color="auto" w:fill="FFFFFF"/>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Systems approaches make a unique contribution </w:t>
      </w:r>
      <w:r w:rsidR="00EF2EC1">
        <w:rPr>
          <w:rFonts w:ascii="Times New Roman" w:hAnsi="Times New Roman" w:cs="Times New Roman"/>
          <w:sz w:val="24"/>
          <w:szCs w:val="24"/>
        </w:rPr>
        <w:t xml:space="preserve">to evaluation methodology </w:t>
      </w:r>
      <w:r w:rsidRPr="00732DEF">
        <w:rPr>
          <w:rFonts w:ascii="Times New Roman" w:hAnsi="Times New Roman" w:cs="Times New Roman"/>
          <w:sz w:val="24"/>
          <w:szCs w:val="24"/>
        </w:rPr>
        <w:t xml:space="preserve">through the systems concepts they provide and authors from other schools of thought have acknowledged the usefulness of systems concepts </w:t>
      </w:r>
      <w:r w:rsidRPr="00732DEF">
        <w:rPr>
          <w:rFonts w:ascii="Times New Roman" w:hAnsi="Times New Roman" w:cs="Times New Roman"/>
          <w:noProof/>
          <w:sz w:val="24"/>
          <w:szCs w:val="24"/>
        </w:rPr>
        <w:t>(Cartwright et al., 2012; Pawson, 2013)</w:t>
      </w:r>
      <w:r w:rsidRPr="00732DEF">
        <w:rPr>
          <w:rFonts w:ascii="Times New Roman" w:hAnsi="Times New Roman" w:cs="Times New Roman"/>
          <w:sz w:val="24"/>
          <w:szCs w:val="24"/>
        </w:rPr>
        <w:t xml:space="preserve">. However, systems approaches for evaluation have also been critiqued as too “wordy” and too abstracted </w:t>
      </w:r>
      <w:r w:rsidRPr="00732DEF">
        <w:rPr>
          <w:rFonts w:ascii="Times New Roman" w:hAnsi="Times New Roman" w:cs="Times New Roman"/>
          <w:noProof/>
          <w:sz w:val="24"/>
          <w:szCs w:val="24"/>
        </w:rPr>
        <w:t>(Pawson, 2013)</w:t>
      </w:r>
      <w:r w:rsidRPr="00732DEF">
        <w:rPr>
          <w:rFonts w:ascii="Times New Roman" w:hAnsi="Times New Roman" w:cs="Times New Roman"/>
          <w:sz w:val="24"/>
          <w:szCs w:val="24"/>
        </w:rPr>
        <w:t xml:space="preserve">. May (2006) argued that systems approaches, “[fit] well with analysis at a macro-level, but…struggle with the business of accounting for action at a micro-level” and that they may lead to “paralyzing uncertainty about the unpredictable consequences of intervening in a complex system” </w:t>
      </w:r>
      <w:r w:rsidRPr="00732DEF">
        <w:rPr>
          <w:rFonts w:ascii="Times New Roman" w:hAnsi="Times New Roman" w:cs="Times New Roman"/>
          <w:noProof/>
          <w:sz w:val="24"/>
          <w:szCs w:val="24"/>
        </w:rPr>
        <w:t>(May, 2006, p. 2)</w:t>
      </w:r>
      <w:r w:rsidRPr="00732DEF">
        <w:rPr>
          <w:rFonts w:ascii="Times New Roman" w:hAnsi="Times New Roman" w:cs="Times New Roman"/>
          <w:sz w:val="24"/>
          <w:szCs w:val="24"/>
        </w:rPr>
        <w:t xml:space="preserve">. Further it has been argued that systems approaches can result in misguided and risky attribution of all responsibility to systems </w:t>
      </w:r>
      <w:r w:rsidRPr="00732DEF">
        <w:rPr>
          <w:rFonts w:ascii="Times New Roman" w:hAnsi="Times New Roman" w:cs="Times New Roman"/>
          <w:noProof/>
          <w:sz w:val="24"/>
          <w:szCs w:val="24"/>
        </w:rPr>
        <w:t>(Aveling et al., 2015; Wachter et al., 2009)</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The systems approach we adopt here for the purpose of policy evaluation is based on safety engineering systems. It was originally developed to improve safety and reduce human error in high-risk industries, including aviation and nuclear power. In this context, systems approaches were innovated to conceptually lift investigations of accidents beyond the finding that individuals were at fault, to provide a framework for investigating and understanding how the context individuals were operating in may have enabled or constrained certain behaviour that contributed to the accident</w:t>
      </w:r>
      <w:r w:rsidR="00EF2EC1">
        <w:rPr>
          <w:rFonts w:ascii="Times New Roman" w:hAnsi="Times New Roman" w:cs="Times New Roman"/>
          <w:sz w:val="24"/>
          <w:szCs w:val="24"/>
        </w:rPr>
        <w:t xml:space="preserve"> </w:t>
      </w:r>
      <w:r w:rsidR="00EF2EC1" w:rsidRPr="00732DEF">
        <w:rPr>
          <w:rFonts w:ascii="Times New Roman" w:hAnsi="Times New Roman" w:cs="Times New Roman"/>
          <w:noProof/>
          <w:sz w:val="24"/>
          <w:szCs w:val="24"/>
        </w:rPr>
        <w:t>(Dekker, Cilliers, &amp; Hofmeyr, 2011)</w:t>
      </w:r>
      <w:r w:rsidR="00EF2EC1">
        <w:rPr>
          <w:rFonts w:ascii="Times New Roman" w:hAnsi="Times New Roman" w:cs="Times New Roman"/>
          <w:sz w:val="24"/>
          <w:szCs w:val="24"/>
        </w:rPr>
        <w:t xml:space="preserve">. </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The systems approach challenged the dominant safety paradigm, which was based on, what has been labelled, ‘hard’ systems thinking of the 1950’s and 1960’s. ‘Hard’ systems thinking </w:t>
      </w:r>
      <w:r w:rsidRPr="00732DEF">
        <w:rPr>
          <w:rFonts w:ascii="Times New Roman" w:hAnsi="Times New Roman" w:cs="Times New Roman"/>
          <w:sz w:val="24"/>
          <w:szCs w:val="24"/>
        </w:rPr>
        <w:lastRenderedPageBreak/>
        <w:t xml:space="preserve">assumes that problems are well-defined and that systems can be engineered and controlled to achieve objectives </w:t>
      </w:r>
      <w:r w:rsidRPr="00732DEF">
        <w:rPr>
          <w:rFonts w:ascii="Times New Roman" w:hAnsi="Times New Roman" w:cs="Times New Roman"/>
          <w:noProof/>
          <w:sz w:val="24"/>
          <w:szCs w:val="24"/>
        </w:rPr>
        <w:t>(Checkland, 1989)</w:t>
      </w:r>
      <w:r w:rsidRPr="00732DEF">
        <w:rPr>
          <w:rFonts w:ascii="Times New Roman" w:hAnsi="Times New Roman" w:cs="Times New Roman"/>
          <w:sz w:val="24"/>
          <w:szCs w:val="24"/>
        </w:rPr>
        <w:t xml:space="preserve">. From a safety engineering perspective, the focus in ‘hard’ systems thinking is therefore to search for ways to keep human performance within prescribed boundaries of systems that are assumed to otherwise be safe </w:t>
      </w:r>
      <w:r w:rsidRPr="00732DEF">
        <w:rPr>
          <w:rFonts w:ascii="Times New Roman" w:hAnsi="Times New Roman" w:cs="Times New Roman"/>
          <w:noProof/>
          <w:sz w:val="24"/>
          <w:szCs w:val="24"/>
        </w:rPr>
        <w:t>(Dekker, Cilliers, &amp; Hofmeyr, 2011)</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By contrast the new paradigm, which fits within the broad category of ‘soft’ systems thinking </w:t>
      </w:r>
      <w:r w:rsidRPr="00732DEF">
        <w:rPr>
          <w:rFonts w:ascii="Times New Roman" w:hAnsi="Times New Roman" w:cs="Times New Roman"/>
          <w:noProof/>
          <w:sz w:val="24"/>
          <w:szCs w:val="24"/>
        </w:rPr>
        <w:t>(Checkland, 1989)</w:t>
      </w:r>
      <w:r w:rsidRPr="00732DEF">
        <w:rPr>
          <w:rFonts w:ascii="Times New Roman" w:hAnsi="Times New Roman" w:cs="Times New Roman"/>
          <w:sz w:val="24"/>
          <w:szCs w:val="24"/>
        </w:rPr>
        <w:t xml:space="preserve">, assumes that safety and accidents are the products of inherently complex, adaptive systems in which causality is non-linear and outcomes are unpredictable </w:t>
      </w:r>
      <w:r w:rsidRPr="00732DEF">
        <w:rPr>
          <w:rFonts w:ascii="Times New Roman" w:hAnsi="Times New Roman" w:cs="Times New Roman"/>
          <w:noProof/>
          <w:sz w:val="24"/>
          <w:szCs w:val="24"/>
        </w:rPr>
        <w:t>(Dekker et al., 2011)</w:t>
      </w:r>
      <w:r w:rsidRPr="00732DEF">
        <w:rPr>
          <w:rFonts w:ascii="Times New Roman" w:hAnsi="Times New Roman" w:cs="Times New Roman"/>
          <w:sz w:val="24"/>
          <w:szCs w:val="24"/>
        </w:rPr>
        <w:t xml:space="preserve">. This new approach is therefore critical of “rule-following” safety approaches that, in the wake of failure, focus on introducing new procedures or enforcing existing ones </w:t>
      </w:r>
      <w:r w:rsidRPr="00732DEF">
        <w:rPr>
          <w:rFonts w:ascii="Times New Roman" w:hAnsi="Times New Roman" w:cs="Times New Roman"/>
          <w:noProof/>
          <w:sz w:val="24"/>
          <w:szCs w:val="24"/>
        </w:rPr>
        <w:t>(Dekker, 2003)</w:t>
      </w:r>
      <w:r w:rsidRPr="00732DEF">
        <w:rPr>
          <w:rFonts w:ascii="Times New Roman" w:hAnsi="Times New Roman" w:cs="Times New Roman"/>
          <w:sz w:val="24"/>
          <w:szCs w:val="24"/>
        </w:rPr>
        <w:t xml:space="preserve">. From this perspective, evaluation must logically go beyond examining compliance. The idea instead is to understand ‘the relationships and roles of individuals </w:t>
      </w:r>
      <w:r w:rsidRPr="00732DEF">
        <w:rPr>
          <w:rFonts w:ascii="Times New Roman" w:hAnsi="Times New Roman" w:cs="Times New Roman"/>
          <w:i/>
          <w:sz w:val="24"/>
          <w:szCs w:val="24"/>
        </w:rPr>
        <w:t xml:space="preserve">in </w:t>
      </w:r>
      <w:r w:rsidRPr="00732DEF">
        <w:rPr>
          <w:rFonts w:ascii="Times New Roman" w:hAnsi="Times New Roman" w:cs="Times New Roman"/>
          <w:sz w:val="24"/>
          <w:szCs w:val="24"/>
        </w:rPr>
        <w:t xml:space="preserve">systems’ </w:t>
      </w:r>
      <w:r w:rsidRPr="00732DEF">
        <w:rPr>
          <w:rFonts w:ascii="Times New Roman" w:hAnsi="Times New Roman" w:cs="Times New Roman"/>
          <w:noProof/>
          <w:sz w:val="24"/>
          <w:szCs w:val="24"/>
        </w:rPr>
        <w:t>(Dekker, 2007b)</w:t>
      </w:r>
      <w:r w:rsidRPr="00732DEF">
        <w:rPr>
          <w:rFonts w:ascii="Times New Roman" w:hAnsi="Times New Roman" w:cs="Times New Roman"/>
          <w:sz w:val="24"/>
          <w:szCs w:val="24"/>
        </w:rPr>
        <w:t xml:space="preserve"> and thereby to see human error as a symptom of problems at a deeper level </w:t>
      </w:r>
      <w:r w:rsidRPr="00732DEF">
        <w:rPr>
          <w:rFonts w:ascii="Times New Roman" w:hAnsi="Times New Roman" w:cs="Times New Roman"/>
          <w:noProof/>
          <w:sz w:val="24"/>
          <w:szCs w:val="24"/>
        </w:rPr>
        <w:t xml:space="preserve">(Cook et al., 1998; Dekker, 2002; Helmreich, 2000; Leveson, 2004; Rasmussen, 2003; Reason, 2000; Woods et al., </w:t>
      </w:r>
      <w:r w:rsidR="00EF2EC1">
        <w:rPr>
          <w:rFonts w:ascii="Times New Roman" w:hAnsi="Times New Roman" w:cs="Times New Roman"/>
          <w:noProof/>
          <w:sz w:val="24"/>
          <w:szCs w:val="24"/>
        </w:rPr>
        <w:t xml:space="preserve">2006; </w:t>
      </w:r>
      <w:r w:rsidRPr="00732DEF">
        <w:rPr>
          <w:rFonts w:ascii="Times New Roman" w:hAnsi="Times New Roman" w:cs="Times New Roman"/>
          <w:noProof/>
          <w:sz w:val="24"/>
          <w:szCs w:val="24"/>
        </w:rPr>
        <w:t>Dekker et al., 2011; Hollnagel, Woods, &amp; Leveson, 2007)</w:t>
      </w:r>
      <w:r w:rsidRPr="00732DEF">
        <w:rPr>
          <w:rFonts w:ascii="Times New Roman" w:hAnsi="Times New Roman" w:cs="Times New Roman"/>
          <w:sz w:val="24"/>
          <w:szCs w:val="24"/>
        </w:rPr>
        <w:t xml:space="preserve">. </w:t>
      </w:r>
    </w:p>
    <w:p w:rsidR="00997AD9" w:rsidRPr="00DA7C7C" w:rsidRDefault="00997AD9" w:rsidP="00732DEF">
      <w:pPr>
        <w:spacing w:line="480" w:lineRule="auto"/>
        <w:rPr>
          <w:rFonts w:ascii="Times New Roman" w:hAnsi="Times New Roman" w:cs="Times New Roman"/>
          <w:sz w:val="24"/>
          <w:szCs w:val="24"/>
          <w:lang w:val="en-IE"/>
        </w:rPr>
      </w:pPr>
    </w:p>
    <w:p w:rsidR="009C0E9D" w:rsidRPr="00732DEF" w:rsidRDefault="009C0E9D" w:rsidP="00732DEF">
      <w:pPr>
        <w:spacing w:line="480" w:lineRule="auto"/>
        <w:rPr>
          <w:rFonts w:ascii="Times New Roman" w:hAnsi="Times New Roman" w:cs="Times New Roman"/>
          <w:sz w:val="24"/>
          <w:szCs w:val="24"/>
          <w:highlight w:val="yellow"/>
        </w:rPr>
      </w:pPr>
      <w:r w:rsidRPr="00732DEF">
        <w:rPr>
          <w:rFonts w:ascii="Times New Roman" w:hAnsi="Times New Roman" w:cs="Times New Roman"/>
          <w:sz w:val="24"/>
          <w:szCs w:val="24"/>
        </w:rPr>
        <w:t xml:space="preserve">This safety engineering systems literature has been adopted in the field of child protection to understand factors enabling and constraining the behaviour of practitioners’ every day practice </w:t>
      </w:r>
      <w:r w:rsidRPr="00732DEF">
        <w:rPr>
          <w:rFonts w:ascii="Times New Roman" w:hAnsi="Times New Roman" w:cs="Times New Roman"/>
          <w:noProof/>
          <w:sz w:val="24"/>
          <w:szCs w:val="24"/>
        </w:rPr>
        <w:t>(Fish, Munro, &amp; Bairstow, 2008; Munro, 2005b).</w:t>
      </w:r>
      <w:r w:rsidRPr="00732DEF">
        <w:rPr>
          <w:rFonts w:ascii="Times New Roman" w:hAnsi="Times New Roman" w:cs="Times New Roman"/>
          <w:sz w:val="24"/>
          <w:szCs w:val="24"/>
        </w:rPr>
        <w:t xml:space="preserve"> An innovative approach blending systems concepts was subsequently used in the Munro Review of </w:t>
      </w:r>
      <w:r w:rsidR="00997AD9">
        <w:rPr>
          <w:rFonts w:ascii="Times New Roman" w:hAnsi="Times New Roman" w:cs="Times New Roman"/>
          <w:sz w:val="24"/>
          <w:szCs w:val="24"/>
        </w:rPr>
        <w:t>child p</w:t>
      </w:r>
      <w:r w:rsidRPr="00732DEF">
        <w:rPr>
          <w:rFonts w:ascii="Times New Roman" w:hAnsi="Times New Roman" w:cs="Times New Roman"/>
          <w:sz w:val="24"/>
          <w:szCs w:val="24"/>
        </w:rPr>
        <w:t xml:space="preserve">rotection </w:t>
      </w:r>
      <w:r w:rsidR="00997AD9">
        <w:rPr>
          <w:rFonts w:ascii="Times New Roman" w:hAnsi="Times New Roman" w:cs="Times New Roman"/>
          <w:sz w:val="24"/>
          <w:szCs w:val="24"/>
        </w:rPr>
        <w:t xml:space="preserve">in England </w:t>
      </w:r>
      <w:r w:rsidRPr="00732DEF">
        <w:rPr>
          <w:rFonts w:ascii="Times New Roman" w:hAnsi="Times New Roman" w:cs="Times New Roman"/>
          <w:sz w:val="24"/>
          <w:szCs w:val="24"/>
        </w:rPr>
        <w:t xml:space="preserve">to </w:t>
      </w:r>
      <w:r w:rsidRPr="00732DEF">
        <w:rPr>
          <w:rFonts w:ascii="Times New Roman" w:hAnsi="Times New Roman" w:cs="Times New Roman"/>
          <w:color w:val="2E2E2E"/>
          <w:sz w:val="24"/>
          <w:szCs w:val="24"/>
          <w:shd w:val="clear" w:color="auto" w:fill="FFFFFF"/>
        </w:rPr>
        <w:t xml:space="preserve">investigate unintended consequences of policies and why well-intentioned reforms failed to elicit the intended improvements </w:t>
      </w:r>
      <w:r w:rsidRPr="00732DEF">
        <w:rPr>
          <w:rFonts w:ascii="Times New Roman" w:hAnsi="Times New Roman" w:cs="Times New Roman"/>
          <w:noProof/>
          <w:color w:val="2E2E2E"/>
          <w:sz w:val="24"/>
          <w:szCs w:val="24"/>
          <w:shd w:val="clear" w:color="auto" w:fill="FFFFFF"/>
        </w:rPr>
        <w:t>(Lane, Munro, &amp; Husemann, 2016; Munro, 2011)</w:t>
      </w:r>
      <w:r w:rsidRPr="00732DEF">
        <w:rPr>
          <w:rFonts w:ascii="Times New Roman" w:hAnsi="Times New Roman" w:cs="Times New Roman"/>
          <w:color w:val="2E2E2E"/>
          <w:sz w:val="24"/>
          <w:szCs w:val="24"/>
          <w:shd w:val="clear" w:color="auto" w:fill="FFFFFF"/>
        </w:rPr>
        <w:t xml:space="preserve">. </w:t>
      </w:r>
      <w:r w:rsidRPr="00732DEF">
        <w:rPr>
          <w:rFonts w:ascii="Times New Roman" w:hAnsi="Times New Roman" w:cs="Times New Roman"/>
          <w:sz w:val="24"/>
          <w:szCs w:val="24"/>
        </w:rPr>
        <w:t xml:space="preserve">Our </w:t>
      </w:r>
      <w:r w:rsidRPr="00732DEF">
        <w:rPr>
          <w:rFonts w:ascii="Times New Roman" w:hAnsi="Times New Roman" w:cs="Times New Roman"/>
          <w:sz w:val="24"/>
          <w:szCs w:val="24"/>
        </w:rPr>
        <w:lastRenderedPageBreak/>
        <w:t xml:space="preserve">article contributes to this literature by illustrating how safety engineering systems concepts can contribute new knowledge and understanding to a complex policy evaluation problem. This systems approach provides clear concepts and focuses analysis at the system-level but by no means ignores the individual. As our example demonstrates, it can be used to provide an explicit framework to understand the dynamic properties of the context into which a policy is introduced and the influence of it on policy outcomes. </w:t>
      </w:r>
    </w:p>
    <w:p w:rsidR="009C0E9D" w:rsidRPr="00732DEF" w:rsidRDefault="009C0E9D" w:rsidP="00732DEF">
      <w:pPr>
        <w:spacing w:line="480" w:lineRule="auto"/>
        <w:rPr>
          <w:rFonts w:ascii="ff6" w:eastAsia="Times New Roman" w:hAnsi="ff6" w:cs="Times New Roman"/>
          <w:color w:val="231F20"/>
          <w:spacing w:val="-20"/>
          <w:sz w:val="24"/>
          <w:szCs w:val="24"/>
          <w:lang w:eastAsia="en-GB"/>
        </w:rPr>
      </w:pPr>
    </w:p>
    <w:p w:rsidR="009C0E9D"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The application of systems approaches to evaluation can be categorised as a form of theory-based evaluation in the same family as, for example, Theories of Change </w:t>
      </w:r>
      <w:r w:rsidRPr="00732DEF">
        <w:rPr>
          <w:rFonts w:ascii="Times New Roman" w:hAnsi="Times New Roman" w:cs="Times New Roman"/>
          <w:noProof/>
          <w:sz w:val="24"/>
          <w:szCs w:val="24"/>
        </w:rPr>
        <w:t>(Weiss, 1995)</w:t>
      </w:r>
      <w:r w:rsidRPr="00732DEF">
        <w:rPr>
          <w:rFonts w:ascii="Times New Roman" w:hAnsi="Times New Roman" w:cs="Times New Roman"/>
          <w:sz w:val="24"/>
          <w:szCs w:val="24"/>
        </w:rPr>
        <w:t xml:space="preserve"> and Realist Evaluation </w:t>
      </w:r>
      <w:r w:rsidRPr="00732DEF">
        <w:rPr>
          <w:rFonts w:ascii="Times New Roman" w:hAnsi="Times New Roman" w:cs="Times New Roman"/>
          <w:noProof/>
          <w:sz w:val="24"/>
          <w:szCs w:val="24"/>
        </w:rPr>
        <w:t>(Pawson &amp; Tilley, 1997)</w:t>
      </w:r>
      <w:r w:rsidRPr="00732DEF">
        <w:rPr>
          <w:rFonts w:ascii="Times New Roman" w:hAnsi="Times New Roman" w:cs="Times New Roman"/>
          <w:sz w:val="24"/>
          <w:szCs w:val="24"/>
        </w:rPr>
        <w:t xml:space="preserve">. In keeping with other theory-based methodologies it emphasises theory, rather than simply methods, as the basis of ‘good’ evaluation and in this respect contradicts the current evidence-based policy framework. It also differs from the dominant paradigm in its focus, not on the ‘black box’ of descriptive, intended outcomes but on explanations of the process of how policy works (or fails) and how it is interpreted as it interacts with other systems, producing conflicts, local variation and emergent effects. Therefore, while traditional evaluation approaches are concerned with assessing compliance with defined objectives the systems approach is a learning system </w:t>
      </w:r>
      <w:r w:rsidRPr="00732DEF">
        <w:rPr>
          <w:rFonts w:ascii="Times New Roman" w:hAnsi="Times New Roman" w:cs="Times New Roman"/>
          <w:noProof/>
          <w:sz w:val="24"/>
          <w:szCs w:val="24"/>
        </w:rPr>
        <w:t>(Dekker et al., 2011)</w:t>
      </w:r>
      <w:r w:rsidRPr="00732DEF">
        <w:rPr>
          <w:rFonts w:ascii="Times New Roman" w:hAnsi="Times New Roman" w:cs="Times New Roman"/>
          <w:sz w:val="24"/>
          <w:szCs w:val="24"/>
        </w:rPr>
        <w:t xml:space="preserve">.  </w:t>
      </w:r>
    </w:p>
    <w:p w:rsidR="00997AD9" w:rsidRPr="00732DEF" w:rsidRDefault="00997AD9"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t>CASE STUDY</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Government policy in England stipulates that all organisations that work with children should protect them from maltreatment</w:t>
      </w:r>
      <w:r w:rsidR="00267BD1">
        <w:rPr>
          <w:rFonts w:ascii="Times New Roman" w:hAnsi="Times New Roman" w:cs="Times New Roman"/>
          <w:sz w:val="24"/>
          <w:szCs w:val="24"/>
        </w:rPr>
        <w:t xml:space="preserve"> </w:t>
      </w:r>
      <w:r w:rsidR="00267BD1">
        <w:rPr>
          <w:rFonts w:ascii="Times New Roman" w:hAnsi="Times New Roman" w:cs="Times New Roman"/>
          <w:sz w:val="24"/>
          <w:szCs w:val="24"/>
        </w:rPr>
        <w:fldChar w:fldCharType="begin"/>
      </w:r>
      <w:r w:rsidR="00267BD1">
        <w:rPr>
          <w:rFonts w:ascii="Times New Roman" w:hAnsi="Times New Roman" w:cs="Times New Roman"/>
          <w:sz w:val="24"/>
          <w:szCs w:val="24"/>
        </w:rPr>
        <w:instrText xml:space="preserve"> ADDIN EN.CITE &lt;EndNote&gt;&lt;Cite&gt;&lt;Author&gt;HM Government&lt;/Author&gt;&lt;Year&gt;2010&lt;/Year&gt;&lt;RecNum&gt;266&lt;/RecNum&gt;&lt;DisplayText&gt;(HM Government, 2010, 2013)&lt;/DisplayText&gt;&lt;record&gt;&lt;rec-number&gt;266&lt;/rec-number&gt;&lt;foreign-keys&gt;&lt;key app="EN" db-id="5t2sftxw1fw90qerf23xr0xzaw2t9x2tfeze" timestamp="0"&gt;266&lt;/key&gt;&lt;/foreign-keys&gt;&lt;ref-type name="Book"&gt;6&lt;/ref-type&gt;&lt;contributors&gt;&lt;authors&gt;&lt;author&gt;HM Government,&lt;/author&gt;&lt;/authors&gt;&lt;/contributors&gt;&lt;titles&gt;&lt;title&gt;Working Together to Safeguard Children: A guide to inter-agency working to safeguard and promote the welfare of children&lt;/title&gt;&lt;/titles&gt;&lt;keywords&gt;&lt;keyword&gt;law&lt;/keyword&gt;&lt;keyword&gt;guidance&lt;/keyword&gt;&lt;/keywords&gt;&lt;dates&gt;&lt;year&gt;2010&lt;/year&gt;&lt;/dates&gt;&lt;pub-location&gt;London&lt;/pub-location&gt;&lt;publisher&gt;DCSF&lt;/publisher&gt;&lt;urls&gt;&lt;related-urls&gt;&lt;url&gt;https://www.education.gov.uk/publications/standard/publicationDetail/Page1/DCSF-00305-2010&lt;/url&gt;&lt;/related-urls&gt;&lt;/urls&gt;&lt;/record&gt;&lt;/Cite&gt;&lt;Cite&gt;&lt;Author&gt;HM Government&lt;/Author&gt;&lt;Year&gt;2013&lt;/Year&gt;&lt;RecNum&gt;739&lt;/RecNum&gt;&lt;record&gt;&lt;rec-number&gt;739&lt;/rec-number&gt;&lt;foreign-keys&gt;&lt;key app="EN" db-id="5t2sftxw1fw90qerf23xr0xzaw2t9x2tfeze" timestamp="0"&gt;739&lt;/key&gt;&lt;/foreign-keys&gt;&lt;ref-type name="Book"&gt;6&lt;/ref-type&gt;&lt;contributors&gt;&lt;authors&gt;&lt;author&gt;HM Government,&lt;/author&gt;&lt;/authors&gt;&lt;/contributors&gt;&lt;titles&gt;&lt;title&gt;Working Together to Safeguard Children: A guide to inter-agency working to safeguard and promote the welfare of children&lt;/title&gt;&lt;/titles&gt;&lt;keywords&gt;&lt;keyword&gt;law&lt;/keyword&gt;&lt;keyword&gt;guidance&lt;/keyword&gt;&lt;/keywords&gt;&lt;dates&gt;&lt;year&gt;2013&lt;/year&gt;&lt;/dates&gt;&lt;pub-location&gt;London&lt;/pub-location&gt;&lt;publisher&gt;Department for Education&lt;/publisher&gt;&lt;urls&gt;&lt;related-urls&gt;&lt;url&gt;https://www.education.gov.uk/publications/standard/publicationDetail/Page1/DCSF-00305-2010&lt;/url&gt;&lt;/related-urls&gt;&lt;/urls&gt;&lt;/record&gt;&lt;/Cite&gt;&lt;/EndNote&gt;</w:instrText>
      </w:r>
      <w:r w:rsidR="00267BD1">
        <w:rPr>
          <w:rFonts w:ascii="Times New Roman" w:hAnsi="Times New Roman" w:cs="Times New Roman"/>
          <w:sz w:val="24"/>
          <w:szCs w:val="24"/>
        </w:rPr>
        <w:fldChar w:fldCharType="separate"/>
      </w:r>
      <w:r w:rsidR="00267BD1">
        <w:rPr>
          <w:rFonts w:ascii="Times New Roman" w:hAnsi="Times New Roman" w:cs="Times New Roman"/>
          <w:noProof/>
          <w:sz w:val="24"/>
          <w:szCs w:val="24"/>
        </w:rPr>
        <w:t>(HM Government, 2010, 2013)</w:t>
      </w:r>
      <w:r w:rsidR="00267BD1">
        <w:rPr>
          <w:rFonts w:ascii="Times New Roman" w:hAnsi="Times New Roman" w:cs="Times New Roman"/>
          <w:sz w:val="24"/>
          <w:szCs w:val="24"/>
        </w:rPr>
        <w:fldChar w:fldCharType="end"/>
      </w:r>
      <w:r w:rsidRPr="00732DEF">
        <w:rPr>
          <w:rFonts w:ascii="Times New Roman" w:hAnsi="Times New Roman" w:cs="Times New Roman"/>
          <w:sz w:val="24"/>
          <w:szCs w:val="24"/>
        </w:rPr>
        <w:t xml:space="preserve">. Child contact centres in England were originally set up to provide an attractive venue in which children could spend time with a parent who no longer lived with them but, increasingly, they have been used to </w:t>
      </w:r>
      <w:r w:rsidRPr="00732DEF">
        <w:rPr>
          <w:rFonts w:ascii="Times New Roman" w:hAnsi="Times New Roman" w:cs="Times New Roman"/>
          <w:sz w:val="24"/>
          <w:szCs w:val="24"/>
        </w:rPr>
        <w:lastRenderedPageBreak/>
        <w:t>provide a meeting place when there is some level of concern about the child’s safety if they meet unsupervis</w:t>
      </w:r>
      <w:r w:rsidR="00267BD1">
        <w:rPr>
          <w:rFonts w:ascii="Times New Roman" w:hAnsi="Times New Roman" w:cs="Times New Roman"/>
          <w:sz w:val="24"/>
          <w:szCs w:val="24"/>
        </w:rPr>
        <w:t xml:space="preserve">ed. Centres are of two types:  </w:t>
      </w:r>
      <w:r w:rsidRPr="00732DEF">
        <w:rPr>
          <w:rFonts w:ascii="Times New Roman" w:hAnsi="Times New Roman" w:cs="Times New Roman"/>
          <w:sz w:val="24"/>
          <w:szCs w:val="24"/>
        </w:rPr>
        <w:t xml:space="preserve">‘supported services’, provide a low level of vigilance and ‘supervised services’ provide a high level. Centres are largely run by voluntary sector agencies, with some private providers. However, most centres in England receive public sector funding and take referrals from public sector agencies such as the Family Justice System and Children’s Social Care.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Previous research demonstrated persistent problems in child protection practice in child contact centres in England </w:t>
      </w:r>
      <w:r w:rsidRPr="00732DEF">
        <w:rPr>
          <w:rFonts w:ascii="Times New Roman" w:hAnsi="Times New Roman" w:cs="Times New Roman"/>
          <w:noProof/>
          <w:sz w:val="24"/>
          <w:szCs w:val="24"/>
        </w:rPr>
        <w:t>(Aris et al., 2002; Harrison, 2008; Thiara et al., 2012)</w:t>
      </w:r>
      <w:r w:rsidRPr="00732DEF">
        <w:rPr>
          <w:rFonts w:ascii="Times New Roman" w:hAnsi="Times New Roman" w:cs="Times New Roman"/>
          <w:sz w:val="24"/>
          <w:szCs w:val="24"/>
        </w:rPr>
        <w:t xml:space="preserve">. In response to concerns, a series of reforms were introduced. These included, Protocols for Referral for solicitors and judges, which were introduced in 2000 and revised in 2010 </w:t>
      </w:r>
      <w:r w:rsidRPr="00732DEF">
        <w:rPr>
          <w:rFonts w:ascii="Times New Roman" w:hAnsi="Times New Roman" w:cs="Times New Roman"/>
          <w:noProof/>
          <w:sz w:val="24"/>
          <w:szCs w:val="24"/>
        </w:rPr>
        <w:t>(NACCC, 2010)</w:t>
      </w:r>
      <w:r w:rsidRPr="00732DEF">
        <w:rPr>
          <w:rFonts w:ascii="Times New Roman" w:hAnsi="Times New Roman" w:cs="Times New Roman"/>
          <w:sz w:val="24"/>
          <w:szCs w:val="24"/>
        </w:rPr>
        <w:t xml:space="preserve">. The introduction, in 2004/5 of a national </w:t>
      </w:r>
      <w:r w:rsidRPr="00267BD1">
        <w:rPr>
          <w:rFonts w:ascii="Times New Roman" w:hAnsi="Times New Roman" w:cs="Times New Roman"/>
          <w:sz w:val="24"/>
          <w:szCs w:val="24"/>
        </w:rPr>
        <w:t xml:space="preserve">Accreditation system for contact centres, with eligibility for state funding being dependent on the attainment of accreditation </w:t>
      </w:r>
      <w:r w:rsidRPr="00267BD1">
        <w:rPr>
          <w:rFonts w:ascii="Times New Roman" w:hAnsi="Times New Roman" w:cs="Times New Roman"/>
          <w:noProof/>
          <w:sz w:val="24"/>
          <w:szCs w:val="24"/>
        </w:rPr>
        <w:t>(NACCC, 2011, p. 7)</w:t>
      </w:r>
      <w:r w:rsidRPr="00267BD1">
        <w:rPr>
          <w:rFonts w:ascii="Times New Roman" w:hAnsi="Times New Roman" w:cs="Times New Roman"/>
          <w:sz w:val="24"/>
          <w:szCs w:val="24"/>
        </w:rPr>
        <w:t xml:space="preserve"> and a Standard Referral Form was introduced</w:t>
      </w:r>
      <w:r w:rsidRPr="00732DEF">
        <w:rPr>
          <w:rFonts w:ascii="Times New Roman" w:hAnsi="Times New Roman" w:cs="Times New Roman"/>
          <w:sz w:val="24"/>
          <w:szCs w:val="24"/>
        </w:rPr>
        <w:t xml:space="preserve"> as part of the accreditation system. However, research found that problematic practice persisted despite these reforms </w:t>
      </w:r>
      <w:r w:rsidRPr="00732DEF">
        <w:rPr>
          <w:rFonts w:ascii="Times New Roman" w:hAnsi="Times New Roman" w:cs="Times New Roman"/>
          <w:noProof/>
          <w:sz w:val="24"/>
          <w:szCs w:val="24"/>
        </w:rPr>
        <w:t>(Thiara &amp; Gill, 2012)</w:t>
      </w:r>
      <w:r w:rsidRPr="00732DEF">
        <w:rPr>
          <w:rFonts w:ascii="Times New Roman" w:hAnsi="Times New Roman" w:cs="Times New Roman"/>
          <w:sz w:val="24"/>
          <w:szCs w:val="24"/>
        </w:rPr>
        <w:t xml:space="preserve">. This study adopted a systems approach to explore why the reforms were not having their intended effect.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As a conceptual framework for evaluation, systems approaches do not specify methods. Rather the researcher should adopt the methods most appropriate to the questions being asked. However, the safety engineering approach emphasises achieving a deep understanding of people’s reasoning for their behaviour. Further, it emphasises the importance of observations of practice since what people do and what they say they do often conflict </w:t>
      </w:r>
      <w:r w:rsidRPr="00732DEF">
        <w:rPr>
          <w:rFonts w:ascii="Times New Roman" w:hAnsi="Times New Roman" w:cs="Times New Roman"/>
          <w:noProof/>
          <w:sz w:val="24"/>
          <w:szCs w:val="24"/>
        </w:rPr>
        <w:t>(Dekker, 2002; Woods et al., 2002)</w:t>
      </w:r>
      <w:r w:rsidRPr="00732DEF">
        <w:rPr>
          <w:rFonts w:ascii="Times New Roman" w:hAnsi="Times New Roman" w:cs="Times New Roman"/>
          <w:sz w:val="24"/>
          <w:szCs w:val="24"/>
        </w:rPr>
        <w:t xml:space="preserve">. Therefore qualitative methods are likely to be involved.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This study adopted a mixed methods approach.  A quantitative analysis was made of ten years of survey data on child contact centres (collected by the National Association of Child Contact Centres), producing statistically generalizable data on contact centres’ characteristics. The survey data was used to select six cases study centres, representing a range of child contact centre types. In each of these centres observations of practice (58 hours in total) and in-depth qualitative interviews with staff (27 interviews in total averaging over an hour each) were undertaken. Interviews were also conducted with judges (N=3), solicitors (N=9) and social worker (N=6) who had referred to a contact centre. The study was approved by the London School of Economics (LSE) Research Ethics Committee.</w:t>
      </w:r>
    </w:p>
    <w:p w:rsidR="009C0E9D" w:rsidRPr="00732DEF" w:rsidRDefault="009C0E9D" w:rsidP="00732DEF">
      <w:pPr>
        <w:spacing w:line="480" w:lineRule="auto"/>
        <w:rPr>
          <w:rFonts w:ascii="Times New Roman" w:hAnsi="Times New Roman" w:cs="Times New Roman"/>
          <w:b/>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t>FINDINGS</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Below we use this case study to illustrate how the safety e</w:t>
      </w:r>
      <w:r w:rsidR="00D02D9A">
        <w:rPr>
          <w:rFonts w:ascii="Times New Roman" w:hAnsi="Times New Roman" w:cs="Times New Roman"/>
          <w:sz w:val="24"/>
          <w:szCs w:val="24"/>
        </w:rPr>
        <w:t xml:space="preserve">ngineering systems concepts of </w:t>
      </w:r>
      <w:r w:rsidRPr="00732DEF">
        <w:rPr>
          <w:rFonts w:ascii="Times New Roman" w:hAnsi="Times New Roman" w:cs="Times New Roman"/>
          <w:sz w:val="24"/>
          <w:szCs w:val="24"/>
        </w:rPr>
        <w:t xml:space="preserve">‘emergence’, ‘local rationality’, ‘socio-technical systems’ and ‘feedback for learning’ can contribute new knowledge and understanding to a complex policy problem. We will not outline all findings from the study in depth </w:t>
      </w:r>
      <w:r w:rsidRPr="00065ADF">
        <w:rPr>
          <w:rFonts w:ascii="Times New Roman" w:hAnsi="Times New Roman" w:cs="Times New Roman"/>
          <w:noProof/>
          <w:sz w:val="24"/>
          <w:szCs w:val="24"/>
        </w:rPr>
        <w:t>(</w:t>
      </w:r>
      <w:r w:rsidR="00065ADF" w:rsidRPr="00065ADF">
        <w:rPr>
          <w:rFonts w:ascii="Times New Roman" w:hAnsi="Times New Roman" w:cs="Times New Roman"/>
          <w:noProof/>
          <w:sz w:val="24"/>
          <w:szCs w:val="24"/>
        </w:rPr>
        <w:t xml:space="preserve">for further details please see </w:t>
      </w:r>
      <w:r w:rsidRPr="00065ADF">
        <w:rPr>
          <w:rFonts w:ascii="Times New Roman" w:hAnsi="Times New Roman" w:cs="Times New Roman"/>
          <w:noProof/>
          <w:sz w:val="24"/>
          <w:szCs w:val="24"/>
        </w:rPr>
        <w:t>Caffrey, 2013, 2014, 2015)</w:t>
      </w:r>
      <w:r w:rsidRPr="00065ADF">
        <w:rPr>
          <w:rFonts w:ascii="Times New Roman" w:hAnsi="Times New Roman" w:cs="Times New Roman"/>
          <w:sz w:val="24"/>
          <w:szCs w:val="24"/>
        </w:rPr>
        <w:t>, instead we wi</w:t>
      </w:r>
      <w:r w:rsidRPr="00732DEF">
        <w:rPr>
          <w:rFonts w:ascii="Times New Roman" w:hAnsi="Times New Roman" w:cs="Times New Roman"/>
          <w:sz w:val="24"/>
          <w:szCs w:val="24"/>
        </w:rPr>
        <w:t>ll focus on illustrating how these systems concepts enabled the contribution of new knowledge to the field.</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i/>
          <w:sz w:val="24"/>
          <w:szCs w:val="24"/>
        </w:rPr>
      </w:pPr>
      <w:r w:rsidRPr="00732DEF">
        <w:rPr>
          <w:rFonts w:ascii="Times New Roman" w:hAnsi="Times New Roman" w:cs="Times New Roman"/>
          <w:b/>
          <w:i/>
          <w:sz w:val="24"/>
          <w:szCs w:val="24"/>
        </w:rPr>
        <w:t xml:space="preserve"> Emergence </w:t>
      </w:r>
    </w:p>
    <w:p w:rsidR="009C0E9D"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A core tenet of the systems approach is the concept that behaviour is an ‘emergent’ property of systems, not their component parts </w:t>
      </w:r>
      <w:r w:rsidRPr="00732DEF">
        <w:rPr>
          <w:rFonts w:ascii="Times New Roman" w:hAnsi="Times New Roman" w:cs="Times New Roman"/>
          <w:noProof/>
          <w:sz w:val="24"/>
          <w:szCs w:val="24"/>
        </w:rPr>
        <w:t>(Dekker, 2005; Woods &amp; Cook, 2002)</w:t>
      </w:r>
      <w:r w:rsidRPr="00732DEF">
        <w:rPr>
          <w:rFonts w:ascii="Times New Roman" w:hAnsi="Times New Roman" w:cs="Times New Roman"/>
          <w:sz w:val="24"/>
          <w:szCs w:val="24"/>
        </w:rPr>
        <w:t xml:space="preserve">. In other words, </w:t>
      </w:r>
      <w:r w:rsidRPr="00732DEF">
        <w:rPr>
          <w:rFonts w:ascii="Times New Roman" w:hAnsi="Times New Roman" w:cs="Times New Roman"/>
          <w:sz w:val="24"/>
          <w:szCs w:val="24"/>
        </w:rPr>
        <w:lastRenderedPageBreak/>
        <w:t xml:space="preserve">‘emergent’ behaviour is produced through interactions in the system and cannot be understood by examining each part in isolation. </w:t>
      </w:r>
    </w:p>
    <w:p w:rsidR="00356A4C" w:rsidRPr="00732DEF" w:rsidRDefault="00356A4C" w:rsidP="00732DEF">
      <w:pPr>
        <w:spacing w:line="480" w:lineRule="auto"/>
        <w:rPr>
          <w:rFonts w:ascii="Times New Roman" w:hAnsi="Times New Roman" w:cs="Times New Roman"/>
          <w:sz w:val="24"/>
          <w:szCs w:val="24"/>
        </w:rPr>
      </w:pPr>
    </w:p>
    <w:p w:rsidR="009C0E9D"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A reductionist approach would seek to simplify the analysis of the complex web of interdependent factors that might influence behaviour by breaking down the system into more manageable parts. However, the systems perspective asserts that because behaviour may be an ‘emergent’ product of the systemic interactions </w:t>
      </w:r>
      <w:r w:rsidRPr="00732DEF">
        <w:rPr>
          <w:rFonts w:ascii="Times New Roman" w:hAnsi="Times New Roman" w:cs="Times New Roman"/>
          <w:i/>
          <w:sz w:val="24"/>
          <w:szCs w:val="24"/>
        </w:rPr>
        <w:t xml:space="preserve">between </w:t>
      </w:r>
      <w:r w:rsidRPr="00732DEF">
        <w:rPr>
          <w:rFonts w:ascii="Times New Roman" w:hAnsi="Times New Roman" w:cs="Times New Roman"/>
          <w:sz w:val="24"/>
          <w:szCs w:val="24"/>
        </w:rPr>
        <w:t xml:space="preserve">parts, rather than the sum of its parts, the reductionist approach may miss the phenomenon of interest. For this reason, in the systems approach, there is a focus on the dynamics of the system – the systemic interactions - and how these explain the behaviour observed </w:t>
      </w:r>
      <w:r w:rsidRPr="00732DEF">
        <w:rPr>
          <w:rFonts w:ascii="Times New Roman" w:hAnsi="Times New Roman" w:cs="Times New Roman"/>
          <w:noProof/>
          <w:sz w:val="24"/>
          <w:szCs w:val="24"/>
        </w:rPr>
        <w:t xml:space="preserve">(Dekker, 2008; Hoffman et al., 2000; Reason, 1997). </w:t>
      </w:r>
      <w:r w:rsidRPr="00732DEF">
        <w:rPr>
          <w:rFonts w:ascii="Times New Roman" w:hAnsi="Times New Roman" w:cs="Times New Roman"/>
          <w:sz w:val="24"/>
          <w:szCs w:val="24"/>
        </w:rPr>
        <w:t xml:space="preserve">As Dekker (2005: 185) points out, this is quite different to simply ‘reminding people of context’. </w:t>
      </w:r>
    </w:p>
    <w:p w:rsidR="00D02D9A" w:rsidRPr="00732DEF" w:rsidRDefault="00D02D9A"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While systems thinkers may aspire to holism – examining the whole system – more contemporary systems thinkers (including those who have applied sys</w:t>
      </w:r>
      <w:r w:rsidR="00065ADF">
        <w:rPr>
          <w:rFonts w:ascii="Times New Roman" w:hAnsi="Times New Roman" w:cs="Times New Roman"/>
          <w:sz w:val="24"/>
          <w:szCs w:val="24"/>
        </w:rPr>
        <w:t xml:space="preserve">tems approaches to evaluation) </w:t>
      </w:r>
      <w:r w:rsidRPr="00732DEF">
        <w:rPr>
          <w:rFonts w:ascii="Times New Roman" w:hAnsi="Times New Roman" w:cs="Times New Roman"/>
          <w:sz w:val="24"/>
          <w:szCs w:val="24"/>
        </w:rPr>
        <w:t xml:space="preserve">acknowledge that this is likely impossible </w:t>
      </w:r>
      <w:r w:rsidRPr="00732DEF">
        <w:rPr>
          <w:rFonts w:ascii="Times New Roman" w:hAnsi="Times New Roman" w:cs="Times New Roman"/>
          <w:noProof/>
          <w:sz w:val="24"/>
          <w:szCs w:val="24"/>
        </w:rPr>
        <w:t>(Hummelbrunner, 2011; Midgley, 2007; Dekker et al. 2011)</w:t>
      </w:r>
      <w:r w:rsidRPr="00732DEF">
        <w:rPr>
          <w:rFonts w:ascii="Times New Roman" w:hAnsi="Times New Roman" w:cs="Times New Roman"/>
          <w:sz w:val="24"/>
          <w:szCs w:val="24"/>
        </w:rPr>
        <w:t xml:space="preserve"> and may not be productive </w:t>
      </w:r>
      <w:r w:rsidRPr="00732DEF">
        <w:rPr>
          <w:rFonts w:ascii="Times New Roman" w:hAnsi="Times New Roman" w:cs="Times New Roman"/>
          <w:noProof/>
          <w:sz w:val="24"/>
          <w:szCs w:val="24"/>
        </w:rPr>
        <w:t>(Imam, LaGoy, &amp; Williams, 2007)</w:t>
      </w:r>
      <w:r w:rsidRPr="00732DEF">
        <w:rPr>
          <w:rFonts w:ascii="Times New Roman" w:hAnsi="Times New Roman" w:cs="Times New Roman"/>
          <w:sz w:val="24"/>
          <w:szCs w:val="24"/>
        </w:rPr>
        <w:t xml:space="preserve">. No matter how comprehensive, a systems approach tends to be incomplete </w:t>
      </w:r>
      <w:r w:rsidRPr="00732DEF">
        <w:rPr>
          <w:rFonts w:ascii="Times New Roman" w:hAnsi="Times New Roman" w:cs="Times New Roman"/>
          <w:noProof/>
          <w:sz w:val="24"/>
          <w:szCs w:val="24"/>
        </w:rPr>
        <w:t>(Imam et al., 2007; Reynolds, 2014)</w:t>
      </w:r>
      <w:r w:rsidRPr="00732DEF">
        <w:rPr>
          <w:rFonts w:ascii="Times New Roman" w:hAnsi="Times New Roman" w:cs="Times New Roman"/>
          <w:sz w:val="24"/>
          <w:szCs w:val="24"/>
        </w:rPr>
        <w:t xml:space="preserve"> and boundaries of any system are not clear </w:t>
      </w:r>
      <w:r w:rsidR="00D02D9A">
        <w:rPr>
          <w:rFonts w:ascii="Times New Roman" w:hAnsi="Times New Roman" w:cs="Times New Roman"/>
          <w:sz w:val="24"/>
          <w:szCs w:val="24"/>
        </w:rPr>
        <w:t>cut. What should be considered ‘inside’ and ‘outside’</w:t>
      </w:r>
      <w:r w:rsidRPr="00732DEF">
        <w:rPr>
          <w:rFonts w:ascii="Times New Roman" w:hAnsi="Times New Roman" w:cs="Times New Roman"/>
          <w:sz w:val="24"/>
          <w:szCs w:val="24"/>
        </w:rPr>
        <w:t xml:space="preserve"> the analysis is likely to be contested (Imam et al., 2007). As Dekker and colleagues (2011: 943) put is, “the observer is not just the contributor to, but in many cases the creator of, the observed”.  Where the boundary of the “system” is placed is a theoretical assumption rather than an objective fact (Fish, et al., 2008, p. 26). Therefore, </w:t>
      </w:r>
      <w:r w:rsidRPr="00732DEF">
        <w:rPr>
          <w:rFonts w:ascii="Times New Roman" w:hAnsi="Times New Roman" w:cs="Times New Roman"/>
          <w:sz w:val="24"/>
          <w:szCs w:val="24"/>
        </w:rPr>
        <w:lastRenderedPageBreak/>
        <w:t xml:space="preserve">rather than striving for completeness the focus is on acknowledging what is left out and reflecting on its implications </w:t>
      </w:r>
      <w:r w:rsidRPr="00732DEF">
        <w:rPr>
          <w:rFonts w:ascii="Times New Roman" w:hAnsi="Times New Roman" w:cs="Times New Roman"/>
          <w:noProof/>
          <w:sz w:val="24"/>
          <w:szCs w:val="24"/>
        </w:rPr>
        <w:t>(Imam et al., 2007)</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267BD1">
        <w:rPr>
          <w:rFonts w:ascii="Times New Roman" w:hAnsi="Times New Roman" w:cs="Times New Roman"/>
          <w:sz w:val="24"/>
          <w:szCs w:val="24"/>
        </w:rPr>
        <w:t>In our case study, government guidance</w:t>
      </w:r>
      <w:r w:rsidR="00267BD1">
        <w:rPr>
          <w:rFonts w:ascii="Times New Roman" w:hAnsi="Times New Roman" w:cs="Times New Roman"/>
          <w:sz w:val="24"/>
          <w:szCs w:val="24"/>
        </w:rPr>
        <w:t xml:space="preserve"> </w:t>
      </w:r>
      <w:r w:rsidR="00267BD1">
        <w:rPr>
          <w:rFonts w:ascii="Times New Roman" w:hAnsi="Times New Roman" w:cs="Times New Roman"/>
          <w:sz w:val="24"/>
          <w:szCs w:val="24"/>
        </w:rPr>
        <w:fldChar w:fldCharType="begin"/>
      </w:r>
      <w:r w:rsidR="00267BD1">
        <w:rPr>
          <w:rFonts w:ascii="Times New Roman" w:hAnsi="Times New Roman" w:cs="Times New Roman"/>
          <w:sz w:val="24"/>
          <w:szCs w:val="24"/>
        </w:rPr>
        <w:instrText xml:space="preserve"> ADDIN EN.CITE &lt;EndNote&gt;&lt;Cite&gt;&lt;Author&gt;HM Government&lt;/Author&gt;&lt;Year&gt;2010&lt;/Year&gt;&lt;RecNum&gt;266&lt;/RecNum&gt;&lt;DisplayText&gt;(HM Government, 2010, 2013)&lt;/DisplayText&gt;&lt;record&gt;&lt;rec-number&gt;266&lt;/rec-number&gt;&lt;foreign-keys&gt;&lt;key app="EN" db-id="5t2sftxw1fw90qerf23xr0xzaw2t9x2tfeze" timestamp="0"&gt;266&lt;/key&gt;&lt;/foreign-keys&gt;&lt;ref-type name="Book"&gt;6&lt;/ref-type&gt;&lt;contributors&gt;&lt;authors&gt;&lt;author&gt;HM Government,&lt;/author&gt;&lt;/authors&gt;&lt;/contributors&gt;&lt;titles&gt;&lt;title&gt;Working Together to Safeguard Children: A guide to inter-agency working to safeguard and promote the welfare of children&lt;/title&gt;&lt;/titles&gt;&lt;keywords&gt;&lt;keyword&gt;law&lt;/keyword&gt;&lt;keyword&gt;guidance&lt;/keyword&gt;&lt;/keywords&gt;&lt;dates&gt;&lt;year&gt;2010&lt;/year&gt;&lt;/dates&gt;&lt;pub-location&gt;London&lt;/pub-location&gt;&lt;publisher&gt;DCSF&lt;/publisher&gt;&lt;urls&gt;&lt;related-urls&gt;&lt;url&gt;https://www.education.gov.uk/publications/standard/publicationDetail/Page1/DCSF-00305-2010&lt;/url&gt;&lt;/related-urls&gt;&lt;/urls&gt;&lt;/record&gt;&lt;/Cite&gt;&lt;Cite&gt;&lt;Author&gt;HM Government&lt;/Author&gt;&lt;Year&gt;2013&lt;/Year&gt;&lt;RecNum&gt;739&lt;/RecNum&gt;&lt;record&gt;&lt;rec-number&gt;739&lt;/rec-number&gt;&lt;foreign-keys&gt;&lt;key app="EN" db-id="5t2sftxw1fw90qerf23xr0xzaw2t9x2tfeze" timestamp="0"&gt;739&lt;/key&gt;&lt;/foreign-keys&gt;&lt;ref-type name="Book"&gt;6&lt;/ref-type&gt;&lt;contributors&gt;&lt;authors&gt;&lt;author&gt;HM Government,&lt;/author&gt;&lt;/authors&gt;&lt;/contributors&gt;&lt;titles&gt;&lt;title&gt;Working Together to Safeguard Children: A guide to inter-agency working to safeguard and promote the welfare of children&lt;/title&gt;&lt;/titles&gt;&lt;keywords&gt;&lt;keyword&gt;law&lt;/keyword&gt;&lt;keyword&gt;guidance&lt;/keyword&gt;&lt;/keywords&gt;&lt;dates&gt;&lt;year&gt;2013&lt;/year&gt;&lt;/dates&gt;&lt;pub-location&gt;London&lt;/pub-location&gt;&lt;publisher&gt;Department for Education&lt;/publisher&gt;&lt;urls&gt;&lt;related-urls&gt;&lt;url&gt;https://www.education.gov.uk/publications/standard/publicationDetail/Page1/DCSF-00305-2010&lt;/url&gt;&lt;/related-urls&gt;&lt;/urls&gt;&lt;/record&gt;&lt;/Cite&gt;&lt;/EndNote&gt;</w:instrText>
      </w:r>
      <w:r w:rsidR="00267BD1">
        <w:rPr>
          <w:rFonts w:ascii="Times New Roman" w:hAnsi="Times New Roman" w:cs="Times New Roman"/>
          <w:sz w:val="24"/>
          <w:szCs w:val="24"/>
        </w:rPr>
        <w:fldChar w:fldCharType="separate"/>
      </w:r>
      <w:r w:rsidR="00267BD1">
        <w:rPr>
          <w:rFonts w:ascii="Times New Roman" w:hAnsi="Times New Roman" w:cs="Times New Roman"/>
          <w:noProof/>
          <w:sz w:val="24"/>
          <w:szCs w:val="24"/>
        </w:rPr>
        <w:t>(HM Government, 2010, 2013)</w:t>
      </w:r>
      <w:r w:rsidR="00267BD1">
        <w:rPr>
          <w:rFonts w:ascii="Times New Roman" w:hAnsi="Times New Roman" w:cs="Times New Roman"/>
          <w:sz w:val="24"/>
          <w:szCs w:val="24"/>
        </w:rPr>
        <w:fldChar w:fldCharType="end"/>
      </w:r>
      <w:r w:rsidRPr="00732DEF">
        <w:rPr>
          <w:rFonts w:ascii="Times New Roman" w:hAnsi="Times New Roman" w:cs="Times New Roman"/>
          <w:sz w:val="24"/>
          <w:szCs w:val="24"/>
        </w:rPr>
        <w:t xml:space="preserve"> articulating the responsibility to protect children from maltreatment was positioned as interacting with multiple layers in a system to produce practice. The systemic interactions explored are represented below in Figure 1, with practice represented by ‘P’.  The model does not therefore strive to represent an objective system, rather it is a blueprint of the levels of systemic interactions explored in this study. The model encompassed factors at the ‘individual level’ (e.g. workers’ perceived role, knowledge, understanding and skills),  the ‘organisational level’ (e.g. available physical space in centres,  levels of professionalization, time and training available to workers), the ‘regulatory level’ (encompassing the tools provided to centres and referrers by the regulator and the feedback system used to accredit centres) and the ‘institutional level’ (how well government provision had addressed the typical weaknesses in voluntary sector provision set out in Salamon’s </w:t>
      </w:r>
      <w:r w:rsidRPr="00732DEF">
        <w:rPr>
          <w:rFonts w:ascii="Times New Roman" w:hAnsi="Times New Roman" w:cs="Times New Roman"/>
          <w:noProof/>
          <w:sz w:val="24"/>
          <w:szCs w:val="24"/>
        </w:rPr>
        <w:t>(1987)</w:t>
      </w:r>
      <w:r w:rsidRPr="00732DEF">
        <w:rPr>
          <w:rFonts w:ascii="Times New Roman" w:hAnsi="Times New Roman" w:cs="Times New Roman"/>
          <w:sz w:val="24"/>
          <w:szCs w:val="24"/>
        </w:rPr>
        <w:t xml:space="preserve"> ‘voluntary failure’ thesis). In addition, referrers to child contact centres (judges, solicitors and social workers) were conceptualised as operating in systems which interact with the contact centre system: the Family Justice System and the Children’s Social Care system. Therefore, the focus of analysis, was not simply on the individual parts, but on the interactions between the parts </w:t>
      </w:r>
      <w:r w:rsidRPr="00732DEF">
        <w:rPr>
          <w:rFonts w:ascii="Times New Roman" w:hAnsi="Times New Roman" w:cs="Times New Roman"/>
          <w:noProof/>
          <w:sz w:val="24"/>
          <w:szCs w:val="24"/>
        </w:rPr>
        <w:t>(Rasmussen et al., 2000)</w:t>
      </w:r>
      <w:r w:rsidRPr="00732DEF">
        <w:rPr>
          <w:rFonts w:ascii="Times New Roman" w:hAnsi="Times New Roman" w:cs="Times New Roman"/>
          <w:sz w:val="24"/>
          <w:szCs w:val="24"/>
        </w:rPr>
        <w:t xml:space="preserve"> within the contact centre system and on the interactions between interacting systems </w:t>
      </w:r>
      <w:r w:rsidRPr="00732DEF">
        <w:rPr>
          <w:rFonts w:ascii="Times New Roman" w:hAnsi="Times New Roman" w:cs="Times New Roman"/>
          <w:noProof/>
          <w:sz w:val="24"/>
          <w:szCs w:val="24"/>
        </w:rPr>
        <w:t>(Perrow, 1984)</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t xml:space="preserve">Figure 1: Conceptual model of system components: child contact centres </w:t>
      </w:r>
    </w:p>
    <w:p w:rsidR="009C0E9D" w:rsidRDefault="009C0E9D" w:rsidP="00732DEF">
      <w:pPr>
        <w:spacing w:line="480" w:lineRule="auto"/>
        <w:jc w:val="center"/>
        <w:rPr>
          <w:rFonts w:ascii="Times New Roman" w:hAnsi="Times New Roman" w:cs="Times New Roman"/>
          <w:sz w:val="24"/>
          <w:szCs w:val="24"/>
        </w:rPr>
      </w:pPr>
      <w:r w:rsidRPr="00732DEF">
        <w:rPr>
          <w:rFonts w:ascii="Times New Roman" w:hAnsi="Times New Roman" w:cs="Times New Roman"/>
          <w:sz w:val="24"/>
          <w:szCs w:val="24"/>
        </w:rPr>
        <w:t>[FIGURE 1 ABOUT HERE]</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lastRenderedPageBreak/>
        <w:t>In terms of the boundaries of the system constructed for the purpose of analysis, it is particularly notable that while direct observations of service-user families were undertaken, families were not interviewed directly and so their directly articulated perspectives are absent from the study</w:t>
      </w:r>
      <w:r w:rsidRPr="00732DEF">
        <w:rPr>
          <w:rFonts w:ascii="Times New Roman" w:hAnsi="Times New Roman" w:cs="Times New Roman"/>
          <w:b/>
          <w:sz w:val="24"/>
          <w:szCs w:val="24"/>
        </w:rPr>
        <w:t xml:space="preserve">. </w:t>
      </w:r>
      <w:r w:rsidRPr="00732DEF">
        <w:rPr>
          <w:rFonts w:ascii="Times New Roman" w:hAnsi="Times New Roman" w:cs="Times New Roman"/>
          <w:sz w:val="24"/>
          <w:szCs w:val="24"/>
        </w:rPr>
        <w:t xml:space="preserve">While practice can be considered co-produced with service users </w:t>
      </w:r>
      <w:r w:rsidRPr="00732DEF">
        <w:rPr>
          <w:rFonts w:ascii="Times New Roman" w:hAnsi="Times New Roman" w:cs="Times New Roman"/>
          <w:noProof/>
          <w:sz w:val="24"/>
          <w:szCs w:val="24"/>
        </w:rPr>
        <w:t>(Fish et al., 2008)</w:t>
      </w:r>
      <w:r w:rsidRPr="00732DEF">
        <w:rPr>
          <w:rFonts w:ascii="Times New Roman" w:hAnsi="Times New Roman" w:cs="Times New Roman"/>
          <w:sz w:val="24"/>
          <w:szCs w:val="24"/>
        </w:rPr>
        <w:t xml:space="preserve">, the decision to focus on service providers was made due to resource constraints.  Further studies could helpfully focus directly on service-users’ perspectives. </w:t>
      </w:r>
    </w:p>
    <w:p w:rsidR="009C0E9D" w:rsidRPr="00732DEF" w:rsidRDefault="009C0E9D" w:rsidP="00732DEF">
      <w:pPr>
        <w:spacing w:line="480" w:lineRule="auto"/>
        <w:rPr>
          <w:rFonts w:ascii="Times New Roman" w:hAnsi="Times New Roman" w:cs="Times New Roman"/>
          <w:sz w:val="24"/>
          <w:szCs w:val="24"/>
        </w:rPr>
      </w:pPr>
    </w:p>
    <w:p w:rsidR="009C0E9D"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The model illustrated in Figure 1 influenced the entirety of the study’s findings, as will be seen from the examples presented in the sections below, but for illustration, we provide an immediate example of how this systems framework led to new findings.</w:t>
      </w:r>
    </w:p>
    <w:p w:rsidR="00065ADF" w:rsidRPr="00732DEF" w:rsidRDefault="00065ADF"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Taking children’s wishes and feelings into account is a central part of protecting children from maltreatment, since children are a key source of information on their own safety and well-being </w:t>
      </w:r>
      <w:r w:rsidRPr="00732DEF">
        <w:rPr>
          <w:rFonts w:ascii="Times New Roman" w:hAnsi="Times New Roman" w:cs="Times New Roman"/>
          <w:noProof/>
          <w:sz w:val="24"/>
          <w:szCs w:val="24"/>
        </w:rPr>
        <w:t>(Horwath, 2002; Munro, 2011; Willow, 2002)</w:t>
      </w:r>
      <w:r w:rsidRPr="00732DEF">
        <w:rPr>
          <w:rFonts w:ascii="Times New Roman" w:hAnsi="Times New Roman" w:cs="Times New Roman"/>
          <w:sz w:val="24"/>
          <w:szCs w:val="24"/>
        </w:rPr>
        <w:t xml:space="preserve">. The study therefore included an investigation of how workers in the case study contact centres engaged with children. A typology of child engagement was developed from the findings, illustrating that engagement with children in contact centres was diverse and could be conceptualised as ranging from ‘coercive’ to ‘limited’ to ‘meaningful’. These different styles produced markedly different responses when a child indicated that they did not want to see their father, with the coercive style overriding the child’s opinion.  The study concluded that these divergent engagement types were emergent properties of system-wide variation in beliefs about the importance of contact versus the importance of protection, the capacity of children to have valid wishes and feelings, and lack of clarity about the centre’s role in implementing court orders.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lastRenderedPageBreak/>
        <w:t xml:space="preserve">On the latter point, actors held different and contrasting views on whether centres should implement court-ordered contact, regardless of the child’s reactions, or decide whether or not to continue facilitating contact, depending on the individual child’s views.  Centre workers, judges, solicitors and social workers held divergent views on these issues. Therefore, the system lacked conceptual clarity in terms of the child welfare issues and organisational clarity in terms of contact centres’ role. Contact centres resolved this ambiguity in different ways, in keeping with individual workers’ perceptions and training and the resources available to the centre.  The study concluded that strategies to address problematic child engagement would need to focus, not simply on contact centres but on the wider systems with which they interacted </w:t>
      </w:r>
      <w:r w:rsidRPr="00732DEF">
        <w:rPr>
          <w:rFonts w:ascii="Times New Roman" w:hAnsi="Times New Roman" w:cs="Times New Roman"/>
          <w:noProof/>
          <w:sz w:val="24"/>
          <w:szCs w:val="24"/>
        </w:rPr>
        <w:t>(Caffrey, 2013)</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i/>
          <w:sz w:val="24"/>
          <w:szCs w:val="24"/>
        </w:rPr>
      </w:pPr>
      <w:r w:rsidRPr="00732DEF">
        <w:rPr>
          <w:rFonts w:ascii="Times New Roman" w:hAnsi="Times New Roman" w:cs="Times New Roman"/>
          <w:b/>
          <w:i/>
          <w:sz w:val="24"/>
          <w:szCs w:val="24"/>
        </w:rPr>
        <w:t xml:space="preserve">Local rationalities </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Engaging with multiple perspectives in terms of stakeholders (groups of people) and stakes (individual values or motivation </w:t>
      </w:r>
      <w:r w:rsidRPr="00356A4C">
        <w:rPr>
          <w:rFonts w:ascii="Times New Roman" w:hAnsi="Times New Roman" w:cs="Times New Roman"/>
          <w:sz w:val="24"/>
          <w:szCs w:val="24"/>
        </w:rPr>
        <w:t>which may differ from formal goals or objectives) is central to systems approaches as applied to evaluation (Hummelbrunner, 2011. See also Reynolds, 2014; Midgley, 2007).</w:t>
      </w:r>
      <w:r w:rsidRPr="00732DEF">
        <w:rPr>
          <w:rFonts w:ascii="Times New Roman" w:hAnsi="Times New Roman" w:cs="Times New Roman"/>
          <w:sz w:val="24"/>
          <w:szCs w:val="24"/>
        </w:rPr>
        <w:t xml:space="preserve"> This literature has also emphasised the importance of inter-relationships </w:t>
      </w:r>
      <w:r w:rsidRPr="00732DEF">
        <w:rPr>
          <w:rFonts w:ascii="Times New Roman" w:hAnsi="Times New Roman" w:cs="Times New Roman"/>
          <w:noProof/>
          <w:color w:val="2E2E2E"/>
          <w:sz w:val="24"/>
          <w:szCs w:val="24"/>
          <w:shd w:val="clear" w:color="auto" w:fill="FFFFFF"/>
        </w:rPr>
        <w:t>(Hummelbrunner, 2011; Midgley, 2007; Reynolds, 2014)</w:t>
      </w:r>
      <w:r w:rsidRPr="00732DEF">
        <w:rPr>
          <w:rFonts w:ascii="Times New Roman" w:hAnsi="Times New Roman" w:cs="Times New Roman"/>
          <w:sz w:val="24"/>
          <w:szCs w:val="24"/>
        </w:rPr>
        <w:t>. In a case study, Reynolds (2014: 82) for example, applied the concept of inter-relationships by asking three “interrelated systemic stakeholder questions”:</w:t>
      </w:r>
    </w:p>
    <w:p w:rsidR="009C0E9D" w:rsidRPr="00732DEF" w:rsidRDefault="009C0E9D" w:rsidP="00732DEF">
      <w:pPr>
        <w:pStyle w:val="ListParagraph"/>
        <w:numPr>
          <w:ilvl w:val="0"/>
          <w:numId w:val="7"/>
        </w:numPr>
        <w:spacing w:line="480" w:lineRule="auto"/>
        <w:rPr>
          <w:rFonts w:ascii="Times New Roman" w:hAnsi="Times New Roman" w:cs="Times New Roman"/>
          <w:sz w:val="24"/>
          <w:szCs w:val="24"/>
        </w:rPr>
      </w:pPr>
      <w:r w:rsidRPr="00732DEF">
        <w:rPr>
          <w:rFonts w:ascii="Times New Roman" w:hAnsi="Times New Roman" w:cs="Times New Roman"/>
          <w:sz w:val="24"/>
          <w:szCs w:val="24"/>
        </w:rPr>
        <w:t>What is at stake?</w:t>
      </w:r>
    </w:p>
    <w:p w:rsidR="009C0E9D" w:rsidRPr="00732DEF" w:rsidRDefault="009C0E9D" w:rsidP="00732DEF">
      <w:pPr>
        <w:pStyle w:val="ListParagraph"/>
        <w:numPr>
          <w:ilvl w:val="0"/>
          <w:numId w:val="7"/>
        </w:numPr>
        <w:spacing w:line="480" w:lineRule="auto"/>
        <w:rPr>
          <w:rFonts w:ascii="Times New Roman" w:hAnsi="Times New Roman" w:cs="Times New Roman"/>
          <w:sz w:val="24"/>
          <w:szCs w:val="24"/>
        </w:rPr>
      </w:pPr>
      <w:r w:rsidRPr="00732DEF">
        <w:rPr>
          <w:rFonts w:ascii="Times New Roman" w:hAnsi="Times New Roman" w:cs="Times New Roman"/>
          <w:sz w:val="24"/>
          <w:szCs w:val="24"/>
        </w:rPr>
        <w:t>Who are the stakeholders?</w:t>
      </w:r>
    </w:p>
    <w:p w:rsidR="009C0E9D" w:rsidRDefault="009C0E9D" w:rsidP="00732DEF">
      <w:pPr>
        <w:pStyle w:val="ListParagraph"/>
        <w:numPr>
          <w:ilvl w:val="0"/>
          <w:numId w:val="7"/>
        </w:num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What possibilities exist for improving stakeholdings?    </w:t>
      </w:r>
    </w:p>
    <w:p w:rsidR="00356A4C" w:rsidRPr="00732DEF" w:rsidRDefault="00356A4C" w:rsidP="00356A4C">
      <w:pPr>
        <w:pStyle w:val="ListParagraph"/>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lastRenderedPageBreak/>
        <w:t xml:space="preserve">‘Local rationality’ is a core principle in safety engineering systems and provides a useful concept </w:t>
      </w:r>
      <w:r w:rsidR="00356A4C">
        <w:rPr>
          <w:rFonts w:ascii="Times New Roman" w:hAnsi="Times New Roman" w:cs="Times New Roman"/>
          <w:sz w:val="24"/>
          <w:szCs w:val="24"/>
        </w:rPr>
        <w:t xml:space="preserve">for </w:t>
      </w:r>
      <w:r w:rsidRPr="00732DEF">
        <w:rPr>
          <w:rFonts w:ascii="Times New Roman" w:hAnsi="Times New Roman" w:cs="Times New Roman"/>
          <w:sz w:val="24"/>
          <w:szCs w:val="24"/>
        </w:rPr>
        <w:t>exploring stakeholders’ perspectives a</w:t>
      </w:r>
      <w:r w:rsidR="00065ADF">
        <w:rPr>
          <w:rFonts w:ascii="Times New Roman" w:hAnsi="Times New Roman" w:cs="Times New Roman"/>
          <w:sz w:val="24"/>
          <w:szCs w:val="24"/>
        </w:rPr>
        <w:t xml:space="preserve">nd stakes. ‘Local rationality’ </w:t>
      </w:r>
      <w:r w:rsidRPr="00732DEF">
        <w:rPr>
          <w:rFonts w:ascii="Times New Roman" w:hAnsi="Times New Roman" w:cs="Times New Roman"/>
          <w:sz w:val="24"/>
          <w:szCs w:val="24"/>
        </w:rPr>
        <w:t xml:space="preserve">asserts that ‘people’s behaviour is rational, though possibly erroneous, when viewed from the locality of their knowledge, attentional focus and strategic trade-offs’ </w:t>
      </w:r>
      <w:r w:rsidRPr="00732DEF">
        <w:rPr>
          <w:rFonts w:ascii="Times New Roman" w:hAnsi="Times New Roman" w:cs="Times New Roman"/>
          <w:noProof/>
          <w:sz w:val="24"/>
          <w:szCs w:val="24"/>
        </w:rPr>
        <w:t>(Woods et al., 1994, p. 93)</w:t>
      </w:r>
      <w:r w:rsidR="00356A4C">
        <w:rPr>
          <w:rFonts w:ascii="Times New Roman" w:hAnsi="Times New Roman" w:cs="Times New Roman"/>
          <w:sz w:val="24"/>
          <w:szCs w:val="24"/>
        </w:rPr>
        <w:t xml:space="preserve">. </w:t>
      </w:r>
      <w:r w:rsidRPr="00732DEF">
        <w:rPr>
          <w:rFonts w:ascii="Times New Roman" w:hAnsi="Times New Roman" w:cs="Times New Roman"/>
          <w:sz w:val="24"/>
          <w:szCs w:val="24"/>
        </w:rPr>
        <w:t xml:space="preserve">Therefore, the focus is on understanding why people do what they do, rather than on judging them for what we think they should have done </w:t>
      </w:r>
      <w:r w:rsidRPr="00732DEF">
        <w:rPr>
          <w:rFonts w:ascii="Times New Roman" w:hAnsi="Times New Roman" w:cs="Times New Roman"/>
          <w:noProof/>
          <w:sz w:val="24"/>
          <w:szCs w:val="24"/>
        </w:rPr>
        <w:t>(Dekker, 2007a;</w:t>
      </w:r>
      <w:r w:rsidR="00EF793B">
        <w:rPr>
          <w:rFonts w:ascii="Times New Roman" w:hAnsi="Times New Roman" w:cs="Times New Roman"/>
          <w:noProof/>
          <w:sz w:val="24"/>
          <w:szCs w:val="24"/>
        </w:rPr>
        <w:t xml:space="preserve"> Fish et al, 2008</w:t>
      </w:r>
      <w:r w:rsidRPr="00732DEF">
        <w:rPr>
          <w:rFonts w:ascii="Times New Roman" w:hAnsi="Times New Roman" w:cs="Times New Roman"/>
          <w:noProof/>
          <w:sz w:val="24"/>
          <w:szCs w:val="24"/>
        </w:rPr>
        <w:t>; Perrow, 1984; Rasmussen et al., 1990; Reason, 2000; Woods et al., 1994)</w:t>
      </w:r>
      <w:r w:rsidRPr="00732DEF">
        <w:rPr>
          <w:rFonts w:ascii="Times New Roman" w:hAnsi="Times New Roman" w:cs="Times New Roman"/>
          <w:sz w:val="24"/>
          <w:szCs w:val="24"/>
        </w:rPr>
        <w:t xml:space="preserve">. In other words, rather than searching for human failures, the systems approach searches for human sense-making in multiple actors’ (potentially conflicting) perspectives </w:t>
      </w:r>
      <w:r w:rsidRPr="00732DEF">
        <w:rPr>
          <w:rFonts w:ascii="Times New Roman" w:hAnsi="Times New Roman" w:cs="Times New Roman"/>
          <w:noProof/>
          <w:sz w:val="24"/>
          <w:szCs w:val="24"/>
        </w:rPr>
        <w:t>(Dekker, 2002)</w:t>
      </w:r>
      <w:r w:rsidRPr="00732DEF">
        <w:rPr>
          <w:rFonts w:ascii="Times New Roman" w:hAnsi="Times New Roman" w:cs="Times New Roman"/>
          <w:sz w:val="24"/>
          <w:szCs w:val="24"/>
        </w:rPr>
        <w:t xml:space="preserve">. </w:t>
      </w:r>
    </w:p>
    <w:p w:rsidR="00356A4C" w:rsidRDefault="00356A4C"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Meaning is understood as emanating, at least in part, from social negotiations and construction within a group. Dekker (2008) emphasises the need to:</w:t>
      </w:r>
    </w:p>
    <w:p w:rsidR="009C0E9D" w:rsidRPr="00732DEF" w:rsidRDefault="009C0E9D" w:rsidP="00732DEF">
      <w:pPr>
        <w:spacing w:line="480" w:lineRule="auto"/>
        <w:ind w:left="720"/>
        <w:rPr>
          <w:rFonts w:ascii="Times New Roman" w:hAnsi="Times New Roman" w:cs="Times New Roman"/>
          <w:sz w:val="24"/>
          <w:szCs w:val="24"/>
        </w:rPr>
      </w:pPr>
      <w:r w:rsidRPr="00732DEF">
        <w:rPr>
          <w:rFonts w:ascii="Times New Roman" w:hAnsi="Times New Roman" w:cs="Times New Roman"/>
          <w:i/>
          <w:sz w:val="24"/>
          <w:szCs w:val="24"/>
        </w:rPr>
        <w:t>‘Understand how people use talk and action to construct perceptual and social order: how, through discourse and action, people create the environments that in turn determine further action and possible assessments, and that constrain what will subsequently be seen as acceptable discourse or rational decisions.’</w:t>
      </w:r>
      <w:r w:rsidRPr="00732DEF">
        <w:rPr>
          <w:rFonts w:ascii="Times New Roman" w:hAnsi="Times New Roman" w:cs="Times New Roman"/>
          <w:sz w:val="24"/>
          <w:szCs w:val="24"/>
        </w:rPr>
        <w:t xml:space="preserve"> </w:t>
      </w:r>
      <w:r w:rsidRPr="00732DEF">
        <w:rPr>
          <w:rFonts w:ascii="Times New Roman" w:hAnsi="Times New Roman" w:cs="Times New Roman"/>
          <w:noProof/>
          <w:sz w:val="24"/>
          <w:szCs w:val="24"/>
        </w:rPr>
        <w:t>(Dekker, 2008, p. xi.)</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Therefore, the focus is on the creation of rationality within groups, not just on their eventual presence. In this sense, the systems approach is ‘a model of processes, not just a model of structures’ </w:t>
      </w:r>
      <w:r w:rsidRPr="00732DEF">
        <w:rPr>
          <w:rFonts w:ascii="Times New Roman" w:hAnsi="Times New Roman" w:cs="Times New Roman"/>
          <w:noProof/>
          <w:sz w:val="24"/>
          <w:szCs w:val="24"/>
        </w:rPr>
        <w:t>(Dekker, 2005, p. 200)</w:t>
      </w:r>
      <w:r w:rsidRPr="00732DEF">
        <w:rPr>
          <w:rFonts w:ascii="Times New Roman" w:hAnsi="Times New Roman" w:cs="Times New Roman"/>
          <w:sz w:val="24"/>
          <w:szCs w:val="24"/>
        </w:rPr>
        <w:t xml:space="preserve">. In particular, this approach emphasises that, in addition to the availability of resources, including intangible resources such as training, knowledge and time </w:t>
      </w:r>
      <w:r w:rsidRPr="00732DEF">
        <w:rPr>
          <w:rFonts w:ascii="Times New Roman" w:hAnsi="Times New Roman" w:cs="Times New Roman"/>
          <w:noProof/>
          <w:sz w:val="24"/>
          <w:szCs w:val="24"/>
        </w:rPr>
        <w:t>(Woods &amp; Hollnagel, 2006)</w:t>
      </w:r>
      <w:r w:rsidRPr="00732DEF">
        <w:rPr>
          <w:rFonts w:ascii="Times New Roman" w:hAnsi="Times New Roman" w:cs="Times New Roman"/>
          <w:sz w:val="24"/>
          <w:szCs w:val="24"/>
        </w:rPr>
        <w:t xml:space="preserve">, workers’ behaviour can be influenced by ‘goal conflicts’, missing knowledge or misconceptions </w:t>
      </w:r>
      <w:r w:rsidRPr="00732DEF">
        <w:rPr>
          <w:rFonts w:ascii="Times New Roman" w:hAnsi="Times New Roman" w:cs="Times New Roman"/>
          <w:noProof/>
          <w:sz w:val="24"/>
          <w:szCs w:val="24"/>
        </w:rPr>
        <w:t>(Dekker, 2005; Rasmussen &amp; Svedung, 2000; Woods &amp; Cook, 1999)</w:t>
      </w:r>
      <w:r w:rsidRPr="00732DEF">
        <w:rPr>
          <w:rFonts w:ascii="Times New Roman" w:hAnsi="Times New Roman" w:cs="Times New Roman"/>
          <w:sz w:val="24"/>
          <w:szCs w:val="24"/>
        </w:rPr>
        <w:t xml:space="preserve"> and by bounded rationality </w:t>
      </w:r>
      <w:r w:rsidRPr="00732DEF">
        <w:rPr>
          <w:rFonts w:ascii="Times New Roman" w:hAnsi="Times New Roman" w:cs="Times New Roman"/>
          <w:noProof/>
          <w:sz w:val="24"/>
          <w:szCs w:val="24"/>
        </w:rPr>
        <w:t>(Simon, 1969, p. 38)</w:t>
      </w:r>
      <w:r w:rsidRPr="00732DEF">
        <w:rPr>
          <w:rFonts w:ascii="Times New Roman" w:hAnsi="Times New Roman" w:cs="Times New Roman"/>
          <w:sz w:val="24"/>
          <w:szCs w:val="24"/>
        </w:rPr>
        <w:t xml:space="preserve">. The latter refers to the </w:t>
      </w:r>
      <w:r w:rsidRPr="00732DEF">
        <w:rPr>
          <w:rFonts w:ascii="Times New Roman" w:hAnsi="Times New Roman" w:cs="Times New Roman"/>
          <w:sz w:val="24"/>
          <w:szCs w:val="24"/>
        </w:rPr>
        <w:lastRenderedPageBreak/>
        <w:t xml:space="preserve">finding that human beings do not see everything all the time. For example, an inappropriate mind-set may take hold and persists in the face of evidence that does not fit the assessment </w:t>
      </w:r>
      <w:r w:rsidRPr="00732DEF">
        <w:rPr>
          <w:rFonts w:ascii="Times New Roman" w:hAnsi="Times New Roman" w:cs="Times New Roman"/>
          <w:noProof/>
          <w:sz w:val="24"/>
          <w:szCs w:val="24"/>
        </w:rPr>
        <w:t>(Woods &amp; Cook, 1999)</w:t>
      </w:r>
      <w:r w:rsidRPr="00732DEF">
        <w:rPr>
          <w:rFonts w:ascii="Times New Roman" w:hAnsi="Times New Roman" w:cs="Times New Roman"/>
          <w:sz w:val="24"/>
          <w:szCs w:val="24"/>
        </w:rPr>
        <w:t>. On this point</w:t>
      </w:r>
      <w:r w:rsidRPr="00065ADF">
        <w:rPr>
          <w:rFonts w:ascii="Times New Roman" w:hAnsi="Times New Roman" w:cs="Times New Roman"/>
          <w:sz w:val="24"/>
          <w:szCs w:val="24"/>
        </w:rPr>
        <w:t xml:space="preserve">, Munro </w:t>
      </w:r>
      <w:r w:rsidRPr="00065ADF">
        <w:rPr>
          <w:rFonts w:ascii="Times New Roman" w:hAnsi="Times New Roman" w:cs="Times New Roman"/>
          <w:noProof/>
          <w:sz w:val="24"/>
          <w:szCs w:val="24"/>
        </w:rPr>
        <w:t>(2005a</w:t>
      </w:r>
      <w:r w:rsidRPr="00732DEF">
        <w:rPr>
          <w:rFonts w:ascii="Times New Roman" w:hAnsi="Times New Roman" w:cs="Times New Roman"/>
          <w:noProof/>
          <w:sz w:val="24"/>
          <w:szCs w:val="24"/>
        </w:rPr>
        <w:t>)</w:t>
      </w:r>
      <w:r w:rsidRPr="00732DEF">
        <w:rPr>
          <w:rFonts w:ascii="Times New Roman" w:hAnsi="Times New Roman" w:cs="Times New Roman"/>
          <w:sz w:val="24"/>
          <w:szCs w:val="24"/>
        </w:rPr>
        <w:t xml:space="preserve"> has pointed out that while the safety engineering literature has focused on cognitive elements of performance it has done so with little attention to emotions. Yet the emotional dimension is inevitably present in working with families. Workers can become emotionally involved in family dynamics and they also bring their own experiences (both constructive and not) to their work </w:t>
      </w:r>
      <w:r w:rsidRPr="00732DEF">
        <w:rPr>
          <w:rFonts w:ascii="Times New Roman" w:hAnsi="Times New Roman" w:cs="Times New Roman"/>
          <w:noProof/>
          <w:sz w:val="24"/>
          <w:szCs w:val="24"/>
        </w:rPr>
        <w:t>(Munro, 2005a)</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noProof/>
          <w:sz w:val="24"/>
          <w:szCs w:val="24"/>
        </w:rPr>
      </w:pPr>
      <w:r w:rsidRPr="00732DEF">
        <w:rPr>
          <w:rFonts w:ascii="Times New Roman" w:hAnsi="Times New Roman" w:cs="Times New Roman"/>
          <w:sz w:val="24"/>
          <w:szCs w:val="24"/>
        </w:rPr>
        <w:t xml:space="preserve">The safety engineering systems emphasis on the importance of exploring the conflicting goals which workers may need to manage </w:t>
      </w:r>
      <w:r w:rsidRPr="00732DEF">
        <w:rPr>
          <w:rFonts w:ascii="Times New Roman" w:hAnsi="Times New Roman" w:cs="Times New Roman"/>
          <w:noProof/>
          <w:sz w:val="24"/>
          <w:szCs w:val="24"/>
        </w:rPr>
        <w:t xml:space="preserve">(Dekker, 2002; Reason, 1997) was particularly important in our case study as it led to innovative findings, which challenged previous research on child contact centres.  </w:t>
      </w:r>
      <w:r w:rsidRPr="00732DEF">
        <w:rPr>
          <w:rFonts w:ascii="Times New Roman" w:hAnsi="Times New Roman" w:cs="Times New Roman"/>
          <w:sz w:val="24"/>
          <w:szCs w:val="24"/>
        </w:rPr>
        <w:t xml:space="preserve">As Woods and colleagues point out in relation to goal conflicts, ‘multiple goals may be relevant, not all of which are consistent. It may not be clear which goals are the most important ones to focus on at any one particular moment in time’ </w:t>
      </w:r>
      <w:r w:rsidRPr="00732DEF">
        <w:rPr>
          <w:rFonts w:ascii="Times New Roman" w:hAnsi="Times New Roman" w:cs="Times New Roman"/>
          <w:noProof/>
          <w:sz w:val="24"/>
          <w:szCs w:val="24"/>
        </w:rPr>
        <w:t>(Woods et al., 1994, p. 94)</w:t>
      </w:r>
      <w:r w:rsidRPr="00732DEF">
        <w:rPr>
          <w:rFonts w:ascii="Times New Roman" w:hAnsi="Times New Roman" w:cs="Times New Roman"/>
          <w:sz w:val="24"/>
          <w:szCs w:val="24"/>
        </w:rPr>
        <w:t xml:space="preserve">. This approach does not assume that organisational goals are necessarily explicit in written documents nor that the messages received by workers about the organisation’s goals will be those that management acknowledges </w:t>
      </w:r>
      <w:r w:rsidRPr="00732DEF">
        <w:rPr>
          <w:rFonts w:ascii="Times New Roman" w:hAnsi="Times New Roman" w:cs="Times New Roman"/>
          <w:noProof/>
          <w:sz w:val="24"/>
          <w:szCs w:val="24"/>
        </w:rPr>
        <w:t>(Woods &amp; Cook, 1999).</w:t>
      </w:r>
    </w:p>
    <w:p w:rsidR="009C0E9D" w:rsidRPr="00732DEF" w:rsidRDefault="009C0E9D" w:rsidP="00732DEF">
      <w:pPr>
        <w:spacing w:line="480" w:lineRule="auto"/>
        <w:rPr>
          <w:rFonts w:ascii="Times New Roman" w:hAnsi="Times New Roman" w:cs="Times New Roman"/>
          <w:sz w:val="24"/>
          <w:szCs w:val="24"/>
        </w:rPr>
      </w:pPr>
      <w:r w:rsidRPr="00732DEF" w:rsidDel="006B5B1E">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Previous research on supported child contact centres had identified problematic child protection practice, including not listening into conversations, not closely monitoring behaviour and not ensuring that volunteers were aware of case histories </w:t>
      </w:r>
      <w:r w:rsidRPr="00732DEF">
        <w:rPr>
          <w:rFonts w:ascii="Times New Roman" w:hAnsi="Times New Roman" w:cs="Times New Roman"/>
          <w:noProof/>
          <w:sz w:val="24"/>
          <w:szCs w:val="24"/>
        </w:rPr>
        <w:t>(Aris et al., 2002; Harrison, 2008; Thiara &amp; Gill, 2012)</w:t>
      </w:r>
      <w:r w:rsidRPr="00732DEF">
        <w:rPr>
          <w:rFonts w:ascii="Times New Roman" w:hAnsi="Times New Roman" w:cs="Times New Roman"/>
          <w:sz w:val="24"/>
          <w:szCs w:val="24"/>
        </w:rPr>
        <w:t xml:space="preserve">. Our research provided a new explanation for this behaviour and challenged previous research which had, for example, suggested that volunteers were not informed of case histories due to time constraints </w:t>
      </w:r>
      <w:r w:rsidRPr="00732DEF">
        <w:rPr>
          <w:rFonts w:ascii="Times New Roman" w:hAnsi="Times New Roman" w:cs="Times New Roman"/>
          <w:noProof/>
          <w:sz w:val="24"/>
          <w:szCs w:val="24"/>
        </w:rPr>
        <w:t xml:space="preserve">(Thiara &amp; Gill, 2012, p. </w:t>
      </w:r>
      <w:r w:rsidRPr="00732DEF">
        <w:rPr>
          <w:rFonts w:ascii="Times New Roman" w:hAnsi="Times New Roman" w:cs="Times New Roman"/>
          <w:noProof/>
          <w:sz w:val="24"/>
          <w:szCs w:val="24"/>
        </w:rPr>
        <w:lastRenderedPageBreak/>
        <w:t>128)</w:t>
      </w:r>
      <w:r w:rsidRPr="00732DEF">
        <w:rPr>
          <w:rFonts w:ascii="Times New Roman" w:hAnsi="Times New Roman" w:cs="Times New Roman"/>
          <w:sz w:val="24"/>
          <w:szCs w:val="24"/>
        </w:rPr>
        <w:t xml:space="preserve"> or concluded that this practice was “less understandable” than other aspects of practice </w:t>
      </w:r>
      <w:r w:rsidRPr="00732DEF">
        <w:rPr>
          <w:rFonts w:ascii="Times New Roman" w:hAnsi="Times New Roman" w:cs="Times New Roman"/>
          <w:noProof/>
          <w:sz w:val="24"/>
          <w:szCs w:val="24"/>
        </w:rPr>
        <w:t>(Harrison, 2008)</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As described in-depth elsewhere </w:t>
      </w:r>
      <w:r w:rsidRPr="00732DEF">
        <w:rPr>
          <w:rFonts w:ascii="Times New Roman" w:hAnsi="Times New Roman" w:cs="Times New Roman"/>
          <w:noProof/>
          <w:sz w:val="24"/>
          <w:szCs w:val="24"/>
        </w:rPr>
        <w:t>(Caffrey, 2015)</w:t>
      </w:r>
      <w:r w:rsidRPr="00732DEF">
        <w:rPr>
          <w:rFonts w:ascii="Times New Roman" w:hAnsi="Times New Roman" w:cs="Times New Roman"/>
          <w:sz w:val="24"/>
          <w:szCs w:val="24"/>
        </w:rPr>
        <w:t xml:space="preserve">, the study’s focus on ‘local rationalities’ and goal conflicts’ demonstrated that these practices were not accidental, but intentional, based on the meaning workers attributed to actions in the context of organisational goals. Workers were aware that child safety and protection are ‘everyone’s business’ and they were knowledgeable about their responsibility to refer child protection concerns to Children’s Social Care and the procedures for doing so. However, supported services also placed heavy emphasis on other goals: they emphasised the need to provide a ‘welcoming’ service, to facilitate contact between parent and child, to be ‘non-judgemental’ and ‘neutral’. It was found that the simultaneous emphasis on these goals could present a goal conflict </w:t>
      </w:r>
      <w:r w:rsidRPr="00732DEF">
        <w:rPr>
          <w:rFonts w:ascii="Times New Roman" w:hAnsi="Times New Roman" w:cs="Times New Roman"/>
          <w:noProof/>
          <w:sz w:val="24"/>
          <w:szCs w:val="24"/>
        </w:rPr>
        <w:t>(Woods et al., 1994, p. 94)</w:t>
      </w:r>
      <w:r w:rsidRPr="00732DEF">
        <w:rPr>
          <w:rFonts w:ascii="Times New Roman" w:hAnsi="Times New Roman" w:cs="Times New Roman"/>
          <w:sz w:val="24"/>
          <w:szCs w:val="24"/>
        </w:rPr>
        <w:t xml:space="preserve"> for workers. It influenced the meaning they attached to their actions, and could make child protection practice seem destructive rather than helpful. </w:t>
      </w:r>
    </w:p>
    <w:p w:rsidR="009C0E9D" w:rsidRPr="00732DEF" w:rsidRDefault="009C0E9D" w:rsidP="00732DEF">
      <w:pPr>
        <w:shd w:val="clear" w:color="auto" w:fill="FFFFFF"/>
        <w:spacing w:after="0" w:line="480" w:lineRule="auto"/>
        <w:rPr>
          <w:rFonts w:ascii="Times New Roman" w:eastAsia="Times New Roman" w:hAnsi="Times New Roman" w:cs="Times New Roman"/>
          <w:color w:val="231F20"/>
          <w:sz w:val="24"/>
          <w:szCs w:val="24"/>
          <w:lang w:eastAsia="en-GB"/>
        </w:rPr>
      </w:pPr>
    </w:p>
    <w:p w:rsidR="009C0E9D" w:rsidRPr="00732DEF" w:rsidRDefault="009C0E9D" w:rsidP="00732DEF">
      <w:pPr>
        <w:spacing w:line="480" w:lineRule="auto"/>
        <w:rPr>
          <w:rFonts w:ascii="Times New Roman" w:hAnsi="Times New Roman" w:cs="Times New Roman"/>
          <w:b/>
          <w:i/>
          <w:sz w:val="24"/>
          <w:szCs w:val="24"/>
        </w:rPr>
      </w:pPr>
      <w:r w:rsidRPr="00732DEF">
        <w:rPr>
          <w:rFonts w:ascii="Times New Roman" w:hAnsi="Times New Roman" w:cs="Times New Roman"/>
          <w:b/>
          <w:i/>
          <w:sz w:val="24"/>
          <w:szCs w:val="24"/>
        </w:rPr>
        <w:t xml:space="preserve">Socio-technical systems </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The tools used by actors are a particular concern in safety engineering systems </w:t>
      </w:r>
      <w:r w:rsidRPr="00732DEF">
        <w:rPr>
          <w:rFonts w:ascii="Times New Roman" w:hAnsi="Times New Roman" w:cs="Times New Roman"/>
          <w:noProof/>
          <w:sz w:val="24"/>
          <w:szCs w:val="24"/>
        </w:rPr>
        <w:t>(Dekker, 2008; Hoffman &amp; Woods, 2000; Hollnagel, 2003; Leveson, 2004; Wilson et al., 2003; Woods &amp; Cook, 1999)</w:t>
      </w:r>
      <w:r w:rsidRPr="00732DEF">
        <w:rPr>
          <w:rFonts w:ascii="Times New Roman" w:hAnsi="Times New Roman" w:cs="Times New Roman"/>
          <w:sz w:val="24"/>
          <w:szCs w:val="24"/>
        </w:rPr>
        <w:t xml:space="preserve">. Tools can be conceptualised in a broad sense </w:t>
      </w:r>
      <w:r w:rsidRPr="00732DEF">
        <w:rPr>
          <w:rFonts w:ascii="Times New Roman" w:hAnsi="Times New Roman" w:cs="Times New Roman"/>
          <w:noProof/>
          <w:sz w:val="24"/>
          <w:szCs w:val="24"/>
        </w:rPr>
        <w:t>(</w:t>
      </w:r>
      <w:r w:rsidR="00EF793B">
        <w:rPr>
          <w:rFonts w:ascii="Times New Roman" w:hAnsi="Times New Roman" w:cs="Times New Roman"/>
          <w:noProof/>
          <w:sz w:val="24"/>
          <w:szCs w:val="24"/>
        </w:rPr>
        <w:t>Munro</w:t>
      </w:r>
      <w:r w:rsidRPr="00732DEF">
        <w:rPr>
          <w:rFonts w:ascii="Times New Roman" w:hAnsi="Times New Roman" w:cs="Times New Roman"/>
          <w:noProof/>
          <w:sz w:val="24"/>
          <w:szCs w:val="24"/>
        </w:rPr>
        <w:t>, 2005b)</w:t>
      </w:r>
      <w:r w:rsidRPr="00732DEF">
        <w:rPr>
          <w:rFonts w:ascii="Times New Roman" w:hAnsi="Times New Roman" w:cs="Times New Roman"/>
          <w:sz w:val="24"/>
          <w:szCs w:val="24"/>
        </w:rPr>
        <w:t xml:space="preserve"> and in our case study, the systems concept of tools was applied to the forms that were used: Protocols for Referral to child contact centres and the Standard Referral Form.  These had been introduced nationally to address problematic child protection practice, and their use was made compulsory as a requirement for contact centre accreditation.</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lastRenderedPageBreak/>
        <w:t xml:space="preserve">In keeping with the systems approach, we did not assume that these tools would have a positive effect, so long as actors used them. Instead, we assumed that these tools could have unexpected effects and investigated how the tools might influence and be influenced by factors on the ground in potentially unexpected ways. While earlier approaches in engineering took a dualist approach to workers and tools, this study adopted the more recent systems conceptualisation, recognising the interdependence between tools and workers and the influence they have on one another </w:t>
      </w:r>
      <w:r w:rsidRPr="00732DEF">
        <w:rPr>
          <w:rFonts w:ascii="Times New Roman" w:hAnsi="Times New Roman" w:cs="Times New Roman"/>
          <w:noProof/>
          <w:sz w:val="24"/>
          <w:szCs w:val="24"/>
        </w:rPr>
        <w:t>(Bockley, 1996; Dekker, 2008; Hoffman &amp; Woods, 2000; Hollnagel, 2003; Pool, 1997; Reason, 1990; Woods &amp; Hollnagel, 2006)</w:t>
      </w:r>
      <w:r w:rsidRPr="00732DEF">
        <w:rPr>
          <w:rFonts w:ascii="Times New Roman" w:hAnsi="Times New Roman" w:cs="Times New Roman"/>
          <w:sz w:val="24"/>
          <w:szCs w:val="24"/>
        </w:rPr>
        <w:t xml:space="preserve">. Indeed the tools and the staff using them were conceptualised, not as separate units, but as a human-tool system. This moved the analysis away from how well staff used tools to a focus on how well tools and users interacted with each other </w:t>
      </w:r>
      <w:r w:rsidRPr="00732DEF">
        <w:rPr>
          <w:rFonts w:ascii="Times New Roman" w:hAnsi="Times New Roman" w:cs="Times New Roman"/>
          <w:noProof/>
          <w:sz w:val="24"/>
          <w:szCs w:val="24"/>
        </w:rPr>
        <w:t>(Hoffman &amp; Woods, 2000; Hollnagel, 2003; Leveson, 2004; Woods &amp; Hollnagel, 2006)</w:t>
      </w:r>
      <w:r w:rsidRPr="00732DEF">
        <w:rPr>
          <w:rFonts w:ascii="Times New Roman" w:hAnsi="Times New Roman" w:cs="Times New Roman"/>
          <w:sz w:val="24"/>
          <w:szCs w:val="24"/>
        </w:rPr>
        <w:t xml:space="preserve">. In other words, we focused on the interactions within the entire socio-technical system, rather than the parts taken separately </w:t>
      </w:r>
      <w:r w:rsidRPr="00732DEF">
        <w:rPr>
          <w:rFonts w:ascii="Times New Roman" w:hAnsi="Times New Roman" w:cs="Times New Roman"/>
          <w:noProof/>
          <w:sz w:val="24"/>
          <w:szCs w:val="24"/>
        </w:rPr>
        <w:t>(Leveson, 2004, p. 249)</w:t>
      </w:r>
      <w:r w:rsidRPr="00732DEF">
        <w:rPr>
          <w:rFonts w:ascii="Times New Roman" w:hAnsi="Times New Roman" w:cs="Times New Roman"/>
          <w:sz w:val="24"/>
          <w:szCs w:val="24"/>
        </w:rPr>
        <w:t xml:space="preserve">. The study investigated to what extent these tools were ‘user-centred’ </w:t>
      </w:r>
      <w:r w:rsidRPr="00732DEF">
        <w:rPr>
          <w:rFonts w:ascii="Times New Roman" w:hAnsi="Times New Roman" w:cs="Times New Roman"/>
          <w:noProof/>
          <w:sz w:val="24"/>
          <w:szCs w:val="24"/>
        </w:rPr>
        <w:t>(Norman, 1993)</w:t>
      </w:r>
      <w:r w:rsidRPr="00732DEF">
        <w:rPr>
          <w:rFonts w:ascii="Times New Roman" w:hAnsi="Times New Roman" w:cs="Times New Roman"/>
          <w:sz w:val="24"/>
          <w:szCs w:val="24"/>
        </w:rPr>
        <w:t xml:space="preserve">: whether they are designed with the capacity of users (both referrers and centre staff) in mind and how the interaction of design and user impacts on practice.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This systems concept enabled us to take a different approach to previous research </w:t>
      </w:r>
      <w:r w:rsidRPr="00732DEF">
        <w:rPr>
          <w:rFonts w:ascii="Times New Roman" w:hAnsi="Times New Roman" w:cs="Times New Roman"/>
          <w:noProof/>
          <w:sz w:val="24"/>
          <w:szCs w:val="24"/>
        </w:rPr>
        <w:t>(Thiara &amp; Gill, 2012)</w:t>
      </w:r>
      <w:r w:rsidRPr="00732DEF">
        <w:rPr>
          <w:rFonts w:ascii="Times New Roman" w:hAnsi="Times New Roman" w:cs="Times New Roman"/>
          <w:sz w:val="24"/>
          <w:szCs w:val="24"/>
        </w:rPr>
        <w:t xml:space="preserve">, which had not positioned the reforms themselves as a focus for investigation. Indeed, our approach contrasted starkly with the perspective characterised by an official who was uncritically reported in previous research to have suggested that child protection problems remained in child contact centres because some centres struggled to get ‘their staff to accept and use those procedures in a planned and coordinated way’ </w:t>
      </w:r>
      <w:r w:rsidRPr="00732DEF">
        <w:rPr>
          <w:rFonts w:ascii="Times New Roman" w:hAnsi="Times New Roman" w:cs="Times New Roman"/>
          <w:noProof/>
          <w:sz w:val="24"/>
          <w:szCs w:val="24"/>
        </w:rPr>
        <w:t>(Thiara &amp; Gill, 2012, p. 129 )</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lastRenderedPageBreak/>
        <w:t xml:space="preserve">Our conceptual approach led to new findings that helped to explain a worrying phenomenon of high-risk cases being inappropriately referred to supported contact centres, which were not equipped to provide the level of supervision that was needed to protect the child. As outlined in detail elsewhere </w:t>
      </w:r>
      <w:r w:rsidRPr="00732DEF">
        <w:rPr>
          <w:rFonts w:ascii="Times New Roman" w:hAnsi="Times New Roman" w:cs="Times New Roman"/>
          <w:noProof/>
          <w:sz w:val="24"/>
          <w:szCs w:val="24"/>
        </w:rPr>
        <w:t>(Caffrey, 2014)</w:t>
      </w:r>
      <w:r w:rsidRPr="00732DEF">
        <w:rPr>
          <w:rFonts w:ascii="Times New Roman" w:hAnsi="Times New Roman" w:cs="Times New Roman"/>
          <w:sz w:val="24"/>
          <w:szCs w:val="24"/>
        </w:rPr>
        <w:t xml:space="preserve">, the study illustrated that inappropriate referrals persisted because attempts to address the issue have focused on providing technical aids to referral (the Protocols and Referral Form) but have not ensured that the appropriate level of professional training is in place to use them. Our study found that both referrers and those receiving the forms had varied perceptions of each other’s role. Moreover, among referrers there were significant deficiencies in the skills needed to complete the form: the ability to a) effectively collect relevant information about families b) communicate that information to other actors and c) analyse that information to make decisions about appropriate referral.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Referrers often assumed that centres were making, and were equipped to make, decisions about whether the case could be safely managed at that centre. The case study centres in turn assumed that, since they were not equipped to undertake this work, it was being done by referrers before making the referral. As a result, often no actor in the system was undertaking the difficult task of making decisions about  what level of supervision was needed to protect the child and so, in the absence of a system to reject them, unsafe cases continued to be referred and facilitated. In this sense, the referral form, a tool developed in in an attempt to improve performance, was ‘interacting in such a way that the cumulative effect [was] negative’ </w:t>
      </w:r>
      <w:r w:rsidR="00065ADF" w:rsidRPr="00065ADF">
        <w:rPr>
          <w:rFonts w:ascii="Times New Roman" w:hAnsi="Times New Roman" w:cs="Times New Roman"/>
          <w:noProof/>
          <w:sz w:val="24"/>
          <w:szCs w:val="24"/>
        </w:rPr>
        <w:t>(Munro, 2010, p. 1136</w:t>
      </w:r>
      <w:r w:rsidR="00065ADF" w:rsidRPr="00065ADF">
        <w:rPr>
          <w:rFonts w:ascii="Times New Roman" w:hAnsi="Times New Roman" w:cs="Times New Roman"/>
          <w:sz w:val="24"/>
          <w:szCs w:val="24"/>
        </w:rPr>
        <w:t xml:space="preserve"> s</w:t>
      </w:r>
      <w:r w:rsidRPr="00065ADF">
        <w:rPr>
          <w:rFonts w:ascii="Times New Roman" w:hAnsi="Times New Roman" w:cs="Times New Roman"/>
          <w:sz w:val="24"/>
          <w:szCs w:val="24"/>
        </w:rPr>
        <w:t xml:space="preserve">ee also </w:t>
      </w:r>
      <w:r w:rsidRPr="00065ADF">
        <w:rPr>
          <w:rFonts w:ascii="Times New Roman" w:hAnsi="Times New Roman" w:cs="Times New Roman"/>
          <w:noProof/>
          <w:sz w:val="24"/>
          <w:szCs w:val="24"/>
        </w:rPr>
        <w:t>Hoffman &amp; Woods, 2000; Hollnagel, 2003; Woods &amp; Hollnagel, 2006)</w:t>
      </w:r>
    </w:p>
    <w:p w:rsidR="009C0E9D" w:rsidRPr="00732DEF" w:rsidRDefault="009C0E9D" w:rsidP="00732DEF">
      <w:pPr>
        <w:spacing w:line="480" w:lineRule="auto"/>
        <w:rPr>
          <w:rFonts w:ascii="Times New Roman" w:hAnsi="Times New Roman" w:cs="Times New Roman"/>
          <w:b/>
          <w:sz w:val="24"/>
          <w:szCs w:val="24"/>
        </w:rPr>
      </w:pPr>
    </w:p>
    <w:p w:rsidR="009C0E9D" w:rsidRPr="00732DEF" w:rsidRDefault="009C0E9D" w:rsidP="00732DEF">
      <w:pPr>
        <w:spacing w:line="480" w:lineRule="auto"/>
        <w:rPr>
          <w:rFonts w:ascii="Times New Roman" w:hAnsi="Times New Roman" w:cs="Times New Roman"/>
          <w:b/>
          <w:i/>
          <w:sz w:val="24"/>
          <w:szCs w:val="24"/>
        </w:rPr>
      </w:pPr>
      <w:r w:rsidRPr="00732DEF">
        <w:rPr>
          <w:rFonts w:ascii="Times New Roman" w:hAnsi="Times New Roman" w:cs="Times New Roman"/>
          <w:b/>
          <w:i/>
          <w:sz w:val="24"/>
          <w:szCs w:val="24"/>
        </w:rPr>
        <w:t xml:space="preserve">Feedback for Learning </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lastRenderedPageBreak/>
        <w:t xml:space="preserve">Systems approaches assume that systems are adaptive and so self-organising. In organisations like child contact centres, workers, families, referrers etc. react and adapt based on their own perspective and experiences. There are always many possible reactions to any action and so the sum of these is unpredictable. Sometimes small changes can escalate into large outcomes. Therefore, while leaders and managers can choose, plan and implement a policy, they cannot choose, plan or control the outcomes of that policy </w:t>
      </w:r>
      <w:r w:rsidRPr="00732DEF">
        <w:rPr>
          <w:rFonts w:ascii="Times New Roman" w:hAnsi="Times New Roman" w:cs="Times New Roman"/>
          <w:noProof/>
          <w:sz w:val="24"/>
          <w:szCs w:val="24"/>
        </w:rPr>
        <w:t>(Caffrey, Wolfe, &amp; McKevitt, 2016; Stacey, 2011)</w:t>
      </w:r>
      <w:r w:rsidRPr="00732DEF">
        <w:rPr>
          <w:rFonts w:ascii="Times New Roman" w:hAnsi="Times New Roman" w:cs="Times New Roman"/>
          <w:sz w:val="24"/>
          <w:szCs w:val="24"/>
        </w:rPr>
        <w:t xml:space="preserve">. For this reason, systems approaches focus attention on the capacity of the system to receive feedback for learning so that it can adapt to the unpredictability of policy implementation outcomes. Further, the system of feedback itself becomes a focus for investigation, since it may also influence the system in unpredictable ways </w:t>
      </w:r>
      <w:r w:rsidRPr="00732DEF">
        <w:rPr>
          <w:rFonts w:ascii="Times New Roman" w:hAnsi="Times New Roman" w:cs="Times New Roman"/>
          <w:noProof/>
          <w:sz w:val="24"/>
          <w:szCs w:val="24"/>
        </w:rPr>
        <w:t>(Dekker, 2008; Reason, 1997; Woods &amp; Cook, 2002)</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Organisations often have formal mechanisms for feedback. The political culture since the 1980’s has seen growing regulation and demand for accountability of publicly funded services </w:t>
      </w:r>
      <w:r w:rsidRPr="00732DEF">
        <w:rPr>
          <w:rFonts w:ascii="Times New Roman" w:hAnsi="Times New Roman" w:cs="Times New Roman"/>
          <w:noProof/>
          <w:sz w:val="24"/>
          <w:szCs w:val="24"/>
        </w:rPr>
        <w:t>(Anheier, 2009; Hood, 1991)</w:t>
      </w:r>
      <w:r w:rsidRPr="00732DEF">
        <w:rPr>
          <w:rFonts w:ascii="Times New Roman" w:hAnsi="Times New Roman" w:cs="Times New Roman"/>
          <w:sz w:val="24"/>
          <w:szCs w:val="24"/>
        </w:rPr>
        <w:t xml:space="preserve">, exemplified by the rise of New Public Management (NPM) </w:t>
      </w:r>
      <w:r w:rsidRPr="00732DEF">
        <w:rPr>
          <w:rFonts w:ascii="Times New Roman" w:hAnsi="Times New Roman" w:cs="Times New Roman"/>
          <w:noProof/>
          <w:sz w:val="24"/>
          <w:szCs w:val="24"/>
        </w:rPr>
        <w:t>(Hood, 1991)</w:t>
      </w:r>
      <w:r w:rsidRPr="00732DEF">
        <w:rPr>
          <w:rFonts w:ascii="Times New Roman" w:hAnsi="Times New Roman" w:cs="Times New Roman"/>
          <w:sz w:val="24"/>
          <w:szCs w:val="24"/>
        </w:rPr>
        <w:t xml:space="preserve">. At the same time, the state has increasingly played an indirect role in service provision, relying on the voluntary and private sectors to provide services which receive important levels of public funding </w:t>
      </w:r>
      <w:r w:rsidRPr="00732DEF">
        <w:rPr>
          <w:rFonts w:ascii="Times New Roman" w:hAnsi="Times New Roman" w:cs="Times New Roman"/>
          <w:noProof/>
          <w:sz w:val="24"/>
          <w:szCs w:val="24"/>
        </w:rPr>
        <w:t>(Hood, 1991; Kramer, 1994, 2000; Salamon, 1995; P. Smith, 1993)</w:t>
      </w:r>
      <w:r w:rsidRPr="00732DEF">
        <w:rPr>
          <w:rFonts w:ascii="Times New Roman" w:hAnsi="Times New Roman" w:cs="Times New Roman"/>
          <w:sz w:val="24"/>
          <w:szCs w:val="24"/>
        </w:rPr>
        <w:t xml:space="preserve">, as in the case of contact centres. These publicly funded (but not publicly provided) services have therefore also increasingly been subject to forms of regulation and accountability to assess their performance </w:t>
      </w:r>
      <w:r w:rsidRPr="00732DEF">
        <w:rPr>
          <w:rFonts w:ascii="Times New Roman" w:hAnsi="Times New Roman" w:cs="Times New Roman"/>
          <w:noProof/>
          <w:sz w:val="24"/>
          <w:szCs w:val="24"/>
        </w:rPr>
        <w:t>(Kramer, 1994; Rhodes, 2000; P. Smith, 1993; R. S. Smith et al., 2010)</w:t>
      </w:r>
      <w:r w:rsidRPr="00732DEF">
        <w:rPr>
          <w:rFonts w:ascii="Times New Roman" w:hAnsi="Times New Roman" w:cs="Times New Roman"/>
          <w:sz w:val="24"/>
          <w:szCs w:val="24"/>
        </w:rPr>
        <w:t>. However, in an effort to limit fina</w:t>
      </w:r>
      <w:bookmarkStart w:id="0" w:name="_GoBack"/>
      <w:bookmarkEnd w:id="0"/>
      <w:r w:rsidRPr="00732DEF">
        <w:rPr>
          <w:rFonts w:ascii="Times New Roman" w:hAnsi="Times New Roman" w:cs="Times New Roman"/>
          <w:sz w:val="24"/>
          <w:szCs w:val="24"/>
        </w:rPr>
        <w:t xml:space="preserve">ncial and time costs, trends in systems of accountability have tended to focus on indirect checks or indicators rather than on direct observation of practice </w:t>
      </w:r>
      <w:r w:rsidRPr="00732DEF">
        <w:rPr>
          <w:rFonts w:ascii="Times New Roman" w:hAnsi="Times New Roman" w:cs="Times New Roman"/>
          <w:noProof/>
          <w:sz w:val="24"/>
          <w:szCs w:val="24"/>
        </w:rPr>
        <w:t xml:space="preserve">(Hood, 1991; Hood et al., 2001; </w:t>
      </w:r>
      <w:r w:rsidR="00EF793B">
        <w:rPr>
          <w:rFonts w:ascii="Times New Roman" w:hAnsi="Times New Roman" w:cs="Times New Roman"/>
          <w:noProof/>
          <w:sz w:val="24"/>
          <w:szCs w:val="24"/>
        </w:rPr>
        <w:t>Munro</w:t>
      </w:r>
      <w:r w:rsidRPr="00732DEF">
        <w:rPr>
          <w:rFonts w:ascii="Times New Roman" w:hAnsi="Times New Roman" w:cs="Times New Roman"/>
          <w:noProof/>
          <w:sz w:val="24"/>
          <w:szCs w:val="24"/>
        </w:rPr>
        <w:t>, 2004; Power, 2007)</w:t>
      </w:r>
      <w:r w:rsidRPr="00732DEF">
        <w:rPr>
          <w:rFonts w:ascii="Times New Roman" w:hAnsi="Times New Roman" w:cs="Times New Roman"/>
          <w:sz w:val="24"/>
          <w:szCs w:val="24"/>
        </w:rPr>
        <w:t xml:space="preserve">. There are concerns about the quality of the information collected through such systems and </w:t>
      </w:r>
      <w:r w:rsidRPr="00732DEF">
        <w:rPr>
          <w:rFonts w:ascii="Times New Roman" w:hAnsi="Times New Roman" w:cs="Times New Roman"/>
          <w:sz w:val="24"/>
          <w:szCs w:val="24"/>
        </w:rPr>
        <w:lastRenderedPageBreak/>
        <w:t xml:space="preserve">about the extent to which indicators provide a meaningful reflection of practice </w:t>
      </w:r>
      <w:r w:rsidRPr="00732DEF">
        <w:rPr>
          <w:rFonts w:ascii="Times New Roman" w:hAnsi="Times New Roman" w:cs="Times New Roman"/>
          <w:noProof/>
          <w:sz w:val="24"/>
          <w:szCs w:val="24"/>
        </w:rPr>
        <w:t>(Dekker, 2007; Munro, 2004; Power, 2007)</w:t>
      </w:r>
      <w:r w:rsidRPr="00732DEF">
        <w:rPr>
          <w:rFonts w:ascii="Times New Roman" w:hAnsi="Times New Roman" w:cs="Times New Roman"/>
          <w:sz w:val="24"/>
          <w:szCs w:val="24"/>
        </w:rPr>
        <w:t xml:space="preserve">. Moreover, such an approach to feedback may influence practice in unintended and sometimes unwanted ways. Indeed, the Munro Review (2011) found that in the statutory system, the focus on keeping records to demonstrate compliance with guidelines was diverting social workers’ attention and time away from children and families.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A key finding in this case study was that child protection practice in child contact centres was influenced by an ineffective system of feedback for learning. It was found that the national system for quality assessing and accrediting child contact centres was based on determining whether centres had complied with certain rules. The process for accreditation was reported to involve an official interviewing the centre manager at the centre and examining the centre’s policies and other documentation. However, the centres’ practice itself was not observed. For example, in relation to the process of referring families to centres, the focus was on whether centres were using the Standard Referral Form.  As discussed above, the use of the form in itself was insufficient to ensure safe referral and so the feedback mechanism could say little about the quality of child protection practice.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Interviews with referrers suggested that the accreditation system could provide a false sense of security since some referrers assumed that accredited centres would have the capacity to assess whether cases they referred could be safely facilitated. In this sense, the accreditation system could make practice less, rather than more, safe. Moreover, the accreditation system was insufficiently sensitive to pick up on problematic practice or its causes and so there was no means by which the system could identify problems with a view to adapting. This </w:t>
      </w:r>
      <w:r w:rsidRPr="00732DEF">
        <w:rPr>
          <w:rFonts w:ascii="Times New Roman" w:hAnsi="Times New Roman" w:cs="Times New Roman"/>
          <w:sz w:val="24"/>
          <w:szCs w:val="24"/>
        </w:rPr>
        <w:lastRenderedPageBreak/>
        <w:t>inadequate feedback sustained the role ambiguities for both centres and referrers. It also contributed to gaps in the child protection net, where important aspects of practice, unbeknown to parts of the system relying on them, were omitted or inadequately undertaken.</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t>Discussion and conclusions</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This paper sought to demonstrate how a systems approach can be used to contribute new knowledge and understanding to a complex policy problem. All studies, whether consciously or not, make conceptual assumptions, which affect how the researchers see that which they are researching. Yet much policy evaluation proceeds without explicit reference to the study’s underlying assumptions, its conceptual framework </w:t>
      </w:r>
      <w:r w:rsidRPr="00732DEF">
        <w:rPr>
          <w:rFonts w:ascii="Times New Roman" w:hAnsi="Times New Roman" w:cs="Times New Roman"/>
          <w:noProof/>
          <w:sz w:val="24"/>
          <w:szCs w:val="24"/>
        </w:rPr>
        <w:t>(Callaghan, 2008; Sanderson, 2000)</w:t>
      </w:r>
      <w:r w:rsidRPr="00732DEF">
        <w:rPr>
          <w:rFonts w:ascii="Times New Roman" w:hAnsi="Times New Roman" w:cs="Times New Roman"/>
          <w:sz w:val="24"/>
          <w:szCs w:val="24"/>
        </w:rPr>
        <w:t xml:space="preserve">. Indeed, the dominant evaluation paradigm, characterised by the Evidence Based Policy movement, emphasises methodology rather than theory as the basis of ‘good’ evaluation. Its lack of focus on the values and interests embodied in the goals and objectives of policies and research methodologies, may encourage the persistence of prevailing assumptions and disempower the voices of those at the front line of service provision </w:t>
      </w:r>
      <w:r w:rsidRPr="00732DEF">
        <w:rPr>
          <w:rFonts w:ascii="Times New Roman" w:hAnsi="Times New Roman" w:cs="Times New Roman"/>
          <w:noProof/>
          <w:sz w:val="24"/>
          <w:szCs w:val="24"/>
        </w:rPr>
        <w:t>(Sanderson, 2000)</w:t>
      </w:r>
      <w:r w:rsidRPr="00732DEF">
        <w:rPr>
          <w:rFonts w:ascii="Times New Roman" w:hAnsi="Times New Roman" w:cs="Times New Roman"/>
          <w:sz w:val="24"/>
          <w:szCs w:val="24"/>
        </w:rPr>
        <w:t xml:space="preserve">. Along with other theory-based evaluation approaches </w:t>
      </w:r>
      <w:r w:rsidRPr="00732DEF">
        <w:rPr>
          <w:rFonts w:ascii="Times New Roman" w:hAnsi="Times New Roman" w:cs="Times New Roman"/>
          <w:noProof/>
          <w:sz w:val="24"/>
          <w:szCs w:val="24"/>
        </w:rPr>
        <w:t>(Pawson &amp; Tilley, 1997; Weiss, 1995)</w:t>
      </w:r>
      <w:r w:rsidRPr="00732DEF">
        <w:rPr>
          <w:rFonts w:ascii="Times New Roman" w:hAnsi="Times New Roman" w:cs="Times New Roman"/>
          <w:sz w:val="24"/>
          <w:szCs w:val="24"/>
        </w:rPr>
        <w:t xml:space="preserve"> systems approaches may offer a framework to re-conceptualise evaluation and empower marginalised perspectives </w:t>
      </w:r>
      <w:r w:rsidRPr="00732DEF">
        <w:rPr>
          <w:rFonts w:ascii="Times New Roman" w:hAnsi="Times New Roman" w:cs="Times New Roman"/>
          <w:noProof/>
          <w:sz w:val="24"/>
          <w:szCs w:val="24"/>
        </w:rPr>
        <w:t>(Midgley, 2007)</w:t>
      </w:r>
      <w:r w:rsidRPr="00732DEF">
        <w:rPr>
          <w:rFonts w:ascii="Times New Roman" w:hAnsi="Times New Roman" w:cs="Times New Roman"/>
          <w:sz w:val="24"/>
          <w:szCs w:val="24"/>
        </w:rPr>
        <w:t xml:space="preserve">.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This article contributes to knowledge in the area of policy evaluation by demonstrating how systems concepts, derived from safety systems engineering, can be used for the purpose of policy evaluation. In this respect it builds on the current literature applying systems approaches to evaluation </w:t>
      </w:r>
      <w:r w:rsidRPr="00732DEF">
        <w:rPr>
          <w:rFonts w:ascii="Times New Roman" w:hAnsi="Times New Roman" w:cs="Times New Roman"/>
          <w:noProof/>
          <w:sz w:val="24"/>
          <w:szCs w:val="24"/>
        </w:rPr>
        <w:t>(Williams &amp; Imam, 2007;</w:t>
      </w:r>
      <w:r w:rsidRPr="00732DEF">
        <w:rPr>
          <w:rFonts w:ascii="Times New Roman" w:hAnsi="Times New Roman" w:cs="Times New Roman"/>
          <w:sz w:val="24"/>
          <w:szCs w:val="24"/>
        </w:rPr>
        <w:t xml:space="preserve"> Reynolds, 2014; Hummelbrunner, 2011) As we have illustrated, the systems concepts of ‘emergence’, ‘local rationalities’, ‘socio-</w:t>
      </w:r>
      <w:r w:rsidRPr="00732DEF">
        <w:rPr>
          <w:rFonts w:ascii="Times New Roman" w:hAnsi="Times New Roman" w:cs="Times New Roman"/>
          <w:sz w:val="24"/>
          <w:szCs w:val="24"/>
        </w:rPr>
        <w:lastRenderedPageBreak/>
        <w:t xml:space="preserve">technical systems’ and ‘feedback for learning’ provided an explicit conceptual framework for the case study research.  This framework ensured that our assumptions were laid bare and provided a lens that was central to delivering new contributions to knowledge on this topic. The study’s findings identified, for the first time, that diverse ways of engaging with children were a product, not just of factors within contact centres but of dynamic interactions with the wider Family Justice and Children’s Social Care systems. It challenged previous research by demonstrating that organisational goal conflicts contributed to problematic practice in supported centres and identified that unsafe referrals to supported services had not been addressed by the Standard Referral Form and Protocols for Referral because of poor tool-user design and interaction: the skills required to use these forms effectively were not in place amongst either referrers or centres. Finally, the study demonstrated that the accreditation system provided inadequate feedback for learning and contributed to problematic practice as accreditation misleadingly implied to some referrers that centres had adequate support to safely facilitate difficult cases.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While it has been argued that systems approaches are too abstracted for the purpose of evaluation </w:t>
      </w:r>
      <w:r w:rsidRPr="00732DEF">
        <w:rPr>
          <w:rFonts w:ascii="Times New Roman" w:hAnsi="Times New Roman" w:cs="Times New Roman"/>
          <w:noProof/>
          <w:sz w:val="24"/>
          <w:szCs w:val="24"/>
        </w:rPr>
        <w:t>(Pawson, 2013)</w:t>
      </w:r>
      <w:r w:rsidRPr="00732DEF" w:rsidDel="004972C3">
        <w:rPr>
          <w:rFonts w:ascii="Times New Roman" w:hAnsi="Times New Roman" w:cs="Times New Roman"/>
          <w:sz w:val="24"/>
          <w:szCs w:val="24"/>
        </w:rPr>
        <w:t xml:space="preserve"> </w:t>
      </w:r>
      <w:r w:rsidRPr="00732DEF">
        <w:rPr>
          <w:rFonts w:ascii="Times New Roman" w:hAnsi="Times New Roman" w:cs="Times New Roman"/>
          <w:sz w:val="24"/>
          <w:szCs w:val="24"/>
        </w:rPr>
        <w:t xml:space="preserve">and that they struggle to account for micro-level action </w:t>
      </w:r>
      <w:r w:rsidRPr="00732DEF">
        <w:rPr>
          <w:rFonts w:ascii="Times New Roman" w:hAnsi="Times New Roman" w:cs="Times New Roman"/>
          <w:noProof/>
          <w:sz w:val="24"/>
          <w:szCs w:val="24"/>
        </w:rPr>
        <w:t>(May, 2006)</w:t>
      </w:r>
      <w:r w:rsidRPr="00732DEF">
        <w:rPr>
          <w:rFonts w:ascii="Times New Roman" w:hAnsi="Times New Roman" w:cs="Times New Roman"/>
          <w:sz w:val="24"/>
          <w:szCs w:val="24"/>
        </w:rPr>
        <w:t xml:space="preserve"> this argument would seem to belie the diversity of systems approaches. While some approaches focus on explanation at the aggregate level, others engage directly with the agency of individuals and collectives. We would suggest, after Peters </w:t>
      </w:r>
      <w:r w:rsidRPr="00732DEF">
        <w:rPr>
          <w:rFonts w:ascii="Times New Roman" w:hAnsi="Times New Roman" w:cs="Times New Roman"/>
          <w:noProof/>
          <w:sz w:val="24"/>
          <w:szCs w:val="24"/>
        </w:rPr>
        <w:t xml:space="preserve">(2014, p. 2), </w:t>
      </w:r>
      <w:r w:rsidRPr="00732DEF">
        <w:rPr>
          <w:rFonts w:ascii="Times New Roman" w:hAnsi="Times New Roman" w:cs="Times New Roman"/>
          <w:sz w:val="24"/>
          <w:szCs w:val="24"/>
        </w:rPr>
        <w:t xml:space="preserve">that different systems models are appropriate for different research questions. As we have demonstrated, the systems safety approach adopted in this study retains a distinct focus on micro-interactions, particularly through the focus on exploring ‘local rationalities’ and directly observing actors’ behaviour. At the same time, the approach situates micro-level </w:t>
      </w:r>
      <w:r w:rsidRPr="00732DEF">
        <w:rPr>
          <w:rFonts w:ascii="Times New Roman" w:hAnsi="Times New Roman" w:cs="Times New Roman"/>
          <w:sz w:val="24"/>
          <w:szCs w:val="24"/>
        </w:rPr>
        <w:lastRenderedPageBreak/>
        <w:t xml:space="preserve">behaviour within a systems framework, enabling a systems-level explanation for observed patterns of behaviour.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Questions of accountability are intrinsically linked to policy evaluation, particularly in the current context of New Public Management </w:t>
      </w:r>
      <w:r w:rsidRPr="00732DEF">
        <w:rPr>
          <w:rFonts w:ascii="Times New Roman" w:hAnsi="Times New Roman" w:cs="Times New Roman"/>
          <w:noProof/>
          <w:sz w:val="24"/>
          <w:szCs w:val="24"/>
        </w:rPr>
        <w:t>(Hood, 1991)</w:t>
      </w:r>
      <w:r w:rsidRPr="00732DEF">
        <w:rPr>
          <w:rFonts w:ascii="Times New Roman" w:hAnsi="Times New Roman" w:cs="Times New Roman"/>
          <w:sz w:val="24"/>
          <w:szCs w:val="24"/>
        </w:rPr>
        <w:t xml:space="preserve">. Concerns have been raised that systems approaches diminish accountability </w:t>
      </w:r>
      <w:r w:rsidRPr="00732DEF">
        <w:rPr>
          <w:rFonts w:ascii="Times New Roman" w:hAnsi="Times New Roman" w:cs="Times New Roman"/>
          <w:noProof/>
          <w:sz w:val="24"/>
          <w:szCs w:val="24"/>
        </w:rPr>
        <w:t>(Aveling et al., 2015). However,</w:t>
      </w:r>
      <w:r w:rsidRPr="00732DEF">
        <w:rPr>
          <w:rFonts w:ascii="Times New Roman" w:hAnsi="Times New Roman" w:cs="Times New Roman"/>
          <w:sz w:val="24"/>
          <w:szCs w:val="24"/>
        </w:rPr>
        <w:t xml:space="preserve"> system safety studies have challenged this assertion, illustrating that punitive, blame-focused approaches are problematic, not only because the line between blameworthy and un-blameworthy acts is often blurred, but also because punitive approaches may not be effective in changing behaviour </w:t>
      </w:r>
      <w:r w:rsidRPr="00732DEF">
        <w:rPr>
          <w:rFonts w:ascii="Times New Roman" w:hAnsi="Times New Roman" w:cs="Times New Roman"/>
          <w:noProof/>
          <w:sz w:val="24"/>
          <w:szCs w:val="24"/>
        </w:rPr>
        <w:t>(Dekker et al., 2010; US Institute of Medicine, 1999)</w:t>
      </w:r>
      <w:r w:rsidRPr="00732DEF">
        <w:rPr>
          <w:rFonts w:ascii="Times New Roman" w:hAnsi="Times New Roman" w:cs="Times New Roman"/>
          <w:sz w:val="24"/>
          <w:szCs w:val="24"/>
        </w:rPr>
        <w:t xml:space="preserve">. Rather than punitively enforcing compliance, systems approaches focus on understanding why workers do not comply and on critically evaluating whether the policy that has been introduced is appropriate. Systems approaches therefore stand in contrast to the dominant ‘black box’ approach to evaluation, which observes outcomes in the absence of understanding the mechanisms that produce them in particular contexts.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This case study further illustrates the complexity of the policy evaluation process in terms of multiple agents (contact centre workers, solicitors, social workers, judges) in multiple systems (family justice system, child welfare system, child contact centre system) interacting dynamically to produce unpredictable patterns of behaviour as they interpret and react with the policy context. This calls for policy evaluation frameworks that seek to acknowledge and address complexity and the inherent unpredictability that emanates from it </w:t>
      </w:r>
      <w:r w:rsidRPr="00732DEF">
        <w:rPr>
          <w:rFonts w:ascii="Times New Roman" w:hAnsi="Times New Roman" w:cs="Times New Roman"/>
          <w:noProof/>
          <w:sz w:val="24"/>
          <w:szCs w:val="24"/>
        </w:rPr>
        <w:t>(Barnes, Matka, &amp; Sullivan, 2003; Byrne, 2013; Caffrey et al., 2016; Callaghan, 2008; Munro, 2011)</w:t>
      </w:r>
      <w:r w:rsidRPr="00732DEF">
        <w:rPr>
          <w:rFonts w:ascii="Times New Roman" w:hAnsi="Times New Roman" w:cs="Times New Roman"/>
          <w:sz w:val="24"/>
          <w:szCs w:val="24"/>
        </w:rPr>
        <w:t xml:space="preserve">. The systems framework, focusing on empirically investigating how policy is interpreted as it </w:t>
      </w:r>
      <w:r w:rsidRPr="00732DEF">
        <w:rPr>
          <w:rFonts w:ascii="Times New Roman" w:hAnsi="Times New Roman" w:cs="Times New Roman"/>
          <w:sz w:val="24"/>
          <w:szCs w:val="24"/>
        </w:rPr>
        <w:lastRenderedPageBreak/>
        <w:t xml:space="preserve">interacts with other systems, provides a means to critically evaluate the policy in context and to pinpoint any unexpected (and unwanted) effects. Therefore the assertion that the approach may lead to paralysing inaction </w:t>
      </w:r>
      <w:r w:rsidRPr="00732DEF">
        <w:rPr>
          <w:rFonts w:ascii="Times New Roman" w:hAnsi="Times New Roman" w:cs="Times New Roman"/>
          <w:noProof/>
          <w:sz w:val="24"/>
          <w:szCs w:val="24"/>
        </w:rPr>
        <w:t>(May, 2006, p. 2)</w:t>
      </w:r>
      <w:r w:rsidRPr="00732DEF">
        <w:rPr>
          <w:rFonts w:ascii="Times New Roman" w:hAnsi="Times New Roman" w:cs="Times New Roman"/>
          <w:sz w:val="24"/>
          <w:szCs w:val="24"/>
        </w:rPr>
        <w:t xml:space="preserve"> would seem to miss that systems approaches do not discourage action, rather they encourage action followed by learning. While policy actors tend to assume that the policy is appropriate and so respond to unsuccessful implementation with yet more prescription and control of practice, systems thinking acknowledges that in complex systems unpredictability is inherent and so policy makers cannot assume to have the ‘right’ answer for every context. Hence, the importance of learning how the policy is interacting. In this sense, it challenges the dominant top-down approach, striving for humility and learning rather than espousing certainty and control.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t>ACKNOWLEDGEMENTS</w:t>
      </w:r>
    </w:p>
    <w:p w:rsidR="009C0E9D" w:rsidRDefault="009C0E9D" w:rsidP="00732DE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authors gratefully acknowledge the participants who took part in this study of child contact centres in England: child contact centre families and staff as well as referring judges, solicitors and social workers. They are grateful to the National Association of Child Contact Centres, the Ministry of Justice and the Association of Directors of Children’s Services for their support in facilitating the study. </w:t>
      </w:r>
      <w:r w:rsidR="002F2092">
        <w:rPr>
          <w:rFonts w:ascii="Times New Roman" w:hAnsi="Times New Roman" w:cs="Times New Roman"/>
          <w:sz w:val="24"/>
          <w:szCs w:val="24"/>
        </w:rPr>
        <w:t xml:space="preserve">Our thanks are also due to the anonymous reviewers of this article for their feedback.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t>FUNDING</w:t>
      </w:r>
    </w:p>
    <w:p w:rsidR="009C0E9D" w:rsidRPr="00732DEF" w:rsidRDefault="009C0E9D" w:rsidP="00732DEF">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study was funded by a </w:t>
      </w:r>
      <w:r w:rsidRPr="00732DEF">
        <w:rPr>
          <w:rFonts w:ascii="Times New Roman" w:hAnsi="Times New Roman" w:cs="Times New Roman"/>
          <w:sz w:val="24"/>
          <w:szCs w:val="24"/>
        </w:rPr>
        <w:t>London School of Economics and Political Science (LS</w:t>
      </w:r>
      <w:r>
        <w:rPr>
          <w:rFonts w:ascii="Times New Roman" w:hAnsi="Times New Roman" w:cs="Times New Roman"/>
          <w:sz w:val="24"/>
          <w:szCs w:val="24"/>
        </w:rPr>
        <w:t xml:space="preserve">E) PhD Studentship </w:t>
      </w:r>
    </w:p>
    <w:p w:rsidR="009C0E9D" w:rsidRPr="00732DEF" w:rsidRDefault="009C0E9D" w:rsidP="00732DEF">
      <w:pPr>
        <w:spacing w:line="480" w:lineRule="auto"/>
        <w:rPr>
          <w:rFonts w:ascii="Times New Roman" w:hAnsi="Times New Roman" w:cs="Times New Roman"/>
          <w:b/>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lastRenderedPageBreak/>
        <w:t>DECLARATION OF COMPETING INTERESTS</w:t>
      </w:r>
    </w:p>
    <w:p w:rsidR="009C0E9D" w:rsidRPr="00732DEF" w:rsidRDefault="009C0E9D" w:rsidP="00732DEF">
      <w:pPr>
        <w:spacing w:line="480" w:lineRule="auto"/>
        <w:rPr>
          <w:rFonts w:ascii="Times New Roman" w:hAnsi="Times New Roman" w:cs="Times New Roman"/>
          <w:sz w:val="24"/>
          <w:szCs w:val="24"/>
        </w:rPr>
      </w:pPr>
      <w:r w:rsidRPr="00732DEF">
        <w:rPr>
          <w:rFonts w:ascii="Times New Roman" w:hAnsi="Times New Roman" w:cs="Times New Roman"/>
          <w:sz w:val="24"/>
          <w:szCs w:val="24"/>
        </w:rPr>
        <w:t xml:space="preserve">The authors declare that they do not have any competing interests </w:t>
      </w:r>
    </w:p>
    <w:p w:rsidR="009C0E9D" w:rsidRPr="00732DEF" w:rsidRDefault="009C0E9D" w:rsidP="00732DEF">
      <w:pPr>
        <w:spacing w:line="480" w:lineRule="auto"/>
        <w:rPr>
          <w:rFonts w:ascii="Times New Roman" w:hAnsi="Times New Roman" w:cs="Times New Roman"/>
          <w:sz w:val="24"/>
          <w:szCs w:val="24"/>
        </w:rPr>
      </w:pPr>
    </w:p>
    <w:p w:rsidR="009C0E9D" w:rsidRPr="00732DEF" w:rsidRDefault="009C0E9D" w:rsidP="00732DEF">
      <w:pPr>
        <w:spacing w:line="480" w:lineRule="auto"/>
        <w:rPr>
          <w:rFonts w:ascii="Times New Roman" w:hAnsi="Times New Roman" w:cs="Times New Roman"/>
          <w:b/>
          <w:sz w:val="24"/>
          <w:szCs w:val="24"/>
        </w:rPr>
      </w:pPr>
      <w:r w:rsidRPr="00732DEF">
        <w:rPr>
          <w:rFonts w:ascii="Times New Roman" w:hAnsi="Times New Roman" w:cs="Times New Roman"/>
          <w:b/>
          <w:sz w:val="24"/>
          <w:szCs w:val="24"/>
        </w:rPr>
        <w:t xml:space="preserve">REFERENCES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Anheier, H. K. (2009). What Kind of Nonprofit Sector, What Kind of Society? </w:t>
      </w:r>
      <w:r w:rsidRPr="00732DEF">
        <w:rPr>
          <w:i/>
          <w:sz w:val="24"/>
          <w:szCs w:val="24"/>
        </w:rPr>
        <w:t>American Behavioral Scientist, 52</w:t>
      </w:r>
      <w:r w:rsidRPr="00732DEF">
        <w:rPr>
          <w:sz w:val="24"/>
          <w:szCs w:val="24"/>
        </w:rPr>
        <w:t xml:space="preserve">(7), 1082-1094.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Aris, R., Harrison, C., &amp; Humphreys, C. (2002). </w:t>
      </w:r>
      <w:r w:rsidRPr="00732DEF">
        <w:rPr>
          <w:i/>
          <w:sz w:val="24"/>
          <w:szCs w:val="24"/>
        </w:rPr>
        <w:t>Safety and child contact: an analysis of the role of child contact centres in the context of domestic violence and child welfare concerns</w:t>
      </w:r>
      <w:r w:rsidRPr="00732DEF">
        <w:rPr>
          <w:sz w:val="24"/>
          <w:szCs w:val="24"/>
        </w:rPr>
        <w:t>. London: Lord Chancellors Department.</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Aveling, E. L., Parker, M., &amp; Dixon‐Woods, M. (2015). What is the role of individual accountability in patient safety? A multi‐site ethnographic study. </w:t>
      </w:r>
      <w:r w:rsidRPr="00732DEF">
        <w:rPr>
          <w:i/>
          <w:sz w:val="24"/>
          <w:szCs w:val="24"/>
        </w:rPr>
        <w:t>Sociology of health &amp; illness, xx</w:t>
      </w:r>
      <w:r w:rsidRPr="00732DEF">
        <w:rPr>
          <w:sz w:val="24"/>
          <w:szCs w:val="24"/>
        </w:rPr>
        <w:t>(xx), 1-17. doi: 10.1111/1467-9566.12370</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Barnes, M., Matka, E., &amp; Sullivan, H. (2003). Evidence, Understanding and Complexity: Evaluation in Non-Linear Systems. </w:t>
      </w:r>
      <w:r w:rsidRPr="00732DEF">
        <w:rPr>
          <w:i/>
          <w:sz w:val="24"/>
          <w:szCs w:val="24"/>
        </w:rPr>
        <w:t>Evaluation, 9</w:t>
      </w:r>
      <w:r w:rsidRPr="00732DEF">
        <w:rPr>
          <w:sz w:val="24"/>
          <w:szCs w:val="24"/>
        </w:rPr>
        <w:t>(3), 265-284. doi: 10.1177/13563890030093003</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Bockley, D. (1996). Hazard Engineering In C. Hood &amp; D. K. Jones (Eds.), </w:t>
      </w:r>
      <w:r w:rsidRPr="00732DEF">
        <w:rPr>
          <w:i/>
          <w:sz w:val="24"/>
          <w:szCs w:val="24"/>
        </w:rPr>
        <w:t>Accident And Design: contemporary debates on risk management</w:t>
      </w:r>
      <w:r w:rsidRPr="00732DEF">
        <w:rPr>
          <w:sz w:val="24"/>
          <w:szCs w:val="24"/>
        </w:rPr>
        <w:t>. London: Taylor and Francis.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Byrne, D. (2013). Evaluating complex social interventions in a complex world. </w:t>
      </w:r>
      <w:r w:rsidRPr="00732DEF">
        <w:rPr>
          <w:i/>
          <w:sz w:val="24"/>
          <w:szCs w:val="24"/>
        </w:rPr>
        <w:t>Evaluation, 19</w:t>
      </w:r>
      <w:r w:rsidRPr="00732DEF">
        <w:rPr>
          <w:sz w:val="24"/>
          <w:szCs w:val="24"/>
        </w:rPr>
        <w:t>(3), 217-228. doi: 10.1177/1356389013495617</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Caffrey, L. (2013). Hearing the ‘Voice’ of the Child? The role of child contact centres in the family justice system. </w:t>
      </w:r>
      <w:r w:rsidRPr="00732DEF">
        <w:rPr>
          <w:i/>
          <w:sz w:val="24"/>
          <w:szCs w:val="24"/>
        </w:rPr>
        <w:t>Child and Family Law Quarterly 25</w:t>
      </w:r>
      <w:r w:rsidRPr="00732DEF">
        <w:rPr>
          <w:sz w:val="24"/>
          <w:szCs w:val="24"/>
        </w:rPr>
        <w:t xml:space="preserve">(4), 357-379. </w:t>
      </w:r>
    </w:p>
    <w:p w:rsidR="009C0E9D" w:rsidRPr="00732DEF" w:rsidRDefault="009C0E9D" w:rsidP="00732DEF">
      <w:pPr>
        <w:pStyle w:val="EndNoteBibliography"/>
        <w:spacing w:after="0" w:line="480" w:lineRule="auto"/>
        <w:ind w:left="720" w:hanging="720"/>
        <w:rPr>
          <w:sz w:val="24"/>
          <w:szCs w:val="24"/>
        </w:rPr>
      </w:pPr>
      <w:r w:rsidRPr="00732DEF">
        <w:rPr>
          <w:sz w:val="24"/>
          <w:szCs w:val="24"/>
        </w:rPr>
        <w:lastRenderedPageBreak/>
        <w:t xml:space="preserve">Caffrey, L. (2014). </w:t>
      </w:r>
      <w:r w:rsidRPr="00732DEF">
        <w:rPr>
          <w:i/>
          <w:sz w:val="24"/>
          <w:szCs w:val="24"/>
        </w:rPr>
        <w:t>Managing the commitment to protect children from maltreatment: the case of child contact centres in England.</w:t>
      </w:r>
      <w:r w:rsidRPr="00732DEF">
        <w:rPr>
          <w:sz w:val="24"/>
          <w:szCs w:val="24"/>
        </w:rPr>
        <w:t xml:space="preserve"> The London School of Economics and Political Science (LSE). Retrieved from </w:t>
      </w:r>
      <w:hyperlink r:id="rId7" w:history="1">
        <w:r w:rsidRPr="00732DEF">
          <w:rPr>
            <w:rStyle w:val="Hyperlink"/>
            <w:sz w:val="24"/>
            <w:szCs w:val="24"/>
          </w:rPr>
          <w:t>http://etheses.lse.ac.uk/1079/</w:t>
        </w:r>
      </w:hyperlink>
      <w:r w:rsidRPr="00732DEF">
        <w:rPr>
          <w:sz w:val="24"/>
          <w:szCs w:val="24"/>
        </w:rPr>
        <w:t xml:space="preserve">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Caffrey, L. (2015). The Importance of Perceived Organisational Goals: A Systems Thinking Approach to Understanding Child Safeguarding in the Context of Domestic Abuse. </w:t>
      </w:r>
      <w:r w:rsidRPr="00732DEF">
        <w:rPr>
          <w:i/>
          <w:sz w:val="24"/>
          <w:szCs w:val="24"/>
        </w:rPr>
        <w:t>Child Abuse Review</w:t>
      </w:r>
      <w:r w:rsidRPr="00732DEF">
        <w:rPr>
          <w:sz w:val="24"/>
          <w:szCs w:val="24"/>
        </w:rPr>
        <w:t>. doi:10.1002/car.2396</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Caffrey, L., Wolfe, C., &amp; McKevitt, C. (2016). Embedding research in health systems: lessons from complexity theory. </w:t>
      </w:r>
      <w:r w:rsidRPr="00732DEF">
        <w:rPr>
          <w:i/>
          <w:sz w:val="24"/>
          <w:szCs w:val="24"/>
        </w:rPr>
        <w:t>Health Research Policy and Systems, 14</w:t>
      </w:r>
      <w:r w:rsidRPr="00732DEF">
        <w:rPr>
          <w:sz w:val="24"/>
          <w:szCs w:val="24"/>
        </w:rPr>
        <w:t>(1), 1-9. doi:10.1186/s12961-016-0128-x</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Callaghan, G. (2008). Evaluation and Negotiated Order: Developing the Application of Complexity Theory. </w:t>
      </w:r>
      <w:r w:rsidRPr="00732DEF">
        <w:rPr>
          <w:i/>
          <w:sz w:val="24"/>
          <w:szCs w:val="24"/>
        </w:rPr>
        <w:t>Evaluation, 14</w:t>
      </w:r>
      <w:r w:rsidRPr="00732DEF">
        <w:rPr>
          <w:sz w:val="24"/>
          <w:szCs w:val="24"/>
        </w:rPr>
        <w:t>(4), 399-411. doi: 10.1177/1356389008095485</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Cartwright, N., &amp; Hardie, J. (2012). </w:t>
      </w:r>
      <w:r w:rsidRPr="00732DEF">
        <w:rPr>
          <w:i/>
          <w:sz w:val="24"/>
          <w:szCs w:val="24"/>
        </w:rPr>
        <w:t>Evidence-based policy: a practical guide to doing it better</w:t>
      </w:r>
      <w:r w:rsidRPr="00732DEF">
        <w:rPr>
          <w:sz w:val="24"/>
          <w:szCs w:val="24"/>
        </w:rPr>
        <w:t>. Oxford: Oxford University Press.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Checkland, P. B. (1989). Soft systems methodology. </w:t>
      </w:r>
      <w:r w:rsidRPr="00732DEF">
        <w:rPr>
          <w:i/>
          <w:sz w:val="24"/>
          <w:szCs w:val="24"/>
        </w:rPr>
        <w:t>Human systems management, 8</w:t>
      </w:r>
      <w:r w:rsidRPr="00732DEF">
        <w:rPr>
          <w:sz w:val="24"/>
          <w:szCs w:val="24"/>
        </w:rPr>
        <w:t>(4), 273-289.</w:t>
      </w:r>
    </w:p>
    <w:p w:rsidR="009C0E9D" w:rsidRPr="00732DEF" w:rsidRDefault="009C0E9D" w:rsidP="00732DEF">
      <w:pPr>
        <w:pStyle w:val="EndNoteBibliography"/>
        <w:spacing w:after="0" w:line="480" w:lineRule="auto"/>
        <w:ind w:left="720" w:hanging="720"/>
        <w:rPr>
          <w:sz w:val="24"/>
          <w:szCs w:val="24"/>
        </w:rPr>
      </w:pPr>
      <w:r w:rsidRPr="00732DEF">
        <w:rPr>
          <w:sz w:val="24"/>
          <w:szCs w:val="24"/>
        </w:rPr>
        <w:t>Cook, R. I., Woods, D., &amp; Miller, C. (1998). A tale of two stories: contrasting views of patient safety. Chicago: National Patient Safety Foundation.</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Dekker, S. (2002). Reconstructing human contributions to accidents: the new view on error and performance. </w:t>
      </w:r>
      <w:r w:rsidRPr="00732DEF">
        <w:rPr>
          <w:i/>
          <w:sz w:val="24"/>
          <w:szCs w:val="24"/>
        </w:rPr>
        <w:t>Journal of Safety Research, 33</w:t>
      </w:r>
      <w:r w:rsidRPr="00732DEF">
        <w:rPr>
          <w:sz w:val="24"/>
          <w:szCs w:val="24"/>
        </w:rPr>
        <w:t xml:space="preserve">(3), 371-385. </w:t>
      </w:r>
    </w:p>
    <w:p w:rsidR="009C0E9D" w:rsidRPr="00732DEF" w:rsidRDefault="009C0E9D" w:rsidP="00D02D9A">
      <w:pPr>
        <w:pStyle w:val="EndNoteBibliography"/>
        <w:spacing w:after="0" w:line="480" w:lineRule="auto"/>
        <w:ind w:left="720" w:hanging="720"/>
        <w:rPr>
          <w:sz w:val="24"/>
          <w:szCs w:val="24"/>
        </w:rPr>
      </w:pPr>
      <w:r w:rsidRPr="00732DEF">
        <w:rPr>
          <w:sz w:val="24"/>
          <w:szCs w:val="24"/>
        </w:rPr>
        <w:t xml:space="preserve">Dekker, S. (2003). Failure to adapt or adaptations that fail: contrasting models on procedures and safety. </w:t>
      </w:r>
      <w:r w:rsidRPr="00732DEF">
        <w:rPr>
          <w:i/>
          <w:sz w:val="24"/>
          <w:szCs w:val="24"/>
        </w:rPr>
        <w:t>Applied ergonomics, 34</w:t>
      </w:r>
      <w:r w:rsidR="00D02D9A">
        <w:rPr>
          <w:sz w:val="24"/>
          <w:szCs w:val="24"/>
        </w:rPr>
        <w:t xml:space="preserve">(3), 233-238.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Dekker, S. (2005). Why we need new accident models </w:t>
      </w:r>
      <w:r w:rsidRPr="00732DEF">
        <w:rPr>
          <w:i/>
          <w:sz w:val="24"/>
          <w:szCs w:val="24"/>
        </w:rPr>
        <w:t xml:space="preserve">Technical Report </w:t>
      </w:r>
      <w:r w:rsidRPr="00732DEF">
        <w:rPr>
          <w:sz w:val="24"/>
          <w:szCs w:val="24"/>
        </w:rPr>
        <w:t xml:space="preserve">(pp. 181-192). Lund Lund University School of Aviation </w:t>
      </w:r>
    </w:p>
    <w:p w:rsidR="009C0E9D" w:rsidRPr="00732DEF" w:rsidRDefault="009C0E9D" w:rsidP="00732DEF">
      <w:pPr>
        <w:pStyle w:val="EndNoteBibliography"/>
        <w:spacing w:after="0" w:line="480" w:lineRule="auto"/>
        <w:ind w:left="720" w:hanging="720"/>
        <w:rPr>
          <w:sz w:val="24"/>
          <w:szCs w:val="24"/>
        </w:rPr>
      </w:pPr>
      <w:r w:rsidRPr="00732DEF">
        <w:rPr>
          <w:sz w:val="24"/>
          <w:szCs w:val="24"/>
        </w:rPr>
        <w:lastRenderedPageBreak/>
        <w:t xml:space="preserve">Dekker, S. (2007a). Doctors are more dangerous than gun owners: a rejoinder to error counting. </w:t>
      </w:r>
      <w:r w:rsidRPr="00732DEF">
        <w:rPr>
          <w:i/>
          <w:sz w:val="24"/>
          <w:szCs w:val="24"/>
        </w:rPr>
        <w:t>Human Factors: The Journal of the Human Factors and Ergonomics Society, 49</w:t>
      </w:r>
      <w:r w:rsidRPr="00732DEF">
        <w:rPr>
          <w:sz w:val="24"/>
          <w:szCs w:val="24"/>
        </w:rPr>
        <w:t xml:space="preserve">(2), 177-184.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Dekker, S. (2007b). </w:t>
      </w:r>
      <w:r w:rsidRPr="00732DEF">
        <w:rPr>
          <w:i/>
          <w:sz w:val="24"/>
          <w:szCs w:val="24"/>
        </w:rPr>
        <w:t>Just Culture: Balancing Safety and Accountability</w:t>
      </w:r>
      <w:r w:rsidRPr="00732DEF">
        <w:rPr>
          <w:sz w:val="24"/>
          <w:szCs w:val="24"/>
        </w:rPr>
        <w:t>. Hampshire: Ashgate Publishing.</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Dekker, S. (2008). </w:t>
      </w:r>
      <w:r w:rsidRPr="00732DEF">
        <w:rPr>
          <w:i/>
          <w:sz w:val="24"/>
          <w:szCs w:val="24"/>
        </w:rPr>
        <w:t>Ten questions about human error: A new view of human factors and system safety</w:t>
      </w:r>
      <w:r w:rsidRPr="00732DEF">
        <w:rPr>
          <w:sz w:val="24"/>
          <w:szCs w:val="24"/>
        </w:rPr>
        <w:t>. New Jersey: Lawrence Erlbaum Associates Publishers.</w:t>
      </w:r>
    </w:p>
    <w:p w:rsidR="009C0E9D" w:rsidRPr="00732DEF" w:rsidRDefault="009C0E9D" w:rsidP="00356A4C">
      <w:pPr>
        <w:pStyle w:val="EndNoteBibliography"/>
        <w:spacing w:after="0" w:line="480" w:lineRule="auto"/>
        <w:ind w:left="720" w:hanging="720"/>
        <w:rPr>
          <w:sz w:val="24"/>
          <w:szCs w:val="24"/>
        </w:rPr>
      </w:pPr>
      <w:r w:rsidRPr="00732DEF">
        <w:rPr>
          <w:sz w:val="24"/>
          <w:szCs w:val="24"/>
        </w:rPr>
        <w:t xml:space="preserve">Dekker, S., Cilliers, P., &amp; Hofmeyr, J.-H. (2011). The complexity of failure: Implications of complexity theory for safety investigations. </w:t>
      </w:r>
      <w:r w:rsidRPr="00732DEF">
        <w:rPr>
          <w:i/>
          <w:sz w:val="24"/>
          <w:szCs w:val="24"/>
        </w:rPr>
        <w:t>Safety science, 49</w:t>
      </w:r>
      <w:r w:rsidR="00356A4C">
        <w:rPr>
          <w:sz w:val="24"/>
          <w:szCs w:val="24"/>
        </w:rPr>
        <w:t xml:space="preserve">(6), 939-945.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Dekker, S., &amp; Hugh, T. (2010). Balancing “No Blame” with Accountability in Patient Safety. </w:t>
      </w:r>
      <w:r w:rsidRPr="00732DEF">
        <w:rPr>
          <w:i/>
          <w:sz w:val="24"/>
          <w:szCs w:val="24"/>
        </w:rPr>
        <w:t>New England Journal of Medicine, 362</w:t>
      </w:r>
      <w:r w:rsidRPr="00732DEF">
        <w:rPr>
          <w:sz w:val="24"/>
          <w:szCs w:val="24"/>
        </w:rPr>
        <w:t>(3), 275-276. doi: doi:10.1056/NEJMc0910312</w:t>
      </w:r>
    </w:p>
    <w:p w:rsidR="00DA7C7C" w:rsidRPr="00732DEF" w:rsidRDefault="009C0E9D" w:rsidP="00DA7C7C">
      <w:pPr>
        <w:pStyle w:val="EndNoteBibliography"/>
        <w:spacing w:after="0" w:line="480" w:lineRule="auto"/>
        <w:ind w:left="720" w:hanging="720"/>
        <w:rPr>
          <w:sz w:val="24"/>
          <w:szCs w:val="24"/>
        </w:rPr>
      </w:pPr>
      <w:r w:rsidRPr="00732DEF">
        <w:rPr>
          <w:sz w:val="24"/>
          <w:szCs w:val="24"/>
        </w:rPr>
        <w:t xml:space="preserve">Fish, S., Munro, E., &amp; Bairstow, S. (2008). </w:t>
      </w:r>
      <w:r w:rsidRPr="00732DEF">
        <w:rPr>
          <w:i/>
          <w:sz w:val="24"/>
          <w:szCs w:val="24"/>
        </w:rPr>
        <w:t>Learning together to safeguard children: developing a multi-agency systems approach for case reviews</w:t>
      </w:r>
      <w:r w:rsidR="00DA7C7C">
        <w:rPr>
          <w:sz w:val="24"/>
          <w:szCs w:val="24"/>
        </w:rPr>
        <w:t xml:space="preserve">. </w:t>
      </w:r>
      <w:r w:rsidR="00DA7C7C">
        <w:t>Children services' reports, SCIE report 19. Social Care Institute for Excellence (SCIE): London.</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Harrison, C. (2008). Implacably hostile or appropriately protective?: Women managing child contact in the context of domestic violence </w:t>
      </w:r>
      <w:r w:rsidRPr="00732DEF">
        <w:rPr>
          <w:i/>
          <w:sz w:val="24"/>
          <w:szCs w:val="24"/>
        </w:rPr>
        <w:t>Violence against women, 14</w:t>
      </w:r>
      <w:r w:rsidRPr="00732DEF">
        <w:rPr>
          <w:sz w:val="24"/>
          <w:szCs w:val="24"/>
        </w:rPr>
        <w:t xml:space="preserve">(4), 381-405. </w:t>
      </w:r>
    </w:p>
    <w:p w:rsidR="009C0E9D" w:rsidRPr="00267BD1" w:rsidRDefault="009C0E9D" w:rsidP="00267BD1">
      <w:pPr>
        <w:pStyle w:val="EndNoteBibliography"/>
        <w:spacing w:after="0" w:line="480" w:lineRule="auto"/>
        <w:ind w:left="720" w:hanging="720"/>
        <w:rPr>
          <w:sz w:val="24"/>
          <w:szCs w:val="24"/>
        </w:rPr>
      </w:pPr>
      <w:r w:rsidRPr="00732DEF">
        <w:rPr>
          <w:sz w:val="24"/>
          <w:szCs w:val="24"/>
        </w:rPr>
        <w:t xml:space="preserve">Helmreich, R. (2000). On error management: lessons from aviation. </w:t>
      </w:r>
      <w:r w:rsidRPr="00732DEF">
        <w:rPr>
          <w:i/>
          <w:sz w:val="24"/>
          <w:szCs w:val="24"/>
        </w:rPr>
        <w:t xml:space="preserve">British Medical Journal, </w:t>
      </w:r>
      <w:r w:rsidRPr="00267BD1">
        <w:rPr>
          <w:i/>
          <w:sz w:val="24"/>
          <w:szCs w:val="24"/>
        </w:rPr>
        <w:t>320</w:t>
      </w:r>
      <w:r w:rsidRPr="00267BD1">
        <w:rPr>
          <w:sz w:val="24"/>
          <w:szCs w:val="24"/>
        </w:rPr>
        <w:t xml:space="preserve">(7237), 781. </w:t>
      </w:r>
    </w:p>
    <w:p w:rsidR="00267BD1" w:rsidRPr="00267BD1" w:rsidRDefault="00267BD1" w:rsidP="00267BD1">
      <w:pPr>
        <w:pStyle w:val="EndNoteBibliography"/>
        <w:spacing w:after="0" w:line="480" w:lineRule="auto"/>
        <w:ind w:left="720" w:hanging="720"/>
        <w:rPr>
          <w:sz w:val="24"/>
          <w:szCs w:val="24"/>
        </w:rPr>
      </w:pPr>
      <w:r w:rsidRPr="00267BD1">
        <w:rPr>
          <w:sz w:val="24"/>
          <w:szCs w:val="24"/>
        </w:rPr>
        <w:fldChar w:fldCharType="begin"/>
      </w:r>
      <w:r w:rsidRPr="00267BD1">
        <w:rPr>
          <w:sz w:val="24"/>
          <w:szCs w:val="24"/>
        </w:rPr>
        <w:instrText xml:space="preserve"> ADDIN EN.REFLIST </w:instrText>
      </w:r>
      <w:r w:rsidRPr="00267BD1">
        <w:rPr>
          <w:sz w:val="24"/>
          <w:szCs w:val="24"/>
        </w:rPr>
        <w:fldChar w:fldCharType="separate"/>
      </w:r>
      <w:r w:rsidRPr="00267BD1">
        <w:rPr>
          <w:sz w:val="24"/>
          <w:szCs w:val="24"/>
        </w:rPr>
        <w:t xml:space="preserve">HM Government. (2010). </w:t>
      </w:r>
      <w:r w:rsidRPr="00267BD1">
        <w:rPr>
          <w:i/>
          <w:sz w:val="24"/>
          <w:szCs w:val="24"/>
        </w:rPr>
        <w:t>Working Together to Safeguard Children: A guide to inter-agency working to safeguard and promote the welfare of children</w:t>
      </w:r>
      <w:r w:rsidRPr="00267BD1">
        <w:rPr>
          <w:sz w:val="24"/>
          <w:szCs w:val="24"/>
        </w:rPr>
        <w:t>. London: DCSF.</w:t>
      </w:r>
    </w:p>
    <w:p w:rsidR="00267BD1" w:rsidRPr="00267BD1" w:rsidRDefault="00267BD1" w:rsidP="00267BD1">
      <w:pPr>
        <w:pStyle w:val="EndNoteBibliography"/>
        <w:spacing w:line="480" w:lineRule="auto"/>
        <w:ind w:left="720" w:hanging="720"/>
        <w:rPr>
          <w:sz w:val="24"/>
          <w:szCs w:val="24"/>
        </w:rPr>
      </w:pPr>
      <w:r w:rsidRPr="00267BD1">
        <w:rPr>
          <w:sz w:val="24"/>
          <w:szCs w:val="24"/>
        </w:rPr>
        <w:t xml:space="preserve">HM Government. (2013). </w:t>
      </w:r>
      <w:r w:rsidRPr="00267BD1">
        <w:rPr>
          <w:i/>
          <w:sz w:val="24"/>
          <w:szCs w:val="24"/>
        </w:rPr>
        <w:t>Working Together to Safeguard Children: A guide to inter-agency working to safeguard and promote the welfare of children</w:t>
      </w:r>
      <w:r w:rsidRPr="00267BD1">
        <w:rPr>
          <w:sz w:val="24"/>
          <w:szCs w:val="24"/>
        </w:rPr>
        <w:t>. London: Department for Education.</w:t>
      </w:r>
    </w:p>
    <w:p w:rsidR="00267BD1" w:rsidRPr="00267BD1" w:rsidRDefault="00267BD1" w:rsidP="00267BD1">
      <w:pPr>
        <w:spacing w:line="480" w:lineRule="auto"/>
      </w:pPr>
      <w:r w:rsidRPr="00267BD1">
        <w:rPr>
          <w:sz w:val="24"/>
          <w:szCs w:val="24"/>
        </w:rPr>
        <w:fldChar w:fldCharType="end"/>
      </w:r>
    </w:p>
    <w:p w:rsidR="009C0E9D" w:rsidRPr="00732DEF" w:rsidRDefault="009C0E9D" w:rsidP="00732DEF">
      <w:pPr>
        <w:pStyle w:val="EndNoteBibliography"/>
        <w:spacing w:after="0" w:line="480" w:lineRule="auto"/>
        <w:ind w:left="720" w:hanging="720"/>
        <w:rPr>
          <w:sz w:val="24"/>
          <w:szCs w:val="24"/>
        </w:rPr>
      </w:pPr>
      <w:r w:rsidRPr="00732DEF">
        <w:rPr>
          <w:sz w:val="24"/>
          <w:szCs w:val="24"/>
        </w:rPr>
        <w:lastRenderedPageBreak/>
        <w:t xml:space="preserve">Hoffman, R. R., &amp; Woods, D. (2000). Studying cognitive systems in context: Preface to the special section. </w:t>
      </w:r>
      <w:r w:rsidRPr="00732DEF">
        <w:rPr>
          <w:i/>
          <w:sz w:val="24"/>
          <w:szCs w:val="24"/>
        </w:rPr>
        <w:t>Human Factors: The Journal of the Human Factors and Ergonomics Society, 42</w:t>
      </w:r>
      <w:r w:rsidRPr="00732DEF">
        <w:rPr>
          <w:sz w:val="24"/>
          <w:szCs w:val="24"/>
        </w:rPr>
        <w:t xml:space="preserve">(1), 1-7.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Hollnagel, E. (2003). </w:t>
      </w:r>
      <w:r w:rsidRPr="00732DEF">
        <w:rPr>
          <w:i/>
          <w:sz w:val="24"/>
          <w:szCs w:val="24"/>
        </w:rPr>
        <w:t>Handbook of cognitive task design</w:t>
      </w:r>
      <w:r w:rsidRPr="00732DEF">
        <w:rPr>
          <w:sz w:val="24"/>
          <w:szCs w:val="24"/>
        </w:rPr>
        <w:t xml:space="preserve">. New Jersey: Lawrence Erlbaum Publishers </w:t>
      </w:r>
    </w:p>
    <w:p w:rsidR="009C0E9D" w:rsidRPr="00732DEF" w:rsidRDefault="009C0E9D" w:rsidP="00267BD1">
      <w:pPr>
        <w:pStyle w:val="EndNoteBibliography"/>
        <w:spacing w:after="0" w:line="480" w:lineRule="auto"/>
        <w:ind w:left="720" w:hanging="720"/>
        <w:rPr>
          <w:sz w:val="24"/>
          <w:szCs w:val="24"/>
        </w:rPr>
      </w:pPr>
      <w:r w:rsidRPr="00732DEF">
        <w:rPr>
          <w:sz w:val="24"/>
          <w:szCs w:val="24"/>
        </w:rPr>
        <w:t xml:space="preserve">Hollnagel, E., Woods, D. D., &amp; Leveson, N. (2007). </w:t>
      </w:r>
      <w:r w:rsidRPr="00732DEF">
        <w:rPr>
          <w:i/>
          <w:sz w:val="24"/>
          <w:szCs w:val="24"/>
        </w:rPr>
        <w:t>Resilience engineering: Concepts and precepts</w:t>
      </w:r>
      <w:r w:rsidR="00267BD1">
        <w:rPr>
          <w:sz w:val="24"/>
          <w:szCs w:val="24"/>
        </w:rPr>
        <w:t>: Ashgate Publishing, Ltd.</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Hood, C. (1991). A public management for all seasons. </w:t>
      </w:r>
      <w:r w:rsidRPr="00732DEF">
        <w:rPr>
          <w:i/>
          <w:sz w:val="24"/>
          <w:szCs w:val="24"/>
        </w:rPr>
        <w:t>Public Administration, 69</w:t>
      </w:r>
      <w:r w:rsidRPr="00732DEF">
        <w:rPr>
          <w:sz w:val="24"/>
          <w:szCs w:val="24"/>
        </w:rPr>
        <w:t xml:space="preserve">(1), 3-19.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Hood, C., &amp; Dixon, R. (2015). </w:t>
      </w:r>
      <w:r w:rsidRPr="00732DEF">
        <w:rPr>
          <w:i/>
          <w:sz w:val="24"/>
          <w:szCs w:val="24"/>
        </w:rPr>
        <w:t>A Government that Worked Better and Cost Less?</w:t>
      </w:r>
      <w:r w:rsidRPr="00732DEF">
        <w:rPr>
          <w:sz w:val="24"/>
          <w:szCs w:val="24"/>
        </w:rPr>
        <w:t xml:space="preserve"> Oxford: Oxford University Press.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Hood, C., Rothstein, H., &amp; Baldwin, R. (2001). </w:t>
      </w:r>
      <w:r w:rsidRPr="00732DEF">
        <w:rPr>
          <w:i/>
          <w:sz w:val="24"/>
          <w:szCs w:val="24"/>
        </w:rPr>
        <w:t>The government of risk: Understanding risk regulation regimes</w:t>
      </w:r>
      <w:r w:rsidRPr="00732DEF">
        <w:rPr>
          <w:sz w:val="24"/>
          <w:szCs w:val="24"/>
        </w:rPr>
        <w:t>. Oxford: Oxford University Press.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Horwath, J. (2002). Maintaining a focus on the child? First impressions of the Framework for the Assessment of Children in Need and their Families in cases of child neglect. </w:t>
      </w:r>
      <w:r w:rsidRPr="00732DEF">
        <w:rPr>
          <w:i/>
          <w:sz w:val="24"/>
          <w:szCs w:val="24"/>
        </w:rPr>
        <w:t>Child Abuse Review, 11</w:t>
      </w:r>
      <w:r w:rsidRPr="00732DEF">
        <w:rPr>
          <w:sz w:val="24"/>
          <w:szCs w:val="24"/>
        </w:rPr>
        <w:t xml:space="preserve">(4), 195-213.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Hummelbrunner, R. (2011). Systems thinking and evaluation. </w:t>
      </w:r>
      <w:r w:rsidRPr="00732DEF">
        <w:rPr>
          <w:i/>
          <w:sz w:val="24"/>
          <w:szCs w:val="24"/>
        </w:rPr>
        <w:t>Evaluation, 17</w:t>
      </w:r>
      <w:r w:rsidRPr="00732DEF">
        <w:rPr>
          <w:sz w:val="24"/>
          <w:szCs w:val="24"/>
        </w:rPr>
        <w:t>(4), 395-403. doi: 10.1177/1356389011421935</w:t>
      </w:r>
    </w:p>
    <w:p w:rsidR="009C0E9D" w:rsidRPr="00732DEF" w:rsidRDefault="009C0E9D" w:rsidP="00D02D9A">
      <w:pPr>
        <w:pStyle w:val="EndNoteBibliography"/>
        <w:spacing w:after="0" w:line="480" w:lineRule="auto"/>
        <w:ind w:left="720" w:hanging="720"/>
        <w:rPr>
          <w:sz w:val="24"/>
          <w:szCs w:val="24"/>
        </w:rPr>
      </w:pPr>
      <w:r w:rsidRPr="00732DEF">
        <w:rPr>
          <w:sz w:val="24"/>
          <w:szCs w:val="24"/>
        </w:rPr>
        <w:t xml:space="preserve">Imam, I., LaGoy, A., &amp; Williams, B. (2007). Introduction In B. Williams &amp; I. Imam (Eds.), </w:t>
      </w:r>
      <w:r w:rsidRPr="00732DEF">
        <w:rPr>
          <w:i/>
          <w:sz w:val="24"/>
          <w:szCs w:val="24"/>
        </w:rPr>
        <w:t>Systems concepts in evaluation: An expert anthology</w:t>
      </w:r>
      <w:r w:rsidRPr="00732DEF">
        <w:rPr>
          <w:sz w:val="24"/>
          <w:szCs w:val="24"/>
        </w:rPr>
        <w:t>. California Edge Press/ A</w:t>
      </w:r>
      <w:r w:rsidR="00D02D9A">
        <w:rPr>
          <w:sz w:val="24"/>
          <w:szCs w:val="24"/>
        </w:rPr>
        <w:t>merican Evaluation Association.</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Kramer, R. M. (1994). Voluntary agencies and the contract culture: Dream or nightmare? </w:t>
      </w:r>
      <w:r w:rsidRPr="00732DEF">
        <w:rPr>
          <w:i/>
          <w:sz w:val="24"/>
          <w:szCs w:val="24"/>
        </w:rPr>
        <w:t>The Social Service Review, 68</w:t>
      </w:r>
      <w:r w:rsidRPr="00732DEF">
        <w:rPr>
          <w:sz w:val="24"/>
          <w:szCs w:val="24"/>
        </w:rPr>
        <w:t xml:space="preserve">(1), 33-60.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Kramer, R. M. (2000). A third sector in the third millennium? </w:t>
      </w:r>
      <w:r w:rsidRPr="00732DEF">
        <w:rPr>
          <w:i/>
          <w:sz w:val="24"/>
          <w:szCs w:val="24"/>
        </w:rPr>
        <w:t>Voluntas: International Journal of Voluntary and Nonprofit Organizations, 11</w:t>
      </w:r>
      <w:r w:rsidRPr="00732DEF">
        <w:rPr>
          <w:sz w:val="24"/>
          <w:szCs w:val="24"/>
        </w:rPr>
        <w:t xml:space="preserve">(1), 1-23. </w:t>
      </w:r>
    </w:p>
    <w:p w:rsidR="009C0E9D" w:rsidRPr="00732DEF" w:rsidRDefault="009C0E9D" w:rsidP="00732DEF">
      <w:pPr>
        <w:pStyle w:val="EndNoteBibliography"/>
        <w:spacing w:after="0" w:line="480" w:lineRule="auto"/>
        <w:ind w:left="720" w:hanging="720"/>
        <w:rPr>
          <w:sz w:val="24"/>
          <w:szCs w:val="24"/>
        </w:rPr>
      </w:pPr>
      <w:r w:rsidRPr="00732DEF">
        <w:rPr>
          <w:sz w:val="24"/>
          <w:szCs w:val="24"/>
        </w:rPr>
        <w:lastRenderedPageBreak/>
        <w:t xml:space="preserve">Lane, D. C., Munro, E., &amp; Husemann, E. (2016). Blending systems thinking approaches for organisational analysis: Reviewing child protection in England. </w:t>
      </w:r>
      <w:r w:rsidRPr="00732DEF">
        <w:rPr>
          <w:i/>
          <w:sz w:val="24"/>
          <w:szCs w:val="24"/>
        </w:rPr>
        <w:t>European Journal of Operational Research, 251</w:t>
      </w:r>
      <w:r w:rsidRPr="00732DEF">
        <w:rPr>
          <w:sz w:val="24"/>
          <w:szCs w:val="24"/>
        </w:rPr>
        <w:t xml:space="preserve">(2), 613-623.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Leveson, N. (2004). A new accident model for engineering safer systems. </w:t>
      </w:r>
      <w:r w:rsidRPr="00732DEF">
        <w:rPr>
          <w:i/>
          <w:sz w:val="24"/>
          <w:szCs w:val="24"/>
        </w:rPr>
        <w:t>Safety science, 42</w:t>
      </w:r>
      <w:r w:rsidRPr="00732DEF">
        <w:rPr>
          <w:sz w:val="24"/>
          <w:szCs w:val="24"/>
        </w:rPr>
        <w:t xml:space="preserve">(4), 237-270.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May, C. (2006). A rational model for assessing and evaluating complex interventions in health care. </w:t>
      </w:r>
      <w:r w:rsidRPr="00732DEF">
        <w:rPr>
          <w:i/>
          <w:sz w:val="24"/>
          <w:szCs w:val="24"/>
        </w:rPr>
        <w:t>BMC health services research, 6</w:t>
      </w:r>
      <w:r w:rsidRPr="00732DEF">
        <w:rPr>
          <w:sz w:val="24"/>
          <w:szCs w:val="24"/>
        </w:rPr>
        <w:t xml:space="preserve">(1), 1.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Midgley, G. (2007). Systems Thinking for Evaluation In B. Williams &amp; I. Imam (Eds.), </w:t>
      </w:r>
      <w:r w:rsidRPr="00732DEF">
        <w:rPr>
          <w:i/>
          <w:sz w:val="24"/>
          <w:szCs w:val="24"/>
        </w:rPr>
        <w:t>Systems concepts in evaluation: An expert anthology</w:t>
      </w:r>
      <w:r w:rsidRPr="00732DEF">
        <w:rPr>
          <w:sz w:val="24"/>
          <w:szCs w:val="24"/>
        </w:rPr>
        <w:t>. California Edge Press/ American Evaluation Association.</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Munro, E. (2004). The impact of audit on social work practice. </w:t>
      </w:r>
      <w:r w:rsidRPr="00732DEF">
        <w:rPr>
          <w:i/>
          <w:sz w:val="24"/>
          <w:szCs w:val="24"/>
        </w:rPr>
        <w:t>British Journal of Social Work, 34</w:t>
      </w:r>
      <w:r w:rsidRPr="00732DEF">
        <w:rPr>
          <w:sz w:val="24"/>
          <w:szCs w:val="24"/>
        </w:rPr>
        <w:t xml:space="preserve">(8), 1075-1095.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Munro, E. (2005a). Improving practice: Child protection as a systems problem. </w:t>
      </w:r>
      <w:r w:rsidRPr="00732DEF">
        <w:rPr>
          <w:i/>
          <w:sz w:val="24"/>
          <w:szCs w:val="24"/>
        </w:rPr>
        <w:t>Children and Youth Services Review, 27</w:t>
      </w:r>
      <w:r w:rsidRPr="00732DEF">
        <w:rPr>
          <w:sz w:val="24"/>
          <w:szCs w:val="24"/>
        </w:rPr>
        <w:t xml:space="preserve">(4), 375-391.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Munro, E. (2005b). A Systems Approach to Investigating Child Abuse Deaths. </w:t>
      </w:r>
      <w:r w:rsidRPr="00732DEF">
        <w:rPr>
          <w:i/>
          <w:sz w:val="24"/>
          <w:szCs w:val="24"/>
        </w:rPr>
        <w:t>British Journal of Social Work, 35</w:t>
      </w:r>
      <w:r w:rsidRPr="00732DEF">
        <w:rPr>
          <w:sz w:val="24"/>
          <w:szCs w:val="24"/>
        </w:rPr>
        <w:t>(4), 531-546. doi:10.1093/bjsw/bch194</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Munro, E. (2010). Learning to reduce risk in child protection. </w:t>
      </w:r>
      <w:r w:rsidRPr="00732DEF">
        <w:rPr>
          <w:i/>
          <w:sz w:val="24"/>
          <w:szCs w:val="24"/>
        </w:rPr>
        <w:t>British Journal of Social Work, 40</w:t>
      </w:r>
      <w:r w:rsidRPr="00732DEF">
        <w:rPr>
          <w:sz w:val="24"/>
          <w:szCs w:val="24"/>
        </w:rPr>
        <w:t xml:space="preserve">(4), 1135-1151.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Munro, E. (2011). </w:t>
      </w:r>
      <w:r w:rsidRPr="00732DEF">
        <w:rPr>
          <w:i/>
          <w:sz w:val="24"/>
          <w:szCs w:val="24"/>
        </w:rPr>
        <w:t>The Munro Review of Child Protection: A Child-Centred System</w:t>
      </w:r>
      <w:r w:rsidRPr="00732DEF">
        <w:rPr>
          <w:sz w:val="24"/>
          <w:szCs w:val="24"/>
        </w:rPr>
        <w:t>. London: The Stationery Office.</w:t>
      </w:r>
    </w:p>
    <w:p w:rsidR="009C0E9D" w:rsidRPr="00732DEF" w:rsidRDefault="009C0E9D" w:rsidP="00732DEF">
      <w:pPr>
        <w:pStyle w:val="EndNoteBibliography"/>
        <w:spacing w:after="0" w:line="480" w:lineRule="auto"/>
        <w:ind w:left="720" w:hanging="720"/>
        <w:rPr>
          <w:sz w:val="24"/>
          <w:szCs w:val="24"/>
        </w:rPr>
      </w:pPr>
      <w:r w:rsidRPr="00732DEF">
        <w:rPr>
          <w:sz w:val="24"/>
          <w:szCs w:val="24"/>
        </w:rPr>
        <w:t>NACCC. (2010). Revised Protocol for referrals of families to Supported Child Contact Centres by Judges and Magistrates</w:t>
      </w:r>
      <w:r>
        <w:rPr>
          <w:sz w:val="24"/>
          <w:szCs w:val="24"/>
        </w:rPr>
        <w:t>. NACCC: Nottingham. Retrieved</w:t>
      </w:r>
      <w:r w:rsidRPr="00732DEF">
        <w:rPr>
          <w:sz w:val="24"/>
          <w:szCs w:val="24"/>
        </w:rPr>
        <w:t xml:space="preserve"> from</w:t>
      </w:r>
      <w:r>
        <w:rPr>
          <w:sz w:val="24"/>
          <w:szCs w:val="24"/>
        </w:rPr>
        <w:t>:</w:t>
      </w:r>
      <w:r w:rsidRPr="00732DEF">
        <w:rPr>
          <w:sz w:val="24"/>
          <w:szCs w:val="24"/>
        </w:rPr>
        <w:t xml:space="preserve"> www.naccc.org.uk/.../JUDICIAL_PROTOCOL__re_contact_centres_2.7.2010.pdf</w:t>
      </w:r>
    </w:p>
    <w:p w:rsidR="009C0E9D" w:rsidRPr="00732DEF" w:rsidRDefault="009C0E9D" w:rsidP="00732DEF">
      <w:pPr>
        <w:pStyle w:val="EndNoteBibliography"/>
        <w:spacing w:after="0" w:line="480" w:lineRule="auto"/>
        <w:ind w:left="720" w:hanging="720"/>
        <w:rPr>
          <w:sz w:val="24"/>
          <w:szCs w:val="24"/>
        </w:rPr>
      </w:pPr>
      <w:r w:rsidRPr="00732DEF">
        <w:rPr>
          <w:sz w:val="24"/>
          <w:szCs w:val="24"/>
        </w:rPr>
        <w:t>NACCC. (2011). Response to the Family</w:t>
      </w:r>
      <w:r>
        <w:rPr>
          <w:sz w:val="24"/>
          <w:szCs w:val="24"/>
        </w:rPr>
        <w:t xml:space="preserve"> Justice Review Interim Report</w:t>
      </w:r>
      <w:r w:rsidRPr="00732DEF">
        <w:rPr>
          <w:sz w:val="24"/>
          <w:szCs w:val="24"/>
        </w:rPr>
        <w:t xml:space="preserve">. </w:t>
      </w:r>
      <w:r>
        <w:rPr>
          <w:sz w:val="24"/>
          <w:szCs w:val="24"/>
        </w:rPr>
        <w:t xml:space="preserve">NACCC: </w:t>
      </w:r>
      <w:r w:rsidRPr="00732DEF">
        <w:rPr>
          <w:sz w:val="24"/>
          <w:szCs w:val="24"/>
        </w:rPr>
        <w:t>Nottingham.</w:t>
      </w:r>
    </w:p>
    <w:p w:rsidR="009C0E9D" w:rsidRPr="00732DEF" w:rsidRDefault="009C0E9D" w:rsidP="00732DEF">
      <w:pPr>
        <w:pStyle w:val="EndNoteBibliography"/>
        <w:spacing w:after="0" w:line="480" w:lineRule="auto"/>
        <w:ind w:left="720" w:hanging="720"/>
        <w:rPr>
          <w:sz w:val="24"/>
          <w:szCs w:val="24"/>
        </w:rPr>
      </w:pPr>
      <w:r w:rsidRPr="00732DEF">
        <w:rPr>
          <w:sz w:val="24"/>
          <w:szCs w:val="24"/>
        </w:rPr>
        <w:lastRenderedPageBreak/>
        <w:t xml:space="preserve">Norman, D. A. (1993). Toward human-centered design. </w:t>
      </w:r>
      <w:r w:rsidRPr="00732DEF">
        <w:rPr>
          <w:i/>
          <w:sz w:val="24"/>
          <w:szCs w:val="24"/>
        </w:rPr>
        <w:t>Technology Review, 96</w:t>
      </w:r>
      <w:r w:rsidRPr="00732DEF">
        <w:rPr>
          <w:sz w:val="24"/>
          <w:szCs w:val="24"/>
        </w:rPr>
        <w:t xml:space="preserve">(5), 47-53.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Pawson, R., &amp; Tilley, N. (1997). </w:t>
      </w:r>
      <w:r w:rsidRPr="00732DEF">
        <w:rPr>
          <w:i/>
          <w:sz w:val="24"/>
          <w:szCs w:val="24"/>
        </w:rPr>
        <w:t>Realistic Evaluation</w:t>
      </w:r>
      <w:r w:rsidRPr="00732DEF">
        <w:rPr>
          <w:sz w:val="24"/>
          <w:szCs w:val="24"/>
        </w:rPr>
        <w:t xml:space="preserve">. London: SAGE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Pawson, R. (2013). </w:t>
      </w:r>
      <w:r w:rsidRPr="00732DEF">
        <w:rPr>
          <w:i/>
          <w:sz w:val="24"/>
          <w:szCs w:val="24"/>
        </w:rPr>
        <w:t>The Science of Evaluation: a realist manifesto</w:t>
      </w:r>
      <w:r w:rsidRPr="00732DEF">
        <w:rPr>
          <w:sz w:val="24"/>
          <w:szCs w:val="24"/>
        </w:rPr>
        <w:t>. London: Sage.</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Perrow, C. (1984). </w:t>
      </w:r>
      <w:r w:rsidRPr="00732DEF">
        <w:rPr>
          <w:i/>
          <w:sz w:val="24"/>
          <w:szCs w:val="24"/>
        </w:rPr>
        <w:t>Normal accidents: Living with high risk technologies</w:t>
      </w:r>
      <w:r w:rsidRPr="00732DEF">
        <w:rPr>
          <w:sz w:val="24"/>
          <w:szCs w:val="24"/>
        </w:rPr>
        <w:t>. New York: Basic books.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Peters, D. H. (2014). The application of systems thinking in health: why use systems thinking. </w:t>
      </w:r>
      <w:r w:rsidRPr="00732DEF">
        <w:rPr>
          <w:i/>
          <w:sz w:val="24"/>
          <w:szCs w:val="24"/>
        </w:rPr>
        <w:t>Health Research Policy Systems, 12</w:t>
      </w:r>
      <w:r w:rsidRPr="00732DEF">
        <w:rPr>
          <w:sz w:val="24"/>
          <w:szCs w:val="24"/>
        </w:rPr>
        <w:t xml:space="preserve">(1), 51-56.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Pollitt, C., Girre, X., Lonsdale, J., Mul, R., Summa, H., &amp; Waerness, M. (1999). Performance or compliance?: performance audit and public management in five countries. </w:t>
      </w:r>
      <w:r w:rsidRPr="00732DEF">
        <w:rPr>
          <w:i/>
          <w:sz w:val="24"/>
          <w:szCs w:val="24"/>
        </w:rPr>
        <w:t>OUP Catalogue</w:t>
      </w:r>
      <w:r w:rsidRPr="00732DEF">
        <w:rPr>
          <w:sz w:val="24"/>
          <w:szCs w:val="24"/>
        </w:rPr>
        <w:t xml:space="preserve">.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Pool, R. (1997). </w:t>
      </w:r>
      <w:r w:rsidRPr="00732DEF">
        <w:rPr>
          <w:i/>
          <w:sz w:val="24"/>
          <w:szCs w:val="24"/>
        </w:rPr>
        <w:t>Beyond engineering: How society shapes technology</w:t>
      </w:r>
      <w:r w:rsidRPr="00732DEF">
        <w:rPr>
          <w:sz w:val="24"/>
          <w:szCs w:val="24"/>
        </w:rPr>
        <w:t xml:space="preserve">. Oxford: Oxford University Press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Power, M. (1997). </w:t>
      </w:r>
      <w:r w:rsidRPr="00732DEF">
        <w:rPr>
          <w:i/>
          <w:sz w:val="24"/>
          <w:szCs w:val="24"/>
        </w:rPr>
        <w:t>The Audit Society: Rituals of Verification</w:t>
      </w:r>
      <w:r w:rsidRPr="00732DEF">
        <w:rPr>
          <w:sz w:val="24"/>
          <w:szCs w:val="24"/>
        </w:rPr>
        <w:t>. Oxford: Oxford University Press.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Power, M. (2007). </w:t>
      </w:r>
      <w:r w:rsidRPr="00732DEF">
        <w:rPr>
          <w:i/>
          <w:sz w:val="24"/>
          <w:szCs w:val="24"/>
        </w:rPr>
        <w:t>Organized uncertainty: Designing a world of risk management</w:t>
      </w:r>
      <w:r w:rsidRPr="00732DEF">
        <w:rPr>
          <w:sz w:val="24"/>
          <w:szCs w:val="24"/>
        </w:rPr>
        <w:t>. New York: Oxford University Press,.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Rasmussen, J. (1997). Risk management in a dynamic society: a modelling problem. </w:t>
      </w:r>
      <w:r w:rsidRPr="00732DEF">
        <w:rPr>
          <w:i/>
          <w:sz w:val="24"/>
          <w:szCs w:val="24"/>
        </w:rPr>
        <w:t>Safety science, 27</w:t>
      </w:r>
      <w:r w:rsidRPr="00732DEF">
        <w:rPr>
          <w:sz w:val="24"/>
          <w:szCs w:val="24"/>
        </w:rPr>
        <w:t xml:space="preserve">(2), 183-213.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Rasmussen, J. (2003). The role of error in organizing behaviour. </w:t>
      </w:r>
      <w:r w:rsidRPr="00732DEF">
        <w:rPr>
          <w:i/>
          <w:sz w:val="24"/>
          <w:szCs w:val="24"/>
        </w:rPr>
        <w:t>Quality and Safety in Health Care, 12</w:t>
      </w:r>
      <w:r w:rsidRPr="00732DEF">
        <w:rPr>
          <w:sz w:val="24"/>
          <w:szCs w:val="24"/>
        </w:rPr>
        <w:t xml:space="preserve">(5), 377-383.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Rasmussen, J., Nixon, P., &amp; Warner, F. (1990). Human error and the problem of causality in analysis of accidents [and discussion]. </w:t>
      </w:r>
      <w:r w:rsidRPr="00732DEF">
        <w:rPr>
          <w:i/>
          <w:sz w:val="24"/>
          <w:szCs w:val="24"/>
        </w:rPr>
        <w:t>Philosophical Transactions of the Royal Society of London. B, Biological Sciences, 327</w:t>
      </w:r>
      <w:r w:rsidRPr="00732DEF">
        <w:rPr>
          <w:sz w:val="24"/>
          <w:szCs w:val="24"/>
        </w:rPr>
        <w:t xml:space="preserve">(1241), 449-462.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Rasmussen, J., &amp; Svedung, I. (2000). </w:t>
      </w:r>
      <w:r w:rsidRPr="00732DEF">
        <w:rPr>
          <w:i/>
          <w:sz w:val="24"/>
          <w:szCs w:val="24"/>
        </w:rPr>
        <w:t>Proactive risk management in a dynamic society</w:t>
      </w:r>
      <w:r w:rsidRPr="00732DEF">
        <w:rPr>
          <w:sz w:val="24"/>
          <w:szCs w:val="24"/>
        </w:rPr>
        <w:t xml:space="preserve">. Karlstad: Swedish Rescue Services Agency </w:t>
      </w:r>
    </w:p>
    <w:p w:rsidR="009C0E9D" w:rsidRPr="00732DEF" w:rsidRDefault="009C0E9D" w:rsidP="00732DEF">
      <w:pPr>
        <w:pStyle w:val="EndNoteBibliography"/>
        <w:spacing w:after="0" w:line="480" w:lineRule="auto"/>
        <w:ind w:left="720" w:hanging="720"/>
        <w:rPr>
          <w:sz w:val="24"/>
          <w:szCs w:val="24"/>
        </w:rPr>
      </w:pPr>
      <w:r w:rsidRPr="00732DEF">
        <w:rPr>
          <w:sz w:val="24"/>
          <w:szCs w:val="24"/>
        </w:rPr>
        <w:lastRenderedPageBreak/>
        <w:t xml:space="preserve">Reason, J. (1990). </w:t>
      </w:r>
      <w:r w:rsidRPr="00732DEF">
        <w:rPr>
          <w:i/>
          <w:sz w:val="24"/>
          <w:szCs w:val="24"/>
        </w:rPr>
        <w:t>Human error</w:t>
      </w:r>
      <w:r w:rsidRPr="00732DEF">
        <w:rPr>
          <w:sz w:val="24"/>
          <w:szCs w:val="24"/>
        </w:rPr>
        <w:t>. Cambridge: Cambridge University Press.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Reason, J. (1997). </w:t>
      </w:r>
      <w:r w:rsidRPr="00732DEF">
        <w:rPr>
          <w:i/>
          <w:sz w:val="24"/>
          <w:szCs w:val="24"/>
        </w:rPr>
        <w:t>Managing the risks of organizational accidents</w:t>
      </w:r>
      <w:r w:rsidRPr="00732DEF">
        <w:rPr>
          <w:sz w:val="24"/>
          <w:szCs w:val="24"/>
        </w:rPr>
        <w:t>. Aldershot: Ashgate.</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Reason, J. (2000). Human error: models and management. </w:t>
      </w:r>
      <w:r w:rsidRPr="00732DEF">
        <w:rPr>
          <w:i/>
          <w:sz w:val="24"/>
          <w:szCs w:val="24"/>
        </w:rPr>
        <w:t>British Medical Journal 320</w:t>
      </w:r>
      <w:r w:rsidRPr="00732DEF">
        <w:rPr>
          <w:sz w:val="24"/>
          <w:szCs w:val="24"/>
        </w:rPr>
        <w:t xml:space="preserve">(7237), 768-770. </w:t>
      </w:r>
    </w:p>
    <w:p w:rsidR="009C0E9D" w:rsidRPr="00732DEF" w:rsidRDefault="009C0E9D" w:rsidP="00267BD1">
      <w:pPr>
        <w:pStyle w:val="EndNoteBibliography"/>
        <w:spacing w:after="0" w:line="480" w:lineRule="auto"/>
        <w:ind w:left="720" w:hanging="720"/>
        <w:rPr>
          <w:sz w:val="24"/>
          <w:szCs w:val="24"/>
        </w:rPr>
      </w:pPr>
      <w:r w:rsidRPr="00732DEF">
        <w:rPr>
          <w:sz w:val="24"/>
          <w:szCs w:val="24"/>
        </w:rPr>
        <w:t xml:space="preserve">Reynolds, M. (2014). Equity-focused developmental evaluation using critical systems thinking. </w:t>
      </w:r>
      <w:r w:rsidRPr="00732DEF">
        <w:rPr>
          <w:i/>
          <w:sz w:val="24"/>
          <w:szCs w:val="24"/>
        </w:rPr>
        <w:t>Evaluation, 20</w:t>
      </w:r>
      <w:r w:rsidRPr="00732DEF">
        <w:rPr>
          <w:sz w:val="24"/>
          <w:szCs w:val="24"/>
        </w:rPr>
        <w:t>(1), 75-9</w:t>
      </w:r>
      <w:r w:rsidR="00267BD1">
        <w:rPr>
          <w:sz w:val="24"/>
          <w:szCs w:val="24"/>
        </w:rPr>
        <w:t>5. doi:10.1177/1356389013516054</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Rhodes, R. (2000). Governance and Public Administration. In J. Pierre (Ed.), </w:t>
      </w:r>
      <w:r w:rsidRPr="00732DEF">
        <w:rPr>
          <w:i/>
          <w:sz w:val="24"/>
          <w:szCs w:val="24"/>
        </w:rPr>
        <w:t>Debating Governance</w:t>
      </w:r>
      <w:r w:rsidRPr="00732DEF">
        <w:rPr>
          <w:sz w:val="24"/>
          <w:szCs w:val="24"/>
        </w:rPr>
        <w:t>. Oxford.</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Salamon, L. M. (1987). Of market failure, voluntary failure, and third-party government: Toward a theory of government-nonprofit relations in the modern welfare state. </w:t>
      </w:r>
      <w:r w:rsidRPr="00732DEF">
        <w:rPr>
          <w:i/>
          <w:sz w:val="24"/>
          <w:szCs w:val="24"/>
        </w:rPr>
        <w:t>Nonprofit and Voluntary Sector Quarterly, 16</w:t>
      </w:r>
      <w:r w:rsidRPr="00732DEF">
        <w:rPr>
          <w:sz w:val="24"/>
          <w:szCs w:val="24"/>
        </w:rPr>
        <w:t xml:space="preserve">(1-2), 29-49.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Salamon, L. M. (1995). </w:t>
      </w:r>
      <w:r w:rsidRPr="00732DEF">
        <w:rPr>
          <w:i/>
          <w:sz w:val="24"/>
          <w:szCs w:val="24"/>
        </w:rPr>
        <w:t>Partners in public service: Government-nonprofit relations in the modern welfare state</w:t>
      </w:r>
      <w:r w:rsidRPr="00732DEF">
        <w:rPr>
          <w:sz w:val="24"/>
          <w:szCs w:val="24"/>
        </w:rPr>
        <w:t xml:space="preserve">. Baltimore Johns Hopkins University Press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Sanderson, I. (2000). Evaluation in Complex Policy Systems. </w:t>
      </w:r>
      <w:r w:rsidRPr="00732DEF">
        <w:rPr>
          <w:i/>
          <w:sz w:val="24"/>
          <w:szCs w:val="24"/>
        </w:rPr>
        <w:t>Evaluation, 6</w:t>
      </w:r>
      <w:r w:rsidRPr="00732DEF">
        <w:rPr>
          <w:sz w:val="24"/>
          <w:szCs w:val="24"/>
        </w:rPr>
        <w:t>(4), 433-454. doi: 10.1177/13563890022209415</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Simon, H. A. (1969). </w:t>
      </w:r>
      <w:r w:rsidRPr="00732DEF">
        <w:rPr>
          <w:i/>
          <w:sz w:val="24"/>
          <w:szCs w:val="24"/>
        </w:rPr>
        <w:t>The sciences of the artificial</w:t>
      </w:r>
      <w:r w:rsidRPr="00732DEF">
        <w:rPr>
          <w:sz w:val="24"/>
          <w:szCs w:val="24"/>
        </w:rPr>
        <w:t>. Cambridge, MA: MIT press.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Smith, P. (1993). Outcome-related Performance Indicators and Organizational Control in the Public Sector1. </w:t>
      </w:r>
      <w:r w:rsidRPr="00732DEF">
        <w:rPr>
          <w:i/>
          <w:sz w:val="24"/>
          <w:szCs w:val="24"/>
        </w:rPr>
        <w:t>British Journal of Management, 4</w:t>
      </w:r>
      <w:r w:rsidRPr="00732DEF">
        <w:rPr>
          <w:sz w:val="24"/>
          <w:szCs w:val="24"/>
        </w:rPr>
        <w:t>(3), 135-151. doi: 10.1111/j.1467-8551.1993.tb00054.x</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Smith, R. S., &amp; Smyth, J. (2010). The Governance of contracting relationships "Killing the Golden Goose". In S. Osborne (Ed.), </w:t>
      </w:r>
      <w:r w:rsidRPr="00732DEF">
        <w:rPr>
          <w:i/>
          <w:sz w:val="24"/>
          <w:szCs w:val="24"/>
        </w:rPr>
        <w:t xml:space="preserve">The New Public Governance? </w:t>
      </w:r>
      <w:r w:rsidRPr="00732DEF">
        <w:rPr>
          <w:sz w:val="24"/>
          <w:szCs w:val="24"/>
        </w:rPr>
        <w:t>. Oxon: Routledge.</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Stacey, R. D. (2011). </w:t>
      </w:r>
      <w:r w:rsidRPr="00732DEF">
        <w:rPr>
          <w:i/>
          <w:sz w:val="24"/>
          <w:szCs w:val="24"/>
        </w:rPr>
        <w:t>Strategic management and organisational dynamics: The challenge of complexity to ways of thinking about organisations</w:t>
      </w:r>
      <w:r w:rsidRPr="00732DEF">
        <w:rPr>
          <w:sz w:val="24"/>
          <w:szCs w:val="24"/>
        </w:rPr>
        <w:t xml:space="preserve">. London: Pitman Publishing </w:t>
      </w:r>
    </w:p>
    <w:p w:rsidR="009C0E9D" w:rsidRPr="00732DEF" w:rsidRDefault="009C0E9D" w:rsidP="00732DEF">
      <w:pPr>
        <w:pStyle w:val="EndNoteBibliography"/>
        <w:spacing w:after="0" w:line="480" w:lineRule="auto"/>
        <w:ind w:left="720" w:hanging="720"/>
        <w:rPr>
          <w:sz w:val="24"/>
          <w:szCs w:val="24"/>
        </w:rPr>
      </w:pPr>
      <w:r w:rsidRPr="00732DEF">
        <w:rPr>
          <w:sz w:val="24"/>
          <w:szCs w:val="24"/>
        </w:rPr>
        <w:lastRenderedPageBreak/>
        <w:t xml:space="preserve">Thiara, R. K., &amp; Gill, A. K. (2012). </w:t>
      </w:r>
      <w:r w:rsidRPr="00732DEF">
        <w:rPr>
          <w:i/>
          <w:sz w:val="24"/>
          <w:szCs w:val="24"/>
        </w:rPr>
        <w:t>Domestic violence, child contact and post-separation violence: Issues for South Asian and African-Caribbean Women and Children</w:t>
      </w:r>
      <w:r w:rsidRPr="00732DEF">
        <w:rPr>
          <w:sz w:val="24"/>
          <w:szCs w:val="24"/>
        </w:rPr>
        <w:t>. London: NSPCC.</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US Institute of Medicine. (1999). </w:t>
      </w:r>
      <w:r w:rsidRPr="00732DEF">
        <w:rPr>
          <w:i/>
          <w:sz w:val="24"/>
          <w:szCs w:val="24"/>
        </w:rPr>
        <w:t>To err is human: building a safer health system</w:t>
      </w:r>
      <w:r w:rsidRPr="00732DEF">
        <w:rPr>
          <w:sz w:val="24"/>
          <w:szCs w:val="24"/>
        </w:rPr>
        <w:t>. Washington DC: National Academy Press.</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Wachter, R. M., &amp; Pronovost, P. J. (2009). Balancing “no blame” with accountability in patient safety. </w:t>
      </w:r>
      <w:r w:rsidRPr="00732DEF">
        <w:rPr>
          <w:i/>
          <w:sz w:val="24"/>
          <w:szCs w:val="24"/>
        </w:rPr>
        <w:t>New England Journal of Medicine, 361</w:t>
      </w:r>
      <w:r w:rsidRPr="00732DEF">
        <w:rPr>
          <w:sz w:val="24"/>
          <w:szCs w:val="24"/>
        </w:rPr>
        <w:t xml:space="preserve">(14), 1401-1406. </w:t>
      </w:r>
    </w:p>
    <w:p w:rsidR="009C0E9D" w:rsidRPr="00732DEF" w:rsidRDefault="009C0E9D" w:rsidP="00732DEF">
      <w:pPr>
        <w:pStyle w:val="EndNoteBibliography"/>
        <w:spacing w:line="480" w:lineRule="auto"/>
        <w:ind w:left="720" w:hanging="720"/>
        <w:rPr>
          <w:sz w:val="24"/>
          <w:szCs w:val="24"/>
        </w:rPr>
      </w:pPr>
      <w:r w:rsidRPr="00732DEF">
        <w:rPr>
          <w:sz w:val="24"/>
          <w:szCs w:val="24"/>
        </w:rPr>
        <w:t xml:space="preserve">Weiss, C. (1995). Nothing as practical as good theory: Exploring theory-based evaluation for comprehensive community initiatives for children and families. In J. Connell, A. Kubish, L. Schorr, &amp; C. E. Weiss (Eds.), </w:t>
      </w:r>
      <w:r w:rsidRPr="00732DEF">
        <w:rPr>
          <w:i/>
          <w:sz w:val="24"/>
          <w:szCs w:val="24"/>
        </w:rPr>
        <w:t>New approaches to evaluating community initiatives: Concepts, methods, and contexts</w:t>
      </w:r>
      <w:r w:rsidRPr="00732DEF">
        <w:rPr>
          <w:sz w:val="24"/>
          <w:szCs w:val="24"/>
        </w:rPr>
        <w:t xml:space="preserve"> (pp. 65-92). Washington, DC: Aspen Institute.</w:t>
      </w:r>
    </w:p>
    <w:p w:rsidR="009C0E9D" w:rsidRPr="00732DEF" w:rsidRDefault="009C0E9D" w:rsidP="00732DEF">
      <w:pPr>
        <w:pStyle w:val="EndNoteBibliography"/>
        <w:spacing w:line="480" w:lineRule="auto"/>
        <w:ind w:left="720" w:hanging="720"/>
        <w:rPr>
          <w:sz w:val="24"/>
          <w:szCs w:val="24"/>
        </w:rPr>
      </w:pPr>
      <w:r w:rsidRPr="00732DEF">
        <w:rPr>
          <w:sz w:val="24"/>
          <w:szCs w:val="24"/>
        </w:rPr>
        <w:t xml:space="preserve">Williams, B., &amp; Imam, I. (2007). </w:t>
      </w:r>
      <w:r w:rsidRPr="00732DEF">
        <w:rPr>
          <w:i/>
          <w:sz w:val="24"/>
          <w:szCs w:val="24"/>
        </w:rPr>
        <w:t>Systems concepts in evaluation: An expert anthology</w:t>
      </w:r>
      <w:r w:rsidRPr="00732DEF">
        <w:rPr>
          <w:sz w:val="24"/>
          <w:szCs w:val="24"/>
        </w:rPr>
        <w:t>. California Edge Press/ American Evaluation Association.</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Willow, C. (2002). </w:t>
      </w:r>
      <w:r w:rsidRPr="00732DEF">
        <w:rPr>
          <w:i/>
          <w:sz w:val="24"/>
          <w:szCs w:val="24"/>
        </w:rPr>
        <w:t>Participation in Practice: Children and young people as partners in change</w:t>
      </w:r>
      <w:r w:rsidRPr="00732DEF">
        <w:rPr>
          <w:sz w:val="24"/>
          <w:szCs w:val="24"/>
        </w:rPr>
        <w:t>. London: Children's Society.</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Wilson, R., Jackson, S., &amp; Nichols, S. (2003). Cognitive Work Investigation and Design in Practice: The Inﬂuence of Social Context and Social Work Artefacts. In E. Hollnagel (Ed.), </w:t>
      </w:r>
      <w:r w:rsidRPr="00732DEF">
        <w:rPr>
          <w:i/>
          <w:sz w:val="24"/>
          <w:szCs w:val="24"/>
        </w:rPr>
        <w:t>Handbook of cognitive task design</w:t>
      </w:r>
      <w:r w:rsidRPr="00732DEF">
        <w:rPr>
          <w:sz w:val="24"/>
          <w:szCs w:val="24"/>
        </w:rPr>
        <w:t xml:space="preserve"> (pp. 83). New Jersey: Lawrence Erlbaum Publishers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Woods, D., &amp; Cook, R. I. (1999). Perspectives on human error: Hindsight biases and local rationality. In F. Durso, R. Nickerson, S. Durnais, S. Lewandowsky, &amp; T. Perfect (Eds.), </w:t>
      </w:r>
      <w:r w:rsidRPr="00732DEF">
        <w:rPr>
          <w:i/>
          <w:sz w:val="24"/>
          <w:szCs w:val="24"/>
        </w:rPr>
        <w:t>Handbook of applied cognition</w:t>
      </w:r>
      <w:r w:rsidRPr="00732DEF">
        <w:rPr>
          <w:sz w:val="24"/>
          <w:szCs w:val="24"/>
        </w:rPr>
        <w:t xml:space="preserve"> (pp. 141-171). Chichester: Wiley-Blackwell.</w:t>
      </w:r>
    </w:p>
    <w:p w:rsidR="009C0E9D" w:rsidRPr="00732DEF" w:rsidRDefault="009C0E9D" w:rsidP="00732DEF">
      <w:pPr>
        <w:pStyle w:val="EndNoteBibliography"/>
        <w:spacing w:after="0" w:line="480" w:lineRule="auto"/>
        <w:ind w:left="720" w:hanging="720"/>
        <w:rPr>
          <w:sz w:val="24"/>
          <w:szCs w:val="24"/>
        </w:rPr>
      </w:pPr>
      <w:r w:rsidRPr="00732DEF">
        <w:rPr>
          <w:sz w:val="24"/>
          <w:szCs w:val="24"/>
        </w:rPr>
        <w:lastRenderedPageBreak/>
        <w:t xml:space="preserve">Woods, D., &amp; Cook, R. I. (2002). Nine steps to move forward from error. </w:t>
      </w:r>
      <w:r w:rsidRPr="00732DEF">
        <w:rPr>
          <w:i/>
          <w:sz w:val="24"/>
          <w:szCs w:val="24"/>
        </w:rPr>
        <w:t>Cognition, Technology &amp; Work, 4</w:t>
      </w:r>
      <w:r w:rsidRPr="00732DEF">
        <w:rPr>
          <w:sz w:val="24"/>
          <w:szCs w:val="24"/>
        </w:rPr>
        <w:t xml:space="preserve">(2), 137-144. </w:t>
      </w:r>
    </w:p>
    <w:p w:rsidR="009C0E9D" w:rsidRPr="00732DEF" w:rsidRDefault="009C0E9D" w:rsidP="00732DEF">
      <w:pPr>
        <w:pStyle w:val="EndNoteBibliography"/>
        <w:spacing w:after="0" w:line="480" w:lineRule="auto"/>
        <w:ind w:left="720" w:hanging="720"/>
        <w:rPr>
          <w:sz w:val="24"/>
          <w:szCs w:val="24"/>
        </w:rPr>
      </w:pPr>
      <w:r w:rsidRPr="00732DEF">
        <w:rPr>
          <w:sz w:val="24"/>
          <w:szCs w:val="24"/>
        </w:rPr>
        <w:t xml:space="preserve">Woods, D., &amp; Hollnagel, E. (2006). </w:t>
      </w:r>
      <w:r w:rsidRPr="00732DEF">
        <w:rPr>
          <w:i/>
          <w:sz w:val="24"/>
          <w:szCs w:val="24"/>
        </w:rPr>
        <w:t>Joint cognitive systems: Patterns in cognitive systems engineering</w:t>
      </w:r>
      <w:r w:rsidRPr="00732DEF">
        <w:rPr>
          <w:sz w:val="24"/>
          <w:szCs w:val="24"/>
        </w:rPr>
        <w:t>. Boca Raton CRC/Taylor Frances.</w:t>
      </w:r>
    </w:p>
    <w:p w:rsidR="009C0E9D" w:rsidRPr="00732DEF" w:rsidRDefault="009C0E9D" w:rsidP="00732DEF">
      <w:pPr>
        <w:pStyle w:val="EndNoteBibliography"/>
        <w:spacing w:line="480" w:lineRule="auto"/>
        <w:ind w:left="720" w:hanging="720"/>
        <w:rPr>
          <w:sz w:val="24"/>
          <w:szCs w:val="24"/>
        </w:rPr>
      </w:pPr>
      <w:r w:rsidRPr="00732DEF">
        <w:rPr>
          <w:sz w:val="24"/>
          <w:szCs w:val="24"/>
        </w:rPr>
        <w:t>Woods, D., Johannesen, L. J., Cook, R. I., &amp; Sarter, N. B. (1994). Behind human error: Cognitive systems, computers and hindsight. Ohio: Ohio State University/CSERIAC.</w:t>
      </w:r>
    </w:p>
    <w:p w:rsidR="00267BD1" w:rsidRDefault="00267BD1"/>
    <w:p w:rsidR="00267BD1" w:rsidRDefault="00267BD1"/>
    <w:sectPr w:rsidR="00267BD1" w:rsidSect="00A02E5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34F" w:rsidRDefault="0038334F" w:rsidP="00356A4C">
      <w:pPr>
        <w:spacing w:after="0" w:line="240" w:lineRule="auto"/>
      </w:pPr>
      <w:r>
        <w:separator/>
      </w:r>
    </w:p>
  </w:endnote>
  <w:endnote w:type="continuationSeparator" w:id="0">
    <w:p w:rsidR="0038334F" w:rsidRDefault="0038334F" w:rsidP="00356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ff6">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8514710"/>
      <w:docPartObj>
        <w:docPartGallery w:val="Page Numbers (Bottom of Page)"/>
        <w:docPartUnique/>
      </w:docPartObj>
    </w:sdtPr>
    <w:sdtEndPr>
      <w:rPr>
        <w:noProof/>
      </w:rPr>
    </w:sdtEndPr>
    <w:sdtContent>
      <w:p w:rsidR="00356A4C" w:rsidRDefault="00356A4C">
        <w:pPr>
          <w:pStyle w:val="Footer"/>
          <w:jc w:val="center"/>
        </w:pPr>
        <w:r>
          <w:fldChar w:fldCharType="begin"/>
        </w:r>
        <w:r>
          <w:instrText xml:space="preserve"> PAGE   \* MERGEFORMAT </w:instrText>
        </w:r>
        <w:r>
          <w:fldChar w:fldCharType="separate"/>
        </w:r>
        <w:r w:rsidR="00D76F6C">
          <w:rPr>
            <w:noProof/>
          </w:rPr>
          <w:t>19</w:t>
        </w:r>
        <w:r>
          <w:rPr>
            <w:noProof/>
          </w:rPr>
          <w:fldChar w:fldCharType="end"/>
        </w:r>
      </w:p>
    </w:sdtContent>
  </w:sdt>
  <w:p w:rsidR="00356A4C" w:rsidRDefault="00356A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34F" w:rsidRDefault="0038334F" w:rsidP="00356A4C">
      <w:pPr>
        <w:spacing w:after="0" w:line="240" w:lineRule="auto"/>
      </w:pPr>
      <w:r>
        <w:separator/>
      </w:r>
    </w:p>
  </w:footnote>
  <w:footnote w:type="continuationSeparator" w:id="0">
    <w:p w:rsidR="0038334F" w:rsidRDefault="0038334F" w:rsidP="00356A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7506F"/>
    <w:multiLevelType w:val="hybridMultilevel"/>
    <w:tmpl w:val="D5C6B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A4813"/>
    <w:multiLevelType w:val="hybridMultilevel"/>
    <w:tmpl w:val="746E2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070A68"/>
    <w:multiLevelType w:val="hybridMultilevel"/>
    <w:tmpl w:val="BFAE2CCC"/>
    <w:lvl w:ilvl="0" w:tplc="10F26A7E">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292A43"/>
    <w:multiLevelType w:val="hybridMultilevel"/>
    <w:tmpl w:val="D0D288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643032E"/>
    <w:multiLevelType w:val="hybridMultilevel"/>
    <w:tmpl w:val="3B3A6D32"/>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5B312AFC"/>
    <w:multiLevelType w:val="hybridMultilevel"/>
    <w:tmpl w:val="A15E33CC"/>
    <w:lvl w:ilvl="0" w:tplc="1430B9B4">
      <w:numFmt w:val="bullet"/>
      <w:lvlText w:val="-"/>
      <w:lvlJc w:val="left"/>
      <w:pPr>
        <w:ind w:left="1080" w:hanging="360"/>
      </w:pPr>
      <w:rPr>
        <w:rFonts w:ascii="Calibri" w:eastAsiaTheme="minorEastAsia" w:hAnsi="Calibri"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71354D1B"/>
    <w:multiLevelType w:val="hybridMultilevel"/>
    <w:tmpl w:val="9EC444A6"/>
    <w:lvl w:ilvl="0" w:tplc="55E83A28">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t2sftxw1fw90qerf23xr0xzaw2t9x2tfeze&quot;&gt;17 06 29 Louise Library_Current1 Copy&lt;record-ids&gt;&lt;item&gt;266&lt;/item&gt;&lt;item&gt;739&lt;/item&gt;&lt;/record-ids&gt;&lt;/item&gt;&lt;/Libraries&gt;"/>
  </w:docVars>
  <w:rsids>
    <w:rsidRoot w:val="009C0E9D"/>
    <w:rsid w:val="00065ADF"/>
    <w:rsid w:val="00267BD1"/>
    <w:rsid w:val="002F2092"/>
    <w:rsid w:val="00356A4C"/>
    <w:rsid w:val="0038334F"/>
    <w:rsid w:val="003C3BE5"/>
    <w:rsid w:val="00996AB0"/>
    <w:rsid w:val="00997AD9"/>
    <w:rsid w:val="009C0E9D"/>
    <w:rsid w:val="00A67E28"/>
    <w:rsid w:val="00B11C45"/>
    <w:rsid w:val="00C47437"/>
    <w:rsid w:val="00D02D9A"/>
    <w:rsid w:val="00D76F6C"/>
    <w:rsid w:val="00DA7C7C"/>
    <w:rsid w:val="00EB5BFD"/>
    <w:rsid w:val="00EF2EC1"/>
    <w:rsid w:val="00EF793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EEC7D8-59F9-4F2C-9BFA-BC68E75A2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E9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C0E9D"/>
    <w:rPr>
      <w:sz w:val="16"/>
      <w:szCs w:val="16"/>
    </w:rPr>
  </w:style>
  <w:style w:type="paragraph" w:styleId="CommentText">
    <w:name w:val="annotation text"/>
    <w:basedOn w:val="Normal"/>
    <w:link w:val="CommentTextChar"/>
    <w:uiPriority w:val="99"/>
    <w:semiHidden/>
    <w:unhideWhenUsed/>
    <w:rsid w:val="009C0E9D"/>
    <w:pPr>
      <w:spacing w:line="240" w:lineRule="auto"/>
    </w:pPr>
    <w:rPr>
      <w:sz w:val="20"/>
      <w:szCs w:val="20"/>
    </w:rPr>
  </w:style>
  <w:style w:type="character" w:customStyle="1" w:styleId="CommentTextChar">
    <w:name w:val="Comment Text Char"/>
    <w:basedOn w:val="DefaultParagraphFont"/>
    <w:link w:val="CommentText"/>
    <w:uiPriority w:val="99"/>
    <w:semiHidden/>
    <w:rsid w:val="009C0E9D"/>
    <w:rPr>
      <w:sz w:val="20"/>
      <w:szCs w:val="20"/>
      <w:lang w:val="en-GB"/>
    </w:rPr>
  </w:style>
  <w:style w:type="paragraph" w:styleId="CommentSubject">
    <w:name w:val="annotation subject"/>
    <w:basedOn w:val="CommentText"/>
    <w:next w:val="CommentText"/>
    <w:link w:val="CommentSubjectChar"/>
    <w:uiPriority w:val="99"/>
    <w:semiHidden/>
    <w:unhideWhenUsed/>
    <w:rsid w:val="009C0E9D"/>
    <w:rPr>
      <w:b/>
      <w:bCs/>
    </w:rPr>
  </w:style>
  <w:style w:type="character" w:customStyle="1" w:styleId="CommentSubjectChar">
    <w:name w:val="Comment Subject Char"/>
    <w:basedOn w:val="CommentTextChar"/>
    <w:link w:val="CommentSubject"/>
    <w:uiPriority w:val="99"/>
    <w:semiHidden/>
    <w:rsid w:val="009C0E9D"/>
    <w:rPr>
      <w:b/>
      <w:bCs/>
      <w:sz w:val="20"/>
      <w:szCs w:val="20"/>
      <w:lang w:val="en-GB"/>
    </w:rPr>
  </w:style>
  <w:style w:type="paragraph" w:styleId="BalloonText">
    <w:name w:val="Balloon Text"/>
    <w:basedOn w:val="Normal"/>
    <w:link w:val="BalloonTextChar"/>
    <w:uiPriority w:val="99"/>
    <w:semiHidden/>
    <w:unhideWhenUsed/>
    <w:rsid w:val="009C0E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0E9D"/>
    <w:rPr>
      <w:rFonts w:ascii="Segoe UI" w:hAnsi="Segoe UI" w:cs="Segoe UI"/>
      <w:sz w:val="18"/>
      <w:szCs w:val="18"/>
      <w:lang w:val="en-GB"/>
    </w:rPr>
  </w:style>
  <w:style w:type="paragraph" w:styleId="ListParagraph">
    <w:name w:val="List Paragraph"/>
    <w:basedOn w:val="Normal"/>
    <w:uiPriority w:val="34"/>
    <w:qFormat/>
    <w:rsid w:val="009C0E9D"/>
    <w:pPr>
      <w:ind w:left="720"/>
      <w:contextualSpacing/>
    </w:pPr>
  </w:style>
  <w:style w:type="character" w:customStyle="1" w:styleId="current-selection">
    <w:name w:val="current-selection"/>
    <w:basedOn w:val="DefaultParagraphFont"/>
    <w:rsid w:val="009C0E9D"/>
  </w:style>
  <w:style w:type="character" w:customStyle="1" w:styleId="a">
    <w:name w:val="_"/>
    <w:basedOn w:val="DefaultParagraphFont"/>
    <w:rsid w:val="009C0E9D"/>
  </w:style>
  <w:style w:type="character" w:customStyle="1" w:styleId="ffa">
    <w:name w:val="ffa"/>
    <w:basedOn w:val="DefaultParagraphFont"/>
    <w:rsid w:val="009C0E9D"/>
  </w:style>
  <w:style w:type="character" w:customStyle="1" w:styleId="enhanced-reference">
    <w:name w:val="enhanced-reference"/>
    <w:basedOn w:val="DefaultParagraphFont"/>
    <w:rsid w:val="009C0E9D"/>
  </w:style>
  <w:style w:type="character" w:customStyle="1" w:styleId="ff5">
    <w:name w:val="ff5"/>
    <w:basedOn w:val="DefaultParagraphFont"/>
    <w:rsid w:val="009C0E9D"/>
  </w:style>
  <w:style w:type="character" w:customStyle="1" w:styleId="ffb">
    <w:name w:val="ffb"/>
    <w:basedOn w:val="DefaultParagraphFont"/>
    <w:rsid w:val="009C0E9D"/>
  </w:style>
  <w:style w:type="character" w:customStyle="1" w:styleId="ff6">
    <w:name w:val="ff6"/>
    <w:basedOn w:val="DefaultParagraphFont"/>
    <w:rsid w:val="009C0E9D"/>
  </w:style>
  <w:style w:type="character" w:customStyle="1" w:styleId="apple-converted-space">
    <w:name w:val="apple-converted-space"/>
    <w:basedOn w:val="DefaultParagraphFont"/>
    <w:rsid w:val="009C0E9D"/>
  </w:style>
  <w:style w:type="character" w:styleId="Hyperlink">
    <w:name w:val="Hyperlink"/>
    <w:basedOn w:val="DefaultParagraphFont"/>
    <w:uiPriority w:val="99"/>
    <w:unhideWhenUsed/>
    <w:rsid w:val="009C0E9D"/>
    <w:rPr>
      <w:color w:val="0563C1" w:themeColor="hyperlink"/>
      <w:u w:val="single"/>
    </w:rPr>
  </w:style>
  <w:style w:type="character" w:customStyle="1" w:styleId="ls0">
    <w:name w:val="ls0"/>
    <w:basedOn w:val="DefaultParagraphFont"/>
    <w:rsid w:val="009C0E9D"/>
  </w:style>
  <w:style w:type="paragraph" w:customStyle="1" w:styleId="EndNoteBibliographyTitle">
    <w:name w:val="EndNote Bibliography Title"/>
    <w:basedOn w:val="Normal"/>
    <w:link w:val="EndNoteBibliographyTitleChar"/>
    <w:rsid w:val="009C0E9D"/>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9C0E9D"/>
    <w:rPr>
      <w:rFonts w:ascii="Calibri" w:hAnsi="Calibri" w:cs="Calibri"/>
      <w:noProof/>
      <w:lang w:val="en-US"/>
    </w:rPr>
  </w:style>
  <w:style w:type="paragraph" w:customStyle="1" w:styleId="EndNoteBibliography">
    <w:name w:val="EndNote Bibliography"/>
    <w:basedOn w:val="Normal"/>
    <w:link w:val="EndNoteBibliographyChar"/>
    <w:rsid w:val="009C0E9D"/>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9C0E9D"/>
    <w:rPr>
      <w:rFonts w:ascii="Calibri" w:hAnsi="Calibri" w:cs="Calibri"/>
      <w:noProof/>
      <w:lang w:val="en-US"/>
    </w:rPr>
  </w:style>
  <w:style w:type="character" w:customStyle="1" w:styleId="citationref">
    <w:name w:val="citationref"/>
    <w:basedOn w:val="DefaultParagraphFont"/>
    <w:rsid w:val="009C0E9D"/>
  </w:style>
  <w:style w:type="character" w:styleId="FollowedHyperlink">
    <w:name w:val="FollowedHyperlink"/>
    <w:basedOn w:val="DefaultParagraphFont"/>
    <w:uiPriority w:val="99"/>
    <w:semiHidden/>
    <w:unhideWhenUsed/>
    <w:rsid w:val="009C0E9D"/>
    <w:rPr>
      <w:color w:val="954F72" w:themeColor="followedHyperlink"/>
      <w:u w:val="single"/>
    </w:rPr>
  </w:style>
  <w:style w:type="paragraph" w:styleId="NormalWeb">
    <w:name w:val="Normal (Web)"/>
    <w:basedOn w:val="Normal"/>
    <w:link w:val="NormalWebChar"/>
    <w:uiPriority w:val="99"/>
    <w:unhideWhenUsed/>
    <w:rsid w:val="009C0E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WebChar">
    <w:name w:val="Normal (Web) Char"/>
    <w:link w:val="NormalWeb"/>
    <w:uiPriority w:val="99"/>
    <w:rsid w:val="009C0E9D"/>
    <w:rPr>
      <w:rFonts w:ascii="Times New Roman" w:eastAsia="Times New Roman" w:hAnsi="Times New Roman" w:cs="Times New Roman"/>
      <w:sz w:val="24"/>
      <w:szCs w:val="24"/>
      <w:lang w:val="en-GB" w:eastAsia="en-GB"/>
    </w:rPr>
  </w:style>
  <w:style w:type="character" w:customStyle="1" w:styleId="personname">
    <w:name w:val="person_name"/>
    <w:basedOn w:val="DefaultParagraphFont"/>
    <w:rsid w:val="009C0E9D"/>
  </w:style>
  <w:style w:type="character" w:styleId="Emphasis">
    <w:name w:val="Emphasis"/>
    <w:basedOn w:val="DefaultParagraphFont"/>
    <w:uiPriority w:val="20"/>
    <w:qFormat/>
    <w:rsid w:val="009C0E9D"/>
    <w:rPr>
      <w:i/>
      <w:iCs/>
    </w:rPr>
  </w:style>
  <w:style w:type="character" w:styleId="LineNumber">
    <w:name w:val="line number"/>
    <w:basedOn w:val="DefaultParagraphFont"/>
    <w:uiPriority w:val="99"/>
    <w:semiHidden/>
    <w:unhideWhenUsed/>
    <w:rsid w:val="009C0E9D"/>
  </w:style>
  <w:style w:type="paragraph" w:styleId="Header">
    <w:name w:val="header"/>
    <w:basedOn w:val="Normal"/>
    <w:link w:val="HeaderChar"/>
    <w:uiPriority w:val="99"/>
    <w:unhideWhenUsed/>
    <w:rsid w:val="00356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A4C"/>
    <w:rPr>
      <w:lang w:val="en-GB"/>
    </w:rPr>
  </w:style>
  <w:style w:type="paragraph" w:styleId="Footer">
    <w:name w:val="footer"/>
    <w:basedOn w:val="Normal"/>
    <w:link w:val="FooterChar"/>
    <w:uiPriority w:val="99"/>
    <w:unhideWhenUsed/>
    <w:rsid w:val="00356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A4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theses.lse.ac.uk/10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8644</Words>
  <Characters>49271</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Caffrey</dc:creator>
  <cp:keywords/>
  <dc:description/>
  <cp:lastModifiedBy>Louise Caffrey</cp:lastModifiedBy>
  <cp:revision>2</cp:revision>
  <dcterms:created xsi:type="dcterms:W3CDTF">2017-09-04T13:26:00Z</dcterms:created>
  <dcterms:modified xsi:type="dcterms:W3CDTF">2017-09-04T13:26:00Z</dcterms:modified>
</cp:coreProperties>
</file>