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8B8" w:rsidRPr="00CE21AC" w:rsidRDefault="001E6654" w:rsidP="00CE21AC">
      <w:pPr>
        <w:rPr>
          <w:b/>
          <w:sz w:val="28"/>
          <w:szCs w:val="28"/>
        </w:rPr>
      </w:pPr>
      <w:r w:rsidRPr="00CE21AC">
        <w:rPr>
          <w:b/>
          <w:sz w:val="28"/>
          <w:szCs w:val="28"/>
        </w:rPr>
        <w:t xml:space="preserve">4. </w:t>
      </w:r>
      <w:r w:rsidR="00C41EFC" w:rsidRPr="00CE21AC">
        <w:rPr>
          <w:b/>
          <w:sz w:val="28"/>
          <w:szCs w:val="28"/>
        </w:rPr>
        <w:t xml:space="preserve">Powerless </w:t>
      </w:r>
      <w:r w:rsidR="00CE21AC" w:rsidRPr="00CE21AC">
        <w:rPr>
          <w:b/>
          <w:sz w:val="28"/>
          <w:szCs w:val="28"/>
        </w:rPr>
        <w:t>o</w:t>
      </w:r>
      <w:r w:rsidR="00C41EFC" w:rsidRPr="00CE21AC">
        <w:rPr>
          <w:b/>
          <w:sz w:val="28"/>
          <w:szCs w:val="28"/>
        </w:rPr>
        <w:t xml:space="preserve">bservers? Policy-makers’ </w:t>
      </w:r>
      <w:r w:rsidR="00CE21AC" w:rsidRPr="00CE21AC">
        <w:rPr>
          <w:b/>
          <w:sz w:val="28"/>
          <w:szCs w:val="28"/>
        </w:rPr>
        <w:t>v</w:t>
      </w:r>
      <w:r w:rsidR="00C41EFC" w:rsidRPr="00CE21AC">
        <w:rPr>
          <w:b/>
          <w:sz w:val="28"/>
          <w:szCs w:val="28"/>
        </w:rPr>
        <w:t xml:space="preserve">iews </w:t>
      </w:r>
      <w:r w:rsidR="00CE21AC" w:rsidRPr="00CE21AC">
        <w:rPr>
          <w:b/>
          <w:sz w:val="28"/>
          <w:szCs w:val="28"/>
        </w:rPr>
        <w:t>o</w:t>
      </w:r>
      <w:r w:rsidR="00C41EFC" w:rsidRPr="00CE21AC">
        <w:rPr>
          <w:b/>
          <w:sz w:val="28"/>
          <w:szCs w:val="28"/>
        </w:rPr>
        <w:t xml:space="preserve">n </w:t>
      </w:r>
      <w:r w:rsidR="00CE21AC" w:rsidRPr="00CE21AC">
        <w:rPr>
          <w:b/>
          <w:sz w:val="28"/>
          <w:szCs w:val="28"/>
        </w:rPr>
        <w:t>t</w:t>
      </w:r>
      <w:r w:rsidR="00C41EFC" w:rsidRPr="00CE21AC">
        <w:rPr>
          <w:b/>
          <w:sz w:val="28"/>
          <w:szCs w:val="28"/>
        </w:rPr>
        <w:t xml:space="preserve">he inclusion of older people’s interest </w:t>
      </w:r>
      <w:r w:rsidR="00CE21AC">
        <w:rPr>
          <w:b/>
          <w:sz w:val="28"/>
          <w:szCs w:val="28"/>
        </w:rPr>
        <w:t>organizations</w:t>
      </w:r>
      <w:r w:rsidR="00C41EFC" w:rsidRPr="00CE21AC">
        <w:rPr>
          <w:b/>
          <w:sz w:val="28"/>
          <w:szCs w:val="28"/>
        </w:rPr>
        <w:t xml:space="preserve"> in the </w:t>
      </w:r>
      <w:r w:rsidR="00CE21AC">
        <w:rPr>
          <w:b/>
          <w:sz w:val="28"/>
          <w:szCs w:val="28"/>
        </w:rPr>
        <w:t>a</w:t>
      </w:r>
      <w:r w:rsidR="00B542F3" w:rsidRPr="00CE21AC">
        <w:rPr>
          <w:b/>
          <w:sz w:val="28"/>
          <w:szCs w:val="28"/>
        </w:rPr>
        <w:t xml:space="preserve">geing </w:t>
      </w:r>
      <w:r w:rsidR="00C41EFC" w:rsidRPr="00CE21AC">
        <w:rPr>
          <w:b/>
          <w:sz w:val="28"/>
          <w:szCs w:val="28"/>
        </w:rPr>
        <w:t>policy process in Ireland</w:t>
      </w:r>
    </w:p>
    <w:p w:rsidR="00C41EFC" w:rsidRPr="002A1E3C" w:rsidRDefault="00C41EFC" w:rsidP="0029201E">
      <w:pPr>
        <w:spacing w:line="480" w:lineRule="auto"/>
        <w:rPr>
          <w:b/>
        </w:rPr>
      </w:pPr>
    </w:p>
    <w:p w:rsidR="00C41EFC" w:rsidRDefault="00C41EFC" w:rsidP="0029201E">
      <w:pPr>
        <w:spacing w:line="480" w:lineRule="auto"/>
        <w:rPr>
          <w:b/>
        </w:rPr>
      </w:pPr>
      <w:r w:rsidRPr="002A1E3C">
        <w:rPr>
          <w:b/>
        </w:rPr>
        <w:t>Martha Doyle and Virpi Timonen, Trinity College Dublin</w:t>
      </w:r>
    </w:p>
    <w:p w:rsidR="00D71B6A" w:rsidRDefault="00D71B6A" w:rsidP="0029201E">
      <w:pPr>
        <w:spacing w:line="480" w:lineRule="auto"/>
        <w:rPr>
          <w:b/>
        </w:rPr>
      </w:pPr>
      <w:r>
        <w:rPr>
          <w:b/>
        </w:rPr>
        <w:t xml:space="preserve">Chapter forthcoming in: </w:t>
      </w:r>
      <w:r w:rsidRPr="00D71B6A">
        <w:rPr>
          <w:b/>
          <w:u w:val="single"/>
        </w:rPr>
        <w:t>The Making of Ageing Policy: Theory and Practice in Europe</w:t>
      </w:r>
      <w:r>
        <w:rPr>
          <w:b/>
        </w:rPr>
        <w:t>, Edited by Ervik, R. and T. Linden, forthcoming 2013 with Edward Elgar Publishers.</w:t>
      </w:r>
    </w:p>
    <w:p w:rsidR="00D71B6A" w:rsidRPr="002A1E3C" w:rsidRDefault="00D71B6A" w:rsidP="0029201E">
      <w:pPr>
        <w:spacing w:line="480" w:lineRule="auto"/>
        <w:rPr>
          <w:b/>
        </w:rPr>
      </w:pPr>
    </w:p>
    <w:p w:rsidR="00C41EFC" w:rsidRPr="002A1E3C" w:rsidRDefault="00C41EFC" w:rsidP="0029201E">
      <w:pPr>
        <w:pStyle w:val="Heading2"/>
        <w:spacing w:line="480" w:lineRule="auto"/>
        <w:rPr>
          <w:rFonts w:asciiTheme="minorHAnsi" w:hAnsiTheme="minorHAnsi"/>
        </w:rPr>
      </w:pPr>
      <w:r w:rsidRPr="002A1E3C">
        <w:rPr>
          <w:rFonts w:asciiTheme="minorHAnsi" w:hAnsiTheme="minorHAnsi"/>
        </w:rPr>
        <w:t>Introduction</w:t>
      </w:r>
    </w:p>
    <w:p w:rsidR="00594D1E" w:rsidRDefault="00C41EFC">
      <w:pPr>
        <w:spacing w:line="480" w:lineRule="auto"/>
      </w:pPr>
      <w:r w:rsidRPr="002A1E3C">
        <w:t>Th</w:t>
      </w:r>
      <w:r>
        <w:t xml:space="preserve">is chapter moves from a focus </w:t>
      </w:r>
      <w:r w:rsidRPr="002A1E3C">
        <w:t xml:space="preserve">on the macro politics of old age, that is, on the policy propositions of </w:t>
      </w:r>
      <w:r>
        <w:t xml:space="preserve">national governments, </w:t>
      </w:r>
      <w:r w:rsidRPr="002A1E3C">
        <w:t xml:space="preserve">international </w:t>
      </w:r>
      <w:r w:rsidR="00CE21AC">
        <w:t>organizations</w:t>
      </w:r>
      <w:r w:rsidRPr="002A1E3C">
        <w:t xml:space="preserve"> and the impact of global demographic and economic forces to the </w:t>
      </w:r>
      <w:proofErr w:type="spellStart"/>
      <w:r w:rsidRPr="002A1E3C">
        <w:t>meso</w:t>
      </w:r>
      <w:proofErr w:type="spellEnd"/>
      <w:r w:rsidRPr="002A1E3C">
        <w:t xml:space="preserve"> politics (policymakers’ perspectives on policy as it relates to older people at the national level) and micro politics (older people’s </w:t>
      </w:r>
      <w:r w:rsidR="00CE21AC">
        <w:t>organizations</w:t>
      </w:r>
      <w:r w:rsidRPr="002A1E3C">
        <w:t xml:space="preserve"> involvement in the policy dialogue) of old age (Walker 2006a). </w:t>
      </w:r>
      <w:r>
        <w:t>It</w:t>
      </w:r>
      <w:r w:rsidRPr="002A1E3C">
        <w:t xml:space="preserve"> explor</w:t>
      </w:r>
      <w:r>
        <w:t>es</w:t>
      </w:r>
      <w:r w:rsidRPr="002A1E3C">
        <w:t xml:space="preserve"> policymakers’ perceptions of older people’s interest </w:t>
      </w:r>
      <w:r w:rsidR="00CE21AC">
        <w:t>organizations</w:t>
      </w:r>
      <w:r w:rsidRPr="002A1E3C">
        <w:t xml:space="preserve"> and social policy development as it relates to older people in the Irish context. The chapter examines how policymakers reconcile the widely stated need to reform ageing policy and the imperative to consult with older people and their representative </w:t>
      </w:r>
      <w:r w:rsidR="00CE21AC">
        <w:t>organizations</w:t>
      </w:r>
      <w:r w:rsidRPr="002A1E3C">
        <w:t xml:space="preserve">. </w:t>
      </w:r>
      <w:r>
        <w:t xml:space="preserve">It questions whether </w:t>
      </w:r>
      <w:r w:rsidRPr="002A1E3C">
        <w:t>the perceived need to reform (or even retrench) old-age policy conflict</w:t>
      </w:r>
      <w:r>
        <w:t>s</w:t>
      </w:r>
      <w:r w:rsidRPr="002A1E3C">
        <w:t xml:space="preserve"> with the need to consult the stakeholder </w:t>
      </w:r>
      <w:r w:rsidR="00CE21AC">
        <w:t>organizations</w:t>
      </w:r>
      <w:r w:rsidRPr="002A1E3C">
        <w:t xml:space="preserve"> that see themselves as defenders of older peo</w:t>
      </w:r>
      <w:r w:rsidR="005B5377">
        <w:t>ple’s services and entitlements.</w:t>
      </w:r>
      <w:r w:rsidRPr="002A1E3C">
        <w:t xml:space="preserve"> If it does, how do policymakers reconcile these two competing imperatives? </w:t>
      </w:r>
    </w:p>
    <w:p w:rsidR="00D138B8" w:rsidRDefault="00C41EFC">
      <w:pPr>
        <w:spacing w:line="480" w:lineRule="auto"/>
        <w:ind w:firstLine="720"/>
      </w:pPr>
      <w:r>
        <w:t>As outlined in Chapter 1 t</w:t>
      </w:r>
      <w:r w:rsidRPr="002A1E3C">
        <w:t>he politics of old age revolves around two distinct discourses. The first discourse constructs the issue of population ageing as a problem that needs to be solved. This discourse, which emerged in the late 1970s, places emphasis on the economic costs of demographic ageing (</w:t>
      </w:r>
      <w:proofErr w:type="spellStart"/>
      <w:r w:rsidRPr="002A1E3C">
        <w:t>Phillipson</w:t>
      </w:r>
      <w:proofErr w:type="spellEnd"/>
      <w:r w:rsidRPr="002A1E3C">
        <w:t xml:space="preserve"> 2002; </w:t>
      </w:r>
      <w:proofErr w:type="spellStart"/>
      <w:r w:rsidRPr="002A1E3C">
        <w:t>Baars</w:t>
      </w:r>
      <w:proofErr w:type="spellEnd"/>
      <w:r w:rsidRPr="002A1E3C">
        <w:t xml:space="preserve">, </w:t>
      </w:r>
      <w:proofErr w:type="spellStart"/>
      <w:r w:rsidRPr="002A1E3C">
        <w:t>Dannefer</w:t>
      </w:r>
      <w:proofErr w:type="spellEnd"/>
      <w:r w:rsidRPr="002A1E3C">
        <w:t xml:space="preserve">, </w:t>
      </w:r>
      <w:proofErr w:type="spellStart"/>
      <w:r w:rsidRPr="002A1E3C">
        <w:t>Phillipson</w:t>
      </w:r>
      <w:proofErr w:type="spellEnd"/>
      <w:r w:rsidRPr="002A1E3C">
        <w:t xml:space="preserve">, and Walker 2006b). As part of this discourse, reformulation of welfare policies and privatization of pension schemes are called for against the backdrop of budgetary constraints (Katz 1992); future projections of dependency ratios are used to paint alarmist pictures of the consequences of demographic ageing (Walker 2006b); and policy discussions on old age are dominated by the theme of ‘crisis’. </w:t>
      </w:r>
      <w:proofErr w:type="gramStart"/>
      <w:r w:rsidRPr="009A6508">
        <w:lastRenderedPageBreak/>
        <w:t xml:space="preserve">As </w:t>
      </w:r>
      <w:proofErr w:type="spellStart"/>
      <w:r w:rsidR="00EE7E6E" w:rsidRPr="002A1E3C">
        <w:t>Baars</w:t>
      </w:r>
      <w:proofErr w:type="spellEnd"/>
      <w:r w:rsidR="00755B56">
        <w:t xml:space="preserve"> et.al.</w:t>
      </w:r>
      <w:proofErr w:type="gramEnd"/>
      <w:r w:rsidR="00EE7E6E" w:rsidRPr="002A1E3C">
        <w:t xml:space="preserve"> </w:t>
      </w:r>
      <w:r w:rsidR="00EE7E6E">
        <w:t>(</w:t>
      </w:r>
      <w:r w:rsidR="00EE7E6E" w:rsidRPr="002A1E3C">
        <w:t>2006)</w:t>
      </w:r>
      <w:r w:rsidR="00EE7E6E">
        <w:t xml:space="preserve"> argue </w:t>
      </w:r>
      <w:r>
        <w:t>i</w:t>
      </w:r>
      <w:r w:rsidRPr="002A1E3C">
        <w:t xml:space="preserve">nternational bodies such as the World Bank, the </w:t>
      </w:r>
      <w:proofErr w:type="spellStart"/>
      <w:r w:rsidRPr="002A1E3C">
        <w:t>Organisation</w:t>
      </w:r>
      <w:proofErr w:type="spellEnd"/>
      <w:r w:rsidRPr="002A1E3C">
        <w:t xml:space="preserve"> for Economic Co-operation and Development</w:t>
      </w:r>
      <w:r w:rsidR="0099382B">
        <w:t xml:space="preserve"> (OECD)</w:t>
      </w:r>
      <w:r w:rsidRPr="002A1E3C">
        <w:t xml:space="preserve">, the World Trade </w:t>
      </w:r>
      <w:proofErr w:type="spellStart"/>
      <w:r w:rsidRPr="002A1E3C">
        <w:t>Organisation</w:t>
      </w:r>
      <w:proofErr w:type="spellEnd"/>
      <w:r w:rsidRPr="002A1E3C">
        <w:t xml:space="preserve"> and International Monetary Fund espouse a neo-liberal agenda which calls for greater individual responsibility and retrenchment of pensions, health and long-term care policies.</w:t>
      </w:r>
      <w:r w:rsidR="00EE7E6E" w:rsidRPr="00EE7E6E">
        <w:t xml:space="preserve"> </w:t>
      </w:r>
      <w:r w:rsidR="00EE7E6E">
        <w:t xml:space="preserve">Similar arguments are made </w:t>
      </w:r>
      <w:r w:rsidR="00EE7E6E" w:rsidRPr="009A6508">
        <w:rPr>
          <w:lang w:val="en-GB"/>
        </w:rPr>
        <w:t>in Chapter 3</w:t>
      </w:r>
      <w:r w:rsidR="00EE7E6E">
        <w:rPr>
          <w:lang w:val="en-GB"/>
        </w:rPr>
        <w:t xml:space="preserve"> </w:t>
      </w:r>
      <w:r w:rsidR="00EE7E6E">
        <w:t>by K</w:t>
      </w:r>
      <w:proofErr w:type="spellStart"/>
      <w:r w:rsidR="00EE7E6E">
        <w:rPr>
          <w:lang w:val="en-GB"/>
        </w:rPr>
        <w:t>ildal</w:t>
      </w:r>
      <w:proofErr w:type="spellEnd"/>
      <w:r w:rsidR="00EE7E6E">
        <w:rPr>
          <w:lang w:val="en-GB"/>
        </w:rPr>
        <w:t xml:space="preserve"> and </w:t>
      </w:r>
      <w:proofErr w:type="spellStart"/>
      <w:r w:rsidR="00EE7E6E">
        <w:rPr>
          <w:lang w:val="en-GB"/>
        </w:rPr>
        <w:t>Nilssen</w:t>
      </w:r>
      <w:proofErr w:type="spellEnd"/>
      <w:r w:rsidR="00EE7E6E" w:rsidRPr="009A6508">
        <w:rPr>
          <w:lang w:val="en-GB"/>
        </w:rPr>
        <w:t xml:space="preserve"> </w:t>
      </w:r>
      <w:r w:rsidR="00EE7E6E">
        <w:rPr>
          <w:lang w:val="en-GB"/>
        </w:rPr>
        <w:t xml:space="preserve">in relation to the OECD and EU. </w:t>
      </w:r>
    </w:p>
    <w:p w:rsidR="00D138B8" w:rsidRDefault="00C41EFC">
      <w:pPr>
        <w:spacing w:line="480" w:lineRule="auto"/>
        <w:ind w:firstLine="720"/>
      </w:pPr>
      <w:r w:rsidRPr="002A1E3C">
        <w:t xml:space="preserve">Parallel to this discourse is a discourse </w:t>
      </w:r>
      <w:r>
        <w:t xml:space="preserve">of active ageing </w:t>
      </w:r>
      <w:r w:rsidR="00FA1F35">
        <w:t xml:space="preserve">as </w:t>
      </w:r>
      <w:r>
        <w:t xml:space="preserve">outlined in Chapter 2 by Walker and Foster. Although not always given sufficient attention in policy documents, </w:t>
      </w:r>
      <w:r w:rsidRPr="002A1E3C">
        <w:t xml:space="preserve">the active participation and inclusion of older people and their representative </w:t>
      </w:r>
      <w:r w:rsidR="00CE21AC">
        <w:t>organizations</w:t>
      </w:r>
      <w:r w:rsidRPr="002A1E3C">
        <w:t xml:space="preserve"> in the policy process</w:t>
      </w:r>
      <w:r>
        <w:t xml:space="preserve"> is an important component of the active ageing agenda, which gives due recognition to the rights of older people to contribute </w:t>
      </w:r>
      <w:r w:rsidR="00CB1BAA">
        <w:t>to</w:t>
      </w:r>
      <w:r>
        <w:t xml:space="preserve"> the policy decisions which have a direct impact on their lives (Walker 1998)</w:t>
      </w:r>
      <w:r w:rsidRPr="002A1E3C">
        <w:t xml:space="preserve">. </w:t>
      </w:r>
      <w:r w:rsidRPr="002A1E3C">
        <w:rPr>
          <w:rFonts w:cs="BJACKH+TimesNewRoman"/>
          <w:color w:val="000000"/>
        </w:rPr>
        <w:t>T</w:t>
      </w:r>
      <w:r w:rsidRPr="002A1E3C">
        <w:t xml:space="preserve">he notion of the participation of older people’s interest </w:t>
      </w:r>
      <w:r w:rsidR="00CE21AC">
        <w:t>organizations</w:t>
      </w:r>
      <w:r w:rsidRPr="002A1E3C">
        <w:t xml:space="preserve"> in the policy process is reflective of a general promotion of the involvement and inclusion of civil society </w:t>
      </w:r>
      <w:r w:rsidR="00CE21AC">
        <w:t>organizations</w:t>
      </w:r>
      <w:r w:rsidRPr="002A1E3C">
        <w:t xml:space="preserve"> in the consultation, planning and decision making process (</w:t>
      </w:r>
      <w:proofErr w:type="spellStart"/>
      <w:r w:rsidRPr="002A1E3C">
        <w:t>Crozier</w:t>
      </w:r>
      <w:proofErr w:type="spellEnd"/>
      <w:r w:rsidRPr="002A1E3C">
        <w:t xml:space="preserve">, Huntington &amp; </w:t>
      </w:r>
      <w:proofErr w:type="spellStart"/>
      <w:r w:rsidRPr="002A1E3C">
        <w:t>Wakanuki</w:t>
      </w:r>
      <w:proofErr w:type="spellEnd"/>
      <w:r w:rsidRPr="002A1E3C">
        <w:t xml:space="preserve"> 1975</w:t>
      </w:r>
      <w:r w:rsidR="00072A36">
        <w:t>;</w:t>
      </w:r>
      <w:r w:rsidRPr="002A1E3C">
        <w:t xml:space="preserve"> Putnam 2000; </w:t>
      </w:r>
      <w:proofErr w:type="spellStart"/>
      <w:r w:rsidRPr="002A1E3C">
        <w:t>Marinetto</w:t>
      </w:r>
      <w:proofErr w:type="spellEnd"/>
      <w:r w:rsidRPr="002A1E3C">
        <w:t xml:space="preserve"> 2003). The inclusion of such </w:t>
      </w:r>
      <w:r w:rsidR="00CE21AC">
        <w:t>organizations</w:t>
      </w:r>
      <w:r w:rsidRPr="002A1E3C">
        <w:t xml:space="preserve"> in the policy process is argued to enhance trust in government, improve the quality of policy outcomes, contribute to higher compliance with policy decisions and ensure that public policy and services take into account the needs of </w:t>
      </w:r>
      <w:proofErr w:type="spellStart"/>
      <w:r w:rsidRPr="002A1E3C">
        <w:t>marginalised</w:t>
      </w:r>
      <w:proofErr w:type="spellEnd"/>
      <w:r w:rsidRPr="002A1E3C">
        <w:t xml:space="preserve"> and excluded populations </w:t>
      </w:r>
      <w:r w:rsidR="00B70474" w:rsidRPr="002A1E3C">
        <w:fldChar w:fldCharType="begin"/>
      </w:r>
      <w:r w:rsidRPr="002A1E3C">
        <w:instrText xml:space="preserve"> ADDIN EN.CITE &lt;EndNote&gt;&lt;Cite&gt;&lt;Author&gt;OECD&lt;/Author&gt;&lt;Year&gt;2002&lt;/Year&gt;&lt;RecNum&gt;287&lt;/RecNum&gt;&lt;record&gt;&lt;rec-number&gt;287&lt;/rec-number&gt;&lt;foreign-keys&gt;&lt;key app="EN" db-id="vx2vrtvfwdstv1efxtzxtz9zfex09we9v0ap"&gt;287&lt;/key&gt;&lt;/foreign-keys&gt;&lt;ref-type name="Government Document"&gt;46&lt;/ref-type&gt;&lt;contributors&gt;&lt;authors&gt;&lt;author&gt;OECD &lt;/author&gt;&lt;/authors&gt;&lt;/contributors&gt;&lt;titles&gt;&lt;title&gt;Public Sector Transparency and Accountability Making it Happen&lt;/title&gt;&lt;/titles&gt;&lt;dates&gt;&lt;year&gt;2002&lt;/year&gt;&lt;/dates&gt;&lt;pub-location&gt;Paris&lt;/pub-location&gt;&lt;publisher&gt;OECD&lt;/publisher&gt;&lt;urls&gt;&lt;/urls&gt;&lt;/record&gt;&lt;/Cite&gt;&lt;Cite&gt;&lt;Author&gt;OECD&lt;/Author&gt;&lt;Year&gt;2009&lt;/Year&gt;&lt;RecNum&gt;418&lt;/RecNum&gt;&lt;record&gt;&lt;rec-number&gt;418&lt;/rec-number&gt;&lt;foreign-keys&gt;&lt;key app="EN" db-id="vx2vrtvfwdstv1efxtzxtz9zfex09we9v0ap"&gt;418&lt;/key&gt;&lt;/foreign-keys&gt;&lt;ref-type name="Government Document"&gt;46&lt;/ref-type&gt;&lt;contributors&gt;&lt;authors&gt;&lt;author&gt;OECD,&lt;/author&gt;&lt;/authors&gt;&lt;/contributors&gt;&lt;titles&gt;&lt;title&gt;Focus on citizens: Public engagment for better policy and services&lt;/title&gt;&lt;/titles&gt;&lt;dates&gt;&lt;year&gt;2009&lt;/year&gt;&lt;/dates&gt;&lt;pub-location&gt;Paris&lt;/pub-location&gt;&lt;publisher&gt;OECD&lt;/publisher&gt;&lt;urls&gt;&lt;/urls&gt;&lt;/record&gt;&lt;/Cite&gt;&lt;/EndNote&gt;</w:instrText>
      </w:r>
      <w:r w:rsidR="00B70474" w:rsidRPr="002A1E3C">
        <w:fldChar w:fldCharType="separate"/>
      </w:r>
      <w:r w:rsidRPr="002A1E3C">
        <w:t>(OECD 2002</w:t>
      </w:r>
      <w:r w:rsidR="00072A36">
        <w:t>;</w:t>
      </w:r>
      <w:r w:rsidRPr="002A1E3C">
        <w:t xml:space="preserve"> 2009)</w:t>
      </w:r>
      <w:r w:rsidR="00B70474" w:rsidRPr="002A1E3C">
        <w:fldChar w:fldCharType="end"/>
      </w:r>
      <w:r w:rsidRPr="002A1E3C">
        <w:t xml:space="preserve">. The participation of older people’s interest </w:t>
      </w:r>
      <w:r w:rsidR="00CE21AC">
        <w:t>organizations</w:t>
      </w:r>
      <w:r w:rsidRPr="002A1E3C">
        <w:t xml:space="preserve"> in the policy process has been promoted in international </w:t>
      </w:r>
      <w:proofErr w:type="spellStart"/>
      <w:r w:rsidRPr="002A1E3C">
        <w:t>fora</w:t>
      </w:r>
      <w:proofErr w:type="spellEnd"/>
      <w:r w:rsidRPr="002A1E3C">
        <w:t xml:space="preserve"> and at national level in the majority of established democracies throughout the world in recent decades</w:t>
      </w:r>
      <w:r w:rsidR="00EE7E6E">
        <w:rPr>
          <w:rStyle w:val="EndnoteReference"/>
        </w:rPr>
        <w:endnoteReference w:id="1"/>
      </w:r>
      <w:r w:rsidRPr="002A1E3C">
        <w:t>.</w:t>
      </w:r>
      <w:r w:rsidR="00232BD2">
        <w:t xml:space="preserve"> </w:t>
      </w:r>
      <w:r w:rsidRPr="002A1E3C">
        <w:t xml:space="preserve">Despite the seeming linkages between the discourse on the necessity of reforming old-age policies and the discourse of consultation with older people and their representative </w:t>
      </w:r>
      <w:r w:rsidR="00CE21AC">
        <w:t>organizations</w:t>
      </w:r>
      <w:r w:rsidRPr="002A1E3C">
        <w:t xml:space="preserve">, we know remarkably little about how these discourses are reconciled by policy actors.  </w:t>
      </w:r>
    </w:p>
    <w:p w:rsidR="00D138B8" w:rsidRDefault="00C41EFC">
      <w:pPr>
        <w:spacing w:line="480" w:lineRule="auto"/>
        <w:ind w:firstLine="720"/>
      </w:pPr>
      <w:r w:rsidRPr="002A1E3C">
        <w:t xml:space="preserve">Drawing on qualitative research conducted with senior policymakers and former </w:t>
      </w:r>
      <w:r w:rsidR="001A3FF1">
        <w:t>Ministers of State/</w:t>
      </w:r>
      <w:r w:rsidRPr="002A1E3C">
        <w:t xml:space="preserve">Junior Ministers in Ireland, this chapter explores </w:t>
      </w:r>
      <w:r>
        <w:t xml:space="preserve">if, and </w:t>
      </w:r>
      <w:r w:rsidRPr="002A1E3C">
        <w:t xml:space="preserve">how national-level policymakers attempt to </w:t>
      </w:r>
      <w:r>
        <w:t xml:space="preserve">reformulate ageing policy </w:t>
      </w:r>
      <w:r w:rsidRPr="002A1E3C">
        <w:t xml:space="preserve">and </w:t>
      </w:r>
      <w:r>
        <w:t xml:space="preserve">incorporate the opinions and prerogatives of older people’s interest </w:t>
      </w:r>
      <w:r w:rsidR="00CE21AC">
        <w:t>organizations</w:t>
      </w:r>
      <w:r>
        <w:t xml:space="preserve"> in the policy dialogue</w:t>
      </w:r>
      <w:r w:rsidRPr="002A1E3C">
        <w:t>.  We examine the views of both elected politicians (Junior Ministers) and the views of civil servants working in the area of old-age policy.</w:t>
      </w:r>
    </w:p>
    <w:p w:rsidR="00D138B8" w:rsidRDefault="00C41EFC">
      <w:pPr>
        <w:pStyle w:val="Heading3"/>
        <w:spacing w:line="480" w:lineRule="auto"/>
        <w:rPr>
          <w:rFonts w:asciiTheme="minorHAnsi" w:hAnsiTheme="minorHAnsi"/>
        </w:rPr>
      </w:pPr>
      <w:r w:rsidRPr="002A1E3C">
        <w:rPr>
          <w:rFonts w:asciiTheme="minorHAnsi" w:hAnsiTheme="minorHAnsi"/>
        </w:rPr>
        <w:lastRenderedPageBreak/>
        <w:t>The Irish context</w:t>
      </w:r>
    </w:p>
    <w:p w:rsidR="00D138B8" w:rsidRDefault="00C41EFC">
      <w:pPr>
        <w:spacing w:line="480" w:lineRule="auto"/>
      </w:pPr>
      <w:r w:rsidRPr="002A1E3C">
        <w:t>From the mid-1990s to early 2007 Ireland witnessed unprecedented economic growth – a period dubbed the Celtic Tiger years. The transformation of the Irish economy occurred through a process of market liberali</w:t>
      </w:r>
      <w:r w:rsidR="000A5166">
        <w:t>z</w:t>
      </w:r>
      <w:r w:rsidRPr="002A1E3C">
        <w:t xml:space="preserve">ation, a construction boom and foreign direct investment encouraged through low corporation tax and rising education level of the population </w:t>
      </w:r>
      <w:r w:rsidR="00B70474" w:rsidRPr="002A1E3C">
        <w:fldChar w:fldCharType="begin"/>
      </w:r>
      <w:r w:rsidRPr="002A1E3C">
        <w:instrText xml:space="preserve"> ADDIN EN.CITE &lt;EndNote&gt;&lt;Cite&gt;&lt;Author&gt;Barry&lt;/Author&gt;&lt;Year&gt;1999&lt;/Year&gt;&lt;RecNum&gt;354&lt;/RecNum&gt;&lt;record&gt;&lt;rec-number&gt;354&lt;/rec-number&gt;&lt;foreign-keys&gt;&lt;key app="EN" db-id="vx2vrtvfwdstv1efxtzxtz9zfex09we9v0ap"&gt;354&lt;/key&gt;&lt;/foreign-keys&gt;&lt;ref-type name="Edited Book"&gt;28&lt;/ref-type&gt;&lt;contributors&gt;&lt;authors&gt;&lt;author&gt;Barry, F &lt;/author&gt;&lt;/authors&gt;&lt;/contributors&gt;&lt;titles&gt;&lt;title&gt;Understanding Ireland&amp;apos;s economic growth&lt;/title&gt;&lt;/titles&gt;&lt;dates&gt;&lt;year&gt;1999&lt;/year&gt;&lt;/dates&gt;&lt;pub-location&gt;Basingstoke&lt;/pub-location&gt;&lt;publisher&gt;MacMillan&lt;/publisher&gt;&lt;urls&gt;&lt;/urls&gt;&lt;/record&gt;&lt;/Cite&gt;&lt;Cite&gt;&lt;Author&gt;O&amp;apos; Malley&lt;/Author&gt;&lt;Year&gt;2008&lt;/Year&gt;&lt;RecNum&gt;359&lt;/RecNum&gt;&lt;record&gt;&lt;rec-number&gt;359&lt;/rec-number&gt;&lt;foreign-keys&gt;&lt;key app="EN" db-id="vx2vrtvfwdstv1efxtzxtz9zfex09we9v0ap"&gt;359&lt;/key&gt;&lt;/foreign-keys&gt;&lt;ref-type name="Book Section"&gt;5&lt;/ref-type&gt;&lt;contributors&gt;&lt;authors&gt;&lt;author&gt;O&amp;apos; Malley, Eoin&lt;/author&gt;&lt;author&gt;McGrath, Conor&lt;/author&gt;&lt;/authors&gt;&lt;secondary-authors&gt;&lt;author&gt;McGrath, Conor&lt;/author&gt;&lt;author&gt;O&amp;apos; Malley&lt;/author&gt;&lt;/secondary-authors&gt;&lt;/contributors&gt;&lt;titles&gt;&lt;title&gt;Politics in Ireland, 1982-2007&lt;/title&gt;&lt;secondary-title&gt;Irish political studies reader&lt;/secondary-title&gt;&lt;/titles&gt;&lt;pages&gt;1-12&lt;/pages&gt;&lt;dates&gt;&lt;year&gt;2008&lt;/year&gt;&lt;/dates&gt;&lt;pub-location&gt;London&lt;/pub-location&gt;&lt;publisher&gt;Routledge&lt;/publisher&gt;&lt;urls&gt;&lt;/urls&gt;&lt;/record&gt;&lt;/Cite&gt;&lt;Cite&gt;&lt;Author&gt;Bergin&lt;/Author&gt;&lt;Year&gt;2011&lt;/Year&gt;&lt;RecNum&gt;369&lt;/RecNum&gt;&lt;record&gt;&lt;rec-number&gt;369&lt;/rec-number&gt;&lt;foreign-keys&gt;&lt;key app="EN" db-id="vx2vrtvfwdstv1efxtzxtz9zfex09we9v0ap"&gt;369&lt;/key&gt;&lt;/foreign-keys&gt;&lt;ref-type name="Journal Article"&gt;17&lt;/ref-type&gt;&lt;contributors&gt;&lt;authors&gt;&lt;author&gt;Bergin, A&lt;/author&gt;&lt;author&gt;FitzGerald, J&lt;/author&gt;&lt;author&gt;Kearney, I&lt;/author&gt;&lt;author&gt;O&amp;apos; Sullivan, C&lt;/author&gt;&lt;/authors&gt;&lt;/contributors&gt;&lt;titles&gt;&lt;title&gt;The Irish Fiscal Crisis&lt;/title&gt;&lt;secondary-title&gt;National Institute Economic Review&lt;/secondary-title&gt;&lt;/titles&gt;&lt;periodical&gt;&lt;full-title&gt;National Institute Economic Review&lt;/full-title&gt;&lt;/periodical&gt;&lt;pages&gt;R47-R59&lt;/pages&gt;&lt;volume&gt;217&lt;/volume&gt;&lt;number&gt;July&lt;/number&gt;&lt;dates&gt;&lt;year&gt;2011&lt;/year&gt;&lt;/dates&gt;&lt;urls&gt;&lt;/urls&gt;&lt;/record&gt;&lt;/Cite&gt;&lt;/EndNote&gt;</w:instrText>
      </w:r>
      <w:r w:rsidR="00B70474" w:rsidRPr="002A1E3C">
        <w:fldChar w:fldCharType="separate"/>
      </w:r>
      <w:r w:rsidRPr="002A1E3C">
        <w:t>(Barry 1999; Bergin, FitzGerald, Kearney, &amp; O' Sullivan 2011; O' Malley &amp; McGrath 2008)</w:t>
      </w:r>
      <w:r w:rsidR="00B70474" w:rsidRPr="002A1E3C">
        <w:fldChar w:fldCharType="end"/>
      </w:r>
      <w:r w:rsidRPr="002A1E3C">
        <w:t xml:space="preserve">. The dramatic economic transformation and budget surpluses in the final years of the 1990s and early years of the new millennium provided the Irish government with the opportunity to increase social welfare benefits and ensure all segments of society benefited from its new-found prosperity, leading to lower levels of deprivation and economic vulnerability </w:t>
      </w:r>
      <w:r w:rsidR="00B70474" w:rsidRPr="002A1E3C">
        <w:fldChar w:fldCharType="begin"/>
      </w:r>
      <w:r w:rsidRPr="002A1E3C">
        <w:instrText xml:space="preserve"> ADDIN EN.CITE &lt;EndNote&gt;&lt;Cite&gt;&lt;Author&gt;Murphy&lt;/Author&gt;&lt;Year&gt;2006&lt;/Year&gt;&lt;RecNum&gt;350&lt;/RecNum&gt;&lt;record&gt;&lt;rec-number&gt;350&lt;/rec-number&gt;&lt;foreign-keys&gt;&lt;key app="EN" db-id="vx2vrtvfwdstv1efxtzxtz9zfex09we9v0ap"&gt;350&lt;/key&gt;&lt;/foreign-keys&gt;&lt;ref-type name="Book Section"&gt;5&lt;/ref-type&gt;&lt;contributors&gt;&lt;authors&gt;&lt;author&gt;Murphy, Mary&lt;/author&gt;&lt;/authors&gt;&lt;secondary-authors&gt;&lt;author&gt;Jacobson, David&lt;/author&gt;&lt;author&gt;Kirby, Peadar&lt;/author&gt;&lt;author&gt;Ó Broin, Deiric.&lt;/author&gt;&lt;/secondary-authors&gt;&lt;/contributors&gt;&lt;titles&gt;&lt;title&gt;The emerging Irish workfare state and its implications for local development&lt;/title&gt;&lt;secondary-title&gt;Taming the tiger: Social Exclusion in a globalised Ireland&lt;/secondary-title&gt;&lt;/titles&gt;&lt;pages&gt;85-111&lt;/pages&gt;&lt;dates&gt;&lt;year&gt;2006&lt;/year&gt;&lt;/dates&gt;&lt;pub-location&gt;Dublin&lt;/pub-location&gt;&lt;publisher&gt;Tasc&lt;/publisher&gt;&lt;urls&gt;&lt;/urls&gt;&lt;/record&gt;&lt;/Cite&gt;&lt;/EndNote&gt;</w:instrText>
      </w:r>
      <w:r w:rsidR="00B70474" w:rsidRPr="002A1E3C">
        <w:fldChar w:fldCharType="separate"/>
      </w:r>
      <w:r w:rsidRPr="002A1E3C">
        <w:t>(Murphy, 2006; Whelan, Nolan and Maître, 2006)</w:t>
      </w:r>
      <w:r w:rsidR="00B70474" w:rsidRPr="002A1E3C">
        <w:fldChar w:fldCharType="end"/>
      </w:r>
      <w:r w:rsidRPr="002A1E3C">
        <w:t xml:space="preserve">. However, Murphy </w:t>
      </w:r>
      <w:r w:rsidR="00B70474" w:rsidRPr="002A1E3C">
        <w:fldChar w:fldCharType="begin"/>
      </w:r>
      <w:r w:rsidRPr="002A1E3C">
        <w:instrText xml:space="preserve"> ADDIN EN.CITE &lt;EndNote&gt;&lt;Cite ExcludeAuth="1"&gt;&lt;Author&gt;Murphy&lt;/Author&gt;&lt;Year&gt;2006&lt;/Year&gt;&lt;RecNum&gt;350&lt;/RecNum&gt;&lt;record&gt;&lt;rec-number&gt;350&lt;/rec-number&gt;&lt;foreign-keys&gt;&lt;key app="EN" db-id="vx2vrtvfwdstv1efxtzxtz9zfex09we9v0ap"&gt;350&lt;/key&gt;&lt;/foreign-keys&gt;&lt;ref-type name="Book Section"&gt;5&lt;/ref-type&gt;&lt;contributors&gt;&lt;authors&gt;&lt;author&gt;Murphy, Mary&lt;/author&gt;&lt;/authors&gt;&lt;secondary-authors&gt;&lt;author&gt;Jacobson, David&lt;/author&gt;&lt;author&gt;Kirby, Peadar&lt;/author&gt;&lt;author&gt;Ó Broin, Deiric.&lt;/author&gt;&lt;/secondary-authors&gt;&lt;/contributors&gt;&lt;titles&gt;&lt;title&gt;The emerging Irish workfare state and its implications for local development&lt;/title&gt;&lt;secondary-title&gt;Taming the tiger: Social Exclusion in a globalised Ireland&lt;/secondary-title&gt;&lt;/titles&gt;&lt;pages&gt;85-111&lt;/pages&gt;&lt;dates&gt;&lt;year&gt;2006&lt;/year&gt;&lt;/dates&gt;&lt;pub-location&gt;Dublin&lt;/pub-location&gt;&lt;publisher&gt;Tasc&lt;/publisher&gt;&lt;urls&gt;&lt;/urls&gt;&lt;/record&gt;&lt;/Cite&gt;&lt;/EndNote&gt;</w:instrText>
      </w:r>
      <w:r w:rsidR="00B70474" w:rsidRPr="002A1E3C">
        <w:fldChar w:fldCharType="separate"/>
      </w:r>
      <w:r w:rsidRPr="002A1E3C">
        <w:t>(2006:</w:t>
      </w:r>
      <w:r w:rsidR="00755B56">
        <w:t xml:space="preserve"> </w:t>
      </w:r>
      <w:r w:rsidRPr="002A1E3C">
        <w:t>90)</w:t>
      </w:r>
      <w:r w:rsidR="00B70474" w:rsidRPr="002A1E3C">
        <w:fldChar w:fldCharType="end"/>
      </w:r>
      <w:r w:rsidRPr="002A1E3C">
        <w:t xml:space="preserve"> argues that </w:t>
      </w:r>
      <w:r w:rsidRPr="00072A36">
        <w:t>‘</w:t>
      </w:r>
      <w:r w:rsidR="008C260D" w:rsidRPr="008C260D">
        <w:t>a neo-liberal fixation on low state intervention persisted</w:t>
      </w:r>
      <w:r w:rsidRPr="00072A36">
        <w:t>’</w:t>
      </w:r>
      <w:r w:rsidRPr="002A1E3C">
        <w:t xml:space="preserve">, the Department of Finance remained focused on cost containment and did not improve social protection to the extent that the economic conditions would have allowed. </w:t>
      </w:r>
    </w:p>
    <w:p w:rsidR="00D138B8" w:rsidRDefault="00C41EFC">
      <w:pPr>
        <w:spacing w:line="480" w:lineRule="auto"/>
        <w:ind w:firstLine="720"/>
      </w:pPr>
      <w:r w:rsidRPr="002A1E3C">
        <w:t>Social policy formulation as it relates to older people has been given significant prominence in recent decades, with the establishment of the National Council of Ageing and Older People</w:t>
      </w:r>
      <w:r w:rsidR="00EE7E6E">
        <w:rPr>
          <w:rStyle w:val="EndnoteReference"/>
        </w:rPr>
        <w:endnoteReference w:id="2"/>
      </w:r>
      <w:r w:rsidRPr="002A1E3C">
        <w:t xml:space="preserve"> in 1981, the specification of older people as a target group within the life cycle approach in the 2006 social partnership agreement ‘Towards 2016’ </w:t>
      </w:r>
      <w:r w:rsidR="00B70474" w:rsidRPr="002A1E3C">
        <w:fldChar w:fldCharType="begin"/>
      </w:r>
      <w:r w:rsidRPr="002A1E3C">
        <w:instrText xml:space="preserve"> ADDIN EN.CITE &lt;EndNote&gt;&lt;Cite&gt;&lt;Author&gt;Department of the Taoiseach&lt;/Author&gt;&lt;Year&gt;2006&lt;/Year&gt;&lt;RecNum&gt;30&lt;/RecNum&gt;&lt;record&gt;&lt;rec-number&gt;30&lt;/rec-number&gt;&lt;foreign-keys&gt;&lt;key app="EN" db-id="vx2vrtvfwdstv1efxtzxtz9zfex09we9v0ap"&gt;30&lt;/key&gt;&lt;/foreign-keys&gt;&lt;ref-type name="Report"&gt;27&lt;/ref-type&gt;&lt;contributors&gt;&lt;authors&gt;&lt;author&gt;Department of the Taoiseach, &lt;/author&gt;&lt;/authors&gt;&lt;/contributors&gt;&lt;titles&gt;&lt;title&gt;Towards (2016)&lt;/title&gt;&lt;/titles&gt;&lt;dates&gt;&lt;year&gt;2006&lt;/year&gt;&lt;/dates&gt;&lt;pub-location&gt;Dublin&lt;/pub-location&gt;&lt;urls&gt;&lt;/urls&gt;&lt;/record&gt;&lt;/Cite&gt;&lt;/EndNote&gt;</w:instrText>
      </w:r>
      <w:r w:rsidR="00B70474" w:rsidRPr="002A1E3C">
        <w:fldChar w:fldCharType="separate"/>
      </w:r>
      <w:r w:rsidRPr="002A1E3C">
        <w:t>(Department of the Taoiseach 2006)</w:t>
      </w:r>
      <w:r w:rsidR="00B70474" w:rsidRPr="002A1E3C">
        <w:fldChar w:fldCharType="end"/>
      </w:r>
      <w:r w:rsidRPr="002A1E3C">
        <w:t xml:space="preserve"> and the establishment of the (junior) Ministry for Older People in 2007</w:t>
      </w:r>
      <w:r w:rsidR="00EE7E6E">
        <w:rPr>
          <w:rStyle w:val="EndnoteReference"/>
        </w:rPr>
        <w:endnoteReference w:id="3"/>
      </w:r>
      <w:r w:rsidRPr="002A1E3C">
        <w:t xml:space="preserve">. </w:t>
      </w:r>
      <w:r w:rsidRPr="002A1E3C">
        <w:rPr>
          <w:lang w:val="en-IE" w:eastAsia="en-GB"/>
        </w:rPr>
        <w:t>However, more recent years have witnessed retraction of these steps. The National Council on Ageing and Older People was dissolved in 2007 and the position of Junior Minister of State for Older People was subsumed into the Junior Ministry for Disability, Equality, Mental Health and Older People in 2010.</w:t>
      </w:r>
      <w:r w:rsidRPr="002A1E3C">
        <w:t xml:space="preserve">The exact role of the state in the provision and regulation of services for older people remains somewhat ambiguous and poorly defined. Pierce </w:t>
      </w:r>
      <w:r w:rsidR="00B70474" w:rsidRPr="002A1E3C">
        <w:fldChar w:fldCharType="begin"/>
      </w:r>
      <w:r w:rsidRPr="002A1E3C">
        <w:instrText xml:space="preserve"> ADDIN EN.CITE &lt;EndNote&gt;&lt;Cite ExcludeAuth="1"&gt;&lt;Author&gt;Pierce&lt;/Author&gt;&lt;Year&gt;2008&lt;/Year&gt;&lt;RecNum&gt;111&lt;/RecNum&gt;&lt;record&gt;&lt;rec-number&gt;111&lt;/rec-number&gt;&lt;foreign-keys&gt;&lt;key app="EN" db-id="vx2vrtvfwdstv1efxtzxtz9zfex09we9v0ap"&gt;111&lt;/key&gt;&lt;/foreign-keys&gt;&lt;ref-type name="Book Section"&gt;5&lt;/ref-type&gt;&lt;contributors&gt;&lt;authors&gt;&lt;author&gt;Pierce, Marie&lt;/author&gt;&lt;/authors&gt;&lt;secondary-authors&gt;&lt;author&gt;Kennedy, Patrica&lt;/author&gt;&lt;author&gt;Quin, Suzanne&lt;/author&gt;&lt;/secondary-authors&gt;&lt;/contributors&gt;&lt;titles&gt;&lt;title&gt;Constructions of ageing in Irish social policy &lt;/title&gt;&lt;secondary-title&gt;Ageing and Social Policy in Ireland&lt;/secondary-title&gt;&lt;/titles&gt;&lt;pages&gt;5 -19&lt;/pages&gt;&lt;dates&gt;&lt;year&gt;2008&lt;/year&gt;&lt;/dates&gt;&lt;pub-location&gt;Dublin &lt;/pub-location&gt;&lt;publisher&gt;University College Dublin Press&lt;/publisher&gt;&lt;urls&gt;&lt;/urls&gt;&lt;/record&gt;&lt;/Cite&gt;&lt;/EndNote&gt;</w:instrText>
      </w:r>
      <w:r w:rsidR="00B70474" w:rsidRPr="002A1E3C">
        <w:fldChar w:fldCharType="separate"/>
      </w:r>
      <w:r w:rsidRPr="002A1E3C">
        <w:t>(2008)</w:t>
      </w:r>
      <w:r w:rsidR="00B70474" w:rsidRPr="002A1E3C">
        <w:fldChar w:fldCharType="end"/>
      </w:r>
      <w:r w:rsidRPr="002A1E3C">
        <w:t xml:space="preserve"> argues that the theme of an ageing ‘crisis’ has been </w:t>
      </w:r>
      <w:proofErr w:type="spellStart"/>
      <w:r w:rsidRPr="002A1E3C">
        <w:t>discernable</w:t>
      </w:r>
      <w:proofErr w:type="spellEnd"/>
      <w:r w:rsidRPr="002A1E3C">
        <w:t xml:space="preserve"> in Irish policy documents since the 1990s. She provides the example of a report by the National Pensions Board </w:t>
      </w:r>
      <w:r w:rsidR="00B70474" w:rsidRPr="002A1E3C">
        <w:fldChar w:fldCharType="begin"/>
      </w:r>
      <w:r w:rsidRPr="002A1E3C">
        <w:instrText xml:space="preserve"> ADDIN EN.CITE &lt;EndNote&gt;&lt;Cite ExcludeAuth="1"&gt;&lt;Author&gt;Board&lt;/Author&gt;&lt;Year&gt;1993&lt;/Year&gt;&lt;RecNum&gt;370&lt;/RecNum&gt;&lt;record&gt;&lt;rec-number&gt;370&lt;/rec-number&gt;&lt;foreign-keys&gt;&lt;key app="EN" db-id="vx2vrtvfwdstv1efxtzxtz9zfex09we9v0ap"&gt;370&lt;/key&gt;&lt;/foreign-keys&gt;&lt;ref-type name="Government Document"&gt;46&lt;/ref-type&gt;&lt;contributors&gt;&lt;authors&gt;&lt;author&gt;National Pensions Board,&lt;/author&gt;&lt;/authors&gt;&lt;/contributors&gt;&lt;titles&gt;&lt;title&gt;Developing the National Pension System: Final Report of the National pensions board&lt;/title&gt;&lt;/titles&gt;&lt;dates&gt;&lt;year&gt;1993&lt;/year&gt;&lt;/dates&gt;&lt;pub-location&gt;Dublin&lt;/pub-location&gt;&lt;publisher&gt;Stationery Office&lt;/publisher&gt;&lt;urls&gt;&lt;/urls&gt;&lt;/record&gt;&lt;/Cite&gt;&lt;/EndNote&gt;</w:instrText>
      </w:r>
      <w:r w:rsidR="00B70474" w:rsidRPr="002A1E3C">
        <w:fldChar w:fldCharType="separate"/>
      </w:r>
      <w:r w:rsidRPr="002A1E3C">
        <w:t>(1993)</w:t>
      </w:r>
      <w:r w:rsidR="00B70474" w:rsidRPr="002A1E3C">
        <w:fldChar w:fldCharType="end"/>
      </w:r>
      <w:r w:rsidRPr="002A1E3C">
        <w:t xml:space="preserve"> and the Years Ahead Report </w:t>
      </w:r>
      <w:r w:rsidR="00B70474" w:rsidRPr="002A1E3C">
        <w:fldChar w:fldCharType="begin"/>
      </w:r>
      <w:r w:rsidRPr="002A1E3C">
        <w:instrText xml:space="preserve"> ADDIN EN.CITE &lt;EndNote&gt;&lt;Cite&gt;&lt;Author&gt;Department of Health&lt;/Author&gt;&lt;Year&gt;1988&lt;/Year&gt;&lt;RecNum&gt;371&lt;/RecNum&gt;&lt;record&gt;&lt;rec-number&gt;371&lt;/rec-number&gt;&lt;foreign-keys&gt;&lt;key app="EN" db-id="vx2vrtvfwdstv1efxtzxtz9zfex09we9v0ap"&gt;371&lt;/key&gt;&lt;/foreign-keys&gt;&lt;ref-type name="Government Document"&gt;46&lt;/ref-type&gt;&lt;contributors&gt;&lt;authors&gt;&lt;author&gt;Department of Health,&lt;/author&gt;&lt;/authors&gt;&lt;secondary-authors&gt;&lt;author&gt;,&lt;/author&gt;&lt;/secondary-authors&gt;&lt;/contributors&gt;&lt;titles&gt;&lt;title&gt;The Years Ahead: A policy for the elderly. Report of the working party on services for the elderly&lt;/title&gt;&lt;/titles&gt;&lt;dates&gt;&lt;year&gt;1988&lt;/year&gt;&lt;/dates&gt;&lt;pub-location&gt;Dublin&lt;/pub-location&gt;&lt;publisher&gt;Stationery Office&lt;/publisher&gt;&lt;urls&gt;&lt;/urls&gt;&lt;/record&gt;&lt;/Cite&gt;&lt;/EndNote&gt;</w:instrText>
      </w:r>
      <w:r w:rsidR="00B70474" w:rsidRPr="002A1E3C">
        <w:fldChar w:fldCharType="separate"/>
      </w:r>
      <w:r w:rsidRPr="002A1E3C">
        <w:t>(Department of Health 1988)</w:t>
      </w:r>
      <w:r w:rsidR="00B70474" w:rsidRPr="002A1E3C">
        <w:fldChar w:fldCharType="end"/>
      </w:r>
      <w:r w:rsidRPr="002A1E3C">
        <w:t xml:space="preserve"> where dependency ratios and demographic changes are linked to escalating costs and pressure on public finances. Pierce and Timonen </w:t>
      </w:r>
      <w:r w:rsidR="00B70474" w:rsidRPr="002A1E3C">
        <w:fldChar w:fldCharType="begin"/>
      </w:r>
      <w:r w:rsidRPr="002A1E3C">
        <w:instrText xml:space="preserve"> ADDIN EN.CITE &lt;EndNote&gt;&lt;Cite ExcludeAuth="1"&gt;&lt;Author&gt;Pierce&lt;/Author&gt;&lt;Year&gt;2010&lt;/Year&gt;&lt;RecNum&gt;377&lt;/RecNum&gt;&lt;record&gt;&lt;rec-number&gt;377&lt;/rec-number&gt;&lt;foreign-keys&gt;&lt;key app="EN" db-id="vx2vrtvfwdstv1efxtzxtz9zfex09we9v0ap"&gt;377&lt;/key&gt;&lt;/foreign-keys&gt;&lt;ref-type name="Government Document"&gt;46&lt;/ref-type&gt;&lt;contributors&gt;&lt;authors&gt;&lt;author&gt;Pierce, M&lt;/author&gt;&lt;author&gt;Timonen, V.&lt;/author&gt;&lt;/authors&gt;&lt;/contributors&gt;&lt;titles&gt;&lt;title&gt;A discussion paper on theories of ageing&lt;/title&gt;&lt;/titles&gt;&lt;dates&gt;&lt;year&gt;2010&lt;/year&gt;&lt;/dates&gt;&lt;pub-location&gt;Dublin&lt;/pub-location&gt;&lt;publisher&gt;Centre for Ageing Research and Development in Ireland&lt;/publisher&gt;&lt;urls&gt;&lt;/urls&gt;&lt;/record&gt;&lt;/Cite&gt;&lt;/EndNote&gt;</w:instrText>
      </w:r>
      <w:r w:rsidR="00B70474" w:rsidRPr="002A1E3C">
        <w:fldChar w:fldCharType="separate"/>
      </w:r>
      <w:r w:rsidRPr="002A1E3C">
        <w:t>(2010)</w:t>
      </w:r>
      <w:r w:rsidR="00B70474" w:rsidRPr="002A1E3C">
        <w:fldChar w:fldCharType="end"/>
      </w:r>
      <w:r w:rsidRPr="002A1E3C">
        <w:t xml:space="preserve"> note that this theme of unsustainable costs in the face of demographic changes is also evident in more recent national pensions framework documents </w:t>
      </w:r>
      <w:r w:rsidR="00B70474" w:rsidRPr="002A1E3C">
        <w:fldChar w:fldCharType="begin"/>
      </w:r>
      <w:r w:rsidRPr="002A1E3C">
        <w:instrText xml:space="preserve"> ADDIN EN.CITE &lt;EndNote&gt;&lt;Cite&gt;&lt;Author&gt;Government of Ireland&lt;/Author&gt;&lt;Year&gt;2010&lt;/Year&gt;&lt;RecNum&gt;378&lt;/RecNum&gt;&lt;record&gt;&lt;rec-number&gt;378&lt;/rec-number&gt;&lt;foreign-keys&gt;&lt;key app="EN" db-id="vx2vrtvfwdstv1efxtzxtz9zfex09we9v0ap"&gt;378&lt;/key&gt;&lt;/foreign-keys&gt;&lt;ref-type name="Government Document"&gt;46&lt;/ref-type&gt;&lt;contributors&gt;&lt;authors&gt;&lt;author&gt;Government of Ireland,&lt;/author&gt;&lt;/authors&gt;&lt;/contributors&gt;&lt;titles&gt;&lt;title&gt;National Pensions Framework&lt;/title&gt;&lt;/titles&gt;&lt;dates&gt;&lt;year&gt;2010&lt;/year&gt;&lt;/dates&gt;&lt;pub-location&gt;Dublin&lt;/pub-location&gt;&lt;publisher&gt;Stationary Office&lt;/publisher&gt;&lt;urls&gt;&lt;/urls&gt;&lt;/record&gt;&lt;/Cite&gt;&lt;/EndNote&gt;</w:instrText>
      </w:r>
      <w:r w:rsidR="00B70474" w:rsidRPr="002A1E3C">
        <w:fldChar w:fldCharType="separate"/>
      </w:r>
      <w:r w:rsidRPr="002A1E3C">
        <w:t>(Government of Ireland 2010)</w:t>
      </w:r>
      <w:r w:rsidR="00B70474" w:rsidRPr="002A1E3C">
        <w:fldChar w:fldCharType="end"/>
      </w:r>
      <w:r w:rsidRPr="002A1E3C">
        <w:t xml:space="preserve">. </w:t>
      </w:r>
    </w:p>
    <w:p w:rsidR="00D138B8" w:rsidRDefault="00C41EFC">
      <w:pPr>
        <w:spacing w:line="480" w:lineRule="auto"/>
        <w:ind w:firstLine="720"/>
      </w:pPr>
      <w:r w:rsidRPr="002A1E3C">
        <w:lastRenderedPageBreak/>
        <w:t>Since the late 1990s the notion of citizen consultation has gained prominence in Irish policy documents (</w:t>
      </w:r>
      <w:proofErr w:type="spellStart"/>
      <w:r w:rsidRPr="002A1E3C">
        <w:t>Huges</w:t>
      </w:r>
      <w:proofErr w:type="spellEnd"/>
      <w:r w:rsidRPr="002A1E3C">
        <w:t xml:space="preserve">, </w:t>
      </w:r>
      <w:proofErr w:type="spellStart"/>
      <w:r w:rsidRPr="002A1E3C">
        <w:t>Clancey</w:t>
      </w:r>
      <w:proofErr w:type="spellEnd"/>
      <w:r w:rsidR="00755B56">
        <w:t xml:space="preserve">, </w:t>
      </w:r>
      <w:proofErr w:type="gramStart"/>
      <w:r w:rsidR="00755B56">
        <w:t>Harris</w:t>
      </w:r>
      <w:proofErr w:type="gramEnd"/>
      <w:r w:rsidR="00755B56">
        <w:t xml:space="preserve"> &amp; </w:t>
      </w:r>
      <w:proofErr w:type="spellStart"/>
      <w:r w:rsidR="00755B56">
        <w:t>Beetham</w:t>
      </w:r>
      <w:proofErr w:type="spellEnd"/>
      <w:r w:rsidRPr="002A1E3C">
        <w:t xml:space="preserve">. 2007). As a result, the Irish government has promoted and facilitated the participation of older people and their representative </w:t>
      </w:r>
      <w:r w:rsidR="00CE21AC">
        <w:t>organizations</w:t>
      </w:r>
      <w:r w:rsidRPr="002A1E3C">
        <w:t xml:space="preserve"> in the policy process. From the late 1990s it has provided financial support for the formation of older people’s interest </w:t>
      </w:r>
      <w:r w:rsidR="00CE21AC">
        <w:t>organizations</w:t>
      </w:r>
      <w:r w:rsidRPr="002A1E3C">
        <w:t xml:space="preserve"> and in 2006 permitted the entry of two national older people’s interest </w:t>
      </w:r>
      <w:r w:rsidR="00CE21AC">
        <w:t>organizations</w:t>
      </w:r>
      <w:r w:rsidRPr="002A1E3C">
        <w:t>, Age Action Ireland and The Irish Senior Citizens’ Parliament, into the social partnership process as members of the so-called community and voluntary pillar</w:t>
      </w:r>
      <w:r w:rsidR="0051258F">
        <w:rPr>
          <w:rStyle w:val="EndnoteReference"/>
        </w:rPr>
        <w:endnoteReference w:id="4"/>
      </w:r>
      <w:r w:rsidRPr="002A1E3C">
        <w:t xml:space="preserve">. Despite this seemingly positive emphasis on consultation with older people’s interest </w:t>
      </w:r>
      <w:r w:rsidR="00CE21AC">
        <w:t>organizations</w:t>
      </w:r>
      <w:r w:rsidRPr="002A1E3C">
        <w:t xml:space="preserve">, the existing literature does not provide an adequate understanding of the degree to which meaningful consultation with older people and their representative </w:t>
      </w:r>
      <w:r w:rsidR="00CE21AC">
        <w:t>organizations</w:t>
      </w:r>
      <w:r w:rsidRPr="002A1E3C">
        <w:t xml:space="preserve"> is practiced at the national level. The relevance of these </w:t>
      </w:r>
      <w:r w:rsidR="00CE21AC">
        <w:t>organizations</w:t>
      </w:r>
      <w:r w:rsidRPr="002A1E3C">
        <w:t xml:space="preserve"> to policymakers and the extent to which these </w:t>
      </w:r>
      <w:r w:rsidR="00CE21AC">
        <w:t>organizations</w:t>
      </w:r>
      <w:r w:rsidRPr="002A1E3C">
        <w:t xml:space="preserve"> influence social policy formulation as it relates to older people also remain unclear. </w:t>
      </w:r>
    </w:p>
    <w:p w:rsidR="00D138B8" w:rsidRDefault="00D138B8">
      <w:pPr>
        <w:pStyle w:val="Heading2"/>
        <w:spacing w:line="480" w:lineRule="auto"/>
        <w:jc w:val="both"/>
        <w:rPr>
          <w:rFonts w:asciiTheme="minorHAnsi" w:hAnsiTheme="minorHAnsi"/>
          <w:sz w:val="20"/>
          <w:szCs w:val="20"/>
        </w:rPr>
      </w:pPr>
    </w:p>
    <w:p w:rsidR="00D138B8" w:rsidRDefault="00C41EFC">
      <w:pPr>
        <w:pStyle w:val="Heading2"/>
        <w:spacing w:line="480" w:lineRule="auto"/>
        <w:rPr>
          <w:rFonts w:asciiTheme="minorHAnsi" w:hAnsiTheme="minorHAnsi"/>
        </w:rPr>
      </w:pPr>
      <w:r w:rsidRPr="002A1E3C">
        <w:rPr>
          <w:rFonts w:asciiTheme="minorHAnsi" w:hAnsiTheme="minorHAnsi"/>
        </w:rPr>
        <w:t>Research design and methodology</w:t>
      </w:r>
    </w:p>
    <w:p w:rsidR="00D138B8" w:rsidRDefault="00C41EFC">
      <w:pPr>
        <w:spacing w:line="480" w:lineRule="auto"/>
        <w:rPr>
          <w:bCs/>
          <w:color w:val="000000"/>
        </w:rPr>
      </w:pPr>
      <w:r w:rsidRPr="002A1E3C">
        <w:rPr>
          <w:color w:val="000000"/>
        </w:rPr>
        <w:t xml:space="preserve">The </w:t>
      </w:r>
      <w:r>
        <w:rPr>
          <w:color w:val="000000"/>
        </w:rPr>
        <w:t xml:space="preserve">following analysis </w:t>
      </w:r>
      <w:r w:rsidRPr="002A1E3C">
        <w:rPr>
          <w:color w:val="000000"/>
        </w:rPr>
        <w:t>of interviews with 20 senior civil and public servants and five former Junior Ministers for Older People</w:t>
      </w:r>
      <w:r>
        <w:rPr>
          <w:color w:val="000000"/>
        </w:rPr>
        <w:t xml:space="preserve"> relates to one component of a larger study on older people’s interest </w:t>
      </w:r>
      <w:r w:rsidR="00CE21AC">
        <w:rPr>
          <w:color w:val="000000"/>
        </w:rPr>
        <w:t>organizations</w:t>
      </w:r>
      <w:r>
        <w:rPr>
          <w:color w:val="000000"/>
        </w:rPr>
        <w:t xml:space="preserve"> conducted by the lead author (Doyle </w:t>
      </w:r>
      <w:r w:rsidR="00542125">
        <w:rPr>
          <w:color w:val="000000"/>
        </w:rPr>
        <w:t>forthcoming</w:t>
      </w:r>
      <w:r>
        <w:rPr>
          <w:color w:val="000000"/>
        </w:rPr>
        <w:t>)</w:t>
      </w:r>
      <w:r w:rsidRPr="002A1E3C">
        <w:rPr>
          <w:color w:val="000000"/>
        </w:rPr>
        <w:t xml:space="preserve">. </w:t>
      </w:r>
      <w:r w:rsidR="007402A7">
        <w:rPr>
          <w:color w:val="000000"/>
        </w:rPr>
        <w:t xml:space="preserve">Interviews </w:t>
      </w:r>
      <w:r w:rsidR="00FA1F35">
        <w:rPr>
          <w:color w:val="000000"/>
        </w:rPr>
        <w:t xml:space="preserve">with the 25 respondents to which the below findings relate </w:t>
      </w:r>
      <w:r w:rsidR="007402A7">
        <w:rPr>
          <w:color w:val="000000"/>
        </w:rPr>
        <w:t xml:space="preserve">took place between June and October 2009. </w:t>
      </w:r>
    </w:p>
    <w:p w:rsidR="00D138B8" w:rsidRDefault="00C41EFC">
      <w:pPr>
        <w:autoSpaceDE w:val="0"/>
        <w:autoSpaceDN w:val="0"/>
        <w:adjustRightInd w:val="0"/>
        <w:spacing w:after="0" w:line="480" w:lineRule="auto"/>
        <w:ind w:firstLine="720"/>
        <w:rPr>
          <w:rFonts w:cs="Cambria"/>
          <w:color w:val="000000"/>
          <w:lang w:val="en-IE" w:bidi="ar-SA"/>
        </w:rPr>
      </w:pPr>
      <w:r w:rsidRPr="002A1E3C">
        <w:rPr>
          <w:rFonts w:cs="Cambria"/>
          <w:color w:val="000000"/>
          <w:lang w:val="en-IE" w:bidi="ar-SA"/>
        </w:rPr>
        <w:t xml:space="preserve">Senior civil and public servants were accessed through a process of </w:t>
      </w:r>
      <w:r w:rsidRPr="002A1E3C">
        <w:rPr>
          <w:rFonts w:cs="Cambria"/>
          <w:i/>
          <w:iCs/>
          <w:color w:val="000000"/>
          <w:lang w:val="en-IE" w:bidi="ar-SA"/>
        </w:rPr>
        <w:t xml:space="preserve">reputational case selection </w:t>
      </w:r>
      <w:r w:rsidRPr="002A1E3C">
        <w:rPr>
          <w:rFonts w:cs="Cambria"/>
          <w:color w:val="000000"/>
          <w:lang w:val="en-IE" w:bidi="ar-SA"/>
        </w:rPr>
        <w:t xml:space="preserve">(Miles &amp; </w:t>
      </w:r>
      <w:proofErr w:type="spellStart"/>
      <w:r w:rsidRPr="002A1E3C">
        <w:rPr>
          <w:rFonts w:cs="Cambria"/>
          <w:color w:val="000000"/>
          <w:lang w:val="en-IE" w:bidi="ar-SA"/>
        </w:rPr>
        <w:t>Huberman</w:t>
      </w:r>
      <w:proofErr w:type="spellEnd"/>
      <w:r w:rsidRPr="002A1E3C">
        <w:rPr>
          <w:rFonts w:cs="Cambria"/>
          <w:color w:val="000000"/>
          <w:lang w:val="en-IE" w:bidi="ar-SA"/>
        </w:rPr>
        <w:t xml:space="preserve">, 1994) whereby senior personnel in the Office for Older People in the Department of Health and Children provided the contact information for expert informants who were involved in the formulation of policy with a specific age-focus. Invitation emails were sent to each of these research respondents and follow-up phone calls were made to arrange an interview. All the contacted research respondents agreed to take part in the research. A number of respondents offered to elicit the participation of colleagues who had involvement with older people’s interest </w:t>
      </w:r>
      <w:r w:rsidR="00CE21AC">
        <w:rPr>
          <w:rFonts w:cs="Cambria"/>
          <w:color w:val="000000"/>
          <w:lang w:val="en-IE" w:bidi="ar-SA"/>
        </w:rPr>
        <w:t>organizations</w:t>
      </w:r>
      <w:r w:rsidRPr="002A1E3C">
        <w:rPr>
          <w:rFonts w:cs="Cambria"/>
          <w:color w:val="000000"/>
          <w:lang w:val="en-IE" w:bidi="ar-SA"/>
        </w:rPr>
        <w:t xml:space="preserve">. In three such instances, these colleagues joined respondents in the research event, turning these interviews into small focus groups as detailed in the table below. The five Junior Ministers for Older People who held the position between 2007 and 2010 were also interviewed as they were </w:t>
      </w:r>
      <w:r w:rsidRPr="002A1E3C">
        <w:rPr>
          <w:rFonts w:cs="Cambria"/>
          <w:color w:val="000000"/>
          <w:lang w:val="en-IE" w:bidi="ar-SA"/>
        </w:rPr>
        <w:lastRenderedPageBreak/>
        <w:t xml:space="preserve">identified as </w:t>
      </w:r>
      <w:r w:rsidRPr="002A1E3C">
        <w:rPr>
          <w:rFonts w:cs="Cambria"/>
          <w:i/>
          <w:iCs/>
          <w:color w:val="000000"/>
          <w:lang w:val="en-IE" w:bidi="ar-SA"/>
        </w:rPr>
        <w:t xml:space="preserve">politically important cases </w:t>
      </w:r>
      <w:r w:rsidRPr="002A1E3C">
        <w:rPr>
          <w:rFonts w:cs="Cambria"/>
          <w:color w:val="000000"/>
          <w:lang w:val="en-IE" w:bidi="ar-SA"/>
        </w:rPr>
        <w:t xml:space="preserve">(Miles &amp; </w:t>
      </w:r>
      <w:proofErr w:type="spellStart"/>
      <w:r w:rsidRPr="002A1E3C">
        <w:rPr>
          <w:rFonts w:cs="Cambria"/>
          <w:color w:val="000000"/>
          <w:lang w:val="en-IE" w:bidi="ar-SA"/>
        </w:rPr>
        <w:t>Huberman</w:t>
      </w:r>
      <w:proofErr w:type="spellEnd"/>
      <w:r w:rsidRPr="002A1E3C">
        <w:rPr>
          <w:rFonts w:cs="Cambria"/>
          <w:color w:val="000000"/>
          <w:lang w:val="en-IE" w:bidi="ar-SA"/>
        </w:rPr>
        <w:t xml:space="preserve"> 1994). An invitation letter was posted to each former Junior Minister. This was followed by a telephone call where further explanation of the study was provided. Interviews with the former Junior Ministers took place in their constituency office or place of work.</w:t>
      </w:r>
    </w:p>
    <w:p w:rsidR="00D138B8" w:rsidRDefault="00D138B8">
      <w:pPr>
        <w:autoSpaceDE w:val="0"/>
        <w:autoSpaceDN w:val="0"/>
        <w:adjustRightInd w:val="0"/>
        <w:spacing w:after="0" w:line="480" w:lineRule="auto"/>
        <w:rPr>
          <w:rFonts w:cs="Cambria"/>
          <w:color w:val="000000"/>
          <w:lang w:val="en-IE" w:bidi="ar-SA"/>
        </w:rPr>
      </w:pPr>
    </w:p>
    <w:p w:rsidR="00D138B8" w:rsidRDefault="0029201E">
      <w:pPr>
        <w:autoSpaceDE w:val="0"/>
        <w:autoSpaceDN w:val="0"/>
        <w:adjustRightInd w:val="0"/>
        <w:spacing w:after="0" w:line="480" w:lineRule="auto"/>
        <w:rPr>
          <w:rFonts w:cs="Cambria"/>
          <w:color w:val="000000"/>
          <w:lang w:val="en-IE" w:bidi="ar-SA"/>
        </w:rPr>
      </w:pPr>
      <w:r>
        <w:rPr>
          <w:rFonts w:cs="Cambria"/>
          <w:color w:val="000000"/>
          <w:lang w:val="en-IE" w:bidi="ar-SA"/>
        </w:rPr>
        <w:t>Table 4.1 here</w:t>
      </w:r>
    </w:p>
    <w:p w:rsidR="00D138B8" w:rsidRDefault="00D138B8">
      <w:pPr>
        <w:pStyle w:val="Default"/>
        <w:spacing w:line="480" w:lineRule="auto"/>
        <w:rPr>
          <w:rFonts w:asciiTheme="minorHAnsi" w:eastAsiaTheme="minorEastAsia" w:hAnsiTheme="minorHAnsi" w:cs="Cambria"/>
          <w:sz w:val="20"/>
          <w:szCs w:val="20"/>
          <w:lang w:val="en-IE" w:bidi="ar-SA"/>
        </w:rPr>
      </w:pPr>
    </w:p>
    <w:p w:rsidR="00D138B8" w:rsidRDefault="00C41EFC">
      <w:pPr>
        <w:pStyle w:val="Default"/>
        <w:spacing w:line="480" w:lineRule="auto"/>
        <w:ind w:firstLine="720"/>
        <w:rPr>
          <w:rFonts w:asciiTheme="minorHAnsi" w:hAnsiTheme="minorHAnsi"/>
          <w:sz w:val="20"/>
          <w:szCs w:val="20"/>
        </w:rPr>
      </w:pPr>
      <w:r w:rsidRPr="002A1E3C">
        <w:rPr>
          <w:rFonts w:asciiTheme="minorHAnsi" w:hAnsiTheme="minorHAnsi"/>
          <w:sz w:val="20"/>
          <w:szCs w:val="20"/>
        </w:rPr>
        <w:t xml:space="preserve">The interviews were digitally recorded, transcribed verbatim and inputted into </w:t>
      </w:r>
      <w:proofErr w:type="spellStart"/>
      <w:r w:rsidRPr="002A1E3C">
        <w:rPr>
          <w:rFonts w:asciiTheme="minorHAnsi" w:hAnsiTheme="minorHAnsi"/>
          <w:sz w:val="20"/>
          <w:szCs w:val="20"/>
        </w:rPr>
        <w:t>Nvivo</w:t>
      </w:r>
      <w:proofErr w:type="spellEnd"/>
      <w:r w:rsidRPr="002A1E3C">
        <w:rPr>
          <w:rFonts w:asciiTheme="minorHAnsi" w:hAnsiTheme="minorHAnsi"/>
          <w:sz w:val="20"/>
          <w:szCs w:val="20"/>
        </w:rPr>
        <w:t xml:space="preserve"> 9 </w:t>
      </w:r>
      <w:r w:rsidRPr="002A1E3C">
        <w:rPr>
          <w:rFonts w:asciiTheme="minorHAnsi" w:eastAsia="Calibri" w:hAnsiTheme="minorHAnsi" w:cs="URWPalladioL-Roma"/>
          <w:sz w:val="20"/>
          <w:szCs w:val="20"/>
          <w:lang w:bidi="ar-SA"/>
        </w:rPr>
        <w:t>(QSR International Pty Ltd)</w:t>
      </w:r>
      <w:r w:rsidRPr="002A1E3C">
        <w:rPr>
          <w:rFonts w:asciiTheme="minorHAnsi" w:hAnsiTheme="minorHAnsi"/>
          <w:sz w:val="20"/>
          <w:szCs w:val="20"/>
        </w:rPr>
        <w:t xml:space="preserve">, a software package that aids the analysis of qualitative data.  Inspired by the grounded theory approach </w:t>
      </w:r>
      <w:r w:rsidR="00B70474" w:rsidRPr="002A1E3C">
        <w:rPr>
          <w:rFonts w:asciiTheme="minorHAnsi" w:hAnsiTheme="minorHAnsi"/>
          <w:sz w:val="20"/>
          <w:szCs w:val="20"/>
        </w:rPr>
        <w:fldChar w:fldCharType="begin"/>
      </w:r>
      <w:r w:rsidRPr="002A1E3C">
        <w:rPr>
          <w:rFonts w:asciiTheme="minorHAnsi" w:hAnsiTheme="minorHAnsi"/>
          <w:sz w:val="20"/>
          <w:szCs w:val="20"/>
        </w:rPr>
        <w:instrText xml:space="preserve"> ADDIN EN.CITE &lt;EndNote&gt;&lt;Cite&gt;&lt;Author&gt;Strauss&lt;/Author&gt;&lt;Year&gt;1990&lt;/Year&gt;&lt;RecNum&gt;390&lt;/RecNum&gt;&lt;record&gt;&lt;rec-number&gt;390&lt;/rec-number&gt;&lt;foreign-keys&gt;&lt;key app="EN" db-id="vx2vrtvfwdstv1efxtzxtz9zfex09we9v0ap"&gt;390&lt;/key&gt;&lt;/foreign-keys&gt;&lt;ref-type name="Book"&gt;6&lt;/ref-type&gt;&lt;contributors&gt;&lt;authors&gt;&lt;author&gt;Strauss, A. M&lt;/author&gt;&lt;author&gt;Corbin, J&lt;/author&gt;&lt;/authors&gt;&lt;/contributors&gt;&lt;titles&gt;&lt;title&gt;Basics of qualitative research&lt;/title&gt;&lt;/titles&gt;&lt;dates&gt;&lt;year&gt;1990&lt;/year&gt;&lt;/dates&gt;&lt;pub-location&gt;Newbury Park, CA&lt;/pub-location&gt;&lt;publisher&gt;Sage&lt;/publisher&gt;&lt;urls&gt;&lt;/urls&gt;&lt;/record&gt;&lt;/Cite&gt;&lt;/EndNote&gt;</w:instrText>
      </w:r>
      <w:r w:rsidR="00B70474" w:rsidRPr="002A1E3C">
        <w:rPr>
          <w:rFonts w:asciiTheme="minorHAnsi" w:hAnsiTheme="minorHAnsi"/>
          <w:sz w:val="20"/>
          <w:szCs w:val="20"/>
        </w:rPr>
        <w:fldChar w:fldCharType="separate"/>
      </w:r>
      <w:r w:rsidRPr="002A1E3C">
        <w:rPr>
          <w:rFonts w:asciiTheme="minorHAnsi" w:hAnsiTheme="minorHAnsi"/>
          <w:sz w:val="20"/>
          <w:szCs w:val="20"/>
        </w:rPr>
        <w:t>(Strauss &amp; Corbin 1990</w:t>
      </w:r>
      <w:r w:rsidR="00072A36">
        <w:rPr>
          <w:rFonts w:asciiTheme="minorHAnsi" w:hAnsiTheme="minorHAnsi"/>
          <w:sz w:val="20"/>
          <w:szCs w:val="20"/>
        </w:rPr>
        <w:t>;</w:t>
      </w:r>
      <w:r w:rsidRPr="002A1E3C">
        <w:rPr>
          <w:rFonts w:asciiTheme="minorHAnsi" w:hAnsiTheme="minorHAnsi"/>
          <w:sz w:val="20"/>
          <w:szCs w:val="20"/>
        </w:rPr>
        <w:t xml:space="preserve"> Charmaz 2003</w:t>
      </w:r>
      <w:r w:rsidR="00072A36">
        <w:rPr>
          <w:rFonts w:asciiTheme="minorHAnsi" w:hAnsiTheme="minorHAnsi"/>
          <w:sz w:val="20"/>
          <w:szCs w:val="20"/>
        </w:rPr>
        <w:t>;</w:t>
      </w:r>
      <w:r w:rsidRPr="002A1E3C">
        <w:rPr>
          <w:rFonts w:asciiTheme="minorHAnsi" w:hAnsiTheme="minorHAnsi"/>
          <w:sz w:val="20"/>
          <w:szCs w:val="20"/>
        </w:rPr>
        <w:t xml:space="preserve"> 2006)</w:t>
      </w:r>
      <w:r w:rsidR="00B70474" w:rsidRPr="002A1E3C">
        <w:rPr>
          <w:rFonts w:asciiTheme="minorHAnsi" w:hAnsiTheme="minorHAnsi"/>
          <w:sz w:val="20"/>
          <w:szCs w:val="20"/>
        </w:rPr>
        <w:fldChar w:fldCharType="end"/>
      </w:r>
      <w:r w:rsidRPr="002A1E3C">
        <w:rPr>
          <w:rFonts w:asciiTheme="minorHAnsi" w:hAnsiTheme="minorHAnsi"/>
          <w:sz w:val="20"/>
          <w:szCs w:val="20"/>
        </w:rPr>
        <w:t xml:space="preserve">, the data analysis can be described as a cyclical, iterative and continuous process. </w:t>
      </w:r>
      <w:r w:rsidRPr="002A1E3C">
        <w:rPr>
          <w:rFonts w:asciiTheme="minorHAnsi" w:eastAsiaTheme="minorHAnsi" w:hAnsiTheme="minorHAnsi" w:cs="Cambria"/>
          <w:sz w:val="20"/>
          <w:szCs w:val="20"/>
          <w:lang w:val="en-IE" w:bidi="ar-SA"/>
        </w:rPr>
        <w:t xml:space="preserve">In phase 1, </w:t>
      </w:r>
      <w:r w:rsidRPr="002A1E3C">
        <w:rPr>
          <w:rFonts w:asciiTheme="minorHAnsi" w:eastAsiaTheme="minorHAnsi" w:hAnsiTheme="minorHAnsi" w:cs="Cambria"/>
          <w:iCs/>
          <w:sz w:val="20"/>
          <w:szCs w:val="20"/>
          <w:lang w:val="en-IE" w:bidi="ar-SA"/>
        </w:rPr>
        <w:t>open coding</w:t>
      </w:r>
      <w:r w:rsidRPr="002A1E3C">
        <w:rPr>
          <w:rFonts w:asciiTheme="minorHAnsi" w:eastAsiaTheme="minorHAnsi" w:hAnsiTheme="minorHAnsi" w:cs="Cambria"/>
          <w:i/>
          <w:iCs/>
          <w:sz w:val="20"/>
          <w:szCs w:val="20"/>
          <w:lang w:val="en-IE" w:bidi="ar-SA"/>
        </w:rPr>
        <w:t xml:space="preserve"> </w:t>
      </w:r>
      <w:r w:rsidRPr="002A1E3C">
        <w:rPr>
          <w:rFonts w:asciiTheme="minorHAnsi" w:eastAsiaTheme="minorHAnsi" w:hAnsiTheme="minorHAnsi" w:cs="Cambria"/>
          <w:sz w:val="20"/>
          <w:szCs w:val="20"/>
          <w:lang w:val="en-IE" w:bidi="ar-SA"/>
        </w:rPr>
        <w:t xml:space="preserve">of the interview transcripts took place with the assistance of </w:t>
      </w:r>
      <w:proofErr w:type="spellStart"/>
      <w:r w:rsidRPr="002A1E3C">
        <w:rPr>
          <w:rFonts w:asciiTheme="minorHAnsi" w:eastAsiaTheme="minorHAnsi" w:hAnsiTheme="minorHAnsi" w:cs="Cambria"/>
          <w:sz w:val="20"/>
          <w:szCs w:val="20"/>
          <w:lang w:val="en-IE" w:bidi="ar-SA"/>
        </w:rPr>
        <w:t>Nvivo</w:t>
      </w:r>
      <w:proofErr w:type="spellEnd"/>
      <w:r w:rsidRPr="002A1E3C">
        <w:rPr>
          <w:rFonts w:asciiTheme="minorHAnsi" w:eastAsiaTheme="minorHAnsi" w:hAnsiTheme="minorHAnsi" w:cs="Cambria"/>
          <w:sz w:val="20"/>
          <w:szCs w:val="20"/>
          <w:lang w:val="en-IE" w:bidi="ar-SA"/>
        </w:rPr>
        <w:t xml:space="preserve"> 9 which aided data management and retrieval. Provisional concepts, themes and patterns were identified and allocated labels. The coding frame was refined in phase 2 where a process of axial coding was undertaken and the connections between the categories and contexts in which they occurred were identified. Construct sub-categories were also identified, for example d</w:t>
      </w:r>
      <w:r w:rsidRPr="002A1E3C">
        <w:rPr>
          <w:rFonts w:asciiTheme="minorHAnsi" w:eastAsiaTheme="minorHAnsi" w:hAnsiTheme="minorHAnsi" w:cstheme="minorBidi"/>
          <w:sz w:val="20"/>
          <w:szCs w:val="20"/>
          <w:lang w:val="en-IE" w:bidi="ar-SA"/>
        </w:rPr>
        <w:t xml:space="preserve">ata relating to policymakers’ perceptions of older people’s interest </w:t>
      </w:r>
      <w:r w:rsidR="00CE21AC">
        <w:rPr>
          <w:rFonts w:asciiTheme="minorHAnsi" w:eastAsiaTheme="minorHAnsi" w:hAnsiTheme="minorHAnsi" w:cstheme="minorBidi"/>
          <w:sz w:val="20"/>
          <w:szCs w:val="20"/>
          <w:lang w:val="en-IE" w:bidi="ar-SA"/>
        </w:rPr>
        <w:t>organizations</w:t>
      </w:r>
      <w:r w:rsidRPr="002A1E3C">
        <w:rPr>
          <w:rFonts w:asciiTheme="minorHAnsi" w:eastAsiaTheme="minorHAnsi" w:hAnsiTheme="minorHAnsi" w:cstheme="minorBidi"/>
          <w:sz w:val="20"/>
          <w:szCs w:val="20"/>
          <w:lang w:val="en-IE" w:bidi="ar-SA"/>
        </w:rPr>
        <w:t xml:space="preserve"> was grouped into the perceived advantages and disadvantages of older people’s interest </w:t>
      </w:r>
      <w:r w:rsidR="00CE21AC">
        <w:rPr>
          <w:rFonts w:asciiTheme="minorHAnsi" w:eastAsiaTheme="minorHAnsi" w:hAnsiTheme="minorHAnsi" w:cstheme="minorBidi"/>
          <w:sz w:val="20"/>
          <w:szCs w:val="20"/>
          <w:lang w:val="en-IE" w:bidi="ar-SA"/>
        </w:rPr>
        <w:t>organizations</w:t>
      </w:r>
      <w:r w:rsidRPr="002A1E3C">
        <w:rPr>
          <w:rFonts w:asciiTheme="minorHAnsi" w:eastAsiaTheme="minorHAnsi" w:hAnsiTheme="minorHAnsi" w:cstheme="minorBidi"/>
          <w:sz w:val="20"/>
          <w:szCs w:val="20"/>
          <w:lang w:val="en-IE" w:bidi="ar-SA"/>
        </w:rPr>
        <w:t xml:space="preserve"> in the policy process. In phase 3, theoretical coding took place and categories were integrated into ‘a larger theoretical scheme’ (Strauss &amp; Corbin 1998; </w:t>
      </w:r>
      <w:proofErr w:type="spellStart"/>
      <w:r w:rsidRPr="002A1E3C">
        <w:rPr>
          <w:rFonts w:asciiTheme="minorHAnsi" w:eastAsiaTheme="minorHAnsi" w:hAnsiTheme="minorHAnsi" w:cstheme="minorBidi"/>
          <w:sz w:val="20"/>
          <w:szCs w:val="20"/>
          <w:lang w:val="en-IE" w:bidi="ar-SA"/>
        </w:rPr>
        <w:t>Charmaz</w:t>
      </w:r>
      <w:proofErr w:type="spellEnd"/>
      <w:r w:rsidRPr="002A1E3C">
        <w:rPr>
          <w:rFonts w:asciiTheme="minorHAnsi" w:eastAsiaTheme="minorHAnsi" w:hAnsiTheme="minorHAnsi" w:cstheme="minorBidi"/>
          <w:sz w:val="20"/>
          <w:szCs w:val="20"/>
          <w:lang w:val="en-IE" w:bidi="ar-SA"/>
        </w:rPr>
        <w:t xml:space="preserve"> 2006). </w:t>
      </w:r>
    </w:p>
    <w:p w:rsidR="00D138B8" w:rsidRDefault="00C41EFC">
      <w:pPr>
        <w:spacing w:line="480" w:lineRule="auto"/>
        <w:ind w:firstLine="720"/>
      </w:pPr>
      <w:r w:rsidRPr="002A1E3C">
        <w:t xml:space="preserve">The issue of confidentiality is particularly relevant for public servants in Ireland because the Official Secrets Act of 1963 prohibits civil servants from disclosing official information </w:t>
      </w:r>
      <w:r w:rsidRPr="00072A36">
        <w:t>‘</w:t>
      </w:r>
      <w:r w:rsidR="008C260D" w:rsidRPr="008C260D">
        <w:t>including views and advice in verbal or written form</w:t>
      </w:r>
      <w:r w:rsidRPr="00072A36">
        <w:t>’</w:t>
      </w:r>
      <w:r w:rsidRPr="002A1E3C">
        <w:t xml:space="preserve"> </w:t>
      </w:r>
      <w:r w:rsidR="00B70474" w:rsidRPr="002A1E3C">
        <w:fldChar w:fldCharType="begin"/>
      </w:r>
      <w:r w:rsidRPr="002A1E3C">
        <w:instrText xml:space="preserve"> ADDIN EN.CITE &lt;EndNote&gt;&lt;Cite&gt;&lt;Author&gt;Quinn&lt;/Author&gt;&lt;Year&gt;2008&lt;/Year&gt;&lt;RecNum&gt;367&lt;/RecNum&gt;&lt;Suffix&gt;:45&lt;/Suffix&gt;&lt;record&gt;&lt;rec-number&gt;367&lt;/rec-number&gt;&lt;foreign-keys&gt;&lt;key app="EN" db-id="vx2vrtvfwdstv1efxtzxtz9zfex09we9v0ap"&gt;367&lt;/key&gt;&lt;/foreign-keys&gt;&lt;ref-type name="Book"&gt;6&lt;/ref-type&gt;&lt;contributors&gt;&lt;authors&gt;&lt;author&gt;Quinn, O&lt;/author&gt;&lt;/authors&gt;&lt;/contributors&gt;&lt;titles&gt;&lt;title&gt;Advisers or advocates? The impact of state agencies on social policy&lt;/title&gt;&lt;/titles&gt;&lt;dates&gt;&lt;year&gt;2008&lt;/year&gt;&lt;/dates&gt;&lt;pub-location&gt;Dublin&lt;/pub-location&gt;&lt;publisher&gt;Irish Institute of Public Administration&lt;/publisher&gt;&lt;urls&gt;&lt;/urls&gt;&lt;/record&gt;&lt;/Cite&gt;&lt;/EndNote&gt;</w:instrText>
      </w:r>
      <w:r w:rsidR="00B70474" w:rsidRPr="002A1E3C">
        <w:fldChar w:fldCharType="separate"/>
      </w:r>
      <w:r w:rsidRPr="002A1E3C">
        <w:t>(Quinn 2008</w:t>
      </w:r>
      <w:r w:rsidR="00072A36">
        <w:t xml:space="preserve">, p. </w:t>
      </w:r>
      <w:r w:rsidRPr="002A1E3C">
        <w:t>45)</w:t>
      </w:r>
      <w:r w:rsidR="00B70474" w:rsidRPr="002A1E3C">
        <w:fldChar w:fldCharType="end"/>
      </w:r>
      <w:r w:rsidRPr="002A1E3C">
        <w:t>, unless authorized to do so. Quinn (2008) argues that the impact of this legislation has limited our understanding of the workings of government departments and contributed to high levels of secrecy regarding policy formulation in the Irish context. In light of the above restrictions, civil and public</w:t>
      </w:r>
      <w:r w:rsidR="00F24908">
        <w:rPr>
          <w:rStyle w:val="EndnoteReference"/>
        </w:rPr>
        <w:endnoteReference w:id="5"/>
      </w:r>
      <w:r w:rsidRPr="002A1E3C">
        <w:t xml:space="preserve"> servants who took part in the research were assured that their identities would remain anonymous. For this reason, quotations are not identified at the individual or departmental level. While adhering to such a strict code of anonymity reduces the salience of some of the statements, the advantages are apparent, namely, research respondents were less likely to forward the ‘official line’ (Duke 2002</w:t>
      </w:r>
      <w:r w:rsidR="00072A36">
        <w:t xml:space="preserve">, p. </w:t>
      </w:r>
      <w:r w:rsidRPr="002A1E3C">
        <w:t xml:space="preserve">48 as </w:t>
      </w:r>
      <w:r w:rsidRPr="002A1E3C">
        <w:lastRenderedPageBreak/>
        <w:t xml:space="preserve">cited by Quinn 2008) and spoke openly about their involvement with and opinions of older people’s interest </w:t>
      </w:r>
      <w:r w:rsidR="00CE21AC">
        <w:t>organizations</w:t>
      </w:r>
      <w:r w:rsidRPr="002A1E3C">
        <w:t xml:space="preserve">. While Junior Ministers are not bound by the Official Secrets Act, they too were assured of complete anonymity in the presentation of interview data, in order to facilitate their participation and also reduce the probability of obtaining the ‘official line’ only. </w:t>
      </w:r>
    </w:p>
    <w:p w:rsidR="00D138B8" w:rsidRDefault="00C41EFC">
      <w:pPr>
        <w:spacing w:line="480" w:lineRule="auto"/>
        <w:ind w:firstLine="720"/>
      </w:pPr>
      <w:r w:rsidRPr="002A1E3C">
        <w:t xml:space="preserve">The remainder of this chapter aims to illustrate the dichotomy implicit in the politics of old age by dividing the discussion on policymakers’ perceptions of the politics of old age into two sections: 1) social policy formulation as it relates to older people and 2) inclusion and participation of  older people and their representative </w:t>
      </w:r>
      <w:r w:rsidR="00CE21AC">
        <w:t>organizations</w:t>
      </w:r>
      <w:r w:rsidRPr="002A1E3C">
        <w:t xml:space="preserve"> in the policy-making process. In so doing,</w:t>
      </w:r>
      <w:r w:rsidRPr="002A1E3C">
        <w:rPr>
          <w:rFonts w:eastAsia="Calibri"/>
        </w:rPr>
        <w:t xml:space="preserve"> the chapter provides an insight into </w:t>
      </w:r>
      <w:r w:rsidRPr="002A1E3C">
        <w:t xml:space="preserve">how policy issues in the Irish context are being conceptualized or ‘framed’ by policymakers and the conflict that can exist between the discourse of policy reformulation and the discourse of consultation. </w:t>
      </w:r>
    </w:p>
    <w:p w:rsidR="00C41EFC" w:rsidRPr="002A1E3C" w:rsidRDefault="00C41EFC" w:rsidP="0029201E">
      <w:pPr>
        <w:spacing w:line="480" w:lineRule="auto"/>
      </w:pPr>
    </w:p>
    <w:p w:rsidR="00C41EFC" w:rsidRPr="002A1E3C" w:rsidRDefault="00C41EFC" w:rsidP="0029201E">
      <w:pPr>
        <w:pStyle w:val="Heading3"/>
        <w:spacing w:line="480" w:lineRule="auto"/>
        <w:rPr>
          <w:rFonts w:asciiTheme="minorHAnsi" w:hAnsiTheme="minorHAnsi"/>
        </w:rPr>
      </w:pPr>
      <w:r w:rsidRPr="002A1E3C">
        <w:rPr>
          <w:rFonts w:asciiTheme="minorHAnsi" w:hAnsiTheme="minorHAnsi"/>
        </w:rPr>
        <w:t>Policy-makers’ perceptions of social policy formulation as it relates to older people</w:t>
      </w:r>
    </w:p>
    <w:p w:rsidR="00072A36" w:rsidRDefault="00072A36" w:rsidP="0029201E">
      <w:pPr>
        <w:spacing w:line="480" w:lineRule="auto"/>
      </w:pPr>
    </w:p>
    <w:p w:rsidR="00C41EFC" w:rsidRPr="002A1E3C" w:rsidRDefault="00C41EFC" w:rsidP="0029201E">
      <w:pPr>
        <w:spacing w:line="480" w:lineRule="auto"/>
      </w:pPr>
      <w:r w:rsidRPr="002A1E3C">
        <w:t>Ireland is a relatively ‘young’ country in the developed country context, with only 11</w:t>
      </w:r>
      <w:r w:rsidR="00BF0C10">
        <w:t>.6</w:t>
      </w:r>
      <w:r w:rsidRPr="002A1E3C">
        <w:t xml:space="preserve"> per cent of the population aged 65 years and over (CSO 20</w:t>
      </w:r>
      <w:r w:rsidR="00DC356D">
        <w:t>12</w:t>
      </w:r>
      <w:r w:rsidRPr="002A1E3C">
        <w:t>). Despite this relatively young population, a number of policymakers referred to demographics, arguing that Ireland’s relatively young population structure had allowed for generous benefits to older people during the period of economic prosperity and that the projected increase in the older population necessitated a reformulation of policy. Echoing alarmist predictions of the ‘crisis discourse’, one civil servant stated:</w:t>
      </w:r>
    </w:p>
    <w:p w:rsidR="00B70474" w:rsidRDefault="00C41EFC">
      <w:pPr>
        <w:spacing w:line="480" w:lineRule="auto"/>
      </w:pPr>
      <w:r w:rsidRPr="002A1E3C">
        <w:tab/>
        <w:t xml:space="preserve">As we get older there will be a very intense competition for resources around pensions and </w:t>
      </w:r>
      <w:r w:rsidRPr="002A1E3C">
        <w:tab/>
        <w:t xml:space="preserve">health care costs and just ordinary income support and infrastructure and all the usual </w:t>
      </w:r>
      <w:r w:rsidR="00B83498">
        <w:t>t</w:t>
      </w:r>
      <w:r w:rsidRPr="002A1E3C">
        <w:t xml:space="preserve">hings, </w:t>
      </w:r>
      <w:r w:rsidRPr="002A1E3C">
        <w:tab/>
        <w:t xml:space="preserve">you’ll find it will become very pronounced and that’s a long-term proposition...because our </w:t>
      </w:r>
      <w:r w:rsidRPr="002A1E3C">
        <w:tab/>
        <w:t xml:space="preserve">overall spend now on older people is relatively small, so we can afford very generous pensions, we </w:t>
      </w:r>
      <w:r w:rsidR="00B83498">
        <w:tab/>
      </w:r>
      <w:r w:rsidRPr="002A1E3C">
        <w:t>can afford very elaborate home care and long-term care packages, or thought we could.</w:t>
      </w:r>
      <w:r w:rsidR="00072A36">
        <w:t xml:space="preserve"> </w:t>
      </w:r>
      <w:r w:rsidRPr="002A1E3C">
        <w:t xml:space="preserve">And that’s all </w:t>
      </w:r>
      <w:r w:rsidR="00B83498">
        <w:tab/>
      </w:r>
      <w:r w:rsidRPr="002A1E3C">
        <w:t xml:space="preserve">in the past now and it’s not coming back. </w:t>
      </w:r>
      <w:r w:rsidR="00CE21AC">
        <w:t>(Civil servant 5)</w:t>
      </w:r>
    </w:p>
    <w:p w:rsidR="00C41EFC" w:rsidRPr="002A1E3C" w:rsidRDefault="00C41EFC" w:rsidP="0029201E">
      <w:pPr>
        <w:spacing w:line="480" w:lineRule="auto"/>
      </w:pPr>
      <w:r w:rsidRPr="002A1E3C">
        <w:lastRenderedPageBreak/>
        <w:tab/>
      </w:r>
      <w:r w:rsidRPr="002A1E3C">
        <w:tab/>
      </w:r>
      <w:r w:rsidRPr="002A1E3C">
        <w:tab/>
      </w:r>
      <w:r w:rsidRPr="002A1E3C">
        <w:tab/>
      </w:r>
      <w:r w:rsidRPr="002A1E3C">
        <w:tab/>
      </w:r>
      <w:r w:rsidRPr="002A1E3C">
        <w:tab/>
      </w:r>
      <w:r w:rsidRPr="002A1E3C">
        <w:tab/>
      </w:r>
      <w:r w:rsidRPr="002A1E3C">
        <w:tab/>
      </w:r>
      <w:r w:rsidRPr="002A1E3C">
        <w:tab/>
      </w:r>
    </w:p>
    <w:p w:rsidR="00C41EFC" w:rsidRPr="002A1E3C" w:rsidRDefault="00C41EFC" w:rsidP="00072A36">
      <w:pPr>
        <w:spacing w:line="480" w:lineRule="auto"/>
      </w:pPr>
      <w:r w:rsidRPr="002A1E3C">
        <w:t>Overall, however, both civil/public servants and former Junior Ministers did not explicitly refer to the ‘</w:t>
      </w:r>
      <w:proofErr w:type="gramStart"/>
      <w:r w:rsidRPr="002A1E3C">
        <w:t>crisis’</w:t>
      </w:r>
      <w:proofErr w:type="gramEnd"/>
      <w:r w:rsidRPr="002A1E3C">
        <w:t xml:space="preserve"> of ageing demographics. Notwithstanding the absence of explicit references to crisis scenarios, the general sentiment among both policymakers and Junior Ministers was that retrenchment in the area of social policy as it relates to older people was required. As the above quotation illustrates, current provisions for older people in both the area of pensions and health were viewed as unsustainable. One public servant who had been working in the area of old-age policy for over two decades argued that unhelpful pessimistic population projections were frequently highlighted in the course of his work:</w:t>
      </w:r>
    </w:p>
    <w:p w:rsidR="00C41EFC" w:rsidRPr="002A1E3C" w:rsidRDefault="00C41EFC" w:rsidP="0029201E">
      <w:pPr>
        <w:spacing w:line="480" w:lineRule="auto"/>
        <w:ind w:left="720"/>
      </w:pPr>
      <w:r w:rsidRPr="002A1E3C">
        <w:t>...whenever the issue of older people comes up the mantra is we will have so many older people in 2050, now be frightened of that, that is the message, be very, very frightened. Instead of sort of saying, well right, between now and 2015 or 2012 whatever [what can we do]</w:t>
      </w:r>
      <w:proofErr w:type="gramStart"/>
      <w:r w:rsidRPr="002A1E3C">
        <w:t>.</w:t>
      </w:r>
      <w:proofErr w:type="gramEnd"/>
      <w:r w:rsidRPr="002A1E3C">
        <w:t xml:space="preserve"> </w:t>
      </w:r>
      <w:r w:rsidR="00CE21AC" w:rsidRPr="002A1E3C">
        <w:t>(Public Servant 1)</w:t>
      </w:r>
    </w:p>
    <w:p w:rsidR="00C41EFC" w:rsidRPr="002A1E3C" w:rsidRDefault="00C41EFC" w:rsidP="0029201E">
      <w:pPr>
        <w:spacing w:line="480" w:lineRule="auto"/>
        <w:ind w:left="720"/>
      </w:pPr>
      <w:r w:rsidRPr="002A1E3C">
        <w:tab/>
      </w:r>
      <w:r w:rsidRPr="002A1E3C">
        <w:tab/>
      </w:r>
      <w:r w:rsidRPr="002A1E3C">
        <w:tab/>
      </w:r>
      <w:r w:rsidRPr="002A1E3C">
        <w:tab/>
      </w:r>
      <w:r w:rsidRPr="002A1E3C">
        <w:tab/>
      </w:r>
      <w:r w:rsidRPr="002A1E3C">
        <w:tab/>
      </w:r>
      <w:r w:rsidRPr="002A1E3C">
        <w:tab/>
      </w:r>
      <w:r w:rsidRPr="002A1E3C">
        <w:tab/>
      </w:r>
    </w:p>
    <w:p w:rsidR="00C41EFC" w:rsidRPr="002A1E3C" w:rsidRDefault="00C41EFC" w:rsidP="0029201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2A1E3C">
        <w:t xml:space="preserve">While respondents intimated that policy reformulation was necessary, they did not suggest that policy would be reformulated according to any particular ideology. Instead, the majority </w:t>
      </w:r>
      <w:proofErr w:type="spellStart"/>
      <w:r w:rsidRPr="002A1E3C">
        <w:t>emphasised</w:t>
      </w:r>
      <w:proofErr w:type="spellEnd"/>
      <w:r w:rsidRPr="002A1E3C">
        <w:t xml:space="preserve"> that they attempt to take an objective approach in decisions relating to social policy and forward a viewpoint which encompasses the intergenerational and equity perspectives. An analysis of the statements made, however, suggests that many policymakers are guided by the ideology of fiscal conservatism and retrenchment of state services, rather than the expansion of public service benefits and supports. Discussions on social policy changes revolved around an economic rather than moral justification, with virtually no respondents giving attention to the need to improve services for older people or talking specifically about the impact of policies on the quality of life of older people. Despite the frequent use of the terms ‘parity’ and ‘equity’, no elaboration of either was provided. There were hints throughout the interviews that ‘equity’ (particularly in times of fiscal difficulties) equated with a neo-liberal means-based system whereby state support was only channeled to low-income groups. The government’s priority, according to civil servants, is the ‘fair’ and ‘equitable’ distribution of finances across all sections of society, and a disproportionate amount of finances should not be channeled to any one sub-group. Older people are not given any priority above other groups in this approach, as one civil </w:t>
      </w:r>
      <w:r w:rsidRPr="002A1E3C">
        <w:lastRenderedPageBreak/>
        <w:t>servant stated:</w:t>
      </w:r>
    </w:p>
    <w:p w:rsidR="00CE21AC" w:rsidRPr="002A1E3C" w:rsidRDefault="00C41EFC" w:rsidP="00CE21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pPr>
      <w:r w:rsidRPr="002A1E3C">
        <w:t xml:space="preserve">It’s no different to a household, you have a certain budget and you have a certain wish list, which you have to </w:t>
      </w:r>
      <w:proofErr w:type="spellStart"/>
      <w:r w:rsidRPr="002A1E3C">
        <w:t>prioritise</w:t>
      </w:r>
      <w:proofErr w:type="spellEnd"/>
      <w:r w:rsidRPr="002A1E3C">
        <w:t xml:space="preserve"> and from that wish list, having heard all the parties involved proposals have to be made as to what priorities we will go with, what is the best value for money and so on and which have the greatest </w:t>
      </w:r>
      <w:proofErr w:type="gramStart"/>
      <w:r w:rsidRPr="002A1E3C">
        <w:t>impact ....</w:t>
      </w:r>
      <w:proofErr w:type="gramEnd"/>
      <w:r w:rsidRPr="002A1E3C">
        <w:t xml:space="preserve"> It’s the sustainability of all those things going forward, it’s not just the older groups and the groups that represent them, it’s getting that message across to people in the younger age cadres, who have to fund these pensions, who have to get themselves insurance, it’s a bigger picture than just a bilateral relationship with government, it’s the whole population has to stand back and have this debate on an on-going basis. </w:t>
      </w:r>
      <w:r w:rsidR="00CE21AC" w:rsidRPr="002A1E3C">
        <w:t>(Civil servant 11)</w:t>
      </w:r>
    </w:p>
    <w:p w:rsidR="00C41EFC" w:rsidRPr="002A1E3C" w:rsidRDefault="00C41EFC" w:rsidP="00CE21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lang w:val="en-IE"/>
        </w:rPr>
      </w:pPr>
      <w:r w:rsidRPr="002A1E3C">
        <w:t xml:space="preserve">Old-age as an entitlement-defining characteristic was therefore not seen as valid by many of the civil servants. In fact, some were uncomfortable with the idea of an age-specific focus and were not in agreement with the concept of targeting services and social policies to older people. Instead, respondents argued that changes in health and community services should be such that they would positively impact on all sections of society. </w:t>
      </w:r>
      <w:r w:rsidRPr="002A1E3C">
        <w:rPr>
          <w:lang w:val="en-IE"/>
        </w:rPr>
        <w:t xml:space="preserve">In such a scenario, as one civil servant phrased it, </w:t>
      </w:r>
      <w:r w:rsidRPr="00072A36">
        <w:rPr>
          <w:lang w:val="en-IE"/>
        </w:rPr>
        <w:t>‘</w:t>
      </w:r>
      <w:r w:rsidR="008C260D" w:rsidRPr="008C260D">
        <w:rPr>
          <w:lang w:val="en-IE"/>
        </w:rPr>
        <w:t>the elderly</w:t>
      </w:r>
      <w:r w:rsidRPr="00072A36">
        <w:rPr>
          <w:lang w:val="en-IE"/>
        </w:rPr>
        <w:t xml:space="preserve"> </w:t>
      </w:r>
      <w:r w:rsidR="008C260D" w:rsidRPr="008C260D">
        <w:rPr>
          <w:lang w:val="en-IE"/>
        </w:rPr>
        <w:t>constituency get gathered up in a much broader process</w:t>
      </w:r>
      <w:r w:rsidRPr="00072A36">
        <w:rPr>
          <w:lang w:val="en-IE"/>
        </w:rPr>
        <w:t>’</w:t>
      </w:r>
      <w:r w:rsidRPr="002A1E3C">
        <w:rPr>
          <w:lang w:val="en-IE"/>
        </w:rPr>
        <w:t>. The priority according to these civil servants was that public money be spent on services for those most in need, regardless of age. In this holistic and intergenerational perspective the targeting of social policy to older people is not viewed as relevant:</w:t>
      </w:r>
    </w:p>
    <w:p w:rsidR="00CE21AC" w:rsidRPr="002A1E3C" w:rsidRDefault="00C41EFC" w:rsidP="00CE21AC">
      <w:pPr>
        <w:spacing w:line="480" w:lineRule="auto"/>
        <w:ind w:left="720"/>
        <w:rPr>
          <w:lang w:val="en-IE"/>
        </w:rPr>
      </w:pPr>
      <w:r w:rsidRPr="002A1E3C">
        <w:rPr>
          <w:lang w:val="en-IE"/>
        </w:rPr>
        <w:t xml:space="preserve">Targeting [to older people] is somewhat of a flawed concept I think, communities are made up of a whole series of targets so if you provide for improved access to a building to accommodate an older people’s club, well you then also provide for people with limited mobility, sports people who have broken their legs and who are not necessarily disabled, so you just improve the access for all of the community. </w:t>
      </w:r>
      <w:r w:rsidR="00CE21AC" w:rsidRPr="002A1E3C">
        <w:rPr>
          <w:lang w:val="en-IE"/>
        </w:rPr>
        <w:t>(Civil servant 13)</w:t>
      </w:r>
    </w:p>
    <w:p w:rsidR="00C41EFC" w:rsidRPr="002A1E3C" w:rsidRDefault="00C41EFC" w:rsidP="00CE21AC">
      <w:pPr>
        <w:spacing w:line="480" w:lineRule="auto"/>
        <w:rPr>
          <w:lang w:val="en-IE"/>
        </w:rPr>
      </w:pPr>
      <w:r w:rsidRPr="002A1E3C">
        <w:rPr>
          <w:lang w:val="en-IE"/>
        </w:rPr>
        <w:tab/>
      </w:r>
      <w:r w:rsidRPr="002A1E3C">
        <w:rPr>
          <w:lang w:val="en-IE"/>
        </w:rPr>
        <w:tab/>
      </w:r>
      <w:r w:rsidRPr="002A1E3C">
        <w:rPr>
          <w:lang w:val="en-IE"/>
        </w:rPr>
        <w:tab/>
      </w:r>
      <w:r w:rsidRPr="002A1E3C">
        <w:rPr>
          <w:lang w:val="en-IE"/>
        </w:rPr>
        <w:tab/>
      </w:r>
      <w:r w:rsidRPr="002A1E3C">
        <w:rPr>
          <w:lang w:val="en-IE"/>
        </w:rPr>
        <w:tab/>
      </w:r>
      <w:r w:rsidRPr="002A1E3C">
        <w:rPr>
          <w:lang w:val="en-IE"/>
        </w:rPr>
        <w:tab/>
      </w:r>
      <w:r w:rsidRPr="002A1E3C">
        <w:rPr>
          <w:lang w:val="en-IE"/>
        </w:rPr>
        <w:tab/>
      </w:r>
    </w:p>
    <w:p w:rsidR="00C41EFC" w:rsidRPr="002A1E3C" w:rsidRDefault="00C41EFC" w:rsidP="0029201E">
      <w:pPr>
        <w:spacing w:line="480" w:lineRule="auto"/>
      </w:pPr>
      <w:r w:rsidRPr="002A1E3C">
        <w:t xml:space="preserve">The state was therefore viewed by a number of policymakers as not having a role in providing welfare supports to all older </w:t>
      </w:r>
      <w:proofErr w:type="gramStart"/>
      <w:r w:rsidRPr="002A1E3C">
        <w:t>people,</w:t>
      </w:r>
      <w:proofErr w:type="gramEnd"/>
      <w:r w:rsidRPr="002A1E3C">
        <w:t xml:space="preserve"> instead, these policymakers believed that older individuals should be responsible for their own health and economic welfare. Indeed, a small number of civil servants suggested that older people as a </w:t>
      </w:r>
      <w:r w:rsidRPr="002A1E3C">
        <w:lastRenderedPageBreak/>
        <w:t>group are economically more advantaged than other groups in the general population</w:t>
      </w:r>
      <w:r w:rsidR="0051258F">
        <w:rPr>
          <w:rStyle w:val="EndnoteReference"/>
        </w:rPr>
        <w:endnoteReference w:id="6"/>
      </w:r>
      <w:r w:rsidRPr="002A1E3C">
        <w:t>. These respondents were critical of the number of benefits older people are currently eligible for, and argued that the allocation of state finances should be channeled into other areas such as education and health:</w:t>
      </w:r>
    </w:p>
    <w:p w:rsidR="00CE21AC" w:rsidRPr="002A1E3C" w:rsidRDefault="00C41EFC" w:rsidP="00CE21AC">
      <w:pPr>
        <w:spacing w:line="480" w:lineRule="auto"/>
        <w:ind w:left="720"/>
        <w:rPr>
          <w:lang w:val="en-IE"/>
        </w:rPr>
      </w:pPr>
      <w:r w:rsidRPr="002A1E3C">
        <w:rPr>
          <w:lang w:val="en-IE"/>
        </w:rPr>
        <w:t xml:space="preserve">If I went to an older person’s meeting and said to them, you are the best paid across the social welfare system, there’s only 11 per cent of the population, but you are actually taking 25 per cent of the social welfare budget, you probably have a lifestyle that doesn’t’ need as much maybe as someone with children who is out of work with huge bills etc, you would be run out of the place, you know you would, but that actually is the reality ... </w:t>
      </w:r>
      <w:r w:rsidRPr="002A1E3C">
        <w:t xml:space="preserve">You know we focus too much on older people, we give too much to older people, and actually if you put that money into the younger population, children in particular, you know you could change the whole society by increasing education and participation over a generation. </w:t>
      </w:r>
      <w:r w:rsidR="00CE21AC" w:rsidRPr="002A1E3C">
        <w:t>(Civil servant 9)</w:t>
      </w:r>
    </w:p>
    <w:p w:rsidR="00C41EFC" w:rsidRPr="002A1E3C" w:rsidRDefault="00C41EFC" w:rsidP="00CE21AC">
      <w:pPr>
        <w:spacing w:line="480" w:lineRule="auto"/>
        <w:rPr>
          <w:lang w:val="en-IE"/>
        </w:rPr>
      </w:pPr>
      <w:r w:rsidRPr="002A1E3C">
        <w:tab/>
      </w:r>
      <w:r w:rsidRPr="002A1E3C">
        <w:tab/>
      </w:r>
      <w:r w:rsidRPr="002A1E3C">
        <w:tab/>
      </w:r>
      <w:r w:rsidRPr="002A1E3C">
        <w:tab/>
      </w:r>
      <w:r w:rsidRPr="002A1E3C">
        <w:tab/>
      </w:r>
      <w:r w:rsidRPr="002A1E3C">
        <w:tab/>
      </w:r>
      <w:r w:rsidRPr="002A1E3C">
        <w:tab/>
      </w:r>
    </w:p>
    <w:p w:rsidR="00C41EFC" w:rsidRPr="002A1E3C" w:rsidRDefault="00C41EFC" w:rsidP="0029201E">
      <w:pPr>
        <w:spacing w:line="480" w:lineRule="auto"/>
        <w:rPr>
          <w:lang w:val="en-IE"/>
        </w:rPr>
      </w:pPr>
      <w:r w:rsidRPr="002A1E3C">
        <w:t xml:space="preserve">The social construction of older people as a deserving group and the assumption that the state should allocate a disproportionate amount of resources to them was therefore questioned by some respondents. </w:t>
      </w:r>
      <w:r w:rsidRPr="002A1E3C">
        <w:rPr>
          <w:lang w:val="en-IE"/>
        </w:rPr>
        <w:t>These respondents disputed the deservingness of older people and pitted older people against the deservingness of lone parents and low income families.</w:t>
      </w:r>
      <w:r w:rsidRPr="002A1E3C">
        <w:t xml:space="preserve"> Older people in poor economic circumstances were seen as deserving of assistance, but extreme statements relating to older millionaires were employed to suggest that other older people should not receive age-specific welfare benefits from the state. </w:t>
      </w:r>
      <w:r w:rsidRPr="002A1E3C">
        <w:rPr>
          <w:lang w:val="en-IE"/>
        </w:rPr>
        <w:t>The notion of entitlement among these respondents therefore appeared to be related to a financial means-assessment, rather than any assessment or consideration of the functional needs or health-related deficits of older people. For example, commenting on the unfairness of the medical card which during the period from 2001 to 2008 provided free universal medical care to all older persons aged 70 and over, a civil servant commented:</w:t>
      </w:r>
      <w:r w:rsidR="00072A36">
        <w:rPr>
          <w:lang w:val="en-IE"/>
        </w:rPr>
        <w:t xml:space="preserve"> ‘</w:t>
      </w:r>
      <w:r w:rsidRPr="002A1E3C">
        <w:rPr>
          <w:lang w:val="en-IE"/>
        </w:rPr>
        <w:t>It gives free medical care to richer people, who happen to be over 70, you know there is no objective equity or fairness argument in that</w:t>
      </w:r>
      <w:r w:rsidR="00072A36">
        <w:rPr>
          <w:lang w:val="en-IE"/>
        </w:rPr>
        <w:t>’</w:t>
      </w:r>
      <w:proofErr w:type="gramStart"/>
      <w:r w:rsidRPr="002A1E3C">
        <w:rPr>
          <w:lang w:val="en-IE"/>
        </w:rPr>
        <w:t>.(</w:t>
      </w:r>
      <w:proofErr w:type="gramEnd"/>
      <w:r w:rsidRPr="002A1E3C">
        <w:rPr>
          <w:lang w:val="en-IE"/>
        </w:rPr>
        <w:t>Civil servant 12) Similarly another civil servant stated:</w:t>
      </w:r>
    </w:p>
    <w:p w:rsidR="00CE21AC" w:rsidRPr="002A1E3C" w:rsidRDefault="00C41EFC" w:rsidP="00CE21AC">
      <w:pPr>
        <w:spacing w:line="480" w:lineRule="auto"/>
        <w:ind w:left="720"/>
        <w:rPr>
          <w:lang w:val="en-IE"/>
        </w:rPr>
      </w:pPr>
      <w:r w:rsidRPr="002A1E3C">
        <w:rPr>
          <w:lang w:val="en-IE"/>
        </w:rPr>
        <w:t xml:space="preserve">Is it fair that a millionaire should have a medical card compared to an old age pensioner who has just the old age pension and nothing else and that you draw no distinction between the two of them, that </w:t>
      </w:r>
      <w:r w:rsidRPr="002A1E3C">
        <w:rPr>
          <w:lang w:val="en-IE"/>
        </w:rPr>
        <w:lastRenderedPageBreak/>
        <w:t>to me in a system where we have to prioritise vulnerable people makes no sense at all?</w:t>
      </w:r>
      <w:r w:rsidR="00CE21AC" w:rsidRPr="002A1E3C">
        <w:rPr>
          <w:lang w:val="en-IE"/>
        </w:rPr>
        <w:t>(Civil servant 19)</w:t>
      </w:r>
    </w:p>
    <w:p w:rsidR="00C41EFC" w:rsidRPr="002A1E3C" w:rsidRDefault="00C41EFC" w:rsidP="00CE21AC">
      <w:pPr>
        <w:spacing w:line="480" w:lineRule="auto"/>
        <w:ind w:left="720"/>
        <w:rPr>
          <w:lang w:val="en-IE"/>
        </w:rPr>
      </w:pPr>
    </w:p>
    <w:p w:rsidR="00C41EFC" w:rsidRPr="002A1E3C" w:rsidRDefault="00C41EFC" w:rsidP="0029201E">
      <w:pPr>
        <w:widowControl w:val="0"/>
        <w:autoSpaceDE w:val="0"/>
        <w:autoSpaceDN w:val="0"/>
        <w:adjustRightInd w:val="0"/>
        <w:spacing w:line="480" w:lineRule="auto"/>
      </w:pPr>
      <w:r w:rsidRPr="002A1E3C">
        <w:t xml:space="preserve">The findings, however, suggest that elected representatives (as distinct from civil/public servants) may place greater importance on the issue of ‘old-age targeting’ and focus more attention on the impact of policy changes on older people. Illustrative of Junior Ministers emphasis on ‘old-age targeting’ are the below comments from a former Junior Minister regarding the need to maintain the value of pension payments for existent beneficiaries:  </w:t>
      </w:r>
    </w:p>
    <w:p w:rsidR="00CE21AC" w:rsidRPr="002A1E3C" w:rsidRDefault="00C41EFC" w:rsidP="00CE21AC">
      <w:pPr>
        <w:widowControl w:val="0"/>
        <w:autoSpaceDE w:val="0"/>
        <w:autoSpaceDN w:val="0"/>
        <w:adjustRightInd w:val="0"/>
        <w:spacing w:line="480" w:lineRule="auto"/>
        <w:ind w:left="720"/>
      </w:pPr>
      <w:r w:rsidRPr="002A1E3C">
        <w:t xml:space="preserve">We have made it clear as a government that the vulnerable people will be the very last to be considered, and they would obviously be pensioners and </w:t>
      </w:r>
      <w:proofErr w:type="spellStart"/>
      <w:r w:rsidRPr="002A1E3C">
        <w:t>carers</w:t>
      </w:r>
      <w:proofErr w:type="spellEnd"/>
      <w:r w:rsidRPr="002A1E3C">
        <w:t xml:space="preserve">......and I think pensioners if we could retain their benefit untouched as well as the </w:t>
      </w:r>
      <w:proofErr w:type="spellStart"/>
      <w:r w:rsidRPr="002A1E3C">
        <w:t>carers</w:t>
      </w:r>
      <w:proofErr w:type="spellEnd"/>
      <w:r w:rsidRPr="002A1E3C">
        <w:t>, freeze it, they won’t be increased that is for sure this year, but if we can retain what we are giving them....but it means that we are going to have to hit other areas of social welfare if we are to preserve those for the older people.</w:t>
      </w:r>
      <w:r w:rsidR="00CE21AC" w:rsidRPr="002A1E3C">
        <w:t xml:space="preserve">  (Former Junior Minister 2)</w:t>
      </w:r>
    </w:p>
    <w:p w:rsidR="00C41EFC" w:rsidRPr="002A1E3C" w:rsidRDefault="00C41EFC" w:rsidP="0029201E">
      <w:pPr>
        <w:spacing w:line="480" w:lineRule="auto"/>
        <w:ind w:left="720"/>
      </w:pPr>
    </w:p>
    <w:p w:rsidR="00C41EFC" w:rsidRPr="002A1E3C" w:rsidRDefault="00C41EFC" w:rsidP="0029201E">
      <w:pPr>
        <w:widowControl w:val="0"/>
        <w:autoSpaceDE w:val="0"/>
        <w:autoSpaceDN w:val="0"/>
        <w:adjustRightInd w:val="0"/>
        <w:spacing w:line="480" w:lineRule="auto"/>
      </w:pPr>
      <w:r w:rsidRPr="002A1E3C">
        <w:t xml:space="preserve">Unlike the majority of civil servants this former Junior Minister placed older people as a more deserving group than other welfare recipients. Later during the interview this former minister also made reference to the greater deservingness of older people </w:t>
      </w:r>
      <w:proofErr w:type="spellStart"/>
      <w:r w:rsidRPr="002A1E3C">
        <w:rPr>
          <w:i/>
        </w:rPr>
        <w:t>vis</w:t>
      </w:r>
      <w:proofErr w:type="spellEnd"/>
      <w:r w:rsidRPr="002A1E3C">
        <w:rPr>
          <w:i/>
        </w:rPr>
        <w:t xml:space="preserve"> a </w:t>
      </w:r>
      <w:proofErr w:type="spellStart"/>
      <w:r w:rsidRPr="002A1E3C">
        <w:rPr>
          <w:i/>
        </w:rPr>
        <w:t>vis</w:t>
      </w:r>
      <w:proofErr w:type="spellEnd"/>
      <w:r w:rsidRPr="002A1E3C">
        <w:t xml:space="preserve"> university college students, a group for whom an increase in education fees were forecast at the time of interview. The deservingness of older people, however, was not always related to any moral or ethical assessment of the needs of older people, but instead to the electoral impact of </w:t>
      </w:r>
      <w:proofErr w:type="spellStart"/>
      <w:r w:rsidRPr="002A1E3C">
        <w:t>unfavourable</w:t>
      </w:r>
      <w:proofErr w:type="spellEnd"/>
      <w:r w:rsidRPr="002A1E3C">
        <w:t xml:space="preserve"> policy changes and blame avoidance strategies adopted by elected representatives when policy in the realm of older people’s issues attracts major public interest (for example, during the medical card protests in 2008</w:t>
      </w:r>
      <w:r w:rsidR="0051258F">
        <w:rPr>
          <w:rStyle w:val="EndnoteReference"/>
        </w:rPr>
        <w:endnoteReference w:id="7"/>
      </w:r>
      <w:r w:rsidRPr="002A1E3C">
        <w:t xml:space="preserve">). While statements made by former Junior Ministers were imbued with paternalistic and sympathetic overtones, remarks regarding the higher voting rates of older constituents suggest that placating older voters served politicians’ own political gain. For example, the below comments made by a former Junior Minister reveal the positive political gain made when government enact policy </w:t>
      </w:r>
      <w:r w:rsidRPr="002A1E3C">
        <w:lastRenderedPageBreak/>
        <w:t xml:space="preserve">changes which positively impact older people:  </w:t>
      </w:r>
    </w:p>
    <w:p w:rsidR="00C41EFC" w:rsidRPr="002A1E3C" w:rsidRDefault="00C41EFC" w:rsidP="0029201E">
      <w:pPr>
        <w:spacing w:line="480" w:lineRule="auto"/>
        <w:ind w:left="720"/>
        <w:rPr>
          <w:lang w:val="en-IE"/>
        </w:rPr>
      </w:pPr>
      <w:r w:rsidRPr="002A1E3C">
        <w:rPr>
          <w:lang w:val="en-IE"/>
        </w:rPr>
        <w:t>Former Junior Minister: Looking over the last 15 years the commitment that government made in relation to pension, you know the old age pension as it was called then, the increases that were promised and given, I think at the time people said it just wasn’t possible to give what we were promising, but thank God that was one of the promises we were able to keep, so I think that was a real help, the election before the last one, 2002, particularly, when older people called, that was a big thing with them.</w:t>
      </w:r>
    </w:p>
    <w:p w:rsidR="00C41EFC" w:rsidRPr="002A1E3C" w:rsidRDefault="00C41EFC" w:rsidP="0029201E">
      <w:pPr>
        <w:spacing w:line="480" w:lineRule="auto"/>
        <w:ind w:left="720"/>
        <w:jc w:val="left"/>
        <w:rPr>
          <w:lang w:val="en-IE"/>
        </w:rPr>
      </w:pPr>
      <w:r w:rsidRPr="002A1E3C">
        <w:rPr>
          <w:lang w:val="en-IE"/>
        </w:rPr>
        <w:t>Interviewer: The increase in pension payments?</w:t>
      </w:r>
      <w:r w:rsidRPr="002A1E3C">
        <w:rPr>
          <w:lang w:val="en-IE"/>
        </w:rPr>
        <w:br/>
        <w:t xml:space="preserve">Former Junior Minister: Yeah, </w:t>
      </w:r>
      <w:proofErr w:type="spellStart"/>
      <w:r w:rsidRPr="002A1E3C">
        <w:rPr>
          <w:lang w:val="en-IE"/>
        </w:rPr>
        <w:t>emm</w:t>
      </w:r>
      <w:proofErr w:type="spellEnd"/>
      <w:r w:rsidRPr="002A1E3C">
        <w:rPr>
          <w:lang w:val="en-IE"/>
        </w:rPr>
        <w:t>, there was so many that said, oh God you looked after us very well, yeah, [I will give you my vote]....</w:t>
      </w:r>
    </w:p>
    <w:p w:rsidR="00C41EFC" w:rsidRPr="002A1E3C" w:rsidRDefault="00C41EFC" w:rsidP="0029201E">
      <w:pPr>
        <w:spacing w:line="480" w:lineRule="auto"/>
        <w:rPr>
          <w:lang w:val="en-IE"/>
        </w:rPr>
      </w:pPr>
      <w:r w:rsidRPr="002A1E3C">
        <w:rPr>
          <w:lang w:val="en-IE"/>
        </w:rPr>
        <w:tab/>
        <w:t>Interviewer: They were aware of it and informed.</w:t>
      </w:r>
    </w:p>
    <w:p w:rsidR="00C41EFC" w:rsidRPr="002A1E3C" w:rsidRDefault="00C41EFC" w:rsidP="0029201E">
      <w:pPr>
        <w:spacing w:line="480" w:lineRule="auto"/>
        <w:rPr>
          <w:lang w:val="en-IE"/>
        </w:rPr>
      </w:pPr>
      <w:r w:rsidRPr="002A1E3C">
        <w:rPr>
          <w:lang w:val="en-IE"/>
        </w:rPr>
        <w:tab/>
        <w:t>Former Junior Minister: Oh, very much so.</w:t>
      </w:r>
      <w:r w:rsidR="00CE21AC" w:rsidRPr="00CE21AC">
        <w:t xml:space="preserve"> </w:t>
      </w:r>
      <w:r w:rsidR="00CE21AC" w:rsidRPr="002A1E3C">
        <w:t>(Former Junior Minister, 3)</w:t>
      </w:r>
    </w:p>
    <w:p w:rsidR="00C41EFC" w:rsidRPr="002A1E3C" w:rsidRDefault="00C41EFC" w:rsidP="0029201E">
      <w:pPr>
        <w:widowControl w:val="0"/>
        <w:autoSpaceDE w:val="0"/>
        <w:autoSpaceDN w:val="0"/>
        <w:adjustRightInd w:val="0"/>
        <w:spacing w:line="480" w:lineRule="auto"/>
      </w:pPr>
      <w:r w:rsidRPr="002A1E3C">
        <w:tab/>
      </w:r>
      <w:r w:rsidRPr="002A1E3C">
        <w:tab/>
      </w:r>
      <w:r w:rsidRPr="002A1E3C">
        <w:tab/>
      </w:r>
      <w:r w:rsidRPr="002A1E3C">
        <w:tab/>
      </w:r>
      <w:r w:rsidRPr="002A1E3C">
        <w:tab/>
      </w:r>
      <w:r w:rsidRPr="002A1E3C">
        <w:tab/>
      </w:r>
      <w:r w:rsidRPr="002A1E3C">
        <w:tab/>
      </w:r>
      <w:r w:rsidRPr="002A1E3C">
        <w:tab/>
        <w:t xml:space="preserve">             </w:t>
      </w:r>
    </w:p>
    <w:p w:rsidR="00C41EFC" w:rsidRPr="002A1E3C" w:rsidRDefault="00C41EFC" w:rsidP="0029201E">
      <w:pPr>
        <w:widowControl w:val="0"/>
        <w:autoSpaceDE w:val="0"/>
        <w:autoSpaceDN w:val="0"/>
        <w:adjustRightInd w:val="0"/>
        <w:spacing w:line="480" w:lineRule="auto"/>
      </w:pPr>
      <w:r w:rsidRPr="002A1E3C">
        <w:t xml:space="preserve">Civil servants were aware of the political importance of elected representatives’ older constituents and commented on politicians’ tendency to be more sympathetic to the concerns of older people than other social welfare recipients. They argued that a greater sense of moral justification is attributed to older people on the paternalistic grounds that older people are frail or vulnerable: </w:t>
      </w:r>
    </w:p>
    <w:p w:rsidR="00C41EFC" w:rsidRPr="002A1E3C" w:rsidRDefault="00C41EFC" w:rsidP="002920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pPr>
      <w:r w:rsidRPr="002A1E3C">
        <w:t xml:space="preserve">But I think that if you look back, there was always huge influence, we increase the pension by this much, we increase the pension by that much, and you will see it in all the </w:t>
      </w:r>
      <w:proofErr w:type="spellStart"/>
      <w:r w:rsidRPr="002A1E3C">
        <w:t>Dáil</w:t>
      </w:r>
      <w:proofErr w:type="spellEnd"/>
      <w:r w:rsidRPr="002A1E3C">
        <w:t xml:space="preserve"> [Parliament] debates, you will never see, we will increase unemployed payment by so much. So there is that huge value [attached to older people]. </w:t>
      </w:r>
      <w:r w:rsidR="00CE21AC" w:rsidRPr="002A1E3C">
        <w:t>(Civil servant 17)</w:t>
      </w:r>
    </w:p>
    <w:p w:rsidR="00C41EFC" w:rsidRPr="002A1E3C" w:rsidRDefault="00C41EFC" w:rsidP="002920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pPr>
      <w:r w:rsidRPr="002A1E3C">
        <w:tab/>
      </w:r>
      <w:r w:rsidRPr="002A1E3C">
        <w:tab/>
      </w:r>
      <w:r w:rsidRPr="002A1E3C">
        <w:tab/>
      </w:r>
      <w:r w:rsidRPr="002A1E3C">
        <w:tab/>
      </w:r>
      <w:r w:rsidRPr="002A1E3C">
        <w:tab/>
      </w:r>
      <w:r w:rsidRPr="002A1E3C">
        <w:tab/>
      </w:r>
      <w:r w:rsidRPr="002A1E3C">
        <w:tab/>
      </w:r>
      <w:r w:rsidRPr="002A1E3C">
        <w:tab/>
      </w:r>
      <w:r w:rsidRPr="002A1E3C">
        <w:tab/>
      </w:r>
    </w:p>
    <w:p w:rsidR="00C41EFC" w:rsidRPr="002A1E3C" w:rsidRDefault="00C41EFC" w:rsidP="002920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pPr>
      <w:r w:rsidRPr="002A1E3C">
        <w:lastRenderedPageBreak/>
        <w:t xml:space="preserve">Indeed this respondent went on to state that widows tend to receive significantly more dispensation in policy discussions than any other group and that Ministers are complicit in the </w:t>
      </w:r>
      <w:r w:rsidRPr="002A1E3C">
        <w:rPr>
          <w:rFonts w:cs="Arial"/>
        </w:rPr>
        <w:t>social construction of widows as a deserving group worthy of state support:</w:t>
      </w:r>
    </w:p>
    <w:p w:rsidR="00B70474" w:rsidRDefault="00C41EFC">
      <w:pPr>
        <w:spacing w:line="480" w:lineRule="auto"/>
        <w:ind w:left="720"/>
        <w:rPr>
          <w:lang w:val="en-IE"/>
        </w:rPr>
      </w:pPr>
      <w:r w:rsidRPr="002A1E3C">
        <w:rPr>
          <w:lang w:val="en-IE"/>
        </w:rPr>
        <w:t xml:space="preserve">One of the most powerful interest groups are the widows ... in so far as if you are doing policy you would always be very conscious what the impact on the widows is. They have huge impact, and I’ll tell you why they have huge impact, it’s because most politicians are male and most of their mammies were widows and most of them struggled ... because there was no social welfare going back 30/40 years, they have a huge thing about the widows, much more so than any other group. </w:t>
      </w:r>
      <w:r w:rsidR="00CE21AC" w:rsidRPr="002A1E3C">
        <w:rPr>
          <w:lang w:val="en-IE"/>
        </w:rPr>
        <w:t>(Civil</w:t>
      </w:r>
      <w:r w:rsidR="009E6606">
        <w:rPr>
          <w:lang w:val="en-IE"/>
        </w:rPr>
        <w:t xml:space="preserve"> </w:t>
      </w:r>
      <w:r w:rsidR="00CE21AC" w:rsidRPr="002A1E3C">
        <w:rPr>
          <w:lang w:val="en-IE"/>
        </w:rPr>
        <w:t>servant 17)</w:t>
      </w:r>
      <w:r w:rsidRPr="002A1E3C">
        <w:rPr>
          <w:lang w:val="en-IE"/>
        </w:rPr>
        <w:tab/>
      </w:r>
      <w:r w:rsidRPr="002A1E3C">
        <w:rPr>
          <w:lang w:val="en-IE"/>
        </w:rPr>
        <w:tab/>
      </w:r>
      <w:r w:rsidRPr="002A1E3C">
        <w:rPr>
          <w:lang w:val="en-IE"/>
        </w:rPr>
        <w:tab/>
      </w:r>
      <w:r w:rsidRPr="002A1E3C">
        <w:rPr>
          <w:lang w:val="en-IE"/>
        </w:rPr>
        <w:tab/>
      </w:r>
      <w:r w:rsidRPr="002A1E3C">
        <w:rPr>
          <w:lang w:val="en-IE"/>
        </w:rPr>
        <w:tab/>
      </w:r>
      <w:r w:rsidRPr="002A1E3C">
        <w:rPr>
          <w:lang w:val="en-IE"/>
        </w:rPr>
        <w:tab/>
      </w:r>
      <w:r w:rsidRPr="002A1E3C">
        <w:rPr>
          <w:lang w:val="en-IE"/>
        </w:rPr>
        <w:tab/>
      </w:r>
      <w:r w:rsidRPr="002A1E3C">
        <w:rPr>
          <w:lang w:val="en-IE"/>
        </w:rPr>
        <w:tab/>
      </w:r>
      <w:r w:rsidRPr="002A1E3C">
        <w:rPr>
          <w:lang w:val="en-IE"/>
        </w:rPr>
        <w:tab/>
      </w:r>
    </w:p>
    <w:p w:rsidR="00B70474" w:rsidRDefault="00C41EFC">
      <w:pPr>
        <w:spacing w:line="480" w:lineRule="auto"/>
      </w:pPr>
      <w:r w:rsidRPr="002A1E3C">
        <w:t xml:space="preserve">Corroborating the assertions that older people are a politically important cohort among the voting public, former Junior Ministers referred to the higher voting activity of older people, but stated that they could no longer be complacent about older people’s allegiance to a particular political party. This awareness of older people’s propensity to vote less predictably than in the past and to engage more actively in discussions concerning their benefits and entitlements caused politicians to focus greater attention on the demands of their older constituencies: </w:t>
      </w:r>
    </w:p>
    <w:p w:rsidR="00CE21AC" w:rsidRPr="002A1E3C" w:rsidRDefault="00C41EFC" w:rsidP="00CE21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pPr>
      <w:r w:rsidRPr="002A1E3C">
        <w:t xml:space="preserve">I would say it is only in recent years that I think we have taken older people seriously, you know they had been neglected for a long time, we would [pay attention to them] through the vote every so often, but if I was to be honest with you, I would say that we haven’t given them the priority that they deserve. </w:t>
      </w:r>
      <w:r w:rsidR="00CE21AC" w:rsidRPr="002A1E3C">
        <w:t>(Former Junior Minister 1)</w:t>
      </w:r>
    </w:p>
    <w:p w:rsidR="00C41EFC" w:rsidRPr="002A1E3C" w:rsidRDefault="00C41EFC" w:rsidP="00CE21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pPr>
      <w:r w:rsidRPr="002A1E3C">
        <w:tab/>
      </w:r>
      <w:r w:rsidRPr="002A1E3C">
        <w:tab/>
      </w:r>
      <w:r w:rsidRPr="002A1E3C">
        <w:tab/>
      </w:r>
      <w:r w:rsidRPr="002A1E3C">
        <w:tab/>
      </w:r>
      <w:r w:rsidRPr="002A1E3C">
        <w:tab/>
      </w:r>
      <w:r w:rsidRPr="002A1E3C">
        <w:tab/>
      </w:r>
      <w:r w:rsidRPr="002A1E3C">
        <w:tab/>
      </w:r>
      <w:r w:rsidRPr="002A1E3C">
        <w:tab/>
      </w:r>
    </w:p>
    <w:p w:rsidR="00C41EFC" w:rsidRDefault="00C41EFC" w:rsidP="0029201E">
      <w:pPr>
        <w:spacing w:line="480" w:lineRule="auto"/>
        <w:rPr>
          <w:lang w:val="en-IE"/>
        </w:rPr>
      </w:pPr>
      <w:r w:rsidRPr="002A1E3C">
        <w:rPr>
          <w:lang w:val="en-IE"/>
        </w:rPr>
        <w:t>However, evoking austerity measures advanced by international monetary bodies (</w:t>
      </w:r>
      <w:proofErr w:type="spellStart"/>
      <w:r w:rsidRPr="002A1E3C">
        <w:rPr>
          <w:lang w:val="en-IE"/>
        </w:rPr>
        <w:t>Baars</w:t>
      </w:r>
      <w:proofErr w:type="spellEnd"/>
      <w:r w:rsidRPr="002A1E3C">
        <w:rPr>
          <w:lang w:val="en-IE"/>
        </w:rPr>
        <w:t xml:space="preserve"> et al. 2006), both former Junior Ministers and civil servants referred to government austerity measures which were necessitated by the negative economic climate. They intimated that the fiscal difficulties meant that social welfare protections offered to older people could not be guaranteed or safeguarded in the future in all instances. </w:t>
      </w:r>
      <w:r w:rsidRPr="002A1E3C">
        <w:rPr>
          <w:lang w:eastAsia="en-GB"/>
        </w:rPr>
        <w:t xml:space="preserve">Therefore, both former Junior Ministers and civil servants </w:t>
      </w:r>
      <w:proofErr w:type="spellStart"/>
      <w:r w:rsidRPr="002A1E3C">
        <w:rPr>
          <w:lang w:eastAsia="en-GB"/>
        </w:rPr>
        <w:t>emphasised</w:t>
      </w:r>
      <w:proofErr w:type="spellEnd"/>
      <w:r w:rsidRPr="002A1E3C">
        <w:rPr>
          <w:lang w:eastAsia="en-GB"/>
        </w:rPr>
        <w:t xml:space="preserve"> the strategy of deferred policy change, a policy tactic which was seen to deflect public scrutiny of their work and thereby minimize voter antagonism. </w:t>
      </w:r>
      <w:r w:rsidRPr="002A1E3C">
        <w:rPr>
          <w:lang w:eastAsia="en-GB"/>
        </w:rPr>
        <w:lastRenderedPageBreak/>
        <w:t xml:space="preserve">The issue of policy </w:t>
      </w:r>
      <w:proofErr w:type="spellStart"/>
      <w:r w:rsidRPr="002A1E3C">
        <w:rPr>
          <w:lang w:eastAsia="en-GB"/>
        </w:rPr>
        <w:t>incrementalism</w:t>
      </w:r>
      <w:proofErr w:type="spellEnd"/>
      <w:r w:rsidRPr="002A1E3C">
        <w:rPr>
          <w:lang w:eastAsia="en-GB"/>
        </w:rPr>
        <w:t xml:space="preserve"> thus becomes highly relevant in the politics of old age in Ireland (for </w:t>
      </w:r>
      <w:proofErr w:type="spellStart"/>
      <w:r w:rsidRPr="002A1E3C">
        <w:rPr>
          <w:lang w:eastAsia="en-GB"/>
        </w:rPr>
        <w:t>incrementalism</w:t>
      </w:r>
      <w:proofErr w:type="spellEnd"/>
      <w:r w:rsidRPr="002A1E3C">
        <w:rPr>
          <w:lang w:eastAsia="en-GB"/>
        </w:rPr>
        <w:t xml:space="preserve"> in other contexts, see </w:t>
      </w:r>
      <w:r w:rsidR="00CE21AC">
        <w:rPr>
          <w:lang w:eastAsia="en-GB"/>
        </w:rPr>
        <w:t xml:space="preserve">Pierson, 1994 and </w:t>
      </w:r>
      <w:proofErr w:type="spellStart"/>
      <w:r w:rsidRPr="002A1E3C">
        <w:rPr>
          <w:lang w:eastAsia="en-GB"/>
        </w:rPr>
        <w:t>Tepe</w:t>
      </w:r>
      <w:proofErr w:type="spellEnd"/>
      <w:r w:rsidRPr="002A1E3C">
        <w:rPr>
          <w:lang w:eastAsia="en-GB"/>
        </w:rPr>
        <w:t xml:space="preserve"> and </w:t>
      </w:r>
      <w:proofErr w:type="spellStart"/>
      <w:r w:rsidRPr="002A1E3C">
        <w:rPr>
          <w:lang w:eastAsia="en-GB"/>
        </w:rPr>
        <w:t>Vanhuysse</w:t>
      </w:r>
      <w:proofErr w:type="spellEnd"/>
      <w:r w:rsidRPr="002A1E3C">
        <w:rPr>
          <w:lang w:eastAsia="en-GB"/>
        </w:rPr>
        <w:t xml:space="preserve"> 2012). The findings suggest that while the current older population may receive certain dispensations, future cohorts may not fare so </w:t>
      </w:r>
      <w:proofErr w:type="spellStart"/>
      <w:r w:rsidRPr="002A1E3C">
        <w:rPr>
          <w:lang w:eastAsia="en-GB"/>
        </w:rPr>
        <w:t>favourably</w:t>
      </w:r>
      <w:proofErr w:type="spellEnd"/>
      <w:r w:rsidRPr="002A1E3C">
        <w:rPr>
          <w:lang w:eastAsia="en-GB"/>
        </w:rPr>
        <w:t xml:space="preserve">. </w:t>
      </w:r>
      <w:r w:rsidRPr="002A1E3C">
        <w:rPr>
          <w:lang w:val="en-IE"/>
        </w:rPr>
        <w:t xml:space="preserve">In summary, our analysis of policymakers’ views on old-age policy (re-)formulation revealed considerable reservations on the part of civil/public servants regarding the ‘deservingness’ of older people as a group. However, elected policymakers took a more sympathetic view, driven by their interest in defending and looking after this growing and increasingly vocal constituency they placed a greater emphasis on not antagonising current older constituents. We will now turn to examining how these views are reconciled with the imperative to consult with older people’s </w:t>
      </w:r>
      <w:r w:rsidR="00CE21AC">
        <w:rPr>
          <w:lang w:val="en-IE"/>
        </w:rPr>
        <w:t>organizations</w:t>
      </w:r>
      <w:r w:rsidRPr="002A1E3C">
        <w:rPr>
          <w:lang w:val="en-IE"/>
        </w:rPr>
        <w:t xml:space="preserve"> in the course of formulating policy. Based on the analysis above, we would expect civil servants to be more hesitant than elected policymakers to engage in consultation.</w:t>
      </w:r>
    </w:p>
    <w:p w:rsidR="00CB1BAA" w:rsidRPr="002A1E3C" w:rsidRDefault="00CB1BAA" w:rsidP="0029201E">
      <w:pPr>
        <w:spacing w:line="480" w:lineRule="auto"/>
        <w:rPr>
          <w:lang w:val="en-IE"/>
        </w:rPr>
      </w:pPr>
    </w:p>
    <w:p w:rsidR="00C41EFC" w:rsidRPr="002A1E3C" w:rsidRDefault="00C41EFC" w:rsidP="0029201E">
      <w:pPr>
        <w:pStyle w:val="Heading3"/>
        <w:spacing w:line="480" w:lineRule="auto"/>
        <w:rPr>
          <w:rFonts w:asciiTheme="minorHAnsi" w:hAnsiTheme="minorHAnsi"/>
        </w:rPr>
      </w:pPr>
      <w:r w:rsidRPr="002A1E3C">
        <w:rPr>
          <w:rFonts w:asciiTheme="minorHAnsi" w:hAnsiTheme="minorHAnsi"/>
        </w:rPr>
        <w:t xml:space="preserve">Inclusion and participation of older people and their representative </w:t>
      </w:r>
      <w:r w:rsidR="00CE21AC">
        <w:rPr>
          <w:rFonts w:asciiTheme="minorHAnsi" w:hAnsiTheme="minorHAnsi"/>
        </w:rPr>
        <w:t>organizations</w:t>
      </w:r>
      <w:r w:rsidRPr="002A1E3C">
        <w:rPr>
          <w:rFonts w:asciiTheme="minorHAnsi" w:hAnsiTheme="minorHAnsi"/>
        </w:rPr>
        <w:t xml:space="preserve"> in the policy-making process </w:t>
      </w:r>
    </w:p>
    <w:p w:rsidR="00C41EFC" w:rsidRPr="002A1E3C" w:rsidRDefault="00C41EFC" w:rsidP="0029201E">
      <w:pPr>
        <w:spacing w:line="480" w:lineRule="auto"/>
      </w:pPr>
      <w:r w:rsidRPr="002A1E3C">
        <w:t xml:space="preserve">Both civil/public servants and former Junior Ministers conveyed how the </w:t>
      </w:r>
      <w:proofErr w:type="spellStart"/>
      <w:r w:rsidRPr="002A1E3C">
        <w:t>institutionalisation</w:t>
      </w:r>
      <w:proofErr w:type="spellEnd"/>
      <w:r w:rsidRPr="002A1E3C">
        <w:t xml:space="preserve"> of consultation in the social partnership process and the publication of numerous policy documents calling for more extensive citizen consultation legitimated and extended the inclusion of citizen/community sector </w:t>
      </w:r>
      <w:r w:rsidR="00CE21AC">
        <w:t>organizations</w:t>
      </w:r>
      <w:r w:rsidRPr="002A1E3C">
        <w:t xml:space="preserve"> in the policy-making process. The social partnership </w:t>
      </w:r>
      <w:proofErr w:type="spellStart"/>
      <w:r w:rsidRPr="002A1E3C">
        <w:t>programme</w:t>
      </w:r>
      <w:proofErr w:type="spellEnd"/>
      <w:r w:rsidRPr="002A1E3C">
        <w:t xml:space="preserve"> represents an opportunity for a small number of older people’s interest </w:t>
      </w:r>
      <w:r w:rsidR="00CE21AC">
        <w:t>organizations</w:t>
      </w:r>
      <w:r w:rsidRPr="002A1E3C">
        <w:t xml:space="preserve"> to operate at a strategic policy-making level. The two </w:t>
      </w:r>
      <w:r w:rsidR="00CE21AC">
        <w:t>organizations</w:t>
      </w:r>
      <w:r w:rsidRPr="002A1E3C">
        <w:t xml:space="preserve"> within the social partnership process, Age Action Ireland and the Senior Citizens Parliament were unanimously perceived by both civil/public servants and former Junior Ministers as the ‘</w:t>
      </w:r>
      <w:r w:rsidRPr="002A1E3C">
        <w:rPr>
          <w:i/>
        </w:rPr>
        <w:t>heavy hitters</w:t>
      </w:r>
      <w:r w:rsidRPr="002A1E3C">
        <w:t xml:space="preserve">’, suggesting that the participants regarded them as engaging in more meaningful dialogue with policymakers. The most recent partnership agreement </w:t>
      </w:r>
      <w:r w:rsidR="00B70474" w:rsidRPr="002A1E3C">
        <w:fldChar w:fldCharType="begin"/>
      </w:r>
      <w:r w:rsidRPr="002A1E3C">
        <w:instrText xml:space="preserve"> ADDIN EN.CITE &lt;EndNote&gt;&lt;Cite&gt;&lt;Author&gt;Department of the Taoiseach&lt;/Author&gt;&lt;Year&gt;2006&lt;/Year&gt;&lt;RecNum&gt;30&lt;/RecNum&gt;&lt;record&gt;&lt;rec-number&gt;30&lt;/rec-number&gt;&lt;foreign-keys&gt;&lt;key app="EN" db-id="vx2vrtvfwdstv1efxtzxtz9zfex09we9v0ap"&gt;30&lt;/key&gt;&lt;/foreign-keys&gt;&lt;ref-type name="Report"&gt;27&lt;/ref-type&gt;&lt;contributors&gt;&lt;authors&gt;&lt;author&gt;Department of the Taoiseach, &lt;/author&gt;&lt;/authors&gt;&lt;/contributors&gt;&lt;titles&gt;&lt;title&gt;Towards (2016)&lt;/title&gt;&lt;/titles&gt;&lt;dates&gt;&lt;year&gt;2006&lt;/year&gt;&lt;/dates&gt;&lt;pub-location&gt;Dublin&lt;/pub-location&gt;&lt;urls&gt;&lt;/urls&gt;&lt;/record&gt;&lt;/Cite&gt;&lt;/EndNote&gt;</w:instrText>
      </w:r>
      <w:r w:rsidR="00B70474" w:rsidRPr="002A1E3C">
        <w:fldChar w:fldCharType="separate"/>
      </w:r>
      <w:r w:rsidRPr="002A1E3C">
        <w:t>(Department of the Taoiseach 2006)</w:t>
      </w:r>
      <w:r w:rsidR="00B70474" w:rsidRPr="002A1E3C">
        <w:fldChar w:fldCharType="end"/>
      </w:r>
      <w:r w:rsidRPr="002A1E3C">
        <w:t xml:space="preserve"> and its adoption of a lifecycle model, which positions older people as a priority group, provided civil servants with the mandate to consult and work with these two older people’s interests </w:t>
      </w:r>
      <w:r w:rsidR="00CE21AC">
        <w:t>organizations</w:t>
      </w:r>
      <w:r w:rsidRPr="002A1E3C">
        <w:t xml:space="preserve">: </w:t>
      </w:r>
    </w:p>
    <w:p w:rsidR="00CE21AC" w:rsidRPr="002A1E3C" w:rsidRDefault="00C41EFC" w:rsidP="00CE21AC">
      <w:pPr>
        <w:spacing w:line="480" w:lineRule="auto"/>
        <w:ind w:left="720"/>
      </w:pPr>
      <w:r w:rsidRPr="002A1E3C">
        <w:lastRenderedPageBreak/>
        <w:t xml:space="preserve">If it’s not in the social partnership agreement or it’s not in the </w:t>
      </w:r>
      <w:proofErr w:type="spellStart"/>
      <w:r w:rsidRPr="002A1E3C">
        <w:t>programme</w:t>
      </w:r>
      <w:proofErr w:type="spellEnd"/>
      <w:r w:rsidRPr="002A1E3C">
        <w:t xml:space="preserve"> for government, it won’t reach the policy </w:t>
      </w:r>
      <w:proofErr w:type="gramStart"/>
      <w:r w:rsidRPr="002A1E3C">
        <w:t>agenda ....</w:t>
      </w:r>
      <w:proofErr w:type="gramEnd"/>
      <w:r w:rsidRPr="002A1E3C">
        <w:t xml:space="preserve"> I think [membership on social partnership] is very good because it gets them into the table which they never had before ... because if you are thinking of representation on a board or something like that, these are the people you have come across, these are the people you worked with at the negotiation table, these are the people you know, and it’s back to maybe we are a small country and that individual level. </w:t>
      </w:r>
      <w:r w:rsidR="00CE21AC" w:rsidRPr="002A1E3C">
        <w:t>(Civil servant 10)</w:t>
      </w:r>
    </w:p>
    <w:p w:rsidR="00B70474" w:rsidRDefault="00C41EFC">
      <w:pPr>
        <w:spacing w:line="480" w:lineRule="auto"/>
      </w:pPr>
      <w:r w:rsidRPr="002A1E3C">
        <w:t xml:space="preserve">Junior Minister also placed a significant emphasis on consultation with local older people’s </w:t>
      </w:r>
      <w:r w:rsidR="00CE21AC">
        <w:t>organizations</w:t>
      </w:r>
      <w:r w:rsidRPr="002A1E3C">
        <w:t xml:space="preserve"> </w:t>
      </w:r>
      <w:proofErr w:type="gramStart"/>
      <w:r w:rsidRPr="002A1E3C">
        <w:t>who</w:t>
      </w:r>
      <w:proofErr w:type="gramEnd"/>
      <w:r w:rsidRPr="002A1E3C">
        <w:t xml:space="preserve"> delivered services in their constituency and as such, were eager to engage with a broad population of older people including, but also extending beyond the national older people’s interest </w:t>
      </w:r>
      <w:r w:rsidR="00CE21AC">
        <w:t>organizations</w:t>
      </w:r>
      <w:r w:rsidRPr="002A1E3C">
        <w:t>.</w:t>
      </w:r>
    </w:p>
    <w:p w:rsidR="00D138B8" w:rsidRDefault="00C41EFC">
      <w:pPr>
        <w:spacing w:line="480" w:lineRule="auto"/>
        <w:ind w:firstLine="720"/>
        <w:rPr>
          <w:lang w:val="en-IE"/>
        </w:rPr>
      </w:pPr>
      <w:r w:rsidRPr="002A1E3C">
        <w:rPr>
          <w:lang w:val="en-IE"/>
        </w:rPr>
        <w:t xml:space="preserve">Most respondents made positive statements about the value of consultation with older people’s interest </w:t>
      </w:r>
      <w:r w:rsidR="00CE21AC">
        <w:rPr>
          <w:lang w:val="en-IE"/>
        </w:rPr>
        <w:t>organizations</w:t>
      </w:r>
      <w:r w:rsidRPr="002A1E3C">
        <w:rPr>
          <w:lang w:val="en-IE"/>
        </w:rPr>
        <w:t xml:space="preserve">. </w:t>
      </w:r>
      <w:r w:rsidRPr="002A1E3C">
        <w:t>Similar to arguments made in the international literature (</w:t>
      </w:r>
      <w:proofErr w:type="spellStart"/>
      <w:r w:rsidRPr="002A1E3C">
        <w:t>Binstock</w:t>
      </w:r>
      <w:proofErr w:type="spellEnd"/>
      <w:r w:rsidRPr="002A1E3C">
        <w:t xml:space="preserve"> and Day 1996</w:t>
      </w:r>
      <w:r w:rsidR="00072A36">
        <w:t>;</w:t>
      </w:r>
      <w:r w:rsidRPr="002A1E3C">
        <w:t xml:space="preserve"> Walker and </w:t>
      </w:r>
      <w:proofErr w:type="spellStart"/>
      <w:r w:rsidRPr="002A1E3C">
        <w:t>Naegele</w:t>
      </w:r>
      <w:proofErr w:type="spellEnd"/>
      <w:r w:rsidRPr="002A1E3C">
        <w:t xml:space="preserve"> 1999), the majority of civil/public servants and former Junior Ministers stated that older people’s interest </w:t>
      </w:r>
      <w:r w:rsidR="00CE21AC">
        <w:t>organizations</w:t>
      </w:r>
      <w:r w:rsidRPr="002A1E3C">
        <w:t xml:space="preserve"> can be used as a convenient mechanism to begin consultation with the population of older people. </w:t>
      </w:r>
      <w:r w:rsidR="00CE21AC">
        <w:t>Organizations</w:t>
      </w:r>
      <w:r w:rsidRPr="002A1E3C">
        <w:t xml:space="preserve"> can act as a sounding board for politicians and civil servants before policy proposals are announced to the general public. They can provide some indication of the possible concerns which may arise in the general public beyond that which was obtainable internally in the various departments. As one </w:t>
      </w:r>
      <w:r w:rsidR="00D43F76">
        <w:t>Former Junior Minister</w:t>
      </w:r>
      <w:r w:rsidRPr="002A1E3C">
        <w:t xml:space="preserve"> phrased it, </w:t>
      </w:r>
      <w:r w:rsidR="00072A36">
        <w:rPr>
          <w:lang w:val="en-IE"/>
        </w:rPr>
        <w:t>’</w:t>
      </w:r>
      <w:r w:rsidR="008C260D" w:rsidRPr="008C260D">
        <w:rPr>
          <w:lang w:val="en-IE"/>
        </w:rPr>
        <w:t xml:space="preserve">I’ve been around elderly for a long time on a personal level, so you see the sort of problems that arise , but that’s not a basis for policy making, you need to be in contact with the </w:t>
      </w:r>
      <w:r w:rsidR="00CE21AC">
        <w:rPr>
          <w:lang w:val="en-IE"/>
        </w:rPr>
        <w:t>organizations</w:t>
      </w:r>
      <w:r w:rsidR="008C260D" w:rsidRPr="008C260D">
        <w:rPr>
          <w:lang w:val="en-IE"/>
        </w:rPr>
        <w:t xml:space="preserve"> who can articulate their needs’</w:t>
      </w:r>
      <w:r w:rsidR="00CE21AC">
        <w:rPr>
          <w:lang w:val="en-IE"/>
        </w:rPr>
        <w:t xml:space="preserve"> </w:t>
      </w:r>
      <w:r w:rsidR="00D43F76">
        <w:rPr>
          <w:lang w:val="en-IE"/>
        </w:rPr>
        <w:t xml:space="preserve">. </w:t>
      </w:r>
      <w:r w:rsidRPr="002A1E3C">
        <w:t xml:space="preserve">A number argued that the provision by </w:t>
      </w:r>
      <w:r w:rsidR="00CE21AC">
        <w:t>organizations</w:t>
      </w:r>
      <w:r w:rsidRPr="002A1E3C">
        <w:t xml:space="preserve"> of policy suggestions outlining older people’s priorities was a more constructive method for garnering information relating to older people than attempting to extrapolate it from information received from individual older people. For some, therefore, consultation with older people’s interest </w:t>
      </w:r>
      <w:r w:rsidR="00CE21AC">
        <w:t>organizations</w:t>
      </w:r>
      <w:r w:rsidRPr="002A1E3C">
        <w:t xml:space="preserve"> can provide a time- and cost-effective way of consulting with older people. These </w:t>
      </w:r>
      <w:r w:rsidRPr="002A1E3C">
        <w:rPr>
          <w:lang w:val="en-IE"/>
        </w:rPr>
        <w:t xml:space="preserve">policymakers were very receptive to meeting with the representatives of older people’s interest </w:t>
      </w:r>
      <w:r w:rsidR="00CE21AC">
        <w:rPr>
          <w:lang w:val="en-IE"/>
        </w:rPr>
        <w:t>organizations</w:t>
      </w:r>
      <w:r w:rsidRPr="002A1E3C">
        <w:rPr>
          <w:lang w:val="en-IE"/>
        </w:rPr>
        <w:t xml:space="preserve">, as one civil servant stated, </w:t>
      </w:r>
      <w:r w:rsidR="008C260D" w:rsidRPr="008C260D">
        <w:rPr>
          <w:lang w:val="en-IE"/>
        </w:rPr>
        <w:t>‘[we always told them] our door is open any time you want to talk to us, we are available</w:t>
      </w:r>
      <w:r w:rsidRPr="00072A36">
        <w:rPr>
          <w:lang w:val="en-IE"/>
        </w:rPr>
        <w:t>’</w:t>
      </w:r>
      <w:r w:rsidR="00CE21AC">
        <w:rPr>
          <w:lang w:val="en-IE"/>
        </w:rPr>
        <w:t xml:space="preserve"> </w:t>
      </w:r>
      <w:r w:rsidR="00CE21AC" w:rsidRPr="00B83498">
        <w:rPr>
          <w:lang w:val="en-IE"/>
        </w:rPr>
        <w:t xml:space="preserve">(Civil servant </w:t>
      </w:r>
      <w:r w:rsidR="00B83498" w:rsidRPr="00B83498">
        <w:rPr>
          <w:lang w:val="en-IE"/>
        </w:rPr>
        <w:t>8</w:t>
      </w:r>
      <w:r w:rsidR="00CE21AC" w:rsidRPr="00B83498">
        <w:rPr>
          <w:lang w:val="en-IE"/>
        </w:rPr>
        <w:t>)</w:t>
      </w:r>
      <w:r w:rsidRPr="00B83498">
        <w:rPr>
          <w:lang w:val="en-IE"/>
        </w:rPr>
        <w:t>.</w:t>
      </w:r>
      <w:r w:rsidRPr="002A1E3C">
        <w:t xml:space="preserve"> This culture places older people’s interest </w:t>
      </w:r>
      <w:r w:rsidR="00CE21AC">
        <w:t>organizations</w:t>
      </w:r>
      <w:r w:rsidRPr="002A1E3C">
        <w:t xml:space="preserve"> in an advantageous position. Civil servants and </w:t>
      </w:r>
      <w:r w:rsidRPr="002A1E3C">
        <w:lastRenderedPageBreak/>
        <w:t xml:space="preserve">ministers are obliged to engage with outside interest </w:t>
      </w:r>
      <w:r w:rsidR="00CE21AC">
        <w:t>organizations</w:t>
      </w:r>
      <w:r w:rsidRPr="002A1E3C">
        <w:t xml:space="preserve">. While this does not necessarily translate into influence, it does give greater legitimacy to the </w:t>
      </w:r>
      <w:r w:rsidR="00CE21AC">
        <w:t>organizations</w:t>
      </w:r>
      <w:r w:rsidRPr="002A1E3C">
        <w:t xml:space="preserve">. </w:t>
      </w:r>
    </w:p>
    <w:p w:rsidR="00C41EFC" w:rsidRPr="002A1E3C" w:rsidRDefault="00072A36" w:rsidP="0029201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tab/>
      </w:r>
      <w:r w:rsidR="00C41EFC" w:rsidRPr="002A1E3C">
        <w:t xml:space="preserve">Notwithstanding this seeming positivity, both civil servants and former Junior Ministers made contradictory statements in relation to the relevance of older people’s interest </w:t>
      </w:r>
      <w:r w:rsidR="00CE21AC">
        <w:t>organizations</w:t>
      </w:r>
      <w:r w:rsidR="00C41EFC" w:rsidRPr="002A1E3C">
        <w:t xml:space="preserve"> to their work. While, on the one hand, they very strongly endorsed the requirement to consult with older people’s interest </w:t>
      </w:r>
      <w:r w:rsidR="00CE21AC">
        <w:t>organizations</w:t>
      </w:r>
      <w:r w:rsidR="00C41EFC" w:rsidRPr="002A1E3C">
        <w:t xml:space="preserve">, on the other hand, they were relatively vague as to how the outcome of these consultations is incorporated into policy decisions. </w:t>
      </w:r>
    </w:p>
    <w:p w:rsidR="00C41EFC" w:rsidRPr="002A1E3C" w:rsidRDefault="00072A36" w:rsidP="0029201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tab/>
      </w:r>
      <w:r w:rsidR="00C41EFC" w:rsidRPr="002A1E3C">
        <w:t xml:space="preserve">For those policymakers involved in the formulation of pension, health and long-term care policy the opinions of older people’s interest </w:t>
      </w:r>
      <w:r w:rsidR="00CE21AC">
        <w:t>organizations</w:t>
      </w:r>
      <w:r w:rsidR="00C41EFC" w:rsidRPr="002A1E3C">
        <w:t xml:space="preserve"> were seen to be of little relevance when it came to government decisions on the allocation of financial resources. As one civil servant stated, </w:t>
      </w:r>
      <w:r w:rsidR="00C41EFC" w:rsidRPr="00072A36">
        <w:t>‘</w:t>
      </w:r>
      <w:r w:rsidR="008C260D" w:rsidRPr="008C260D">
        <w:t>as far as the hard edge of policy, the financial resource allocation is concerned, the financing of long-term care, they certainly are passive</w:t>
      </w:r>
      <w:r w:rsidR="00C41EFC" w:rsidRPr="00072A36">
        <w:t>’</w:t>
      </w:r>
      <w:r w:rsidR="00D138B8">
        <w:t xml:space="preserve"> </w:t>
      </w:r>
      <w:r w:rsidR="00D138B8" w:rsidRPr="00D43F76">
        <w:t xml:space="preserve">(Civil servant </w:t>
      </w:r>
      <w:r w:rsidR="00D43F76" w:rsidRPr="00D43F76">
        <w:t>17</w:t>
      </w:r>
      <w:r w:rsidR="00D138B8" w:rsidRPr="00D43F76">
        <w:t>)</w:t>
      </w:r>
      <w:r w:rsidR="00C41EFC" w:rsidRPr="00D43F76">
        <w:t>.</w:t>
      </w:r>
      <w:r w:rsidR="00C41EFC" w:rsidRPr="002A1E3C">
        <w:t xml:space="preserve"> </w:t>
      </w:r>
      <w:r w:rsidR="00C41EFC" w:rsidRPr="002A1E3C">
        <w:rPr>
          <w:rFonts w:eastAsia="Calibri"/>
        </w:rPr>
        <w:t xml:space="preserve">Policymakers and former Junior Ministers alike associated the influence of older people’s </w:t>
      </w:r>
      <w:r w:rsidR="00CE21AC">
        <w:rPr>
          <w:rFonts w:eastAsia="Calibri"/>
        </w:rPr>
        <w:t>organizations</w:t>
      </w:r>
      <w:r w:rsidR="00C41EFC" w:rsidRPr="002A1E3C">
        <w:rPr>
          <w:rFonts w:eastAsia="Calibri"/>
        </w:rPr>
        <w:t xml:space="preserve"> with ‘soft’ areas of policy reformulation, for example, older people’s participation in social activities and user-perspectives in transport and care settings. Junior Ministers in particular placed significant emphasis on the services older people’s interest </w:t>
      </w:r>
      <w:r w:rsidR="00CE21AC">
        <w:rPr>
          <w:rFonts w:eastAsia="Calibri"/>
        </w:rPr>
        <w:t>organizations</w:t>
      </w:r>
      <w:r w:rsidR="00C41EFC" w:rsidRPr="002A1E3C">
        <w:rPr>
          <w:rFonts w:eastAsia="Calibri"/>
        </w:rPr>
        <w:t xml:space="preserve"> delivered in the community and placed greater importance on </w:t>
      </w:r>
      <w:r w:rsidR="00CE21AC">
        <w:rPr>
          <w:rFonts w:eastAsia="Calibri"/>
        </w:rPr>
        <w:t>organizations</w:t>
      </w:r>
      <w:r w:rsidR="00C41EFC" w:rsidRPr="002A1E3C">
        <w:rPr>
          <w:rFonts w:eastAsia="Calibri"/>
        </w:rPr>
        <w:t xml:space="preserve">’ capacity to deliver services than influence policy.  </w:t>
      </w:r>
      <w:r w:rsidR="00C41EFC" w:rsidRPr="002A1E3C">
        <w:t xml:space="preserve">Indeed, it appeared that the </w:t>
      </w:r>
      <w:r w:rsidR="00CE21AC">
        <w:t>organizations</w:t>
      </w:r>
      <w:r w:rsidR="00C41EFC" w:rsidRPr="002A1E3C">
        <w:t xml:space="preserve"> were perceived by many respondents as having little understanding of the economic implications of the policy changes they advanced. Older people’s interest </w:t>
      </w:r>
      <w:r w:rsidR="00CE21AC">
        <w:t>organizations</w:t>
      </w:r>
      <w:r w:rsidR="00C41EFC" w:rsidRPr="002A1E3C">
        <w:t xml:space="preserve"> were by and large not seen to appreciate the importance of </w:t>
      </w:r>
      <w:proofErr w:type="spellStart"/>
      <w:r w:rsidR="00C41EFC" w:rsidRPr="002A1E3C">
        <w:t>reprioritising</w:t>
      </w:r>
      <w:proofErr w:type="spellEnd"/>
      <w:r w:rsidR="00C41EFC" w:rsidRPr="002A1E3C">
        <w:t xml:space="preserve"> resource allocation and redeploying government finances. They were viewed as generally seeking an expansion of benefits, something which research participants regarded as unrealistic:</w:t>
      </w:r>
    </w:p>
    <w:p w:rsidR="00C41EFC" w:rsidRPr="002A1E3C" w:rsidRDefault="00C41EFC" w:rsidP="00D138B8">
      <w:pPr>
        <w:spacing w:line="480" w:lineRule="auto"/>
        <w:ind w:left="720"/>
      </w:pPr>
      <w:r w:rsidRPr="002A1E3C">
        <w:t xml:space="preserve">I suppose there is an air of unreality about them, they look for the Rolls Royce solution all the time and maybe that’s from their perspective what they need, or that’s what they perceive they want, but I have to deal with the reality of what’s pragmatic and what’s possible and what’s real. </w:t>
      </w:r>
      <w:r w:rsidR="00D138B8" w:rsidRPr="002A1E3C">
        <w:t>(Civil servant 9</w:t>
      </w:r>
      <w:r w:rsidR="00D138B8">
        <w:t>)</w:t>
      </w:r>
      <w:r w:rsidRPr="002A1E3C">
        <w:tab/>
      </w:r>
      <w:r w:rsidRPr="002A1E3C">
        <w:tab/>
      </w:r>
      <w:r w:rsidRPr="002A1E3C">
        <w:tab/>
      </w:r>
      <w:r w:rsidRPr="002A1E3C">
        <w:tab/>
      </w:r>
      <w:r w:rsidRPr="002A1E3C">
        <w:tab/>
      </w:r>
      <w:r w:rsidRPr="002A1E3C">
        <w:tab/>
      </w:r>
      <w:r w:rsidRPr="002A1E3C">
        <w:tab/>
      </w:r>
      <w:r w:rsidRPr="002A1E3C">
        <w:tab/>
      </w:r>
      <w:r w:rsidRPr="002A1E3C">
        <w:tab/>
      </w:r>
    </w:p>
    <w:p w:rsidR="00C41EFC" w:rsidRPr="002A1E3C" w:rsidRDefault="00C41EFC" w:rsidP="002920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pPr>
      <w:r w:rsidRPr="002A1E3C">
        <w:lastRenderedPageBreak/>
        <w:t>As such, the economic implications of policy change are paramount to any decision made in government departments and it appears that consideration is only given to those proposals which align with the prevalent economic strategy. The emphasis on fiscal prudence seems to overshadow any other priorities:</w:t>
      </w:r>
    </w:p>
    <w:p w:rsidR="00D138B8" w:rsidRPr="002A1E3C" w:rsidRDefault="00C41EFC" w:rsidP="00D138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pPr>
      <w:r w:rsidRPr="002A1E3C">
        <w:t>Very often, it is not as if people are purposefully sitting down to exclude these [older] people but they can so easily be forgotten because of economy and money and what’s the benefit of this and it’s all measured, well I won’t say it’s all measured, but we had a tendency in recent years to measure everything in euro ... it is so easy to forget [older] people.</w:t>
      </w:r>
      <w:r w:rsidR="00D138B8" w:rsidRPr="00D138B8">
        <w:t xml:space="preserve"> </w:t>
      </w:r>
      <w:r w:rsidR="00D138B8" w:rsidRPr="002A1E3C">
        <w:t>(Former Junior Minister 3)</w:t>
      </w:r>
    </w:p>
    <w:p w:rsidR="00C41EFC" w:rsidRPr="002A1E3C" w:rsidRDefault="00C41EFC" w:rsidP="002920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pPr>
    </w:p>
    <w:p w:rsidR="00C41EFC" w:rsidRPr="002A1E3C" w:rsidRDefault="00C41EFC" w:rsidP="002920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pPr>
      <w:r w:rsidRPr="002A1E3C">
        <w:tab/>
      </w:r>
      <w:r w:rsidRPr="002A1E3C">
        <w:tab/>
      </w:r>
      <w:r w:rsidRPr="002A1E3C">
        <w:tab/>
      </w:r>
      <w:r w:rsidRPr="002A1E3C">
        <w:tab/>
      </w:r>
      <w:r w:rsidRPr="002A1E3C">
        <w:tab/>
      </w:r>
      <w:r w:rsidRPr="002A1E3C">
        <w:tab/>
        <w:t xml:space="preserve">              </w:t>
      </w:r>
    </w:p>
    <w:p w:rsidR="00C41EFC" w:rsidRPr="002A1E3C" w:rsidRDefault="00C41EFC" w:rsidP="0029201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r w:rsidRPr="002A1E3C">
        <w:t xml:space="preserve">While Former Junior Ministers, referred more frequently to </w:t>
      </w:r>
      <w:r w:rsidR="00CE21AC">
        <w:t>organizations</w:t>
      </w:r>
      <w:r w:rsidRPr="002A1E3C">
        <w:t xml:space="preserve"> </w:t>
      </w:r>
      <w:proofErr w:type="spellStart"/>
      <w:r w:rsidRPr="002A1E3C">
        <w:t>proactiv</w:t>
      </w:r>
      <w:r w:rsidR="00E72888">
        <w:t>i</w:t>
      </w:r>
      <w:r w:rsidRPr="002A1E3C">
        <w:t>ty</w:t>
      </w:r>
      <w:proofErr w:type="spellEnd"/>
      <w:r w:rsidRPr="002A1E3C">
        <w:t>, in all but one instance</w:t>
      </w:r>
      <w:r w:rsidR="0051258F">
        <w:rPr>
          <w:rStyle w:val="EndnoteReference"/>
        </w:rPr>
        <w:endnoteReference w:id="8"/>
      </w:r>
      <w:r w:rsidRPr="002A1E3C">
        <w:t xml:space="preserve"> statements referring to this proactivity related to service initiatives the </w:t>
      </w:r>
      <w:r w:rsidR="00CE21AC">
        <w:t>organizations</w:t>
      </w:r>
      <w:r w:rsidRPr="002A1E3C">
        <w:t xml:space="preserve"> developed in the community.  Civil servants and former Junior Ministers, however, were unable to provide examples of older people’s interest </w:t>
      </w:r>
      <w:r w:rsidR="00CE21AC">
        <w:t>organizations</w:t>
      </w:r>
      <w:r w:rsidRPr="002A1E3C">
        <w:t xml:space="preserve"> </w:t>
      </w:r>
      <w:proofErr w:type="spellStart"/>
      <w:r w:rsidRPr="002A1E3C">
        <w:t>proactivity</w:t>
      </w:r>
      <w:proofErr w:type="spellEnd"/>
      <w:r w:rsidRPr="002A1E3C">
        <w:t xml:space="preserve"> in the area of policy development, suggesting instead that </w:t>
      </w:r>
      <w:r w:rsidR="00CE21AC">
        <w:t>organizations</w:t>
      </w:r>
      <w:r w:rsidRPr="002A1E3C">
        <w:t xml:space="preserve"> only instigated contact when policy amendments or new proposals to social welfare services or pensions were made by government. </w:t>
      </w:r>
      <w:proofErr w:type="gramStart"/>
      <w:r w:rsidRPr="002A1E3C">
        <w:t xml:space="preserve">In the words of one civil servant, </w:t>
      </w:r>
      <w:r w:rsidRPr="00072A36">
        <w:t>‘</w:t>
      </w:r>
      <w:r w:rsidR="008C260D" w:rsidRPr="008C260D">
        <w:t>we would have had very little criticism of any of the work we are doing until we stopped doing it</w:t>
      </w:r>
      <w:r w:rsidRPr="00072A36">
        <w:t>’</w:t>
      </w:r>
      <w:r w:rsidR="00D138B8">
        <w:t xml:space="preserve"> </w:t>
      </w:r>
      <w:r w:rsidR="00D138B8" w:rsidRPr="00B83498">
        <w:t xml:space="preserve">(Civil servant </w:t>
      </w:r>
      <w:r w:rsidR="00B83498" w:rsidRPr="00B83498">
        <w:t>3</w:t>
      </w:r>
      <w:r w:rsidR="00D138B8" w:rsidRPr="00B83498">
        <w:t>)</w:t>
      </w:r>
      <w:r w:rsidRPr="002A1E3C">
        <w:t>.</w:t>
      </w:r>
      <w:proofErr w:type="gramEnd"/>
      <w:r w:rsidRPr="002A1E3C">
        <w:t xml:space="preserve"> The notion of holding on to existing entitlements was therefore </w:t>
      </w:r>
      <w:proofErr w:type="spellStart"/>
      <w:r w:rsidRPr="002A1E3C">
        <w:t>emphasised</w:t>
      </w:r>
      <w:proofErr w:type="spellEnd"/>
      <w:r w:rsidRPr="002A1E3C">
        <w:t xml:space="preserve"> in many of the interviews. Those who mentioned this issue, and the associated perception that </w:t>
      </w:r>
      <w:r w:rsidR="00CE21AC">
        <w:t>organizations</w:t>
      </w:r>
      <w:r w:rsidRPr="002A1E3C">
        <w:t xml:space="preserve"> were reactive in nature, acknowledged the fact that </w:t>
      </w:r>
      <w:r w:rsidR="00CE21AC">
        <w:t>organizations</w:t>
      </w:r>
      <w:r w:rsidRPr="002A1E3C">
        <w:t xml:space="preserve"> had to adhere to the agendas and demands of their members. They reasoned that </w:t>
      </w:r>
      <w:r w:rsidR="00CE21AC">
        <w:t>organizations</w:t>
      </w:r>
      <w:r w:rsidRPr="002A1E3C">
        <w:t xml:space="preserve"> have to be seen to be reactive and responsive to proposed changes in order to justify their existence and maintain the support of their members. Research respondents thus acknowledged that it may be difficult for </w:t>
      </w:r>
      <w:r w:rsidR="00CE21AC">
        <w:t>organizations</w:t>
      </w:r>
      <w:r w:rsidRPr="002A1E3C">
        <w:t xml:space="preserve"> to adapt to a new type of consultation, which was focused on retrenchment rather than expansion of services. Notwithstanding the seeming tensions that may arise in the context of policy reformulation former Junior Ministers and civil servants referred to the value of including </w:t>
      </w:r>
      <w:r w:rsidR="00CE21AC">
        <w:t>organizations</w:t>
      </w:r>
      <w:r w:rsidRPr="002A1E3C">
        <w:t xml:space="preserve"> in the policy formulation process so that the </w:t>
      </w:r>
      <w:r w:rsidR="00CE21AC">
        <w:t>organizations</w:t>
      </w:r>
      <w:r w:rsidRPr="002A1E3C">
        <w:t xml:space="preserve"> and their members could acquire an improved understanding of the policy decisions made by government:</w:t>
      </w:r>
    </w:p>
    <w:p w:rsidR="00C41EFC" w:rsidRDefault="00C41EFC" w:rsidP="0029201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pPr>
      <w:r w:rsidRPr="002A1E3C">
        <w:lastRenderedPageBreak/>
        <w:t xml:space="preserve">Now at the end of the day the Minister has to make decisions, they are not always going to be in line with the </w:t>
      </w:r>
      <w:r w:rsidR="00CE21AC">
        <w:t>organizations</w:t>
      </w:r>
      <w:r w:rsidRPr="002A1E3C">
        <w:t xml:space="preserve">, and I feel the closer you have these groups with you, it’s not that you can tell them everything, they </w:t>
      </w:r>
      <w:proofErr w:type="spellStart"/>
      <w:r w:rsidRPr="002A1E3C">
        <w:t>realise</w:t>
      </w:r>
      <w:proofErr w:type="spellEnd"/>
      <w:r w:rsidRPr="002A1E3C">
        <w:t xml:space="preserve"> you have to keep them at a certain distance, but at the same time you can communicate and explain to them the reasons why you are doing what you are doing, I think, if you keep them informed they are much more likely to accept the decision you make.</w:t>
      </w:r>
      <w:r w:rsidR="00D138B8" w:rsidRPr="00D138B8">
        <w:t xml:space="preserve"> </w:t>
      </w:r>
      <w:r w:rsidR="00D138B8" w:rsidRPr="002A1E3C">
        <w:t>(Former Junior Minister 1)</w:t>
      </w:r>
      <w:r w:rsidR="00D138B8" w:rsidRPr="002A1E3C">
        <w:tab/>
      </w:r>
    </w:p>
    <w:p w:rsidR="00D316C4" w:rsidRPr="002A1E3C" w:rsidRDefault="00D316C4" w:rsidP="0029201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pPr>
    </w:p>
    <w:p w:rsidR="00B70474" w:rsidRDefault="00C41EFC">
      <w:pPr>
        <w:spacing w:line="480" w:lineRule="auto"/>
        <w:rPr>
          <w:rFonts w:cs="Arial"/>
        </w:rPr>
      </w:pPr>
      <w:r w:rsidRPr="002A1E3C">
        <w:rPr>
          <w:rFonts w:cs="Arial"/>
        </w:rPr>
        <w:t xml:space="preserve">As the above quotation suggests </w:t>
      </w:r>
      <w:r w:rsidR="00CE21AC">
        <w:t>organizations</w:t>
      </w:r>
      <w:r w:rsidRPr="002A1E3C">
        <w:t xml:space="preserve"> were only informed of policy initiatives once all the major issues had been agreed by government</w:t>
      </w:r>
      <w:r w:rsidRPr="002A1E3C">
        <w:rPr>
          <w:rFonts w:cs="Arial"/>
        </w:rPr>
        <w:t xml:space="preserve">. Policy-makers, unable to satisfy the demands of older people’s interest </w:t>
      </w:r>
      <w:r w:rsidR="00CE21AC">
        <w:rPr>
          <w:rFonts w:cs="Arial"/>
        </w:rPr>
        <w:t>organizations</w:t>
      </w:r>
      <w:r w:rsidRPr="002A1E3C">
        <w:rPr>
          <w:rFonts w:cs="Arial"/>
        </w:rPr>
        <w:t xml:space="preserve">, instead discountenanced their demands. Indeed, </w:t>
      </w:r>
      <w:r w:rsidRPr="002A1E3C">
        <w:t>both civil/public servants and former Junior Ministers conveyed no sense that policy decisions had been influenced by the</w:t>
      </w:r>
      <w:r w:rsidRPr="002A1E3C">
        <w:rPr>
          <w:lang w:val="en-GB"/>
        </w:rPr>
        <w:t xml:space="preserve"> </w:t>
      </w:r>
      <w:r w:rsidR="00CE21AC">
        <w:rPr>
          <w:lang w:val="en-GB"/>
        </w:rPr>
        <w:t>organizations</w:t>
      </w:r>
      <w:r w:rsidRPr="002A1E3C">
        <w:t xml:space="preserve">, but rather portrayed the </w:t>
      </w:r>
      <w:r w:rsidR="00CE21AC">
        <w:t>organizations</w:t>
      </w:r>
      <w:r w:rsidRPr="002A1E3C">
        <w:t xml:space="preserve"> as passive observers, who are brought along to give the appearance of inclusiveness but in fact are just offered permission to observe. Rather than the solutions and agenda emerging from the policy process, it seems the process is engineered to ensure that ‘the right answers’ are acquired. Commenting on the lack of importance placed on consultation with the representatives of older people’s interest </w:t>
      </w:r>
      <w:r w:rsidR="00CE21AC">
        <w:t>organizations</w:t>
      </w:r>
      <w:r w:rsidRPr="002A1E3C">
        <w:t xml:space="preserve">, one public servant commented: </w:t>
      </w:r>
    </w:p>
    <w:p w:rsidR="00D138B8" w:rsidRPr="002A1E3C" w:rsidRDefault="00C41EFC" w:rsidP="00D138B8">
      <w:pPr>
        <w:spacing w:line="480" w:lineRule="auto"/>
        <w:ind w:left="720"/>
      </w:pPr>
      <w:r w:rsidRPr="002A1E3C">
        <w:t>I think there is a lot of rhetoric around it, I think people would say, yes, they are very important but in reality I don’t think they would be perceived as being that important really unless they were service delivers, if they deliver services, yes they would ... the groups that are seen more as lobbyists, they would nearly be seen as a thorn in the side.</w:t>
      </w:r>
      <w:r w:rsidR="00D138B8" w:rsidRPr="00D138B8">
        <w:t xml:space="preserve"> </w:t>
      </w:r>
      <w:r w:rsidR="00D138B8" w:rsidRPr="002A1E3C">
        <w:t>(Public servant 15)</w:t>
      </w:r>
    </w:p>
    <w:p w:rsidR="009E6606" w:rsidRDefault="009E6606" w:rsidP="0029201E">
      <w:pPr>
        <w:spacing w:line="480" w:lineRule="auto"/>
      </w:pPr>
    </w:p>
    <w:p w:rsidR="00C41EFC" w:rsidRPr="002A1E3C" w:rsidRDefault="00C41EFC" w:rsidP="0029201E">
      <w:pPr>
        <w:spacing w:line="480" w:lineRule="auto"/>
        <w:rPr>
          <w:lang w:val="en-IE"/>
        </w:rPr>
      </w:pPr>
      <w:r w:rsidRPr="002A1E3C">
        <w:rPr>
          <w:rFonts w:cs="Arial"/>
        </w:rPr>
        <w:t xml:space="preserve">Such action was defended on the basis of the perceived manifold weaknesses of the </w:t>
      </w:r>
      <w:r w:rsidR="00CE21AC">
        <w:rPr>
          <w:rFonts w:cs="Arial"/>
        </w:rPr>
        <w:t>organizations</w:t>
      </w:r>
      <w:r w:rsidRPr="002A1E3C">
        <w:rPr>
          <w:rFonts w:cs="Arial"/>
        </w:rPr>
        <w:t xml:space="preserve">.  </w:t>
      </w:r>
      <w:r w:rsidRPr="002A1E3C">
        <w:rPr>
          <w:lang w:val="en-IE"/>
        </w:rPr>
        <w:t xml:space="preserve">The perceived incongruence between organisational leaders and their members, members and the wider older population and </w:t>
      </w:r>
      <w:r w:rsidR="00CE21AC">
        <w:rPr>
          <w:lang w:val="en-IE"/>
        </w:rPr>
        <w:t>organizations</w:t>
      </w:r>
      <w:r w:rsidRPr="002A1E3C">
        <w:rPr>
          <w:lang w:val="en-IE"/>
        </w:rPr>
        <w:t xml:space="preserve"> and other civil society </w:t>
      </w:r>
      <w:r w:rsidR="00CE21AC">
        <w:rPr>
          <w:lang w:val="en-IE"/>
        </w:rPr>
        <w:t>organizations</w:t>
      </w:r>
      <w:r w:rsidRPr="002A1E3C">
        <w:rPr>
          <w:lang w:val="en-IE"/>
        </w:rPr>
        <w:t xml:space="preserve"> justified the discountenance of the policy suggestions of older people’s interest </w:t>
      </w:r>
      <w:r w:rsidR="00CE21AC">
        <w:rPr>
          <w:lang w:val="en-IE"/>
        </w:rPr>
        <w:t>organizations</w:t>
      </w:r>
      <w:r w:rsidRPr="002A1E3C">
        <w:rPr>
          <w:lang w:val="en-IE"/>
        </w:rPr>
        <w:t xml:space="preserve"> when they did not align with the priorities of both civil servants and former Junior Ministers. In summary, contrary to what we might have expected on the basis of </w:t>
      </w:r>
      <w:r w:rsidRPr="002A1E3C">
        <w:rPr>
          <w:lang w:val="en-IE"/>
        </w:rPr>
        <w:lastRenderedPageBreak/>
        <w:t xml:space="preserve">their differential views on reforming old-age policy, both civil servants and Junior Ministers’ accounts revealed a degree of cynicism about consultation with older people’s </w:t>
      </w:r>
      <w:r w:rsidR="00CE21AC">
        <w:rPr>
          <w:lang w:val="en-IE"/>
        </w:rPr>
        <w:t>organizations</w:t>
      </w:r>
      <w:r w:rsidRPr="002A1E3C">
        <w:rPr>
          <w:lang w:val="en-IE"/>
        </w:rPr>
        <w:t>.</w:t>
      </w:r>
    </w:p>
    <w:p w:rsidR="00C41EFC" w:rsidRPr="002A1E3C" w:rsidRDefault="00C41EFC" w:rsidP="0029201E">
      <w:pPr>
        <w:pStyle w:val="Heading2"/>
        <w:spacing w:line="480" w:lineRule="auto"/>
        <w:jc w:val="both"/>
        <w:rPr>
          <w:rFonts w:asciiTheme="minorHAnsi" w:hAnsiTheme="minorHAnsi"/>
          <w:sz w:val="20"/>
          <w:szCs w:val="20"/>
        </w:rPr>
      </w:pPr>
    </w:p>
    <w:p w:rsidR="00C41EFC" w:rsidRPr="002A1E3C" w:rsidRDefault="00C41EFC" w:rsidP="0029201E">
      <w:pPr>
        <w:pStyle w:val="Heading2"/>
        <w:spacing w:line="480" w:lineRule="auto"/>
        <w:rPr>
          <w:rFonts w:asciiTheme="minorHAnsi" w:hAnsiTheme="minorHAnsi"/>
        </w:rPr>
      </w:pPr>
      <w:r w:rsidRPr="002A1E3C">
        <w:rPr>
          <w:rFonts w:asciiTheme="minorHAnsi" w:hAnsiTheme="minorHAnsi"/>
        </w:rPr>
        <w:t>Conclusion</w:t>
      </w:r>
    </w:p>
    <w:p w:rsidR="00C41EFC" w:rsidRDefault="00C41EFC" w:rsidP="0029201E">
      <w:pPr>
        <w:spacing w:line="480" w:lineRule="auto"/>
      </w:pPr>
      <w:r w:rsidRPr="002A1E3C">
        <w:t xml:space="preserve">The economic crisis along with population ageing shape the politics of old age globally and in Ireland. The economic context sets the parameters within which policy decisions are made: social policy is framed by policymakers in the context of economic policy. Retrenchment is viewed as inevitable. Efficacy and cost containment are underscored by policymakers as key policy priorities. The findings of the current study reveal how policymakers’ emphasis on the development of social policy within an economic framework results in  insufficient attention being  given to the impact of policy change on the lives of older people. Civil/public servants purported that policy making in the Irish context is equality driven, yet inequality was not seen to affect older people, but rather the general (younger) population. Policy reformulation towards older people was subsumed within a broader policy framework and only deemed relevant to older people with limited financial means. Priority was not placed on a national policy </w:t>
      </w:r>
      <w:proofErr w:type="spellStart"/>
      <w:r w:rsidRPr="002A1E3C">
        <w:t>programme</w:t>
      </w:r>
      <w:proofErr w:type="spellEnd"/>
      <w:r w:rsidRPr="002A1E3C">
        <w:t xml:space="preserve"> which would positively impact a wider population of older people in the community. Civil servants, who by and large were more candid in their remarks towards the reformulation of policy than former Junior Ministers suggested that only older people who were severely economically disadvantaged were worthy of special dispensation and offered protection by the welfare state. Similar to the notion of ‘the deserving poor’ (Thane 200</w:t>
      </w:r>
      <w:r w:rsidR="00A46582">
        <w:t>0</w:t>
      </w:r>
      <w:r w:rsidRPr="002A1E3C">
        <w:t xml:space="preserve">) in the pre-war period, those with no other recourse could be offered minimum protections from the state. In this residual model, the issue of older people’s politics appeared redundant. </w:t>
      </w:r>
      <w:r w:rsidRPr="002A1E3C">
        <w:rPr>
          <w:rFonts w:eastAsia="Calibri"/>
        </w:rPr>
        <w:t xml:space="preserve"> Former Junior Ministers did not outline a unified policy strategy for older people, but employing </w:t>
      </w:r>
      <w:r w:rsidRPr="002A1E3C">
        <w:t>a discourse reminiscent of a moral economy of ageing appeared to be hesitant to support policy change that negatively impacted the older people in their local constituency. Reconciling the need to reformulate policy and not antagonize current older constituents, they placed emphasis on making incremental policy changes which would have minimal impact on beneficiaries in the short-term.</w:t>
      </w:r>
    </w:p>
    <w:p w:rsidR="009E6606" w:rsidRPr="002A1E3C" w:rsidRDefault="009E6606" w:rsidP="0029201E">
      <w:pPr>
        <w:spacing w:line="480" w:lineRule="auto"/>
      </w:pPr>
    </w:p>
    <w:p w:rsidR="00C41EFC" w:rsidRPr="002A1E3C" w:rsidRDefault="00C41EFC" w:rsidP="0029201E">
      <w:pPr>
        <w:spacing w:line="480" w:lineRule="auto"/>
        <w:rPr>
          <w:rFonts w:eastAsia="Calibri"/>
        </w:rPr>
      </w:pPr>
      <w:r w:rsidRPr="002A1E3C">
        <w:lastRenderedPageBreak/>
        <w:t xml:space="preserve">The findings of the chapter also revealed that policymakers held vacillating and ambivalent opinions of the politics of old age and older people’s interest </w:t>
      </w:r>
      <w:r w:rsidR="00CE21AC">
        <w:t>organizations</w:t>
      </w:r>
      <w:r w:rsidRPr="002A1E3C">
        <w:t xml:space="preserve">. It elucidates the marginal role that age-based interest </w:t>
      </w:r>
      <w:r w:rsidR="00CE21AC">
        <w:t>organizations</w:t>
      </w:r>
      <w:r w:rsidRPr="002A1E3C">
        <w:t xml:space="preserve"> play in the work of policymakers and how the perceived irrelevance of ‘old age’ targeting and emphasis on individual responsibility in the 21st century (</w:t>
      </w:r>
      <w:proofErr w:type="spellStart"/>
      <w:r w:rsidRPr="002A1E3C">
        <w:t>Baars</w:t>
      </w:r>
      <w:proofErr w:type="spellEnd"/>
      <w:r w:rsidRPr="002A1E3C">
        <w:t xml:space="preserve"> et al. 2006) has significant implications for the legitimacy claims of older people’s interest </w:t>
      </w:r>
      <w:r w:rsidR="00CE21AC">
        <w:t>organizations</w:t>
      </w:r>
      <w:r w:rsidRPr="002A1E3C">
        <w:t>. Respondents were ambivalent towards older people’s interest</w:t>
      </w:r>
      <w:r w:rsidRPr="002A1E3C">
        <w:rPr>
          <w:lang w:val="en-IE"/>
        </w:rPr>
        <w:t xml:space="preserve"> </w:t>
      </w:r>
      <w:r w:rsidR="00CE21AC">
        <w:rPr>
          <w:lang w:val="en-IE"/>
        </w:rPr>
        <w:t>organizations</w:t>
      </w:r>
      <w:r w:rsidRPr="002A1E3C">
        <w:t xml:space="preserve">, because they did not agree with the categorization of older people as a separate constituency deserving of special dispensation, or viewed the </w:t>
      </w:r>
      <w:r w:rsidR="00CE21AC">
        <w:t>organizations</w:t>
      </w:r>
      <w:r w:rsidRPr="002A1E3C">
        <w:t xml:space="preserve"> as unrepresentative of the general older population. Perhaps unsurprisingly, therefore, older people’s interest</w:t>
      </w:r>
      <w:r w:rsidRPr="002A1E3C">
        <w:rPr>
          <w:lang w:val="en-GB"/>
        </w:rPr>
        <w:t xml:space="preserve"> </w:t>
      </w:r>
      <w:r w:rsidR="00CE21AC">
        <w:rPr>
          <w:lang w:val="en-GB"/>
        </w:rPr>
        <w:t>organizations</w:t>
      </w:r>
      <w:r w:rsidRPr="002A1E3C">
        <w:t xml:space="preserve"> were at times antagonistic towards the work of policymakers. </w:t>
      </w:r>
      <w:r w:rsidRPr="002A1E3C">
        <w:rPr>
          <w:rFonts w:cs="Arial"/>
        </w:rPr>
        <w:t xml:space="preserve">Within this context, consultation with older people’s interest </w:t>
      </w:r>
      <w:r w:rsidR="00CE21AC">
        <w:rPr>
          <w:rFonts w:cs="Arial"/>
        </w:rPr>
        <w:t>organizations</w:t>
      </w:r>
      <w:r w:rsidRPr="002A1E3C">
        <w:rPr>
          <w:rFonts w:cs="Arial"/>
        </w:rPr>
        <w:t xml:space="preserve"> appeared to act as a strategic exercise to test the acceptability of policy changes. </w:t>
      </w:r>
      <w:r w:rsidRPr="002A1E3C">
        <w:t xml:space="preserve">Older people’s interest </w:t>
      </w:r>
      <w:r w:rsidR="00CE21AC">
        <w:t>organizations</w:t>
      </w:r>
      <w:r w:rsidRPr="002A1E3C">
        <w:t xml:space="preserve"> did not have the ability to place issues on the policy agenda and at best could only veto aspects of proposed policies. The findings therefore reveal that, despite overt inclusion in the partnership process and other </w:t>
      </w:r>
      <w:proofErr w:type="spellStart"/>
      <w:r w:rsidRPr="002A1E3C">
        <w:t>fora</w:t>
      </w:r>
      <w:proofErr w:type="spellEnd"/>
      <w:r w:rsidRPr="002A1E3C">
        <w:t xml:space="preserve">, </w:t>
      </w:r>
      <w:r w:rsidRPr="002A1E3C">
        <w:rPr>
          <w:rFonts w:eastAsia="Calibri"/>
        </w:rPr>
        <w:t xml:space="preserve">older people’s interest </w:t>
      </w:r>
      <w:r w:rsidR="00CE21AC">
        <w:rPr>
          <w:rFonts w:eastAsia="Calibri"/>
        </w:rPr>
        <w:t>organizations</w:t>
      </w:r>
      <w:r w:rsidRPr="002A1E3C">
        <w:rPr>
          <w:rFonts w:eastAsia="Calibri"/>
        </w:rPr>
        <w:t xml:space="preserve"> are essentially excluded in the context of policy design and reformulation. A number of the </w:t>
      </w:r>
      <w:r w:rsidR="00CE21AC">
        <w:rPr>
          <w:rFonts w:eastAsia="Calibri"/>
        </w:rPr>
        <w:t>organizations</w:t>
      </w:r>
      <w:r w:rsidRPr="002A1E3C">
        <w:rPr>
          <w:rFonts w:eastAsia="Calibri"/>
        </w:rPr>
        <w:t xml:space="preserve"> can be labeled ‘included observers’ - they are granted access to the policy-making table but their ability to exert influence is negligible, hence rendering them powerless observers. In the area of pension and health care reform, both policymakers and former Junior Ministers emphasized the importance of making incremental policy changes which do not impact upon current populations of older people, suggesting that decisions relating to major social policy changes remain largely the preserve of a small cohort of political representatives and senior civil servants. The findings of this chapter therefore lay bare how lip service is given to the notion of consultation and how prioritization of economic considerations renders ‘consultation’ of older people’s </w:t>
      </w:r>
      <w:r w:rsidR="00CE21AC">
        <w:rPr>
          <w:rFonts w:eastAsia="Calibri"/>
        </w:rPr>
        <w:t>organizations</w:t>
      </w:r>
      <w:r w:rsidRPr="002A1E3C">
        <w:rPr>
          <w:rFonts w:eastAsia="Calibri"/>
        </w:rPr>
        <w:t xml:space="preserve"> largely meaningless rhetoric. In short, it reveals how in the Irish context greater emphasis is placed on the discourse of policy reformulation as it relates to older people than the discourse of policy consultation. </w:t>
      </w:r>
    </w:p>
    <w:p w:rsidR="00C41EFC" w:rsidRPr="002A1E3C" w:rsidRDefault="00C41EFC" w:rsidP="0029201E">
      <w:pPr>
        <w:pStyle w:val="Heading2"/>
        <w:spacing w:line="480" w:lineRule="auto"/>
        <w:jc w:val="both"/>
        <w:rPr>
          <w:rFonts w:asciiTheme="minorHAnsi" w:eastAsia="Calibri" w:hAnsiTheme="minorHAnsi"/>
          <w:sz w:val="20"/>
          <w:szCs w:val="20"/>
        </w:rPr>
      </w:pPr>
    </w:p>
    <w:p w:rsidR="00C41EFC" w:rsidRPr="002A1E3C" w:rsidRDefault="00C41EFC" w:rsidP="0029201E">
      <w:pPr>
        <w:pStyle w:val="Heading2"/>
        <w:spacing w:line="480" w:lineRule="auto"/>
        <w:rPr>
          <w:rFonts w:asciiTheme="minorHAnsi" w:hAnsiTheme="minorHAnsi"/>
        </w:rPr>
      </w:pPr>
      <w:r w:rsidRPr="002A1E3C">
        <w:rPr>
          <w:rFonts w:asciiTheme="minorHAnsi" w:hAnsiTheme="minorHAnsi"/>
        </w:rPr>
        <w:t>References</w:t>
      </w:r>
    </w:p>
    <w:p w:rsidR="00C41EFC" w:rsidRPr="002A1E3C" w:rsidRDefault="00C41EFC" w:rsidP="0029201E">
      <w:pPr>
        <w:spacing w:line="480" w:lineRule="auto"/>
        <w:rPr>
          <w:rFonts w:cs="Calibri"/>
        </w:rPr>
      </w:pPr>
      <w:proofErr w:type="spellStart"/>
      <w:r w:rsidRPr="002A1E3C">
        <w:rPr>
          <w:rFonts w:cs="Calibri"/>
        </w:rPr>
        <w:t>Baars</w:t>
      </w:r>
      <w:proofErr w:type="spellEnd"/>
      <w:r w:rsidRPr="002A1E3C">
        <w:rPr>
          <w:rFonts w:cs="Calibri"/>
        </w:rPr>
        <w:t xml:space="preserve">, J., </w:t>
      </w:r>
      <w:proofErr w:type="spellStart"/>
      <w:r w:rsidRPr="002A1E3C">
        <w:rPr>
          <w:rFonts w:cs="Calibri"/>
        </w:rPr>
        <w:t>Dannefer</w:t>
      </w:r>
      <w:proofErr w:type="spellEnd"/>
      <w:r w:rsidRPr="002A1E3C">
        <w:rPr>
          <w:rFonts w:cs="Calibri"/>
        </w:rPr>
        <w:t>,</w:t>
      </w:r>
      <w:r w:rsidR="009E6606">
        <w:rPr>
          <w:rFonts w:cs="Calibri"/>
        </w:rPr>
        <w:t xml:space="preserve"> D., </w:t>
      </w:r>
      <w:proofErr w:type="spellStart"/>
      <w:r w:rsidRPr="002A1E3C">
        <w:rPr>
          <w:rFonts w:cs="Calibri"/>
        </w:rPr>
        <w:t>Phillipson</w:t>
      </w:r>
      <w:proofErr w:type="spellEnd"/>
      <w:r w:rsidRPr="002A1E3C">
        <w:rPr>
          <w:rFonts w:cs="Calibri"/>
        </w:rPr>
        <w:t>,</w:t>
      </w:r>
      <w:r w:rsidR="009E6606">
        <w:rPr>
          <w:rFonts w:cs="Calibri"/>
        </w:rPr>
        <w:t xml:space="preserve"> C.</w:t>
      </w:r>
      <w:r w:rsidRPr="002A1E3C">
        <w:rPr>
          <w:rFonts w:cs="Calibri"/>
        </w:rPr>
        <w:t>, &amp; Walker,</w:t>
      </w:r>
      <w:r w:rsidR="009E6606">
        <w:rPr>
          <w:rFonts w:cs="Calibri"/>
        </w:rPr>
        <w:t xml:space="preserve"> A.</w:t>
      </w:r>
      <w:r w:rsidRPr="002A1E3C">
        <w:rPr>
          <w:rFonts w:cs="Calibri"/>
        </w:rPr>
        <w:t xml:space="preserve"> (</w:t>
      </w:r>
      <w:proofErr w:type="spellStart"/>
      <w:proofErr w:type="gramStart"/>
      <w:r w:rsidR="00072A36">
        <w:rPr>
          <w:rFonts w:cs="Calibri"/>
        </w:rPr>
        <w:t>e</w:t>
      </w:r>
      <w:r w:rsidRPr="002A1E3C">
        <w:rPr>
          <w:rFonts w:cs="Calibri"/>
        </w:rPr>
        <w:t>ds</w:t>
      </w:r>
      <w:proofErr w:type="spellEnd"/>
      <w:proofErr w:type="gramEnd"/>
      <w:r w:rsidRPr="002A1E3C">
        <w:rPr>
          <w:rFonts w:cs="Calibri"/>
        </w:rPr>
        <w:t>) (2006)</w:t>
      </w:r>
      <w:r w:rsidR="0051258F">
        <w:rPr>
          <w:rFonts w:cs="Calibri"/>
        </w:rPr>
        <w:t>,</w:t>
      </w:r>
      <w:r w:rsidRPr="002A1E3C">
        <w:rPr>
          <w:rFonts w:cs="Calibri"/>
        </w:rPr>
        <w:t xml:space="preserve"> </w:t>
      </w:r>
      <w:r w:rsidRPr="002A1E3C">
        <w:rPr>
          <w:rFonts w:cs="Calibri"/>
          <w:i/>
        </w:rPr>
        <w:t>Aging, globalization and inequality: The new critical gerontology</w:t>
      </w:r>
      <w:r w:rsidR="004A68CE">
        <w:rPr>
          <w:rFonts w:cs="Calibri"/>
        </w:rPr>
        <w:t>,</w:t>
      </w:r>
      <w:r w:rsidRPr="002A1E3C">
        <w:rPr>
          <w:rFonts w:cs="Calibri"/>
        </w:rPr>
        <w:t xml:space="preserve"> Amityville, New York: </w:t>
      </w:r>
      <w:proofErr w:type="spellStart"/>
      <w:r w:rsidRPr="002A1E3C">
        <w:rPr>
          <w:rFonts w:cs="Calibri"/>
        </w:rPr>
        <w:t>Baywood</w:t>
      </w:r>
      <w:proofErr w:type="spellEnd"/>
      <w:r w:rsidRPr="002A1E3C">
        <w:rPr>
          <w:rFonts w:cs="Calibri"/>
        </w:rPr>
        <w:t xml:space="preserve"> Publishing Company.</w:t>
      </w:r>
    </w:p>
    <w:p w:rsidR="00C41EFC" w:rsidRPr="002A1E3C" w:rsidRDefault="00C41EFC" w:rsidP="0029201E">
      <w:pPr>
        <w:spacing w:line="480" w:lineRule="auto"/>
        <w:rPr>
          <w:rFonts w:cs="Calibri"/>
        </w:rPr>
      </w:pPr>
      <w:r w:rsidRPr="002A1E3C">
        <w:rPr>
          <w:rFonts w:cs="Calibri"/>
        </w:rPr>
        <w:lastRenderedPageBreak/>
        <w:t>Barry, F. (</w:t>
      </w:r>
      <w:r w:rsidR="00072A36">
        <w:rPr>
          <w:rFonts w:cs="Calibri"/>
        </w:rPr>
        <w:t>e</w:t>
      </w:r>
      <w:r w:rsidRPr="002A1E3C">
        <w:rPr>
          <w:rFonts w:cs="Calibri"/>
        </w:rPr>
        <w:t>d.) (1999)</w:t>
      </w:r>
      <w:r w:rsidR="0051258F">
        <w:rPr>
          <w:rFonts w:cs="Calibri"/>
        </w:rPr>
        <w:t>,</w:t>
      </w:r>
      <w:r w:rsidRPr="002A1E3C">
        <w:rPr>
          <w:rFonts w:cs="Calibri"/>
        </w:rPr>
        <w:t xml:space="preserve"> </w:t>
      </w:r>
      <w:r w:rsidRPr="002A1E3C">
        <w:rPr>
          <w:rFonts w:cs="Calibri"/>
          <w:i/>
        </w:rPr>
        <w:t>Understanding Ireland's economic growth</w:t>
      </w:r>
      <w:r w:rsidRPr="002A1E3C">
        <w:rPr>
          <w:rFonts w:cs="Calibri"/>
        </w:rPr>
        <w:t>. Basingstoke: MacMillan.</w:t>
      </w:r>
    </w:p>
    <w:p w:rsidR="00C41EFC" w:rsidRPr="002A1E3C" w:rsidRDefault="00C41EFC" w:rsidP="0029201E">
      <w:pPr>
        <w:spacing w:line="480" w:lineRule="auto"/>
        <w:rPr>
          <w:rFonts w:cs="Calibri"/>
        </w:rPr>
      </w:pPr>
      <w:proofErr w:type="gramStart"/>
      <w:r w:rsidRPr="002A1E3C">
        <w:rPr>
          <w:rFonts w:cs="Calibri"/>
        </w:rPr>
        <w:t>Bergin, A., FitzGerald,</w:t>
      </w:r>
      <w:r w:rsidR="009E6606">
        <w:rPr>
          <w:rFonts w:cs="Calibri"/>
        </w:rPr>
        <w:t xml:space="preserve"> J.,</w:t>
      </w:r>
      <w:r w:rsidRPr="002A1E3C">
        <w:rPr>
          <w:rFonts w:cs="Calibri"/>
        </w:rPr>
        <w:t xml:space="preserve"> Kearney,</w:t>
      </w:r>
      <w:r w:rsidR="009E6606">
        <w:rPr>
          <w:rFonts w:cs="Calibri"/>
        </w:rPr>
        <w:t xml:space="preserve"> I.</w:t>
      </w:r>
      <w:r w:rsidRPr="002A1E3C">
        <w:rPr>
          <w:rFonts w:cs="Calibri"/>
        </w:rPr>
        <w:t>, &amp;</w:t>
      </w:r>
      <w:r w:rsidR="00072A36">
        <w:rPr>
          <w:rFonts w:cs="Calibri"/>
        </w:rPr>
        <w:t xml:space="preserve"> </w:t>
      </w:r>
      <w:r w:rsidRPr="002A1E3C">
        <w:rPr>
          <w:rFonts w:cs="Calibri"/>
        </w:rPr>
        <w:t>O' Sullivan,</w:t>
      </w:r>
      <w:r w:rsidR="009E6606">
        <w:rPr>
          <w:rFonts w:cs="Calibri"/>
        </w:rPr>
        <w:t xml:space="preserve"> C.</w:t>
      </w:r>
      <w:r w:rsidRPr="002A1E3C">
        <w:rPr>
          <w:rFonts w:cs="Calibri"/>
        </w:rPr>
        <w:t xml:space="preserve"> (2011)</w:t>
      </w:r>
      <w:r w:rsidR="0051258F">
        <w:rPr>
          <w:rFonts w:cs="Calibri"/>
        </w:rPr>
        <w:t>,</w:t>
      </w:r>
      <w:r w:rsidRPr="002A1E3C">
        <w:rPr>
          <w:rFonts w:cs="Calibri"/>
        </w:rPr>
        <w:t xml:space="preserve"> </w:t>
      </w:r>
      <w:r w:rsidR="00072A36">
        <w:rPr>
          <w:rFonts w:cs="Calibri"/>
        </w:rPr>
        <w:t>’</w:t>
      </w:r>
      <w:r w:rsidRPr="002A1E3C">
        <w:rPr>
          <w:rFonts w:cs="Calibri"/>
        </w:rPr>
        <w:t>The Irish Fiscal Crisis</w:t>
      </w:r>
      <w:r w:rsidR="00072A36">
        <w:rPr>
          <w:rFonts w:cs="Calibri"/>
        </w:rPr>
        <w:t>’</w:t>
      </w:r>
      <w:r w:rsidRPr="002A1E3C">
        <w:rPr>
          <w:rFonts w:cs="Calibri"/>
        </w:rPr>
        <w:t>.</w:t>
      </w:r>
      <w:proofErr w:type="gramEnd"/>
      <w:r w:rsidRPr="002A1E3C">
        <w:rPr>
          <w:rFonts w:cs="Calibri"/>
        </w:rPr>
        <w:t xml:space="preserve"> </w:t>
      </w:r>
      <w:proofErr w:type="gramStart"/>
      <w:r w:rsidRPr="002A1E3C">
        <w:rPr>
          <w:rFonts w:cs="Calibri"/>
          <w:i/>
        </w:rPr>
        <w:t xml:space="preserve">National Institute Economic Review, </w:t>
      </w:r>
      <w:r w:rsidR="008C260D" w:rsidRPr="008C260D">
        <w:rPr>
          <w:rFonts w:cs="Calibri"/>
          <w:b/>
        </w:rPr>
        <w:t>217</w:t>
      </w:r>
      <w:r w:rsidR="00072A36">
        <w:rPr>
          <w:rFonts w:cs="Calibri"/>
          <w:b/>
        </w:rPr>
        <w:t xml:space="preserve"> </w:t>
      </w:r>
      <w:r w:rsidRPr="002A1E3C">
        <w:rPr>
          <w:rFonts w:cs="Calibri"/>
        </w:rPr>
        <w:t>(July), R47-R59.</w:t>
      </w:r>
      <w:proofErr w:type="gramEnd"/>
    </w:p>
    <w:p w:rsidR="00C41EFC" w:rsidRPr="002A1E3C" w:rsidRDefault="00C41EFC" w:rsidP="0029201E">
      <w:pPr>
        <w:spacing w:line="480" w:lineRule="auto"/>
        <w:rPr>
          <w:rFonts w:cs="Calibri"/>
        </w:rPr>
      </w:pPr>
      <w:proofErr w:type="spellStart"/>
      <w:r w:rsidRPr="002A1E3C">
        <w:rPr>
          <w:rFonts w:cs="Calibri"/>
        </w:rPr>
        <w:t>Binstock</w:t>
      </w:r>
      <w:proofErr w:type="spellEnd"/>
      <w:r w:rsidRPr="002A1E3C">
        <w:rPr>
          <w:rFonts w:cs="Calibri"/>
        </w:rPr>
        <w:t xml:space="preserve"> R</w:t>
      </w:r>
      <w:r w:rsidR="009E6606">
        <w:rPr>
          <w:rFonts w:cs="Calibri"/>
        </w:rPr>
        <w:t>.</w:t>
      </w:r>
      <w:r w:rsidRPr="002A1E3C">
        <w:rPr>
          <w:rFonts w:cs="Calibri"/>
        </w:rPr>
        <w:t>, H., &amp;</w:t>
      </w:r>
      <w:r w:rsidR="00072A36" w:rsidRPr="002A1E3C">
        <w:rPr>
          <w:rFonts w:cs="Calibri"/>
        </w:rPr>
        <w:t xml:space="preserve">. </w:t>
      </w:r>
      <w:r w:rsidRPr="002A1E3C">
        <w:rPr>
          <w:rFonts w:cs="Calibri"/>
        </w:rPr>
        <w:t>Day</w:t>
      </w:r>
      <w:r w:rsidR="009E6606">
        <w:rPr>
          <w:rFonts w:cs="Calibri"/>
        </w:rPr>
        <w:t>, C. L.</w:t>
      </w:r>
      <w:r w:rsidRPr="002A1E3C">
        <w:rPr>
          <w:rFonts w:cs="Calibri"/>
        </w:rPr>
        <w:t xml:space="preserve"> (1996)</w:t>
      </w:r>
      <w:r w:rsidR="0051258F">
        <w:rPr>
          <w:rFonts w:cs="Calibri"/>
        </w:rPr>
        <w:t>,</w:t>
      </w:r>
      <w:r w:rsidRPr="002A1E3C">
        <w:rPr>
          <w:rFonts w:cs="Calibri"/>
        </w:rPr>
        <w:t xml:space="preserve"> </w:t>
      </w:r>
      <w:r w:rsidR="00072A36">
        <w:rPr>
          <w:rFonts w:cs="Calibri"/>
        </w:rPr>
        <w:t>‘</w:t>
      </w:r>
      <w:r w:rsidRPr="002A1E3C">
        <w:rPr>
          <w:rFonts w:cs="Calibri"/>
        </w:rPr>
        <w:t>Aging and Politics</w:t>
      </w:r>
      <w:r w:rsidR="00072A36">
        <w:rPr>
          <w:rFonts w:cs="Calibri"/>
        </w:rPr>
        <w:t>’,</w:t>
      </w:r>
      <w:r w:rsidRPr="002A1E3C">
        <w:rPr>
          <w:rFonts w:cs="Calibri"/>
        </w:rPr>
        <w:t xml:space="preserve"> </w:t>
      </w:r>
      <w:r w:rsidR="00072A36">
        <w:rPr>
          <w:rFonts w:cs="Calibri"/>
        </w:rPr>
        <w:t>i</w:t>
      </w:r>
      <w:r w:rsidRPr="002A1E3C">
        <w:rPr>
          <w:rFonts w:cs="Calibri"/>
        </w:rPr>
        <w:t xml:space="preserve">n </w:t>
      </w:r>
      <w:r w:rsidR="009E6606">
        <w:rPr>
          <w:rFonts w:cs="Calibri"/>
        </w:rPr>
        <w:t>R. H.</w:t>
      </w:r>
      <w:r w:rsidR="009E6606" w:rsidRPr="002A1E3C">
        <w:rPr>
          <w:rFonts w:cs="Calibri"/>
        </w:rPr>
        <w:t xml:space="preserve"> </w:t>
      </w:r>
      <w:proofErr w:type="spellStart"/>
      <w:proofErr w:type="gramStart"/>
      <w:r w:rsidRPr="002A1E3C">
        <w:rPr>
          <w:rFonts w:cs="Calibri"/>
        </w:rPr>
        <w:t>Binstock</w:t>
      </w:r>
      <w:proofErr w:type="spellEnd"/>
      <w:r w:rsidRPr="002A1E3C">
        <w:rPr>
          <w:rFonts w:cs="Calibri"/>
        </w:rPr>
        <w:t xml:space="preserve"> </w:t>
      </w:r>
      <w:r w:rsidR="00072A36">
        <w:rPr>
          <w:rFonts w:cs="Calibri"/>
        </w:rPr>
        <w:t xml:space="preserve"> </w:t>
      </w:r>
      <w:r w:rsidRPr="002A1E3C">
        <w:rPr>
          <w:rFonts w:cs="Calibri"/>
        </w:rPr>
        <w:t>&amp;</w:t>
      </w:r>
      <w:proofErr w:type="gramEnd"/>
      <w:r w:rsidRPr="002A1E3C">
        <w:rPr>
          <w:rFonts w:cs="Calibri"/>
        </w:rPr>
        <w:t xml:space="preserve"> L</w:t>
      </w:r>
      <w:r w:rsidR="009E6606">
        <w:rPr>
          <w:rFonts w:cs="Calibri"/>
        </w:rPr>
        <w:t xml:space="preserve">. </w:t>
      </w:r>
      <w:r w:rsidRPr="002A1E3C">
        <w:rPr>
          <w:rFonts w:cs="Calibri"/>
        </w:rPr>
        <w:t>K. George (</w:t>
      </w:r>
      <w:proofErr w:type="spellStart"/>
      <w:r w:rsidR="00072A36">
        <w:rPr>
          <w:rFonts w:cs="Calibri"/>
        </w:rPr>
        <w:t>e</w:t>
      </w:r>
      <w:r w:rsidRPr="002A1E3C">
        <w:rPr>
          <w:rFonts w:cs="Calibri"/>
        </w:rPr>
        <w:t>ds</w:t>
      </w:r>
      <w:proofErr w:type="spellEnd"/>
      <w:r w:rsidRPr="002A1E3C">
        <w:rPr>
          <w:rFonts w:cs="Calibri"/>
        </w:rPr>
        <w:t xml:space="preserve">), </w:t>
      </w:r>
      <w:r w:rsidRPr="002A1E3C">
        <w:rPr>
          <w:rFonts w:cs="Calibri"/>
          <w:i/>
        </w:rPr>
        <w:t>Handbook of Aging and the Social Sciences</w:t>
      </w:r>
      <w:r w:rsidRPr="002A1E3C">
        <w:rPr>
          <w:rFonts w:cs="Calibri"/>
        </w:rPr>
        <w:t>. San Diego, CA: Academic Press</w:t>
      </w:r>
      <w:r w:rsidR="001C1D5F">
        <w:rPr>
          <w:rFonts w:cs="Calibri"/>
        </w:rPr>
        <w:t xml:space="preserve">, </w:t>
      </w:r>
      <w:r w:rsidR="001C1D5F" w:rsidRPr="002A1E3C">
        <w:rPr>
          <w:rFonts w:cs="Calibri"/>
        </w:rPr>
        <w:t>pp. 362-387</w:t>
      </w:r>
      <w:r w:rsidRPr="002A1E3C">
        <w:rPr>
          <w:rFonts w:cs="Calibri"/>
        </w:rPr>
        <w:t>.</w:t>
      </w:r>
    </w:p>
    <w:p w:rsidR="00C41EFC" w:rsidRPr="002A1E3C" w:rsidRDefault="00C41EFC" w:rsidP="0029201E">
      <w:pPr>
        <w:spacing w:line="480" w:lineRule="auto"/>
        <w:rPr>
          <w:rFonts w:cs="Calibri"/>
        </w:rPr>
      </w:pPr>
      <w:proofErr w:type="spellStart"/>
      <w:r w:rsidRPr="002A1E3C">
        <w:rPr>
          <w:rFonts w:cs="Calibri"/>
        </w:rPr>
        <w:t>Charmaz</w:t>
      </w:r>
      <w:proofErr w:type="spellEnd"/>
      <w:r w:rsidRPr="002A1E3C">
        <w:rPr>
          <w:rFonts w:cs="Calibri"/>
        </w:rPr>
        <w:t>, K. (2003)</w:t>
      </w:r>
      <w:r w:rsidR="0051258F">
        <w:rPr>
          <w:rFonts w:cs="Calibri"/>
        </w:rPr>
        <w:t>,</w:t>
      </w:r>
      <w:r w:rsidRPr="002A1E3C">
        <w:rPr>
          <w:rFonts w:cs="Calibri"/>
        </w:rPr>
        <w:t xml:space="preserve"> </w:t>
      </w:r>
      <w:r w:rsidR="00072A36">
        <w:rPr>
          <w:rFonts w:cs="Calibri"/>
        </w:rPr>
        <w:t>‘</w:t>
      </w:r>
      <w:r w:rsidRPr="002A1E3C">
        <w:rPr>
          <w:rFonts w:cs="Calibri"/>
        </w:rPr>
        <w:t>Qualitative interviewing and qualitative analysis</w:t>
      </w:r>
      <w:r w:rsidR="00072A36">
        <w:rPr>
          <w:rFonts w:cs="Calibri"/>
        </w:rPr>
        <w:t>’,</w:t>
      </w:r>
      <w:r w:rsidRPr="002A1E3C">
        <w:rPr>
          <w:rFonts w:cs="Calibri"/>
        </w:rPr>
        <w:t xml:space="preserve"> </w:t>
      </w:r>
      <w:r w:rsidR="00072A36">
        <w:rPr>
          <w:rFonts w:cs="Calibri"/>
        </w:rPr>
        <w:t>i</w:t>
      </w:r>
      <w:r w:rsidRPr="002A1E3C">
        <w:rPr>
          <w:rFonts w:cs="Calibri"/>
        </w:rPr>
        <w:t xml:space="preserve">n J. F. </w:t>
      </w:r>
      <w:proofErr w:type="spellStart"/>
      <w:r w:rsidRPr="002A1E3C">
        <w:rPr>
          <w:rFonts w:cs="Calibri"/>
        </w:rPr>
        <w:t>Gubrium</w:t>
      </w:r>
      <w:proofErr w:type="spellEnd"/>
      <w:r w:rsidRPr="002A1E3C">
        <w:rPr>
          <w:rFonts w:cs="Calibri"/>
        </w:rPr>
        <w:t xml:space="preserve"> (</w:t>
      </w:r>
      <w:r w:rsidR="00072A36">
        <w:rPr>
          <w:rFonts w:cs="Calibri"/>
        </w:rPr>
        <w:t>e</w:t>
      </w:r>
      <w:r w:rsidRPr="002A1E3C">
        <w:rPr>
          <w:rFonts w:cs="Calibri"/>
        </w:rPr>
        <w:t xml:space="preserve">d.), </w:t>
      </w:r>
      <w:r w:rsidRPr="002A1E3C">
        <w:rPr>
          <w:rFonts w:cs="Calibri"/>
          <w:i/>
        </w:rPr>
        <w:t>Inside interviewing: New lens, new concerns</w:t>
      </w:r>
      <w:r w:rsidR="00072A36">
        <w:rPr>
          <w:rFonts w:cs="Calibri"/>
        </w:rPr>
        <w:t>,</w:t>
      </w:r>
      <w:r w:rsidR="0085250A">
        <w:rPr>
          <w:rFonts w:cs="Calibri"/>
        </w:rPr>
        <w:t xml:space="preserve"> </w:t>
      </w:r>
      <w:r w:rsidRPr="002A1E3C">
        <w:rPr>
          <w:rFonts w:cs="Calibri"/>
        </w:rPr>
        <w:t>London: Sage Publications</w:t>
      </w:r>
      <w:r w:rsidR="001C1D5F">
        <w:rPr>
          <w:rFonts w:cs="Calibri"/>
        </w:rPr>
        <w:t>,</w:t>
      </w:r>
      <w:r w:rsidR="001C1D5F" w:rsidRPr="001C1D5F">
        <w:rPr>
          <w:rFonts w:cs="Calibri"/>
        </w:rPr>
        <w:t xml:space="preserve"> </w:t>
      </w:r>
      <w:r w:rsidR="001C1D5F">
        <w:rPr>
          <w:rFonts w:cs="Calibri"/>
        </w:rPr>
        <w:t>pp.</w:t>
      </w:r>
      <w:r w:rsidR="00B542F3">
        <w:rPr>
          <w:rFonts w:cs="Calibri"/>
        </w:rPr>
        <w:t xml:space="preserve"> 311-</w:t>
      </w:r>
      <w:proofErr w:type="gramStart"/>
      <w:r w:rsidR="00B542F3">
        <w:rPr>
          <w:rFonts w:cs="Calibri"/>
        </w:rPr>
        <w:t>330</w:t>
      </w:r>
      <w:r w:rsidR="001C1D5F">
        <w:rPr>
          <w:rFonts w:cs="Calibri"/>
        </w:rPr>
        <w:t xml:space="preserve"> </w:t>
      </w:r>
      <w:r w:rsidRPr="002A1E3C">
        <w:rPr>
          <w:rFonts w:cs="Calibri"/>
        </w:rPr>
        <w:t>.</w:t>
      </w:r>
      <w:proofErr w:type="gramEnd"/>
    </w:p>
    <w:p w:rsidR="00C41EFC" w:rsidRPr="002A1E3C" w:rsidRDefault="00C41EFC" w:rsidP="0029201E">
      <w:pPr>
        <w:spacing w:line="480" w:lineRule="auto"/>
        <w:rPr>
          <w:rFonts w:cs="Calibri"/>
        </w:rPr>
      </w:pPr>
      <w:proofErr w:type="spellStart"/>
      <w:r w:rsidRPr="002A1E3C">
        <w:rPr>
          <w:rFonts w:cs="Calibri"/>
        </w:rPr>
        <w:t>Charmaz</w:t>
      </w:r>
      <w:proofErr w:type="spellEnd"/>
      <w:r w:rsidRPr="002A1E3C">
        <w:rPr>
          <w:rFonts w:cs="Calibri"/>
        </w:rPr>
        <w:t>, K. (2006)</w:t>
      </w:r>
      <w:r w:rsidR="0051258F">
        <w:rPr>
          <w:rFonts w:cs="Calibri"/>
        </w:rPr>
        <w:t>,</w:t>
      </w:r>
      <w:r w:rsidRPr="002A1E3C">
        <w:rPr>
          <w:rFonts w:cs="Calibri"/>
        </w:rPr>
        <w:t xml:space="preserve"> </w:t>
      </w:r>
      <w:r w:rsidRPr="002A1E3C">
        <w:rPr>
          <w:rFonts w:cs="Calibri"/>
          <w:i/>
        </w:rPr>
        <w:t>Constructing grounded theory: A practical guide through qualitative research</w:t>
      </w:r>
      <w:r w:rsidR="00072A36">
        <w:rPr>
          <w:rFonts w:cs="Calibri"/>
        </w:rPr>
        <w:t>,</w:t>
      </w:r>
      <w:r w:rsidRPr="002A1E3C">
        <w:rPr>
          <w:rFonts w:cs="Calibri"/>
        </w:rPr>
        <w:t xml:space="preserve"> London: Sage Publications.</w:t>
      </w:r>
    </w:p>
    <w:p w:rsidR="00C41EFC" w:rsidRDefault="00C41EFC" w:rsidP="0029201E">
      <w:pPr>
        <w:spacing w:line="480" w:lineRule="auto"/>
        <w:rPr>
          <w:rFonts w:cs="Calibri"/>
        </w:rPr>
      </w:pPr>
      <w:r w:rsidRPr="002A1E3C">
        <w:rPr>
          <w:rFonts w:cs="Calibri"/>
        </w:rPr>
        <w:t>Crozier, M., Huntington,</w:t>
      </w:r>
      <w:r w:rsidR="009E6606" w:rsidRPr="009E6606">
        <w:rPr>
          <w:rFonts w:cs="Calibri"/>
        </w:rPr>
        <w:t xml:space="preserve"> </w:t>
      </w:r>
      <w:r w:rsidR="009E6606" w:rsidRPr="002A1E3C">
        <w:rPr>
          <w:rFonts w:cs="Calibri"/>
        </w:rPr>
        <w:t>S. P.</w:t>
      </w:r>
      <w:r w:rsidRPr="002A1E3C">
        <w:rPr>
          <w:rFonts w:cs="Calibri"/>
        </w:rPr>
        <w:t xml:space="preserve">, &amp; </w:t>
      </w:r>
      <w:proofErr w:type="spellStart"/>
      <w:r w:rsidRPr="002A1E3C">
        <w:rPr>
          <w:rFonts w:cs="Calibri"/>
        </w:rPr>
        <w:t>Watanuki</w:t>
      </w:r>
      <w:proofErr w:type="spellEnd"/>
      <w:r w:rsidRPr="002A1E3C">
        <w:rPr>
          <w:rFonts w:cs="Calibri"/>
        </w:rPr>
        <w:t>,</w:t>
      </w:r>
      <w:r w:rsidR="009E6606">
        <w:rPr>
          <w:rFonts w:cs="Calibri"/>
        </w:rPr>
        <w:t xml:space="preserve"> J.</w:t>
      </w:r>
      <w:r w:rsidRPr="002A1E3C">
        <w:rPr>
          <w:rFonts w:cs="Calibri"/>
        </w:rPr>
        <w:t xml:space="preserve"> (1975)</w:t>
      </w:r>
      <w:r w:rsidR="0051258F">
        <w:rPr>
          <w:rFonts w:cs="Calibri"/>
        </w:rPr>
        <w:t>,</w:t>
      </w:r>
      <w:r w:rsidRPr="002A1E3C">
        <w:rPr>
          <w:rFonts w:cs="Calibri"/>
        </w:rPr>
        <w:t xml:space="preserve"> </w:t>
      </w:r>
      <w:proofErr w:type="gramStart"/>
      <w:r w:rsidRPr="002A1E3C">
        <w:rPr>
          <w:rFonts w:cs="Calibri"/>
          <w:i/>
        </w:rPr>
        <w:t>The</w:t>
      </w:r>
      <w:proofErr w:type="gramEnd"/>
      <w:r w:rsidRPr="002A1E3C">
        <w:rPr>
          <w:rFonts w:cs="Calibri"/>
          <w:i/>
        </w:rPr>
        <w:t xml:space="preserve"> crisis of democracy: Report on the governability of democracies in the Trilateral Commission</w:t>
      </w:r>
      <w:r w:rsidR="00072A36">
        <w:rPr>
          <w:rFonts w:cs="Calibri"/>
        </w:rPr>
        <w:t>,</w:t>
      </w:r>
      <w:r w:rsidRPr="002A1E3C">
        <w:rPr>
          <w:rFonts w:cs="Calibri"/>
        </w:rPr>
        <w:t xml:space="preserve"> New York: New York University Press.</w:t>
      </w:r>
    </w:p>
    <w:p w:rsidR="00877FDD" w:rsidRDefault="00877FDD" w:rsidP="0029201E">
      <w:pPr>
        <w:spacing w:line="480" w:lineRule="auto"/>
        <w:rPr>
          <w:rFonts w:cs="Calibri"/>
        </w:rPr>
      </w:pPr>
      <w:r>
        <w:rPr>
          <w:rFonts w:cs="Calibri"/>
        </w:rPr>
        <w:t>CSO (20</w:t>
      </w:r>
      <w:r w:rsidR="00DC356D">
        <w:rPr>
          <w:rFonts w:cs="Calibri"/>
        </w:rPr>
        <w:t>12</w:t>
      </w:r>
      <w:r>
        <w:rPr>
          <w:rFonts w:cs="Calibri"/>
        </w:rPr>
        <w:t>)</w:t>
      </w:r>
      <w:r w:rsidR="00BF0C10">
        <w:rPr>
          <w:rFonts w:cs="Calibri"/>
        </w:rPr>
        <w:t xml:space="preserve"> </w:t>
      </w:r>
      <w:r w:rsidR="00D43F76">
        <w:rPr>
          <w:rFonts w:cs="Calibri"/>
        </w:rPr>
        <w:t>‘</w:t>
      </w:r>
      <w:r w:rsidR="00BF0C10">
        <w:rPr>
          <w:rFonts w:cs="Calibri"/>
        </w:rPr>
        <w:t>Profile 2: Older and Younger</w:t>
      </w:r>
      <w:r w:rsidR="00D43F76">
        <w:rPr>
          <w:rFonts w:cs="Calibri"/>
        </w:rPr>
        <w:t xml:space="preserve">’. Dublin: Stationery Office. </w:t>
      </w:r>
    </w:p>
    <w:p w:rsidR="00877FDD" w:rsidRPr="002A1E3C" w:rsidRDefault="00877FDD" w:rsidP="0029201E">
      <w:pPr>
        <w:spacing w:line="480" w:lineRule="auto"/>
        <w:rPr>
          <w:rFonts w:cs="Calibri"/>
        </w:rPr>
      </w:pPr>
      <w:r>
        <w:rPr>
          <w:rFonts w:cs="Calibri"/>
        </w:rPr>
        <w:t>Department of Health (1988),</w:t>
      </w:r>
      <w:r w:rsidR="00FE31D7">
        <w:rPr>
          <w:rFonts w:cs="Calibri"/>
        </w:rPr>
        <w:t xml:space="preserve"> </w:t>
      </w:r>
      <w:r w:rsidR="00594D1E" w:rsidRPr="00594D1E">
        <w:rPr>
          <w:rFonts w:cs="Calibri"/>
          <w:i/>
        </w:rPr>
        <w:t xml:space="preserve">The Years Ahead: A policy for the elderly. </w:t>
      </w:r>
      <w:proofErr w:type="gramStart"/>
      <w:r w:rsidR="00594D1E" w:rsidRPr="00594D1E">
        <w:rPr>
          <w:rFonts w:cs="Calibri"/>
          <w:i/>
        </w:rPr>
        <w:t>Report of the Working Party on Services for the Elderly</w:t>
      </w:r>
      <w:r w:rsidR="00FE31D7">
        <w:rPr>
          <w:rFonts w:cs="Calibri"/>
        </w:rPr>
        <w:t>.</w:t>
      </w:r>
      <w:proofErr w:type="gramEnd"/>
      <w:r w:rsidR="00FE31D7">
        <w:rPr>
          <w:rFonts w:cs="Calibri"/>
        </w:rPr>
        <w:t xml:space="preserve"> Dublin: Stationery Office. </w:t>
      </w:r>
    </w:p>
    <w:p w:rsidR="00C41EFC" w:rsidRDefault="00C41EFC" w:rsidP="0029201E">
      <w:pPr>
        <w:spacing w:line="480" w:lineRule="auto"/>
        <w:rPr>
          <w:rFonts w:cs="Calibri"/>
        </w:rPr>
      </w:pPr>
      <w:r w:rsidRPr="002A1E3C">
        <w:rPr>
          <w:rFonts w:cs="Calibri"/>
        </w:rPr>
        <w:t>Department of the Taoiseach (2006)</w:t>
      </w:r>
      <w:r w:rsidR="00072A36">
        <w:rPr>
          <w:rFonts w:cs="Calibri"/>
        </w:rPr>
        <w:t>,</w:t>
      </w:r>
      <w:r w:rsidRPr="002A1E3C">
        <w:rPr>
          <w:rFonts w:cs="Calibri"/>
        </w:rPr>
        <w:t xml:space="preserve"> </w:t>
      </w:r>
      <w:r w:rsidRPr="002A1E3C">
        <w:rPr>
          <w:rFonts w:cs="Calibri"/>
          <w:i/>
        </w:rPr>
        <w:t>Towards 2016</w:t>
      </w:r>
      <w:r w:rsidR="0051258F">
        <w:rPr>
          <w:rFonts w:cs="Calibri"/>
        </w:rPr>
        <w:t>,</w:t>
      </w:r>
      <w:r w:rsidRPr="002A1E3C">
        <w:rPr>
          <w:rFonts w:cs="Calibri"/>
        </w:rPr>
        <w:t xml:space="preserve"> Dublin</w:t>
      </w:r>
      <w:r w:rsidR="009E6606">
        <w:rPr>
          <w:rFonts w:cs="Calibri"/>
        </w:rPr>
        <w:t>: Government Publications</w:t>
      </w:r>
      <w:r w:rsidRPr="002A1E3C">
        <w:rPr>
          <w:rFonts w:cs="Calibri"/>
        </w:rPr>
        <w:t>.</w:t>
      </w:r>
    </w:p>
    <w:p w:rsidR="00C41EFC" w:rsidRPr="002A1E3C" w:rsidRDefault="00C41EFC" w:rsidP="0029201E">
      <w:pPr>
        <w:spacing w:line="480" w:lineRule="auto"/>
        <w:rPr>
          <w:rFonts w:cs="Calibri"/>
        </w:rPr>
      </w:pPr>
      <w:r>
        <w:rPr>
          <w:rFonts w:cs="Calibri"/>
        </w:rPr>
        <w:t>Doyle, M. (</w:t>
      </w:r>
      <w:r w:rsidR="00D138B8">
        <w:rPr>
          <w:rFonts w:cs="Calibri"/>
        </w:rPr>
        <w:t>forthcoming</w:t>
      </w:r>
      <w:r>
        <w:rPr>
          <w:rFonts w:cs="Calibri"/>
        </w:rPr>
        <w:t>)</w:t>
      </w:r>
      <w:r w:rsidR="009E6606">
        <w:rPr>
          <w:rFonts w:cs="Calibri"/>
        </w:rPr>
        <w:t>,</w:t>
      </w:r>
      <w:r>
        <w:rPr>
          <w:rFonts w:cs="Calibri"/>
        </w:rPr>
        <w:t xml:space="preserve"> </w:t>
      </w:r>
      <w:r w:rsidR="00594D1E" w:rsidRPr="00594D1E">
        <w:rPr>
          <w:rFonts w:cs="Calibri"/>
          <w:i/>
        </w:rPr>
        <w:t>The Politics of Old Age in Ireland: Older People’s Interest Organizations in the Irish context</w:t>
      </w:r>
      <w:r w:rsidR="00072A36">
        <w:rPr>
          <w:rFonts w:cs="Calibri"/>
        </w:rPr>
        <w:t>,</w:t>
      </w:r>
      <w:r>
        <w:rPr>
          <w:rFonts w:cs="Calibri"/>
        </w:rPr>
        <w:t xml:space="preserve"> </w:t>
      </w:r>
      <w:r w:rsidR="00542125">
        <w:rPr>
          <w:rFonts w:cs="Calibri"/>
        </w:rPr>
        <w:t xml:space="preserve">Manchester, </w:t>
      </w:r>
      <w:r w:rsidR="00D138B8">
        <w:rPr>
          <w:rFonts w:cs="Calibri"/>
        </w:rPr>
        <w:t>Manchester University Press</w:t>
      </w:r>
      <w:r>
        <w:rPr>
          <w:rFonts w:cs="Calibri"/>
        </w:rPr>
        <w:t xml:space="preserve">.  </w:t>
      </w:r>
    </w:p>
    <w:p w:rsidR="00C41EFC" w:rsidRPr="002A1E3C" w:rsidRDefault="00C41EFC" w:rsidP="0029201E">
      <w:pPr>
        <w:spacing w:line="480" w:lineRule="auto"/>
        <w:rPr>
          <w:rFonts w:cs="Calibri"/>
        </w:rPr>
      </w:pPr>
      <w:r w:rsidRPr="002A1E3C">
        <w:rPr>
          <w:rFonts w:cs="Calibri"/>
        </w:rPr>
        <w:t>Duke, K. L. (2002)</w:t>
      </w:r>
      <w:r w:rsidR="0051258F">
        <w:rPr>
          <w:rFonts w:cs="Calibri"/>
        </w:rPr>
        <w:t>,</w:t>
      </w:r>
      <w:r w:rsidRPr="002A1E3C">
        <w:rPr>
          <w:rFonts w:cs="Calibri"/>
        </w:rPr>
        <w:t xml:space="preserve"> </w:t>
      </w:r>
      <w:r w:rsidR="00072A36">
        <w:rPr>
          <w:rFonts w:cs="Calibri"/>
        </w:rPr>
        <w:t>‘</w:t>
      </w:r>
      <w:r w:rsidRPr="002A1E3C">
        <w:rPr>
          <w:rFonts w:cs="Calibri"/>
        </w:rPr>
        <w:t>Getting beyond the 'official line': reflections on dilemmas of access, knowledge, and power in researching policy networks</w:t>
      </w:r>
      <w:r w:rsidR="00072A36">
        <w:rPr>
          <w:rFonts w:cs="Calibri"/>
        </w:rPr>
        <w:t>’,</w:t>
      </w:r>
      <w:r w:rsidRPr="002A1E3C">
        <w:rPr>
          <w:rFonts w:cs="Calibri"/>
          <w:i/>
        </w:rPr>
        <w:t xml:space="preserve"> Journal of Social Policy, </w:t>
      </w:r>
      <w:r w:rsidR="008C260D" w:rsidRPr="008C260D">
        <w:rPr>
          <w:rFonts w:cs="Calibri"/>
          <w:b/>
          <w:i/>
        </w:rPr>
        <w:t>31</w:t>
      </w:r>
      <w:r w:rsidRPr="002A1E3C">
        <w:rPr>
          <w:rFonts w:cs="Calibri"/>
        </w:rPr>
        <w:t>(1), 39-59.</w:t>
      </w:r>
    </w:p>
    <w:p w:rsidR="00072A36" w:rsidRDefault="00C41EFC" w:rsidP="0029201E">
      <w:pPr>
        <w:spacing w:line="480" w:lineRule="auto"/>
        <w:rPr>
          <w:rFonts w:cs="Calibri"/>
        </w:rPr>
      </w:pPr>
      <w:proofErr w:type="gramStart"/>
      <w:r w:rsidRPr="002A1E3C">
        <w:rPr>
          <w:rFonts w:cs="Calibri"/>
        </w:rPr>
        <w:t>Government of Ireland.</w:t>
      </w:r>
      <w:proofErr w:type="gramEnd"/>
      <w:r w:rsidRPr="002A1E3C">
        <w:rPr>
          <w:rFonts w:cs="Calibri"/>
        </w:rPr>
        <w:t xml:space="preserve"> </w:t>
      </w:r>
      <w:proofErr w:type="gramStart"/>
      <w:r w:rsidRPr="002A1E3C">
        <w:rPr>
          <w:rFonts w:cs="Calibri"/>
        </w:rPr>
        <w:t>(2010)</w:t>
      </w:r>
      <w:r w:rsidR="0051258F">
        <w:rPr>
          <w:rFonts w:cs="Calibri"/>
        </w:rPr>
        <w:t>,</w:t>
      </w:r>
      <w:r w:rsidRPr="002A1E3C">
        <w:rPr>
          <w:rFonts w:cs="Calibri"/>
        </w:rPr>
        <w:t xml:space="preserve"> </w:t>
      </w:r>
      <w:r w:rsidR="00072A36">
        <w:rPr>
          <w:rFonts w:cs="Calibri"/>
        </w:rPr>
        <w:t>‘</w:t>
      </w:r>
      <w:r w:rsidRPr="002A1E3C">
        <w:rPr>
          <w:rFonts w:cs="Calibri"/>
        </w:rPr>
        <w:t>National Pensions Framework</w:t>
      </w:r>
      <w:r w:rsidR="00072A36">
        <w:rPr>
          <w:rFonts w:cs="Calibri"/>
        </w:rPr>
        <w:t>’,</w:t>
      </w:r>
      <w:r w:rsidRPr="002A1E3C">
        <w:rPr>
          <w:rFonts w:cs="Calibri"/>
        </w:rPr>
        <w:t xml:space="preserve"> Dublin: Stationary Office.</w:t>
      </w:r>
      <w:proofErr w:type="gramEnd"/>
    </w:p>
    <w:p w:rsidR="00C41EFC" w:rsidRPr="002A1E3C" w:rsidRDefault="00C41EFC" w:rsidP="0029201E">
      <w:pPr>
        <w:spacing w:line="480" w:lineRule="auto"/>
        <w:rPr>
          <w:rFonts w:cs="Calibri"/>
        </w:rPr>
      </w:pPr>
      <w:proofErr w:type="spellStart"/>
      <w:r w:rsidRPr="002A1E3C">
        <w:rPr>
          <w:rFonts w:cs="Calibri"/>
        </w:rPr>
        <w:t>Huges</w:t>
      </w:r>
      <w:proofErr w:type="spellEnd"/>
      <w:r w:rsidRPr="002A1E3C">
        <w:rPr>
          <w:rFonts w:cs="Calibri"/>
        </w:rPr>
        <w:t>, I., Clancy,</w:t>
      </w:r>
      <w:r w:rsidR="009E6606">
        <w:rPr>
          <w:rFonts w:cs="Calibri"/>
        </w:rPr>
        <w:t xml:space="preserve"> P., </w:t>
      </w:r>
      <w:r w:rsidRPr="002A1E3C">
        <w:rPr>
          <w:rFonts w:cs="Calibri"/>
        </w:rPr>
        <w:t>Harris,</w:t>
      </w:r>
      <w:r w:rsidR="009E6606">
        <w:rPr>
          <w:rFonts w:cs="Calibri"/>
        </w:rPr>
        <w:t xml:space="preserve"> C.</w:t>
      </w:r>
      <w:r w:rsidRPr="002A1E3C">
        <w:rPr>
          <w:rFonts w:cs="Calibri"/>
        </w:rPr>
        <w:t xml:space="preserve"> &amp; </w:t>
      </w:r>
      <w:proofErr w:type="spellStart"/>
      <w:r w:rsidRPr="002A1E3C">
        <w:rPr>
          <w:rFonts w:cs="Calibri"/>
        </w:rPr>
        <w:t>Beetham</w:t>
      </w:r>
      <w:proofErr w:type="spellEnd"/>
      <w:r w:rsidRPr="002A1E3C">
        <w:rPr>
          <w:rFonts w:cs="Calibri"/>
        </w:rPr>
        <w:t>,</w:t>
      </w:r>
      <w:r w:rsidR="009E6606">
        <w:rPr>
          <w:rFonts w:cs="Calibri"/>
        </w:rPr>
        <w:t xml:space="preserve"> D.</w:t>
      </w:r>
      <w:r w:rsidRPr="002A1E3C">
        <w:rPr>
          <w:rFonts w:cs="Calibri"/>
        </w:rPr>
        <w:t xml:space="preserve"> (2007)</w:t>
      </w:r>
      <w:r w:rsidR="00072A36">
        <w:rPr>
          <w:rFonts w:cs="Calibri"/>
        </w:rPr>
        <w:t>,</w:t>
      </w:r>
      <w:r w:rsidRPr="002A1E3C">
        <w:rPr>
          <w:rFonts w:cs="Calibri"/>
        </w:rPr>
        <w:t xml:space="preserve"> </w:t>
      </w:r>
      <w:r w:rsidR="008C260D" w:rsidRPr="008C260D">
        <w:rPr>
          <w:rFonts w:cs="Calibri"/>
          <w:i/>
        </w:rPr>
        <w:t>Power to the people? Assessing democracy in Ireland</w:t>
      </w:r>
      <w:r w:rsidR="00072A36">
        <w:rPr>
          <w:rFonts w:cs="Calibri"/>
          <w:i/>
        </w:rPr>
        <w:t>,</w:t>
      </w:r>
      <w:r w:rsidRPr="002A1E3C">
        <w:rPr>
          <w:rFonts w:cs="Calibri"/>
        </w:rPr>
        <w:t xml:space="preserve"> Dublin: TASC.</w:t>
      </w:r>
    </w:p>
    <w:p w:rsidR="00C41EFC" w:rsidRPr="002A1E3C" w:rsidRDefault="00C41EFC" w:rsidP="0029201E">
      <w:pPr>
        <w:spacing w:line="480" w:lineRule="auto"/>
        <w:rPr>
          <w:rFonts w:cs="Calibri"/>
        </w:rPr>
      </w:pPr>
      <w:r w:rsidRPr="002A1E3C">
        <w:rPr>
          <w:rFonts w:cs="Calibri"/>
        </w:rPr>
        <w:lastRenderedPageBreak/>
        <w:t>Katz, S. (1992)</w:t>
      </w:r>
      <w:r w:rsidR="0051258F">
        <w:rPr>
          <w:rFonts w:cs="Calibri"/>
        </w:rPr>
        <w:t>,</w:t>
      </w:r>
      <w:r w:rsidRPr="002A1E3C">
        <w:rPr>
          <w:rFonts w:cs="Calibri"/>
        </w:rPr>
        <w:t xml:space="preserve"> </w:t>
      </w:r>
      <w:r w:rsidR="00072A36">
        <w:rPr>
          <w:rFonts w:cs="Calibri"/>
        </w:rPr>
        <w:t>‘</w:t>
      </w:r>
      <w:r w:rsidRPr="002A1E3C">
        <w:rPr>
          <w:rFonts w:cs="Calibri"/>
        </w:rPr>
        <w:t>Alarmist demography: power knowledge and the elderly population</w:t>
      </w:r>
      <w:r w:rsidR="00072A36">
        <w:rPr>
          <w:rFonts w:cs="Calibri"/>
        </w:rPr>
        <w:t>’,</w:t>
      </w:r>
      <w:r w:rsidRPr="002A1E3C">
        <w:rPr>
          <w:rFonts w:cs="Calibri"/>
        </w:rPr>
        <w:t xml:space="preserve"> </w:t>
      </w:r>
      <w:r w:rsidRPr="002A1E3C">
        <w:rPr>
          <w:rFonts w:cs="Calibri"/>
          <w:i/>
        </w:rPr>
        <w:t xml:space="preserve">Journal of Aging Studies, </w:t>
      </w:r>
      <w:r w:rsidR="008C260D" w:rsidRPr="008C260D">
        <w:rPr>
          <w:rFonts w:cs="Calibri"/>
          <w:b/>
        </w:rPr>
        <w:t>6</w:t>
      </w:r>
      <w:r w:rsidR="00072A36">
        <w:rPr>
          <w:rFonts w:cs="Calibri"/>
        </w:rPr>
        <w:t xml:space="preserve"> </w:t>
      </w:r>
      <w:r w:rsidRPr="002A1E3C">
        <w:rPr>
          <w:rFonts w:cs="Calibri"/>
        </w:rPr>
        <w:t>(3), 203-225.</w:t>
      </w:r>
    </w:p>
    <w:p w:rsidR="00C41EFC" w:rsidRPr="002A1E3C" w:rsidRDefault="00C41EFC" w:rsidP="0029201E">
      <w:pPr>
        <w:spacing w:line="480" w:lineRule="auto"/>
        <w:rPr>
          <w:rFonts w:cs="Calibri"/>
        </w:rPr>
      </w:pPr>
      <w:proofErr w:type="spellStart"/>
      <w:r w:rsidRPr="002A1E3C">
        <w:rPr>
          <w:rFonts w:cs="Calibri"/>
        </w:rPr>
        <w:t>Marinetto</w:t>
      </w:r>
      <w:proofErr w:type="spellEnd"/>
      <w:r w:rsidRPr="002A1E3C">
        <w:rPr>
          <w:rFonts w:cs="Calibri"/>
        </w:rPr>
        <w:t>, M. (2003)</w:t>
      </w:r>
      <w:r w:rsidR="0051258F">
        <w:rPr>
          <w:rFonts w:cs="Calibri"/>
        </w:rPr>
        <w:t>,</w:t>
      </w:r>
      <w:r w:rsidRPr="002A1E3C">
        <w:rPr>
          <w:rFonts w:cs="Calibri"/>
        </w:rPr>
        <w:t xml:space="preserve"> </w:t>
      </w:r>
      <w:r w:rsidR="00072A36">
        <w:rPr>
          <w:rFonts w:cs="Calibri"/>
        </w:rPr>
        <w:t>‘</w:t>
      </w:r>
      <w:r w:rsidRPr="002A1E3C">
        <w:rPr>
          <w:rFonts w:cs="Calibri"/>
        </w:rPr>
        <w:t xml:space="preserve">Who wants to be an active citizen? </w:t>
      </w:r>
      <w:proofErr w:type="gramStart"/>
      <w:r w:rsidRPr="002A1E3C">
        <w:rPr>
          <w:rFonts w:cs="Calibri"/>
        </w:rPr>
        <w:t>The politics and practices of community involvement</w:t>
      </w:r>
      <w:r w:rsidR="00072A36">
        <w:rPr>
          <w:rFonts w:cs="Calibri"/>
        </w:rPr>
        <w:t>’,</w:t>
      </w:r>
      <w:r w:rsidRPr="002A1E3C">
        <w:rPr>
          <w:rFonts w:cs="Calibri"/>
        </w:rPr>
        <w:t xml:space="preserve"> </w:t>
      </w:r>
      <w:r w:rsidRPr="002A1E3C">
        <w:rPr>
          <w:rFonts w:cs="Calibri"/>
          <w:i/>
        </w:rPr>
        <w:t xml:space="preserve">Sociology, </w:t>
      </w:r>
      <w:r w:rsidR="008C260D" w:rsidRPr="008C260D">
        <w:rPr>
          <w:rFonts w:cs="Calibri"/>
          <w:b/>
          <w:i/>
        </w:rPr>
        <w:t>37</w:t>
      </w:r>
      <w:r w:rsidR="00A67284">
        <w:rPr>
          <w:rFonts w:cs="Calibri"/>
          <w:b/>
          <w:i/>
        </w:rPr>
        <w:t xml:space="preserve"> </w:t>
      </w:r>
      <w:r w:rsidR="008C260D" w:rsidRPr="008C260D">
        <w:rPr>
          <w:rFonts w:cs="Calibri"/>
          <w:i/>
        </w:rPr>
        <w:t>(1)</w:t>
      </w:r>
      <w:r w:rsidRPr="00A67284">
        <w:rPr>
          <w:rFonts w:cs="Calibri"/>
        </w:rPr>
        <w:t>,</w:t>
      </w:r>
      <w:r w:rsidRPr="002A1E3C">
        <w:rPr>
          <w:rFonts w:cs="Calibri"/>
        </w:rPr>
        <w:t xml:space="preserve"> 103</w:t>
      </w:r>
      <w:bookmarkStart w:id="0" w:name="_GoBack"/>
      <w:bookmarkEnd w:id="0"/>
      <w:r w:rsidRPr="002A1E3C">
        <w:rPr>
          <w:rFonts w:cs="Calibri"/>
        </w:rPr>
        <w:t>-120.</w:t>
      </w:r>
      <w:proofErr w:type="gramEnd"/>
    </w:p>
    <w:p w:rsidR="00C41EFC" w:rsidRPr="002A1E3C" w:rsidRDefault="00C41EFC" w:rsidP="0029201E">
      <w:pPr>
        <w:spacing w:line="480" w:lineRule="auto"/>
        <w:rPr>
          <w:rFonts w:cs="Calibri"/>
        </w:rPr>
      </w:pPr>
      <w:r w:rsidRPr="002A1E3C">
        <w:rPr>
          <w:rFonts w:cs="Calibri"/>
        </w:rPr>
        <w:t xml:space="preserve">Miles, M. B., &amp; </w:t>
      </w:r>
      <w:proofErr w:type="spellStart"/>
      <w:r w:rsidRPr="002A1E3C">
        <w:rPr>
          <w:rFonts w:cs="Calibri"/>
        </w:rPr>
        <w:t>Huberman</w:t>
      </w:r>
      <w:proofErr w:type="spellEnd"/>
      <w:r w:rsidRPr="002A1E3C">
        <w:rPr>
          <w:rFonts w:cs="Calibri"/>
        </w:rPr>
        <w:t>,</w:t>
      </w:r>
      <w:r w:rsidR="009E6606" w:rsidRPr="009E6606">
        <w:rPr>
          <w:rFonts w:cs="Calibri"/>
        </w:rPr>
        <w:t xml:space="preserve"> </w:t>
      </w:r>
      <w:r w:rsidR="009E6606" w:rsidRPr="002A1E3C">
        <w:rPr>
          <w:rFonts w:cs="Calibri"/>
        </w:rPr>
        <w:t>A. M</w:t>
      </w:r>
      <w:r w:rsidRPr="002A1E3C">
        <w:rPr>
          <w:rFonts w:cs="Calibri"/>
        </w:rPr>
        <w:t>. (1994)</w:t>
      </w:r>
      <w:r w:rsidR="0051258F">
        <w:rPr>
          <w:rFonts w:cs="Calibri"/>
        </w:rPr>
        <w:t>,</w:t>
      </w:r>
      <w:r w:rsidRPr="002A1E3C">
        <w:rPr>
          <w:rFonts w:cs="Calibri"/>
        </w:rPr>
        <w:t xml:space="preserve"> </w:t>
      </w:r>
      <w:proofErr w:type="gramStart"/>
      <w:r w:rsidRPr="002A1E3C">
        <w:rPr>
          <w:rFonts w:cs="Calibri"/>
          <w:i/>
        </w:rPr>
        <w:t>An</w:t>
      </w:r>
      <w:proofErr w:type="gramEnd"/>
      <w:r w:rsidRPr="002A1E3C">
        <w:rPr>
          <w:rFonts w:cs="Calibri"/>
          <w:i/>
        </w:rPr>
        <w:t xml:space="preserve"> expanded sourcebook: Qualitative Data Analysis</w:t>
      </w:r>
      <w:r w:rsidR="00072A36">
        <w:rPr>
          <w:rFonts w:cs="Calibri"/>
        </w:rPr>
        <w:t>,</w:t>
      </w:r>
      <w:r w:rsidRPr="002A1E3C">
        <w:rPr>
          <w:rFonts w:cs="Calibri"/>
        </w:rPr>
        <w:t xml:space="preserve"> Thousand Oaks, CA: Sage Publications.</w:t>
      </w:r>
    </w:p>
    <w:p w:rsidR="00C41EFC" w:rsidRDefault="00C41EFC" w:rsidP="0029201E">
      <w:pPr>
        <w:spacing w:line="480" w:lineRule="auto"/>
        <w:rPr>
          <w:rFonts w:cs="Calibri"/>
        </w:rPr>
      </w:pPr>
      <w:r w:rsidRPr="002A1E3C">
        <w:rPr>
          <w:rFonts w:cs="Calibri"/>
        </w:rPr>
        <w:t>Murphy, M. (2006)</w:t>
      </w:r>
      <w:r w:rsidR="0051258F">
        <w:rPr>
          <w:rFonts w:cs="Calibri"/>
        </w:rPr>
        <w:t>,</w:t>
      </w:r>
      <w:r w:rsidRPr="002A1E3C">
        <w:rPr>
          <w:rFonts w:cs="Calibri"/>
        </w:rPr>
        <w:t xml:space="preserve"> </w:t>
      </w:r>
      <w:r w:rsidR="00072A36">
        <w:rPr>
          <w:rFonts w:cs="Calibri"/>
        </w:rPr>
        <w:t>‘</w:t>
      </w:r>
      <w:r w:rsidRPr="002A1E3C">
        <w:rPr>
          <w:rFonts w:cs="Calibri"/>
        </w:rPr>
        <w:t xml:space="preserve">The emerging Irish workfare state </w:t>
      </w:r>
      <w:r w:rsidR="001A3FF1">
        <w:rPr>
          <w:rFonts w:cs="Calibri"/>
        </w:rPr>
        <w:t xml:space="preserve">and its implications for local </w:t>
      </w:r>
      <w:r w:rsidRPr="002A1E3C">
        <w:rPr>
          <w:rFonts w:cs="Calibri"/>
        </w:rPr>
        <w:t>development</w:t>
      </w:r>
      <w:r w:rsidR="00072A36">
        <w:rPr>
          <w:rFonts w:cs="Calibri"/>
        </w:rPr>
        <w:t>’,</w:t>
      </w:r>
      <w:r w:rsidRPr="002A1E3C">
        <w:rPr>
          <w:rFonts w:cs="Calibri"/>
        </w:rPr>
        <w:t xml:space="preserve"> </w:t>
      </w:r>
      <w:r w:rsidR="00072A36">
        <w:rPr>
          <w:rFonts w:cs="Calibri"/>
        </w:rPr>
        <w:t>i</w:t>
      </w:r>
      <w:r w:rsidRPr="002A1E3C">
        <w:rPr>
          <w:rFonts w:cs="Calibri"/>
        </w:rPr>
        <w:t xml:space="preserve">n D. Jacobson, P. Kirby &amp; D. Ó </w:t>
      </w:r>
      <w:proofErr w:type="spellStart"/>
      <w:r w:rsidRPr="002A1E3C">
        <w:rPr>
          <w:rFonts w:cs="Calibri"/>
        </w:rPr>
        <w:t>Broin</w:t>
      </w:r>
      <w:proofErr w:type="spellEnd"/>
      <w:r w:rsidRPr="002A1E3C">
        <w:rPr>
          <w:rFonts w:cs="Calibri"/>
        </w:rPr>
        <w:t xml:space="preserve"> (</w:t>
      </w:r>
      <w:proofErr w:type="spellStart"/>
      <w:proofErr w:type="gramStart"/>
      <w:r w:rsidR="00072A36">
        <w:rPr>
          <w:rFonts w:cs="Calibri"/>
        </w:rPr>
        <w:t>e</w:t>
      </w:r>
      <w:r w:rsidRPr="002A1E3C">
        <w:rPr>
          <w:rFonts w:cs="Calibri"/>
        </w:rPr>
        <w:t>ds</w:t>
      </w:r>
      <w:proofErr w:type="spellEnd"/>
      <w:proofErr w:type="gramEnd"/>
      <w:r w:rsidRPr="002A1E3C">
        <w:rPr>
          <w:rFonts w:cs="Calibri"/>
        </w:rPr>
        <w:t xml:space="preserve">), </w:t>
      </w:r>
      <w:r w:rsidRPr="002A1E3C">
        <w:rPr>
          <w:rFonts w:cs="Calibri"/>
          <w:i/>
        </w:rPr>
        <w:t>Taming the tiger: Social Exclusion in a globalised Ireland</w:t>
      </w:r>
      <w:r w:rsidRPr="002A1E3C">
        <w:rPr>
          <w:rFonts w:cs="Calibri"/>
        </w:rPr>
        <w:t xml:space="preserve">. Dublin: </w:t>
      </w:r>
      <w:proofErr w:type="spellStart"/>
      <w:r w:rsidRPr="002A1E3C">
        <w:rPr>
          <w:rFonts w:cs="Calibri"/>
        </w:rPr>
        <w:t>Tasc</w:t>
      </w:r>
      <w:proofErr w:type="spellEnd"/>
      <w:r w:rsidR="001C1D5F">
        <w:rPr>
          <w:rFonts w:cs="Calibri"/>
        </w:rPr>
        <w:t xml:space="preserve">, </w:t>
      </w:r>
      <w:r w:rsidR="001C1D5F" w:rsidRPr="002A1E3C">
        <w:rPr>
          <w:rFonts w:cs="Calibri"/>
        </w:rPr>
        <w:t>pp. 85-111</w:t>
      </w:r>
      <w:r w:rsidRPr="002A1E3C">
        <w:rPr>
          <w:rFonts w:cs="Calibri"/>
        </w:rPr>
        <w:t>.</w:t>
      </w:r>
    </w:p>
    <w:p w:rsidR="00877FDD" w:rsidRPr="002A1E3C" w:rsidRDefault="00877FDD" w:rsidP="0029201E">
      <w:pPr>
        <w:spacing w:line="480" w:lineRule="auto"/>
        <w:rPr>
          <w:rFonts w:cs="Calibri"/>
        </w:rPr>
      </w:pPr>
      <w:r>
        <w:rPr>
          <w:rFonts w:cs="Calibri"/>
        </w:rPr>
        <w:t>National Pensions Board (1993)</w:t>
      </w:r>
      <w:r w:rsidR="00A46582">
        <w:rPr>
          <w:rFonts w:cs="Calibri"/>
        </w:rPr>
        <w:t xml:space="preserve"> Developing the national pension system: Final report of the National Pensions Board. Dublin: Stationery Office. </w:t>
      </w:r>
    </w:p>
    <w:p w:rsidR="00C41EFC" w:rsidRPr="002A1E3C" w:rsidRDefault="001A3FF1" w:rsidP="0029201E">
      <w:pPr>
        <w:spacing w:line="480" w:lineRule="auto"/>
        <w:rPr>
          <w:rFonts w:cs="Calibri"/>
        </w:rPr>
      </w:pPr>
      <w:r>
        <w:rPr>
          <w:rFonts w:cs="Calibri"/>
        </w:rPr>
        <w:t xml:space="preserve">O' </w:t>
      </w:r>
      <w:proofErr w:type="spellStart"/>
      <w:r w:rsidR="00C41EFC" w:rsidRPr="002A1E3C">
        <w:rPr>
          <w:rFonts w:cs="Calibri"/>
        </w:rPr>
        <w:t>Malley</w:t>
      </w:r>
      <w:proofErr w:type="spellEnd"/>
      <w:r w:rsidR="00C41EFC" w:rsidRPr="002A1E3C">
        <w:rPr>
          <w:rFonts w:cs="Calibri"/>
        </w:rPr>
        <w:t xml:space="preserve">, E., &amp; McGrath, </w:t>
      </w:r>
      <w:r w:rsidR="009E6606">
        <w:rPr>
          <w:rFonts w:cs="Calibri"/>
        </w:rPr>
        <w:t xml:space="preserve">C. </w:t>
      </w:r>
      <w:r w:rsidR="00C41EFC" w:rsidRPr="002A1E3C">
        <w:rPr>
          <w:rFonts w:cs="Calibri"/>
        </w:rPr>
        <w:t>(2008)</w:t>
      </w:r>
      <w:r w:rsidR="0051258F">
        <w:rPr>
          <w:rFonts w:cs="Calibri"/>
        </w:rPr>
        <w:t>,</w:t>
      </w:r>
      <w:r w:rsidR="00C41EFC" w:rsidRPr="002A1E3C">
        <w:rPr>
          <w:rFonts w:cs="Calibri"/>
        </w:rPr>
        <w:t xml:space="preserve"> </w:t>
      </w:r>
      <w:r w:rsidR="00072A36">
        <w:rPr>
          <w:rFonts w:cs="Calibri"/>
        </w:rPr>
        <w:t>‘</w:t>
      </w:r>
      <w:r w:rsidR="00C41EFC" w:rsidRPr="002A1E3C">
        <w:rPr>
          <w:rFonts w:cs="Calibri"/>
        </w:rPr>
        <w:t>Politics in Ireland, 1982-2007</w:t>
      </w:r>
      <w:r w:rsidR="00072A36">
        <w:rPr>
          <w:rFonts w:cs="Calibri"/>
        </w:rPr>
        <w:t>’,</w:t>
      </w:r>
      <w:r w:rsidR="00C41EFC" w:rsidRPr="002A1E3C">
        <w:rPr>
          <w:rFonts w:cs="Calibri"/>
        </w:rPr>
        <w:t xml:space="preserve"> </w:t>
      </w:r>
      <w:r w:rsidR="00072A36">
        <w:rPr>
          <w:rFonts w:cs="Calibri"/>
        </w:rPr>
        <w:t>i</w:t>
      </w:r>
      <w:r w:rsidR="00C41EFC" w:rsidRPr="002A1E3C">
        <w:rPr>
          <w:rFonts w:cs="Calibri"/>
        </w:rPr>
        <w:t xml:space="preserve">n C. McGrath &amp; O. </w:t>
      </w:r>
      <w:proofErr w:type="spellStart"/>
      <w:r w:rsidR="00C41EFC" w:rsidRPr="002A1E3C">
        <w:rPr>
          <w:rFonts w:cs="Calibri"/>
        </w:rPr>
        <w:t>Malley</w:t>
      </w:r>
      <w:proofErr w:type="spellEnd"/>
      <w:r w:rsidR="00C41EFC" w:rsidRPr="002A1E3C">
        <w:rPr>
          <w:rFonts w:cs="Calibri"/>
        </w:rPr>
        <w:t xml:space="preserve"> (</w:t>
      </w:r>
      <w:proofErr w:type="spellStart"/>
      <w:proofErr w:type="gramStart"/>
      <w:r w:rsidR="00072A36">
        <w:rPr>
          <w:rFonts w:cs="Calibri"/>
        </w:rPr>
        <w:t>e</w:t>
      </w:r>
      <w:r w:rsidR="00C41EFC" w:rsidRPr="002A1E3C">
        <w:rPr>
          <w:rFonts w:cs="Calibri"/>
        </w:rPr>
        <w:t>ds</w:t>
      </w:r>
      <w:proofErr w:type="spellEnd"/>
      <w:proofErr w:type="gramEnd"/>
      <w:r w:rsidR="00C41EFC" w:rsidRPr="002A1E3C">
        <w:rPr>
          <w:rFonts w:cs="Calibri"/>
        </w:rPr>
        <w:t xml:space="preserve">), </w:t>
      </w:r>
      <w:r w:rsidR="00C41EFC" w:rsidRPr="002A1E3C">
        <w:rPr>
          <w:rFonts w:cs="Calibri"/>
          <w:i/>
        </w:rPr>
        <w:t>Irish political studies reader</w:t>
      </w:r>
      <w:r w:rsidR="009E6606">
        <w:rPr>
          <w:rFonts w:cs="Calibri"/>
        </w:rPr>
        <w:t>,</w:t>
      </w:r>
      <w:r w:rsidR="00C41EFC" w:rsidRPr="002A1E3C">
        <w:rPr>
          <w:rFonts w:cs="Calibri"/>
        </w:rPr>
        <w:t xml:space="preserve"> London: </w:t>
      </w:r>
      <w:proofErr w:type="spellStart"/>
      <w:r w:rsidR="00C41EFC" w:rsidRPr="002A1E3C">
        <w:rPr>
          <w:rFonts w:cs="Calibri"/>
        </w:rPr>
        <w:t>Routledge</w:t>
      </w:r>
      <w:proofErr w:type="spellEnd"/>
      <w:r w:rsidR="00A67284">
        <w:rPr>
          <w:rFonts w:cs="Calibri"/>
        </w:rPr>
        <w:t>,</w:t>
      </w:r>
      <w:r w:rsidR="00A67284" w:rsidRPr="00A67284">
        <w:rPr>
          <w:rFonts w:cs="Calibri"/>
        </w:rPr>
        <w:t xml:space="preserve"> </w:t>
      </w:r>
      <w:r w:rsidR="00A67284" w:rsidRPr="002A1E3C">
        <w:rPr>
          <w:rFonts w:cs="Calibri"/>
        </w:rPr>
        <w:t>pp. 1-12</w:t>
      </w:r>
      <w:r w:rsidR="00C41EFC" w:rsidRPr="002A1E3C">
        <w:rPr>
          <w:rFonts w:cs="Calibri"/>
        </w:rPr>
        <w:t>.</w:t>
      </w:r>
    </w:p>
    <w:p w:rsidR="00C41EFC" w:rsidRPr="002A1E3C" w:rsidRDefault="00C41EFC" w:rsidP="0029201E">
      <w:pPr>
        <w:spacing w:line="480" w:lineRule="auto"/>
        <w:rPr>
          <w:rFonts w:cs="Calibri"/>
        </w:rPr>
      </w:pPr>
      <w:r w:rsidRPr="002A1E3C">
        <w:rPr>
          <w:rFonts w:cs="Calibri"/>
        </w:rPr>
        <w:t>OECD (2002)</w:t>
      </w:r>
      <w:r w:rsidR="0051258F">
        <w:rPr>
          <w:rFonts w:cs="Calibri"/>
        </w:rPr>
        <w:t>,</w:t>
      </w:r>
      <w:r w:rsidRPr="002A1E3C">
        <w:rPr>
          <w:rFonts w:cs="Calibri"/>
        </w:rPr>
        <w:t xml:space="preserve"> </w:t>
      </w:r>
      <w:r w:rsidR="008C260D" w:rsidRPr="008C260D">
        <w:rPr>
          <w:rFonts w:cs="Calibri"/>
          <w:i/>
        </w:rPr>
        <w:t>Public Sector Transparency and Accountability Making it Happen,</w:t>
      </w:r>
      <w:r w:rsidRPr="002A1E3C">
        <w:rPr>
          <w:rFonts w:cs="Calibri"/>
        </w:rPr>
        <w:t xml:space="preserve"> Paris: OECD.</w:t>
      </w:r>
    </w:p>
    <w:p w:rsidR="00C41EFC" w:rsidRPr="002A1E3C" w:rsidRDefault="00C41EFC" w:rsidP="0029201E">
      <w:pPr>
        <w:spacing w:line="480" w:lineRule="auto"/>
        <w:rPr>
          <w:rFonts w:cs="Calibri"/>
        </w:rPr>
      </w:pPr>
      <w:r w:rsidRPr="002A1E3C">
        <w:rPr>
          <w:rFonts w:cs="Calibri"/>
        </w:rPr>
        <w:t>OECD (2009)</w:t>
      </w:r>
      <w:r w:rsidR="0051258F">
        <w:rPr>
          <w:rFonts w:cs="Calibri"/>
        </w:rPr>
        <w:t>,</w:t>
      </w:r>
      <w:r w:rsidRPr="002A1E3C">
        <w:rPr>
          <w:rFonts w:cs="Calibri"/>
        </w:rPr>
        <w:t xml:space="preserve"> </w:t>
      </w:r>
      <w:r w:rsidR="008C260D" w:rsidRPr="008C260D">
        <w:rPr>
          <w:rFonts w:cs="Calibri"/>
          <w:i/>
        </w:rPr>
        <w:t>Focus on citizens: Public engagement for better policy and services</w:t>
      </w:r>
      <w:r w:rsidR="00072A36">
        <w:rPr>
          <w:rFonts w:cs="Calibri"/>
          <w:i/>
        </w:rPr>
        <w:t>,</w:t>
      </w:r>
      <w:r w:rsidRPr="002A1E3C">
        <w:rPr>
          <w:rFonts w:cs="Calibri"/>
        </w:rPr>
        <w:t xml:space="preserve"> Paris: OECD.</w:t>
      </w:r>
    </w:p>
    <w:p w:rsidR="00C41EFC" w:rsidRPr="002A1E3C" w:rsidRDefault="00C41EFC" w:rsidP="0029201E">
      <w:pPr>
        <w:spacing w:line="480" w:lineRule="auto"/>
        <w:rPr>
          <w:rFonts w:cs="Calibri"/>
        </w:rPr>
      </w:pPr>
      <w:proofErr w:type="spellStart"/>
      <w:r w:rsidRPr="002A1E3C">
        <w:rPr>
          <w:rFonts w:cs="Calibri"/>
        </w:rPr>
        <w:t>Phillipson</w:t>
      </w:r>
      <w:proofErr w:type="spellEnd"/>
      <w:r w:rsidRPr="002A1E3C">
        <w:rPr>
          <w:rFonts w:cs="Calibri"/>
        </w:rPr>
        <w:t>, C. (2002)</w:t>
      </w:r>
      <w:r w:rsidR="0051258F">
        <w:rPr>
          <w:rFonts w:cs="Calibri"/>
        </w:rPr>
        <w:t>,</w:t>
      </w:r>
      <w:r w:rsidRPr="002A1E3C">
        <w:rPr>
          <w:rFonts w:cs="Calibri"/>
        </w:rPr>
        <w:t xml:space="preserve"> </w:t>
      </w:r>
      <w:r w:rsidR="00072A36">
        <w:rPr>
          <w:rFonts w:cs="Calibri"/>
        </w:rPr>
        <w:t>‘</w:t>
      </w:r>
      <w:r w:rsidRPr="002A1E3C">
        <w:rPr>
          <w:rFonts w:cs="Calibri"/>
        </w:rPr>
        <w:t>Ageism and globalization: Citizenship and social right</w:t>
      </w:r>
      <w:r w:rsidR="001A3FF1">
        <w:rPr>
          <w:rFonts w:cs="Calibri"/>
        </w:rPr>
        <w:t>s in transnational settings</w:t>
      </w:r>
      <w:r w:rsidR="00072A36">
        <w:rPr>
          <w:rFonts w:cs="Calibri"/>
        </w:rPr>
        <w:t>’,</w:t>
      </w:r>
      <w:r w:rsidR="001A3FF1">
        <w:rPr>
          <w:rFonts w:cs="Calibri"/>
        </w:rPr>
        <w:t xml:space="preserve"> </w:t>
      </w:r>
      <w:r w:rsidR="00072A36">
        <w:rPr>
          <w:rFonts w:cs="Calibri"/>
        </w:rPr>
        <w:t>i</w:t>
      </w:r>
      <w:r w:rsidR="001A3FF1">
        <w:rPr>
          <w:rFonts w:cs="Calibri"/>
        </w:rPr>
        <w:t xml:space="preserve">n </w:t>
      </w:r>
      <w:r w:rsidRPr="002A1E3C">
        <w:rPr>
          <w:rFonts w:cs="Calibri"/>
        </w:rPr>
        <w:t>L. Andersson (</w:t>
      </w:r>
      <w:proofErr w:type="spellStart"/>
      <w:proofErr w:type="gramStart"/>
      <w:r w:rsidR="00072A36">
        <w:rPr>
          <w:rFonts w:cs="Calibri"/>
        </w:rPr>
        <w:t>e</w:t>
      </w:r>
      <w:r w:rsidRPr="002A1E3C">
        <w:rPr>
          <w:rFonts w:cs="Calibri"/>
        </w:rPr>
        <w:t>d</w:t>
      </w:r>
      <w:proofErr w:type="spellEnd"/>
      <w:proofErr w:type="gramEnd"/>
      <w:r w:rsidRPr="002A1E3C">
        <w:rPr>
          <w:rFonts w:cs="Calibri"/>
        </w:rPr>
        <w:t xml:space="preserve">), </w:t>
      </w:r>
      <w:r w:rsidRPr="002A1E3C">
        <w:rPr>
          <w:rFonts w:cs="Calibri"/>
          <w:i/>
        </w:rPr>
        <w:t>Cultural Gerontology</w:t>
      </w:r>
      <w:r w:rsidR="00072A36">
        <w:rPr>
          <w:rFonts w:cs="Calibri"/>
        </w:rPr>
        <w:t>,</w:t>
      </w:r>
      <w:r w:rsidRPr="002A1E3C">
        <w:rPr>
          <w:rFonts w:cs="Calibri"/>
        </w:rPr>
        <w:t xml:space="preserve"> Westport, Connecticut: Auburn House</w:t>
      </w:r>
      <w:r w:rsidR="001C1D5F">
        <w:rPr>
          <w:rFonts w:cs="Calibri"/>
        </w:rPr>
        <w:t xml:space="preserve">, </w:t>
      </w:r>
      <w:r w:rsidR="001C1D5F" w:rsidRPr="002A1E3C">
        <w:rPr>
          <w:rFonts w:cs="Calibri"/>
        </w:rPr>
        <w:t>pp. 45-58</w:t>
      </w:r>
      <w:r w:rsidRPr="002A1E3C">
        <w:rPr>
          <w:rFonts w:cs="Calibri"/>
        </w:rPr>
        <w:t>.</w:t>
      </w:r>
    </w:p>
    <w:p w:rsidR="00C41EFC" w:rsidRPr="002A1E3C" w:rsidRDefault="00C41EFC" w:rsidP="0029201E">
      <w:pPr>
        <w:spacing w:line="480" w:lineRule="auto"/>
        <w:rPr>
          <w:rFonts w:cs="Calibri"/>
        </w:rPr>
      </w:pPr>
      <w:r w:rsidRPr="002A1E3C">
        <w:rPr>
          <w:rFonts w:cs="Calibri"/>
        </w:rPr>
        <w:t>Pierce, M. (2008)</w:t>
      </w:r>
      <w:r w:rsidR="001C1D5F">
        <w:rPr>
          <w:rFonts w:cs="Calibri"/>
        </w:rPr>
        <w:t>,</w:t>
      </w:r>
      <w:r w:rsidRPr="002A1E3C">
        <w:rPr>
          <w:rFonts w:cs="Calibri"/>
        </w:rPr>
        <w:t xml:space="preserve"> </w:t>
      </w:r>
      <w:r w:rsidR="00072A36">
        <w:rPr>
          <w:rFonts w:cs="Calibri"/>
        </w:rPr>
        <w:t>‘</w:t>
      </w:r>
      <w:r w:rsidRPr="002A1E3C">
        <w:rPr>
          <w:rFonts w:cs="Calibri"/>
        </w:rPr>
        <w:t>Constructions of ageing in Irish social policy</w:t>
      </w:r>
      <w:r w:rsidR="00072A36">
        <w:rPr>
          <w:rFonts w:cs="Calibri"/>
        </w:rPr>
        <w:t>’,</w:t>
      </w:r>
      <w:r w:rsidRPr="002A1E3C">
        <w:rPr>
          <w:rFonts w:cs="Calibri"/>
        </w:rPr>
        <w:t xml:space="preserve"> </w:t>
      </w:r>
      <w:r w:rsidR="00072A36">
        <w:rPr>
          <w:rFonts w:cs="Calibri"/>
        </w:rPr>
        <w:t>i</w:t>
      </w:r>
      <w:r w:rsidRPr="002A1E3C">
        <w:rPr>
          <w:rFonts w:cs="Calibri"/>
        </w:rPr>
        <w:t xml:space="preserve">n P. Kennedy &amp; S. </w:t>
      </w:r>
      <w:proofErr w:type="spellStart"/>
      <w:r w:rsidRPr="002A1E3C">
        <w:rPr>
          <w:rFonts w:cs="Calibri"/>
        </w:rPr>
        <w:t>Quin</w:t>
      </w:r>
      <w:proofErr w:type="spellEnd"/>
      <w:r w:rsidRPr="002A1E3C">
        <w:rPr>
          <w:rFonts w:cs="Calibri"/>
        </w:rPr>
        <w:t xml:space="preserve"> (</w:t>
      </w:r>
      <w:proofErr w:type="spellStart"/>
      <w:proofErr w:type="gramStart"/>
      <w:r w:rsidR="00072A36">
        <w:rPr>
          <w:rFonts w:cs="Calibri"/>
        </w:rPr>
        <w:t>e</w:t>
      </w:r>
      <w:r w:rsidRPr="002A1E3C">
        <w:rPr>
          <w:rFonts w:cs="Calibri"/>
        </w:rPr>
        <w:t>ds</w:t>
      </w:r>
      <w:proofErr w:type="spellEnd"/>
      <w:proofErr w:type="gramEnd"/>
      <w:r w:rsidRPr="002A1E3C">
        <w:rPr>
          <w:rFonts w:cs="Calibri"/>
        </w:rPr>
        <w:t xml:space="preserve">), </w:t>
      </w:r>
      <w:r w:rsidRPr="002A1E3C">
        <w:rPr>
          <w:rFonts w:cs="Calibri"/>
          <w:i/>
        </w:rPr>
        <w:t>Ageing and Social Policy in Ireland</w:t>
      </w:r>
      <w:r w:rsidR="00072A36">
        <w:rPr>
          <w:rFonts w:cs="Calibri"/>
        </w:rPr>
        <w:t>,</w:t>
      </w:r>
      <w:r w:rsidRPr="002A1E3C">
        <w:rPr>
          <w:rFonts w:cs="Calibri"/>
        </w:rPr>
        <w:t xml:space="preserve"> Dublin</w:t>
      </w:r>
      <w:r w:rsidR="00072A36">
        <w:rPr>
          <w:rFonts w:cs="Calibri"/>
        </w:rPr>
        <w:t>:</w:t>
      </w:r>
      <w:r w:rsidRPr="002A1E3C">
        <w:rPr>
          <w:rFonts w:cs="Calibri"/>
        </w:rPr>
        <w:t xml:space="preserve"> University College Dublin Press</w:t>
      </w:r>
      <w:r w:rsidR="001C1D5F">
        <w:rPr>
          <w:rFonts w:cs="Calibri"/>
        </w:rPr>
        <w:t>,</w:t>
      </w:r>
      <w:r w:rsidR="001C1D5F" w:rsidRPr="001C1D5F">
        <w:rPr>
          <w:rFonts w:cs="Calibri"/>
        </w:rPr>
        <w:t xml:space="preserve"> </w:t>
      </w:r>
      <w:r w:rsidR="001C1D5F" w:rsidRPr="002A1E3C">
        <w:rPr>
          <w:rFonts w:cs="Calibri"/>
        </w:rPr>
        <w:t>pp. 5 -19</w:t>
      </w:r>
      <w:r w:rsidRPr="002A1E3C">
        <w:rPr>
          <w:rFonts w:cs="Calibri"/>
        </w:rPr>
        <w:t>.</w:t>
      </w:r>
    </w:p>
    <w:p w:rsidR="00C41EFC" w:rsidRDefault="00C41EFC" w:rsidP="0029201E">
      <w:pPr>
        <w:spacing w:line="480" w:lineRule="auto"/>
        <w:rPr>
          <w:rFonts w:cs="Calibri"/>
        </w:rPr>
      </w:pPr>
      <w:r w:rsidRPr="002A1E3C">
        <w:rPr>
          <w:rFonts w:cs="Calibri"/>
        </w:rPr>
        <w:t>Pierce, M., &amp; Timonen,</w:t>
      </w:r>
      <w:r w:rsidR="009E6606">
        <w:rPr>
          <w:rFonts w:cs="Calibri"/>
        </w:rPr>
        <w:t xml:space="preserve"> V.</w:t>
      </w:r>
      <w:r w:rsidRPr="002A1E3C">
        <w:rPr>
          <w:rFonts w:cs="Calibri"/>
        </w:rPr>
        <w:t xml:space="preserve"> (2010)</w:t>
      </w:r>
      <w:r w:rsidR="001C1D5F">
        <w:rPr>
          <w:rFonts w:cs="Calibri"/>
        </w:rPr>
        <w:t>,</w:t>
      </w:r>
      <w:r w:rsidRPr="002A1E3C">
        <w:rPr>
          <w:rFonts w:cs="Calibri"/>
        </w:rPr>
        <w:t xml:space="preserve"> </w:t>
      </w:r>
      <w:r w:rsidR="00072A36">
        <w:rPr>
          <w:rFonts w:cs="Calibri"/>
        </w:rPr>
        <w:t>‘</w:t>
      </w:r>
      <w:r w:rsidRPr="002A1E3C">
        <w:rPr>
          <w:rFonts w:cs="Calibri"/>
        </w:rPr>
        <w:t>A discussion paper on theories of ageing</w:t>
      </w:r>
      <w:r w:rsidR="00072A36">
        <w:rPr>
          <w:rFonts w:cs="Calibri"/>
        </w:rPr>
        <w:t>’,</w:t>
      </w:r>
      <w:r w:rsidRPr="002A1E3C">
        <w:rPr>
          <w:rFonts w:cs="Calibri"/>
        </w:rPr>
        <w:t xml:space="preserve"> Dublin: Centre for Ageing Research and Development in Ireland.</w:t>
      </w:r>
    </w:p>
    <w:p w:rsidR="00CE21AC" w:rsidRPr="002A1E3C" w:rsidRDefault="00CE21AC" w:rsidP="0029201E">
      <w:pPr>
        <w:spacing w:line="480" w:lineRule="auto"/>
        <w:rPr>
          <w:rFonts w:cs="Calibri"/>
        </w:rPr>
      </w:pPr>
      <w:r w:rsidRPr="00C22595">
        <w:t>Pierson, P. (1994), Dismantling the Welfare State? Reagan, Thatcher and the Politics of Retrenchment, Cambridge: Cambridge University Press.</w:t>
      </w:r>
    </w:p>
    <w:p w:rsidR="00C41EFC" w:rsidRPr="00135CE1" w:rsidRDefault="00C41EFC" w:rsidP="0029201E">
      <w:pPr>
        <w:spacing w:line="480" w:lineRule="auto"/>
        <w:rPr>
          <w:rFonts w:cs="Calibri"/>
        </w:rPr>
      </w:pPr>
      <w:r w:rsidRPr="002A1E3C">
        <w:rPr>
          <w:rFonts w:cs="Calibri"/>
        </w:rPr>
        <w:lastRenderedPageBreak/>
        <w:t>Putnam, R. (2000)</w:t>
      </w:r>
      <w:r w:rsidR="001C1D5F">
        <w:rPr>
          <w:rFonts w:cs="Calibri"/>
        </w:rPr>
        <w:t>,</w:t>
      </w:r>
      <w:r w:rsidRPr="002A1E3C">
        <w:rPr>
          <w:rFonts w:cs="Calibri"/>
        </w:rPr>
        <w:t xml:space="preserve"> </w:t>
      </w:r>
      <w:r w:rsidRPr="002A1E3C">
        <w:rPr>
          <w:rFonts w:cs="Calibri"/>
          <w:i/>
        </w:rPr>
        <w:t>Bowling Alone: The Collapse and Revival of American Community</w:t>
      </w:r>
      <w:r w:rsidR="00135CE1">
        <w:rPr>
          <w:rFonts w:cs="Calibri"/>
          <w:i/>
        </w:rPr>
        <w:t>,</w:t>
      </w:r>
      <w:r w:rsidR="00135CE1">
        <w:rPr>
          <w:rFonts w:cs="Calibri"/>
        </w:rPr>
        <w:t xml:space="preserve"> New York: Simon and Schuster.</w:t>
      </w:r>
    </w:p>
    <w:p w:rsidR="00C41EFC" w:rsidRPr="002A1E3C" w:rsidRDefault="00C41EFC" w:rsidP="0029201E">
      <w:pPr>
        <w:spacing w:line="480" w:lineRule="auto"/>
        <w:rPr>
          <w:rFonts w:cs="Calibri"/>
        </w:rPr>
      </w:pPr>
      <w:r w:rsidRPr="002A1E3C">
        <w:rPr>
          <w:rFonts w:cs="Calibri"/>
        </w:rPr>
        <w:t>Quinn, O. (2008)</w:t>
      </w:r>
      <w:r w:rsidR="001C1D5F">
        <w:rPr>
          <w:rFonts w:cs="Calibri"/>
        </w:rPr>
        <w:t>,</w:t>
      </w:r>
      <w:r w:rsidRPr="002A1E3C">
        <w:rPr>
          <w:rFonts w:cs="Calibri"/>
        </w:rPr>
        <w:t xml:space="preserve"> </w:t>
      </w:r>
      <w:r w:rsidRPr="002A1E3C">
        <w:rPr>
          <w:rFonts w:cs="Calibri"/>
          <w:i/>
        </w:rPr>
        <w:t>Advisers or advocates? The impact of state agencies on social policy</w:t>
      </w:r>
      <w:r w:rsidR="00072A36">
        <w:rPr>
          <w:rFonts w:cs="Calibri"/>
        </w:rPr>
        <w:t>,</w:t>
      </w:r>
      <w:r w:rsidRPr="002A1E3C">
        <w:rPr>
          <w:rFonts w:cs="Calibri"/>
        </w:rPr>
        <w:t xml:space="preserve"> </w:t>
      </w:r>
      <w:r w:rsidRPr="002A1E3C">
        <w:rPr>
          <w:rFonts w:cs="Calibri"/>
        </w:rPr>
        <w:tab/>
        <w:t>Dublin:</w:t>
      </w:r>
      <w:r w:rsidR="0085250A">
        <w:rPr>
          <w:rFonts w:cs="Calibri"/>
        </w:rPr>
        <w:t xml:space="preserve"> </w:t>
      </w:r>
      <w:r w:rsidRPr="002A1E3C">
        <w:rPr>
          <w:rFonts w:cs="Calibri"/>
        </w:rPr>
        <w:t>Irish Institute of Public Administration.</w:t>
      </w:r>
    </w:p>
    <w:p w:rsidR="00C41EFC" w:rsidRPr="002A1E3C" w:rsidRDefault="00C41EFC" w:rsidP="0029201E">
      <w:pPr>
        <w:spacing w:line="480" w:lineRule="auto"/>
        <w:rPr>
          <w:rFonts w:cs="Calibri"/>
        </w:rPr>
      </w:pPr>
      <w:r w:rsidRPr="002A1E3C">
        <w:rPr>
          <w:rFonts w:cs="Calibri"/>
        </w:rPr>
        <w:t>Strauss, A. M., &amp; Corbin,</w:t>
      </w:r>
      <w:r w:rsidR="009E6606">
        <w:rPr>
          <w:rFonts w:cs="Calibri"/>
        </w:rPr>
        <w:t xml:space="preserve"> J.</w:t>
      </w:r>
      <w:r w:rsidRPr="002A1E3C">
        <w:rPr>
          <w:rFonts w:cs="Calibri"/>
        </w:rPr>
        <w:t xml:space="preserve"> (1990)</w:t>
      </w:r>
      <w:r w:rsidR="001C1D5F">
        <w:rPr>
          <w:rFonts w:cs="Calibri"/>
        </w:rPr>
        <w:t>,</w:t>
      </w:r>
      <w:r w:rsidRPr="002A1E3C">
        <w:rPr>
          <w:rFonts w:cs="Calibri"/>
        </w:rPr>
        <w:t xml:space="preserve"> </w:t>
      </w:r>
      <w:r w:rsidRPr="002A1E3C">
        <w:rPr>
          <w:rFonts w:cs="Calibri"/>
          <w:i/>
        </w:rPr>
        <w:t>Basics of qualitative research</w:t>
      </w:r>
      <w:r w:rsidR="00072A36">
        <w:rPr>
          <w:rFonts w:cs="Calibri"/>
        </w:rPr>
        <w:t>,</w:t>
      </w:r>
      <w:r w:rsidRPr="002A1E3C">
        <w:rPr>
          <w:rFonts w:cs="Calibri"/>
        </w:rPr>
        <w:t xml:space="preserve"> Newbury Park, CA: Sage.</w:t>
      </w:r>
    </w:p>
    <w:p w:rsidR="00C41EFC" w:rsidRDefault="00C41EFC" w:rsidP="0029201E">
      <w:pPr>
        <w:spacing w:line="480" w:lineRule="auto"/>
        <w:rPr>
          <w:rFonts w:cs="Calibri"/>
        </w:rPr>
      </w:pPr>
      <w:proofErr w:type="spellStart"/>
      <w:proofErr w:type="gramStart"/>
      <w:r w:rsidRPr="002A1E3C">
        <w:rPr>
          <w:rFonts w:cs="Calibri"/>
        </w:rPr>
        <w:t>Tepe</w:t>
      </w:r>
      <w:proofErr w:type="spellEnd"/>
      <w:r w:rsidRPr="002A1E3C">
        <w:rPr>
          <w:rFonts w:cs="Calibri"/>
        </w:rPr>
        <w:t xml:space="preserve">, M. and </w:t>
      </w:r>
      <w:proofErr w:type="spellStart"/>
      <w:r w:rsidRPr="002A1E3C">
        <w:rPr>
          <w:rFonts w:cs="Calibri"/>
        </w:rPr>
        <w:t>Vanhuysse</w:t>
      </w:r>
      <w:proofErr w:type="spellEnd"/>
      <w:r w:rsidRPr="002A1E3C">
        <w:rPr>
          <w:rFonts w:cs="Calibri"/>
        </w:rPr>
        <w:t xml:space="preserve">, </w:t>
      </w:r>
      <w:r w:rsidR="009E6606">
        <w:rPr>
          <w:rFonts w:cs="Calibri"/>
        </w:rPr>
        <w:t xml:space="preserve">P. </w:t>
      </w:r>
      <w:r w:rsidRPr="002A1E3C">
        <w:rPr>
          <w:rFonts w:cs="Calibri"/>
        </w:rPr>
        <w:t>(2012)</w:t>
      </w:r>
      <w:r w:rsidR="001C1D5F">
        <w:rPr>
          <w:rFonts w:cs="Calibri"/>
        </w:rPr>
        <w:t>,</w:t>
      </w:r>
      <w:r w:rsidRPr="002A1E3C">
        <w:rPr>
          <w:rFonts w:cs="Calibri"/>
        </w:rPr>
        <w:t xml:space="preserve"> ‘Accelerating smaller cutbacks to delay larger ones?</w:t>
      </w:r>
      <w:proofErr w:type="gramEnd"/>
      <w:r w:rsidRPr="002A1E3C">
        <w:rPr>
          <w:rFonts w:cs="Calibri"/>
        </w:rPr>
        <w:t xml:space="preserve"> The politics of timing and alarm bells in OECD pension generosity treatment’, </w:t>
      </w:r>
      <w:r w:rsidR="00072A36">
        <w:rPr>
          <w:rFonts w:cs="Calibri"/>
        </w:rPr>
        <w:t>i</w:t>
      </w:r>
      <w:r w:rsidRPr="002A1E3C">
        <w:rPr>
          <w:rFonts w:cs="Calibri"/>
        </w:rPr>
        <w:t xml:space="preserve">n P. </w:t>
      </w:r>
      <w:proofErr w:type="spellStart"/>
      <w:r w:rsidRPr="002A1E3C">
        <w:rPr>
          <w:rFonts w:cs="Calibri"/>
        </w:rPr>
        <w:t>Vanhuysse</w:t>
      </w:r>
      <w:proofErr w:type="spellEnd"/>
      <w:r w:rsidRPr="002A1E3C">
        <w:rPr>
          <w:rFonts w:cs="Calibri"/>
        </w:rPr>
        <w:t xml:space="preserve"> and A. Goerres (</w:t>
      </w:r>
      <w:proofErr w:type="spellStart"/>
      <w:proofErr w:type="gramStart"/>
      <w:r w:rsidR="00072A36">
        <w:rPr>
          <w:rFonts w:cs="Calibri"/>
        </w:rPr>
        <w:t>e</w:t>
      </w:r>
      <w:r w:rsidRPr="002A1E3C">
        <w:rPr>
          <w:rFonts w:cs="Calibri"/>
        </w:rPr>
        <w:t>ds</w:t>
      </w:r>
      <w:proofErr w:type="spellEnd"/>
      <w:proofErr w:type="gramEnd"/>
      <w:r w:rsidRPr="002A1E3C">
        <w:rPr>
          <w:rFonts w:cs="Calibri"/>
        </w:rPr>
        <w:t>)</w:t>
      </w:r>
      <w:r w:rsidR="00072A36">
        <w:rPr>
          <w:rFonts w:cs="Calibri"/>
        </w:rPr>
        <w:t>,</w:t>
      </w:r>
      <w:r w:rsidRPr="002A1E3C">
        <w:rPr>
          <w:rFonts w:cs="Calibri"/>
        </w:rPr>
        <w:t xml:space="preserve"> </w:t>
      </w:r>
      <w:r w:rsidRPr="002A1E3C">
        <w:rPr>
          <w:rFonts w:cs="Calibri"/>
          <w:i/>
        </w:rPr>
        <w:t>Ageing populations in post-industrial democracies: Comparative studies of policies and politics</w:t>
      </w:r>
      <w:r w:rsidRPr="002A1E3C">
        <w:rPr>
          <w:rFonts w:cs="Calibri"/>
        </w:rPr>
        <w:t>.</w:t>
      </w:r>
      <w:r w:rsidR="00F44ACD">
        <w:rPr>
          <w:rFonts w:cs="Calibri"/>
        </w:rPr>
        <w:t xml:space="preserve"> </w:t>
      </w:r>
      <w:r w:rsidRPr="002A1E3C">
        <w:rPr>
          <w:rFonts w:cs="Calibri"/>
        </w:rPr>
        <w:t xml:space="preserve">Abingdon and New York: </w:t>
      </w:r>
      <w:proofErr w:type="spellStart"/>
      <w:r w:rsidRPr="002A1E3C">
        <w:rPr>
          <w:rFonts w:cs="Calibri"/>
        </w:rPr>
        <w:t>Routledge</w:t>
      </w:r>
      <w:proofErr w:type="spellEnd"/>
      <w:r w:rsidR="001C1D5F">
        <w:rPr>
          <w:rFonts w:cs="Calibri"/>
        </w:rPr>
        <w:t>,</w:t>
      </w:r>
      <w:r w:rsidR="001C1D5F" w:rsidRPr="001C1D5F">
        <w:rPr>
          <w:rFonts w:cs="Calibri"/>
        </w:rPr>
        <w:t xml:space="preserve"> </w:t>
      </w:r>
      <w:r w:rsidR="001C1D5F">
        <w:rPr>
          <w:rFonts w:cs="Calibri"/>
        </w:rPr>
        <w:t>pp.</w:t>
      </w:r>
      <w:r w:rsidR="00B542F3">
        <w:rPr>
          <w:rFonts w:cs="Calibri"/>
        </w:rPr>
        <w:t xml:space="preserve"> 127-</w:t>
      </w:r>
      <w:proofErr w:type="gramStart"/>
      <w:r w:rsidR="00B542F3">
        <w:rPr>
          <w:rFonts w:cs="Calibri"/>
        </w:rPr>
        <w:t>144</w:t>
      </w:r>
      <w:r w:rsidR="001C1D5F">
        <w:rPr>
          <w:rFonts w:cs="Calibri"/>
        </w:rPr>
        <w:t xml:space="preserve"> </w:t>
      </w:r>
      <w:r w:rsidRPr="002A1E3C">
        <w:rPr>
          <w:rFonts w:cs="Calibri"/>
        </w:rPr>
        <w:t>.</w:t>
      </w:r>
      <w:proofErr w:type="gramEnd"/>
    </w:p>
    <w:p w:rsidR="00877FDD" w:rsidRPr="00A46582" w:rsidRDefault="006222D3" w:rsidP="0029201E">
      <w:pPr>
        <w:spacing w:line="480" w:lineRule="auto"/>
        <w:rPr>
          <w:rFonts w:cs="Calibri"/>
        </w:rPr>
      </w:pPr>
      <w:r w:rsidRPr="006222D3">
        <w:rPr>
          <w:rFonts w:eastAsiaTheme="minorHAnsi" w:cs="BaskervilleMT"/>
          <w:lang w:val="en-IE" w:bidi="ar-SA"/>
        </w:rPr>
        <w:t>Thane, P. (</w:t>
      </w:r>
      <w:r w:rsidRPr="006222D3">
        <w:rPr>
          <w:rFonts w:eastAsia="BskvillExpMT" w:cs="BskvillExpMT"/>
          <w:lang w:val="en-IE" w:bidi="ar-SA"/>
        </w:rPr>
        <w:t>2000</w:t>
      </w:r>
      <w:r w:rsidRPr="006222D3">
        <w:rPr>
          <w:rFonts w:eastAsiaTheme="minorHAnsi" w:cs="BaskervilleMT"/>
          <w:lang w:val="en-IE" w:bidi="ar-SA"/>
        </w:rPr>
        <w:t xml:space="preserve">), </w:t>
      </w:r>
      <w:r w:rsidRPr="006222D3">
        <w:rPr>
          <w:rFonts w:eastAsiaTheme="minorHAnsi" w:cs="BaskervilleMT-Italic"/>
          <w:i/>
          <w:iCs/>
          <w:lang w:val="en-IE" w:bidi="ar-SA"/>
        </w:rPr>
        <w:t>Old Age in English History</w:t>
      </w:r>
      <w:r w:rsidRPr="006222D3">
        <w:rPr>
          <w:rFonts w:eastAsiaTheme="minorHAnsi" w:cs="BaskervilleMT"/>
          <w:lang w:val="en-IE" w:bidi="ar-SA"/>
        </w:rPr>
        <w:t>, Oxford: Oxford University Press.</w:t>
      </w:r>
    </w:p>
    <w:p w:rsidR="00C41EFC" w:rsidRPr="002A1E3C" w:rsidRDefault="00C41EFC" w:rsidP="0029201E">
      <w:pPr>
        <w:spacing w:line="480" w:lineRule="auto"/>
        <w:rPr>
          <w:rFonts w:cs="Calibri"/>
        </w:rPr>
      </w:pPr>
      <w:r w:rsidRPr="002A1E3C">
        <w:rPr>
          <w:rFonts w:cs="Calibri"/>
        </w:rPr>
        <w:t>United Nations (1983)</w:t>
      </w:r>
      <w:r w:rsidR="001C1D5F">
        <w:rPr>
          <w:rFonts w:cs="Calibri"/>
        </w:rPr>
        <w:t>,</w:t>
      </w:r>
      <w:r w:rsidRPr="002A1E3C">
        <w:rPr>
          <w:rFonts w:cs="Calibri"/>
        </w:rPr>
        <w:t xml:space="preserve"> </w:t>
      </w:r>
      <w:r w:rsidR="008C260D" w:rsidRPr="008C260D">
        <w:rPr>
          <w:rFonts w:cs="Calibri"/>
          <w:i/>
        </w:rPr>
        <w:t>Vienna International Action Plan on Aging</w:t>
      </w:r>
      <w:r w:rsidR="00072A36">
        <w:rPr>
          <w:rFonts w:cs="Calibri"/>
        </w:rPr>
        <w:t>,</w:t>
      </w:r>
      <w:r w:rsidRPr="002A1E3C">
        <w:rPr>
          <w:rFonts w:cs="Calibri"/>
        </w:rPr>
        <w:t xml:space="preserve"> New York: United Nations </w:t>
      </w:r>
    </w:p>
    <w:p w:rsidR="00C41EFC" w:rsidRPr="002A1E3C" w:rsidRDefault="00C41EFC" w:rsidP="0029201E">
      <w:pPr>
        <w:spacing w:line="480" w:lineRule="auto"/>
        <w:rPr>
          <w:rFonts w:cs="Calibri"/>
        </w:rPr>
      </w:pPr>
      <w:proofErr w:type="gramStart"/>
      <w:r w:rsidRPr="002A1E3C">
        <w:rPr>
          <w:rFonts w:cs="Calibri"/>
        </w:rPr>
        <w:t>United Nations (2002)</w:t>
      </w:r>
      <w:r w:rsidR="001C1D5F">
        <w:rPr>
          <w:rFonts w:cs="Calibri"/>
        </w:rPr>
        <w:t>,</w:t>
      </w:r>
      <w:r w:rsidRPr="002A1E3C">
        <w:rPr>
          <w:rFonts w:cs="Calibri"/>
        </w:rPr>
        <w:t xml:space="preserve"> </w:t>
      </w:r>
      <w:r w:rsidR="008C260D" w:rsidRPr="008C260D">
        <w:rPr>
          <w:rFonts w:cs="Calibri"/>
          <w:i/>
        </w:rPr>
        <w:t>Political declaration and Madrid International Action Plan on Ageing</w:t>
      </w:r>
      <w:r w:rsidRPr="002A1E3C">
        <w:rPr>
          <w:rFonts w:cs="Calibri"/>
        </w:rPr>
        <w:t>, Second World Assembly on Ageing, Madrid Span, 8-12 April.</w:t>
      </w:r>
      <w:proofErr w:type="gramEnd"/>
      <w:r w:rsidRPr="002A1E3C">
        <w:rPr>
          <w:rFonts w:cs="Calibri"/>
        </w:rPr>
        <w:t xml:space="preserve"> New York: United Nations.</w:t>
      </w:r>
    </w:p>
    <w:p w:rsidR="00C41EFC" w:rsidRPr="009A6508" w:rsidRDefault="00C41EFC" w:rsidP="0029201E">
      <w:pPr>
        <w:spacing w:line="480" w:lineRule="auto"/>
        <w:rPr>
          <w:rFonts w:cs="Calibri"/>
        </w:rPr>
      </w:pPr>
      <w:r w:rsidRPr="009A6508">
        <w:t>Walker, A. (1998)</w:t>
      </w:r>
      <w:r w:rsidR="001C1D5F">
        <w:t>,</w:t>
      </w:r>
      <w:r w:rsidRPr="009A6508">
        <w:t xml:space="preserve"> </w:t>
      </w:r>
      <w:r w:rsidR="00072A36">
        <w:t>‘</w:t>
      </w:r>
      <w:r w:rsidRPr="009A6508">
        <w:t>Speaking for themselves: the new politics of old age in Europe</w:t>
      </w:r>
      <w:r w:rsidR="00072A36">
        <w:t>’,</w:t>
      </w:r>
      <w:r w:rsidRPr="009A6508">
        <w:t xml:space="preserve"> </w:t>
      </w:r>
      <w:r w:rsidRPr="009A6508">
        <w:rPr>
          <w:i/>
          <w:iCs/>
        </w:rPr>
        <w:t xml:space="preserve">Education and Ageing, </w:t>
      </w:r>
      <w:r w:rsidR="008C260D" w:rsidRPr="008C260D">
        <w:rPr>
          <w:b/>
          <w:iCs/>
        </w:rPr>
        <w:t>13</w:t>
      </w:r>
      <w:r w:rsidRPr="009A6508">
        <w:t>(1), 13-35.</w:t>
      </w:r>
    </w:p>
    <w:p w:rsidR="00C41EFC" w:rsidRDefault="00C41EFC" w:rsidP="0029201E">
      <w:pPr>
        <w:spacing w:line="480" w:lineRule="auto"/>
        <w:rPr>
          <w:rFonts w:cs="Calibri"/>
        </w:rPr>
      </w:pPr>
      <w:r w:rsidRPr="002A1E3C">
        <w:rPr>
          <w:rFonts w:cs="Calibri"/>
        </w:rPr>
        <w:t>Walker, A. (200</w:t>
      </w:r>
      <w:r w:rsidR="00B542F3">
        <w:rPr>
          <w:rFonts w:cs="Calibri"/>
        </w:rPr>
        <w:t>6</w:t>
      </w:r>
      <w:r w:rsidRPr="002A1E3C">
        <w:rPr>
          <w:rFonts w:cs="Calibri"/>
        </w:rPr>
        <w:t>a)</w:t>
      </w:r>
      <w:r w:rsidR="001C1D5F">
        <w:rPr>
          <w:rFonts w:cs="Calibri"/>
        </w:rPr>
        <w:t>,</w:t>
      </w:r>
      <w:r w:rsidRPr="002A1E3C">
        <w:rPr>
          <w:rFonts w:cs="Calibri"/>
        </w:rPr>
        <w:t xml:space="preserve"> </w:t>
      </w:r>
      <w:proofErr w:type="spellStart"/>
      <w:r w:rsidR="00072A36">
        <w:rPr>
          <w:rFonts w:cs="Calibri"/>
        </w:rPr>
        <w:t>‘</w:t>
      </w:r>
      <w:r w:rsidRPr="002A1E3C">
        <w:rPr>
          <w:rFonts w:cs="Calibri"/>
        </w:rPr>
        <w:t>Ageing</w:t>
      </w:r>
      <w:proofErr w:type="spellEnd"/>
      <w:r w:rsidRPr="002A1E3C">
        <w:rPr>
          <w:rFonts w:cs="Calibri"/>
        </w:rPr>
        <w:t xml:space="preserve"> and Politics: An international perspective</w:t>
      </w:r>
      <w:r w:rsidR="00072A36">
        <w:rPr>
          <w:rFonts w:cs="Calibri"/>
        </w:rPr>
        <w:t>’,</w:t>
      </w:r>
      <w:r w:rsidRPr="002A1E3C">
        <w:rPr>
          <w:rFonts w:cs="Calibri"/>
        </w:rPr>
        <w:t xml:space="preserve"> </w:t>
      </w:r>
      <w:r w:rsidR="00072A36">
        <w:rPr>
          <w:rFonts w:cs="Calibri"/>
        </w:rPr>
        <w:t>i</w:t>
      </w:r>
      <w:r w:rsidRPr="002A1E3C">
        <w:rPr>
          <w:rFonts w:cs="Calibri"/>
        </w:rPr>
        <w:t>n R. H</w:t>
      </w:r>
      <w:r w:rsidR="00072A36">
        <w:rPr>
          <w:rFonts w:cs="Calibri"/>
        </w:rPr>
        <w:t>.</w:t>
      </w:r>
      <w:r w:rsidRPr="002A1E3C">
        <w:rPr>
          <w:rFonts w:cs="Calibri"/>
        </w:rPr>
        <w:t xml:space="preserve"> </w:t>
      </w:r>
      <w:proofErr w:type="spellStart"/>
      <w:r w:rsidRPr="002A1E3C">
        <w:rPr>
          <w:rFonts w:cs="Calibri"/>
        </w:rPr>
        <w:t>Binstock</w:t>
      </w:r>
      <w:proofErr w:type="spellEnd"/>
      <w:r w:rsidRPr="002A1E3C">
        <w:rPr>
          <w:rFonts w:cs="Calibri"/>
        </w:rPr>
        <w:t>, &amp; L. K. George (</w:t>
      </w:r>
      <w:proofErr w:type="spellStart"/>
      <w:proofErr w:type="gramStart"/>
      <w:r w:rsidR="00072A36">
        <w:rPr>
          <w:rFonts w:cs="Calibri"/>
        </w:rPr>
        <w:t>e</w:t>
      </w:r>
      <w:r w:rsidRPr="002A1E3C">
        <w:rPr>
          <w:rFonts w:cs="Calibri"/>
        </w:rPr>
        <w:t>ds</w:t>
      </w:r>
      <w:proofErr w:type="spellEnd"/>
      <w:proofErr w:type="gramEnd"/>
      <w:r w:rsidRPr="002A1E3C">
        <w:rPr>
          <w:rFonts w:cs="Calibri"/>
        </w:rPr>
        <w:t xml:space="preserve">), </w:t>
      </w:r>
      <w:r w:rsidR="008C260D" w:rsidRPr="008C260D">
        <w:rPr>
          <w:rFonts w:cs="Calibri"/>
          <w:i/>
        </w:rPr>
        <w:t xml:space="preserve">Handbook of Aging and the Social </w:t>
      </w:r>
      <w:proofErr w:type="spellStart"/>
      <w:r w:rsidR="008C260D" w:rsidRPr="008C260D">
        <w:rPr>
          <w:rFonts w:cs="Calibri"/>
          <w:i/>
        </w:rPr>
        <w:t>Sceince</w:t>
      </w:r>
      <w:proofErr w:type="spellEnd"/>
      <w:r w:rsidR="008C260D" w:rsidRPr="008C260D">
        <w:rPr>
          <w:rFonts w:cs="Calibri"/>
          <w:i/>
        </w:rPr>
        <w:t xml:space="preserve"> (6</w:t>
      </w:r>
      <w:r w:rsidR="008C260D" w:rsidRPr="008C260D">
        <w:rPr>
          <w:rFonts w:cs="Calibri"/>
          <w:i/>
          <w:vertAlign w:val="superscript"/>
        </w:rPr>
        <w:t>th</w:t>
      </w:r>
      <w:r w:rsidR="008C260D" w:rsidRPr="008C260D">
        <w:rPr>
          <w:rFonts w:cs="Calibri"/>
          <w:i/>
        </w:rPr>
        <w:t xml:space="preserve"> ed.)</w:t>
      </w:r>
      <w:r w:rsidR="00072A36">
        <w:rPr>
          <w:rFonts w:cs="Calibri"/>
        </w:rPr>
        <w:t>,</w:t>
      </w:r>
      <w:r w:rsidRPr="002A1E3C">
        <w:rPr>
          <w:rFonts w:cs="Calibri"/>
        </w:rPr>
        <w:t xml:space="preserve"> Burlington</w:t>
      </w:r>
      <w:r w:rsidR="00072A36">
        <w:rPr>
          <w:rFonts w:cs="Calibri"/>
        </w:rPr>
        <w:t>:</w:t>
      </w:r>
      <w:r w:rsidRPr="002A1E3C">
        <w:rPr>
          <w:rFonts w:cs="Calibri"/>
        </w:rPr>
        <w:t xml:space="preserve"> MA Elsevier</w:t>
      </w:r>
      <w:r w:rsidR="001C1D5F">
        <w:rPr>
          <w:rFonts w:cs="Calibri"/>
        </w:rPr>
        <w:t xml:space="preserve">, </w:t>
      </w:r>
      <w:r w:rsidR="001C1D5F" w:rsidRPr="002A1E3C">
        <w:rPr>
          <w:rFonts w:cs="Calibri"/>
        </w:rPr>
        <w:t>pp. 339-359</w:t>
      </w:r>
      <w:r w:rsidRPr="002A1E3C">
        <w:rPr>
          <w:rFonts w:cs="Calibri"/>
        </w:rPr>
        <w:t>.</w:t>
      </w:r>
    </w:p>
    <w:p w:rsidR="00C41EFC" w:rsidRPr="002A1E3C" w:rsidRDefault="00C41EFC" w:rsidP="0029201E">
      <w:pPr>
        <w:spacing w:line="480" w:lineRule="auto"/>
        <w:rPr>
          <w:rFonts w:cs="Calibri"/>
        </w:rPr>
      </w:pPr>
      <w:r w:rsidRPr="002A1E3C">
        <w:rPr>
          <w:rFonts w:cs="Calibri"/>
        </w:rPr>
        <w:t>Walker, A. (2006</w:t>
      </w:r>
      <w:r w:rsidR="00072A36">
        <w:rPr>
          <w:rFonts w:cs="Calibri"/>
        </w:rPr>
        <w:t>b</w:t>
      </w:r>
      <w:r w:rsidRPr="002A1E3C">
        <w:rPr>
          <w:rFonts w:cs="Calibri"/>
        </w:rPr>
        <w:t>)</w:t>
      </w:r>
      <w:r w:rsidR="001C1D5F">
        <w:rPr>
          <w:rFonts w:cs="Calibri"/>
        </w:rPr>
        <w:t>,</w:t>
      </w:r>
      <w:r w:rsidRPr="002A1E3C">
        <w:rPr>
          <w:rFonts w:cs="Calibri"/>
        </w:rPr>
        <w:t xml:space="preserve"> </w:t>
      </w:r>
      <w:r w:rsidR="00072A36">
        <w:rPr>
          <w:rFonts w:cs="Calibri"/>
        </w:rPr>
        <w:t>‘</w:t>
      </w:r>
      <w:r w:rsidRPr="002A1E3C">
        <w:rPr>
          <w:rFonts w:cs="Calibri"/>
        </w:rPr>
        <w:t>Reexamining the political economy of aging: Understanding the Structure/Agency Tension</w:t>
      </w:r>
      <w:r w:rsidR="00072A36">
        <w:rPr>
          <w:rFonts w:cs="Calibri"/>
        </w:rPr>
        <w:t>’,</w:t>
      </w:r>
      <w:r w:rsidRPr="002A1E3C">
        <w:rPr>
          <w:rFonts w:cs="Calibri"/>
        </w:rPr>
        <w:t xml:space="preserve"> </w:t>
      </w:r>
      <w:r w:rsidR="00072A36">
        <w:rPr>
          <w:rFonts w:cs="Calibri"/>
        </w:rPr>
        <w:t>i</w:t>
      </w:r>
      <w:r w:rsidRPr="002A1E3C">
        <w:rPr>
          <w:rFonts w:cs="Calibri"/>
        </w:rPr>
        <w:t xml:space="preserve">n J. </w:t>
      </w:r>
      <w:proofErr w:type="spellStart"/>
      <w:r w:rsidRPr="002A1E3C">
        <w:rPr>
          <w:rFonts w:cs="Calibri"/>
        </w:rPr>
        <w:t>Baars</w:t>
      </w:r>
      <w:proofErr w:type="spellEnd"/>
      <w:r w:rsidRPr="002A1E3C">
        <w:rPr>
          <w:rFonts w:cs="Calibri"/>
        </w:rPr>
        <w:t xml:space="preserve">, D. </w:t>
      </w:r>
      <w:proofErr w:type="spellStart"/>
      <w:r w:rsidRPr="002A1E3C">
        <w:rPr>
          <w:rFonts w:cs="Calibri"/>
        </w:rPr>
        <w:t>Danne</w:t>
      </w:r>
      <w:r w:rsidR="001A3FF1">
        <w:rPr>
          <w:rFonts w:cs="Calibri"/>
        </w:rPr>
        <w:t>fer</w:t>
      </w:r>
      <w:proofErr w:type="spellEnd"/>
      <w:r w:rsidR="001A3FF1">
        <w:rPr>
          <w:rFonts w:cs="Calibri"/>
        </w:rPr>
        <w:t xml:space="preserve">, C. </w:t>
      </w:r>
      <w:proofErr w:type="spellStart"/>
      <w:r w:rsidR="001A3FF1">
        <w:rPr>
          <w:rFonts w:cs="Calibri"/>
        </w:rPr>
        <w:t>Phillipson</w:t>
      </w:r>
      <w:proofErr w:type="spellEnd"/>
      <w:r w:rsidR="001A3FF1">
        <w:rPr>
          <w:rFonts w:cs="Calibri"/>
        </w:rPr>
        <w:t xml:space="preserve"> &amp; A. Walker (</w:t>
      </w:r>
      <w:proofErr w:type="spellStart"/>
      <w:proofErr w:type="gramStart"/>
      <w:r w:rsidR="00072A36">
        <w:rPr>
          <w:rFonts w:cs="Calibri"/>
        </w:rPr>
        <w:t>e</w:t>
      </w:r>
      <w:r w:rsidR="001A3FF1">
        <w:rPr>
          <w:rFonts w:cs="Calibri"/>
        </w:rPr>
        <w:t>ds</w:t>
      </w:r>
      <w:proofErr w:type="spellEnd"/>
      <w:proofErr w:type="gramEnd"/>
      <w:r w:rsidR="001A3FF1">
        <w:rPr>
          <w:rFonts w:cs="Calibri"/>
        </w:rPr>
        <w:t xml:space="preserve">), </w:t>
      </w:r>
      <w:r w:rsidRPr="002A1E3C">
        <w:rPr>
          <w:rFonts w:cs="Calibri"/>
          <w:i/>
        </w:rPr>
        <w:t>Aging, Globalization and inequality: The new critical gerontology</w:t>
      </w:r>
      <w:r w:rsidR="00072A36">
        <w:rPr>
          <w:rFonts w:cs="Calibri"/>
        </w:rPr>
        <w:t>,</w:t>
      </w:r>
      <w:r w:rsidR="00F44ACD">
        <w:rPr>
          <w:rFonts w:cs="Calibri"/>
        </w:rPr>
        <w:t xml:space="preserve"> </w:t>
      </w:r>
      <w:r w:rsidRPr="002A1E3C">
        <w:rPr>
          <w:rFonts w:cs="Calibri"/>
        </w:rPr>
        <w:t xml:space="preserve">Amityville, New York: </w:t>
      </w:r>
      <w:proofErr w:type="spellStart"/>
      <w:r w:rsidRPr="002A1E3C">
        <w:rPr>
          <w:rFonts w:cs="Calibri"/>
        </w:rPr>
        <w:t>Baywood</w:t>
      </w:r>
      <w:proofErr w:type="spellEnd"/>
      <w:r w:rsidRPr="002A1E3C">
        <w:rPr>
          <w:rFonts w:cs="Calibri"/>
        </w:rPr>
        <w:t xml:space="preserve"> Publishing Company</w:t>
      </w:r>
      <w:r w:rsidR="001C1D5F">
        <w:rPr>
          <w:rFonts w:cs="Calibri"/>
        </w:rPr>
        <w:t>,</w:t>
      </w:r>
      <w:r w:rsidR="001C1D5F" w:rsidRPr="001C1D5F">
        <w:rPr>
          <w:rFonts w:cs="Calibri"/>
        </w:rPr>
        <w:t xml:space="preserve"> </w:t>
      </w:r>
      <w:r w:rsidR="001C1D5F">
        <w:rPr>
          <w:rFonts w:cs="Calibri"/>
        </w:rPr>
        <w:t>pp.59-80</w:t>
      </w:r>
      <w:r w:rsidRPr="002A1E3C">
        <w:rPr>
          <w:rFonts w:cs="Calibri"/>
        </w:rPr>
        <w:t>.</w:t>
      </w:r>
    </w:p>
    <w:p w:rsidR="00C41EFC" w:rsidRPr="002A1E3C" w:rsidRDefault="00C41EFC" w:rsidP="0029201E">
      <w:pPr>
        <w:spacing w:line="480" w:lineRule="auto"/>
        <w:rPr>
          <w:rFonts w:cs="Calibri"/>
        </w:rPr>
      </w:pPr>
      <w:r w:rsidRPr="002A1E3C">
        <w:rPr>
          <w:rFonts w:cs="Calibri"/>
        </w:rPr>
        <w:t xml:space="preserve">Walker, A., &amp; </w:t>
      </w:r>
      <w:proofErr w:type="spellStart"/>
      <w:r w:rsidRPr="002A1E3C">
        <w:rPr>
          <w:rFonts w:cs="Calibri"/>
        </w:rPr>
        <w:t>Naegele</w:t>
      </w:r>
      <w:proofErr w:type="spellEnd"/>
      <w:r w:rsidRPr="002A1E3C">
        <w:rPr>
          <w:rFonts w:cs="Calibri"/>
        </w:rPr>
        <w:t>,</w:t>
      </w:r>
      <w:r w:rsidR="009E6606">
        <w:rPr>
          <w:rFonts w:cs="Calibri"/>
        </w:rPr>
        <w:t xml:space="preserve"> G.</w:t>
      </w:r>
      <w:r w:rsidRPr="002A1E3C">
        <w:rPr>
          <w:rFonts w:cs="Calibri"/>
        </w:rPr>
        <w:t xml:space="preserve"> (1999)</w:t>
      </w:r>
      <w:r w:rsidR="001C1D5F">
        <w:rPr>
          <w:rFonts w:cs="Calibri"/>
        </w:rPr>
        <w:t>,</w:t>
      </w:r>
      <w:r w:rsidRPr="002A1E3C">
        <w:rPr>
          <w:rFonts w:cs="Calibri"/>
        </w:rPr>
        <w:t xml:space="preserve"> </w:t>
      </w:r>
      <w:proofErr w:type="gramStart"/>
      <w:r w:rsidRPr="002A1E3C">
        <w:rPr>
          <w:rFonts w:cs="Calibri"/>
          <w:i/>
        </w:rPr>
        <w:t>The</w:t>
      </w:r>
      <w:proofErr w:type="gramEnd"/>
      <w:r w:rsidRPr="002A1E3C">
        <w:rPr>
          <w:rFonts w:cs="Calibri"/>
          <w:i/>
        </w:rPr>
        <w:t xml:space="preserve"> politics of old age in Europe</w:t>
      </w:r>
      <w:r w:rsidR="00072A36">
        <w:rPr>
          <w:rFonts w:cs="Calibri"/>
        </w:rPr>
        <w:t>,</w:t>
      </w:r>
      <w:r w:rsidR="001A3FF1">
        <w:rPr>
          <w:rFonts w:cs="Calibri"/>
        </w:rPr>
        <w:t xml:space="preserve"> Buckingham: Open University </w:t>
      </w:r>
      <w:r w:rsidRPr="002A1E3C">
        <w:rPr>
          <w:rFonts w:cs="Calibri"/>
        </w:rPr>
        <w:t>Press.</w:t>
      </w:r>
    </w:p>
    <w:p w:rsidR="00C41EFC" w:rsidRPr="002A1E3C" w:rsidRDefault="00C41EFC" w:rsidP="0029201E">
      <w:pPr>
        <w:spacing w:line="480" w:lineRule="auto"/>
        <w:rPr>
          <w:rFonts w:cs="Calibri"/>
        </w:rPr>
      </w:pPr>
      <w:r w:rsidRPr="002A1E3C">
        <w:rPr>
          <w:rFonts w:cs="Calibri"/>
        </w:rPr>
        <w:t>Whelan, N</w:t>
      </w:r>
      <w:r w:rsidR="009E6606">
        <w:rPr>
          <w:rFonts w:cs="Calibri"/>
        </w:rPr>
        <w:t>.</w:t>
      </w:r>
      <w:r w:rsidRPr="002A1E3C">
        <w:rPr>
          <w:rFonts w:cs="Calibri"/>
        </w:rPr>
        <w:t xml:space="preserve"> and</w:t>
      </w:r>
      <w:r w:rsidR="00072A36" w:rsidRPr="002A1E3C">
        <w:t>.</w:t>
      </w:r>
      <w:r w:rsidR="00072A36">
        <w:t xml:space="preserve"> </w:t>
      </w:r>
      <w:r w:rsidRPr="002A1E3C">
        <w:t>Maître,</w:t>
      </w:r>
      <w:r w:rsidR="009E6606">
        <w:t xml:space="preserve"> B.</w:t>
      </w:r>
      <w:r w:rsidRPr="002A1E3C">
        <w:t xml:space="preserve"> (2006)</w:t>
      </w:r>
      <w:r w:rsidR="001C1D5F">
        <w:t>,</w:t>
      </w:r>
      <w:r w:rsidRPr="002A1E3C">
        <w:t xml:space="preserve"> ‘Trends in economic vulnerability in the Republic of Ireland’, </w:t>
      </w:r>
      <w:r w:rsidRPr="002A1E3C">
        <w:rPr>
          <w:i/>
        </w:rPr>
        <w:t>The Economic and Social Review</w:t>
      </w:r>
      <w:r w:rsidRPr="002A1E3C">
        <w:t xml:space="preserve">, </w:t>
      </w:r>
      <w:r w:rsidR="008C260D" w:rsidRPr="008C260D">
        <w:rPr>
          <w:b/>
        </w:rPr>
        <w:t>37</w:t>
      </w:r>
      <w:r w:rsidRPr="002A1E3C">
        <w:t>(1): 91-119.</w:t>
      </w:r>
    </w:p>
    <w:p w:rsidR="00C41EFC" w:rsidRPr="002A1E3C" w:rsidRDefault="00C41EFC" w:rsidP="0029201E">
      <w:pPr>
        <w:spacing w:line="480" w:lineRule="auto"/>
        <w:rPr>
          <w:rFonts w:cs="Calibri"/>
        </w:rPr>
      </w:pPr>
    </w:p>
    <w:p w:rsidR="00C41EFC" w:rsidRPr="002A1E3C" w:rsidRDefault="00C41EFC" w:rsidP="0029201E">
      <w:pPr>
        <w:spacing w:line="480" w:lineRule="auto"/>
        <w:rPr>
          <w:rFonts w:eastAsia="Calibri"/>
        </w:rPr>
      </w:pPr>
    </w:p>
    <w:p w:rsidR="00C41EFC" w:rsidRDefault="00C41EFC" w:rsidP="0029201E">
      <w:pPr>
        <w:spacing w:line="480" w:lineRule="auto"/>
      </w:pPr>
    </w:p>
    <w:p w:rsidR="00D316C4" w:rsidRPr="002A1E3C" w:rsidRDefault="00D316C4" w:rsidP="0029201E">
      <w:pPr>
        <w:spacing w:line="480" w:lineRule="auto"/>
      </w:pPr>
    </w:p>
    <w:p w:rsidR="00D138B8" w:rsidRDefault="004A68CE">
      <w:pPr>
        <w:pStyle w:val="Heading2"/>
      </w:pPr>
      <w:r>
        <w:t>Endnotes</w:t>
      </w:r>
    </w:p>
    <w:sectPr w:rsidR="00D138B8" w:rsidSect="00072A36">
      <w:headerReference w:type="default" r:id="rId6"/>
      <w:footerReference w:type="default" r:id="rId7"/>
      <w:endnotePr>
        <w:numFmt w:val="decimal"/>
      </w:endnotePr>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0D1" w:rsidRDefault="00B420D1" w:rsidP="00C41EFC">
      <w:pPr>
        <w:spacing w:after="0" w:line="240" w:lineRule="auto"/>
      </w:pPr>
      <w:r>
        <w:separator/>
      </w:r>
    </w:p>
  </w:endnote>
  <w:endnote w:type="continuationSeparator" w:id="0">
    <w:p w:rsidR="00B420D1" w:rsidRDefault="00B420D1" w:rsidP="00C41EFC">
      <w:pPr>
        <w:spacing w:after="0" w:line="240" w:lineRule="auto"/>
      </w:pPr>
      <w:r>
        <w:continuationSeparator/>
      </w:r>
    </w:p>
  </w:endnote>
  <w:endnote w:id="1">
    <w:p w:rsidR="00D138B8" w:rsidRDefault="00D138B8">
      <w:pPr>
        <w:pStyle w:val="EndnoteText"/>
        <w:spacing w:line="480" w:lineRule="auto"/>
        <w:rPr>
          <w:lang w:val="en-IE"/>
        </w:rPr>
      </w:pPr>
      <w:r>
        <w:rPr>
          <w:rStyle w:val="EndnoteReference"/>
        </w:rPr>
        <w:endnoteRef/>
      </w:r>
      <w:r>
        <w:t xml:space="preserve"> </w:t>
      </w:r>
      <w:r w:rsidRPr="00B23CF4">
        <w:rPr>
          <w:rFonts w:asciiTheme="majorHAnsi" w:hAnsiTheme="majorHAnsi"/>
          <w:sz w:val="16"/>
          <w:szCs w:val="16"/>
        </w:rPr>
        <w:t xml:space="preserve">Older people’s participation and inclusion in the policy process was first promoted in the international context at the First World Assembly of Ageing in New York in 1982 </w:t>
      </w:r>
      <w:r w:rsidR="00B70474" w:rsidRPr="00B23CF4">
        <w:rPr>
          <w:rFonts w:asciiTheme="majorHAnsi" w:hAnsiTheme="majorHAnsi" w:cs="BJACKH+TimesNewRoman"/>
          <w:color w:val="000000"/>
          <w:sz w:val="16"/>
          <w:szCs w:val="16"/>
        </w:rPr>
        <w:fldChar w:fldCharType="begin"/>
      </w:r>
      <w:r w:rsidRPr="00B23CF4">
        <w:rPr>
          <w:rFonts w:asciiTheme="majorHAnsi" w:hAnsiTheme="majorHAnsi" w:cs="BJACKH+TimesNewRoman"/>
          <w:color w:val="000000"/>
          <w:sz w:val="16"/>
          <w:szCs w:val="16"/>
        </w:rPr>
        <w:instrText xml:space="preserve"> ADDIN EN.CITE &lt;EndNote&gt;&lt;Cite&gt;&lt;Author&gt;United Nations&lt;/Author&gt;&lt;Year&gt;1983&lt;/Year&gt;&lt;RecNum&gt;362&lt;/RecNum&gt;&lt;record&gt;&lt;rec-number&gt;362&lt;/rec-number&gt;&lt;foreign-keys&gt;&lt;key app="EN" db-id="vx2vrtvfwdstv1efxtzxtz9zfex09we9v0ap"&gt;362&lt;/key&gt;&lt;/foreign-keys&gt;&lt;ref-type name="Government Document"&gt;46&lt;/ref-type&gt;&lt;contributors&gt;&lt;authors&gt;&lt;author&gt;United Nations,&lt;/author&gt;&lt;/authors&gt;&lt;/contributors&gt;&lt;titles&gt;&lt;title&gt;Vienna International Action Plan on Aging&lt;/title&gt;&lt;/titles&gt;&lt;dates&gt;&lt;year&gt;1983&lt;/year&gt;&lt;/dates&gt;&lt;pub-location&gt;New York&lt;/pub-location&gt;&lt;publisher&gt;United Nations &lt;/publisher&gt;&lt;urls&gt;&lt;/urls&gt;&lt;/record&gt;&lt;/Cite&gt;&lt;/EndNote&gt;</w:instrText>
      </w:r>
      <w:r w:rsidR="00B70474" w:rsidRPr="00B23CF4">
        <w:rPr>
          <w:rFonts w:asciiTheme="majorHAnsi" w:hAnsiTheme="majorHAnsi" w:cs="BJACKH+TimesNewRoman"/>
          <w:color w:val="000000"/>
          <w:sz w:val="16"/>
          <w:szCs w:val="16"/>
        </w:rPr>
        <w:fldChar w:fldCharType="separate"/>
      </w:r>
      <w:r w:rsidRPr="00B23CF4">
        <w:rPr>
          <w:rFonts w:asciiTheme="majorHAnsi" w:hAnsiTheme="majorHAnsi" w:cs="BJACKH+TimesNewRoman"/>
          <w:color w:val="000000"/>
          <w:sz w:val="16"/>
          <w:szCs w:val="16"/>
        </w:rPr>
        <w:t>(United Nations 1983)</w:t>
      </w:r>
      <w:r w:rsidR="00B70474" w:rsidRPr="00B23CF4">
        <w:rPr>
          <w:rFonts w:asciiTheme="majorHAnsi" w:hAnsiTheme="majorHAnsi" w:cs="BJACKH+TimesNewRoman"/>
          <w:color w:val="000000"/>
          <w:sz w:val="16"/>
          <w:szCs w:val="16"/>
        </w:rPr>
        <w:fldChar w:fldCharType="end"/>
      </w:r>
      <w:r w:rsidRPr="00B23CF4">
        <w:rPr>
          <w:rFonts w:asciiTheme="majorHAnsi" w:hAnsiTheme="majorHAnsi" w:cs="BJACKH+TimesNewRoman"/>
          <w:color w:val="000000"/>
          <w:sz w:val="16"/>
          <w:szCs w:val="16"/>
        </w:rPr>
        <w:t xml:space="preserve">. </w:t>
      </w:r>
      <w:r w:rsidRPr="00B23CF4">
        <w:rPr>
          <w:rFonts w:asciiTheme="majorHAnsi" w:hAnsiTheme="majorHAnsi"/>
          <w:sz w:val="16"/>
          <w:szCs w:val="16"/>
        </w:rPr>
        <w:t xml:space="preserve">The Second World Assembly convened by the United Nations General Assembly twenty years later in 2002 adopted the Madrid International Plan on Ageing (United Nations 2002). This Plan placed significantly more emphasis on the inclusion of older people and their representative </w:t>
      </w:r>
      <w:r>
        <w:rPr>
          <w:rFonts w:asciiTheme="majorHAnsi" w:hAnsiTheme="majorHAnsi"/>
          <w:sz w:val="16"/>
          <w:szCs w:val="16"/>
        </w:rPr>
        <w:t>organizations</w:t>
      </w:r>
      <w:r w:rsidRPr="00B23CF4">
        <w:rPr>
          <w:rFonts w:asciiTheme="majorHAnsi" w:hAnsiTheme="majorHAnsi"/>
          <w:sz w:val="16"/>
          <w:szCs w:val="16"/>
        </w:rPr>
        <w:t xml:space="preserve"> in the formulation of ageing policies.</w:t>
      </w:r>
    </w:p>
    <w:p w:rsidR="00D138B8" w:rsidRDefault="00D138B8">
      <w:pPr>
        <w:pStyle w:val="EndnoteText"/>
        <w:spacing w:line="480" w:lineRule="auto"/>
        <w:rPr>
          <w:lang w:val="en-IE"/>
        </w:rPr>
      </w:pPr>
    </w:p>
  </w:endnote>
  <w:endnote w:id="2">
    <w:p w:rsidR="00D138B8" w:rsidRDefault="00D138B8">
      <w:pPr>
        <w:pStyle w:val="EndnoteText"/>
        <w:spacing w:line="480" w:lineRule="auto"/>
        <w:rPr>
          <w:lang w:val="en-IE"/>
        </w:rPr>
      </w:pPr>
      <w:r>
        <w:rPr>
          <w:rStyle w:val="EndnoteReference"/>
        </w:rPr>
        <w:endnoteRef/>
      </w:r>
      <w:r>
        <w:t xml:space="preserve"> </w:t>
      </w:r>
      <w:r w:rsidRPr="009A6508">
        <w:rPr>
          <w:rFonts w:asciiTheme="majorHAnsi" w:hAnsiTheme="majorHAnsi"/>
          <w:sz w:val="16"/>
          <w:szCs w:val="16"/>
        </w:rPr>
        <w:t xml:space="preserve">The National Council on Ageing and Older People was established </w:t>
      </w:r>
      <w:r>
        <w:rPr>
          <w:rFonts w:asciiTheme="majorHAnsi" w:hAnsiTheme="majorHAnsi"/>
          <w:sz w:val="16"/>
          <w:szCs w:val="16"/>
        </w:rPr>
        <w:t>t</w:t>
      </w:r>
      <w:r w:rsidRPr="009A6508">
        <w:rPr>
          <w:rFonts w:asciiTheme="majorHAnsi" w:hAnsiTheme="majorHAnsi"/>
          <w:sz w:val="16"/>
          <w:szCs w:val="16"/>
        </w:rPr>
        <w:t>o advise the Minister for Health and Children on all aspects of ageing and the welfare of older people</w:t>
      </w:r>
      <w:r>
        <w:rPr>
          <w:rFonts w:asciiTheme="majorHAnsi" w:hAnsiTheme="majorHAnsi"/>
          <w:sz w:val="16"/>
          <w:szCs w:val="16"/>
        </w:rPr>
        <w:t>.</w:t>
      </w:r>
    </w:p>
  </w:endnote>
  <w:endnote w:id="3">
    <w:p w:rsidR="00D138B8" w:rsidRDefault="00D138B8">
      <w:pPr>
        <w:pStyle w:val="EndnoteText"/>
        <w:spacing w:line="480" w:lineRule="auto"/>
        <w:rPr>
          <w:lang w:val="en-IE"/>
        </w:rPr>
      </w:pPr>
      <w:r>
        <w:rPr>
          <w:rStyle w:val="EndnoteReference"/>
        </w:rPr>
        <w:endnoteRef/>
      </w:r>
      <w:r>
        <w:t xml:space="preserve"> </w:t>
      </w:r>
      <w:r w:rsidRPr="009464A9">
        <w:rPr>
          <w:rFonts w:asciiTheme="majorHAnsi" w:hAnsiTheme="majorHAnsi"/>
          <w:sz w:val="16"/>
          <w:szCs w:val="16"/>
        </w:rPr>
        <w:t xml:space="preserve">A </w:t>
      </w:r>
      <w:r w:rsidRPr="00CB1BAA">
        <w:rPr>
          <w:rFonts w:asciiTheme="majorHAnsi" w:hAnsiTheme="majorHAnsi"/>
          <w:bCs/>
          <w:color w:val="000000" w:themeColor="text1"/>
          <w:sz w:val="16"/>
          <w:szCs w:val="16"/>
        </w:rPr>
        <w:t>J</w:t>
      </w:r>
      <w:r>
        <w:rPr>
          <w:rFonts w:asciiTheme="majorHAnsi" w:hAnsiTheme="majorHAnsi"/>
          <w:bCs/>
          <w:color w:val="000000" w:themeColor="text1"/>
          <w:sz w:val="16"/>
          <w:szCs w:val="16"/>
        </w:rPr>
        <w:t>unior M</w:t>
      </w:r>
      <w:r w:rsidRPr="00CB1BAA">
        <w:rPr>
          <w:rFonts w:asciiTheme="majorHAnsi" w:hAnsiTheme="majorHAnsi"/>
          <w:bCs/>
          <w:color w:val="000000" w:themeColor="text1"/>
          <w:sz w:val="16"/>
          <w:szCs w:val="16"/>
        </w:rPr>
        <w:t>inister</w:t>
      </w:r>
      <w:r w:rsidRPr="00CB1BAA">
        <w:rPr>
          <w:rFonts w:asciiTheme="majorHAnsi" w:hAnsiTheme="majorHAnsi"/>
          <w:color w:val="000000" w:themeColor="text1"/>
          <w:sz w:val="16"/>
          <w:szCs w:val="16"/>
        </w:rPr>
        <w:t xml:space="preserve"> (or </w:t>
      </w:r>
      <w:r w:rsidRPr="00CB1BAA">
        <w:rPr>
          <w:rFonts w:asciiTheme="majorHAnsi" w:hAnsiTheme="majorHAnsi"/>
          <w:bCs/>
          <w:color w:val="000000" w:themeColor="text1"/>
          <w:sz w:val="16"/>
          <w:szCs w:val="16"/>
        </w:rPr>
        <w:t>Minister of State)</w:t>
      </w:r>
      <w:r w:rsidRPr="00CB1BAA">
        <w:rPr>
          <w:rFonts w:asciiTheme="majorHAnsi" w:hAnsiTheme="majorHAnsi"/>
          <w:color w:val="000000" w:themeColor="text1"/>
          <w:sz w:val="16"/>
          <w:szCs w:val="16"/>
        </w:rPr>
        <w:t xml:space="preserve"> is of non-</w:t>
      </w:r>
      <w:hyperlink r:id="rId1" w:tooltip="Cabinet rank" w:history="1">
        <w:r w:rsidRPr="00CB1BAA">
          <w:rPr>
            <w:rStyle w:val="Hyperlink"/>
            <w:rFonts w:asciiTheme="majorHAnsi" w:hAnsiTheme="majorHAnsi"/>
            <w:color w:val="000000" w:themeColor="text1"/>
            <w:sz w:val="16"/>
            <w:szCs w:val="16"/>
            <w:u w:val="none"/>
          </w:rPr>
          <w:t>Cabinet rank</w:t>
        </w:r>
      </w:hyperlink>
      <w:r w:rsidRPr="00CB1BAA">
        <w:rPr>
          <w:rFonts w:asciiTheme="majorHAnsi" w:hAnsiTheme="majorHAnsi"/>
          <w:color w:val="000000" w:themeColor="text1"/>
          <w:sz w:val="16"/>
          <w:szCs w:val="16"/>
        </w:rPr>
        <w:t xml:space="preserve"> attached to one or more </w:t>
      </w:r>
      <w:hyperlink r:id="rId2" w:tooltip="Department of State (Ireland)" w:history="1">
        <w:r w:rsidRPr="00CB1BAA">
          <w:rPr>
            <w:rStyle w:val="Hyperlink"/>
            <w:rFonts w:asciiTheme="majorHAnsi" w:hAnsiTheme="majorHAnsi"/>
            <w:color w:val="000000" w:themeColor="text1"/>
            <w:sz w:val="16"/>
            <w:szCs w:val="16"/>
            <w:u w:val="none"/>
          </w:rPr>
          <w:t>Departments of State</w:t>
        </w:r>
      </w:hyperlink>
      <w:r w:rsidRPr="00CB1BAA">
        <w:rPr>
          <w:rFonts w:asciiTheme="majorHAnsi" w:hAnsiTheme="majorHAnsi"/>
          <w:color w:val="000000" w:themeColor="text1"/>
          <w:sz w:val="16"/>
          <w:szCs w:val="16"/>
        </w:rPr>
        <w:t xml:space="preserve"> of the </w:t>
      </w:r>
      <w:hyperlink r:id="rId3" w:tooltip="Government of Ireland" w:history="1">
        <w:r w:rsidRPr="00CB1BAA">
          <w:rPr>
            <w:rStyle w:val="Hyperlink"/>
            <w:rFonts w:asciiTheme="majorHAnsi" w:hAnsiTheme="majorHAnsi"/>
            <w:color w:val="000000" w:themeColor="text1"/>
            <w:sz w:val="16"/>
            <w:szCs w:val="16"/>
            <w:u w:val="none"/>
          </w:rPr>
          <w:t>Government of Ireland</w:t>
        </w:r>
      </w:hyperlink>
      <w:r w:rsidRPr="00CB1BAA">
        <w:rPr>
          <w:rFonts w:asciiTheme="majorHAnsi" w:hAnsiTheme="majorHAnsi"/>
          <w:color w:val="000000" w:themeColor="text1"/>
          <w:sz w:val="16"/>
          <w:szCs w:val="16"/>
        </w:rPr>
        <w:t xml:space="preserve"> and assists a </w:t>
      </w:r>
      <w:hyperlink r:id="rId4" w:tooltip="Minister (government)" w:history="1">
        <w:r w:rsidRPr="00CB1BAA">
          <w:rPr>
            <w:rStyle w:val="Hyperlink"/>
            <w:rFonts w:asciiTheme="majorHAnsi" w:hAnsiTheme="majorHAnsi"/>
            <w:color w:val="000000" w:themeColor="text1"/>
            <w:sz w:val="16"/>
            <w:szCs w:val="16"/>
            <w:u w:val="none"/>
          </w:rPr>
          <w:t>Minister of the Government</w:t>
        </w:r>
      </w:hyperlink>
    </w:p>
  </w:endnote>
  <w:endnote w:id="4">
    <w:p w:rsidR="00D138B8" w:rsidRDefault="00D138B8">
      <w:pPr>
        <w:pStyle w:val="EndnoteText"/>
        <w:spacing w:line="480" w:lineRule="auto"/>
        <w:rPr>
          <w:lang w:val="en-IE"/>
        </w:rPr>
      </w:pPr>
      <w:r>
        <w:rPr>
          <w:rStyle w:val="EndnoteReference"/>
        </w:rPr>
        <w:endnoteRef/>
      </w:r>
      <w:r>
        <w:t xml:space="preserve"> </w:t>
      </w:r>
      <w:r w:rsidRPr="00CB1BAA">
        <w:rPr>
          <w:rFonts w:asciiTheme="majorHAnsi" w:hAnsiTheme="majorHAnsi"/>
          <w:sz w:val="16"/>
          <w:szCs w:val="16"/>
        </w:rPr>
        <w:t xml:space="preserve">Social partnership grants the ‘social partners’ </w:t>
      </w:r>
      <w:r w:rsidRPr="00CB1BAA">
        <w:rPr>
          <w:rFonts w:asciiTheme="majorHAnsi" w:eastAsiaTheme="minorHAnsi" w:hAnsiTheme="majorHAnsi" w:cs="URWPalladioL-Roma"/>
          <w:sz w:val="16"/>
          <w:szCs w:val="16"/>
          <w:lang w:val="en-IE" w:bidi="ar-SA"/>
        </w:rPr>
        <w:t xml:space="preserve">(employers’ groups, trades unions, farmers and community and voluntary </w:t>
      </w:r>
      <w:r>
        <w:rPr>
          <w:rFonts w:asciiTheme="majorHAnsi" w:eastAsiaTheme="minorHAnsi" w:hAnsiTheme="majorHAnsi" w:cs="URWPalladioL-Roma"/>
          <w:sz w:val="16"/>
          <w:szCs w:val="16"/>
          <w:lang w:val="en-IE" w:bidi="ar-SA"/>
        </w:rPr>
        <w:t>organizations</w:t>
      </w:r>
      <w:r w:rsidRPr="00CB1BAA">
        <w:rPr>
          <w:rFonts w:asciiTheme="majorHAnsi" w:eastAsiaTheme="minorHAnsi" w:hAnsiTheme="majorHAnsi" w:cs="URWPalladioL-Roma"/>
          <w:sz w:val="16"/>
          <w:szCs w:val="16"/>
          <w:lang w:val="en-IE" w:bidi="ar-SA"/>
        </w:rPr>
        <w:t xml:space="preserve">) </w:t>
      </w:r>
      <w:r w:rsidRPr="00CB1BAA">
        <w:rPr>
          <w:rFonts w:asciiTheme="majorHAnsi" w:hAnsiTheme="majorHAnsi"/>
          <w:sz w:val="16"/>
          <w:szCs w:val="16"/>
        </w:rPr>
        <w:t xml:space="preserve">privileged access to policy making and input into policy discussions on issues relating to economic, </w:t>
      </w:r>
      <w:proofErr w:type="spellStart"/>
      <w:r w:rsidRPr="00CB1BAA">
        <w:rPr>
          <w:rFonts w:asciiTheme="majorHAnsi" w:hAnsiTheme="majorHAnsi"/>
          <w:sz w:val="16"/>
          <w:szCs w:val="16"/>
        </w:rPr>
        <w:t>labour</w:t>
      </w:r>
      <w:proofErr w:type="spellEnd"/>
      <w:r w:rsidRPr="00CB1BAA">
        <w:rPr>
          <w:rFonts w:asciiTheme="majorHAnsi" w:hAnsiTheme="majorHAnsi"/>
          <w:sz w:val="16"/>
          <w:szCs w:val="16"/>
        </w:rPr>
        <w:t xml:space="preserve"> market and social policies.</w:t>
      </w:r>
    </w:p>
  </w:endnote>
  <w:endnote w:id="5">
    <w:p w:rsidR="00D138B8" w:rsidRDefault="00D138B8">
      <w:pPr>
        <w:pStyle w:val="EndnoteText"/>
        <w:spacing w:line="480" w:lineRule="auto"/>
        <w:rPr>
          <w:lang w:val="en-IE"/>
        </w:rPr>
      </w:pPr>
      <w:r>
        <w:rPr>
          <w:rStyle w:val="EndnoteReference"/>
        </w:rPr>
        <w:endnoteRef/>
      </w:r>
      <w:r>
        <w:t xml:space="preserve"> </w:t>
      </w:r>
      <w:r w:rsidRPr="00B23CF4">
        <w:rPr>
          <w:sz w:val="16"/>
          <w:szCs w:val="16"/>
        </w:rPr>
        <w:t>‘</w:t>
      </w:r>
      <w:r w:rsidRPr="00B23CF4">
        <w:rPr>
          <w:rFonts w:ascii="Cambria" w:hAnsi="Cambria"/>
          <w:sz w:val="16"/>
          <w:szCs w:val="16"/>
          <w:lang w:val="en-GB"/>
        </w:rPr>
        <w:t>Public servants’ are persons working in state agencies, for example, the Health Service Executive and (former) National Council of Ageing and Older People.</w:t>
      </w:r>
    </w:p>
  </w:endnote>
  <w:endnote w:id="6">
    <w:p w:rsidR="00D138B8" w:rsidRDefault="00D138B8">
      <w:pPr>
        <w:pStyle w:val="EndnoteText"/>
        <w:spacing w:line="480" w:lineRule="auto"/>
        <w:rPr>
          <w:lang w:val="en-IE"/>
        </w:rPr>
      </w:pPr>
      <w:r>
        <w:rPr>
          <w:rStyle w:val="EndnoteReference"/>
        </w:rPr>
        <w:endnoteRef/>
      </w:r>
      <w:r>
        <w:t xml:space="preserve"> </w:t>
      </w:r>
      <w:r w:rsidRPr="00CB1BAA">
        <w:rPr>
          <w:rFonts w:asciiTheme="majorHAnsi" w:hAnsiTheme="majorHAnsi"/>
          <w:sz w:val="16"/>
          <w:szCs w:val="16"/>
        </w:rPr>
        <w:t xml:space="preserve">This argument is supported by </w:t>
      </w:r>
      <w:r w:rsidRPr="00CB1BAA">
        <w:rPr>
          <w:rFonts w:asciiTheme="majorHAnsi" w:hAnsiTheme="majorHAnsi"/>
          <w:sz w:val="16"/>
          <w:szCs w:val="16"/>
          <w:lang w:val="en-GB"/>
        </w:rPr>
        <w:t>data from the Central Statistics Office which suggests that during the period 2004 to 2009 persons aged 65 years and over moved from having the highest at risk of poverty rate (27.1%) in 2004, to the lowest at risk of poverty rate (9.6%) when compared with other age groups.</w:t>
      </w:r>
    </w:p>
  </w:endnote>
  <w:endnote w:id="7">
    <w:p w:rsidR="00D138B8" w:rsidRDefault="00D138B8">
      <w:pPr>
        <w:pStyle w:val="EndnoteText"/>
        <w:spacing w:line="480" w:lineRule="auto"/>
        <w:rPr>
          <w:lang w:val="en-IE"/>
        </w:rPr>
      </w:pPr>
      <w:r>
        <w:rPr>
          <w:rStyle w:val="EndnoteReference"/>
        </w:rPr>
        <w:endnoteRef/>
      </w:r>
      <w:r>
        <w:t xml:space="preserve"> </w:t>
      </w:r>
      <w:r w:rsidRPr="00CB1BAA">
        <w:rPr>
          <w:rFonts w:asciiTheme="majorHAnsi" w:hAnsiTheme="majorHAnsi"/>
          <w:sz w:val="16"/>
          <w:szCs w:val="16"/>
          <w:lang w:val="en-GB"/>
        </w:rPr>
        <w:t>The medical card protest occurred following proposed changes to the eligibility rules governing the medical card - a benefit which offered all persons aged 70 years and over from 2001-2008 free GP services, prescribed drugs and medicines, in-patient public hospital services, out-patient services and free medical appliances and dental, optical and aural services.</w:t>
      </w:r>
    </w:p>
  </w:endnote>
  <w:endnote w:id="8">
    <w:p w:rsidR="00D138B8" w:rsidRDefault="00D138B8">
      <w:pPr>
        <w:pStyle w:val="EndnoteText"/>
        <w:spacing w:line="480" w:lineRule="auto"/>
        <w:rPr>
          <w:lang w:val="en-IE"/>
        </w:rPr>
      </w:pPr>
      <w:r>
        <w:rPr>
          <w:rStyle w:val="EndnoteReference"/>
        </w:rPr>
        <w:endnoteRef/>
      </w:r>
      <w:r>
        <w:t xml:space="preserve"> </w:t>
      </w:r>
      <w:r w:rsidRPr="00CB1BAA">
        <w:rPr>
          <w:rFonts w:asciiTheme="majorHAnsi" w:hAnsiTheme="majorHAnsi"/>
          <w:sz w:val="16"/>
          <w:szCs w:val="16"/>
        </w:rPr>
        <w:t xml:space="preserve">Reference was made to </w:t>
      </w:r>
      <w:r>
        <w:rPr>
          <w:rFonts w:asciiTheme="majorHAnsi" w:hAnsiTheme="majorHAnsi"/>
          <w:sz w:val="16"/>
          <w:szCs w:val="16"/>
        </w:rPr>
        <w:t>organizations</w:t>
      </w:r>
      <w:r w:rsidRPr="00CB1BAA">
        <w:rPr>
          <w:rFonts w:asciiTheme="majorHAnsi" w:hAnsiTheme="majorHAnsi"/>
          <w:sz w:val="16"/>
          <w:szCs w:val="16"/>
        </w:rPr>
        <w:t xml:space="preserve"> request to extend the free travel pass available to person’s aged 66 year olds and over on Dublin’s newly created light rail system.</w:t>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JACKH+TimesNewRoman">
    <w:altName w:val="Times New Roman"/>
    <w:panose1 w:val="00000000000000000000"/>
    <w:charset w:val="00"/>
    <w:family w:val="roman"/>
    <w:notTrueType/>
    <w:pitch w:val="default"/>
    <w:sig w:usb0="00000003" w:usb1="00000000" w:usb2="00000000" w:usb3="00000000" w:csb0="00000001" w:csb1="00000000"/>
  </w:font>
  <w:font w:name="URWPalladioL-Rom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BaskervilleMT">
    <w:panose1 w:val="00000000000000000000"/>
    <w:charset w:val="00"/>
    <w:family w:val="roman"/>
    <w:notTrueType/>
    <w:pitch w:val="default"/>
    <w:sig w:usb0="00000003" w:usb1="00000000" w:usb2="00000000" w:usb3="00000000" w:csb0="00000001" w:csb1="00000000"/>
  </w:font>
  <w:font w:name="BskvillExpMT">
    <w:altName w:val="MS Mincho"/>
    <w:panose1 w:val="00000000000000000000"/>
    <w:charset w:val="80"/>
    <w:family w:val="auto"/>
    <w:notTrueType/>
    <w:pitch w:val="default"/>
    <w:sig w:usb0="00000000" w:usb1="08070000" w:usb2="00000010" w:usb3="00000000" w:csb0="00020000" w:csb1="00000000"/>
  </w:font>
  <w:font w:name="BaskervilleMT-Italic">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8B8" w:rsidRDefault="00D138B8">
    <w:pPr>
      <w:pStyle w:val="Footer"/>
      <w:jc w:val="center"/>
    </w:pPr>
  </w:p>
  <w:p w:rsidR="00D138B8" w:rsidRDefault="00D138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0D1" w:rsidRDefault="00B420D1" w:rsidP="00C41EFC">
      <w:pPr>
        <w:spacing w:after="0" w:line="240" w:lineRule="auto"/>
      </w:pPr>
      <w:r>
        <w:separator/>
      </w:r>
    </w:p>
  </w:footnote>
  <w:footnote w:type="continuationSeparator" w:id="0">
    <w:p w:rsidR="00B420D1" w:rsidRDefault="00B420D1" w:rsidP="00C41E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1287"/>
      <w:docPartObj>
        <w:docPartGallery w:val="Page Numbers (Top of Page)"/>
        <w:docPartUnique/>
      </w:docPartObj>
    </w:sdtPr>
    <w:sdtContent>
      <w:p w:rsidR="00D138B8" w:rsidRDefault="00B70474">
        <w:pPr>
          <w:pStyle w:val="Header"/>
          <w:jc w:val="right"/>
        </w:pPr>
        <w:fldSimple w:instr=" PAGE   \* MERGEFORMAT ">
          <w:r w:rsidR="00D71B6A">
            <w:rPr>
              <w:noProof/>
            </w:rPr>
            <w:t>1</w:t>
          </w:r>
        </w:fldSimple>
      </w:p>
    </w:sdtContent>
  </w:sdt>
  <w:p w:rsidR="00D138B8" w:rsidRDefault="00D138B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rsids>
    <w:rsidRoot w:val="00C41EFC"/>
    <w:rsid w:val="00072A36"/>
    <w:rsid w:val="000A5166"/>
    <w:rsid w:val="000F30F0"/>
    <w:rsid w:val="00135CE1"/>
    <w:rsid w:val="00165726"/>
    <w:rsid w:val="001A3FF1"/>
    <w:rsid w:val="001C1D5F"/>
    <w:rsid w:val="001D5D14"/>
    <w:rsid w:val="001E6654"/>
    <w:rsid w:val="00232BD2"/>
    <w:rsid w:val="00260FFD"/>
    <w:rsid w:val="0029201E"/>
    <w:rsid w:val="002C4255"/>
    <w:rsid w:val="003231C9"/>
    <w:rsid w:val="003620A8"/>
    <w:rsid w:val="0042170C"/>
    <w:rsid w:val="00422BAB"/>
    <w:rsid w:val="00424C83"/>
    <w:rsid w:val="004A68CE"/>
    <w:rsid w:val="00504954"/>
    <w:rsid w:val="0051258F"/>
    <w:rsid w:val="005146A7"/>
    <w:rsid w:val="0053210A"/>
    <w:rsid w:val="00542125"/>
    <w:rsid w:val="005713B6"/>
    <w:rsid w:val="00594D1E"/>
    <w:rsid w:val="005B5377"/>
    <w:rsid w:val="006066A4"/>
    <w:rsid w:val="00617BD2"/>
    <w:rsid w:val="006222D3"/>
    <w:rsid w:val="00630941"/>
    <w:rsid w:val="007402A7"/>
    <w:rsid w:val="00755B56"/>
    <w:rsid w:val="007B6E15"/>
    <w:rsid w:val="007E3068"/>
    <w:rsid w:val="00812B35"/>
    <w:rsid w:val="008235F1"/>
    <w:rsid w:val="00826635"/>
    <w:rsid w:val="0085250A"/>
    <w:rsid w:val="00877FDD"/>
    <w:rsid w:val="00884B62"/>
    <w:rsid w:val="008922A0"/>
    <w:rsid w:val="008C260D"/>
    <w:rsid w:val="00964DDD"/>
    <w:rsid w:val="0099382B"/>
    <w:rsid w:val="009E6606"/>
    <w:rsid w:val="009F36E7"/>
    <w:rsid w:val="00A330BF"/>
    <w:rsid w:val="00A46582"/>
    <w:rsid w:val="00A523ED"/>
    <w:rsid w:val="00A565C1"/>
    <w:rsid w:val="00A67284"/>
    <w:rsid w:val="00B354C4"/>
    <w:rsid w:val="00B420D1"/>
    <w:rsid w:val="00B542F3"/>
    <w:rsid w:val="00B70474"/>
    <w:rsid w:val="00B83498"/>
    <w:rsid w:val="00BB65FE"/>
    <w:rsid w:val="00BE3785"/>
    <w:rsid w:val="00BF0C10"/>
    <w:rsid w:val="00C22595"/>
    <w:rsid w:val="00C34482"/>
    <w:rsid w:val="00C41EFC"/>
    <w:rsid w:val="00C9314D"/>
    <w:rsid w:val="00CB1BAA"/>
    <w:rsid w:val="00CD7963"/>
    <w:rsid w:val="00CE21AC"/>
    <w:rsid w:val="00D138B8"/>
    <w:rsid w:val="00D316C4"/>
    <w:rsid w:val="00D43713"/>
    <w:rsid w:val="00D43F76"/>
    <w:rsid w:val="00D71B6A"/>
    <w:rsid w:val="00DC356D"/>
    <w:rsid w:val="00DE5128"/>
    <w:rsid w:val="00E72888"/>
    <w:rsid w:val="00EC5E63"/>
    <w:rsid w:val="00EE4AF7"/>
    <w:rsid w:val="00EE7E6E"/>
    <w:rsid w:val="00EF767A"/>
    <w:rsid w:val="00F15D9B"/>
    <w:rsid w:val="00F24908"/>
    <w:rsid w:val="00F44ACD"/>
    <w:rsid w:val="00FA1F35"/>
    <w:rsid w:val="00FE31D7"/>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EFC"/>
    <w:pPr>
      <w:jc w:val="both"/>
    </w:pPr>
    <w:rPr>
      <w:rFonts w:asciiTheme="minorHAnsi" w:eastAsiaTheme="minorEastAsia" w:hAnsiTheme="minorHAnsi" w:cstheme="minorBidi"/>
      <w:sz w:val="20"/>
      <w:szCs w:val="20"/>
    </w:rPr>
  </w:style>
  <w:style w:type="paragraph" w:styleId="Heading1">
    <w:name w:val="heading 1"/>
    <w:basedOn w:val="Normal"/>
    <w:next w:val="Normal"/>
    <w:link w:val="Heading1Char"/>
    <w:uiPriority w:val="9"/>
    <w:qFormat/>
    <w:rsid w:val="005146A7"/>
    <w:pPr>
      <w:spacing w:before="480" w:after="0"/>
      <w:contextualSpacing/>
      <w:jc w:val="left"/>
      <w:outlineLvl w:val="0"/>
    </w:pPr>
    <w:rPr>
      <w:rFonts w:asciiTheme="majorHAnsi" w:eastAsiaTheme="minorHAnsi" w:hAnsiTheme="majorHAnsi" w:cstheme="majorBidi"/>
      <w:smallCaps/>
      <w:spacing w:val="5"/>
      <w:sz w:val="36"/>
      <w:szCs w:val="36"/>
      <w:lang w:val="en-IE"/>
    </w:rPr>
  </w:style>
  <w:style w:type="paragraph" w:styleId="Heading2">
    <w:name w:val="heading 2"/>
    <w:basedOn w:val="Normal"/>
    <w:next w:val="Normal"/>
    <w:link w:val="Heading2Char"/>
    <w:uiPriority w:val="9"/>
    <w:unhideWhenUsed/>
    <w:qFormat/>
    <w:rsid w:val="005146A7"/>
    <w:pPr>
      <w:spacing w:before="200" w:after="0" w:line="271" w:lineRule="auto"/>
      <w:jc w:val="left"/>
      <w:outlineLvl w:val="1"/>
    </w:pPr>
    <w:rPr>
      <w:rFonts w:asciiTheme="majorHAnsi" w:eastAsiaTheme="minorHAnsi" w:hAnsiTheme="majorHAnsi" w:cstheme="majorBidi"/>
      <w:smallCaps/>
      <w:sz w:val="28"/>
      <w:szCs w:val="28"/>
      <w:lang w:val="en-IE"/>
    </w:rPr>
  </w:style>
  <w:style w:type="paragraph" w:styleId="Heading3">
    <w:name w:val="heading 3"/>
    <w:basedOn w:val="Normal"/>
    <w:next w:val="Normal"/>
    <w:link w:val="Heading3Char"/>
    <w:uiPriority w:val="9"/>
    <w:unhideWhenUsed/>
    <w:qFormat/>
    <w:rsid w:val="005146A7"/>
    <w:pPr>
      <w:spacing w:before="200" w:after="0" w:line="271" w:lineRule="auto"/>
      <w:jc w:val="left"/>
      <w:outlineLvl w:val="2"/>
    </w:pPr>
    <w:rPr>
      <w:rFonts w:asciiTheme="majorHAnsi" w:eastAsiaTheme="minorHAnsi" w:hAnsiTheme="majorHAnsi" w:cstheme="majorBidi"/>
      <w:i/>
      <w:iCs/>
      <w:smallCaps/>
      <w:spacing w:val="5"/>
      <w:sz w:val="26"/>
      <w:szCs w:val="26"/>
      <w:lang w:val="en-IE"/>
    </w:rPr>
  </w:style>
  <w:style w:type="paragraph" w:styleId="Heading4">
    <w:name w:val="heading 4"/>
    <w:basedOn w:val="Normal"/>
    <w:next w:val="Normal"/>
    <w:link w:val="Heading4Char"/>
    <w:uiPriority w:val="9"/>
    <w:unhideWhenUsed/>
    <w:qFormat/>
    <w:rsid w:val="005146A7"/>
    <w:pPr>
      <w:spacing w:after="0" w:line="271" w:lineRule="auto"/>
      <w:jc w:val="left"/>
      <w:outlineLvl w:val="3"/>
    </w:pPr>
    <w:rPr>
      <w:rFonts w:asciiTheme="majorHAnsi" w:eastAsiaTheme="minorHAnsi" w:hAnsiTheme="majorHAnsi" w:cstheme="majorBidi"/>
      <w:b/>
      <w:bCs/>
      <w:spacing w:val="5"/>
      <w:sz w:val="24"/>
      <w:szCs w:val="24"/>
      <w:lang w:val="en-IE"/>
    </w:rPr>
  </w:style>
  <w:style w:type="paragraph" w:styleId="Heading5">
    <w:name w:val="heading 5"/>
    <w:basedOn w:val="Normal"/>
    <w:next w:val="Normal"/>
    <w:link w:val="Heading5Char"/>
    <w:uiPriority w:val="9"/>
    <w:semiHidden/>
    <w:unhideWhenUsed/>
    <w:qFormat/>
    <w:rsid w:val="005146A7"/>
    <w:pPr>
      <w:spacing w:after="0" w:line="271" w:lineRule="auto"/>
      <w:jc w:val="left"/>
      <w:outlineLvl w:val="4"/>
    </w:pPr>
    <w:rPr>
      <w:rFonts w:asciiTheme="majorHAnsi" w:eastAsiaTheme="minorHAnsi" w:hAnsiTheme="majorHAnsi" w:cstheme="majorBidi"/>
      <w:i/>
      <w:iCs/>
      <w:sz w:val="24"/>
      <w:szCs w:val="24"/>
      <w:lang w:val="en-IE"/>
    </w:rPr>
  </w:style>
  <w:style w:type="paragraph" w:styleId="Heading6">
    <w:name w:val="heading 6"/>
    <w:basedOn w:val="Normal"/>
    <w:next w:val="Normal"/>
    <w:link w:val="Heading6Char"/>
    <w:uiPriority w:val="9"/>
    <w:semiHidden/>
    <w:unhideWhenUsed/>
    <w:qFormat/>
    <w:rsid w:val="005146A7"/>
    <w:pPr>
      <w:shd w:val="clear" w:color="auto" w:fill="FFFFFF" w:themeFill="background1"/>
      <w:spacing w:after="0" w:line="271" w:lineRule="auto"/>
      <w:jc w:val="left"/>
      <w:outlineLvl w:val="5"/>
    </w:pPr>
    <w:rPr>
      <w:rFonts w:asciiTheme="majorHAnsi" w:eastAsiaTheme="minorHAnsi" w:hAnsiTheme="majorHAnsi" w:cstheme="majorBidi"/>
      <w:b/>
      <w:bCs/>
      <w:color w:val="595959" w:themeColor="text1" w:themeTint="A6"/>
      <w:spacing w:val="5"/>
      <w:sz w:val="22"/>
      <w:szCs w:val="22"/>
      <w:lang w:val="en-IE"/>
    </w:rPr>
  </w:style>
  <w:style w:type="paragraph" w:styleId="Heading7">
    <w:name w:val="heading 7"/>
    <w:basedOn w:val="Normal"/>
    <w:next w:val="Normal"/>
    <w:link w:val="Heading7Char"/>
    <w:uiPriority w:val="9"/>
    <w:semiHidden/>
    <w:unhideWhenUsed/>
    <w:qFormat/>
    <w:rsid w:val="005146A7"/>
    <w:pPr>
      <w:spacing w:after="0"/>
      <w:jc w:val="left"/>
      <w:outlineLvl w:val="6"/>
    </w:pPr>
    <w:rPr>
      <w:rFonts w:asciiTheme="majorHAnsi" w:eastAsiaTheme="minorHAnsi" w:hAnsiTheme="majorHAnsi" w:cstheme="majorBidi"/>
      <w:b/>
      <w:bCs/>
      <w:i/>
      <w:iCs/>
      <w:color w:val="5A5A5A" w:themeColor="text1" w:themeTint="A5"/>
      <w:lang w:val="en-IE"/>
    </w:rPr>
  </w:style>
  <w:style w:type="paragraph" w:styleId="Heading8">
    <w:name w:val="heading 8"/>
    <w:basedOn w:val="Normal"/>
    <w:next w:val="Normal"/>
    <w:link w:val="Heading8Char"/>
    <w:uiPriority w:val="9"/>
    <w:semiHidden/>
    <w:unhideWhenUsed/>
    <w:qFormat/>
    <w:rsid w:val="005146A7"/>
    <w:pPr>
      <w:spacing w:after="0"/>
      <w:jc w:val="left"/>
      <w:outlineLvl w:val="7"/>
    </w:pPr>
    <w:rPr>
      <w:rFonts w:asciiTheme="majorHAnsi" w:eastAsiaTheme="minorHAnsi" w:hAnsiTheme="majorHAnsi" w:cstheme="majorBidi"/>
      <w:b/>
      <w:bCs/>
      <w:color w:val="7F7F7F" w:themeColor="text1" w:themeTint="80"/>
      <w:lang w:val="en-IE"/>
    </w:rPr>
  </w:style>
  <w:style w:type="paragraph" w:styleId="Heading9">
    <w:name w:val="heading 9"/>
    <w:basedOn w:val="Normal"/>
    <w:next w:val="Normal"/>
    <w:link w:val="Heading9Char"/>
    <w:uiPriority w:val="9"/>
    <w:semiHidden/>
    <w:unhideWhenUsed/>
    <w:qFormat/>
    <w:rsid w:val="005146A7"/>
    <w:pPr>
      <w:spacing w:after="0" w:line="271" w:lineRule="auto"/>
      <w:jc w:val="left"/>
      <w:outlineLvl w:val="8"/>
    </w:pPr>
    <w:rPr>
      <w:rFonts w:asciiTheme="majorHAnsi" w:eastAsiaTheme="minorHAnsi" w:hAnsiTheme="majorHAnsi" w:cstheme="majorBidi"/>
      <w:b/>
      <w:bCs/>
      <w:i/>
      <w:iCs/>
      <w:color w:val="7F7F7F" w:themeColor="text1" w:themeTint="80"/>
      <w:sz w:val="18"/>
      <w:szCs w:val="18"/>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6A7"/>
    <w:rPr>
      <w:smallCaps/>
      <w:spacing w:val="5"/>
      <w:sz w:val="36"/>
      <w:szCs w:val="36"/>
    </w:rPr>
  </w:style>
  <w:style w:type="character" w:customStyle="1" w:styleId="Heading2Char">
    <w:name w:val="Heading 2 Char"/>
    <w:basedOn w:val="DefaultParagraphFont"/>
    <w:link w:val="Heading2"/>
    <w:uiPriority w:val="9"/>
    <w:rsid w:val="005146A7"/>
    <w:rPr>
      <w:smallCaps/>
      <w:sz w:val="28"/>
      <w:szCs w:val="28"/>
    </w:rPr>
  </w:style>
  <w:style w:type="character" w:customStyle="1" w:styleId="Heading3Char">
    <w:name w:val="Heading 3 Char"/>
    <w:basedOn w:val="DefaultParagraphFont"/>
    <w:link w:val="Heading3"/>
    <w:uiPriority w:val="9"/>
    <w:rsid w:val="005146A7"/>
    <w:rPr>
      <w:i/>
      <w:iCs/>
      <w:smallCaps/>
      <w:spacing w:val="5"/>
      <w:sz w:val="26"/>
      <w:szCs w:val="26"/>
    </w:rPr>
  </w:style>
  <w:style w:type="character" w:customStyle="1" w:styleId="Heading4Char">
    <w:name w:val="Heading 4 Char"/>
    <w:basedOn w:val="DefaultParagraphFont"/>
    <w:link w:val="Heading4"/>
    <w:uiPriority w:val="9"/>
    <w:rsid w:val="005146A7"/>
    <w:rPr>
      <w:b/>
      <w:bCs/>
      <w:spacing w:val="5"/>
      <w:sz w:val="24"/>
      <w:szCs w:val="24"/>
    </w:rPr>
  </w:style>
  <w:style w:type="character" w:customStyle="1" w:styleId="Heading5Char">
    <w:name w:val="Heading 5 Char"/>
    <w:basedOn w:val="DefaultParagraphFont"/>
    <w:link w:val="Heading5"/>
    <w:uiPriority w:val="9"/>
    <w:semiHidden/>
    <w:rsid w:val="005146A7"/>
    <w:rPr>
      <w:i/>
      <w:iCs/>
      <w:sz w:val="24"/>
      <w:szCs w:val="24"/>
    </w:rPr>
  </w:style>
  <w:style w:type="character" w:customStyle="1" w:styleId="Heading6Char">
    <w:name w:val="Heading 6 Char"/>
    <w:basedOn w:val="DefaultParagraphFont"/>
    <w:link w:val="Heading6"/>
    <w:uiPriority w:val="9"/>
    <w:semiHidden/>
    <w:rsid w:val="005146A7"/>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146A7"/>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5146A7"/>
    <w:rPr>
      <w:b/>
      <w:bCs/>
      <w:color w:val="7F7F7F" w:themeColor="text1" w:themeTint="80"/>
      <w:sz w:val="20"/>
      <w:szCs w:val="20"/>
    </w:rPr>
  </w:style>
  <w:style w:type="character" w:customStyle="1" w:styleId="Heading9Char">
    <w:name w:val="Heading 9 Char"/>
    <w:basedOn w:val="DefaultParagraphFont"/>
    <w:link w:val="Heading9"/>
    <w:uiPriority w:val="9"/>
    <w:semiHidden/>
    <w:rsid w:val="005146A7"/>
    <w:rPr>
      <w:b/>
      <w:bCs/>
      <w:i/>
      <w:iCs/>
      <w:color w:val="7F7F7F" w:themeColor="text1" w:themeTint="80"/>
      <w:sz w:val="18"/>
      <w:szCs w:val="18"/>
    </w:rPr>
  </w:style>
  <w:style w:type="paragraph" w:styleId="TOC1">
    <w:name w:val="toc 1"/>
    <w:basedOn w:val="Normal"/>
    <w:next w:val="Normal"/>
    <w:autoRedefine/>
    <w:uiPriority w:val="39"/>
    <w:unhideWhenUsed/>
    <w:qFormat/>
    <w:rsid w:val="005146A7"/>
    <w:pPr>
      <w:spacing w:after="100"/>
      <w:jc w:val="left"/>
    </w:pPr>
    <w:rPr>
      <w:rFonts w:asciiTheme="majorHAnsi" w:eastAsiaTheme="minorHAnsi" w:hAnsiTheme="majorHAnsi" w:cstheme="majorBidi"/>
      <w:sz w:val="22"/>
      <w:szCs w:val="22"/>
      <w:lang w:val="en-IE"/>
    </w:rPr>
  </w:style>
  <w:style w:type="paragraph" w:styleId="TOC2">
    <w:name w:val="toc 2"/>
    <w:basedOn w:val="Normal"/>
    <w:next w:val="Normal"/>
    <w:autoRedefine/>
    <w:uiPriority w:val="39"/>
    <w:unhideWhenUsed/>
    <w:qFormat/>
    <w:rsid w:val="005146A7"/>
    <w:pPr>
      <w:spacing w:after="100"/>
      <w:ind w:left="220"/>
      <w:jc w:val="left"/>
    </w:pPr>
    <w:rPr>
      <w:rFonts w:asciiTheme="majorHAnsi" w:eastAsiaTheme="minorHAnsi" w:hAnsiTheme="majorHAnsi" w:cstheme="majorBidi"/>
      <w:sz w:val="22"/>
      <w:szCs w:val="22"/>
      <w:lang w:val="en-IE"/>
    </w:rPr>
  </w:style>
  <w:style w:type="paragraph" w:styleId="TOC3">
    <w:name w:val="toc 3"/>
    <w:basedOn w:val="Normal"/>
    <w:next w:val="Normal"/>
    <w:autoRedefine/>
    <w:uiPriority w:val="39"/>
    <w:unhideWhenUsed/>
    <w:qFormat/>
    <w:rsid w:val="005146A7"/>
    <w:pPr>
      <w:spacing w:after="100"/>
      <w:ind w:left="440"/>
      <w:jc w:val="left"/>
    </w:pPr>
    <w:rPr>
      <w:rFonts w:asciiTheme="majorHAnsi" w:eastAsiaTheme="minorHAnsi" w:hAnsiTheme="majorHAnsi" w:cstheme="majorBidi"/>
      <w:sz w:val="22"/>
      <w:szCs w:val="22"/>
      <w:lang w:val="en-IE"/>
    </w:rPr>
  </w:style>
  <w:style w:type="paragraph" w:styleId="Title">
    <w:name w:val="Title"/>
    <w:basedOn w:val="Normal"/>
    <w:next w:val="Normal"/>
    <w:link w:val="TitleChar"/>
    <w:uiPriority w:val="10"/>
    <w:qFormat/>
    <w:rsid w:val="005146A7"/>
    <w:pPr>
      <w:spacing w:after="300" w:line="240" w:lineRule="auto"/>
      <w:contextualSpacing/>
      <w:jc w:val="left"/>
    </w:pPr>
    <w:rPr>
      <w:rFonts w:asciiTheme="majorHAnsi" w:eastAsiaTheme="minorHAnsi" w:hAnsiTheme="majorHAnsi" w:cstheme="majorBidi"/>
      <w:smallCaps/>
      <w:sz w:val="52"/>
      <w:szCs w:val="52"/>
      <w:lang w:val="en-IE"/>
    </w:rPr>
  </w:style>
  <w:style w:type="character" w:customStyle="1" w:styleId="TitleChar">
    <w:name w:val="Title Char"/>
    <w:basedOn w:val="DefaultParagraphFont"/>
    <w:link w:val="Title"/>
    <w:uiPriority w:val="10"/>
    <w:rsid w:val="005146A7"/>
    <w:rPr>
      <w:smallCaps/>
      <w:sz w:val="52"/>
      <w:szCs w:val="52"/>
    </w:rPr>
  </w:style>
  <w:style w:type="paragraph" w:styleId="Subtitle">
    <w:name w:val="Subtitle"/>
    <w:basedOn w:val="Normal"/>
    <w:next w:val="Normal"/>
    <w:link w:val="SubtitleChar"/>
    <w:uiPriority w:val="11"/>
    <w:qFormat/>
    <w:rsid w:val="005146A7"/>
    <w:pPr>
      <w:jc w:val="left"/>
    </w:pPr>
    <w:rPr>
      <w:rFonts w:asciiTheme="majorHAnsi" w:eastAsiaTheme="minorHAnsi" w:hAnsiTheme="majorHAnsi" w:cstheme="majorBidi"/>
      <w:i/>
      <w:iCs/>
      <w:smallCaps/>
      <w:spacing w:val="10"/>
      <w:sz w:val="28"/>
      <w:szCs w:val="28"/>
      <w:lang w:val="en-IE"/>
    </w:rPr>
  </w:style>
  <w:style w:type="character" w:customStyle="1" w:styleId="SubtitleChar">
    <w:name w:val="Subtitle Char"/>
    <w:basedOn w:val="DefaultParagraphFont"/>
    <w:link w:val="Subtitle"/>
    <w:uiPriority w:val="11"/>
    <w:rsid w:val="005146A7"/>
    <w:rPr>
      <w:i/>
      <w:iCs/>
      <w:smallCaps/>
      <w:spacing w:val="10"/>
      <w:sz w:val="28"/>
      <w:szCs w:val="28"/>
    </w:rPr>
  </w:style>
  <w:style w:type="character" w:styleId="Strong">
    <w:name w:val="Strong"/>
    <w:uiPriority w:val="22"/>
    <w:qFormat/>
    <w:rsid w:val="005146A7"/>
    <w:rPr>
      <w:b/>
      <w:bCs/>
    </w:rPr>
  </w:style>
  <w:style w:type="character" w:styleId="Emphasis">
    <w:name w:val="Emphasis"/>
    <w:uiPriority w:val="20"/>
    <w:qFormat/>
    <w:rsid w:val="005146A7"/>
    <w:rPr>
      <w:b/>
      <w:bCs/>
      <w:i/>
      <w:iCs/>
      <w:spacing w:val="10"/>
    </w:rPr>
  </w:style>
  <w:style w:type="paragraph" w:styleId="NoSpacing">
    <w:name w:val="No Spacing"/>
    <w:basedOn w:val="Normal"/>
    <w:link w:val="NoSpacingChar"/>
    <w:uiPriority w:val="1"/>
    <w:qFormat/>
    <w:rsid w:val="005146A7"/>
    <w:pPr>
      <w:spacing w:after="0" w:line="240" w:lineRule="auto"/>
      <w:jc w:val="left"/>
    </w:pPr>
    <w:rPr>
      <w:rFonts w:asciiTheme="majorHAnsi" w:eastAsiaTheme="minorHAnsi" w:hAnsiTheme="majorHAnsi" w:cstheme="majorBidi"/>
      <w:sz w:val="22"/>
      <w:szCs w:val="22"/>
      <w:lang w:val="en-IE"/>
    </w:rPr>
  </w:style>
  <w:style w:type="character" w:customStyle="1" w:styleId="NoSpacingChar">
    <w:name w:val="No Spacing Char"/>
    <w:basedOn w:val="DefaultParagraphFont"/>
    <w:link w:val="NoSpacing"/>
    <w:uiPriority w:val="1"/>
    <w:rsid w:val="005146A7"/>
  </w:style>
  <w:style w:type="paragraph" w:styleId="ListParagraph">
    <w:name w:val="List Paragraph"/>
    <w:basedOn w:val="Normal"/>
    <w:uiPriority w:val="34"/>
    <w:qFormat/>
    <w:rsid w:val="005146A7"/>
    <w:pPr>
      <w:ind w:left="720"/>
      <w:contextualSpacing/>
      <w:jc w:val="left"/>
    </w:pPr>
    <w:rPr>
      <w:rFonts w:asciiTheme="majorHAnsi" w:eastAsiaTheme="minorHAnsi" w:hAnsiTheme="majorHAnsi" w:cstheme="majorBidi"/>
      <w:sz w:val="22"/>
      <w:szCs w:val="22"/>
      <w:lang w:val="en-IE"/>
    </w:rPr>
  </w:style>
  <w:style w:type="paragraph" w:styleId="Quote">
    <w:name w:val="Quote"/>
    <w:basedOn w:val="Normal"/>
    <w:next w:val="Normal"/>
    <w:link w:val="QuoteChar"/>
    <w:uiPriority w:val="29"/>
    <w:qFormat/>
    <w:rsid w:val="005146A7"/>
    <w:pPr>
      <w:jc w:val="left"/>
    </w:pPr>
    <w:rPr>
      <w:rFonts w:asciiTheme="majorHAnsi" w:eastAsiaTheme="minorHAnsi" w:hAnsiTheme="majorHAnsi" w:cstheme="majorBidi"/>
      <w:i/>
      <w:iCs/>
      <w:sz w:val="22"/>
      <w:szCs w:val="22"/>
      <w:lang w:val="en-IE"/>
    </w:rPr>
  </w:style>
  <w:style w:type="character" w:customStyle="1" w:styleId="QuoteChar">
    <w:name w:val="Quote Char"/>
    <w:basedOn w:val="DefaultParagraphFont"/>
    <w:link w:val="Quote"/>
    <w:uiPriority w:val="29"/>
    <w:rsid w:val="005146A7"/>
    <w:rPr>
      <w:i/>
      <w:iCs/>
    </w:rPr>
  </w:style>
  <w:style w:type="paragraph" w:styleId="IntenseQuote">
    <w:name w:val="Intense Quote"/>
    <w:basedOn w:val="Normal"/>
    <w:next w:val="Normal"/>
    <w:link w:val="IntenseQuoteChar"/>
    <w:uiPriority w:val="30"/>
    <w:qFormat/>
    <w:rsid w:val="005146A7"/>
    <w:pPr>
      <w:pBdr>
        <w:top w:val="single" w:sz="4" w:space="10" w:color="auto"/>
        <w:bottom w:val="single" w:sz="4" w:space="10" w:color="auto"/>
      </w:pBdr>
      <w:spacing w:before="240" w:after="240" w:line="300" w:lineRule="auto"/>
      <w:ind w:left="1152" w:right="1152"/>
    </w:pPr>
    <w:rPr>
      <w:rFonts w:asciiTheme="majorHAnsi" w:eastAsiaTheme="minorHAnsi" w:hAnsiTheme="majorHAnsi" w:cstheme="majorBidi"/>
      <w:i/>
      <w:iCs/>
      <w:sz w:val="22"/>
      <w:szCs w:val="22"/>
      <w:lang w:val="en-IE"/>
    </w:rPr>
  </w:style>
  <w:style w:type="character" w:customStyle="1" w:styleId="IntenseQuoteChar">
    <w:name w:val="Intense Quote Char"/>
    <w:basedOn w:val="DefaultParagraphFont"/>
    <w:link w:val="IntenseQuote"/>
    <w:uiPriority w:val="30"/>
    <w:rsid w:val="005146A7"/>
    <w:rPr>
      <w:i/>
      <w:iCs/>
    </w:rPr>
  </w:style>
  <w:style w:type="character" w:styleId="SubtleEmphasis">
    <w:name w:val="Subtle Emphasis"/>
    <w:uiPriority w:val="19"/>
    <w:qFormat/>
    <w:rsid w:val="005146A7"/>
    <w:rPr>
      <w:i/>
      <w:iCs/>
    </w:rPr>
  </w:style>
  <w:style w:type="character" w:styleId="IntenseEmphasis">
    <w:name w:val="Intense Emphasis"/>
    <w:uiPriority w:val="21"/>
    <w:qFormat/>
    <w:rsid w:val="005146A7"/>
    <w:rPr>
      <w:b/>
      <w:bCs/>
      <w:i/>
      <w:iCs/>
    </w:rPr>
  </w:style>
  <w:style w:type="character" w:styleId="SubtleReference">
    <w:name w:val="Subtle Reference"/>
    <w:basedOn w:val="DefaultParagraphFont"/>
    <w:uiPriority w:val="31"/>
    <w:qFormat/>
    <w:rsid w:val="005146A7"/>
    <w:rPr>
      <w:smallCaps/>
    </w:rPr>
  </w:style>
  <w:style w:type="character" w:styleId="IntenseReference">
    <w:name w:val="Intense Reference"/>
    <w:uiPriority w:val="32"/>
    <w:qFormat/>
    <w:rsid w:val="005146A7"/>
    <w:rPr>
      <w:b/>
      <w:bCs/>
      <w:smallCaps/>
    </w:rPr>
  </w:style>
  <w:style w:type="character" w:styleId="BookTitle">
    <w:name w:val="Book Title"/>
    <w:basedOn w:val="DefaultParagraphFont"/>
    <w:uiPriority w:val="33"/>
    <w:qFormat/>
    <w:rsid w:val="005146A7"/>
    <w:rPr>
      <w:i/>
      <w:iCs/>
      <w:smallCaps/>
      <w:spacing w:val="5"/>
    </w:rPr>
  </w:style>
  <w:style w:type="paragraph" w:styleId="TOCHeading">
    <w:name w:val="TOC Heading"/>
    <w:basedOn w:val="Heading1"/>
    <w:next w:val="Normal"/>
    <w:uiPriority w:val="39"/>
    <w:semiHidden/>
    <w:unhideWhenUsed/>
    <w:qFormat/>
    <w:rsid w:val="005146A7"/>
    <w:pPr>
      <w:outlineLvl w:val="9"/>
    </w:pPr>
  </w:style>
  <w:style w:type="character" w:customStyle="1" w:styleId="FootnoteTextChar">
    <w:name w:val="Footnote Text Char"/>
    <w:basedOn w:val="DefaultParagraphFont"/>
    <w:link w:val="FootnoteText"/>
    <w:uiPriority w:val="99"/>
    <w:semiHidden/>
    <w:rsid w:val="00C41EFC"/>
    <w:rPr>
      <w:rFonts w:ascii="Verdana" w:eastAsiaTheme="minorEastAsia" w:hAnsi="Verdana"/>
      <w:sz w:val="20"/>
      <w:szCs w:val="20"/>
      <w:lang w:val="en-IE" w:eastAsia="en-GB"/>
    </w:rPr>
  </w:style>
  <w:style w:type="paragraph" w:styleId="FootnoteText">
    <w:name w:val="footnote text"/>
    <w:basedOn w:val="Normal"/>
    <w:link w:val="FootnoteTextChar"/>
    <w:uiPriority w:val="99"/>
    <w:semiHidden/>
    <w:rsid w:val="00C41EFC"/>
    <w:rPr>
      <w:rFonts w:ascii="Verdana" w:hAnsi="Verdana" w:cstheme="majorBidi"/>
      <w:lang w:val="en-IE" w:eastAsia="en-GB"/>
    </w:rPr>
  </w:style>
  <w:style w:type="character" w:customStyle="1" w:styleId="FootnoteTextChar1">
    <w:name w:val="Footnote Text Char1"/>
    <w:basedOn w:val="DefaultParagraphFont"/>
    <w:uiPriority w:val="99"/>
    <w:semiHidden/>
    <w:rsid w:val="00C41EFC"/>
    <w:rPr>
      <w:rFonts w:asciiTheme="minorHAnsi" w:eastAsiaTheme="minorEastAsia" w:hAnsiTheme="minorHAnsi" w:cstheme="minorBidi"/>
      <w:sz w:val="20"/>
      <w:szCs w:val="20"/>
    </w:rPr>
  </w:style>
  <w:style w:type="character" w:customStyle="1" w:styleId="HeaderChar">
    <w:name w:val="Header Char"/>
    <w:basedOn w:val="DefaultParagraphFont"/>
    <w:link w:val="Header"/>
    <w:uiPriority w:val="99"/>
    <w:rsid w:val="00C41EFC"/>
    <w:rPr>
      <w:rFonts w:eastAsiaTheme="minorEastAsia"/>
      <w:sz w:val="20"/>
      <w:szCs w:val="20"/>
    </w:rPr>
  </w:style>
  <w:style w:type="paragraph" w:styleId="Header">
    <w:name w:val="header"/>
    <w:basedOn w:val="Normal"/>
    <w:link w:val="HeaderChar"/>
    <w:uiPriority w:val="99"/>
    <w:unhideWhenUsed/>
    <w:rsid w:val="00C41EFC"/>
    <w:pPr>
      <w:tabs>
        <w:tab w:val="center" w:pos="4513"/>
        <w:tab w:val="right" w:pos="9026"/>
      </w:tabs>
    </w:pPr>
    <w:rPr>
      <w:rFonts w:asciiTheme="majorHAnsi" w:hAnsiTheme="majorHAnsi" w:cstheme="majorBidi"/>
    </w:rPr>
  </w:style>
  <w:style w:type="character" w:customStyle="1" w:styleId="HeaderChar1">
    <w:name w:val="Header Char1"/>
    <w:basedOn w:val="DefaultParagraphFont"/>
    <w:uiPriority w:val="99"/>
    <w:semiHidden/>
    <w:rsid w:val="00C41EFC"/>
    <w:rPr>
      <w:rFonts w:asciiTheme="minorHAnsi" w:eastAsiaTheme="minorEastAsia" w:hAnsiTheme="minorHAnsi" w:cstheme="minorBidi"/>
      <w:sz w:val="20"/>
      <w:szCs w:val="20"/>
    </w:rPr>
  </w:style>
  <w:style w:type="character" w:customStyle="1" w:styleId="FooterChar">
    <w:name w:val="Footer Char"/>
    <w:basedOn w:val="DefaultParagraphFont"/>
    <w:link w:val="Footer"/>
    <w:uiPriority w:val="99"/>
    <w:rsid w:val="00C41EFC"/>
    <w:rPr>
      <w:rFonts w:eastAsiaTheme="minorEastAsia"/>
      <w:sz w:val="20"/>
      <w:szCs w:val="20"/>
    </w:rPr>
  </w:style>
  <w:style w:type="paragraph" w:styleId="Footer">
    <w:name w:val="footer"/>
    <w:basedOn w:val="Normal"/>
    <w:link w:val="FooterChar"/>
    <w:uiPriority w:val="99"/>
    <w:unhideWhenUsed/>
    <w:rsid w:val="00C41EFC"/>
    <w:pPr>
      <w:tabs>
        <w:tab w:val="center" w:pos="4513"/>
        <w:tab w:val="right" w:pos="9026"/>
      </w:tabs>
    </w:pPr>
    <w:rPr>
      <w:rFonts w:asciiTheme="majorHAnsi" w:hAnsiTheme="majorHAnsi" w:cstheme="majorBidi"/>
    </w:rPr>
  </w:style>
  <w:style w:type="character" w:customStyle="1" w:styleId="FooterChar1">
    <w:name w:val="Footer Char1"/>
    <w:basedOn w:val="DefaultParagraphFont"/>
    <w:uiPriority w:val="99"/>
    <w:semiHidden/>
    <w:rsid w:val="00C41EFC"/>
    <w:rPr>
      <w:rFonts w:asciiTheme="minorHAnsi" w:eastAsiaTheme="minorEastAsia" w:hAnsiTheme="minorHAnsi" w:cstheme="minorBidi"/>
      <w:sz w:val="20"/>
      <w:szCs w:val="20"/>
    </w:rPr>
  </w:style>
  <w:style w:type="character" w:customStyle="1" w:styleId="BodyTextChar">
    <w:name w:val="Body Text Char"/>
    <w:aliases w:val="Standard paragraph Char,Body Text Char Char Char Char Char Char,Body Text Char Char Char Char"/>
    <w:basedOn w:val="DefaultParagraphFont"/>
    <w:link w:val="BodyText"/>
    <w:uiPriority w:val="99"/>
    <w:rsid w:val="00C41EFC"/>
    <w:rPr>
      <w:rFonts w:ascii="Times New Roman" w:eastAsia="Times New Roman" w:hAnsi="Times New Roman" w:cs="Times New Roman"/>
      <w:sz w:val="24"/>
      <w:szCs w:val="24"/>
    </w:rPr>
  </w:style>
  <w:style w:type="paragraph" w:styleId="BodyText">
    <w:name w:val="Body Text"/>
    <w:aliases w:val="Standard paragraph,Body Text Char Char Char Char Char,Body Text Char Char Char"/>
    <w:basedOn w:val="Default"/>
    <w:next w:val="Default"/>
    <w:link w:val="BodyTextChar"/>
    <w:uiPriority w:val="99"/>
    <w:rsid w:val="00C41EFC"/>
    <w:rPr>
      <w:color w:val="auto"/>
    </w:rPr>
  </w:style>
  <w:style w:type="character" w:customStyle="1" w:styleId="BodyTextChar1">
    <w:name w:val="Body Text Char1"/>
    <w:basedOn w:val="DefaultParagraphFont"/>
    <w:uiPriority w:val="99"/>
    <w:semiHidden/>
    <w:rsid w:val="00C41EFC"/>
    <w:rPr>
      <w:rFonts w:asciiTheme="minorHAnsi" w:eastAsiaTheme="minorEastAsia" w:hAnsiTheme="minorHAnsi" w:cstheme="minorBidi"/>
      <w:sz w:val="20"/>
      <w:szCs w:val="20"/>
    </w:rPr>
  </w:style>
  <w:style w:type="paragraph" w:customStyle="1" w:styleId="Default">
    <w:name w:val="Default"/>
    <w:rsid w:val="00C41EFC"/>
    <w:pPr>
      <w:autoSpaceDE w:val="0"/>
      <w:autoSpaceDN w:val="0"/>
      <w:adjustRightInd w:val="0"/>
      <w:jc w:val="both"/>
    </w:pPr>
    <w:rPr>
      <w:rFonts w:ascii="Times New Roman" w:eastAsia="Times New Roman" w:hAnsi="Times New Roman" w:cs="Times New Roman"/>
      <w:color w:val="000000"/>
      <w:sz w:val="24"/>
      <w:szCs w:val="24"/>
    </w:rPr>
  </w:style>
  <w:style w:type="character" w:styleId="FootnoteReference">
    <w:name w:val="footnote reference"/>
    <w:semiHidden/>
    <w:rsid w:val="00C41EFC"/>
    <w:rPr>
      <w:vertAlign w:val="superscript"/>
    </w:rPr>
  </w:style>
  <w:style w:type="paragraph" w:styleId="NormalWeb">
    <w:name w:val="Normal (Web)"/>
    <w:basedOn w:val="Normal"/>
    <w:uiPriority w:val="99"/>
    <w:unhideWhenUsed/>
    <w:rsid w:val="00C41EFC"/>
    <w:pPr>
      <w:spacing w:before="100" w:beforeAutospacing="1" w:after="100" w:afterAutospacing="1" w:line="240" w:lineRule="auto"/>
      <w:jc w:val="left"/>
    </w:pPr>
    <w:rPr>
      <w:rFonts w:ascii="Times New Roman" w:eastAsia="Times New Roman" w:hAnsi="Times New Roman" w:cs="Times New Roman"/>
      <w:sz w:val="24"/>
      <w:szCs w:val="24"/>
      <w:lang w:val="en-IE" w:eastAsia="en-IE" w:bidi="ar-SA"/>
    </w:rPr>
  </w:style>
  <w:style w:type="character" w:styleId="Hyperlink">
    <w:name w:val="Hyperlink"/>
    <w:basedOn w:val="DefaultParagraphFont"/>
    <w:uiPriority w:val="99"/>
    <w:semiHidden/>
    <w:unhideWhenUsed/>
    <w:rsid w:val="00C41EFC"/>
    <w:rPr>
      <w:color w:val="0000FF"/>
      <w:u w:val="single"/>
    </w:rPr>
  </w:style>
  <w:style w:type="character" w:styleId="CommentReference">
    <w:name w:val="annotation reference"/>
    <w:basedOn w:val="DefaultParagraphFont"/>
    <w:uiPriority w:val="99"/>
    <w:semiHidden/>
    <w:unhideWhenUsed/>
    <w:rsid w:val="001E6654"/>
    <w:rPr>
      <w:sz w:val="16"/>
      <w:szCs w:val="16"/>
    </w:rPr>
  </w:style>
  <w:style w:type="paragraph" w:styleId="CommentText">
    <w:name w:val="annotation text"/>
    <w:basedOn w:val="Normal"/>
    <w:link w:val="CommentTextChar"/>
    <w:uiPriority w:val="99"/>
    <w:semiHidden/>
    <w:unhideWhenUsed/>
    <w:rsid w:val="001E6654"/>
    <w:pPr>
      <w:spacing w:line="240" w:lineRule="auto"/>
    </w:pPr>
  </w:style>
  <w:style w:type="character" w:customStyle="1" w:styleId="CommentTextChar">
    <w:name w:val="Comment Text Char"/>
    <w:basedOn w:val="DefaultParagraphFont"/>
    <w:link w:val="CommentText"/>
    <w:uiPriority w:val="99"/>
    <w:semiHidden/>
    <w:rsid w:val="001E6654"/>
    <w:rPr>
      <w:rFonts w:asciiTheme="minorHAnsi" w:eastAsiaTheme="minorEastAsia"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1E6654"/>
    <w:rPr>
      <w:b/>
      <w:bCs/>
    </w:rPr>
  </w:style>
  <w:style w:type="character" w:customStyle="1" w:styleId="CommentSubjectChar">
    <w:name w:val="Comment Subject Char"/>
    <w:basedOn w:val="CommentTextChar"/>
    <w:link w:val="CommentSubject"/>
    <w:uiPriority w:val="99"/>
    <w:semiHidden/>
    <w:rsid w:val="001E6654"/>
    <w:rPr>
      <w:rFonts w:asciiTheme="minorHAnsi" w:eastAsiaTheme="minorEastAsia" w:hAnsiTheme="minorHAnsi" w:cstheme="minorBidi"/>
      <w:b/>
      <w:bCs/>
      <w:sz w:val="20"/>
      <w:szCs w:val="20"/>
    </w:rPr>
  </w:style>
  <w:style w:type="paragraph" w:styleId="BalloonText">
    <w:name w:val="Balloon Text"/>
    <w:basedOn w:val="Normal"/>
    <w:link w:val="BalloonTextChar"/>
    <w:uiPriority w:val="99"/>
    <w:semiHidden/>
    <w:unhideWhenUsed/>
    <w:rsid w:val="001E66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654"/>
    <w:rPr>
      <w:rFonts w:ascii="Tahoma" w:eastAsiaTheme="minorEastAsia" w:hAnsi="Tahoma" w:cs="Tahoma"/>
      <w:sz w:val="16"/>
      <w:szCs w:val="16"/>
    </w:rPr>
  </w:style>
  <w:style w:type="paragraph" w:styleId="EndnoteText">
    <w:name w:val="endnote text"/>
    <w:basedOn w:val="Normal"/>
    <w:link w:val="EndnoteTextChar"/>
    <w:uiPriority w:val="99"/>
    <w:semiHidden/>
    <w:unhideWhenUsed/>
    <w:rsid w:val="00EE7E6E"/>
    <w:pPr>
      <w:spacing w:after="0" w:line="240" w:lineRule="auto"/>
    </w:pPr>
  </w:style>
  <w:style w:type="character" w:customStyle="1" w:styleId="EndnoteTextChar">
    <w:name w:val="Endnote Text Char"/>
    <w:basedOn w:val="DefaultParagraphFont"/>
    <w:link w:val="EndnoteText"/>
    <w:uiPriority w:val="99"/>
    <w:semiHidden/>
    <w:rsid w:val="00EE7E6E"/>
    <w:rPr>
      <w:rFonts w:asciiTheme="minorHAnsi" w:eastAsiaTheme="minorEastAsia" w:hAnsiTheme="minorHAnsi" w:cstheme="minorBidi"/>
      <w:sz w:val="20"/>
      <w:szCs w:val="20"/>
    </w:rPr>
  </w:style>
  <w:style w:type="character" w:styleId="EndnoteReference">
    <w:name w:val="endnote reference"/>
    <w:basedOn w:val="DefaultParagraphFont"/>
    <w:uiPriority w:val="99"/>
    <w:semiHidden/>
    <w:unhideWhenUsed/>
    <w:rsid w:val="00EE7E6E"/>
    <w:rPr>
      <w:vertAlign w:val="superscript"/>
    </w:rPr>
  </w:style>
  <w:style w:type="paragraph" w:styleId="PlainText">
    <w:name w:val="Plain Text"/>
    <w:basedOn w:val="Normal"/>
    <w:link w:val="PlainTextChar"/>
    <w:uiPriority w:val="99"/>
    <w:semiHidden/>
    <w:unhideWhenUsed/>
    <w:rsid w:val="00C22595"/>
    <w:pPr>
      <w:spacing w:after="0" w:line="240" w:lineRule="auto"/>
      <w:jc w:val="left"/>
    </w:pPr>
    <w:rPr>
      <w:rFonts w:ascii="Calibri" w:eastAsiaTheme="minorHAnsi" w:hAnsi="Calibri"/>
      <w:sz w:val="22"/>
      <w:szCs w:val="21"/>
      <w:lang w:val="nb-NO" w:bidi="ar-SA"/>
    </w:rPr>
  </w:style>
  <w:style w:type="character" w:customStyle="1" w:styleId="PlainTextChar">
    <w:name w:val="Plain Text Char"/>
    <w:basedOn w:val="DefaultParagraphFont"/>
    <w:link w:val="PlainText"/>
    <w:uiPriority w:val="99"/>
    <w:semiHidden/>
    <w:rsid w:val="00C22595"/>
    <w:rPr>
      <w:rFonts w:ascii="Calibri" w:hAnsi="Calibri" w:cstheme="minorBidi"/>
      <w:szCs w:val="21"/>
      <w:lang w:val="nb-NO"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EFC"/>
    <w:pPr>
      <w:jc w:val="both"/>
    </w:pPr>
    <w:rPr>
      <w:rFonts w:asciiTheme="minorHAnsi" w:eastAsiaTheme="minorEastAsia" w:hAnsiTheme="minorHAnsi" w:cstheme="minorBidi"/>
      <w:sz w:val="20"/>
      <w:szCs w:val="20"/>
    </w:rPr>
  </w:style>
  <w:style w:type="paragraph" w:styleId="Heading1">
    <w:name w:val="heading 1"/>
    <w:basedOn w:val="Normal"/>
    <w:next w:val="Normal"/>
    <w:link w:val="Heading1Char"/>
    <w:uiPriority w:val="9"/>
    <w:qFormat/>
    <w:rsid w:val="005146A7"/>
    <w:pPr>
      <w:spacing w:before="480" w:after="0"/>
      <w:contextualSpacing/>
      <w:jc w:val="left"/>
      <w:outlineLvl w:val="0"/>
    </w:pPr>
    <w:rPr>
      <w:rFonts w:asciiTheme="majorHAnsi" w:eastAsiaTheme="minorHAnsi" w:hAnsiTheme="majorHAnsi" w:cstheme="majorBidi"/>
      <w:smallCaps/>
      <w:spacing w:val="5"/>
      <w:sz w:val="36"/>
      <w:szCs w:val="36"/>
      <w:lang w:val="en-IE"/>
    </w:rPr>
  </w:style>
  <w:style w:type="paragraph" w:styleId="Heading2">
    <w:name w:val="heading 2"/>
    <w:basedOn w:val="Normal"/>
    <w:next w:val="Normal"/>
    <w:link w:val="Heading2Char"/>
    <w:uiPriority w:val="9"/>
    <w:unhideWhenUsed/>
    <w:qFormat/>
    <w:rsid w:val="005146A7"/>
    <w:pPr>
      <w:spacing w:before="200" w:after="0" w:line="271" w:lineRule="auto"/>
      <w:jc w:val="left"/>
      <w:outlineLvl w:val="1"/>
    </w:pPr>
    <w:rPr>
      <w:rFonts w:asciiTheme="majorHAnsi" w:eastAsiaTheme="minorHAnsi" w:hAnsiTheme="majorHAnsi" w:cstheme="majorBidi"/>
      <w:smallCaps/>
      <w:sz w:val="28"/>
      <w:szCs w:val="28"/>
      <w:lang w:val="en-IE"/>
    </w:rPr>
  </w:style>
  <w:style w:type="paragraph" w:styleId="Heading3">
    <w:name w:val="heading 3"/>
    <w:basedOn w:val="Normal"/>
    <w:next w:val="Normal"/>
    <w:link w:val="Heading3Char"/>
    <w:uiPriority w:val="9"/>
    <w:unhideWhenUsed/>
    <w:qFormat/>
    <w:rsid w:val="005146A7"/>
    <w:pPr>
      <w:spacing w:before="200" w:after="0" w:line="271" w:lineRule="auto"/>
      <w:jc w:val="left"/>
      <w:outlineLvl w:val="2"/>
    </w:pPr>
    <w:rPr>
      <w:rFonts w:asciiTheme="majorHAnsi" w:eastAsiaTheme="minorHAnsi" w:hAnsiTheme="majorHAnsi" w:cstheme="majorBidi"/>
      <w:i/>
      <w:iCs/>
      <w:smallCaps/>
      <w:spacing w:val="5"/>
      <w:sz w:val="26"/>
      <w:szCs w:val="26"/>
      <w:lang w:val="en-IE"/>
    </w:rPr>
  </w:style>
  <w:style w:type="paragraph" w:styleId="Heading4">
    <w:name w:val="heading 4"/>
    <w:basedOn w:val="Normal"/>
    <w:next w:val="Normal"/>
    <w:link w:val="Heading4Char"/>
    <w:uiPriority w:val="9"/>
    <w:unhideWhenUsed/>
    <w:qFormat/>
    <w:rsid w:val="005146A7"/>
    <w:pPr>
      <w:spacing w:after="0" w:line="271" w:lineRule="auto"/>
      <w:jc w:val="left"/>
      <w:outlineLvl w:val="3"/>
    </w:pPr>
    <w:rPr>
      <w:rFonts w:asciiTheme="majorHAnsi" w:eastAsiaTheme="minorHAnsi" w:hAnsiTheme="majorHAnsi" w:cstheme="majorBidi"/>
      <w:b/>
      <w:bCs/>
      <w:spacing w:val="5"/>
      <w:sz w:val="24"/>
      <w:szCs w:val="24"/>
      <w:lang w:val="en-IE"/>
    </w:rPr>
  </w:style>
  <w:style w:type="paragraph" w:styleId="Heading5">
    <w:name w:val="heading 5"/>
    <w:basedOn w:val="Normal"/>
    <w:next w:val="Normal"/>
    <w:link w:val="Heading5Char"/>
    <w:uiPriority w:val="9"/>
    <w:semiHidden/>
    <w:unhideWhenUsed/>
    <w:qFormat/>
    <w:rsid w:val="005146A7"/>
    <w:pPr>
      <w:spacing w:after="0" w:line="271" w:lineRule="auto"/>
      <w:jc w:val="left"/>
      <w:outlineLvl w:val="4"/>
    </w:pPr>
    <w:rPr>
      <w:rFonts w:asciiTheme="majorHAnsi" w:eastAsiaTheme="minorHAnsi" w:hAnsiTheme="majorHAnsi" w:cstheme="majorBidi"/>
      <w:i/>
      <w:iCs/>
      <w:sz w:val="24"/>
      <w:szCs w:val="24"/>
      <w:lang w:val="en-IE"/>
    </w:rPr>
  </w:style>
  <w:style w:type="paragraph" w:styleId="Heading6">
    <w:name w:val="heading 6"/>
    <w:basedOn w:val="Normal"/>
    <w:next w:val="Normal"/>
    <w:link w:val="Heading6Char"/>
    <w:uiPriority w:val="9"/>
    <w:semiHidden/>
    <w:unhideWhenUsed/>
    <w:qFormat/>
    <w:rsid w:val="005146A7"/>
    <w:pPr>
      <w:shd w:val="clear" w:color="auto" w:fill="FFFFFF" w:themeFill="background1"/>
      <w:spacing w:after="0" w:line="271" w:lineRule="auto"/>
      <w:jc w:val="left"/>
      <w:outlineLvl w:val="5"/>
    </w:pPr>
    <w:rPr>
      <w:rFonts w:asciiTheme="majorHAnsi" w:eastAsiaTheme="minorHAnsi" w:hAnsiTheme="majorHAnsi" w:cstheme="majorBidi"/>
      <w:b/>
      <w:bCs/>
      <w:color w:val="595959" w:themeColor="text1" w:themeTint="A6"/>
      <w:spacing w:val="5"/>
      <w:sz w:val="22"/>
      <w:szCs w:val="22"/>
      <w:lang w:val="en-IE"/>
    </w:rPr>
  </w:style>
  <w:style w:type="paragraph" w:styleId="Heading7">
    <w:name w:val="heading 7"/>
    <w:basedOn w:val="Normal"/>
    <w:next w:val="Normal"/>
    <w:link w:val="Heading7Char"/>
    <w:uiPriority w:val="9"/>
    <w:semiHidden/>
    <w:unhideWhenUsed/>
    <w:qFormat/>
    <w:rsid w:val="005146A7"/>
    <w:pPr>
      <w:spacing w:after="0"/>
      <w:jc w:val="left"/>
      <w:outlineLvl w:val="6"/>
    </w:pPr>
    <w:rPr>
      <w:rFonts w:asciiTheme="majorHAnsi" w:eastAsiaTheme="minorHAnsi" w:hAnsiTheme="majorHAnsi" w:cstheme="majorBidi"/>
      <w:b/>
      <w:bCs/>
      <w:i/>
      <w:iCs/>
      <w:color w:val="5A5A5A" w:themeColor="text1" w:themeTint="A5"/>
      <w:lang w:val="en-IE"/>
    </w:rPr>
  </w:style>
  <w:style w:type="paragraph" w:styleId="Heading8">
    <w:name w:val="heading 8"/>
    <w:basedOn w:val="Normal"/>
    <w:next w:val="Normal"/>
    <w:link w:val="Heading8Char"/>
    <w:uiPriority w:val="9"/>
    <w:semiHidden/>
    <w:unhideWhenUsed/>
    <w:qFormat/>
    <w:rsid w:val="005146A7"/>
    <w:pPr>
      <w:spacing w:after="0"/>
      <w:jc w:val="left"/>
      <w:outlineLvl w:val="7"/>
    </w:pPr>
    <w:rPr>
      <w:rFonts w:asciiTheme="majorHAnsi" w:eastAsiaTheme="minorHAnsi" w:hAnsiTheme="majorHAnsi" w:cstheme="majorBidi"/>
      <w:b/>
      <w:bCs/>
      <w:color w:val="7F7F7F" w:themeColor="text1" w:themeTint="80"/>
      <w:lang w:val="en-IE"/>
    </w:rPr>
  </w:style>
  <w:style w:type="paragraph" w:styleId="Heading9">
    <w:name w:val="heading 9"/>
    <w:basedOn w:val="Normal"/>
    <w:next w:val="Normal"/>
    <w:link w:val="Heading9Char"/>
    <w:uiPriority w:val="9"/>
    <w:semiHidden/>
    <w:unhideWhenUsed/>
    <w:qFormat/>
    <w:rsid w:val="005146A7"/>
    <w:pPr>
      <w:spacing w:after="0" w:line="271" w:lineRule="auto"/>
      <w:jc w:val="left"/>
      <w:outlineLvl w:val="8"/>
    </w:pPr>
    <w:rPr>
      <w:rFonts w:asciiTheme="majorHAnsi" w:eastAsiaTheme="minorHAnsi" w:hAnsiTheme="majorHAnsi" w:cstheme="majorBidi"/>
      <w:b/>
      <w:bCs/>
      <w:i/>
      <w:iCs/>
      <w:color w:val="7F7F7F" w:themeColor="text1" w:themeTint="80"/>
      <w:sz w:val="18"/>
      <w:szCs w:val="18"/>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6A7"/>
    <w:rPr>
      <w:smallCaps/>
      <w:spacing w:val="5"/>
      <w:sz w:val="36"/>
      <w:szCs w:val="36"/>
    </w:rPr>
  </w:style>
  <w:style w:type="character" w:customStyle="1" w:styleId="Heading2Char">
    <w:name w:val="Heading 2 Char"/>
    <w:basedOn w:val="DefaultParagraphFont"/>
    <w:link w:val="Heading2"/>
    <w:uiPriority w:val="9"/>
    <w:rsid w:val="005146A7"/>
    <w:rPr>
      <w:smallCaps/>
      <w:sz w:val="28"/>
      <w:szCs w:val="28"/>
    </w:rPr>
  </w:style>
  <w:style w:type="character" w:customStyle="1" w:styleId="Heading3Char">
    <w:name w:val="Heading 3 Char"/>
    <w:basedOn w:val="DefaultParagraphFont"/>
    <w:link w:val="Heading3"/>
    <w:uiPriority w:val="9"/>
    <w:rsid w:val="005146A7"/>
    <w:rPr>
      <w:i/>
      <w:iCs/>
      <w:smallCaps/>
      <w:spacing w:val="5"/>
      <w:sz w:val="26"/>
      <w:szCs w:val="26"/>
    </w:rPr>
  </w:style>
  <w:style w:type="character" w:customStyle="1" w:styleId="Heading4Char">
    <w:name w:val="Heading 4 Char"/>
    <w:basedOn w:val="DefaultParagraphFont"/>
    <w:link w:val="Heading4"/>
    <w:uiPriority w:val="9"/>
    <w:rsid w:val="005146A7"/>
    <w:rPr>
      <w:b/>
      <w:bCs/>
      <w:spacing w:val="5"/>
      <w:sz w:val="24"/>
      <w:szCs w:val="24"/>
    </w:rPr>
  </w:style>
  <w:style w:type="character" w:customStyle="1" w:styleId="Heading5Char">
    <w:name w:val="Heading 5 Char"/>
    <w:basedOn w:val="DefaultParagraphFont"/>
    <w:link w:val="Heading5"/>
    <w:uiPriority w:val="9"/>
    <w:semiHidden/>
    <w:rsid w:val="005146A7"/>
    <w:rPr>
      <w:i/>
      <w:iCs/>
      <w:sz w:val="24"/>
      <w:szCs w:val="24"/>
    </w:rPr>
  </w:style>
  <w:style w:type="character" w:customStyle="1" w:styleId="Heading6Char">
    <w:name w:val="Heading 6 Char"/>
    <w:basedOn w:val="DefaultParagraphFont"/>
    <w:link w:val="Heading6"/>
    <w:uiPriority w:val="9"/>
    <w:semiHidden/>
    <w:rsid w:val="005146A7"/>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146A7"/>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5146A7"/>
    <w:rPr>
      <w:b/>
      <w:bCs/>
      <w:color w:val="7F7F7F" w:themeColor="text1" w:themeTint="80"/>
      <w:sz w:val="20"/>
      <w:szCs w:val="20"/>
    </w:rPr>
  </w:style>
  <w:style w:type="character" w:customStyle="1" w:styleId="Heading9Char">
    <w:name w:val="Heading 9 Char"/>
    <w:basedOn w:val="DefaultParagraphFont"/>
    <w:link w:val="Heading9"/>
    <w:uiPriority w:val="9"/>
    <w:semiHidden/>
    <w:rsid w:val="005146A7"/>
    <w:rPr>
      <w:b/>
      <w:bCs/>
      <w:i/>
      <w:iCs/>
      <w:color w:val="7F7F7F" w:themeColor="text1" w:themeTint="80"/>
      <w:sz w:val="18"/>
      <w:szCs w:val="18"/>
    </w:rPr>
  </w:style>
  <w:style w:type="paragraph" w:styleId="TOC1">
    <w:name w:val="toc 1"/>
    <w:basedOn w:val="Normal"/>
    <w:next w:val="Normal"/>
    <w:autoRedefine/>
    <w:uiPriority w:val="39"/>
    <w:unhideWhenUsed/>
    <w:qFormat/>
    <w:rsid w:val="005146A7"/>
    <w:pPr>
      <w:spacing w:after="100"/>
      <w:jc w:val="left"/>
    </w:pPr>
    <w:rPr>
      <w:rFonts w:asciiTheme="majorHAnsi" w:eastAsiaTheme="minorHAnsi" w:hAnsiTheme="majorHAnsi" w:cstheme="majorBidi"/>
      <w:sz w:val="22"/>
      <w:szCs w:val="22"/>
      <w:lang w:val="en-IE"/>
    </w:rPr>
  </w:style>
  <w:style w:type="paragraph" w:styleId="TOC2">
    <w:name w:val="toc 2"/>
    <w:basedOn w:val="Normal"/>
    <w:next w:val="Normal"/>
    <w:autoRedefine/>
    <w:uiPriority w:val="39"/>
    <w:unhideWhenUsed/>
    <w:qFormat/>
    <w:rsid w:val="005146A7"/>
    <w:pPr>
      <w:spacing w:after="100"/>
      <w:ind w:left="220"/>
      <w:jc w:val="left"/>
    </w:pPr>
    <w:rPr>
      <w:rFonts w:asciiTheme="majorHAnsi" w:eastAsiaTheme="minorHAnsi" w:hAnsiTheme="majorHAnsi" w:cstheme="majorBidi"/>
      <w:sz w:val="22"/>
      <w:szCs w:val="22"/>
      <w:lang w:val="en-IE"/>
    </w:rPr>
  </w:style>
  <w:style w:type="paragraph" w:styleId="TOC3">
    <w:name w:val="toc 3"/>
    <w:basedOn w:val="Normal"/>
    <w:next w:val="Normal"/>
    <w:autoRedefine/>
    <w:uiPriority w:val="39"/>
    <w:unhideWhenUsed/>
    <w:qFormat/>
    <w:rsid w:val="005146A7"/>
    <w:pPr>
      <w:spacing w:after="100"/>
      <w:ind w:left="440"/>
      <w:jc w:val="left"/>
    </w:pPr>
    <w:rPr>
      <w:rFonts w:asciiTheme="majorHAnsi" w:eastAsiaTheme="minorHAnsi" w:hAnsiTheme="majorHAnsi" w:cstheme="majorBidi"/>
      <w:sz w:val="22"/>
      <w:szCs w:val="22"/>
      <w:lang w:val="en-IE"/>
    </w:rPr>
  </w:style>
  <w:style w:type="paragraph" w:styleId="Title">
    <w:name w:val="Title"/>
    <w:basedOn w:val="Normal"/>
    <w:next w:val="Normal"/>
    <w:link w:val="TitleChar"/>
    <w:uiPriority w:val="10"/>
    <w:qFormat/>
    <w:rsid w:val="005146A7"/>
    <w:pPr>
      <w:spacing w:after="300" w:line="240" w:lineRule="auto"/>
      <w:contextualSpacing/>
      <w:jc w:val="left"/>
    </w:pPr>
    <w:rPr>
      <w:rFonts w:asciiTheme="majorHAnsi" w:eastAsiaTheme="minorHAnsi" w:hAnsiTheme="majorHAnsi" w:cstheme="majorBidi"/>
      <w:smallCaps/>
      <w:sz w:val="52"/>
      <w:szCs w:val="52"/>
      <w:lang w:val="en-IE"/>
    </w:rPr>
  </w:style>
  <w:style w:type="character" w:customStyle="1" w:styleId="TitleChar">
    <w:name w:val="Title Char"/>
    <w:basedOn w:val="DefaultParagraphFont"/>
    <w:link w:val="Title"/>
    <w:uiPriority w:val="10"/>
    <w:rsid w:val="005146A7"/>
    <w:rPr>
      <w:smallCaps/>
      <w:sz w:val="52"/>
      <w:szCs w:val="52"/>
    </w:rPr>
  </w:style>
  <w:style w:type="paragraph" w:styleId="Subtitle">
    <w:name w:val="Subtitle"/>
    <w:basedOn w:val="Normal"/>
    <w:next w:val="Normal"/>
    <w:link w:val="SubtitleChar"/>
    <w:uiPriority w:val="11"/>
    <w:qFormat/>
    <w:rsid w:val="005146A7"/>
    <w:pPr>
      <w:jc w:val="left"/>
    </w:pPr>
    <w:rPr>
      <w:rFonts w:asciiTheme="majorHAnsi" w:eastAsiaTheme="minorHAnsi" w:hAnsiTheme="majorHAnsi" w:cstheme="majorBidi"/>
      <w:i/>
      <w:iCs/>
      <w:smallCaps/>
      <w:spacing w:val="10"/>
      <w:sz w:val="28"/>
      <w:szCs w:val="28"/>
      <w:lang w:val="en-IE"/>
    </w:rPr>
  </w:style>
  <w:style w:type="character" w:customStyle="1" w:styleId="SubtitleChar">
    <w:name w:val="Subtitle Char"/>
    <w:basedOn w:val="DefaultParagraphFont"/>
    <w:link w:val="Subtitle"/>
    <w:uiPriority w:val="11"/>
    <w:rsid w:val="005146A7"/>
    <w:rPr>
      <w:i/>
      <w:iCs/>
      <w:smallCaps/>
      <w:spacing w:val="10"/>
      <w:sz w:val="28"/>
      <w:szCs w:val="28"/>
    </w:rPr>
  </w:style>
  <w:style w:type="character" w:styleId="Strong">
    <w:name w:val="Strong"/>
    <w:uiPriority w:val="22"/>
    <w:qFormat/>
    <w:rsid w:val="005146A7"/>
    <w:rPr>
      <w:b/>
      <w:bCs/>
    </w:rPr>
  </w:style>
  <w:style w:type="character" w:styleId="Emphasis">
    <w:name w:val="Emphasis"/>
    <w:uiPriority w:val="20"/>
    <w:qFormat/>
    <w:rsid w:val="005146A7"/>
    <w:rPr>
      <w:b/>
      <w:bCs/>
      <w:i/>
      <w:iCs/>
      <w:spacing w:val="10"/>
    </w:rPr>
  </w:style>
  <w:style w:type="paragraph" w:styleId="NoSpacing">
    <w:name w:val="No Spacing"/>
    <w:basedOn w:val="Normal"/>
    <w:link w:val="NoSpacingChar"/>
    <w:uiPriority w:val="1"/>
    <w:qFormat/>
    <w:rsid w:val="005146A7"/>
    <w:pPr>
      <w:spacing w:after="0" w:line="240" w:lineRule="auto"/>
      <w:jc w:val="left"/>
    </w:pPr>
    <w:rPr>
      <w:rFonts w:asciiTheme="majorHAnsi" w:eastAsiaTheme="minorHAnsi" w:hAnsiTheme="majorHAnsi" w:cstheme="majorBidi"/>
      <w:sz w:val="22"/>
      <w:szCs w:val="22"/>
      <w:lang w:val="en-IE"/>
    </w:rPr>
  </w:style>
  <w:style w:type="character" w:customStyle="1" w:styleId="NoSpacingChar">
    <w:name w:val="No Spacing Char"/>
    <w:basedOn w:val="DefaultParagraphFont"/>
    <w:link w:val="NoSpacing"/>
    <w:uiPriority w:val="1"/>
    <w:rsid w:val="005146A7"/>
  </w:style>
  <w:style w:type="paragraph" w:styleId="ListParagraph">
    <w:name w:val="List Paragraph"/>
    <w:basedOn w:val="Normal"/>
    <w:uiPriority w:val="34"/>
    <w:qFormat/>
    <w:rsid w:val="005146A7"/>
    <w:pPr>
      <w:ind w:left="720"/>
      <w:contextualSpacing/>
      <w:jc w:val="left"/>
    </w:pPr>
    <w:rPr>
      <w:rFonts w:asciiTheme="majorHAnsi" w:eastAsiaTheme="minorHAnsi" w:hAnsiTheme="majorHAnsi" w:cstheme="majorBidi"/>
      <w:sz w:val="22"/>
      <w:szCs w:val="22"/>
      <w:lang w:val="en-IE"/>
    </w:rPr>
  </w:style>
  <w:style w:type="paragraph" w:styleId="Quote">
    <w:name w:val="Quote"/>
    <w:basedOn w:val="Normal"/>
    <w:next w:val="Normal"/>
    <w:link w:val="QuoteChar"/>
    <w:uiPriority w:val="29"/>
    <w:qFormat/>
    <w:rsid w:val="005146A7"/>
    <w:pPr>
      <w:jc w:val="left"/>
    </w:pPr>
    <w:rPr>
      <w:rFonts w:asciiTheme="majorHAnsi" w:eastAsiaTheme="minorHAnsi" w:hAnsiTheme="majorHAnsi" w:cstheme="majorBidi"/>
      <w:i/>
      <w:iCs/>
      <w:sz w:val="22"/>
      <w:szCs w:val="22"/>
      <w:lang w:val="en-IE"/>
    </w:rPr>
  </w:style>
  <w:style w:type="character" w:customStyle="1" w:styleId="QuoteChar">
    <w:name w:val="Quote Char"/>
    <w:basedOn w:val="DefaultParagraphFont"/>
    <w:link w:val="Quote"/>
    <w:uiPriority w:val="29"/>
    <w:rsid w:val="005146A7"/>
    <w:rPr>
      <w:i/>
      <w:iCs/>
    </w:rPr>
  </w:style>
  <w:style w:type="paragraph" w:styleId="IntenseQuote">
    <w:name w:val="Intense Quote"/>
    <w:basedOn w:val="Normal"/>
    <w:next w:val="Normal"/>
    <w:link w:val="IntenseQuoteChar"/>
    <w:uiPriority w:val="30"/>
    <w:qFormat/>
    <w:rsid w:val="005146A7"/>
    <w:pPr>
      <w:pBdr>
        <w:top w:val="single" w:sz="4" w:space="10" w:color="auto"/>
        <w:bottom w:val="single" w:sz="4" w:space="10" w:color="auto"/>
      </w:pBdr>
      <w:spacing w:before="240" w:after="240" w:line="300" w:lineRule="auto"/>
      <w:ind w:left="1152" w:right="1152"/>
    </w:pPr>
    <w:rPr>
      <w:rFonts w:asciiTheme="majorHAnsi" w:eastAsiaTheme="minorHAnsi" w:hAnsiTheme="majorHAnsi" w:cstheme="majorBidi"/>
      <w:i/>
      <w:iCs/>
      <w:sz w:val="22"/>
      <w:szCs w:val="22"/>
      <w:lang w:val="en-IE"/>
    </w:rPr>
  </w:style>
  <w:style w:type="character" w:customStyle="1" w:styleId="IntenseQuoteChar">
    <w:name w:val="Intense Quote Char"/>
    <w:basedOn w:val="DefaultParagraphFont"/>
    <w:link w:val="IntenseQuote"/>
    <w:uiPriority w:val="30"/>
    <w:rsid w:val="005146A7"/>
    <w:rPr>
      <w:i/>
      <w:iCs/>
    </w:rPr>
  </w:style>
  <w:style w:type="character" w:styleId="SubtleEmphasis">
    <w:name w:val="Subtle Emphasis"/>
    <w:uiPriority w:val="19"/>
    <w:qFormat/>
    <w:rsid w:val="005146A7"/>
    <w:rPr>
      <w:i/>
      <w:iCs/>
    </w:rPr>
  </w:style>
  <w:style w:type="character" w:styleId="IntenseEmphasis">
    <w:name w:val="Intense Emphasis"/>
    <w:uiPriority w:val="21"/>
    <w:qFormat/>
    <w:rsid w:val="005146A7"/>
    <w:rPr>
      <w:b/>
      <w:bCs/>
      <w:i/>
      <w:iCs/>
    </w:rPr>
  </w:style>
  <w:style w:type="character" w:styleId="SubtleReference">
    <w:name w:val="Subtle Reference"/>
    <w:basedOn w:val="DefaultParagraphFont"/>
    <w:uiPriority w:val="31"/>
    <w:qFormat/>
    <w:rsid w:val="005146A7"/>
    <w:rPr>
      <w:smallCaps/>
    </w:rPr>
  </w:style>
  <w:style w:type="character" w:styleId="IntenseReference">
    <w:name w:val="Intense Reference"/>
    <w:uiPriority w:val="32"/>
    <w:qFormat/>
    <w:rsid w:val="005146A7"/>
    <w:rPr>
      <w:b/>
      <w:bCs/>
      <w:smallCaps/>
    </w:rPr>
  </w:style>
  <w:style w:type="character" w:styleId="BookTitle">
    <w:name w:val="Book Title"/>
    <w:basedOn w:val="DefaultParagraphFont"/>
    <w:uiPriority w:val="33"/>
    <w:qFormat/>
    <w:rsid w:val="005146A7"/>
    <w:rPr>
      <w:i/>
      <w:iCs/>
      <w:smallCaps/>
      <w:spacing w:val="5"/>
    </w:rPr>
  </w:style>
  <w:style w:type="paragraph" w:styleId="TOCHeading">
    <w:name w:val="TOC Heading"/>
    <w:basedOn w:val="Heading1"/>
    <w:next w:val="Normal"/>
    <w:uiPriority w:val="39"/>
    <w:semiHidden/>
    <w:unhideWhenUsed/>
    <w:qFormat/>
    <w:rsid w:val="005146A7"/>
    <w:pPr>
      <w:outlineLvl w:val="9"/>
    </w:pPr>
  </w:style>
  <w:style w:type="character" w:customStyle="1" w:styleId="FootnoteTextChar">
    <w:name w:val="Footnote Text Char"/>
    <w:basedOn w:val="DefaultParagraphFont"/>
    <w:link w:val="FootnoteText"/>
    <w:uiPriority w:val="99"/>
    <w:semiHidden/>
    <w:rsid w:val="00C41EFC"/>
    <w:rPr>
      <w:rFonts w:ascii="Verdana" w:eastAsiaTheme="minorEastAsia" w:hAnsi="Verdana"/>
      <w:sz w:val="20"/>
      <w:szCs w:val="20"/>
      <w:lang w:val="en-IE" w:eastAsia="en-GB"/>
    </w:rPr>
  </w:style>
  <w:style w:type="paragraph" w:styleId="FootnoteText">
    <w:name w:val="footnote text"/>
    <w:basedOn w:val="Normal"/>
    <w:link w:val="FootnoteTextChar"/>
    <w:uiPriority w:val="99"/>
    <w:semiHidden/>
    <w:rsid w:val="00C41EFC"/>
    <w:rPr>
      <w:rFonts w:ascii="Verdana" w:hAnsi="Verdana" w:cstheme="majorBidi"/>
      <w:lang w:val="en-IE" w:eastAsia="en-GB"/>
    </w:rPr>
  </w:style>
  <w:style w:type="character" w:customStyle="1" w:styleId="FootnoteTextChar1">
    <w:name w:val="Footnote Text Char1"/>
    <w:basedOn w:val="DefaultParagraphFont"/>
    <w:uiPriority w:val="99"/>
    <w:semiHidden/>
    <w:rsid w:val="00C41EFC"/>
    <w:rPr>
      <w:rFonts w:asciiTheme="minorHAnsi" w:eastAsiaTheme="minorEastAsia" w:hAnsiTheme="minorHAnsi" w:cstheme="minorBidi"/>
      <w:sz w:val="20"/>
      <w:szCs w:val="20"/>
    </w:rPr>
  </w:style>
  <w:style w:type="character" w:customStyle="1" w:styleId="HeaderChar">
    <w:name w:val="Header Char"/>
    <w:basedOn w:val="DefaultParagraphFont"/>
    <w:link w:val="Header"/>
    <w:uiPriority w:val="99"/>
    <w:rsid w:val="00C41EFC"/>
    <w:rPr>
      <w:rFonts w:eastAsiaTheme="minorEastAsia"/>
      <w:sz w:val="20"/>
      <w:szCs w:val="20"/>
    </w:rPr>
  </w:style>
  <w:style w:type="paragraph" w:styleId="Header">
    <w:name w:val="header"/>
    <w:basedOn w:val="Normal"/>
    <w:link w:val="HeaderChar"/>
    <w:uiPriority w:val="99"/>
    <w:unhideWhenUsed/>
    <w:rsid w:val="00C41EFC"/>
    <w:pPr>
      <w:tabs>
        <w:tab w:val="center" w:pos="4513"/>
        <w:tab w:val="right" w:pos="9026"/>
      </w:tabs>
    </w:pPr>
    <w:rPr>
      <w:rFonts w:asciiTheme="majorHAnsi" w:hAnsiTheme="majorHAnsi" w:cstheme="majorBidi"/>
    </w:rPr>
  </w:style>
  <w:style w:type="character" w:customStyle="1" w:styleId="HeaderChar1">
    <w:name w:val="Header Char1"/>
    <w:basedOn w:val="DefaultParagraphFont"/>
    <w:uiPriority w:val="99"/>
    <w:semiHidden/>
    <w:rsid w:val="00C41EFC"/>
    <w:rPr>
      <w:rFonts w:asciiTheme="minorHAnsi" w:eastAsiaTheme="minorEastAsia" w:hAnsiTheme="minorHAnsi" w:cstheme="minorBidi"/>
      <w:sz w:val="20"/>
      <w:szCs w:val="20"/>
    </w:rPr>
  </w:style>
  <w:style w:type="character" w:customStyle="1" w:styleId="FooterChar">
    <w:name w:val="Footer Char"/>
    <w:basedOn w:val="DefaultParagraphFont"/>
    <w:link w:val="Footer"/>
    <w:uiPriority w:val="99"/>
    <w:rsid w:val="00C41EFC"/>
    <w:rPr>
      <w:rFonts w:eastAsiaTheme="minorEastAsia"/>
      <w:sz w:val="20"/>
      <w:szCs w:val="20"/>
    </w:rPr>
  </w:style>
  <w:style w:type="paragraph" w:styleId="Footer">
    <w:name w:val="footer"/>
    <w:basedOn w:val="Normal"/>
    <w:link w:val="FooterChar"/>
    <w:uiPriority w:val="99"/>
    <w:unhideWhenUsed/>
    <w:rsid w:val="00C41EFC"/>
    <w:pPr>
      <w:tabs>
        <w:tab w:val="center" w:pos="4513"/>
        <w:tab w:val="right" w:pos="9026"/>
      </w:tabs>
    </w:pPr>
    <w:rPr>
      <w:rFonts w:asciiTheme="majorHAnsi" w:hAnsiTheme="majorHAnsi" w:cstheme="majorBidi"/>
    </w:rPr>
  </w:style>
  <w:style w:type="character" w:customStyle="1" w:styleId="FooterChar1">
    <w:name w:val="Footer Char1"/>
    <w:basedOn w:val="DefaultParagraphFont"/>
    <w:uiPriority w:val="99"/>
    <w:semiHidden/>
    <w:rsid w:val="00C41EFC"/>
    <w:rPr>
      <w:rFonts w:asciiTheme="minorHAnsi" w:eastAsiaTheme="minorEastAsia" w:hAnsiTheme="minorHAnsi" w:cstheme="minorBidi"/>
      <w:sz w:val="20"/>
      <w:szCs w:val="20"/>
    </w:rPr>
  </w:style>
  <w:style w:type="character" w:customStyle="1" w:styleId="BodyTextChar">
    <w:name w:val="Body Text Char"/>
    <w:aliases w:val="Standard paragraph Char,Body Text Char Char Char Char Char Char,Body Text Char Char Char Char"/>
    <w:basedOn w:val="DefaultParagraphFont"/>
    <w:link w:val="BodyText"/>
    <w:uiPriority w:val="99"/>
    <w:rsid w:val="00C41EFC"/>
    <w:rPr>
      <w:rFonts w:ascii="Times New Roman" w:eastAsia="Times New Roman" w:hAnsi="Times New Roman" w:cs="Times New Roman"/>
      <w:sz w:val="24"/>
      <w:szCs w:val="24"/>
    </w:rPr>
  </w:style>
  <w:style w:type="paragraph" w:styleId="BodyText">
    <w:name w:val="Body Text"/>
    <w:aliases w:val="Standard paragraph,Body Text Char Char Char Char Char,Body Text Char Char Char"/>
    <w:basedOn w:val="Default"/>
    <w:next w:val="Default"/>
    <w:link w:val="BodyTextChar"/>
    <w:uiPriority w:val="99"/>
    <w:rsid w:val="00C41EFC"/>
    <w:rPr>
      <w:color w:val="auto"/>
    </w:rPr>
  </w:style>
  <w:style w:type="character" w:customStyle="1" w:styleId="BodyTextChar1">
    <w:name w:val="Body Text Char1"/>
    <w:basedOn w:val="DefaultParagraphFont"/>
    <w:uiPriority w:val="99"/>
    <w:semiHidden/>
    <w:rsid w:val="00C41EFC"/>
    <w:rPr>
      <w:rFonts w:asciiTheme="minorHAnsi" w:eastAsiaTheme="minorEastAsia" w:hAnsiTheme="minorHAnsi" w:cstheme="minorBidi"/>
      <w:sz w:val="20"/>
      <w:szCs w:val="20"/>
    </w:rPr>
  </w:style>
  <w:style w:type="paragraph" w:customStyle="1" w:styleId="Default">
    <w:name w:val="Default"/>
    <w:rsid w:val="00C41EFC"/>
    <w:pPr>
      <w:autoSpaceDE w:val="0"/>
      <w:autoSpaceDN w:val="0"/>
      <w:adjustRightInd w:val="0"/>
      <w:jc w:val="both"/>
    </w:pPr>
    <w:rPr>
      <w:rFonts w:ascii="Times New Roman" w:eastAsia="Times New Roman" w:hAnsi="Times New Roman" w:cs="Times New Roman"/>
      <w:color w:val="000000"/>
      <w:sz w:val="24"/>
      <w:szCs w:val="24"/>
    </w:rPr>
  </w:style>
  <w:style w:type="character" w:styleId="FootnoteReference">
    <w:name w:val="footnote reference"/>
    <w:semiHidden/>
    <w:rsid w:val="00C41EFC"/>
    <w:rPr>
      <w:vertAlign w:val="superscript"/>
    </w:rPr>
  </w:style>
  <w:style w:type="paragraph" w:styleId="NormalWeb">
    <w:name w:val="Normal (Web)"/>
    <w:basedOn w:val="Normal"/>
    <w:uiPriority w:val="99"/>
    <w:unhideWhenUsed/>
    <w:rsid w:val="00C41EFC"/>
    <w:pPr>
      <w:spacing w:before="100" w:beforeAutospacing="1" w:after="100" w:afterAutospacing="1" w:line="240" w:lineRule="auto"/>
      <w:jc w:val="left"/>
    </w:pPr>
    <w:rPr>
      <w:rFonts w:ascii="Times New Roman" w:eastAsia="Times New Roman" w:hAnsi="Times New Roman" w:cs="Times New Roman"/>
      <w:sz w:val="24"/>
      <w:szCs w:val="24"/>
      <w:lang w:val="en-IE" w:eastAsia="en-IE" w:bidi="ar-SA"/>
    </w:rPr>
  </w:style>
  <w:style w:type="character" w:styleId="Hyperlink">
    <w:name w:val="Hyperlink"/>
    <w:basedOn w:val="DefaultParagraphFont"/>
    <w:uiPriority w:val="99"/>
    <w:semiHidden/>
    <w:unhideWhenUsed/>
    <w:rsid w:val="00C41EFC"/>
    <w:rPr>
      <w:color w:val="0000FF"/>
      <w:u w:val="single"/>
    </w:rPr>
  </w:style>
  <w:style w:type="character" w:styleId="CommentReference">
    <w:name w:val="annotation reference"/>
    <w:basedOn w:val="DefaultParagraphFont"/>
    <w:uiPriority w:val="99"/>
    <w:semiHidden/>
    <w:unhideWhenUsed/>
    <w:rsid w:val="001E6654"/>
    <w:rPr>
      <w:sz w:val="16"/>
      <w:szCs w:val="16"/>
    </w:rPr>
  </w:style>
  <w:style w:type="paragraph" w:styleId="CommentText">
    <w:name w:val="annotation text"/>
    <w:basedOn w:val="Normal"/>
    <w:link w:val="CommentTextChar"/>
    <w:uiPriority w:val="99"/>
    <w:semiHidden/>
    <w:unhideWhenUsed/>
    <w:rsid w:val="001E6654"/>
    <w:pPr>
      <w:spacing w:line="240" w:lineRule="auto"/>
    </w:pPr>
  </w:style>
  <w:style w:type="character" w:customStyle="1" w:styleId="CommentTextChar">
    <w:name w:val="Comment Text Char"/>
    <w:basedOn w:val="DefaultParagraphFont"/>
    <w:link w:val="CommentText"/>
    <w:uiPriority w:val="99"/>
    <w:semiHidden/>
    <w:rsid w:val="001E6654"/>
    <w:rPr>
      <w:rFonts w:asciiTheme="minorHAnsi" w:eastAsiaTheme="minorEastAsia"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1E6654"/>
    <w:rPr>
      <w:b/>
      <w:bCs/>
    </w:rPr>
  </w:style>
  <w:style w:type="character" w:customStyle="1" w:styleId="CommentSubjectChar">
    <w:name w:val="Comment Subject Char"/>
    <w:basedOn w:val="CommentTextChar"/>
    <w:link w:val="CommentSubject"/>
    <w:uiPriority w:val="99"/>
    <w:semiHidden/>
    <w:rsid w:val="001E6654"/>
    <w:rPr>
      <w:rFonts w:asciiTheme="minorHAnsi" w:eastAsiaTheme="minorEastAsia" w:hAnsiTheme="minorHAnsi" w:cstheme="minorBidi"/>
      <w:b/>
      <w:bCs/>
      <w:sz w:val="20"/>
      <w:szCs w:val="20"/>
    </w:rPr>
  </w:style>
  <w:style w:type="paragraph" w:styleId="BalloonText">
    <w:name w:val="Balloon Text"/>
    <w:basedOn w:val="Normal"/>
    <w:link w:val="BalloonTextChar"/>
    <w:uiPriority w:val="99"/>
    <w:semiHidden/>
    <w:unhideWhenUsed/>
    <w:rsid w:val="001E66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654"/>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4141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07/relationships/stylesWithEffects" Target="stylesWithEffects.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en.wikipedia.org/wiki/Government_of_Ireland" TargetMode="External"/><Relationship Id="rId2" Type="http://schemas.openxmlformats.org/officeDocument/2006/relationships/hyperlink" Target="http://en.wikipedia.org/wiki/Department_of_State_%28Ireland%29" TargetMode="External"/><Relationship Id="rId1" Type="http://schemas.openxmlformats.org/officeDocument/2006/relationships/hyperlink" Target="http://en.wikipedia.org/wiki/Cabinet_rank" TargetMode="External"/><Relationship Id="rId4" Type="http://schemas.openxmlformats.org/officeDocument/2006/relationships/hyperlink" Target="http://en.wikipedia.org/wiki/Minister_%28government%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23</Pages>
  <Words>9168</Words>
  <Characters>52263</Characters>
  <Application>Microsoft Office Word</Application>
  <DocSecurity>0</DocSecurity>
  <Lines>435</Lines>
  <Paragraphs>122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TCD</Company>
  <LinksUpToDate>false</LinksUpToDate>
  <CharactersWithSpaces>61309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doylem5</dc:creator>
  <cp:lastModifiedBy>Virpi Timonen</cp:lastModifiedBy>
  <cp:revision>4</cp:revision>
  <cp:lastPrinted>2012-09-21T11:44:00Z</cp:lastPrinted>
  <dcterms:created xsi:type="dcterms:W3CDTF">2012-10-01T10:51:00Z</dcterms:created>
  <dcterms:modified xsi:type="dcterms:W3CDTF">2012-12-14T11:42:00Z</dcterms:modified>
</cp:coreProperties>
</file>