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B69E9" w:rsidRPr="004B69E9" w:rsidRDefault="004B69E9" w:rsidP="004F3E06">
      <w:pPr>
        <w:rPr>
          <w:rFonts w:asciiTheme="minorHAnsi" w:hAnsiTheme="minorHAnsi"/>
          <w:b/>
          <w:szCs w:val="22"/>
        </w:rPr>
      </w:pPr>
      <w:r w:rsidRPr="004B69E9">
        <w:rPr>
          <w:rFonts w:asciiTheme="minorHAnsi" w:hAnsiTheme="minorHAnsi"/>
          <w:b/>
          <w:szCs w:val="22"/>
        </w:rPr>
        <w:t xml:space="preserve">Of Measures &amp; Metrics – A </w:t>
      </w:r>
      <w:proofErr w:type="spellStart"/>
      <w:r w:rsidRPr="004B69E9">
        <w:rPr>
          <w:rFonts w:asciiTheme="minorHAnsi" w:hAnsiTheme="minorHAnsi"/>
          <w:b/>
          <w:szCs w:val="22"/>
        </w:rPr>
        <w:t>Foucaultian</w:t>
      </w:r>
      <w:proofErr w:type="spellEnd"/>
      <w:r w:rsidRPr="004B69E9">
        <w:rPr>
          <w:rFonts w:asciiTheme="minorHAnsi" w:hAnsiTheme="minorHAnsi"/>
          <w:b/>
          <w:szCs w:val="22"/>
        </w:rPr>
        <w:t>/</w:t>
      </w:r>
      <w:proofErr w:type="spellStart"/>
      <w:r w:rsidRPr="004B69E9">
        <w:rPr>
          <w:rFonts w:asciiTheme="minorHAnsi" w:hAnsiTheme="minorHAnsi"/>
          <w:b/>
          <w:szCs w:val="22"/>
        </w:rPr>
        <w:t>Zizekian</w:t>
      </w:r>
      <w:proofErr w:type="spellEnd"/>
      <w:r w:rsidRPr="004B69E9">
        <w:rPr>
          <w:rFonts w:asciiTheme="minorHAnsi" w:hAnsiTheme="minorHAnsi"/>
          <w:b/>
          <w:szCs w:val="22"/>
        </w:rPr>
        <w:t xml:space="preserve"> influenced exploration of the impact of accountability regimes on academic identity in Irish higher education </w:t>
      </w:r>
    </w:p>
    <w:p w:rsidR="004B69E9" w:rsidRPr="004B69E9" w:rsidRDefault="004B69E9" w:rsidP="004F3E06">
      <w:pPr>
        <w:rPr>
          <w:rFonts w:asciiTheme="minorHAnsi" w:hAnsiTheme="minorHAnsi"/>
          <w:szCs w:val="22"/>
        </w:rPr>
      </w:pPr>
    </w:p>
    <w:p w:rsidR="004B69E9" w:rsidRPr="004B69E9" w:rsidRDefault="009C6FE5" w:rsidP="004F3E06">
      <w:pPr>
        <w:rPr>
          <w:rFonts w:asciiTheme="minorHAnsi" w:hAnsiTheme="minorHAnsi"/>
          <w:i/>
          <w:szCs w:val="22"/>
        </w:rPr>
      </w:pPr>
      <w:proofErr w:type="gramStart"/>
      <w:r>
        <w:rPr>
          <w:rFonts w:asciiTheme="minorHAnsi" w:hAnsiTheme="minorHAnsi"/>
          <w:i/>
          <w:szCs w:val="22"/>
        </w:rPr>
        <w:t>A</w:t>
      </w:r>
      <w:r w:rsidR="004B69E9" w:rsidRPr="004B69E9">
        <w:rPr>
          <w:rFonts w:asciiTheme="minorHAnsi" w:hAnsiTheme="minorHAnsi"/>
          <w:i/>
          <w:szCs w:val="22"/>
        </w:rPr>
        <w:t xml:space="preserve">idan Seery and Andrew Loxley, </w:t>
      </w:r>
      <w:r>
        <w:rPr>
          <w:rFonts w:asciiTheme="minorHAnsi" w:hAnsiTheme="minorHAnsi"/>
          <w:i/>
          <w:szCs w:val="22"/>
        </w:rPr>
        <w:t>‘</w:t>
      </w:r>
      <w:r w:rsidR="004B69E9" w:rsidRPr="004B69E9">
        <w:rPr>
          <w:rFonts w:asciiTheme="minorHAnsi" w:hAnsiTheme="minorHAnsi"/>
          <w:i/>
          <w:szCs w:val="22"/>
        </w:rPr>
        <w:t>C</w:t>
      </w:r>
      <w:r>
        <w:rPr>
          <w:rFonts w:asciiTheme="minorHAnsi" w:hAnsiTheme="minorHAnsi"/>
          <w:i/>
          <w:szCs w:val="22"/>
        </w:rPr>
        <w:t>ultures, Academic Values and Education’ (C</w:t>
      </w:r>
      <w:r w:rsidR="004B69E9" w:rsidRPr="004B69E9">
        <w:rPr>
          <w:rFonts w:asciiTheme="minorHAnsi" w:hAnsiTheme="minorHAnsi"/>
          <w:i/>
          <w:szCs w:val="22"/>
        </w:rPr>
        <w:t>AVE</w:t>
      </w:r>
      <w:r>
        <w:rPr>
          <w:rFonts w:asciiTheme="minorHAnsi" w:hAnsiTheme="minorHAnsi"/>
          <w:i/>
          <w:szCs w:val="22"/>
        </w:rPr>
        <w:t>)</w:t>
      </w:r>
      <w:r w:rsidR="004B69E9" w:rsidRPr="004B69E9">
        <w:rPr>
          <w:rFonts w:asciiTheme="minorHAnsi" w:hAnsiTheme="minorHAnsi"/>
          <w:i/>
          <w:szCs w:val="22"/>
        </w:rPr>
        <w:t xml:space="preserve"> research group, School of Education, Trinity College Dublin, Ireland</w:t>
      </w:r>
      <w:r w:rsidR="004B69E9" w:rsidRPr="004B69E9">
        <w:rPr>
          <w:rStyle w:val="FootnoteReference"/>
          <w:rFonts w:asciiTheme="minorHAnsi" w:hAnsiTheme="minorHAnsi"/>
          <w:i/>
          <w:szCs w:val="22"/>
        </w:rPr>
        <w:footnoteReference w:id="1"/>
      </w:r>
      <w:r w:rsidR="004B69E9" w:rsidRPr="004B69E9">
        <w:rPr>
          <w:rFonts w:asciiTheme="minorHAnsi" w:hAnsiTheme="minorHAnsi"/>
          <w:i/>
          <w:szCs w:val="22"/>
        </w:rPr>
        <w:t>.</w:t>
      </w:r>
      <w:proofErr w:type="gramEnd"/>
    </w:p>
    <w:p w:rsidR="004B69E9" w:rsidRPr="004B69E9" w:rsidRDefault="004B69E9" w:rsidP="002A4075">
      <w:pPr>
        <w:tabs>
          <w:tab w:val="left" w:pos="6193"/>
        </w:tabs>
        <w:rPr>
          <w:rFonts w:asciiTheme="minorHAnsi" w:hAnsiTheme="minorHAnsi"/>
          <w:szCs w:val="22"/>
        </w:rPr>
      </w:pPr>
      <w:r w:rsidRPr="004B69E9">
        <w:rPr>
          <w:rFonts w:asciiTheme="minorHAnsi" w:hAnsiTheme="minorHAnsi"/>
          <w:szCs w:val="22"/>
        </w:rPr>
        <w:tab/>
      </w:r>
    </w:p>
    <w:p w:rsidR="004B69E9" w:rsidRPr="004B69E9" w:rsidRDefault="004B69E9" w:rsidP="002A4075">
      <w:pPr>
        <w:tabs>
          <w:tab w:val="left" w:pos="6193"/>
        </w:tabs>
        <w:rPr>
          <w:rFonts w:asciiTheme="minorHAnsi" w:hAnsiTheme="minorHAnsi"/>
          <w:b/>
          <w:szCs w:val="22"/>
        </w:rPr>
      </w:pPr>
      <w:r w:rsidRPr="004B69E9">
        <w:rPr>
          <w:rFonts w:asciiTheme="minorHAnsi" w:hAnsiTheme="minorHAnsi"/>
          <w:b/>
          <w:szCs w:val="22"/>
        </w:rPr>
        <w:t>Abstract</w:t>
      </w:r>
    </w:p>
    <w:p w:rsidR="004B69E9" w:rsidRPr="004B69E9" w:rsidRDefault="004B69E9" w:rsidP="002A4075">
      <w:pPr>
        <w:tabs>
          <w:tab w:val="left" w:pos="6193"/>
        </w:tabs>
        <w:rPr>
          <w:rFonts w:asciiTheme="minorHAnsi" w:hAnsiTheme="minorHAnsi"/>
          <w:b/>
          <w:szCs w:val="22"/>
        </w:rPr>
      </w:pPr>
    </w:p>
    <w:p w:rsidR="009C6FE5" w:rsidRPr="009C6FE5" w:rsidRDefault="009C6FE5" w:rsidP="009C6FE5">
      <w:pPr>
        <w:tabs>
          <w:tab w:val="left" w:pos="6193"/>
        </w:tabs>
        <w:rPr>
          <w:rFonts w:asciiTheme="minorHAnsi" w:hAnsiTheme="minorHAnsi"/>
          <w:szCs w:val="22"/>
        </w:rPr>
      </w:pPr>
      <w:r w:rsidRPr="009C6FE5">
        <w:rPr>
          <w:rFonts w:asciiTheme="minorHAnsi" w:hAnsiTheme="minorHAnsi"/>
          <w:szCs w:val="22"/>
        </w:rPr>
        <w:t xml:space="preserve">This paper reports on project aimed at examining the impact of accountability regimes on academic identity/identities in Ireland. Framed by a view of </w:t>
      </w:r>
      <w:proofErr w:type="spellStart"/>
      <w:r w:rsidRPr="009C6FE5">
        <w:rPr>
          <w:rFonts w:asciiTheme="minorHAnsi" w:hAnsiTheme="minorHAnsi"/>
          <w:szCs w:val="22"/>
        </w:rPr>
        <w:t>Foucaultian</w:t>
      </w:r>
      <w:proofErr w:type="spellEnd"/>
      <w:r w:rsidRPr="009C6FE5">
        <w:rPr>
          <w:rFonts w:asciiTheme="minorHAnsi" w:hAnsiTheme="minorHAnsi"/>
          <w:szCs w:val="22"/>
        </w:rPr>
        <w:t xml:space="preserve"> power relations and the </w:t>
      </w:r>
      <w:proofErr w:type="spellStart"/>
      <w:r w:rsidRPr="009C6FE5">
        <w:rPr>
          <w:rFonts w:asciiTheme="minorHAnsi" w:hAnsiTheme="minorHAnsi"/>
          <w:szCs w:val="22"/>
        </w:rPr>
        <w:t>Zizekian</w:t>
      </w:r>
      <w:proofErr w:type="spellEnd"/>
      <w:r w:rsidRPr="009C6FE5">
        <w:rPr>
          <w:rFonts w:asciiTheme="minorHAnsi" w:hAnsiTheme="minorHAnsi"/>
          <w:szCs w:val="22"/>
        </w:rPr>
        <w:t xml:space="preserve"> idea that academic life may contain irreducible fissures and voids that defy any totalizing descriptions, a number of extended interviews were carried out with academics in four of Ireland’s seven universities. An initial analysis of the defining tensions in the lives of three of the academics interviewed reveals the </w:t>
      </w:r>
      <w:r>
        <w:rPr>
          <w:rFonts w:asciiTheme="minorHAnsi" w:hAnsiTheme="minorHAnsi"/>
          <w:szCs w:val="22"/>
        </w:rPr>
        <w:t xml:space="preserve">difficult </w:t>
      </w:r>
      <w:r w:rsidRPr="009C6FE5">
        <w:rPr>
          <w:rFonts w:asciiTheme="minorHAnsi" w:hAnsiTheme="minorHAnsi"/>
          <w:szCs w:val="22"/>
        </w:rPr>
        <w:t xml:space="preserve">negotiation of their identities </w:t>
      </w:r>
      <w:r>
        <w:rPr>
          <w:rFonts w:asciiTheme="minorHAnsi" w:hAnsiTheme="minorHAnsi"/>
          <w:szCs w:val="22"/>
        </w:rPr>
        <w:t>on three levels</w:t>
      </w:r>
      <w:r w:rsidRPr="009C6FE5">
        <w:rPr>
          <w:rFonts w:asciiTheme="minorHAnsi" w:hAnsiTheme="minorHAnsi"/>
          <w:szCs w:val="22"/>
        </w:rPr>
        <w:t xml:space="preserve"> framed by policy, discipline and institution. These tensions are characterized by a heightened sensitivity and awareness of power relations both within and external to the university and manifest themselves in some cases in variable modes of acceptance and resistance to the use of metrics - actual or anticipated. A second result of the analysis is that the </w:t>
      </w:r>
      <w:proofErr w:type="spellStart"/>
      <w:r w:rsidRPr="009C6FE5">
        <w:rPr>
          <w:rFonts w:asciiTheme="minorHAnsi" w:hAnsiTheme="minorHAnsi"/>
          <w:szCs w:val="22"/>
        </w:rPr>
        <w:t>Zizekian</w:t>
      </w:r>
      <w:proofErr w:type="spellEnd"/>
      <w:r w:rsidRPr="009C6FE5">
        <w:rPr>
          <w:rFonts w:asciiTheme="minorHAnsi" w:hAnsiTheme="minorHAnsi"/>
          <w:szCs w:val="22"/>
        </w:rPr>
        <w:t xml:space="preserve"> notion of an inherent disruptive “excess” in the internal dialectic between metric and accountability systems and self is not [yet!] evident in the lives under consideration. However, the interpretative framework adopted is </w:t>
      </w:r>
      <w:r>
        <w:rPr>
          <w:rFonts w:asciiTheme="minorHAnsi" w:hAnsiTheme="minorHAnsi"/>
          <w:szCs w:val="22"/>
        </w:rPr>
        <w:t>offered as</w:t>
      </w:r>
      <w:r w:rsidRPr="009C6FE5">
        <w:rPr>
          <w:rFonts w:asciiTheme="minorHAnsi" w:hAnsiTheme="minorHAnsi"/>
          <w:szCs w:val="22"/>
        </w:rPr>
        <w:t xml:space="preserve"> a useful tool that reveals the tensions academics lives in a new light. </w:t>
      </w:r>
    </w:p>
    <w:p w:rsidR="004B69E9" w:rsidRPr="004B69E9" w:rsidRDefault="004B69E9" w:rsidP="002A4075">
      <w:pPr>
        <w:tabs>
          <w:tab w:val="left" w:pos="6193"/>
        </w:tabs>
        <w:rPr>
          <w:rFonts w:asciiTheme="minorHAnsi" w:hAnsiTheme="minorHAnsi"/>
          <w:szCs w:val="22"/>
        </w:rPr>
      </w:pPr>
    </w:p>
    <w:p w:rsidR="004B69E9" w:rsidRPr="009C6FE5" w:rsidRDefault="004B69E9" w:rsidP="00CB0A90">
      <w:pPr>
        <w:rPr>
          <w:rFonts w:asciiTheme="minorHAnsi" w:hAnsiTheme="minorHAnsi"/>
          <w:szCs w:val="22"/>
        </w:rPr>
      </w:pPr>
      <w:r w:rsidRPr="009C6FE5">
        <w:rPr>
          <w:rFonts w:asciiTheme="minorHAnsi" w:hAnsiTheme="minorHAnsi"/>
          <w:szCs w:val="22"/>
        </w:rPr>
        <w:t>Introduction</w:t>
      </w:r>
    </w:p>
    <w:p w:rsidR="004B69E9" w:rsidRPr="009C6FE5" w:rsidRDefault="004B69E9" w:rsidP="004F3E06">
      <w:pPr>
        <w:rPr>
          <w:rFonts w:asciiTheme="minorHAnsi" w:hAnsiTheme="minorHAnsi"/>
          <w:szCs w:val="22"/>
        </w:rPr>
      </w:pPr>
    </w:p>
    <w:p w:rsidR="004B69E9" w:rsidRDefault="009C6FE5" w:rsidP="008020FD">
      <w:pPr>
        <w:rPr>
          <w:rFonts w:asciiTheme="minorHAnsi" w:hAnsiTheme="minorHAnsi"/>
          <w:szCs w:val="22"/>
        </w:rPr>
      </w:pPr>
      <w:r w:rsidRPr="009C6FE5">
        <w:rPr>
          <w:rFonts w:asciiTheme="minorHAnsi" w:hAnsiTheme="minorHAnsi"/>
          <w:szCs w:val="22"/>
        </w:rPr>
        <w:t xml:space="preserve">In this paper we interrogate aspects of the recent cultures of new public </w:t>
      </w:r>
      <w:proofErr w:type="spellStart"/>
      <w:r w:rsidRPr="009C6FE5">
        <w:rPr>
          <w:rFonts w:asciiTheme="minorHAnsi" w:hAnsiTheme="minorHAnsi"/>
          <w:szCs w:val="22"/>
        </w:rPr>
        <w:t>managerialism</w:t>
      </w:r>
      <w:proofErr w:type="spellEnd"/>
      <w:r w:rsidRPr="009C6FE5">
        <w:rPr>
          <w:rFonts w:asciiTheme="minorHAnsi" w:hAnsiTheme="minorHAnsi"/>
          <w:szCs w:val="22"/>
        </w:rPr>
        <w:t xml:space="preserve"> (NPW) and quasi-</w:t>
      </w:r>
      <w:proofErr w:type="spellStart"/>
      <w:r w:rsidRPr="009C6FE5">
        <w:rPr>
          <w:rFonts w:asciiTheme="minorHAnsi" w:hAnsiTheme="minorHAnsi"/>
          <w:szCs w:val="22"/>
        </w:rPr>
        <w:t>marketisation</w:t>
      </w:r>
      <w:proofErr w:type="spellEnd"/>
      <w:r w:rsidRPr="009C6FE5">
        <w:rPr>
          <w:rFonts w:asciiTheme="minorHAnsi" w:hAnsiTheme="minorHAnsi"/>
          <w:szCs w:val="22"/>
        </w:rPr>
        <w:t xml:space="preserve"> in Irish higher education by applying a </w:t>
      </w:r>
      <w:proofErr w:type="spellStart"/>
      <w:r w:rsidRPr="009C6FE5">
        <w:rPr>
          <w:rFonts w:asciiTheme="minorHAnsi" w:hAnsiTheme="minorHAnsi"/>
          <w:szCs w:val="22"/>
        </w:rPr>
        <w:t>Foucaultian</w:t>
      </w:r>
      <w:proofErr w:type="spellEnd"/>
      <w:r w:rsidRPr="009C6FE5">
        <w:rPr>
          <w:rFonts w:asciiTheme="minorHAnsi" w:hAnsiTheme="minorHAnsi"/>
          <w:szCs w:val="22"/>
        </w:rPr>
        <w:t>/</w:t>
      </w:r>
      <w:proofErr w:type="spellStart"/>
      <w:r w:rsidRPr="009C6FE5">
        <w:rPr>
          <w:rFonts w:asciiTheme="minorHAnsi" w:hAnsiTheme="minorHAnsi"/>
          <w:szCs w:val="22"/>
        </w:rPr>
        <w:t>Zizekian</w:t>
      </w:r>
      <w:proofErr w:type="spellEnd"/>
      <w:r w:rsidRPr="009C6FE5">
        <w:rPr>
          <w:rFonts w:asciiTheme="minorHAnsi" w:hAnsiTheme="minorHAnsi"/>
          <w:szCs w:val="22"/>
        </w:rPr>
        <w:t xml:space="preserve"> analysis of the lived experience of new models of academic subjectivity. We pose the question ‘whether academics’ experiences of the metrification of their work and other facets of NPM can be read as a conflict between an attempted ideological totality in the form of technologies of power and self and the distorting and traumatic effects of the ‘Real’ of academic life? We attempt to read the responses as manifestations of the </w:t>
      </w:r>
      <w:proofErr w:type="spellStart"/>
      <w:r w:rsidRPr="009C6FE5">
        <w:rPr>
          <w:rFonts w:asciiTheme="minorHAnsi" w:hAnsiTheme="minorHAnsi"/>
          <w:szCs w:val="22"/>
        </w:rPr>
        <w:t>Zizekian</w:t>
      </w:r>
      <w:proofErr w:type="spellEnd"/>
      <w:r w:rsidRPr="009C6FE5">
        <w:rPr>
          <w:rFonts w:asciiTheme="minorHAnsi" w:hAnsiTheme="minorHAnsi"/>
          <w:szCs w:val="22"/>
        </w:rPr>
        <w:t xml:space="preserve"> idea that the disruptive ‘otherness’ of the discourses of higher education and institutional policy are necessary elements of the dialectics of both academic identity and institution that reveal fissures and gaps at the heart of both system and self. This approach, we </w:t>
      </w:r>
      <w:r w:rsidRPr="009C6FE5">
        <w:rPr>
          <w:rFonts w:asciiTheme="minorHAnsi" w:hAnsiTheme="minorHAnsi"/>
          <w:szCs w:val="22"/>
        </w:rPr>
        <w:lastRenderedPageBreak/>
        <w:t xml:space="preserve">argue, allows, in a not uncontested way, a means of reading both large-scale discourses and notions of self and identity using the same framework thus augmenting recent work on academic work and identities </w:t>
      </w:r>
      <w:r w:rsidRPr="009C6FE5">
        <w:rPr>
          <w:rFonts w:asciiTheme="minorHAnsi" w:hAnsiTheme="minorHAnsi"/>
          <w:szCs w:val="22"/>
        </w:rPr>
        <w:fldChar w:fldCharType="begin">
          <w:fldData xml:space="preserve">PEVuZE5vdGU+PENpdGU+PEF1dGhvcj5DaHVyY2htYW48L0F1dGhvcj48WWVhcj4yMDA5PC9ZZWFy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</w:fldData>
        </w:fldChar>
      </w:r>
      <w:r w:rsidRPr="009C6FE5">
        <w:rPr>
          <w:rFonts w:asciiTheme="minorHAnsi" w:hAnsiTheme="minorHAnsi"/>
          <w:szCs w:val="22"/>
        </w:rPr>
        <w:instrText xml:space="preserve"> ADDIN EN.CITE </w:instrText>
      </w:r>
      <w:r w:rsidRPr="009C6FE5">
        <w:rPr>
          <w:rFonts w:asciiTheme="minorHAnsi" w:hAnsiTheme="minorHAnsi"/>
          <w:szCs w:val="22"/>
        </w:rPr>
        <w:fldChar w:fldCharType="begin">
          <w:fldData xml:space="preserve">PEVuZE5vdGU+PENpdGU+PEF1dGhvcj5DaHVyY2htYW48L0F1dGhvcj48WWVhcj4yMDA5PC9ZZWFy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</w:fldData>
        </w:fldChar>
      </w:r>
      <w:r w:rsidRPr="009C6FE5">
        <w:rPr>
          <w:rFonts w:asciiTheme="minorHAnsi" w:hAnsiTheme="minorHAnsi"/>
          <w:szCs w:val="22"/>
        </w:rPr>
        <w:instrText xml:space="preserve"> ADDIN EN.CITE.DATA </w:instrText>
      </w:r>
      <w:r w:rsidRPr="009C6FE5">
        <w:rPr>
          <w:rFonts w:asciiTheme="minorHAnsi" w:hAnsiTheme="minorHAnsi"/>
          <w:szCs w:val="22"/>
        </w:rPr>
      </w:r>
      <w:r w:rsidRPr="009C6FE5">
        <w:rPr>
          <w:rFonts w:asciiTheme="minorHAnsi" w:hAnsiTheme="minorHAnsi"/>
          <w:szCs w:val="22"/>
        </w:rPr>
        <w:fldChar w:fldCharType="end"/>
      </w:r>
      <w:r w:rsidRPr="009C6FE5">
        <w:rPr>
          <w:rFonts w:asciiTheme="minorHAnsi" w:hAnsiTheme="minorHAnsi"/>
          <w:szCs w:val="22"/>
        </w:rPr>
      </w:r>
      <w:r w:rsidRPr="009C6FE5">
        <w:rPr>
          <w:rFonts w:asciiTheme="minorHAnsi" w:hAnsiTheme="minorHAnsi"/>
          <w:szCs w:val="22"/>
        </w:rPr>
        <w:fldChar w:fldCharType="separate"/>
      </w:r>
      <w:r w:rsidRPr="009C6FE5">
        <w:rPr>
          <w:rFonts w:asciiTheme="minorHAnsi" w:hAnsiTheme="minorHAnsi"/>
          <w:szCs w:val="22"/>
        </w:rPr>
        <w:t>(</w:t>
      </w:r>
      <w:hyperlink w:anchor="_ENREF_1" w:tooltip="Billot, 2010 #1021" w:history="1">
        <w:r w:rsidRPr="009C6FE5">
          <w:rPr>
            <w:rStyle w:val="Hyperlink"/>
            <w:rFonts w:asciiTheme="minorHAnsi" w:hAnsiTheme="minorHAnsi"/>
            <w:szCs w:val="22"/>
          </w:rPr>
          <w:t>Billot, 2010</w:t>
        </w:r>
      </w:hyperlink>
      <w:r w:rsidRPr="009C6FE5">
        <w:rPr>
          <w:rFonts w:asciiTheme="minorHAnsi" w:hAnsiTheme="minorHAnsi"/>
          <w:szCs w:val="22"/>
        </w:rPr>
        <w:t xml:space="preserve">; </w:t>
      </w:r>
      <w:hyperlink w:anchor="_ENREF_2" w:tooltip="Churchman, 2009 #1019" w:history="1">
        <w:r w:rsidRPr="009C6FE5">
          <w:rPr>
            <w:rStyle w:val="Hyperlink"/>
            <w:rFonts w:asciiTheme="minorHAnsi" w:hAnsiTheme="minorHAnsi"/>
            <w:szCs w:val="22"/>
          </w:rPr>
          <w:t>Churchman &amp; King, 2009</w:t>
        </w:r>
      </w:hyperlink>
      <w:r w:rsidRPr="009C6FE5">
        <w:rPr>
          <w:rFonts w:asciiTheme="minorHAnsi" w:hAnsiTheme="minorHAnsi"/>
          <w:szCs w:val="22"/>
        </w:rPr>
        <w:t xml:space="preserve">; </w:t>
      </w:r>
      <w:hyperlink w:anchor="_ENREF_7" w:tooltip="Malcolm, 2009 #1020" w:history="1">
        <w:r w:rsidRPr="009C6FE5">
          <w:rPr>
            <w:rStyle w:val="Hyperlink"/>
            <w:rFonts w:asciiTheme="minorHAnsi" w:hAnsiTheme="minorHAnsi"/>
            <w:szCs w:val="22"/>
          </w:rPr>
          <w:t>Malcolm &amp; Zukas, 2009</w:t>
        </w:r>
      </w:hyperlink>
      <w:r w:rsidRPr="009C6FE5">
        <w:rPr>
          <w:rFonts w:asciiTheme="minorHAnsi" w:hAnsiTheme="minorHAnsi"/>
          <w:szCs w:val="22"/>
        </w:rPr>
        <w:t xml:space="preserve">; </w:t>
      </w:r>
      <w:hyperlink w:anchor="_ENREF_13" w:tooltip="Waitere, 2011 #1022" w:history="1">
        <w:r w:rsidRPr="009C6FE5">
          <w:rPr>
            <w:rStyle w:val="Hyperlink"/>
            <w:rFonts w:asciiTheme="minorHAnsi" w:hAnsiTheme="minorHAnsi"/>
            <w:szCs w:val="22"/>
          </w:rPr>
          <w:t>Waitere, Wright, Tremaine, Brown, &amp; Pausé, 2011</w:t>
        </w:r>
      </w:hyperlink>
      <w:r w:rsidRPr="009C6FE5">
        <w:rPr>
          <w:rFonts w:asciiTheme="minorHAnsi" w:hAnsiTheme="minorHAnsi"/>
          <w:szCs w:val="22"/>
        </w:rPr>
        <w:t>)</w:t>
      </w:r>
      <w:r w:rsidRPr="009C6FE5">
        <w:rPr>
          <w:rFonts w:asciiTheme="minorHAnsi" w:hAnsiTheme="minorHAnsi"/>
          <w:szCs w:val="22"/>
        </w:rPr>
        <w:fldChar w:fldCharType="end"/>
      </w:r>
    </w:p>
    <w:p w:rsidR="009C6FE5" w:rsidRPr="009C6FE5" w:rsidRDefault="009C6FE5" w:rsidP="008020FD">
      <w:pPr>
        <w:rPr>
          <w:rFonts w:asciiTheme="minorHAnsi" w:hAnsiTheme="minorHAnsi"/>
          <w:szCs w:val="22"/>
        </w:rPr>
      </w:pPr>
    </w:p>
    <w:p w:rsidR="004B69E9" w:rsidRPr="004B69E9" w:rsidRDefault="004B69E9" w:rsidP="00FC0CD5">
      <w:pPr>
        <w:rPr>
          <w:rFonts w:asciiTheme="minorHAnsi" w:hAnsiTheme="minorHAnsi"/>
          <w:b/>
          <w:i/>
          <w:szCs w:val="22"/>
        </w:rPr>
      </w:pPr>
      <w:r w:rsidRPr="004B69E9">
        <w:rPr>
          <w:rFonts w:asciiTheme="minorHAnsi" w:hAnsiTheme="minorHAnsi"/>
          <w:b/>
          <w:i/>
          <w:szCs w:val="22"/>
        </w:rPr>
        <w:t>Irish Higher Education: The little engine that can?</w:t>
      </w:r>
    </w:p>
    <w:p w:rsidR="004B69E9" w:rsidRPr="004B69E9" w:rsidRDefault="004B69E9" w:rsidP="00FC0CD5">
      <w:pPr>
        <w:rPr>
          <w:rFonts w:asciiTheme="minorHAnsi" w:hAnsiTheme="minorHAnsi"/>
          <w:b/>
          <w:szCs w:val="22"/>
        </w:rPr>
      </w:pPr>
    </w:p>
    <w:p w:rsidR="004B69E9" w:rsidRPr="004B69E9" w:rsidRDefault="004B69E9" w:rsidP="005915ED">
      <w:pPr>
        <w:rPr>
          <w:rFonts w:asciiTheme="minorHAnsi" w:hAnsiTheme="minorHAnsi"/>
          <w:szCs w:val="22"/>
        </w:rPr>
      </w:pPr>
      <w:r w:rsidRPr="004B69E9">
        <w:rPr>
          <w:rFonts w:asciiTheme="minorHAnsi" w:hAnsiTheme="minorHAnsi" w:cs="Arial"/>
          <w:szCs w:val="22"/>
        </w:rPr>
        <w:t>The Irish higher education system has undergone a significant transformation over the past three decades in part accelerated by a decade and half of rapid economic growth. It has also become</w:t>
      </w:r>
      <w:r w:rsidRPr="004B69E9">
        <w:rPr>
          <w:rFonts w:asciiTheme="minorHAnsi" w:hAnsiTheme="minorHAnsi"/>
          <w:szCs w:val="22"/>
        </w:rPr>
        <w:t xml:space="preserve"> a much more publically contested arena regarding its purpose and relationship to the state and civil society. As argued by </w:t>
      </w:r>
      <w:r w:rsidRPr="004B69E9">
        <w:rPr>
          <w:rFonts w:asciiTheme="minorHAnsi" w:hAnsiTheme="minorHAnsi" w:cs="Arial"/>
          <w:szCs w:val="22"/>
        </w:rPr>
        <w:t>Loxley and Seery (</w:t>
      </w:r>
      <w:r w:rsidR="00CA5042">
        <w:rPr>
          <w:rFonts w:asciiTheme="minorHAnsi" w:hAnsiTheme="minorHAnsi" w:cs="Arial"/>
          <w:szCs w:val="22"/>
        </w:rPr>
        <w:t>2011</w:t>
      </w:r>
      <w:r w:rsidRPr="004B69E9">
        <w:rPr>
          <w:rFonts w:asciiTheme="minorHAnsi" w:hAnsiTheme="minorHAnsi" w:cs="Arial"/>
          <w:szCs w:val="22"/>
        </w:rPr>
        <w:t xml:space="preserve">), this shift can be categorised around three policy themes: </w:t>
      </w:r>
    </w:p>
    <w:p w:rsidR="004B69E9" w:rsidRPr="004B69E9" w:rsidRDefault="004B69E9" w:rsidP="005915ED">
      <w:pPr>
        <w:rPr>
          <w:rFonts w:asciiTheme="minorHAnsi" w:hAnsiTheme="minorHAnsi" w:cs="Arial"/>
          <w:szCs w:val="22"/>
        </w:rPr>
      </w:pPr>
    </w:p>
    <w:p w:rsidR="004B69E9" w:rsidRPr="004B69E9" w:rsidRDefault="004B69E9" w:rsidP="005915ED">
      <w:pPr>
        <w:rPr>
          <w:rFonts w:asciiTheme="minorHAnsi" w:hAnsiTheme="minorHAnsi" w:cs="Arial"/>
          <w:szCs w:val="22"/>
        </w:rPr>
      </w:pPr>
      <w:r w:rsidRPr="004B69E9">
        <w:rPr>
          <w:rFonts w:asciiTheme="minorHAnsi" w:hAnsiTheme="minorHAnsi" w:cs="Arial"/>
          <w:szCs w:val="22"/>
        </w:rPr>
        <w:t xml:space="preserve">1) </w:t>
      </w:r>
      <w:proofErr w:type="gramStart"/>
      <w:r w:rsidRPr="004B69E9">
        <w:rPr>
          <w:rFonts w:asciiTheme="minorHAnsi" w:hAnsiTheme="minorHAnsi" w:cs="Arial"/>
          <w:szCs w:val="22"/>
        </w:rPr>
        <w:t>expansion</w:t>
      </w:r>
      <w:proofErr w:type="gramEnd"/>
      <w:r w:rsidRPr="004B69E9">
        <w:rPr>
          <w:rFonts w:asciiTheme="minorHAnsi" w:hAnsiTheme="minorHAnsi" w:cs="Arial"/>
          <w:szCs w:val="22"/>
        </w:rPr>
        <w:t xml:space="preserve"> and diversification of the student body, </w:t>
      </w:r>
    </w:p>
    <w:p w:rsidR="004B69E9" w:rsidRPr="004B69E9" w:rsidRDefault="004B69E9" w:rsidP="005915ED">
      <w:pPr>
        <w:rPr>
          <w:rFonts w:asciiTheme="minorHAnsi" w:hAnsiTheme="minorHAnsi" w:cs="Arial"/>
          <w:szCs w:val="22"/>
        </w:rPr>
      </w:pPr>
      <w:r w:rsidRPr="004B69E9">
        <w:rPr>
          <w:rFonts w:asciiTheme="minorHAnsi" w:hAnsiTheme="minorHAnsi" w:cs="Arial"/>
          <w:szCs w:val="22"/>
        </w:rPr>
        <w:t xml:space="preserve">2) </w:t>
      </w:r>
      <w:proofErr w:type="gramStart"/>
      <w:r w:rsidRPr="004B69E9">
        <w:rPr>
          <w:rFonts w:asciiTheme="minorHAnsi" w:hAnsiTheme="minorHAnsi" w:cs="Arial"/>
          <w:szCs w:val="22"/>
        </w:rPr>
        <w:t>knowledge</w:t>
      </w:r>
      <w:proofErr w:type="gramEnd"/>
      <w:r w:rsidRPr="004B69E9">
        <w:rPr>
          <w:rFonts w:asciiTheme="minorHAnsi" w:hAnsiTheme="minorHAnsi" w:cs="Arial"/>
          <w:szCs w:val="22"/>
        </w:rPr>
        <w:t xml:space="preserve"> generation through increased levels of research activity, and </w:t>
      </w:r>
    </w:p>
    <w:p w:rsidR="004B69E9" w:rsidRPr="004B69E9" w:rsidRDefault="004B69E9" w:rsidP="005915ED">
      <w:pPr>
        <w:rPr>
          <w:rFonts w:asciiTheme="minorHAnsi" w:hAnsiTheme="minorHAnsi" w:cs="Arial"/>
          <w:szCs w:val="22"/>
        </w:rPr>
      </w:pPr>
      <w:r w:rsidRPr="004B69E9">
        <w:rPr>
          <w:rFonts w:asciiTheme="minorHAnsi" w:hAnsiTheme="minorHAnsi" w:cs="Arial"/>
          <w:szCs w:val="22"/>
        </w:rPr>
        <w:t xml:space="preserve">3) </w:t>
      </w:r>
      <w:proofErr w:type="gramStart"/>
      <w:r w:rsidRPr="004B69E9">
        <w:rPr>
          <w:rFonts w:asciiTheme="minorHAnsi" w:hAnsiTheme="minorHAnsi" w:cs="Arial"/>
          <w:szCs w:val="22"/>
        </w:rPr>
        <w:t>knowledge</w:t>
      </w:r>
      <w:proofErr w:type="gramEnd"/>
      <w:r w:rsidRPr="004B69E9">
        <w:rPr>
          <w:rFonts w:asciiTheme="minorHAnsi" w:hAnsiTheme="minorHAnsi" w:cs="Arial"/>
          <w:szCs w:val="22"/>
        </w:rPr>
        <w:t xml:space="preserve"> transfer via either entrepreneurial activities or professional and/or vocational education and ‘</w:t>
      </w:r>
      <w:proofErr w:type="spellStart"/>
      <w:r w:rsidRPr="004B69E9">
        <w:rPr>
          <w:rFonts w:asciiTheme="minorHAnsi" w:hAnsiTheme="minorHAnsi" w:cs="Arial"/>
          <w:szCs w:val="22"/>
        </w:rPr>
        <w:t>upskilling</w:t>
      </w:r>
      <w:proofErr w:type="spellEnd"/>
      <w:r w:rsidRPr="004B69E9">
        <w:rPr>
          <w:rFonts w:asciiTheme="minorHAnsi" w:hAnsiTheme="minorHAnsi" w:cs="Arial"/>
          <w:szCs w:val="22"/>
        </w:rPr>
        <w:t xml:space="preserve">’. </w:t>
      </w:r>
    </w:p>
    <w:p w:rsidR="004B69E9" w:rsidRPr="004B69E9" w:rsidRDefault="004B69E9" w:rsidP="005915ED">
      <w:pPr>
        <w:rPr>
          <w:rFonts w:asciiTheme="minorHAnsi" w:hAnsiTheme="minorHAnsi" w:cs="Arial"/>
          <w:szCs w:val="22"/>
        </w:rPr>
      </w:pPr>
    </w:p>
    <w:p w:rsidR="004B69E9" w:rsidRPr="004B69E9" w:rsidRDefault="004B69E9" w:rsidP="00E82061">
      <w:pPr>
        <w:rPr>
          <w:rFonts w:asciiTheme="minorHAnsi" w:hAnsiTheme="minorHAnsi" w:cs="Arial"/>
          <w:szCs w:val="22"/>
        </w:rPr>
      </w:pPr>
      <w:r w:rsidRPr="004B69E9">
        <w:rPr>
          <w:rFonts w:asciiTheme="minorHAnsi" w:hAnsiTheme="minorHAnsi" w:cs="Arial"/>
          <w:szCs w:val="22"/>
        </w:rPr>
        <w:t xml:space="preserve">Current negative economic dynamics notwithstanding, these broad changes are in line with well documented international trends (for example Barnett, 2000, 2010; </w:t>
      </w:r>
      <w:proofErr w:type="spellStart"/>
      <w:r w:rsidRPr="004B69E9">
        <w:rPr>
          <w:rFonts w:asciiTheme="minorHAnsi" w:hAnsiTheme="minorHAnsi" w:cs="Arial"/>
          <w:szCs w:val="22"/>
        </w:rPr>
        <w:t>Skilbeck</w:t>
      </w:r>
      <w:proofErr w:type="spellEnd"/>
      <w:r w:rsidRPr="004B69E9">
        <w:rPr>
          <w:rFonts w:asciiTheme="minorHAnsi" w:hAnsiTheme="minorHAnsi" w:cs="Arial"/>
          <w:szCs w:val="22"/>
        </w:rPr>
        <w:t xml:space="preserve">, 2001; OECD, 2006, 2008, 2010; 2000; Dale and Robertson, 2009; </w:t>
      </w:r>
      <w:proofErr w:type="spellStart"/>
      <w:r w:rsidRPr="004B69E9">
        <w:rPr>
          <w:rFonts w:asciiTheme="minorHAnsi" w:hAnsiTheme="minorHAnsi" w:cs="Arial"/>
          <w:szCs w:val="22"/>
        </w:rPr>
        <w:t>Marginson</w:t>
      </w:r>
      <w:proofErr w:type="spellEnd"/>
      <w:r w:rsidRPr="004B69E9">
        <w:rPr>
          <w:rFonts w:asciiTheme="minorHAnsi" w:hAnsiTheme="minorHAnsi" w:cs="Arial"/>
          <w:szCs w:val="22"/>
        </w:rPr>
        <w:t xml:space="preserve">, 2009, Limond, 2005; HEA, 2011). To quantify expansion, there were 18,127 full-time undergraduate students in 1965 located in five institutions which increased to 153,329 in 2009-10 distributed across 26 institutions. There were also 35,220 registered postgraduate students for 2009-10; with </w:t>
      </w:r>
      <w:r w:rsidRPr="004B69E9">
        <w:rPr>
          <w:rFonts w:asciiTheme="minorHAnsi" w:hAnsiTheme="minorHAnsi"/>
          <w:szCs w:val="22"/>
        </w:rPr>
        <w:t>8,419 (23.9%) undertaking doctoral studies and 17,498 (49.6%) on masters (taught or research) programmes</w:t>
      </w:r>
      <w:r w:rsidRPr="004B69E9">
        <w:rPr>
          <w:rFonts w:asciiTheme="minorHAnsi" w:hAnsiTheme="minorHAnsi" w:cstheme="minorBidi"/>
          <w:szCs w:val="22"/>
        </w:rPr>
        <w:t>.</w:t>
      </w:r>
      <w:r w:rsidRPr="004B69E9">
        <w:rPr>
          <w:rFonts w:asciiTheme="minorHAnsi" w:hAnsiTheme="minorHAnsi" w:cs="Arial"/>
          <w:szCs w:val="22"/>
        </w:rPr>
        <w:t xml:space="preserve"> Although participation rates have risen from 20% of school leavers in 1980 to 46% in 1998 to 55% in 2004 and to over 60% in 2007 (</w:t>
      </w:r>
      <w:r w:rsidRPr="004B69E9">
        <w:rPr>
          <w:rFonts w:asciiTheme="minorHAnsi" w:hAnsiTheme="minorHAnsi"/>
          <w:szCs w:val="22"/>
          <w:lang w:val="en-US" w:eastAsia="en-IE"/>
        </w:rPr>
        <w:t>McCoy et al., 2010),</w:t>
      </w:r>
      <w:r w:rsidRPr="004B69E9" w:rsidDel="00290809">
        <w:rPr>
          <w:rFonts w:asciiTheme="minorHAnsi" w:hAnsiTheme="minorHAnsi" w:cs="Arial"/>
          <w:szCs w:val="22"/>
        </w:rPr>
        <w:t xml:space="preserve"> </w:t>
      </w:r>
      <w:r w:rsidRPr="004B69E9">
        <w:rPr>
          <w:rFonts w:asciiTheme="minorHAnsi" w:hAnsiTheme="minorHAnsi" w:cs="Arial"/>
          <w:szCs w:val="22"/>
        </w:rPr>
        <w:t>there is continued concern over the lack of diversity of the student body in terms of age, disability, ethnicity and socio-economic status. These issues have been treated in a number of major quantitative studies on the varying participation rates of different socio-economic groups in higher education (Clancy, 1988; 1995; Clancy and Wall, 2000; O’Connell, Clancy and McCoy, 2006; McCoy et al 2010)</w:t>
      </w:r>
    </w:p>
    <w:p w:rsidR="004B69E9" w:rsidRPr="004B69E9" w:rsidRDefault="004B69E9" w:rsidP="00E82061">
      <w:pPr>
        <w:rPr>
          <w:rFonts w:asciiTheme="minorHAnsi" w:hAnsiTheme="minorHAnsi" w:cs="Arial"/>
          <w:szCs w:val="22"/>
        </w:rPr>
      </w:pPr>
    </w:p>
    <w:p w:rsidR="004B69E9" w:rsidRPr="004B69E9" w:rsidRDefault="004B69E9" w:rsidP="00E82061">
      <w:pPr>
        <w:rPr>
          <w:rFonts w:asciiTheme="minorHAnsi" w:hAnsiTheme="minorHAnsi" w:cs="Arial"/>
          <w:szCs w:val="22"/>
        </w:rPr>
      </w:pPr>
      <w:r w:rsidRPr="004B69E9">
        <w:rPr>
          <w:rFonts w:asciiTheme="minorHAnsi" w:hAnsiTheme="minorHAnsi" w:cs="Arial"/>
          <w:szCs w:val="22"/>
        </w:rPr>
        <w:t xml:space="preserve">In comparison to increases in participation generally, the proportion of GDP spent on higher education has hovered around the OECD average of 1.36% for the past 16 years at about 1.33% </w:t>
      </w:r>
      <w:r w:rsidRPr="004B69E9">
        <w:rPr>
          <w:rFonts w:asciiTheme="minorHAnsi" w:hAnsiTheme="minorHAnsi" w:cs="Arial"/>
          <w:szCs w:val="22"/>
        </w:rPr>
        <w:lastRenderedPageBreak/>
        <w:t>(OECD, 2010). Given that on average approximately 80% of institutional income is derived from exchequer sources (i.e. public funding), this accounts for 2.9% (€1.8 billion) of all public spending (which for 2010-11 is €61.2 billion or 36% of GDP), of which the education sector as a whole, constitutes some 15% (Government of Ireland, 2010). Furthermore, this is a highly quasi-</w:t>
      </w:r>
      <w:proofErr w:type="spellStart"/>
      <w:r w:rsidRPr="004B69E9">
        <w:rPr>
          <w:rFonts w:asciiTheme="minorHAnsi" w:hAnsiTheme="minorHAnsi" w:cs="Arial"/>
          <w:szCs w:val="22"/>
        </w:rPr>
        <w:t>marketised</w:t>
      </w:r>
      <w:proofErr w:type="spellEnd"/>
      <w:r w:rsidRPr="004B69E9">
        <w:rPr>
          <w:rFonts w:asciiTheme="minorHAnsi" w:hAnsiTheme="minorHAnsi" w:cs="Arial"/>
          <w:szCs w:val="22"/>
        </w:rPr>
        <w:t xml:space="preserve"> system, with 95% of this funding distributed to HE institutions via a weighted per capita formula, with the remaining 5% through research performance. Institutions are relatively free to distribute these funds internally appropriate to their own strategic and operational plans though this recurrent grant allocation model (RGAM) as it currently stands, has been challenged by demands for more ‘entrepreneurial’ activities, individual contributions (e.g. students fees, research income etc) and ‘service level agreements’, linking outcomes to both institutional and national strategic priorities and plans, which could generate a much increased as well as contested role for performance indicators at both an institutional and national level. </w:t>
      </w:r>
    </w:p>
    <w:p w:rsidR="004B69E9" w:rsidRPr="004B69E9" w:rsidRDefault="004B69E9" w:rsidP="00E82061">
      <w:pPr>
        <w:rPr>
          <w:rFonts w:asciiTheme="minorHAnsi" w:hAnsiTheme="minorHAnsi" w:cs="Arial"/>
          <w:szCs w:val="22"/>
        </w:rPr>
      </w:pPr>
    </w:p>
    <w:p w:rsidR="004B69E9" w:rsidRPr="004B69E9" w:rsidRDefault="004B69E9" w:rsidP="00E82061">
      <w:pPr>
        <w:rPr>
          <w:rFonts w:asciiTheme="minorHAnsi" w:hAnsiTheme="minorHAnsi" w:cs="Arial"/>
          <w:szCs w:val="22"/>
        </w:rPr>
      </w:pPr>
      <w:r w:rsidRPr="004B69E9">
        <w:rPr>
          <w:rFonts w:asciiTheme="minorHAnsi" w:hAnsiTheme="minorHAnsi" w:cs="Arial"/>
          <w:szCs w:val="22"/>
        </w:rPr>
        <w:t xml:space="preserve">In relation to research and ‘knowledge generation’ there has been </w:t>
      </w:r>
      <w:r w:rsidRPr="004B69E9">
        <w:rPr>
          <w:rFonts w:asciiTheme="minorHAnsi" w:hAnsiTheme="minorHAnsi"/>
          <w:szCs w:val="22"/>
        </w:rPr>
        <w:t xml:space="preserve">shift in the volume, type and quality of research. From a very low starting base 15 years ago, the Irish state has provided approximately €3.5 billion via competitive initiatives to develop this strand of HE work. New agencies or institutions dedicated to developing doctoral research such as Science Foundation Ireland, the Irish Research Council for Humanities and Social Sciences and the Irish Research Council for Science Engineering and Technology, working under the auspices of the Department of Enterprise, have gained a significant role within the funding and organisation of higher education within a short period of time. This policy shift has not only given the status of research in HE a greater strategic importance, it has also generated and reinvigorated a number of debates around the kind of research undertaken (in particular the dominance of science and technology); the </w:t>
      </w:r>
      <w:proofErr w:type="spellStart"/>
      <w:r w:rsidRPr="004B69E9">
        <w:rPr>
          <w:rFonts w:asciiTheme="minorHAnsi" w:hAnsiTheme="minorHAnsi"/>
          <w:szCs w:val="22"/>
        </w:rPr>
        <w:t>legitimation</w:t>
      </w:r>
      <w:proofErr w:type="spellEnd"/>
      <w:r w:rsidRPr="004B69E9">
        <w:rPr>
          <w:rFonts w:asciiTheme="minorHAnsi" w:hAnsiTheme="minorHAnsi"/>
          <w:szCs w:val="22"/>
        </w:rPr>
        <w:t xml:space="preserve"> and </w:t>
      </w:r>
      <w:proofErr w:type="spellStart"/>
      <w:r w:rsidRPr="004B69E9">
        <w:rPr>
          <w:rFonts w:asciiTheme="minorHAnsi" w:hAnsiTheme="minorHAnsi"/>
          <w:szCs w:val="22"/>
        </w:rPr>
        <w:t>valorization</w:t>
      </w:r>
      <w:proofErr w:type="spellEnd"/>
      <w:r w:rsidRPr="004B69E9">
        <w:rPr>
          <w:rFonts w:asciiTheme="minorHAnsi" w:hAnsiTheme="minorHAnsi"/>
          <w:szCs w:val="22"/>
        </w:rPr>
        <w:t xml:space="preserve"> of certain kinds of knowledge; the question of where different types of research should be undertaken; the auditing of research work; the place of ‘academic capitalism’; the relationship between teaching and learning, and the potential to ‘downgrade’ teaching and scholarship as core academic activities. </w:t>
      </w:r>
    </w:p>
    <w:p w:rsidR="004B69E9" w:rsidRPr="004B69E9" w:rsidRDefault="004B69E9" w:rsidP="005915ED">
      <w:pPr>
        <w:rPr>
          <w:rFonts w:asciiTheme="minorHAnsi" w:hAnsiTheme="minorHAnsi" w:cs="Arial"/>
          <w:szCs w:val="22"/>
        </w:rPr>
      </w:pPr>
    </w:p>
    <w:p w:rsidR="004B69E9" w:rsidRPr="004B69E9" w:rsidRDefault="004B69E9" w:rsidP="00CA4A23">
      <w:pPr>
        <w:rPr>
          <w:rFonts w:asciiTheme="minorHAnsi" w:hAnsiTheme="minorHAnsi"/>
          <w:szCs w:val="22"/>
        </w:rPr>
      </w:pPr>
      <w:r w:rsidRPr="004B69E9">
        <w:rPr>
          <w:rFonts w:asciiTheme="minorHAnsi" w:hAnsiTheme="minorHAnsi"/>
          <w:szCs w:val="22"/>
        </w:rPr>
        <w:t xml:space="preserve">However, we would argue that, for Ireland in particular, at the centre of all this activity is the notion of HE as part of a deeper ideological struggle for it to become (for want of a better phrase), a ‘cure and restorative’ for structural and cultural inequalities, and deficiencies manifest both during and after the ‘Celtic Tiger’ era. This narrative about the purpose of Irish HE occupies a powerful position in the ever-expanding corpus of governmental and non-governmental reports, proposals, evaluations, denunciations, and opinion pieces and letters to the print media. </w:t>
      </w:r>
    </w:p>
    <w:p w:rsidR="004B69E9" w:rsidRPr="004B69E9" w:rsidRDefault="004B69E9" w:rsidP="00CA4A23">
      <w:pPr>
        <w:rPr>
          <w:rFonts w:asciiTheme="minorHAnsi" w:hAnsiTheme="minorHAnsi"/>
          <w:szCs w:val="22"/>
        </w:rPr>
      </w:pPr>
    </w:p>
    <w:p w:rsidR="004B69E9" w:rsidRPr="004B69E9" w:rsidRDefault="004B69E9" w:rsidP="00B81F69">
      <w:pPr>
        <w:rPr>
          <w:rFonts w:asciiTheme="minorHAnsi" w:hAnsiTheme="minorHAnsi"/>
          <w:i/>
          <w:szCs w:val="22"/>
        </w:rPr>
      </w:pPr>
      <w:r w:rsidRPr="004B69E9">
        <w:rPr>
          <w:rFonts w:asciiTheme="minorHAnsi" w:hAnsiTheme="minorHAnsi"/>
          <w:i/>
          <w:szCs w:val="22"/>
        </w:rPr>
        <w:t xml:space="preserve">‘We know what you’ve been doing’: audits, metrics and tables </w:t>
      </w:r>
    </w:p>
    <w:p w:rsidR="004B69E9" w:rsidRPr="004B69E9" w:rsidRDefault="004B69E9" w:rsidP="00B81F69">
      <w:pPr>
        <w:rPr>
          <w:rFonts w:asciiTheme="minorHAnsi" w:hAnsiTheme="minorHAnsi"/>
          <w:szCs w:val="22"/>
        </w:rPr>
      </w:pPr>
    </w:p>
    <w:p w:rsidR="004B69E9" w:rsidRPr="004B69E9" w:rsidRDefault="004B69E9" w:rsidP="00732774">
      <w:pPr>
        <w:rPr>
          <w:rFonts w:asciiTheme="minorHAnsi" w:hAnsiTheme="minorHAnsi"/>
          <w:szCs w:val="22"/>
        </w:rPr>
      </w:pPr>
      <w:r w:rsidRPr="004B69E9">
        <w:rPr>
          <w:rFonts w:asciiTheme="minorHAnsi" w:hAnsiTheme="minorHAnsi"/>
          <w:szCs w:val="22"/>
        </w:rPr>
        <w:t xml:space="preserve">It would be easy to dismiss the current narratives in Irish HE outlined above as being nothing more than recycled crass neo-liberal evangelism, but the force of instrumentalist and </w:t>
      </w:r>
      <w:proofErr w:type="spellStart"/>
      <w:r w:rsidRPr="004B69E9">
        <w:rPr>
          <w:rFonts w:asciiTheme="minorHAnsi" w:hAnsiTheme="minorHAnsi"/>
          <w:szCs w:val="22"/>
        </w:rPr>
        <w:t>economistic</w:t>
      </w:r>
      <w:proofErr w:type="spellEnd"/>
      <w:r w:rsidRPr="004B69E9">
        <w:rPr>
          <w:rFonts w:asciiTheme="minorHAnsi" w:hAnsiTheme="minorHAnsi"/>
          <w:szCs w:val="22"/>
        </w:rPr>
        <w:t xml:space="preserve"> thinking has underpinned and dominated much of the restructuring of the processes and mechanisms of governance and management of Irish HE institutions and rendered almost heretical any other possibilities. Although the changes within the Irish system has been less dramatic than, for example, in the UK or Australia due to the dampening effect of the Irish social partnership model (essentially a compact between unions, employers and the state), they have nonetheless followed a similar script on the supposed benefits of NPW and quasi-markets (via the RGAM), as opposed to the alleged sub-optimal traditional work practices based on high-trust and autonomy based on a framework of light regulation which would have been fairly typical in the past of the universities. Importantly though, and similar to the UK context, (see Deem,</w:t>
      </w:r>
      <w:r w:rsidR="007A591E">
        <w:rPr>
          <w:rFonts w:asciiTheme="minorHAnsi" w:hAnsiTheme="minorHAnsi"/>
          <w:szCs w:val="22"/>
        </w:rPr>
        <w:t xml:space="preserve"> </w:t>
      </w:r>
      <w:proofErr w:type="spellStart"/>
      <w:r w:rsidR="007A591E">
        <w:rPr>
          <w:rFonts w:asciiTheme="minorHAnsi" w:hAnsiTheme="minorHAnsi"/>
          <w:szCs w:val="22"/>
        </w:rPr>
        <w:t>Mok</w:t>
      </w:r>
      <w:proofErr w:type="spellEnd"/>
      <w:r w:rsidR="007A591E">
        <w:rPr>
          <w:rFonts w:asciiTheme="minorHAnsi" w:hAnsiTheme="minorHAnsi"/>
          <w:szCs w:val="22"/>
        </w:rPr>
        <w:t xml:space="preserve"> &amp; Lukas,</w:t>
      </w:r>
      <w:r w:rsidRPr="004B69E9">
        <w:rPr>
          <w:rFonts w:asciiTheme="minorHAnsi" w:hAnsiTheme="minorHAnsi"/>
          <w:szCs w:val="22"/>
        </w:rPr>
        <w:t xml:space="preserve"> 2008), these changes have brought into very sharp relief the traditionally nebulous matrix of power, control and resistance (passive or active) within Irish institutions which forms the backdrop to the second part of this paper.</w:t>
      </w:r>
    </w:p>
    <w:p w:rsidR="004B69E9" w:rsidRPr="004B69E9" w:rsidRDefault="004B69E9" w:rsidP="00D85207">
      <w:pPr>
        <w:rPr>
          <w:rFonts w:asciiTheme="minorHAnsi" w:hAnsiTheme="minorHAnsi"/>
          <w:szCs w:val="22"/>
        </w:rPr>
      </w:pPr>
    </w:p>
    <w:p w:rsidR="004B69E9" w:rsidRPr="004B69E9" w:rsidRDefault="004B69E9" w:rsidP="003A52F2">
      <w:pPr>
        <w:rPr>
          <w:rFonts w:asciiTheme="minorHAnsi" w:hAnsiTheme="minorHAnsi"/>
          <w:szCs w:val="22"/>
        </w:rPr>
      </w:pPr>
      <w:r w:rsidRPr="004B69E9">
        <w:rPr>
          <w:rFonts w:asciiTheme="minorHAnsi" w:hAnsiTheme="minorHAnsi"/>
          <w:szCs w:val="22"/>
        </w:rPr>
        <w:t xml:space="preserve">The emergence of both qualitatively and quantitatively different accountability regimes in HE over the past 30 years has been well documented and discussed (for example Power, 1999; Tight, 2000; </w:t>
      </w:r>
      <w:proofErr w:type="spellStart"/>
      <w:r w:rsidRPr="004B69E9">
        <w:rPr>
          <w:rFonts w:asciiTheme="minorHAnsi" w:hAnsiTheme="minorHAnsi"/>
          <w:szCs w:val="22"/>
        </w:rPr>
        <w:t>Ranson</w:t>
      </w:r>
      <w:proofErr w:type="spellEnd"/>
      <w:r w:rsidRPr="004B69E9">
        <w:rPr>
          <w:rFonts w:asciiTheme="minorHAnsi" w:hAnsiTheme="minorHAnsi"/>
          <w:szCs w:val="22"/>
        </w:rPr>
        <w:t xml:space="preserve">, 2003; Dill and </w:t>
      </w:r>
      <w:proofErr w:type="spellStart"/>
      <w:r w:rsidRPr="004B69E9">
        <w:rPr>
          <w:rFonts w:asciiTheme="minorHAnsi" w:hAnsiTheme="minorHAnsi"/>
          <w:szCs w:val="22"/>
        </w:rPr>
        <w:t>Soo</w:t>
      </w:r>
      <w:proofErr w:type="spellEnd"/>
      <w:r w:rsidRPr="004B69E9">
        <w:rPr>
          <w:rFonts w:asciiTheme="minorHAnsi" w:hAnsiTheme="minorHAnsi"/>
          <w:szCs w:val="22"/>
        </w:rPr>
        <w:t>, 2005; Ussher and Massimo, 2006; Oancea, 2007). However, and in particular for those systems like Ireland’s which are predominately publically funded, the origins of this shift have generally been attributed to two broad changes in the provision, organisation and management of state services more generally through: 1) some form of quasi-</w:t>
      </w:r>
      <w:proofErr w:type="spellStart"/>
      <w:r w:rsidRPr="004B69E9">
        <w:rPr>
          <w:rFonts w:asciiTheme="minorHAnsi" w:hAnsiTheme="minorHAnsi"/>
          <w:szCs w:val="22"/>
        </w:rPr>
        <w:t>marketization</w:t>
      </w:r>
      <w:proofErr w:type="spellEnd"/>
      <w:r w:rsidRPr="004B69E9">
        <w:rPr>
          <w:rFonts w:asciiTheme="minorHAnsi" w:hAnsiTheme="minorHAnsi"/>
          <w:szCs w:val="22"/>
        </w:rPr>
        <w:t xml:space="preserve"> (underpinned by direct or elliptical references to neo-liberal axioms) and 2) NPM, clustered around such themes as devolved forms of control, </w:t>
      </w:r>
      <w:proofErr w:type="spellStart"/>
      <w:r w:rsidRPr="004B69E9">
        <w:rPr>
          <w:rFonts w:asciiTheme="minorHAnsi" w:hAnsiTheme="minorHAnsi"/>
          <w:szCs w:val="22"/>
        </w:rPr>
        <w:t>performativity</w:t>
      </w:r>
      <w:proofErr w:type="spellEnd"/>
      <w:r w:rsidRPr="004B69E9">
        <w:rPr>
          <w:rFonts w:asciiTheme="minorHAnsi" w:hAnsiTheme="minorHAnsi"/>
          <w:szCs w:val="22"/>
        </w:rPr>
        <w:t>, self-governance and performance indicators. Put simply, the former is implicated in rectifying so-called supply side deficiencies in public services, whereas the latter is used as a mechanism to construct allegedly more efficacious internal structures and cultures; in particular the transformation of semi-autonomous bureau-professionals of which academia would be a typic</w:t>
      </w:r>
      <w:r w:rsidR="007A591E">
        <w:rPr>
          <w:rFonts w:asciiTheme="minorHAnsi" w:hAnsiTheme="minorHAnsi"/>
          <w:szCs w:val="22"/>
        </w:rPr>
        <w:t xml:space="preserve">al example (Clarke, Cochrane &amp; McLaughlin, </w:t>
      </w:r>
      <w:r w:rsidRPr="004B69E9">
        <w:rPr>
          <w:rFonts w:asciiTheme="minorHAnsi" w:hAnsiTheme="minorHAnsi"/>
          <w:szCs w:val="22"/>
        </w:rPr>
        <w:t xml:space="preserve">1994). </w:t>
      </w:r>
    </w:p>
    <w:p w:rsidR="004B69E9" w:rsidRPr="004B69E9" w:rsidRDefault="004B69E9" w:rsidP="003A52F2">
      <w:pPr>
        <w:rPr>
          <w:rFonts w:asciiTheme="minorHAnsi" w:hAnsiTheme="minorHAnsi"/>
          <w:szCs w:val="22"/>
        </w:rPr>
      </w:pPr>
    </w:p>
    <w:p w:rsidR="004B69E9" w:rsidRPr="004B69E9" w:rsidRDefault="004B69E9" w:rsidP="00C136B0">
      <w:pPr>
        <w:rPr>
          <w:rFonts w:asciiTheme="minorHAnsi" w:hAnsiTheme="minorHAnsi"/>
          <w:szCs w:val="22"/>
        </w:rPr>
      </w:pPr>
      <w:r w:rsidRPr="004B69E9">
        <w:rPr>
          <w:rFonts w:asciiTheme="minorHAnsi" w:hAnsiTheme="minorHAnsi"/>
          <w:szCs w:val="22"/>
        </w:rPr>
        <w:t xml:space="preserve">In summary, these structural and systemic changes are not just about metaphorically re-arranging the institutional furniture, but are an attempt to reconfigure academic relationships and subjectivities that can be read in terms of Foucault’s notion that power is both oppressive and productive. It reminds us that these accountability regimes not only act in channelling and directing </w:t>
      </w:r>
      <w:r w:rsidRPr="004B69E9">
        <w:rPr>
          <w:rFonts w:asciiTheme="minorHAnsi" w:hAnsiTheme="minorHAnsi"/>
          <w:szCs w:val="22"/>
        </w:rPr>
        <w:lastRenderedPageBreak/>
        <w:t xml:space="preserve">our work, but attempt to re-orientate our sense of academic identity. It has the affect of seeping into professional identity ‘as every individual working in academia is made aware that their performance, productivity and professional conduct is constantly under scrutiny within non-negotiable frameworks’ (Morley, 2003, p67). This echoes Foucault’s notion about the capillaries of power, that if we wish to really see power at work then we need to explore the actual and metaphorical nooks and crannies of institutional life, which is what we do next. </w:t>
      </w:r>
    </w:p>
    <w:p w:rsidR="004B69E9" w:rsidRPr="004B69E9" w:rsidRDefault="004B69E9">
      <w:pPr>
        <w:rPr>
          <w:rFonts w:asciiTheme="minorHAnsi" w:hAnsiTheme="minorHAnsi"/>
          <w:b/>
          <w:szCs w:val="22"/>
        </w:rPr>
      </w:pPr>
    </w:p>
    <w:p w:rsidR="004B69E9" w:rsidRPr="004B69E9" w:rsidRDefault="004B69E9" w:rsidP="00C522E2">
      <w:pPr>
        <w:rPr>
          <w:rFonts w:asciiTheme="minorHAnsi" w:hAnsiTheme="minorHAnsi"/>
          <w:b/>
          <w:szCs w:val="22"/>
        </w:rPr>
      </w:pPr>
      <w:proofErr w:type="gramStart"/>
      <w:r w:rsidRPr="004B69E9">
        <w:rPr>
          <w:rFonts w:asciiTheme="minorHAnsi" w:hAnsiTheme="minorHAnsi"/>
          <w:b/>
          <w:szCs w:val="22"/>
        </w:rPr>
        <w:t xml:space="preserve">A theoretical frame- Foucault and beyond with </w:t>
      </w:r>
      <w:proofErr w:type="spellStart"/>
      <w:r w:rsidRPr="004B69E9">
        <w:rPr>
          <w:rFonts w:asciiTheme="minorHAnsi" w:hAnsiTheme="minorHAnsi"/>
          <w:b/>
          <w:szCs w:val="22"/>
        </w:rPr>
        <w:t>Zizek</w:t>
      </w:r>
      <w:proofErr w:type="spellEnd"/>
      <w:r w:rsidRPr="004B69E9">
        <w:rPr>
          <w:rFonts w:asciiTheme="minorHAnsi" w:hAnsiTheme="minorHAnsi"/>
          <w:b/>
          <w:szCs w:val="22"/>
        </w:rPr>
        <w:t>.</w:t>
      </w:r>
      <w:proofErr w:type="gramEnd"/>
    </w:p>
    <w:p w:rsidR="004B69E9" w:rsidRPr="004B69E9" w:rsidRDefault="004B69E9" w:rsidP="00C522E2">
      <w:pPr>
        <w:rPr>
          <w:rFonts w:asciiTheme="minorHAnsi" w:hAnsiTheme="minorHAnsi"/>
          <w:szCs w:val="22"/>
        </w:rPr>
      </w:pPr>
    </w:p>
    <w:p w:rsidR="004B69E9" w:rsidRPr="004B69E9" w:rsidRDefault="004B69E9" w:rsidP="00C522E2">
      <w:pPr>
        <w:rPr>
          <w:rFonts w:asciiTheme="minorHAnsi" w:hAnsiTheme="minorHAnsi"/>
          <w:szCs w:val="22"/>
        </w:rPr>
      </w:pPr>
      <w:r w:rsidRPr="004B69E9">
        <w:rPr>
          <w:rFonts w:asciiTheme="minorHAnsi" w:hAnsiTheme="minorHAnsi"/>
          <w:szCs w:val="22"/>
        </w:rPr>
        <w:t xml:space="preserve">Against the background sketched above, we take up the idea in this section that the culture and practices of research metrics systems and other boundaries of academic life are examples of localised technologies of power that are enacted on the bodies and lives of Irish academic scholars. Data was generated as a result of extended interviews with 15 scholars in different disciplines in four Irish universities framed by a series of questions concerning the professional lives and practices in the explicit context of university management structures and research metric regimes. The academics interviewed were chosen randomly across disciplines in each university with the sole criteria that they should be mid-career scholars with some experience in research and publishing. The data was interrogated on the possibilities for resistance within the framework of Foucault’s technologies of power and self (Thompson, 2003). This is done by examining first of all, the possibility of such resistance in the work of Foucault himself, particularly in his later work on the technologies of self and the suggestion that each technology of power has its own form of resistance inherent to its nature. Secondly, the discussion is extended to the particular manner in which </w:t>
      </w:r>
      <w:proofErr w:type="spellStart"/>
      <w:r w:rsidRPr="004B69E9">
        <w:rPr>
          <w:rFonts w:asciiTheme="minorHAnsi" w:hAnsiTheme="minorHAnsi"/>
          <w:szCs w:val="22"/>
        </w:rPr>
        <w:t>Slavoj</w:t>
      </w:r>
      <w:proofErr w:type="spellEnd"/>
      <w:r w:rsidRPr="004B69E9">
        <w:rPr>
          <w:rFonts w:asciiTheme="minorHAnsi" w:hAnsiTheme="minorHAnsi"/>
          <w:szCs w:val="22"/>
        </w:rPr>
        <w:t xml:space="preserve"> </w:t>
      </w:r>
      <w:proofErr w:type="spellStart"/>
      <w:r w:rsidRPr="004B69E9">
        <w:rPr>
          <w:rFonts w:asciiTheme="minorHAnsi" w:hAnsiTheme="minorHAnsi"/>
          <w:szCs w:val="22"/>
        </w:rPr>
        <w:t>Zizek</w:t>
      </w:r>
      <w:proofErr w:type="spellEnd"/>
      <w:r w:rsidRPr="004B69E9">
        <w:rPr>
          <w:rFonts w:asciiTheme="minorHAnsi" w:hAnsiTheme="minorHAnsi"/>
          <w:szCs w:val="22"/>
        </w:rPr>
        <w:t xml:space="preserve"> understands how an internal “excess” is operative in these relations, applying a significant point of critique that </w:t>
      </w:r>
      <w:proofErr w:type="spellStart"/>
      <w:r w:rsidRPr="004B69E9">
        <w:rPr>
          <w:rFonts w:asciiTheme="minorHAnsi" w:hAnsiTheme="minorHAnsi"/>
          <w:szCs w:val="22"/>
        </w:rPr>
        <w:t>Zizek</w:t>
      </w:r>
      <w:proofErr w:type="spellEnd"/>
      <w:r w:rsidRPr="004B69E9">
        <w:rPr>
          <w:rFonts w:asciiTheme="minorHAnsi" w:hAnsiTheme="minorHAnsi"/>
          <w:szCs w:val="22"/>
        </w:rPr>
        <w:t xml:space="preserve"> brings to Foucault’s work. The result of this interpretation is likely to be a greater understanding of the inherent and particular forms of resistance that are called forth by particular contingencies of institution, career path, academic discipline and personal disposition</w:t>
      </w:r>
      <w:proofErr w:type="gramStart"/>
      <w:r w:rsidRPr="004B69E9">
        <w:rPr>
          <w:rFonts w:asciiTheme="minorHAnsi" w:hAnsiTheme="minorHAnsi"/>
          <w:szCs w:val="22"/>
        </w:rPr>
        <w:t>..</w:t>
      </w:r>
      <w:proofErr w:type="gramEnd"/>
      <w:r w:rsidRPr="004B69E9">
        <w:rPr>
          <w:rFonts w:asciiTheme="minorHAnsi" w:hAnsiTheme="minorHAnsi"/>
          <w:szCs w:val="22"/>
        </w:rPr>
        <w:t xml:space="preserve"> </w:t>
      </w:r>
    </w:p>
    <w:p w:rsidR="004B69E9" w:rsidRPr="004B69E9" w:rsidRDefault="004B69E9" w:rsidP="00C522E2">
      <w:pPr>
        <w:rPr>
          <w:rFonts w:asciiTheme="minorHAnsi" w:hAnsiTheme="minorHAnsi"/>
          <w:szCs w:val="22"/>
        </w:rPr>
      </w:pPr>
    </w:p>
    <w:p w:rsidR="004B69E9" w:rsidRPr="004B69E9" w:rsidRDefault="004B69E9" w:rsidP="00C522E2">
      <w:pPr>
        <w:autoSpaceDE w:val="0"/>
        <w:autoSpaceDN w:val="0"/>
        <w:adjustRightInd w:val="0"/>
        <w:rPr>
          <w:rFonts w:asciiTheme="minorHAnsi" w:hAnsiTheme="minorHAnsi" w:cs="Times"/>
          <w:szCs w:val="22"/>
        </w:rPr>
      </w:pPr>
      <w:r w:rsidRPr="004B69E9">
        <w:rPr>
          <w:rFonts w:asciiTheme="minorHAnsi" w:hAnsiTheme="minorHAnsi"/>
          <w:szCs w:val="22"/>
        </w:rPr>
        <w:t>A fundamental assumption for resistance is that the “</w:t>
      </w:r>
      <w:r w:rsidRPr="004B69E9">
        <w:rPr>
          <w:rFonts w:asciiTheme="minorHAnsi" w:hAnsiTheme="minorHAnsi" w:cs="Times"/>
          <w:szCs w:val="22"/>
        </w:rPr>
        <w:t>self is … no longer considered as the passive product of an external system of constraint and prescriptions, but as the active agent of its own formation.”</w:t>
      </w:r>
      <w:r w:rsidRPr="004B69E9">
        <w:rPr>
          <w:rFonts w:asciiTheme="minorHAnsi" w:hAnsiTheme="minorHAnsi"/>
          <w:szCs w:val="22"/>
        </w:rPr>
        <w:t xml:space="preserve"> </w:t>
      </w:r>
      <w:proofErr w:type="gramStart"/>
      <w:r w:rsidRPr="004B69E9">
        <w:rPr>
          <w:rFonts w:asciiTheme="minorHAnsi" w:hAnsiTheme="minorHAnsi"/>
          <w:szCs w:val="22"/>
        </w:rPr>
        <w:t>(</w:t>
      </w:r>
      <w:proofErr w:type="spellStart"/>
      <w:r w:rsidRPr="004B69E9">
        <w:rPr>
          <w:rFonts w:asciiTheme="minorHAnsi" w:hAnsiTheme="minorHAnsi"/>
          <w:szCs w:val="22"/>
        </w:rPr>
        <w:t>Hofmeyr</w:t>
      </w:r>
      <w:proofErr w:type="spellEnd"/>
      <w:r w:rsidRPr="004B69E9">
        <w:rPr>
          <w:rFonts w:asciiTheme="minorHAnsi" w:hAnsiTheme="minorHAnsi"/>
          <w:szCs w:val="22"/>
        </w:rPr>
        <w:t>, 2006).</w:t>
      </w:r>
      <w:proofErr w:type="gramEnd"/>
      <w:r w:rsidRPr="004B69E9">
        <w:rPr>
          <w:rFonts w:asciiTheme="minorHAnsi" w:hAnsiTheme="minorHAnsi"/>
          <w:szCs w:val="22"/>
        </w:rPr>
        <w:t xml:space="preserve"> </w:t>
      </w:r>
      <w:r w:rsidRPr="004B69E9">
        <w:rPr>
          <w:rFonts w:asciiTheme="minorHAnsi" w:hAnsiTheme="minorHAnsi" w:cs="Times"/>
          <w:szCs w:val="22"/>
        </w:rPr>
        <w:t>This claim is rooted in Foucault’s later work and his change of focus away from the manner in which subjects are formed as a result of subjection [</w:t>
      </w:r>
      <w:proofErr w:type="spellStart"/>
      <w:r w:rsidRPr="004B69E9">
        <w:rPr>
          <w:rFonts w:asciiTheme="minorHAnsi" w:hAnsiTheme="minorHAnsi" w:cs="Times"/>
          <w:i/>
          <w:szCs w:val="22"/>
        </w:rPr>
        <w:t>asujettisement</w:t>
      </w:r>
      <w:proofErr w:type="spellEnd"/>
      <w:r w:rsidRPr="004B69E9">
        <w:rPr>
          <w:rFonts w:asciiTheme="minorHAnsi" w:hAnsiTheme="minorHAnsi" w:cs="Times"/>
          <w:szCs w:val="22"/>
        </w:rPr>
        <w:t xml:space="preserve">] to the processes and technologies of </w:t>
      </w:r>
      <w:proofErr w:type="spellStart"/>
      <w:r w:rsidRPr="004B69E9">
        <w:rPr>
          <w:rFonts w:asciiTheme="minorHAnsi" w:hAnsiTheme="minorHAnsi" w:cs="Times"/>
          <w:szCs w:val="22"/>
        </w:rPr>
        <w:t>subjectivization</w:t>
      </w:r>
      <w:proofErr w:type="spellEnd"/>
      <w:r w:rsidRPr="004B69E9">
        <w:rPr>
          <w:rFonts w:asciiTheme="minorHAnsi" w:hAnsiTheme="minorHAnsi" w:cs="Times"/>
          <w:szCs w:val="22"/>
        </w:rPr>
        <w:t>, that is, the ability of individuals to counter the forces of subjection and to engage in the art of creating new selves and subjectivities.</w:t>
      </w:r>
    </w:p>
    <w:p w:rsidR="004B69E9" w:rsidRPr="004B69E9" w:rsidRDefault="004B69E9" w:rsidP="00C522E2">
      <w:pPr>
        <w:autoSpaceDE w:val="0"/>
        <w:autoSpaceDN w:val="0"/>
        <w:adjustRightInd w:val="0"/>
        <w:rPr>
          <w:rFonts w:asciiTheme="minorHAnsi" w:hAnsiTheme="minorHAnsi" w:cs="Times"/>
          <w:szCs w:val="22"/>
        </w:rPr>
      </w:pPr>
    </w:p>
    <w:p w:rsidR="004B69E9" w:rsidRPr="004B69E9" w:rsidRDefault="004B69E9" w:rsidP="00C522E2">
      <w:pPr>
        <w:autoSpaceDE w:val="0"/>
        <w:autoSpaceDN w:val="0"/>
        <w:adjustRightInd w:val="0"/>
        <w:rPr>
          <w:rFonts w:asciiTheme="minorHAnsi" w:hAnsiTheme="minorHAnsi" w:cs="Times"/>
          <w:szCs w:val="22"/>
        </w:rPr>
      </w:pPr>
      <w:r w:rsidRPr="004B69E9">
        <w:rPr>
          <w:rFonts w:asciiTheme="minorHAnsi" w:hAnsiTheme="minorHAnsi" w:cs="Times"/>
          <w:szCs w:val="22"/>
        </w:rPr>
        <w:lastRenderedPageBreak/>
        <w:t xml:space="preserve">Therefore the focus of analysis will be on the technologies of self as </w:t>
      </w:r>
      <w:r w:rsidRPr="004B69E9">
        <w:rPr>
          <w:rFonts w:asciiTheme="minorHAnsi" w:hAnsiTheme="minorHAnsi" w:cs="Times"/>
          <w:i/>
          <w:szCs w:val="22"/>
        </w:rPr>
        <w:t>points of critical resistance</w:t>
      </w:r>
      <w:r w:rsidRPr="004B69E9">
        <w:rPr>
          <w:rFonts w:asciiTheme="minorHAnsi" w:hAnsiTheme="minorHAnsi" w:cs="Times"/>
          <w:szCs w:val="22"/>
        </w:rPr>
        <w:t xml:space="preserve"> (</w:t>
      </w:r>
      <w:proofErr w:type="spellStart"/>
      <w:r w:rsidRPr="004B69E9">
        <w:rPr>
          <w:rFonts w:asciiTheme="minorHAnsi" w:hAnsiTheme="minorHAnsi" w:cs="Times"/>
          <w:szCs w:val="22"/>
        </w:rPr>
        <w:t>McGushin</w:t>
      </w:r>
      <w:proofErr w:type="spellEnd"/>
      <w:r w:rsidRPr="004B69E9">
        <w:rPr>
          <w:rFonts w:asciiTheme="minorHAnsi" w:hAnsiTheme="minorHAnsi" w:cs="Times"/>
          <w:szCs w:val="22"/>
        </w:rPr>
        <w:t>, 2005) which, in Foucault’s words:</w:t>
      </w:r>
    </w:p>
    <w:p w:rsidR="004B69E9" w:rsidRPr="004B69E9" w:rsidRDefault="004B69E9" w:rsidP="00C522E2">
      <w:pPr>
        <w:autoSpaceDE w:val="0"/>
        <w:autoSpaceDN w:val="0"/>
        <w:adjustRightInd w:val="0"/>
        <w:rPr>
          <w:rFonts w:asciiTheme="minorHAnsi" w:hAnsiTheme="minorHAnsi" w:cs="Times"/>
          <w:szCs w:val="22"/>
        </w:rPr>
      </w:pPr>
    </w:p>
    <w:p w:rsidR="004B69E9" w:rsidRPr="004B69E9" w:rsidRDefault="004B69E9" w:rsidP="00C522E2">
      <w:pPr>
        <w:autoSpaceDE w:val="0"/>
        <w:autoSpaceDN w:val="0"/>
        <w:adjustRightInd w:val="0"/>
        <w:ind w:left="851" w:right="1371"/>
        <w:rPr>
          <w:rFonts w:asciiTheme="minorHAnsi" w:hAnsiTheme="minorHAnsi" w:cs="Times"/>
          <w:szCs w:val="22"/>
        </w:rPr>
      </w:pPr>
      <w:r w:rsidRPr="004B69E9">
        <w:rPr>
          <w:rFonts w:asciiTheme="minorHAnsi" w:hAnsiTheme="minorHAnsi" w:cs="Times"/>
          <w:szCs w:val="22"/>
        </w:rPr>
        <w:t>permit individuals to effect by their own means or with the help of others a certain number of operations on their own bodies and souls, thoughts, conduct, and way of being, so as to transform themselves in order to attain a certain state of happiness, purity, wisdom, perfection, or immortality (Foucault, 1988).</w:t>
      </w:r>
    </w:p>
    <w:p w:rsidR="004B69E9" w:rsidRPr="004B69E9" w:rsidRDefault="004B69E9" w:rsidP="00C522E2">
      <w:pPr>
        <w:autoSpaceDE w:val="0"/>
        <w:autoSpaceDN w:val="0"/>
        <w:adjustRightInd w:val="0"/>
        <w:rPr>
          <w:rFonts w:asciiTheme="minorHAnsi" w:hAnsiTheme="minorHAnsi" w:cs="Times"/>
          <w:szCs w:val="22"/>
        </w:rPr>
      </w:pPr>
    </w:p>
    <w:p w:rsidR="004B69E9" w:rsidRPr="004B69E9" w:rsidRDefault="004B69E9" w:rsidP="00C522E2">
      <w:pPr>
        <w:autoSpaceDE w:val="0"/>
        <w:autoSpaceDN w:val="0"/>
        <w:adjustRightInd w:val="0"/>
        <w:rPr>
          <w:rFonts w:asciiTheme="minorHAnsi" w:hAnsiTheme="minorHAnsi" w:cs="Times"/>
          <w:szCs w:val="22"/>
        </w:rPr>
      </w:pPr>
      <w:r w:rsidRPr="004B69E9">
        <w:rPr>
          <w:rFonts w:asciiTheme="minorHAnsi" w:hAnsiTheme="minorHAnsi" w:cs="Times"/>
          <w:szCs w:val="22"/>
        </w:rPr>
        <w:t xml:space="preserve">In this process of </w:t>
      </w:r>
      <w:proofErr w:type="spellStart"/>
      <w:r w:rsidRPr="004B69E9">
        <w:rPr>
          <w:rFonts w:asciiTheme="minorHAnsi" w:hAnsiTheme="minorHAnsi" w:cs="Times"/>
          <w:szCs w:val="22"/>
        </w:rPr>
        <w:t>subjectification</w:t>
      </w:r>
      <w:proofErr w:type="spellEnd"/>
      <w:r w:rsidRPr="004B69E9">
        <w:rPr>
          <w:rFonts w:asciiTheme="minorHAnsi" w:hAnsiTheme="minorHAnsi" w:cs="Times"/>
          <w:szCs w:val="22"/>
        </w:rPr>
        <w:t xml:space="preserve"> Foucault retrieves the Greek idea of ‘care of self’ understood in the polis as an aesthetic and ascetic struggle (Myers, 2008) against forms of subjection. However, the </w:t>
      </w:r>
      <w:proofErr w:type="gramStart"/>
      <w:r w:rsidRPr="004B69E9">
        <w:rPr>
          <w:rFonts w:asciiTheme="minorHAnsi" w:hAnsiTheme="minorHAnsi" w:cs="Times"/>
          <w:szCs w:val="22"/>
        </w:rPr>
        <w:t>freedom</w:t>
      </w:r>
      <w:proofErr w:type="gramEnd"/>
      <w:r w:rsidRPr="004B69E9">
        <w:rPr>
          <w:rFonts w:asciiTheme="minorHAnsi" w:hAnsiTheme="minorHAnsi" w:cs="Times"/>
          <w:szCs w:val="22"/>
        </w:rPr>
        <w:t xml:space="preserve"> from subjection to relations of power that can thus be gained are purchased at a price. In each movement to autarky there is a “refusal of self”, a renunciation of a certain knowledge of self that must be made in order to function rationally within given sets of social and political [power] relations. This, in turn, presupposes that the only kinds of knowledge of self that can be sacrificed are those of which one is aware and so Foucault can claim that the more important ancient moral imperative is not “take care of </w:t>
      </w:r>
      <w:proofErr w:type="gramStart"/>
      <w:r w:rsidRPr="004B69E9">
        <w:rPr>
          <w:rFonts w:asciiTheme="minorHAnsi" w:hAnsiTheme="minorHAnsi" w:cs="Times"/>
          <w:szCs w:val="22"/>
        </w:rPr>
        <w:t>yourself</w:t>
      </w:r>
      <w:proofErr w:type="gramEnd"/>
      <w:r w:rsidRPr="004B69E9">
        <w:rPr>
          <w:rFonts w:asciiTheme="minorHAnsi" w:hAnsiTheme="minorHAnsi" w:cs="Times"/>
          <w:szCs w:val="22"/>
        </w:rPr>
        <w:t xml:space="preserve">” but the Delphic “know yourself”. Therefore these techniques of care and knowledge cannot be considered completely independently and depend on the ability to understand the knowledge languages that are available in order to construct an understanding of self. </w:t>
      </w:r>
    </w:p>
    <w:p w:rsidR="004B69E9" w:rsidRPr="004B69E9" w:rsidRDefault="004B69E9" w:rsidP="00C522E2">
      <w:pPr>
        <w:autoSpaceDE w:val="0"/>
        <w:autoSpaceDN w:val="0"/>
        <w:adjustRightInd w:val="0"/>
        <w:rPr>
          <w:rFonts w:asciiTheme="minorHAnsi" w:hAnsiTheme="minorHAnsi" w:cs="Times"/>
          <w:szCs w:val="22"/>
        </w:rPr>
      </w:pPr>
    </w:p>
    <w:p w:rsidR="004B69E9" w:rsidRPr="004B69E9" w:rsidRDefault="004B69E9" w:rsidP="00C522E2">
      <w:pPr>
        <w:autoSpaceDE w:val="0"/>
        <w:autoSpaceDN w:val="0"/>
        <w:adjustRightInd w:val="0"/>
        <w:rPr>
          <w:rFonts w:asciiTheme="minorHAnsi" w:hAnsiTheme="minorHAnsi" w:cs="Times"/>
          <w:szCs w:val="22"/>
        </w:rPr>
      </w:pPr>
      <w:r w:rsidRPr="004B69E9">
        <w:rPr>
          <w:rFonts w:asciiTheme="minorHAnsi" w:hAnsiTheme="minorHAnsi" w:cs="Times"/>
          <w:szCs w:val="22"/>
        </w:rPr>
        <w:t xml:space="preserve">In the context of academic metrification it must also be noted that these exercises of control and performance measurement should be understood as “power” rather than simply mechanics of “domination”. In this regard, they are matrices of discursive relations that constitute the individual not only in the sense of placing boundaries on self-knowledge and resistance but also, at the same time, providing the knowledge of self and the power relations of the world that permit agency. Thus, the resistance/accommodation and negotiation of the particular power relations of metrics in academic life are to be interpreted in such a way that it is only within matrices of power and knowledge that such resistance is possible (Foucault, 1979). Academics, if Foucault is correct, cannot take up an Archimedean position outside of their cultures, languages and lives in order to mount resistance to their predicament. Not only that, but it is the very structure of the power relations that permit certain kinds of resistance inimitable to them. </w:t>
      </w:r>
    </w:p>
    <w:p w:rsidR="004B69E9" w:rsidRPr="004B69E9" w:rsidRDefault="004B69E9" w:rsidP="00C522E2">
      <w:pPr>
        <w:autoSpaceDE w:val="0"/>
        <w:autoSpaceDN w:val="0"/>
        <w:adjustRightInd w:val="0"/>
        <w:rPr>
          <w:rFonts w:asciiTheme="minorHAnsi" w:hAnsiTheme="minorHAnsi" w:cs="Times"/>
          <w:szCs w:val="22"/>
        </w:rPr>
      </w:pPr>
    </w:p>
    <w:p w:rsidR="004B69E9" w:rsidRPr="004B69E9" w:rsidRDefault="004B69E9" w:rsidP="00C522E2">
      <w:pPr>
        <w:autoSpaceDE w:val="0"/>
        <w:autoSpaceDN w:val="0"/>
        <w:adjustRightInd w:val="0"/>
        <w:rPr>
          <w:rFonts w:asciiTheme="minorHAnsi" w:hAnsiTheme="minorHAnsi" w:cs="Times"/>
          <w:szCs w:val="22"/>
        </w:rPr>
      </w:pPr>
      <w:r w:rsidRPr="004B69E9">
        <w:rPr>
          <w:rFonts w:asciiTheme="minorHAnsi" w:hAnsiTheme="minorHAnsi" w:cs="Times"/>
          <w:szCs w:val="22"/>
        </w:rPr>
        <w:lastRenderedPageBreak/>
        <w:t>While there are a number of examples of the use of Foucault to interpret institutional level power relations (</w:t>
      </w:r>
      <w:proofErr w:type="spellStart"/>
      <w:r w:rsidRPr="004B69E9">
        <w:rPr>
          <w:rFonts w:asciiTheme="minorHAnsi" w:hAnsiTheme="minorHAnsi" w:cs="Times"/>
          <w:szCs w:val="22"/>
        </w:rPr>
        <w:t>Sidorkin</w:t>
      </w:r>
      <w:proofErr w:type="spellEnd"/>
      <w:r w:rsidRPr="004B69E9">
        <w:rPr>
          <w:rFonts w:asciiTheme="minorHAnsi" w:hAnsiTheme="minorHAnsi" w:cs="Times"/>
          <w:szCs w:val="22"/>
        </w:rPr>
        <w:t>, 2004; Tobias, 2005), and specifically the ways in which certain academics take up overt positions of resistance to structural imposition (</w:t>
      </w:r>
      <w:proofErr w:type="spellStart"/>
      <w:r w:rsidRPr="004B69E9">
        <w:rPr>
          <w:rFonts w:asciiTheme="minorHAnsi" w:hAnsiTheme="minorHAnsi" w:cs="Times"/>
          <w:szCs w:val="22"/>
        </w:rPr>
        <w:t>Huckaby</w:t>
      </w:r>
      <w:proofErr w:type="spellEnd"/>
      <w:r w:rsidRPr="004B69E9">
        <w:rPr>
          <w:rFonts w:asciiTheme="minorHAnsi" w:hAnsiTheme="minorHAnsi" w:cs="Times"/>
          <w:szCs w:val="22"/>
        </w:rPr>
        <w:t xml:space="preserve">, 2008), the data in this case is examined under two particular aspects of the power-resistance relationship. </w:t>
      </w:r>
    </w:p>
    <w:p w:rsidR="004B69E9" w:rsidRPr="004B69E9" w:rsidRDefault="004B69E9" w:rsidP="00C522E2">
      <w:pPr>
        <w:autoSpaceDE w:val="0"/>
        <w:autoSpaceDN w:val="0"/>
        <w:adjustRightInd w:val="0"/>
        <w:rPr>
          <w:rFonts w:asciiTheme="minorHAnsi" w:hAnsiTheme="minorHAnsi" w:cs="Times"/>
          <w:szCs w:val="22"/>
        </w:rPr>
      </w:pPr>
    </w:p>
    <w:p w:rsidR="004B69E9" w:rsidRPr="004B69E9" w:rsidRDefault="004B69E9" w:rsidP="00C522E2">
      <w:pPr>
        <w:pStyle w:val="ListParagraph"/>
        <w:numPr>
          <w:ilvl w:val="0"/>
          <w:numId w:val="6"/>
        </w:numPr>
        <w:autoSpaceDE w:val="0"/>
        <w:autoSpaceDN w:val="0"/>
        <w:adjustRightInd w:val="0"/>
        <w:spacing w:line="276" w:lineRule="auto"/>
        <w:jc w:val="left"/>
        <w:rPr>
          <w:rFonts w:asciiTheme="minorHAnsi" w:hAnsiTheme="minorHAnsi" w:cs="Times"/>
          <w:szCs w:val="22"/>
        </w:rPr>
      </w:pPr>
      <w:r w:rsidRPr="004B69E9">
        <w:rPr>
          <w:rFonts w:asciiTheme="minorHAnsi" w:hAnsiTheme="minorHAnsi" w:cs="Times"/>
          <w:szCs w:val="22"/>
        </w:rPr>
        <w:t>That resistance is an aesthetic and ascetic struggle</w:t>
      </w:r>
    </w:p>
    <w:p w:rsidR="004B69E9" w:rsidRPr="004B69E9" w:rsidRDefault="004B69E9" w:rsidP="00C522E2">
      <w:pPr>
        <w:pStyle w:val="ListParagraph"/>
        <w:numPr>
          <w:ilvl w:val="0"/>
          <w:numId w:val="6"/>
        </w:numPr>
        <w:autoSpaceDE w:val="0"/>
        <w:autoSpaceDN w:val="0"/>
        <w:adjustRightInd w:val="0"/>
        <w:spacing w:line="240" w:lineRule="auto"/>
        <w:jc w:val="left"/>
        <w:rPr>
          <w:rFonts w:asciiTheme="minorHAnsi" w:hAnsiTheme="minorHAnsi" w:cs="Times"/>
          <w:szCs w:val="22"/>
        </w:rPr>
      </w:pPr>
      <w:r w:rsidRPr="004B69E9">
        <w:rPr>
          <w:rFonts w:asciiTheme="minorHAnsi" w:hAnsiTheme="minorHAnsi" w:cs="Times"/>
          <w:szCs w:val="22"/>
        </w:rPr>
        <w:t>That the power-resistance game</w:t>
      </w:r>
      <w:r w:rsidRPr="004B69E9">
        <w:rPr>
          <w:rFonts w:asciiTheme="minorHAnsi" w:hAnsiTheme="minorHAnsi" w:cs="AdvTimes"/>
          <w:szCs w:val="22"/>
        </w:rPr>
        <w:t xml:space="preserve"> “aim(s) to engender isolated self-regulating individuals”, and can be “described as </w:t>
      </w:r>
      <w:r w:rsidRPr="004B69E9">
        <w:rPr>
          <w:rFonts w:asciiTheme="minorHAnsi" w:hAnsiTheme="minorHAnsi" w:cs="AdvTimes-i"/>
          <w:szCs w:val="22"/>
        </w:rPr>
        <w:t xml:space="preserve">depoliticizing </w:t>
      </w:r>
      <w:r w:rsidRPr="004B69E9">
        <w:rPr>
          <w:rFonts w:asciiTheme="minorHAnsi" w:hAnsiTheme="minorHAnsi" w:cs="AdvTimes"/>
          <w:szCs w:val="22"/>
        </w:rPr>
        <w:t>to the extent that they discourage associative relations among individuals”(Myers, 2008)</w:t>
      </w:r>
    </w:p>
    <w:p w:rsidR="004B69E9" w:rsidRPr="004B69E9" w:rsidRDefault="004B69E9" w:rsidP="00BD31FB">
      <w:pPr>
        <w:autoSpaceDE w:val="0"/>
        <w:autoSpaceDN w:val="0"/>
        <w:adjustRightInd w:val="0"/>
        <w:spacing w:line="240" w:lineRule="auto"/>
        <w:rPr>
          <w:rFonts w:asciiTheme="minorHAnsi" w:hAnsiTheme="minorHAnsi" w:cs="AdvTimes"/>
          <w:szCs w:val="22"/>
        </w:rPr>
      </w:pPr>
    </w:p>
    <w:p w:rsidR="004B69E9" w:rsidRPr="004B69E9" w:rsidRDefault="004B69E9" w:rsidP="00C522E2">
      <w:pPr>
        <w:autoSpaceDE w:val="0"/>
        <w:autoSpaceDN w:val="0"/>
        <w:adjustRightInd w:val="0"/>
        <w:rPr>
          <w:rFonts w:asciiTheme="minorHAnsi" w:hAnsiTheme="minorHAnsi" w:cs="Times"/>
          <w:szCs w:val="22"/>
        </w:rPr>
      </w:pPr>
      <w:r w:rsidRPr="004B69E9">
        <w:rPr>
          <w:rFonts w:asciiTheme="minorHAnsi" w:hAnsiTheme="minorHAnsi" w:cs="Times"/>
          <w:szCs w:val="22"/>
        </w:rPr>
        <w:t xml:space="preserve">With the idea that power relations contain within them the condition for the possibility of resistance, one could imagine that Foucault comes close to the position that power and resistance stand in some kind of dialectical relationship. However, this is where the significance of the work of </w:t>
      </w:r>
      <w:proofErr w:type="spellStart"/>
      <w:r w:rsidRPr="004B69E9">
        <w:rPr>
          <w:rFonts w:asciiTheme="minorHAnsi" w:hAnsiTheme="minorHAnsi" w:cs="Times"/>
          <w:szCs w:val="22"/>
        </w:rPr>
        <w:t>Zizek</w:t>
      </w:r>
      <w:proofErr w:type="spellEnd"/>
      <w:r w:rsidRPr="004B69E9">
        <w:rPr>
          <w:rFonts w:asciiTheme="minorHAnsi" w:hAnsiTheme="minorHAnsi" w:cs="Times"/>
          <w:szCs w:val="22"/>
        </w:rPr>
        <w:t xml:space="preserve"> for this project becomes evident. Foucault is anti-Hegelian and does not construe the relationship between the two in a dialectical manner. This, according to </w:t>
      </w:r>
      <w:proofErr w:type="spellStart"/>
      <w:r w:rsidRPr="004B69E9">
        <w:rPr>
          <w:rFonts w:asciiTheme="minorHAnsi" w:hAnsiTheme="minorHAnsi" w:cs="Times"/>
          <w:szCs w:val="22"/>
        </w:rPr>
        <w:t>Zizek</w:t>
      </w:r>
      <w:proofErr w:type="spellEnd"/>
      <w:r w:rsidRPr="004B69E9">
        <w:rPr>
          <w:rFonts w:asciiTheme="minorHAnsi" w:hAnsiTheme="minorHAnsi" w:cs="Times"/>
          <w:szCs w:val="22"/>
        </w:rPr>
        <w:t xml:space="preserve">, is the weakness in Foucault’s analysis. The </w:t>
      </w:r>
      <w:proofErr w:type="spellStart"/>
      <w:r w:rsidRPr="004B69E9">
        <w:rPr>
          <w:rFonts w:asciiTheme="minorHAnsi" w:hAnsiTheme="minorHAnsi" w:cs="Times"/>
          <w:szCs w:val="22"/>
        </w:rPr>
        <w:t>Zizekian</w:t>
      </w:r>
      <w:proofErr w:type="spellEnd"/>
      <w:r w:rsidRPr="004B69E9">
        <w:rPr>
          <w:rFonts w:asciiTheme="minorHAnsi" w:hAnsiTheme="minorHAnsi" w:cs="Times"/>
          <w:szCs w:val="22"/>
        </w:rPr>
        <w:t xml:space="preserve"> contribution to the frame is provided by the idea that the power-resistance-freedom dynamic is a dialectical one. In </w:t>
      </w:r>
      <w:proofErr w:type="spellStart"/>
      <w:r w:rsidRPr="004B69E9">
        <w:rPr>
          <w:rFonts w:asciiTheme="minorHAnsi" w:hAnsiTheme="minorHAnsi" w:cs="Times"/>
          <w:szCs w:val="22"/>
        </w:rPr>
        <w:t>Zizek’s</w:t>
      </w:r>
      <w:proofErr w:type="spellEnd"/>
      <w:r w:rsidRPr="004B69E9">
        <w:rPr>
          <w:rFonts w:asciiTheme="minorHAnsi" w:hAnsiTheme="minorHAnsi" w:cs="Times"/>
          <w:szCs w:val="22"/>
        </w:rPr>
        <w:t xml:space="preserve"> reading of the Hegelian dialectic, power relations contain within them the seeds of their own negativity or destruction. They contain what he refers to as an “excess” that renders the power relations intrinsically unstable. Taking this idea, we added a third aspect for investigation in the data</w:t>
      </w:r>
    </w:p>
    <w:p w:rsidR="004B69E9" w:rsidRPr="004B69E9" w:rsidRDefault="004B69E9" w:rsidP="00C522E2">
      <w:pPr>
        <w:autoSpaceDE w:val="0"/>
        <w:autoSpaceDN w:val="0"/>
        <w:adjustRightInd w:val="0"/>
        <w:rPr>
          <w:rFonts w:asciiTheme="minorHAnsi" w:hAnsiTheme="minorHAnsi" w:cs="Times"/>
          <w:szCs w:val="22"/>
        </w:rPr>
      </w:pPr>
    </w:p>
    <w:p w:rsidR="004B69E9" w:rsidRPr="004B69E9" w:rsidRDefault="004B69E9" w:rsidP="00C522E2">
      <w:pPr>
        <w:pStyle w:val="ListParagraph"/>
        <w:numPr>
          <w:ilvl w:val="0"/>
          <w:numId w:val="6"/>
        </w:numPr>
        <w:autoSpaceDE w:val="0"/>
        <w:autoSpaceDN w:val="0"/>
        <w:adjustRightInd w:val="0"/>
        <w:spacing w:line="276" w:lineRule="auto"/>
        <w:jc w:val="left"/>
        <w:rPr>
          <w:rFonts w:asciiTheme="minorHAnsi" w:hAnsiTheme="minorHAnsi" w:cs="Times"/>
          <w:szCs w:val="22"/>
        </w:rPr>
      </w:pPr>
      <w:r w:rsidRPr="004B69E9">
        <w:rPr>
          <w:rFonts w:asciiTheme="minorHAnsi" w:hAnsiTheme="minorHAnsi" w:cs="Times"/>
          <w:szCs w:val="22"/>
        </w:rPr>
        <w:t>That the power relations experienced by academics contain an inner excess that at some point bring about their own negation. Because of the inner dialectical nature of the relationship between power and resistance/freedom, the identification with the relations has a libidinal strength only rarely perceived by those involved.</w:t>
      </w:r>
    </w:p>
    <w:p w:rsidR="004B69E9" w:rsidRPr="004B69E9" w:rsidRDefault="004B69E9" w:rsidP="00C522E2">
      <w:pPr>
        <w:autoSpaceDE w:val="0"/>
        <w:autoSpaceDN w:val="0"/>
        <w:adjustRightInd w:val="0"/>
        <w:rPr>
          <w:rFonts w:asciiTheme="minorHAnsi" w:hAnsiTheme="minorHAnsi" w:cs="Times"/>
          <w:b/>
          <w:szCs w:val="22"/>
        </w:rPr>
      </w:pPr>
    </w:p>
    <w:p w:rsidR="004B69E9" w:rsidRPr="004B69E9" w:rsidRDefault="004B69E9" w:rsidP="00C522E2">
      <w:pPr>
        <w:autoSpaceDE w:val="0"/>
        <w:autoSpaceDN w:val="0"/>
        <w:adjustRightInd w:val="0"/>
        <w:rPr>
          <w:rFonts w:asciiTheme="minorHAnsi" w:hAnsiTheme="minorHAnsi" w:cs="Times"/>
          <w:b/>
          <w:szCs w:val="22"/>
        </w:rPr>
      </w:pPr>
      <w:r w:rsidRPr="004B69E9">
        <w:rPr>
          <w:rFonts w:asciiTheme="minorHAnsi" w:hAnsiTheme="minorHAnsi" w:cs="Times"/>
          <w:b/>
          <w:szCs w:val="22"/>
        </w:rPr>
        <w:t>A selection of case-studies</w:t>
      </w:r>
    </w:p>
    <w:p w:rsidR="004B69E9" w:rsidRPr="004B69E9" w:rsidRDefault="004B69E9" w:rsidP="00C522E2">
      <w:pPr>
        <w:autoSpaceDE w:val="0"/>
        <w:autoSpaceDN w:val="0"/>
        <w:adjustRightInd w:val="0"/>
        <w:rPr>
          <w:rFonts w:asciiTheme="minorHAnsi" w:hAnsiTheme="minorHAnsi" w:cs="Times"/>
          <w:szCs w:val="22"/>
        </w:rPr>
      </w:pPr>
    </w:p>
    <w:p w:rsidR="004B69E9" w:rsidRPr="004B69E9" w:rsidRDefault="004B69E9" w:rsidP="00C522E2">
      <w:pPr>
        <w:autoSpaceDE w:val="0"/>
        <w:autoSpaceDN w:val="0"/>
        <w:adjustRightInd w:val="0"/>
        <w:rPr>
          <w:rFonts w:asciiTheme="minorHAnsi" w:hAnsiTheme="minorHAnsi" w:cs="Times"/>
          <w:szCs w:val="22"/>
        </w:rPr>
      </w:pPr>
      <w:r w:rsidRPr="004B69E9">
        <w:rPr>
          <w:rFonts w:asciiTheme="minorHAnsi" w:hAnsiTheme="minorHAnsi" w:cs="Times"/>
          <w:szCs w:val="22"/>
        </w:rPr>
        <w:t xml:space="preserve">Taking a similar approach to </w:t>
      </w:r>
      <w:proofErr w:type="spellStart"/>
      <w:r w:rsidRPr="004B69E9">
        <w:rPr>
          <w:rFonts w:asciiTheme="minorHAnsi" w:hAnsiTheme="minorHAnsi" w:cs="Times"/>
          <w:szCs w:val="22"/>
        </w:rPr>
        <w:t>Huckaby</w:t>
      </w:r>
      <w:proofErr w:type="spellEnd"/>
      <w:r w:rsidRPr="004B69E9">
        <w:rPr>
          <w:rFonts w:asciiTheme="minorHAnsi" w:hAnsiTheme="minorHAnsi" w:cs="Times"/>
          <w:szCs w:val="22"/>
        </w:rPr>
        <w:t xml:space="preserve"> (</w:t>
      </w:r>
      <w:proofErr w:type="spellStart"/>
      <w:r w:rsidRPr="004B69E9">
        <w:rPr>
          <w:rFonts w:asciiTheme="minorHAnsi" w:hAnsiTheme="minorHAnsi" w:cs="Times"/>
          <w:szCs w:val="22"/>
        </w:rPr>
        <w:t>Huckaby</w:t>
      </w:r>
      <w:proofErr w:type="spellEnd"/>
      <w:r w:rsidRPr="004B69E9">
        <w:rPr>
          <w:rFonts w:asciiTheme="minorHAnsi" w:hAnsiTheme="minorHAnsi" w:cs="Times"/>
          <w:szCs w:val="22"/>
        </w:rPr>
        <w:t>, 2008), three individual cases of academic lives are considered here. These academics work in different disciplines and in different Irish universities. They have been working in the sector for between 6 and 15 years and are at different levels in the academic hierarchy.</w:t>
      </w:r>
    </w:p>
    <w:p w:rsidR="004B69E9" w:rsidRPr="004B69E9" w:rsidRDefault="004B69E9" w:rsidP="00C522E2">
      <w:pPr>
        <w:autoSpaceDE w:val="0"/>
        <w:autoSpaceDN w:val="0"/>
        <w:adjustRightInd w:val="0"/>
        <w:rPr>
          <w:rFonts w:asciiTheme="minorHAnsi" w:hAnsiTheme="minorHAnsi" w:cs="Times"/>
          <w:szCs w:val="22"/>
        </w:rPr>
      </w:pPr>
    </w:p>
    <w:p w:rsidR="004B69E9" w:rsidRPr="004B69E9" w:rsidRDefault="004B69E9" w:rsidP="00C522E2">
      <w:pPr>
        <w:autoSpaceDE w:val="0"/>
        <w:autoSpaceDN w:val="0"/>
        <w:adjustRightInd w:val="0"/>
        <w:rPr>
          <w:rFonts w:asciiTheme="minorHAnsi" w:hAnsiTheme="minorHAnsi" w:cs="Times"/>
          <w:szCs w:val="22"/>
        </w:rPr>
      </w:pPr>
      <w:r w:rsidRPr="004B69E9">
        <w:rPr>
          <w:rFonts w:asciiTheme="minorHAnsi" w:hAnsiTheme="minorHAnsi" w:cs="Times"/>
          <w:szCs w:val="22"/>
        </w:rPr>
        <w:t>The data, which has been generated from extended interviews in each case, reveal a series of power-resistance relations. These relations have to do with the power and resistance relations around knowledge and the legitimacy of different kinds of research knowledge; the power-</w:t>
      </w:r>
      <w:r w:rsidRPr="004B69E9">
        <w:rPr>
          <w:rFonts w:asciiTheme="minorHAnsi" w:hAnsiTheme="minorHAnsi" w:cs="Times"/>
          <w:szCs w:val="22"/>
        </w:rPr>
        <w:lastRenderedPageBreak/>
        <w:t>resistance relations around the cultures of academic Schools and departments and the power-resistance relations that individuals experience with regard to teaching/research and administration.</w:t>
      </w:r>
    </w:p>
    <w:p w:rsidR="004B69E9" w:rsidRPr="004B69E9" w:rsidRDefault="004B69E9" w:rsidP="00C522E2">
      <w:pPr>
        <w:autoSpaceDE w:val="0"/>
        <w:autoSpaceDN w:val="0"/>
        <w:adjustRightInd w:val="0"/>
        <w:rPr>
          <w:rFonts w:asciiTheme="minorHAnsi" w:hAnsiTheme="minorHAnsi" w:cs="Times"/>
          <w:szCs w:val="22"/>
        </w:rPr>
      </w:pPr>
    </w:p>
    <w:p w:rsidR="004B69E9" w:rsidRPr="004B69E9" w:rsidRDefault="004B69E9" w:rsidP="00C522E2">
      <w:pPr>
        <w:autoSpaceDE w:val="0"/>
        <w:autoSpaceDN w:val="0"/>
        <w:adjustRightInd w:val="0"/>
        <w:rPr>
          <w:rFonts w:asciiTheme="minorHAnsi" w:hAnsiTheme="minorHAnsi" w:cs="Times"/>
          <w:b/>
          <w:szCs w:val="22"/>
        </w:rPr>
      </w:pPr>
      <w:r w:rsidRPr="004B69E9">
        <w:rPr>
          <w:rFonts w:asciiTheme="minorHAnsi" w:hAnsiTheme="minorHAnsi" w:cs="Times"/>
          <w:b/>
          <w:szCs w:val="22"/>
        </w:rPr>
        <w:t>The clinical-researcher in health care</w:t>
      </w:r>
    </w:p>
    <w:p w:rsidR="004B69E9" w:rsidRPr="004B69E9" w:rsidRDefault="004B69E9" w:rsidP="00C522E2">
      <w:pPr>
        <w:autoSpaceDE w:val="0"/>
        <w:autoSpaceDN w:val="0"/>
        <w:adjustRightInd w:val="0"/>
        <w:rPr>
          <w:rFonts w:asciiTheme="minorHAnsi" w:hAnsiTheme="minorHAnsi" w:cs="Times"/>
          <w:szCs w:val="22"/>
        </w:rPr>
      </w:pPr>
    </w:p>
    <w:p w:rsidR="004B69E9" w:rsidRPr="004B69E9" w:rsidRDefault="004B69E9" w:rsidP="00C522E2">
      <w:pPr>
        <w:autoSpaceDE w:val="0"/>
        <w:autoSpaceDN w:val="0"/>
        <w:adjustRightInd w:val="0"/>
        <w:rPr>
          <w:rFonts w:asciiTheme="minorHAnsi" w:hAnsiTheme="minorHAnsi" w:cs="AdvTimes"/>
          <w:szCs w:val="22"/>
        </w:rPr>
      </w:pPr>
      <w:r w:rsidRPr="004B69E9">
        <w:rPr>
          <w:rFonts w:asciiTheme="minorHAnsi" w:hAnsiTheme="minorHAnsi" w:cs="AdvTimes"/>
          <w:szCs w:val="22"/>
        </w:rPr>
        <w:t>The first case is that of a health science educator working in the university sector for the past six years. Beginning as a clinical practitioner she moved into academic research as one of the first in her field because of her perception that answers that she sought to professional questions were not forthcoming in practical discourse.</w:t>
      </w:r>
    </w:p>
    <w:p w:rsidR="004B69E9" w:rsidRPr="004B69E9" w:rsidRDefault="004B69E9" w:rsidP="00C522E2">
      <w:pPr>
        <w:autoSpaceDE w:val="0"/>
        <w:autoSpaceDN w:val="0"/>
        <w:adjustRightInd w:val="0"/>
        <w:rPr>
          <w:rFonts w:asciiTheme="minorHAnsi" w:hAnsiTheme="minorHAnsi" w:cs="AdvTimes"/>
          <w:szCs w:val="22"/>
        </w:rPr>
      </w:pPr>
    </w:p>
    <w:p w:rsidR="004B69E9" w:rsidRPr="004B69E9" w:rsidRDefault="004B69E9" w:rsidP="00C522E2">
      <w:pPr>
        <w:autoSpaceDE w:val="0"/>
        <w:autoSpaceDN w:val="0"/>
        <w:adjustRightInd w:val="0"/>
        <w:rPr>
          <w:rFonts w:asciiTheme="minorHAnsi" w:hAnsiTheme="minorHAnsi" w:cs="AdvTimes"/>
          <w:szCs w:val="22"/>
        </w:rPr>
      </w:pPr>
      <w:r w:rsidRPr="004B69E9">
        <w:rPr>
          <w:rFonts w:asciiTheme="minorHAnsi" w:hAnsiTheme="minorHAnsi" w:cs="AdvTimes"/>
          <w:szCs w:val="22"/>
        </w:rPr>
        <w:t>The first relation evident is a power-knowledge in which clinical knowledge opposes academic knowledge not only in her own life but as a structural tension within the field. The second set of relations is found in the power relations in the academic School between sub-disciplines in the field. Finally, a third set of relations are revealed in her negotiation of the teaching-research-administration triad. Each set of relations are characterized by disciplining forces that impinge on her agency and identity calling forth different kinds of resistance and potential freedoms. In the case of the knowledge relations, academic research is conceptualized in a way that gives credence to rigorous evidence and the research process but is attenuated by the demand that the research is clinically relevant and provides “evidence of care…as we should always be questioning what we are doing”. The resistance to the demand to belong to one or other domain, the clinical or academic, is negotiated by insisting that the academic research has its legitimacy and even supremacy as the means to change and best practice in care. The second set of powers and disciplining forces within the School are manifest in the language of the following passage:</w:t>
      </w:r>
    </w:p>
    <w:p w:rsidR="004B69E9" w:rsidRPr="004B69E9" w:rsidRDefault="004B69E9" w:rsidP="00C522E2">
      <w:pPr>
        <w:autoSpaceDE w:val="0"/>
        <w:autoSpaceDN w:val="0"/>
        <w:adjustRightInd w:val="0"/>
        <w:rPr>
          <w:rFonts w:asciiTheme="minorHAnsi" w:hAnsiTheme="minorHAnsi" w:cs="AdvTimes"/>
          <w:szCs w:val="22"/>
        </w:rPr>
      </w:pPr>
    </w:p>
    <w:p w:rsidR="004B69E9" w:rsidRPr="004B69E9" w:rsidRDefault="004B69E9" w:rsidP="00C522E2">
      <w:pPr>
        <w:pStyle w:val="Quote0"/>
        <w:rPr>
          <w:lang w:val="en-GB"/>
        </w:rPr>
      </w:pPr>
      <w:r w:rsidRPr="004B69E9">
        <w:rPr>
          <w:lang w:val="en-GB"/>
        </w:rPr>
        <w:t xml:space="preserve">The other thing that, I think, we were cursed by… was the small mass within the critical mass of the [discipline]. In general, the Xs are ten years or </w:t>
      </w:r>
      <w:proofErr w:type="gramStart"/>
      <w:r w:rsidRPr="004B69E9">
        <w:rPr>
          <w:lang w:val="en-GB"/>
        </w:rPr>
        <w:t>more younger</w:t>
      </w:r>
      <w:proofErr w:type="gramEnd"/>
      <w:r w:rsidRPr="004B69E9">
        <w:rPr>
          <w:lang w:val="en-GB"/>
        </w:rPr>
        <w:t xml:space="preserve"> than the Ys. We have had far more PhDs, [in our sub-discipline] proportionately than in [the larger fellow-discipline] has had and we have had far less years experience working within an institutional School…so we are trying to operate where our [other] colleagues have had an old institutional School type mentality but we don’t have it,… so what we are trying to do is say, so OK, we are X  we don’t care what you think of us, we are going to do things differently…because I certainly couldn’t cope with the level of oppression that there is in [the discipline] in terms of the way they oppress themselves or the way in which they oppress the students through a rule-based punitive system…it’s just barbaric! </w:t>
      </w:r>
    </w:p>
    <w:p w:rsidR="004B69E9" w:rsidRPr="004B69E9" w:rsidRDefault="004B69E9" w:rsidP="00C522E2">
      <w:pPr>
        <w:autoSpaceDE w:val="0"/>
        <w:autoSpaceDN w:val="0"/>
        <w:adjustRightInd w:val="0"/>
        <w:rPr>
          <w:rFonts w:asciiTheme="minorHAnsi" w:hAnsiTheme="minorHAnsi" w:cs="AdvTimes"/>
          <w:szCs w:val="22"/>
        </w:rPr>
      </w:pPr>
    </w:p>
    <w:p w:rsidR="004B69E9" w:rsidRPr="004B69E9" w:rsidRDefault="004B69E9" w:rsidP="00C522E2">
      <w:pPr>
        <w:autoSpaceDE w:val="0"/>
        <w:autoSpaceDN w:val="0"/>
        <w:adjustRightInd w:val="0"/>
        <w:rPr>
          <w:rFonts w:asciiTheme="minorHAnsi" w:hAnsiTheme="minorHAnsi" w:cs="AdvTimes"/>
          <w:szCs w:val="22"/>
        </w:rPr>
      </w:pPr>
      <w:r w:rsidRPr="004B69E9">
        <w:rPr>
          <w:rFonts w:asciiTheme="minorHAnsi" w:hAnsiTheme="minorHAnsi" w:cs="AdvTimes"/>
          <w:szCs w:val="22"/>
        </w:rPr>
        <w:lastRenderedPageBreak/>
        <w:t xml:space="preserve">There would seem to be evidence here that points to the second aspect of power relations to discourage “associative relations among individuals” (Meyers, 2008). What perhaps of some interest is the manner in which the power of numbers and experience is counter-balanced by the “modern” power of PhDs which are examples of how the system itself brings forth the very means of </w:t>
      </w:r>
      <w:proofErr w:type="gramStart"/>
      <w:r w:rsidRPr="004B69E9">
        <w:rPr>
          <w:rFonts w:asciiTheme="minorHAnsi" w:hAnsiTheme="minorHAnsi" w:cs="AdvTimes"/>
          <w:szCs w:val="22"/>
        </w:rPr>
        <w:t>resistance.</w:t>
      </w:r>
      <w:proofErr w:type="gramEnd"/>
      <w:r w:rsidRPr="004B69E9">
        <w:rPr>
          <w:rFonts w:asciiTheme="minorHAnsi" w:hAnsiTheme="minorHAnsi" w:cs="AdvTimes"/>
          <w:szCs w:val="22"/>
        </w:rPr>
        <w:t xml:space="preserve"> </w:t>
      </w:r>
    </w:p>
    <w:p w:rsidR="004B69E9" w:rsidRPr="004B69E9" w:rsidRDefault="004B69E9" w:rsidP="00C522E2">
      <w:pPr>
        <w:autoSpaceDE w:val="0"/>
        <w:autoSpaceDN w:val="0"/>
        <w:adjustRightInd w:val="0"/>
        <w:rPr>
          <w:rFonts w:asciiTheme="minorHAnsi" w:hAnsiTheme="minorHAnsi" w:cs="AdvTimes"/>
          <w:szCs w:val="22"/>
        </w:rPr>
      </w:pPr>
    </w:p>
    <w:p w:rsidR="004B69E9" w:rsidRPr="004B69E9" w:rsidRDefault="004B69E9" w:rsidP="00C522E2">
      <w:pPr>
        <w:autoSpaceDE w:val="0"/>
        <w:autoSpaceDN w:val="0"/>
        <w:adjustRightInd w:val="0"/>
        <w:rPr>
          <w:rFonts w:asciiTheme="minorHAnsi" w:hAnsiTheme="minorHAnsi" w:cs="AdvTimes"/>
          <w:szCs w:val="22"/>
        </w:rPr>
      </w:pPr>
      <w:r w:rsidRPr="004B69E9">
        <w:rPr>
          <w:rFonts w:asciiTheme="minorHAnsi" w:hAnsiTheme="minorHAnsi" w:cs="AdvTimes"/>
          <w:szCs w:val="22"/>
        </w:rPr>
        <w:t>An example of the way in which the system of power relations can be embraced despite knowledge of their effects but undermined at the same time is suggested by the following quote:</w:t>
      </w:r>
    </w:p>
    <w:p w:rsidR="004B69E9" w:rsidRPr="004B69E9" w:rsidRDefault="004B69E9" w:rsidP="00C522E2">
      <w:pPr>
        <w:autoSpaceDE w:val="0"/>
        <w:autoSpaceDN w:val="0"/>
        <w:adjustRightInd w:val="0"/>
        <w:rPr>
          <w:rFonts w:asciiTheme="minorHAnsi" w:hAnsiTheme="minorHAnsi" w:cs="AdvTimes"/>
          <w:szCs w:val="22"/>
        </w:rPr>
      </w:pPr>
    </w:p>
    <w:p w:rsidR="004B69E9" w:rsidRPr="004B69E9" w:rsidRDefault="004B69E9" w:rsidP="00C522E2">
      <w:pPr>
        <w:pStyle w:val="Quote0"/>
        <w:rPr>
          <w:lang w:val="en-GB"/>
        </w:rPr>
      </w:pPr>
      <w:r w:rsidRPr="004B69E9">
        <w:rPr>
          <w:lang w:val="en-GB"/>
        </w:rPr>
        <w:t>So we would be seen as the two strongest researchers in the School and we have been successful in getting funding which is an abhorrent marker of success but the way it has worked for us...we have tried to cope with its abhorrence in that it means that we have been able to fund people to do their PhDs full time which has helped us to build the capacity faster.</w:t>
      </w:r>
    </w:p>
    <w:p w:rsidR="004B69E9" w:rsidRPr="004B69E9" w:rsidRDefault="004B69E9" w:rsidP="00C522E2">
      <w:pPr>
        <w:autoSpaceDE w:val="0"/>
        <w:autoSpaceDN w:val="0"/>
        <w:adjustRightInd w:val="0"/>
        <w:rPr>
          <w:rFonts w:asciiTheme="minorHAnsi" w:hAnsiTheme="minorHAnsi" w:cs="AdvTimes"/>
          <w:szCs w:val="22"/>
        </w:rPr>
      </w:pPr>
    </w:p>
    <w:p w:rsidR="004B69E9" w:rsidRPr="004B69E9" w:rsidRDefault="004B69E9" w:rsidP="00C522E2">
      <w:pPr>
        <w:autoSpaceDE w:val="0"/>
        <w:autoSpaceDN w:val="0"/>
        <w:adjustRightInd w:val="0"/>
        <w:spacing w:before="240"/>
        <w:rPr>
          <w:rFonts w:asciiTheme="minorHAnsi" w:hAnsiTheme="minorHAnsi" w:cs="AdvTimes"/>
          <w:szCs w:val="22"/>
        </w:rPr>
      </w:pPr>
      <w:r w:rsidRPr="004B69E9">
        <w:rPr>
          <w:rFonts w:asciiTheme="minorHAnsi" w:hAnsiTheme="minorHAnsi" w:cs="AdvTimes"/>
          <w:szCs w:val="22"/>
        </w:rPr>
        <w:t>The “abhorrence“ comes from “controlling by funding bodies, industrial model research, research that maybe for the greater good, research that would really contribute to the profession, to capacity building in women or in service-users not being valued…”</w:t>
      </w:r>
    </w:p>
    <w:p w:rsidR="004B69E9" w:rsidRPr="004B69E9" w:rsidRDefault="004B69E9" w:rsidP="00C522E2">
      <w:pPr>
        <w:autoSpaceDE w:val="0"/>
        <w:autoSpaceDN w:val="0"/>
        <w:adjustRightInd w:val="0"/>
        <w:spacing w:before="240"/>
        <w:rPr>
          <w:rFonts w:asciiTheme="minorHAnsi" w:hAnsiTheme="minorHAnsi" w:cs="AdvTimes"/>
          <w:szCs w:val="22"/>
        </w:rPr>
      </w:pPr>
    </w:p>
    <w:p w:rsidR="004B69E9" w:rsidRPr="004B69E9" w:rsidRDefault="004B69E9" w:rsidP="00C522E2">
      <w:pPr>
        <w:autoSpaceDE w:val="0"/>
        <w:autoSpaceDN w:val="0"/>
        <w:adjustRightInd w:val="0"/>
        <w:rPr>
          <w:rFonts w:asciiTheme="minorHAnsi" w:hAnsiTheme="minorHAnsi" w:cs="AdvTimes"/>
          <w:szCs w:val="22"/>
        </w:rPr>
      </w:pPr>
      <w:r w:rsidRPr="004B69E9">
        <w:rPr>
          <w:rFonts w:asciiTheme="minorHAnsi" w:hAnsiTheme="minorHAnsi" w:cs="AdvTimes"/>
          <w:szCs w:val="22"/>
        </w:rPr>
        <w:t>The third set of relations at the level of personal struggle is clear in the following:</w:t>
      </w:r>
    </w:p>
    <w:p w:rsidR="004B69E9" w:rsidRPr="004B69E9" w:rsidRDefault="004B69E9" w:rsidP="00C522E2">
      <w:pPr>
        <w:pStyle w:val="Quote0"/>
        <w:rPr>
          <w:lang w:val="en-GB"/>
        </w:rPr>
      </w:pPr>
    </w:p>
    <w:p w:rsidR="004B69E9" w:rsidRPr="004B69E9" w:rsidRDefault="004B69E9" w:rsidP="00C522E2">
      <w:pPr>
        <w:pStyle w:val="Quote0"/>
        <w:rPr>
          <w:lang w:val="en-GB"/>
        </w:rPr>
      </w:pPr>
      <w:r w:rsidRPr="004B69E9">
        <w:rPr>
          <w:lang w:val="en-GB"/>
        </w:rPr>
        <w:t xml:space="preserve">I have learned to do what I want to do within the team... I have learned to say only what has to be said in order to be able to do what I want to do. I have learned how to extricate myself and to be more autonomous...I have learned how not to be controlled by others rather than learning how to say no .I actually think that... getting the promotion to </w:t>
      </w:r>
      <w:proofErr w:type="gramStart"/>
      <w:r w:rsidRPr="004B69E9">
        <w:rPr>
          <w:lang w:val="en-GB"/>
        </w:rPr>
        <w:t>SL[</w:t>
      </w:r>
      <w:proofErr w:type="gramEnd"/>
      <w:r w:rsidRPr="004B69E9">
        <w:rPr>
          <w:lang w:val="en-GB"/>
        </w:rPr>
        <w:t>Senior Lecturer] has had an impact… there is a perception that I am somehow now slightly different as the only one in the team. It’s like she’s a little different, she is SL and she got it on the basis of research. So therefore we need to leave her to do her own thing. But that is the naivety of the School that I am benefitting from. There is the notion that the crap that they are going to give me will be a different crap!</w:t>
      </w:r>
    </w:p>
    <w:p w:rsidR="004B69E9" w:rsidRPr="004B69E9" w:rsidRDefault="004B69E9" w:rsidP="003D1D42">
      <w:pPr>
        <w:rPr>
          <w:rFonts w:asciiTheme="minorHAnsi" w:hAnsiTheme="minorHAnsi"/>
          <w:szCs w:val="22"/>
        </w:rPr>
      </w:pPr>
    </w:p>
    <w:p w:rsidR="004B69E9" w:rsidRPr="004B69E9" w:rsidRDefault="004B69E9" w:rsidP="00C522E2">
      <w:pPr>
        <w:autoSpaceDE w:val="0"/>
        <w:autoSpaceDN w:val="0"/>
        <w:adjustRightInd w:val="0"/>
        <w:rPr>
          <w:rFonts w:asciiTheme="minorHAnsi" w:hAnsiTheme="minorHAnsi" w:cs="AdvTimes"/>
          <w:szCs w:val="22"/>
        </w:rPr>
      </w:pPr>
      <w:r w:rsidRPr="004B69E9">
        <w:rPr>
          <w:rFonts w:asciiTheme="minorHAnsi" w:hAnsiTheme="minorHAnsi" w:cs="AdvTimes"/>
          <w:szCs w:val="22"/>
        </w:rPr>
        <w:t xml:space="preserve">Here again, the data would seem to support the ideas that the power relations of academic life are indeed those that isolate but are nevertheless embraced to the extent that the way to freedom is </w:t>
      </w:r>
      <w:r w:rsidRPr="004B69E9">
        <w:rPr>
          <w:rFonts w:asciiTheme="minorHAnsi" w:hAnsiTheme="minorHAnsi" w:cs="AdvTimes"/>
          <w:szCs w:val="22"/>
        </w:rPr>
        <w:lastRenderedPageBreak/>
        <w:t>through the system itself. By accepting the promotions framework and discipline, the clinical researcher has gained a certain freedom for herself but without undermining the system.</w:t>
      </w:r>
    </w:p>
    <w:p w:rsidR="004B69E9" w:rsidRPr="004B69E9" w:rsidRDefault="004B69E9" w:rsidP="00C522E2">
      <w:pPr>
        <w:autoSpaceDE w:val="0"/>
        <w:autoSpaceDN w:val="0"/>
        <w:adjustRightInd w:val="0"/>
        <w:rPr>
          <w:rFonts w:asciiTheme="minorHAnsi" w:hAnsiTheme="minorHAnsi" w:cs="AdvTimes"/>
          <w:szCs w:val="22"/>
        </w:rPr>
      </w:pPr>
    </w:p>
    <w:p w:rsidR="004B69E9" w:rsidRPr="004B69E9" w:rsidRDefault="004B69E9" w:rsidP="00C522E2">
      <w:pPr>
        <w:autoSpaceDE w:val="0"/>
        <w:autoSpaceDN w:val="0"/>
        <w:adjustRightInd w:val="0"/>
        <w:spacing w:line="240" w:lineRule="auto"/>
        <w:rPr>
          <w:rFonts w:asciiTheme="minorHAnsi" w:hAnsiTheme="minorHAnsi" w:cs="AdvTimes"/>
          <w:b/>
          <w:szCs w:val="22"/>
        </w:rPr>
      </w:pPr>
      <w:r w:rsidRPr="004B69E9">
        <w:rPr>
          <w:rFonts w:asciiTheme="minorHAnsi" w:hAnsiTheme="minorHAnsi" w:cs="AdvTimes"/>
          <w:b/>
          <w:szCs w:val="22"/>
        </w:rPr>
        <w:t>The scholarly-researcher</w:t>
      </w:r>
    </w:p>
    <w:p w:rsidR="004B69E9" w:rsidRPr="004B69E9" w:rsidRDefault="004B69E9" w:rsidP="00C522E2">
      <w:pPr>
        <w:autoSpaceDE w:val="0"/>
        <w:autoSpaceDN w:val="0"/>
        <w:adjustRightInd w:val="0"/>
        <w:rPr>
          <w:rFonts w:asciiTheme="minorHAnsi" w:hAnsiTheme="minorHAnsi" w:cs="AdvTimes"/>
          <w:szCs w:val="22"/>
        </w:rPr>
      </w:pPr>
    </w:p>
    <w:p w:rsidR="004B69E9" w:rsidRPr="004B69E9" w:rsidRDefault="004B69E9" w:rsidP="00C522E2">
      <w:pPr>
        <w:autoSpaceDE w:val="0"/>
        <w:autoSpaceDN w:val="0"/>
        <w:adjustRightInd w:val="0"/>
        <w:rPr>
          <w:rFonts w:asciiTheme="minorHAnsi" w:hAnsiTheme="minorHAnsi" w:cs="AdvTimes"/>
          <w:szCs w:val="22"/>
        </w:rPr>
      </w:pPr>
      <w:r w:rsidRPr="004B69E9">
        <w:rPr>
          <w:rFonts w:asciiTheme="minorHAnsi" w:hAnsiTheme="minorHAnsi" w:cs="AdvTimes"/>
          <w:szCs w:val="22"/>
        </w:rPr>
        <w:t xml:space="preserve">The second case considered here is that of a scholar in a traditional academic discipline. His work is with texts rather than people. He identifies his academic life and work closely with his current field of study since he was an undergraduate and is working institutionally “close to the top of the food-chain in Ireland”. Despite being happy to stay in Irish academic life, he has recently become somewhat disillusioned with his institution. This disillusionment can be read as the result of the particular power-relation that surrounds academic promotion and metrics. In the case of this academic, it is not an overt exercise of authority, academic prejudice or preference, but is rooted in systemic opacity. Despite having seemingly conformed and performed to the published and declared standards, promotion has </w:t>
      </w:r>
      <w:proofErr w:type="gramStart"/>
      <w:r w:rsidRPr="004B69E9">
        <w:rPr>
          <w:rFonts w:asciiTheme="minorHAnsi" w:hAnsiTheme="minorHAnsi" w:cs="AdvTimes"/>
          <w:szCs w:val="22"/>
        </w:rPr>
        <w:t>not only not</w:t>
      </w:r>
      <w:proofErr w:type="gramEnd"/>
      <w:r w:rsidRPr="004B69E9">
        <w:rPr>
          <w:rFonts w:asciiTheme="minorHAnsi" w:hAnsiTheme="minorHAnsi" w:cs="AdvTimes"/>
          <w:szCs w:val="22"/>
        </w:rPr>
        <w:t xml:space="preserve"> happened but there is no knowledge of why this is the case.</w:t>
      </w:r>
    </w:p>
    <w:p w:rsidR="004B69E9" w:rsidRPr="004B69E9" w:rsidRDefault="004B69E9" w:rsidP="00C522E2">
      <w:pPr>
        <w:autoSpaceDE w:val="0"/>
        <w:autoSpaceDN w:val="0"/>
        <w:adjustRightInd w:val="0"/>
        <w:rPr>
          <w:rFonts w:asciiTheme="minorHAnsi" w:hAnsiTheme="minorHAnsi" w:cs="AdvTimes"/>
          <w:szCs w:val="22"/>
        </w:rPr>
      </w:pPr>
    </w:p>
    <w:p w:rsidR="004B69E9" w:rsidRPr="004B69E9" w:rsidRDefault="004B69E9" w:rsidP="00C522E2">
      <w:pPr>
        <w:pStyle w:val="Quote0"/>
        <w:rPr>
          <w:lang w:val="en-GB"/>
        </w:rPr>
      </w:pPr>
      <w:r w:rsidRPr="004B69E9">
        <w:rPr>
          <w:lang w:val="en-GB"/>
        </w:rPr>
        <w:t>…I have over the last two or three years generated a fairly significant sense of alienation from [my institution] and disillusionment with its processes so.</w:t>
      </w:r>
      <w:r w:rsidR="006B4CEF">
        <w:rPr>
          <w:lang w:val="en-GB"/>
        </w:rPr>
        <w:t>.</w:t>
      </w:r>
      <w:r w:rsidRPr="004B69E9">
        <w:rPr>
          <w:lang w:val="en-GB"/>
        </w:rPr>
        <w:t>.and the alienation is about the promotion process here…</w:t>
      </w:r>
      <w:proofErr w:type="spellStart"/>
      <w:r w:rsidRPr="004B69E9">
        <w:rPr>
          <w:lang w:val="en-GB"/>
        </w:rPr>
        <w:t>yeh</w:t>
      </w:r>
      <w:proofErr w:type="spellEnd"/>
      <w:r w:rsidRPr="004B69E9">
        <w:rPr>
          <w:lang w:val="en-GB"/>
        </w:rPr>
        <w:t xml:space="preserve">…I feel really annoyed about what’s been happening about getting promoted. The whole process seems quite opaque as to how it works…I feel that I have a sound research track record and the kind of responses that I am getting about why I am not being promoted do not add up for me…so I don’t know if I have annoyed someone somewhere or what, but it just </w:t>
      </w:r>
      <w:proofErr w:type="spellStart"/>
      <w:r w:rsidRPr="004B69E9">
        <w:rPr>
          <w:lang w:val="en-GB"/>
        </w:rPr>
        <w:t>ain’t</w:t>
      </w:r>
      <w:proofErr w:type="spellEnd"/>
      <w:r w:rsidRPr="004B69E9">
        <w:rPr>
          <w:lang w:val="en-GB"/>
        </w:rPr>
        <w:t xml:space="preserve"> happening. </w:t>
      </w:r>
    </w:p>
    <w:p w:rsidR="004B69E9" w:rsidRPr="004B69E9" w:rsidRDefault="004B69E9" w:rsidP="00C522E2">
      <w:pPr>
        <w:autoSpaceDE w:val="0"/>
        <w:autoSpaceDN w:val="0"/>
        <w:adjustRightInd w:val="0"/>
        <w:rPr>
          <w:rFonts w:asciiTheme="minorHAnsi" w:hAnsiTheme="minorHAnsi" w:cs="AdvTimes"/>
          <w:szCs w:val="22"/>
        </w:rPr>
      </w:pPr>
    </w:p>
    <w:p w:rsidR="004B69E9" w:rsidRPr="004B69E9" w:rsidRDefault="004B69E9" w:rsidP="00C522E2">
      <w:pPr>
        <w:autoSpaceDE w:val="0"/>
        <w:autoSpaceDN w:val="0"/>
        <w:adjustRightInd w:val="0"/>
        <w:rPr>
          <w:rFonts w:asciiTheme="minorHAnsi" w:hAnsiTheme="minorHAnsi" w:cs="AdvTimes"/>
          <w:szCs w:val="22"/>
        </w:rPr>
      </w:pPr>
      <w:r w:rsidRPr="004B69E9">
        <w:rPr>
          <w:rFonts w:asciiTheme="minorHAnsi" w:hAnsiTheme="minorHAnsi" w:cs="AdvTimes"/>
          <w:szCs w:val="22"/>
        </w:rPr>
        <w:t>However, later in the interview there is a hint of what might be at the core of this particular promotions process that reveals a similar power-knowledge relationship that was evident in the case of the clinical researcher. In a reference to his academic interests, he reported interest in two quite disparate fields, one of which would be considered mainstream and another which has a strong tradition of its own but would not feature in what is “out in front”. His institution has indicated that he should find “one thing that you work at”. However, this demand seems in conflict with that of a School demand that he take on PhD students outside of his field(s) of expertise as a result of the political expediency of increasing PhD students as a way of gaining strength</w:t>
      </w:r>
    </w:p>
    <w:p w:rsidR="004B69E9" w:rsidRPr="004B69E9" w:rsidRDefault="004B69E9" w:rsidP="00C522E2">
      <w:pPr>
        <w:autoSpaceDE w:val="0"/>
        <w:autoSpaceDN w:val="0"/>
        <w:adjustRightInd w:val="0"/>
        <w:rPr>
          <w:rFonts w:asciiTheme="minorHAnsi" w:hAnsiTheme="minorHAnsi" w:cs="AdvTimes"/>
          <w:szCs w:val="22"/>
        </w:rPr>
      </w:pPr>
    </w:p>
    <w:p w:rsidR="004B69E9" w:rsidRPr="004B69E9" w:rsidRDefault="004B69E9" w:rsidP="00C522E2">
      <w:pPr>
        <w:pStyle w:val="Quote0"/>
        <w:rPr>
          <w:lang w:val="en-GB"/>
        </w:rPr>
      </w:pPr>
      <w:r w:rsidRPr="004B69E9">
        <w:rPr>
          <w:lang w:val="en-GB"/>
        </w:rPr>
        <w:t xml:space="preserve">So certainly, the X people that I don’t particularly feel on top of, I agreed to take on under pressure and there is a particular story…at the time we were [as a School] weakened and we had to be seen to take on PhD student …to </w:t>
      </w:r>
      <w:r w:rsidRPr="004B69E9">
        <w:rPr>
          <w:lang w:val="en-GB"/>
        </w:rPr>
        <w:lastRenderedPageBreak/>
        <w:t xml:space="preserve">increase our capitation grant ...I think now I would be less comfort able…but at the time it was politically expedient to do that. </w:t>
      </w:r>
    </w:p>
    <w:p w:rsidR="004B69E9" w:rsidRPr="004B69E9" w:rsidRDefault="004B69E9" w:rsidP="00C522E2">
      <w:pPr>
        <w:autoSpaceDE w:val="0"/>
        <w:autoSpaceDN w:val="0"/>
        <w:adjustRightInd w:val="0"/>
        <w:rPr>
          <w:rFonts w:asciiTheme="minorHAnsi" w:hAnsiTheme="minorHAnsi" w:cs="AdvTimes"/>
          <w:szCs w:val="22"/>
        </w:rPr>
      </w:pPr>
    </w:p>
    <w:p w:rsidR="004B69E9" w:rsidRPr="004B69E9" w:rsidRDefault="004B69E9" w:rsidP="00C522E2">
      <w:pPr>
        <w:autoSpaceDE w:val="0"/>
        <w:autoSpaceDN w:val="0"/>
        <w:adjustRightInd w:val="0"/>
        <w:rPr>
          <w:rFonts w:asciiTheme="minorHAnsi" w:hAnsiTheme="minorHAnsi" w:cs="AdvTimes"/>
          <w:szCs w:val="22"/>
        </w:rPr>
      </w:pPr>
      <w:r w:rsidRPr="004B69E9">
        <w:rPr>
          <w:rFonts w:asciiTheme="minorHAnsi" w:hAnsiTheme="minorHAnsi" w:cs="AdvTimes"/>
          <w:szCs w:val="22"/>
        </w:rPr>
        <w:t>The culture of metrics is operational in the power relations between disciplines with larger groups holding a “metric power” over others and only a small space for resistance which is experienced as a kind of therapy:</w:t>
      </w:r>
    </w:p>
    <w:p w:rsidR="004B69E9" w:rsidRPr="004B69E9" w:rsidRDefault="004B69E9" w:rsidP="00C522E2">
      <w:pPr>
        <w:autoSpaceDE w:val="0"/>
        <w:autoSpaceDN w:val="0"/>
        <w:adjustRightInd w:val="0"/>
        <w:rPr>
          <w:rFonts w:asciiTheme="minorHAnsi" w:hAnsiTheme="minorHAnsi" w:cs="AdvTimes"/>
          <w:szCs w:val="22"/>
        </w:rPr>
      </w:pPr>
    </w:p>
    <w:p w:rsidR="004B69E9" w:rsidRPr="004B69E9" w:rsidRDefault="004B69E9" w:rsidP="00C522E2">
      <w:pPr>
        <w:autoSpaceDE w:val="0"/>
        <w:autoSpaceDN w:val="0"/>
        <w:adjustRightInd w:val="0"/>
        <w:rPr>
          <w:rFonts w:asciiTheme="minorHAnsi" w:hAnsiTheme="minorHAnsi" w:cs="AdvTimes"/>
          <w:szCs w:val="22"/>
        </w:rPr>
      </w:pPr>
    </w:p>
    <w:p w:rsidR="004B69E9" w:rsidRPr="004B69E9" w:rsidRDefault="004B69E9" w:rsidP="00C522E2">
      <w:pPr>
        <w:pStyle w:val="Quote0"/>
        <w:rPr>
          <w:lang w:val="en-GB"/>
        </w:rPr>
      </w:pPr>
      <w:r w:rsidRPr="004B69E9">
        <w:rPr>
          <w:lang w:val="en-GB"/>
        </w:rPr>
        <w:t xml:space="preserve">We don’t count…they [a larger discipline in the area] very much have a sense of the their own research methodology and operating in a certain way…there is the impression that we are very much more old fashioned stick in the mud in terms of how we do our things. There is a sense of resentment toward us...we are the rump who do not co cool things and do not agitate enough. We have come together with to form a ‘self help’ group! </w:t>
      </w:r>
    </w:p>
    <w:p w:rsidR="004B69E9" w:rsidRPr="004B69E9" w:rsidRDefault="004B69E9" w:rsidP="00C522E2">
      <w:pPr>
        <w:rPr>
          <w:rFonts w:asciiTheme="minorHAnsi" w:hAnsiTheme="minorHAnsi"/>
          <w:szCs w:val="22"/>
        </w:rPr>
      </w:pPr>
      <w:r w:rsidRPr="004B69E9">
        <w:rPr>
          <w:rFonts w:asciiTheme="minorHAnsi" w:hAnsiTheme="minorHAnsi"/>
          <w:szCs w:val="22"/>
        </w:rPr>
        <w:t>At the level of the personal struggle with metrification, the sense of the possibilities of resistance and of a care of self that as an aesthetic and ascetic process was firmly situated in a robust asceticism of withdrawal and renunciation</w:t>
      </w:r>
    </w:p>
    <w:p w:rsidR="004B69E9" w:rsidRPr="004B69E9" w:rsidRDefault="004B69E9" w:rsidP="00C522E2">
      <w:pPr>
        <w:pStyle w:val="Quote0"/>
        <w:rPr>
          <w:lang w:val="en-GB"/>
        </w:rPr>
      </w:pPr>
    </w:p>
    <w:p w:rsidR="004B69E9" w:rsidRPr="004B69E9" w:rsidRDefault="004B69E9" w:rsidP="00C522E2">
      <w:pPr>
        <w:pStyle w:val="Quote0"/>
        <w:rPr>
          <w:lang w:val="en-GB"/>
        </w:rPr>
      </w:pPr>
      <w:r w:rsidRPr="004B69E9">
        <w:rPr>
          <w:lang w:val="en-GB"/>
        </w:rPr>
        <w:t>We got slapped [in a recent review]…around our research culture they did not like what we did. ...</w:t>
      </w:r>
      <w:proofErr w:type="gramStart"/>
      <w:r w:rsidRPr="004B69E9">
        <w:rPr>
          <w:lang w:val="en-GB"/>
        </w:rPr>
        <w:t>one</w:t>
      </w:r>
      <w:proofErr w:type="gramEnd"/>
      <w:r w:rsidRPr="004B69E9">
        <w:rPr>
          <w:lang w:val="en-GB"/>
        </w:rPr>
        <w:t xml:space="preserve"> colleague is working in peripheral journals. I had written… books in distance education modules but they said they did not count … the process felt unfair…you have a sense of </w:t>
      </w:r>
      <w:proofErr w:type="spellStart"/>
      <w:r w:rsidRPr="004B69E9">
        <w:rPr>
          <w:lang w:val="en-GB"/>
        </w:rPr>
        <w:t>beavering</w:t>
      </w:r>
      <w:proofErr w:type="spellEnd"/>
      <w:r w:rsidRPr="004B69E9">
        <w:rPr>
          <w:lang w:val="en-GB"/>
        </w:rPr>
        <w:t xml:space="preserve"> away hard and doing all kinds of stuff and then it is </w:t>
      </w:r>
      <w:proofErr w:type="spellStart"/>
      <w:r w:rsidRPr="004B69E9">
        <w:rPr>
          <w:lang w:val="en-GB"/>
        </w:rPr>
        <w:t>unmotivating</w:t>
      </w:r>
      <w:proofErr w:type="spellEnd"/>
      <w:r w:rsidRPr="004B69E9">
        <w:rPr>
          <w:lang w:val="en-GB"/>
        </w:rPr>
        <w:t xml:space="preserve"> when you get a negative response </w:t>
      </w:r>
    </w:p>
    <w:p w:rsidR="004B69E9" w:rsidRPr="004B69E9" w:rsidRDefault="004B69E9" w:rsidP="00C522E2">
      <w:pPr>
        <w:pStyle w:val="Quote0"/>
        <w:rPr>
          <w:lang w:val="en-GB"/>
        </w:rPr>
      </w:pPr>
      <w:r w:rsidRPr="004B69E9">
        <w:rPr>
          <w:lang w:val="en-GB"/>
        </w:rPr>
        <w:t>One of the impacts of this whole saga is I have gone back to a kind of a sense of a solitary scholar interacting with an international community but they are not here ....but I don’t have a big sense of collegiality here.</w:t>
      </w:r>
      <w:r w:rsidRPr="004B69E9">
        <w:rPr>
          <w:rFonts w:cs="AdvTimes"/>
          <w:lang w:val="en-GB"/>
        </w:rPr>
        <w:t xml:space="preserve"> I produced three textbooks and they [reviewers] considered them crap. I began to feel like Solzhenitsyn in internal exile. The metrification is going to happen… we have got to do the thing they do in the UK. The university acts in this dumb and irrational way.</w:t>
      </w:r>
    </w:p>
    <w:p w:rsidR="004B69E9" w:rsidRPr="004B69E9" w:rsidRDefault="004B69E9" w:rsidP="00BD31FB">
      <w:pPr>
        <w:autoSpaceDE w:val="0"/>
        <w:autoSpaceDN w:val="0"/>
        <w:adjustRightInd w:val="0"/>
        <w:rPr>
          <w:rFonts w:asciiTheme="minorHAnsi" w:hAnsiTheme="minorHAnsi" w:cs="AdvTimes"/>
          <w:szCs w:val="22"/>
        </w:rPr>
      </w:pPr>
      <w:r w:rsidRPr="004B69E9">
        <w:rPr>
          <w:rFonts w:asciiTheme="minorHAnsi" w:hAnsiTheme="minorHAnsi" w:cs="AdvTimes"/>
          <w:szCs w:val="22"/>
        </w:rPr>
        <w:t xml:space="preserve">A </w:t>
      </w:r>
      <w:proofErr w:type="spellStart"/>
      <w:r w:rsidRPr="004B69E9">
        <w:rPr>
          <w:rFonts w:asciiTheme="minorHAnsi" w:hAnsiTheme="minorHAnsi" w:cs="AdvTimes"/>
          <w:szCs w:val="22"/>
        </w:rPr>
        <w:t>Zizekian</w:t>
      </w:r>
      <w:proofErr w:type="spellEnd"/>
      <w:r w:rsidRPr="004B69E9">
        <w:rPr>
          <w:rFonts w:asciiTheme="minorHAnsi" w:hAnsiTheme="minorHAnsi" w:cs="AdvTimes"/>
          <w:szCs w:val="22"/>
        </w:rPr>
        <w:t xml:space="preserve"> moment is evident only in a response that hinted at the internal absurdity of the culture but without any suggestion that this absurdity would ever lead to the internal collapse of the system:</w:t>
      </w:r>
    </w:p>
    <w:p w:rsidR="004B69E9" w:rsidRPr="004B69E9" w:rsidRDefault="004B69E9" w:rsidP="00BD31FB">
      <w:pPr>
        <w:autoSpaceDE w:val="0"/>
        <w:autoSpaceDN w:val="0"/>
        <w:adjustRightInd w:val="0"/>
        <w:rPr>
          <w:rFonts w:asciiTheme="minorHAnsi" w:hAnsiTheme="minorHAnsi" w:cs="AdvTimes"/>
          <w:szCs w:val="22"/>
        </w:rPr>
      </w:pPr>
    </w:p>
    <w:p w:rsidR="004B69E9" w:rsidRPr="004B69E9" w:rsidRDefault="004B69E9" w:rsidP="00BD31FB">
      <w:pPr>
        <w:pStyle w:val="Quote0"/>
        <w:rPr>
          <w:lang w:val="en-GB"/>
        </w:rPr>
      </w:pPr>
      <w:r w:rsidRPr="004B69E9">
        <w:rPr>
          <w:lang w:val="en-GB"/>
        </w:rPr>
        <w:t xml:space="preserve">Our head of department is very good at bridging these kind of things and with re-describing and presenting stuff he is able to operate systems well </w:t>
      </w:r>
      <w:r w:rsidRPr="004B69E9">
        <w:rPr>
          <w:lang w:val="en-GB"/>
        </w:rPr>
        <w:lastRenderedPageBreak/>
        <w:t xml:space="preserve">and we feel a good sense of benefit from him being there...but he will admit that it is crap but we have to do it. </w:t>
      </w:r>
    </w:p>
    <w:p w:rsidR="004B69E9" w:rsidRPr="004B69E9" w:rsidRDefault="004B69E9" w:rsidP="00C522E2">
      <w:pPr>
        <w:autoSpaceDE w:val="0"/>
        <w:autoSpaceDN w:val="0"/>
        <w:adjustRightInd w:val="0"/>
        <w:rPr>
          <w:rFonts w:asciiTheme="minorHAnsi" w:hAnsiTheme="minorHAnsi" w:cs="AdvTimes"/>
          <w:b/>
          <w:szCs w:val="22"/>
        </w:rPr>
      </w:pPr>
    </w:p>
    <w:p w:rsidR="004B69E9" w:rsidRPr="004B69E9" w:rsidRDefault="004B69E9" w:rsidP="00C522E2">
      <w:pPr>
        <w:autoSpaceDE w:val="0"/>
        <w:autoSpaceDN w:val="0"/>
        <w:adjustRightInd w:val="0"/>
        <w:rPr>
          <w:rFonts w:asciiTheme="minorHAnsi" w:hAnsiTheme="minorHAnsi" w:cs="AdvTimes"/>
          <w:b/>
          <w:szCs w:val="22"/>
        </w:rPr>
      </w:pPr>
      <w:r w:rsidRPr="004B69E9">
        <w:rPr>
          <w:rFonts w:asciiTheme="minorHAnsi" w:hAnsiTheme="minorHAnsi" w:cs="AdvTimes"/>
          <w:b/>
          <w:szCs w:val="22"/>
        </w:rPr>
        <w:t>The social researcher</w:t>
      </w:r>
    </w:p>
    <w:p w:rsidR="004B69E9" w:rsidRPr="004B69E9" w:rsidRDefault="004B69E9" w:rsidP="00C522E2">
      <w:pPr>
        <w:autoSpaceDE w:val="0"/>
        <w:autoSpaceDN w:val="0"/>
        <w:adjustRightInd w:val="0"/>
        <w:rPr>
          <w:rFonts w:asciiTheme="minorHAnsi" w:hAnsiTheme="minorHAnsi" w:cs="AdvTimes"/>
          <w:szCs w:val="22"/>
        </w:rPr>
      </w:pPr>
    </w:p>
    <w:p w:rsidR="004B69E9" w:rsidRPr="004B69E9" w:rsidRDefault="004B69E9" w:rsidP="00C522E2">
      <w:pPr>
        <w:autoSpaceDE w:val="0"/>
        <w:autoSpaceDN w:val="0"/>
        <w:adjustRightInd w:val="0"/>
        <w:rPr>
          <w:rFonts w:asciiTheme="minorHAnsi" w:hAnsiTheme="minorHAnsi" w:cs="AdvTimes"/>
          <w:szCs w:val="22"/>
        </w:rPr>
      </w:pPr>
      <w:r w:rsidRPr="004B69E9">
        <w:rPr>
          <w:rFonts w:asciiTheme="minorHAnsi" w:hAnsiTheme="minorHAnsi" w:cs="AdvTimes"/>
          <w:szCs w:val="22"/>
        </w:rPr>
        <w:t>The third case concerns an academic in the field of adult learning with an emphasis on emancipator education, community building and political agency. In this case the knowledge-power relations are not around evidence bases for practice, or scholarly acceptance by peers but in the way in which the knowledge generated in the university has credibility and is rooted in the concerns of people “on the ground…for working class people on estates…helping them to organize things.”</w:t>
      </w:r>
    </w:p>
    <w:p w:rsidR="004B69E9" w:rsidRPr="004B69E9" w:rsidRDefault="004B69E9" w:rsidP="00C522E2">
      <w:pPr>
        <w:autoSpaceDE w:val="0"/>
        <w:autoSpaceDN w:val="0"/>
        <w:adjustRightInd w:val="0"/>
        <w:rPr>
          <w:rFonts w:asciiTheme="minorHAnsi" w:hAnsiTheme="minorHAnsi" w:cs="AdvTimes"/>
          <w:szCs w:val="22"/>
        </w:rPr>
      </w:pPr>
    </w:p>
    <w:p w:rsidR="004B69E9" w:rsidRPr="004B69E9" w:rsidRDefault="004B69E9" w:rsidP="00C522E2">
      <w:pPr>
        <w:autoSpaceDE w:val="0"/>
        <w:autoSpaceDN w:val="0"/>
        <w:adjustRightInd w:val="0"/>
        <w:rPr>
          <w:rFonts w:asciiTheme="minorHAnsi" w:hAnsiTheme="minorHAnsi" w:cs="AdvTimes"/>
          <w:szCs w:val="22"/>
        </w:rPr>
      </w:pPr>
      <w:r w:rsidRPr="004B69E9">
        <w:rPr>
          <w:rFonts w:asciiTheme="minorHAnsi" w:hAnsiTheme="minorHAnsi" w:cs="AdvTimes"/>
          <w:szCs w:val="22"/>
        </w:rPr>
        <w:t>However, there is also evident a set of knowledge power and resistance relations that are played out on the wider stage of society and economy. The kind of knowledge pursued by this researcher is not the knowledge of the “smart economy”, but is nevertheless legitimate and even needed:</w:t>
      </w:r>
    </w:p>
    <w:p w:rsidR="004B69E9" w:rsidRPr="004B69E9" w:rsidRDefault="004B69E9" w:rsidP="00C522E2">
      <w:pPr>
        <w:autoSpaceDE w:val="0"/>
        <w:autoSpaceDN w:val="0"/>
        <w:adjustRightInd w:val="0"/>
        <w:rPr>
          <w:rFonts w:asciiTheme="minorHAnsi" w:hAnsiTheme="minorHAnsi" w:cs="AdvTimes"/>
          <w:szCs w:val="22"/>
        </w:rPr>
      </w:pPr>
    </w:p>
    <w:p w:rsidR="004B69E9" w:rsidRPr="004B69E9" w:rsidRDefault="004B69E9" w:rsidP="00C522E2">
      <w:pPr>
        <w:pStyle w:val="Quote0"/>
        <w:rPr>
          <w:lang w:val="en-GB"/>
        </w:rPr>
      </w:pPr>
      <w:r w:rsidRPr="004B69E9">
        <w:rPr>
          <w:lang w:val="en-GB"/>
        </w:rPr>
        <w:t xml:space="preserve">It is very clear to me that the “smart economy” is a euphemism for technology and computers, engineering and pharmacy, and I think that is fine. We need a smart economy, you know… OK, well, let them do it. I think there is also a job for the humanities and social sciences which are in pursuit of a different agenda. It does not mean that we are not smart! I think that…education and the social sciences stand for something else; there is a society, there is community, there is democracy, there are citizens… But it is the monopoly position of that economic position that is deeply problematic in terms of funding for research, in the [way] it sets a research agenda and the way in which it controls a lot of what happens in a university And I think it is the social sciences that alert us to these things. I </w:t>
      </w:r>
      <w:proofErr w:type="spellStart"/>
      <w:r w:rsidRPr="004B69E9">
        <w:rPr>
          <w:lang w:val="en-GB"/>
        </w:rPr>
        <w:t>hav’nt</w:t>
      </w:r>
      <w:proofErr w:type="spellEnd"/>
      <w:r w:rsidRPr="004B69E9">
        <w:rPr>
          <w:lang w:val="en-GB"/>
        </w:rPr>
        <w:t xml:space="preserve"> seem many smart economists…dismal rather than smart. The social sciences have known for a long time what we know today. Like even poets and playwrights have known. That’s our job in humanities to put these views forward and to teach students. </w:t>
      </w:r>
    </w:p>
    <w:p w:rsidR="004B69E9" w:rsidRPr="004B69E9" w:rsidRDefault="004B69E9" w:rsidP="00C522E2">
      <w:pPr>
        <w:autoSpaceDE w:val="0"/>
        <w:autoSpaceDN w:val="0"/>
        <w:adjustRightInd w:val="0"/>
        <w:rPr>
          <w:rFonts w:asciiTheme="minorHAnsi" w:hAnsiTheme="minorHAnsi" w:cs="AdvTimes"/>
          <w:szCs w:val="22"/>
        </w:rPr>
      </w:pPr>
    </w:p>
    <w:p w:rsidR="004B69E9" w:rsidRPr="004B69E9" w:rsidRDefault="004B69E9" w:rsidP="00C522E2">
      <w:pPr>
        <w:autoSpaceDE w:val="0"/>
        <w:autoSpaceDN w:val="0"/>
        <w:adjustRightInd w:val="0"/>
        <w:rPr>
          <w:rFonts w:asciiTheme="minorHAnsi" w:hAnsiTheme="minorHAnsi" w:cs="AdvTimes"/>
          <w:szCs w:val="22"/>
        </w:rPr>
      </w:pPr>
      <w:r w:rsidRPr="004B69E9">
        <w:rPr>
          <w:rFonts w:asciiTheme="minorHAnsi" w:hAnsiTheme="minorHAnsi" w:cs="AdvTimes"/>
          <w:szCs w:val="22"/>
        </w:rPr>
        <w:t>At the level of institutional powers and resistances, this particular researcher has had greater experience of the working in universities than those previously considered and identifies the particular tensions that arise as a result of senior administrative load. Dividing his career into three stages of approximately five years in which he was first given freedom to develop programmes, research initiatives and a new department, the second phase was taken up as a Head of Department with a consequent shift in emphasis away from research</w:t>
      </w:r>
    </w:p>
    <w:p w:rsidR="004B69E9" w:rsidRPr="004B69E9" w:rsidRDefault="004B69E9" w:rsidP="00C522E2">
      <w:pPr>
        <w:autoSpaceDE w:val="0"/>
        <w:autoSpaceDN w:val="0"/>
        <w:adjustRightInd w:val="0"/>
        <w:rPr>
          <w:rFonts w:asciiTheme="minorHAnsi" w:hAnsiTheme="minorHAnsi" w:cs="AdvTimes"/>
          <w:szCs w:val="22"/>
        </w:rPr>
      </w:pPr>
    </w:p>
    <w:p w:rsidR="004B69E9" w:rsidRPr="004B69E9" w:rsidRDefault="004B69E9" w:rsidP="00C522E2">
      <w:pPr>
        <w:pStyle w:val="Quote0"/>
        <w:rPr>
          <w:lang w:val="en-GB"/>
        </w:rPr>
      </w:pPr>
      <w:r w:rsidRPr="004B69E9">
        <w:rPr>
          <w:lang w:val="en-GB"/>
        </w:rPr>
        <w:t>In some sense, research died. Some little bits were done but nothing like what I have been able to do in the last five years. Taking on an administration load has no weighting when you set out on a promotional track. You ask: “why am I doing this for the university”. …when it comes to promotion they are going to say...it carries about 10% of the weight…(but) it’s like 90% of my weight!</w:t>
      </w:r>
    </w:p>
    <w:p w:rsidR="004B69E9" w:rsidRPr="004B69E9" w:rsidRDefault="004B69E9" w:rsidP="00C522E2">
      <w:pPr>
        <w:autoSpaceDE w:val="0"/>
        <w:autoSpaceDN w:val="0"/>
        <w:adjustRightInd w:val="0"/>
        <w:rPr>
          <w:rFonts w:asciiTheme="minorHAnsi" w:hAnsiTheme="minorHAnsi" w:cs="AdvTimes"/>
          <w:szCs w:val="22"/>
        </w:rPr>
      </w:pPr>
      <w:r w:rsidRPr="004B69E9">
        <w:rPr>
          <w:rFonts w:asciiTheme="minorHAnsi" w:hAnsiTheme="minorHAnsi" w:cs="AdvTimes"/>
          <w:szCs w:val="22"/>
        </w:rPr>
        <w:t>The final and current phase is described as a phase of “freelancing”. The term used suggests that the relationship with his institution has changed in a radical way so that the identification with the university is now much weaker than before. Ironically, perhaps this has been the time of greatest research activity and productivity but one not void of conflict:</w:t>
      </w:r>
    </w:p>
    <w:p w:rsidR="004B69E9" w:rsidRPr="004B69E9" w:rsidRDefault="004B69E9" w:rsidP="00C522E2">
      <w:pPr>
        <w:autoSpaceDE w:val="0"/>
        <w:autoSpaceDN w:val="0"/>
        <w:adjustRightInd w:val="0"/>
        <w:rPr>
          <w:rFonts w:asciiTheme="minorHAnsi" w:hAnsiTheme="minorHAnsi" w:cs="AdvTimes"/>
          <w:szCs w:val="22"/>
        </w:rPr>
      </w:pPr>
    </w:p>
    <w:p w:rsidR="004B69E9" w:rsidRPr="004B69E9" w:rsidRDefault="004B69E9" w:rsidP="00C522E2">
      <w:pPr>
        <w:pStyle w:val="Quote0"/>
        <w:rPr>
          <w:lang w:val="en-GB"/>
        </w:rPr>
      </w:pPr>
      <w:r w:rsidRPr="004B69E9">
        <w:rPr>
          <w:lang w:val="en-GB"/>
        </w:rPr>
        <w:t>I just resent the way in which the university thinks it should be paid for any research that we do. It is not really doing a great deal to deliver…like…the university delivers you this space…no matter what happens it delivers you this space, so it should forget about it. I have never seen the university offer any value to what I have done. I resent that they take money from us</w:t>
      </w:r>
    </w:p>
    <w:p w:rsidR="004B69E9" w:rsidRPr="004B69E9" w:rsidRDefault="004B69E9" w:rsidP="00C522E2">
      <w:pPr>
        <w:autoSpaceDE w:val="0"/>
        <w:autoSpaceDN w:val="0"/>
        <w:adjustRightInd w:val="0"/>
        <w:rPr>
          <w:rFonts w:asciiTheme="minorHAnsi" w:hAnsiTheme="minorHAnsi" w:cs="AdvTimes"/>
          <w:szCs w:val="22"/>
        </w:rPr>
      </w:pPr>
    </w:p>
    <w:p w:rsidR="004B69E9" w:rsidRPr="004B69E9" w:rsidRDefault="004B69E9" w:rsidP="00C522E2">
      <w:pPr>
        <w:autoSpaceDE w:val="0"/>
        <w:autoSpaceDN w:val="0"/>
        <w:adjustRightInd w:val="0"/>
        <w:rPr>
          <w:rFonts w:asciiTheme="minorHAnsi" w:hAnsiTheme="minorHAnsi" w:cs="AdvTimes"/>
          <w:b/>
          <w:szCs w:val="22"/>
        </w:rPr>
      </w:pPr>
      <w:r w:rsidRPr="004B69E9">
        <w:rPr>
          <w:rFonts w:asciiTheme="minorHAnsi" w:hAnsiTheme="minorHAnsi" w:cs="AdvTimes"/>
          <w:b/>
          <w:szCs w:val="22"/>
        </w:rPr>
        <w:t>Discussion</w:t>
      </w:r>
    </w:p>
    <w:p w:rsidR="004B69E9" w:rsidRPr="004B69E9" w:rsidRDefault="004B69E9" w:rsidP="00C522E2">
      <w:pPr>
        <w:autoSpaceDE w:val="0"/>
        <w:autoSpaceDN w:val="0"/>
        <w:adjustRightInd w:val="0"/>
        <w:rPr>
          <w:rFonts w:asciiTheme="minorHAnsi" w:hAnsiTheme="minorHAnsi" w:cs="AdvTimes"/>
          <w:b/>
          <w:szCs w:val="22"/>
        </w:rPr>
      </w:pPr>
    </w:p>
    <w:p w:rsidR="004B69E9" w:rsidRPr="004B69E9" w:rsidRDefault="004B69E9" w:rsidP="00C522E2">
      <w:pPr>
        <w:autoSpaceDE w:val="0"/>
        <w:autoSpaceDN w:val="0"/>
        <w:adjustRightInd w:val="0"/>
        <w:rPr>
          <w:rFonts w:asciiTheme="minorHAnsi" w:hAnsiTheme="minorHAnsi" w:cs="AdvTimes"/>
          <w:szCs w:val="22"/>
        </w:rPr>
      </w:pPr>
      <w:r w:rsidRPr="004B69E9">
        <w:rPr>
          <w:rFonts w:asciiTheme="minorHAnsi" w:hAnsiTheme="minorHAnsi" w:cs="AdvTimes"/>
          <w:szCs w:val="22"/>
        </w:rPr>
        <w:t xml:space="preserve">In all of the study cases, it was possible to identify similar domains of struggle in the areas of knowledge legitimacy, the cultures of School and institution and in the triad of teaching/research/administration. Each story contains the themes of “knowledge </w:t>
      </w:r>
      <w:proofErr w:type="spellStart"/>
      <w:r w:rsidRPr="004B69E9">
        <w:rPr>
          <w:rFonts w:asciiTheme="minorHAnsi" w:hAnsiTheme="minorHAnsi" w:cs="AdvTimes"/>
          <w:szCs w:val="22"/>
        </w:rPr>
        <w:t>legitimation</w:t>
      </w:r>
      <w:proofErr w:type="spellEnd"/>
      <w:r w:rsidRPr="004B69E9">
        <w:rPr>
          <w:rFonts w:asciiTheme="minorHAnsi" w:hAnsiTheme="minorHAnsi" w:cs="AdvTimes"/>
          <w:szCs w:val="22"/>
        </w:rPr>
        <w:t xml:space="preserve">” and “promotion” as sub-plots in a way that emphasizes their aesthetic and ascetic place in the set of cultural power relations in academic life. In the case of types of knowledge and their </w:t>
      </w:r>
      <w:proofErr w:type="spellStart"/>
      <w:r w:rsidRPr="004B69E9">
        <w:rPr>
          <w:rFonts w:asciiTheme="minorHAnsi" w:hAnsiTheme="minorHAnsi" w:cs="AdvTimes"/>
          <w:szCs w:val="22"/>
        </w:rPr>
        <w:t>legitimation</w:t>
      </w:r>
      <w:proofErr w:type="spellEnd"/>
      <w:r w:rsidRPr="004B69E9">
        <w:rPr>
          <w:rFonts w:asciiTheme="minorHAnsi" w:hAnsiTheme="minorHAnsi" w:cs="AdvTimes"/>
          <w:szCs w:val="22"/>
        </w:rPr>
        <w:t>, the tensions evident in professional schools between academic knowledge and either clinical practice or social engagement have their parallel in scholarly work in which disciplinary areas also vie for knowledge legitimacy and rank. The moments of resistance to domination of one form of knowledge over another are characterized either by attempts to reconcile academic research with professional and vocational purposes in a way that highlights the potential benefits to both sides or by retreat to a personal research space that attempts to avoid the institutional or field conflicts.</w:t>
      </w:r>
    </w:p>
    <w:p w:rsidR="004B69E9" w:rsidRPr="004B69E9" w:rsidRDefault="004B69E9" w:rsidP="00C522E2">
      <w:pPr>
        <w:autoSpaceDE w:val="0"/>
        <w:autoSpaceDN w:val="0"/>
        <w:adjustRightInd w:val="0"/>
        <w:rPr>
          <w:rFonts w:asciiTheme="minorHAnsi" w:hAnsiTheme="minorHAnsi" w:cs="AdvTimes"/>
          <w:szCs w:val="22"/>
        </w:rPr>
      </w:pPr>
    </w:p>
    <w:p w:rsidR="004B69E9" w:rsidRPr="004B69E9" w:rsidRDefault="004B69E9" w:rsidP="00C522E2">
      <w:pPr>
        <w:autoSpaceDE w:val="0"/>
        <w:autoSpaceDN w:val="0"/>
        <w:adjustRightInd w:val="0"/>
        <w:rPr>
          <w:rFonts w:asciiTheme="minorHAnsi" w:hAnsiTheme="minorHAnsi" w:cs="AdvTimes"/>
          <w:szCs w:val="22"/>
        </w:rPr>
      </w:pPr>
      <w:r w:rsidRPr="004B69E9">
        <w:rPr>
          <w:rFonts w:asciiTheme="minorHAnsi" w:hAnsiTheme="minorHAnsi" w:cs="AdvTimes"/>
          <w:szCs w:val="22"/>
        </w:rPr>
        <w:t xml:space="preserve">The sub-plot on the theme of promotion indicates at a systemic level a general acceptance of the regime with no resistance to the idea that promotion is an accepted part of the discipline and power-relations of academic life. An examination of the individual data items reveals that the promotion regime can be embraced as a way of securing greater freedom and a way of producing a </w:t>
      </w:r>
      <w:r w:rsidRPr="004B69E9">
        <w:rPr>
          <w:rFonts w:asciiTheme="minorHAnsi" w:hAnsiTheme="minorHAnsi" w:cs="AdvTimes"/>
          <w:szCs w:val="22"/>
        </w:rPr>
        <w:lastRenderedPageBreak/>
        <w:t xml:space="preserve">new set of power-relations to the advantage of the individual but also can be experienced in a way that </w:t>
      </w:r>
      <w:proofErr w:type="spellStart"/>
      <w:r w:rsidRPr="004B69E9">
        <w:rPr>
          <w:rFonts w:asciiTheme="minorHAnsi" w:hAnsiTheme="minorHAnsi" w:cs="AdvTimes"/>
          <w:szCs w:val="22"/>
        </w:rPr>
        <w:t>dis</w:t>
      </w:r>
      <w:proofErr w:type="spellEnd"/>
      <w:r w:rsidRPr="004B69E9">
        <w:rPr>
          <w:rFonts w:asciiTheme="minorHAnsi" w:hAnsiTheme="minorHAnsi" w:cs="AdvTimes"/>
          <w:szCs w:val="22"/>
        </w:rPr>
        <w:t>-empowers and alienates or introduces a new disciplining of the academic life in the burdens of increased administrative load.</w:t>
      </w:r>
    </w:p>
    <w:p w:rsidR="004B69E9" w:rsidRPr="004B69E9" w:rsidRDefault="004B69E9" w:rsidP="00BD31FB">
      <w:pPr>
        <w:rPr>
          <w:rFonts w:asciiTheme="minorHAnsi" w:hAnsiTheme="minorHAnsi"/>
          <w:szCs w:val="22"/>
        </w:rPr>
      </w:pPr>
    </w:p>
    <w:p w:rsidR="004B69E9" w:rsidRPr="004B69E9" w:rsidRDefault="004B69E9" w:rsidP="00BD31FB">
      <w:pPr>
        <w:rPr>
          <w:rFonts w:asciiTheme="minorHAnsi" w:hAnsiTheme="minorHAnsi"/>
          <w:szCs w:val="22"/>
        </w:rPr>
      </w:pPr>
      <w:r w:rsidRPr="004B69E9">
        <w:rPr>
          <w:rFonts w:asciiTheme="minorHAnsi" w:hAnsiTheme="minorHAnsi"/>
          <w:szCs w:val="22"/>
        </w:rPr>
        <w:t>Within these struggles, the aesthetic and ascetic work of individuals in the fashion of “care for self” as resistance is manifest in different ways. Common to all is the aesthetic shaping of an identity that is based on a creative passion to engage with their discipline in a manner that makes a contribution to scholarship, clinical practice or social change. In each case also there is evidence of a “renouncing” of self in the sacrifices that are sometimes made, or are necessary, with regard to promotion or the demands of administrative work. The aesthetic work on self does not occur without a concurrent asceticism.</w:t>
      </w:r>
    </w:p>
    <w:p w:rsidR="004B69E9" w:rsidRPr="004B69E9" w:rsidRDefault="004B69E9" w:rsidP="00BD31FB">
      <w:pPr>
        <w:rPr>
          <w:rFonts w:asciiTheme="minorHAnsi" w:hAnsiTheme="minorHAnsi"/>
          <w:szCs w:val="22"/>
        </w:rPr>
      </w:pPr>
    </w:p>
    <w:p w:rsidR="004B69E9" w:rsidRPr="004B69E9" w:rsidRDefault="004B69E9" w:rsidP="00BD31FB">
      <w:pPr>
        <w:rPr>
          <w:rFonts w:asciiTheme="minorHAnsi" w:hAnsiTheme="minorHAnsi"/>
          <w:szCs w:val="22"/>
        </w:rPr>
      </w:pPr>
      <w:r w:rsidRPr="004B69E9">
        <w:rPr>
          <w:rFonts w:asciiTheme="minorHAnsi" w:hAnsiTheme="minorHAnsi"/>
          <w:szCs w:val="22"/>
        </w:rPr>
        <w:t>Secondly, the theme of the self-regulating individual that is, to a considerable extent, depoliticised and lacking in associative relations is threaded through all three cases but to different degrees. In the case of the clinical researcher, it would seem evident that research and academic work are possible and relevant only in relation to a community of practitioners. However, her work is characterised by pioneering individualism and her reported success seems to derive in no small way from an individual engagement with the power relations that maximize her own efficacy. In the case of the scholar-researcher, the isolating effect of a particular set of promotion structures is quite evident. However, there is also evidence that the work remains to a large extent a matter of individual intellectual pursuit not conducive of associative relations and has political character only within a narrow disciplinary domain. In the case of the social-researcher it seems possible to point to a certain isolating effect of administrative work, at least at a certain level. This isolation seems evident both with regard to colleagues but also with regard to the pursuit of research.</w:t>
      </w:r>
    </w:p>
    <w:p w:rsidR="004B69E9" w:rsidRPr="004B69E9" w:rsidRDefault="004B69E9" w:rsidP="00BD31FB">
      <w:pPr>
        <w:rPr>
          <w:rFonts w:asciiTheme="minorHAnsi" w:hAnsiTheme="minorHAnsi"/>
          <w:szCs w:val="22"/>
        </w:rPr>
      </w:pPr>
    </w:p>
    <w:p w:rsidR="004B69E9" w:rsidRPr="004B69E9" w:rsidRDefault="004B69E9" w:rsidP="00BD31FB">
      <w:pPr>
        <w:rPr>
          <w:rFonts w:asciiTheme="minorHAnsi" w:hAnsiTheme="minorHAnsi"/>
          <w:szCs w:val="22"/>
        </w:rPr>
      </w:pPr>
      <w:r w:rsidRPr="004B69E9">
        <w:rPr>
          <w:rFonts w:asciiTheme="minorHAnsi" w:hAnsiTheme="minorHAnsi"/>
          <w:szCs w:val="22"/>
        </w:rPr>
        <w:t xml:space="preserve">The peculiarly </w:t>
      </w:r>
      <w:proofErr w:type="spellStart"/>
      <w:r w:rsidRPr="004B69E9">
        <w:rPr>
          <w:rFonts w:asciiTheme="minorHAnsi" w:hAnsiTheme="minorHAnsi"/>
          <w:szCs w:val="22"/>
        </w:rPr>
        <w:t>Zizekian</w:t>
      </w:r>
      <w:proofErr w:type="spellEnd"/>
      <w:r w:rsidRPr="004B69E9">
        <w:rPr>
          <w:rFonts w:asciiTheme="minorHAnsi" w:hAnsiTheme="minorHAnsi"/>
          <w:szCs w:val="22"/>
        </w:rPr>
        <w:t xml:space="preserve"> suggestion that the illustrated sets of power relations as manifestations of ideologies reveal a certain inner “excess” that ultimately leads to the collapse of the system from the inside is not evident in the cases presented here. It might have been assumed that in reporting on how these academics negotiate, for instance, the system of metrification, there might have been evidence of the suspicion of the ultimate absurdity and inner incoherence that marks most of these endeavours. One might expect, following </w:t>
      </w:r>
      <w:proofErr w:type="spellStart"/>
      <w:r w:rsidRPr="004B69E9">
        <w:rPr>
          <w:rFonts w:asciiTheme="minorHAnsi" w:hAnsiTheme="minorHAnsi"/>
          <w:szCs w:val="22"/>
        </w:rPr>
        <w:t>Zizek</w:t>
      </w:r>
      <w:proofErr w:type="spellEnd"/>
      <w:r w:rsidRPr="004B69E9">
        <w:rPr>
          <w:rFonts w:asciiTheme="minorHAnsi" w:hAnsiTheme="minorHAnsi"/>
          <w:szCs w:val="22"/>
        </w:rPr>
        <w:t xml:space="preserve">, the adoption of an ironic stance with regard to these measures and a certain black humour concerning one’s own position of “seeing through” the system while at the same time going along with it. The lack of evidence of awareness or reaction suggests the conclusion that, unlike the subjects of </w:t>
      </w:r>
      <w:proofErr w:type="spellStart"/>
      <w:r w:rsidRPr="004B69E9">
        <w:rPr>
          <w:rFonts w:asciiTheme="minorHAnsi" w:hAnsiTheme="minorHAnsi"/>
          <w:szCs w:val="22"/>
        </w:rPr>
        <w:t>Zizek’s</w:t>
      </w:r>
      <w:proofErr w:type="spellEnd"/>
      <w:r w:rsidRPr="004B69E9">
        <w:rPr>
          <w:rFonts w:asciiTheme="minorHAnsi" w:hAnsiTheme="minorHAnsi"/>
          <w:szCs w:val="22"/>
        </w:rPr>
        <w:t xml:space="preserve"> analysis of the collapse of totalitarian regimes in </w:t>
      </w:r>
      <w:r w:rsidRPr="004B69E9">
        <w:rPr>
          <w:rFonts w:asciiTheme="minorHAnsi" w:hAnsiTheme="minorHAnsi"/>
          <w:szCs w:val="22"/>
        </w:rPr>
        <w:lastRenderedPageBreak/>
        <w:t>Eastern Europe in the last thirty years, the body of academics, at least as represented by the three cases here, is not ready for revolution yet!</w:t>
      </w:r>
    </w:p>
    <w:p w:rsidR="004B69E9" w:rsidRPr="004B69E9" w:rsidRDefault="004B69E9" w:rsidP="00C522E2">
      <w:pPr>
        <w:autoSpaceDE w:val="0"/>
        <w:autoSpaceDN w:val="0"/>
        <w:adjustRightInd w:val="0"/>
        <w:rPr>
          <w:rFonts w:asciiTheme="minorHAnsi" w:hAnsiTheme="minorHAnsi" w:cs="AdvTimes"/>
          <w:szCs w:val="22"/>
        </w:rPr>
      </w:pPr>
    </w:p>
    <w:p w:rsidR="004B69E9" w:rsidRDefault="004B69E9" w:rsidP="00C522E2">
      <w:pPr>
        <w:autoSpaceDE w:val="0"/>
        <w:autoSpaceDN w:val="0"/>
        <w:adjustRightInd w:val="0"/>
        <w:rPr>
          <w:rFonts w:asciiTheme="minorHAnsi" w:hAnsiTheme="minorHAnsi" w:cs="AdvTimes"/>
          <w:szCs w:val="22"/>
        </w:rPr>
      </w:pPr>
      <w:r w:rsidRPr="004B69E9">
        <w:rPr>
          <w:rFonts w:asciiTheme="minorHAnsi" w:hAnsiTheme="minorHAnsi" w:cs="AdvTimes"/>
          <w:szCs w:val="22"/>
        </w:rPr>
        <w:t>[</w:t>
      </w:r>
      <w:proofErr w:type="gramStart"/>
      <w:r w:rsidRPr="004B69E9">
        <w:rPr>
          <w:rFonts w:asciiTheme="minorHAnsi" w:hAnsiTheme="minorHAnsi" w:cs="AdvTimes"/>
          <w:szCs w:val="22"/>
        </w:rPr>
        <w:t>words</w:t>
      </w:r>
      <w:proofErr w:type="gramEnd"/>
      <w:r w:rsidRPr="004B69E9">
        <w:rPr>
          <w:rFonts w:asciiTheme="minorHAnsi" w:hAnsiTheme="minorHAnsi" w:cs="AdvTimes"/>
          <w:szCs w:val="22"/>
        </w:rPr>
        <w:t xml:space="preserve">: 5875] </w:t>
      </w:r>
    </w:p>
    <w:p w:rsidR="00734C41" w:rsidRPr="004B69E9" w:rsidRDefault="00734C41" w:rsidP="00C522E2">
      <w:pPr>
        <w:autoSpaceDE w:val="0"/>
        <w:autoSpaceDN w:val="0"/>
        <w:adjustRightInd w:val="0"/>
        <w:rPr>
          <w:rFonts w:asciiTheme="minorHAnsi" w:hAnsiTheme="minorHAnsi" w:cs="AdvTimes"/>
          <w:szCs w:val="22"/>
        </w:rPr>
      </w:pPr>
    </w:p>
    <w:p w:rsidR="004B69E9" w:rsidRPr="004B69E9" w:rsidRDefault="004B69E9" w:rsidP="00C522E2">
      <w:pPr>
        <w:autoSpaceDE w:val="0"/>
        <w:autoSpaceDN w:val="0"/>
        <w:adjustRightInd w:val="0"/>
        <w:spacing w:line="240" w:lineRule="auto"/>
        <w:rPr>
          <w:rFonts w:asciiTheme="minorHAnsi" w:hAnsiTheme="minorHAnsi" w:cs="AdvTimes"/>
          <w:b/>
          <w:szCs w:val="22"/>
        </w:rPr>
      </w:pPr>
      <w:r w:rsidRPr="004B69E9">
        <w:rPr>
          <w:rFonts w:asciiTheme="minorHAnsi" w:hAnsiTheme="minorHAnsi" w:cs="AdvTimes"/>
          <w:b/>
          <w:szCs w:val="22"/>
        </w:rPr>
        <w:t>List of references</w:t>
      </w:r>
    </w:p>
    <w:p w:rsidR="004B69E9" w:rsidRPr="004B69E9" w:rsidRDefault="004B69E9" w:rsidP="00C522E2">
      <w:pPr>
        <w:autoSpaceDE w:val="0"/>
        <w:autoSpaceDN w:val="0"/>
        <w:adjustRightInd w:val="0"/>
        <w:spacing w:line="240" w:lineRule="auto"/>
        <w:rPr>
          <w:rFonts w:asciiTheme="minorHAnsi" w:hAnsiTheme="minorHAnsi"/>
          <w:szCs w:val="22"/>
        </w:rPr>
      </w:pPr>
    </w:p>
    <w:p w:rsidR="004B69E9" w:rsidRPr="004B69E9" w:rsidRDefault="004B69E9" w:rsidP="0065774A">
      <w:pPr>
        <w:spacing w:line="240" w:lineRule="auto"/>
        <w:rPr>
          <w:rFonts w:asciiTheme="minorHAnsi" w:hAnsiTheme="minorHAnsi"/>
          <w:szCs w:val="22"/>
        </w:rPr>
      </w:pPr>
      <w:r w:rsidRPr="004B69E9">
        <w:rPr>
          <w:rFonts w:asciiTheme="minorHAnsi" w:hAnsiTheme="minorHAnsi"/>
          <w:szCs w:val="22"/>
        </w:rPr>
        <w:t xml:space="preserve">Barnett, R. (2000) </w:t>
      </w:r>
      <w:r w:rsidRPr="004B69E9">
        <w:rPr>
          <w:rFonts w:asciiTheme="minorHAnsi" w:hAnsiTheme="minorHAnsi"/>
          <w:i/>
          <w:szCs w:val="22"/>
        </w:rPr>
        <w:t xml:space="preserve">Realizing the University in the Age of </w:t>
      </w:r>
      <w:proofErr w:type="spellStart"/>
      <w:r w:rsidRPr="004B69E9">
        <w:rPr>
          <w:rFonts w:asciiTheme="minorHAnsi" w:hAnsiTheme="minorHAnsi"/>
          <w:i/>
          <w:szCs w:val="22"/>
        </w:rPr>
        <w:t>Supercomplexity</w:t>
      </w:r>
      <w:proofErr w:type="spellEnd"/>
      <w:r w:rsidRPr="004B69E9">
        <w:rPr>
          <w:rFonts w:asciiTheme="minorHAnsi" w:hAnsiTheme="minorHAnsi"/>
          <w:szCs w:val="22"/>
        </w:rPr>
        <w:t>. Maidenhead: Open University Press.</w:t>
      </w:r>
    </w:p>
    <w:p w:rsidR="004B69E9" w:rsidRPr="004B69E9" w:rsidRDefault="004B69E9" w:rsidP="0065774A">
      <w:pPr>
        <w:spacing w:line="240" w:lineRule="auto"/>
        <w:rPr>
          <w:rFonts w:asciiTheme="minorHAnsi" w:hAnsiTheme="minorHAnsi"/>
          <w:szCs w:val="22"/>
        </w:rPr>
      </w:pPr>
    </w:p>
    <w:p w:rsidR="004B69E9" w:rsidRPr="004B69E9" w:rsidRDefault="004B69E9" w:rsidP="0065774A">
      <w:pPr>
        <w:spacing w:line="240" w:lineRule="auto"/>
        <w:rPr>
          <w:rFonts w:asciiTheme="minorHAnsi" w:hAnsiTheme="minorHAnsi"/>
          <w:szCs w:val="22"/>
        </w:rPr>
      </w:pPr>
      <w:r w:rsidRPr="004B69E9">
        <w:rPr>
          <w:rFonts w:asciiTheme="minorHAnsi" w:hAnsiTheme="minorHAnsi"/>
          <w:szCs w:val="22"/>
        </w:rPr>
        <w:t xml:space="preserve">Barnett, R. (2010) </w:t>
      </w:r>
      <w:r w:rsidRPr="004B69E9">
        <w:rPr>
          <w:rFonts w:asciiTheme="minorHAnsi" w:hAnsiTheme="minorHAnsi"/>
          <w:i/>
          <w:szCs w:val="22"/>
          <w:lang w:val="en-US"/>
        </w:rPr>
        <w:t>Being a University: Foundations and Futures of Education</w:t>
      </w:r>
      <w:r w:rsidRPr="004B69E9">
        <w:rPr>
          <w:rFonts w:asciiTheme="minorHAnsi" w:hAnsiTheme="minorHAnsi"/>
          <w:szCs w:val="22"/>
          <w:lang w:val="en-US"/>
        </w:rPr>
        <w:t>. Maidenhead: Open University Press.</w:t>
      </w:r>
    </w:p>
    <w:p w:rsidR="004B69E9" w:rsidRPr="004B69E9" w:rsidRDefault="004B69E9" w:rsidP="0065774A">
      <w:pPr>
        <w:spacing w:line="240" w:lineRule="auto"/>
        <w:rPr>
          <w:rFonts w:asciiTheme="minorHAnsi" w:hAnsiTheme="minorHAnsi"/>
          <w:szCs w:val="22"/>
        </w:rPr>
      </w:pPr>
    </w:p>
    <w:p w:rsidR="004B69E9" w:rsidRPr="004B69E9" w:rsidRDefault="004B69E9" w:rsidP="0065774A">
      <w:pPr>
        <w:spacing w:line="240" w:lineRule="auto"/>
        <w:rPr>
          <w:rFonts w:asciiTheme="minorHAnsi" w:hAnsiTheme="minorHAnsi"/>
          <w:noProof/>
          <w:szCs w:val="22"/>
        </w:rPr>
      </w:pPr>
      <w:bookmarkStart w:id="0" w:name="_ENREF_1"/>
      <w:r w:rsidRPr="004B69E9">
        <w:rPr>
          <w:rFonts w:asciiTheme="minorHAnsi" w:hAnsiTheme="minorHAnsi"/>
          <w:noProof/>
          <w:szCs w:val="22"/>
        </w:rPr>
        <w:t xml:space="preserve">Billot, J. (2010). The imagined and the real: identifying the tensions for academic identity. </w:t>
      </w:r>
      <w:r w:rsidRPr="004B69E9">
        <w:rPr>
          <w:rFonts w:asciiTheme="minorHAnsi" w:hAnsiTheme="minorHAnsi"/>
          <w:i/>
          <w:noProof/>
          <w:szCs w:val="22"/>
        </w:rPr>
        <w:t>Higher Education Research &amp; Development, 29</w:t>
      </w:r>
      <w:r w:rsidRPr="004B69E9">
        <w:rPr>
          <w:rFonts w:asciiTheme="minorHAnsi" w:hAnsiTheme="minorHAnsi"/>
          <w:noProof/>
          <w:szCs w:val="22"/>
        </w:rPr>
        <w:t>(6), 709-721.</w:t>
      </w:r>
      <w:bookmarkEnd w:id="0"/>
    </w:p>
    <w:p w:rsidR="004B69E9" w:rsidRPr="004B69E9" w:rsidRDefault="004B69E9" w:rsidP="0065774A">
      <w:pPr>
        <w:spacing w:line="240" w:lineRule="auto"/>
        <w:rPr>
          <w:rFonts w:asciiTheme="minorHAnsi" w:hAnsiTheme="minorHAnsi"/>
          <w:noProof/>
          <w:szCs w:val="22"/>
        </w:rPr>
      </w:pPr>
    </w:p>
    <w:p w:rsidR="004B69E9" w:rsidRPr="004B69E9" w:rsidRDefault="004B69E9" w:rsidP="0065774A">
      <w:pPr>
        <w:spacing w:line="240" w:lineRule="auto"/>
        <w:rPr>
          <w:rFonts w:asciiTheme="minorHAnsi" w:hAnsiTheme="minorHAnsi"/>
          <w:noProof/>
          <w:szCs w:val="22"/>
        </w:rPr>
      </w:pPr>
      <w:bookmarkStart w:id="1" w:name="_ENREF_2"/>
      <w:r w:rsidRPr="004B69E9">
        <w:rPr>
          <w:rFonts w:asciiTheme="minorHAnsi" w:hAnsiTheme="minorHAnsi"/>
          <w:noProof/>
          <w:szCs w:val="22"/>
        </w:rPr>
        <w:t xml:space="preserve">Churchman, D., &amp; King, S. (2009). Academic practice in transition: hidden stories of academic identities. </w:t>
      </w:r>
      <w:r w:rsidRPr="004B69E9">
        <w:rPr>
          <w:rFonts w:asciiTheme="minorHAnsi" w:hAnsiTheme="minorHAnsi"/>
          <w:i/>
          <w:noProof/>
          <w:szCs w:val="22"/>
        </w:rPr>
        <w:t>Teaching in Higher Education, 14</w:t>
      </w:r>
      <w:r w:rsidRPr="004B69E9">
        <w:rPr>
          <w:rFonts w:asciiTheme="minorHAnsi" w:hAnsiTheme="minorHAnsi"/>
          <w:noProof/>
          <w:szCs w:val="22"/>
        </w:rPr>
        <w:t>(5), 507-516.</w:t>
      </w:r>
      <w:bookmarkEnd w:id="1"/>
    </w:p>
    <w:p w:rsidR="004B69E9" w:rsidRPr="004B69E9" w:rsidRDefault="004B69E9" w:rsidP="0065774A">
      <w:pPr>
        <w:spacing w:line="240" w:lineRule="auto"/>
        <w:rPr>
          <w:rFonts w:asciiTheme="minorHAnsi" w:hAnsiTheme="minorHAnsi"/>
          <w:noProof/>
          <w:szCs w:val="22"/>
        </w:rPr>
      </w:pPr>
    </w:p>
    <w:p w:rsidR="004B69E9" w:rsidRPr="004B69E9" w:rsidRDefault="004B69E9" w:rsidP="0065774A">
      <w:pPr>
        <w:spacing w:line="240" w:lineRule="auto"/>
        <w:rPr>
          <w:rFonts w:asciiTheme="minorHAnsi" w:hAnsiTheme="minorHAnsi"/>
          <w:szCs w:val="22"/>
        </w:rPr>
      </w:pPr>
      <w:r w:rsidRPr="004B69E9">
        <w:rPr>
          <w:rFonts w:asciiTheme="minorHAnsi" w:hAnsiTheme="minorHAnsi"/>
          <w:szCs w:val="22"/>
        </w:rPr>
        <w:t xml:space="preserve">Clancy, P. (1988) </w:t>
      </w:r>
      <w:proofErr w:type="gramStart"/>
      <w:r w:rsidRPr="004B69E9">
        <w:rPr>
          <w:rFonts w:asciiTheme="minorHAnsi" w:hAnsiTheme="minorHAnsi"/>
          <w:i/>
          <w:szCs w:val="22"/>
        </w:rPr>
        <w:t>Who</w:t>
      </w:r>
      <w:proofErr w:type="gramEnd"/>
      <w:r w:rsidRPr="004B69E9">
        <w:rPr>
          <w:rFonts w:asciiTheme="minorHAnsi" w:hAnsiTheme="minorHAnsi"/>
          <w:i/>
          <w:szCs w:val="22"/>
        </w:rPr>
        <w:t xml:space="preserve"> goes to college?</w:t>
      </w:r>
      <w:r w:rsidRPr="004B69E9">
        <w:rPr>
          <w:rFonts w:asciiTheme="minorHAnsi" w:hAnsiTheme="minorHAnsi"/>
          <w:szCs w:val="22"/>
        </w:rPr>
        <w:t xml:space="preserve"> Dublin: Higher Education Authority. </w:t>
      </w:r>
    </w:p>
    <w:p w:rsidR="004B69E9" w:rsidRPr="004B69E9" w:rsidRDefault="004B69E9" w:rsidP="0065774A">
      <w:pPr>
        <w:spacing w:line="240" w:lineRule="auto"/>
        <w:rPr>
          <w:rFonts w:asciiTheme="minorHAnsi" w:hAnsiTheme="minorHAnsi"/>
          <w:szCs w:val="22"/>
        </w:rPr>
      </w:pPr>
    </w:p>
    <w:p w:rsidR="004B69E9" w:rsidRPr="004B69E9" w:rsidRDefault="004B69E9" w:rsidP="0065774A">
      <w:pPr>
        <w:spacing w:line="240" w:lineRule="auto"/>
        <w:rPr>
          <w:rFonts w:asciiTheme="minorHAnsi" w:hAnsiTheme="minorHAnsi"/>
          <w:szCs w:val="22"/>
        </w:rPr>
      </w:pPr>
      <w:r w:rsidRPr="004B69E9">
        <w:rPr>
          <w:rFonts w:asciiTheme="minorHAnsi" w:hAnsiTheme="minorHAnsi"/>
          <w:szCs w:val="22"/>
        </w:rPr>
        <w:t xml:space="preserve">Clancy, P. (1995) </w:t>
      </w:r>
      <w:r w:rsidRPr="004B69E9">
        <w:rPr>
          <w:rFonts w:asciiTheme="minorHAnsi" w:hAnsiTheme="minorHAnsi"/>
          <w:i/>
          <w:szCs w:val="22"/>
        </w:rPr>
        <w:t>Access to college: Patterns of continuity and change</w:t>
      </w:r>
      <w:r w:rsidRPr="004B69E9">
        <w:rPr>
          <w:rFonts w:asciiTheme="minorHAnsi" w:hAnsiTheme="minorHAnsi"/>
          <w:szCs w:val="22"/>
        </w:rPr>
        <w:t xml:space="preserve">. Dublin: Higher Education Authority.  </w:t>
      </w:r>
    </w:p>
    <w:p w:rsidR="004B69E9" w:rsidRPr="004B69E9" w:rsidRDefault="004B69E9" w:rsidP="0065774A">
      <w:pPr>
        <w:spacing w:line="240" w:lineRule="auto"/>
        <w:rPr>
          <w:rFonts w:asciiTheme="minorHAnsi" w:hAnsiTheme="minorHAnsi"/>
          <w:szCs w:val="22"/>
        </w:rPr>
      </w:pPr>
    </w:p>
    <w:p w:rsidR="004B69E9" w:rsidRPr="004B69E9" w:rsidRDefault="004B69E9" w:rsidP="0065774A">
      <w:pPr>
        <w:spacing w:line="240" w:lineRule="auto"/>
        <w:rPr>
          <w:rFonts w:asciiTheme="minorHAnsi" w:hAnsiTheme="minorHAnsi"/>
          <w:szCs w:val="22"/>
        </w:rPr>
      </w:pPr>
      <w:r w:rsidRPr="004B69E9">
        <w:rPr>
          <w:rFonts w:asciiTheme="minorHAnsi" w:hAnsiTheme="minorHAnsi"/>
          <w:szCs w:val="22"/>
        </w:rPr>
        <w:t xml:space="preserve">Clancy, P. &amp; Wall, J. (2000) </w:t>
      </w:r>
      <w:r w:rsidRPr="004B69E9">
        <w:rPr>
          <w:rFonts w:asciiTheme="minorHAnsi" w:hAnsiTheme="minorHAnsi"/>
          <w:i/>
          <w:szCs w:val="22"/>
        </w:rPr>
        <w:t>Social background of higher education entrants.</w:t>
      </w:r>
      <w:r w:rsidRPr="004B69E9">
        <w:rPr>
          <w:rFonts w:asciiTheme="minorHAnsi" w:hAnsiTheme="minorHAnsi"/>
          <w:szCs w:val="22"/>
        </w:rPr>
        <w:t xml:space="preserve"> Dublin: Higher Education Authority.</w:t>
      </w:r>
    </w:p>
    <w:p w:rsidR="004B69E9" w:rsidRPr="004B69E9" w:rsidRDefault="004B69E9" w:rsidP="0065774A">
      <w:pPr>
        <w:spacing w:line="240" w:lineRule="auto"/>
        <w:rPr>
          <w:rFonts w:asciiTheme="minorHAnsi" w:hAnsiTheme="minorHAnsi"/>
          <w:szCs w:val="22"/>
        </w:rPr>
      </w:pPr>
    </w:p>
    <w:p w:rsidR="004B69E9" w:rsidRPr="004B69E9" w:rsidRDefault="004B69E9" w:rsidP="0065774A">
      <w:pPr>
        <w:spacing w:line="240" w:lineRule="auto"/>
        <w:rPr>
          <w:rFonts w:asciiTheme="minorHAnsi" w:hAnsiTheme="minorHAnsi" w:cs="Trebuchet MS"/>
          <w:szCs w:val="22"/>
          <w:lang w:val="en-US"/>
        </w:rPr>
      </w:pPr>
      <w:proofErr w:type="gramStart"/>
      <w:r w:rsidRPr="004B69E9">
        <w:rPr>
          <w:rFonts w:asciiTheme="minorHAnsi" w:hAnsiTheme="minorHAnsi" w:cs="Trebuchet MS"/>
          <w:szCs w:val="22"/>
          <w:lang w:val="en-US"/>
        </w:rPr>
        <w:t xml:space="preserve">Clarke, J., Cochrane, A., &amp; McLaughlin, E. (1994) </w:t>
      </w:r>
      <w:r w:rsidRPr="004B69E9">
        <w:rPr>
          <w:rFonts w:asciiTheme="minorHAnsi" w:hAnsiTheme="minorHAnsi" w:cs="Trebuchet MS"/>
          <w:i/>
          <w:szCs w:val="22"/>
          <w:lang w:val="en-US"/>
        </w:rPr>
        <w:t>Managing social policy</w:t>
      </w:r>
      <w:r w:rsidRPr="004B69E9">
        <w:rPr>
          <w:rFonts w:asciiTheme="minorHAnsi" w:hAnsiTheme="minorHAnsi" w:cs="Trebuchet MS"/>
          <w:szCs w:val="22"/>
          <w:lang w:val="en-US"/>
        </w:rPr>
        <w:t>.</w:t>
      </w:r>
      <w:proofErr w:type="gramEnd"/>
      <w:r w:rsidRPr="004B69E9">
        <w:rPr>
          <w:rFonts w:asciiTheme="minorHAnsi" w:hAnsiTheme="minorHAnsi" w:cs="Trebuchet MS"/>
          <w:szCs w:val="22"/>
          <w:lang w:val="en-US"/>
        </w:rPr>
        <w:t xml:space="preserve"> London: Sage.</w:t>
      </w:r>
    </w:p>
    <w:p w:rsidR="004B69E9" w:rsidRPr="004B69E9" w:rsidRDefault="004B69E9" w:rsidP="0065774A">
      <w:pPr>
        <w:spacing w:line="240" w:lineRule="auto"/>
        <w:rPr>
          <w:rFonts w:asciiTheme="minorHAnsi" w:hAnsiTheme="minorHAnsi"/>
          <w:szCs w:val="22"/>
        </w:rPr>
      </w:pPr>
    </w:p>
    <w:p w:rsidR="004B69E9" w:rsidRPr="004B69E9" w:rsidRDefault="004B69E9" w:rsidP="0065774A">
      <w:pPr>
        <w:spacing w:line="240" w:lineRule="auto"/>
        <w:rPr>
          <w:rFonts w:asciiTheme="minorHAnsi" w:hAnsiTheme="minorHAnsi"/>
          <w:szCs w:val="22"/>
          <w:lang w:val="en-US"/>
        </w:rPr>
      </w:pPr>
      <w:proofErr w:type="gramStart"/>
      <w:r w:rsidRPr="004B69E9">
        <w:rPr>
          <w:rFonts w:asciiTheme="minorHAnsi" w:hAnsiTheme="minorHAnsi"/>
          <w:noProof/>
          <w:szCs w:val="22"/>
        </w:rPr>
        <w:t xml:space="preserve">Dale, R., &amp; Robertson, S. (2009) </w:t>
      </w:r>
      <w:r w:rsidRPr="004B69E9">
        <w:rPr>
          <w:rFonts w:asciiTheme="minorHAnsi" w:hAnsiTheme="minorHAnsi"/>
          <w:szCs w:val="22"/>
          <w:lang w:val="en-US"/>
        </w:rPr>
        <w:t>Globalisation and Europeanisation in education.</w:t>
      </w:r>
      <w:proofErr w:type="gramEnd"/>
      <w:r w:rsidRPr="004B69E9">
        <w:rPr>
          <w:rFonts w:asciiTheme="minorHAnsi" w:hAnsiTheme="minorHAnsi"/>
          <w:szCs w:val="22"/>
          <w:lang w:val="en-US"/>
        </w:rPr>
        <w:t xml:space="preserve"> Oxford: Symposium Books.</w:t>
      </w:r>
    </w:p>
    <w:p w:rsidR="004B69E9" w:rsidRPr="004B69E9" w:rsidRDefault="004B69E9" w:rsidP="0065774A">
      <w:pPr>
        <w:spacing w:line="240" w:lineRule="auto"/>
        <w:rPr>
          <w:rFonts w:asciiTheme="minorHAnsi" w:hAnsiTheme="minorHAnsi"/>
          <w:i/>
          <w:noProof/>
          <w:szCs w:val="22"/>
        </w:rPr>
      </w:pPr>
    </w:p>
    <w:p w:rsidR="004B69E9" w:rsidRPr="004B69E9" w:rsidRDefault="004B69E9" w:rsidP="0065774A">
      <w:pPr>
        <w:spacing w:line="240" w:lineRule="auto"/>
        <w:rPr>
          <w:rFonts w:asciiTheme="minorHAnsi" w:hAnsiTheme="minorHAnsi"/>
          <w:noProof/>
          <w:szCs w:val="22"/>
        </w:rPr>
      </w:pPr>
      <w:bookmarkStart w:id="2" w:name="_ENREF_3"/>
      <w:r w:rsidRPr="004B69E9">
        <w:rPr>
          <w:rFonts w:asciiTheme="minorHAnsi" w:hAnsiTheme="minorHAnsi"/>
          <w:noProof/>
          <w:szCs w:val="22"/>
        </w:rPr>
        <w:t xml:space="preserve">Deem, R., Mok, K. J., &amp; Lucas, L. (2008). Transforming Higher Education in Whose Image? Exploring the Concept of the 'World Class' University in Europe and Asia. </w:t>
      </w:r>
      <w:r w:rsidRPr="004B69E9">
        <w:rPr>
          <w:rFonts w:asciiTheme="minorHAnsi" w:hAnsiTheme="minorHAnsi"/>
          <w:i/>
          <w:noProof/>
          <w:szCs w:val="22"/>
        </w:rPr>
        <w:t>Higher Education Policy, 21</w:t>
      </w:r>
      <w:r w:rsidRPr="004B69E9">
        <w:rPr>
          <w:rFonts w:asciiTheme="minorHAnsi" w:hAnsiTheme="minorHAnsi"/>
          <w:noProof/>
          <w:szCs w:val="22"/>
        </w:rPr>
        <w:t>(1), 83-97.</w:t>
      </w:r>
      <w:bookmarkEnd w:id="2"/>
    </w:p>
    <w:p w:rsidR="004B69E9" w:rsidRPr="004B69E9" w:rsidRDefault="004B69E9" w:rsidP="0065774A">
      <w:pPr>
        <w:spacing w:line="240" w:lineRule="auto"/>
        <w:rPr>
          <w:rFonts w:asciiTheme="minorHAnsi" w:hAnsiTheme="minorHAnsi"/>
          <w:noProof/>
          <w:szCs w:val="22"/>
        </w:rPr>
      </w:pPr>
    </w:p>
    <w:p w:rsidR="004B69E9" w:rsidRPr="004B69E9" w:rsidRDefault="004B69E9" w:rsidP="0065774A">
      <w:pPr>
        <w:spacing w:line="240" w:lineRule="auto"/>
        <w:rPr>
          <w:rFonts w:asciiTheme="minorHAnsi" w:hAnsiTheme="minorHAnsi"/>
          <w:szCs w:val="22"/>
          <w:lang w:val="en-US"/>
        </w:rPr>
      </w:pPr>
      <w:r w:rsidRPr="004B69E9">
        <w:rPr>
          <w:rFonts w:asciiTheme="minorHAnsi" w:hAnsiTheme="minorHAnsi"/>
          <w:noProof/>
          <w:szCs w:val="22"/>
        </w:rPr>
        <w:t xml:space="preserve">Dill, D., &amp; Soo, M. (2005) </w:t>
      </w:r>
      <w:r w:rsidRPr="004B69E9">
        <w:rPr>
          <w:rFonts w:asciiTheme="minorHAnsi" w:hAnsiTheme="minorHAnsi"/>
          <w:szCs w:val="22"/>
          <w:lang w:val="en-US"/>
        </w:rPr>
        <w:t xml:space="preserve">Academic quality, league tables, and public policy: A cross-national analysis of university ranking systems. </w:t>
      </w:r>
      <w:r w:rsidRPr="004B69E9">
        <w:rPr>
          <w:rFonts w:asciiTheme="minorHAnsi" w:hAnsiTheme="minorHAnsi"/>
          <w:i/>
          <w:szCs w:val="22"/>
          <w:lang w:val="en-US"/>
        </w:rPr>
        <w:t>Higher Education</w:t>
      </w:r>
      <w:r w:rsidRPr="004B69E9">
        <w:rPr>
          <w:rFonts w:asciiTheme="minorHAnsi" w:hAnsiTheme="minorHAnsi"/>
          <w:szCs w:val="22"/>
          <w:lang w:val="en-US"/>
        </w:rPr>
        <w:t>, 49(4): 495–533</w:t>
      </w:r>
    </w:p>
    <w:p w:rsidR="004B69E9" w:rsidRPr="004B69E9" w:rsidRDefault="004B69E9" w:rsidP="0065774A">
      <w:pPr>
        <w:spacing w:line="240" w:lineRule="auto"/>
        <w:rPr>
          <w:rFonts w:asciiTheme="minorHAnsi" w:hAnsiTheme="minorHAnsi"/>
          <w:noProof/>
          <w:szCs w:val="22"/>
        </w:rPr>
      </w:pPr>
    </w:p>
    <w:p w:rsidR="004B69E9" w:rsidRPr="004B69E9" w:rsidRDefault="004B69E9" w:rsidP="0065774A">
      <w:pPr>
        <w:spacing w:line="240" w:lineRule="auto"/>
        <w:rPr>
          <w:rFonts w:asciiTheme="minorHAnsi" w:hAnsiTheme="minorHAnsi"/>
          <w:noProof/>
          <w:szCs w:val="22"/>
        </w:rPr>
      </w:pPr>
      <w:bookmarkStart w:id="3" w:name="_ENREF_4"/>
      <w:r w:rsidRPr="004B69E9">
        <w:rPr>
          <w:rFonts w:asciiTheme="minorHAnsi" w:hAnsiTheme="minorHAnsi"/>
          <w:noProof/>
          <w:szCs w:val="22"/>
        </w:rPr>
        <w:t xml:space="preserve">Foucault, M. (1979). </w:t>
      </w:r>
      <w:r w:rsidRPr="004B69E9">
        <w:rPr>
          <w:rFonts w:asciiTheme="minorHAnsi" w:hAnsiTheme="minorHAnsi"/>
          <w:i/>
          <w:noProof/>
          <w:szCs w:val="22"/>
        </w:rPr>
        <w:t>The History of Sexuality I: The Will to Knowledge</w:t>
      </w:r>
      <w:r w:rsidRPr="004B69E9">
        <w:rPr>
          <w:rFonts w:asciiTheme="minorHAnsi" w:hAnsiTheme="minorHAnsi"/>
          <w:noProof/>
          <w:szCs w:val="22"/>
        </w:rPr>
        <w:t xml:space="preserve"> (R. Hurley, Trans.). London: Penguin.</w:t>
      </w:r>
      <w:bookmarkEnd w:id="3"/>
    </w:p>
    <w:p w:rsidR="004B69E9" w:rsidRPr="004B69E9" w:rsidRDefault="004B69E9" w:rsidP="0065774A">
      <w:pPr>
        <w:spacing w:line="240" w:lineRule="auto"/>
        <w:rPr>
          <w:rFonts w:asciiTheme="minorHAnsi" w:hAnsiTheme="minorHAnsi"/>
          <w:noProof/>
          <w:szCs w:val="22"/>
        </w:rPr>
      </w:pPr>
    </w:p>
    <w:p w:rsidR="004B69E9" w:rsidRPr="004B69E9" w:rsidRDefault="004B69E9" w:rsidP="0065774A">
      <w:pPr>
        <w:spacing w:line="240" w:lineRule="auto"/>
        <w:rPr>
          <w:rFonts w:asciiTheme="minorHAnsi" w:hAnsiTheme="minorHAnsi"/>
          <w:noProof/>
          <w:szCs w:val="22"/>
        </w:rPr>
      </w:pPr>
      <w:r w:rsidRPr="004B69E9">
        <w:rPr>
          <w:rFonts w:asciiTheme="minorHAnsi" w:hAnsiTheme="minorHAnsi"/>
          <w:noProof/>
          <w:szCs w:val="22"/>
        </w:rPr>
        <w:t xml:space="preserve">Government of Ireland (2010) </w:t>
      </w:r>
      <w:r w:rsidRPr="004B69E9">
        <w:rPr>
          <w:rFonts w:asciiTheme="minorHAnsi" w:hAnsiTheme="minorHAnsi"/>
          <w:i/>
          <w:noProof/>
          <w:szCs w:val="22"/>
        </w:rPr>
        <w:t>2011 Estimates of Receipts and Expenditures for the Year Ending December 2011</w:t>
      </w:r>
      <w:r w:rsidRPr="004B69E9">
        <w:rPr>
          <w:rFonts w:asciiTheme="minorHAnsi" w:hAnsiTheme="minorHAnsi"/>
          <w:noProof/>
          <w:szCs w:val="22"/>
        </w:rPr>
        <w:t>. Dublin: Stationary Office.</w:t>
      </w:r>
    </w:p>
    <w:p w:rsidR="004B69E9" w:rsidRPr="004B69E9" w:rsidRDefault="004B69E9" w:rsidP="0065774A">
      <w:pPr>
        <w:spacing w:line="240" w:lineRule="auto"/>
        <w:rPr>
          <w:rFonts w:asciiTheme="minorHAnsi" w:hAnsiTheme="minorHAnsi"/>
          <w:noProof/>
          <w:szCs w:val="22"/>
        </w:rPr>
      </w:pPr>
    </w:p>
    <w:p w:rsidR="004B69E9" w:rsidRPr="004B69E9" w:rsidRDefault="004B69E9" w:rsidP="0065774A">
      <w:pPr>
        <w:spacing w:line="240" w:lineRule="auto"/>
        <w:rPr>
          <w:rFonts w:asciiTheme="minorHAnsi" w:hAnsiTheme="minorHAnsi"/>
          <w:noProof/>
          <w:szCs w:val="22"/>
        </w:rPr>
      </w:pPr>
      <w:r w:rsidRPr="004B69E9">
        <w:rPr>
          <w:rFonts w:asciiTheme="minorHAnsi" w:hAnsiTheme="minorHAnsi"/>
          <w:noProof/>
          <w:szCs w:val="22"/>
        </w:rPr>
        <w:t xml:space="preserve">Higher Education Authority (2011) </w:t>
      </w:r>
      <w:r w:rsidRPr="004B69E9">
        <w:rPr>
          <w:rFonts w:asciiTheme="minorHAnsi" w:hAnsiTheme="minorHAnsi"/>
          <w:i/>
          <w:noProof/>
          <w:szCs w:val="22"/>
        </w:rPr>
        <w:t>National Strategy for Higher Education to 2030</w:t>
      </w:r>
      <w:r w:rsidRPr="004B69E9">
        <w:rPr>
          <w:rFonts w:asciiTheme="minorHAnsi" w:hAnsiTheme="minorHAnsi"/>
          <w:noProof/>
          <w:szCs w:val="22"/>
        </w:rPr>
        <w:t xml:space="preserve">. Dublin: Higher Education Authority. </w:t>
      </w:r>
    </w:p>
    <w:p w:rsidR="004B69E9" w:rsidRPr="004B69E9" w:rsidRDefault="004B69E9" w:rsidP="0065774A">
      <w:pPr>
        <w:spacing w:line="240" w:lineRule="auto"/>
        <w:rPr>
          <w:rFonts w:asciiTheme="minorHAnsi" w:hAnsiTheme="minorHAnsi"/>
          <w:noProof/>
          <w:szCs w:val="22"/>
        </w:rPr>
      </w:pPr>
    </w:p>
    <w:p w:rsidR="004B69E9" w:rsidRPr="004B69E9" w:rsidRDefault="004B69E9" w:rsidP="0065774A">
      <w:pPr>
        <w:spacing w:line="240" w:lineRule="auto"/>
        <w:rPr>
          <w:rFonts w:asciiTheme="minorHAnsi" w:hAnsiTheme="minorHAnsi"/>
          <w:noProof/>
          <w:szCs w:val="22"/>
        </w:rPr>
      </w:pPr>
      <w:bookmarkStart w:id="4" w:name="_ENREF_5"/>
      <w:r w:rsidRPr="004B69E9">
        <w:rPr>
          <w:rFonts w:asciiTheme="minorHAnsi" w:hAnsiTheme="minorHAnsi"/>
          <w:noProof/>
          <w:szCs w:val="22"/>
        </w:rPr>
        <w:t xml:space="preserve">Hofmeyr, B. (2006). The Power Not to Be (What We Are): The Politics and Ethics of Self-creation in Foucault. </w:t>
      </w:r>
      <w:r w:rsidRPr="004B69E9">
        <w:rPr>
          <w:rFonts w:asciiTheme="minorHAnsi" w:hAnsiTheme="minorHAnsi"/>
          <w:i/>
          <w:noProof/>
          <w:szCs w:val="22"/>
        </w:rPr>
        <w:t>Journal of Moral Philosophy, 3</w:t>
      </w:r>
      <w:r w:rsidRPr="004B69E9">
        <w:rPr>
          <w:rFonts w:asciiTheme="minorHAnsi" w:hAnsiTheme="minorHAnsi"/>
          <w:noProof/>
          <w:szCs w:val="22"/>
        </w:rPr>
        <w:t>, 215-230.</w:t>
      </w:r>
      <w:bookmarkEnd w:id="4"/>
    </w:p>
    <w:p w:rsidR="004B69E9" w:rsidRPr="004B69E9" w:rsidRDefault="004B69E9" w:rsidP="0065774A">
      <w:pPr>
        <w:spacing w:line="240" w:lineRule="auto"/>
        <w:rPr>
          <w:rFonts w:asciiTheme="minorHAnsi" w:hAnsiTheme="minorHAnsi"/>
          <w:noProof/>
          <w:szCs w:val="22"/>
        </w:rPr>
      </w:pPr>
    </w:p>
    <w:p w:rsidR="004B69E9" w:rsidRPr="004B69E9" w:rsidRDefault="004B69E9" w:rsidP="0065774A">
      <w:pPr>
        <w:spacing w:line="240" w:lineRule="auto"/>
        <w:rPr>
          <w:rFonts w:asciiTheme="minorHAnsi" w:hAnsiTheme="minorHAnsi"/>
          <w:noProof/>
          <w:szCs w:val="22"/>
        </w:rPr>
      </w:pPr>
      <w:bookmarkStart w:id="5" w:name="_ENREF_6"/>
      <w:r w:rsidRPr="004B69E9">
        <w:rPr>
          <w:rFonts w:asciiTheme="minorHAnsi" w:hAnsiTheme="minorHAnsi"/>
          <w:noProof/>
          <w:szCs w:val="22"/>
        </w:rPr>
        <w:t xml:space="preserve">Huckaby, M. F. (2008). Making Use of Foucault in a Study of Specific Parrhesiastic Scholars. </w:t>
      </w:r>
      <w:r w:rsidRPr="004B69E9">
        <w:rPr>
          <w:rFonts w:asciiTheme="minorHAnsi" w:hAnsiTheme="minorHAnsi"/>
          <w:i/>
          <w:noProof/>
          <w:szCs w:val="22"/>
        </w:rPr>
        <w:t>Educational Philosophy and Theory, 40</w:t>
      </w:r>
      <w:r w:rsidRPr="004B69E9">
        <w:rPr>
          <w:rFonts w:asciiTheme="minorHAnsi" w:hAnsiTheme="minorHAnsi"/>
          <w:noProof/>
          <w:szCs w:val="22"/>
        </w:rPr>
        <w:t>(6), 770-788.</w:t>
      </w:r>
      <w:bookmarkEnd w:id="5"/>
    </w:p>
    <w:p w:rsidR="004B69E9" w:rsidRPr="004B69E9" w:rsidRDefault="004B69E9" w:rsidP="0065774A">
      <w:pPr>
        <w:spacing w:line="240" w:lineRule="auto"/>
        <w:rPr>
          <w:rFonts w:asciiTheme="minorHAnsi" w:hAnsiTheme="minorHAnsi"/>
          <w:noProof/>
          <w:szCs w:val="22"/>
        </w:rPr>
      </w:pPr>
    </w:p>
    <w:p w:rsidR="004B69E9" w:rsidRPr="004B69E9" w:rsidRDefault="004B69E9" w:rsidP="0065774A">
      <w:pPr>
        <w:spacing w:line="240" w:lineRule="auto"/>
        <w:rPr>
          <w:rFonts w:asciiTheme="minorHAnsi" w:hAnsiTheme="minorHAnsi"/>
          <w:szCs w:val="22"/>
          <w:u w:color="001BB6"/>
          <w:lang w:val="en-US"/>
        </w:rPr>
      </w:pPr>
      <w:proofErr w:type="gramStart"/>
      <w:r w:rsidRPr="004B69E9">
        <w:rPr>
          <w:rFonts w:asciiTheme="minorHAnsi" w:hAnsiTheme="minorHAnsi"/>
          <w:noProof/>
          <w:szCs w:val="22"/>
        </w:rPr>
        <w:t xml:space="preserve">Limond, D. (2005) </w:t>
      </w:r>
      <w:r w:rsidRPr="004B69E9">
        <w:rPr>
          <w:rFonts w:asciiTheme="minorHAnsi" w:hAnsiTheme="minorHAnsi"/>
          <w:szCs w:val="22"/>
          <w:u w:color="001BB6"/>
          <w:lang w:val="en-US"/>
        </w:rPr>
        <w:t>Market-Speak and Malaise in Our Universities.</w:t>
      </w:r>
      <w:proofErr w:type="gramEnd"/>
      <w:r w:rsidRPr="004B69E9">
        <w:rPr>
          <w:rFonts w:asciiTheme="minorHAnsi" w:hAnsiTheme="minorHAnsi"/>
          <w:szCs w:val="22"/>
          <w:u w:color="001BB6"/>
          <w:lang w:val="en-US"/>
        </w:rPr>
        <w:t xml:space="preserve"> </w:t>
      </w:r>
      <w:r w:rsidRPr="004B69E9">
        <w:rPr>
          <w:rFonts w:asciiTheme="minorHAnsi" w:hAnsiTheme="minorHAnsi"/>
          <w:i/>
          <w:szCs w:val="22"/>
          <w:u w:color="001BB6"/>
          <w:lang w:val="en-US"/>
        </w:rPr>
        <w:t>Studies, 94(376), 407-414</w:t>
      </w:r>
      <w:r w:rsidRPr="004B69E9">
        <w:rPr>
          <w:rFonts w:asciiTheme="minorHAnsi" w:hAnsiTheme="minorHAnsi"/>
          <w:szCs w:val="22"/>
          <w:u w:color="001BB6"/>
          <w:lang w:val="en-US"/>
        </w:rPr>
        <w:t>.</w:t>
      </w:r>
    </w:p>
    <w:p w:rsidR="004B69E9" w:rsidRDefault="004B69E9" w:rsidP="0065774A">
      <w:pPr>
        <w:spacing w:line="240" w:lineRule="auto"/>
        <w:rPr>
          <w:rFonts w:asciiTheme="minorHAnsi" w:hAnsiTheme="minorHAnsi"/>
          <w:noProof/>
          <w:szCs w:val="22"/>
        </w:rPr>
      </w:pPr>
    </w:p>
    <w:p w:rsidR="006A6275" w:rsidRPr="00CA5042" w:rsidRDefault="006A6275" w:rsidP="00CA5042">
      <w:pPr>
        <w:rPr>
          <w:rFonts w:asciiTheme="minorHAnsi" w:hAnsiTheme="minorHAnsi"/>
          <w:szCs w:val="22"/>
          <w:lang w:val="en-IE" w:eastAsia="en-IE"/>
        </w:rPr>
      </w:pPr>
      <w:r>
        <w:rPr>
          <w:rFonts w:asciiTheme="minorHAnsi" w:hAnsiTheme="minorHAnsi"/>
          <w:noProof/>
          <w:szCs w:val="22"/>
        </w:rPr>
        <w:t>Loxley, A. &amp; Seery, A. (</w:t>
      </w:r>
      <w:r w:rsidR="00CA5042">
        <w:rPr>
          <w:rFonts w:asciiTheme="minorHAnsi" w:hAnsiTheme="minorHAnsi"/>
          <w:noProof/>
          <w:szCs w:val="22"/>
        </w:rPr>
        <w:t>2011</w:t>
      </w:r>
      <w:r>
        <w:rPr>
          <w:rFonts w:asciiTheme="minorHAnsi" w:hAnsiTheme="minorHAnsi"/>
          <w:noProof/>
          <w:szCs w:val="22"/>
        </w:rPr>
        <w:t xml:space="preserve">) The role of the professional doctorate in Ireland from the student perspective. </w:t>
      </w:r>
      <w:r w:rsidRPr="00CA5042">
        <w:rPr>
          <w:rFonts w:asciiTheme="minorHAnsi" w:hAnsiTheme="minorHAnsi"/>
          <w:i/>
          <w:noProof/>
          <w:szCs w:val="22"/>
        </w:rPr>
        <w:t>Studies in Higher Education</w:t>
      </w:r>
      <w:r>
        <w:rPr>
          <w:rFonts w:asciiTheme="minorHAnsi" w:hAnsiTheme="minorHAnsi"/>
          <w:noProof/>
          <w:szCs w:val="22"/>
        </w:rPr>
        <w:t xml:space="preserve">, </w:t>
      </w:r>
      <w:r w:rsidR="00CA5042">
        <w:rPr>
          <w:rFonts w:asciiTheme="minorHAnsi" w:hAnsiTheme="minorHAnsi"/>
          <w:noProof/>
          <w:szCs w:val="22"/>
        </w:rPr>
        <w:t xml:space="preserve">iFirst, 1-11, </w:t>
      </w:r>
      <w:r w:rsidRPr="006A6275">
        <w:rPr>
          <w:rFonts w:asciiTheme="minorHAnsi" w:hAnsiTheme="minorHAnsi"/>
          <w:bCs/>
          <w:szCs w:val="22"/>
          <w:lang w:val="en-IE" w:eastAsia="en-IE"/>
        </w:rPr>
        <w:t>DOI:</w:t>
      </w:r>
      <w:r w:rsidRPr="006A6275">
        <w:rPr>
          <w:rFonts w:asciiTheme="minorHAnsi" w:hAnsiTheme="minorHAnsi"/>
          <w:szCs w:val="22"/>
          <w:lang w:val="en-IE" w:eastAsia="en-IE"/>
        </w:rPr>
        <w:t>10.1080/03075079.2010.489148</w:t>
      </w:r>
      <w:r w:rsidR="00CA5042">
        <w:rPr>
          <w:rFonts w:asciiTheme="minorHAnsi" w:hAnsiTheme="minorHAnsi"/>
          <w:szCs w:val="22"/>
          <w:lang w:val="en-IE" w:eastAsia="en-IE"/>
        </w:rPr>
        <w:t xml:space="preserve">. </w:t>
      </w:r>
    </w:p>
    <w:p w:rsidR="006A6275" w:rsidRPr="004B69E9" w:rsidRDefault="006A6275" w:rsidP="0065774A">
      <w:pPr>
        <w:spacing w:line="240" w:lineRule="auto"/>
        <w:rPr>
          <w:rFonts w:asciiTheme="minorHAnsi" w:hAnsiTheme="minorHAnsi"/>
          <w:noProof/>
          <w:szCs w:val="22"/>
        </w:rPr>
      </w:pPr>
    </w:p>
    <w:p w:rsidR="004B69E9" w:rsidRPr="004B69E9" w:rsidRDefault="004B69E9" w:rsidP="0065774A">
      <w:pPr>
        <w:spacing w:line="240" w:lineRule="auto"/>
        <w:rPr>
          <w:rFonts w:asciiTheme="minorHAnsi" w:hAnsiTheme="minorHAnsi"/>
          <w:noProof/>
          <w:szCs w:val="22"/>
        </w:rPr>
      </w:pPr>
      <w:bookmarkStart w:id="6" w:name="_ENREF_7"/>
      <w:r w:rsidRPr="004B69E9">
        <w:rPr>
          <w:rFonts w:asciiTheme="minorHAnsi" w:hAnsiTheme="minorHAnsi"/>
          <w:noProof/>
          <w:szCs w:val="22"/>
        </w:rPr>
        <w:t xml:space="preserve">Malcolm, J., &amp; Zukas, M. (2009). Making a mess of academic work: experience, purpose and identity. </w:t>
      </w:r>
      <w:r w:rsidRPr="004B69E9">
        <w:rPr>
          <w:rFonts w:asciiTheme="minorHAnsi" w:hAnsiTheme="minorHAnsi"/>
          <w:i/>
          <w:noProof/>
          <w:szCs w:val="22"/>
        </w:rPr>
        <w:t>Teaching in Higher Education, 14</w:t>
      </w:r>
      <w:r w:rsidRPr="004B69E9">
        <w:rPr>
          <w:rFonts w:asciiTheme="minorHAnsi" w:hAnsiTheme="minorHAnsi"/>
          <w:noProof/>
          <w:szCs w:val="22"/>
        </w:rPr>
        <w:t>(5), 495-506.</w:t>
      </w:r>
      <w:bookmarkEnd w:id="6"/>
    </w:p>
    <w:p w:rsidR="004B69E9" w:rsidRPr="004B69E9" w:rsidRDefault="004B69E9" w:rsidP="0065774A">
      <w:pPr>
        <w:spacing w:line="240" w:lineRule="auto"/>
        <w:rPr>
          <w:rFonts w:asciiTheme="minorHAnsi" w:hAnsiTheme="minorHAnsi"/>
          <w:noProof/>
          <w:szCs w:val="22"/>
        </w:rPr>
      </w:pPr>
    </w:p>
    <w:p w:rsidR="004B69E9" w:rsidRPr="004B69E9" w:rsidRDefault="004B69E9" w:rsidP="0065774A">
      <w:pPr>
        <w:spacing w:line="240" w:lineRule="auto"/>
        <w:rPr>
          <w:rFonts w:asciiTheme="minorHAnsi" w:hAnsiTheme="minorHAnsi"/>
          <w:noProof/>
          <w:szCs w:val="22"/>
        </w:rPr>
      </w:pPr>
      <w:r w:rsidRPr="004B69E9">
        <w:rPr>
          <w:rFonts w:asciiTheme="minorHAnsi" w:hAnsiTheme="minorHAnsi"/>
          <w:noProof/>
          <w:szCs w:val="22"/>
        </w:rPr>
        <w:t xml:space="preserve">Marginson, S. (2009) The Knowledge Economy and Higher Education: A system for regulating the value of knowledge. </w:t>
      </w:r>
      <w:r w:rsidRPr="004B69E9">
        <w:rPr>
          <w:rFonts w:asciiTheme="minorHAnsi" w:hAnsiTheme="minorHAnsi"/>
          <w:i/>
          <w:noProof/>
          <w:szCs w:val="22"/>
        </w:rPr>
        <w:t>Higher Education Management and Policy</w:t>
      </w:r>
      <w:r w:rsidRPr="004B69E9">
        <w:rPr>
          <w:rFonts w:asciiTheme="minorHAnsi" w:hAnsiTheme="minorHAnsi"/>
          <w:noProof/>
          <w:szCs w:val="22"/>
        </w:rPr>
        <w:t>, 21(1), 39-53.</w:t>
      </w:r>
    </w:p>
    <w:p w:rsidR="004B69E9" w:rsidRPr="004B69E9" w:rsidRDefault="004B69E9" w:rsidP="0065774A">
      <w:pPr>
        <w:spacing w:line="240" w:lineRule="auto"/>
        <w:rPr>
          <w:rFonts w:asciiTheme="minorHAnsi" w:hAnsiTheme="minorHAnsi"/>
          <w:noProof/>
          <w:szCs w:val="22"/>
        </w:rPr>
      </w:pPr>
    </w:p>
    <w:p w:rsidR="004B69E9" w:rsidRPr="004B69E9" w:rsidRDefault="004B69E9" w:rsidP="0065774A">
      <w:pPr>
        <w:spacing w:line="240" w:lineRule="auto"/>
        <w:rPr>
          <w:rFonts w:asciiTheme="minorHAnsi" w:hAnsiTheme="minorHAnsi"/>
          <w:szCs w:val="22"/>
          <w:lang w:val="en-US" w:eastAsia="en-IE"/>
        </w:rPr>
      </w:pPr>
      <w:r w:rsidRPr="004B69E9">
        <w:rPr>
          <w:rFonts w:asciiTheme="minorHAnsi" w:hAnsiTheme="minorHAnsi"/>
          <w:szCs w:val="22"/>
          <w:lang w:val="en-US" w:eastAsia="en-IE"/>
        </w:rPr>
        <w:t xml:space="preserve">McCoy, S., Byrne, D., O’Connell, P.J., Kelly, E., &amp; Doherty, C. (2010) </w:t>
      </w:r>
      <w:r w:rsidRPr="004B69E9">
        <w:rPr>
          <w:rFonts w:asciiTheme="minorHAnsi" w:hAnsiTheme="minorHAnsi"/>
          <w:i/>
          <w:szCs w:val="22"/>
          <w:lang w:val="en-US" w:eastAsia="en-IE"/>
        </w:rPr>
        <w:t xml:space="preserve">Hidden Disadvantage? </w:t>
      </w:r>
      <w:proofErr w:type="gramStart"/>
      <w:r w:rsidRPr="004B69E9">
        <w:rPr>
          <w:rFonts w:asciiTheme="minorHAnsi" w:hAnsiTheme="minorHAnsi"/>
          <w:i/>
          <w:szCs w:val="22"/>
          <w:lang w:val="en-US" w:eastAsia="en-IE"/>
        </w:rPr>
        <w:t>A Study on the Low Participation in Higher Education by the Non-Manual Group</w:t>
      </w:r>
      <w:r w:rsidRPr="004B69E9">
        <w:rPr>
          <w:rFonts w:asciiTheme="minorHAnsi" w:hAnsiTheme="minorHAnsi"/>
          <w:szCs w:val="22"/>
          <w:lang w:val="en-US" w:eastAsia="en-IE"/>
        </w:rPr>
        <w:t>.</w:t>
      </w:r>
      <w:proofErr w:type="gramEnd"/>
      <w:r w:rsidRPr="004B69E9">
        <w:rPr>
          <w:rFonts w:asciiTheme="minorHAnsi" w:hAnsiTheme="minorHAnsi"/>
          <w:szCs w:val="22"/>
          <w:lang w:val="en-US" w:eastAsia="en-IE"/>
        </w:rPr>
        <w:t xml:space="preserve"> Dublin: Higher Education Authority.</w:t>
      </w:r>
    </w:p>
    <w:p w:rsidR="004B69E9" w:rsidRPr="004B69E9" w:rsidRDefault="004B69E9" w:rsidP="0065774A">
      <w:pPr>
        <w:spacing w:line="240" w:lineRule="auto"/>
        <w:rPr>
          <w:rFonts w:asciiTheme="minorHAnsi" w:hAnsiTheme="minorHAnsi"/>
          <w:noProof/>
          <w:szCs w:val="22"/>
        </w:rPr>
      </w:pPr>
    </w:p>
    <w:p w:rsidR="004B69E9" w:rsidRPr="004B69E9" w:rsidRDefault="004B69E9" w:rsidP="0065774A">
      <w:pPr>
        <w:spacing w:line="240" w:lineRule="auto"/>
        <w:rPr>
          <w:rFonts w:asciiTheme="minorHAnsi" w:hAnsiTheme="minorHAnsi"/>
          <w:noProof/>
          <w:szCs w:val="22"/>
        </w:rPr>
      </w:pPr>
      <w:bookmarkStart w:id="7" w:name="_ENREF_8"/>
      <w:r w:rsidRPr="004B69E9">
        <w:rPr>
          <w:rFonts w:asciiTheme="minorHAnsi" w:hAnsiTheme="minorHAnsi"/>
          <w:noProof/>
          <w:szCs w:val="22"/>
        </w:rPr>
        <w:t xml:space="preserve">McGushin, E. (2005). Foucault and the problem of the subject. </w:t>
      </w:r>
      <w:r w:rsidRPr="004B69E9">
        <w:rPr>
          <w:rFonts w:asciiTheme="minorHAnsi" w:hAnsiTheme="minorHAnsi"/>
          <w:i/>
          <w:noProof/>
          <w:szCs w:val="22"/>
        </w:rPr>
        <w:t>Philosophy &amp; Social Criticism, 31</w:t>
      </w:r>
      <w:r w:rsidRPr="004B69E9">
        <w:rPr>
          <w:rFonts w:asciiTheme="minorHAnsi" w:hAnsiTheme="minorHAnsi"/>
          <w:noProof/>
          <w:szCs w:val="22"/>
        </w:rPr>
        <w:t>(5-6), 623-648.</w:t>
      </w:r>
      <w:bookmarkEnd w:id="7"/>
    </w:p>
    <w:p w:rsidR="004B69E9" w:rsidRPr="004B69E9" w:rsidRDefault="004B69E9" w:rsidP="0065774A">
      <w:pPr>
        <w:spacing w:line="240" w:lineRule="auto"/>
        <w:rPr>
          <w:rFonts w:asciiTheme="minorHAnsi" w:hAnsiTheme="minorHAnsi"/>
          <w:noProof/>
          <w:szCs w:val="22"/>
        </w:rPr>
      </w:pPr>
    </w:p>
    <w:p w:rsidR="004B69E9" w:rsidRPr="004B69E9" w:rsidRDefault="004B69E9" w:rsidP="0065774A">
      <w:pPr>
        <w:spacing w:line="240" w:lineRule="auto"/>
        <w:rPr>
          <w:rFonts w:asciiTheme="minorHAnsi" w:hAnsiTheme="minorHAnsi"/>
          <w:noProof/>
          <w:szCs w:val="22"/>
        </w:rPr>
      </w:pPr>
      <w:r w:rsidRPr="004B69E9">
        <w:rPr>
          <w:rFonts w:asciiTheme="minorHAnsi" w:hAnsiTheme="minorHAnsi"/>
          <w:noProof/>
          <w:szCs w:val="22"/>
        </w:rPr>
        <w:t xml:space="preserve">Morely, L. (2003) </w:t>
      </w:r>
      <w:r w:rsidRPr="004B69E9">
        <w:rPr>
          <w:rFonts w:asciiTheme="minorHAnsi" w:hAnsiTheme="minorHAnsi"/>
          <w:i/>
          <w:noProof/>
          <w:szCs w:val="22"/>
        </w:rPr>
        <w:t>Quality and Power in Higher Education.</w:t>
      </w:r>
      <w:r w:rsidRPr="004B69E9">
        <w:rPr>
          <w:rFonts w:asciiTheme="minorHAnsi" w:hAnsiTheme="minorHAnsi"/>
          <w:noProof/>
          <w:szCs w:val="22"/>
        </w:rPr>
        <w:t xml:space="preserve"> Maidenhead: Open University Press.</w:t>
      </w:r>
    </w:p>
    <w:p w:rsidR="004B69E9" w:rsidRPr="004B69E9" w:rsidRDefault="004B69E9" w:rsidP="0065774A">
      <w:pPr>
        <w:spacing w:line="240" w:lineRule="auto"/>
        <w:rPr>
          <w:rFonts w:asciiTheme="minorHAnsi" w:hAnsiTheme="minorHAnsi"/>
          <w:noProof/>
          <w:szCs w:val="22"/>
        </w:rPr>
      </w:pPr>
    </w:p>
    <w:p w:rsidR="004B69E9" w:rsidRPr="004B69E9" w:rsidRDefault="004B69E9" w:rsidP="0065774A">
      <w:pPr>
        <w:spacing w:line="240" w:lineRule="auto"/>
        <w:rPr>
          <w:rFonts w:asciiTheme="minorHAnsi" w:hAnsiTheme="minorHAnsi"/>
          <w:noProof/>
          <w:szCs w:val="22"/>
        </w:rPr>
      </w:pPr>
      <w:bookmarkStart w:id="8" w:name="_ENREF_9"/>
      <w:r w:rsidRPr="004B69E9">
        <w:rPr>
          <w:rFonts w:asciiTheme="minorHAnsi" w:hAnsiTheme="minorHAnsi"/>
          <w:noProof/>
          <w:szCs w:val="22"/>
        </w:rPr>
        <w:t xml:space="preserve">Myers, E. (2008). Resisting Foucauldian Ethics: Associative Politics and the Limits of the Care of the Self. </w:t>
      </w:r>
      <w:r w:rsidRPr="004B69E9">
        <w:rPr>
          <w:rFonts w:asciiTheme="minorHAnsi" w:hAnsiTheme="minorHAnsi"/>
          <w:i/>
          <w:noProof/>
          <w:szCs w:val="22"/>
        </w:rPr>
        <w:t>Contemporary Political Theory, 7</w:t>
      </w:r>
      <w:r w:rsidRPr="004B69E9">
        <w:rPr>
          <w:rFonts w:asciiTheme="minorHAnsi" w:hAnsiTheme="minorHAnsi"/>
          <w:noProof/>
          <w:szCs w:val="22"/>
        </w:rPr>
        <w:t>(2), 125-146.</w:t>
      </w:r>
      <w:bookmarkEnd w:id="8"/>
    </w:p>
    <w:p w:rsidR="004B69E9" w:rsidRPr="004B69E9" w:rsidRDefault="004B69E9" w:rsidP="0065774A">
      <w:pPr>
        <w:spacing w:line="240" w:lineRule="auto"/>
        <w:rPr>
          <w:rFonts w:asciiTheme="minorHAnsi" w:hAnsiTheme="minorHAnsi"/>
          <w:noProof/>
          <w:szCs w:val="22"/>
        </w:rPr>
      </w:pPr>
    </w:p>
    <w:p w:rsidR="004B69E9" w:rsidRPr="004B69E9" w:rsidRDefault="004B69E9" w:rsidP="0065774A">
      <w:pPr>
        <w:spacing w:line="240" w:lineRule="auto"/>
        <w:rPr>
          <w:rFonts w:asciiTheme="minorHAnsi" w:hAnsiTheme="minorHAnsi"/>
          <w:szCs w:val="22"/>
        </w:rPr>
      </w:pPr>
      <w:r w:rsidRPr="004B69E9">
        <w:rPr>
          <w:rFonts w:asciiTheme="minorHAnsi" w:hAnsiTheme="minorHAnsi"/>
          <w:szCs w:val="22"/>
        </w:rPr>
        <w:t xml:space="preserve">O’Connell, P. J. Clancy, D. &amp; McCoy, S. (2006) </w:t>
      </w:r>
      <w:proofErr w:type="gramStart"/>
      <w:r w:rsidRPr="004B69E9">
        <w:rPr>
          <w:rFonts w:asciiTheme="minorHAnsi" w:hAnsiTheme="minorHAnsi"/>
          <w:i/>
          <w:szCs w:val="22"/>
        </w:rPr>
        <w:t>Who</w:t>
      </w:r>
      <w:proofErr w:type="gramEnd"/>
      <w:r w:rsidRPr="004B69E9">
        <w:rPr>
          <w:rFonts w:asciiTheme="minorHAnsi" w:hAnsiTheme="minorHAnsi"/>
          <w:i/>
          <w:szCs w:val="22"/>
        </w:rPr>
        <w:t xml:space="preserve"> went to college in 2004: A national survey of new entrants to higher education</w:t>
      </w:r>
      <w:r w:rsidRPr="004B69E9">
        <w:rPr>
          <w:rFonts w:asciiTheme="minorHAnsi" w:hAnsiTheme="minorHAnsi"/>
          <w:szCs w:val="22"/>
        </w:rPr>
        <w:t xml:space="preserve">. Dublin: Higher Education Authority. </w:t>
      </w:r>
    </w:p>
    <w:p w:rsidR="004B69E9" w:rsidRPr="004B69E9" w:rsidRDefault="004B69E9" w:rsidP="0065774A">
      <w:pPr>
        <w:spacing w:line="240" w:lineRule="auto"/>
        <w:rPr>
          <w:rFonts w:asciiTheme="minorHAnsi" w:hAnsiTheme="minorHAnsi"/>
          <w:szCs w:val="22"/>
        </w:rPr>
      </w:pPr>
    </w:p>
    <w:p w:rsidR="004B69E9" w:rsidRPr="004B69E9" w:rsidRDefault="004B69E9" w:rsidP="0065774A">
      <w:pPr>
        <w:spacing w:line="240" w:lineRule="auto"/>
        <w:rPr>
          <w:rFonts w:asciiTheme="minorHAnsi" w:hAnsiTheme="minorHAnsi" w:cs="Trebuchet MS"/>
          <w:b/>
          <w:bCs/>
          <w:szCs w:val="22"/>
          <w:lang w:val="en-US"/>
        </w:rPr>
      </w:pPr>
      <w:proofErr w:type="gramStart"/>
      <w:r w:rsidRPr="004B69E9">
        <w:rPr>
          <w:rFonts w:asciiTheme="minorHAnsi" w:hAnsiTheme="minorHAnsi"/>
          <w:szCs w:val="22"/>
          <w:lang w:val="en-US"/>
        </w:rPr>
        <w:t>Oancea, A. (2006) Procrustes or Proteus?</w:t>
      </w:r>
      <w:proofErr w:type="gramEnd"/>
      <w:r w:rsidRPr="004B69E9">
        <w:rPr>
          <w:rFonts w:asciiTheme="minorHAnsi" w:hAnsiTheme="minorHAnsi"/>
          <w:szCs w:val="22"/>
          <w:lang w:val="en-US"/>
        </w:rPr>
        <w:t xml:space="preserve"> Trends and Practices in the Assessment of Education Research. </w:t>
      </w:r>
      <w:r w:rsidRPr="004B69E9">
        <w:rPr>
          <w:rFonts w:asciiTheme="minorHAnsi" w:hAnsiTheme="minorHAnsi" w:cs="Trebuchet MS"/>
          <w:bCs/>
          <w:i/>
          <w:szCs w:val="22"/>
          <w:lang w:val="en-US"/>
        </w:rPr>
        <w:t>International Journal of Research &amp; Method in Education</w:t>
      </w:r>
      <w:r w:rsidRPr="004B69E9">
        <w:rPr>
          <w:rFonts w:asciiTheme="minorHAnsi" w:hAnsiTheme="minorHAnsi" w:cs="Trebuchet MS"/>
          <w:bCs/>
          <w:szCs w:val="22"/>
          <w:lang w:val="en-US"/>
        </w:rPr>
        <w:t>, 30(3), 243-269</w:t>
      </w:r>
      <w:r w:rsidRPr="004B69E9">
        <w:rPr>
          <w:rFonts w:asciiTheme="minorHAnsi" w:hAnsiTheme="minorHAnsi" w:cs="Trebuchet MS"/>
          <w:b/>
          <w:bCs/>
          <w:szCs w:val="22"/>
          <w:lang w:val="en-US"/>
        </w:rPr>
        <w:t>.</w:t>
      </w:r>
    </w:p>
    <w:p w:rsidR="004B69E9" w:rsidRPr="004B69E9" w:rsidRDefault="004B69E9" w:rsidP="0065774A">
      <w:pPr>
        <w:spacing w:line="240" w:lineRule="auto"/>
        <w:rPr>
          <w:rFonts w:asciiTheme="minorHAnsi" w:hAnsiTheme="minorHAnsi"/>
          <w:noProof/>
          <w:szCs w:val="22"/>
        </w:rPr>
      </w:pPr>
    </w:p>
    <w:p w:rsidR="004B69E9" w:rsidRPr="004B69E9" w:rsidRDefault="004B69E9" w:rsidP="0065774A">
      <w:pPr>
        <w:spacing w:line="240" w:lineRule="auto"/>
        <w:rPr>
          <w:rFonts w:asciiTheme="minorHAnsi" w:hAnsiTheme="minorHAnsi"/>
          <w:noProof/>
          <w:szCs w:val="22"/>
        </w:rPr>
      </w:pPr>
      <w:r w:rsidRPr="004B69E9">
        <w:rPr>
          <w:rFonts w:asciiTheme="minorHAnsi" w:hAnsiTheme="minorHAnsi"/>
          <w:noProof/>
          <w:szCs w:val="22"/>
        </w:rPr>
        <w:t xml:space="preserve">Organisation for Economic and Cooperative Development (2006) </w:t>
      </w:r>
      <w:r w:rsidRPr="004B69E9">
        <w:rPr>
          <w:rFonts w:asciiTheme="minorHAnsi" w:hAnsiTheme="minorHAnsi"/>
          <w:i/>
          <w:noProof/>
          <w:szCs w:val="22"/>
        </w:rPr>
        <w:t>Higher Education in Ireland.</w:t>
      </w:r>
      <w:r w:rsidRPr="004B69E9">
        <w:rPr>
          <w:rFonts w:asciiTheme="minorHAnsi" w:hAnsiTheme="minorHAnsi"/>
          <w:noProof/>
          <w:szCs w:val="22"/>
        </w:rPr>
        <w:t>Paris: OECD.</w:t>
      </w:r>
    </w:p>
    <w:p w:rsidR="004B69E9" w:rsidRPr="004B69E9" w:rsidRDefault="004B69E9" w:rsidP="0065774A">
      <w:pPr>
        <w:spacing w:line="240" w:lineRule="auto"/>
        <w:rPr>
          <w:rFonts w:asciiTheme="minorHAnsi" w:hAnsiTheme="minorHAnsi"/>
          <w:noProof/>
          <w:szCs w:val="22"/>
        </w:rPr>
      </w:pPr>
    </w:p>
    <w:p w:rsidR="004B69E9" w:rsidRPr="004B69E9" w:rsidRDefault="004B69E9" w:rsidP="0065774A">
      <w:pPr>
        <w:spacing w:line="240" w:lineRule="auto"/>
        <w:rPr>
          <w:rFonts w:asciiTheme="minorHAnsi" w:hAnsiTheme="minorHAnsi"/>
          <w:noProof/>
          <w:szCs w:val="22"/>
        </w:rPr>
      </w:pPr>
      <w:r w:rsidRPr="004B69E9">
        <w:rPr>
          <w:rFonts w:asciiTheme="minorHAnsi" w:hAnsiTheme="minorHAnsi"/>
          <w:noProof/>
          <w:szCs w:val="22"/>
        </w:rPr>
        <w:t xml:space="preserve">Organisation for Economic and Cooperative Development (2008) </w:t>
      </w:r>
      <w:r w:rsidRPr="004B69E9">
        <w:rPr>
          <w:rFonts w:asciiTheme="minorHAnsi" w:hAnsiTheme="minorHAnsi"/>
          <w:i/>
          <w:noProof/>
          <w:szCs w:val="22"/>
        </w:rPr>
        <w:t>Teriary Education for the Knowledge Society (Volume 1 and 2).</w:t>
      </w:r>
      <w:r w:rsidRPr="004B69E9">
        <w:rPr>
          <w:rFonts w:asciiTheme="minorHAnsi" w:hAnsiTheme="minorHAnsi"/>
          <w:noProof/>
          <w:szCs w:val="22"/>
        </w:rPr>
        <w:t>Paris: OECD.</w:t>
      </w:r>
    </w:p>
    <w:p w:rsidR="004B69E9" w:rsidRPr="004B69E9" w:rsidRDefault="004B69E9" w:rsidP="0065774A">
      <w:pPr>
        <w:spacing w:line="240" w:lineRule="auto"/>
        <w:rPr>
          <w:rFonts w:asciiTheme="minorHAnsi" w:hAnsiTheme="minorHAnsi"/>
          <w:noProof/>
          <w:szCs w:val="22"/>
        </w:rPr>
      </w:pPr>
    </w:p>
    <w:p w:rsidR="004B69E9" w:rsidRPr="004B69E9" w:rsidRDefault="004B69E9" w:rsidP="0065774A">
      <w:pPr>
        <w:spacing w:line="240" w:lineRule="auto"/>
        <w:rPr>
          <w:rFonts w:asciiTheme="minorHAnsi" w:hAnsiTheme="minorHAnsi"/>
          <w:noProof/>
          <w:szCs w:val="22"/>
        </w:rPr>
      </w:pPr>
      <w:r w:rsidRPr="004B69E9">
        <w:rPr>
          <w:rFonts w:asciiTheme="minorHAnsi" w:hAnsiTheme="minorHAnsi"/>
          <w:noProof/>
          <w:szCs w:val="22"/>
        </w:rPr>
        <w:t>Organisation for Economic and Cooperative Development (2010)</w:t>
      </w:r>
      <w:r w:rsidRPr="004B69E9">
        <w:rPr>
          <w:rFonts w:asciiTheme="minorHAnsi" w:hAnsiTheme="minorHAnsi"/>
          <w:i/>
          <w:noProof/>
          <w:szCs w:val="22"/>
        </w:rPr>
        <w:t xml:space="preserve"> Education at a Glance.</w:t>
      </w:r>
      <w:r w:rsidRPr="004B69E9">
        <w:rPr>
          <w:rFonts w:asciiTheme="minorHAnsi" w:hAnsiTheme="minorHAnsi"/>
          <w:noProof/>
          <w:szCs w:val="22"/>
        </w:rPr>
        <w:t>Paris: OECD.</w:t>
      </w:r>
    </w:p>
    <w:p w:rsidR="004B69E9" w:rsidRPr="004B69E9" w:rsidRDefault="004B69E9" w:rsidP="0065774A">
      <w:pPr>
        <w:spacing w:line="240" w:lineRule="auto"/>
        <w:rPr>
          <w:rFonts w:asciiTheme="minorHAnsi" w:hAnsiTheme="minorHAnsi"/>
          <w:noProof/>
          <w:szCs w:val="22"/>
        </w:rPr>
      </w:pPr>
    </w:p>
    <w:p w:rsidR="004B69E9" w:rsidRPr="004B69E9" w:rsidRDefault="004B69E9" w:rsidP="0065774A">
      <w:pPr>
        <w:spacing w:line="240" w:lineRule="auto"/>
        <w:rPr>
          <w:rFonts w:asciiTheme="minorHAnsi" w:hAnsiTheme="minorHAnsi" w:cs="Trebuchet MS"/>
          <w:szCs w:val="22"/>
          <w:lang w:val="en-US"/>
        </w:rPr>
      </w:pPr>
      <w:r w:rsidRPr="004B69E9">
        <w:rPr>
          <w:rFonts w:asciiTheme="minorHAnsi" w:hAnsiTheme="minorHAnsi"/>
          <w:noProof/>
          <w:szCs w:val="22"/>
        </w:rPr>
        <w:t xml:space="preserve">Power, M. (1999) </w:t>
      </w:r>
      <w:proofErr w:type="gramStart"/>
      <w:r w:rsidRPr="004B69E9">
        <w:rPr>
          <w:rFonts w:asciiTheme="minorHAnsi" w:hAnsiTheme="minorHAnsi" w:cs="Trebuchet MS"/>
          <w:i/>
          <w:szCs w:val="22"/>
          <w:lang w:val="en-US"/>
        </w:rPr>
        <w:t>The</w:t>
      </w:r>
      <w:proofErr w:type="gramEnd"/>
      <w:r w:rsidRPr="004B69E9">
        <w:rPr>
          <w:rFonts w:asciiTheme="minorHAnsi" w:hAnsiTheme="minorHAnsi" w:cs="Trebuchet MS"/>
          <w:i/>
          <w:szCs w:val="22"/>
          <w:lang w:val="en-US"/>
        </w:rPr>
        <w:t xml:space="preserve"> audit society: rituals of verification</w:t>
      </w:r>
      <w:r w:rsidRPr="004B69E9">
        <w:rPr>
          <w:rFonts w:asciiTheme="minorHAnsi" w:hAnsiTheme="minorHAnsi" w:cs="Trebuchet MS"/>
          <w:szCs w:val="22"/>
          <w:lang w:val="en-US"/>
        </w:rPr>
        <w:t>. Oxford: Oxford University Press.</w:t>
      </w:r>
    </w:p>
    <w:p w:rsidR="004B69E9" w:rsidRPr="004B69E9" w:rsidRDefault="004B69E9" w:rsidP="0065774A">
      <w:pPr>
        <w:spacing w:line="240" w:lineRule="auto"/>
        <w:rPr>
          <w:rFonts w:asciiTheme="minorHAnsi" w:hAnsiTheme="minorHAnsi"/>
          <w:i/>
          <w:noProof/>
          <w:szCs w:val="22"/>
        </w:rPr>
      </w:pPr>
    </w:p>
    <w:p w:rsidR="004B69E9" w:rsidRPr="004B69E9" w:rsidRDefault="004B69E9" w:rsidP="0065774A">
      <w:pPr>
        <w:spacing w:line="240" w:lineRule="auto"/>
        <w:rPr>
          <w:rFonts w:asciiTheme="minorHAnsi" w:hAnsiTheme="minorHAnsi"/>
          <w:noProof/>
          <w:szCs w:val="22"/>
        </w:rPr>
      </w:pPr>
      <w:proofErr w:type="gramStart"/>
      <w:r w:rsidRPr="004B69E9">
        <w:rPr>
          <w:rFonts w:asciiTheme="minorHAnsi" w:hAnsiTheme="minorHAnsi" w:cs="Helvetica"/>
          <w:color w:val="1B1718"/>
          <w:szCs w:val="22"/>
          <w:lang w:val="en-US"/>
        </w:rPr>
        <w:t xml:space="preserve">Ranson, S. (2003) Public accountability in the age of neo-liberal governance, </w:t>
      </w:r>
      <w:r w:rsidRPr="004B69E9">
        <w:rPr>
          <w:rFonts w:asciiTheme="minorHAnsi" w:hAnsiTheme="minorHAnsi" w:cs="Helvetica"/>
          <w:i/>
          <w:color w:val="1B1718"/>
          <w:szCs w:val="22"/>
          <w:lang w:val="en-US"/>
        </w:rPr>
        <w:t>Journal of Education Policy</w:t>
      </w:r>
      <w:r w:rsidRPr="004B69E9">
        <w:rPr>
          <w:rFonts w:asciiTheme="minorHAnsi" w:hAnsiTheme="minorHAnsi" w:cs="Helvetica"/>
          <w:color w:val="1B1718"/>
          <w:szCs w:val="22"/>
          <w:lang w:val="en-US"/>
        </w:rPr>
        <w:t>, 18(5), 459–480.</w:t>
      </w:r>
      <w:proofErr w:type="gramEnd"/>
    </w:p>
    <w:p w:rsidR="004B69E9" w:rsidRPr="004B69E9" w:rsidRDefault="004B69E9" w:rsidP="0065774A">
      <w:pPr>
        <w:spacing w:line="240" w:lineRule="auto"/>
        <w:rPr>
          <w:rFonts w:asciiTheme="minorHAnsi" w:hAnsiTheme="minorHAnsi"/>
          <w:noProof/>
          <w:szCs w:val="22"/>
        </w:rPr>
      </w:pPr>
    </w:p>
    <w:p w:rsidR="004B69E9" w:rsidRPr="004B69E9" w:rsidRDefault="004B69E9" w:rsidP="0065774A">
      <w:pPr>
        <w:spacing w:line="240" w:lineRule="auto"/>
        <w:rPr>
          <w:rFonts w:asciiTheme="minorHAnsi" w:hAnsiTheme="minorHAnsi"/>
          <w:noProof/>
          <w:szCs w:val="22"/>
        </w:rPr>
      </w:pPr>
      <w:bookmarkStart w:id="9" w:name="_ENREF_10"/>
      <w:r w:rsidRPr="004B69E9">
        <w:rPr>
          <w:rFonts w:asciiTheme="minorHAnsi" w:hAnsiTheme="minorHAnsi"/>
          <w:noProof/>
          <w:szCs w:val="22"/>
        </w:rPr>
        <w:t>Sidorkin, A. M. (2004). Panopticon of the Second Kind: Self-Reforming During the Era of Excellence</w:t>
      </w:r>
    </w:p>
    <w:p w:rsidR="004B69E9" w:rsidRPr="004B69E9" w:rsidRDefault="004B69E9" w:rsidP="0065774A">
      <w:pPr>
        <w:spacing w:line="240" w:lineRule="auto"/>
        <w:rPr>
          <w:rFonts w:asciiTheme="minorHAnsi" w:hAnsiTheme="minorHAnsi"/>
          <w:szCs w:val="22"/>
        </w:rPr>
      </w:pPr>
      <w:r w:rsidRPr="004B69E9">
        <w:rPr>
          <w:rFonts w:asciiTheme="minorHAnsi" w:hAnsiTheme="minorHAnsi"/>
          <w:i/>
          <w:noProof/>
          <w:szCs w:val="22"/>
        </w:rPr>
        <w:t>Faculty Publications, 13</w:t>
      </w:r>
      <w:r w:rsidRPr="004B69E9">
        <w:rPr>
          <w:rFonts w:asciiTheme="minorHAnsi" w:hAnsiTheme="minorHAnsi"/>
          <w:noProof/>
          <w:szCs w:val="22"/>
        </w:rPr>
        <w:t>. Retrieved from http://digitalcommons.ric.edu/facultypublications/13</w:t>
      </w:r>
      <w:bookmarkEnd w:id="9"/>
    </w:p>
    <w:p w:rsidR="004B69E9" w:rsidRPr="004B69E9" w:rsidRDefault="004B69E9" w:rsidP="0065774A">
      <w:pPr>
        <w:spacing w:line="240" w:lineRule="auto"/>
        <w:rPr>
          <w:rFonts w:asciiTheme="minorHAnsi" w:hAnsiTheme="minorHAnsi"/>
          <w:szCs w:val="22"/>
        </w:rPr>
      </w:pPr>
    </w:p>
    <w:p w:rsidR="004B69E9" w:rsidRPr="004B69E9" w:rsidRDefault="004B69E9" w:rsidP="0065774A">
      <w:pPr>
        <w:spacing w:line="240" w:lineRule="auto"/>
        <w:rPr>
          <w:rFonts w:asciiTheme="minorHAnsi" w:hAnsiTheme="minorHAnsi"/>
          <w:szCs w:val="22"/>
          <w:lang w:val="en-US"/>
        </w:rPr>
      </w:pPr>
      <w:r w:rsidRPr="004B69E9">
        <w:rPr>
          <w:rFonts w:asciiTheme="minorHAnsi" w:hAnsiTheme="minorHAnsi"/>
          <w:szCs w:val="22"/>
          <w:lang w:val="en-US"/>
        </w:rPr>
        <w:lastRenderedPageBreak/>
        <w:t xml:space="preserve">Skilbeck, M. (2001) </w:t>
      </w:r>
      <w:proofErr w:type="gramStart"/>
      <w:r w:rsidRPr="004B69E9">
        <w:rPr>
          <w:rFonts w:asciiTheme="minorHAnsi" w:hAnsiTheme="minorHAnsi"/>
          <w:i/>
          <w:szCs w:val="22"/>
          <w:lang w:val="en-US"/>
        </w:rPr>
        <w:t>The</w:t>
      </w:r>
      <w:proofErr w:type="gramEnd"/>
      <w:r w:rsidRPr="004B69E9">
        <w:rPr>
          <w:rFonts w:asciiTheme="minorHAnsi" w:hAnsiTheme="minorHAnsi"/>
          <w:i/>
          <w:szCs w:val="22"/>
          <w:lang w:val="en-US"/>
        </w:rPr>
        <w:t xml:space="preserve"> university challenged: a review of international trends and issues with particular reference to Ireland</w:t>
      </w:r>
      <w:r w:rsidRPr="004B69E9">
        <w:rPr>
          <w:rFonts w:asciiTheme="minorHAnsi" w:hAnsiTheme="minorHAnsi"/>
          <w:szCs w:val="22"/>
          <w:lang w:val="en-US"/>
        </w:rPr>
        <w:t>. Dublin: Higher Education Authority.</w:t>
      </w:r>
    </w:p>
    <w:p w:rsidR="004B69E9" w:rsidRPr="004B69E9" w:rsidRDefault="004B69E9" w:rsidP="0065774A">
      <w:pPr>
        <w:spacing w:line="240" w:lineRule="auto"/>
        <w:rPr>
          <w:rFonts w:asciiTheme="minorHAnsi" w:hAnsiTheme="minorHAnsi"/>
          <w:noProof/>
          <w:szCs w:val="22"/>
        </w:rPr>
      </w:pPr>
    </w:p>
    <w:p w:rsidR="004B69E9" w:rsidRPr="004B69E9" w:rsidRDefault="004B69E9" w:rsidP="0065774A">
      <w:pPr>
        <w:spacing w:line="240" w:lineRule="auto"/>
        <w:rPr>
          <w:rFonts w:asciiTheme="minorHAnsi" w:hAnsiTheme="minorHAnsi"/>
          <w:noProof/>
          <w:szCs w:val="22"/>
        </w:rPr>
      </w:pPr>
      <w:bookmarkStart w:id="10" w:name="_ENREF_11"/>
      <w:r w:rsidRPr="004B69E9">
        <w:rPr>
          <w:rFonts w:asciiTheme="minorHAnsi" w:hAnsiTheme="minorHAnsi"/>
          <w:noProof/>
          <w:szCs w:val="22"/>
        </w:rPr>
        <w:t xml:space="preserve">Thompson, K. (2003). Forms of resistance: Foucault on tactical reversal and self-formation. </w:t>
      </w:r>
      <w:r w:rsidRPr="004B69E9">
        <w:rPr>
          <w:rFonts w:asciiTheme="minorHAnsi" w:hAnsiTheme="minorHAnsi"/>
          <w:i/>
          <w:noProof/>
          <w:szCs w:val="22"/>
        </w:rPr>
        <w:t>Continental Philosophy Review, 36</w:t>
      </w:r>
      <w:r w:rsidRPr="004B69E9">
        <w:rPr>
          <w:rFonts w:asciiTheme="minorHAnsi" w:hAnsiTheme="minorHAnsi"/>
          <w:noProof/>
          <w:szCs w:val="22"/>
        </w:rPr>
        <w:t>(2), 113-138.</w:t>
      </w:r>
      <w:bookmarkEnd w:id="10"/>
    </w:p>
    <w:p w:rsidR="004B69E9" w:rsidRPr="004B69E9" w:rsidRDefault="004B69E9" w:rsidP="0065774A">
      <w:pPr>
        <w:spacing w:line="240" w:lineRule="auto"/>
        <w:rPr>
          <w:rFonts w:asciiTheme="minorHAnsi" w:hAnsiTheme="minorHAnsi"/>
          <w:noProof/>
          <w:szCs w:val="22"/>
        </w:rPr>
      </w:pPr>
    </w:p>
    <w:p w:rsidR="004B69E9" w:rsidRPr="004B69E9" w:rsidRDefault="004B69E9" w:rsidP="0065774A">
      <w:pPr>
        <w:spacing w:line="240" w:lineRule="auto"/>
        <w:rPr>
          <w:rFonts w:asciiTheme="minorHAnsi" w:hAnsiTheme="minorHAnsi" w:cs="Helvetica"/>
          <w:color w:val="000000"/>
          <w:szCs w:val="22"/>
          <w:lang w:val="en-US"/>
        </w:rPr>
      </w:pPr>
      <w:proofErr w:type="gramStart"/>
      <w:r w:rsidRPr="004B69E9">
        <w:rPr>
          <w:rFonts w:asciiTheme="minorHAnsi" w:hAnsiTheme="minorHAnsi" w:cs="Helvetica"/>
          <w:color w:val="000000"/>
          <w:szCs w:val="22"/>
          <w:lang w:val="en-US"/>
        </w:rPr>
        <w:t>Tight, M. (2000).</w:t>
      </w:r>
      <w:proofErr w:type="gramEnd"/>
      <w:r w:rsidRPr="004B69E9">
        <w:rPr>
          <w:rFonts w:asciiTheme="minorHAnsi" w:hAnsiTheme="minorHAnsi" w:cs="Helvetica"/>
          <w:color w:val="000000"/>
          <w:szCs w:val="22"/>
          <w:lang w:val="en-US"/>
        </w:rPr>
        <w:t xml:space="preserve"> ‘Do league tables contribute to the development of a quality culture? </w:t>
      </w:r>
      <w:proofErr w:type="gramStart"/>
      <w:r w:rsidRPr="004B69E9">
        <w:rPr>
          <w:rFonts w:asciiTheme="minorHAnsi" w:hAnsiTheme="minorHAnsi" w:cs="Helvetica"/>
          <w:color w:val="000000"/>
          <w:szCs w:val="22"/>
          <w:lang w:val="en-US"/>
        </w:rPr>
        <w:t xml:space="preserve">Football and higher education compared’, </w:t>
      </w:r>
      <w:r w:rsidRPr="004B69E9">
        <w:rPr>
          <w:rFonts w:asciiTheme="minorHAnsi" w:hAnsiTheme="minorHAnsi" w:cs="Helvetica"/>
          <w:i/>
          <w:color w:val="000000"/>
          <w:szCs w:val="22"/>
          <w:lang w:val="en-US"/>
        </w:rPr>
        <w:t>Higher Education Quarterly</w:t>
      </w:r>
      <w:r w:rsidRPr="004B69E9">
        <w:rPr>
          <w:rFonts w:asciiTheme="minorHAnsi" w:hAnsiTheme="minorHAnsi" w:cs="Helvetica"/>
          <w:color w:val="000000"/>
          <w:szCs w:val="22"/>
          <w:lang w:val="en-US"/>
        </w:rPr>
        <w:t xml:space="preserve"> 54(1), 22–42.</w:t>
      </w:r>
      <w:proofErr w:type="gramEnd"/>
    </w:p>
    <w:p w:rsidR="004B69E9" w:rsidRPr="004B69E9" w:rsidRDefault="004B69E9" w:rsidP="0065774A">
      <w:pPr>
        <w:spacing w:line="240" w:lineRule="auto"/>
        <w:rPr>
          <w:rFonts w:asciiTheme="minorHAnsi" w:hAnsiTheme="minorHAnsi"/>
          <w:noProof/>
          <w:szCs w:val="22"/>
        </w:rPr>
      </w:pPr>
    </w:p>
    <w:p w:rsidR="004B69E9" w:rsidRPr="004B69E9" w:rsidRDefault="004B69E9" w:rsidP="0065774A">
      <w:pPr>
        <w:spacing w:line="240" w:lineRule="auto"/>
        <w:rPr>
          <w:rFonts w:asciiTheme="minorHAnsi" w:hAnsiTheme="minorHAnsi"/>
          <w:noProof/>
          <w:szCs w:val="22"/>
        </w:rPr>
      </w:pPr>
      <w:bookmarkStart w:id="11" w:name="_ENREF_12"/>
      <w:r w:rsidRPr="004B69E9">
        <w:rPr>
          <w:rFonts w:asciiTheme="minorHAnsi" w:hAnsiTheme="minorHAnsi"/>
          <w:noProof/>
          <w:szCs w:val="22"/>
        </w:rPr>
        <w:t xml:space="preserve">Tobias, S. (2005). Foucault on freedom and capabilities. </w:t>
      </w:r>
      <w:r w:rsidRPr="004B69E9">
        <w:rPr>
          <w:rFonts w:asciiTheme="minorHAnsi" w:hAnsiTheme="minorHAnsi"/>
          <w:i/>
          <w:noProof/>
          <w:szCs w:val="22"/>
        </w:rPr>
        <w:t>Theory Culture &amp; Society, 22</w:t>
      </w:r>
      <w:r w:rsidRPr="004B69E9">
        <w:rPr>
          <w:rFonts w:asciiTheme="minorHAnsi" w:hAnsiTheme="minorHAnsi"/>
          <w:noProof/>
          <w:szCs w:val="22"/>
        </w:rPr>
        <w:t>(4), 65-85.</w:t>
      </w:r>
      <w:bookmarkEnd w:id="11"/>
    </w:p>
    <w:p w:rsidR="004B69E9" w:rsidRPr="004B69E9" w:rsidRDefault="004B69E9" w:rsidP="0065774A">
      <w:pPr>
        <w:spacing w:line="240" w:lineRule="auto"/>
        <w:rPr>
          <w:rFonts w:asciiTheme="minorHAnsi" w:hAnsiTheme="minorHAnsi"/>
          <w:noProof/>
          <w:szCs w:val="22"/>
        </w:rPr>
      </w:pPr>
    </w:p>
    <w:p w:rsidR="004B69E9" w:rsidRPr="004B69E9" w:rsidRDefault="004B69E9" w:rsidP="0065774A">
      <w:pPr>
        <w:spacing w:line="240" w:lineRule="auto"/>
        <w:rPr>
          <w:rFonts w:asciiTheme="minorHAnsi" w:hAnsiTheme="minorHAnsi"/>
          <w:noProof/>
          <w:szCs w:val="22"/>
        </w:rPr>
      </w:pPr>
      <w:r w:rsidRPr="004B69E9">
        <w:rPr>
          <w:rFonts w:asciiTheme="minorHAnsi" w:hAnsiTheme="minorHAnsi" w:cs="Helvetica"/>
          <w:szCs w:val="22"/>
          <w:lang w:val="en-US"/>
        </w:rPr>
        <w:t xml:space="preserve">Usher A. &amp; Massimo, S. (2006) </w:t>
      </w:r>
      <w:r w:rsidRPr="004B69E9">
        <w:rPr>
          <w:rFonts w:asciiTheme="minorHAnsi" w:hAnsiTheme="minorHAnsi" w:cs="Helvetica"/>
          <w:i/>
          <w:szCs w:val="22"/>
          <w:lang w:val="en-US"/>
        </w:rPr>
        <w:t>A World of Difference: A Global Survey of University League Tables</w:t>
      </w:r>
      <w:r w:rsidRPr="004B69E9">
        <w:rPr>
          <w:rFonts w:asciiTheme="minorHAnsi" w:hAnsiTheme="minorHAnsi" w:cs="Helvetica"/>
          <w:szCs w:val="22"/>
          <w:lang w:val="en-US"/>
        </w:rPr>
        <w:t>. Toronto, Canada: Educational Policy Institute.</w:t>
      </w:r>
    </w:p>
    <w:p w:rsidR="004B69E9" w:rsidRPr="004B69E9" w:rsidRDefault="004B69E9" w:rsidP="0065774A">
      <w:pPr>
        <w:spacing w:line="240" w:lineRule="auto"/>
        <w:rPr>
          <w:rFonts w:asciiTheme="minorHAnsi" w:hAnsiTheme="minorHAnsi"/>
          <w:noProof/>
          <w:szCs w:val="22"/>
        </w:rPr>
      </w:pPr>
    </w:p>
    <w:p w:rsidR="004B69E9" w:rsidRPr="004B69E9" w:rsidRDefault="004B69E9" w:rsidP="0065774A">
      <w:pPr>
        <w:spacing w:line="240" w:lineRule="auto"/>
        <w:rPr>
          <w:rFonts w:asciiTheme="minorHAnsi" w:hAnsiTheme="minorHAnsi"/>
          <w:noProof/>
          <w:szCs w:val="22"/>
        </w:rPr>
      </w:pPr>
      <w:bookmarkStart w:id="12" w:name="_ENREF_13"/>
      <w:r w:rsidRPr="004B69E9">
        <w:rPr>
          <w:rFonts w:asciiTheme="minorHAnsi" w:hAnsiTheme="minorHAnsi"/>
          <w:noProof/>
          <w:szCs w:val="22"/>
        </w:rPr>
        <w:t xml:space="preserve">Waitere, H. J., Wright, J., Tremaine, M., Brown, S., &amp; Pausé, C. T. (2011). Choosing whether to resist or reinforce the new managerialism: the impact of performance-based research funding on academic identity. </w:t>
      </w:r>
      <w:r w:rsidRPr="004B69E9">
        <w:rPr>
          <w:rFonts w:asciiTheme="minorHAnsi" w:hAnsiTheme="minorHAnsi"/>
          <w:i/>
          <w:noProof/>
          <w:szCs w:val="22"/>
        </w:rPr>
        <w:t>Higher Education Research &amp; Development, 30</w:t>
      </w:r>
      <w:r w:rsidRPr="004B69E9">
        <w:rPr>
          <w:rFonts w:asciiTheme="minorHAnsi" w:hAnsiTheme="minorHAnsi"/>
          <w:noProof/>
          <w:szCs w:val="22"/>
        </w:rPr>
        <w:t>(2), 205-217.</w:t>
      </w:r>
      <w:bookmarkEnd w:id="12"/>
    </w:p>
    <w:p w:rsidR="004B69E9" w:rsidRPr="004B69E9" w:rsidRDefault="004B69E9" w:rsidP="0065774A">
      <w:pPr>
        <w:spacing w:line="240" w:lineRule="auto"/>
        <w:rPr>
          <w:rFonts w:asciiTheme="minorHAnsi" w:hAnsiTheme="minorHAnsi"/>
          <w:noProof/>
          <w:szCs w:val="22"/>
        </w:rPr>
      </w:pPr>
    </w:p>
    <w:p w:rsidR="004B69E9" w:rsidRPr="004B69E9" w:rsidRDefault="004B69E9" w:rsidP="0065774A">
      <w:pPr>
        <w:spacing w:line="240" w:lineRule="auto"/>
        <w:rPr>
          <w:rFonts w:asciiTheme="minorHAnsi" w:hAnsiTheme="minorHAnsi"/>
          <w:szCs w:val="22"/>
        </w:rPr>
      </w:pPr>
    </w:p>
    <w:p w:rsidR="004B69E9" w:rsidRPr="004B69E9" w:rsidRDefault="004B69E9">
      <w:pPr>
        <w:rPr>
          <w:rFonts w:asciiTheme="minorHAnsi" w:hAnsiTheme="minorHAnsi"/>
          <w:szCs w:val="22"/>
        </w:rPr>
      </w:pPr>
      <w:r w:rsidRPr="004B69E9">
        <w:rPr>
          <w:rFonts w:asciiTheme="minorHAnsi" w:hAnsiTheme="minorHAnsi"/>
          <w:szCs w:val="22"/>
        </w:rPr>
        <w:t>[</w:t>
      </w:r>
      <w:proofErr w:type="gramStart"/>
      <w:r w:rsidRPr="004B69E9">
        <w:rPr>
          <w:rFonts w:asciiTheme="minorHAnsi" w:hAnsiTheme="minorHAnsi"/>
          <w:szCs w:val="22"/>
        </w:rPr>
        <w:t>total</w:t>
      </w:r>
      <w:proofErr w:type="gramEnd"/>
      <w:r w:rsidRPr="004B69E9">
        <w:rPr>
          <w:rFonts w:asciiTheme="minorHAnsi" w:hAnsiTheme="minorHAnsi"/>
          <w:szCs w:val="22"/>
        </w:rPr>
        <w:t xml:space="preserve"> words 6656]</w:t>
      </w:r>
    </w:p>
    <w:p w:rsidR="004B69E9" w:rsidRPr="004B69E9" w:rsidRDefault="004B69E9">
      <w:pPr>
        <w:rPr>
          <w:rFonts w:asciiTheme="minorHAnsi" w:hAnsiTheme="minorHAnsi"/>
          <w:szCs w:val="22"/>
        </w:rPr>
      </w:pPr>
    </w:p>
    <w:p w:rsidR="00E36611" w:rsidRPr="004B69E9" w:rsidRDefault="00E36611">
      <w:pPr>
        <w:rPr>
          <w:rFonts w:asciiTheme="minorHAnsi" w:hAnsiTheme="minorHAnsi"/>
          <w:szCs w:val="22"/>
        </w:rPr>
      </w:pPr>
    </w:p>
    <w:sectPr w:rsidR="00E36611" w:rsidRPr="004B69E9" w:rsidSect="00AF2AD4">
      <w:footerReference w:type="even"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D053E" w:rsidRDefault="007D053E" w:rsidP="004B69E9">
      <w:pPr>
        <w:spacing w:line="240" w:lineRule="auto"/>
      </w:pPr>
      <w:r>
        <w:separator/>
      </w:r>
    </w:p>
  </w:endnote>
  <w:endnote w:type="continuationSeparator" w:id="0">
    <w:p w:rsidR="007D053E" w:rsidRDefault="007D053E" w:rsidP="004B69E9">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E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rtoGothic Std Book">
    <w:altName w:val="Times New Roman"/>
    <w:panose1 w:val="00000000000000000000"/>
    <w:charset w:val="00"/>
    <w:family w:val="roman"/>
    <w:notTrueType/>
    <w:pitch w:val="default"/>
    <w:sig w:usb0="00000000" w:usb1="00000000" w:usb2="00000000" w:usb3="00000000" w:csb0="00000000" w:csb1="00000000"/>
  </w:font>
  <w:font w:name="Lucida Grande">
    <w:charset w:val="00"/>
    <w:family w:val="auto"/>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imes">
    <w:panose1 w:val="02020603050405020304"/>
    <w:charset w:val="00"/>
    <w:family w:val="roman"/>
    <w:pitch w:val="variable"/>
    <w:sig w:usb0="00000007" w:usb1="00000000" w:usb2="00000000" w:usb3="00000000" w:csb0="00000093" w:csb1="00000000"/>
  </w:font>
  <w:font w:name="AdvTimes">
    <w:altName w:val="CartoGothic Std Book"/>
    <w:panose1 w:val="00000000000000000000"/>
    <w:charset w:val="00"/>
    <w:family w:val="auto"/>
    <w:notTrueType/>
    <w:pitch w:val="default"/>
    <w:sig w:usb0="00000003" w:usb1="00000000" w:usb2="00000000" w:usb3="00000000" w:csb0="00000001" w:csb1="00000000"/>
  </w:font>
  <w:font w:name="AdvTimes-i">
    <w:panose1 w:val="00000000000000000000"/>
    <w:charset w:val="00"/>
    <w:family w:val="auto"/>
    <w:notTrueType/>
    <w:pitch w:val="default"/>
    <w:sig w:usb0="00000003" w:usb1="00000000" w:usb2="00000000" w:usb3="00000000" w:csb0="00000001" w:csb1="00000000"/>
  </w:font>
  <w:font w:name="Trebuchet MS">
    <w:panose1 w:val="020B0603020202020204"/>
    <w:charset w:val="00"/>
    <w:family w:val="swiss"/>
    <w:pitch w:val="variable"/>
    <w:sig w:usb0="00000287" w:usb1="00000000" w:usb2="00000000" w:usb3="00000000" w:csb0="0000009F" w:csb1="00000000"/>
  </w:font>
  <w:font w:name="Helvetica">
    <w:panose1 w:val="020B0604020202020204"/>
    <w:charset w:val="00"/>
    <w:family w:val="swiss"/>
    <w:pitch w:val="variable"/>
    <w:sig w:usb0="00000007" w:usb1="00000000" w:usb2="00000000" w:usb3="00000000" w:csb0="00000093"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774A" w:rsidRDefault="00562E3A" w:rsidP="00754D1D">
    <w:pPr>
      <w:pStyle w:val="Footer"/>
      <w:framePr w:wrap="around" w:vAnchor="text" w:hAnchor="margin" w:xAlign="right" w:y="1"/>
      <w:rPr>
        <w:rStyle w:val="PageNumber"/>
        <w:rFonts w:ascii="CartoGothic Std Book" w:hAnsi="CartoGothic Std Book" w:cs="Times New Roman"/>
        <w:szCs w:val="24"/>
        <w:lang w:val="en-GB"/>
      </w:rPr>
    </w:pPr>
    <w:r>
      <w:rPr>
        <w:rStyle w:val="PageNumber"/>
      </w:rPr>
      <w:fldChar w:fldCharType="begin"/>
    </w:r>
    <w:r w:rsidR="00656E34">
      <w:rPr>
        <w:rStyle w:val="PageNumber"/>
      </w:rPr>
      <w:instrText xml:space="preserve">PAGE  </w:instrText>
    </w:r>
    <w:r>
      <w:rPr>
        <w:rStyle w:val="PageNumber"/>
      </w:rPr>
      <w:fldChar w:fldCharType="end"/>
    </w:r>
  </w:p>
  <w:p w:rsidR="0065774A" w:rsidRDefault="007D053E" w:rsidP="00754D1D">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774A" w:rsidRDefault="00562E3A" w:rsidP="00754D1D">
    <w:pPr>
      <w:pStyle w:val="Footer"/>
      <w:framePr w:wrap="around" w:vAnchor="text" w:hAnchor="margin" w:xAlign="right" w:y="1"/>
      <w:rPr>
        <w:rStyle w:val="PageNumber"/>
        <w:rFonts w:ascii="CartoGothic Std Book" w:hAnsi="CartoGothic Std Book" w:cs="Times New Roman"/>
        <w:szCs w:val="24"/>
        <w:lang w:val="en-GB"/>
      </w:rPr>
    </w:pPr>
    <w:r>
      <w:rPr>
        <w:rStyle w:val="PageNumber"/>
      </w:rPr>
      <w:fldChar w:fldCharType="begin"/>
    </w:r>
    <w:r w:rsidR="00656E34">
      <w:rPr>
        <w:rStyle w:val="PageNumber"/>
      </w:rPr>
      <w:instrText xml:space="preserve">PAGE  </w:instrText>
    </w:r>
    <w:r>
      <w:rPr>
        <w:rStyle w:val="PageNumber"/>
      </w:rPr>
      <w:fldChar w:fldCharType="separate"/>
    </w:r>
    <w:r w:rsidR="009C6FE5">
      <w:rPr>
        <w:rStyle w:val="PageNumber"/>
        <w:noProof/>
      </w:rPr>
      <w:t>1</w:t>
    </w:r>
    <w:r>
      <w:rPr>
        <w:rStyle w:val="PageNumber"/>
      </w:rPr>
      <w:fldChar w:fldCharType="end"/>
    </w:r>
  </w:p>
  <w:p w:rsidR="0065774A" w:rsidRDefault="007D053E" w:rsidP="00754D1D">
    <w:pPr>
      <w:pStyle w:val="Footer"/>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D053E" w:rsidRDefault="007D053E" w:rsidP="004B69E9">
      <w:pPr>
        <w:spacing w:line="240" w:lineRule="auto"/>
      </w:pPr>
      <w:r>
        <w:separator/>
      </w:r>
    </w:p>
  </w:footnote>
  <w:footnote w:type="continuationSeparator" w:id="0">
    <w:p w:rsidR="007D053E" w:rsidRDefault="007D053E" w:rsidP="004B69E9">
      <w:pPr>
        <w:spacing w:line="240" w:lineRule="auto"/>
      </w:pPr>
      <w:r>
        <w:continuationSeparator/>
      </w:r>
    </w:p>
  </w:footnote>
  <w:footnote w:id="1">
    <w:p w:rsidR="004B69E9" w:rsidRPr="00771629" w:rsidRDefault="004B69E9">
      <w:pPr>
        <w:pStyle w:val="FootnoteText"/>
        <w:rPr>
          <w:rFonts w:asciiTheme="minorHAnsi" w:hAnsiTheme="minorHAnsi"/>
          <w:lang w:val="en-IE"/>
        </w:rPr>
      </w:pPr>
      <w:r w:rsidRPr="00771629">
        <w:rPr>
          <w:rStyle w:val="FootnoteReference"/>
          <w:rFonts w:asciiTheme="minorHAnsi" w:hAnsiTheme="minorHAnsi"/>
        </w:rPr>
        <w:footnoteRef/>
      </w:r>
      <w:r w:rsidRPr="00771629">
        <w:rPr>
          <w:rFonts w:asciiTheme="minorHAnsi" w:hAnsiTheme="minorHAnsi"/>
        </w:rPr>
        <w:t xml:space="preserve"> </w:t>
      </w:r>
      <w:r w:rsidRPr="00771629">
        <w:rPr>
          <w:rFonts w:asciiTheme="minorHAnsi" w:hAnsiTheme="minorHAnsi"/>
          <w:lang w:val="en-IE"/>
        </w:rPr>
        <w:t xml:space="preserve">Corresponding author, </w:t>
      </w:r>
      <w:r w:rsidR="009C6FE5">
        <w:rPr>
          <w:rFonts w:asciiTheme="minorHAnsi" w:hAnsiTheme="minorHAnsi"/>
          <w:lang w:val="en-IE"/>
        </w:rPr>
        <w:t>Aidan Seery</w:t>
      </w:r>
      <w:r w:rsidRPr="00771629">
        <w:rPr>
          <w:rFonts w:asciiTheme="minorHAnsi" w:hAnsiTheme="minorHAnsi"/>
          <w:lang w:val="en-IE"/>
        </w:rPr>
        <w:t xml:space="preserve">, School of Education, Trinity College Dublin, </w:t>
      </w:r>
      <w:hyperlink r:id="rId1" w:history="1">
        <w:r w:rsidR="009C6FE5" w:rsidRPr="00525817">
          <w:rPr>
            <w:rStyle w:val="Hyperlink"/>
            <w:rFonts w:asciiTheme="minorHAnsi" w:hAnsiTheme="minorHAnsi"/>
            <w:lang w:val="en-IE"/>
          </w:rPr>
          <w:t>seerya@tcd.ie</w:t>
        </w:r>
      </w:hyperlink>
      <w:r w:rsidRPr="00771629">
        <w:rPr>
          <w:rFonts w:asciiTheme="minorHAnsi" w:hAnsiTheme="minorHAnsi"/>
          <w:lang w:val="en-IE"/>
        </w:rPr>
        <w:t xml:space="preserve"> </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9B56E1"/>
    <w:multiLevelType w:val="hybridMultilevel"/>
    <w:tmpl w:val="CF302148"/>
    <w:lvl w:ilvl="0" w:tplc="FF14644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23577870"/>
    <w:multiLevelType w:val="hybridMultilevel"/>
    <w:tmpl w:val="CF302148"/>
    <w:lvl w:ilvl="0" w:tplc="FF14644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3AD55067"/>
    <w:multiLevelType w:val="hybridMultilevel"/>
    <w:tmpl w:val="43E2C7E2"/>
    <w:lvl w:ilvl="0" w:tplc="BEDC763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43607197"/>
    <w:multiLevelType w:val="hybridMultilevel"/>
    <w:tmpl w:val="CF302148"/>
    <w:lvl w:ilvl="0" w:tplc="FF14644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44F52D75"/>
    <w:multiLevelType w:val="hybridMultilevel"/>
    <w:tmpl w:val="D87A81E8"/>
    <w:lvl w:ilvl="0" w:tplc="BEDC763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485E1424"/>
    <w:multiLevelType w:val="hybridMultilevel"/>
    <w:tmpl w:val="DA243E4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4BB63AB4"/>
    <w:multiLevelType w:val="hybridMultilevel"/>
    <w:tmpl w:val="A672DF7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4ED04436"/>
    <w:multiLevelType w:val="hybridMultilevel"/>
    <w:tmpl w:val="84682C7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6EA04976"/>
    <w:multiLevelType w:val="hybridMultilevel"/>
    <w:tmpl w:val="FA38BC3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725E4266"/>
    <w:multiLevelType w:val="hybridMultilevel"/>
    <w:tmpl w:val="1B18B04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7"/>
  </w:num>
  <w:num w:numId="2">
    <w:abstractNumId w:val="2"/>
  </w:num>
  <w:num w:numId="3">
    <w:abstractNumId w:val="4"/>
  </w:num>
  <w:num w:numId="4">
    <w:abstractNumId w:val="8"/>
  </w:num>
  <w:num w:numId="5">
    <w:abstractNumId w:val="6"/>
  </w:num>
  <w:num w:numId="6">
    <w:abstractNumId w:val="1"/>
  </w:num>
  <w:num w:numId="7">
    <w:abstractNumId w:val="3"/>
  </w:num>
  <w:num w:numId="8">
    <w:abstractNumId w:val="0"/>
  </w:num>
  <w:num w:numId="9">
    <w:abstractNumId w:val="5"/>
  </w:num>
  <w:num w:numId="10">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6"/>
  <w:proofState w:spelling="clean" w:grammar="clean"/>
  <w:defaultTabStop w:val="720"/>
  <w:characterSpacingControl w:val="doNotCompress"/>
  <w:footnotePr>
    <w:footnote w:id="-1"/>
    <w:footnote w:id="0"/>
  </w:footnotePr>
  <w:endnotePr>
    <w:endnote w:id="-1"/>
    <w:endnote w:id="0"/>
  </w:endnotePr>
  <w:compat/>
  <w:docVars>
    <w:docVar w:name="EN.InstantFormat" w:val="&lt;ENInstantFormat&gt;&lt;Enabled&gt;0&lt;/Enabled&gt;&lt;ScanUnformatted&gt;1&lt;/ScanUnformatted&gt;&lt;ScanChanges&gt;1&lt;/ScanChanges&gt;&lt;/ENInstantFormat&gt;"/>
  </w:docVars>
  <w:rsids>
    <w:rsidRoot w:val="004B69E9"/>
    <w:rsid w:val="000E5220"/>
    <w:rsid w:val="0012393B"/>
    <w:rsid w:val="002D39E7"/>
    <w:rsid w:val="004B69E9"/>
    <w:rsid w:val="00562E3A"/>
    <w:rsid w:val="00656E34"/>
    <w:rsid w:val="006A6275"/>
    <w:rsid w:val="006B4CEF"/>
    <w:rsid w:val="00734C41"/>
    <w:rsid w:val="00771629"/>
    <w:rsid w:val="007A591E"/>
    <w:rsid w:val="007D053E"/>
    <w:rsid w:val="009C6FE5"/>
    <w:rsid w:val="00CA5042"/>
    <w:rsid w:val="00E36611"/>
  </w:rsids>
  <m:mathPr>
    <m:mathFont m:val="Cambria Math"/>
    <m:brkBin m:val="before"/>
    <m:brkBinSub m:val="--"/>
    <m:smallFrac m:val="off"/>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I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B69E9"/>
    <w:pPr>
      <w:spacing w:after="0" w:line="360" w:lineRule="auto"/>
      <w:jc w:val="both"/>
    </w:pPr>
    <w:rPr>
      <w:rFonts w:ascii="CartoGothic Std Book" w:eastAsia="Times New Roman" w:hAnsi="CartoGothic Std Book" w:cs="Times New Roman"/>
      <w:szCs w:val="24"/>
      <w:lang w:val="en-GB"/>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1"/>
    <w:uiPriority w:val="99"/>
    <w:semiHidden/>
    <w:unhideWhenUsed/>
    <w:rsid w:val="004B69E9"/>
    <w:rPr>
      <w:rFonts w:ascii="Lucida Grande" w:hAnsi="Lucida Grande"/>
      <w:sz w:val="18"/>
      <w:szCs w:val="18"/>
    </w:rPr>
  </w:style>
  <w:style w:type="character" w:customStyle="1" w:styleId="BalloonTextChar">
    <w:name w:val="Balloon Text Char"/>
    <w:basedOn w:val="DefaultParagraphFont"/>
    <w:uiPriority w:val="99"/>
    <w:semiHidden/>
    <w:rsid w:val="004B69E9"/>
    <w:rPr>
      <w:rFonts w:ascii="Lucida Grande" w:hAnsi="Lucida Grande"/>
      <w:sz w:val="18"/>
      <w:szCs w:val="18"/>
    </w:rPr>
  </w:style>
  <w:style w:type="character" w:customStyle="1" w:styleId="BalloonTextChar1">
    <w:name w:val="Balloon Text Char1"/>
    <w:basedOn w:val="DefaultParagraphFont"/>
    <w:link w:val="BalloonText"/>
    <w:uiPriority w:val="99"/>
    <w:semiHidden/>
    <w:rsid w:val="004B69E9"/>
    <w:rPr>
      <w:rFonts w:ascii="Lucida Grande" w:eastAsia="Times New Roman" w:hAnsi="Lucida Grande" w:cs="Times New Roman"/>
      <w:sz w:val="18"/>
      <w:szCs w:val="18"/>
      <w:lang w:val="en-GB"/>
    </w:rPr>
  </w:style>
  <w:style w:type="paragraph" w:customStyle="1" w:styleId="quote">
    <w:name w:val="quote"/>
    <w:basedOn w:val="Normal"/>
    <w:qFormat/>
    <w:rsid w:val="004B69E9"/>
    <w:pPr>
      <w:spacing w:before="240" w:after="240" w:line="276" w:lineRule="auto"/>
      <w:ind w:left="284" w:right="284"/>
    </w:pPr>
    <w:rPr>
      <w:rFonts w:eastAsiaTheme="minorHAnsi"/>
      <w:lang w:val="en-IE"/>
    </w:rPr>
  </w:style>
  <w:style w:type="character" w:styleId="Hyperlink">
    <w:name w:val="Hyperlink"/>
    <w:basedOn w:val="DefaultParagraphFont"/>
    <w:uiPriority w:val="99"/>
    <w:rsid w:val="004B69E9"/>
    <w:rPr>
      <w:color w:val="0000FF"/>
      <w:u w:val="single"/>
    </w:rPr>
  </w:style>
  <w:style w:type="paragraph" w:styleId="ListParagraph">
    <w:name w:val="List Paragraph"/>
    <w:basedOn w:val="Normal"/>
    <w:uiPriority w:val="34"/>
    <w:qFormat/>
    <w:rsid w:val="004B69E9"/>
    <w:pPr>
      <w:ind w:left="720"/>
      <w:contextualSpacing/>
    </w:pPr>
  </w:style>
  <w:style w:type="paragraph" w:styleId="FootnoteText">
    <w:name w:val="footnote text"/>
    <w:basedOn w:val="Normal"/>
    <w:link w:val="FootnoteTextChar"/>
    <w:rsid w:val="004B69E9"/>
    <w:pPr>
      <w:spacing w:line="240" w:lineRule="auto"/>
    </w:pPr>
    <w:rPr>
      <w:sz w:val="20"/>
    </w:rPr>
  </w:style>
  <w:style w:type="character" w:customStyle="1" w:styleId="FootnoteTextChar">
    <w:name w:val="Footnote Text Char"/>
    <w:basedOn w:val="DefaultParagraphFont"/>
    <w:link w:val="FootnoteText"/>
    <w:rsid w:val="004B69E9"/>
    <w:rPr>
      <w:rFonts w:ascii="CartoGothic Std Book" w:eastAsia="Times New Roman" w:hAnsi="CartoGothic Std Book" w:cs="Times New Roman"/>
      <w:sz w:val="20"/>
      <w:szCs w:val="24"/>
      <w:lang w:val="en-GB"/>
    </w:rPr>
  </w:style>
  <w:style w:type="character" w:styleId="FootnoteReference">
    <w:name w:val="footnote reference"/>
    <w:basedOn w:val="DefaultParagraphFont"/>
    <w:rsid w:val="004B69E9"/>
    <w:rPr>
      <w:vertAlign w:val="superscript"/>
    </w:rPr>
  </w:style>
  <w:style w:type="paragraph" w:styleId="Header">
    <w:name w:val="header"/>
    <w:basedOn w:val="Normal"/>
    <w:link w:val="HeaderChar"/>
    <w:uiPriority w:val="99"/>
    <w:unhideWhenUsed/>
    <w:rsid w:val="004B69E9"/>
    <w:pPr>
      <w:tabs>
        <w:tab w:val="center" w:pos="4680"/>
        <w:tab w:val="right" w:pos="9360"/>
      </w:tabs>
      <w:spacing w:line="240" w:lineRule="auto"/>
      <w:jc w:val="left"/>
    </w:pPr>
    <w:rPr>
      <w:rFonts w:asciiTheme="minorHAnsi" w:eastAsiaTheme="minorHAnsi" w:hAnsiTheme="minorHAnsi" w:cstheme="minorBidi"/>
      <w:szCs w:val="22"/>
      <w:lang w:val="en-IE"/>
    </w:rPr>
  </w:style>
  <w:style w:type="character" w:customStyle="1" w:styleId="HeaderChar">
    <w:name w:val="Header Char"/>
    <w:basedOn w:val="DefaultParagraphFont"/>
    <w:link w:val="Header"/>
    <w:uiPriority w:val="99"/>
    <w:rsid w:val="004B69E9"/>
  </w:style>
  <w:style w:type="paragraph" w:styleId="Footer">
    <w:name w:val="footer"/>
    <w:basedOn w:val="Normal"/>
    <w:link w:val="FooterChar"/>
    <w:uiPriority w:val="99"/>
    <w:unhideWhenUsed/>
    <w:rsid w:val="004B69E9"/>
    <w:pPr>
      <w:tabs>
        <w:tab w:val="center" w:pos="4680"/>
        <w:tab w:val="right" w:pos="9360"/>
      </w:tabs>
      <w:spacing w:line="240" w:lineRule="auto"/>
      <w:jc w:val="left"/>
    </w:pPr>
    <w:rPr>
      <w:rFonts w:asciiTheme="minorHAnsi" w:eastAsiaTheme="minorHAnsi" w:hAnsiTheme="minorHAnsi" w:cstheme="minorBidi"/>
      <w:szCs w:val="22"/>
      <w:lang w:val="en-IE"/>
    </w:rPr>
  </w:style>
  <w:style w:type="character" w:customStyle="1" w:styleId="FooterChar">
    <w:name w:val="Footer Char"/>
    <w:basedOn w:val="DefaultParagraphFont"/>
    <w:link w:val="Footer"/>
    <w:uiPriority w:val="99"/>
    <w:rsid w:val="004B69E9"/>
  </w:style>
  <w:style w:type="paragraph" w:styleId="Quote0">
    <w:name w:val="Quote"/>
    <w:basedOn w:val="Normal"/>
    <w:next w:val="Normal"/>
    <w:link w:val="QuoteChar"/>
    <w:uiPriority w:val="29"/>
    <w:qFormat/>
    <w:rsid w:val="004B69E9"/>
    <w:pPr>
      <w:spacing w:after="200" w:line="276" w:lineRule="auto"/>
      <w:ind w:left="1134" w:right="1134"/>
    </w:pPr>
    <w:rPr>
      <w:rFonts w:asciiTheme="minorHAnsi" w:eastAsiaTheme="minorHAnsi" w:hAnsiTheme="minorHAnsi" w:cstheme="minorBidi"/>
      <w:i/>
      <w:iCs/>
      <w:color w:val="000000" w:themeColor="text1"/>
      <w:szCs w:val="22"/>
      <w:lang w:val="en-IE"/>
    </w:rPr>
  </w:style>
  <w:style w:type="character" w:customStyle="1" w:styleId="QuoteChar">
    <w:name w:val="Quote Char"/>
    <w:basedOn w:val="DefaultParagraphFont"/>
    <w:link w:val="Quote0"/>
    <w:uiPriority w:val="29"/>
    <w:rsid w:val="004B69E9"/>
    <w:rPr>
      <w:i/>
      <w:iCs/>
      <w:color w:val="000000" w:themeColor="text1"/>
    </w:rPr>
  </w:style>
  <w:style w:type="character" w:styleId="PageNumber">
    <w:name w:val="page number"/>
    <w:basedOn w:val="DefaultParagraphFont"/>
    <w:rsid w:val="004B69E9"/>
  </w:style>
  <w:style w:type="paragraph" w:styleId="EndnoteText">
    <w:name w:val="endnote text"/>
    <w:basedOn w:val="Normal"/>
    <w:link w:val="EndnoteTextChar"/>
    <w:rsid w:val="004B69E9"/>
    <w:pPr>
      <w:spacing w:line="240" w:lineRule="auto"/>
    </w:pPr>
    <w:rPr>
      <w:sz w:val="24"/>
    </w:rPr>
  </w:style>
  <w:style w:type="character" w:customStyle="1" w:styleId="EndnoteTextChar">
    <w:name w:val="Endnote Text Char"/>
    <w:basedOn w:val="DefaultParagraphFont"/>
    <w:link w:val="EndnoteText"/>
    <w:rsid w:val="004B69E9"/>
    <w:rPr>
      <w:rFonts w:ascii="CartoGothic Std Book" w:eastAsia="Times New Roman" w:hAnsi="CartoGothic Std Book" w:cs="Times New Roman"/>
      <w:sz w:val="24"/>
      <w:szCs w:val="24"/>
      <w:lang w:val="en-GB"/>
    </w:rPr>
  </w:style>
  <w:style w:type="character" w:styleId="EndnoteReference">
    <w:name w:val="endnote reference"/>
    <w:basedOn w:val="DefaultParagraphFont"/>
    <w:rsid w:val="004B69E9"/>
    <w:rPr>
      <w:vertAlign w:val="superscript"/>
    </w:rPr>
  </w:style>
  <w:style w:type="character" w:customStyle="1" w:styleId="FootnoteCharacters">
    <w:name w:val="Footnote Characters"/>
    <w:basedOn w:val="DefaultParagraphFont"/>
    <w:rsid w:val="004B69E9"/>
    <w:rPr>
      <w:vertAlign w:val="superscript"/>
    </w:rPr>
  </w:style>
  <w:style w:type="paragraph" w:customStyle="1" w:styleId="Refs">
    <w:name w:val="Refs"/>
    <w:basedOn w:val="Normal"/>
    <w:rsid w:val="004B69E9"/>
    <w:pPr>
      <w:spacing w:after="240" w:line="240" w:lineRule="auto"/>
    </w:pPr>
    <w:rPr>
      <w:rFonts w:ascii="Arial" w:hAnsi="Arial"/>
    </w:rPr>
  </w:style>
  <w:style w:type="character" w:styleId="Strong">
    <w:name w:val="Strong"/>
    <w:basedOn w:val="DefaultParagraphFont"/>
    <w:uiPriority w:val="22"/>
    <w:qFormat/>
    <w:rsid w:val="006A6275"/>
    <w:rPr>
      <w:b/>
      <w:bCs/>
    </w:rPr>
  </w:style>
</w:styles>
</file>

<file path=word/webSettings.xml><?xml version="1.0" encoding="utf-8"?>
<w:webSettings xmlns:r="http://schemas.openxmlformats.org/officeDocument/2006/relationships" xmlns:w="http://schemas.openxmlformats.org/wordprocessingml/2006/main">
  <w:divs>
    <w:div w:id="393090202">
      <w:bodyDiv w:val="1"/>
      <w:marLeft w:val="0"/>
      <w:marRight w:val="0"/>
      <w:marTop w:val="0"/>
      <w:marBottom w:val="0"/>
      <w:divBdr>
        <w:top w:val="none" w:sz="0" w:space="0" w:color="auto"/>
        <w:left w:val="none" w:sz="0" w:space="0" w:color="auto"/>
        <w:bottom w:val="none" w:sz="0" w:space="0" w:color="auto"/>
        <w:right w:val="none" w:sz="0" w:space="0" w:color="auto"/>
      </w:divBdr>
      <w:divsChild>
        <w:div w:id="111826137">
          <w:marLeft w:val="0"/>
          <w:marRight w:val="0"/>
          <w:marTop w:val="0"/>
          <w:marBottom w:val="0"/>
          <w:divBdr>
            <w:top w:val="none" w:sz="0" w:space="0" w:color="auto"/>
            <w:left w:val="none" w:sz="0" w:space="0" w:color="auto"/>
            <w:bottom w:val="none" w:sz="0" w:space="0" w:color="auto"/>
            <w:right w:val="none" w:sz="0" w:space="0" w:color="auto"/>
          </w:divBdr>
          <w:divsChild>
            <w:div w:id="1660770811">
              <w:marLeft w:val="0"/>
              <w:marRight w:val="0"/>
              <w:marTop w:val="0"/>
              <w:marBottom w:val="0"/>
              <w:divBdr>
                <w:top w:val="none" w:sz="0" w:space="0" w:color="auto"/>
                <w:left w:val="none" w:sz="0" w:space="0" w:color="auto"/>
                <w:bottom w:val="none" w:sz="0" w:space="0" w:color="auto"/>
                <w:right w:val="none" w:sz="0" w:space="0" w:color="auto"/>
              </w:divBdr>
              <w:divsChild>
                <w:div w:id="1577325322">
                  <w:marLeft w:val="0"/>
                  <w:marRight w:val="0"/>
                  <w:marTop w:val="0"/>
                  <w:marBottom w:val="0"/>
                  <w:divBdr>
                    <w:top w:val="none" w:sz="0" w:space="0" w:color="auto"/>
                    <w:left w:val="none" w:sz="0" w:space="0" w:color="auto"/>
                    <w:bottom w:val="none" w:sz="0" w:space="0" w:color="auto"/>
                    <w:right w:val="none" w:sz="0" w:space="0" w:color="auto"/>
                  </w:divBdr>
                  <w:divsChild>
                    <w:div w:id="788665461">
                      <w:marLeft w:val="0"/>
                      <w:marRight w:val="0"/>
                      <w:marTop w:val="0"/>
                      <w:marBottom w:val="0"/>
                      <w:divBdr>
                        <w:top w:val="none" w:sz="0" w:space="0" w:color="auto"/>
                        <w:left w:val="none" w:sz="0" w:space="0" w:color="auto"/>
                        <w:bottom w:val="none" w:sz="0" w:space="0" w:color="auto"/>
                        <w:right w:val="none" w:sz="0" w:space="0" w:color="auto"/>
                      </w:divBdr>
                      <w:divsChild>
                        <w:div w:id="168566474">
                          <w:marLeft w:val="0"/>
                          <w:marRight w:val="0"/>
                          <w:marTop w:val="0"/>
                          <w:marBottom w:val="0"/>
                          <w:divBdr>
                            <w:top w:val="none" w:sz="0" w:space="0" w:color="auto"/>
                            <w:left w:val="none" w:sz="0" w:space="0" w:color="auto"/>
                            <w:bottom w:val="none" w:sz="0" w:space="0" w:color="auto"/>
                            <w:right w:val="none" w:sz="0" w:space="0" w:color="auto"/>
                          </w:divBdr>
                          <w:divsChild>
                            <w:div w:id="167596892">
                              <w:marLeft w:val="0"/>
                              <w:marRight w:val="0"/>
                              <w:marTop w:val="0"/>
                              <w:marBottom w:val="0"/>
                              <w:divBdr>
                                <w:top w:val="none" w:sz="0" w:space="0" w:color="auto"/>
                                <w:left w:val="none" w:sz="0" w:space="0" w:color="auto"/>
                                <w:bottom w:val="none" w:sz="0" w:space="0" w:color="auto"/>
                                <w:right w:val="none" w:sz="0" w:space="0" w:color="auto"/>
                              </w:divBdr>
                              <w:divsChild>
                                <w:div w:id="1127893534">
                                  <w:marLeft w:val="0"/>
                                  <w:marRight w:val="0"/>
                                  <w:marTop w:val="0"/>
                                  <w:marBottom w:val="0"/>
                                  <w:divBdr>
                                    <w:top w:val="none" w:sz="0" w:space="0" w:color="auto"/>
                                    <w:left w:val="none" w:sz="0" w:space="0" w:color="auto"/>
                                    <w:bottom w:val="none" w:sz="0" w:space="0" w:color="auto"/>
                                    <w:right w:val="none" w:sz="0" w:space="0" w:color="auto"/>
                                  </w:divBdr>
                                  <w:divsChild>
                                    <w:div w:id="1476781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relyOnVML/>
  <w:allowPNG/>
  <w:doNotSaveAsSingleFile/>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mailto:seerya@tcd.i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6325</Words>
  <Characters>36053</Characters>
  <Application>Microsoft Office Word</Application>
  <DocSecurity>0</DocSecurity>
  <Lines>300</Lines>
  <Paragraphs>84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42294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Aidan Seery</dc:creator>
  <cp:lastModifiedBy>Aidan Seery</cp:lastModifiedBy>
  <cp:revision>5</cp:revision>
  <dcterms:created xsi:type="dcterms:W3CDTF">2011-07-26T14:54:00Z</dcterms:created>
  <dcterms:modified xsi:type="dcterms:W3CDTF">2011-10-19T16:36:00Z</dcterms:modified>
</cp:coreProperties>
</file>