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C53" w:rsidRPr="00693C67" w:rsidRDefault="00C80EA3">
      <w:pPr>
        <w:rPr>
          <w:rFonts w:ascii="Times New Roman" w:hAnsi="Times New Roman" w:cs="Times New Roman"/>
          <w:color w:val="000000"/>
          <w:sz w:val="36"/>
          <w:szCs w:val="36"/>
        </w:rPr>
      </w:pPr>
      <w:bookmarkStart w:id="0" w:name="_Hlk28626383"/>
      <w:bookmarkStart w:id="1" w:name="_GoBack"/>
      <w:bookmarkEnd w:id="1"/>
      <w:r w:rsidRPr="00693C67">
        <w:rPr>
          <w:rFonts w:ascii="Times New Roman" w:hAnsi="Times New Roman" w:cs="Times New Roman"/>
          <w:color w:val="000000"/>
          <w:sz w:val="36"/>
          <w:szCs w:val="36"/>
        </w:rPr>
        <w:t>Convergent spaces: Intersectional analysis of ethnic minority status and childhood disability in Irish safeguarding work</w:t>
      </w:r>
      <w:bookmarkEnd w:id="0"/>
    </w:p>
    <w:p w:rsidR="00C80EA3" w:rsidRDefault="00C80EA3" w:rsidP="00C80EA3">
      <w:pPr>
        <w:pStyle w:val="NormalWeb"/>
        <w:spacing w:before="280" w:beforeAutospacing="0" w:after="280" w:afterAutospacing="0" w:line="259" w:lineRule="atLeast"/>
        <w:ind w:left="567" w:right="1655"/>
        <w:jc w:val="both"/>
        <w:rPr>
          <w:color w:val="000000"/>
          <w:sz w:val="27"/>
          <w:szCs w:val="27"/>
        </w:rPr>
      </w:pPr>
      <w:r>
        <w:rPr>
          <w:color w:val="000000"/>
        </w:rPr>
        <w:t>The core argument of this paper is that intersectionality provides a constructive conceptual lens for the convergence of ethnic minority status and childhood disability in Irish child protection and welfare. The utility of intersectionality in this paper lies in broadening the scope of reflection on the complex intersections of ethnic minority status and childhood disability. Within this, intersectionality is implicitly situated within an overarching critical disability studies perspective. Theoretically informed commentary on the literature attends to three aspects of practice. These are respectively: novel intersections of ethnic minority status and childhood disability, as a consequence of intensifying globalisation; compounded levels of risk; and the importance of non-conflation of potential sites of oppression, such as race and disability. Overall, the intention of the paper is to be illustrative. Specifically, analysis is presented as an aid to students and practitioners, moving forward, in negotiating a complex and dynamic field of practice.</w:t>
      </w:r>
    </w:p>
    <w:p w:rsidR="00C80EA3" w:rsidRDefault="00C80EA3" w:rsidP="00C80EA3">
      <w:pPr>
        <w:pStyle w:val="NormalWeb"/>
        <w:spacing w:before="0" w:beforeAutospacing="0" w:after="280" w:afterAutospacing="0"/>
        <w:ind w:left="567" w:right="1655"/>
        <w:jc w:val="both"/>
        <w:rPr>
          <w:color w:val="000000"/>
        </w:rPr>
      </w:pPr>
      <w:r>
        <w:rPr>
          <w:b/>
          <w:bCs/>
          <w:color w:val="000000"/>
        </w:rPr>
        <w:t>Keywords:</w:t>
      </w:r>
      <w:r>
        <w:rPr>
          <w:color w:val="000000"/>
        </w:rPr>
        <w:t> intersectionality; ethnic minority; disability; children; safeguarding; child protection</w:t>
      </w:r>
    </w:p>
    <w:p w:rsidR="001C1650" w:rsidRDefault="001C1650" w:rsidP="00C80EA3">
      <w:pPr>
        <w:pStyle w:val="NormalWeb"/>
        <w:spacing w:before="0" w:beforeAutospacing="0" w:after="280" w:afterAutospacing="0"/>
        <w:ind w:left="567" w:right="1655"/>
        <w:jc w:val="both"/>
        <w:rPr>
          <w:color w:val="000000"/>
        </w:rPr>
      </w:pPr>
    </w:p>
    <w:p w:rsidR="00C80EA3" w:rsidRPr="00C80EA3" w:rsidRDefault="00C80EA3" w:rsidP="00C80EA3">
      <w:pPr>
        <w:pStyle w:val="NormalWeb"/>
        <w:spacing w:before="0" w:beforeAutospacing="0" w:after="160" w:afterAutospacing="0" w:line="259" w:lineRule="atLeast"/>
        <w:ind w:right="804"/>
        <w:jc w:val="both"/>
        <w:rPr>
          <w:color w:val="000000"/>
        </w:rPr>
      </w:pPr>
      <w:r w:rsidRPr="00C80EA3">
        <w:rPr>
          <w:b/>
          <w:bCs/>
          <w:color w:val="000000"/>
        </w:rPr>
        <w:t>Introduction</w:t>
      </w:r>
    </w:p>
    <w:p w:rsidR="00C80EA3" w:rsidRPr="00C80EA3" w:rsidRDefault="00C80EA3" w:rsidP="00C80EA3">
      <w:pPr>
        <w:spacing w:after="0" w:line="240" w:lineRule="auto"/>
        <w:jc w:val="both"/>
        <w:rPr>
          <w:rFonts w:ascii="Times New Roman" w:hAnsi="Times New Roman" w:cs="Times New Roman"/>
          <w:sz w:val="24"/>
          <w:szCs w:val="24"/>
        </w:rPr>
      </w:pPr>
      <w:r w:rsidRPr="00C80EA3">
        <w:rPr>
          <w:rFonts w:ascii="Times New Roman" w:hAnsi="Times New Roman" w:cs="Times New Roman"/>
          <w:sz w:val="24"/>
          <w:szCs w:val="24"/>
        </w:rPr>
        <w:t xml:space="preserve">In separate respects, inefficiencies and barriers to effective child protection intervention are linked to ethnic minority status (see Philips, 2007; Tusla, 2018) and childhood disability (see Crowley, 2016; </w:t>
      </w:r>
      <w:r w:rsidR="00693C67">
        <w:rPr>
          <w:rFonts w:ascii="Times New Roman" w:hAnsi="Times New Roman" w:cs="Times New Roman"/>
          <w:sz w:val="24"/>
          <w:szCs w:val="24"/>
        </w:rPr>
        <w:t>Flynn &amp; McGregor</w:t>
      </w:r>
      <w:r w:rsidRPr="00C80EA3">
        <w:rPr>
          <w:rFonts w:ascii="Times New Roman" w:hAnsi="Times New Roman" w:cs="Times New Roman"/>
          <w:sz w:val="24"/>
          <w:szCs w:val="24"/>
        </w:rPr>
        <w:t>, 2017; Stalker et al., 2010; Stalker &amp; McArthur, 2012; Vanderminden et al., 2017). Evidence of the potential for underreporting of cases, for instance, from ethnic minority communities in the United Kingdom (UK) (Philips, 2007) is indicative of problems in the Irish child protection and welfare system (Tusla, 2018). Similarly, significant concerns and practical obstructions to effective child protection and welfare practice with children with disability in Ireland, include attitudinal deficits and variance in service provision (</w:t>
      </w:r>
      <w:r w:rsidR="00693C67">
        <w:rPr>
          <w:rFonts w:ascii="Times New Roman" w:hAnsi="Times New Roman" w:cs="Times New Roman"/>
          <w:sz w:val="24"/>
          <w:szCs w:val="24"/>
        </w:rPr>
        <w:t>Flynn &amp; McGregor</w:t>
      </w:r>
      <w:r w:rsidRPr="00C80EA3">
        <w:rPr>
          <w:rFonts w:ascii="Times New Roman" w:hAnsi="Times New Roman" w:cs="Times New Roman"/>
          <w:sz w:val="24"/>
          <w:szCs w:val="24"/>
        </w:rPr>
        <w:t>, 2017). Furthermore, it should be recognised that contemporary Ireland is a racialised rather than monocultural society within which racism occurs at individual and structural levels (Christie, 2010). In this context, whilst respective bodies of literature on ethnic minority status, and childhood disability, offer guidance for child protection professionals in Ireland (Tusla, 2018), combined analyses remain conspicuous by their absence. Moreover, the quality of existing guidance documents is questionable. The child protection handbook version 1 used by frontline professionals in Ireland, failed to meaningfully address ethnicity and race issues (Christie, 2010) with only scant coverage of the subject matter appearing in the handbook version 2 (see Tusla, 2018). As an intervention, theoretically informed critical commentary in this paper seeks to aid students and practitioners, moving forward, within a complex and challenging arena.</w:t>
      </w:r>
    </w:p>
    <w:p w:rsidR="00C80EA3" w:rsidRDefault="00C80EA3" w:rsidP="00C80EA3">
      <w:pPr>
        <w:spacing w:after="0" w:line="240" w:lineRule="auto"/>
        <w:jc w:val="both"/>
        <w:rPr>
          <w:rFonts w:ascii="Times New Roman" w:hAnsi="Times New Roman" w:cs="Times New Roman"/>
          <w:color w:val="000000"/>
          <w:sz w:val="24"/>
          <w:szCs w:val="24"/>
        </w:rPr>
      </w:pPr>
      <w:r w:rsidRPr="00C80EA3">
        <w:rPr>
          <w:rFonts w:ascii="Times New Roman" w:hAnsi="Times New Roman" w:cs="Times New Roman"/>
          <w:sz w:val="24"/>
          <w:szCs w:val="24"/>
        </w:rPr>
        <w:tab/>
      </w:r>
      <w:r w:rsidRPr="00C80EA3">
        <w:rPr>
          <w:rFonts w:ascii="Times New Roman" w:hAnsi="Times New Roman" w:cs="Times New Roman"/>
          <w:color w:val="000000"/>
          <w:sz w:val="24"/>
          <w:szCs w:val="24"/>
        </w:rPr>
        <w:t xml:space="preserve">The core argument of this paper is that intersectionality provides an effective conceptual lens for the convergence of ethnic minority status and childhood disability in Irish child protection and welfare. In making this argument, analysis proceeds in the following order. </w:t>
      </w:r>
      <w:r w:rsidRPr="00C80EA3">
        <w:rPr>
          <w:rFonts w:ascii="Times New Roman" w:hAnsi="Times New Roman" w:cs="Times New Roman"/>
          <w:color w:val="000000"/>
          <w:sz w:val="24"/>
          <w:szCs w:val="24"/>
        </w:rPr>
        <w:lastRenderedPageBreak/>
        <w:t>Firstly, the specific theoretical perspective of the paper is introduced and explained. After this, the method of literature review is outlined followed by overview of literature that operates around three distinctive aspects. Firstly, as a consequence of intensifying globalisation (Dominelli, 2010b), novel intersections of ethnic minority status and childhood disability arguably feature in social work practice in Ireland. Secondly, in cases where ethnic minority status and disability as sites of social oppression converge, a compounded level of risk is produced, exceeding the sum of its parts. Thirdly, whilst intersectionality demonstrates the importance of considering social designations in combination (Carastathis, 2016; Crenshaw, 2012; Goodley, 2013), non-conflation of potential sites of oppression such as race and disability, is also critical. Overall, the intersectional perspective taken seeks to make tentative inroads, where an absence of scholarship in the Irish context, otherwise exists. Towards achieving this, the paper concludes with explicit application of intersectionality towards generating recommendations for future practice.</w:t>
      </w:r>
    </w:p>
    <w:p w:rsidR="001C1650" w:rsidRDefault="001C1650" w:rsidP="00C80EA3">
      <w:pPr>
        <w:spacing w:after="0" w:line="240" w:lineRule="auto"/>
        <w:jc w:val="both"/>
        <w:rPr>
          <w:rFonts w:ascii="Times New Roman" w:hAnsi="Times New Roman" w:cs="Times New Roman"/>
          <w:color w:val="000000"/>
          <w:sz w:val="24"/>
          <w:szCs w:val="24"/>
        </w:rPr>
      </w:pPr>
    </w:p>
    <w:p w:rsidR="00C80EA3" w:rsidRPr="00C80EA3" w:rsidRDefault="00C80EA3" w:rsidP="00C80EA3">
      <w:pPr>
        <w:spacing w:after="0" w:line="240" w:lineRule="auto"/>
        <w:jc w:val="both"/>
        <w:rPr>
          <w:rFonts w:ascii="Times New Roman" w:hAnsi="Times New Roman" w:cs="Times New Roman"/>
          <w:color w:val="000000"/>
          <w:sz w:val="24"/>
          <w:szCs w:val="24"/>
        </w:rPr>
      </w:pPr>
    </w:p>
    <w:p w:rsidR="00C80EA3" w:rsidRPr="00C80EA3" w:rsidRDefault="00C80EA3" w:rsidP="00C80EA3">
      <w:pPr>
        <w:rPr>
          <w:rFonts w:ascii="Times New Roman" w:hAnsi="Times New Roman" w:cs="Times New Roman"/>
          <w:b/>
          <w:sz w:val="24"/>
          <w:szCs w:val="24"/>
        </w:rPr>
      </w:pPr>
      <w:r w:rsidRPr="00C80EA3">
        <w:rPr>
          <w:rFonts w:ascii="Times New Roman" w:hAnsi="Times New Roman" w:cs="Times New Roman"/>
          <w:b/>
          <w:sz w:val="24"/>
          <w:szCs w:val="24"/>
        </w:rPr>
        <w:t>Theoretical perspective</w:t>
      </w:r>
    </w:p>
    <w:p w:rsidR="00C80EA3" w:rsidRPr="00C80EA3" w:rsidRDefault="00C80EA3" w:rsidP="00C80EA3">
      <w:pPr>
        <w:spacing w:after="0"/>
        <w:jc w:val="both"/>
        <w:rPr>
          <w:rFonts w:ascii="Times New Roman" w:hAnsi="Times New Roman" w:cs="Times New Roman"/>
          <w:sz w:val="24"/>
          <w:szCs w:val="24"/>
        </w:rPr>
      </w:pPr>
      <w:r w:rsidRPr="00C80EA3">
        <w:rPr>
          <w:rFonts w:ascii="Times New Roman" w:hAnsi="Times New Roman" w:cs="Times New Roman"/>
          <w:sz w:val="24"/>
          <w:szCs w:val="24"/>
        </w:rPr>
        <w:t>A composite conceptual perspective is taken up in this paper. Specifically, intersectionality as a theoretical instrument is located within parent Critical Disability Studies (CDS) ‘nomenclature’ and perspective (Goodley, 2013; Meekosha &amp; Shuttleworth, 2017, p. 47). Originally, the term intersectionality was coined by Law Professor Kimberlé Crenshaw towards the end of the 1980s (Annamma, Ferri, &amp; Connor, 2019). Its genesis lay in black feminism where Crenshaw initially proposed it to be of utility as a prism, rather than a theory, per se (Carastathis, 2016). From these origins, uptake of intersectionality has been expansive towards understanding the workings of power, subalternisation and disadvantage in disparate disciplines (Nayak &amp; Robbins, 2018). Social work practice (e.g. Nayak &amp; Robbins, 2018), intersections of race and disability (Connor, Ferri, &amp; Annamma, 2016) and the proliferating academic field of CDS (Goodley, 2013), are among spaces of innovation.</w:t>
      </w:r>
    </w:p>
    <w:p w:rsidR="00C80EA3" w:rsidRP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Specifically, intersectionality in the context of ethnic minority status and disability, might be understood in the following way. Intersectionality refuses binary divisions and single axis conceptualisations of identity (Annamma, Ferri &amp; Connor 2019). One does not lie on either side of a black: white or disabled: able-bodied binary, nor is any such identity position the only one by which a person may be disenfranchised (Annamma, Ferri &amp; Connor 2019; Goodley, 2013). Moreover, intersectionality concerns itself with the operation of power, the questioning of normative ideologies and frames of reference, and notions of group sameness and difference (Annamma, Ferri &amp; Connor, 2019). In this context, intersectionality in the broader literature has been referred to asa theory, method of analysis, and practice approach (Annamma, Ferri &amp; Connor, 2019; Goodley, 2013).</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 xml:space="preserve">The focus of this article is on intersectional analysis of ethnic minority status and childhood disability in Irish child protection and welfare. Within this, intersectionality theory is practically and implicitly applied in the following through critique of the convergence of ethnic minority status and childhood disability in Irish safeguarding work. In doing so, issues of race and culture also surface, and whilst pertinent to the concept of ethnic minority status, it is important to emphasise that these concepts are not synonymous. The notion of ‘race’ arose from scientific reasoning which proffered that biological differences are the basis of diversity in people (Laird, 2008). Alternately, ‘ethnicity’ refers to perceived membership of a group, not based exclusively upon shared biological traits, but rather concerning social and cultural commonalities such as language (Hughes, 1994). Culture, finally, is concerned with </w:t>
      </w:r>
      <w:r w:rsidRPr="00C80EA3">
        <w:rPr>
          <w:rFonts w:ascii="Times New Roman" w:hAnsi="Times New Roman" w:cs="Times New Roman"/>
          <w:sz w:val="24"/>
          <w:szCs w:val="24"/>
        </w:rPr>
        <w:lastRenderedPageBreak/>
        <w:t>behavioural patterns, social norms, ideas and perceptions shared by people.  Overall, it is critical not to conflate categories like race and ethnicity. Ireland, for example, is a racialised society that has experienced large-scale migration patterns from Eastern Europe within previous decades (Howard, 2016), impacting upon the demographic profile of child protection service users. Whilst Irish and Eastern European people might be placed within a similar white/Caucasian racial group, they are far from synonymous in terms of ethnicity or culture. Moreover, both structural and individual levels of racism in Ireland effect child safeguarding (Christie, 2010). Overall, similar to disability, one must problematise rather than take for granted, contemporary concepts such as ‘minority race’ and ‘ethic minority status’. This helps to prevent imposition of white normative reasoning, or the implication that categories like ‘race’ are fixed, determinant, or crude biological facts, rather than socially and culturally constructed in nature (Laird, 2008).</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In this context, intersectionality provides a mechanism to theorise social locations.  More sophisticated frameworks developed elsewhere, lie beyond the scope of this paper. DisCrit or Disability Critical race theory, for instance, offers an intersectional theoretical framework that marries critical race theory and disability studies (Annamma, Ferri &amp; Connor, 2019). Albeit focussed upon race rather than ethnic minority status, it offers a useful and sophisticated framework. Alternatively, CDS as an isolated perspective, can lend itself to lengthy and sophisticated analyses grounded in application of its varied conventions (Ellis et al., 2019; Goodley, 2013). Notwithstanding this, in the present analysis, the core and explicit focus is on intersectionality as a stand-alone practice. The utility of declaring a contextual CDS perspective, is that a transdisciplinary and compatible theoretical space for issues of race, culture and ethnicity, is achieved (Goodley, 2013). Through acknowledging CDS as a backdrop to the paper, commitment to the idea that disability arises from social, economic, political and cultural oppression, rather than individual biological and medical tragedy, is explicit (Ellis et al., 2019).</w:t>
      </w:r>
    </w:p>
    <w:p w:rsidR="001C1650" w:rsidRDefault="001C1650" w:rsidP="00C80EA3">
      <w:pPr>
        <w:spacing w:after="0"/>
        <w:ind w:firstLine="720"/>
        <w:jc w:val="both"/>
        <w:rPr>
          <w:rFonts w:ascii="Times New Roman" w:hAnsi="Times New Roman" w:cs="Times New Roman"/>
          <w:sz w:val="24"/>
          <w:szCs w:val="24"/>
        </w:rPr>
      </w:pPr>
    </w:p>
    <w:p w:rsidR="001C1650" w:rsidRDefault="001C1650" w:rsidP="00C80EA3">
      <w:pPr>
        <w:spacing w:after="0"/>
        <w:ind w:firstLine="720"/>
        <w:jc w:val="both"/>
        <w:rPr>
          <w:rFonts w:ascii="Times New Roman" w:hAnsi="Times New Roman" w:cs="Times New Roman"/>
          <w:sz w:val="24"/>
          <w:szCs w:val="24"/>
        </w:rPr>
      </w:pPr>
    </w:p>
    <w:p w:rsidR="00C80EA3" w:rsidRPr="00C80EA3" w:rsidRDefault="00C80EA3" w:rsidP="00C80EA3">
      <w:pPr>
        <w:rPr>
          <w:rFonts w:ascii="Times New Roman" w:hAnsi="Times New Roman" w:cs="Times New Roman"/>
          <w:b/>
          <w:sz w:val="24"/>
          <w:szCs w:val="24"/>
        </w:rPr>
      </w:pPr>
      <w:r w:rsidRPr="00C80EA3">
        <w:rPr>
          <w:rFonts w:ascii="Times New Roman" w:hAnsi="Times New Roman" w:cs="Times New Roman"/>
          <w:b/>
          <w:sz w:val="24"/>
          <w:szCs w:val="24"/>
        </w:rPr>
        <w:t>Method</w:t>
      </w:r>
    </w:p>
    <w:p w:rsidR="001C1650" w:rsidRDefault="00C80EA3" w:rsidP="00C80EA3">
      <w:pPr>
        <w:jc w:val="both"/>
        <w:rPr>
          <w:rFonts w:ascii="Times New Roman" w:hAnsi="Times New Roman" w:cs="Times New Roman"/>
          <w:sz w:val="24"/>
          <w:szCs w:val="24"/>
        </w:rPr>
      </w:pPr>
      <w:r w:rsidRPr="00C80EA3">
        <w:rPr>
          <w:rFonts w:ascii="Times New Roman" w:hAnsi="Times New Roman" w:cs="Times New Roman"/>
          <w:sz w:val="24"/>
          <w:szCs w:val="24"/>
        </w:rPr>
        <w:t>Critical Literature Review (CLR) combined with qualitative thematic analysis was the method of this paper. CLR is an explicitly subjective qualitative process of gathering and reviewing literature using the researcher’s own criticality as an instrument, rather than perceiving subjectivity to be a harmful and unconstructive bias. In this way, the approach to the review fell within a constructivist and interpretivist epistemology (Bryman, 2016).  Computer-based searches using pre-defined databases and search terms, as well as quality assurances like Boolean operators, were used to locate and refine the body of literature. Predetermined inclusion and exclusion criteria were applied in literature selection. Grey literature searching was also incorporated to eliminate publication bias (Bryman, 2016). Once core literature was selected, themes were extracted by the conventions of Braun and Clarke’s (2006) qualitative thematic analysis. This included familiarisation with literature, followed by hand-coding of pertinent elements, and extracting and naming of themes (Braun and Clarke, 2006). Finally, in the writing up of the article, theoretical conventions of Critical Disability Studies (CDS) influenced the final interpretation and form of presented material. Whilst CDS is appropriate for the intersectional analysis of varied social locations (Goodley, 2013), one limitation of its influence was greater theoretical sensitivity to disability above race, ethnicity or culture.</w:t>
      </w:r>
    </w:p>
    <w:p w:rsidR="001C1650" w:rsidRDefault="001C1650" w:rsidP="00C80EA3">
      <w:pPr>
        <w:jc w:val="both"/>
        <w:rPr>
          <w:rFonts w:ascii="Times New Roman" w:hAnsi="Times New Roman" w:cs="Times New Roman"/>
          <w:sz w:val="24"/>
          <w:szCs w:val="24"/>
        </w:rPr>
      </w:pPr>
    </w:p>
    <w:p w:rsidR="00C80EA3" w:rsidRPr="001C1650" w:rsidRDefault="00C80EA3" w:rsidP="001C1650">
      <w:pPr>
        <w:jc w:val="both"/>
        <w:rPr>
          <w:rFonts w:ascii="Times New Roman" w:hAnsi="Times New Roman" w:cs="Times New Roman"/>
          <w:b/>
          <w:sz w:val="28"/>
          <w:szCs w:val="28"/>
        </w:rPr>
      </w:pPr>
      <w:r w:rsidRPr="00C80EA3">
        <w:rPr>
          <w:rFonts w:ascii="Times New Roman" w:hAnsi="Times New Roman" w:cs="Times New Roman"/>
          <w:b/>
          <w:sz w:val="28"/>
          <w:szCs w:val="28"/>
        </w:rPr>
        <w:t>Intersectional review of race and childhood disability in safeguarding work</w:t>
      </w:r>
    </w:p>
    <w:p w:rsidR="00C80EA3" w:rsidRPr="00C80EA3" w:rsidRDefault="00C80EA3" w:rsidP="00C80EA3">
      <w:pPr>
        <w:jc w:val="both"/>
        <w:rPr>
          <w:rFonts w:ascii="Times New Roman" w:hAnsi="Times New Roman" w:cs="Times New Roman"/>
          <w:sz w:val="24"/>
          <w:szCs w:val="24"/>
        </w:rPr>
      </w:pPr>
      <w:r w:rsidRPr="00C80EA3">
        <w:rPr>
          <w:rFonts w:ascii="Times New Roman" w:hAnsi="Times New Roman" w:cs="Times New Roman"/>
          <w:sz w:val="24"/>
          <w:szCs w:val="24"/>
        </w:rPr>
        <w:t xml:space="preserve">The core argument of this paper is that intersectionality provides an effective conceptual lens for the convergence of ethnic minority status and childhood disability in Irish child protection and welfare. Rather than application of a structured practice model or framework, the utility of intersectionality as abstract theory arguably lies in broadening the scope of reflection, around intersections of ethnic minority status and childhood disability. This is aligned to concerns for existing child protection work with minority race and ethnicity populations (see Philips, 2007; Tusla, 2018) as well as children with disability (see Crowley, 2016; </w:t>
      </w:r>
      <w:r w:rsidR="00FE59A1">
        <w:rPr>
          <w:rFonts w:ascii="Times New Roman" w:hAnsi="Times New Roman" w:cs="Times New Roman"/>
          <w:sz w:val="24"/>
          <w:szCs w:val="24"/>
        </w:rPr>
        <w:t>Flynn &amp; McGregor</w:t>
      </w:r>
      <w:r w:rsidRPr="00C80EA3">
        <w:rPr>
          <w:rFonts w:ascii="Times New Roman" w:hAnsi="Times New Roman" w:cs="Times New Roman"/>
          <w:sz w:val="24"/>
          <w:szCs w:val="24"/>
        </w:rPr>
        <w:t>, 2017; Stalker et al., 2010; Stalker &amp; McArthur, 2012; Vanderminden et al., 2017). Three themes will be addressed in the following. These operate in particular order and refer respectively to: novel intersections of ethnic minority status and childhood disability, as a consequence of intensifying globalisation; compounded levels of risk; and the importance of non-conflation of potential sites of oppression, such as race and disability. Throughout, reference to ethnicity, culture and race will be made, within broader recognition that these remain important and non-synonymous aspects of minority community membership (Laird, 2008).</w:t>
      </w:r>
    </w:p>
    <w:p w:rsidR="00C80EA3" w:rsidRPr="00C80EA3" w:rsidRDefault="00C80EA3" w:rsidP="00C80EA3">
      <w:pPr>
        <w:rPr>
          <w:rFonts w:ascii="Times New Roman" w:hAnsi="Times New Roman" w:cs="Times New Roman"/>
          <w:b/>
          <w:i/>
          <w:sz w:val="24"/>
          <w:szCs w:val="24"/>
        </w:rPr>
      </w:pPr>
      <w:r w:rsidRPr="00C80EA3">
        <w:rPr>
          <w:rFonts w:ascii="Times New Roman" w:hAnsi="Times New Roman" w:cs="Times New Roman"/>
          <w:b/>
          <w:i/>
          <w:sz w:val="24"/>
          <w:szCs w:val="24"/>
        </w:rPr>
        <w:t>Globalisation</w:t>
      </w:r>
    </w:p>
    <w:p w:rsidR="00C80EA3" w:rsidRDefault="00C80EA3" w:rsidP="00C80EA3">
      <w:pPr>
        <w:spacing w:after="0"/>
        <w:jc w:val="both"/>
        <w:rPr>
          <w:rFonts w:ascii="Times New Roman" w:hAnsi="Times New Roman" w:cs="Times New Roman"/>
          <w:sz w:val="24"/>
          <w:szCs w:val="24"/>
        </w:rPr>
      </w:pPr>
      <w:r w:rsidRPr="00C80EA3">
        <w:rPr>
          <w:rFonts w:ascii="Times New Roman" w:hAnsi="Times New Roman" w:cs="Times New Roman"/>
          <w:sz w:val="24"/>
          <w:szCs w:val="24"/>
        </w:rPr>
        <w:t xml:space="preserve">This article furnishes intersectional analysis of ethnic minority status and childhood disability in Irish child protection and welfare social work practice. In the following, a case for the relevance of globalisation, to this undertaking, will be made. </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First and foremost, it is clear that globalisation has meaningfully effected social work practice in Ireland. Contemporary Ireland is a substantially globalised and racialised context (Christie &amp; Walsh, 2015). More specifically, globalisation has been defined as, “the economic integration of national economies into one global market” (Dominelli, 2009, p. 14) later incorporating social, cultural and political integration also (Christie &amp; Walsh, 2015; Dominelli, 2009).  Globalisation entails exposure of indigenous social workers to transcontinental social problems, sophisticated migration patterns and other complex social change processes (Dominelli, 2009; 2010a). In this context, globalisation accentuates population diversity. The genesis of this includes origins in migration, transnational relationship patterns, and the melding together of otherwise disparate culture, leading to some homogeny and hybridisation (Christie &amp; Walsh, 2015; Kraidy, 2005; Payne &amp; Askeland, 2016). Germane to discussions around such diversity, are also specific effects of globalisation which urge social workers in Ireland to devlop greater intercultural competency, as a response to increased multiculturalism (Christie &amp; Walsh, 2015; Dominelli, 2010b). Here, ethnicity and race issues are brought to the fore, as lingering belief in mono-cultural Irish society is no longer faithful to now globalised environs.  Overall, the case remains evident, that globalisation has meaningfully effected social work practice in Ireland (Christie &amp; Walsh, 2015).</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 xml:space="preserve">In this context, it may also be proposed, that as a consequence of intensifying globalisation (Dominelli, 2010b) novel intersections of ethnicity and childhood disability feature in social work practice. To illustrate this, the case of trafficking in people is of some utility. Human trafficking is a feature of globalisation, with clear implications for safeguarding children (Dominelli, 2010b). Irish social workers attending to the effects of people trafficking, witness its nature “as one of the dark sides of globalization” (Christie &amp; Walsh, 2015; Jones et al., 2007, p.108). Moreover, dimensions of trafficking in human beings include those pertaining </w:t>
      </w:r>
      <w:r w:rsidRPr="00C80EA3">
        <w:rPr>
          <w:rFonts w:ascii="Times New Roman" w:hAnsi="Times New Roman" w:cs="Times New Roman"/>
          <w:sz w:val="24"/>
          <w:szCs w:val="24"/>
        </w:rPr>
        <w:lastRenderedPageBreak/>
        <w:t>to disability. Trafficking in children can, for instance, inflict, incite and aggravate disability and impairment. Commonly referenced in this respect is psychological trauma such as Post Traumatic Stress Disorder (PTSD) (Stanley et al., 2016). Additionally, intellectual disability more specifically, may dispose children to trafficking and victimisation. A significant body of international literature and research, including large studies from the United States (US), demonstrates that children with intellectual disability are at increased risk of crime victimisation, sexual abuse and sex trafficking (see Clawson et al., 2009; Estes &amp; Wiener, 2005; Reid, 2016; Sullivan &amp; Knutson, 2000). In this context, it is arguably conclusive, that disability may present risk and complicating factors, for child protection and welfare practitioners, attending to cases of human trafficking.</w:t>
      </w:r>
    </w:p>
    <w:p w:rsidR="00C80EA3" w:rsidRDefault="00C80EA3" w:rsidP="00F364EE">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Concurrent to disability, trafficking in people naturally entails racial and ethnic dimensions. As trafficking constitutes, in many instances, a transnational venture with sender and receiver countries, issues of race and ethnicity are raised (Jones et al., 2007). Here, another illustration of the relevance of globalisation to the intersections of ethnicity and childhood disability in safeguarding work, can be derived from Christie and Walsh (2015).  In their analysis, work with asylum seekers, refugees, and the undocumented presents a key aspect of social work practice in Ireland, allied to globalisation. Moreover, within this, are included specific statutory responsibilities pertaining to child protection and welfare. Whilst there is little available literature on disability within these social groups, that which does exist refers predominately to mental health difficulties, provoked by traumatic experience (Straimer, 2010). Yet, indications are that physical disability, more broadly, includes by-products of displacement, persecution, torture, militarised violence and civil war in victim’s home countries (Crock, Ernst &amp; McCallum, 2012; Straimer, 2010). Moreover, conditions in direct provision are an enduring concern for social workers in Ireland (Christie, 2003) and can result in, or aggravate existing disability (Straimer, 2010). Speaking in terms of the convergence of ethnicity, race and disability intersectionally,</w:t>
      </w:r>
    </w:p>
    <w:p w:rsidR="00F364EE" w:rsidRDefault="00F364EE" w:rsidP="00F364EE">
      <w:pPr>
        <w:spacing w:after="0"/>
        <w:ind w:firstLine="720"/>
        <w:jc w:val="both"/>
        <w:rPr>
          <w:rFonts w:ascii="Times New Roman" w:hAnsi="Times New Roman" w:cs="Times New Roman"/>
          <w:sz w:val="24"/>
          <w:szCs w:val="24"/>
        </w:rPr>
      </w:pPr>
    </w:p>
    <w:p w:rsidR="00F364EE" w:rsidRDefault="00C80EA3" w:rsidP="00F364EE">
      <w:pPr>
        <w:spacing w:after="0"/>
        <w:ind w:left="567" w:right="521"/>
        <w:jc w:val="both"/>
        <w:rPr>
          <w:rFonts w:ascii="Times New Roman" w:hAnsi="Times New Roman" w:cs="Times New Roman"/>
          <w:sz w:val="24"/>
          <w:szCs w:val="24"/>
        </w:rPr>
      </w:pPr>
      <w:r w:rsidRPr="00C80EA3">
        <w:rPr>
          <w:rFonts w:ascii="Times New Roman" w:hAnsi="Times New Roman" w:cs="Times New Roman"/>
          <w:sz w:val="24"/>
          <w:szCs w:val="24"/>
        </w:rPr>
        <w:t>‘disability may interact with asylum in a way as to create multiple barriers. . . cumulative disadvantage that may result from being disabled, belonging to a minority ethnic group and being an asylum seeker. Barriers arising from communicating in a foreign language or xenophobia familiar to minority ethnic groups combine with social exclusion due to disability’ (Harris, 2003; Straimer, 2010, p. 4; Vernon, 1996).</w:t>
      </w:r>
    </w:p>
    <w:p w:rsidR="00F364EE" w:rsidRPr="00C80EA3" w:rsidRDefault="00F364EE" w:rsidP="00F364EE">
      <w:pPr>
        <w:spacing w:after="0"/>
        <w:ind w:left="567" w:right="521"/>
        <w:jc w:val="both"/>
        <w:rPr>
          <w:rFonts w:ascii="Times New Roman" w:hAnsi="Times New Roman" w:cs="Times New Roman"/>
          <w:sz w:val="24"/>
          <w:szCs w:val="24"/>
        </w:rPr>
      </w:pPr>
    </w:p>
    <w:p w:rsidR="00C80EA3" w:rsidRDefault="00C80EA3" w:rsidP="00F364EE">
      <w:pPr>
        <w:spacing w:after="0"/>
        <w:jc w:val="both"/>
        <w:rPr>
          <w:rFonts w:ascii="Times New Roman" w:hAnsi="Times New Roman" w:cs="Times New Roman"/>
          <w:sz w:val="24"/>
          <w:szCs w:val="24"/>
        </w:rPr>
      </w:pPr>
      <w:r w:rsidRPr="00C80EA3">
        <w:rPr>
          <w:rFonts w:ascii="Times New Roman" w:hAnsi="Times New Roman" w:cs="Times New Roman"/>
          <w:sz w:val="24"/>
          <w:szCs w:val="24"/>
        </w:rPr>
        <w:t>Straimer (2010) concludes that interaction of disability, ethnicity and asylum seeking is varied. Included therein is the nature of disability as a potential cause and consequence of displacement, as well as a barrier to getting protection and help. Moreover, the monopoly of a medicalised view of disablement is negligent in its omission of marginalisation and social disadvantage. Here, the invisibility of disabled children in displacement, occurs against a backdrop of potential discrimination within originating and host countries (Straimer 2010, p.5).</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 xml:space="preserve">In drawing to a close, the case that has been made is, in many respects, now conclusive. Specifically, as a consequence of intensifying globalisation (Dominelli, 2010b), novel intersections of ethnicity and childhood disability arguably feature in social work practice in Ireland. Here a dearth of literature exists on the prevalence and nature of disability in populations such as human trafficking survivors, the undocumented, asylum seekers and refugees (Straimer, 2010). Nonetheless, what is perceptible from literature with regard to </w:t>
      </w:r>
      <w:r w:rsidRPr="00C80EA3">
        <w:rPr>
          <w:rFonts w:ascii="Times New Roman" w:hAnsi="Times New Roman" w:cs="Times New Roman"/>
          <w:sz w:val="24"/>
          <w:szCs w:val="24"/>
        </w:rPr>
        <w:lastRenderedPageBreak/>
        <w:t>children with disability, is a sobering existing disposition to crime victimisation, abuse, and sex trafficking (see Clawson et al., 2009; Estes &amp; Wiener, 2005; Reid, 2016; Sullivan &amp; Knutson, 2000). In this context, social workers in child protection and welfare are impelled to address effects of globalisation, and within this, will likely encounter convergence of factors associated with, childhood disability and ethnic minority status.</w:t>
      </w:r>
    </w:p>
    <w:p w:rsidR="00C80EA3" w:rsidRPr="00C80EA3" w:rsidRDefault="00C80EA3" w:rsidP="00C80EA3">
      <w:pPr>
        <w:spacing w:after="0"/>
        <w:ind w:firstLine="720"/>
        <w:rPr>
          <w:rFonts w:ascii="Times New Roman" w:hAnsi="Times New Roman" w:cs="Times New Roman"/>
          <w:b/>
          <w:i/>
          <w:sz w:val="24"/>
          <w:szCs w:val="24"/>
        </w:rPr>
      </w:pPr>
    </w:p>
    <w:p w:rsidR="00C80EA3" w:rsidRDefault="00C80EA3" w:rsidP="001C1650">
      <w:pPr>
        <w:spacing w:after="0"/>
        <w:rPr>
          <w:rFonts w:ascii="Times New Roman" w:hAnsi="Times New Roman" w:cs="Times New Roman"/>
          <w:b/>
          <w:i/>
          <w:sz w:val="24"/>
          <w:szCs w:val="24"/>
        </w:rPr>
      </w:pPr>
      <w:r w:rsidRPr="00C80EA3">
        <w:rPr>
          <w:rFonts w:ascii="Times New Roman" w:hAnsi="Times New Roman" w:cs="Times New Roman"/>
          <w:b/>
          <w:i/>
          <w:sz w:val="24"/>
          <w:szCs w:val="24"/>
        </w:rPr>
        <w:t>(Un)segregation of ethnic minority status and disablement</w:t>
      </w:r>
    </w:p>
    <w:p w:rsidR="001C1650" w:rsidRPr="00C80EA3" w:rsidRDefault="001C1650" w:rsidP="001C1650">
      <w:pPr>
        <w:spacing w:after="0"/>
        <w:rPr>
          <w:rFonts w:ascii="Times New Roman" w:hAnsi="Times New Roman" w:cs="Times New Roman"/>
          <w:b/>
          <w:i/>
          <w:sz w:val="24"/>
          <w:szCs w:val="24"/>
        </w:rPr>
      </w:pPr>
    </w:p>
    <w:p w:rsidR="00C80EA3" w:rsidRDefault="00C80EA3" w:rsidP="001C1650">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The core argument of this paper is that intersectionality provides an effective conceptual lens for the convergence of ethnic minority status and childhood disability in Irish child protection and welfare. Thus far, it has been argued that as a consequence of intensifying globalisation (Dominelli, 2010b), novel intersections of ethnic minority status and childhood disability arguably feature in social work practice in Ireland. In the following, the intention is to build on this, through a narrowing focalisation on the practicalities of social work in this milieu. Specifically, it is argued that cases where ethnic minority status and disability as sites of social oppression converge, a compounded level o</w:t>
      </w:r>
      <w:r w:rsidR="00FE59A1">
        <w:rPr>
          <w:rFonts w:ascii="Times New Roman" w:hAnsi="Times New Roman" w:cs="Times New Roman"/>
          <w:sz w:val="24"/>
          <w:szCs w:val="24"/>
        </w:rPr>
        <w:t xml:space="preserve">f </w:t>
      </w:r>
      <w:r w:rsidRPr="00C80EA3">
        <w:rPr>
          <w:rFonts w:ascii="Times New Roman" w:hAnsi="Times New Roman" w:cs="Times New Roman"/>
          <w:sz w:val="24"/>
          <w:szCs w:val="24"/>
        </w:rPr>
        <w:t>risk is produced, exceeding the sum of its parts.</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 xml:space="preserve">As a starting point, it is helpful to consult existing casework. Specifically, the tragic case of Victoria Climbié, from the neighbouring jurisdiction of the UK, is among the best-known child abuse inquires in Irish child protection and welfare practice (Buckley &amp; Nolan, 2013). It is also one of the foremost instrumental cases from which culture, race and ethnicity in child safeguarding is now understood. Notwithstanding such didactic utility, Victoria’s case arguably also has the potential to illustrate important child victimisation issues at the intersection of race and </w:t>
      </w:r>
      <w:r w:rsidRPr="001124B3">
        <w:rPr>
          <w:rFonts w:ascii="Times New Roman" w:hAnsi="Times New Roman" w:cs="Times New Roman"/>
          <w:sz w:val="24"/>
          <w:szCs w:val="24"/>
        </w:rPr>
        <w:t>disability (</w:t>
      </w:r>
      <w:r w:rsidR="00B86691" w:rsidRPr="001124B3">
        <w:rPr>
          <w:rFonts w:ascii="Times New Roman" w:hAnsi="Times New Roman" w:cs="Times New Roman"/>
          <w:sz w:val="24"/>
          <w:szCs w:val="24"/>
        </w:rPr>
        <w:t>Flynn</w:t>
      </w:r>
      <w:r w:rsidRPr="001124B3">
        <w:rPr>
          <w:rFonts w:ascii="Times New Roman" w:hAnsi="Times New Roman" w:cs="Times New Roman"/>
          <w:sz w:val="24"/>
          <w:szCs w:val="24"/>
        </w:rPr>
        <w:t xml:space="preserve">, </w:t>
      </w:r>
      <w:r w:rsidR="001124B3" w:rsidRPr="001124B3">
        <w:rPr>
          <w:rFonts w:ascii="Times New Roman" w:hAnsi="Times New Roman" w:cs="Times New Roman"/>
          <w:sz w:val="24"/>
          <w:szCs w:val="24"/>
        </w:rPr>
        <w:t>2019</w:t>
      </w:r>
      <w:r w:rsidR="001124B3">
        <w:rPr>
          <w:rFonts w:ascii="Times New Roman" w:hAnsi="Times New Roman" w:cs="Times New Roman"/>
          <w:sz w:val="24"/>
          <w:szCs w:val="24"/>
        </w:rPr>
        <w:t>b</w:t>
      </w:r>
      <w:r w:rsidRPr="00B86691">
        <w:rPr>
          <w:rFonts w:ascii="Times New Roman" w:hAnsi="Times New Roman" w:cs="Times New Roman"/>
          <w:sz w:val="24"/>
          <w:szCs w:val="24"/>
        </w:rPr>
        <w:t>).</w:t>
      </w:r>
      <w:r w:rsidRPr="00C80EA3">
        <w:rPr>
          <w:rFonts w:ascii="Times New Roman" w:hAnsi="Times New Roman" w:cs="Times New Roman"/>
          <w:sz w:val="24"/>
          <w:szCs w:val="24"/>
        </w:rPr>
        <w:t xml:space="preserve"> In this sense, Victoria’s impairments arose from injuries sustained through severe abuse that eventually killed her (Laming, 2003). A pertinent consideration, therefore, in Irish child protection and welfare practice according to </w:t>
      </w:r>
      <w:r w:rsidR="00FE59A1">
        <w:rPr>
          <w:rFonts w:ascii="Times New Roman" w:hAnsi="Times New Roman" w:cs="Times New Roman"/>
          <w:sz w:val="24"/>
          <w:szCs w:val="24"/>
        </w:rPr>
        <w:t>Flynn and McGregor</w:t>
      </w:r>
      <w:r w:rsidRPr="00C80EA3">
        <w:rPr>
          <w:rFonts w:ascii="Times New Roman" w:hAnsi="Times New Roman" w:cs="Times New Roman"/>
          <w:sz w:val="24"/>
          <w:szCs w:val="24"/>
        </w:rPr>
        <w:t xml:space="preserve"> (2017), is the etiological pathway of disability. More specifically, a bidirectional causality in terms of abuse, neglect and disability features, as disability both increases risk of abuse, but also can be a consequence of it (Crowley, 2016; Stalker &amp; McArthur, 2012). Whilst Victoria, and other high-profile cases such as Baby P and the Kelly Fitzgerald case, resulted in abuse-induced injury profound enough to end the lives of these children (Powell &amp; Scanlon, 2015), children have survived beyond this. Here physical, mental and emotional disability is endured, sometimes converging with social oppression based in Black and Mixed Ethnicity (BME) community membership, long after the potential for abuse has been extinguished.</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 xml:space="preserve">The overarching argument is, that cases where ethnic minority status and disability as sites of social oppression converge, a compounded level of risk is then produced, exceeding the sum of its parts. In this context, parallels between race, culture and ethnicity issues drawn from the Climbié case, and wider shortcomings established in safeguarding disabled children, may assist with substantiation. As a starting point, intersectionality obliges the relationship between social stratifications such as race, disability and gender to be considered in pursuit of social justice (Crenshaw, 2012). Tragically in Victoria’s case, her death was the product of sustained maltreatment by her aunt and her aunt’s partner, in the context of wider professional inefficiency and malaise (Laming, 2003; Wilson &amp; James, 2007). The official inquiry report compiled by Lord Laming (2003) alluded to misguided professional responses to race, culture and ethnicity within this. Professionals, for example, feared accusations of racism, in seeking </w:t>
      </w:r>
      <w:r w:rsidRPr="00C80EA3">
        <w:rPr>
          <w:rFonts w:ascii="Times New Roman" w:hAnsi="Times New Roman" w:cs="Times New Roman"/>
          <w:sz w:val="24"/>
          <w:szCs w:val="24"/>
        </w:rPr>
        <w:lastRenderedPageBreak/>
        <w:t xml:space="preserve">to promote the child’s best interests (Laming, 2003). Moreover, these shortcomings demonstrate important parallels with the instance of disability. Child protection and disability literature, for example, alludes to effects of deflection and distraction for child protection professionals related to disability. More specifically, these effects can be linked, for instance, to fear that intervention would be too harsh on parents trying to cope with a child’s disability, therefore undermining child safeguarding efforts (Stalker et al., 2010). Overall, the unifying implication is, that race, culture, ethnicity and disability, all harbour potential for absorbing attention away from the safety and welfare of the child as first and paramount consideration (DCYA, 2017; </w:t>
      </w:r>
      <w:r w:rsidR="00B86691">
        <w:rPr>
          <w:rFonts w:ascii="Times New Roman" w:hAnsi="Times New Roman" w:cs="Times New Roman"/>
          <w:sz w:val="24"/>
          <w:szCs w:val="24"/>
        </w:rPr>
        <w:t>Flynn, 2019</w:t>
      </w:r>
      <w:r w:rsidR="0009726A">
        <w:rPr>
          <w:rFonts w:ascii="Times New Roman" w:hAnsi="Times New Roman" w:cs="Times New Roman"/>
          <w:sz w:val="24"/>
          <w:szCs w:val="24"/>
        </w:rPr>
        <w:t>a</w:t>
      </w:r>
      <w:r w:rsidRPr="00C80EA3">
        <w:rPr>
          <w:rFonts w:ascii="Times New Roman" w:hAnsi="Times New Roman" w:cs="Times New Roman"/>
          <w:sz w:val="24"/>
          <w:szCs w:val="24"/>
        </w:rPr>
        <w:t>). In this context, by the conventions of intersectionality theory, the convergence of a number of these sites of oppression, can in fact, compound and exasperate such potential (Crenshaw, 2012).</w:t>
      </w:r>
    </w:p>
    <w:p w:rsidR="00C80EA3" w:rsidRP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Notwithstanding the argument for a compounded level of danger, emerging from convergence of ethnic minority status and childhood disability, there is also the risk that by making this claim, another category of disadvantage focussed on individual identity will be constructed.  In doing so, attention is detracted from disadvantage that is perpetuaed through systems and structures. Therefore, it is critical to also highlight, that the problem with cases such as Victoria’s is not attributable to the child’s ethnic minority or disability status, but rather related to structural disadvantage, racism and disablism that exists in practice. In this context, having established the possibility for ethnic minority status and disability as sites of social oppression to converge and compound the level of risk produced, the details of this process remain opaque. In Victoria’s case, assumptions were made about race, culture and ethnicity that detracted from the proper application of child protection procedure. Victoria’s reticence around her abusers was interpreted as stemming from her arrival from West Africa, rather than a logical response to abuse (Laming, 2003). In this context, the potential attribution of neglect and abuse issues to impairment and disability also features in existing literature. Recent Irish research, for instance, supported the potential for ‘challenging behaviours’ to be considered to be an artefact of a child’s intellectual disability, rather than a by-product of neglect or poverty issues, such as being hungry (Emerson, 2004</w:t>
      </w:r>
      <w:r w:rsidRPr="00B86691">
        <w:rPr>
          <w:rFonts w:ascii="Times New Roman" w:hAnsi="Times New Roman" w:cs="Times New Roman"/>
          <w:sz w:val="24"/>
          <w:szCs w:val="24"/>
        </w:rPr>
        <w:t xml:space="preserve">; </w:t>
      </w:r>
      <w:r w:rsidR="00B86691" w:rsidRPr="00B86691">
        <w:rPr>
          <w:rFonts w:ascii="Times New Roman" w:hAnsi="Times New Roman" w:cs="Times New Roman"/>
          <w:sz w:val="24"/>
          <w:szCs w:val="24"/>
        </w:rPr>
        <w:t>Flynn &amp; McGregor</w:t>
      </w:r>
      <w:r w:rsidRPr="00B86691">
        <w:rPr>
          <w:rFonts w:ascii="Times New Roman" w:hAnsi="Times New Roman" w:cs="Times New Roman"/>
          <w:sz w:val="24"/>
          <w:szCs w:val="24"/>
        </w:rPr>
        <w:t>, 2018).</w:t>
      </w:r>
      <w:r w:rsidRPr="00C80EA3">
        <w:rPr>
          <w:rFonts w:ascii="Times New Roman" w:hAnsi="Times New Roman" w:cs="Times New Roman"/>
          <w:sz w:val="24"/>
          <w:szCs w:val="24"/>
        </w:rPr>
        <w:t xml:space="preserve"> Moreover, the potential for lack of intercultural competency, knowledge of diversities, ethnic sensitivity, and disability awareness, to converge upon each other, and ultimately undermine practice, is evident. The explanation that Victoria was wearing a wig due to having short hair, for instance, in the context of her race and ethnicity, was accepted rather than questioned, when in fact her hair had been pulled from her scalp in places (Laming, 2003). In this context, safeguarding literature on disability also alludes to difficulties in child protection and welfare professionals assessing and understanding a child’s complex needs, including proper standards of care associated with their impairment(s). Within this, complex casework can be exacerbated by time and resource constraints (Crowley, 2016; Vanderminden et al., 2017), as existing literature reveals high caseloads and time pressurised practice for Irish social workers (Burns, 2012; Burns &amp; MacCarthy, 2012). Here, intersectionality theory ultimately speaks to the question of whether practitioner’s working with children marginalised on the grounds of both disability, and ethnic minority status, are increasingly predisposed to error. In this context, the sustaining proposition of this section has been, that cases where ethnic minority status and disability as sites of social oppression converge, a compounded level of risk is produced, ultimately exceeding the sum of its parts.</w:t>
      </w:r>
    </w:p>
    <w:p w:rsidR="00C80EA3" w:rsidRPr="00C80EA3" w:rsidRDefault="00C80EA3" w:rsidP="00C80EA3">
      <w:pPr>
        <w:rPr>
          <w:rFonts w:ascii="Times New Roman" w:hAnsi="Times New Roman" w:cs="Times New Roman"/>
          <w:b/>
          <w:i/>
          <w:sz w:val="24"/>
          <w:szCs w:val="24"/>
        </w:rPr>
      </w:pPr>
    </w:p>
    <w:p w:rsidR="00C80EA3" w:rsidRPr="00C80EA3" w:rsidRDefault="00C80EA3" w:rsidP="00C80EA3">
      <w:pPr>
        <w:rPr>
          <w:rFonts w:ascii="Times New Roman" w:hAnsi="Times New Roman" w:cs="Times New Roman"/>
          <w:b/>
          <w:i/>
          <w:sz w:val="24"/>
          <w:szCs w:val="24"/>
        </w:rPr>
      </w:pPr>
      <w:r w:rsidRPr="00C80EA3">
        <w:rPr>
          <w:rFonts w:ascii="Times New Roman" w:hAnsi="Times New Roman" w:cs="Times New Roman"/>
          <w:b/>
          <w:i/>
          <w:sz w:val="24"/>
          <w:szCs w:val="24"/>
        </w:rPr>
        <w:t xml:space="preserve"> Non-conflation of sites of social oppression</w:t>
      </w:r>
    </w:p>
    <w:p w:rsidR="00C80EA3" w:rsidRPr="00C80EA3" w:rsidRDefault="00C80EA3" w:rsidP="00C80EA3">
      <w:pPr>
        <w:rPr>
          <w:rFonts w:ascii="Times New Roman" w:hAnsi="Times New Roman" w:cs="Times New Roman"/>
          <w:sz w:val="24"/>
          <w:szCs w:val="24"/>
        </w:rPr>
      </w:pPr>
    </w:p>
    <w:p w:rsidR="00C80EA3" w:rsidRPr="00C80EA3" w:rsidRDefault="00C80EA3" w:rsidP="00C80EA3">
      <w:pPr>
        <w:rPr>
          <w:rFonts w:ascii="Times New Roman" w:hAnsi="Times New Roman" w:cs="Times New Roman"/>
          <w:sz w:val="24"/>
          <w:szCs w:val="24"/>
        </w:rPr>
      </w:pPr>
      <w:r w:rsidRPr="00C80EA3">
        <w:rPr>
          <w:rFonts w:ascii="Times New Roman" w:hAnsi="Times New Roman" w:cs="Times New Roman"/>
          <w:sz w:val="24"/>
          <w:szCs w:val="24"/>
        </w:rPr>
        <w:t xml:space="preserve"> </w:t>
      </w:r>
    </w:p>
    <w:p w:rsidR="00C80EA3" w:rsidRPr="00C80EA3" w:rsidRDefault="00C80EA3" w:rsidP="00C80EA3">
      <w:pPr>
        <w:rPr>
          <w:rFonts w:ascii="Times New Roman" w:hAnsi="Times New Roman" w:cs="Times New Roman"/>
          <w:sz w:val="24"/>
          <w:szCs w:val="24"/>
        </w:rPr>
      </w:pPr>
    </w:p>
    <w:p w:rsidR="00C80EA3" w:rsidRDefault="00C80EA3" w:rsidP="00C80EA3">
      <w:pPr>
        <w:spacing w:after="0"/>
        <w:jc w:val="both"/>
        <w:rPr>
          <w:rFonts w:ascii="Times New Roman" w:hAnsi="Times New Roman" w:cs="Times New Roman"/>
          <w:sz w:val="24"/>
          <w:szCs w:val="24"/>
        </w:rPr>
      </w:pPr>
      <w:r w:rsidRPr="00C80EA3">
        <w:rPr>
          <w:rFonts w:ascii="Times New Roman" w:hAnsi="Times New Roman" w:cs="Times New Roman"/>
          <w:sz w:val="24"/>
          <w:szCs w:val="24"/>
        </w:rPr>
        <w:t>The third and final theme, on the subject matter of childhood disability and ethnicity in Irish safeguarding, is grounded in the complex nature of social designations such as disability (Goodley, 2016). The specific argument is that, whilst intersectionality demonstrates the importance of considering social designations in combination, non-conflation of potential sites of oppression such as ethnicity and disability, is also crucial.</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The proposition has several foundations. Numerous sources of literature, both international and Irish, establish shortfalls and deficits in child protection and welfare work with disabled children (</w:t>
      </w:r>
      <w:r w:rsidR="00FE59A1">
        <w:rPr>
          <w:rFonts w:ascii="Times New Roman" w:hAnsi="Times New Roman" w:cs="Times New Roman"/>
          <w:sz w:val="24"/>
          <w:szCs w:val="24"/>
        </w:rPr>
        <w:t>Flynn &amp; McGregor</w:t>
      </w:r>
      <w:r w:rsidRPr="00C80EA3">
        <w:rPr>
          <w:rFonts w:ascii="Times New Roman" w:hAnsi="Times New Roman" w:cs="Times New Roman"/>
          <w:sz w:val="24"/>
          <w:szCs w:val="24"/>
        </w:rPr>
        <w:t>, 2017; Stalker et al., 2010; Vanderminden et al., 2017). This includes lessened intervention in cases of abuse and neglect of disabled children, at certain stages, which appeals to the notion of higher thresholds (Stalker et al., 2010; Vanderminden et al., 2017). Child protection professionals also indicate concerns for lack of preparedness and confidence in intervening in these cases (</w:t>
      </w:r>
      <w:r w:rsidR="00FE59A1">
        <w:rPr>
          <w:rFonts w:ascii="Times New Roman" w:hAnsi="Times New Roman" w:cs="Times New Roman"/>
          <w:sz w:val="24"/>
          <w:szCs w:val="24"/>
        </w:rPr>
        <w:t>Flynn &amp; McGregor</w:t>
      </w:r>
      <w:r w:rsidRPr="00C80EA3">
        <w:rPr>
          <w:rFonts w:ascii="Times New Roman" w:hAnsi="Times New Roman" w:cs="Times New Roman"/>
          <w:sz w:val="24"/>
          <w:szCs w:val="24"/>
        </w:rPr>
        <w:t>, 2017; Kelly &amp; Dowling, 2015; Vanderminden et al., 2017). Arguably across all deficits and shortcomings, a cross-cutting impediment lies, in the complex, indefinite and exigent nature of disability (Goodley, 2016).</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With this established, disability in terms of intersectionality theory, should not be isolated from other sites of social oppression within social justice orientated assessment (Crenshaw, 2012). Yet, whilst this is the case, non-conflation of social designations such as ethnicity and disability would also appear imperative. Specifically, with reference to the particular complexities of disability already alluded to, observations can be made with a view to substantiating such a proposition. In this sense, disability theorists, and academic disciplines such as disability studies, have long been acquainted with the complexity of disablement (Goodley, 2016). In gracing the diversity banner, disability in the context of child victimisation varies from other discriminatory social locations that it may be conflated with, like gender, or race, in meaningful ways (Simcock &amp; Castle, 2016). Nobody is exempt from becoming disabled, whilst unbecoming disabled is also possible.  It is unlikely, however, within the social partitioning of human diversity, that one’s gender or race will change in the same way (Sapey, 2002). Moreover, disability is in some respects, an arbitrary construct. Most of us have afflictions of some sort but may, or may not, identify as ‘disabled’ e.g. short-sighted people (Swain &amp; French, 2000). Disability perhaps constitutes, in this context, a continuum upon which we all lie, rather than the more common and perhaps erroneous conceptualisation, of a stark binary division between able-bodied and disabled designations (Davis, 2002; Goodley, 2016). Either way, as McRuer (2006) articulates, disability is an identity position we are all liable to be voluntarily or unwillingly assigned, and in some ways, this distinguishes it.</w:t>
      </w:r>
    </w:p>
    <w:p w:rsidR="00C80EA3" w:rsidRDefault="00C80EA3" w:rsidP="00C80EA3">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 xml:space="preserve">Returning these debates to the subject matter of safeguarding, child maltreatment and victimisation, it would seem that disability cannot therefore be accounted for simply as another risk factor or signifier of human diversity, such as minority race or sexual orientation. Planning for social work intervention requires detailed awareness of the implications and nature of disability, whether it is its cost, medical information, necessary support services, or complex needs that assessing social workers must make sense of (Oliver &amp; Sapey, 1999). It is palpable in this context, that disability is also a term encapsulating a veritable constellation of impairment types, with vastly differing implications for quality of life, and safety and </w:t>
      </w:r>
      <w:r w:rsidRPr="00C80EA3">
        <w:rPr>
          <w:rFonts w:ascii="Times New Roman" w:hAnsi="Times New Roman" w:cs="Times New Roman"/>
          <w:sz w:val="24"/>
          <w:szCs w:val="24"/>
        </w:rPr>
        <w:lastRenderedPageBreak/>
        <w:t>protection needs (Barnett &amp; Scotch, 1999). Impairments may include chronic medical conditions that go through aggressive phases interspersed with periods of remission. Alternatively, the trajectory of psychological impairments may be difficult to forecast in terms of the future impact on the safety of a child (American Psychiatric Association, 2013). In this context, the theoretical notion of intersectionality prompts reflection on the capacity of disability to overlap with other social cleavage, such as gender, in relevant ways (Goodley, 2013). Evidence presents, for instance, of over-representation of males within looked after populations of children with disability in Ireland (McConkey et al., 2004). The case being made, however, is one grounded in the complex and unique nature of disablement. Specifically, disability presents a formidable risk and complicating factor in safeguarding work that requires sophisticated reasoning and insight (Crowley, 2016; Raymond, 2010; Vanderminden et al., 2017). In this context, it is argued that, whilst intersectionality demonstrates the importance of considering social designations in combination, non-conflation of potential sites of oppression such as ethnicity and disability, is also crucial. In this section, the complexity of disability in safeguarding has been selected for illustration of this. The implication of generalising from the case of disability, is that articulation of gender, racial orientation and other sites of social oppression, may be similarly complex (Carastathis, 2016). Therefore, the argument is, that conflation of social positions is ultimately ill-advised.</w:t>
      </w:r>
    </w:p>
    <w:p w:rsidR="00C80EA3" w:rsidRPr="00C80EA3" w:rsidRDefault="00C80EA3" w:rsidP="00C80EA3">
      <w:pPr>
        <w:spacing w:after="0"/>
        <w:ind w:firstLine="720"/>
        <w:rPr>
          <w:rFonts w:ascii="Times New Roman" w:hAnsi="Times New Roman" w:cs="Times New Roman"/>
          <w:b/>
          <w:sz w:val="24"/>
          <w:szCs w:val="24"/>
        </w:rPr>
      </w:pPr>
    </w:p>
    <w:p w:rsidR="00C80EA3" w:rsidRPr="00FF1942" w:rsidRDefault="00C80EA3" w:rsidP="00C80EA3">
      <w:pPr>
        <w:rPr>
          <w:rFonts w:ascii="Times New Roman" w:hAnsi="Times New Roman" w:cs="Times New Roman"/>
          <w:b/>
          <w:sz w:val="24"/>
          <w:szCs w:val="24"/>
        </w:rPr>
      </w:pPr>
      <w:r w:rsidRPr="00C80EA3">
        <w:rPr>
          <w:rFonts w:ascii="Times New Roman" w:hAnsi="Times New Roman" w:cs="Times New Roman"/>
          <w:b/>
          <w:sz w:val="24"/>
          <w:szCs w:val="24"/>
        </w:rPr>
        <w:t>Concluding discussion</w:t>
      </w:r>
    </w:p>
    <w:p w:rsidR="00FF1942" w:rsidRDefault="00C80EA3" w:rsidP="00FF1942">
      <w:pPr>
        <w:spacing w:after="0"/>
        <w:jc w:val="both"/>
        <w:rPr>
          <w:rFonts w:ascii="Times New Roman" w:hAnsi="Times New Roman" w:cs="Times New Roman"/>
          <w:sz w:val="24"/>
          <w:szCs w:val="24"/>
        </w:rPr>
      </w:pPr>
      <w:r w:rsidRPr="00C80EA3">
        <w:rPr>
          <w:rFonts w:ascii="Times New Roman" w:hAnsi="Times New Roman" w:cs="Times New Roman"/>
          <w:sz w:val="24"/>
          <w:szCs w:val="24"/>
        </w:rPr>
        <w:t>The sustaining proposition of this paper is that intersectionality provides an effective conceptual lens for the convergence of ethnic minority status and childhood disability in Irish child protection and welfare. Towards making this case, thus far, theoretically informed critical commentary has been presented, with respect to three emergent themes. Firstly, as a consequence of intensifying globalisation (Dominelli, 2010b), novel intersections of ethnic minority status and childhood disability arguably feature in social work practice in Ireland. Secondly, in cases where ethnic minority status and disability as sites of social oppression converge, a compounded level of risk is produced, exceeding the sum of its parts. Thirdly, whilst intersectionality demonstrates the importance of considering social designations in combination (Carastathis, 2016; Crenshaw, 2012; Goodley, 2013), non-conflation of potential sites of oppression such as race and disability, is also required</w:t>
      </w:r>
      <w:r w:rsidR="00FF1942">
        <w:rPr>
          <w:rFonts w:ascii="Times New Roman" w:hAnsi="Times New Roman" w:cs="Times New Roman"/>
          <w:sz w:val="24"/>
          <w:szCs w:val="24"/>
        </w:rPr>
        <w:t>.</w:t>
      </w:r>
    </w:p>
    <w:p w:rsidR="00C80EA3" w:rsidRPr="00C80EA3" w:rsidRDefault="00C80EA3" w:rsidP="00FF1942">
      <w:pPr>
        <w:spacing w:after="0"/>
        <w:ind w:firstLine="720"/>
        <w:jc w:val="both"/>
        <w:rPr>
          <w:rFonts w:ascii="Times New Roman" w:hAnsi="Times New Roman" w:cs="Times New Roman"/>
          <w:sz w:val="24"/>
          <w:szCs w:val="24"/>
        </w:rPr>
      </w:pPr>
      <w:r w:rsidRPr="00C80EA3">
        <w:rPr>
          <w:rFonts w:ascii="Times New Roman" w:hAnsi="Times New Roman" w:cs="Times New Roman"/>
          <w:sz w:val="24"/>
          <w:szCs w:val="24"/>
        </w:rPr>
        <w:t xml:space="preserve">In drawing to a close, what remains to be addressed is refinement of this towards distinct recommendations for practitioners moving forward. In looking to work, and think intersectionally, guidelines and warnings for practitioners in the following seek to integrate intersectionality theory, with existing social work conventions. The intention is to shed light on existing issues within safeguarding work where minority race, culture, ethnicity and disablement feature (Crowley, 2016; </w:t>
      </w:r>
      <w:r w:rsidR="00FE59A1">
        <w:rPr>
          <w:rFonts w:ascii="Times New Roman" w:hAnsi="Times New Roman" w:cs="Times New Roman"/>
          <w:sz w:val="24"/>
          <w:szCs w:val="24"/>
        </w:rPr>
        <w:t>Flynn &amp; McGregor</w:t>
      </w:r>
      <w:r w:rsidRPr="00C80EA3">
        <w:rPr>
          <w:rFonts w:ascii="Times New Roman" w:hAnsi="Times New Roman" w:cs="Times New Roman"/>
          <w:sz w:val="24"/>
          <w:szCs w:val="24"/>
        </w:rPr>
        <w:t>, 2017; Philips, 2007; Stalker et al., 2010; Stalker &amp; McArthur, 2012; Tusla, 2018; Vanderminden et al., 2017).</w:t>
      </w:r>
    </w:p>
    <w:p w:rsidR="00C80EA3" w:rsidRPr="00FF1942" w:rsidRDefault="00C80EA3" w:rsidP="00C80EA3">
      <w:pPr>
        <w:rPr>
          <w:rFonts w:ascii="Times New Roman" w:hAnsi="Times New Roman" w:cs="Times New Roman"/>
          <w:b/>
          <w:i/>
          <w:sz w:val="24"/>
          <w:szCs w:val="24"/>
        </w:rPr>
      </w:pPr>
    </w:p>
    <w:p w:rsidR="00C80EA3" w:rsidRDefault="00C80EA3" w:rsidP="001C1650">
      <w:pPr>
        <w:spacing w:after="0"/>
        <w:rPr>
          <w:rFonts w:ascii="Times New Roman" w:hAnsi="Times New Roman" w:cs="Times New Roman"/>
          <w:b/>
          <w:i/>
          <w:sz w:val="24"/>
          <w:szCs w:val="24"/>
        </w:rPr>
      </w:pPr>
      <w:r w:rsidRPr="00FF1942">
        <w:rPr>
          <w:rFonts w:ascii="Times New Roman" w:hAnsi="Times New Roman" w:cs="Times New Roman"/>
          <w:b/>
          <w:i/>
          <w:sz w:val="24"/>
          <w:szCs w:val="24"/>
        </w:rPr>
        <w:t>Maintain scepticism towards homogeneity</w:t>
      </w:r>
    </w:p>
    <w:p w:rsidR="001C1650" w:rsidRPr="00FF1942" w:rsidRDefault="001C1650" w:rsidP="001C1650">
      <w:pPr>
        <w:spacing w:after="0"/>
        <w:rPr>
          <w:rFonts w:ascii="Times New Roman" w:hAnsi="Times New Roman" w:cs="Times New Roman"/>
          <w:b/>
          <w:i/>
          <w:sz w:val="24"/>
          <w:szCs w:val="24"/>
        </w:rPr>
      </w:pPr>
    </w:p>
    <w:p w:rsidR="00C80EA3" w:rsidRDefault="00C80EA3" w:rsidP="001C1650">
      <w:pPr>
        <w:spacing w:after="0"/>
        <w:jc w:val="both"/>
        <w:rPr>
          <w:rFonts w:ascii="Times New Roman" w:hAnsi="Times New Roman" w:cs="Times New Roman"/>
          <w:sz w:val="24"/>
          <w:szCs w:val="24"/>
        </w:rPr>
      </w:pPr>
      <w:r w:rsidRPr="00C80EA3">
        <w:rPr>
          <w:rFonts w:ascii="Times New Roman" w:hAnsi="Times New Roman" w:cs="Times New Roman"/>
          <w:sz w:val="24"/>
          <w:szCs w:val="24"/>
        </w:rPr>
        <w:t xml:space="preserve">Problems began to surface amid early theoretical and socio-political responses to oppression based in gender, and other lines of social stratification such as disability. Specifically, the exclusivity in these movements for more privileged representatives began to be questioned. Feminism in the US was, for instance, criticised for being monopolised by privileged white women to the omission of female racial minorities (Carastathis, 2016). Similarly, more recently, CDS began to seek out global north analyses to address the fixation of broader disability studies on problems of the global south (Goodley, 2013). With wounds beginning to fester in the solidarity of social movements, intersectionality originally emerged and remained popular as a protest of kinds. More specifically, intersectionality undermined and contested misguided views that major social identities such as ‘women’, or ‘people with disability’, are remotely homogeneous (Carastathis, 2016). In terms of Irish safeguarding work, former review of literature has alluded to the complex needs and vastly differing implications that disability or indeed race, can have for a child at risk. Moreover, as illustrated in the Victoria Climbié case, practitioners must be clear, in relevant instances, about what these implications are.  Therefore, as a first premise for informing future practice, the value of scepticism towards homogeneity, as a safeguard for child protection and welfare practitioners, must be considered. </w:t>
      </w:r>
    </w:p>
    <w:p w:rsidR="001C1650" w:rsidRPr="00C80EA3" w:rsidRDefault="001C1650" w:rsidP="001C1650">
      <w:pPr>
        <w:spacing w:after="0"/>
        <w:jc w:val="both"/>
        <w:rPr>
          <w:rFonts w:ascii="Times New Roman" w:hAnsi="Times New Roman" w:cs="Times New Roman"/>
          <w:sz w:val="24"/>
          <w:szCs w:val="24"/>
        </w:rPr>
      </w:pPr>
    </w:p>
    <w:p w:rsidR="00C80EA3" w:rsidRDefault="00C80EA3" w:rsidP="001C1650">
      <w:pPr>
        <w:spacing w:after="0"/>
        <w:rPr>
          <w:rFonts w:ascii="Times New Roman" w:hAnsi="Times New Roman" w:cs="Times New Roman"/>
          <w:b/>
          <w:i/>
          <w:sz w:val="24"/>
          <w:szCs w:val="24"/>
        </w:rPr>
      </w:pPr>
      <w:r w:rsidRPr="00FF1942">
        <w:rPr>
          <w:rFonts w:ascii="Times New Roman" w:hAnsi="Times New Roman" w:cs="Times New Roman"/>
          <w:b/>
          <w:i/>
          <w:sz w:val="24"/>
          <w:szCs w:val="24"/>
        </w:rPr>
        <w:t>Acknowledge intersecting identities without distraction from universal protection rights</w:t>
      </w:r>
    </w:p>
    <w:p w:rsidR="001C1650" w:rsidRPr="00FF1942" w:rsidRDefault="001C1650" w:rsidP="001C1650">
      <w:pPr>
        <w:spacing w:after="0"/>
        <w:rPr>
          <w:rFonts w:ascii="Times New Roman" w:hAnsi="Times New Roman" w:cs="Times New Roman"/>
          <w:b/>
          <w:i/>
          <w:sz w:val="24"/>
          <w:szCs w:val="24"/>
        </w:rPr>
      </w:pPr>
    </w:p>
    <w:p w:rsidR="00C80EA3" w:rsidRDefault="00C80EA3" w:rsidP="001C1650">
      <w:pPr>
        <w:spacing w:after="0"/>
        <w:jc w:val="both"/>
        <w:rPr>
          <w:rFonts w:ascii="Times New Roman" w:hAnsi="Times New Roman" w:cs="Times New Roman"/>
          <w:sz w:val="24"/>
          <w:szCs w:val="24"/>
        </w:rPr>
      </w:pPr>
      <w:r w:rsidRPr="00C80EA3">
        <w:rPr>
          <w:rFonts w:ascii="Times New Roman" w:hAnsi="Times New Roman" w:cs="Times New Roman"/>
          <w:sz w:val="24"/>
          <w:szCs w:val="24"/>
        </w:rPr>
        <w:t>The second recommendation is that practitioners should acknowledge intersecting identities without distraction from universal protection rights. With the value of professional sensitivity to difference established, in terms of the diverse implications of ethnic minority status and disability, there are also warnings to be heeded. In existing child protection inquiry reports and literature, the potential for the presence of social designations such as disability or minority ethnic group status, to distract attention from a child’s basic universal rights to protection, is evident (Crowley, 2016; Laming, 2003; Vanderminden et al, 2017). Where intersections of multiple sites of oppression create complex needs and warrant specialised social support infrastructures (such as seeking ethnically-matched placements that also can meet a disabled child’s needs), practitioners must not lose sight of the paramountcy of the safety and welfare of the child, including their universal rights to protection (Kilkelly &amp; Lundy, 2013). In this context, the intention is not to restate an already well-worn recommendation of past inquiries and analysis (e.g. Laming, 2003). Rather, it is necessary to revive this claim, as an important qualification and complement to, the concept of intersectionality in child safeguarding work.</w:t>
      </w:r>
    </w:p>
    <w:p w:rsidR="001C1650" w:rsidRPr="00C80EA3" w:rsidRDefault="001C1650" w:rsidP="001C1650">
      <w:pPr>
        <w:spacing w:after="0"/>
        <w:jc w:val="both"/>
        <w:rPr>
          <w:rFonts w:ascii="Times New Roman" w:hAnsi="Times New Roman" w:cs="Times New Roman"/>
          <w:sz w:val="24"/>
          <w:szCs w:val="24"/>
        </w:rPr>
      </w:pPr>
    </w:p>
    <w:p w:rsidR="00C80EA3" w:rsidRDefault="00C80EA3" w:rsidP="001C1650">
      <w:pPr>
        <w:spacing w:after="0"/>
        <w:rPr>
          <w:rFonts w:ascii="Times New Roman" w:hAnsi="Times New Roman" w:cs="Times New Roman"/>
          <w:b/>
          <w:i/>
          <w:sz w:val="24"/>
          <w:szCs w:val="24"/>
        </w:rPr>
      </w:pPr>
      <w:r w:rsidRPr="00FF1942">
        <w:rPr>
          <w:rFonts w:ascii="Times New Roman" w:hAnsi="Times New Roman" w:cs="Times New Roman"/>
          <w:b/>
          <w:i/>
          <w:sz w:val="24"/>
          <w:szCs w:val="24"/>
        </w:rPr>
        <w:t>Pursue knowledge competency in the meaning of social identities</w:t>
      </w:r>
    </w:p>
    <w:p w:rsidR="001C1650" w:rsidRPr="00FF1942" w:rsidRDefault="001C1650" w:rsidP="001C1650">
      <w:pPr>
        <w:spacing w:after="0"/>
        <w:rPr>
          <w:rFonts w:ascii="Times New Roman" w:hAnsi="Times New Roman" w:cs="Times New Roman"/>
          <w:b/>
          <w:i/>
          <w:sz w:val="24"/>
          <w:szCs w:val="24"/>
        </w:rPr>
      </w:pPr>
    </w:p>
    <w:p w:rsidR="00C80EA3" w:rsidRDefault="00C80EA3" w:rsidP="001C1650">
      <w:pPr>
        <w:spacing w:after="0"/>
        <w:jc w:val="both"/>
        <w:rPr>
          <w:rFonts w:ascii="Times New Roman" w:hAnsi="Times New Roman" w:cs="Times New Roman"/>
          <w:sz w:val="24"/>
          <w:szCs w:val="24"/>
        </w:rPr>
      </w:pPr>
      <w:r w:rsidRPr="00C80EA3">
        <w:rPr>
          <w:rFonts w:ascii="Times New Roman" w:hAnsi="Times New Roman" w:cs="Times New Roman"/>
          <w:sz w:val="24"/>
          <w:szCs w:val="24"/>
        </w:rPr>
        <w:t>Finally, as a third premise for future practice, and an addendum to recommendations already made, knowledge competency around the meaning of relevant social identities is necessary for practitioners. Towards illustrating this, intercultural competency and ethnic sensitive practice, for instance, are among broad approaches in social work theory that seek to support practitioners in their work with BME communities (Dhooper &amp; Moore, 2001; Payne, 2014). More specifically, allied practice models include the LIVE and LEARN Model of cultural competence associated with Carballeria (1996), the Multidimensional Model of Culture Competence (MMC) associated with Sue (2001), and the ASKED Model (Awareness, Skill, Knowledge, Encounters and Desire) associated with Camphinha - Bacote (2002). In particular, among their conventions, these models identify the need for practitioners to acquire practical knowledge and facts about the culture, race and ethnicity of the person that they are working with. Moreover, existing literature on social work with people with disabilities makes similar recommendations about the necessity of understanding practical implications and key information about a client’s impairment (Oliver &amp; Sapey, 1999). Whilst overall, the need for knowledge competency is by no means a novel suggestion, intersectionality does add a caveat to this. More specifically, taking an intersectional perspective, the additional imperative of knowledge pertaining to effects of convergence of multiple identities, is requisite for responsible practice.</w:t>
      </w:r>
    </w:p>
    <w:p w:rsidR="001C1650" w:rsidRPr="00C80EA3" w:rsidRDefault="001C1650" w:rsidP="001C1650">
      <w:pPr>
        <w:spacing w:after="0"/>
        <w:jc w:val="both"/>
        <w:rPr>
          <w:rFonts w:ascii="Times New Roman" w:hAnsi="Times New Roman" w:cs="Times New Roman"/>
          <w:sz w:val="24"/>
          <w:szCs w:val="24"/>
        </w:rPr>
      </w:pPr>
    </w:p>
    <w:p w:rsidR="00C80EA3" w:rsidRPr="001C1650" w:rsidRDefault="00C80EA3" w:rsidP="00C80EA3">
      <w:pPr>
        <w:rPr>
          <w:rFonts w:ascii="Times New Roman" w:hAnsi="Times New Roman" w:cs="Times New Roman"/>
          <w:b/>
          <w:sz w:val="24"/>
          <w:szCs w:val="24"/>
        </w:rPr>
      </w:pPr>
      <w:bookmarkStart w:id="2" w:name="_Hlk30753831"/>
      <w:r w:rsidRPr="00FF1942">
        <w:rPr>
          <w:rFonts w:ascii="Times New Roman" w:hAnsi="Times New Roman" w:cs="Times New Roman"/>
          <w:b/>
          <w:sz w:val="24"/>
          <w:szCs w:val="24"/>
        </w:rPr>
        <w:t>Conclusion</w:t>
      </w:r>
    </w:p>
    <w:p w:rsidR="00C80EA3" w:rsidRPr="00C80EA3" w:rsidRDefault="00C80EA3" w:rsidP="00FF1942">
      <w:pPr>
        <w:jc w:val="both"/>
        <w:rPr>
          <w:rFonts w:ascii="Times New Roman" w:hAnsi="Times New Roman" w:cs="Times New Roman"/>
          <w:sz w:val="24"/>
          <w:szCs w:val="24"/>
        </w:rPr>
      </w:pPr>
      <w:r w:rsidRPr="00C80EA3">
        <w:rPr>
          <w:rFonts w:ascii="Times New Roman" w:hAnsi="Times New Roman" w:cs="Times New Roman"/>
          <w:sz w:val="24"/>
          <w:szCs w:val="24"/>
        </w:rPr>
        <w:t xml:space="preserve">The interface and convergence of issues related to minority race, ethnicity, culture and disability, for effective child protection practice, is by no means clear-cut. Attitudinal and procedural difficulties for ethnic minority communities (Philips, 2007), and undue lenience towards deficits in the care of children with disability (Stalker et al., 2010), feature among existing concerns. In this paper, some headway towards an intersectional analysis of childhood disability and ethnic minority status has been made. Whilst themes of utility in safeguarding practice have been refined and explained, further scope for literature on this complex area of practice remains. </w:t>
      </w:r>
    </w:p>
    <w:bookmarkEnd w:id="2"/>
    <w:p w:rsidR="00C80EA3" w:rsidRPr="00FF1942" w:rsidRDefault="00C80EA3" w:rsidP="00C80EA3">
      <w:pPr>
        <w:rPr>
          <w:rFonts w:ascii="Times New Roman" w:hAnsi="Times New Roman" w:cs="Times New Roman"/>
          <w:b/>
          <w:sz w:val="24"/>
          <w:szCs w:val="24"/>
        </w:rPr>
      </w:pPr>
      <w:r w:rsidRPr="00FF1942">
        <w:rPr>
          <w:rFonts w:ascii="Times New Roman" w:hAnsi="Times New Roman" w:cs="Times New Roman"/>
          <w:b/>
          <w:sz w:val="24"/>
          <w:szCs w:val="24"/>
        </w:rPr>
        <w:t>Acknowledgments:</w:t>
      </w:r>
    </w:p>
    <w:p w:rsidR="00C80EA3" w:rsidRPr="00C80EA3" w:rsidRDefault="00C80EA3" w:rsidP="00C80EA3">
      <w:pPr>
        <w:rPr>
          <w:rFonts w:ascii="Times New Roman" w:hAnsi="Times New Roman" w:cs="Times New Roman"/>
          <w:sz w:val="24"/>
          <w:szCs w:val="24"/>
        </w:rPr>
      </w:pPr>
      <w:r w:rsidRPr="00C80EA3">
        <w:rPr>
          <w:rFonts w:ascii="Times New Roman" w:hAnsi="Times New Roman" w:cs="Times New Roman"/>
          <w:sz w:val="24"/>
          <w:szCs w:val="24"/>
        </w:rPr>
        <w:t>The helpful feedback of anonymous reviewers should be acknowledged.</w:t>
      </w:r>
    </w:p>
    <w:p w:rsidR="00C80EA3" w:rsidRPr="00FF1942" w:rsidRDefault="00C80EA3" w:rsidP="00C80EA3">
      <w:pPr>
        <w:rPr>
          <w:rFonts w:ascii="Times New Roman" w:hAnsi="Times New Roman" w:cs="Times New Roman"/>
          <w:b/>
          <w:sz w:val="24"/>
          <w:szCs w:val="24"/>
        </w:rPr>
      </w:pPr>
      <w:r w:rsidRPr="00FF1942">
        <w:rPr>
          <w:rFonts w:ascii="Times New Roman" w:hAnsi="Times New Roman" w:cs="Times New Roman"/>
          <w:b/>
          <w:sz w:val="24"/>
          <w:szCs w:val="24"/>
        </w:rPr>
        <w:t>Competing interests:</w:t>
      </w:r>
    </w:p>
    <w:p w:rsidR="00C80EA3" w:rsidRPr="00C80EA3" w:rsidRDefault="00C80EA3" w:rsidP="00C80EA3">
      <w:pPr>
        <w:rPr>
          <w:rFonts w:ascii="Times New Roman" w:hAnsi="Times New Roman" w:cs="Times New Roman"/>
          <w:sz w:val="24"/>
          <w:szCs w:val="24"/>
        </w:rPr>
      </w:pPr>
      <w:r w:rsidRPr="00C80EA3">
        <w:rPr>
          <w:rFonts w:ascii="Times New Roman" w:hAnsi="Times New Roman" w:cs="Times New Roman"/>
          <w:sz w:val="24"/>
          <w:szCs w:val="24"/>
        </w:rPr>
        <w:t>The author has no competing interests to declare.</w:t>
      </w:r>
    </w:p>
    <w:p w:rsidR="00FF1942" w:rsidRDefault="00FF1942" w:rsidP="00FF1942">
      <w:pPr>
        <w:pStyle w:val="NormalWeb"/>
        <w:spacing w:before="0" w:beforeAutospacing="0" w:after="160" w:afterAutospacing="0" w:line="259" w:lineRule="atLeast"/>
        <w:ind w:right="804"/>
        <w:jc w:val="both"/>
        <w:rPr>
          <w:color w:val="000000"/>
          <w:sz w:val="27"/>
          <w:szCs w:val="27"/>
        </w:rPr>
      </w:pPr>
      <w:r>
        <w:rPr>
          <w:b/>
          <w:bCs/>
          <w:color w:val="000000"/>
        </w:rPr>
        <w:t>References</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Adams, J. &amp; Leshone, D. (2016)</w:t>
      </w:r>
      <w:r w:rsidRPr="0009726A">
        <w:rPr>
          <w:i/>
          <w:iCs/>
          <w:color w:val="000000"/>
          <w:sz w:val="22"/>
          <w:szCs w:val="22"/>
        </w:rPr>
        <w:t> Active Social Work with Children with Disabilities</w:t>
      </w:r>
      <w:r w:rsidRPr="0009726A">
        <w:rPr>
          <w:color w:val="000000"/>
          <w:sz w:val="22"/>
          <w:szCs w:val="22"/>
        </w:rPr>
        <w:t>. Critical Publishing, St Albans, UK.</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American Psychiatric Association (2013) </w:t>
      </w:r>
      <w:r w:rsidRPr="0009726A">
        <w:rPr>
          <w:i/>
          <w:iCs/>
          <w:color w:val="000000"/>
          <w:sz w:val="22"/>
          <w:szCs w:val="22"/>
        </w:rPr>
        <w:t>Diagnostic and Statistical Manual of Mental Disorders (DSM–5).</w:t>
      </w:r>
      <w:r w:rsidRPr="0009726A">
        <w:rPr>
          <w:color w:val="000000"/>
          <w:sz w:val="22"/>
          <w:szCs w:val="22"/>
        </w:rPr>
        <w:t> American Psychiatric Association, Arlington, VA.</w:t>
      </w:r>
    </w:p>
    <w:p w:rsidR="00FF1942" w:rsidRPr="0009726A" w:rsidRDefault="00FF1942" w:rsidP="00FF1942">
      <w:pPr>
        <w:pStyle w:val="NormalWeb"/>
        <w:spacing w:before="0" w:beforeAutospacing="0" w:after="0" w:afterAutospacing="0" w:line="238" w:lineRule="atLeast"/>
        <w:ind w:left="720" w:right="95" w:hanging="720"/>
        <w:rPr>
          <w:color w:val="000000"/>
          <w:sz w:val="27"/>
          <w:szCs w:val="27"/>
        </w:rPr>
      </w:pPr>
      <w:r w:rsidRPr="0009726A">
        <w:rPr>
          <w:color w:val="000000"/>
          <w:sz w:val="22"/>
          <w:szCs w:val="22"/>
        </w:rPr>
        <w:t>Annamma, S.A., Ferri B.A. &amp; Connor D.J. (2019) Cultivating and expanding Disability Critical Race Theory (DisCrit). In </w:t>
      </w:r>
      <w:r w:rsidRPr="0009726A">
        <w:rPr>
          <w:i/>
          <w:iCs/>
          <w:color w:val="000000"/>
          <w:sz w:val="22"/>
          <w:szCs w:val="22"/>
        </w:rPr>
        <w:t>Manifestos for the Future of Critical Disability Studies</w:t>
      </w:r>
      <w:r w:rsidRPr="0009726A">
        <w:rPr>
          <w:color w:val="000000"/>
          <w:sz w:val="22"/>
          <w:szCs w:val="22"/>
        </w:rPr>
        <w:t>, (eds K. Ellis, R. Garland-Thomson, M. Kent &amp; R. Robertson), pp.230-238. Routledge, Abington, Oxon.</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Barnartt, S. &amp; Scotch, R.K. (2001) </w:t>
      </w:r>
      <w:r w:rsidRPr="0009726A">
        <w:rPr>
          <w:i/>
          <w:iCs/>
          <w:color w:val="000000"/>
          <w:sz w:val="22"/>
          <w:szCs w:val="22"/>
        </w:rPr>
        <w:t>Disability Protests: Contentious Politics 1970-1999.</w:t>
      </w:r>
      <w:r w:rsidRPr="0009726A">
        <w:rPr>
          <w:color w:val="000000"/>
          <w:sz w:val="22"/>
          <w:szCs w:val="22"/>
        </w:rPr>
        <w:t> Gallaudet University Press, Washington, D.C.</w:t>
      </w:r>
    </w:p>
    <w:p w:rsidR="00FF1942" w:rsidRPr="0009726A" w:rsidRDefault="00FF1942" w:rsidP="00FF1942">
      <w:pPr>
        <w:pStyle w:val="NormalWeb"/>
        <w:spacing w:before="0" w:beforeAutospacing="0" w:after="0" w:afterAutospacing="0" w:line="240" w:lineRule="atLeast"/>
        <w:ind w:left="720" w:hanging="720"/>
        <w:rPr>
          <w:color w:val="000000"/>
          <w:sz w:val="27"/>
          <w:szCs w:val="27"/>
        </w:rPr>
      </w:pPr>
      <w:r w:rsidRPr="0009726A">
        <w:rPr>
          <w:color w:val="000000"/>
        </w:rPr>
        <w:t>Braun, V., &amp; Clarke, V. (2006) Using thematic analysis in psychology. </w:t>
      </w:r>
      <w:r w:rsidRPr="0009726A">
        <w:rPr>
          <w:i/>
          <w:iCs/>
          <w:color w:val="000000"/>
        </w:rPr>
        <w:t>Qualitative Research in Psychology</w:t>
      </w:r>
      <w:r w:rsidRPr="0009726A">
        <w:rPr>
          <w:b/>
          <w:bCs/>
          <w:i/>
          <w:iCs/>
          <w:color w:val="000000"/>
        </w:rPr>
        <w:t> </w:t>
      </w:r>
      <w:r w:rsidRPr="0009726A">
        <w:rPr>
          <w:b/>
          <w:bCs/>
          <w:color w:val="000000"/>
        </w:rPr>
        <w:t>3,</w:t>
      </w:r>
      <w:r w:rsidRPr="0009726A">
        <w:rPr>
          <w:color w:val="000000"/>
        </w:rPr>
        <w:t> 77-101.</w:t>
      </w:r>
    </w:p>
    <w:p w:rsidR="00FF1942" w:rsidRPr="0009726A" w:rsidRDefault="00FF1942" w:rsidP="00FF1942">
      <w:pPr>
        <w:pStyle w:val="NormalWeb"/>
        <w:spacing w:before="0" w:beforeAutospacing="0" w:after="0" w:afterAutospacing="0" w:line="259" w:lineRule="atLeast"/>
        <w:ind w:left="720" w:right="804" w:hanging="720"/>
        <w:rPr>
          <w:color w:val="000000"/>
        </w:rPr>
      </w:pPr>
      <w:r w:rsidRPr="0009726A">
        <w:rPr>
          <w:color w:val="000000"/>
        </w:rPr>
        <w:t>Bryman, A. (2015) </w:t>
      </w:r>
      <w:r w:rsidRPr="0009726A">
        <w:rPr>
          <w:i/>
          <w:iCs/>
          <w:color w:val="000000"/>
        </w:rPr>
        <w:t>Social Research Methods</w:t>
      </w:r>
      <w:r w:rsidRPr="0009726A">
        <w:rPr>
          <w:color w:val="000000"/>
        </w:rPr>
        <w:t>. 5</w:t>
      </w:r>
      <w:r w:rsidRPr="0009726A">
        <w:rPr>
          <w:color w:val="000000"/>
          <w:sz w:val="16"/>
          <w:szCs w:val="16"/>
          <w:vertAlign w:val="superscript"/>
        </w:rPr>
        <w:t>th</w:t>
      </w:r>
      <w:r w:rsidRPr="0009726A">
        <w:rPr>
          <w:color w:val="000000"/>
        </w:rPr>
        <w:t> ed. Oxford University Press, Oxford, England. </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Buckley, H. &amp; O' Nolan, C. (2013) </w:t>
      </w:r>
      <w:r w:rsidRPr="0009726A">
        <w:rPr>
          <w:i/>
          <w:iCs/>
          <w:color w:val="000000"/>
          <w:sz w:val="22"/>
          <w:szCs w:val="22"/>
        </w:rPr>
        <w:t>An Examination of Recommendations from Inquiries into Events in Families and Their Interactions with State Services and Their Impact on Policy and Practice.</w:t>
      </w:r>
      <w:r w:rsidRPr="0009726A">
        <w:rPr>
          <w:color w:val="000000"/>
          <w:sz w:val="22"/>
          <w:szCs w:val="22"/>
        </w:rPr>
        <w:t> Department of Children and Youth Affairs, Dublin.</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Burns, K. &amp; MacCarthy, J. (2012) An impossible task? Implementing the recommendations of child abuse inquiry reports in a context of 'high' workloads in child protection and welfare. </w:t>
      </w:r>
      <w:r w:rsidRPr="0009726A">
        <w:rPr>
          <w:i/>
          <w:iCs/>
          <w:color w:val="000000"/>
          <w:sz w:val="22"/>
          <w:szCs w:val="22"/>
        </w:rPr>
        <w:t>Irish Journal of Applied Social Studies </w:t>
      </w:r>
      <w:r w:rsidRPr="0009726A">
        <w:rPr>
          <w:b/>
          <w:bCs/>
          <w:color w:val="000000"/>
          <w:sz w:val="22"/>
          <w:szCs w:val="22"/>
        </w:rPr>
        <w:t>12</w:t>
      </w:r>
      <w:r w:rsidRPr="0009726A">
        <w:rPr>
          <w:color w:val="000000"/>
          <w:sz w:val="22"/>
          <w:szCs w:val="22"/>
        </w:rPr>
        <w:t>, 25-37.</w:t>
      </w:r>
    </w:p>
    <w:p w:rsidR="00FF1942" w:rsidRPr="0009726A" w:rsidRDefault="00FF1942" w:rsidP="00FF1942">
      <w:pPr>
        <w:pStyle w:val="NormalWeb"/>
        <w:spacing w:before="0" w:beforeAutospacing="0" w:after="0" w:afterAutospacing="0"/>
        <w:ind w:left="720" w:right="804" w:hanging="720"/>
        <w:rPr>
          <w:color w:val="000000"/>
          <w:sz w:val="22"/>
          <w:szCs w:val="22"/>
        </w:rPr>
      </w:pPr>
      <w:r w:rsidRPr="0009726A">
        <w:rPr>
          <w:color w:val="000000"/>
          <w:sz w:val="22"/>
          <w:szCs w:val="22"/>
        </w:rPr>
        <w:t>Burns, K. (2012) </w:t>
      </w:r>
      <w:r w:rsidRPr="0009726A">
        <w:rPr>
          <w:i/>
          <w:iCs/>
          <w:color w:val="000000"/>
          <w:sz w:val="22"/>
          <w:szCs w:val="22"/>
        </w:rPr>
        <w:t>Strengthening the Retention of Child Protection Workers: Career Preferences, Exchange Relationships and Employment Mobility.</w:t>
      </w:r>
      <w:r w:rsidRPr="0009726A">
        <w:rPr>
          <w:color w:val="000000"/>
          <w:sz w:val="22"/>
          <w:szCs w:val="22"/>
        </w:rPr>
        <w:t> EHV Academic Press, Bremen.</w:t>
      </w:r>
    </w:p>
    <w:p w:rsidR="00FF1942" w:rsidRPr="0009726A" w:rsidRDefault="00FF1942" w:rsidP="00FF1942">
      <w:pPr>
        <w:pStyle w:val="NormalWeb"/>
        <w:spacing w:before="0" w:beforeAutospacing="0" w:after="0" w:afterAutospacing="0"/>
        <w:ind w:left="567" w:right="804" w:hanging="567"/>
        <w:rPr>
          <w:color w:val="000000"/>
          <w:sz w:val="22"/>
          <w:szCs w:val="22"/>
        </w:rPr>
      </w:pPr>
      <w:r w:rsidRPr="0009726A">
        <w:rPr>
          <w:color w:val="000000"/>
          <w:sz w:val="22"/>
          <w:szCs w:val="22"/>
        </w:rPr>
        <w:t>Camphinha -Bacote, J. (2002) The process of cultural competence in the delivery of health care services: A model of care. </w:t>
      </w:r>
      <w:r w:rsidRPr="0009726A">
        <w:rPr>
          <w:i/>
          <w:iCs/>
          <w:color w:val="000000"/>
          <w:sz w:val="22"/>
          <w:szCs w:val="22"/>
        </w:rPr>
        <w:t>Journal of Transnational Nursing Care </w:t>
      </w:r>
      <w:r w:rsidRPr="0009726A">
        <w:rPr>
          <w:b/>
          <w:bCs/>
          <w:color w:val="000000"/>
          <w:sz w:val="22"/>
          <w:szCs w:val="22"/>
        </w:rPr>
        <w:t>13</w:t>
      </w:r>
      <w:r w:rsidRPr="0009726A">
        <w:rPr>
          <w:color w:val="000000"/>
          <w:sz w:val="22"/>
          <w:szCs w:val="22"/>
        </w:rPr>
        <w:t>, 181-184.</w:t>
      </w:r>
    </w:p>
    <w:p w:rsidR="00FF1942" w:rsidRPr="0009726A" w:rsidRDefault="00FF1942" w:rsidP="00FF1942">
      <w:pPr>
        <w:pStyle w:val="NormalWeb"/>
        <w:spacing w:before="0" w:beforeAutospacing="0" w:after="0" w:afterAutospacing="0"/>
        <w:ind w:left="567" w:hanging="567"/>
        <w:rPr>
          <w:color w:val="000000"/>
          <w:sz w:val="22"/>
          <w:szCs w:val="22"/>
        </w:rPr>
      </w:pPr>
      <w:r w:rsidRPr="0009726A">
        <w:rPr>
          <w:color w:val="000000"/>
          <w:sz w:val="22"/>
          <w:szCs w:val="22"/>
        </w:rPr>
        <w:t>Carastathis, A. (2016) </w:t>
      </w:r>
      <w:r w:rsidRPr="0009726A">
        <w:rPr>
          <w:i/>
          <w:iCs/>
          <w:color w:val="000000"/>
          <w:sz w:val="22"/>
          <w:szCs w:val="22"/>
        </w:rPr>
        <w:t>Intersectionality: Origins, Contestations, Horizons.</w:t>
      </w:r>
      <w:r w:rsidRPr="0009726A">
        <w:rPr>
          <w:color w:val="000000"/>
          <w:sz w:val="22"/>
          <w:szCs w:val="22"/>
        </w:rPr>
        <w:t> University of Nebraska Press, Lincoln.</w:t>
      </w:r>
    </w:p>
    <w:p w:rsidR="00FF1942" w:rsidRPr="0009726A" w:rsidRDefault="00FF1942" w:rsidP="00FF1942">
      <w:pPr>
        <w:pStyle w:val="NormalWeb"/>
        <w:spacing w:before="0" w:beforeAutospacing="0" w:after="0" w:afterAutospacing="0"/>
        <w:ind w:left="567" w:right="804" w:hanging="567"/>
        <w:rPr>
          <w:color w:val="000000"/>
          <w:sz w:val="22"/>
          <w:szCs w:val="22"/>
        </w:rPr>
      </w:pPr>
      <w:r w:rsidRPr="0009726A">
        <w:rPr>
          <w:color w:val="000000"/>
          <w:sz w:val="22"/>
          <w:szCs w:val="22"/>
        </w:rPr>
        <w:t>Carballeira, N. M. (1996) The live &amp; learn model for culturally competent family services, </w:t>
      </w:r>
      <w:r w:rsidRPr="0009726A">
        <w:rPr>
          <w:i/>
          <w:iCs/>
          <w:color w:val="000000"/>
          <w:sz w:val="22"/>
          <w:szCs w:val="22"/>
        </w:rPr>
        <w:t>Continuum</w:t>
      </w:r>
      <w:r w:rsidRPr="0009726A">
        <w:rPr>
          <w:color w:val="000000"/>
          <w:sz w:val="22"/>
          <w:szCs w:val="22"/>
        </w:rPr>
        <w:t> </w:t>
      </w:r>
      <w:r w:rsidRPr="0009726A">
        <w:rPr>
          <w:b/>
          <w:bCs/>
          <w:color w:val="000000"/>
          <w:sz w:val="22"/>
          <w:szCs w:val="22"/>
        </w:rPr>
        <w:t>17</w:t>
      </w:r>
      <w:r w:rsidRPr="0009726A">
        <w:rPr>
          <w:color w:val="000000"/>
          <w:sz w:val="22"/>
          <w:szCs w:val="22"/>
        </w:rPr>
        <w:t>, 7-12.</w:t>
      </w:r>
    </w:p>
    <w:p w:rsidR="00FF1942" w:rsidRPr="0009726A" w:rsidRDefault="00FF1942" w:rsidP="00FF1942">
      <w:pPr>
        <w:pStyle w:val="NormalWeb"/>
        <w:spacing w:before="0" w:beforeAutospacing="0" w:after="0" w:afterAutospacing="0"/>
        <w:ind w:left="567" w:hanging="567"/>
        <w:rPr>
          <w:color w:val="000000"/>
          <w:sz w:val="22"/>
          <w:szCs w:val="22"/>
        </w:rPr>
      </w:pPr>
      <w:r w:rsidRPr="0009726A">
        <w:rPr>
          <w:color w:val="000000"/>
          <w:sz w:val="22"/>
          <w:szCs w:val="22"/>
          <w:shd w:val="clear" w:color="auto" w:fill="FFFFFF"/>
        </w:rPr>
        <w:t>Christie, A. (2003) Unsettling the 'social' in social work: Responses to asylum seeking children in Ireland. </w:t>
      </w:r>
      <w:r w:rsidRPr="0009726A">
        <w:rPr>
          <w:i/>
          <w:iCs/>
          <w:color w:val="000000"/>
          <w:sz w:val="22"/>
          <w:szCs w:val="22"/>
          <w:shd w:val="clear" w:color="auto" w:fill="FFFFFF"/>
        </w:rPr>
        <w:t>Child and Family Social Work</w:t>
      </w:r>
      <w:r w:rsidRPr="0009726A">
        <w:rPr>
          <w:b/>
          <w:bCs/>
          <w:color w:val="000000"/>
          <w:sz w:val="22"/>
          <w:szCs w:val="22"/>
          <w:shd w:val="clear" w:color="auto" w:fill="FFFFFF"/>
        </w:rPr>
        <w:t> 8</w:t>
      </w:r>
      <w:r w:rsidRPr="0009726A">
        <w:rPr>
          <w:color w:val="000000"/>
          <w:sz w:val="22"/>
          <w:szCs w:val="22"/>
          <w:shd w:val="clear" w:color="auto" w:fill="FFFFFF"/>
        </w:rPr>
        <w:t>, 223-231.</w:t>
      </w:r>
    </w:p>
    <w:p w:rsidR="00FF1942" w:rsidRPr="0009726A" w:rsidRDefault="00FF1942" w:rsidP="00FF1942">
      <w:pPr>
        <w:pStyle w:val="NormalWeb"/>
        <w:spacing w:before="0" w:beforeAutospacing="0" w:after="0" w:afterAutospacing="0"/>
        <w:ind w:left="567" w:hanging="567"/>
        <w:rPr>
          <w:color w:val="000000"/>
          <w:sz w:val="22"/>
          <w:szCs w:val="22"/>
        </w:rPr>
      </w:pPr>
      <w:r w:rsidRPr="0009726A">
        <w:rPr>
          <w:color w:val="000000"/>
          <w:sz w:val="22"/>
          <w:szCs w:val="22"/>
        </w:rPr>
        <w:t>Christie A. &amp; Walsh, T. (2015) Social work in a globalised Ireland. In </w:t>
      </w:r>
      <w:r w:rsidRPr="0009726A">
        <w:rPr>
          <w:i/>
          <w:iCs/>
          <w:color w:val="000000"/>
          <w:sz w:val="22"/>
          <w:szCs w:val="22"/>
        </w:rPr>
        <w:t>Social Work in Ireland Changes and Continuities</w:t>
      </w:r>
      <w:r w:rsidRPr="0009726A">
        <w:rPr>
          <w:color w:val="000000"/>
          <w:sz w:val="22"/>
          <w:szCs w:val="22"/>
        </w:rPr>
        <w:t> (eds A. Christie, B. Featherstone, S. Quin &amp; T. Walsh), pp.32-44. Palgrave, London.</w:t>
      </w:r>
    </w:p>
    <w:p w:rsidR="00FF1942" w:rsidRPr="0009726A" w:rsidRDefault="00FF1942" w:rsidP="00FF1942">
      <w:pPr>
        <w:pStyle w:val="NormalWeb"/>
        <w:spacing w:before="0" w:beforeAutospacing="0" w:after="0" w:afterAutospacing="0"/>
        <w:ind w:left="567" w:hanging="567"/>
        <w:rPr>
          <w:color w:val="000000"/>
          <w:sz w:val="22"/>
          <w:szCs w:val="22"/>
        </w:rPr>
      </w:pPr>
      <w:r w:rsidRPr="0009726A">
        <w:rPr>
          <w:color w:val="000000"/>
          <w:sz w:val="22"/>
          <w:szCs w:val="22"/>
        </w:rPr>
        <w:t>Christie, A. (2010) Whiteness and the politics of ‘race’ in child protection guidelines in Ireland, </w:t>
      </w:r>
      <w:r w:rsidRPr="0009726A">
        <w:rPr>
          <w:i/>
          <w:iCs/>
          <w:color w:val="000000"/>
          <w:sz w:val="22"/>
          <w:szCs w:val="22"/>
        </w:rPr>
        <w:t>European Journal of Social Work</w:t>
      </w:r>
      <w:r w:rsidRPr="0009726A">
        <w:rPr>
          <w:color w:val="000000"/>
          <w:sz w:val="22"/>
          <w:szCs w:val="22"/>
        </w:rPr>
        <w:t> </w:t>
      </w:r>
      <w:r w:rsidRPr="0009726A">
        <w:rPr>
          <w:b/>
          <w:bCs/>
          <w:color w:val="000000"/>
          <w:sz w:val="22"/>
          <w:szCs w:val="22"/>
        </w:rPr>
        <w:t>13,</w:t>
      </w:r>
      <w:r w:rsidRPr="0009726A">
        <w:rPr>
          <w:color w:val="000000"/>
          <w:sz w:val="22"/>
          <w:szCs w:val="22"/>
        </w:rPr>
        <w:t> 199-215.</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Clawson, H. J., Dutch, N., Solomon, A. &amp; Goldblat Grace, L. (2009) </w:t>
      </w:r>
      <w:r w:rsidRPr="0009726A">
        <w:rPr>
          <w:i/>
          <w:iCs/>
          <w:color w:val="000000"/>
          <w:sz w:val="22"/>
          <w:szCs w:val="22"/>
        </w:rPr>
        <w:t>Human Trafficking into and Within the United States: A Review of the Literature.</w:t>
      </w:r>
      <w:r w:rsidRPr="0009726A">
        <w:rPr>
          <w:color w:val="000000"/>
          <w:sz w:val="22"/>
          <w:szCs w:val="22"/>
        </w:rPr>
        <w:t> Office of the Assistant Secretary for Planning and Evaluation, US Department of Human and Health Services, Washington, DC.</w:t>
      </w:r>
    </w:p>
    <w:p w:rsidR="00FF1942" w:rsidRPr="0009726A" w:rsidRDefault="00FF1942" w:rsidP="00FF1942">
      <w:pPr>
        <w:pStyle w:val="NormalWeb"/>
        <w:spacing w:before="0" w:beforeAutospacing="0" w:after="0" w:afterAutospacing="0" w:line="238" w:lineRule="atLeast"/>
        <w:ind w:left="567" w:right="804" w:hanging="567"/>
        <w:jc w:val="both"/>
        <w:rPr>
          <w:color w:val="000000"/>
          <w:sz w:val="27"/>
          <w:szCs w:val="27"/>
        </w:rPr>
      </w:pPr>
      <w:r w:rsidRPr="0009726A">
        <w:rPr>
          <w:color w:val="000000"/>
          <w:sz w:val="22"/>
          <w:szCs w:val="22"/>
        </w:rPr>
        <w:t>Connor, D. J., Ferri, B.A. &amp; Annamma, S.A. (2016) </w:t>
      </w:r>
      <w:r w:rsidRPr="0009726A">
        <w:rPr>
          <w:i/>
          <w:iCs/>
          <w:color w:val="000000"/>
          <w:sz w:val="22"/>
          <w:szCs w:val="22"/>
        </w:rPr>
        <w:t>DisCrit―disability studies and critical race theory in education. </w:t>
      </w:r>
      <w:r w:rsidRPr="0009726A">
        <w:rPr>
          <w:color w:val="000000"/>
          <w:sz w:val="22"/>
          <w:szCs w:val="22"/>
        </w:rPr>
        <w:t>Teachers College Press, New York.</w:t>
      </w:r>
    </w:p>
    <w:p w:rsidR="00FF1942" w:rsidRPr="0009726A" w:rsidRDefault="00FF1942" w:rsidP="00FF1942">
      <w:pPr>
        <w:pStyle w:val="NormalWeb"/>
        <w:spacing w:before="0" w:beforeAutospacing="0" w:after="0" w:afterAutospacing="0" w:line="238" w:lineRule="atLeast"/>
        <w:ind w:left="567" w:right="804" w:hanging="567"/>
        <w:jc w:val="both"/>
        <w:rPr>
          <w:color w:val="000000"/>
          <w:sz w:val="27"/>
          <w:szCs w:val="27"/>
        </w:rPr>
      </w:pPr>
      <w:r w:rsidRPr="0009726A">
        <w:rPr>
          <w:color w:val="000000"/>
          <w:sz w:val="22"/>
          <w:szCs w:val="22"/>
        </w:rPr>
        <w:t>Crenshaw, K. (2012) </w:t>
      </w:r>
      <w:r w:rsidRPr="0009726A">
        <w:rPr>
          <w:i/>
          <w:iCs/>
          <w:color w:val="000000"/>
          <w:sz w:val="22"/>
          <w:szCs w:val="22"/>
        </w:rPr>
        <w:t>On Intersectionality: The seminal essays.</w:t>
      </w:r>
      <w:r w:rsidRPr="0009726A">
        <w:rPr>
          <w:color w:val="000000"/>
          <w:sz w:val="22"/>
          <w:szCs w:val="22"/>
        </w:rPr>
        <w:t> The New Press, New York.</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Crowley, P. (2016) </w:t>
      </w:r>
      <w:r w:rsidRPr="0009726A">
        <w:rPr>
          <w:i/>
          <w:iCs/>
          <w:color w:val="000000"/>
          <w:sz w:val="22"/>
          <w:szCs w:val="22"/>
        </w:rPr>
        <w:t>Preventing Abuse and Neglect in the Lives of Disabled Children.</w:t>
      </w:r>
      <w:r w:rsidRPr="0009726A">
        <w:rPr>
          <w:color w:val="000000"/>
          <w:sz w:val="22"/>
          <w:szCs w:val="22"/>
        </w:rPr>
        <w:t> Springer, Illinois, USA.</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Crock, M., Ernst, C. &amp; McCallum, R. (2012) Where disability and displacement intersect: Asylum seekers and refugees with disabilities. </w:t>
      </w:r>
      <w:r w:rsidRPr="0009726A">
        <w:rPr>
          <w:i/>
          <w:iCs/>
          <w:color w:val="000000"/>
          <w:sz w:val="22"/>
          <w:szCs w:val="22"/>
        </w:rPr>
        <w:t>International Journal of Refugee Law</w:t>
      </w:r>
      <w:r w:rsidRPr="0009726A">
        <w:rPr>
          <w:color w:val="000000"/>
          <w:sz w:val="22"/>
          <w:szCs w:val="22"/>
        </w:rPr>
        <w:t> </w:t>
      </w:r>
      <w:r w:rsidRPr="0009726A">
        <w:rPr>
          <w:b/>
          <w:bCs/>
          <w:color w:val="000000"/>
          <w:sz w:val="22"/>
          <w:szCs w:val="22"/>
        </w:rPr>
        <w:t>24</w:t>
      </w:r>
      <w:r w:rsidRPr="0009726A">
        <w:rPr>
          <w:color w:val="000000"/>
          <w:sz w:val="22"/>
          <w:szCs w:val="22"/>
        </w:rPr>
        <w:t>, 735–764.</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Davis, L. J. (2002). </w:t>
      </w:r>
      <w:r w:rsidRPr="0009726A">
        <w:rPr>
          <w:i/>
          <w:iCs/>
          <w:color w:val="000000"/>
          <w:sz w:val="22"/>
          <w:szCs w:val="22"/>
        </w:rPr>
        <w:t>Bending Over Backwards: Disability, Dismodernism, and Other Difficult Positions</w:t>
      </w:r>
      <w:r w:rsidRPr="0009726A">
        <w:rPr>
          <w:color w:val="000000"/>
          <w:sz w:val="22"/>
          <w:szCs w:val="22"/>
        </w:rPr>
        <w:t>. New York University Press, New York.  </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Department of Children and Youth Affairs (2017) </w:t>
      </w:r>
      <w:r w:rsidRPr="0009726A">
        <w:rPr>
          <w:i/>
          <w:iCs/>
          <w:color w:val="000000"/>
          <w:sz w:val="22"/>
          <w:szCs w:val="22"/>
        </w:rPr>
        <w:t>Children First: National Guidance for the Protection and Welfare</w:t>
      </w:r>
      <w:r w:rsidRPr="0009726A">
        <w:rPr>
          <w:color w:val="000000"/>
          <w:sz w:val="22"/>
          <w:szCs w:val="22"/>
        </w:rPr>
        <w:t>. Government Publications, Dublin.</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Dhooper, S.S. &amp; Moore, S.E. (2001) </w:t>
      </w:r>
      <w:r w:rsidRPr="0009726A">
        <w:rPr>
          <w:i/>
          <w:iCs/>
          <w:color w:val="000000"/>
          <w:sz w:val="22"/>
          <w:szCs w:val="22"/>
        </w:rPr>
        <w:t>Social Work Practice with Culturally Diverse People. </w:t>
      </w:r>
      <w:r w:rsidRPr="0009726A">
        <w:rPr>
          <w:color w:val="000000"/>
          <w:sz w:val="22"/>
          <w:szCs w:val="22"/>
        </w:rPr>
        <w:t>Sage Publications, Thousand Oaks, California.</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Dominelli, L. (2010a) Globalisation, contemporary challenges and social work practice. </w:t>
      </w:r>
      <w:r w:rsidRPr="0009726A">
        <w:rPr>
          <w:i/>
          <w:iCs/>
          <w:color w:val="000000"/>
          <w:sz w:val="22"/>
          <w:szCs w:val="22"/>
        </w:rPr>
        <w:t>International Social Work</w:t>
      </w:r>
      <w:r w:rsidRPr="0009726A">
        <w:rPr>
          <w:b/>
          <w:bCs/>
          <w:color w:val="000000"/>
          <w:sz w:val="22"/>
          <w:szCs w:val="22"/>
        </w:rPr>
        <w:t> 53</w:t>
      </w:r>
      <w:r w:rsidRPr="0009726A">
        <w:rPr>
          <w:color w:val="000000"/>
          <w:sz w:val="22"/>
          <w:szCs w:val="22"/>
        </w:rPr>
        <w:t>, 599-612.</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Dominelli, L. (2009) Repositioning social work. In </w:t>
      </w:r>
      <w:r w:rsidRPr="0009726A">
        <w:rPr>
          <w:i/>
          <w:iCs/>
          <w:color w:val="000000"/>
          <w:sz w:val="22"/>
          <w:szCs w:val="22"/>
        </w:rPr>
        <w:t>Social Work: Themes, Issues and Critical Debates </w:t>
      </w:r>
      <w:r w:rsidRPr="0009726A">
        <w:rPr>
          <w:color w:val="000000"/>
          <w:sz w:val="22"/>
          <w:szCs w:val="22"/>
        </w:rPr>
        <w:t>(eds. R.</w:t>
      </w:r>
      <w:r w:rsidRPr="0009726A">
        <w:rPr>
          <w:i/>
          <w:iCs/>
          <w:color w:val="000000"/>
          <w:sz w:val="22"/>
          <w:szCs w:val="22"/>
        </w:rPr>
        <w:t> </w:t>
      </w:r>
      <w:r w:rsidRPr="0009726A">
        <w:rPr>
          <w:color w:val="000000"/>
          <w:sz w:val="22"/>
          <w:szCs w:val="22"/>
        </w:rPr>
        <w:t>Adams, L. Dominelli &amp; M. Payne) pp.13-22. Palgrave MacMillan: Basingstoke Hampshire.</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Dominelli, L. (2010b) </w:t>
      </w:r>
      <w:r w:rsidRPr="0009726A">
        <w:rPr>
          <w:i/>
          <w:iCs/>
          <w:color w:val="000000"/>
          <w:sz w:val="22"/>
          <w:szCs w:val="22"/>
        </w:rPr>
        <w:t>Social Work in a Globalizing World.</w:t>
      </w:r>
      <w:r w:rsidRPr="0009726A">
        <w:rPr>
          <w:color w:val="000000"/>
          <w:sz w:val="22"/>
          <w:szCs w:val="22"/>
        </w:rPr>
        <w:t> Polity Press, Cambridge.</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Ellis, K., Garland-Thomas, R., Kent, M. &amp; Robertson, R. (2019) </w:t>
      </w:r>
      <w:r w:rsidRPr="0009726A">
        <w:rPr>
          <w:i/>
          <w:iCs/>
          <w:color w:val="000000"/>
          <w:sz w:val="22"/>
          <w:szCs w:val="22"/>
        </w:rPr>
        <w:t>Manifestos for the Future of Critical Disability Studies, Volume 1.</w:t>
      </w:r>
      <w:r w:rsidRPr="0009726A">
        <w:rPr>
          <w:color w:val="000000"/>
          <w:sz w:val="22"/>
          <w:szCs w:val="22"/>
        </w:rPr>
        <w:t> Routledge, Oxon.</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Emerson, E. (2004) Poverty and children with intellectual disabilities in the world’s</w:t>
      </w:r>
    </w:p>
    <w:p w:rsidR="00FF1942" w:rsidRPr="0009726A" w:rsidRDefault="00FF1942" w:rsidP="00FF1942">
      <w:pPr>
        <w:pStyle w:val="NormalWeb"/>
        <w:spacing w:before="0" w:beforeAutospacing="0" w:after="0" w:afterAutospacing="0" w:line="238" w:lineRule="atLeast"/>
        <w:ind w:left="567"/>
        <w:rPr>
          <w:color w:val="000000"/>
          <w:sz w:val="27"/>
          <w:szCs w:val="27"/>
        </w:rPr>
      </w:pPr>
      <w:r w:rsidRPr="0009726A">
        <w:rPr>
          <w:color w:val="000000"/>
          <w:sz w:val="22"/>
          <w:szCs w:val="22"/>
        </w:rPr>
        <w:t>richer countries. </w:t>
      </w:r>
      <w:r w:rsidRPr="0009726A">
        <w:rPr>
          <w:i/>
          <w:iCs/>
          <w:color w:val="000000"/>
          <w:sz w:val="22"/>
          <w:szCs w:val="22"/>
        </w:rPr>
        <w:t>Journal of Intellectual &amp; Developmental Disability</w:t>
      </w:r>
      <w:r w:rsidRPr="0009726A">
        <w:rPr>
          <w:b/>
          <w:bCs/>
          <w:color w:val="000000"/>
          <w:sz w:val="22"/>
          <w:szCs w:val="22"/>
        </w:rPr>
        <w:t> 29</w:t>
      </w:r>
      <w:r w:rsidRPr="0009726A">
        <w:rPr>
          <w:color w:val="000000"/>
          <w:sz w:val="22"/>
          <w:szCs w:val="22"/>
        </w:rPr>
        <w:t>, 319–338.</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Estes, R. J. &amp; Weiner, N.A. (2005) The commercial sexual exploitation of children in the United States. In </w:t>
      </w:r>
      <w:r w:rsidRPr="0009726A">
        <w:rPr>
          <w:i/>
          <w:iCs/>
          <w:color w:val="000000"/>
          <w:sz w:val="22"/>
          <w:szCs w:val="22"/>
        </w:rPr>
        <w:t>Medical, Legal &amp; Social Science Aspects of Child Sexual Exploitation: A Comprehensive Review of Child Pornography, Child Prostitution, and Internet Crimes Against Children</w:t>
      </w:r>
      <w:r w:rsidRPr="0009726A">
        <w:rPr>
          <w:color w:val="000000"/>
          <w:sz w:val="22"/>
          <w:szCs w:val="22"/>
        </w:rPr>
        <w:t> (eds W. Sharon, A.P. </w:t>
      </w:r>
      <w:r w:rsidRPr="0009726A">
        <w:rPr>
          <w:color w:val="000000"/>
          <w:sz w:val="27"/>
          <w:szCs w:val="27"/>
        </w:rPr>
        <w:t>Giardino</w:t>
      </w:r>
      <w:r w:rsidRPr="0009726A">
        <w:rPr>
          <w:color w:val="000000"/>
          <w:sz w:val="22"/>
          <w:szCs w:val="22"/>
        </w:rPr>
        <w:t>, , N.D. Kellogg &amp; V.I. Vieth), pp.95-128. GW Medical, St. Louis, MO.  </w:t>
      </w:r>
    </w:p>
    <w:p w:rsidR="00FF1942" w:rsidRPr="0009726A" w:rsidRDefault="00B86691" w:rsidP="00FF1942">
      <w:pPr>
        <w:pStyle w:val="NormalWeb"/>
        <w:spacing w:before="0" w:beforeAutospacing="0" w:after="0" w:afterAutospacing="0" w:line="238" w:lineRule="atLeast"/>
        <w:ind w:left="567" w:hanging="567"/>
        <w:rPr>
          <w:color w:val="000000"/>
          <w:sz w:val="22"/>
          <w:szCs w:val="22"/>
        </w:rPr>
      </w:pPr>
      <w:r w:rsidRPr="0009726A">
        <w:rPr>
          <w:sz w:val="22"/>
          <w:szCs w:val="22"/>
        </w:rPr>
        <w:t>Flynn, S. &amp; McGregor, C.</w:t>
      </w:r>
      <w:r w:rsidRPr="0009726A">
        <w:rPr>
          <w:color w:val="000000"/>
          <w:sz w:val="22"/>
          <w:szCs w:val="22"/>
        </w:rPr>
        <w:t xml:space="preserve"> (</w:t>
      </w:r>
      <w:r w:rsidR="00FF1942" w:rsidRPr="0009726A">
        <w:rPr>
          <w:color w:val="000000"/>
          <w:sz w:val="22"/>
          <w:szCs w:val="22"/>
        </w:rPr>
        <w:t>2017</w:t>
      </w:r>
      <w:r w:rsidRPr="0009726A">
        <w:rPr>
          <w:color w:val="000000"/>
          <w:sz w:val="22"/>
          <w:szCs w:val="22"/>
        </w:rPr>
        <w:t xml:space="preserve">) </w:t>
      </w:r>
      <w:r w:rsidR="001124B3" w:rsidRPr="0009726A">
        <w:rPr>
          <w:color w:val="000000"/>
          <w:sz w:val="22"/>
          <w:szCs w:val="22"/>
        </w:rPr>
        <w:t>D</w:t>
      </w:r>
      <w:r w:rsidRPr="0009726A">
        <w:rPr>
          <w:color w:val="000000"/>
          <w:sz w:val="22"/>
          <w:szCs w:val="22"/>
        </w:rPr>
        <w:t xml:space="preserve">isabled </w:t>
      </w:r>
      <w:r w:rsidR="001124B3" w:rsidRPr="0009726A">
        <w:rPr>
          <w:color w:val="000000"/>
          <w:sz w:val="22"/>
          <w:szCs w:val="22"/>
        </w:rPr>
        <w:t>c</w:t>
      </w:r>
      <w:r w:rsidRPr="0009726A">
        <w:rPr>
          <w:color w:val="000000"/>
          <w:sz w:val="22"/>
          <w:szCs w:val="22"/>
        </w:rPr>
        <w:t xml:space="preserve">hildren and </w:t>
      </w:r>
      <w:r w:rsidR="001124B3" w:rsidRPr="0009726A">
        <w:rPr>
          <w:color w:val="000000"/>
          <w:sz w:val="22"/>
          <w:szCs w:val="22"/>
        </w:rPr>
        <w:t>c</w:t>
      </w:r>
      <w:r w:rsidRPr="0009726A">
        <w:rPr>
          <w:color w:val="000000"/>
          <w:sz w:val="22"/>
          <w:szCs w:val="22"/>
        </w:rPr>
        <w:t xml:space="preserve">hild </w:t>
      </w:r>
      <w:r w:rsidR="001124B3" w:rsidRPr="0009726A">
        <w:rPr>
          <w:color w:val="000000"/>
          <w:sz w:val="22"/>
          <w:szCs w:val="22"/>
        </w:rPr>
        <w:t>p</w:t>
      </w:r>
      <w:r w:rsidRPr="0009726A">
        <w:rPr>
          <w:color w:val="000000"/>
          <w:sz w:val="22"/>
          <w:szCs w:val="22"/>
        </w:rPr>
        <w:t xml:space="preserve">rotection: Learning </w:t>
      </w:r>
      <w:r w:rsidR="001124B3" w:rsidRPr="0009726A">
        <w:rPr>
          <w:color w:val="000000"/>
          <w:sz w:val="22"/>
          <w:szCs w:val="22"/>
        </w:rPr>
        <w:t>f</w:t>
      </w:r>
      <w:r w:rsidRPr="0009726A">
        <w:rPr>
          <w:color w:val="000000"/>
          <w:sz w:val="22"/>
          <w:szCs w:val="22"/>
        </w:rPr>
        <w:t xml:space="preserve">rom </w:t>
      </w:r>
      <w:r w:rsidR="001124B3" w:rsidRPr="0009726A">
        <w:rPr>
          <w:color w:val="000000"/>
          <w:sz w:val="22"/>
          <w:szCs w:val="22"/>
        </w:rPr>
        <w:t>l</w:t>
      </w:r>
      <w:r w:rsidRPr="0009726A">
        <w:rPr>
          <w:color w:val="000000"/>
          <w:sz w:val="22"/>
          <w:szCs w:val="22"/>
        </w:rPr>
        <w:t xml:space="preserve">iterature </w:t>
      </w:r>
      <w:r w:rsidR="001124B3" w:rsidRPr="0009726A">
        <w:rPr>
          <w:color w:val="000000"/>
          <w:sz w:val="22"/>
          <w:szCs w:val="22"/>
        </w:rPr>
        <w:t>t</w:t>
      </w:r>
      <w:r w:rsidRPr="0009726A">
        <w:rPr>
          <w:color w:val="000000"/>
          <w:sz w:val="22"/>
          <w:szCs w:val="22"/>
        </w:rPr>
        <w:t xml:space="preserve">hrough a </w:t>
      </w:r>
      <w:r w:rsidR="001124B3" w:rsidRPr="0009726A">
        <w:rPr>
          <w:color w:val="000000"/>
          <w:sz w:val="22"/>
          <w:szCs w:val="22"/>
        </w:rPr>
        <w:t>n</w:t>
      </w:r>
      <w:r w:rsidRPr="0009726A">
        <w:rPr>
          <w:color w:val="000000"/>
          <w:sz w:val="22"/>
          <w:szCs w:val="22"/>
        </w:rPr>
        <w:t>on-</w:t>
      </w:r>
      <w:r w:rsidR="001124B3" w:rsidRPr="0009726A">
        <w:rPr>
          <w:color w:val="000000"/>
          <w:sz w:val="22"/>
          <w:szCs w:val="22"/>
        </w:rPr>
        <w:t>t</w:t>
      </w:r>
      <w:r w:rsidRPr="0009726A">
        <w:rPr>
          <w:color w:val="000000"/>
          <w:sz w:val="22"/>
          <w:szCs w:val="22"/>
        </w:rPr>
        <w:t xml:space="preserve">ragedy </w:t>
      </w:r>
      <w:r w:rsidR="001124B3" w:rsidRPr="0009726A">
        <w:rPr>
          <w:color w:val="000000"/>
          <w:sz w:val="22"/>
          <w:szCs w:val="22"/>
        </w:rPr>
        <w:t>l</w:t>
      </w:r>
      <w:r w:rsidRPr="0009726A">
        <w:rPr>
          <w:color w:val="000000"/>
          <w:sz w:val="22"/>
          <w:szCs w:val="22"/>
        </w:rPr>
        <w:t>ens</w:t>
      </w:r>
      <w:r w:rsidR="00FF1942" w:rsidRPr="0009726A">
        <w:rPr>
          <w:color w:val="000000"/>
          <w:sz w:val="22"/>
          <w:szCs w:val="22"/>
        </w:rPr>
        <w:t>.</w:t>
      </w:r>
      <w:r w:rsidRPr="0009726A">
        <w:rPr>
          <w:color w:val="000000"/>
          <w:sz w:val="22"/>
          <w:szCs w:val="22"/>
        </w:rPr>
        <w:t xml:space="preserve"> </w:t>
      </w:r>
      <w:r w:rsidRPr="0009726A">
        <w:rPr>
          <w:i/>
          <w:color w:val="000000"/>
          <w:sz w:val="22"/>
          <w:szCs w:val="22"/>
        </w:rPr>
        <w:t>Child Care in Practice</w:t>
      </w:r>
      <w:r w:rsidRPr="0009726A">
        <w:rPr>
          <w:color w:val="000000"/>
          <w:sz w:val="22"/>
          <w:szCs w:val="22"/>
        </w:rPr>
        <w:t xml:space="preserve"> </w:t>
      </w:r>
      <w:r w:rsidRPr="0009726A">
        <w:rPr>
          <w:b/>
          <w:color w:val="000000"/>
          <w:sz w:val="22"/>
          <w:szCs w:val="22"/>
        </w:rPr>
        <w:t>23</w:t>
      </w:r>
      <w:r w:rsidRPr="0009726A">
        <w:rPr>
          <w:color w:val="000000"/>
          <w:sz w:val="22"/>
          <w:szCs w:val="22"/>
        </w:rPr>
        <w:t xml:space="preserve">, 258-274. </w:t>
      </w:r>
    </w:p>
    <w:p w:rsidR="00B86691" w:rsidRPr="0009726A" w:rsidRDefault="00B86691" w:rsidP="00FF1942">
      <w:pPr>
        <w:pStyle w:val="NormalWeb"/>
        <w:spacing w:before="0" w:beforeAutospacing="0" w:after="0" w:afterAutospacing="0" w:line="238" w:lineRule="atLeast"/>
        <w:ind w:left="567" w:hanging="567"/>
        <w:rPr>
          <w:color w:val="000000"/>
          <w:sz w:val="22"/>
          <w:szCs w:val="22"/>
        </w:rPr>
      </w:pPr>
      <w:r w:rsidRPr="0009726A">
        <w:rPr>
          <w:color w:val="000000"/>
          <w:sz w:val="22"/>
          <w:szCs w:val="22"/>
        </w:rPr>
        <w:t xml:space="preserve">Flynn, S. &amp; McGregor, C. (2018) Recessionary tales: an investigation into how intellectually disabled young people, and their families, experienced the economic downturn. </w:t>
      </w:r>
      <w:r w:rsidRPr="0009726A">
        <w:rPr>
          <w:i/>
          <w:color w:val="000000"/>
          <w:sz w:val="22"/>
          <w:szCs w:val="22"/>
        </w:rPr>
        <w:t>PhD thesis.</w:t>
      </w:r>
      <w:r w:rsidRPr="0009726A">
        <w:rPr>
          <w:color w:val="000000"/>
          <w:sz w:val="22"/>
          <w:szCs w:val="22"/>
        </w:rPr>
        <w:t xml:space="preserve"> National University of Ireland, Galway: Galway. </w:t>
      </w:r>
    </w:p>
    <w:p w:rsidR="00FF1942" w:rsidRPr="0009726A" w:rsidRDefault="003F6291" w:rsidP="0009726A">
      <w:pPr>
        <w:pStyle w:val="NormalWeb"/>
        <w:spacing w:before="0" w:beforeAutospacing="0" w:after="0" w:afterAutospacing="0" w:line="240" w:lineRule="atLeast"/>
        <w:ind w:left="567" w:hanging="567"/>
        <w:rPr>
          <w:color w:val="000000"/>
          <w:sz w:val="22"/>
          <w:szCs w:val="22"/>
          <w:shd w:val="clear" w:color="auto" w:fill="FFFFFF"/>
        </w:rPr>
      </w:pPr>
      <w:r w:rsidRPr="0009726A">
        <w:rPr>
          <w:color w:val="000000"/>
          <w:sz w:val="22"/>
          <w:szCs w:val="22"/>
        </w:rPr>
        <w:t>Flynn, S. (2019</w:t>
      </w:r>
      <w:r w:rsidR="001124B3" w:rsidRPr="0009726A">
        <w:rPr>
          <w:color w:val="000000"/>
          <w:sz w:val="22"/>
          <w:szCs w:val="22"/>
        </w:rPr>
        <w:t>a</w:t>
      </w:r>
      <w:r w:rsidRPr="0009726A">
        <w:rPr>
          <w:color w:val="000000"/>
          <w:sz w:val="22"/>
          <w:szCs w:val="22"/>
        </w:rPr>
        <w:t xml:space="preserve">) </w:t>
      </w:r>
      <w:r w:rsidR="001124B3" w:rsidRPr="0009726A">
        <w:rPr>
          <w:i/>
          <w:color w:val="000000"/>
          <w:sz w:val="22"/>
          <w:szCs w:val="22"/>
        </w:rPr>
        <w:t>Social work intervention pathways within child protection: responding to the needs of disabled children in Ireland.</w:t>
      </w:r>
      <w:r w:rsidR="001124B3" w:rsidRPr="0009726A">
        <w:rPr>
          <w:color w:val="000000"/>
          <w:sz w:val="22"/>
          <w:szCs w:val="22"/>
        </w:rPr>
        <w:t xml:space="preserve"> Practice. Available </w:t>
      </w:r>
      <w:hyperlink r:id="rId4" w:history="1">
        <w:r w:rsidR="001124B3" w:rsidRPr="0009726A">
          <w:rPr>
            <w:rStyle w:val="Hyperlink"/>
            <w:sz w:val="22"/>
            <w:szCs w:val="22"/>
          </w:rPr>
          <w:t>https://www.tandfonline.com/doi/abs/10.1080/09503153.2019.1704236?journalCode=cpra20</w:t>
        </w:r>
      </w:hyperlink>
      <w:r w:rsidR="001124B3" w:rsidRPr="0009726A">
        <w:rPr>
          <w:sz w:val="22"/>
          <w:szCs w:val="22"/>
        </w:rPr>
        <w:t xml:space="preserve"> </w:t>
      </w:r>
      <w:r w:rsidR="001124B3" w:rsidRPr="0009726A">
        <w:rPr>
          <w:color w:val="000000"/>
          <w:sz w:val="22"/>
          <w:szCs w:val="22"/>
          <w:shd w:val="clear" w:color="auto" w:fill="FFFFFF"/>
        </w:rPr>
        <w:t>[Accessed 24 January 2020].</w:t>
      </w:r>
    </w:p>
    <w:p w:rsidR="0009726A" w:rsidRPr="0009726A" w:rsidRDefault="0009726A" w:rsidP="0009726A">
      <w:pPr>
        <w:shd w:val="clear" w:color="auto" w:fill="FFFFFF"/>
        <w:spacing w:after="0" w:line="240" w:lineRule="auto"/>
        <w:ind w:left="567" w:hanging="567"/>
        <w:rPr>
          <w:rFonts w:ascii="Times New Roman" w:hAnsi="Times New Roman" w:cs="Times New Roman"/>
          <w:shd w:val="clear" w:color="auto" w:fill="FFFFFF"/>
        </w:rPr>
      </w:pPr>
      <w:r w:rsidRPr="0009726A">
        <w:rPr>
          <w:rFonts w:ascii="Times New Roman" w:hAnsi="Times New Roman" w:cs="Times New Roman"/>
          <w:color w:val="000000"/>
        </w:rPr>
        <w:t xml:space="preserve">Flynn, S. </w:t>
      </w:r>
      <w:r w:rsidRPr="0009726A">
        <w:rPr>
          <w:rFonts w:ascii="Times New Roman" w:eastAsia="Times New Roman" w:hAnsi="Times New Roman" w:cs="Times New Roman"/>
          <w:lang w:eastAsia="en-IE"/>
        </w:rPr>
        <w:t xml:space="preserve">(2019b) </w:t>
      </w:r>
      <w:r w:rsidRPr="0009726A">
        <w:rPr>
          <w:rFonts w:ascii="Times New Roman" w:hAnsi="Times New Roman" w:cs="Times New Roman"/>
          <w:shd w:val="clear" w:color="auto" w:fill="FFFFFF"/>
        </w:rPr>
        <w:t xml:space="preserve">Theorizing disability in child protection: Applying critical disability studies to the elevated risk of abuse for disabled children. </w:t>
      </w:r>
      <w:r w:rsidRPr="0009726A">
        <w:rPr>
          <w:rFonts w:ascii="Times New Roman" w:hAnsi="Times New Roman" w:cs="Times New Roman"/>
          <w:i/>
          <w:shd w:val="clear" w:color="auto" w:fill="FFFFFF"/>
        </w:rPr>
        <w:t>Disability &amp; Society.</w:t>
      </w:r>
      <w:r w:rsidRPr="0009726A">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Available </w:t>
      </w:r>
      <w:hyperlink r:id="rId5" w:history="1">
        <w:r>
          <w:rPr>
            <w:rStyle w:val="Hyperlink"/>
          </w:rPr>
          <w:t>https://www.tandfonline.com/doi/abs/10.1080/09687599.2019.1669433?journalCode=cdso20</w:t>
        </w:r>
      </w:hyperlink>
      <w:r>
        <w:t xml:space="preserve"> </w:t>
      </w:r>
      <w:r>
        <w:rPr>
          <w:rFonts w:ascii="Times New Roman" w:hAnsi="Times New Roman" w:cs="Times New Roman"/>
          <w:shd w:val="clear" w:color="auto" w:fill="FFFFFF"/>
        </w:rPr>
        <w:t xml:space="preserve"> </w:t>
      </w:r>
      <w:r w:rsidRPr="0009726A">
        <w:rPr>
          <w:rFonts w:ascii="Times New Roman" w:hAnsi="Times New Roman" w:cs="Times New Roman"/>
          <w:color w:val="000000"/>
          <w:shd w:val="clear" w:color="auto" w:fill="FFFFFF"/>
        </w:rPr>
        <w:t>[Accessed 24 January 2020].</w:t>
      </w:r>
    </w:p>
    <w:p w:rsidR="00FF1942" w:rsidRPr="0009726A" w:rsidRDefault="00FF1942" w:rsidP="0009726A">
      <w:pPr>
        <w:pStyle w:val="NormalWeb"/>
        <w:spacing w:before="0" w:beforeAutospacing="0" w:after="0" w:afterAutospacing="0" w:line="238" w:lineRule="atLeast"/>
        <w:ind w:left="567" w:hanging="567"/>
        <w:rPr>
          <w:color w:val="000000"/>
          <w:sz w:val="27"/>
          <w:szCs w:val="27"/>
        </w:rPr>
      </w:pPr>
      <w:r w:rsidRPr="0009726A">
        <w:rPr>
          <w:color w:val="000000"/>
          <w:sz w:val="22"/>
          <w:szCs w:val="22"/>
        </w:rPr>
        <w:t>Goodley, D. (2016) </w:t>
      </w:r>
      <w:r w:rsidRPr="0009726A">
        <w:rPr>
          <w:i/>
          <w:iCs/>
          <w:color w:val="000000"/>
          <w:sz w:val="22"/>
          <w:szCs w:val="22"/>
        </w:rPr>
        <w:t>Disability studies. An interdisciplinary introduction</w:t>
      </w:r>
      <w:r w:rsidRPr="0009726A">
        <w:rPr>
          <w:color w:val="000000"/>
          <w:sz w:val="22"/>
          <w:szCs w:val="22"/>
        </w:rPr>
        <w:t>. 2nd ed. Sage, London.</w:t>
      </w:r>
    </w:p>
    <w:p w:rsidR="00FF1942" w:rsidRPr="0009726A" w:rsidRDefault="00FF1942" w:rsidP="0009726A">
      <w:pPr>
        <w:pStyle w:val="NormalWeb"/>
        <w:spacing w:before="0" w:beforeAutospacing="0" w:after="0" w:afterAutospacing="0" w:line="238" w:lineRule="atLeast"/>
        <w:ind w:left="567" w:hanging="567"/>
        <w:rPr>
          <w:color w:val="000000"/>
          <w:sz w:val="27"/>
          <w:szCs w:val="27"/>
        </w:rPr>
      </w:pPr>
      <w:r w:rsidRPr="0009726A">
        <w:rPr>
          <w:color w:val="000000"/>
          <w:sz w:val="22"/>
          <w:szCs w:val="22"/>
        </w:rPr>
        <w:t>Goodley, D. (2013) Dis/entangling critical disability studies. </w:t>
      </w:r>
      <w:r w:rsidRPr="0009726A">
        <w:rPr>
          <w:i/>
          <w:iCs/>
          <w:color w:val="000000"/>
          <w:sz w:val="22"/>
          <w:szCs w:val="22"/>
        </w:rPr>
        <w:t>Disability &amp; Society</w:t>
      </w:r>
      <w:r w:rsidRPr="0009726A">
        <w:rPr>
          <w:color w:val="000000"/>
          <w:sz w:val="22"/>
          <w:szCs w:val="22"/>
        </w:rPr>
        <w:t> </w:t>
      </w:r>
      <w:r w:rsidRPr="0009726A">
        <w:rPr>
          <w:b/>
          <w:bCs/>
          <w:color w:val="000000"/>
          <w:sz w:val="22"/>
          <w:szCs w:val="22"/>
        </w:rPr>
        <w:t>28</w:t>
      </w:r>
      <w:r w:rsidRPr="0009726A">
        <w:rPr>
          <w:color w:val="000000"/>
          <w:sz w:val="22"/>
          <w:szCs w:val="22"/>
        </w:rPr>
        <w:t>, 631-644.</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Harris, J. (2003) "All doors are closed to us": a social model analysis of the experiences of disabled refugees and asylum seekers in Britain. </w:t>
      </w:r>
      <w:r w:rsidRPr="0009726A">
        <w:rPr>
          <w:i/>
          <w:iCs/>
          <w:color w:val="000000"/>
          <w:sz w:val="22"/>
          <w:szCs w:val="22"/>
        </w:rPr>
        <w:t>Disability and Society</w:t>
      </w:r>
      <w:r w:rsidRPr="0009726A">
        <w:rPr>
          <w:color w:val="000000"/>
          <w:sz w:val="22"/>
          <w:szCs w:val="22"/>
        </w:rPr>
        <w:t> </w:t>
      </w:r>
      <w:r w:rsidRPr="0009726A">
        <w:rPr>
          <w:b/>
          <w:bCs/>
          <w:color w:val="000000"/>
          <w:sz w:val="22"/>
          <w:szCs w:val="22"/>
        </w:rPr>
        <w:t>18</w:t>
      </w:r>
      <w:r w:rsidRPr="0009726A">
        <w:rPr>
          <w:color w:val="000000"/>
          <w:sz w:val="22"/>
          <w:szCs w:val="22"/>
        </w:rPr>
        <w:t>, 393-408.</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Howard, K. (2016) National identity, moral panic and east European folk devils. In </w:t>
      </w:r>
      <w:r w:rsidRPr="0009726A">
        <w:rPr>
          <w:i/>
          <w:iCs/>
          <w:color w:val="000000"/>
          <w:sz w:val="22"/>
          <w:szCs w:val="22"/>
        </w:rPr>
        <w:t>Globalization, Migration and Social Transformation: Ireland in Europe and the World</w:t>
      </w:r>
      <w:r w:rsidRPr="0009726A">
        <w:rPr>
          <w:color w:val="000000"/>
          <w:sz w:val="22"/>
          <w:szCs w:val="22"/>
        </w:rPr>
        <w:t> (eds B. Fanning &amp; R. Munck), pp.169-183. London: Routledge.</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Hughes, E.C. (1994) </w:t>
      </w:r>
      <w:r w:rsidRPr="0009726A">
        <w:rPr>
          <w:i/>
          <w:iCs/>
          <w:color w:val="000000"/>
          <w:sz w:val="22"/>
          <w:szCs w:val="22"/>
        </w:rPr>
        <w:t>On work, race and the sociological imagination</w:t>
      </w:r>
      <w:r w:rsidRPr="0009726A">
        <w:rPr>
          <w:color w:val="000000"/>
          <w:sz w:val="22"/>
          <w:szCs w:val="22"/>
        </w:rPr>
        <w:t>. University of Chicago Press, Chicago.</w:t>
      </w:r>
    </w:p>
    <w:p w:rsidR="00FF1942" w:rsidRPr="0009726A" w:rsidRDefault="00FF1942" w:rsidP="00FF1942">
      <w:pPr>
        <w:pStyle w:val="NormalWeb"/>
        <w:spacing w:before="0" w:beforeAutospacing="0" w:after="0" w:afterAutospacing="0" w:line="240" w:lineRule="atLeast"/>
        <w:ind w:left="567" w:hanging="567"/>
        <w:rPr>
          <w:color w:val="000000"/>
          <w:sz w:val="27"/>
          <w:szCs w:val="27"/>
        </w:rPr>
      </w:pPr>
      <w:r w:rsidRPr="0009726A">
        <w:rPr>
          <w:color w:val="000000"/>
          <w:sz w:val="22"/>
          <w:szCs w:val="22"/>
        </w:rPr>
        <w:t>Jones, L., Engstrom, D.W., Hilliard, T. &amp; Diaz, M. (2007) Globalization and human trafficking. </w:t>
      </w:r>
      <w:r w:rsidRPr="0009726A">
        <w:rPr>
          <w:i/>
          <w:iCs/>
          <w:color w:val="000000"/>
          <w:sz w:val="22"/>
          <w:szCs w:val="22"/>
        </w:rPr>
        <w:t>The Journal of Sociology &amp; Social Welfare</w:t>
      </w:r>
      <w:r w:rsidRPr="0009726A">
        <w:rPr>
          <w:color w:val="000000"/>
          <w:sz w:val="22"/>
          <w:szCs w:val="22"/>
        </w:rPr>
        <w:t> </w:t>
      </w:r>
      <w:r w:rsidRPr="0009726A">
        <w:rPr>
          <w:b/>
          <w:bCs/>
          <w:color w:val="000000"/>
          <w:sz w:val="22"/>
          <w:szCs w:val="22"/>
        </w:rPr>
        <w:t>34.</w:t>
      </w:r>
      <w:r w:rsidRPr="0009726A">
        <w:rPr>
          <w:color w:val="000000"/>
          <w:sz w:val="22"/>
          <w:szCs w:val="22"/>
        </w:rPr>
        <w:t> </w:t>
      </w:r>
      <w:r w:rsidRPr="0009726A">
        <w:rPr>
          <w:color w:val="000000"/>
          <w:sz w:val="22"/>
          <w:szCs w:val="22"/>
          <w:shd w:val="clear" w:color="auto" w:fill="FFFFFF"/>
        </w:rPr>
        <w:t>Available at: </w:t>
      </w:r>
      <w:hyperlink r:id="rId6" w:history="1">
        <w:r w:rsidRPr="0009726A">
          <w:rPr>
            <w:rStyle w:val="Hyperlink"/>
            <w:sz w:val="22"/>
            <w:szCs w:val="22"/>
            <w:shd w:val="clear" w:color="auto" w:fill="FFFFFF"/>
          </w:rPr>
          <w:t>https://scholarworks.wmich.edu/jssw/vol34/iss2/8</w:t>
        </w:r>
      </w:hyperlink>
      <w:r w:rsidRPr="0009726A">
        <w:rPr>
          <w:color w:val="000000"/>
          <w:sz w:val="22"/>
          <w:szCs w:val="22"/>
          <w:shd w:val="clear" w:color="auto" w:fill="FFFFFF"/>
        </w:rPr>
        <w:t> [Accessed 9 Apr. 2019].</w:t>
      </w:r>
    </w:p>
    <w:p w:rsidR="00FF1942" w:rsidRPr="0009726A" w:rsidRDefault="00FF1942" w:rsidP="00FF1942">
      <w:pPr>
        <w:pStyle w:val="NormalWeb"/>
        <w:spacing w:before="0" w:beforeAutospacing="0" w:after="0" w:afterAutospacing="0" w:line="240" w:lineRule="atLeast"/>
        <w:ind w:left="567" w:hanging="567"/>
        <w:rPr>
          <w:color w:val="000000"/>
          <w:sz w:val="27"/>
          <w:szCs w:val="27"/>
        </w:rPr>
      </w:pPr>
      <w:r w:rsidRPr="0009726A">
        <w:rPr>
          <w:color w:val="000000"/>
          <w:sz w:val="22"/>
          <w:szCs w:val="22"/>
        </w:rPr>
        <w:t>Kelly, B. &amp; Dowling, S. (2015) </w:t>
      </w:r>
      <w:r w:rsidRPr="0009726A">
        <w:rPr>
          <w:i/>
          <w:iCs/>
          <w:color w:val="000000"/>
          <w:sz w:val="22"/>
          <w:szCs w:val="22"/>
        </w:rPr>
        <w:t>Safeguarding Disabled Children and Young People: A Scoping Exercise of Statutory Child Protection Services for Disabled Children and Young People in Northern Ireland</w:t>
      </w:r>
      <w:r w:rsidRPr="0009726A">
        <w:rPr>
          <w:color w:val="000000"/>
          <w:sz w:val="22"/>
          <w:szCs w:val="22"/>
        </w:rPr>
        <w:t>. </w:t>
      </w:r>
      <w:r w:rsidRPr="0009726A">
        <w:rPr>
          <w:color w:val="000000"/>
          <w:sz w:val="22"/>
          <w:szCs w:val="22"/>
          <w:shd w:val="clear" w:color="auto" w:fill="FFFFFF"/>
        </w:rPr>
        <w:t>Available at: </w:t>
      </w:r>
      <w:hyperlink r:id="rId7" w:history="1">
        <w:r w:rsidRPr="0009726A">
          <w:rPr>
            <w:rStyle w:val="Hyperlink"/>
            <w:sz w:val="22"/>
            <w:szCs w:val="22"/>
          </w:rPr>
          <w:t>https://www.safeguardingni.org/sites/default/files/sites/default/files/imce/23%2002%2016-SBNI%20Safeguarding%20Disabled%20Children%20Report%202015.pdf</w:t>
        </w:r>
      </w:hyperlink>
      <w:r w:rsidRPr="0009726A">
        <w:rPr>
          <w:color w:val="000000"/>
          <w:sz w:val="22"/>
          <w:szCs w:val="22"/>
        </w:rPr>
        <w:t> </w:t>
      </w:r>
      <w:r w:rsidRPr="0009726A">
        <w:rPr>
          <w:color w:val="000000"/>
          <w:sz w:val="22"/>
          <w:szCs w:val="22"/>
          <w:shd w:val="clear" w:color="auto" w:fill="FFFFFF"/>
        </w:rPr>
        <w:t>[Accessed 10 May 2019].</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Kilkelly, U. &amp; Lundy, L. (2017) </w:t>
      </w:r>
      <w:r w:rsidRPr="0009726A">
        <w:rPr>
          <w:i/>
          <w:iCs/>
          <w:color w:val="000000"/>
          <w:sz w:val="22"/>
          <w:szCs w:val="22"/>
        </w:rPr>
        <w:t>Children’s Rights.</w:t>
      </w:r>
      <w:r w:rsidRPr="0009726A">
        <w:rPr>
          <w:color w:val="000000"/>
          <w:sz w:val="22"/>
          <w:szCs w:val="22"/>
        </w:rPr>
        <w:t> Routledge, London.</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Kraidy, M. M. (2005) </w:t>
      </w:r>
      <w:r w:rsidRPr="0009726A">
        <w:rPr>
          <w:i/>
          <w:iCs/>
          <w:color w:val="000000"/>
          <w:sz w:val="22"/>
          <w:szCs w:val="22"/>
        </w:rPr>
        <w:t>Hybridity, or the Cultural Logic of Globalisation.</w:t>
      </w:r>
      <w:r w:rsidRPr="0009726A">
        <w:rPr>
          <w:color w:val="000000"/>
          <w:sz w:val="22"/>
          <w:szCs w:val="22"/>
        </w:rPr>
        <w:t> Temple University Press, Philadelphia.</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Laird, S. (2008) </w:t>
      </w:r>
      <w:r w:rsidRPr="0009726A">
        <w:rPr>
          <w:i/>
          <w:iCs/>
          <w:color w:val="000000"/>
          <w:sz w:val="22"/>
          <w:szCs w:val="22"/>
        </w:rPr>
        <w:t>Anti-Oppressive Social Work: A Guide for Developing Cultural Competence</w:t>
      </w:r>
      <w:r w:rsidRPr="0009726A">
        <w:rPr>
          <w:color w:val="000000"/>
          <w:sz w:val="22"/>
          <w:szCs w:val="22"/>
        </w:rPr>
        <w:t>. Sage Publications, London.</w:t>
      </w:r>
    </w:p>
    <w:p w:rsidR="00FF1942" w:rsidRPr="0009726A" w:rsidRDefault="00FF1942" w:rsidP="00FF1942">
      <w:pPr>
        <w:pStyle w:val="NormalWeb"/>
        <w:spacing w:before="0" w:beforeAutospacing="0" w:after="0" w:afterAutospacing="0" w:line="240" w:lineRule="atLeast"/>
        <w:rPr>
          <w:color w:val="000000"/>
          <w:sz w:val="27"/>
          <w:szCs w:val="27"/>
        </w:rPr>
      </w:pPr>
      <w:r w:rsidRPr="0009726A">
        <w:rPr>
          <w:color w:val="000000"/>
          <w:sz w:val="22"/>
          <w:szCs w:val="22"/>
        </w:rPr>
        <w:t>Laming, L. (2003) </w:t>
      </w:r>
      <w:r w:rsidRPr="0009726A">
        <w:rPr>
          <w:i/>
          <w:iCs/>
          <w:color w:val="000000"/>
          <w:sz w:val="22"/>
          <w:szCs w:val="22"/>
        </w:rPr>
        <w:t>The Victoria </w:t>
      </w:r>
      <w:r w:rsidRPr="0009726A">
        <w:rPr>
          <w:i/>
          <w:iCs/>
          <w:color w:val="000000"/>
        </w:rPr>
        <w:t>Climbié</w:t>
      </w:r>
      <w:r w:rsidRPr="0009726A">
        <w:rPr>
          <w:i/>
          <w:iCs/>
          <w:color w:val="000000"/>
          <w:sz w:val="22"/>
          <w:szCs w:val="22"/>
        </w:rPr>
        <w:t> Inquiry.</w:t>
      </w:r>
      <w:r w:rsidRPr="0009726A">
        <w:rPr>
          <w:color w:val="000000"/>
          <w:sz w:val="22"/>
          <w:szCs w:val="22"/>
        </w:rPr>
        <w:t> Stationary Office, England.</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McConkey, R., Nixon, T., Donaghy, E. and Mulhern, D. (2004) The characteristics of children with a disability looked after away from home and their future service needs. </w:t>
      </w:r>
      <w:r w:rsidRPr="0009726A">
        <w:rPr>
          <w:i/>
          <w:iCs/>
          <w:color w:val="000000"/>
          <w:sz w:val="22"/>
          <w:szCs w:val="22"/>
        </w:rPr>
        <w:t>British Journal of Social Work</w:t>
      </w:r>
      <w:r w:rsidRPr="0009726A">
        <w:rPr>
          <w:color w:val="000000"/>
          <w:sz w:val="22"/>
          <w:szCs w:val="22"/>
        </w:rPr>
        <w:t> </w:t>
      </w:r>
      <w:r w:rsidRPr="0009726A">
        <w:rPr>
          <w:b/>
          <w:bCs/>
          <w:color w:val="000000"/>
          <w:sz w:val="22"/>
          <w:szCs w:val="22"/>
        </w:rPr>
        <w:t>34</w:t>
      </w:r>
      <w:r w:rsidRPr="0009726A">
        <w:rPr>
          <w:color w:val="000000"/>
          <w:sz w:val="22"/>
          <w:szCs w:val="22"/>
        </w:rPr>
        <w:t>, 561-576.</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McRuer, R. (2006) </w:t>
      </w:r>
      <w:r w:rsidRPr="0009726A">
        <w:rPr>
          <w:i/>
          <w:iCs/>
          <w:color w:val="000000"/>
          <w:sz w:val="22"/>
          <w:szCs w:val="22"/>
        </w:rPr>
        <w:t>Crip Theory: Cultural Signs of Queerness and Disability.</w:t>
      </w:r>
      <w:r w:rsidRPr="0009726A">
        <w:rPr>
          <w:color w:val="000000"/>
          <w:sz w:val="22"/>
          <w:szCs w:val="22"/>
        </w:rPr>
        <w:t> New York University Press, New York.</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Meekosha, H. &amp; Shuttleworth, R. (2009) What's so ‘critical’ about critical disability studies? </w:t>
      </w:r>
      <w:r w:rsidRPr="0009726A">
        <w:rPr>
          <w:i/>
          <w:iCs/>
          <w:color w:val="000000"/>
          <w:sz w:val="22"/>
          <w:szCs w:val="22"/>
        </w:rPr>
        <w:t>Australian Journal of Human Rights</w:t>
      </w:r>
      <w:r w:rsidRPr="0009726A">
        <w:rPr>
          <w:color w:val="000000"/>
          <w:sz w:val="22"/>
          <w:szCs w:val="22"/>
        </w:rPr>
        <w:t> </w:t>
      </w:r>
      <w:r w:rsidRPr="0009726A">
        <w:rPr>
          <w:b/>
          <w:bCs/>
          <w:color w:val="000000"/>
          <w:sz w:val="22"/>
          <w:szCs w:val="22"/>
        </w:rPr>
        <w:t>15</w:t>
      </w:r>
      <w:r w:rsidRPr="0009726A">
        <w:rPr>
          <w:color w:val="000000"/>
          <w:sz w:val="22"/>
          <w:szCs w:val="22"/>
        </w:rPr>
        <w:t>, 47-75.</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Nayak, S. &amp; Robbins, R. (2018) </w:t>
      </w:r>
      <w:r w:rsidRPr="0009726A">
        <w:rPr>
          <w:i/>
          <w:iCs/>
          <w:color w:val="000000"/>
          <w:sz w:val="22"/>
          <w:szCs w:val="22"/>
        </w:rPr>
        <w:t>Intersectionality in Social Work: Activism and Practice in Context.</w:t>
      </w:r>
      <w:r w:rsidRPr="0009726A">
        <w:rPr>
          <w:color w:val="000000"/>
          <w:sz w:val="22"/>
          <w:szCs w:val="22"/>
        </w:rPr>
        <w:t> Routledge, Abingdon.  </w:t>
      </w:r>
    </w:p>
    <w:p w:rsidR="00FF1942" w:rsidRPr="0009726A" w:rsidRDefault="00FF1942" w:rsidP="00FF1942">
      <w:pPr>
        <w:pStyle w:val="NormalWeb"/>
        <w:spacing w:before="0" w:beforeAutospacing="0" w:after="0" w:afterAutospacing="0"/>
        <w:ind w:left="720" w:right="804" w:hanging="720"/>
        <w:rPr>
          <w:color w:val="000000"/>
          <w:sz w:val="22"/>
          <w:szCs w:val="22"/>
        </w:rPr>
      </w:pPr>
      <w:r w:rsidRPr="0009726A">
        <w:rPr>
          <w:color w:val="000000"/>
          <w:sz w:val="22"/>
          <w:szCs w:val="22"/>
        </w:rPr>
        <w:t>Oliver, M. &amp; Sapey, B. (1999) </w:t>
      </w:r>
      <w:r w:rsidRPr="0009726A">
        <w:rPr>
          <w:i/>
          <w:iCs/>
          <w:color w:val="000000"/>
          <w:sz w:val="22"/>
          <w:szCs w:val="22"/>
        </w:rPr>
        <w:t>Social Work with Disabled People. </w:t>
      </w:r>
      <w:r w:rsidRPr="0009726A">
        <w:rPr>
          <w:color w:val="000000"/>
          <w:sz w:val="22"/>
          <w:szCs w:val="22"/>
        </w:rPr>
        <w:t>Macmillan International Higher Education, Houndsmills, Basingstoke.</w:t>
      </w:r>
    </w:p>
    <w:p w:rsidR="00FF1942" w:rsidRPr="0009726A" w:rsidRDefault="00FF1942" w:rsidP="00FF1942">
      <w:pPr>
        <w:pStyle w:val="NormalWeb"/>
        <w:spacing w:before="0" w:beforeAutospacing="0" w:after="0" w:afterAutospacing="0"/>
        <w:ind w:left="720" w:right="804" w:hanging="720"/>
        <w:rPr>
          <w:color w:val="000000"/>
          <w:sz w:val="22"/>
          <w:szCs w:val="22"/>
        </w:rPr>
      </w:pPr>
      <w:r w:rsidRPr="0009726A">
        <w:rPr>
          <w:color w:val="000000"/>
          <w:sz w:val="22"/>
          <w:szCs w:val="22"/>
        </w:rPr>
        <w:t>Payne, M. &amp; Askeland, G.A. (2008) </w:t>
      </w:r>
      <w:r w:rsidRPr="0009726A">
        <w:rPr>
          <w:i/>
          <w:iCs/>
          <w:color w:val="000000"/>
          <w:sz w:val="22"/>
          <w:szCs w:val="22"/>
        </w:rPr>
        <w:t>Globalization and International Social Work: Postmodern Change and Challenge</w:t>
      </w:r>
      <w:r w:rsidRPr="0009726A">
        <w:rPr>
          <w:color w:val="000000"/>
          <w:sz w:val="22"/>
          <w:szCs w:val="22"/>
        </w:rPr>
        <w:t>. Ashgate: London, England.</w:t>
      </w:r>
    </w:p>
    <w:p w:rsidR="00FF1942" w:rsidRPr="0009726A" w:rsidRDefault="00FF1942" w:rsidP="00FF1942">
      <w:pPr>
        <w:pStyle w:val="NormalWeb"/>
        <w:spacing w:before="0" w:beforeAutospacing="0" w:after="0" w:afterAutospacing="0"/>
        <w:ind w:left="720" w:right="804" w:hanging="720"/>
        <w:rPr>
          <w:color w:val="000000"/>
          <w:sz w:val="22"/>
          <w:szCs w:val="22"/>
        </w:rPr>
      </w:pPr>
      <w:r w:rsidRPr="0009726A">
        <w:rPr>
          <w:color w:val="000000"/>
          <w:sz w:val="22"/>
          <w:szCs w:val="22"/>
        </w:rPr>
        <w:t>Payne, M. (2014) </w:t>
      </w:r>
      <w:r w:rsidRPr="0009726A">
        <w:rPr>
          <w:i/>
          <w:iCs/>
          <w:color w:val="000000"/>
          <w:sz w:val="22"/>
          <w:szCs w:val="22"/>
        </w:rPr>
        <w:t>Modern Social Work Theory</w:t>
      </w:r>
      <w:r w:rsidRPr="0009726A">
        <w:rPr>
          <w:color w:val="000000"/>
          <w:sz w:val="22"/>
          <w:szCs w:val="22"/>
        </w:rPr>
        <w:t>. 2</w:t>
      </w:r>
      <w:r w:rsidRPr="0009726A">
        <w:rPr>
          <w:color w:val="000000"/>
          <w:sz w:val="10"/>
          <w:szCs w:val="10"/>
          <w:vertAlign w:val="superscript"/>
        </w:rPr>
        <w:t>nd</w:t>
      </w:r>
      <w:r w:rsidRPr="0009726A">
        <w:rPr>
          <w:color w:val="000000"/>
          <w:sz w:val="22"/>
          <w:szCs w:val="22"/>
        </w:rPr>
        <w:t> ed. Palgrave Macmillan, London.  </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Powell, F. &amp; Scanlon, M. (2015) </w:t>
      </w:r>
      <w:r w:rsidRPr="0009726A">
        <w:rPr>
          <w:i/>
          <w:iCs/>
          <w:color w:val="000000"/>
          <w:sz w:val="22"/>
          <w:szCs w:val="22"/>
        </w:rPr>
        <w:t>Dark Secrets of Childhood: Media Power, Child Abuse and Public Scandals.</w:t>
      </w:r>
      <w:r w:rsidRPr="0009726A">
        <w:rPr>
          <w:color w:val="000000"/>
          <w:sz w:val="22"/>
          <w:szCs w:val="22"/>
        </w:rPr>
        <w:t> University of Bristol, Policy Press.  </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Phillips, A. (2007) </w:t>
      </w:r>
      <w:r w:rsidRPr="0009726A">
        <w:rPr>
          <w:i/>
          <w:iCs/>
          <w:color w:val="000000"/>
          <w:sz w:val="22"/>
          <w:szCs w:val="22"/>
        </w:rPr>
        <w:t>Multiculturalism Without Culture.</w:t>
      </w:r>
      <w:r w:rsidRPr="0009726A">
        <w:rPr>
          <w:color w:val="000000"/>
          <w:sz w:val="22"/>
          <w:szCs w:val="22"/>
        </w:rPr>
        <w:t> Princeton University Press, Princeton, NJ.</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Raymond, A. (2010)</w:t>
      </w:r>
      <w:r w:rsidRPr="0009726A">
        <w:rPr>
          <w:i/>
          <w:iCs/>
          <w:color w:val="000000"/>
          <w:sz w:val="22"/>
          <w:szCs w:val="22"/>
        </w:rPr>
        <w:t> Safeguarding and Protecting Children with Disabilities and SEN. </w:t>
      </w:r>
      <w:r w:rsidRPr="0009726A">
        <w:rPr>
          <w:color w:val="000000"/>
          <w:sz w:val="22"/>
          <w:szCs w:val="22"/>
        </w:rPr>
        <w:t>Optimus Education eBooks, London.  </w:t>
      </w:r>
    </w:p>
    <w:p w:rsidR="00FF1942" w:rsidRPr="0009726A" w:rsidRDefault="00FF1942" w:rsidP="00FF1942">
      <w:pPr>
        <w:pStyle w:val="NormalWeb"/>
        <w:spacing w:before="0" w:beforeAutospacing="0" w:after="0" w:afterAutospacing="0" w:line="240" w:lineRule="atLeast"/>
        <w:ind w:left="567" w:hanging="567"/>
        <w:rPr>
          <w:color w:val="000000"/>
          <w:sz w:val="27"/>
          <w:szCs w:val="27"/>
        </w:rPr>
      </w:pPr>
      <w:r w:rsidRPr="0009726A">
        <w:rPr>
          <w:color w:val="000000"/>
          <w:sz w:val="22"/>
          <w:szCs w:val="22"/>
        </w:rPr>
        <w:t>Reid, J. A. (2016) </w:t>
      </w:r>
      <w:r w:rsidRPr="0009726A">
        <w:rPr>
          <w:i/>
          <w:iCs/>
          <w:color w:val="000000"/>
          <w:sz w:val="22"/>
          <w:szCs w:val="22"/>
        </w:rPr>
        <w:t>Sex Trafficking of Girls with Intellectual Disabilities: An Exploratory Mixed Methods Study</w:t>
      </w:r>
      <w:r w:rsidRPr="0009726A">
        <w:rPr>
          <w:color w:val="000000"/>
          <w:sz w:val="22"/>
          <w:szCs w:val="22"/>
        </w:rPr>
        <w:t>. Available at: </w:t>
      </w:r>
      <w:hyperlink r:id="rId8" w:history="1">
        <w:r w:rsidRPr="0009726A">
          <w:rPr>
            <w:rStyle w:val="Hyperlink"/>
            <w:sz w:val="22"/>
            <w:szCs w:val="22"/>
          </w:rPr>
          <w:t>https://www.researchgate.net/publication/295078429_Sex_Trafficking_of_Girls_With_Intellectual_Disabilities_An_Exploratory_Mixed_Methods_Study</w:t>
        </w:r>
      </w:hyperlink>
      <w:r w:rsidRPr="0009726A">
        <w:rPr>
          <w:color w:val="0000FF"/>
          <w:sz w:val="22"/>
          <w:szCs w:val="22"/>
          <w:u w:val="single"/>
        </w:rPr>
        <w:t> </w:t>
      </w:r>
      <w:r w:rsidRPr="0009726A">
        <w:rPr>
          <w:color w:val="000000"/>
          <w:sz w:val="22"/>
          <w:szCs w:val="22"/>
          <w:shd w:val="clear" w:color="auto" w:fill="FFFFFF"/>
        </w:rPr>
        <w:t>[Accessed 10 Apr. 2019].</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Sapey, B. (2002) Disability. In </w:t>
      </w:r>
      <w:r w:rsidRPr="0009726A">
        <w:rPr>
          <w:i/>
          <w:iCs/>
          <w:color w:val="000000"/>
          <w:sz w:val="22"/>
          <w:szCs w:val="22"/>
        </w:rPr>
        <w:t>Loss and Grief: A Guide for Human Services Practiioners</w:t>
      </w:r>
      <w:r w:rsidRPr="0009726A">
        <w:rPr>
          <w:color w:val="000000"/>
          <w:sz w:val="22"/>
          <w:szCs w:val="22"/>
        </w:rPr>
        <w:t>, (ed N. Thompson), pp.139-149. Palgrave MacMillan, Basingstoke.  </w:t>
      </w:r>
    </w:p>
    <w:p w:rsidR="00FF1942" w:rsidRPr="0009726A" w:rsidRDefault="00FF1942" w:rsidP="00FF1942">
      <w:pPr>
        <w:pStyle w:val="NormalWeb"/>
        <w:spacing w:before="0" w:beforeAutospacing="0" w:after="0" w:afterAutospacing="0" w:line="238" w:lineRule="atLeast"/>
        <w:ind w:left="567" w:hanging="567"/>
        <w:rPr>
          <w:color w:val="000000"/>
          <w:sz w:val="27"/>
          <w:szCs w:val="27"/>
        </w:rPr>
      </w:pPr>
      <w:r w:rsidRPr="0009726A">
        <w:rPr>
          <w:color w:val="000000"/>
          <w:sz w:val="22"/>
          <w:szCs w:val="22"/>
        </w:rPr>
        <w:t>Simcock, P. &amp; Castle, R. (2016) </w:t>
      </w:r>
      <w:r w:rsidRPr="0009726A">
        <w:rPr>
          <w:i/>
          <w:iCs/>
          <w:color w:val="000000"/>
          <w:sz w:val="22"/>
          <w:szCs w:val="22"/>
        </w:rPr>
        <w:t>Social Work and Disability</w:t>
      </w:r>
      <w:r w:rsidRPr="0009726A">
        <w:rPr>
          <w:color w:val="000000"/>
          <w:sz w:val="22"/>
          <w:szCs w:val="22"/>
        </w:rPr>
        <w:t>. John Wiley &amp; Sons, New Jersey, United States.</w:t>
      </w:r>
    </w:p>
    <w:p w:rsidR="00FF1942" w:rsidRPr="0009726A" w:rsidRDefault="00FF1942" w:rsidP="00FF1942">
      <w:pPr>
        <w:pStyle w:val="NormalWeb"/>
        <w:spacing w:before="0" w:beforeAutospacing="0" w:after="0" w:afterAutospacing="0" w:line="238" w:lineRule="atLeast"/>
        <w:ind w:left="567" w:right="804" w:hanging="567"/>
        <w:rPr>
          <w:color w:val="000000"/>
          <w:sz w:val="27"/>
          <w:szCs w:val="27"/>
        </w:rPr>
      </w:pPr>
      <w:r w:rsidRPr="0009726A">
        <w:rPr>
          <w:color w:val="000000"/>
          <w:sz w:val="22"/>
          <w:szCs w:val="22"/>
        </w:rPr>
        <w:t>Straimer, C. (2010) </w:t>
      </w:r>
      <w:r w:rsidRPr="0009726A">
        <w:rPr>
          <w:i/>
          <w:iCs/>
          <w:color w:val="000000"/>
          <w:sz w:val="22"/>
          <w:szCs w:val="22"/>
        </w:rPr>
        <w:t>Vulnerable or Invisible? Asylum Seekers with Disabilities in Europe.</w:t>
      </w:r>
      <w:r w:rsidRPr="0009726A">
        <w:rPr>
          <w:color w:val="000000"/>
          <w:sz w:val="22"/>
          <w:szCs w:val="22"/>
        </w:rPr>
        <w:t> UNHCR, the UN Refugee Agency, Geneva, Switzerland.</w:t>
      </w:r>
    </w:p>
    <w:p w:rsidR="00FF1942" w:rsidRPr="0009726A" w:rsidRDefault="00FF1942" w:rsidP="00FF1942">
      <w:pPr>
        <w:pStyle w:val="NormalWeb"/>
        <w:spacing w:before="0" w:beforeAutospacing="0" w:after="0" w:afterAutospacing="0" w:line="238" w:lineRule="atLeast"/>
        <w:ind w:left="567" w:right="804" w:hanging="567"/>
        <w:rPr>
          <w:color w:val="000000"/>
          <w:sz w:val="27"/>
          <w:szCs w:val="27"/>
        </w:rPr>
      </w:pPr>
      <w:r w:rsidRPr="0009726A">
        <w:rPr>
          <w:color w:val="000000"/>
          <w:sz w:val="22"/>
          <w:szCs w:val="22"/>
        </w:rPr>
        <w:t>Stalker, K. &amp; McArthur, K. (2012) Child abuse, child protection and disabled children: a review of recent research. </w:t>
      </w:r>
      <w:r w:rsidRPr="0009726A">
        <w:rPr>
          <w:i/>
          <w:iCs/>
          <w:color w:val="000000"/>
          <w:sz w:val="22"/>
          <w:szCs w:val="22"/>
        </w:rPr>
        <w:t>Child Abuse Review</w:t>
      </w:r>
      <w:r w:rsidRPr="0009726A">
        <w:rPr>
          <w:color w:val="000000"/>
          <w:sz w:val="22"/>
          <w:szCs w:val="22"/>
        </w:rPr>
        <w:t> </w:t>
      </w:r>
      <w:r w:rsidRPr="0009726A">
        <w:rPr>
          <w:b/>
          <w:bCs/>
          <w:color w:val="000000"/>
          <w:sz w:val="22"/>
          <w:szCs w:val="22"/>
        </w:rPr>
        <w:t>21</w:t>
      </w:r>
      <w:r w:rsidRPr="0009726A">
        <w:rPr>
          <w:color w:val="000000"/>
          <w:sz w:val="22"/>
          <w:szCs w:val="22"/>
        </w:rPr>
        <w:t>, 24–40.</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Stalker, K., Green Lister, P., Lerpiniere, J. &amp; McArthur, K. (2010) </w:t>
      </w:r>
      <w:r w:rsidRPr="0009726A">
        <w:rPr>
          <w:i/>
          <w:iCs/>
          <w:color w:val="000000"/>
          <w:sz w:val="22"/>
          <w:szCs w:val="22"/>
        </w:rPr>
        <w:t>Child Protection and the Needs and Rights of Disabled Children: Abridged Report. </w:t>
      </w:r>
      <w:r w:rsidRPr="0009726A">
        <w:rPr>
          <w:color w:val="000000"/>
          <w:sz w:val="22"/>
          <w:szCs w:val="22"/>
        </w:rPr>
        <w:t>University of Strathclyde Faculty of Education/ Sir Halley Stewart Trust, Glasgow, Scotland.</w:t>
      </w:r>
    </w:p>
    <w:p w:rsidR="00FF1942" w:rsidRPr="0009726A" w:rsidRDefault="00FF1942" w:rsidP="00FF1942">
      <w:pPr>
        <w:pStyle w:val="NormalWeb"/>
        <w:spacing w:before="0" w:beforeAutospacing="0" w:after="0" w:afterAutospacing="0" w:line="240" w:lineRule="atLeast"/>
        <w:ind w:left="720" w:right="804" w:hanging="720"/>
        <w:rPr>
          <w:color w:val="000000"/>
          <w:sz w:val="27"/>
          <w:szCs w:val="27"/>
        </w:rPr>
      </w:pPr>
      <w:r w:rsidRPr="0009726A">
        <w:rPr>
          <w:color w:val="000000"/>
          <w:sz w:val="22"/>
          <w:szCs w:val="22"/>
        </w:rPr>
        <w:t>Stanley, N., Oram, S., Jakobowitz, S., Westwood, J., Borschmann, R., Zimmerman, C. &amp; Howard, L.M. (2016) </w:t>
      </w:r>
      <w:r w:rsidRPr="0009726A">
        <w:rPr>
          <w:i/>
          <w:iCs/>
          <w:color w:val="000000"/>
          <w:sz w:val="22"/>
          <w:szCs w:val="22"/>
        </w:rPr>
        <w:t>The Health Needs and Healthcare Experiences of Young People Trafficked into the UK</w:t>
      </w:r>
      <w:r w:rsidRPr="0009726A">
        <w:rPr>
          <w:color w:val="000000"/>
          <w:sz w:val="22"/>
          <w:szCs w:val="22"/>
        </w:rPr>
        <w:t>. Available at: </w:t>
      </w:r>
      <w:hyperlink r:id="rId9" w:history="1">
        <w:r w:rsidRPr="0009726A">
          <w:rPr>
            <w:rStyle w:val="Hyperlink"/>
            <w:sz w:val="22"/>
            <w:szCs w:val="22"/>
          </w:rPr>
          <w:t>https://doi.org/10.1016/j.chiabu.2016.08.001</w:t>
        </w:r>
      </w:hyperlink>
      <w:r w:rsidRPr="0009726A">
        <w:rPr>
          <w:color w:val="000000"/>
          <w:sz w:val="22"/>
          <w:szCs w:val="22"/>
        </w:rPr>
        <w:t> </w:t>
      </w:r>
      <w:r w:rsidRPr="0009726A">
        <w:rPr>
          <w:color w:val="000000"/>
          <w:sz w:val="22"/>
          <w:szCs w:val="22"/>
          <w:shd w:val="clear" w:color="auto" w:fill="FFFFFF"/>
        </w:rPr>
        <w:t>[Accessed 9 Apr. 2019].</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Derald Wing, S. (2001) Multidimensional facets of cultural competence. </w:t>
      </w:r>
      <w:r w:rsidRPr="0009726A">
        <w:rPr>
          <w:i/>
          <w:iCs/>
          <w:color w:val="000000"/>
          <w:sz w:val="22"/>
          <w:szCs w:val="22"/>
        </w:rPr>
        <w:t>The Counselling Psychologist</w:t>
      </w:r>
      <w:r w:rsidRPr="0009726A">
        <w:rPr>
          <w:color w:val="000000"/>
          <w:sz w:val="22"/>
          <w:szCs w:val="22"/>
        </w:rPr>
        <w:t> </w:t>
      </w:r>
      <w:r w:rsidRPr="0009726A">
        <w:rPr>
          <w:b/>
          <w:bCs/>
          <w:color w:val="000000"/>
          <w:sz w:val="22"/>
          <w:szCs w:val="22"/>
        </w:rPr>
        <w:t>29</w:t>
      </w:r>
      <w:r w:rsidRPr="0009726A">
        <w:rPr>
          <w:color w:val="000000"/>
          <w:sz w:val="22"/>
          <w:szCs w:val="22"/>
        </w:rPr>
        <w:t>, 790-821.</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Sullivan, P. M. &amp; Knutson, J.F. (2000) Maltreatment and disabilities: a population-based epidemiological study. </w:t>
      </w:r>
      <w:r w:rsidRPr="0009726A">
        <w:rPr>
          <w:i/>
          <w:iCs/>
          <w:color w:val="000000"/>
          <w:sz w:val="22"/>
          <w:szCs w:val="22"/>
        </w:rPr>
        <w:t>Child Abuse &amp; Neglect</w:t>
      </w:r>
      <w:r w:rsidRPr="0009726A">
        <w:rPr>
          <w:b/>
          <w:bCs/>
          <w:color w:val="000000"/>
          <w:sz w:val="22"/>
          <w:szCs w:val="22"/>
        </w:rPr>
        <w:t> 24</w:t>
      </w:r>
      <w:r w:rsidRPr="0009726A">
        <w:rPr>
          <w:color w:val="000000"/>
          <w:sz w:val="22"/>
          <w:szCs w:val="22"/>
        </w:rPr>
        <w:t>: 1257-1273.</w:t>
      </w:r>
    </w:p>
    <w:p w:rsidR="00FF1942" w:rsidRPr="0009726A" w:rsidRDefault="00FF1942" w:rsidP="00FF1942">
      <w:pPr>
        <w:pStyle w:val="NormalWeb"/>
        <w:spacing w:before="0" w:beforeAutospacing="0" w:after="0" w:afterAutospacing="0" w:line="238" w:lineRule="atLeast"/>
        <w:ind w:left="720" w:hanging="720"/>
        <w:rPr>
          <w:color w:val="000000"/>
          <w:sz w:val="27"/>
          <w:szCs w:val="27"/>
        </w:rPr>
      </w:pPr>
      <w:r w:rsidRPr="0009726A">
        <w:rPr>
          <w:color w:val="000000"/>
          <w:sz w:val="22"/>
          <w:szCs w:val="22"/>
        </w:rPr>
        <w:t>Swain, J. &amp; French, S. (2000) Towards an affirmation model of disability. </w:t>
      </w:r>
      <w:r w:rsidRPr="0009726A">
        <w:rPr>
          <w:i/>
          <w:iCs/>
          <w:color w:val="000000"/>
          <w:sz w:val="22"/>
          <w:szCs w:val="22"/>
        </w:rPr>
        <w:t>Disability and Society</w:t>
      </w:r>
      <w:r w:rsidRPr="0009726A">
        <w:rPr>
          <w:color w:val="000000"/>
          <w:sz w:val="22"/>
          <w:szCs w:val="22"/>
        </w:rPr>
        <w:t> </w:t>
      </w:r>
      <w:r w:rsidRPr="0009726A">
        <w:rPr>
          <w:color w:val="000000"/>
          <w:sz w:val="27"/>
          <w:szCs w:val="27"/>
        </w:rPr>
        <w:t>15</w:t>
      </w:r>
      <w:r w:rsidRPr="0009726A">
        <w:rPr>
          <w:color w:val="000000"/>
          <w:sz w:val="22"/>
          <w:szCs w:val="22"/>
        </w:rPr>
        <w:t>, 569-582.</w:t>
      </w:r>
    </w:p>
    <w:p w:rsidR="00FF1942" w:rsidRPr="0009726A" w:rsidRDefault="00FF1942" w:rsidP="00FF1942">
      <w:pPr>
        <w:pStyle w:val="NormalWeb"/>
        <w:spacing w:before="0" w:beforeAutospacing="0" w:after="0" w:afterAutospacing="0" w:line="238" w:lineRule="atLeast"/>
        <w:ind w:right="804"/>
        <w:jc w:val="both"/>
        <w:rPr>
          <w:color w:val="000000"/>
          <w:sz w:val="27"/>
          <w:szCs w:val="27"/>
        </w:rPr>
      </w:pPr>
      <w:r w:rsidRPr="0009726A">
        <w:rPr>
          <w:color w:val="000000"/>
          <w:sz w:val="22"/>
          <w:szCs w:val="22"/>
        </w:rPr>
        <w:t>Tusla (2018) </w:t>
      </w:r>
      <w:r w:rsidRPr="0009726A">
        <w:rPr>
          <w:i/>
          <w:iCs/>
          <w:color w:val="000000"/>
          <w:sz w:val="22"/>
          <w:szCs w:val="22"/>
        </w:rPr>
        <w:t>Child Protection and Welfare Practice Handbook 2.</w:t>
      </w:r>
      <w:r w:rsidRPr="0009726A">
        <w:rPr>
          <w:color w:val="000000"/>
          <w:sz w:val="22"/>
          <w:szCs w:val="22"/>
        </w:rPr>
        <w:t> Tusla, Dublin.</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Vandermendin, J., Cameron, A., Fry, D. &amp; Lannen, P. (2017) </w:t>
      </w:r>
      <w:r w:rsidRPr="0009726A">
        <w:rPr>
          <w:i/>
          <w:iCs/>
          <w:color w:val="000000"/>
          <w:sz w:val="22"/>
          <w:szCs w:val="22"/>
        </w:rPr>
        <w:t>Child Protection and Disability: Ethical, Methodological and Practical Challenges for Research</w:t>
      </w:r>
      <w:r w:rsidRPr="0009726A">
        <w:rPr>
          <w:color w:val="000000"/>
          <w:sz w:val="22"/>
          <w:szCs w:val="22"/>
        </w:rPr>
        <w:t>. Dunedin Academic Press Ltd: Edinburgh, Scotland.  </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Vernon, A. (1996) A stranger in many camps: the experience of disabled black and ethnic minority women. In </w:t>
      </w:r>
      <w:r w:rsidRPr="0009726A">
        <w:rPr>
          <w:i/>
          <w:iCs/>
          <w:color w:val="000000"/>
          <w:sz w:val="22"/>
          <w:szCs w:val="22"/>
        </w:rPr>
        <w:t>Encounters with Feminism and Disability</w:t>
      </w:r>
      <w:r w:rsidRPr="0009726A">
        <w:rPr>
          <w:color w:val="000000"/>
          <w:sz w:val="22"/>
          <w:szCs w:val="22"/>
        </w:rPr>
        <w:t> (ed Morris, J. ) pp.47-68. Womens Press, London.</w:t>
      </w:r>
    </w:p>
    <w:p w:rsidR="00FF1942" w:rsidRPr="0009726A" w:rsidRDefault="00FF1942" w:rsidP="00FF1942">
      <w:pPr>
        <w:pStyle w:val="NormalWeb"/>
        <w:spacing w:before="0" w:beforeAutospacing="0" w:after="0" w:afterAutospacing="0" w:line="238" w:lineRule="atLeast"/>
        <w:ind w:left="720" w:right="804" w:hanging="720"/>
        <w:rPr>
          <w:color w:val="000000"/>
          <w:sz w:val="27"/>
          <w:szCs w:val="27"/>
        </w:rPr>
      </w:pPr>
      <w:r w:rsidRPr="0009726A">
        <w:rPr>
          <w:color w:val="000000"/>
          <w:sz w:val="22"/>
          <w:szCs w:val="22"/>
        </w:rPr>
        <w:t>Wilson, K. &amp; James, A.L. (2007) </w:t>
      </w:r>
      <w:r w:rsidRPr="0009726A">
        <w:rPr>
          <w:i/>
          <w:iCs/>
          <w:color w:val="000000"/>
          <w:sz w:val="22"/>
          <w:szCs w:val="22"/>
        </w:rPr>
        <w:t>The Child Protection Handbook.</w:t>
      </w:r>
      <w:r w:rsidRPr="0009726A">
        <w:rPr>
          <w:color w:val="000000"/>
          <w:sz w:val="22"/>
          <w:szCs w:val="22"/>
        </w:rPr>
        <w:t> 3</w:t>
      </w:r>
      <w:r w:rsidRPr="0009726A">
        <w:rPr>
          <w:color w:val="000000"/>
          <w:sz w:val="10"/>
          <w:szCs w:val="10"/>
          <w:vertAlign w:val="superscript"/>
        </w:rPr>
        <w:t>rd</w:t>
      </w:r>
      <w:r w:rsidRPr="0009726A">
        <w:rPr>
          <w:color w:val="000000"/>
          <w:sz w:val="22"/>
          <w:szCs w:val="22"/>
        </w:rPr>
        <w:t> ed. Elsevier, Philadelphia, U.S.</w:t>
      </w:r>
    </w:p>
    <w:p w:rsidR="00C80EA3" w:rsidRPr="0009726A" w:rsidRDefault="00C80EA3" w:rsidP="00C80EA3">
      <w:pPr>
        <w:rPr>
          <w:rFonts w:ascii="Times New Roman" w:hAnsi="Times New Roman" w:cs="Times New Roman"/>
        </w:rPr>
      </w:pPr>
    </w:p>
    <w:sectPr w:rsidR="00C80EA3" w:rsidRPr="000972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A3"/>
    <w:rsid w:val="0009726A"/>
    <w:rsid w:val="001124B3"/>
    <w:rsid w:val="001C1650"/>
    <w:rsid w:val="003F6291"/>
    <w:rsid w:val="00693C67"/>
    <w:rsid w:val="006A5C53"/>
    <w:rsid w:val="00943156"/>
    <w:rsid w:val="00B86691"/>
    <w:rsid w:val="00C80EA3"/>
    <w:rsid w:val="00CE1065"/>
    <w:rsid w:val="00DB253F"/>
    <w:rsid w:val="00F364EE"/>
    <w:rsid w:val="00FE59A1"/>
    <w:rsid w:val="00FF194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220891-118B-4FF2-91BE-2F98F29F6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0EA3"/>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Hyperlink">
    <w:name w:val="Hyperlink"/>
    <w:basedOn w:val="DefaultParagraphFont"/>
    <w:uiPriority w:val="99"/>
    <w:semiHidden/>
    <w:unhideWhenUsed/>
    <w:rsid w:val="00FF19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4271">
      <w:bodyDiv w:val="1"/>
      <w:marLeft w:val="0"/>
      <w:marRight w:val="0"/>
      <w:marTop w:val="0"/>
      <w:marBottom w:val="0"/>
      <w:divBdr>
        <w:top w:val="none" w:sz="0" w:space="0" w:color="auto"/>
        <w:left w:val="none" w:sz="0" w:space="0" w:color="auto"/>
        <w:bottom w:val="none" w:sz="0" w:space="0" w:color="auto"/>
        <w:right w:val="none" w:sz="0" w:space="0" w:color="auto"/>
      </w:divBdr>
    </w:div>
    <w:div w:id="320475146">
      <w:bodyDiv w:val="1"/>
      <w:marLeft w:val="0"/>
      <w:marRight w:val="0"/>
      <w:marTop w:val="0"/>
      <w:marBottom w:val="0"/>
      <w:divBdr>
        <w:top w:val="none" w:sz="0" w:space="0" w:color="auto"/>
        <w:left w:val="none" w:sz="0" w:space="0" w:color="auto"/>
        <w:bottom w:val="none" w:sz="0" w:space="0" w:color="auto"/>
        <w:right w:val="none" w:sz="0" w:space="0" w:color="auto"/>
      </w:divBdr>
    </w:div>
    <w:div w:id="479734959">
      <w:bodyDiv w:val="1"/>
      <w:marLeft w:val="0"/>
      <w:marRight w:val="0"/>
      <w:marTop w:val="0"/>
      <w:marBottom w:val="0"/>
      <w:divBdr>
        <w:top w:val="none" w:sz="0" w:space="0" w:color="auto"/>
        <w:left w:val="none" w:sz="0" w:space="0" w:color="auto"/>
        <w:bottom w:val="none" w:sz="0" w:space="0" w:color="auto"/>
        <w:right w:val="none" w:sz="0" w:space="0" w:color="auto"/>
      </w:divBdr>
    </w:div>
    <w:div w:id="479854993">
      <w:bodyDiv w:val="1"/>
      <w:marLeft w:val="0"/>
      <w:marRight w:val="0"/>
      <w:marTop w:val="0"/>
      <w:marBottom w:val="0"/>
      <w:divBdr>
        <w:top w:val="none" w:sz="0" w:space="0" w:color="auto"/>
        <w:left w:val="none" w:sz="0" w:space="0" w:color="auto"/>
        <w:bottom w:val="none" w:sz="0" w:space="0" w:color="auto"/>
        <w:right w:val="none" w:sz="0" w:space="0" w:color="auto"/>
      </w:divBdr>
    </w:div>
    <w:div w:id="751850045">
      <w:bodyDiv w:val="1"/>
      <w:marLeft w:val="0"/>
      <w:marRight w:val="0"/>
      <w:marTop w:val="0"/>
      <w:marBottom w:val="0"/>
      <w:divBdr>
        <w:top w:val="none" w:sz="0" w:space="0" w:color="auto"/>
        <w:left w:val="none" w:sz="0" w:space="0" w:color="auto"/>
        <w:bottom w:val="none" w:sz="0" w:space="0" w:color="auto"/>
        <w:right w:val="none" w:sz="0" w:space="0" w:color="auto"/>
      </w:divBdr>
    </w:div>
    <w:div w:id="805196459">
      <w:bodyDiv w:val="1"/>
      <w:marLeft w:val="0"/>
      <w:marRight w:val="0"/>
      <w:marTop w:val="0"/>
      <w:marBottom w:val="0"/>
      <w:divBdr>
        <w:top w:val="none" w:sz="0" w:space="0" w:color="auto"/>
        <w:left w:val="none" w:sz="0" w:space="0" w:color="auto"/>
        <w:bottom w:val="none" w:sz="0" w:space="0" w:color="auto"/>
        <w:right w:val="none" w:sz="0" w:space="0" w:color="auto"/>
      </w:divBdr>
    </w:div>
    <w:div w:id="1178081036">
      <w:bodyDiv w:val="1"/>
      <w:marLeft w:val="0"/>
      <w:marRight w:val="0"/>
      <w:marTop w:val="0"/>
      <w:marBottom w:val="0"/>
      <w:divBdr>
        <w:top w:val="none" w:sz="0" w:space="0" w:color="auto"/>
        <w:left w:val="none" w:sz="0" w:space="0" w:color="auto"/>
        <w:bottom w:val="none" w:sz="0" w:space="0" w:color="auto"/>
        <w:right w:val="none" w:sz="0" w:space="0" w:color="auto"/>
      </w:divBdr>
    </w:div>
    <w:div w:id="1676608389">
      <w:bodyDiv w:val="1"/>
      <w:marLeft w:val="0"/>
      <w:marRight w:val="0"/>
      <w:marTop w:val="0"/>
      <w:marBottom w:val="0"/>
      <w:divBdr>
        <w:top w:val="none" w:sz="0" w:space="0" w:color="auto"/>
        <w:left w:val="none" w:sz="0" w:space="0" w:color="auto"/>
        <w:bottom w:val="none" w:sz="0" w:space="0" w:color="auto"/>
        <w:right w:val="none" w:sz="0" w:space="0" w:color="auto"/>
      </w:divBdr>
    </w:div>
    <w:div w:id="1792894822">
      <w:bodyDiv w:val="1"/>
      <w:marLeft w:val="0"/>
      <w:marRight w:val="0"/>
      <w:marTop w:val="0"/>
      <w:marBottom w:val="0"/>
      <w:divBdr>
        <w:top w:val="none" w:sz="0" w:space="0" w:color="auto"/>
        <w:left w:val="none" w:sz="0" w:space="0" w:color="auto"/>
        <w:bottom w:val="none" w:sz="0" w:space="0" w:color="auto"/>
        <w:right w:val="none" w:sz="0" w:space="0" w:color="auto"/>
      </w:divBdr>
    </w:div>
    <w:div w:id="2005934270">
      <w:bodyDiv w:val="1"/>
      <w:marLeft w:val="0"/>
      <w:marRight w:val="0"/>
      <w:marTop w:val="0"/>
      <w:marBottom w:val="0"/>
      <w:divBdr>
        <w:top w:val="none" w:sz="0" w:space="0" w:color="auto"/>
        <w:left w:val="none" w:sz="0" w:space="0" w:color="auto"/>
        <w:bottom w:val="none" w:sz="0" w:space="0" w:color="auto"/>
        <w:right w:val="none" w:sz="0" w:space="0" w:color="auto"/>
      </w:divBdr>
    </w:div>
    <w:div w:id="200646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95078429_Sex_Trafficking_of_Girls_With_Intellectual_Disabilities_An_Exploratory_Mixed_Methods_Study" TargetMode="External"/><Relationship Id="rId3" Type="http://schemas.openxmlformats.org/officeDocument/2006/relationships/webSettings" Target="webSettings.xml"/><Relationship Id="rId7" Type="http://schemas.openxmlformats.org/officeDocument/2006/relationships/hyperlink" Target="https://www.safeguardingni.org/sites/default/files/sites/default/files/imce/23%2002%2016-SBNI%20Safeguarding%20Disabled%20Children%20Report%202015.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holarworks.wmich.edu/jssw/vol34/iss2/8" TargetMode="External"/><Relationship Id="rId11" Type="http://schemas.openxmlformats.org/officeDocument/2006/relationships/theme" Target="theme/theme1.xml"/><Relationship Id="rId5" Type="http://schemas.openxmlformats.org/officeDocument/2006/relationships/hyperlink" Target="https://www.tandfonline.com/doi/abs/10.1080/09687599.2019.1669433?journalCode=cdso20" TargetMode="External"/><Relationship Id="rId10" Type="http://schemas.openxmlformats.org/officeDocument/2006/relationships/fontTable" Target="fontTable.xml"/><Relationship Id="rId4" Type="http://schemas.openxmlformats.org/officeDocument/2006/relationships/hyperlink" Target="https://www.tandfonline.com/doi/abs/10.1080/09503153.2019.1704236?journalCode=cpra20" TargetMode="External"/><Relationship Id="rId9" Type="http://schemas.openxmlformats.org/officeDocument/2006/relationships/hyperlink" Target="https://doi.org/10.1016/j.chiabu.2016.08.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7587</Words>
  <Characters>43251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dcterms:created xsi:type="dcterms:W3CDTF">2020-02-03T13:49:00Z</dcterms:created>
  <dcterms:modified xsi:type="dcterms:W3CDTF">2020-02-03T13:49:00Z</dcterms:modified>
</cp:coreProperties>
</file>