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B7A44" w14:textId="2C8DC2B2" w:rsidR="006D25E0" w:rsidRPr="00B45FD8" w:rsidRDefault="00CF024F" w:rsidP="00B0374D">
      <w:pPr>
        <w:pStyle w:val="01Title"/>
        <w:spacing w:before="0" w:after="0" w:line="240" w:lineRule="auto"/>
        <w:rPr>
          <w:rFonts w:ascii="Arial" w:hAnsi="Arial" w:cs="Arial"/>
          <w:b w:val="0"/>
          <w:bCs w:val="0"/>
          <w:caps w:val="0"/>
          <w:color w:val="FF0000"/>
          <w:kern w:val="0"/>
          <w:sz w:val="20"/>
          <w:szCs w:val="20"/>
        </w:rPr>
      </w:pPr>
      <w:r>
        <w:rPr>
          <w:rFonts w:ascii="Arial" w:hAnsi="Arial" w:cs="Arial"/>
          <w:sz w:val="24"/>
        </w:rPr>
        <w:br/>
      </w:r>
      <w:r w:rsidR="00844E39" w:rsidRPr="00844E39">
        <w:rPr>
          <w:rFonts w:ascii="Arial" w:hAnsi="Arial" w:cs="Arial"/>
          <w:caps w:val="0"/>
          <w:sz w:val="24"/>
        </w:rPr>
        <w:t>Recycling Waste Heat from Industrial Wastewater Treatment Processes</w:t>
      </w:r>
      <w:r>
        <w:rPr>
          <w:rFonts w:ascii="Arial" w:hAnsi="Arial" w:cs="Arial"/>
          <w:color w:val="FF0000"/>
          <w:sz w:val="20"/>
        </w:rPr>
        <w:br/>
      </w:r>
      <w:r w:rsidRPr="00B45FD8">
        <w:rPr>
          <w:rFonts w:ascii="Arial" w:hAnsi="Arial" w:cs="Arial"/>
          <w:b w:val="0"/>
          <w:bCs w:val="0"/>
          <w:caps w:val="0"/>
          <w:color w:val="FF0000"/>
          <w:kern w:val="0"/>
          <w:sz w:val="20"/>
          <w:szCs w:val="20"/>
        </w:rPr>
        <w:br/>
      </w:r>
    </w:p>
    <w:p w14:paraId="7D0E6FA5" w14:textId="56203493" w:rsidR="006D25E0" w:rsidRPr="006D0922" w:rsidRDefault="00844E39" w:rsidP="00B0374D">
      <w:pPr>
        <w:pStyle w:val="02Author"/>
        <w:spacing w:line="240" w:lineRule="auto"/>
        <w:rPr>
          <w:rFonts w:ascii="Arial" w:hAnsi="Arial" w:cs="Arial"/>
          <w:sz w:val="20"/>
          <w:szCs w:val="20"/>
        </w:rPr>
      </w:pPr>
      <w:r>
        <w:rPr>
          <w:rFonts w:ascii="Arial" w:hAnsi="Arial" w:cs="Arial"/>
          <w:caps w:val="0"/>
          <w:sz w:val="20"/>
          <w:szCs w:val="20"/>
        </w:rPr>
        <w:t xml:space="preserve">Madhu K. </w:t>
      </w:r>
      <w:proofErr w:type="gramStart"/>
      <w:r>
        <w:rPr>
          <w:rFonts w:ascii="Arial" w:hAnsi="Arial" w:cs="Arial"/>
          <w:caps w:val="0"/>
          <w:sz w:val="20"/>
          <w:szCs w:val="20"/>
        </w:rPr>
        <w:t>Murali</w:t>
      </w:r>
      <w:r w:rsidR="006D25E0" w:rsidRPr="006D0922">
        <w:rPr>
          <w:rFonts w:ascii="Arial" w:hAnsi="Arial" w:cs="Arial"/>
          <w:caps w:val="0"/>
          <w:sz w:val="20"/>
          <w:szCs w:val="20"/>
          <w:vertAlign w:val="superscript"/>
        </w:rPr>
        <w:t>(</w:t>
      </w:r>
      <w:proofErr w:type="gramEnd"/>
      <w:r w:rsidR="007C73D9" w:rsidRPr="006D0922">
        <w:rPr>
          <w:rFonts w:ascii="Arial" w:hAnsi="Arial" w:cs="Arial"/>
          <w:caps w:val="0"/>
          <w:sz w:val="20"/>
          <w:szCs w:val="20"/>
          <w:vertAlign w:val="superscript"/>
        </w:rPr>
        <w:t>1)</w:t>
      </w:r>
      <w:r w:rsidR="007C73D9" w:rsidRPr="006D0922">
        <w:rPr>
          <w:rFonts w:ascii="Arial" w:hAnsi="Arial" w:cs="Arial"/>
          <w:caps w:val="0"/>
          <w:sz w:val="20"/>
          <w:szCs w:val="20"/>
        </w:rPr>
        <w:t xml:space="preserve">, </w:t>
      </w:r>
      <w:r w:rsidRPr="00844E39">
        <w:rPr>
          <w:rFonts w:ascii="Arial" w:hAnsi="Arial" w:cs="Arial"/>
          <w:caps w:val="0"/>
          <w:sz w:val="20"/>
          <w:szCs w:val="20"/>
        </w:rPr>
        <w:t>J</w:t>
      </w:r>
      <w:r>
        <w:rPr>
          <w:rFonts w:ascii="Arial" w:hAnsi="Arial" w:cs="Arial"/>
          <w:caps w:val="0"/>
          <w:sz w:val="20"/>
          <w:szCs w:val="20"/>
        </w:rPr>
        <w:t>an</w:t>
      </w:r>
      <w:r w:rsidRPr="00844E39">
        <w:rPr>
          <w:rFonts w:ascii="Arial" w:hAnsi="Arial" w:cs="Arial"/>
          <w:caps w:val="0"/>
          <w:sz w:val="20"/>
          <w:szCs w:val="20"/>
        </w:rPr>
        <w:t xml:space="preserve"> Spriet</w:t>
      </w:r>
      <w:r w:rsidR="007C73D9" w:rsidRPr="006D0922">
        <w:rPr>
          <w:rFonts w:ascii="Arial" w:hAnsi="Arial" w:cs="Arial"/>
          <w:caps w:val="0"/>
          <w:sz w:val="20"/>
          <w:szCs w:val="20"/>
          <w:vertAlign w:val="superscript"/>
        </w:rPr>
        <w:t>(2)</w:t>
      </w:r>
      <w:r w:rsidR="007C73D9" w:rsidRPr="006D0922">
        <w:rPr>
          <w:rFonts w:ascii="Arial" w:hAnsi="Arial" w:cs="Arial"/>
          <w:caps w:val="0"/>
          <w:sz w:val="20"/>
          <w:szCs w:val="20"/>
        </w:rPr>
        <w:t xml:space="preserve"> </w:t>
      </w:r>
      <w:r w:rsidR="002C4075">
        <w:rPr>
          <w:rFonts w:ascii="Arial" w:hAnsi="Arial" w:cs="Arial"/>
          <w:caps w:val="0"/>
          <w:sz w:val="20"/>
          <w:szCs w:val="20"/>
        </w:rPr>
        <w:t>and</w:t>
      </w:r>
      <w:r w:rsidR="007C73D9" w:rsidRPr="006D0922">
        <w:rPr>
          <w:rFonts w:ascii="Arial" w:hAnsi="Arial" w:cs="Arial"/>
          <w:caps w:val="0"/>
          <w:sz w:val="20"/>
          <w:szCs w:val="20"/>
        </w:rPr>
        <w:t xml:space="preserve"> </w:t>
      </w:r>
      <w:r>
        <w:rPr>
          <w:rFonts w:ascii="Arial" w:hAnsi="Arial" w:cs="Arial"/>
          <w:caps w:val="0"/>
          <w:sz w:val="20"/>
          <w:szCs w:val="20"/>
        </w:rPr>
        <w:t>Aonghus McNabola</w:t>
      </w:r>
      <w:r w:rsidR="007C73D9" w:rsidRPr="006D0922">
        <w:rPr>
          <w:rFonts w:ascii="Arial" w:hAnsi="Arial" w:cs="Arial"/>
          <w:caps w:val="0"/>
          <w:sz w:val="20"/>
          <w:szCs w:val="20"/>
          <w:vertAlign w:val="superscript"/>
        </w:rPr>
        <w:t>(3)</w:t>
      </w:r>
      <w:r w:rsidR="007C73D9" w:rsidRPr="006D0922">
        <w:rPr>
          <w:rFonts w:ascii="Arial" w:hAnsi="Arial" w:cs="Arial"/>
          <w:caps w:val="0"/>
          <w:color w:val="FF0000"/>
          <w:sz w:val="20"/>
          <w:szCs w:val="20"/>
        </w:rPr>
        <w:t xml:space="preserve"> </w:t>
      </w:r>
      <w:r w:rsidR="00CF024F">
        <w:rPr>
          <w:rFonts w:ascii="Arial" w:hAnsi="Arial" w:cs="Arial"/>
          <w:color w:val="FF0000"/>
          <w:sz w:val="20"/>
          <w:szCs w:val="20"/>
        </w:rPr>
        <w:br/>
      </w:r>
    </w:p>
    <w:p w14:paraId="5C6C3D44" w14:textId="08C239C8" w:rsidR="00D939E7" w:rsidRPr="006C30DA" w:rsidRDefault="006D25E0" w:rsidP="006C30DA">
      <w:pPr>
        <w:pStyle w:val="03Affiliation1"/>
        <w:spacing w:before="0" w:line="240" w:lineRule="auto"/>
        <w:rPr>
          <w:rFonts w:ascii="Arial" w:hAnsi="Arial" w:cs="Arial"/>
          <w:i w:val="0"/>
        </w:rPr>
      </w:pPr>
      <w:r w:rsidRPr="005D71B0">
        <w:rPr>
          <w:rFonts w:ascii="Arial" w:hAnsi="Arial" w:cs="Arial"/>
          <w:i w:val="0"/>
          <w:vertAlign w:val="superscript"/>
        </w:rPr>
        <w:t>(1</w:t>
      </w:r>
      <w:r w:rsidR="00DE5A54" w:rsidRPr="005D71B0">
        <w:rPr>
          <w:rFonts w:ascii="Arial" w:hAnsi="Arial" w:cs="Arial"/>
          <w:i w:val="0"/>
          <w:vertAlign w:val="superscript"/>
        </w:rPr>
        <w:t>,</w:t>
      </w:r>
      <w:r w:rsidR="00844E39">
        <w:rPr>
          <w:rFonts w:ascii="Arial" w:hAnsi="Arial" w:cs="Arial"/>
          <w:i w:val="0"/>
          <w:vertAlign w:val="superscript"/>
        </w:rPr>
        <w:t>2,</w:t>
      </w:r>
      <w:r w:rsidR="00DE5A54" w:rsidRPr="005D71B0">
        <w:rPr>
          <w:rFonts w:ascii="Arial" w:hAnsi="Arial" w:cs="Arial"/>
          <w:i w:val="0"/>
          <w:vertAlign w:val="superscript"/>
        </w:rPr>
        <w:t>3</w:t>
      </w:r>
      <w:r w:rsidRPr="005D71B0">
        <w:rPr>
          <w:rFonts w:ascii="Arial" w:hAnsi="Arial" w:cs="Arial"/>
          <w:i w:val="0"/>
          <w:vertAlign w:val="superscript"/>
        </w:rPr>
        <w:t>)</w:t>
      </w:r>
      <w:r w:rsidRPr="005D71B0">
        <w:rPr>
          <w:rFonts w:ascii="Arial" w:hAnsi="Arial" w:cs="Arial"/>
          <w:i w:val="0"/>
        </w:rPr>
        <w:t xml:space="preserve"> </w:t>
      </w:r>
      <w:r w:rsidR="00844E39" w:rsidRPr="00844E39">
        <w:rPr>
          <w:rFonts w:ascii="Arial" w:hAnsi="Arial" w:cs="Arial"/>
          <w:i w:val="0"/>
        </w:rPr>
        <w:t>Department of Civil, Structural &amp; Environmental Engineering, Trinity College Dublin, Dublin, Ireland</w:t>
      </w:r>
      <w:r w:rsidR="00AD2453" w:rsidRPr="005D71B0">
        <w:rPr>
          <w:rFonts w:ascii="Arial" w:hAnsi="Arial" w:cs="Arial"/>
          <w:i w:val="0"/>
        </w:rPr>
        <w:br/>
      </w:r>
      <w:r w:rsidR="00D939E7" w:rsidRPr="006C30DA">
        <w:rPr>
          <w:rFonts w:ascii="Arial" w:hAnsi="Arial" w:cs="Arial"/>
          <w:i w:val="0"/>
          <w:vertAlign w:val="superscript"/>
        </w:rPr>
        <w:t>(</w:t>
      </w:r>
      <w:proofErr w:type="gramStart"/>
      <w:r w:rsidR="00D939E7" w:rsidRPr="006C30DA">
        <w:rPr>
          <w:rFonts w:ascii="Arial" w:hAnsi="Arial" w:cs="Arial"/>
          <w:i w:val="0"/>
          <w:vertAlign w:val="superscript"/>
        </w:rPr>
        <w:t>1)</w:t>
      </w:r>
      <w:r w:rsidR="002D23CC" w:rsidRPr="006C30DA">
        <w:rPr>
          <w:rFonts w:ascii="Arial" w:hAnsi="Arial" w:cs="Arial"/>
          <w:i w:val="0"/>
        </w:rPr>
        <w:t>muralim@tcd.ie</w:t>
      </w:r>
      <w:proofErr w:type="gramEnd"/>
      <w:r w:rsidR="002D23CC" w:rsidRPr="006C30DA">
        <w:rPr>
          <w:rFonts w:ascii="Arial" w:hAnsi="Arial" w:cs="Arial"/>
          <w:i w:val="0"/>
        </w:rPr>
        <w:t xml:space="preserve"> </w:t>
      </w:r>
      <w:r w:rsidR="006C30DA" w:rsidRPr="006C30DA">
        <w:rPr>
          <w:rFonts w:ascii="Arial" w:hAnsi="Arial" w:cs="Arial"/>
          <w:i w:val="0"/>
        </w:rPr>
        <w:br/>
      </w:r>
      <w:r w:rsidR="00D939E7" w:rsidRPr="006C30DA">
        <w:rPr>
          <w:rFonts w:ascii="Arial" w:hAnsi="Arial" w:cs="Arial"/>
          <w:i w:val="0"/>
          <w:vertAlign w:val="superscript"/>
        </w:rPr>
        <w:t>(2)</w:t>
      </w:r>
      <w:hyperlink r:id="rId11" w:history="1">
        <w:r w:rsidR="006B258C" w:rsidRPr="006D067D">
          <w:rPr>
            <w:rStyle w:val="Hyperlink"/>
            <w:rFonts w:ascii="Arial" w:hAnsi="Arial" w:cs="Arial"/>
            <w:i w:val="0"/>
            <w:iCs w:val="0"/>
          </w:rPr>
          <w:t>sprietj@tcd.ie</w:t>
        </w:r>
      </w:hyperlink>
      <w:r w:rsidR="006C30DA" w:rsidRPr="006B258C">
        <w:rPr>
          <w:rFonts w:ascii="Arial" w:hAnsi="Arial" w:cs="Arial"/>
          <w:i w:val="0"/>
          <w:iCs w:val="0"/>
        </w:rPr>
        <w:br/>
      </w:r>
      <w:r w:rsidR="00D939E7" w:rsidRPr="006B258C">
        <w:rPr>
          <w:rFonts w:ascii="Arial" w:hAnsi="Arial" w:cs="Arial"/>
          <w:i w:val="0"/>
          <w:iCs w:val="0"/>
          <w:vertAlign w:val="superscript"/>
        </w:rPr>
        <w:t>(3)</w:t>
      </w:r>
      <w:r w:rsidR="004E6624" w:rsidRPr="006B258C">
        <w:rPr>
          <w:rFonts w:ascii="Arial" w:hAnsi="Arial" w:cs="Arial"/>
          <w:i w:val="0"/>
          <w:iCs w:val="0"/>
        </w:rPr>
        <w:t>amcnabol@tcd.ie</w:t>
      </w:r>
    </w:p>
    <w:p w14:paraId="28AD90EE" w14:textId="3793C3AD" w:rsidR="00CF0593" w:rsidRDefault="00CF0593" w:rsidP="00B0374D">
      <w:pPr>
        <w:pStyle w:val="07paragraphs"/>
        <w:tabs>
          <w:tab w:val="clear" w:pos="357"/>
          <w:tab w:val="left" w:pos="426"/>
        </w:tabs>
        <w:spacing w:after="0" w:line="240" w:lineRule="auto"/>
        <w:jc w:val="center"/>
        <w:rPr>
          <w:rFonts w:ascii="Arial" w:hAnsi="Arial" w:cs="Arial"/>
          <w:sz w:val="20"/>
        </w:rPr>
      </w:pPr>
    </w:p>
    <w:p w14:paraId="135965E5" w14:textId="091F39E4" w:rsidR="00DE5A54" w:rsidRPr="0026034F" w:rsidRDefault="00DE5A54" w:rsidP="00B0374D">
      <w:pPr>
        <w:pStyle w:val="06NumeratedHeading1"/>
        <w:tabs>
          <w:tab w:val="clear" w:pos="425"/>
          <w:tab w:val="left" w:pos="284"/>
        </w:tabs>
        <w:spacing w:before="0" w:after="0" w:line="240" w:lineRule="auto"/>
        <w:ind w:left="567" w:hanging="567"/>
        <w:rPr>
          <w:rFonts w:ascii="Arial" w:hAnsi="Arial" w:cs="Arial"/>
          <w:b w:val="0"/>
          <w:bCs w:val="0"/>
          <w:sz w:val="20"/>
        </w:rPr>
      </w:pPr>
    </w:p>
    <w:p w14:paraId="67A6BA29" w14:textId="7CF42464" w:rsidR="00DE5A54" w:rsidRPr="00DE5A54" w:rsidRDefault="00485683" w:rsidP="00B0374D">
      <w:pPr>
        <w:pStyle w:val="06NumeratedHeading1"/>
        <w:tabs>
          <w:tab w:val="clear" w:pos="425"/>
          <w:tab w:val="left" w:pos="284"/>
        </w:tabs>
        <w:spacing w:before="0" w:after="0" w:line="240" w:lineRule="auto"/>
        <w:ind w:left="567" w:hanging="567"/>
        <w:rPr>
          <w:rFonts w:ascii="Arial" w:hAnsi="Arial" w:cs="Arial"/>
          <w:color w:val="FF0000"/>
          <w:sz w:val="20"/>
        </w:rPr>
      </w:pPr>
      <w:r w:rsidRPr="005D143D">
        <w:rPr>
          <w:rFonts w:ascii="Arial" w:hAnsi="Arial" w:cs="Arial"/>
          <w:sz w:val="20"/>
        </w:rPr>
        <w:t>A</w:t>
      </w:r>
      <w:r w:rsidR="00963D3D">
        <w:rPr>
          <w:rFonts w:ascii="Arial" w:hAnsi="Arial" w:cs="Arial"/>
          <w:sz w:val="20"/>
        </w:rPr>
        <w:t>bstract</w:t>
      </w:r>
    </w:p>
    <w:p w14:paraId="0240AB0A" w14:textId="31798919" w:rsidR="00B45FD8" w:rsidRPr="006D0922" w:rsidRDefault="00B45FD8" w:rsidP="00B0374D">
      <w:pPr>
        <w:pStyle w:val="02Author"/>
        <w:spacing w:line="240" w:lineRule="auto"/>
        <w:jc w:val="left"/>
        <w:rPr>
          <w:rFonts w:ascii="Arial" w:hAnsi="Arial" w:cs="Arial"/>
          <w:sz w:val="20"/>
          <w:szCs w:val="20"/>
        </w:rPr>
      </w:pPr>
    </w:p>
    <w:p w14:paraId="05EE4094" w14:textId="4E70504F" w:rsidR="00AD2453" w:rsidRPr="006D0922" w:rsidRDefault="003C35AB" w:rsidP="002527FE">
      <w:pPr>
        <w:pStyle w:val="07paragraphs"/>
        <w:spacing w:after="0" w:line="240" w:lineRule="auto"/>
        <w:jc w:val="both"/>
        <w:rPr>
          <w:rFonts w:ascii="Arial" w:hAnsi="Arial" w:cs="Arial"/>
          <w:color w:val="FF0000"/>
          <w:sz w:val="20"/>
          <w:szCs w:val="20"/>
        </w:rPr>
      </w:pPr>
      <w:r w:rsidRPr="003C35AB">
        <w:rPr>
          <w:rFonts w:ascii="Arial" w:hAnsi="Arial" w:cs="Arial"/>
          <w:sz w:val="20"/>
        </w:rPr>
        <w:t>Significant amounts of energy are consumed in heating water for domestic, commercial</w:t>
      </w:r>
      <w:r w:rsidR="00FD710C">
        <w:rPr>
          <w:rFonts w:ascii="Arial" w:hAnsi="Arial" w:cs="Arial"/>
          <w:sz w:val="20"/>
        </w:rPr>
        <w:t>,</w:t>
      </w:r>
      <w:r w:rsidRPr="003C35AB">
        <w:rPr>
          <w:rFonts w:ascii="Arial" w:hAnsi="Arial" w:cs="Arial"/>
          <w:sz w:val="20"/>
        </w:rPr>
        <w:t xml:space="preserve"> and industrial activities. In addition, significant amounts of the energy transferred to water heating is still embedded in the wastewater discharged to the sewer and wastewater treatment systems</w:t>
      </w:r>
      <w:r w:rsidR="002527FE">
        <w:rPr>
          <w:rFonts w:ascii="Arial" w:hAnsi="Arial" w:cs="Arial"/>
          <w:sz w:val="20"/>
        </w:rPr>
        <w:t xml:space="preserve">. </w:t>
      </w:r>
      <w:r w:rsidR="002527FE" w:rsidRPr="002527FE">
        <w:rPr>
          <w:rFonts w:ascii="Arial" w:hAnsi="Arial" w:cs="Arial"/>
          <w:sz w:val="20"/>
          <w:szCs w:val="20"/>
        </w:rPr>
        <w:t xml:space="preserve">This paper examines the potential for wastewater heat recovery in the wastewater generated </w:t>
      </w:r>
      <w:r w:rsidR="00123F57">
        <w:rPr>
          <w:rFonts w:ascii="Arial" w:hAnsi="Arial" w:cs="Arial"/>
          <w:sz w:val="20"/>
          <w:szCs w:val="20"/>
        </w:rPr>
        <w:t xml:space="preserve">by </w:t>
      </w:r>
      <w:r w:rsidR="002527FE" w:rsidRPr="002527FE">
        <w:rPr>
          <w:rFonts w:ascii="Arial" w:hAnsi="Arial" w:cs="Arial"/>
          <w:sz w:val="20"/>
          <w:szCs w:val="20"/>
        </w:rPr>
        <w:t xml:space="preserve">the </w:t>
      </w:r>
      <w:r w:rsidR="002527FE">
        <w:rPr>
          <w:rFonts w:ascii="Arial" w:hAnsi="Arial" w:cs="Arial"/>
          <w:sz w:val="20"/>
          <w:szCs w:val="20"/>
        </w:rPr>
        <w:t>meat</w:t>
      </w:r>
      <w:r w:rsidR="002527FE" w:rsidRPr="002527FE">
        <w:rPr>
          <w:rFonts w:ascii="Arial" w:hAnsi="Arial" w:cs="Arial"/>
          <w:sz w:val="20"/>
          <w:szCs w:val="20"/>
        </w:rPr>
        <w:t xml:space="preserve"> processing </w:t>
      </w:r>
      <w:r w:rsidR="002527FE">
        <w:rPr>
          <w:rFonts w:ascii="Arial" w:hAnsi="Arial" w:cs="Arial"/>
          <w:sz w:val="20"/>
          <w:szCs w:val="20"/>
        </w:rPr>
        <w:t>industry</w:t>
      </w:r>
      <w:r w:rsidR="002527FE" w:rsidRPr="002527FE">
        <w:rPr>
          <w:rFonts w:ascii="Arial" w:hAnsi="Arial" w:cs="Arial"/>
          <w:sz w:val="20"/>
          <w:szCs w:val="20"/>
        </w:rPr>
        <w:t xml:space="preserve"> using two case study sites.</w:t>
      </w:r>
      <w:r w:rsidR="002527FE">
        <w:rPr>
          <w:rFonts w:ascii="Arial" w:hAnsi="Arial" w:cs="Arial"/>
          <w:sz w:val="20"/>
          <w:szCs w:val="20"/>
        </w:rPr>
        <w:t xml:space="preserve"> Temperature monitoring at these sites showed that wastewater in the inlet </w:t>
      </w:r>
      <w:r w:rsidR="00123F57">
        <w:rPr>
          <w:rFonts w:ascii="Arial" w:hAnsi="Arial" w:cs="Arial"/>
          <w:sz w:val="20"/>
          <w:szCs w:val="20"/>
        </w:rPr>
        <w:t>of</w:t>
      </w:r>
      <w:r w:rsidR="002527FE">
        <w:rPr>
          <w:rFonts w:ascii="Arial" w:hAnsi="Arial" w:cs="Arial"/>
          <w:sz w:val="20"/>
          <w:szCs w:val="20"/>
        </w:rPr>
        <w:t xml:space="preserve"> the on-site wastewater treatment plant</w:t>
      </w:r>
      <w:r w:rsidR="00123F57">
        <w:rPr>
          <w:rFonts w:ascii="Arial" w:hAnsi="Arial" w:cs="Arial"/>
          <w:sz w:val="20"/>
          <w:szCs w:val="20"/>
        </w:rPr>
        <w:t>s</w:t>
      </w:r>
      <w:r w:rsidR="002527FE">
        <w:rPr>
          <w:rFonts w:ascii="Arial" w:hAnsi="Arial" w:cs="Arial"/>
          <w:sz w:val="20"/>
          <w:szCs w:val="20"/>
        </w:rPr>
        <w:t xml:space="preserve"> could reach peak temperatures of up to 40</w:t>
      </w:r>
      <w:r w:rsidR="002527FE">
        <w:rPr>
          <w:rFonts w:ascii="Calibri" w:hAnsi="Calibri" w:cs="Calibri"/>
          <w:sz w:val="20"/>
          <w:szCs w:val="20"/>
        </w:rPr>
        <w:t>°</w:t>
      </w:r>
      <w:r w:rsidR="002527FE">
        <w:rPr>
          <w:rFonts w:ascii="Arial" w:hAnsi="Arial" w:cs="Arial"/>
          <w:sz w:val="20"/>
          <w:szCs w:val="20"/>
        </w:rPr>
        <w:t>C and around 30</w:t>
      </w:r>
      <w:r w:rsidR="002527FE">
        <w:rPr>
          <w:rFonts w:ascii="Calibri" w:hAnsi="Calibri" w:cs="Calibri"/>
          <w:sz w:val="20"/>
          <w:szCs w:val="20"/>
        </w:rPr>
        <w:t>°</w:t>
      </w:r>
      <w:r w:rsidR="002527FE">
        <w:rPr>
          <w:rFonts w:ascii="Arial" w:hAnsi="Arial" w:cs="Arial"/>
          <w:sz w:val="20"/>
          <w:szCs w:val="20"/>
        </w:rPr>
        <w:t xml:space="preserve">C on average. A </w:t>
      </w:r>
      <w:r w:rsidR="002527FE" w:rsidRPr="002527FE">
        <w:rPr>
          <w:rFonts w:ascii="Arial" w:hAnsi="Arial" w:cs="Arial"/>
          <w:sz w:val="20"/>
          <w:szCs w:val="20"/>
        </w:rPr>
        <w:t xml:space="preserve">pilot wastewater heat recovery system was developed and tested on-site for the potential to recover this </w:t>
      </w:r>
      <w:r w:rsidR="002527FE">
        <w:rPr>
          <w:rFonts w:ascii="Arial" w:hAnsi="Arial" w:cs="Arial"/>
          <w:sz w:val="20"/>
          <w:szCs w:val="20"/>
        </w:rPr>
        <w:t xml:space="preserve">heat using a demonstration unit that used existing technologies to </w:t>
      </w:r>
      <w:proofErr w:type="gramStart"/>
      <w:r w:rsidR="002527FE">
        <w:rPr>
          <w:rFonts w:ascii="Arial" w:hAnsi="Arial" w:cs="Arial"/>
          <w:sz w:val="20"/>
          <w:szCs w:val="20"/>
        </w:rPr>
        <w:t>directly and indirectly recover the heat</w:t>
      </w:r>
      <w:proofErr w:type="gramEnd"/>
      <w:r w:rsidR="002527FE">
        <w:rPr>
          <w:rFonts w:ascii="Arial" w:hAnsi="Arial" w:cs="Arial"/>
          <w:sz w:val="20"/>
          <w:szCs w:val="20"/>
        </w:rPr>
        <w:t xml:space="preserve"> in the wastewater. Initial testing showed that the largest quantity of heat recovery, up to </w:t>
      </w:r>
      <w:r w:rsidR="00591D7C">
        <w:rPr>
          <w:rFonts w:ascii="Arial" w:hAnsi="Arial" w:cs="Arial"/>
          <w:sz w:val="20"/>
          <w:szCs w:val="20"/>
        </w:rPr>
        <w:t>18.5kW using the demonstration unit’s direct heat exchange,</w:t>
      </w:r>
      <w:r w:rsidR="002527FE">
        <w:rPr>
          <w:rFonts w:ascii="Arial" w:hAnsi="Arial" w:cs="Arial"/>
          <w:sz w:val="20"/>
          <w:szCs w:val="20"/>
        </w:rPr>
        <w:t xml:space="preserve"> is available in the inlet of the treatment plant</w:t>
      </w:r>
      <w:r w:rsidR="00790119">
        <w:rPr>
          <w:rFonts w:ascii="Arial" w:hAnsi="Arial" w:cs="Arial"/>
          <w:sz w:val="20"/>
          <w:szCs w:val="20"/>
        </w:rPr>
        <w:t>;</w:t>
      </w:r>
      <w:r w:rsidR="002527FE">
        <w:rPr>
          <w:rFonts w:ascii="Arial" w:hAnsi="Arial" w:cs="Arial"/>
          <w:sz w:val="20"/>
          <w:szCs w:val="20"/>
        </w:rPr>
        <w:t xml:space="preserve"> but implementing a system in this location is challenging due to the high concentration of solids present in the wastewater. </w:t>
      </w:r>
      <w:r w:rsidR="00591D7C">
        <w:rPr>
          <w:rFonts w:ascii="Arial" w:hAnsi="Arial" w:cs="Arial"/>
          <w:sz w:val="20"/>
          <w:szCs w:val="20"/>
        </w:rPr>
        <w:t>Initial treatment of the wastewater with a dissolved air flotation tank reduces the solids significantly and subsequently reduces most of the operational issues at the cost of l</w:t>
      </w:r>
      <w:r w:rsidR="00790119">
        <w:rPr>
          <w:rFonts w:ascii="Arial" w:hAnsi="Arial" w:cs="Arial"/>
          <w:sz w:val="20"/>
          <w:szCs w:val="20"/>
        </w:rPr>
        <w:t>ower</w:t>
      </w:r>
      <w:r w:rsidR="00591D7C">
        <w:rPr>
          <w:rFonts w:ascii="Arial" w:hAnsi="Arial" w:cs="Arial"/>
          <w:sz w:val="20"/>
          <w:szCs w:val="20"/>
        </w:rPr>
        <w:t xml:space="preserve"> heat recovery. Additional testing showed that the consideration of feedwater temperatures</w:t>
      </w:r>
      <w:r w:rsidR="0023787A">
        <w:rPr>
          <w:rFonts w:ascii="Arial" w:hAnsi="Arial" w:cs="Arial"/>
          <w:sz w:val="20"/>
          <w:szCs w:val="20"/>
        </w:rPr>
        <w:t xml:space="preserve"> to be heated</w:t>
      </w:r>
      <w:r w:rsidR="00591D7C">
        <w:rPr>
          <w:rFonts w:ascii="Arial" w:hAnsi="Arial" w:cs="Arial"/>
          <w:sz w:val="20"/>
          <w:szCs w:val="20"/>
        </w:rPr>
        <w:t xml:space="preserve"> and novel heat exchanger design are also important to consider in future work in this area.  </w:t>
      </w:r>
      <w:r w:rsidR="002527FE">
        <w:rPr>
          <w:rFonts w:ascii="Arial" w:hAnsi="Arial" w:cs="Arial"/>
          <w:sz w:val="20"/>
          <w:szCs w:val="20"/>
        </w:rPr>
        <w:t xml:space="preserve"> </w:t>
      </w:r>
    </w:p>
    <w:p w14:paraId="20302C1C" w14:textId="28FEFFDF" w:rsidR="00B45FD8" w:rsidRPr="006D0922" w:rsidRDefault="00B45FD8" w:rsidP="00B0374D">
      <w:pPr>
        <w:pStyle w:val="02Author"/>
        <w:spacing w:line="240" w:lineRule="auto"/>
        <w:rPr>
          <w:rFonts w:ascii="Arial" w:hAnsi="Arial" w:cs="Arial"/>
          <w:sz w:val="20"/>
          <w:szCs w:val="20"/>
        </w:rPr>
      </w:pPr>
    </w:p>
    <w:p w14:paraId="7318FD6F" w14:textId="34B7EC51" w:rsidR="00AD2453" w:rsidRPr="009C2125" w:rsidRDefault="00AD2453" w:rsidP="009C2125">
      <w:pPr>
        <w:jc w:val="center"/>
        <w:rPr>
          <w:lang w:val="en-GB"/>
        </w:rPr>
      </w:pPr>
      <w:r w:rsidRPr="006D0922">
        <w:rPr>
          <w:rFonts w:cs="Arial"/>
          <w:b/>
        </w:rPr>
        <w:t>Keywords:</w:t>
      </w:r>
      <w:r w:rsidR="00FB002F">
        <w:rPr>
          <w:rFonts w:cs="Arial"/>
          <w:iCs/>
          <w:lang w:eastAsia="zh-CN"/>
        </w:rPr>
        <w:t xml:space="preserve"> </w:t>
      </w:r>
      <w:r w:rsidR="00FB002F">
        <w:rPr>
          <w:lang w:val="en-GB"/>
        </w:rPr>
        <w:t>Wa</w:t>
      </w:r>
      <w:r w:rsidR="00902FE1">
        <w:rPr>
          <w:lang w:val="en-GB"/>
        </w:rPr>
        <w:t>stewater</w:t>
      </w:r>
      <w:r w:rsidR="00EB2B07">
        <w:rPr>
          <w:lang w:val="en-GB"/>
        </w:rPr>
        <w:t xml:space="preserve"> heat recovery; </w:t>
      </w:r>
      <w:r w:rsidR="00902FE1">
        <w:rPr>
          <w:lang w:val="en-GB"/>
        </w:rPr>
        <w:t>D</w:t>
      </w:r>
      <w:r w:rsidR="00EB2B07">
        <w:rPr>
          <w:lang w:val="en-GB"/>
        </w:rPr>
        <w:t xml:space="preserve">rain water heat recovery; </w:t>
      </w:r>
      <w:r w:rsidR="00902FE1">
        <w:rPr>
          <w:lang w:val="en-GB"/>
        </w:rPr>
        <w:t>M</w:t>
      </w:r>
      <w:r w:rsidR="00EB2B07">
        <w:rPr>
          <w:lang w:val="en-GB"/>
        </w:rPr>
        <w:t xml:space="preserve">eat processing; </w:t>
      </w:r>
      <w:r w:rsidR="00902FE1">
        <w:rPr>
          <w:lang w:val="en-GB"/>
        </w:rPr>
        <w:t>D</w:t>
      </w:r>
      <w:r w:rsidR="00EB2B07">
        <w:rPr>
          <w:lang w:val="en-GB"/>
        </w:rPr>
        <w:t xml:space="preserve">issolved air flotation     </w:t>
      </w:r>
    </w:p>
    <w:p w14:paraId="20BF8306" w14:textId="1BD04928" w:rsidR="00B45FD8" w:rsidRPr="00FB002F" w:rsidRDefault="00B45FD8" w:rsidP="00B0374D">
      <w:pPr>
        <w:jc w:val="center"/>
        <w:rPr>
          <w:rFonts w:cs="Arial"/>
          <w:bCs/>
          <w:color w:val="FF0000"/>
          <w:lang w:val="en-GB"/>
        </w:rPr>
      </w:pPr>
    </w:p>
    <w:p w14:paraId="199CDD7B" w14:textId="77777777" w:rsidR="00DE5A54" w:rsidRDefault="00DE5A54" w:rsidP="00B0374D">
      <w:pPr>
        <w:jc w:val="center"/>
      </w:pPr>
    </w:p>
    <w:p w14:paraId="6E124A6E" w14:textId="2813C5ED" w:rsidR="004D57F4" w:rsidRPr="006D0922" w:rsidRDefault="004D57F4" w:rsidP="00B0374D">
      <w:pPr>
        <w:jc w:val="center"/>
        <w:sectPr w:rsidR="004D57F4" w:rsidRPr="006D0922" w:rsidSect="003A4C56">
          <w:headerReference w:type="even" r:id="rId12"/>
          <w:headerReference w:type="default" r:id="rId13"/>
          <w:footerReference w:type="even" r:id="rId14"/>
          <w:footerReference w:type="default" r:id="rId15"/>
          <w:headerReference w:type="first" r:id="rId16"/>
          <w:footerReference w:type="first" r:id="rId17"/>
          <w:pgSz w:w="11907" w:h="16840" w:code="9"/>
          <w:pgMar w:top="680" w:right="1021" w:bottom="907" w:left="1134" w:header="397" w:footer="567" w:gutter="0"/>
          <w:pgNumType w:start="1"/>
          <w:cols w:space="720"/>
          <w:noEndnote/>
          <w:titlePg/>
          <w:docGrid w:linePitch="272"/>
        </w:sectPr>
      </w:pPr>
    </w:p>
    <w:p w14:paraId="532292D3" w14:textId="1EB17483" w:rsidR="00CD23DF" w:rsidRPr="00DE5A54" w:rsidRDefault="0032329A" w:rsidP="00B0374D">
      <w:pPr>
        <w:pStyle w:val="06NumeratedHeading1"/>
        <w:numPr>
          <w:ilvl w:val="0"/>
          <w:numId w:val="18"/>
        </w:numPr>
        <w:tabs>
          <w:tab w:val="clear" w:pos="425"/>
          <w:tab w:val="left" w:pos="284"/>
        </w:tabs>
        <w:spacing w:before="0" w:after="0" w:line="240" w:lineRule="auto"/>
        <w:rPr>
          <w:rFonts w:ascii="Arial" w:hAnsi="Arial" w:cs="Arial"/>
          <w:color w:val="FF0000"/>
          <w:sz w:val="20"/>
        </w:rPr>
      </w:pPr>
      <w:r w:rsidRPr="002C5647">
        <w:rPr>
          <w:rFonts w:ascii="Arial" w:hAnsi="Arial" w:cs="Arial"/>
          <w:sz w:val="20"/>
        </w:rPr>
        <w:t>INTRODUCTION</w:t>
      </w:r>
    </w:p>
    <w:p w14:paraId="11564C19" w14:textId="7B0142FA" w:rsidR="00411C7A" w:rsidRPr="006D0922" w:rsidRDefault="00411C7A" w:rsidP="00B0374D">
      <w:pPr>
        <w:pStyle w:val="02Author"/>
        <w:spacing w:line="240" w:lineRule="auto"/>
        <w:rPr>
          <w:rFonts w:ascii="Arial" w:hAnsi="Arial" w:cs="Arial"/>
          <w:sz w:val="20"/>
          <w:szCs w:val="20"/>
        </w:rPr>
      </w:pPr>
    </w:p>
    <w:p w14:paraId="1C3644CE" w14:textId="0035BDA9" w:rsidR="008B1DEA" w:rsidRDefault="005D143D" w:rsidP="00B0374D">
      <w:pPr>
        <w:pStyle w:val="07paragraphs"/>
        <w:tabs>
          <w:tab w:val="clear" w:pos="357"/>
          <w:tab w:val="left" w:pos="426"/>
        </w:tabs>
        <w:spacing w:after="0" w:line="240" w:lineRule="auto"/>
        <w:rPr>
          <w:rFonts w:ascii="Arial" w:hAnsi="Arial" w:cs="Arial"/>
          <w:sz w:val="20"/>
        </w:rPr>
      </w:pPr>
      <w:r>
        <w:rPr>
          <w:rFonts w:ascii="Arial" w:hAnsi="Arial" w:cs="Arial"/>
          <w:sz w:val="20"/>
        </w:rPr>
        <w:tab/>
      </w:r>
      <w:r w:rsidR="00081067" w:rsidRPr="00081067">
        <w:rPr>
          <w:rFonts w:ascii="Arial" w:hAnsi="Arial" w:cs="Arial"/>
          <w:sz w:val="20"/>
        </w:rPr>
        <w:t>There are growing financial and environmental pressures on heating energy with only around 23% of the overall heating in the European Union (EU) coming from renewable sources and increasing concerns around the supply and costs of fossil fuels</w:t>
      </w:r>
      <w:r w:rsidR="005D5893">
        <w:rPr>
          <w:rFonts w:ascii="Arial" w:hAnsi="Arial" w:cs="Arial"/>
          <w:sz w:val="20"/>
        </w:rPr>
        <w:t xml:space="preserve"> </w:t>
      </w:r>
      <w:r w:rsidR="005D5893">
        <w:rPr>
          <w:rFonts w:ascii="Arial" w:hAnsi="Arial" w:cs="Arial"/>
          <w:sz w:val="20"/>
        </w:rPr>
        <w:fldChar w:fldCharType="begin"/>
      </w:r>
      <w:r w:rsidR="004269DF">
        <w:rPr>
          <w:rFonts w:ascii="Arial" w:hAnsi="Arial" w:cs="Arial"/>
          <w:sz w:val="20"/>
        </w:rPr>
        <w:instrText xml:space="preserve"> ADDIN ZOTERO_ITEM CSL_CITATION {"citationID":"9E5qi5uq","properties":{"formattedCitation":"(Eurostat, 2020)","plainCitation":"(Eurostat, 2020)","noteIndex":0},"citationItems":[{"id":410,"uris":["http://zotero.org/users/6979584/items/K3LRM2TZ"],"itemData":{"id":410,"type":"webpage","abstract":"In 2019, renewable energy accounted for 22.1% of total energy use for heating and cooling in the EU. The EU share of energy from renewable sources for heating and cooling (households, industrial processes, hospitals, schools, etc.) almost doubled, from 11.7% in 2004 to 22.1% in 2019. Among the EU Member States, the share of energy from renewable sources in heating and cooling was more than half in Sweden (66.1%), Latvia (57.8%), Finland (57.5%) and Estonia (52.3%). At the other side of the scale, the EU Member States with a share of energy from renewable sources in heating and cooling of less than 10% were Ireland (6.3%), the Netherlands (7.1%), Belgium (8.3%) and Luxembourg (8.7%). Iceland recorded a very high share of energy from renewable sources in heating and cooling (79.4%). Source dataset: Eurostat nrg_ind_ren Compared with 2018, the EU share of energy from renewable sources in heating and cooling recorded an increase in 2019, from 21.2% to 22.1%. Twenty EU Member States registered increases, with the highest registered in Slovakia (from 10.6% to 19.7%), Finland (from 54.6% to 57.5%) and Denmark (from 45.5% to 48.0%). For more information, take a look at the Statistics Explained article on Renewable energy statistics. Note: The European Union (EU) includes 27 EU Member States. The United Kingdom left the European Union on 31 January 2020. Further information is published here.   To contact us, please visit our User Support page. For press queries, please contact our Media Support.","language":"en-GB","title":"Just over 20% of energy used for heating and cooling is renewable","URL":"https://ec.europa.eu/eurostat/web/products-eurostat-news/-/ddn-20201229-1","author":[{"literal":"Eurostat"}],"accessed":{"date-parts":[["2021",4,20]]},"issued":{"date-parts":[["2020"]]}}}],"schema":"https://github.com/citation-style-language/schema/raw/master/csl-citation.json"} </w:instrText>
      </w:r>
      <w:r w:rsidR="005D5893">
        <w:rPr>
          <w:rFonts w:ascii="Arial" w:hAnsi="Arial" w:cs="Arial"/>
          <w:sz w:val="20"/>
        </w:rPr>
        <w:fldChar w:fldCharType="separate"/>
      </w:r>
      <w:r w:rsidR="005D5893" w:rsidRPr="005D5893">
        <w:rPr>
          <w:rFonts w:ascii="Arial" w:hAnsi="Arial" w:cs="Arial"/>
          <w:sz w:val="20"/>
        </w:rPr>
        <w:t>(Eurostat, 2020)</w:t>
      </w:r>
      <w:r w:rsidR="005D5893">
        <w:rPr>
          <w:rFonts w:ascii="Arial" w:hAnsi="Arial" w:cs="Arial"/>
          <w:sz w:val="20"/>
        </w:rPr>
        <w:fldChar w:fldCharType="end"/>
      </w:r>
      <w:r w:rsidR="00081067" w:rsidRPr="00081067">
        <w:rPr>
          <w:rFonts w:ascii="Arial" w:hAnsi="Arial" w:cs="Arial"/>
          <w:sz w:val="20"/>
        </w:rPr>
        <w:t xml:space="preserve">. The significant embedded heat in wastewater has been </w:t>
      </w:r>
      <w:proofErr w:type="spellStart"/>
      <w:r w:rsidR="00081067" w:rsidRPr="00081067">
        <w:rPr>
          <w:rFonts w:ascii="Arial" w:hAnsi="Arial" w:cs="Arial"/>
          <w:sz w:val="20"/>
        </w:rPr>
        <w:t>recognised</w:t>
      </w:r>
      <w:proofErr w:type="spellEnd"/>
      <w:r w:rsidR="00081067" w:rsidRPr="00081067">
        <w:rPr>
          <w:rFonts w:ascii="Arial" w:hAnsi="Arial" w:cs="Arial"/>
          <w:sz w:val="20"/>
        </w:rPr>
        <w:t xml:space="preserve"> for some time and has resulted in the declaration of wastewater as a renewable source of heat by the EU </w:t>
      </w:r>
      <w:r w:rsidR="008573DB">
        <w:rPr>
          <w:rFonts w:ascii="Arial" w:hAnsi="Arial" w:cs="Arial"/>
          <w:sz w:val="20"/>
        </w:rPr>
        <w:fldChar w:fldCharType="begin"/>
      </w:r>
      <w:r w:rsidR="004269DF">
        <w:rPr>
          <w:rFonts w:ascii="Arial" w:hAnsi="Arial" w:cs="Arial"/>
          <w:sz w:val="20"/>
        </w:rPr>
        <w:instrText xml:space="preserve"> ADDIN ZOTERO_ITEM CSL_CITATION {"citationID":"zKdtbJcz","properties":{"formattedCitation":"(Garcia Pardo et al., 2012)","plainCitation":"(Garcia Pardo et al., 2012)","noteIndex":0},"citationItems":[{"id":379,"uris":["http://zotero.org/users/6979584/items/XRRV4UCG"],"itemData":{"id":379,"type":"report","abstract":"Every year, over 40% of the total energy consumed in Europe is used for the generation of heat for either domestic or industrial purposes whereas the cooling demand is growing exponentially. The importance of the heat and cooling sector is underlined in the EU energy policy initiatives. This emphasize the role of technologies based on renewable energy sources combined with highefficiency energy technologies, to meet the heat and cooling demand in Europe more sustainably in the future. In this context, the JRC led study, which was undertaken with two partners1, to identify the current best available technologies (BATs) which can contribute to improve the energy efficiency and reduce the CO2 emission in the heat and cooling market in the EU.","call-number":"LD-NA-25407-EN-N","event-place":"LU","language":"eng","publisher":"Publications Office of the European Union","publisher-place":"LU","source":"Publications Office of the European Union","title":"Best available technologies for the heat and cooling market in the European Union","URL":"https://data.europa.eu/doi/10.2790/5813","author":[{"family":"Garcia Pardo","given":"Nicolas"},{"family":"Vatopoulos","given":"Kostantinos"},{"family":"Krook Riekola","given":"Anna"},{"family":"Perez Lopez","given":"Alicia"},{"family":"Olsen","given":"Lars"}],"accessed":{"date-parts":[["2021",8,26]]},"issued":{"date-parts":[["2012"]]}}}],"schema":"https://github.com/citation-style-language/schema/raw/master/csl-citation.json"} </w:instrText>
      </w:r>
      <w:r w:rsidR="008573DB">
        <w:rPr>
          <w:rFonts w:ascii="Arial" w:hAnsi="Arial" w:cs="Arial"/>
          <w:sz w:val="20"/>
        </w:rPr>
        <w:fldChar w:fldCharType="separate"/>
      </w:r>
      <w:r w:rsidR="00094C6F" w:rsidRPr="00094C6F">
        <w:rPr>
          <w:rFonts w:ascii="Arial" w:hAnsi="Arial" w:cs="Arial"/>
          <w:sz w:val="20"/>
        </w:rPr>
        <w:t>(Garcia Pardo et al., 2012)</w:t>
      </w:r>
      <w:r w:rsidR="008573DB">
        <w:rPr>
          <w:rFonts w:ascii="Arial" w:hAnsi="Arial" w:cs="Arial"/>
          <w:sz w:val="20"/>
        </w:rPr>
        <w:fldChar w:fldCharType="end"/>
      </w:r>
      <w:r w:rsidR="00081067" w:rsidRPr="00081067">
        <w:rPr>
          <w:rFonts w:ascii="Arial" w:hAnsi="Arial" w:cs="Arial"/>
          <w:sz w:val="20"/>
        </w:rPr>
        <w:t xml:space="preserve">. </w:t>
      </w:r>
      <w:r w:rsidR="0096713A">
        <w:rPr>
          <w:rFonts w:ascii="Arial" w:hAnsi="Arial" w:cs="Arial"/>
          <w:sz w:val="20"/>
        </w:rPr>
        <w:t xml:space="preserve">Around </w:t>
      </w:r>
      <w:r w:rsidR="005D7793">
        <w:rPr>
          <w:rFonts w:ascii="Arial" w:hAnsi="Arial" w:cs="Arial"/>
          <w:sz w:val="20"/>
        </w:rPr>
        <w:t>15-30</w:t>
      </w:r>
      <w:r w:rsidR="0096713A">
        <w:rPr>
          <w:rFonts w:ascii="Arial" w:hAnsi="Arial" w:cs="Arial"/>
          <w:sz w:val="20"/>
        </w:rPr>
        <w:t>% of the</w:t>
      </w:r>
      <w:r w:rsidR="005D7793">
        <w:rPr>
          <w:rFonts w:ascii="Arial" w:hAnsi="Arial" w:cs="Arial"/>
          <w:sz w:val="20"/>
        </w:rPr>
        <w:t xml:space="preserve"> </w:t>
      </w:r>
      <w:r w:rsidR="00F216BE">
        <w:rPr>
          <w:rFonts w:ascii="Arial" w:hAnsi="Arial" w:cs="Arial"/>
          <w:sz w:val="20"/>
        </w:rPr>
        <w:t xml:space="preserve">energy </w:t>
      </w:r>
      <w:r w:rsidR="005D7793">
        <w:rPr>
          <w:rFonts w:ascii="Arial" w:hAnsi="Arial" w:cs="Arial"/>
          <w:sz w:val="20"/>
        </w:rPr>
        <w:t xml:space="preserve">used in a </w:t>
      </w:r>
      <w:r w:rsidR="006C2DF2">
        <w:rPr>
          <w:rFonts w:ascii="Arial" w:hAnsi="Arial" w:cs="Arial"/>
          <w:sz w:val="20"/>
        </w:rPr>
        <w:t xml:space="preserve">building is lost through </w:t>
      </w:r>
      <w:r w:rsidR="0096713A">
        <w:rPr>
          <w:rFonts w:ascii="Arial" w:hAnsi="Arial" w:cs="Arial"/>
          <w:sz w:val="20"/>
        </w:rPr>
        <w:t xml:space="preserve">wastewater </w:t>
      </w:r>
      <w:r w:rsidR="006C2DF2">
        <w:rPr>
          <w:rFonts w:ascii="Arial" w:hAnsi="Arial" w:cs="Arial"/>
          <w:sz w:val="20"/>
        </w:rPr>
        <w:t xml:space="preserve">discharged to sewers </w:t>
      </w:r>
      <w:r w:rsidR="00CD0454">
        <w:rPr>
          <w:rFonts w:ascii="Arial" w:hAnsi="Arial" w:cs="Arial"/>
          <w:sz w:val="20"/>
        </w:rPr>
        <w:t>after use</w:t>
      </w:r>
      <w:r w:rsidR="00942345">
        <w:rPr>
          <w:rFonts w:ascii="Arial" w:hAnsi="Arial" w:cs="Arial"/>
          <w:sz w:val="20"/>
        </w:rPr>
        <w:t xml:space="preserve"> for various purposes</w:t>
      </w:r>
      <w:r w:rsidR="00CD0454">
        <w:rPr>
          <w:rFonts w:ascii="Arial" w:hAnsi="Arial" w:cs="Arial"/>
          <w:sz w:val="20"/>
        </w:rPr>
        <w:t xml:space="preserve"> </w:t>
      </w:r>
      <w:r w:rsidR="006C2DF2">
        <w:rPr>
          <w:rFonts w:ascii="Arial" w:hAnsi="Arial" w:cs="Arial"/>
          <w:sz w:val="20"/>
        </w:rPr>
        <w:fldChar w:fldCharType="begin"/>
      </w:r>
      <w:r w:rsidR="006C2DF2">
        <w:rPr>
          <w:rFonts w:ascii="Arial" w:hAnsi="Arial" w:cs="Arial"/>
          <w:sz w:val="20"/>
        </w:rPr>
        <w:instrText xml:space="preserve"> ADDIN ZOTERO_ITEM CSL_CITATION {"citationID":"u5D1MECn","properties":{"formattedCitation":"(Spriet and Hendrick, 2017)","plainCitation":"(Spriet and Hendrick, 2017)","noteIndex":0},"citationItems":[{"id":39,"uris":["http://zotero.org/users/6979584/items/XTPJS3RI"],"itemData":{"id":39,"type":"article-journal","abstract":"A large part of the thermal energy in buildings is lost through the drain and ends up as warm wastewater in the sewer system. The installation of heat exchangers in the sewer system enables a rise of the source temperature of heat pumps,...","container-title":"Journal of Sustainable Development of Energy, Water and Environment Systems","DOI":"10.13044/j.sdewes.d5.0148","issue":"3","language":"en","note":"publisher: Međunarodni centar za održivi razvoj, energetike, voda i okoliša","page":"289-308","source":"hrcak.srce.hr","title":"Wastewater as a Heat Source for Individual Residence Heating: A Techno-economic Feasibility Study in the Brussels Capital Region","title-short":"Wastewater as a Heat Source for Individual Residence Heating","volume":"5","author":[{"family":"Spriet","given":"Jan"},{"family":"Hendrick","given":"Patrick"}],"issued":{"date-parts":[["2017",9,30]]}}}],"schema":"https://github.com/citation-style-language/schema/raw/master/csl-citation.json"} </w:instrText>
      </w:r>
      <w:r w:rsidR="006C2DF2">
        <w:rPr>
          <w:rFonts w:ascii="Arial" w:hAnsi="Arial" w:cs="Arial"/>
          <w:sz w:val="20"/>
        </w:rPr>
        <w:fldChar w:fldCharType="separate"/>
      </w:r>
      <w:r w:rsidR="006C2DF2" w:rsidRPr="006C2DF2">
        <w:rPr>
          <w:rFonts w:ascii="Arial" w:hAnsi="Arial" w:cs="Arial"/>
          <w:sz w:val="20"/>
        </w:rPr>
        <w:t>(Spriet and Hendrick, 2017)</w:t>
      </w:r>
      <w:r w:rsidR="006C2DF2">
        <w:rPr>
          <w:rFonts w:ascii="Arial" w:hAnsi="Arial" w:cs="Arial"/>
          <w:sz w:val="20"/>
        </w:rPr>
        <w:fldChar w:fldCharType="end"/>
      </w:r>
      <w:r w:rsidR="00CD0454">
        <w:rPr>
          <w:rFonts w:ascii="Arial" w:hAnsi="Arial" w:cs="Arial"/>
          <w:sz w:val="20"/>
        </w:rPr>
        <w:t>. This</w:t>
      </w:r>
      <w:r w:rsidR="004F7DB3">
        <w:rPr>
          <w:rFonts w:ascii="Arial" w:hAnsi="Arial" w:cs="Arial"/>
          <w:sz w:val="20"/>
        </w:rPr>
        <w:t xml:space="preserve"> result</w:t>
      </w:r>
      <w:r w:rsidR="00CD0454">
        <w:rPr>
          <w:rFonts w:ascii="Arial" w:hAnsi="Arial" w:cs="Arial"/>
          <w:sz w:val="20"/>
        </w:rPr>
        <w:t>s</w:t>
      </w:r>
      <w:r w:rsidR="004F7DB3">
        <w:rPr>
          <w:rFonts w:ascii="Arial" w:hAnsi="Arial" w:cs="Arial"/>
          <w:sz w:val="20"/>
        </w:rPr>
        <w:t xml:space="preserve"> in a </w:t>
      </w:r>
      <w:r w:rsidR="00D83FFD">
        <w:rPr>
          <w:rFonts w:ascii="Arial" w:hAnsi="Arial" w:cs="Arial"/>
          <w:sz w:val="20"/>
        </w:rPr>
        <w:t>significant loss of heat considering the energy expended on heating water</w:t>
      </w:r>
      <w:r w:rsidR="002F3554">
        <w:rPr>
          <w:rFonts w:ascii="Arial" w:hAnsi="Arial" w:cs="Arial"/>
          <w:sz w:val="20"/>
        </w:rPr>
        <w:t xml:space="preserve">, </w:t>
      </w:r>
      <w:r w:rsidR="00945D8D">
        <w:rPr>
          <w:rFonts w:ascii="Arial" w:hAnsi="Arial" w:cs="Arial"/>
          <w:sz w:val="20"/>
        </w:rPr>
        <w:t xml:space="preserve">which can be in the range of </w:t>
      </w:r>
      <w:r w:rsidR="002F3554">
        <w:rPr>
          <w:rFonts w:ascii="Arial" w:hAnsi="Arial" w:cs="Arial"/>
          <w:sz w:val="20"/>
        </w:rPr>
        <w:t xml:space="preserve">around </w:t>
      </w:r>
      <w:r w:rsidR="00945D8D">
        <w:rPr>
          <w:rFonts w:ascii="Arial" w:hAnsi="Arial" w:cs="Arial"/>
          <w:sz w:val="20"/>
        </w:rPr>
        <w:t>600</w:t>
      </w:r>
      <w:r w:rsidR="002F3554">
        <w:rPr>
          <w:rFonts w:ascii="Arial" w:hAnsi="Arial" w:cs="Arial"/>
          <w:sz w:val="20"/>
        </w:rPr>
        <w:t xml:space="preserve"> GWh</w:t>
      </w:r>
      <w:r w:rsidR="00484D70">
        <w:rPr>
          <w:rFonts w:ascii="Arial" w:hAnsi="Arial" w:cs="Arial"/>
          <w:sz w:val="20"/>
        </w:rPr>
        <w:t>/</w:t>
      </w:r>
      <w:proofErr w:type="spellStart"/>
      <w:r w:rsidR="00484D70">
        <w:rPr>
          <w:rFonts w:ascii="Arial" w:hAnsi="Arial" w:cs="Arial"/>
          <w:sz w:val="20"/>
        </w:rPr>
        <w:t>yr</w:t>
      </w:r>
      <w:proofErr w:type="spellEnd"/>
      <w:r w:rsidR="002F3554">
        <w:rPr>
          <w:rFonts w:ascii="Arial" w:hAnsi="Arial" w:cs="Arial"/>
          <w:sz w:val="20"/>
        </w:rPr>
        <w:t xml:space="preserve"> </w:t>
      </w:r>
      <w:r w:rsidR="003F41DB">
        <w:rPr>
          <w:rFonts w:ascii="Arial" w:hAnsi="Arial" w:cs="Arial"/>
          <w:sz w:val="20"/>
        </w:rPr>
        <w:t xml:space="preserve">heat lost to sewers </w:t>
      </w:r>
      <w:r w:rsidR="002F3554">
        <w:rPr>
          <w:rFonts w:ascii="Arial" w:hAnsi="Arial" w:cs="Arial"/>
          <w:sz w:val="20"/>
        </w:rPr>
        <w:t xml:space="preserve">in </w:t>
      </w:r>
      <w:r w:rsidR="00945D8D">
        <w:rPr>
          <w:rFonts w:ascii="Arial" w:hAnsi="Arial" w:cs="Arial"/>
          <w:sz w:val="20"/>
        </w:rPr>
        <w:t>Switzerland</w:t>
      </w:r>
      <w:r w:rsidR="003F41DB">
        <w:rPr>
          <w:rFonts w:ascii="Arial" w:hAnsi="Arial" w:cs="Arial"/>
          <w:sz w:val="20"/>
        </w:rPr>
        <w:t xml:space="preserve"> alone </w:t>
      </w:r>
      <w:r w:rsidR="00256724">
        <w:rPr>
          <w:rFonts w:ascii="Arial" w:hAnsi="Arial" w:cs="Arial"/>
          <w:sz w:val="20"/>
        </w:rPr>
        <w:fldChar w:fldCharType="begin"/>
      </w:r>
      <w:r w:rsidR="00256724">
        <w:rPr>
          <w:rFonts w:ascii="Arial" w:hAnsi="Arial" w:cs="Arial"/>
          <w:sz w:val="20"/>
        </w:rPr>
        <w:instrText xml:space="preserve"> ADDIN ZOTERO_ITEM CSL_CITATION {"citationID":"43ShMxnS","properties":{"formattedCitation":"(Nagpal et al., 2021)","plainCitation":"(Nagpal et al., 2021)","noteIndex":0},"citationItems":[{"id":393,"uris":["http://zotero.org/users/6979584/items/W55HWE4Z"],"itemData":{"id":393,"type":"article-journal","abstract":"The EU Directive 2018/2001 recognized wastewater as a renewable heat source. Wastewater from domestic, industrial and commercial developments maintains considerable amounts of thermal energy after discharging into the sewer system. It is possible to recover this heat by using technologies like heat exchangers and heat pumps; and to reuse it to satisfy heating demands. This paper presents a review of the literature on wastewater heat recovery (WWHR) and its potential at different scales within the sewer system, including the component level, building level, sewer pipe network level, and wastewater treatment plant (WWTP) level. A systematic review is provided of the benefits and challenges of WWHR across each of these levels taking into consideration technical, economic and environmental aspects. This study analyzes important attributes of WWHR such as temperature and flow dynamics of the sewer system, impacts of WWHR on the environment, and legal regulations involved. Existing gaps in the WWHR field are also identified. It is concluded that WWHR has a significant potential to supply clean energy at a scale ranging from buildings to large communities and districts. Further attention to WWHR is needed from the research community, policymakers and other stakeholders to realize the full potential of this valuable renewable heat source.","container-title":"Water","DOI":"10.3390/w13091274","issue":"9","language":"en","license":"http://creativecommons.org/licenses/by/3.0/","note":"number: 9\npublisher: Multidisciplinary Digital Publishing Institute","page":"1274","source":"www.mdpi.com","title":"Heat Recovery from Wastewater—A Review of Available Resource","volume":"13","author":[{"family":"Nagpal","given":"Himanshu"},{"family":"Spriet","given":"Jan"},{"family":"Murali","given":"Madhu Krishna"},{"family":"McNabola","given":"Aonghus"}],"issued":{"date-parts":[["2021",1]]}}}],"schema":"https://github.com/citation-style-language/schema/raw/master/csl-citation.json"} </w:instrText>
      </w:r>
      <w:r w:rsidR="00256724">
        <w:rPr>
          <w:rFonts w:ascii="Arial" w:hAnsi="Arial" w:cs="Arial"/>
          <w:sz w:val="20"/>
        </w:rPr>
        <w:fldChar w:fldCharType="separate"/>
      </w:r>
      <w:r w:rsidR="00256724" w:rsidRPr="00256724">
        <w:rPr>
          <w:rFonts w:ascii="Arial" w:hAnsi="Arial" w:cs="Arial"/>
          <w:sz w:val="20"/>
        </w:rPr>
        <w:t>(Nagpal et al., 2021)</w:t>
      </w:r>
      <w:r w:rsidR="00256724">
        <w:rPr>
          <w:rFonts w:ascii="Arial" w:hAnsi="Arial" w:cs="Arial"/>
          <w:sz w:val="20"/>
        </w:rPr>
        <w:fldChar w:fldCharType="end"/>
      </w:r>
      <w:r w:rsidR="002F3554">
        <w:rPr>
          <w:rFonts w:ascii="Arial" w:hAnsi="Arial" w:cs="Arial"/>
          <w:sz w:val="20"/>
        </w:rPr>
        <w:t>.</w:t>
      </w:r>
      <w:r w:rsidR="00383944">
        <w:rPr>
          <w:rFonts w:ascii="Arial" w:hAnsi="Arial" w:cs="Arial"/>
          <w:sz w:val="20"/>
        </w:rPr>
        <w:t xml:space="preserve"> </w:t>
      </w:r>
      <w:r w:rsidR="00EA100B">
        <w:rPr>
          <w:rFonts w:ascii="Arial" w:hAnsi="Arial" w:cs="Arial"/>
          <w:sz w:val="20"/>
        </w:rPr>
        <w:t xml:space="preserve">Some of this lost heat can be recovered from wastewater using the process of </w:t>
      </w:r>
      <w:r w:rsidR="00081067" w:rsidRPr="00081067">
        <w:rPr>
          <w:rFonts w:ascii="Arial" w:hAnsi="Arial" w:cs="Arial"/>
          <w:sz w:val="20"/>
        </w:rPr>
        <w:t>Wastewater Heat Recovery (WWHR)</w:t>
      </w:r>
      <w:r w:rsidR="00256724">
        <w:rPr>
          <w:rFonts w:ascii="Arial" w:hAnsi="Arial" w:cs="Arial"/>
          <w:sz w:val="20"/>
        </w:rPr>
        <w:t>.</w:t>
      </w:r>
    </w:p>
    <w:p w14:paraId="1485F899" w14:textId="5BBCC823" w:rsidR="00B85B84" w:rsidRPr="00B85B84" w:rsidRDefault="007E6A8C" w:rsidP="00B85B84">
      <w:pPr>
        <w:pStyle w:val="07paragraphs"/>
        <w:tabs>
          <w:tab w:val="clear" w:pos="357"/>
          <w:tab w:val="left" w:pos="426"/>
        </w:tabs>
        <w:spacing w:after="0" w:line="240" w:lineRule="auto"/>
        <w:rPr>
          <w:rFonts w:ascii="Arial" w:hAnsi="Arial" w:cs="Arial"/>
          <w:sz w:val="20"/>
        </w:rPr>
      </w:pPr>
      <w:r>
        <w:rPr>
          <w:rFonts w:ascii="Arial" w:hAnsi="Arial" w:cs="Arial"/>
          <w:sz w:val="20"/>
        </w:rPr>
        <w:tab/>
      </w:r>
      <w:r w:rsidR="00081067" w:rsidRPr="00081067">
        <w:rPr>
          <w:rFonts w:ascii="Arial" w:hAnsi="Arial" w:cs="Arial"/>
          <w:sz w:val="20"/>
        </w:rPr>
        <w:t>WWHR</w:t>
      </w:r>
      <w:r w:rsidR="009D7527">
        <w:rPr>
          <w:rFonts w:ascii="Arial" w:hAnsi="Arial" w:cs="Arial"/>
          <w:sz w:val="20"/>
        </w:rPr>
        <w:t xml:space="preserve"> can be performed on wastewater that originates from household, commercial</w:t>
      </w:r>
      <w:r w:rsidR="00995E46">
        <w:rPr>
          <w:rFonts w:ascii="Arial" w:hAnsi="Arial" w:cs="Arial"/>
          <w:sz w:val="20"/>
        </w:rPr>
        <w:t>, and industrial uses. Previous research has found that while WWHR is not likely to be financially viable in the household-scale</w:t>
      </w:r>
      <w:r w:rsidR="004269DF">
        <w:rPr>
          <w:rFonts w:ascii="Arial" w:hAnsi="Arial" w:cs="Arial"/>
          <w:sz w:val="20"/>
        </w:rPr>
        <w:t xml:space="preserve"> </w:t>
      </w:r>
      <w:r w:rsidR="004269DF">
        <w:rPr>
          <w:rFonts w:ascii="Arial" w:hAnsi="Arial" w:cs="Arial"/>
          <w:sz w:val="20"/>
        </w:rPr>
        <w:fldChar w:fldCharType="begin"/>
      </w:r>
      <w:r w:rsidR="004269DF">
        <w:rPr>
          <w:rFonts w:ascii="Arial" w:hAnsi="Arial" w:cs="Arial"/>
          <w:sz w:val="20"/>
        </w:rPr>
        <w:instrText xml:space="preserve"> ADDIN ZOTERO_ITEM CSL_CITATION {"citationID":"2gU17jlH","properties":{"formattedCitation":"(Spriet and McNabola, 2019)","plainCitation":"(Spriet and McNabola, 2019)","noteIndex":0},"citationItems":[{"id":76,"uris":["http://zotero.org/users/6979584/items/I7VJPMHP"],"itemData":{"id":76,"type":"article-journal","abstract":"Temporal mismatches between heat provided by a drain water heat recovery system, and heat consumption are, although often disregarded in literature, a crucial factor in assessing the feasibility of the former. Generally, the only available information for residences is the average monthly consumption. The probabilistic method described in this paper uses observations from 113 residences to predict daily and monthly consumption profiles, using monthly consumption as a starting point. These profiles were then used to study the operation of a drain water heat recovery system, but can also be used to assess the operation of other heating methods where the supply is not controlled, such as solar thermal. The operation of the drain water heat recovery systems was predicted based on a monitoring campaign at 3 residences, measuring wastewater temperature and flow at 5-minute intervals, for over a 1-year period. The performance of this system was assessed using the performance data of 26 commercially available heat pumps, with rated power below 7 kW. The method was applied to a theoretical average Irish residence, obtained through a Monte Carlo analysis on just under 700 000 Irish residences. The method highlighted the potential for a reduction in heating related greenhouse gas emissions by 7.6% to 22%. However, this increased heating costs by 120% to 130%. At current traditional heating prices, the DWHR system for a single residence is not financially competitive with traditional systems, due to its significant capital investment. Further research should examine combining waste water streams from different residences to provide a larger flow, and potentially a high recoverable energy volume, thus improving financial viability. Policy makers should also consider incentivizing DWHR to improve its financial competitiveness and help achieve the above GHG emissions savings.","container-title":"Energy and Buildings","DOI":"10.1016/j.enbuild.2018.11.036","ISSN":"0378-7788","journalAbbreviation":"Energy and Buildings","language":"en","page":"684-696","source":"ScienceDirect","title":"Decentralized drain water heat recovery: A probabilistic method for prediction of wastewater and heating system interaction","title-short":"Decentralized drain water heat recovery","volume":"183","author":[{"family":"Spriet","given":"Jan"},{"family":"McNabola","given":"Aonghus"}],"issued":{"date-parts":[["2019",1,15]]}}}],"schema":"https://github.com/citation-style-language/schema/raw/master/csl-citation.json"} </w:instrText>
      </w:r>
      <w:r w:rsidR="004269DF">
        <w:rPr>
          <w:rFonts w:ascii="Arial" w:hAnsi="Arial" w:cs="Arial"/>
          <w:sz w:val="20"/>
        </w:rPr>
        <w:fldChar w:fldCharType="separate"/>
      </w:r>
      <w:r w:rsidR="004269DF" w:rsidRPr="004269DF">
        <w:rPr>
          <w:rFonts w:ascii="Arial" w:hAnsi="Arial" w:cs="Arial"/>
          <w:sz w:val="20"/>
        </w:rPr>
        <w:t>(Spriet and McNabola, 2019)</w:t>
      </w:r>
      <w:r w:rsidR="004269DF">
        <w:rPr>
          <w:rFonts w:ascii="Arial" w:hAnsi="Arial" w:cs="Arial"/>
          <w:sz w:val="20"/>
        </w:rPr>
        <w:fldChar w:fldCharType="end"/>
      </w:r>
      <w:r w:rsidR="00995E46">
        <w:rPr>
          <w:rFonts w:ascii="Arial" w:hAnsi="Arial" w:cs="Arial"/>
          <w:sz w:val="20"/>
        </w:rPr>
        <w:t xml:space="preserve">, it </w:t>
      </w:r>
      <w:r w:rsidR="00B534A5">
        <w:rPr>
          <w:rFonts w:ascii="Arial" w:hAnsi="Arial" w:cs="Arial"/>
          <w:sz w:val="20"/>
        </w:rPr>
        <w:t xml:space="preserve">is commercially </w:t>
      </w:r>
      <w:r w:rsidR="00995E46">
        <w:rPr>
          <w:rFonts w:ascii="Arial" w:hAnsi="Arial" w:cs="Arial"/>
          <w:sz w:val="20"/>
        </w:rPr>
        <w:t xml:space="preserve">viable in municipal wastewater treatment plants </w:t>
      </w:r>
      <w:r w:rsidR="007D5F86">
        <w:rPr>
          <w:rFonts w:ascii="Arial" w:hAnsi="Arial" w:cs="Arial"/>
          <w:sz w:val="20"/>
        </w:rPr>
        <w:t>especially when there</w:t>
      </w:r>
      <w:r w:rsidR="00995E46">
        <w:rPr>
          <w:rFonts w:ascii="Arial" w:hAnsi="Arial" w:cs="Arial"/>
          <w:sz w:val="20"/>
        </w:rPr>
        <w:t xml:space="preserve"> is a large heat deman</w:t>
      </w:r>
      <w:r w:rsidR="004269DF">
        <w:rPr>
          <w:rFonts w:ascii="Arial" w:hAnsi="Arial" w:cs="Arial"/>
          <w:sz w:val="20"/>
        </w:rPr>
        <w:t>d nearby</w:t>
      </w:r>
      <w:r w:rsidR="007D5F86">
        <w:rPr>
          <w:rFonts w:ascii="Arial" w:hAnsi="Arial" w:cs="Arial"/>
          <w:sz w:val="20"/>
        </w:rPr>
        <w:t xml:space="preserve"> </w:t>
      </w:r>
      <w:r w:rsidR="007D5F86">
        <w:rPr>
          <w:rFonts w:ascii="Arial" w:hAnsi="Arial" w:cs="Arial"/>
          <w:sz w:val="20"/>
        </w:rPr>
        <w:fldChar w:fldCharType="begin"/>
      </w:r>
      <w:r w:rsidR="007D5F86">
        <w:rPr>
          <w:rFonts w:ascii="Arial" w:hAnsi="Arial" w:cs="Arial"/>
          <w:sz w:val="20"/>
        </w:rPr>
        <w:instrText xml:space="preserve"> ADDIN ZOTERO_ITEM CSL_CITATION {"citationID":"hIDurjxN","properties":{"formattedCitation":"(Spriet et al., 2020)","plainCitation":"(Spriet et al., 2020)","noteIndex":0},"citationItems":[{"id":47,"uris":["http://zotero.org/users/6979584/items/63J6CTZM"],"itemData":{"id":47,"type":"article-journal","abstract":"In December 2018, wastewater was officially recognized by the European Union as a renewable source of energy, thus wastewater heat recovery can be included in efforts to reduce greenhouse gas emissions. Given the fact that wastewater treatment plants can generate enormous heat surpluses, this decision gives leeway to couple the wastewater infrastructure with the energy system in order to increase energy efficiency at the system level, allow for power to heat solutions in order to integrate volatile renewable electricity generation and, thus, foster a sustainable energy transition and cleaner production. Yet, the success of these system integrations depends on the availability of energy consumers in proximity of the wastewater treatment plants, and the temporal patterns of energy supply and energy demand. So far, the importance of both temporal and spatial variations in performance of wastewater heat recovery systems have been discussed in literature, but only as separate considerations to date. In order to exhaust the potential of wastewater energy, the combination of both aspects still has to be studied sufficiently, and this paper aims at filling that gap. A three-step methodology is proposed, including an energetic analysis at the wastewater treatment plant, a spatio-temporal analysis of supply and demand in potential supply areas, and an integrated analysis, overlaying the supply and demand profiles. This allows to account for both the proximity of consumers and potential temporal mismatches between supply and demand. The methodology was applied on a case study in Ireland, being able to clearly identify potentials and pitfalls for laying out grids and dimensioning the energy generation systems. It can be concluded, that wastewater energy is a well-suited source of energy to supply baseloads, but the spatio-temporal patterns reveal that both periods of excess wastewater heat potentials as well as additional heating in bivalent systems is required. Therefore, the spatial – urban and regional – fabric, the mix of land uses and their density, largely determine the layout and the useable amount of this renewable energy source. Finally, it can be concluded, that the use of wastewater energy provides feasible and valuable contributions for sustainable urban energy supply systems and cleaner production if the electricity sources for the respective heat pump systems are renewable guaranteeing low-to zero-emission operation.","container-title":"Journal of Cleaner Production","DOI":"10.1016/j.jclepro.2019.119583","ISSN":"0959-6526","journalAbbreviation":"Journal of Cleaner Production","language":"en","page":"119583","source":"ScienceDirect","title":"Spatial and temporal considerations in the performance of wastewater heat recovery systems","volume":"247","author":[{"family":"Spriet","given":"Jan"},{"family":"McNabola","given":"Aonghus"},{"family":"Neugebauer","given":"Georg"},{"family":"Stoeglehner","given":"Gernot"},{"family":"Ertl","given":"Thomas"},{"family":"Kretschmer","given":"Florian"}],"issued":{"date-parts":[["2020",2,20]]}}}],"schema":"https://github.com/citation-style-language/schema/raw/master/csl-citation.json"} </w:instrText>
      </w:r>
      <w:r w:rsidR="007D5F86">
        <w:rPr>
          <w:rFonts w:ascii="Arial" w:hAnsi="Arial" w:cs="Arial"/>
          <w:sz w:val="20"/>
        </w:rPr>
        <w:fldChar w:fldCharType="separate"/>
      </w:r>
      <w:r w:rsidR="007D5F86" w:rsidRPr="007D5F86">
        <w:rPr>
          <w:rFonts w:ascii="Arial" w:hAnsi="Arial" w:cs="Arial"/>
          <w:sz w:val="20"/>
        </w:rPr>
        <w:t>(Spriet et al., 2020)</w:t>
      </w:r>
      <w:r w:rsidR="007D5F86">
        <w:rPr>
          <w:rFonts w:ascii="Arial" w:hAnsi="Arial" w:cs="Arial"/>
          <w:sz w:val="20"/>
        </w:rPr>
        <w:fldChar w:fldCharType="end"/>
      </w:r>
      <w:r w:rsidR="004269DF">
        <w:rPr>
          <w:rFonts w:ascii="Arial" w:hAnsi="Arial" w:cs="Arial"/>
          <w:sz w:val="20"/>
        </w:rPr>
        <w:t>.</w:t>
      </w:r>
      <w:r w:rsidR="00081067" w:rsidRPr="00081067">
        <w:rPr>
          <w:rFonts w:ascii="Arial" w:hAnsi="Arial" w:cs="Arial"/>
          <w:sz w:val="20"/>
        </w:rPr>
        <w:t xml:space="preserve"> </w:t>
      </w:r>
      <w:r w:rsidR="004269DF">
        <w:rPr>
          <w:rFonts w:ascii="Arial" w:hAnsi="Arial" w:cs="Arial"/>
          <w:sz w:val="20"/>
        </w:rPr>
        <w:t>WWHR i</w:t>
      </w:r>
      <w:r w:rsidR="00081067" w:rsidRPr="00081067">
        <w:rPr>
          <w:rFonts w:ascii="Arial" w:hAnsi="Arial" w:cs="Arial"/>
          <w:sz w:val="20"/>
        </w:rPr>
        <w:t>n industrial sites can</w:t>
      </w:r>
      <w:r w:rsidR="004269DF">
        <w:rPr>
          <w:rFonts w:ascii="Arial" w:hAnsi="Arial" w:cs="Arial"/>
          <w:sz w:val="20"/>
        </w:rPr>
        <w:t xml:space="preserve"> </w:t>
      </w:r>
      <w:r w:rsidR="00B534A5">
        <w:rPr>
          <w:rFonts w:ascii="Arial" w:hAnsi="Arial" w:cs="Arial"/>
          <w:sz w:val="20"/>
        </w:rPr>
        <w:t>a</w:t>
      </w:r>
      <w:r w:rsidR="004269DF">
        <w:rPr>
          <w:rFonts w:ascii="Arial" w:hAnsi="Arial" w:cs="Arial"/>
          <w:sz w:val="20"/>
        </w:rPr>
        <w:t>lso</w:t>
      </w:r>
      <w:r w:rsidR="00081067" w:rsidRPr="00081067">
        <w:rPr>
          <w:rFonts w:ascii="Arial" w:hAnsi="Arial" w:cs="Arial"/>
          <w:sz w:val="20"/>
        </w:rPr>
        <w:t xml:space="preserve"> be particularly viable, with around 300TWh of waste heat released from industries in the European Union every year </w:t>
      </w:r>
      <w:r w:rsidR="00094C6F">
        <w:rPr>
          <w:rFonts w:ascii="Arial" w:hAnsi="Arial" w:cs="Arial"/>
          <w:sz w:val="20"/>
        </w:rPr>
        <w:fldChar w:fldCharType="begin"/>
      </w:r>
      <w:r w:rsidR="004269DF">
        <w:rPr>
          <w:rFonts w:ascii="Arial" w:hAnsi="Arial" w:cs="Arial"/>
          <w:sz w:val="20"/>
        </w:rPr>
        <w:instrText xml:space="preserve"> ADDIN ZOTERO_ITEM CSL_CITATION {"citationID":"7fEeq7te","properties":{"formattedCitation":"(Papapetrou et al., 2018)","plainCitation":"(Papapetrou et al., 2018)","noteIndex":0},"citationItems":[{"id":439,"uris":["http://zotero.org/users/6979584/items/86D2E29Z"],"itemData":{"id":439,"type":"article-journal","abstract":"Industrial waste heat is examined in EU countries, focusing on the amount that can be recovered and exploited, referred to as technical potential of waste heat. An alternative methodology is proposed here, which is based on waste heat fractions derived from a detailed study of the UK industry from the period 2000–2003. These fractions express the part of heat consumption that is wasted and is possible to be recovered. The waste heat fractions have been calculated in this work for each main industrial sector and temperature level. The methodology initially includes the adjustment of waste heat fractions from each industrial sector from the UK industry to the conditions of the different EU countries in the period 2000–2003, in order to account for the different levels of energy efficiency. The second step is to adjust the fractions for the year 2015, using data about the evolution of energy intensity values from 2000 to 2003 to 2015 for each country and sector, resulting to a new set of fractions per country, temperature level and sector. This methodology has enabled the authors to study in detail the waste heat potential per sector and temperature level, using the most recent data. The main outcome is the estimation of waste heat potential for each main industrial sector in the EU, broken down to the amount of waste heat for each temperature range. A similar analysis is conducted for each EU country as well, in order to identify the magnitude of heat recovery opportunities that could exist for every industrial sector at country level. The main result of this analysis is the estimation of the total waste heat potential in EU, which is about 300 TWh/year, with one third corresponding to temperature level below 200 °C, which is often referred to as low-temperature waste heat, another 25% in the range 200–500 °C and the rest above 500 °C (mostly in the range 500–1000 °C). The findings of the current study can be used for assessing the potential of any relevant heat recovery applications, such as heat upgrade and re-use or heat-to-power conversion technologies.","container-title":"Applied Thermal Engineering","DOI":"10.1016/j.applthermaleng.2018.04.043","ISSN":"1359-4311","journalAbbreviation":"Applied Thermal Engineering","language":"en","page":"207-216","source":"ScienceDirect","title":"Industrial waste heat: Estimation of the technically available resource in the EU per industrial sector, temperature level and country","title-short":"Industrial waste heat","volume":"138","author":[{"family":"Papapetrou","given":"Michael"},{"family":"Kosmadakis","given":"George"},{"family":"Cipollina","given":"Andrea"},{"family":"La Commare","given":"Umberto"},{"family":"Micale","given":"Giorgio"}],"issued":{"date-parts":[["2018",6,25]]}}}],"schema":"https://github.com/citation-style-language/schema/raw/master/csl-citation.json"} </w:instrText>
      </w:r>
      <w:r w:rsidR="00094C6F">
        <w:rPr>
          <w:rFonts w:ascii="Arial" w:hAnsi="Arial" w:cs="Arial"/>
          <w:sz w:val="20"/>
        </w:rPr>
        <w:fldChar w:fldCharType="separate"/>
      </w:r>
      <w:r w:rsidR="00094C6F" w:rsidRPr="00094C6F">
        <w:rPr>
          <w:rFonts w:ascii="Arial" w:hAnsi="Arial" w:cs="Arial"/>
          <w:sz w:val="20"/>
        </w:rPr>
        <w:t>(Papapetrou et al., 2018)</w:t>
      </w:r>
      <w:r w:rsidR="00094C6F">
        <w:rPr>
          <w:rFonts w:ascii="Arial" w:hAnsi="Arial" w:cs="Arial"/>
          <w:sz w:val="20"/>
        </w:rPr>
        <w:fldChar w:fldCharType="end"/>
      </w:r>
      <w:r w:rsidR="00081067" w:rsidRPr="00081067">
        <w:rPr>
          <w:rFonts w:ascii="Arial" w:hAnsi="Arial" w:cs="Arial"/>
          <w:sz w:val="20"/>
        </w:rPr>
        <w:t xml:space="preserve">. </w:t>
      </w:r>
      <w:r w:rsidR="00272E06">
        <w:rPr>
          <w:rFonts w:ascii="Arial" w:hAnsi="Arial" w:cs="Arial"/>
          <w:sz w:val="20"/>
        </w:rPr>
        <w:t xml:space="preserve">With growing concerns around the sustainability </w:t>
      </w:r>
      <w:r w:rsidR="00047B72">
        <w:rPr>
          <w:rFonts w:ascii="Arial" w:hAnsi="Arial" w:cs="Arial"/>
          <w:sz w:val="20"/>
        </w:rPr>
        <w:t xml:space="preserve">and growing demand </w:t>
      </w:r>
      <w:r w:rsidR="00272E06">
        <w:rPr>
          <w:rFonts w:ascii="Arial" w:hAnsi="Arial" w:cs="Arial"/>
          <w:sz w:val="20"/>
        </w:rPr>
        <w:t xml:space="preserve">of </w:t>
      </w:r>
      <w:r w:rsidR="002A1063">
        <w:rPr>
          <w:rFonts w:ascii="Arial" w:hAnsi="Arial" w:cs="Arial"/>
          <w:sz w:val="20"/>
        </w:rPr>
        <w:t>meat</w:t>
      </w:r>
      <w:r w:rsidR="00272E06">
        <w:rPr>
          <w:rFonts w:ascii="Arial" w:hAnsi="Arial" w:cs="Arial"/>
          <w:sz w:val="20"/>
        </w:rPr>
        <w:t xml:space="preserve"> </w:t>
      </w:r>
      <w:r w:rsidR="002A1063">
        <w:rPr>
          <w:rFonts w:ascii="Arial" w:hAnsi="Arial" w:cs="Arial"/>
          <w:sz w:val="20"/>
        </w:rPr>
        <w:t xml:space="preserve">consumption </w:t>
      </w:r>
      <w:r w:rsidR="002A1063">
        <w:rPr>
          <w:rFonts w:ascii="Arial" w:hAnsi="Arial" w:cs="Arial"/>
          <w:sz w:val="20"/>
        </w:rPr>
        <w:fldChar w:fldCharType="begin"/>
      </w:r>
      <w:r w:rsidR="002A1063">
        <w:rPr>
          <w:rFonts w:ascii="Arial" w:hAnsi="Arial" w:cs="Arial"/>
          <w:sz w:val="20"/>
        </w:rPr>
        <w:instrText xml:space="preserve"> ADDIN ZOTERO_ITEM CSL_CITATION {"citationID":"CDytbLOB","properties":{"formattedCitation":"(Stoll-Kleemann and O\\uc0\\u8217{}Riordan, 2015)","plainCitation":"(Stoll-Kleemann and O’Riordan, 2015)","noteIndex":0},"citationItems":[{"id":849,"uris":["http://zotero.org/users/6979584/items/HM2D55MK"],"itemData":{"id":849,"type":"article-journal","container-title":"Environment: Science and Policy for Sustainable Development","DOI":"10.1080/00139157.2015.1025644","ISSN":"0013-9157","issue":"3","note":"publisher: Routledge\n_eprint: https://doi.org/10.1080/00139157.2015.1025644","page":"34-48","source":"Taylor and Francis+NEJM","title":"The Sustainability Challenges of Our Meat and Dairy Diets","volume":"57","author":[{"family":"Stoll-Kleemann","given":"Susanne"},{"family":"O'Riordan","given":"Tim"}],"issued":{"date-parts":[["2015",5,4]]}}}],"schema":"https://github.com/citation-style-language/schema/raw/master/csl-citation.json"} </w:instrText>
      </w:r>
      <w:r w:rsidR="002A1063">
        <w:rPr>
          <w:rFonts w:ascii="Arial" w:hAnsi="Arial" w:cs="Arial"/>
          <w:sz w:val="20"/>
        </w:rPr>
        <w:fldChar w:fldCharType="separate"/>
      </w:r>
      <w:r w:rsidR="002A1063" w:rsidRPr="002A1063">
        <w:rPr>
          <w:rFonts w:ascii="Arial" w:hAnsi="Arial" w:cs="Arial"/>
          <w:sz w:val="20"/>
          <w:szCs w:val="24"/>
        </w:rPr>
        <w:t>(Stoll-Kleemann and O’Riordan, 2015)</w:t>
      </w:r>
      <w:r w:rsidR="002A1063">
        <w:rPr>
          <w:rFonts w:ascii="Arial" w:hAnsi="Arial" w:cs="Arial"/>
          <w:sz w:val="20"/>
        </w:rPr>
        <w:fldChar w:fldCharType="end"/>
      </w:r>
      <w:r w:rsidR="00272E06">
        <w:rPr>
          <w:rFonts w:ascii="Arial" w:hAnsi="Arial" w:cs="Arial"/>
          <w:sz w:val="20"/>
        </w:rPr>
        <w:t xml:space="preserve"> </w:t>
      </w:r>
      <w:r w:rsidR="007D50A1">
        <w:rPr>
          <w:rFonts w:ascii="Arial" w:hAnsi="Arial" w:cs="Arial"/>
          <w:sz w:val="20"/>
        </w:rPr>
        <w:t>and ambitious climate targets within the EU</w:t>
      </w:r>
      <w:r w:rsidR="00EB55D6">
        <w:rPr>
          <w:rFonts w:ascii="Arial" w:hAnsi="Arial" w:cs="Arial"/>
          <w:sz w:val="20"/>
        </w:rPr>
        <w:t xml:space="preserve"> </w:t>
      </w:r>
      <w:r w:rsidR="00047B72">
        <w:rPr>
          <w:rFonts w:ascii="Arial" w:hAnsi="Arial" w:cs="Arial"/>
          <w:sz w:val="20"/>
        </w:rPr>
        <w:t>to achieve climate neutrality by 2050</w:t>
      </w:r>
      <w:r w:rsidR="000A2826">
        <w:rPr>
          <w:rFonts w:ascii="Arial" w:hAnsi="Arial" w:cs="Arial"/>
          <w:sz w:val="20"/>
        </w:rPr>
        <w:t xml:space="preserve"> </w:t>
      </w:r>
      <w:r w:rsidR="0053291C">
        <w:rPr>
          <w:rFonts w:ascii="Arial" w:hAnsi="Arial" w:cs="Arial"/>
          <w:sz w:val="20"/>
        </w:rPr>
        <w:fldChar w:fldCharType="begin"/>
      </w:r>
      <w:r w:rsidR="00DC71B4">
        <w:rPr>
          <w:rFonts w:ascii="Arial" w:hAnsi="Arial" w:cs="Arial"/>
          <w:sz w:val="20"/>
        </w:rPr>
        <w:instrText xml:space="preserve"> ADDIN ZOTERO_ITEM CSL_CITATION {"citationID":"N4PscAf7","properties":{"formattedCitation":"(European Commission, 2023)","plainCitation":"(European Commission, 2023)","noteIndex":0},"citationItems":[{"id":851,"uris":["http://zotero.org/users/6979584/items/X4FT98X2"],"itemData":{"id":851,"type":"webpage","abstract":"The Commission’s proposal to cut greenhouse gas emissions by at least 55% by 2030","language":"en","title":"2030 Climate Target Plan","URL":"https://climate.ec.europa.eu/eu-action/european-green-deal/2030-climate-target-plan_en","author":[{"literal":"European Commission"}],"accessed":{"date-parts":[["2023",4,16]]},"issued":{"date-parts":[["2023"]]}}}],"schema":"https://github.com/citation-style-language/schema/raw/master/csl-citation.json"} </w:instrText>
      </w:r>
      <w:r w:rsidR="0053291C">
        <w:rPr>
          <w:rFonts w:ascii="Arial" w:hAnsi="Arial" w:cs="Arial"/>
          <w:sz w:val="20"/>
        </w:rPr>
        <w:fldChar w:fldCharType="separate"/>
      </w:r>
      <w:r w:rsidR="00DC71B4" w:rsidRPr="00DC71B4">
        <w:rPr>
          <w:rFonts w:ascii="Arial" w:hAnsi="Arial" w:cs="Arial"/>
          <w:sz w:val="20"/>
        </w:rPr>
        <w:t>(European Commission, 2023)</w:t>
      </w:r>
      <w:r w:rsidR="0053291C">
        <w:rPr>
          <w:rFonts w:ascii="Arial" w:hAnsi="Arial" w:cs="Arial"/>
          <w:sz w:val="20"/>
        </w:rPr>
        <w:fldChar w:fldCharType="end"/>
      </w:r>
      <w:r w:rsidR="00FB7EBC">
        <w:rPr>
          <w:rFonts w:ascii="Arial" w:hAnsi="Arial" w:cs="Arial"/>
          <w:sz w:val="20"/>
        </w:rPr>
        <w:t xml:space="preserve">, the meat processing industry is an ideal </w:t>
      </w:r>
      <w:r w:rsidR="00B85B84">
        <w:rPr>
          <w:rFonts w:ascii="Arial" w:hAnsi="Arial" w:cs="Arial"/>
          <w:sz w:val="20"/>
        </w:rPr>
        <w:t>candidate to investigate for WWHR potential</w:t>
      </w:r>
      <w:r w:rsidR="00651DA6">
        <w:rPr>
          <w:rFonts w:ascii="Arial" w:hAnsi="Arial" w:cs="Arial"/>
          <w:sz w:val="20"/>
        </w:rPr>
        <w:t xml:space="preserve">. </w:t>
      </w:r>
      <w:r w:rsidR="007C6936">
        <w:rPr>
          <w:rFonts w:ascii="Arial" w:hAnsi="Arial" w:cs="Arial"/>
          <w:sz w:val="20"/>
        </w:rPr>
        <w:t xml:space="preserve">Reducing the </w:t>
      </w:r>
      <w:r w:rsidR="00ED10F3">
        <w:rPr>
          <w:rFonts w:ascii="Arial" w:hAnsi="Arial" w:cs="Arial"/>
          <w:sz w:val="20"/>
        </w:rPr>
        <w:t>energy related to hot water in the meat industry will both reduce the carbon emissions</w:t>
      </w:r>
      <w:r w:rsidR="002A267F">
        <w:rPr>
          <w:rFonts w:ascii="Arial" w:hAnsi="Arial" w:cs="Arial"/>
          <w:sz w:val="20"/>
        </w:rPr>
        <w:t xml:space="preserve"> and cost</w:t>
      </w:r>
      <w:r w:rsidR="00ED10F3">
        <w:rPr>
          <w:rFonts w:ascii="Arial" w:hAnsi="Arial" w:cs="Arial"/>
          <w:sz w:val="20"/>
        </w:rPr>
        <w:t xml:space="preserve"> associated with meat production</w:t>
      </w:r>
      <w:r w:rsidR="002A267F">
        <w:rPr>
          <w:rFonts w:ascii="Arial" w:hAnsi="Arial" w:cs="Arial"/>
          <w:sz w:val="20"/>
        </w:rPr>
        <w:t>.</w:t>
      </w:r>
    </w:p>
    <w:p w14:paraId="7E717A16" w14:textId="1E9FCB05" w:rsidR="00E40D16" w:rsidRDefault="008E74E4" w:rsidP="00E40D16">
      <w:pPr>
        <w:pStyle w:val="07paragraphs"/>
        <w:tabs>
          <w:tab w:val="clear" w:pos="357"/>
          <w:tab w:val="left" w:pos="426"/>
        </w:tabs>
        <w:spacing w:after="0" w:line="240" w:lineRule="auto"/>
        <w:rPr>
          <w:rFonts w:ascii="Arial" w:hAnsi="Arial" w:cs="Arial"/>
          <w:sz w:val="20"/>
        </w:rPr>
      </w:pPr>
      <w:r>
        <w:rPr>
          <w:rFonts w:ascii="Arial" w:hAnsi="Arial" w:cs="Arial"/>
          <w:sz w:val="20"/>
        </w:rPr>
        <w:tab/>
      </w:r>
      <w:r w:rsidR="00081067" w:rsidRPr="00081067">
        <w:rPr>
          <w:rFonts w:ascii="Arial" w:hAnsi="Arial" w:cs="Arial"/>
          <w:sz w:val="20"/>
        </w:rPr>
        <w:t xml:space="preserve">To assess the potential for WWHR in </w:t>
      </w:r>
      <w:r w:rsidR="007D50A1">
        <w:rPr>
          <w:rFonts w:ascii="Arial" w:hAnsi="Arial" w:cs="Arial"/>
          <w:sz w:val="20"/>
        </w:rPr>
        <w:t>the meat industry</w:t>
      </w:r>
      <w:r w:rsidR="00081067" w:rsidRPr="00081067">
        <w:rPr>
          <w:rFonts w:ascii="Arial" w:hAnsi="Arial" w:cs="Arial"/>
          <w:sz w:val="20"/>
        </w:rPr>
        <w:t>, wastewater temperatures were monitored at the on-site Wastewater Treatment Plants (WWTPs) in two Irish meat processing plants. In one of the sites</w:t>
      </w:r>
      <w:r w:rsidR="00C03D28">
        <w:rPr>
          <w:rFonts w:ascii="Arial" w:hAnsi="Arial" w:cs="Arial"/>
          <w:sz w:val="20"/>
        </w:rPr>
        <w:t xml:space="preserve"> (Site 1)</w:t>
      </w:r>
      <w:r w:rsidR="00081067" w:rsidRPr="00081067">
        <w:rPr>
          <w:rFonts w:ascii="Arial" w:hAnsi="Arial" w:cs="Arial"/>
          <w:sz w:val="20"/>
        </w:rPr>
        <w:t xml:space="preserve">, </w:t>
      </w:r>
      <w:r w:rsidR="003550DA">
        <w:rPr>
          <w:rFonts w:ascii="Arial" w:hAnsi="Arial" w:cs="Arial"/>
          <w:sz w:val="20"/>
        </w:rPr>
        <w:t xml:space="preserve">initial monitoring showed that </w:t>
      </w:r>
      <w:r w:rsidR="00081067" w:rsidRPr="00081067">
        <w:rPr>
          <w:rFonts w:ascii="Arial" w:hAnsi="Arial" w:cs="Arial"/>
          <w:sz w:val="20"/>
        </w:rPr>
        <w:t>the inlet wastewater temperatures were found to be around 30°C on average while meat processing was operational with peak recorded temperatures going up to 40°C</w:t>
      </w:r>
      <w:r w:rsidR="00EB55D6">
        <w:rPr>
          <w:rFonts w:ascii="Arial" w:hAnsi="Arial" w:cs="Arial"/>
          <w:sz w:val="20"/>
        </w:rPr>
        <w:t xml:space="preserve"> (Figure </w:t>
      </w:r>
      <w:r w:rsidR="00C334E9">
        <w:rPr>
          <w:rFonts w:ascii="Arial" w:hAnsi="Arial" w:cs="Arial"/>
          <w:sz w:val="20"/>
        </w:rPr>
        <w:t>1</w:t>
      </w:r>
      <w:r w:rsidR="00EB55D6">
        <w:rPr>
          <w:rFonts w:ascii="Arial" w:hAnsi="Arial" w:cs="Arial"/>
          <w:sz w:val="20"/>
        </w:rPr>
        <w:t>)</w:t>
      </w:r>
      <w:r w:rsidR="00081067" w:rsidRPr="00081067">
        <w:rPr>
          <w:rFonts w:ascii="Arial" w:hAnsi="Arial" w:cs="Arial"/>
          <w:sz w:val="20"/>
        </w:rPr>
        <w:t>.</w:t>
      </w:r>
      <w:r w:rsidR="00AB5B5F">
        <w:rPr>
          <w:rFonts w:ascii="Arial" w:hAnsi="Arial" w:cs="Arial"/>
          <w:sz w:val="20"/>
        </w:rPr>
        <w:t xml:space="preserve"> </w:t>
      </w:r>
      <w:r w:rsidR="00081067" w:rsidRPr="00081067">
        <w:rPr>
          <w:rFonts w:ascii="Arial" w:hAnsi="Arial" w:cs="Arial"/>
          <w:sz w:val="20"/>
        </w:rPr>
        <w:lastRenderedPageBreak/>
        <w:t xml:space="preserve">Monitoring at two downstream locations within the WWTP showed a decline in temperature </w:t>
      </w:r>
      <w:r w:rsidR="00A22B07">
        <w:rPr>
          <w:rFonts w:ascii="Arial" w:hAnsi="Arial" w:cs="Arial"/>
          <w:sz w:val="20"/>
        </w:rPr>
        <w:t xml:space="preserve">through the treatment process </w:t>
      </w:r>
      <w:r w:rsidR="00081067" w:rsidRPr="00081067">
        <w:rPr>
          <w:rFonts w:ascii="Arial" w:hAnsi="Arial" w:cs="Arial"/>
          <w:sz w:val="20"/>
        </w:rPr>
        <w:t xml:space="preserve">with averages of 24°C and 12°C recorded after the dissolved air treatment process and at the outlet, respectively. </w:t>
      </w:r>
      <w:r w:rsidR="00780D03">
        <w:rPr>
          <w:rFonts w:ascii="Arial" w:hAnsi="Arial" w:cs="Arial"/>
          <w:sz w:val="20"/>
        </w:rPr>
        <w:t xml:space="preserve">With a </w:t>
      </w:r>
      <w:r w:rsidR="001920AB">
        <w:rPr>
          <w:rFonts w:ascii="Arial" w:hAnsi="Arial" w:cs="Arial"/>
          <w:sz w:val="20"/>
        </w:rPr>
        <w:t xml:space="preserve">daily inflow around </w:t>
      </w:r>
      <w:r w:rsidR="00EB55D6">
        <w:rPr>
          <w:rFonts w:ascii="Arial" w:hAnsi="Arial" w:cs="Arial"/>
          <w:sz w:val="20"/>
        </w:rPr>
        <w:t>600</w:t>
      </w:r>
      <w:r w:rsidR="001920AB">
        <w:rPr>
          <w:rFonts w:ascii="Arial" w:hAnsi="Arial" w:cs="Arial"/>
          <w:sz w:val="20"/>
        </w:rPr>
        <w:t xml:space="preserve"> m</w:t>
      </w:r>
      <w:r w:rsidR="001920AB">
        <w:rPr>
          <w:rFonts w:ascii="Arial" w:hAnsi="Arial" w:cs="Arial"/>
          <w:sz w:val="20"/>
          <w:vertAlign w:val="superscript"/>
        </w:rPr>
        <w:t>3</w:t>
      </w:r>
      <w:r w:rsidR="001920AB">
        <w:rPr>
          <w:rFonts w:ascii="Arial" w:hAnsi="Arial" w:cs="Arial"/>
          <w:sz w:val="20"/>
        </w:rPr>
        <w:t>/day at</w:t>
      </w:r>
      <w:r w:rsidR="00EB55D6">
        <w:rPr>
          <w:rFonts w:ascii="Arial" w:hAnsi="Arial" w:cs="Arial"/>
          <w:sz w:val="20"/>
        </w:rPr>
        <w:t xml:space="preserve"> one of the on-site WWTPs,</w:t>
      </w:r>
      <w:r w:rsidR="00E235B7">
        <w:rPr>
          <w:rFonts w:ascii="Arial" w:hAnsi="Arial" w:cs="Arial"/>
          <w:sz w:val="20"/>
        </w:rPr>
        <w:t xml:space="preserve"> a significant heating resource is available for use</w:t>
      </w:r>
      <w:r w:rsidR="00EB55D6">
        <w:rPr>
          <w:rFonts w:ascii="Arial" w:hAnsi="Arial" w:cs="Arial"/>
          <w:sz w:val="20"/>
        </w:rPr>
        <w:t xml:space="preserve"> through WWHR</w:t>
      </w:r>
      <w:r w:rsidR="00E235B7">
        <w:rPr>
          <w:rFonts w:ascii="Arial" w:hAnsi="Arial" w:cs="Arial"/>
          <w:sz w:val="20"/>
        </w:rPr>
        <w:t xml:space="preserve">. </w:t>
      </w:r>
      <w:r w:rsidR="00EB55D6">
        <w:rPr>
          <w:rFonts w:ascii="Arial" w:hAnsi="Arial" w:cs="Arial"/>
          <w:sz w:val="20"/>
        </w:rPr>
        <w:t>For example, c</w:t>
      </w:r>
      <w:r w:rsidR="00E235B7">
        <w:rPr>
          <w:rFonts w:ascii="Arial" w:hAnsi="Arial" w:cs="Arial"/>
          <w:sz w:val="20"/>
        </w:rPr>
        <w:t xml:space="preserve">onsidering </w:t>
      </w:r>
      <w:r w:rsidR="00BA095F">
        <w:rPr>
          <w:rFonts w:ascii="Arial" w:hAnsi="Arial" w:cs="Arial"/>
          <w:sz w:val="20"/>
        </w:rPr>
        <w:t xml:space="preserve">an average </w:t>
      </w:r>
      <w:r w:rsidR="00722BC5">
        <w:rPr>
          <w:rFonts w:ascii="Arial" w:hAnsi="Arial" w:cs="Arial"/>
          <w:sz w:val="20"/>
        </w:rPr>
        <w:t xml:space="preserve">feedwater temperature of </w:t>
      </w:r>
      <w:r w:rsidR="009F2FEB">
        <w:rPr>
          <w:rFonts w:ascii="Arial" w:hAnsi="Arial" w:cs="Arial"/>
          <w:sz w:val="20"/>
        </w:rPr>
        <w:t>13.1</w:t>
      </w:r>
      <w:r w:rsidR="00722BC5">
        <w:rPr>
          <w:rFonts w:ascii="Calibri" w:hAnsi="Calibri" w:cs="Calibri"/>
          <w:sz w:val="20"/>
        </w:rPr>
        <w:t>°</w:t>
      </w:r>
      <w:r w:rsidR="00722BC5">
        <w:rPr>
          <w:rFonts w:ascii="Arial" w:hAnsi="Arial" w:cs="Arial"/>
          <w:sz w:val="20"/>
        </w:rPr>
        <w:t>C</w:t>
      </w:r>
      <w:r w:rsidR="0061338E">
        <w:rPr>
          <w:rFonts w:ascii="Arial" w:hAnsi="Arial" w:cs="Arial"/>
          <w:sz w:val="20"/>
        </w:rPr>
        <w:t xml:space="preserve"> to be heate</w:t>
      </w:r>
      <w:r w:rsidR="0027369F">
        <w:rPr>
          <w:rFonts w:ascii="Arial" w:hAnsi="Arial" w:cs="Arial"/>
          <w:sz w:val="20"/>
        </w:rPr>
        <w:t>d</w:t>
      </w:r>
      <w:r w:rsidR="00D90538">
        <w:rPr>
          <w:rFonts w:ascii="Arial" w:hAnsi="Arial" w:cs="Arial"/>
          <w:sz w:val="20"/>
        </w:rPr>
        <w:t xml:space="preserve">, the </w:t>
      </w:r>
      <w:r w:rsidR="0061338E">
        <w:rPr>
          <w:rFonts w:ascii="Arial" w:hAnsi="Arial" w:cs="Arial"/>
          <w:sz w:val="20"/>
        </w:rPr>
        <w:t>average mains water temperature for Dublin</w:t>
      </w:r>
      <w:r w:rsidR="00582CDC">
        <w:rPr>
          <w:rFonts w:ascii="Arial" w:hAnsi="Arial" w:cs="Arial"/>
          <w:sz w:val="20"/>
        </w:rPr>
        <w:t xml:space="preserve"> from</w:t>
      </w:r>
      <w:r w:rsidR="00D90538">
        <w:rPr>
          <w:rFonts w:ascii="Arial" w:hAnsi="Arial" w:cs="Arial"/>
          <w:sz w:val="20"/>
        </w:rPr>
        <w:t xml:space="preserve"> Gill</w:t>
      </w:r>
      <w:r w:rsidR="00582CDC">
        <w:rPr>
          <w:rFonts w:ascii="Arial" w:hAnsi="Arial" w:cs="Arial"/>
          <w:sz w:val="20"/>
        </w:rPr>
        <w:t xml:space="preserve"> </w:t>
      </w:r>
      <w:r w:rsidR="00153FA5">
        <w:rPr>
          <w:rFonts w:ascii="Arial" w:hAnsi="Arial" w:cs="Arial"/>
          <w:sz w:val="20"/>
        </w:rPr>
        <w:fldChar w:fldCharType="begin"/>
      </w:r>
      <w:r w:rsidR="00D90538">
        <w:rPr>
          <w:rFonts w:ascii="Arial" w:hAnsi="Arial" w:cs="Arial"/>
          <w:sz w:val="20"/>
        </w:rPr>
        <w:instrText xml:space="preserve"> ADDIN ZOTERO_ITEM CSL_CITATION {"citationID":"VqroMrpZ","properties":{"formattedCitation":"(2016)","plainCitation":"(2016)","noteIndex":0},"citationItems":[{"id":853,"uris":["http://zotero.org/users/6979584/items/PF9X6DQE"],"itemData":{"id":853,"type":"article-journal","abstract":"The performance of an evacuated tube solar hot water system, installed on a domestic house (occupied by 2 adults and 3 children) in Dublin, Ireland has been intensely monitored over the period of a year. Instrumentation to measure flows and temperature were installed throughout both the solar circuit and domestic hot water system, in addition to solar radiometers being installed on site to measure both global and diffuse radiation. The overall annual solar system efficiency at the installation angle of 29° to the horizontal was 63%. Heat losses from all aspects of the solar circuit and hot water system have also been quantified. The ongoing hot water usage pattern of the house occupants over the course of the year has been analysed as well as the changing attitudes to the use of hot water since the installation of the new solar system. This has shown some evidence that more hot water tends to be used on days where there has been more direct sunlight. Net present value calculations based on 5years of operation however, have shown that the retrofit of such a system is not currently economically viable, although it has produced a carbon saving of approximately 1.1tonnes CO2eq over its first 5years of operation.","container-title":"Solar Energy","DOI":"10.1016/j.solener.2016.07.052","ISSN":"0038-092X","journalAbbreviation":"Solar Energy","language":"en","page":"261-272","source":"ScienceDirect","title":"The performance of an evacuated tube solar hot water system in a domestic house throughout a year in a northern maritime climate (Dublin)","volume":"137","author":[{"family":"Gill","given":"Laurence"},{"family":"Mac Mahon","given":"Joanne"},{"family":"Ryan","given":"Kevin"}],"issued":{"date-parts":[["2016",11,1]]}},"label":"page","suppress-author":true}],"schema":"https://github.com/citation-style-language/schema/raw/master/csl-citation.json"} </w:instrText>
      </w:r>
      <w:r w:rsidR="00153FA5">
        <w:rPr>
          <w:rFonts w:ascii="Arial" w:hAnsi="Arial" w:cs="Arial"/>
          <w:sz w:val="20"/>
        </w:rPr>
        <w:fldChar w:fldCharType="separate"/>
      </w:r>
      <w:r w:rsidR="00D90538" w:rsidRPr="00D90538">
        <w:rPr>
          <w:rFonts w:ascii="Arial" w:hAnsi="Arial" w:cs="Arial"/>
          <w:sz w:val="20"/>
        </w:rPr>
        <w:t>(2016)</w:t>
      </w:r>
      <w:r w:rsidR="00153FA5">
        <w:rPr>
          <w:rFonts w:ascii="Arial" w:hAnsi="Arial" w:cs="Arial"/>
          <w:sz w:val="20"/>
        </w:rPr>
        <w:fldChar w:fldCharType="end"/>
      </w:r>
      <w:r w:rsidR="00722BC5">
        <w:rPr>
          <w:rFonts w:ascii="Arial" w:hAnsi="Arial" w:cs="Arial"/>
          <w:sz w:val="20"/>
        </w:rPr>
        <w:t>,</w:t>
      </w:r>
      <w:r w:rsidR="0027369F">
        <w:rPr>
          <w:rFonts w:ascii="Arial" w:hAnsi="Arial" w:cs="Arial"/>
          <w:sz w:val="20"/>
        </w:rPr>
        <w:t xml:space="preserve"> and </w:t>
      </w:r>
      <w:r w:rsidR="00320F5C">
        <w:rPr>
          <w:rFonts w:ascii="Arial" w:hAnsi="Arial" w:cs="Arial"/>
          <w:sz w:val="20"/>
        </w:rPr>
        <w:t>200 days of WWHR operation annually,</w:t>
      </w:r>
      <w:r w:rsidR="00722BC5">
        <w:rPr>
          <w:rFonts w:ascii="Arial" w:hAnsi="Arial" w:cs="Arial"/>
          <w:sz w:val="20"/>
        </w:rPr>
        <w:t xml:space="preserve"> </w:t>
      </w:r>
      <w:r w:rsidR="00B93A96">
        <w:rPr>
          <w:rFonts w:ascii="Arial" w:hAnsi="Arial" w:cs="Arial"/>
          <w:sz w:val="20"/>
        </w:rPr>
        <w:t>a heating resource of up to</w:t>
      </w:r>
      <w:r w:rsidR="00722BC5">
        <w:rPr>
          <w:rFonts w:ascii="Arial" w:hAnsi="Arial" w:cs="Arial"/>
          <w:sz w:val="20"/>
        </w:rPr>
        <w:t xml:space="preserve"> </w:t>
      </w:r>
      <w:r w:rsidR="009702B6">
        <w:rPr>
          <w:rFonts w:ascii="Arial" w:hAnsi="Arial" w:cs="Arial"/>
          <w:sz w:val="20"/>
        </w:rPr>
        <w:t>2</w:t>
      </w:r>
      <w:r w:rsidR="00373236">
        <w:rPr>
          <w:rFonts w:ascii="Arial" w:hAnsi="Arial" w:cs="Arial"/>
          <w:sz w:val="20"/>
        </w:rPr>
        <w:t>,3</w:t>
      </w:r>
      <w:r w:rsidR="009702B6">
        <w:rPr>
          <w:rFonts w:ascii="Arial" w:hAnsi="Arial" w:cs="Arial"/>
          <w:sz w:val="20"/>
        </w:rPr>
        <w:t>00M</w:t>
      </w:r>
      <w:r w:rsidR="00722BC5">
        <w:rPr>
          <w:rFonts w:ascii="Arial" w:hAnsi="Arial" w:cs="Arial"/>
          <w:sz w:val="20"/>
        </w:rPr>
        <w:t>WH/</w:t>
      </w:r>
      <w:proofErr w:type="spellStart"/>
      <w:r w:rsidR="00722BC5">
        <w:rPr>
          <w:rFonts w:ascii="Arial" w:hAnsi="Arial" w:cs="Arial"/>
          <w:sz w:val="20"/>
        </w:rPr>
        <w:t>yr</w:t>
      </w:r>
      <w:proofErr w:type="spellEnd"/>
      <w:r w:rsidR="00722BC5">
        <w:rPr>
          <w:rFonts w:ascii="Arial" w:hAnsi="Arial" w:cs="Arial"/>
          <w:sz w:val="20"/>
        </w:rPr>
        <w:t xml:space="preserve"> </w:t>
      </w:r>
      <w:r w:rsidR="00EB55D6">
        <w:rPr>
          <w:rFonts w:ascii="Arial" w:hAnsi="Arial" w:cs="Arial"/>
          <w:sz w:val="20"/>
        </w:rPr>
        <w:t xml:space="preserve">may be available for </w:t>
      </w:r>
      <w:r w:rsidR="00722BC5">
        <w:rPr>
          <w:rFonts w:ascii="Arial" w:hAnsi="Arial" w:cs="Arial"/>
          <w:sz w:val="20"/>
        </w:rPr>
        <w:t>extract</w:t>
      </w:r>
      <w:r w:rsidR="00EB55D6">
        <w:rPr>
          <w:rFonts w:ascii="Arial" w:hAnsi="Arial" w:cs="Arial"/>
          <w:sz w:val="20"/>
        </w:rPr>
        <w:t>ion</w:t>
      </w:r>
      <w:r w:rsidR="00722BC5">
        <w:rPr>
          <w:rFonts w:ascii="Arial" w:hAnsi="Arial" w:cs="Arial"/>
          <w:sz w:val="20"/>
        </w:rPr>
        <w:t xml:space="preserve"> </w:t>
      </w:r>
      <w:r w:rsidR="003550DA">
        <w:rPr>
          <w:rFonts w:ascii="Arial" w:hAnsi="Arial" w:cs="Arial"/>
          <w:sz w:val="20"/>
        </w:rPr>
        <w:t>at the inlet of the treatment plant</w:t>
      </w:r>
      <w:r w:rsidR="00B2056C">
        <w:rPr>
          <w:rFonts w:ascii="Arial" w:hAnsi="Arial" w:cs="Arial"/>
          <w:sz w:val="20"/>
        </w:rPr>
        <w:t>.</w:t>
      </w:r>
      <w:r w:rsidR="009702B6">
        <w:rPr>
          <w:rFonts w:ascii="Arial" w:hAnsi="Arial" w:cs="Arial"/>
          <w:sz w:val="20"/>
        </w:rPr>
        <w:t xml:space="preserve"> Even recovering a fraction of this resource </w:t>
      </w:r>
      <w:r w:rsidR="00373236">
        <w:rPr>
          <w:rFonts w:ascii="Arial" w:hAnsi="Arial" w:cs="Arial"/>
          <w:sz w:val="20"/>
        </w:rPr>
        <w:t>would save a significant portion of fuel costs and reduce carbon emissions at Site 1.</w:t>
      </w:r>
      <w:r w:rsidR="009702B6">
        <w:rPr>
          <w:rFonts w:ascii="Arial" w:hAnsi="Arial" w:cs="Arial"/>
          <w:sz w:val="20"/>
        </w:rPr>
        <w:t xml:space="preserve"> </w:t>
      </w:r>
    </w:p>
    <w:p w14:paraId="539BBF62" w14:textId="14263216" w:rsidR="00C334E9" w:rsidRDefault="00C334E9" w:rsidP="00C334E9"/>
    <w:p w14:paraId="185C3E4D" w14:textId="6E2D2388" w:rsidR="00C334E9" w:rsidRDefault="00C334E9" w:rsidP="00C334E9">
      <w:pPr>
        <w:jc w:val="center"/>
      </w:pPr>
      <w:r>
        <w:rPr>
          <w:noProof/>
        </w:rPr>
        <w:drawing>
          <wp:inline distT="0" distB="0" distL="0" distR="0" wp14:anchorId="2A34E002" wp14:editId="1B9D08F9">
            <wp:extent cx="3809249" cy="2342138"/>
            <wp:effectExtent l="0" t="0" r="127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6110" cy="2358653"/>
                    </a:xfrm>
                    <a:prstGeom prst="rect">
                      <a:avLst/>
                    </a:prstGeom>
                    <a:noFill/>
                    <a:ln>
                      <a:noFill/>
                    </a:ln>
                  </pic:spPr>
                </pic:pic>
              </a:graphicData>
            </a:graphic>
          </wp:inline>
        </w:drawing>
      </w:r>
    </w:p>
    <w:p w14:paraId="2E3ECB86" w14:textId="4902F5A9" w:rsidR="00C334E9" w:rsidRDefault="00C334E9" w:rsidP="00C334E9">
      <w:pPr>
        <w:rPr>
          <w:rFonts w:cs="Arial"/>
        </w:rPr>
      </w:pPr>
      <w:r w:rsidRPr="000449AC">
        <w:rPr>
          <w:rFonts w:cs="Arial"/>
          <w:b/>
        </w:rPr>
        <w:t xml:space="preserve">Figure </w:t>
      </w:r>
      <w:r>
        <w:rPr>
          <w:rFonts w:cs="Arial"/>
          <w:b/>
        </w:rPr>
        <w:t>1</w:t>
      </w:r>
      <w:r w:rsidRPr="000449AC">
        <w:rPr>
          <w:rFonts w:cs="Arial"/>
        </w:rPr>
        <w:t>.</w:t>
      </w:r>
      <w:r>
        <w:rPr>
          <w:rFonts w:cs="Arial"/>
        </w:rPr>
        <w:t xml:space="preserve"> Measured wastewater temperatures at</w:t>
      </w:r>
      <w:r w:rsidR="00442D2B">
        <w:rPr>
          <w:rFonts w:cs="Arial"/>
        </w:rPr>
        <w:t xml:space="preserve"> Site 1 in</w:t>
      </w:r>
      <w:r>
        <w:rPr>
          <w:rFonts w:cs="Arial"/>
        </w:rPr>
        <w:t xml:space="preserve"> the on-site treatment plant of an Irish meat processor at the </w:t>
      </w:r>
      <w:proofErr w:type="gramStart"/>
      <w:r>
        <w:rPr>
          <w:rFonts w:cs="Arial"/>
        </w:rPr>
        <w:t>inlet(</w:t>
      </w:r>
      <w:proofErr w:type="gramEnd"/>
      <w:r>
        <w:rPr>
          <w:rFonts w:cs="Arial"/>
        </w:rPr>
        <w:t xml:space="preserve">WWTP inlet), outlet of the dissolved air flotation tank (DAF outlet), and the outlet of the treatment plant (WWTP Outlet). Please note that there was an issue with the dissolved air flotation tank during the initial monitoring period </w:t>
      </w:r>
      <w:r w:rsidR="002125BF">
        <w:rPr>
          <w:rFonts w:cs="Arial"/>
        </w:rPr>
        <w:t xml:space="preserve">till 09/01/2018 </w:t>
      </w:r>
      <w:r>
        <w:rPr>
          <w:rFonts w:cs="Arial"/>
        </w:rPr>
        <w:t>resulting in the low temperatures</w:t>
      </w:r>
      <w:r w:rsidR="002125BF">
        <w:rPr>
          <w:rFonts w:cs="Arial"/>
        </w:rPr>
        <w:t xml:space="preserve"> seen here</w:t>
      </w:r>
      <w:r>
        <w:rPr>
          <w:rFonts w:cs="Arial"/>
        </w:rPr>
        <w:t xml:space="preserve">. </w:t>
      </w:r>
    </w:p>
    <w:p w14:paraId="1754329B" w14:textId="77777777" w:rsidR="00C334E9" w:rsidRPr="00C334E9" w:rsidRDefault="00C334E9" w:rsidP="00C334E9"/>
    <w:p w14:paraId="55066139" w14:textId="2C0A5505" w:rsidR="0074270C" w:rsidRDefault="00B2056C" w:rsidP="00E40D16">
      <w:pPr>
        <w:pStyle w:val="07paragraphs"/>
        <w:tabs>
          <w:tab w:val="clear" w:pos="357"/>
          <w:tab w:val="left" w:pos="426"/>
        </w:tabs>
        <w:spacing w:after="0" w:line="240" w:lineRule="auto"/>
        <w:rPr>
          <w:rFonts w:ascii="Arial" w:hAnsi="Arial" w:cs="Arial"/>
          <w:sz w:val="20"/>
        </w:rPr>
      </w:pPr>
      <w:r>
        <w:rPr>
          <w:rFonts w:ascii="Arial" w:hAnsi="Arial" w:cs="Arial"/>
          <w:sz w:val="20"/>
        </w:rPr>
        <w:tab/>
      </w:r>
      <w:r w:rsidR="005339B0">
        <w:rPr>
          <w:rFonts w:ascii="Arial" w:hAnsi="Arial" w:cs="Arial"/>
          <w:sz w:val="20"/>
        </w:rPr>
        <w:t xml:space="preserve">An initial assessment of the </w:t>
      </w:r>
      <w:r w:rsidRPr="00B2056C">
        <w:rPr>
          <w:rFonts w:ascii="Arial" w:hAnsi="Arial" w:cs="Arial"/>
          <w:sz w:val="20"/>
        </w:rPr>
        <w:t xml:space="preserve">relatively high wastewater temperatures alongside the significant volume of wastewater generated </w:t>
      </w:r>
      <w:r w:rsidR="005339B0">
        <w:rPr>
          <w:rFonts w:ascii="Arial" w:hAnsi="Arial" w:cs="Arial"/>
          <w:sz w:val="20"/>
        </w:rPr>
        <w:t>indicate</w:t>
      </w:r>
      <w:r w:rsidRPr="00B2056C">
        <w:rPr>
          <w:rFonts w:ascii="Arial" w:hAnsi="Arial" w:cs="Arial"/>
          <w:sz w:val="20"/>
        </w:rPr>
        <w:t xml:space="preserve"> that there is </w:t>
      </w:r>
      <w:r w:rsidR="005339B0">
        <w:rPr>
          <w:rFonts w:ascii="Arial" w:hAnsi="Arial" w:cs="Arial"/>
          <w:sz w:val="20"/>
        </w:rPr>
        <w:t>a high</w:t>
      </w:r>
      <w:r w:rsidRPr="00B2056C">
        <w:rPr>
          <w:rFonts w:ascii="Arial" w:hAnsi="Arial" w:cs="Arial"/>
          <w:sz w:val="20"/>
        </w:rPr>
        <w:t xml:space="preserve"> potential for WWHR in </w:t>
      </w:r>
      <w:r w:rsidR="00EB55D6">
        <w:rPr>
          <w:rFonts w:ascii="Arial" w:hAnsi="Arial" w:cs="Arial"/>
          <w:sz w:val="20"/>
        </w:rPr>
        <w:t>Irish</w:t>
      </w:r>
      <w:r w:rsidRPr="00B2056C">
        <w:rPr>
          <w:rFonts w:ascii="Arial" w:hAnsi="Arial" w:cs="Arial"/>
          <w:sz w:val="20"/>
        </w:rPr>
        <w:t xml:space="preserve"> meat processing plants.</w:t>
      </w:r>
      <w:r w:rsidR="005339B0">
        <w:rPr>
          <w:rFonts w:ascii="Arial" w:hAnsi="Arial" w:cs="Arial"/>
          <w:sz w:val="20"/>
        </w:rPr>
        <w:t xml:space="preserve"> </w:t>
      </w:r>
      <w:r w:rsidRPr="00B2056C">
        <w:rPr>
          <w:rFonts w:ascii="Arial" w:hAnsi="Arial" w:cs="Arial"/>
          <w:sz w:val="20"/>
        </w:rPr>
        <w:t xml:space="preserve">However, </w:t>
      </w:r>
      <w:r w:rsidR="005339B0">
        <w:rPr>
          <w:rFonts w:ascii="Arial" w:hAnsi="Arial" w:cs="Arial"/>
          <w:sz w:val="20"/>
        </w:rPr>
        <w:t xml:space="preserve">there are many </w:t>
      </w:r>
      <w:r w:rsidRPr="00B2056C">
        <w:rPr>
          <w:rFonts w:ascii="Arial" w:hAnsi="Arial" w:cs="Arial"/>
          <w:sz w:val="20"/>
        </w:rPr>
        <w:t>questions remain</w:t>
      </w:r>
      <w:r w:rsidR="005339B0">
        <w:rPr>
          <w:rFonts w:ascii="Arial" w:hAnsi="Arial" w:cs="Arial"/>
          <w:sz w:val="20"/>
        </w:rPr>
        <w:t>ing</w:t>
      </w:r>
      <w:r w:rsidRPr="00B2056C">
        <w:rPr>
          <w:rFonts w:ascii="Arial" w:hAnsi="Arial" w:cs="Arial"/>
          <w:sz w:val="20"/>
        </w:rPr>
        <w:t xml:space="preserve"> on the </w:t>
      </w:r>
      <w:r w:rsidR="005339B0">
        <w:rPr>
          <w:rFonts w:ascii="Arial" w:hAnsi="Arial" w:cs="Arial"/>
          <w:sz w:val="20"/>
        </w:rPr>
        <w:t xml:space="preserve">implementation of a WWHR system at a meat processing plant. These include </w:t>
      </w:r>
      <w:r w:rsidR="00773CE9">
        <w:rPr>
          <w:rFonts w:ascii="Arial" w:hAnsi="Arial" w:cs="Arial"/>
          <w:sz w:val="20"/>
        </w:rPr>
        <w:t>quantifying</w:t>
      </w:r>
      <w:r w:rsidR="005339B0">
        <w:rPr>
          <w:rFonts w:ascii="Arial" w:hAnsi="Arial" w:cs="Arial"/>
          <w:sz w:val="20"/>
        </w:rPr>
        <w:t xml:space="preserve"> the variability of the heating resource available in </w:t>
      </w:r>
      <w:r w:rsidR="00773CE9">
        <w:rPr>
          <w:rFonts w:ascii="Arial" w:hAnsi="Arial" w:cs="Arial"/>
          <w:sz w:val="20"/>
        </w:rPr>
        <w:t xml:space="preserve">meat processing </w:t>
      </w:r>
      <w:r w:rsidR="005339B0">
        <w:rPr>
          <w:rFonts w:ascii="Arial" w:hAnsi="Arial" w:cs="Arial"/>
          <w:sz w:val="20"/>
        </w:rPr>
        <w:t>wastewater, the ideal location f</w:t>
      </w:r>
      <w:r w:rsidRPr="00B2056C">
        <w:rPr>
          <w:rFonts w:ascii="Arial" w:hAnsi="Arial" w:cs="Arial"/>
          <w:sz w:val="20"/>
        </w:rPr>
        <w:t xml:space="preserve">or WWHR </w:t>
      </w:r>
      <w:r w:rsidR="005339B0">
        <w:rPr>
          <w:rFonts w:ascii="Arial" w:hAnsi="Arial" w:cs="Arial"/>
          <w:sz w:val="20"/>
        </w:rPr>
        <w:t>within the on-site WWTP</w:t>
      </w:r>
      <w:r w:rsidRPr="00B2056C">
        <w:rPr>
          <w:rFonts w:ascii="Arial" w:hAnsi="Arial" w:cs="Arial"/>
          <w:sz w:val="20"/>
        </w:rPr>
        <w:t xml:space="preserve">, and the </w:t>
      </w:r>
      <w:r w:rsidR="005339B0">
        <w:rPr>
          <w:rFonts w:ascii="Arial" w:hAnsi="Arial" w:cs="Arial"/>
          <w:sz w:val="20"/>
        </w:rPr>
        <w:t>design and operability</w:t>
      </w:r>
      <w:r w:rsidRPr="00B2056C">
        <w:rPr>
          <w:rFonts w:ascii="Arial" w:hAnsi="Arial" w:cs="Arial"/>
          <w:sz w:val="20"/>
        </w:rPr>
        <w:t xml:space="preserve"> of a WWHR syste</w:t>
      </w:r>
      <w:r w:rsidR="005339B0">
        <w:rPr>
          <w:rFonts w:ascii="Arial" w:hAnsi="Arial" w:cs="Arial"/>
          <w:sz w:val="20"/>
        </w:rPr>
        <w:t>m</w:t>
      </w:r>
      <w:r w:rsidRPr="00B2056C">
        <w:rPr>
          <w:rFonts w:ascii="Arial" w:hAnsi="Arial" w:cs="Arial"/>
          <w:sz w:val="20"/>
        </w:rPr>
        <w:t xml:space="preserve">. </w:t>
      </w:r>
      <w:r w:rsidR="00773CE9">
        <w:rPr>
          <w:rFonts w:ascii="Arial" w:hAnsi="Arial" w:cs="Arial"/>
          <w:sz w:val="20"/>
        </w:rPr>
        <w:t>This manuscript aims t</w:t>
      </w:r>
      <w:r w:rsidRPr="00B2056C">
        <w:rPr>
          <w:rFonts w:ascii="Arial" w:hAnsi="Arial" w:cs="Arial"/>
          <w:sz w:val="20"/>
        </w:rPr>
        <w:t xml:space="preserve">o address </w:t>
      </w:r>
      <w:r w:rsidR="005339B0">
        <w:rPr>
          <w:rFonts w:ascii="Arial" w:hAnsi="Arial" w:cs="Arial"/>
          <w:sz w:val="20"/>
        </w:rPr>
        <w:t xml:space="preserve">some of </w:t>
      </w:r>
      <w:r w:rsidRPr="00B2056C">
        <w:rPr>
          <w:rFonts w:ascii="Arial" w:hAnsi="Arial" w:cs="Arial"/>
          <w:sz w:val="20"/>
        </w:rPr>
        <w:t>these questions</w:t>
      </w:r>
      <w:r w:rsidR="00773CE9">
        <w:rPr>
          <w:rFonts w:ascii="Arial" w:hAnsi="Arial" w:cs="Arial"/>
          <w:sz w:val="20"/>
        </w:rPr>
        <w:t xml:space="preserve"> by detailing</w:t>
      </w:r>
      <w:r w:rsidRPr="00B2056C">
        <w:rPr>
          <w:rFonts w:ascii="Arial" w:hAnsi="Arial" w:cs="Arial"/>
          <w:sz w:val="20"/>
        </w:rPr>
        <w:t xml:space="preserve"> </w:t>
      </w:r>
      <w:r w:rsidR="00773CE9">
        <w:rPr>
          <w:rFonts w:ascii="Arial" w:hAnsi="Arial" w:cs="Arial"/>
          <w:sz w:val="20"/>
        </w:rPr>
        <w:t>the implementation of a</w:t>
      </w:r>
      <w:r w:rsidRPr="00B2056C">
        <w:rPr>
          <w:rFonts w:ascii="Arial" w:hAnsi="Arial" w:cs="Arial"/>
          <w:sz w:val="20"/>
        </w:rPr>
        <w:t xml:space="preserve"> mobile WWHR demonstration unit </w:t>
      </w:r>
      <w:r w:rsidR="00773CE9">
        <w:rPr>
          <w:rFonts w:ascii="Arial" w:hAnsi="Arial" w:cs="Arial"/>
          <w:sz w:val="20"/>
        </w:rPr>
        <w:t xml:space="preserve">that </w:t>
      </w:r>
      <w:r w:rsidRPr="00B2056C">
        <w:rPr>
          <w:rFonts w:ascii="Arial" w:hAnsi="Arial" w:cs="Arial"/>
          <w:sz w:val="20"/>
        </w:rPr>
        <w:t>was developed</w:t>
      </w:r>
      <w:r w:rsidR="00EB55D6">
        <w:rPr>
          <w:rFonts w:ascii="Arial" w:hAnsi="Arial" w:cs="Arial"/>
          <w:sz w:val="20"/>
        </w:rPr>
        <w:t xml:space="preserve"> </w:t>
      </w:r>
      <w:r w:rsidRPr="00B2056C">
        <w:rPr>
          <w:rFonts w:ascii="Arial" w:hAnsi="Arial" w:cs="Arial"/>
          <w:sz w:val="20"/>
        </w:rPr>
        <w:t xml:space="preserve">to run </w:t>
      </w:r>
      <w:r w:rsidR="00773CE9">
        <w:rPr>
          <w:rFonts w:ascii="Arial" w:hAnsi="Arial" w:cs="Arial"/>
          <w:sz w:val="20"/>
        </w:rPr>
        <w:t>in</w:t>
      </w:r>
      <w:r w:rsidRPr="00B2056C">
        <w:rPr>
          <w:rFonts w:ascii="Arial" w:hAnsi="Arial" w:cs="Arial"/>
          <w:sz w:val="20"/>
        </w:rPr>
        <w:t xml:space="preserve"> multiple locations </w:t>
      </w:r>
      <w:r w:rsidR="00773CE9">
        <w:rPr>
          <w:rFonts w:ascii="Arial" w:hAnsi="Arial" w:cs="Arial"/>
          <w:sz w:val="20"/>
        </w:rPr>
        <w:t>at</w:t>
      </w:r>
      <w:r w:rsidRPr="00B2056C">
        <w:rPr>
          <w:rFonts w:ascii="Arial" w:hAnsi="Arial" w:cs="Arial"/>
          <w:sz w:val="20"/>
        </w:rPr>
        <w:t xml:space="preserve"> one of the</w:t>
      </w:r>
      <w:r w:rsidR="00773CE9">
        <w:rPr>
          <w:rFonts w:ascii="Arial" w:hAnsi="Arial" w:cs="Arial"/>
          <w:sz w:val="20"/>
        </w:rPr>
        <w:t xml:space="preserve"> on-site WWTP</w:t>
      </w:r>
      <w:r w:rsidRPr="00B2056C">
        <w:rPr>
          <w:rFonts w:ascii="Arial" w:hAnsi="Arial" w:cs="Arial"/>
          <w:sz w:val="20"/>
        </w:rPr>
        <w:t>.</w:t>
      </w:r>
      <w:r w:rsidR="00773CE9">
        <w:rPr>
          <w:rFonts w:ascii="Arial" w:hAnsi="Arial" w:cs="Arial"/>
          <w:sz w:val="20"/>
        </w:rPr>
        <w:t xml:space="preserve"> Monitoring and operability results from this </w:t>
      </w:r>
      <w:proofErr w:type="gramStart"/>
      <w:r w:rsidR="00773CE9">
        <w:rPr>
          <w:rFonts w:ascii="Arial" w:hAnsi="Arial" w:cs="Arial"/>
          <w:sz w:val="20"/>
        </w:rPr>
        <w:t>units</w:t>
      </w:r>
      <w:proofErr w:type="gramEnd"/>
      <w:r w:rsidR="00773CE9">
        <w:rPr>
          <w:rFonts w:ascii="Arial" w:hAnsi="Arial" w:cs="Arial"/>
          <w:sz w:val="20"/>
        </w:rPr>
        <w:t xml:space="preserve"> testing will provide a valuable insight into the resource available and the design of future WWHR systems in industrial food processing. </w:t>
      </w:r>
    </w:p>
    <w:p w14:paraId="2EE786F4" w14:textId="054BFA6F" w:rsidR="00B45FD8" w:rsidRPr="006D0922" w:rsidRDefault="00B45FD8" w:rsidP="00B0374D">
      <w:pPr>
        <w:pStyle w:val="02Author"/>
        <w:spacing w:line="240" w:lineRule="auto"/>
        <w:rPr>
          <w:rFonts w:ascii="Arial" w:hAnsi="Arial" w:cs="Arial"/>
          <w:sz w:val="20"/>
          <w:szCs w:val="20"/>
        </w:rPr>
      </w:pPr>
    </w:p>
    <w:p w14:paraId="0B102293" w14:textId="703D96ED" w:rsidR="00836B78" w:rsidRDefault="008E626D" w:rsidP="00B0374D">
      <w:pPr>
        <w:pStyle w:val="06NumeratedHeading1"/>
        <w:numPr>
          <w:ilvl w:val="0"/>
          <w:numId w:val="19"/>
        </w:numPr>
        <w:tabs>
          <w:tab w:val="clear" w:pos="425"/>
          <w:tab w:val="left" w:pos="426"/>
        </w:tabs>
        <w:spacing w:before="0" w:after="0" w:line="240" w:lineRule="auto"/>
        <w:ind w:right="357"/>
        <w:rPr>
          <w:rFonts w:ascii="Arial" w:hAnsi="Arial" w:cs="Arial"/>
          <w:color w:val="FF0000"/>
          <w:sz w:val="20"/>
        </w:rPr>
      </w:pPr>
      <w:r>
        <w:rPr>
          <w:rFonts w:ascii="Arial" w:hAnsi="Arial" w:cs="Arial"/>
          <w:sz w:val="20"/>
        </w:rPr>
        <w:t>METHODOLOGY</w:t>
      </w:r>
    </w:p>
    <w:p w14:paraId="20B6D949" w14:textId="28D8AE7E" w:rsidR="00FC4B86" w:rsidRDefault="00FC4B86" w:rsidP="008E626D">
      <w:pPr>
        <w:rPr>
          <w:rFonts w:cs="Arial"/>
          <w:caps/>
          <w:color w:val="FF0000"/>
        </w:rPr>
      </w:pPr>
    </w:p>
    <w:p w14:paraId="24BBFC81" w14:textId="77777777" w:rsidR="00AA41CA" w:rsidRPr="00AA41CA" w:rsidRDefault="00AA41CA" w:rsidP="00B0374D">
      <w:pPr>
        <w:pStyle w:val="ListParagraph"/>
        <w:numPr>
          <w:ilvl w:val="0"/>
          <w:numId w:val="11"/>
        </w:numPr>
        <w:tabs>
          <w:tab w:val="left" w:pos="426"/>
        </w:tabs>
        <w:contextualSpacing w:val="0"/>
        <w:rPr>
          <w:rFonts w:cs="Arial"/>
          <w:vanish/>
          <w:szCs w:val="18"/>
        </w:rPr>
      </w:pPr>
    </w:p>
    <w:p w14:paraId="5CE7AFE3" w14:textId="77777777" w:rsidR="00AA41CA" w:rsidRPr="00AA41CA" w:rsidRDefault="00AA41CA" w:rsidP="00B0374D">
      <w:pPr>
        <w:pStyle w:val="ListParagraph"/>
        <w:numPr>
          <w:ilvl w:val="0"/>
          <w:numId w:val="11"/>
        </w:numPr>
        <w:tabs>
          <w:tab w:val="left" w:pos="426"/>
        </w:tabs>
        <w:contextualSpacing w:val="0"/>
        <w:rPr>
          <w:rFonts w:cs="Arial"/>
          <w:vanish/>
          <w:szCs w:val="18"/>
        </w:rPr>
      </w:pPr>
    </w:p>
    <w:p w14:paraId="1809CC6F" w14:textId="4E1C0A38" w:rsidR="00836B78" w:rsidRDefault="008E626D" w:rsidP="00B0374D">
      <w:pPr>
        <w:pStyle w:val="06NumeratedHeading2"/>
        <w:spacing w:before="0" w:after="0"/>
        <w:ind w:left="357" w:hanging="357"/>
        <w:rPr>
          <w:rFonts w:ascii="Arial" w:hAnsi="Arial" w:cs="Arial"/>
          <w:b/>
          <w:bCs/>
          <w:sz w:val="20"/>
          <w:szCs w:val="20"/>
        </w:rPr>
      </w:pPr>
      <w:bookmarkStart w:id="0" w:name="_Hlk132172901"/>
      <w:r>
        <w:rPr>
          <w:rFonts w:ascii="Arial" w:hAnsi="Arial" w:cs="Arial"/>
          <w:b/>
          <w:bCs/>
          <w:sz w:val="20"/>
          <w:szCs w:val="20"/>
        </w:rPr>
        <w:t>Wastewater Heat Recovery Unit Design</w:t>
      </w:r>
      <w:bookmarkEnd w:id="0"/>
      <w:r w:rsidR="008C7440">
        <w:rPr>
          <w:rFonts w:ascii="Arial" w:hAnsi="Arial" w:cs="Arial"/>
          <w:b/>
          <w:bCs/>
          <w:sz w:val="20"/>
          <w:szCs w:val="20"/>
        </w:rPr>
        <w:t xml:space="preserve"> and Description</w:t>
      </w:r>
    </w:p>
    <w:p w14:paraId="76D0C11C" w14:textId="36C6E8E5" w:rsidR="00EA354E" w:rsidRDefault="00EA354E" w:rsidP="008C7440">
      <w:pPr>
        <w:pStyle w:val="02Author"/>
        <w:spacing w:line="240" w:lineRule="auto"/>
        <w:ind w:left="851"/>
        <w:jc w:val="left"/>
        <w:rPr>
          <w:rFonts w:ascii="Arial" w:hAnsi="Arial" w:cs="Arial"/>
          <w:caps w:val="0"/>
          <w:color w:val="FF0000"/>
          <w:sz w:val="20"/>
          <w:szCs w:val="20"/>
        </w:rPr>
      </w:pPr>
    </w:p>
    <w:p w14:paraId="4261CDED" w14:textId="39667CDE" w:rsidR="000F3279" w:rsidRDefault="00A22B07" w:rsidP="00D939E7">
      <w:pPr>
        <w:pStyle w:val="07paragraphs"/>
        <w:tabs>
          <w:tab w:val="clear" w:pos="357"/>
          <w:tab w:val="left" w:pos="426"/>
        </w:tabs>
        <w:spacing w:after="0" w:line="240" w:lineRule="auto"/>
        <w:rPr>
          <w:rFonts w:ascii="Arial" w:hAnsi="Arial" w:cs="Arial"/>
          <w:sz w:val="20"/>
        </w:rPr>
      </w:pPr>
      <w:r>
        <w:rPr>
          <w:rFonts w:ascii="Arial" w:hAnsi="Arial" w:cs="Arial"/>
          <w:sz w:val="20"/>
        </w:rPr>
        <w:tab/>
      </w:r>
      <w:r w:rsidR="008E626D">
        <w:rPr>
          <w:rFonts w:ascii="Arial" w:hAnsi="Arial" w:cs="Arial"/>
          <w:sz w:val="20"/>
        </w:rPr>
        <w:t xml:space="preserve">WWHR can occur </w:t>
      </w:r>
      <w:r>
        <w:rPr>
          <w:rFonts w:ascii="Arial" w:hAnsi="Arial" w:cs="Arial"/>
          <w:sz w:val="20"/>
        </w:rPr>
        <w:t>through two main methods: ‘D</w:t>
      </w:r>
      <w:r w:rsidR="008E626D">
        <w:rPr>
          <w:rFonts w:ascii="Arial" w:hAnsi="Arial" w:cs="Arial"/>
          <w:sz w:val="20"/>
        </w:rPr>
        <w:t>irectly</w:t>
      </w:r>
      <w:r>
        <w:rPr>
          <w:rFonts w:ascii="Arial" w:hAnsi="Arial" w:cs="Arial"/>
          <w:sz w:val="20"/>
        </w:rPr>
        <w:t>’</w:t>
      </w:r>
      <w:r w:rsidR="008E626D">
        <w:rPr>
          <w:rFonts w:ascii="Arial" w:hAnsi="Arial" w:cs="Arial"/>
          <w:sz w:val="20"/>
        </w:rPr>
        <w:t xml:space="preserve"> </w:t>
      </w:r>
      <w:r>
        <w:rPr>
          <w:rFonts w:ascii="Arial" w:hAnsi="Arial" w:cs="Arial"/>
          <w:sz w:val="20"/>
        </w:rPr>
        <w:t>by using only heat exchangers to pre-heat incoming cold feedwater to a boiler system and ‘Indirectly’ by using both heat exchangers and heat pumps to heat cold feedwater up to the temperature</w:t>
      </w:r>
      <w:r w:rsidR="003571FB">
        <w:rPr>
          <w:rFonts w:ascii="Arial" w:hAnsi="Arial" w:cs="Arial"/>
          <w:sz w:val="20"/>
        </w:rPr>
        <w:t xml:space="preserve"> required for use in the plant </w:t>
      </w:r>
      <w:r w:rsidR="003571FB">
        <w:rPr>
          <w:rFonts w:ascii="Arial" w:hAnsi="Arial" w:cs="Arial"/>
          <w:sz w:val="20"/>
        </w:rPr>
        <w:fldChar w:fldCharType="begin"/>
      </w:r>
      <w:r w:rsidR="003571FB">
        <w:rPr>
          <w:rFonts w:ascii="Arial" w:hAnsi="Arial" w:cs="Arial"/>
          <w:sz w:val="20"/>
        </w:rPr>
        <w:instrText xml:space="preserve"> ADDIN ZOTERO_ITEM CSL_CITATION {"citationID":"P5OCCZyS","properties":{"formattedCitation":"(Nagpal et al., 2021)","plainCitation":"(Nagpal et al., 2021)","noteIndex":0},"citationItems":[{"id":393,"uris":["http://zotero.org/users/6979584/items/W55HWE4Z"],"itemData":{"id":393,"type":"article-journal","abstract":"The EU Directive 2018/2001 recognized wastewater as a renewable heat source. Wastewater from domestic, industrial and commercial developments maintains considerable amounts of thermal energy after discharging into the sewer system. It is possible to recover this heat by using technologies like heat exchangers and heat pumps; and to reuse it to satisfy heating demands. This paper presents a review of the literature on wastewater heat recovery (WWHR) and its potential at different scales within the sewer system, including the component level, building level, sewer pipe network level, and wastewater treatment plant (WWTP) level. A systematic review is provided of the benefits and challenges of WWHR across each of these levels taking into consideration technical, economic and environmental aspects. This study analyzes important attributes of WWHR such as temperature and flow dynamics of the sewer system, impacts of WWHR on the environment, and legal regulations involved. Existing gaps in the WWHR field are also identified. It is concluded that WWHR has a significant potential to supply clean energy at a scale ranging from buildings to large communities and districts. Further attention to WWHR is needed from the research community, policymakers and other stakeholders to realize the full potential of this valuable renewable heat source.","container-title":"Water","DOI":"10.3390/w13091274","issue":"9","language":"en","license":"http://creativecommons.org/licenses/by/3.0/","note":"number: 9\npublisher: Multidisciplinary Digital Publishing Institute","page":"1274","source":"www.mdpi.com","title":"Heat Recovery from Wastewater—A Review of Available Resource","volume":"13","author":[{"family":"Nagpal","given":"Himanshu"},{"family":"Spriet","given":"Jan"},{"family":"Murali","given":"Madhu Krishna"},{"family":"McNabola","given":"Aonghus"}],"issued":{"date-parts":[["2021",1]]}}}],"schema":"https://github.com/citation-style-language/schema/raw/master/csl-citation.json"} </w:instrText>
      </w:r>
      <w:r w:rsidR="003571FB">
        <w:rPr>
          <w:rFonts w:ascii="Arial" w:hAnsi="Arial" w:cs="Arial"/>
          <w:sz w:val="20"/>
        </w:rPr>
        <w:fldChar w:fldCharType="separate"/>
      </w:r>
      <w:r w:rsidR="003571FB" w:rsidRPr="003571FB">
        <w:rPr>
          <w:rFonts w:ascii="Arial" w:hAnsi="Arial" w:cs="Arial"/>
          <w:sz w:val="20"/>
        </w:rPr>
        <w:t>(Nagpal et al., 2021)</w:t>
      </w:r>
      <w:r w:rsidR="003571FB">
        <w:rPr>
          <w:rFonts w:ascii="Arial" w:hAnsi="Arial" w:cs="Arial"/>
          <w:sz w:val="20"/>
        </w:rPr>
        <w:fldChar w:fldCharType="end"/>
      </w:r>
      <w:r w:rsidR="003571FB">
        <w:rPr>
          <w:rFonts w:ascii="Arial" w:hAnsi="Arial" w:cs="Arial"/>
          <w:sz w:val="20"/>
        </w:rPr>
        <w:t xml:space="preserve">. Direct heat exchange </w:t>
      </w:r>
      <w:r w:rsidR="004747A9">
        <w:rPr>
          <w:rFonts w:ascii="Arial" w:hAnsi="Arial" w:cs="Arial"/>
          <w:sz w:val="20"/>
        </w:rPr>
        <w:t xml:space="preserve">has lower capital costs as compared to indirect </w:t>
      </w:r>
      <w:proofErr w:type="gramStart"/>
      <w:r w:rsidR="004747A9">
        <w:rPr>
          <w:rFonts w:ascii="Arial" w:hAnsi="Arial" w:cs="Arial"/>
          <w:sz w:val="20"/>
        </w:rPr>
        <w:t>systems,</w:t>
      </w:r>
      <w:proofErr w:type="gramEnd"/>
      <w:r w:rsidR="004747A9">
        <w:rPr>
          <w:rFonts w:ascii="Arial" w:hAnsi="Arial" w:cs="Arial"/>
          <w:sz w:val="20"/>
        </w:rPr>
        <w:t xml:space="preserve"> however they</w:t>
      </w:r>
      <w:r w:rsidR="003571FB">
        <w:rPr>
          <w:rFonts w:ascii="Arial" w:hAnsi="Arial" w:cs="Arial"/>
          <w:sz w:val="20"/>
        </w:rPr>
        <w:t xml:space="preserve"> </w:t>
      </w:r>
      <w:r w:rsidR="004747A9">
        <w:rPr>
          <w:rFonts w:ascii="Arial" w:hAnsi="Arial" w:cs="Arial"/>
          <w:sz w:val="20"/>
        </w:rPr>
        <w:t>also</w:t>
      </w:r>
      <w:r w:rsidR="003571FB">
        <w:rPr>
          <w:rFonts w:ascii="Arial" w:hAnsi="Arial" w:cs="Arial"/>
          <w:sz w:val="20"/>
        </w:rPr>
        <w:t xml:space="preserve"> recover less heat as compared to an indirect system. </w:t>
      </w:r>
      <w:r w:rsidR="008E626D">
        <w:rPr>
          <w:rFonts w:ascii="Arial" w:hAnsi="Arial" w:cs="Arial"/>
          <w:sz w:val="20"/>
        </w:rPr>
        <w:t xml:space="preserve">The conceptual design for the WWHR </w:t>
      </w:r>
      <w:r w:rsidR="00D740CA">
        <w:rPr>
          <w:rFonts w:ascii="Arial" w:hAnsi="Arial" w:cs="Arial"/>
          <w:sz w:val="20"/>
        </w:rPr>
        <w:t xml:space="preserve">demonstration </w:t>
      </w:r>
      <w:r w:rsidR="008E626D">
        <w:rPr>
          <w:rFonts w:ascii="Arial" w:hAnsi="Arial" w:cs="Arial"/>
          <w:sz w:val="20"/>
        </w:rPr>
        <w:t>unit</w:t>
      </w:r>
      <w:r w:rsidR="003571FB">
        <w:rPr>
          <w:rFonts w:ascii="Arial" w:hAnsi="Arial" w:cs="Arial"/>
          <w:sz w:val="20"/>
        </w:rPr>
        <w:t xml:space="preserve"> incorporated both methods into the unit </w:t>
      </w:r>
      <w:proofErr w:type="gramStart"/>
      <w:r w:rsidR="003571FB">
        <w:rPr>
          <w:rFonts w:ascii="Arial" w:hAnsi="Arial" w:cs="Arial"/>
          <w:sz w:val="20"/>
        </w:rPr>
        <w:t>through the use of</w:t>
      </w:r>
      <w:proofErr w:type="gramEnd"/>
      <w:r w:rsidR="003571FB">
        <w:rPr>
          <w:rFonts w:ascii="Arial" w:hAnsi="Arial" w:cs="Arial"/>
          <w:sz w:val="20"/>
        </w:rPr>
        <w:t xml:space="preserve"> multiple heat exchangers (Figure 2) with certain heat exchangers allocated to be used for either method.</w:t>
      </w:r>
      <w:r w:rsidR="00ED58F6">
        <w:rPr>
          <w:rFonts w:ascii="Arial" w:hAnsi="Arial" w:cs="Arial"/>
          <w:sz w:val="20"/>
        </w:rPr>
        <w:t xml:space="preserve"> The heat exchanger choice was driven mainly by the commercial availability of the selected heat exchanger and its appropriateness for use with wastewater. </w:t>
      </w:r>
      <w:r w:rsidR="00D939E7">
        <w:rPr>
          <w:rFonts w:ascii="Arial" w:hAnsi="Arial" w:cs="Arial"/>
          <w:sz w:val="20"/>
        </w:rPr>
        <w:t>During</w:t>
      </w:r>
      <w:r w:rsidR="00ED58F6">
        <w:rPr>
          <w:rFonts w:ascii="Arial" w:hAnsi="Arial" w:cs="Arial"/>
          <w:sz w:val="20"/>
        </w:rPr>
        <w:t xml:space="preserve"> the measurement of </w:t>
      </w:r>
      <w:r w:rsidR="00D939E7">
        <w:rPr>
          <w:rFonts w:ascii="Arial" w:hAnsi="Arial" w:cs="Arial"/>
          <w:sz w:val="20"/>
        </w:rPr>
        <w:t xml:space="preserve">wastewater </w:t>
      </w:r>
      <w:r w:rsidR="00ED58F6">
        <w:rPr>
          <w:rFonts w:ascii="Arial" w:hAnsi="Arial" w:cs="Arial"/>
          <w:sz w:val="20"/>
        </w:rPr>
        <w:t xml:space="preserve">temperature </w:t>
      </w:r>
      <w:r w:rsidR="00D939E7">
        <w:rPr>
          <w:rFonts w:ascii="Arial" w:hAnsi="Arial" w:cs="Arial"/>
          <w:sz w:val="20"/>
        </w:rPr>
        <w:t>in the on-site WWTP, the significant vertical drop available at the outlet o</w:t>
      </w:r>
      <w:r w:rsidR="006C30DA">
        <w:rPr>
          <w:rFonts w:ascii="Arial" w:hAnsi="Arial" w:cs="Arial"/>
          <w:sz w:val="20"/>
        </w:rPr>
        <w:t>f some of the process</w:t>
      </w:r>
      <w:r w:rsidR="00D939E7">
        <w:rPr>
          <w:rFonts w:ascii="Arial" w:hAnsi="Arial" w:cs="Arial"/>
          <w:sz w:val="20"/>
        </w:rPr>
        <w:t xml:space="preserve"> tanks</w:t>
      </w:r>
      <w:r w:rsidR="006C30DA">
        <w:rPr>
          <w:rFonts w:ascii="Arial" w:hAnsi="Arial" w:cs="Arial"/>
          <w:sz w:val="20"/>
        </w:rPr>
        <w:t>, such as the dissolved air flotation tank,</w:t>
      </w:r>
      <w:r w:rsidR="00D939E7">
        <w:rPr>
          <w:rFonts w:ascii="Arial" w:hAnsi="Arial" w:cs="Arial"/>
          <w:sz w:val="20"/>
        </w:rPr>
        <w:t xml:space="preserve"> was noted. </w:t>
      </w:r>
      <w:r w:rsidR="004747A9">
        <w:rPr>
          <w:rFonts w:ascii="Arial" w:hAnsi="Arial" w:cs="Arial"/>
          <w:sz w:val="20"/>
        </w:rPr>
        <w:t xml:space="preserve">Hence, the potential use of this drop to </w:t>
      </w:r>
      <w:r w:rsidR="00536588">
        <w:rPr>
          <w:rFonts w:ascii="Arial" w:hAnsi="Arial" w:cs="Arial"/>
          <w:sz w:val="20"/>
        </w:rPr>
        <w:t>drive</w:t>
      </w:r>
      <w:r w:rsidR="004747A9">
        <w:rPr>
          <w:rFonts w:ascii="Arial" w:hAnsi="Arial" w:cs="Arial"/>
          <w:sz w:val="20"/>
        </w:rPr>
        <w:t xml:space="preserve"> wastewater </w:t>
      </w:r>
      <w:r w:rsidR="00536588">
        <w:rPr>
          <w:rFonts w:ascii="Arial" w:hAnsi="Arial" w:cs="Arial"/>
          <w:sz w:val="20"/>
        </w:rPr>
        <w:t xml:space="preserve">flow </w:t>
      </w:r>
      <w:r w:rsidR="004747A9">
        <w:rPr>
          <w:rFonts w:ascii="Arial" w:hAnsi="Arial" w:cs="Arial"/>
          <w:sz w:val="20"/>
        </w:rPr>
        <w:t>through a heat exchange</w:t>
      </w:r>
      <w:r w:rsidR="00536588">
        <w:rPr>
          <w:rFonts w:ascii="Arial" w:hAnsi="Arial" w:cs="Arial"/>
          <w:sz w:val="20"/>
        </w:rPr>
        <w:t>r</w:t>
      </w:r>
      <w:r w:rsidR="00A0706C">
        <w:rPr>
          <w:rFonts w:ascii="Arial" w:hAnsi="Arial" w:cs="Arial"/>
          <w:sz w:val="20"/>
        </w:rPr>
        <w:t xml:space="preserve"> to reduce pumping costs</w:t>
      </w:r>
      <w:r w:rsidR="004747A9">
        <w:rPr>
          <w:rFonts w:ascii="Arial" w:hAnsi="Arial" w:cs="Arial"/>
          <w:sz w:val="20"/>
        </w:rPr>
        <w:t xml:space="preserve"> was an </w:t>
      </w:r>
      <w:proofErr w:type="gramStart"/>
      <w:r w:rsidR="004747A9">
        <w:rPr>
          <w:rFonts w:ascii="Arial" w:hAnsi="Arial" w:cs="Arial"/>
          <w:sz w:val="20"/>
        </w:rPr>
        <w:t>additional criteria</w:t>
      </w:r>
      <w:proofErr w:type="gramEnd"/>
      <w:r w:rsidR="004747A9">
        <w:rPr>
          <w:rFonts w:ascii="Arial" w:hAnsi="Arial" w:cs="Arial"/>
          <w:sz w:val="20"/>
        </w:rPr>
        <w:t xml:space="preserve"> that was considered. </w:t>
      </w:r>
      <w:r w:rsidR="00D235B0">
        <w:rPr>
          <w:rFonts w:ascii="Arial" w:hAnsi="Arial" w:cs="Arial"/>
          <w:sz w:val="20"/>
        </w:rPr>
        <w:tab/>
      </w:r>
    </w:p>
    <w:p w14:paraId="2BB6207D" w14:textId="1DDFB7BE" w:rsidR="00A0706C" w:rsidRPr="00A0706C" w:rsidRDefault="00A0706C" w:rsidP="00A0706C"/>
    <w:p w14:paraId="508CE6FE" w14:textId="5F41E9DE" w:rsidR="008E626D" w:rsidRDefault="008E626D" w:rsidP="008E626D">
      <w:pPr>
        <w:jc w:val="center"/>
      </w:pPr>
      <w:r>
        <w:rPr>
          <w:noProof/>
        </w:rPr>
        <w:lastRenderedPageBreak/>
        <w:drawing>
          <wp:inline distT="0" distB="0" distL="0" distR="0" wp14:anchorId="6A9AF81E" wp14:editId="5B4B1F37">
            <wp:extent cx="4432935" cy="230512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9620" cy="2313802"/>
                    </a:xfrm>
                    <a:prstGeom prst="rect">
                      <a:avLst/>
                    </a:prstGeom>
                    <a:noFill/>
                    <a:ln>
                      <a:noFill/>
                    </a:ln>
                  </pic:spPr>
                </pic:pic>
              </a:graphicData>
            </a:graphic>
          </wp:inline>
        </w:drawing>
      </w:r>
    </w:p>
    <w:p w14:paraId="4C7A7904" w14:textId="1DB8D7E1" w:rsidR="00A0706C" w:rsidRPr="00064308" w:rsidRDefault="008E626D" w:rsidP="008E626D">
      <w:pPr>
        <w:pStyle w:val="11CapFigure"/>
        <w:tabs>
          <w:tab w:val="clear" w:pos="6521"/>
          <w:tab w:val="left" w:pos="6946"/>
        </w:tabs>
        <w:spacing w:before="0" w:after="0"/>
        <w:rPr>
          <w:rFonts w:ascii="Arial" w:hAnsi="Arial" w:cs="Arial"/>
          <w:sz w:val="20"/>
          <w:szCs w:val="20"/>
        </w:rPr>
      </w:pPr>
      <w:r w:rsidRPr="000449AC">
        <w:rPr>
          <w:rFonts w:ascii="Arial" w:hAnsi="Arial" w:cs="Arial"/>
          <w:b/>
          <w:sz w:val="20"/>
          <w:szCs w:val="20"/>
        </w:rPr>
        <w:t xml:space="preserve">Figure </w:t>
      </w:r>
      <w:r w:rsidR="003571FB">
        <w:rPr>
          <w:rFonts w:ascii="Arial" w:hAnsi="Arial" w:cs="Arial"/>
          <w:b/>
          <w:sz w:val="20"/>
          <w:szCs w:val="20"/>
        </w:rPr>
        <w:t>2</w:t>
      </w:r>
      <w:r w:rsidRPr="000449AC">
        <w:rPr>
          <w:rFonts w:ascii="Arial" w:hAnsi="Arial" w:cs="Arial"/>
          <w:sz w:val="20"/>
          <w:szCs w:val="20"/>
        </w:rPr>
        <w:t xml:space="preserve">. </w:t>
      </w:r>
      <w:r w:rsidR="008C7440">
        <w:rPr>
          <w:rFonts w:ascii="Arial" w:hAnsi="Arial" w:cs="Arial"/>
          <w:sz w:val="20"/>
          <w:szCs w:val="20"/>
        </w:rPr>
        <w:t>Conceptual design of the demonstration unit designed for wastewater heat recovery at a meat processing plant.</w:t>
      </w:r>
      <w:r w:rsidR="00064308">
        <w:rPr>
          <w:rFonts w:ascii="Arial" w:hAnsi="Arial" w:cs="Arial"/>
          <w:sz w:val="20"/>
          <w:szCs w:val="20"/>
        </w:rPr>
        <w:br/>
      </w:r>
    </w:p>
    <w:p w14:paraId="02E04D23" w14:textId="248A7D31" w:rsidR="00064308" w:rsidRPr="00064308" w:rsidRDefault="004747A9" w:rsidP="00064308">
      <w:pPr>
        <w:pStyle w:val="07paragraphs"/>
        <w:tabs>
          <w:tab w:val="clear" w:pos="357"/>
          <w:tab w:val="left" w:pos="426"/>
        </w:tabs>
        <w:spacing w:after="0" w:line="240" w:lineRule="auto"/>
      </w:pPr>
      <w:r>
        <w:rPr>
          <w:rFonts w:ascii="Arial" w:hAnsi="Arial" w:cs="Arial"/>
          <w:sz w:val="20"/>
        </w:rPr>
        <w:tab/>
      </w:r>
      <w:bookmarkStart w:id="1" w:name="_Hlk132178341"/>
      <w:r>
        <w:rPr>
          <w:rFonts w:ascii="Arial" w:hAnsi="Arial" w:cs="Arial"/>
          <w:sz w:val="20"/>
        </w:rPr>
        <w:t>The</w:t>
      </w:r>
      <w:r w:rsidR="00A0706C">
        <w:rPr>
          <w:rFonts w:ascii="Arial" w:hAnsi="Arial" w:cs="Arial"/>
          <w:sz w:val="20"/>
        </w:rPr>
        <w:t>se</w:t>
      </w:r>
      <w:r>
        <w:rPr>
          <w:rFonts w:ascii="Arial" w:hAnsi="Arial" w:cs="Arial"/>
          <w:sz w:val="20"/>
        </w:rPr>
        <w:t xml:space="preserve"> criteria led to the selection of </w:t>
      </w:r>
      <w:r w:rsidR="00A0706C">
        <w:rPr>
          <w:rFonts w:ascii="Arial" w:hAnsi="Arial" w:cs="Arial"/>
          <w:sz w:val="20"/>
        </w:rPr>
        <w:t>a</w:t>
      </w:r>
      <w:r>
        <w:rPr>
          <w:rFonts w:ascii="Arial" w:hAnsi="Arial" w:cs="Arial"/>
          <w:sz w:val="20"/>
        </w:rPr>
        <w:t xml:space="preserve"> </w:t>
      </w:r>
      <w:r w:rsidR="00064308">
        <w:rPr>
          <w:rFonts w:ascii="Arial" w:hAnsi="Arial" w:cs="Arial"/>
          <w:sz w:val="20"/>
        </w:rPr>
        <w:t xml:space="preserve">copper shower </w:t>
      </w:r>
      <w:r>
        <w:rPr>
          <w:rFonts w:ascii="Arial" w:hAnsi="Arial" w:cs="Arial"/>
          <w:sz w:val="20"/>
        </w:rPr>
        <w:t xml:space="preserve">heat exchanger </w:t>
      </w:r>
      <w:r w:rsidR="00A0706C">
        <w:rPr>
          <w:rFonts w:ascii="Arial" w:hAnsi="Arial" w:cs="Arial"/>
          <w:sz w:val="20"/>
        </w:rPr>
        <w:t>produced by Q-Blue</w:t>
      </w:r>
      <w:r>
        <w:rPr>
          <w:rFonts w:ascii="Arial" w:hAnsi="Arial" w:cs="Arial"/>
          <w:sz w:val="20"/>
        </w:rPr>
        <w:t>. These heat exchangers were suitable for</w:t>
      </w:r>
      <w:r w:rsidR="00A0706C">
        <w:rPr>
          <w:rFonts w:ascii="Arial" w:hAnsi="Arial" w:cs="Arial"/>
          <w:sz w:val="20"/>
        </w:rPr>
        <w:t xml:space="preserve"> both</w:t>
      </w:r>
      <w:r>
        <w:rPr>
          <w:rFonts w:ascii="Arial" w:hAnsi="Arial" w:cs="Arial"/>
          <w:sz w:val="20"/>
        </w:rPr>
        <w:t xml:space="preserve"> gravity</w:t>
      </w:r>
      <w:r w:rsidR="00A0706C">
        <w:rPr>
          <w:rFonts w:ascii="Arial" w:hAnsi="Arial" w:cs="Arial"/>
          <w:sz w:val="20"/>
        </w:rPr>
        <w:t>-</w:t>
      </w:r>
      <w:r>
        <w:rPr>
          <w:rFonts w:ascii="Arial" w:hAnsi="Arial" w:cs="Arial"/>
          <w:sz w:val="20"/>
        </w:rPr>
        <w:t>based flow</w:t>
      </w:r>
      <w:r w:rsidR="00A0706C">
        <w:rPr>
          <w:rFonts w:ascii="Arial" w:hAnsi="Arial" w:cs="Arial"/>
          <w:sz w:val="20"/>
        </w:rPr>
        <w:t xml:space="preserve"> and</w:t>
      </w:r>
      <w:r>
        <w:rPr>
          <w:rFonts w:ascii="Arial" w:hAnsi="Arial" w:cs="Arial"/>
          <w:sz w:val="20"/>
        </w:rPr>
        <w:t xml:space="preserve"> wastewater </w:t>
      </w:r>
      <w:r w:rsidR="00A0706C">
        <w:rPr>
          <w:rFonts w:ascii="Arial" w:hAnsi="Arial" w:cs="Arial"/>
          <w:sz w:val="20"/>
        </w:rPr>
        <w:t>while also being</w:t>
      </w:r>
      <w:r>
        <w:rPr>
          <w:rFonts w:ascii="Arial" w:hAnsi="Arial" w:cs="Arial"/>
          <w:sz w:val="20"/>
        </w:rPr>
        <w:t xml:space="preserve"> commercially available.</w:t>
      </w:r>
      <w:r w:rsidR="00A0706C">
        <w:rPr>
          <w:rFonts w:ascii="Arial" w:hAnsi="Arial" w:cs="Arial"/>
          <w:sz w:val="20"/>
        </w:rPr>
        <w:t xml:space="preserve"> Ten </w:t>
      </w:r>
      <w:r w:rsidR="00064308">
        <w:rPr>
          <w:rFonts w:ascii="Arial" w:hAnsi="Arial" w:cs="Arial"/>
          <w:sz w:val="20"/>
        </w:rPr>
        <w:t xml:space="preserve">of these heat exchangers were combined into a movable rig by Q-Blue with a distributor to introduce wastewater through </w:t>
      </w:r>
      <w:bookmarkEnd w:id="1"/>
      <w:r w:rsidR="00064308">
        <w:rPr>
          <w:rFonts w:ascii="Arial" w:hAnsi="Arial" w:cs="Arial"/>
          <w:sz w:val="20"/>
        </w:rPr>
        <w:t>the heat exchangers at the top of the rig (Figure 3a). Six of the heat exchangers w</w:t>
      </w:r>
      <w:r w:rsidR="008C7440">
        <w:rPr>
          <w:rFonts w:ascii="Arial" w:hAnsi="Arial" w:cs="Arial"/>
          <w:sz w:val="20"/>
        </w:rPr>
        <w:t>ere</w:t>
      </w:r>
      <w:r w:rsidR="00064308">
        <w:rPr>
          <w:rFonts w:ascii="Arial" w:hAnsi="Arial" w:cs="Arial"/>
          <w:sz w:val="20"/>
        </w:rPr>
        <w:t xml:space="preserve"> </w:t>
      </w:r>
      <w:r w:rsidR="008C7440">
        <w:rPr>
          <w:rFonts w:ascii="Arial" w:hAnsi="Arial" w:cs="Arial"/>
          <w:sz w:val="20"/>
        </w:rPr>
        <w:t xml:space="preserve">used </w:t>
      </w:r>
      <w:r w:rsidR="00064308">
        <w:rPr>
          <w:rFonts w:ascii="Arial" w:hAnsi="Arial" w:cs="Arial"/>
          <w:sz w:val="20"/>
        </w:rPr>
        <w:t>for direct heat recovery and four for indirect heat recovery.</w:t>
      </w:r>
      <w:r w:rsidR="008C7440">
        <w:rPr>
          <w:rFonts w:ascii="Arial" w:hAnsi="Arial" w:cs="Arial"/>
          <w:sz w:val="20"/>
        </w:rPr>
        <w:t xml:space="preserve"> A </w:t>
      </w:r>
      <w:r w:rsidR="00F17C63">
        <w:rPr>
          <w:rFonts w:ascii="Arial" w:hAnsi="Arial" w:cs="Arial"/>
          <w:sz w:val="20"/>
        </w:rPr>
        <w:t xml:space="preserve">submersible wastewater pump, </w:t>
      </w:r>
      <w:r w:rsidR="008C7440">
        <w:rPr>
          <w:rFonts w:ascii="Arial" w:hAnsi="Arial" w:cs="Arial"/>
          <w:sz w:val="20"/>
        </w:rPr>
        <w:t>heat pump, piping, and monitoring equipment were installed onto the WWHR unit in-house by technical staff at Trinity College Dublin (Figure 3b). Monitoring equipment included sensors to measure temperature at the inlet and outlet of the wastewater and feedwater lines alongside with flowmeters to measure wastewater and feedwater outflow. The unit was designed such that it could be moved</w:t>
      </w:r>
      <w:r w:rsidR="00064308">
        <w:rPr>
          <w:rFonts w:ascii="Arial" w:hAnsi="Arial" w:cs="Arial"/>
          <w:sz w:val="20"/>
        </w:rPr>
        <w:t xml:space="preserve"> </w:t>
      </w:r>
      <w:r w:rsidR="008C7440">
        <w:rPr>
          <w:rFonts w:ascii="Arial" w:hAnsi="Arial" w:cs="Arial"/>
          <w:sz w:val="20"/>
        </w:rPr>
        <w:t xml:space="preserve">with the use of a forklift and be operated at different locations within the on-site WWTP of the meat processing plant. </w:t>
      </w:r>
      <w:r w:rsidR="00064308">
        <w:rPr>
          <w:rFonts w:ascii="Arial" w:hAnsi="Arial" w:cs="Arial"/>
          <w:sz w:val="20"/>
        </w:rPr>
        <w:t xml:space="preserve">  </w:t>
      </w:r>
      <w:r w:rsidR="00064308">
        <w:rPr>
          <w:rFonts w:ascii="Arial" w:hAnsi="Arial" w:cs="Arial"/>
          <w:sz w:val="20"/>
        </w:rPr>
        <w:br/>
      </w:r>
    </w:p>
    <w:p w14:paraId="53E98F70" w14:textId="36045C93" w:rsidR="00A0706C" w:rsidRDefault="00064308" w:rsidP="00064308">
      <w:pPr>
        <w:jc w:val="center"/>
      </w:pPr>
      <w:r>
        <w:rPr>
          <w:noProof/>
        </w:rPr>
        <w:drawing>
          <wp:inline distT="0" distB="0" distL="0" distR="0" wp14:anchorId="4E0BB98D" wp14:editId="076A2B77">
            <wp:extent cx="4445320" cy="228359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63030" cy="2292693"/>
                    </a:xfrm>
                    <a:prstGeom prst="rect">
                      <a:avLst/>
                    </a:prstGeom>
                    <a:noFill/>
                    <a:ln>
                      <a:noFill/>
                    </a:ln>
                  </pic:spPr>
                </pic:pic>
              </a:graphicData>
            </a:graphic>
          </wp:inline>
        </w:drawing>
      </w:r>
    </w:p>
    <w:p w14:paraId="48E8B822" w14:textId="3CDE4811" w:rsidR="00064308" w:rsidRPr="00064308" w:rsidRDefault="00064308" w:rsidP="00064308">
      <w:pPr>
        <w:pStyle w:val="ListParagraph"/>
        <w:ind w:left="1082"/>
        <w:rPr>
          <w:sz w:val="16"/>
          <w:szCs w:val="16"/>
        </w:rPr>
      </w:pPr>
      <w:r>
        <w:rPr>
          <w:sz w:val="16"/>
          <w:szCs w:val="16"/>
        </w:rPr>
        <w:t xml:space="preserve">                                 (a)                                                                                            </w:t>
      </w:r>
      <w:proofErr w:type="gramStart"/>
      <w:r>
        <w:rPr>
          <w:sz w:val="16"/>
          <w:szCs w:val="16"/>
        </w:rPr>
        <w:t xml:space="preserve">   (</w:t>
      </w:r>
      <w:proofErr w:type="gramEnd"/>
      <w:r>
        <w:rPr>
          <w:sz w:val="16"/>
          <w:szCs w:val="16"/>
        </w:rPr>
        <w:t>b)</w:t>
      </w:r>
    </w:p>
    <w:p w14:paraId="2D886283" w14:textId="310C6902" w:rsidR="00064308" w:rsidRDefault="00064308" w:rsidP="00064308">
      <w:pPr>
        <w:pStyle w:val="11CapFigure"/>
        <w:tabs>
          <w:tab w:val="clear" w:pos="6521"/>
          <w:tab w:val="left" w:pos="6946"/>
        </w:tabs>
        <w:spacing w:before="0" w:after="0"/>
        <w:rPr>
          <w:rFonts w:ascii="Arial" w:hAnsi="Arial" w:cs="Arial"/>
          <w:sz w:val="20"/>
          <w:szCs w:val="20"/>
        </w:rPr>
      </w:pPr>
      <w:r w:rsidRPr="000449AC">
        <w:rPr>
          <w:rFonts w:ascii="Arial" w:hAnsi="Arial" w:cs="Arial"/>
          <w:b/>
          <w:sz w:val="20"/>
          <w:szCs w:val="20"/>
        </w:rPr>
        <w:t xml:space="preserve">Figure </w:t>
      </w:r>
      <w:r>
        <w:rPr>
          <w:rFonts w:ascii="Arial" w:hAnsi="Arial" w:cs="Arial"/>
          <w:b/>
          <w:sz w:val="20"/>
          <w:szCs w:val="20"/>
        </w:rPr>
        <w:t>3</w:t>
      </w:r>
      <w:r w:rsidRPr="000449AC">
        <w:rPr>
          <w:rFonts w:ascii="Arial" w:hAnsi="Arial" w:cs="Arial"/>
          <w:sz w:val="20"/>
          <w:szCs w:val="20"/>
        </w:rPr>
        <w:t xml:space="preserve">. </w:t>
      </w:r>
      <w:r w:rsidR="0033110A">
        <w:rPr>
          <w:rFonts w:ascii="Arial" w:hAnsi="Arial" w:cs="Arial"/>
          <w:sz w:val="20"/>
          <w:szCs w:val="20"/>
        </w:rPr>
        <w:t>Pictures of the pilot demonstration unit showing the: (a) installation of the copper shower heat exchangers and (b) complete unit in operation at the on-site treatment plant.</w:t>
      </w:r>
    </w:p>
    <w:p w14:paraId="5FD92BB3" w14:textId="6389C0D5" w:rsidR="00A0706C" w:rsidRDefault="00A0706C" w:rsidP="00A0706C"/>
    <w:p w14:paraId="4872ABD6" w14:textId="30E144B1" w:rsidR="0033110A" w:rsidRDefault="005E359D" w:rsidP="0033110A">
      <w:pPr>
        <w:pStyle w:val="06NumeratedHeading2"/>
        <w:spacing w:before="0" w:after="0"/>
        <w:ind w:left="357" w:hanging="357"/>
        <w:rPr>
          <w:rFonts w:ascii="Arial" w:hAnsi="Arial" w:cs="Arial"/>
          <w:b/>
          <w:bCs/>
          <w:sz w:val="20"/>
          <w:szCs w:val="20"/>
        </w:rPr>
      </w:pPr>
      <w:bookmarkStart w:id="2" w:name="_Hlk132180918"/>
      <w:r>
        <w:rPr>
          <w:rFonts w:ascii="Arial" w:hAnsi="Arial" w:cs="Arial"/>
          <w:b/>
          <w:bCs/>
          <w:sz w:val="20"/>
          <w:szCs w:val="20"/>
        </w:rPr>
        <w:t>Site</w:t>
      </w:r>
      <w:r w:rsidR="0033110A">
        <w:rPr>
          <w:rFonts w:ascii="Arial" w:hAnsi="Arial" w:cs="Arial"/>
          <w:b/>
          <w:bCs/>
          <w:sz w:val="20"/>
          <w:szCs w:val="20"/>
        </w:rPr>
        <w:t xml:space="preserve"> Description</w:t>
      </w:r>
    </w:p>
    <w:p w14:paraId="3D25E792" w14:textId="6C183476" w:rsidR="00836B78" w:rsidRPr="00E30858" w:rsidRDefault="00836B78" w:rsidP="005E359D">
      <w:pPr>
        <w:pStyle w:val="02Author"/>
        <w:spacing w:line="240" w:lineRule="auto"/>
        <w:ind w:left="2"/>
        <w:jc w:val="left"/>
        <w:rPr>
          <w:rFonts w:ascii="Arial" w:hAnsi="Arial" w:cs="Arial"/>
          <w:b/>
          <w:bCs/>
          <w:sz w:val="20"/>
        </w:rPr>
      </w:pPr>
      <w:r w:rsidRPr="00E30858">
        <w:rPr>
          <w:rFonts w:ascii="Arial" w:hAnsi="Arial" w:cs="Arial"/>
          <w:b/>
          <w:bCs/>
          <w:sz w:val="20"/>
        </w:rPr>
        <w:t xml:space="preserve"> </w:t>
      </w:r>
    </w:p>
    <w:p w14:paraId="7231AA25" w14:textId="1332215F" w:rsidR="00BA1D71" w:rsidRDefault="00D235B0" w:rsidP="00D235B0">
      <w:pPr>
        <w:pStyle w:val="07paragraphs"/>
        <w:tabs>
          <w:tab w:val="clear" w:pos="357"/>
          <w:tab w:val="left" w:pos="426"/>
        </w:tabs>
        <w:spacing w:after="0" w:line="240" w:lineRule="auto"/>
        <w:rPr>
          <w:rFonts w:ascii="Arial" w:hAnsi="Arial" w:cs="Arial"/>
          <w:sz w:val="20"/>
        </w:rPr>
      </w:pPr>
      <w:bookmarkStart w:id="3" w:name="_Hlk132175663"/>
      <w:r>
        <w:rPr>
          <w:rFonts w:ascii="Arial" w:hAnsi="Arial" w:cs="Arial"/>
          <w:sz w:val="20"/>
        </w:rPr>
        <w:tab/>
      </w:r>
      <w:r w:rsidR="00442D2B">
        <w:rPr>
          <w:rFonts w:ascii="Arial" w:hAnsi="Arial" w:cs="Arial"/>
          <w:sz w:val="20"/>
        </w:rPr>
        <w:t xml:space="preserve">Site 2 was </w:t>
      </w:r>
      <w:r w:rsidR="00F24E67">
        <w:rPr>
          <w:rFonts w:ascii="Arial" w:hAnsi="Arial" w:cs="Arial"/>
          <w:sz w:val="20"/>
        </w:rPr>
        <w:t>the location for the both the initial and long-term tests of the demonstration unit. It is a</w:t>
      </w:r>
      <w:r w:rsidR="00E079BC">
        <w:rPr>
          <w:rFonts w:ascii="Arial" w:hAnsi="Arial" w:cs="Arial"/>
          <w:sz w:val="20"/>
        </w:rPr>
        <w:t xml:space="preserve"> meat processing plant that predominantly processes beef, accepting live animals and delivering packaged products to retailers. The on-site </w:t>
      </w:r>
      <w:r w:rsidR="00A00131">
        <w:rPr>
          <w:rFonts w:ascii="Arial" w:hAnsi="Arial" w:cs="Arial"/>
          <w:sz w:val="20"/>
        </w:rPr>
        <w:t>WWTP</w:t>
      </w:r>
      <w:r w:rsidR="00FF4540">
        <w:rPr>
          <w:rFonts w:ascii="Arial" w:hAnsi="Arial" w:cs="Arial"/>
          <w:sz w:val="20"/>
        </w:rPr>
        <w:t xml:space="preserve"> (Figure 4)</w:t>
      </w:r>
      <w:r w:rsidR="00E079BC">
        <w:rPr>
          <w:rFonts w:ascii="Arial" w:hAnsi="Arial" w:cs="Arial"/>
          <w:sz w:val="20"/>
        </w:rPr>
        <w:t xml:space="preserve"> receives wastewater from the beef processing chain alongside some wastewater from a nearby rendering plant that treats by-products of meat processing.</w:t>
      </w:r>
      <w:r w:rsidR="00A00131">
        <w:rPr>
          <w:rFonts w:ascii="Arial" w:hAnsi="Arial" w:cs="Arial"/>
          <w:sz w:val="20"/>
        </w:rPr>
        <w:t xml:space="preserve"> On average, the WWTP receives around 600 m</w:t>
      </w:r>
      <w:r w:rsidR="00A00131" w:rsidRPr="00A00131">
        <w:rPr>
          <w:rFonts w:ascii="Arial" w:hAnsi="Arial" w:cs="Arial"/>
          <w:sz w:val="20"/>
          <w:vertAlign w:val="superscript"/>
        </w:rPr>
        <w:t>3</w:t>
      </w:r>
      <w:r w:rsidR="00A00131">
        <w:rPr>
          <w:rFonts w:ascii="Arial" w:hAnsi="Arial" w:cs="Arial"/>
          <w:sz w:val="20"/>
        </w:rPr>
        <w:t>/</w:t>
      </w:r>
      <w:r w:rsidR="00D740CA">
        <w:rPr>
          <w:rFonts w:ascii="Arial" w:hAnsi="Arial" w:cs="Arial"/>
          <w:sz w:val="20"/>
        </w:rPr>
        <w:t>day</w:t>
      </w:r>
      <w:r w:rsidR="00A00131">
        <w:rPr>
          <w:rFonts w:ascii="Arial" w:hAnsi="Arial" w:cs="Arial"/>
          <w:sz w:val="20"/>
        </w:rPr>
        <w:t xml:space="preserve"> of wastewater inflows.</w:t>
      </w:r>
      <w:r w:rsidR="00E079BC">
        <w:rPr>
          <w:rFonts w:ascii="Arial" w:hAnsi="Arial" w:cs="Arial"/>
          <w:sz w:val="20"/>
        </w:rPr>
        <w:t xml:space="preserve"> Raw wastewater is initially screened before being processed by the dissolved air flotation tank to remove solids and grease. The wastewater then undergoes biological treatment through an anoxic tank followed by an aeration tank </w:t>
      </w:r>
      <w:r w:rsidR="003550DA">
        <w:rPr>
          <w:rFonts w:ascii="Arial" w:hAnsi="Arial" w:cs="Arial"/>
          <w:sz w:val="20"/>
        </w:rPr>
        <w:t>after which sludge is settled out in clarifiers before the wastewater is discharged to a nearby river.</w:t>
      </w:r>
      <w:r w:rsidR="00A00131">
        <w:rPr>
          <w:rFonts w:ascii="Arial" w:hAnsi="Arial" w:cs="Arial"/>
          <w:sz w:val="20"/>
        </w:rPr>
        <w:tab/>
      </w:r>
      <w:r w:rsidR="003550DA">
        <w:rPr>
          <w:rFonts w:ascii="Arial" w:hAnsi="Arial" w:cs="Arial"/>
          <w:sz w:val="20"/>
        </w:rPr>
        <w:t xml:space="preserve"> </w:t>
      </w:r>
      <w:r w:rsidR="00A00131">
        <w:rPr>
          <w:rFonts w:ascii="Arial" w:hAnsi="Arial" w:cs="Arial"/>
          <w:sz w:val="20"/>
        </w:rPr>
        <w:t xml:space="preserve">Sludge from the DAF and clarifiers are collected and thickened for disposal. Initial monitoring at </w:t>
      </w:r>
      <w:r w:rsidR="00C452E7">
        <w:rPr>
          <w:rFonts w:ascii="Arial" w:hAnsi="Arial" w:cs="Arial"/>
          <w:sz w:val="20"/>
        </w:rPr>
        <w:t>Site 2</w:t>
      </w:r>
      <w:r w:rsidR="00A00131">
        <w:rPr>
          <w:rFonts w:ascii="Arial" w:hAnsi="Arial" w:cs="Arial"/>
          <w:sz w:val="20"/>
        </w:rPr>
        <w:t xml:space="preserve"> showed that the heating resource was lower </w:t>
      </w:r>
      <w:r w:rsidR="00A00131">
        <w:rPr>
          <w:rFonts w:ascii="Arial" w:hAnsi="Arial" w:cs="Arial"/>
          <w:sz w:val="20"/>
        </w:rPr>
        <w:lastRenderedPageBreak/>
        <w:t xml:space="preserve">than </w:t>
      </w:r>
      <w:r w:rsidR="00A269BA">
        <w:rPr>
          <w:rFonts w:ascii="Arial" w:hAnsi="Arial" w:cs="Arial"/>
          <w:sz w:val="20"/>
        </w:rPr>
        <w:t>in</w:t>
      </w:r>
      <w:r w:rsidR="00A00131">
        <w:rPr>
          <w:rFonts w:ascii="Arial" w:hAnsi="Arial" w:cs="Arial"/>
          <w:sz w:val="20"/>
        </w:rPr>
        <w:t xml:space="preserve"> </w:t>
      </w:r>
      <w:r w:rsidR="00A269BA">
        <w:rPr>
          <w:rFonts w:ascii="Arial" w:hAnsi="Arial" w:cs="Arial"/>
          <w:sz w:val="20"/>
        </w:rPr>
        <w:t>S</w:t>
      </w:r>
      <w:r w:rsidR="00A00131">
        <w:rPr>
          <w:rFonts w:ascii="Arial" w:hAnsi="Arial" w:cs="Arial"/>
          <w:sz w:val="20"/>
        </w:rPr>
        <w:t>ite</w:t>
      </w:r>
      <w:r w:rsidR="00A269BA">
        <w:rPr>
          <w:rFonts w:ascii="Arial" w:hAnsi="Arial" w:cs="Arial"/>
          <w:sz w:val="20"/>
        </w:rPr>
        <w:t xml:space="preserve"> 1</w:t>
      </w:r>
      <w:r w:rsidR="00A00131">
        <w:rPr>
          <w:rFonts w:ascii="Arial" w:hAnsi="Arial" w:cs="Arial"/>
          <w:sz w:val="20"/>
        </w:rPr>
        <w:t xml:space="preserve"> </w:t>
      </w:r>
      <w:r w:rsidR="00A269BA">
        <w:rPr>
          <w:rFonts w:ascii="Arial" w:hAnsi="Arial" w:cs="Arial"/>
          <w:sz w:val="20"/>
        </w:rPr>
        <w:t>(Figure 1)</w:t>
      </w:r>
      <w:r w:rsidR="00A00131">
        <w:rPr>
          <w:rFonts w:ascii="Arial" w:hAnsi="Arial" w:cs="Arial"/>
          <w:sz w:val="20"/>
        </w:rPr>
        <w:t xml:space="preserve">. Hence, additional long-term monitoring was put in place at the inlet and outlet of the dissolved air flotation tank to quantify the heating resource at this site. </w:t>
      </w:r>
      <w:r w:rsidR="0086294A">
        <w:rPr>
          <w:rFonts w:ascii="Arial" w:hAnsi="Arial" w:cs="Arial"/>
          <w:sz w:val="20"/>
        </w:rPr>
        <w:t>The WWTP has a supply of washdown water which is a combination of treated wastewater and rainwater harvested from the meat processing plant roofs. This washdown water was used as the feedwater source for the demonstration unit as it was readily available and would reduce additional tap water use on site.</w:t>
      </w:r>
    </w:p>
    <w:p w14:paraId="4EB0BE6B" w14:textId="69C45E4B" w:rsidR="00FF4540" w:rsidRDefault="00FF4540" w:rsidP="00FF4540"/>
    <w:p w14:paraId="2D624A0D" w14:textId="2EBF904B" w:rsidR="00F75E14" w:rsidRDefault="00F75E14" w:rsidP="00F75E14">
      <w:pPr>
        <w:jc w:val="center"/>
      </w:pPr>
      <w:r w:rsidRPr="001D2650">
        <w:rPr>
          <w:noProof/>
        </w:rPr>
        <w:drawing>
          <wp:inline distT="0" distB="0" distL="0" distR="0" wp14:anchorId="060F503C" wp14:editId="5BD2A73D">
            <wp:extent cx="2909476" cy="2278072"/>
            <wp:effectExtent l="0" t="0" r="5715" b="8255"/>
            <wp:docPr id="3" name="Picture 4" descr="A picture containing sky, outdoor, ground, building&#10;&#10;Description automatically generated">
              <a:extLst xmlns:a="http://schemas.openxmlformats.org/drawingml/2006/main">
                <a:ext uri="{FF2B5EF4-FFF2-40B4-BE49-F238E27FC236}">
                  <a16:creationId xmlns:a16="http://schemas.microsoft.com/office/drawing/2014/main" id="{8EF89743-03AB-47A0-91B8-3D4D9E6914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sky, outdoor, ground, building&#10;&#10;Description automatically generated">
                      <a:extLst>
                        <a:ext uri="{FF2B5EF4-FFF2-40B4-BE49-F238E27FC236}">
                          <a16:creationId xmlns:a16="http://schemas.microsoft.com/office/drawing/2014/main" id="{8EF89743-03AB-47A0-91B8-3D4D9E6914E0}"/>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r="30887" b="27829"/>
                    <a:stretch/>
                  </pic:blipFill>
                  <pic:spPr>
                    <a:xfrm>
                      <a:off x="0" y="0"/>
                      <a:ext cx="2909476" cy="2278072"/>
                    </a:xfrm>
                    <a:prstGeom prst="rect">
                      <a:avLst/>
                    </a:prstGeom>
                  </pic:spPr>
                </pic:pic>
              </a:graphicData>
            </a:graphic>
          </wp:inline>
        </w:drawing>
      </w:r>
    </w:p>
    <w:p w14:paraId="4409CDA1" w14:textId="6D1D40DA" w:rsidR="00FF4540" w:rsidRPr="00861034" w:rsidRDefault="00FF4540" w:rsidP="00861034">
      <w:pPr>
        <w:pStyle w:val="11CapFigure"/>
        <w:tabs>
          <w:tab w:val="clear" w:pos="6521"/>
          <w:tab w:val="left" w:pos="6946"/>
        </w:tabs>
        <w:spacing w:before="0" w:after="0"/>
        <w:rPr>
          <w:rFonts w:ascii="Arial" w:hAnsi="Arial" w:cs="Arial"/>
          <w:sz w:val="20"/>
          <w:szCs w:val="20"/>
        </w:rPr>
      </w:pPr>
      <w:r w:rsidRPr="000449AC">
        <w:rPr>
          <w:rFonts w:ascii="Arial" w:hAnsi="Arial" w:cs="Arial"/>
          <w:b/>
          <w:sz w:val="20"/>
          <w:szCs w:val="20"/>
        </w:rPr>
        <w:t xml:space="preserve">Figure </w:t>
      </w:r>
      <w:r>
        <w:rPr>
          <w:rFonts w:ascii="Arial" w:hAnsi="Arial" w:cs="Arial"/>
          <w:b/>
          <w:sz w:val="20"/>
          <w:szCs w:val="20"/>
        </w:rPr>
        <w:t>4</w:t>
      </w:r>
      <w:r w:rsidRPr="000449AC">
        <w:rPr>
          <w:rFonts w:ascii="Arial" w:hAnsi="Arial" w:cs="Arial"/>
          <w:sz w:val="20"/>
          <w:szCs w:val="20"/>
        </w:rPr>
        <w:t xml:space="preserve">. </w:t>
      </w:r>
      <w:r w:rsidR="00F75E14">
        <w:rPr>
          <w:rFonts w:ascii="Arial" w:hAnsi="Arial" w:cs="Arial"/>
          <w:sz w:val="20"/>
          <w:szCs w:val="20"/>
        </w:rPr>
        <w:t xml:space="preserve">Dissolved air flotation tank at the on-site treatment plant where the demonstration unit was installed. </w:t>
      </w:r>
    </w:p>
    <w:bookmarkEnd w:id="2"/>
    <w:p w14:paraId="09BCAC15" w14:textId="27715627" w:rsidR="005E359D" w:rsidRDefault="005E359D" w:rsidP="005E359D"/>
    <w:p w14:paraId="029F325B" w14:textId="031E2283" w:rsidR="00A00131" w:rsidRDefault="00A00131" w:rsidP="00A00131">
      <w:pPr>
        <w:pStyle w:val="06NumeratedHeading2"/>
        <w:spacing w:before="0" w:after="0"/>
        <w:ind w:left="357" w:hanging="357"/>
        <w:rPr>
          <w:rFonts w:ascii="Arial" w:hAnsi="Arial" w:cs="Arial"/>
          <w:b/>
          <w:bCs/>
          <w:sz w:val="20"/>
          <w:szCs w:val="20"/>
        </w:rPr>
      </w:pPr>
      <w:r>
        <w:rPr>
          <w:rFonts w:ascii="Arial" w:hAnsi="Arial" w:cs="Arial"/>
          <w:b/>
          <w:bCs/>
          <w:sz w:val="20"/>
          <w:szCs w:val="20"/>
        </w:rPr>
        <w:t>Initial Testing</w:t>
      </w:r>
    </w:p>
    <w:p w14:paraId="305B7AD7" w14:textId="77777777" w:rsidR="00A00131" w:rsidRPr="00E30858" w:rsidRDefault="00A00131" w:rsidP="00A00131">
      <w:pPr>
        <w:pStyle w:val="02Author"/>
        <w:spacing w:line="240" w:lineRule="auto"/>
        <w:ind w:left="2"/>
        <w:jc w:val="left"/>
        <w:rPr>
          <w:rFonts w:ascii="Arial" w:hAnsi="Arial" w:cs="Arial"/>
          <w:b/>
          <w:bCs/>
          <w:sz w:val="20"/>
        </w:rPr>
      </w:pPr>
      <w:r w:rsidRPr="00E30858">
        <w:rPr>
          <w:rFonts w:ascii="Arial" w:hAnsi="Arial" w:cs="Arial"/>
          <w:b/>
          <w:bCs/>
          <w:sz w:val="20"/>
        </w:rPr>
        <w:t xml:space="preserve"> </w:t>
      </w:r>
    </w:p>
    <w:p w14:paraId="40846346" w14:textId="66BC6BE2" w:rsidR="00A00131" w:rsidRDefault="009C4171" w:rsidP="009C4171">
      <w:pPr>
        <w:pStyle w:val="07paragraphs"/>
        <w:tabs>
          <w:tab w:val="clear" w:pos="357"/>
          <w:tab w:val="left" w:pos="426"/>
        </w:tabs>
        <w:spacing w:after="0" w:line="240" w:lineRule="auto"/>
        <w:rPr>
          <w:rFonts w:ascii="Arial" w:hAnsi="Arial" w:cs="Arial"/>
          <w:sz w:val="20"/>
        </w:rPr>
      </w:pPr>
      <w:r>
        <w:rPr>
          <w:rFonts w:ascii="Arial" w:hAnsi="Arial" w:cs="Arial"/>
          <w:sz w:val="20"/>
        </w:rPr>
        <w:tab/>
      </w:r>
      <w:r w:rsidR="00597C3D">
        <w:rPr>
          <w:rFonts w:ascii="Arial" w:hAnsi="Arial" w:cs="Arial"/>
          <w:sz w:val="20"/>
        </w:rPr>
        <w:t>After commissioning the unit on-site, initial testing at the inlet of the WWTP and at the outlet of the dissolved air flotation tank was</w:t>
      </w:r>
      <w:r w:rsidR="00DD6A0D">
        <w:rPr>
          <w:rFonts w:ascii="Arial" w:hAnsi="Arial" w:cs="Arial"/>
          <w:sz w:val="20"/>
        </w:rPr>
        <w:t xml:space="preserve"> conducted. The unit was run for one week at </w:t>
      </w:r>
      <w:r w:rsidR="004C7C5C">
        <w:rPr>
          <w:rFonts w:ascii="Arial" w:hAnsi="Arial" w:cs="Arial"/>
          <w:sz w:val="20"/>
        </w:rPr>
        <w:t>two locatio</w:t>
      </w:r>
      <w:r w:rsidR="00DD6A0D">
        <w:rPr>
          <w:rFonts w:ascii="Arial" w:hAnsi="Arial" w:cs="Arial"/>
          <w:sz w:val="20"/>
        </w:rPr>
        <w:t>ns in early 2020</w:t>
      </w:r>
      <w:r w:rsidR="0070308A">
        <w:rPr>
          <w:rFonts w:ascii="Arial" w:hAnsi="Arial" w:cs="Arial"/>
          <w:sz w:val="20"/>
        </w:rPr>
        <w:t xml:space="preserve"> with the main purpose of determining the change in recoverable heat </w:t>
      </w:r>
      <w:r w:rsidR="0089324B">
        <w:rPr>
          <w:rFonts w:ascii="Arial" w:hAnsi="Arial" w:cs="Arial"/>
          <w:sz w:val="20"/>
        </w:rPr>
        <w:t>between the two locations. The</w:t>
      </w:r>
      <w:r w:rsidR="004C7C5C">
        <w:rPr>
          <w:rFonts w:ascii="Arial" w:hAnsi="Arial" w:cs="Arial"/>
          <w:sz w:val="20"/>
        </w:rPr>
        <w:t xml:space="preserve"> inlet was selected as </w:t>
      </w:r>
      <w:r w:rsidR="00B100AD">
        <w:rPr>
          <w:rFonts w:ascii="Arial" w:hAnsi="Arial" w:cs="Arial"/>
          <w:sz w:val="20"/>
        </w:rPr>
        <w:t xml:space="preserve">one of the locations as </w:t>
      </w:r>
      <w:r w:rsidR="004C7C5C">
        <w:rPr>
          <w:rFonts w:ascii="Arial" w:hAnsi="Arial" w:cs="Arial"/>
          <w:sz w:val="20"/>
        </w:rPr>
        <w:t>it had the largest heat</w:t>
      </w:r>
      <w:r w:rsidR="00B100AD">
        <w:rPr>
          <w:rFonts w:ascii="Arial" w:hAnsi="Arial" w:cs="Arial"/>
          <w:sz w:val="20"/>
        </w:rPr>
        <w:t>ing resource available</w:t>
      </w:r>
      <w:r w:rsidR="00FD2656">
        <w:rPr>
          <w:rFonts w:ascii="Arial" w:hAnsi="Arial" w:cs="Arial"/>
          <w:sz w:val="20"/>
        </w:rPr>
        <w:t xml:space="preserve"> on-site</w:t>
      </w:r>
      <w:r w:rsidR="00B100AD">
        <w:rPr>
          <w:rFonts w:ascii="Arial" w:hAnsi="Arial" w:cs="Arial"/>
          <w:sz w:val="20"/>
        </w:rPr>
        <w:t>. The outlet of the DAF tank was also selected as an additional spot due to th</w:t>
      </w:r>
      <w:r w:rsidR="00B02A7C">
        <w:rPr>
          <w:rFonts w:ascii="Arial" w:hAnsi="Arial" w:cs="Arial"/>
          <w:sz w:val="20"/>
        </w:rPr>
        <w:t xml:space="preserve">e vertical drop available </w:t>
      </w:r>
      <w:r w:rsidR="00E0694A">
        <w:rPr>
          <w:rFonts w:ascii="Arial" w:hAnsi="Arial" w:cs="Arial"/>
          <w:sz w:val="20"/>
        </w:rPr>
        <w:t>here</w:t>
      </w:r>
      <w:r w:rsidR="00B02A7C">
        <w:rPr>
          <w:rFonts w:ascii="Arial" w:hAnsi="Arial" w:cs="Arial"/>
          <w:sz w:val="20"/>
        </w:rPr>
        <w:t xml:space="preserve"> (Figure </w:t>
      </w:r>
      <w:r w:rsidR="00E0694A">
        <w:rPr>
          <w:rFonts w:ascii="Arial" w:hAnsi="Arial" w:cs="Arial"/>
          <w:sz w:val="20"/>
        </w:rPr>
        <w:t>4</w:t>
      </w:r>
      <w:r w:rsidR="00B02A7C">
        <w:rPr>
          <w:rFonts w:ascii="Arial" w:hAnsi="Arial" w:cs="Arial"/>
          <w:sz w:val="20"/>
        </w:rPr>
        <w:t>)</w:t>
      </w:r>
      <w:r w:rsidR="00E0694A">
        <w:rPr>
          <w:rFonts w:ascii="Arial" w:hAnsi="Arial" w:cs="Arial"/>
          <w:sz w:val="20"/>
        </w:rPr>
        <w:t xml:space="preserve">, which may be of </w:t>
      </w:r>
      <w:r w:rsidR="009D01F7">
        <w:rPr>
          <w:rFonts w:ascii="Arial" w:hAnsi="Arial" w:cs="Arial"/>
          <w:sz w:val="20"/>
        </w:rPr>
        <w:t xml:space="preserve">particular </w:t>
      </w:r>
      <w:r w:rsidR="00E0694A">
        <w:rPr>
          <w:rFonts w:ascii="Arial" w:hAnsi="Arial" w:cs="Arial"/>
          <w:sz w:val="20"/>
        </w:rPr>
        <w:t xml:space="preserve">significance for a </w:t>
      </w:r>
      <w:r w:rsidR="00D51F7B">
        <w:rPr>
          <w:rFonts w:ascii="Arial" w:hAnsi="Arial" w:cs="Arial"/>
          <w:sz w:val="20"/>
        </w:rPr>
        <w:t>full-scale system</w:t>
      </w:r>
      <w:r w:rsidR="009D01F7">
        <w:rPr>
          <w:rFonts w:ascii="Arial" w:hAnsi="Arial" w:cs="Arial"/>
          <w:sz w:val="20"/>
        </w:rPr>
        <w:t xml:space="preserve"> where</w:t>
      </w:r>
      <w:r w:rsidR="0086294A">
        <w:rPr>
          <w:rFonts w:ascii="Arial" w:hAnsi="Arial" w:cs="Arial"/>
          <w:sz w:val="20"/>
        </w:rPr>
        <w:t xml:space="preserve"> wastewater</w:t>
      </w:r>
      <w:r w:rsidR="009D01F7">
        <w:rPr>
          <w:rFonts w:ascii="Arial" w:hAnsi="Arial" w:cs="Arial"/>
          <w:sz w:val="20"/>
        </w:rPr>
        <w:t xml:space="preserve"> flow can be driven by gravity</w:t>
      </w:r>
      <w:r w:rsidR="00D51F7B">
        <w:rPr>
          <w:rFonts w:ascii="Arial" w:hAnsi="Arial" w:cs="Arial"/>
          <w:sz w:val="20"/>
        </w:rPr>
        <w:t xml:space="preserve">. Further, a significant </w:t>
      </w:r>
      <w:proofErr w:type="gramStart"/>
      <w:r w:rsidR="00D51F7B">
        <w:rPr>
          <w:rFonts w:ascii="Arial" w:hAnsi="Arial" w:cs="Arial"/>
          <w:sz w:val="20"/>
        </w:rPr>
        <w:t>amount</w:t>
      </w:r>
      <w:proofErr w:type="gramEnd"/>
      <w:r w:rsidR="00D51F7B">
        <w:rPr>
          <w:rFonts w:ascii="Arial" w:hAnsi="Arial" w:cs="Arial"/>
          <w:sz w:val="20"/>
        </w:rPr>
        <w:t xml:space="preserve"> of solids and fats are removed from the wastewater at the end of the dissolved air flotation process</w:t>
      </w:r>
      <w:r w:rsidR="00A018F4">
        <w:rPr>
          <w:rFonts w:ascii="Arial" w:hAnsi="Arial" w:cs="Arial"/>
          <w:sz w:val="20"/>
        </w:rPr>
        <w:t xml:space="preserve"> which</w:t>
      </w:r>
      <w:r w:rsidR="003F6DAC">
        <w:rPr>
          <w:rFonts w:ascii="Arial" w:hAnsi="Arial" w:cs="Arial"/>
          <w:sz w:val="20"/>
        </w:rPr>
        <w:t xml:space="preserve"> also</w:t>
      </w:r>
      <w:r w:rsidR="00A018F4">
        <w:rPr>
          <w:rFonts w:ascii="Arial" w:hAnsi="Arial" w:cs="Arial"/>
          <w:sz w:val="20"/>
        </w:rPr>
        <w:t xml:space="preserve"> allows us to compare the difference that wastewater quality causes </w:t>
      </w:r>
      <w:r w:rsidR="003F6DAC">
        <w:rPr>
          <w:rFonts w:ascii="Arial" w:hAnsi="Arial" w:cs="Arial"/>
          <w:sz w:val="20"/>
        </w:rPr>
        <w:t>in heat recovery</w:t>
      </w:r>
      <w:r w:rsidR="007A438E">
        <w:rPr>
          <w:rFonts w:ascii="Arial" w:hAnsi="Arial" w:cs="Arial"/>
          <w:sz w:val="20"/>
        </w:rPr>
        <w:t xml:space="preserve"> and operability of the heat recovery unit</w:t>
      </w:r>
      <w:r w:rsidR="003F6DAC">
        <w:rPr>
          <w:rFonts w:ascii="Arial" w:hAnsi="Arial" w:cs="Arial"/>
          <w:sz w:val="20"/>
        </w:rPr>
        <w:t>.</w:t>
      </w:r>
    </w:p>
    <w:p w14:paraId="4202DB2D" w14:textId="361E9F1B" w:rsidR="00A00131" w:rsidRDefault="00A00131" w:rsidP="005E359D"/>
    <w:p w14:paraId="2D448A84" w14:textId="32E9CAF6" w:rsidR="00A00131" w:rsidRDefault="00A00131" w:rsidP="00A00131">
      <w:pPr>
        <w:pStyle w:val="06NumeratedHeading2"/>
        <w:spacing w:before="0" w:after="0"/>
        <w:ind w:left="357" w:hanging="357"/>
        <w:rPr>
          <w:rFonts w:ascii="Arial" w:hAnsi="Arial" w:cs="Arial"/>
          <w:b/>
          <w:bCs/>
          <w:sz w:val="20"/>
          <w:szCs w:val="20"/>
        </w:rPr>
      </w:pPr>
      <w:r>
        <w:rPr>
          <w:rFonts w:ascii="Arial" w:hAnsi="Arial" w:cs="Arial"/>
          <w:b/>
          <w:bCs/>
          <w:sz w:val="20"/>
          <w:szCs w:val="20"/>
        </w:rPr>
        <w:t>Long-term Testing</w:t>
      </w:r>
    </w:p>
    <w:p w14:paraId="3982AC0A" w14:textId="77777777" w:rsidR="00A00131" w:rsidRPr="00E30858" w:rsidRDefault="00A00131" w:rsidP="00A00131">
      <w:pPr>
        <w:pStyle w:val="02Author"/>
        <w:spacing w:line="240" w:lineRule="auto"/>
        <w:ind w:left="2"/>
        <w:jc w:val="left"/>
        <w:rPr>
          <w:rFonts w:ascii="Arial" w:hAnsi="Arial" w:cs="Arial"/>
          <w:b/>
          <w:bCs/>
          <w:sz w:val="20"/>
        </w:rPr>
      </w:pPr>
      <w:r w:rsidRPr="00E30858">
        <w:rPr>
          <w:rFonts w:ascii="Arial" w:hAnsi="Arial" w:cs="Arial"/>
          <w:b/>
          <w:bCs/>
          <w:sz w:val="20"/>
        </w:rPr>
        <w:t xml:space="preserve"> </w:t>
      </w:r>
    </w:p>
    <w:p w14:paraId="650EDD6A" w14:textId="3E5B7FEB" w:rsidR="00A00131" w:rsidRDefault="00703972" w:rsidP="00703972">
      <w:pPr>
        <w:pStyle w:val="07paragraphs"/>
        <w:tabs>
          <w:tab w:val="clear" w:pos="357"/>
          <w:tab w:val="left" w:pos="426"/>
        </w:tabs>
        <w:spacing w:after="0" w:line="240" w:lineRule="auto"/>
        <w:rPr>
          <w:rFonts w:ascii="Arial" w:hAnsi="Arial" w:cs="Arial"/>
          <w:sz w:val="20"/>
        </w:rPr>
      </w:pPr>
      <w:r>
        <w:rPr>
          <w:rFonts w:ascii="Arial" w:hAnsi="Arial" w:cs="Arial"/>
          <w:sz w:val="20"/>
        </w:rPr>
        <w:tab/>
      </w:r>
      <w:r w:rsidR="00EE105F">
        <w:rPr>
          <w:rFonts w:ascii="Arial" w:hAnsi="Arial" w:cs="Arial"/>
          <w:sz w:val="20"/>
        </w:rPr>
        <w:t>No on-site testing was possible for a significant amount of time after the initial tests</w:t>
      </w:r>
      <w:r w:rsidR="00A00131">
        <w:rPr>
          <w:rFonts w:ascii="Arial" w:hAnsi="Arial" w:cs="Arial"/>
          <w:sz w:val="20"/>
        </w:rPr>
        <w:t xml:space="preserve"> </w:t>
      </w:r>
      <w:r>
        <w:rPr>
          <w:rFonts w:ascii="Arial" w:hAnsi="Arial" w:cs="Arial"/>
          <w:sz w:val="20"/>
        </w:rPr>
        <w:t xml:space="preserve">due to access </w:t>
      </w:r>
      <w:r w:rsidR="00F93FF6">
        <w:rPr>
          <w:rFonts w:ascii="Arial" w:hAnsi="Arial" w:cs="Arial"/>
          <w:sz w:val="20"/>
        </w:rPr>
        <w:t xml:space="preserve">restrictions </w:t>
      </w:r>
      <w:r w:rsidR="00D740CA">
        <w:rPr>
          <w:rFonts w:ascii="Arial" w:hAnsi="Arial" w:cs="Arial"/>
          <w:sz w:val="20"/>
        </w:rPr>
        <w:t xml:space="preserve">to Site 1 </w:t>
      </w:r>
      <w:r w:rsidR="00F93FF6">
        <w:rPr>
          <w:rFonts w:ascii="Arial" w:hAnsi="Arial" w:cs="Arial"/>
          <w:sz w:val="20"/>
        </w:rPr>
        <w:t xml:space="preserve">during the </w:t>
      </w:r>
      <w:r w:rsidR="007927E3">
        <w:rPr>
          <w:rFonts w:ascii="Arial" w:hAnsi="Arial" w:cs="Arial"/>
          <w:sz w:val="20"/>
        </w:rPr>
        <w:t>COVID-19 pandemic. After</w:t>
      </w:r>
      <w:r w:rsidR="00963964">
        <w:rPr>
          <w:rFonts w:ascii="Arial" w:hAnsi="Arial" w:cs="Arial"/>
          <w:sz w:val="20"/>
        </w:rPr>
        <w:t xml:space="preserve"> access was </w:t>
      </w:r>
      <w:r w:rsidR="005529EF">
        <w:rPr>
          <w:rFonts w:ascii="Arial" w:hAnsi="Arial" w:cs="Arial"/>
          <w:sz w:val="20"/>
        </w:rPr>
        <w:t xml:space="preserve">reestablished and the pilot unit was restored, a long-term test was planned at the </w:t>
      </w:r>
      <w:r w:rsidR="006D469D">
        <w:rPr>
          <w:rFonts w:ascii="Arial" w:hAnsi="Arial" w:cs="Arial"/>
          <w:sz w:val="20"/>
        </w:rPr>
        <w:t>inlet of the</w:t>
      </w:r>
      <w:r w:rsidR="0051045B">
        <w:rPr>
          <w:rFonts w:ascii="Arial" w:hAnsi="Arial" w:cs="Arial"/>
          <w:sz w:val="20"/>
        </w:rPr>
        <w:t xml:space="preserve"> wastewater treatment plant</w:t>
      </w:r>
      <w:r w:rsidR="00D3122F">
        <w:rPr>
          <w:rFonts w:ascii="Arial" w:hAnsi="Arial" w:cs="Arial"/>
          <w:sz w:val="20"/>
        </w:rPr>
        <w:t xml:space="preserve"> in summer 2022</w:t>
      </w:r>
      <w:r w:rsidR="00D040F5">
        <w:rPr>
          <w:rFonts w:ascii="Arial" w:hAnsi="Arial" w:cs="Arial"/>
          <w:sz w:val="20"/>
        </w:rPr>
        <w:t>. Th</w:t>
      </w:r>
      <w:r w:rsidR="006B4D0D">
        <w:rPr>
          <w:rFonts w:ascii="Arial" w:hAnsi="Arial" w:cs="Arial"/>
          <w:sz w:val="20"/>
        </w:rPr>
        <w:t>e main aim of t</w:t>
      </w:r>
      <w:r w:rsidR="00D80B22">
        <w:rPr>
          <w:rFonts w:ascii="Arial" w:hAnsi="Arial" w:cs="Arial"/>
          <w:sz w:val="20"/>
        </w:rPr>
        <w:t>h</w:t>
      </w:r>
      <w:r w:rsidR="0055459E">
        <w:rPr>
          <w:rFonts w:ascii="Arial" w:hAnsi="Arial" w:cs="Arial"/>
          <w:sz w:val="20"/>
        </w:rPr>
        <w:t>ese tests was to quantify the variability of the heat produced through WWHR</w:t>
      </w:r>
      <w:r w:rsidR="00086B64">
        <w:rPr>
          <w:rFonts w:ascii="Arial" w:hAnsi="Arial" w:cs="Arial"/>
          <w:sz w:val="20"/>
        </w:rPr>
        <w:t xml:space="preserve"> over time, with a particular focus on the impact of biofilm growth</w:t>
      </w:r>
      <w:r w:rsidR="006B7D19">
        <w:rPr>
          <w:rFonts w:ascii="Arial" w:hAnsi="Arial" w:cs="Arial"/>
          <w:sz w:val="20"/>
        </w:rPr>
        <w:t xml:space="preserve"> on heat exchanger efficiency</w:t>
      </w:r>
      <w:r w:rsidR="00086B64">
        <w:rPr>
          <w:rFonts w:ascii="Arial" w:hAnsi="Arial" w:cs="Arial"/>
          <w:sz w:val="20"/>
        </w:rPr>
        <w:t>.</w:t>
      </w:r>
      <w:r w:rsidR="006B7D19">
        <w:rPr>
          <w:rFonts w:ascii="Arial" w:hAnsi="Arial" w:cs="Arial"/>
          <w:sz w:val="20"/>
        </w:rPr>
        <w:t xml:space="preserve"> </w:t>
      </w:r>
      <w:r w:rsidR="00195BDE">
        <w:rPr>
          <w:rFonts w:ascii="Arial" w:hAnsi="Arial" w:cs="Arial"/>
          <w:sz w:val="20"/>
        </w:rPr>
        <w:t xml:space="preserve">The inlet of the WWTP was selected as the location for these tests as the increased biological and solids content </w:t>
      </w:r>
      <w:r w:rsidR="00ED22A5">
        <w:rPr>
          <w:rFonts w:ascii="Arial" w:hAnsi="Arial" w:cs="Arial"/>
          <w:sz w:val="20"/>
        </w:rPr>
        <w:t xml:space="preserve">would be more likely to </w:t>
      </w:r>
      <w:r w:rsidR="007735CE">
        <w:rPr>
          <w:rFonts w:ascii="Arial" w:hAnsi="Arial" w:cs="Arial"/>
          <w:sz w:val="20"/>
        </w:rPr>
        <w:t>cause</w:t>
      </w:r>
      <w:r w:rsidR="00ED22A5">
        <w:rPr>
          <w:rFonts w:ascii="Arial" w:hAnsi="Arial" w:cs="Arial"/>
          <w:sz w:val="20"/>
        </w:rPr>
        <w:t xml:space="preserve"> </w:t>
      </w:r>
      <w:r w:rsidR="007735CE">
        <w:rPr>
          <w:rFonts w:ascii="Arial" w:hAnsi="Arial" w:cs="Arial"/>
          <w:sz w:val="20"/>
        </w:rPr>
        <w:t xml:space="preserve">biofilm growth. </w:t>
      </w:r>
      <w:r w:rsidR="00C859FA">
        <w:rPr>
          <w:rFonts w:ascii="Arial" w:hAnsi="Arial" w:cs="Arial"/>
          <w:sz w:val="20"/>
        </w:rPr>
        <w:t xml:space="preserve">Further, heat recovery using the pilot unit at the outlet of the dissolved </w:t>
      </w:r>
      <w:r w:rsidR="00C03D28">
        <w:rPr>
          <w:rFonts w:ascii="Arial" w:hAnsi="Arial" w:cs="Arial"/>
          <w:sz w:val="20"/>
        </w:rPr>
        <w:t xml:space="preserve">air flotation tank </w:t>
      </w:r>
      <w:r w:rsidR="00B914CF">
        <w:rPr>
          <w:rFonts w:ascii="Arial" w:hAnsi="Arial" w:cs="Arial"/>
          <w:sz w:val="20"/>
        </w:rPr>
        <w:t xml:space="preserve">was not possible for a long-term test as it </w:t>
      </w:r>
      <w:r w:rsidR="00C03D28">
        <w:rPr>
          <w:rFonts w:ascii="Arial" w:hAnsi="Arial" w:cs="Arial"/>
          <w:sz w:val="20"/>
        </w:rPr>
        <w:t xml:space="preserve">resulted in the </w:t>
      </w:r>
      <w:r w:rsidR="00B05E1A">
        <w:rPr>
          <w:rFonts w:ascii="Arial" w:hAnsi="Arial" w:cs="Arial"/>
          <w:sz w:val="20"/>
        </w:rPr>
        <w:t xml:space="preserve">diversion of wastewater from the outlet </w:t>
      </w:r>
      <w:r w:rsidR="0086294A">
        <w:rPr>
          <w:rFonts w:ascii="Arial" w:hAnsi="Arial" w:cs="Arial"/>
          <w:sz w:val="20"/>
        </w:rPr>
        <w:t xml:space="preserve">back </w:t>
      </w:r>
      <w:r w:rsidR="00B05E1A">
        <w:rPr>
          <w:rFonts w:ascii="Arial" w:hAnsi="Arial" w:cs="Arial"/>
          <w:sz w:val="20"/>
        </w:rPr>
        <w:t xml:space="preserve">to the inlet of the </w:t>
      </w:r>
      <w:r w:rsidR="00283C68">
        <w:rPr>
          <w:rFonts w:ascii="Arial" w:hAnsi="Arial" w:cs="Arial"/>
          <w:sz w:val="20"/>
        </w:rPr>
        <w:t>dissolved air flotation</w:t>
      </w:r>
      <w:r w:rsidR="00B05E1A">
        <w:rPr>
          <w:rFonts w:ascii="Arial" w:hAnsi="Arial" w:cs="Arial"/>
          <w:sz w:val="20"/>
        </w:rPr>
        <w:t xml:space="preserve"> tank </w:t>
      </w:r>
      <w:r w:rsidR="00283C68">
        <w:rPr>
          <w:rFonts w:ascii="Arial" w:hAnsi="Arial" w:cs="Arial"/>
          <w:sz w:val="20"/>
        </w:rPr>
        <w:t>due to the site layout</w:t>
      </w:r>
      <w:r w:rsidR="00B914CF">
        <w:rPr>
          <w:rFonts w:ascii="Arial" w:hAnsi="Arial" w:cs="Arial"/>
          <w:sz w:val="20"/>
        </w:rPr>
        <w:t>. This</w:t>
      </w:r>
      <w:r w:rsidR="00283C68">
        <w:rPr>
          <w:rFonts w:ascii="Arial" w:hAnsi="Arial" w:cs="Arial"/>
          <w:sz w:val="20"/>
        </w:rPr>
        <w:t xml:space="preserve"> </w:t>
      </w:r>
      <w:r w:rsidR="00B05E1A">
        <w:rPr>
          <w:rFonts w:ascii="Arial" w:hAnsi="Arial" w:cs="Arial"/>
          <w:sz w:val="20"/>
        </w:rPr>
        <w:t>result</w:t>
      </w:r>
      <w:r w:rsidR="00B914CF">
        <w:rPr>
          <w:rFonts w:ascii="Arial" w:hAnsi="Arial" w:cs="Arial"/>
          <w:sz w:val="20"/>
        </w:rPr>
        <w:t>ed</w:t>
      </w:r>
      <w:r w:rsidR="00B05E1A">
        <w:rPr>
          <w:rFonts w:ascii="Arial" w:hAnsi="Arial" w:cs="Arial"/>
          <w:sz w:val="20"/>
        </w:rPr>
        <w:t xml:space="preserve"> in increased chemical consumption</w:t>
      </w:r>
      <w:r w:rsidR="00283C68">
        <w:rPr>
          <w:rFonts w:ascii="Arial" w:hAnsi="Arial" w:cs="Arial"/>
          <w:sz w:val="20"/>
        </w:rPr>
        <w:t xml:space="preserve"> </w:t>
      </w:r>
      <w:r w:rsidR="0086294A">
        <w:rPr>
          <w:rFonts w:ascii="Arial" w:hAnsi="Arial" w:cs="Arial"/>
          <w:sz w:val="20"/>
        </w:rPr>
        <w:t>from the</w:t>
      </w:r>
      <w:r w:rsidR="00283C68">
        <w:rPr>
          <w:rFonts w:ascii="Arial" w:hAnsi="Arial" w:cs="Arial"/>
          <w:sz w:val="20"/>
        </w:rPr>
        <w:t xml:space="preserve"> increased inflows</w:t>
      </w:r>
      <w:r w:rsidR="000F11AA">
        <w:rPr>
          <w:rFonts w:ascii="Arial" w:hAnsi="Arial" w:cs="Arial"/>
          <w:sz w:val="20"/>
        </w:rPr>
        <w:t xml:space="preserve"> </w:t>
      </w:r>
      <w:r w:rsidR="00D740CA">
        <w:rPr>
          <w:rFonts w:ascii="Arial" w:hAnsi="Arial" w:cs="Arial"/>
          <w:sz w:val="20"/>
        </w:rPr>
        <w:t>due to</w:t>
      </w:r>
      <w:r w:rsidR="000F11AA">
        <w:rPr>
          <w:rFonts w:ascii="Arial" w:hAnsi="Arial" w:cs="Arial"/>
          <w:sz w:val="20"/>
        </w:rPr>
        <w:t xml:space="preserve"> the wastewater diversion</w:t>
      </w:r>
      <w:r w:rsidR="00B914CF">
        <w:rPr>
          <w:rFonts w:ascii="Arial" w:hAnsi="Arial" w:cs="Arial"/>
          <w:sz w:val="20"/>
        </w:rPr>
        <w:t xml:space="preserve"> back to the inlet of the dissolved air flotation tank</w:t>
      </w:r>
      <w:r w:rsidR="00B05E1A">
        <w:rPr>
          <w:rFonts w:ascii="Arial" w:hAnsi="Arial" w:cs="Arial"/>
          <w:sz w:val="20"/>
        </w:rPr>
        <w:t>.</w:t>
      </w:r>
      <w:r w:rsidR="0064147F">
        <w:rPr>
          <w:rFonts w:ascii="Arial" w:hAnsi="Arial" w:cs="Arial"/>
          <w:sz w:val="20"/>
        </w:rPr>
        <w:t xml:space="preserve"> The long-term testing was scheduled to be undertaken over two</w:t>
      </w:r>
      <w:r w:rsidR="00FD5C07">
        <w:rPr>
          <w:rFonts w:ascii="Arial" w:hAnsi="Arial" w:cs="Arial"/>
          <w:sz w:val="20"/>
        </w:rPr>
        <w:t>-three months, with wastewater</w:t>
      </w:r>
      <w:r w:rsidR="00B914CF">
        <w:rPr>
          <w:rFonts w:ascii="Arial" w:hAnsi="Arial" w:cs="Arial"/>
          <w:sz w:val="20"/>
        </w:rPr>
        <w:t xml:space="preserve"> from the inlet</w:t>
      </w:r>
      <w:r w:rsidR="00FD5C07">
        <w:rPr>
          <w:rFonts w:ascii="Arial" w:hAnsi="Arial" w:cs="Arial"/>
          <w:sz w:val="20"/>
        </w:rPr>
        <w:t xml:space="preserve"> continuously being pumped through the heat exchangers </w:t>
      </w:r>
      <w:r w:rsidR="00871997">
        <w:rPr>
          <w:rFonts w:ascii="Arial" w:hAnsi="Arial" w:cs="Arial"/>
          <w:sz w:val="20"/>
        </w:rPr>
        <w:t xml:space="preserve">in the demonstration unit </w:t>
      </w:r>
      <w:r w:rsidR="00FD5C07">
        <w:rPr>
          <w:rFonts w:ascii="Arial" w:hAnsi="Arial" w:cs="Arial"/>
          <w:sz w:val="20"/>
        </w:rPr>
        <w:t xml:space="preserve">during the </w:t>
      </w:r>
      <w:r w:rsidR="005C6CAD">
        <w:rPr>
          <w:rFonts w:ascii="Arial" w:hAnsi="Arial" w:cs="Arial"/>
          <w:sz w:val="20"/>
        </w:rPr>
        <w:t>operating</w:t>
      </w:r>
      <w:r w:rsidR="00871997">
        <w:rPr>
          <w:rFonts w:ascii="Arial" w:hAnsi="Arial" w:cs="Arial"/>
          <w:sz w:val="20"/>
        </w:rPr>
        <w:t xml:space="preserve"> hours of the meat pr</w:t>
      </w:r>
      <w:r w:rsidR="0086294A">
        <w:rPr>
          <w:rFonts w:ascii="Arial" w:hAnsi="Arial" w:cs="Arial"/>
          <w:sz w:val="20"/>
        </w:rPr>
        <w:t>o</w:t>
      </w:r>
      <w:r w:rsidR="00871997">
        <w:rPr>
          <w:rFonts w:ascii="Arial" w:hAnsi="Arial" w:cs="Arial"/>
          <w:sz w:val="20"/>
        </w:rPr>
        <w:t>cessing plan</w:t>
      </w:r>
      <w:r w:rsidR="002A597B">
        <w:rPr>
          <w:rFonts w:ascii="Arial" w:hAnsi="Arial" w:cs="Arial"/>
          <w:sz w:val="20"/>
        </w:rPr>
        <w:t>t</w:t>
      </w:r>
      <w:r w:rsidR="005C6CAD">
        <w:rPr>
          <w:rFonts w:ascii="Arial" w:hAnsi="Arial" w:cs="Arial"/>
          <w:sz w:val="20"/>
        </w:rPr>
        <w:t xml:space="preserve">. To reduce feedwater waste, the feedwater line was </w:t>
      </w:r>
      <w:r w:rsidR="000D583E">
        <w:rPr>
          <w:rFonts w:ascii="Arial" w:hAnsi="Arial" w:cs="Arial"/>
          <w:sz w:val="20"/>
        </w:rPr>
        <w:t>planned to be</w:t>
      </w:r>
      <w:r w:rsidR="005C6CAD">
        <w:rPr>
          <w:rFonts w:ascii="Arial" w:hAnsi="Arial" w:cs="Arial"/>
          <w:sz w:val="20"/>
        </w:rPr>
        <w:t xml:space="preserve"> operated one day a week</w:t>
      </w:r>
      <w:r w:rsidR="0086294A">
        <w:rPr>
          <w:rFonts w:ascii="Arial" w:hAnsi="Arial" w:cs="Arial"/>
          <w:sz w:val="20"/>
        </w:rPr>
        <w:t xml:space="preserve"> over the testing period to determine the difference in WWHR after continued wastewater flow through the heat exchangers</w:t>
      </w:r>
      <w:r w:rsidR="000D583E">
        <w:rPr>
          <w:rFonts w:ascii="Arial" w:hAnsi="Arial" w:cs="Arial"/>
          <w:sz w:val="20"/>
        </w:rPr>
        <w:t xml:space="preserve">. </w:t>
      </w:r>
      <w:r w:rsidR="00871997">
        <w:rPr>
          <w:rFonts w:ascii="Arial" w:hAnsi="Arial" w:cs="Arial"/>
          <w:sz w:val="20"/>
        </w:rPr>
        <w:t xml:space="preserve"> </w:t>
      </w:r>
    </w:p>
    <w:bookmarkEnd w:id="3"/>
    <w:p w14:paraId="76595309" w14:textId="77777777" w:rsidR="000F3279" w:rsidRPr="00A00131" w:rsidRDefault="000F3279" w:rsidP="00B0374D">
      <w:pPr>
        <w:pStyle w:val="06NumeratedHeading1"/>
        <w:spacing w:before="0" w:after="0" w:line="240" w:lineRule="auto"/>
        <w:ind w:left="426" w:right="357" w:hanging="426"/>
        <w:rPr>
          <w:rFonts w:ascii="Arial" w:hAnsi="Arial" w:cs="Arial"/>
          <w:sz w:val="20"/>
        </w:rPr>
      </w:pPr>
    </w:p>
    <w:p w14:paraId="5BD37B60" w14:textId="57F750DA" w:rsidR="00595C9F" w:rsidRPr="00A00131" w:rsidRDefault="00A00131" w:rsidP="00B0374D">
      <w:pPr>
        <w:pStyle w:val="06NumeratedHeading1"/>
        <w:numPr>
          <w:ilvl w:val="0"/>
          <w:numId w:val="19"/>
        </w:numPr>
        <w:spacing w:before="0" w:after="0" w:line="240" w:lineRule="auto"/>
        <w:ind w:right="357"/>
        <w:rPr>
          <w:rFonts w:ascii="Arial" w:hAnsi="Arial" w:cs="Arial"/>
          <w:sz w:val="20"/>
        </w:rPr>
      </w:pPr>
      <w:r w:rsidRPr="00A00131">
        <w:rPr>
          <w:rFonts w:ascii="Arial" w:hAnsi="Arial" w:cs="Arial"/>
          <w:sz w:val="20"/>
        </w:rPr>
        <w:t>RESULTS</w:t>
      </w:r>
      <w:r w:rsidR="00C944B5">
        <w:rPr>
          <w:rFonts w:ascii="Arial" w:hAnsi="Arial" w:cs="Arial"/>
          <w:sz w:val="20"/>
        </w:rPr>
        <w:t xml:space="preserve"> AND DISCUSSION</w:t>
      </w:r>
    </w:p>
    <w:p w14:paraId="5B30FC7F" w14:textId="77777777" w:rsidR="000F3279" w:rsidRPr="000F3279" w:rsidRDefault="000F3279" w:rsidP="00B0374D">
      <w:pPr>
        <w:pStyle w:val="07paragraphs"/>
        <w:spacing w:after="0" w:line="240" w:lineRule="auto"/>
      </w:pPr>
    </w:p>
    <w:p w14:paraId="4C408CA9" w14:textId="77777777" w:rsidR="00A00131" w:rsidRPr="00A00131" w:rsidRDefault="00A00131" w:rsidP="00A00131">
      <w:pPr>
        <w:pStyle w:val="ListParagraph"/>
        <w:numPr>
          <w:ilvl w:val="0"/>
          <w:numId w:val="11"/>
        </w:numPr>
        <w:tabs>
          <w:tab w:val="left" w:pos="426"/>
        </w:tabs>
        <w:contextualSpacing w:val="0"/>
        <w:rPr>
          <w:rFonts w:cs="Arial"/>
          <w:b/>
          <w:bCs/>
          <w:vanish/>
          <w:szCs w:val="18"/>
        </w:rPr>
      </w:pPr>
    </w:p>
    <w:p w14:paraId="01538030" w14:textId="652BA89B" w:rsidR="006D12DE" w:rsidRPr="00A00131" w:rsidRDefault="003609C1" w:rsidP="00A00131">
      <w:pPr>
        <w:pStyle w:val="06NumeratedHeading2"/>
        <w:spacing w:before="0" w:after="0" w:line="240" w:lineRule="auto"/>
        <w:rPr>
          <w:rFonts w:ascii="Arial" w:hAnsi="Arial" w:cs="Arial"/>
          <w:b/>
          <w:bCs/>
          <w:sz w:val="20"/>
        </w:rPr>
      </w:pPr>
      <w:r>
        <w:rPr>
          <w:rFonts w:ascii="Arial" w:hAnsi="Arial" w:cs="Arial"/>
          <w:b/>
          <w:bCs/>
          <w:sz w:val="20"/>
        </w:rPr>
        <w:t>Wastewater</w:t>
      </w:r>
      <w:r w:rsidR="002B39A9">
        <w:rPr>
          <w:rFonts w:ascii="Arial" w:hAnsi="Arial" w:cs="Arial"/>
          <w:b/>
          <w:bCs/>
          <w:sz w:val="20"/>
        </w:rPr>
        <w:t xml:space="preserve"> </w:t>
      </w:r>
      <w:r w:rsidR="00C944B5">
        <w:rPr>
          <w:rFonts w:ascii="Arial" w:hAnsi="Arial" w:cs="Arial"/>
          <w:b/>
          <w:bCs/>
          <w:sz w:val="20"/>
        </w:rPr>
        <w:t>Temperature Monitoring</w:t>
      </w:r>
      <w:r w:rsidR="002B39A9">
        <w:rPr>
          <w:rFonts w:ascii="Arial" w:hAnsi="Arial" w:cs="Arial"/>
          <w:b/>
          <w:bCs/>
          <w:sz w:val="20"/>
        </w:rPr>
        <w:t xml:space="preserve"> at Site 2</w:t>
      </w:r>
    </w:p>
    <w:p w14:paraId="02E7E5AC" w14:textId="77777777" w:rsidR="00F36080" w:rsidRDefault="00F36080" w:rsidP="00B0374D">
      <w:pPr>
        <w:pStyle w:val="07paragraphs"/>
        <w:tabs>
          <w:tab w:val="clear" w:pos="357"/>
          <w:tab w:val="left" w:pos="426"/>
        </w:tabs>
        <w:spacing w:after="0" w:line="240" w:lineRule="auto"/>
        <w:rPr>
          <w:rFonts w:ascii="Arial" w:hAnsi="Arial" w:cs="Arial"/>
          <w:sz w:val="20"/>
        </w:rPr>
      </w:pPr>
    </w:p>
    <w:p w14:paraId="43AFE35C" w14:textId="13240D97" w:rsidR="00D770F2" w:rsidRDefault="003609C1" w:rsidP="00FB7CAF">
      <w:pPr>
        <w:pStyle w:val="07paragraphs"/>
        <w:tabs>
          <w:tab w:val="clear" w:pos="357"/>
          <w:tab w:val="left" w:pos="426"/>
        </w:tabs>
        <w:spacing w:after="0" w:line="240" w:lineRule="auto"/>
        <w:rPr>
          <w:rFonts w:ascii="Arial" w:hAnsi="Arial" w:cs="Arial"/>
          <w:sz w:val="20"/>
        </w:rPr>
      </w:pPr>
      <w:r>
        <w:rPr>
          <w:rFonts w:ascii="Arial" w:hAnsi="Arial" w:cs="Arial"/>
          <w:sz w:val="20"/>
        </w:rPr>
        <w:tab/>
        <w:t>Wastewater temperature was</w:t>
      </w:r>
      <w:r w:rsidR="000F11AA">
        <w:rPr>
          <w:rFonts w:ascii="Arial" w:hAnsi="Arial" w:cs="Arial"/>
          <w:sz w:val="20"/>
        </w:rPr>
        <w:t xml:space="preserve"> monitored</w:t>
      </w:r>
      <w:r>
        <w:rPr>
          <w:rFonts w:ascii="Arial" w:hAnsi="Arial" w:cs="Arial"/>
          <w:sz w:val="20"/>
        </w:rPr>
        <w:t xml:space="preserve"> at Site 2</w:t>
      </w:r>
      <w:r w:rsidR="000F11AA">
        <w:rPr>
          <w:rFonts w:ascii="Arial" w:hAnsi="Arial" w:cs="Arial"/>
          <w:sz w:val="20"/>
        </w:rPr>
        <w:t xml:space="preserve"> for over six months between the initial and long-term tests to determine the heating resource available </w:t>
      </w:r>
      <w:r w:rsidR="00A90C3C">
        <w:rPr>
          <w:rFonts w:ascii="Arial" w:hAnsi="Arial" w:cs="Arial"/>
          <w:sz w:val="20"/>
        </w:rPr>
        <w:t xml:space="preserve">from WWHR </w:t>
      </w:r>
      <w:r w:rsidR="000F11AA">
        <w:rPr>
          <w:rFonts w:ascii="Arial" w:hAnsi="Arial" w:cs="Arial"/>
          <w:sz w:val="20"/>
        </w:rPr>
        <w:t xml:space="preserve">at the on-site WWTP. The monitoring confirmed that the heating resource in Site 2 is lower than in Site 1 despite similar meat processing occurring </w:t>
      </w:r>
      <w:r w:rsidR="000F11AA">
        <w:rPr>
          <w:rFonts w:ascii="Arial" w:hAnsi="Arial" w:cs="Arial"/>
          <w:sz w:val="20"/>
        </w:rPr>
        <w:lastRenderedPageBreak/>
        <w:t xml:space="preserve">in both sites (Figure 5). The outlet of the dissolved air tank in Site 2 had an average temperature of </w:t>
      </w:r>
      <w:r>
        <w:rPr>
          <w:rFonts w:ascii="Arial" w:hAnsi="Arial" w:cs="Arial"/>
          <w:sz w:val="20"/>
        </w:rPr>
        <w:t>around 21</w:t>
      </w:r>
      <w:r>
        <w:rPr>
          <w:rFonts w:ascii="Calibri" w:hAnsi="Calibri" w:cs="Calibri"/>
          <w:sz w:val="20"/>
        </w:rPr>
        <w:t>°</w:t>
      </w:r>
      <w:r>
        <w:rPr>
          <w:rFonts w:ascii="Arial" w:hAnsi="Arial" w:cs="Arial"/>
          <w:sz w:val="20"/>
        </w:rPr>
        <w:t xml:space="preserve">C </w:t>
      </w:r>
      <w:r w:rsidR="00A90C3C">
        <w:rPr>
          <w:rFonts w:ascii="Arial" w:hAnsi="Arial" w:cs="Arial"/>
          <w:sz w:val="20"/>
        </w:rPr>
        <w:t xml:space="preserve">during operating hours </w:t>
      </w:r>
      <w:r>
        <w:rPr>
          <w:rFonts w:ascii="Arial" w:hAnsi="Arial" w:cs="Arial"/>
          <w:sz w:val="20"/>
        </w:rPr>
        <w:t>as compared to around 24</w:t>
      </w:r>
      <w:r>
        <w:rPr>
          <w:rFonts w:ascii="Calibri" w:hAnsi="Calibri" w:cs="Calibri"/>
          <w:sz w:val="20"/>
        </w:rPr>
        <w:t>°</w:t>
      </w:r>
      <w:proofErr w:type="spellStart"/>
      <w:r>
        <w:rPr>
          <w:rFonts w:ascii="Arial" w:hAnsi="Arial" w:cs="Arial"/>
          <w:sz w:val="20"/>
        </w:rPr>
        <w:t>C at</w:t>
      </w:r>
      <w:proofErr w:type="spellEnd"/>
      <w:r>
        <w:rPr>
          <w:rFonts w:ascii="Arial" w:hAnsi="Arial" w:cs="Arial"/>
          <w:sz w:val="20"/>
        </w:rPr>
        <w:t xml:space="preserve"> Site 1. This variation is likely to be from the differences in sewer drainage and distance</w:t>
      </w:r>
      <w:r w:rsidR="00A90C3C">
        <w:rPr>
          <w:rFonts w:ascii="Arial" w:hAnsi="Arial" w:cs="Arial"/>
          <w:sz w:val="20"/>
        </w:rPr>
        <w:t>s between the processing area and the</w:t>
      </w:r>
      <w:r w:rsidR="00D740CA">
        <w:rPr>
          <w:rFonts w:ascii="Arial" w:hAnsi="Arial" w:cs="Arial"/>
          <w:sz w:val="20"/>
        </w:rPr>
        <w:t xml:space="preserve"> on-site</w:t>
      </w:r>
      <w:r w:rsidR="00A90C3C">
        <w:rPr>
          <w:rFonts w:ascii="Arial" w:hAnsi="Arial" w:cs="Arial"/>
          <w:sz w:val="20"/>
        </w:rPr>
        <w:t xml:space="preserve"> WWTPs</w:t>
      </w:r>
      <w:r w:rsidR="00FB7CAF">
        <w:rPr>
          <w:rFonts w:ascii="Arial" w:hAnsi="Arial" w:cs="Arial"/>
          <w:sz w:val="20"/>
        </w:rPr>
        <w:t>. This variability highlights</w:t>
      </w:r>
      <w:r w:rsidR="00A90C3C">
        <w:rPr>
          <w:rFonts w:ascii="Arial" w:hAnsi="Arial" w:cs="Arial"/>
          <w:sz w:val="20"/>
        </w:rPr>
        <w:t xml:space="preserve"> the importance of monitoring to determine the resource for WWHR in the meat processing industry. However, both the inlet and outlet dissolved air flotation tank temperatures</w:t>
      </w:r>
      <w:r w:rsidR="00B914CF">
        <w:rPr>
          <w:rFonts w:ascii="Arial" w:hAnsi="Arial" w:cs="Arial"/>
          <w:sz w:val="20"/>
        </w:rPr>
        <w:t xml:space="preserve"> in Site 1</w:t>
      </w:r>
      <w:r w:rsidR="00A90C3C">
        <w:rPr>
          <w:rFonts w:ascii="Arial" w:hAnsi="Arial" w:cs="Arial"/>
          <w:sz w:val="20"/>
        </w:rPr>
        <w:t xml:space="preserve"> were consistently above ambient air temperatures for the site</w:t>
      </w:r>
      <w:r w:rsidR="00FB7CAF">
        <w:rPr>
          <w:rFonts w:ascii="Arial" w:hAnsi="Arial" w:cs="Arial"/>
          <w:sz w:val="20"/>
        </w:rPr>
        <w:t xml:space="preserve">, considered as a proxy for </w:t>
      </w:r>
      <w:r w:rsidR="00D740CA">
        <w:rPr>
          <w:rFonts w:ascii="Arial" w:hAnsi="Arial" w:cs="Arial"/>
          <w:sz w:val="20"/>
        </w:rPr>
        <w:t xml:space="preserve">mains </w:t>
      </w:r>
      <w:r w:rsidR="00FB7CAF">
        <w:rPr>
          <w:rFonts w:ascii="Arial" w:hAnsi="Arial" w:cs="Arial"/>
          <w:sz w:val="20"/>
        </w:rPr>
        <w:t>water temperature</w:t>
      </w:r>
      <w:r w:rsidR="00D740CA">
        <w:rPr>
          <w:rFonts w:ascii="Arial" w:hAnsi="Arial" w:cs="Arial"/>
          <w:sz w:val="20"/>
        </w:rPr>
        <w:t xml:space="preserve"> on-site</w:t>
      </w:r>
      <w:r w:rsidR="00FB7CAF">
        <w:rPr>
          <w:rFonts w:ascii="Arial" w:hAnsi="Arial" w:cs="Arial"/>
          <w:sz w:val="20"/>
        </w:rPr>
        <w:t>,</w:t>
      </w:r>
      <w:r w:rsidR="00A90C3C">
        <w:rPr>
          <w:rFonts w:ascii="Arial" w:hAnsi="Arial" w:cs="Arial"/>
          <w:sz w:val="20"/>
        </w:rPr>
        <w:t xml:space="preserve"> across the monitoring period</w:t>
      </w:r>
      <w:r w:rsidR="00FB7CAF">
        <w:rPr>
          <w:rFonts w:ascii="Arial" w:hAnsi="Arial" w:cs="Arial"/>
          <w:sz w:val="20"/>
        </w:rPr>
        <w:t>. This</w:t>
      </w:r>
      <w:r w:rsidR="00A90C3C">
        <w:rPr>
          <w:rFonts w:ascii="Arial" w:hAnsi="Arial" w:cs="Arial"/>
          <w:sz w:val="20"/>
        </w:rPr>
        <w:t xml:space="preserve"> indicat</w:t>
      </w:r>
      <w:r w:rsidR="00FB7CAF">
        <w:rPr>
          <w:rFonts w:ascii="Arial" w:hAnsi="Arial" w:cs="Arial"/>
          <w:sz w:val="20"/>
        </w:rPr>
        <w:t>es</w:t>
      </w:r>
      <w:r w:rsidR="00A90C3C">
        <w:rPr>
          <w:rFonts w:ascii="Arial" w:hAnsi="Arial" w:cs="Arial"/>
          <w:sz w:val="20"/>
        </w:rPr>
        <w:t xml:space="preserve"> that there is still a significant heating resource available in Site 2</w:t>
      </w:r>
      <w:r w:rsidR="00FB7CAF">
        <w:rPr>
          <w:rFonts w:ascii="Arial" w:hAnsi="Arial" w:cs="Arial"/>
          <w:sz w:val="20"/>
        </w:rPr>
        <w:t xml:space="preserve"> despite the temperatures being lower than in Site 1</w:t>
      </w:r>
      <w:r w:rsidR="00A90C3C">
        <w:rPr>
          <w:rFonts w:ascii="Arial" w:hAnsi="Arial" w:cs="Arial"/>
          <w:sz w:val="20"/>
        </w:rPr>
        <w:t xml:space="preserve">. There also appears to also be a significant seasonal variation in the wastewater temperature during the monitoring, but this </w:t>
      </w:r>
      <w:r w:rsidR="00FB7CAF">
        <w:rPr>
          <w:rFonts w:ascii="Arial" w:hAnsi="Arial" w:cs="Arial"/>
          <w:sz w:val="20"/>
        </w:rPr>
        <w:t xml:space="preserve">is </w:t>
      </w:r>
      <w:r w:rsidR="00A90C3C">
        <w:rPr>
          <w:rFonts w:ascii="Arial" w:hAnsi="Arial" w:cs="Arial"/>
          <w:sz w:val="20"/>
        </w:rPr>
        <w:t xml:space="preserve">in line with the change in ambient air temperature </w:t>
      </w:r>
      <w:r w:rsidR="00FB7CAF">
        <w:rPr>
          <w:rFonts w:ascii="Arial" w:hAnsi="Arial" w:cs="Arial"/>
          <w:sz w:val="20"/>
        </w:rPr>
        <w:t>for the period</w:t>
      </w:r>
      <w:r w:rsidR="00A90C3C">
        <w:rPr>
          <w:rFonts w:ascii="Arial" w:hAnsi="Arial" w:cs="Arial"/>
          <w:sz w:val="20"/>
        </w:rPr>
        <w:t>. Lastly, there appears to be very little difference in the inlet and outlet temperatures for the dissolved air tank</w:t>
      </w:r>
      <w:r w:rsidR="00FB7CAF">
        <w:rPr>
          <w:rFonts w:ascii="Arial" w:hAnsi="Arial" w:cs="Arial"/>
          <w:sz w:val="20"/>
        </w:rPr>
        <w:t>. This is a</w:t>
      </w:r>
      <w:r w:rsidR="00B914CF">
        <w:rPr>
          <w:rFonts w:ascii="Arial" w:hAnsi="Arial" w:cs="Arial"/>
          <w:sz w:val="20"/>
        </w:rPr>
        <w:t xml:space="preserve">n </w:t>
      </w:r>
      <w:r w:rsidR="00FB7CAF">
        <w:rPr>
          <w:rFonts w:ascii="Arial" w:hAnsi="Arial" w:cs="Arial"/>
          <w:sz w:val="20"/>
        </w:rPr>
        <w:t xml:space="preserve">interesting observation and indicates that there may be a significant insulating effect within the dissolved air flotation tanks at meat processing plants due to </w:t>
      </w:r>
      <w:r w:rsidR="00B914CF">
        <w:rPr>
          <w:rFonts w:ascii="Arial" w:hAnsi="Arial" w:cs="Arial"/>
          <w:sz w:val="20"/>
        </w:rPr>
        <w:t>the presence of a</w:t>
      </w:r>
      <w:r w:rsidR="00FB7CAF">
        <w:rPr>
          <w:rFonts w:ascii="Arial" w:hAnsi="Arial" w:cs="Arial"/>
          <w:sz w:val="20"/>
        </w:rPr>
        <w:t xml:space="preserve"> grease layer on the water surface of these tanks.</w:t>
      </w:r>
    </w:p>
    <w:p w14:paraId="00F013FA" w14:textId="77777777" w:rsidR="00FB7CAF" w:rsidRPr="00FB7CAF" w:rsidRDefault="00FB7CAF" w:rsidP="00FB7CAF"/>
    <w:p w14:paraId="4691D7E6" w14:textId="075C09F8" w:rsidR="00D770F2" w:rsidRDefault="00D770F2" w:rsidP="00D770F2">
      <w:pPr>
        <w:jc w:val="center"/>
      </w:pPr>
      <w:r w:rsidRPr="00D770F2">
        <w:rPr>
          <w:noProof/>
        </w:rPr>
        <w:drawing>
          <wp:inline distT="0" distB="0" distL="0" distR="0" wp14:anchorId="067EA32F" wp14:editId="51EA4CA3">
            <wp:extent cx="4802421" cy="2437160"/>
            <wp:effectExtent l="0" t="0" r="0" b="1270"/>
            <wp:docPr id="4" name="Picture 6" descr="Chart, line chart&#10;&#10;Description automatically generated">
              <a:extLst xmlns:a="http://schemas.openxmlformats.org/drawingml/2006/main">
                <a:ext uri="{FF2B5EF4-FFF2-40B4-BE49-F238E27FC236}">
                  <a16:creationId xmlns:a16="http://schemas.microsoft.com/office/drawing/2014/main" id="{63375715-AC89-5DFA-4CD5-9C8EE3BA9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 line chart&#10;&#10;Description automatically generated">
                      <a:extLst>
                        <a:ext uri="{FF2B5EF4-FFF2-40B4-BE49-F238E27FC236}">
                          <a16:creationId xmlns:a16="http://schemas.microsoft.com/office/drawing/2014/main" id="{63375715-AC89-5DFA-4CD5-9C8EE3BA9BD1}"/>
                        </a:ext>
                      </a:extLst>
                    </pic:cNvPr>
                    <pic:cNvPicPr>
                      <a:picLocks noChangeAspect="1"/>
                    </pic:cNvPicPr>
                  </pic:nvPicPr>
                  <pic:blipFill>
                    <a:blip r:embed="rId22"/>
                    <a:stretch>
                      <a:fillRect/>
                    </a:stretch>
                  </pic:blipFill>
                  <pic:spPr>
                    <a:xfrm>
                      <a:off x="0" y="0"/>
                      <a:ext cx="4809034" cy="2440516"/>
                    </a:xfrm>
                    <a:prstGeom prst="rect">
                      <a:avLst/>
                    </a:prstGeom>
                    <a:noFill/>
                  </pic:spPr>
                </pic:pic>
              </a:graphicData>
            </a:graphic>
          </wp:inline>
        </w:drawing>
      </w:r>
    </w:p>
    <w:p w14:paraId="36796BFE" w14:textId="776A22D7" w:rsidR="009C3836" w:rsidRDefault="00861034" w:rsidP="00FB7CAF">
      <w:pPr>
        <w:rPr>
          <w:rFonts w:cs="Arial"/>
        </w:rPr>
      </w:pPr>
      <w:r w:rsidRPr="000449AC">
        <w:rPr>
          <w:rFonts w:cs="Arial"/>
          <w:b/>
        </w:rPr>
        <w:t xml:space="preserve">Figure </w:t>
      </w:r>
      <w:r w:rsidR="00E02FC2">
        <w:rPr>
          <w:rFonts w:cs="Arial"/>
          <w:b/>
        </w:rPr>
        <w:t>5</w:t>
      </w:r>
      <w:r w:rsidRPr="000449AC">
        <w:rPr>
          <w:rFonts w:cs="Arial"/>
        </w:rPr>
        <w:t xml:space="preserve">. </w:t>
      </w:r>
      <w:r w:rsidR="00297F75">
        <w:rPr>
          <w:rFonts w:cs="Arial"/>
        </w:rPr>
        <w:t xml:space="preserve">Monitored </w:t>
      </w:r>
      <w:r w:rsidR="00966AEE">
        <w:rPr>
          <w:rFonts w:cs="Arial"/>
        </w:rPr>
        <w:t xml:space="preserve">average daily </w:t>
      </w:r>
      <w:r w:rsidR="00297F75">
        <w:rPr>
          <w:rFonts w:cs="Arial"/>
        </w:rPr>
        <w:t xml:space="preserve">temperature </w:t>
      </w:r>
      <w:r w:rsidR="00966AEE">
        <w:rPr>
          <w:rFonts w:cs="Arial"/>
        </w:rPr>
        <w:t>at the inlet and outlet of the dissolved air flotation tank at</w:t>
      </w:r>
      <w:r w:rsidR="00A40C01">
        <w:rPr>
          <w:rFonts w:cs="Arial"/>
        </w:rPr>
        <w:t xml:space="preserve"> Site 2</w:t>
      </w:r>
      <w:r w:rsidR="00966AEE">
        <w:rPr>
          <w:rFonts w:cs="Arial"/>
        </w:rPr>
        <w:t xml:space="preserve"> (DAFT Inlet and Outlet, respectively)</w:t>
      </w:r>
      <w:r w:rsidR="00A40C01">
        <w:rPr>
          <w:rFonts w:cs="Arial"/>
        </w:rPr>
        <w:t xml:space="preserve"> </w:t>
      </w:r>
      <w:r w:rsidR="00966AEE">
        <w:rPr>
          <w:rFonts w:cs="Arial"/>
        </w:rPr>
        <w:t>along with</w:t>
      </w:r>
      <w:r w:rsidR="004C22D1">
        <w:rPr>
          <w:rFonts w:cs="Arial"/>
        </w:rPr>
        <w:t xml:space="preserve"> average daily</w:t>
      </w:r>
      <w:r w:rsidR="00966AEE">
        <w:rPr>
          <w:rFonts w:cs="Arial"/>
        </w:rPr>
        <w:t xml:space="preserve"> </w:t>
      </w:r>
      <w:r w:rsidR="00CB30A0">
        <w:rPr>
          <w:rFonts w:cs="Arial"/>
        </w:rPr>
        <w:t>ambient air temperature</w:t>
      </w:r>
      <w:r w:rsidR="00C162AE">
        <w:rPr>
          <w:rFonts w:cs="Arial"/>
        </w:rPr>
        <w:t>.</w:t>
      </w:r>
      <w:r w:rsidR="00CD4713">
        <w:rPr>
          <w:rFonts w:cs="Arial"/>
        </w:rPr>
        <w:t xml:space="preserve"> Please note that this monitoring occurred in 2021.</w:t>
      </w:r>
      <w:r w:rsidR="00A40C01">
        <w:rPr>
          <w:rFonts w:cs="Arial"/>
        </w:rPr>
        <w:t xml:space="preserve"> </w:t>
      </w:r>
    </w:p>
    <w:p w14:paraId="3DC776F6" w14:textId="77777777" w:rsidR="00FB7CAF" w:rsidRPr="00CD4713" w:rsidRDefault="00FB7CAF" w:rsidP="00CD4713">
      <w:pPr>
        <w:jc w:val="center"/>
      </w:pPr>
    </w:p>
    <w:p w14:paraId="5EA9A616" w14:textId="5B034B49" w:rsidR="00C17ECF" w:rsidRPr="005B0C7D" w:rsidRDefault="00C944B5" w:rsidP="005B0C7D">
      <w:pPr>
        <w:pStyle w:val="06NumeratedHeading2"/>
        <w:spacing w:before="0" w:after="0" w:line="240" w:lineRule="auto"/>
        <w:ind w:left="426" w:hanging="426"/>
        <w:rPr>
          <w:rFonts w:ascii="Arial" w:hAnsi="Arial" w:cs="Arial"/>
          <w:b/>
          <w:bCs/>
          <w:sz w:val="20"/>
        </w:rPr>
      </w:pPr>
      <w:r>
        <w:rPr>
          <w:rFonts w:ascii="Arial" w:hAnsi="Arial" w:cs="Arial"/>
          <w:b/>
          <w:bCs/>
          <w:sz w:val="20"/>
        </w:rPr>
        <w:t>Initial Testing</w:t>
      </w:r>
    </w:p>
    <w:p w14:paraId="51D1C472" w14:textId="77777777" w:rsidR="00FB7CAF" w:rsidRDefault="00FB7CAF" w:rsidP="0026202A"/>
    <w:p w14:paraId="79D43B32" w14:textId="27852ACD" w:rsidR="005B0C7D" w:rsidRDefault="000F3279" w:rsidP="00C944B5">
      <w:pPr>
        <w:pStyle w:val="07paragraphs"/>
        <w:tabs>
          <w:tab w:val="clear" w:pos="357"/>
          <w:tab w:val="left" w:pos="426"/>
        </w:tabs>
        <w:spacing w:after="0" w:line="240" w:lineRule="auto"/>
        <w:rPr>
          <w:rFonts w:ascii="Arial" w:hAnsi="Arial" w:cs="Arial"/>
          <w:sz w:val="20"/>
        </w:rPr>
      </w:pPr>
      <w:r>
        <w:rPr>
          <w:rFonts w:ascii="Arial" w:hAnsi="Arial" w:cs="Arial"/>
          <w:sz w:val="20"/>
        </w:rPr>
        <w:tab/>
      </w:r>
      <w:r w:rsidR="00B914CF">
        <w:rPr>
          <w:rFonts w:ascii="Arial" w:hAnsi="Arial" w:cs="Arial"/>
          <w:sz w:val="20"/>
        </w:rPr>
        <w:t xml:space="preserve">During the initial testing, two persistent issues were identified with the operation of the demonstration unit. </w:t>
      </w:r>
      <w:r w:rsidR="00937F67">
        <w:rPr>
          <w:rFonts w:ascii="Arial" w:hAnsi="Arial" w:cs="Arial"/>
          <w:sz w:val="20"/>
        </w:rPr>
        <w:t>T</w:t>
      </w:r>
      <w:r w:rsidR="006006DE" w:rsidRPr="006006DE">
        <w:rPr>
          <w:rFonts w:ascii="Arial" w:hAnsi="Arial" w:cs="Arial"/>
          <w:sz w:val="20"/>
        </w:rPr>
        <w:t>he</w:t>
      </w:r>
      <w:r w:rsidR="00B914CF">
        <w:rPr>
          <w:rFonts w:ascii="Arial" w:hAnsi="Arial" w:cs="Arial"/>
          <w:sz w:val="20"/>
        </w:rPr>
        <w:t xml:space="preserve">re were </w:t>
      </w:r>
      <w:r w:rsidR="006006DE" w:rsidRPr="006006DE">
        <w:rPr>
          <w:rFonts w:ascii="Arial" w:hAnsi="Arial" w:cs="Arial"/>
          <w:sz w:val="20"/>
        </w:rPr>
        <w:t xml:space="preserve">issues when </w:t>
      </w:r>
      <w:r w:rsidR="00B914CF">
        <w:rPr>
          <w:rFonts w:ascii="Arial" w:hAnsi="Arial" w:cs="Arial"/>
          <w:sz w:val="20"/>
        </w:rPr>
        <w:t xml:space="preserve">the unit was </w:t>
      </w:r>
      <w:r w:rsidR="006006DE" w:rsidRPr="006006DE">
        <w:rPr>
          <w:rFonts w:ascii="Arial" w:hAnsi="Arial" w:cs="Arial"/>
          <w:sz w:val="20"/>
        </w:rPr>
        <w:t>used at t</w:t>
      </w:r>
      <w:r w:rsidR="00937F67">
        <w:rPr>
          <w:rFonts w:ascii="Arial" w:hAnsi="Arial" w:cs="Arial"/>
          <w:sz w:val="20"/>
        </w:rPr>
        <w:t>he WWTP inlet</w:t>
      </w:r>
      <w:r w:rsidR="006006DE" w:rsidRPr="006006DE">
        <w:rPr>
          <w:rFonts w:ascii="Arial" w:hAnsi="Arial" w:cs="Arial"/>
          <w:sz w:val="20"/>
        </w:rPr>
        <w:t xml:space="preserve"> with the submersible pump being blocked after use for some hours due to the </w:t>
      </w:r>
      <w:r w:rsidR="00B914CF">
        <w:rPr>
          <w:rFonts w:ascii="Arial" w:hAnsi="Arial" w:cs="Arial"/>
          <w:sz w:val="20"/>
        </w:rPr>
        <w:t xml:space="preserve">large concentration of suspended </w:t>
      </w:r>
      <w:r w:rsidR="006006DE" w:rsidRPr="006006DE">
        <w:rPr>
          <w:rFonts w:ascii="Arial" w:hAnsi="Arial" w:cs="Arial"/>
          <w:sz w:val="20"/>
        </w:rPr>
        <w:t xml:space="preserve">solids present in the wastewater. This led to an inconsistent performance over the </w:t>
      </w:r>
      <w:r w:rsidR="00B914CF">
        <w:rPr>
          <w:rFonts w:ascii="Arial" w:hAnsi="Arial" w:cs="Arial"/>
          <w:sz w:val="20"/>
        </w:rPr>
        <w:t xml:space="preserve">testing </w:t>
      </w:r>
      <w:r w:rsidR="006006DE" w:rsidRPr="006006DE">
        <w:rPr>
          <w:rFonts w:ascii="Arial" w:hAnsi="Arial" w:cs="Arial"/>
          <w:sz w:val="20"/>
        </w:rPr>
        <w:t xml:space="preserve">week </w:t>
      </w:r>
      <w:r w:rsidR="00D740CA">
        <w:rPr>
          <w:rFonts w:ascii="Arial" w:hAnsi="Arial" w:cs="Arial"/>
          <w:sz w:val="20"/>
        </w:rPr>
        <w:t xml:space="preserve">at the inlet of the WWTP </w:t>
      </w:r>
      <w:r w:rsidR="006006DE" w:rsidRPr="006006DE">
        <w:rPr>
          <w:rFonts w:ascii="Arial" w:hAnsi="Arial" w:cs="Arial"/>
          <w:sz w:val="20"/>
        </w:rPr>
        <w:t xml:space="preserve">(Figure </w:t>
      </w:r>
      <w:r w:rsidR="00B914CF">
        <w:rPr>
          <w:rFonts w:ascii="Arial" w:hAnsi="Arial" w:cs="Arial"/>
          <w:sz w:val="20"/>
        </w:rPr>
        <w:t>6</w:t>
      </w:r>
      <w:r w:rsidR="005B0C7D">
        <w:rPr>
          <w:rFonts w:ascii="Arial" w:hAnsi="Arial" w:cs="Arial"/>
          <w:sz w:val="20"/>
        </w:rPr>
        <w:t>a</w:t>
      </w:r>
      <w:r w:rsidR="006006DE" w:rsidRPr="006006DE">
        <w:rPr>
          <w:rFonts w:ascii="Arial" w:hAnsi="Arial" w:cs="Arial"/>
          <w:sz w:val="20"/>
        </w:rPr>
        <w:t>) with no operation possible on certain days due to the pump blockages. However, the high wastewater temperatures at th</w:t>
      </w:r>
      <w:r w:rsidR="00B914CF">
        <w:rPr>
          <w:rFonts w:ascii="Arial" w:hAnsi="Arial" w:cs="Arial"/>
          <w:sz w:val="20"/>
        </w:rPr>
        <w:t>e inlet</w:t>
      </w:r>
      <w:r w:rsidR="006006DE" w:rsidRPr="006006DE">
        <w:rPr>
          <w:rFonts w:ascii="Arial" w:hAnsi="Arial" w:cs="Arial"/>
          <w:sz w:val="20"/>
        </w:rPr>
        <w:t xml:space="preserve"> resulted in the highest WWHR with a power output of around 18.5 kW recorded on the first day of operation</w:t>
      </w:r>
      <w:r w:rsidR="005B0C7D">
        <w:rPr>
          <w:rFonts w:ascii="Arial" w:hAnsi="Arial" w:cs="Arial"/>
          <w:sz w:val="20"/>
        </w:rPr>
        <w:t xml:space="preserve"> through direct WWHR</w:t>
      </w:r>
      <w:r w:rsidR="006006DE" w:rsidRPr="006006DE">
        <w:rPr>
          <w:rFonts w:ascii="Arial" w:hAnsi="Arial" w:cs="Arial"/>
          <w:sz w:val="20"/>
        </w:rPr>
        <w:t xml:space="preserve">. The variability in the outputs for this location are a result of the change in wastewater flowrate due to the continuing blockage of the pump. </w:t>
      </w:r>
      <w:r w:rsidR="005B0C7D">
        <w:rPr>
          <w:rFonts w:ascii="Arial" w:hAnsi="Arial" w:cs="Arial"/>
          <w:sz w:val="20"/>
        </w:rPr>
        <w:t xml:space="preserve">The second issue identified was the difficulties in operating the indirect WWHR through the heat pump due to difficulties in controlling the feedwater inlet flow to the heat pump. Feedwater inlet flows had to be set manually by operating staff at the on-site WWTP </w:t>
      </w:r>
      <w:proofErr w:type="gramStart"/>
      <w:r w:rsidR="005B0C7D">
        <w:rPr>
          <w:rFonts w:ascii="Arial" w:hAnsi="Arial" w:cs="Arial"/>
          <w:sz w:val="20"/>
        </w:rPr>
        <w:t>and also</w:t>
      </w:r>
      <w:proofErr w:type="gramEnd"/>
      <w:r w:rsidR="005B0C7D">
        <w:rPr>
          <w:rFonts w:ascii="Arial" w:hAnsi="Arial" w:cs="Arial"/>
          <w:sz w:val="20"/>
        </w:rPr>
        <w:t xml:space="preserve"> varied based on consumption by other washdown activities on site. When flows were higher than the maximal incoming flow rate of the heat pump unit, it resulted in the automatic shutdown of the unit</w:t>
      </w:r>
      <w:r w:rsidR="00D740CA">
        <w:rPr>
          <w:rFonts w:ascii="Arial" w:hAnsi="Arial" w:cs="Arial"/>
          <w:sz w:val="20"/>
        </w:rPr>
        <w:t xml:space="preserve"> leading to difficulties in any data collection using indirect heat recovery.</w:t>
      </w:r>
    </w:p>
    <w:p w14:paraId="3AC7C33B" w14:textId="77777777" w:rsidR="00D740CA" w:rsidRPr="00D740CA" w:rsidRDefault="00D740CA" w:rsidP="00D740CA"/>
    <w:p w14:paraId="77CFCFE4" w14:textId="6F8E77D6" w:rsidR="002F6A14" w:rsidRDefault="002F6A14" w:rsidP="00ED72EE">
      <w:pPr>
        <w:tabs>
          <w:tab w:val="left" w:pos="567"/>
        </w:tabs>
        <w:jc w:val="center"/>
        <w:rPr>
          <w:lang w:val="en-GB"/>
        </w:rPr>
      </w:pPr>
    </w:p>
    <w:p w14:paraId="47984BAC" w14:textId="24B7829F" w:rsidR="00EE02A4" w:rsidRDefault="00EE02A4" w:rsidP="00D740CA">
      <w:pPr>
        <w:tabs>
          <w:tab w:val="left" w:pos="567"/>
        </w:tabs>
        <w:jc w:val="center"/>
        <w:rPr>
          <w:lang w:val="en-GB"/>
        </w:rPr>
      </w:pPr>
      <w:r>
        <w:rPr>
          <w:noProof/>
          <w:lang w:val="en-GB"/>
        </w:rPr>
        <w:lastRenderedPageBreak/>
        <w:drawing>
          <wp:inline distT="0" distB="0" distL="0" distR="0" wp14:anchorId="1B2A3657" wp14:editId="7F4C1466">
            <wp:extent cx="6137369" cy="1464644"/>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5792" cy="1483359"/>
                    </a:xfrm>
                    <a:prstGeom prst="rect">
                      <a:avLst/>
                    </a:prstGeom>
                    <a:noFill/>
                    <a:ln>
                      <a:noFill/>
                    </a:ln>
                  </pic:spPr>
                </pic:pic>
              </a:graphicData>
            </a:graphic>
          </wp:inline>
        </w:drawing>
      </w:r>
    </w:p>
    <w:p w14:paraId="6A38EE88" w14:textId="33D6F274" w:rsidR="002F6A14" w:rsidRPr="00A17A0E" w:rsidRDefault="00A17A0E" w:rsidP="00A17A0E">
      <w:pPr>
        <w:pStyle w:val="ListParagraph"/>
        <w:ind w:left="1082"/>
        <w:rPr>
          <w:sz w:val="16"/>
          <w:szCs w:val="16"/>
        </w:rPr>
      </w:pPr>
      <w:r>
        <w:rPr>
          <w:sz w:val="16"/>
          <w:szCs w:val="16"/>
        </w:rPr>
        <w:t xml:space="preserve">                               (a)                                                                                              </w:t>
      </w:r>
      <w:r w:rsidR="00EE02A4">
        <w:rPr>
          <w:sz w:val="16"/>
          <w:szCs w:val="16"/>
        </w:rPr>
        <w:t xml:space="preserve">     </w:t>
      </w:r>
      <w:proofErr w:type="gramStart"/>
      <w:r w:rsidR="00EE02A4">
        <w:rPr>
          <w:sz w:val="16"/>
          <w:szCs w:val="16"/>
        </w:rPr>
        <w:t xml:space="preserve">  </w:t>
      </w:r>
      <w:r>
        <w:rPr>
          <w:sz w:val="16"/>
          <w:szCs w:val="16"/>
        </w:rPr>
        <w:t xml:space="preserve"> (</w:t>
      </w:r>
      <w:proofErr w:type="gramEnd"/>
      <w:r>
        <w:rPr>
          <w:sz w:val="16"/>
          <w:szCs w:val="16"/>
        </w:rPr>
        <w:t>b)</w:t>
      </w:r>
    </w:p>
    <w:p w14:paraId="4446BD37" w14:textId="281C858D" w:rsidR="00ED72EE" w:rsidRPr="00C912D0" w:rsidRDefault="00ED72EE" w:rsidP="00861034">
      <w:pPr>
        <w:tabs>
          <w:tab w:val="left" w:pos="567"/>
        </w:tabs>
        <w:rPr>
          <w:lang w:val="en-GB"/>
        </w:rPr>
      </w:pPr>
      <w:r w:rsidRPr="00A17A0E">
        <w:rPr>
          <w:b/>
          <w:bCs/>
          <w:lang w:val="en-GB"/>
        </w:rPr>
        <w:t xml:space="preserve">Figure </w:t>
      </w:r>
      <w:r w:rsidR="00FB7CAF">
        <w:rPr>
          <w:b/>
          <w:bCs/>
          <w:lang w:val="en-GB"/>
        </w:rPr>
        <w:t>6</w:t>
      </w:r>
      <w:r w:rsidR="00E02FC2">
        <w:rPr>
          <w:b/>
          <w:bCs/>
          <w:lang w:val="en-GB"/>
        </w:rPr>
        <w:t>.</w:t>
      </w:r>
      <w:r w:rsidRPr="00C912D0">
        <w:rPr>
          <w:lang w:val="en-GB"/>
        </w:rPr>
        <w:t xml:space="preserve"> Wastewater heat recovery performance of the demonstration unit at the: (a) inlet of the wastewater treatment plant and (b) at the outlet of the dissolved air flotation tank. </w:t>
      </w:r>
    </w:p>
    <w:p w14:paraId="259669CE" w14:textId="4B211EBB" w:rsidR="00ED72EE" w:rsidRDefault="00ED72EE" w:rsidP="00ED72EE">
      <w:pPr>
        <w:pStyle w:val="09ListBu"/>
        <w:numPr>
          <w:ilvl w:val="0"/>
          <w:numId w:val="0"/>
        </w:numPr>
        <w:spacing w:line="240" w:lineRule="auto"/>
        <w:ind w:left="357" w:hanging="357"/>
        <w:rPr>
          <w:rFonts w:ascii="Arial" w:hAnsi="Arial" w:cs="Arial"/>
          <w:sz w:val="20"/>
          <w:lang w:val="en-GB"/>
        </w:rPr>
      </w:pPr>
    </w:p>
    <w:p w14:paraId="47FE58D6" w14:textId="7CB0E349" w:rsidR="00A2559D" w:rsidRDefault="00A2559D" w:rsidP="00A2559D">
      <w:pPr>
        <w:pStyle w:val="07paragraphs"/>
        <w:tabs>
          <w:tab w:val="clear" w:pos="357"/>
          <w:tab w:val="left" w:pos="426"/>
        </w:tabs>
        <w:spacing w:after="0" w:line="240" w:lineRule="auto"/>
        <w:rPr>
          <w:rFonts w:ascii="Arial" w:hAnsi="Arial" w:cs="Arial"/>
          <w:sz w:val="20"/>
        </w:rPr>
      </w:pPr>
      <w:r>
        <w:rPr>
          <w:rFonts w:ascii="Arial" w:hAnsi="Arial" w:cs="Arial"/>
          <w:sz w:val="20"/>
        </w:rPr>
        <w:tab/>
      </w:r>
      <w:r w:rsidR="005B0C7D" w:rsidRPr="006006DE">
        <w:rPr>
          <w:rFonts w:ascii="Arial" w:hAnsi="Arial" w:cs="Arial"/>
          <w:sz w:val="20"/>
        </w:rPr>
        <w:t>The</w:t>
      </w:r>
      <w:r w:rsidR="005B0C7D">
        <w:rPr>
          <w:rFonts w:ascii="Arial" w:hAnsi="Arial" w:cs="Arial"/>
          <w:sz w:val="20"/>
        </w:rPr>
        <w:t xml:space="preserve"> demonstration</w:t>
      </w:r>
      <w:r w:rsidR="005B0C7D" w:rsidRPr="006006DE">
        <w:rPr>
          <w:rFonts w:ascii="Arial" w:hAnsi="Arial" w:cs="Arial"/>
          <w:sz w:val="20"/>
        </w:rPr>
        <w:t xml:space="preserve"> unit’s operation was more consistent at th</w:t>
      </w:r>
      <w:r w:rsidR="005B0C7D">
        <w:rPr>
          <w:rFonts w:ascii="Arial" w:hAnsi="Arial" w:cs="Arial"/>
          <w:sz w:val="20"/>
        </w:rPr>
        <w:t>e outlet of the dissolved air flotation tank (Figure 6b)</w:t>
      </w:r>
      <w:r w:rsidR="005B0C7D" w:rsidRPr="006006DE">
        <w:rPr>
          <w:rFonts w:ascii="Arial" w:hAnsi="Arial" w:cs="Arial"/>
          <w:sz w:val="20"/>
        </w:rPr>
        <w:t xml:space="preserve"> location</w:t>
      </w:r>
      <w:r w:rsidR="005B0C7D">
        <w:rPr>
          <w:rFonts w:ascii="Arial" w:hAnsi="Arial" w:cs="Arial"/>
          <w:sz w:val="20"/>
        </w:rPr>
        <w:t>.</w:t>
      </w:r>
      <w:r w:rsidR="005B0C7D" w:rsidRPr="006006DE">
        <w:rPr>
          <w:rFonts w:ascii="Arial" w:hAnsi="Arial" w:cs="Arial"/>
          <w:sz w:val="20"/>
        </w:rPr>
        <w:t xml:space="preserve"> </w:t>
      </w:r>
      <w:r w:rsidR="005B0C7D">
        <w:rPr>
          <w:rFonts w:ascii="Arial" w:hAnsi="Arial" w:cs="Arial"/>
          <w:sz w:val="20"/>
        </w:rPr>
        <w:t>N</w:t>
      </w:r>
      <w:r w:rsidR="005B0C7D" w:rsidRPr="006006DE">
        <w:rPr>
          <w:rFonts w:ascii="Arial" w:hAnsi="Arial" w:cs="Arial"/>
          <w:sz w:val="20"/>
        </w:rPr>
        <w:t xml:space="preserve">o blockages </w:t>
      </w:r>
      <w:r w:rsidR="005B0C7D">
        <w:rPr>
          <w:rFonts w:ascii="Arial" w:hAnsi="Arial" w:cs="Arial"/>
          <w:sz w:val="20"/>
        </w:rPr>
        <w:t xml:space="preserve">of the pump </w:t>
      </w:r>
      <w:r w:rsidR="005B0C7D" w:rsidRPr="006006DE">
        <w:rPr>
          <w:rFonts w:ascii="Arial" w:hAnsi="Arial" w:cs="Arial"/>
          <w:sz w:val="20"/>
        </w:rPr>
        <w:t>occurr</w:t>
      </w:r>
      <w:r w:rsidR="005B0C7D">
        <w:rPr>
          <w:rFonts w:ascii="Arial" w:hAnsi="Arial" w:cs="Arial"/>
          <w:sz w:val="20"/>
        </w:rPr>
        <w:t>ed</w:t>
      </w:r>
      <w:r w:rsidR="005B0C7D" w:rsidRPr="006006DE">
        <w:rPr>
          <w:rFonts w:ascii="Arial" w:hAnsi="Arial" w:cs="Arial"/>
          <w:sz w:val="20"/>
        </w:rPr>
        <w:t xml:space="preserve"> </w:t>
      </w:r>
      <w:r w:rsidR="005B0C7D">
        <w:rPr>
          <w:rFonts w:ascii="Arial" w:hAnsi="Arial" w:cs="Arial"/>
          <w:sz w:val="20"/>
        </w:rPr>
        <w:t xml:space="preserve">during the operation of the unit here </w:t>
      </w:r>
      <w:r w:rsidR="005B0C7D" w:rsidRPr="006006DE">
        <w:rPr>
          <w:rFonts w:ascii="Arial" w:hAnsi="Arial" w:cs="Arial"/>
          <w:sz w:val="20"/>
        </w:rPr>
        <w:t>due to the wastewater being cleaner than at the inlet. There was a reduction in the quantity of</w:t>
      </w:r>
      <w:r>
        <w:rPr>
          <w:rFonts w:ascii="Arial" w:hAnsi="Arial" w:cs="Arial"/>
          <w:sz w:val="20"/>
        </w:rPr>
        <w:t xml:space="preserve"> direct</w:t>
      </w:r>
      <w:r w:rsidR="005B0C7D" w:rsidRPr="006006DE">
        <w:rPr>
          <w:rFonts w:ascii="Arial" w:hAnsi="Arial" w:cs="Arial"/>
          <w:sz w:val="20"/>
        </w:rPr>
        <w:t xml:space="preserve"> WWHR with the resulting heating power usually being between 8-10 kW (Figure </w:t>
      </w:r>
      <w:r w:rsidR="005B0C7D">
        <w:rPr>
          <w:rFonts w:ascii="Arial" w:hAnsi="Arial" w:cs="Arial"/>
          <w:sz w:val="20"/>
        </w:rPr>
        <w:t>6</w:t>
      </w:r>
      <w:r w:rsidR="005B0C7D" w:rsidRPr="006006DE">
        <w:rPr>
          <w:rFonts w:ascii="Arial" w:hAnsi="Arial" w:cs="Arial"/>
          <w:sz w:val="20"/>
        </w:rPr>
        <w:t>b), but the power remain</w:t>
      </w:r>
      <w:r>
        <w:rPr>
          <w:rFonts w:ascii="Arial" w:hAnsi="Arial" w:cs="Arial"/>
          <w:sz w:val="20"/>
        </w:rPr>
        <w:t>ed</w:t>
      </w:r>
      <w:r w:rsidR="005B0C7D" w:rsidRPr="006006DE">
        <w:rPr>
          <w:rFonts w:ascii="Arial" w:hAnsi="Arial" w:cs="Arial"/>
          <w:sz w:val="20"/>
        </w:rPr>
        <w:t xml:space="preserve"> more consistent than in the previous location through the week. </w:t>
      </w:r>
      <w:proofErr w:type="gramStart"/>
      <w:r>
        <w:rPr>
          <w:rFonts w:ascii="Arial" w:hAnsi="Arial" w:cs="Arial"/>
          <w:sz w:val="20"/>
        </w:rPr>
        <w:t>Similar to</w:t>
      </w:r>
      <w:proofErr w:type="gramEnd"/>
      <w:r>
        <w:rPr>
          <w:rFonts w:ascii="Arial" w:hAnsi="Arial" w:cs="Arial"/>
          <w:sz w:val="20"/>
        </w:rPr>
        <w:t xml:space="preserve"> the previous location, the indirect heat recovery through the heat pump could not be operated consistently due to the variability in the feedwater flow through the demonstration unit.</w:t>
      </w:r>
      <w:r w:rsidR="0026330F">
        <w:rPr>
          <w:rFonts w:ascii="Arial" w:hAnsi="Arial" w:cs="Arial"/>
          <w:sz w:val="20"/>
        </w:rPr>
        <w:t xml:space="preserve"> However, even the impact of direct WWHR </w:t>
      </w:r>
      <w:r w:rsidR="00EA4EA4">
        <w:rPr>
          <w:rFonts w:ascii="Arial" w:hAnsi="Arial" w:cs="Arial"/>
          <w:sz w:val="20"/>
        </w:rPr>
        <w:t xml:space="preserve">using only the demonstration unit </w:t>
      </w:r>
      <w:r w:rsidR="0026330F">
        <w:rPr>
          <w:rFonts w:ascii="Arial" w:hAnsi="Arial" w:cs="Arial"/>
          <w:sz w:val="20"/>
        </w:rPr>
        <w:t xml:space="preserve">is significant at this location; </w:t>
      </w:r>
      <w:proofErr w:type="gramStart"/>
      <w:r w:rsidR="0026330F">
        <w:rPr>
          <w:rFonts w:ascii="Arial" w:hAnsi="Arial" w:cs="Arial"/>
          <w:sz w:val="20"/>
        </w:rPr>
        <w:t>a</w:t>
      </w:r>
      <w:r w:rsidR="0026330F" w:rsidRPr="006006DE">
        <w:rPr>
          <w:rFonts w:ascii="Arial" w:hAnsi="Arial" w:cs="Arial"/>
          <w:sz w:val="20"/>
        </w:rPr>
        <w:t>ssuming that</w:t>
      </w:r>
      <w:proofErr w:type="gramEnd"/>
      <w:r w:rsidR="0026330F" w:rsidRPr="006006DE">
        <w:rPr>
          <w:rFonts w:ascii="Arial" w:hAnsi="Arial" w:cs="Arial"/>
          <w:sz w:val="20"/>
        </w:rPr>
        <w:t xml:space="preserve"> an average heat recovery power of 8.85 kW can be maintained for the full year at this location, around </w:t>
      </w:r>
      <w:r w:rsidR="00EA4EA4">
        <w:rPr>
          <w:rFonts w:ascii="Arial" w:hAnsi="Arial" w:cs="Arial"/>
          <w:sz w:val="20"/>
        </w:rPr>
        <w:t>14M</w:t>
      </w:r>
      <w:r w:rsidR="0026330F" w:rsidRPr="006006DE">
        <w:rPr>
          <w:rFonts w:ascii="Arial" w:hAnsi="Arial" w:cs="Arial"/>
          <w:sz w:val="20"/>
        </w:rPr>
        <w:t>Wh of heating energy can be obtained</w:t>
      </w:r>
      <w:r w:rsidR="00A32E2C">
        <w:rPr>
          <w:rFonts w:ascii="Arial" w:hAnsi="Arial" w:cs="Arial"/>
          <w:sz w:val="20"/>
        </w:rPr>
        <w:t xml:space="preserve"> considering 2</w:t>
      </w:r>
      <w:r w:rsidR="00EA4EA4">
        <w:rPr>
          <w:rFonts w:ascii="Arial" w:hAnsi="Arial" w:cs="Arial"/>
          <w:sz w:val="20"/>
        </w:rPr>
        <w:t>0</w:t>
      </w:r>
      <w:r w:rsidR="00A32E2C">
        <w:rPr>
          <w:rFonts w:ascii="Arial" w:hAnsi="Arial" w:cs="Arial"/>
          <w:sz w:val="20"/>
        </w:rPr>
        <w:t>0 operating days</w:t>
      </w:r>
      <w:r w:rsidR="00EA4EA4">
        <w:rPr>
          <w:rFonts w:ascii="Arial" w:hAnsi="Arial" w:cs="Arial"/>
          <w:sz w:val="20"/>
        </w:rPr>
        <w:t xml:space="preserve"> of WWHR</w:t>
      </w:r>
      <w:r w:rsidR="00A32E2C">
        <w:rPr>
          <w:rFonts w:ascii="Arial" w:hAnsi="Arial" w:cs="Arial"/>
          <w:sz w:val="20"/>
        </w:rPr>
        <w:t xml:space="preserve">. </w:t>
      </w:r>
      <w:r>
        <w:rPr>
          <w:rFonts w:ascii="Arial" w:hAnsi="Arial" w:cs="Arial"/>
          <w:sz w:val="20"/>
        </w:rPr>
        <w:t xml:space="preserve">  </w:t>
      </w:r>
    </w:p>
    <w:p w14:paraId="1D070586" w14:textId="77777777" w:rsidR="00A2559D" w:rsidRPr="00CB12B4" w:rsidRDefault="00A2559D" w:rsidP="00A2559D">
      <w:pPr>
        <w:pStyle w:val="09ListBu"/>
        <w:numPr>
          <w:ilvl w:val="0"/>
          <w:numId w:val="0"/>
        </w:numPr>
        <w:spacing w:line="240" w:lineRule="auto"/>
        <w:ind w:left="357" w:hanging="357"/>
        <w:rPr>
          <w:rFonts w:ascii="Arial" w:hAnsi="Arial" w:cs="Arial"/>
          <w:sz w:val="20"/>
        </w:rPr>
      </w:pPr>
    </w:p>
    <w:p w14:paraId="57069212" w14:textId="6008309A" w:rsidR="006D12DE" w:rsidRDefault="00C944B5" w:rsidP="00B0374D">
      <w:pPr>
        <w:pStyle w:val="06NumeratedHeading2"/>
        <w:spacing w:before="0" w:after="0" w:line="240" w:lineRule="auto"/>
        <w:ind w:left="426" w:hanging="426"/>
        <w:rPr>
          <w:rFonts w:ascii="Arial" w:hAnsi="Arial" w:cs="Arial"/>
          <w:b/>
          <w:bCs/>
          <w:sz w:val="20"/>
          <w:szCs w:val="20"/>
        </w:rPr>
      </w:pPr>
      <w:r>
        <w:rPr>
          <w:rFonts w:ascii="Arial" w:hAnsi="Arial" w:cs="Arial"/>
          <w:b/>
          <w:bCs/>
          <w:sz w:val="20"/>
          <w:szCs w:val="20"/>
        </w:rPr>
        <w:t>Final Testing</w:t>
      </w:r>
    </w:p>
    <w:p w14:paraId="7533E133" w14:textId="77777777" w:rsidR="00F36080" w:rsidRDefault="00F36080" w:rsidP="00B0374D">
      <w:pPr>
        <w:pStyle w:val="07paragraphs"/>
        <w:tabs>
          <w:tab w:val="clear" w:pos="357"/>
          <w:tab w:val="left" w:pos="426"/>
        </w:tabs>
        <w:spacing w:after="0" w:line="240" w:lineRule="auto"/>
        <w:rPr>
          <w:rFonts w:ascii="Arial" w:hAnsi="Arial" w:cs="Arial"/>
          <w:sz w:val="20"/>
          <w:szCs w:val="20"/>
        </w:rPr>
      </w:pPr>
    </w:p>
    <w:p w14:paraId="54CB28C1" w14:textId="7DAF5683" w:rsidR="006D12DE" w:rsidRPr="000449AC" w:rsidRDefault="003955D9" w:rsidP="003955D9">
      <w:pPr>
        <w:pStyle w:val="07paragraphs"/>
        <w:tabs>
          <w:tab w:val="clear" w:pos="357"/>
          <w:tab w:val="left" w:pos="426"/>
        </w:tabs>
        <w:spacing w:after="0" w:line="240" w:lineRule="auto"/>
        <w:rPr>
          <w:rFonts w:ascii="Arial" w:hAnsi="Arial" w:cs="Arial"/>
          <w:b/>
          <w:bCs/>
          <w:color w:val="FF0000"/>
          <w:sz w:val="20"/>
          <w:szCs w:val="20"/>
        </w:rPr>
      </w:pPr>
      <w:r>
        <w:rPr>
          <w:rFonts w:ascii="Arial" w:hAnsi="Arial" w:cs="Arial"/>
          <w:sz w:val="20"/>
          <w:szCs w:val="20"/>
        </w:rPr>
        <w:tab/>
      </w:r>
      <w:r w:rsidR="0026330F">
        <w:rPr>
          <w:rFonts w:ascii="Arial" w:hAnsi="Arial" w:cs="Arial"/>
          <w:sz w:val="20"/>
          <w:szCs w:val="20"/>
        </w:rPr>
        <w:t>As a result of the difficulties with the long-term operation of the unit at the outlet of the dissolved air flotation tank and the submersible pump blockages when the unit was operated the WWTP inlet, a new submersible pump was sourced that could handle the solids loading at the WWTP inlet</w:t>
      </w:r>
      <w:r w:rsidR="00931534">
        <w:rPr>
          <w:rFonts w:ascii="Arial" w:hAnsi="Arial" w:cs="Arial"/>
          <w:sz w:val="20"/>
          <w:szCs w:val="20"/>
        </w:rPr>
        <w:t xml:space="preserve"> for the long-term tests</w:t>
      </w:r>
      <w:r w:rsidR="0026330F">
        <w:rPr>
          <w:rFonts w:ascii="Arial" w:hAnsi="Arial" w:cs="Arial"/>
          <w:sz w:val="20"/>
          <w:szCs w:val="20"/>
        </w:rPr>
        <w:t xml:space="preserve">. </w:t>
      </w:r>
      <w:r w:rsidRPr="003955D9">
        <w:rPr>
          <w:rFonts w:ascii="Arial" w:hAnsi="Arial" w:cs="Arial"/>
          <w:sz w:val="20"/>
          <w:szCs w:val="20"/>
        </w:rPr>
        <w:t xml:space="preserve">However, after testing and initial operation of the new pump, it was found that the heat exchangers themselves were prone to blockages due to the combined effects of the larger particles and adhesion from the fats in the wastewater. Cleaning out the heat exchangers did not have any appreciable impact and the blockages occurred continuously after the pump was operated for only 2-3 hours. </w:t>
      </w:r>
      <w:r w:rsidR="00A32E2C">
        <w:rPr>
          <w:rFonts w:ascii="Arial" w:hAnsi="Arial" w:cs="Arial"/>
          <w:sz w:val="20"/>
          <w:szCs w:val="20"/>
        </w:rPr>
        <w:t>Further, a</w:t>
      </w:r>
      <w:r w:rsidR="0026330F">
        <w:rPr>
          <w:rFonts w:ascii="Arial" w:hAnsi="Arial" w:cs="Arial"/>
          <w:sz w:val="20"/>
          <w:szCs w:val="20"/>
        </w:rPr>
        <w:t>s the long-term tests were carried out in the summer months</w:t>
      </w:r>
      <w:r w:rsidR="00A32E2C">
        <w:rPr>
          <w:rFonts w:ascii="Arial" w:hAnsi="Arial" w:cs="Arial"/>
          <w:sz w:val="20"/>
          <w:szCs w:val="20"/>
        </w:rPr>
        <w:t xml:space="preserve"> during a low rainfall period</w:t>
      </w:r>
      <w:r w:rsidR="0026330F">
        <w:rPr>
          <w:rFonts w:ascii="Arial" w:hAnsi="Arial" w:cs="Arial"/>
          <w:sz w:val="20"/>
          <w:szCs w:val="20"/>
        </w:rPr>
        <w:t xml:space="preserve">, the </w:t>
      </w:r>
      <w:r w:rsidR="00A32E2C">
        <w:rPr>
          <w:rFonts w:ascii="Arial" w:hAnsi="Arial" w:cs="Arial"/>
          <w:sz w:val="20"/>
          <w:szCs w:val="20"/>
        </w:rPr>
        <w:t>feedwater was predominantly composed of treated wastewater which still retained a significant amount of heat</w:t>
      </w:r>
      <w:r w:rsidR="00F95C61">
        <w:rPr>
          <w:rFonts w:ascii="Arial" w:hAnsi="Arial" w:cs="Arial"/>
          <w:sz w:val="20"/>
          <w:szCs w:val="20"/>
        </w:rPr>
        <w:t>. This</w:t>
      </w:r>
      <w:r w:rsidR="00A32E2C">
        <w:rPr>
          <w:rFonts w:ascii="Arial" w:hAnsi="Arial" w:cs="Arial"/>
          <w:sz w:val="20"/>
          <w:szCs w:val="20"/>
        </w:rPr>
        <w:t xml:space="preserve"> result</w:t>
      </w:r>
      <w:r w:rsidR="00F95C61">
        <w:rPr>
          <w:rFonts w:ascii="Arial" w:hAnsi="Arial" w:cs="Arial"/>
          <w:sz w:val="20"/>
          <w:szCs w:val="20"/>
        </w:rPr>
        <w:t>ed</w:t>
      </w:r>
      <w:r w:rsidR="00A32E2C">
        <w:rPr>
          <w:rFonts w:ascii="Arial" w:hAnsi="Arial" w:cs="Arial"/>
          <w:sz w:val="20"/>
          <w:szCs w:val="20"/>
        </w:rPr>
        <w:t xml:space="preserve"> in a </w:t>
      </w:r>
      <w:r w:rsidR="00F95C61">
        <w:rPr>
          <w:rFonts w:ascii="Arial" w:hAnsi="Arial" w:cs="Arial"/>
          <w:sz w:val="20"/>
          <w:szCs w:val="20"/>
        </w:rPr>
        <w:t>marked</w:t>
      </w:r>
      <w:r w:rsidR="00A32E2C">
        <w:rPr>
          <w:rFonts w:ascii="Arial" w:hAnsi="Arial" w:cs="Arial"/>
          <w:sz w:val="20"/>
          <w:szCs w:val="20"/>
        </w:rPr>
        <w:t xml:space="preserve"> reduction in WWHR as compared to the initial tests</w:t>
      </w:r>
      <w:r w:rsidR="00F95C61">
        <w:rPr>
          <w:rFonts w:ascii="Arial" w:hAnsi="Arial" w:cs="Arial"/>
          <w:sz w:val="20"/>
          <w:szCs w:val="20"/>
        </w:rPr>
        <w:t>,</w:t>
      </w:r>
      <w:r w:rsidR="00A32E2C">
        <w:rPr>
          <w:rFonts w:ascii="Arial" w:hAnsi="Arial" w:cs="Arial"/>
          <w:sz w:val="20"/>
          <w:szCs w:val="20"/>
        </w:rPr>
        <w:t xml:space="preserve"> </w:t>
      </w:r>
      <w:r w:rsidR="00F95C61">
        <w:rPr>
          <w:rFonts w:ascii="Arial" w:hAnsi="Arial" w:cs="Arial"/>
          <w:sz w:val="20"/>
          <w:szCs w:val="20"/>
        </w:rPr>
        <w:t xml:space="preserve">with heating power being in the range of 1-2.5 kW and overall energy recovered being around 10kWh-20 kWh/day when the system was operational. These findings are not necessarily representative of the WWHR possible at Site </w:t>
      </w:r>
      <w:proofErr w:type="gramStart"/>
      <w:r w:rsidR="00F95C61">
        <w:rPr>
          <w:rFonts w:ascii="Arial" w:hAnsi="Arial" w:cs="Arial"/>
          <w:sz w:val="20"/>
          <w:szCs w:val="20"/>
        </w:rPr>
        <w:t>2, but</w:t>
      </w:r>
      <w:proofErr w:type="gramEnd"/>
      <w:r w:rsidR="00F95C61">
        <w:rPr>
          <w:rFonts w:ascii="Arial" w:hAnsi="Arial" w:cs="Arial"/>
          <w:sz w:val="20"/>
          <w:szCs w:val="20"/>
        </w:rPr>
        <w:t xml:space="preserve"> indicate that feedwater temperatures play a significant role in WWHR and should form a part of</w:t>
      </w:r>
      <w:r w:rsidR="00931534">
        <w:rPr>
          <w:rFonts w:ascii="Arial" w:hAnsi="Arial" w:cs="Arial"/>
          <w:sz w:val="20"/>
          <w:szCs w:val="20"/>
        </w:rPr>
        <w:t xml:space="preserve"> future</w:t>
      </w:r>
      <w:r w:rsidR="00F95C61">
        <w:rPr>
          <w:rFonts w:ascii="Arial" w:hAnsi="Arial" w:cs="Arial"/>
          <w:sz w:val="20"/>
          <w:szCs w:val="20"/>
        </w:rPr>
        <w:t xml:space="preserve"> monitoring campaigns. The</w:t>
      </w:r>
      <w:r w:rsidR="00931534">
        <w:rPr>
          <w:rFonts w:ascii="Arial" w:hAnsi="Arial" w:cs="Arial"/>
          <w:sz w:val="20"/>
          <w:szCs w:val="20"/>
        </w:rPr>
        <w:t>se tests</w:t>
      </w:r>
      <w:r w:rsidR="00F95C61">
        <w:rPr>
          <w:rFonts w:ascii="Arial" w:hAnsi="Arial" w:cs="Arial"/>
          <w:sz w:val="20"/>
          <w:szCs w:val="20"/>
        </w:rPr>
        <w:t xml:space="preserve"> also provide some guidance on issues around the operability</w:t>
      </w:r>
      <w:r w:rsidR="00432AD7">
        <w:rPr>
          <w:rFonts w:ascii="Arial" w:hAnsi="Arial" w:cs="Arial"/>
          <w:sz w:val="20"/>
          <w:szCs w:val="20"/>
        </w:rPr>
        <w:t xml:space="preserve"> and implementation</w:t>
      </w:r>
      <w:r w:rsidR="00F95C61">
        <w:rPr>
          <w:rFonts w:ascii="Arial" w:hAnsi="Arial" w:cs="Arial"/>
          <w:sz w:val="20"/>
          <w:szCs w:val="20"/>
        </w:rPr>
        <w:t xml:space="preserve"> of WWHR systems in </w:t>
      </w:r>
      <w:r w:rsidR="00432AD7">
        <w:rPr>
          <w:rFonts w:ascii="Arial" w:hAnsi="Arial" w:cs="Arial"/>
          <w:sz w:val="20"/>
          <w:szCs w:val="20"/>
        </w:rPr>
        <w:t>the food industry.</w:t>
      </w:r>
      <w:r w:rsidR="00A32E2C">
        <w:rPr>
          <w:rFonts w:ascii="Arial" w:hAnsi="Arial" w:cs="Arial"/>
          <w:sz w:val="20"/>
          <w:szCs w:val="20"/>
        </w:rPr>
        <w:t xml:space="preserve"> </w:t>
      </w:r>
    </w:p>
    <w:p w14:paraId="10E75274" w14:textId="77777777" w:rsidR="000F3279" w:rsidRPr="00CB12B4" w:rsidRDefault="000F3279" w:rsidP="00B0374D">
      <w:pPr>
        <w:pStyle w:val="11CapFigure"/>
        <w:tabs>
          <w:tab w:val="clear" w:pos="6521"/>
          <w:tab w:val="left" w:pos="6946"/>
        </w:tabs>
        <w:spacing w:before="0" w:after="0"/>
        <w:rPr>
          <w:rFonts w:ascii="Arial" w:eastAsia="BIG5??" w:hAnsi="Arial" w:cs="Arial"/>
          <w:sz w:val="18"/>
          <w:lang w:eastAsia="zh-CN"/>
        </w:rPr>
      </w:pPr>
    </w:p>
    <w:p w14:paraId="1552D38E" w14:textId="7CED11D5" w:rsidR="006D12DE" w:rsidRDefault="00A2559D" w:rsidP="00B0374D">
      <w:pPr>
        <w:pStyle w:val="06NumeratedHeading2"/>
        <w:spacing w:before="0" w:after="0" w:line="240" w:lineRule="auto"/>
        <w:ind w:left="426" w:hanging="426"/>
        <w:rPr>
          <w:rFonts w:ascii="Arial" w:eastAsia="BIG5??" w:hAnsi="Arial" w:cs="Arial"/>
          <w:b/>
          <w:bCs/>
          <w:sz w:val="20"/>
          <w:lang w:eastAsia="zh-CN"/>
        </w:rPr>
      </w:pPr>
      <w:r>
        <w:rPr>
          <w:rFonts w:ascii="Arial" w:eastAsia="BIG5??" w:hAnsi="Arial" w:cs="Arial"/>
          <w:b/>
          <w:bCs/>
          <w:sz w:val="20"/>
          <w:lang w:eastAsia="zh-CN"/>
        </w:rPr>
        <w:t xml:space="preserve">Lessons Learned on </w:t>
      </w:r>
      <w:r w:rsidR="006D12DE" w:rsidRPr="00E30858">
        <w:rPr>
          <w:rFonts w:ascii="Arial" w:eastAsia="BIG5??" w:hAnsi="Arial" w:cs="Arial"/>
          <w:b/>
          <w:bCs/>
          <w:sz w:val="20"/>
          <w:lang w:eastAsia="zh-CN"/>
        </w:rPr>
        <w:tab/>
      </w:r>
      <w:r w:rsidR="00C944B5">
        <w:rPr>
          <w:rFonts w:ascii="Arial" w:eastAsia="BIG5??" w:hAnsi="Arial" w:cs="Arial"/>
          <w:b/>
          <w:bCs/>
          <w:sz w:val="20"/>
          <w:lang w:eastAsia="zh-CN"/>
        </w:rPr>
        <w:t>Operability and Future Work</w:t>
      </w:r>
      <w:r w:rsidR="006D12DE" w:rsidRPr="00E30858">
        <w:rPr>
          <w:rFonts w:ascii="Arial" w:eastAsia="BIG5??" w:hAnsi="Arial" w:cs="Arial"/>
          <w:b/>
          <w:bCs/>
          <w:sz w:val="20"/>
          <w:lang w:eastAsia="zh-CN"/>
        </w:rPr>
        <w:t xml:space="preserve"> </w:t>
      </w:r>
    </w:p>
    <w:p w14:paraId="2309A7AD" w14:textId="77777777" w:rsidR="007C4BE1" w:rsidRDefault="007C4BE1" w:rsidP="00B0374D">
      <w:pPr>
        <w:pStyle w:val="07paragraphs"/>
        <w:tabs>
          <w:tab w:val="clear" w:pos="357"/>
          <w:tab w:val="left" w:pos="426"/>
        </w:tabs>
        <w:spacing w:after="0" w:line="240" w:lineRule="auto"/>
        <w:rPr>
          <w:rFonts w:ascii="Arial" w:hAnsi="Arial" w:cs="Arial"/>
          <w:sz w:val="20"/>
        </w:rPr>
      </w:pPr>
    </w:p>
    <w:p w14:paraId="258AB6E5" w14:textId="3170BA3C" w:rsidR="00F471B4" w:rsidRPr="00432AD7" w:rsidRDefault="000F3279" w:rsidP="00432AD7">
      <w:pPr>
        <w:tabs>
          <w:tab w:val="left" w:pos="567"/>
        </w:tabs>
        <w:jc w:val="both"/>
        <w:rPr>
          <w:bCs/>
        </w:rPr>
      </w:pPr>
      <w:r>
        <w:rPr>
          <w:rFonts w:cs="Arial"/>
        </w:rPr>
        <w:tab/>
      </w:r>
      <w:r w:rsidR="00432AD7">
        <w:rPr>
          <w:bCs/>
        </w:rPr>
        <w:t>D</w:t>
      </w:r>
      <w:r w:rsidR="001D1A7A">
        <w:rPr>
          <w:bCs/>
        </w:rPr>
        <w:t xml:space="preserve">espite the significant heating resource available in meat processing wastewater, </w:t>
      </w:r>
      <w:r w:rsidR="00432AD7">
        <w:rPr>
          <w:bCs/>
        </w:rPr>
        <w:t xml:space="preserve">our results show that </w:t>
      </w:r>
      <w:r w:rsidR="001D1A7A">
        <w:rPr>
          <w:bCs/>
        </w:rPr>
        <w:t>it is essential to understand the variability in this resource</w:t>
      </w:r>
      <w:r w:rsidR="00432AD7">
        <w:rPr>
          <w:bCs/>
        </w:rPr>
        <w:t xml:space="preserve"> between different sites and seasonally within a site</w:t>
      </w:r>
      <w:r w:rsidR="001D1A7A">
        <w:rPr>
          <w:bCs/>
        </w:rPr>
        <w:t xml:space="preserve">. </w:t>
      </w:r>
      <w:r w:rsidR="00432AD7">
        <w:rPr>
          <w:bCs/>
        </w:rPr>
        <w:t xml:space="preserve">A consideration of the source of the feedwater is important and feedwater temperatures could play an important role in the feasibility of a WWHR system. </w:t>
      </w:r>
      <w:r w:rsidR="001D1A7A">
        <w:rPr>
          <w:bCs/>
        </w:rPr>
        <w:t xml:space="preserve">Further, for meat processing wastewater a heat exchanger designed for internal use within one of the treatment tanks may be more suitable than the </w:t>
      </w:r>
      <w:r w:rsidR="00432AD7">
        <w:rPr>
          <w:bCs/>
        </w:rPr>
        <w:t xml:space="preserve">shower </w:t>
      </w:r>
      <w:r w:rsidR="001D1A7A">
        <w:rPr>
          <w:bCs/>
        </w:rPr>
        <w:t xml:space="preserve">heat exchangers used in the </w:t>
      </w:r>
      <w:r w:rsidR="00432AD7">
        <w:rPr>
          <w:bCs/>
        </w:rPr>
        <w:t xml:space="preserve">demonstration </w:t>
      </w:r>
      <w:r w:rsidR="001D1A7A">
        <w:rPr>
          <w:bCs/>
        </w:rPr>
        <w:t>unit</w:t>
      </w:r>
      <w:r w:rsidR="00931534">
        <w:rPr>
          <w:bCs/>
        </w:rPr>
        <w:t xml:space="preserve"> which required wastewater flow through them</w:t>
      </w:r>
      <w:r w:rsidR="001D1A7A">
        <w:rPr>
          <w:bCs/>
        </w:rPr>
        <w:t xml:space="preserve">. </w:t>
      </w:r>
      <w:r w:rsidR="00432AD7">
        <w:rPr>
          <w:bCs/>
        </w:rPr>
        <w:t>Prioritizing the use of the off-the-shelf solutions may result in a system that is not suitable for this use case. A branch of f</w:t>
      </w:r>
      <w:r w:rsidR="001D1A7A">
        <w:rPr>
          <w:bCs/>
        </w:rPr>
        <w:t xml:space="preserve">uture research </w:t>
      </w:r>
      <w:r w:rsidR="00432AD7">
        <w:rPr>
          <w:bCs/>
        </w:rPr>
        <w:t xml:space="preserve">in this area should </w:t>
      </w:r>
      <w:r w:rsidR="001D1A7A">
        <w:rPr>
          <w:bCs/>
        </w:rPr>
        <w:t>focus on</w:t>
      </w:r>
      <w:r w:rsidR="00432AD7">
        <w:rPr>
          <w:bCs/>
        </w:rPr>
        <w:t xml:space="preserve"> </w:t>
      </w:r>
      <w:r w:rsidR="001D1A7A">
        <w:rPr>
          <w:bCs/>
        </w:rPr>
        <w:t>designing suitable heat exchangers for use</w:t>
      </w:r>
      <w:r w:rsidR="00432AD7">
        <w:rPr>
          <w:bCs/>
        </w:rPr>
        <w:t xml:space="preserve"> in meat processing WWTPs. Further research could also focus on understanding and quantifying the variability of the WWHR resource within different sites based on the site layout and feedwater source. </w:t>
      </w:r>
    </w:p>
    <w:p w14:paraId="0A60EE58" w14:textId="77777777" w:rsidR="000F3279" w:rsidRPr="000F3279" w:rsidRDefault="000F3279" w:rsidP="00B0374D"/>
    <w:p w14:paraId="0C518A0B" w14:textId="5AC3F91B" w:rsidR="007C4BE1" w:rsidRPr="00C944B5" w:rsidRDefault="005E1E3E" w:rsidP="008C614D">
      <w:pPr>
        <w:pStyle w:val="06NumeratedHeading1"/>
        <w:numPr>
          <w:ilvl w:val="0"/>
          <w:numId w:val="19"/>
        </w:numPr>
        <w:tabs>
          <w:tab w:val="clear" w:pos="425"/>
          <w:tab w:val="left" w:pos="426"/>
        </w:tabs>
        <w:spacing w:before="0" w:after="0" w:line="240" w:lineRule="auto"/>
        <w:ind w:right="357"/>
        <w:rPr>
          <w:rFonts w:ascii="Arial" w:hAnsi="Arial" w:cs="Arial"/>
          <w:sz w:val="20"/>
        </w:rPr>
      </w:pPr>
      <w:r w:rsidRPr="00C944B5">
        <w:rPr>
          <w:rFonts w:ascii="Arial" w:hAnsi="Arial" w:cs="Arial"/>
          <w:sz w:val="20"/>
        </w:rPr>
        <w:t>CONCLUSIONS</w:t>
      </w:r>
    </w:p>
    <w:p w14:paraId="14E286C0" w14:textId="5A735066" w:rsidR="00FE3110" w:rsidRDefault="00432AD7" w:rsidP="00432AD7">
      <w:pPr>
        <w:pStyle w:val="07paragraphs"/>
        <w:tabs>
          <w:tab w:val="clear" w:pos="357"/>
          <w:tab w:val="left" w:pos="426"/>
        </w:tabs>
        <w:spacing w:after="0" w:line="240" w:lineRule="auto"/>
        <w:rPr>
          <w:rFonts w:ascii="Arial" w:hAnsi="Arial" w:cs="Arial"/>
          <w:sz w:val="20"/>
        </w:rPr>
      </w:pPr>
      <w:r>
        <w:rPr>
          <w:rFonts w:ascii="Arial" w:hAnsi="Arial" w:cs="Arial"/>
          <w:sz w:val="20"/>
        </w:rPr>
        <w:tab/>
        <w:t>This manuscript set to answer key questions regarding the implementation of WWHR systems in the meat processing industry by designing and implementing a demonstration unit at an on-site WWTP of a meat processing plant. The inlet of the WWTP was found to have the highest heating resource both in monitoring studies and during the use of the demonstration unit. However,</w:t>
      </w:r>
      <w:r w:rsidR="00E73DED">
        <w:rPr>
          <w:rFonts w:ascii="Arial" w:hAnsi="Arial" w:cs="Arial"/>
          <w:sz w:val="20"/>
        </w:rPr>
        <w:t xml:space="preserve"> the</w:t>
      </w:r>
      <w:r>
        <w:rPr>
          <w:rFonts w:ascii="Arial" w:hAnsi="Arial" w:cs="Arial"/>
          <w:sz w:val="20"/>
        </w:rPr>
        <w:t xml:space="preserve"> high solids loading </w:t>
      </w:r>
      <w:r w:rsidR="00E73DED">
        <w:rPr>
          <w:rFonts w:ascii="Arial" w:hAnsi="Arial" w:cs="Arial"/>
          <w:sz w:val="20"/>
        </w:rPr>
        <w:t xml:space="preserve">in the wastewater </w:t>
      </w:r>
      <w:r>
        <w:rPr>
          <w:rFonts w:ascii="Arial" w:hAnsi="Arial" w:cs="Arial"/>
          <w:sz w:val="20"/>
        </w:rPr>
        <w:t xml:space="preserve">at </w:t>
      </w:r>
      <w:r>
        <w:rPr>
          <w:rFonts w:ascii="Arial" w:hAnsi="Arial" w:cs="Arial"/>
          <w:sz w:val="20"/>
        </w:rPr>
        <w:lastRenderedPageBreak/>
        <w:t xml:space="preserve">this </w:t>
      </w:r>
      <w:r w:rsidR="00E73DED">
        <w:rPr>
          <w:rFonts w:ascii="Arial" w:hAnsi="Arial" w:cs="Arial"/>
          <w:sz w:val="20"/>
        </w:rPr>
        <w:t>location</w:t>
      </w:r>
      <w:r>
        <w:rPr>
          <w:rFonts w:ascii="Arial" w:hAnsi="Arial" w:cs="Arial"/>
          <w:sz w:val="20"/>
        </w:rPr>
        <w:t xml:space="preserve"> also resulted in</w:t>
      </w:r>
      <w:r w:rsidR="00E73DED">
        <w:rPr>
          <w:rFonts w:ascii="Arial" w:hAnsi="Arial" w:cs="Arial"/>
          <w:sz w:val="20"/>
        </w:rPr>
        <w:t xml:space="preserve"> an inconsistent performance with </w:t>
      </w:r>
      <w:proofErr w:type="gramStart"/>
      <w:r w:rsidR="00E73DED">
        <w:rPr>
          <w:rFonts w:ascii="Arial" w:hAnsi="Arial" w:cs="Arial"/>
          <w:sz w:val="20"/>
        </w:rPr>
        <w:t>particular difficulties</w:t>
      </w:r>
      <w:proofErr w:type="gramEnd"/>
      <w:r w:rsidR="00E73DED">
        <w:rPr>
          <w:rFonts w:ascii="Arial" w:hAnsi="Arial" w:cs="Arial"/>
          <w:sz w:val="20"/>
        </w:rPr>
        <w:t xml:space="preserve"> in pumping with wastewater and blockages in heat exchangers. However, the physical treatment of the inlet wastewater in a dissolved air tank resulted in a consistent performance during our initial testing stage. Long-term testing was difficult to implement at the selected site due to the layout of the site and consistent blockages resulting from the solids loading at the WWTP inlet. However, the results from the second round of testing highlight the importance of considering feedwater temperature in the feasibility of WWHR systems. Lastly, the issue of</w:t>
      </w:r>
      <w:r w:rsidR="00931534">
        <w:rPr>
          <w:rFonts w:ascii="Arial" w:hAnsi="Arial" w:cs="Arial"/>
          <w:sz w:val="20"/>
        </w:rPr>
        <w:t xml:space="preserve"> high-</w:t>
      </w:r>
      <w:proofErr w:type="gramStart"/>
      <w:r w:rsidR="00931534">
        <w:rPr>
          <w:rFonts w:ascii="Arial" w:hAnsi="Arial" w:cs="Arial"/>
          <w:sz w:val="20"/>
        </w:rPr>
        <w:t xml:space="preserve">solids </w:t>
      </w:r>
      <w:r w:rsidR="00E73DED">
        <w:rPr>
          <w:rFonts w:ascii="Arial" w:hAnsi="Arial" w:cs="Arial"/>
          <w:sz w:val="20"/>
        </w:rPr>
        <w:t xml:space="preserve"> wastewater</w:t>
      </w:r>
      <w:proofErr w:type="gramEnd"/>
      <w:r w:rsidR="00E73DED">
        <w:rPr>
          <w:rFonts w:ascii="Arial" w:hAnsi="Arial" w:cs="Arial"/>
          <w:sz w:val="20"/>
        </w:rPr>
        <w:t xml:space="preserve"> blocking heat exchanger</w:t>
      </w:r>
      <w:r w:rsidR="00D71312">
        <w:rPr>
          <w:rFonts w:ascii="Arial" w:hAnsi="Arial" w:cs="Arial"/>
          <w:sz w:val="20"/>
        </w:rPr>
        <w:t>s</w:t>
      </w:r>
      <w:r w:rsidR="00E73DED">
        <w:rPr>
          <w:rFonts w:ascii="Arial" w:hAnsi="Arial" w:cs="Arial"/>
          <w:sz w:val="20"/>
        </w:rPr>
        <w:t xml:space="preserve"> may be overcome through the design of an internal heat exchanger for use </w:t>
      </w:r>
      <w:r w:rsidR="00D71312">
        <w:rPr>
          <w:rFonts w:ascii="Arial" w:hAnsi="Arial" w:cs="Arial"/>
          <w:sz w:val="20"/>
        </w:rPr>
        <w:t>with</w:t>
      </w:r>
      <w:r w:rsidR="00E73DED">
        <w:rPr>
          <w:rFonts w:ascii="Arial" w:hAnsi="Arial" w:cs="Arial"/>
          <w:sz w:val="20"/>
        </w:rPr>
        <w:t xml:space="preserve">in wastewater tanks. </w:t>
      </w:r>
    </w:p>
    <w:p w14:paraId="51583157" w14:textId="77777777" w:rsidR="000F3279" w:rsidRPr="000F3279" w:rsidRDefault="000F3279" w:rsidP="00B0374D"/>
    <w:p w14:paraId="606BF0E2" w14:textId="3AA621A5" w:rsidR="00CA16AB" w:rsidRDefault="00FE5EAF" w:rsidP="00B0374D">
      <w:pPr>
        <w:pStyle w:val="06NumeratedHeading1"/>
        <w:numPr>
          <w:ilvl w:val="0"/>
          <w:numId w:val="19"/>
        </w:numPr>
        <w:spacing w:before="0" w:after="0" w:line="240" w:lineRule="auto"/>
        <w:ind w:right="357"/>
        <w:rPr>
          <w:rFonts w:ascii="Arial" w:hAnsi="Arial" w:cs="Arial"/>
          <w:color w:val="FF0000"/>
          <w:sz w:val="20"/>
        </w:rPr>
      </w:pPr>
      <w:r w:rsidRPr="00CB12B4">
        <w:rPr>
          <w:rFonts w:ascii="Arial" w:hAnsi="Arial" w:cs="Arial"/>
          <w:sz w:val="20"/>
        </w:rPr>
        <w:t>ACKNOWLEDG</w:t>
      </w:r>
      <w:r>
        <w:rPr>
          <w:rFonts w:ascii="Arial" w:hAnsi="Arial" w:cs="Arial"/>
          <w:sz w:val="20"/>
        </w:rPr>
        <w:t>E</w:t>
      </w:r>
      <w:r w:rsidRPr="00CB12B4">
        <w:rPr>
          <w:rFonts w:ascii="Arial" w:hAnsi="Arial" w:cs="Arial"/>
          <w:sz w:val="20"/>
        </w:rPr>
        <w:t>MENTS</w:t>
      </w:r>
    </w:p>
    <w:p w14:paraId="5700CFDB" w14:textId="77777777" w:rsidR="007C4BE1" w:rsidRDefault="007C4BE1" w:rsidP="00B0374D">
      <w:pPr>
        <w:pStyle w:val="07paragraphs"/>
        <w:tabs>
          <w:tab w:val="clear" w:pos="357"/>
          <w:tab w:val="left" w:pos="426"/>
        </w:tabs>
        <w:spacing w:after="0" w:line="240" w:lineRule="auto"/>
        <w:rPr>
          <w:rFonts w:ascii="Arial" w:hAnsi="Arial" w:cs="Arial"/>
          <w:sz w:val="20"/>
        </w:rPr>
      </w:pPr>
    </w:p>
    <w:p w14:paraId="15979B1C" w14:textId="1CC15B63" w:rsidR="006077DB" w:rsidRPr="00CB12B4" w:rsidRDefault="00071F3A" w:rsidP="00C944B5">
      <w:pPr>
        <w:pStyle w:val="07paragraphs"/>
        <w:tabs>
          <w:tab w:val="clear" w:pos="357"/>
          <w:tab w:val="left" w:pos="426"/>
        </w:tabs>
        <w:spacing w:after="0" w:line="240" w:lineRule="auto"/>
        <w:rPr>
          <w:rFonts w:ascii="Arial" w:hAnsi="Arial" w:cs="Arial"/>
          <w:sz w:val="20"/>
        </w:rPr>
      </w:pPr>
      <w:r>
        <w:rPr>
          <w:rFonts w:ascii="Arial" w:hAnsi="Arial" w:cs="Arial"/>
          <w:sz w:val="20"/>
        </w:rPr>
        <w:tab/>
      </w:r>
      <w:r w:rsidR="00C944B5" w:rsidRPr="00C944B5">
        <w:rPr>
          <w:rFonts w:ascii="Arial" w:hAnsi="Arial" w:cs="Arial"/>
          <w:sz w:val="20"/>
        </w:rPr>
        <w:t xml:space="preserve">This research was part funded by the ERDF Interreg Ireland-Wales Programme 2014-2020, through the </w:t>
      </w:r>
      <w:proofErr w:type="spellStart"/>
      <w:r w:rsidR="00C944B5" w:rsidRPr="00C944B5">
        <w:rPr>
          <w:rFonts w:ascii="Arial" w:hAnsi="Arial" w:cs="Arial"/>
          <w:sz w:val="20"/>
        </w:rPr>
        <w:t>Dŵr</w:t>
      </w:r>
      <w:proofErr w:type="spellEnd"/>
      <w:r w:rsidR="00C944B5" w:rsidRPr="00C944B5">
        <w:rPr>
          <w:rFonts w:ascii="Arial" w:hAnsi="Arial" w:cs="Arial"/>
          <w:sz w:val="20"/>
        </w:rPr>
        <w:t xml:space="preserve"> Uisce Project.</w:t>
      </w:r>
    </w:p>
    <w:p w14:paraId="74263DDC" w14:textId="77777777" w:rsidR="00071F3A" w:rsidRDefault="00071F3A" w:rsidP="00B0374D">
      <w:pPr>
        <w:pStyle w:val="06NumeratedHeading1"/>
        <w:spacing w:before="0" w:after="0" w:line="240" w:lineRule="auto"/>
        <w:ind w:right="357"/>
        <w:rPr>
          <w:rFonts w:ascii="Arial" w:hAnsi="Arial" w:cs="Arial"/>
          <w:sz w:val="20"/>
        </w:rPr>
      </w:pPr>
    </w:p>
    <w:p w14:paraId="7A202611" w14:textId="32F00FC7" w:rsidR="006D12DE" w:rsidRDefault="00FE5EAF" w:rsidP="00B0374D">
      <w:pPr>
        <w:pStyle w:val="06NumeratedHeading1"/>
        <w:numPr>
          <w:ilvl w:val="0"/>
          <w:numId w:val="19"/>
        </w:numPr>
        <w:spacing w:before="0" w:after="0" w:line="240" w:lineRule="auto"/>
        <w:ind w:right="357"/>
        <w:rPr>
          <w:rFonts w:ascii="Arial" w:hAnsi="Arial" w:cs="Arial"/>
          <w:color w:val="FF0000"/>
          <w:sz w:val="20"/>
        </w:rPr>
      </w:pPr>
      <w:r w:rsidRPr="00CB12B4">
        <w:rPr>
          <w:rFonts w:ascii="Arial" w:hAnsi="Arial" w:cs="Arial"/>
          <w:sz w:val="20"/>
        </w:rPr>
        <w:t>REFERENCES</w:t>
      </w:r>
    </w:p>
    <w:p w14:paraId="69F0CB66" w14:textId="77777777" w:rsidR="00485683" w:rsidRDefault="00485683" w:rsidP="00B0374D">
      <w:pPr>
        <w:ind w:left="270" w:hanging="270"/>
        <w:rPr>
          <w:rFonts w:cs="Arial"/>
        </w:rPr>
      </w:pPr>
    </w:p>
    <w:p w14:paraId="4F40C798" w14:textId="77777777" w:rsidR="00D90538" w:rsidRPr="00D90538" w:rsidRDefault="00852FAC" w:rsidP="00D90538">
      <w:pPr>
        <w:pStyle w:val="Bibliography"/>
        <w:rPr>
          <w:rFonts w:cs="Arial"/>
        </w:rPr>
      </w:pPr>
      <w:r>
        <w:rPr>
          <w:rFonts w:cs="Arial"/>
        </w:rPr>
        <w:fldChar w:fldCharType="begin"/>
      </w:r>
      <w:r w:rsidR="00DC71B4">
        <w:rPr>
          <w:rFonts w:cs="Arial"/>
        </w:rPr>
        <w:instrText xml:space="preserve"> ADDIN ZOTERO_BIBL {"uncited":[],"omitted":[],"custom":[]} CSL_BIBLIOGRAPHY </w:instrText>
      </w:r>
      <w:r>
        <w:rPr>
          <w:rFonts w:cs="Arial"/>
        </w:rPr>
        <w:fldChar w:fldCharType="separate"/>
      </w:r>
      <w:r w:rsidR="00D90538" w:rsidRPr="00D90538">
        <w:rPr>
          <w:rFonts w:cs="Arial"/>
        </w:rPr>
        <w:t>European Commission, 2023. 2030 Climate Target Plan [WWW Document]. URL https://climate.ec.europa.eu/eu-action/european-green-deal/2030-climate-target-plan_en (accessed 4.16.23).</w:t>
      </w:r>
    </w:p>
    <w:p w14:paraId="0335EF35" w14:textId="77777777" w:rsidR="00D90538" w:rsidRPr="00D90538" w:rsidRDefault="00D90538" w:rsidP="00D90538">
      <w:pPr>
        <w:pStyle w:val="Bibliography"/>
        <w:rPr>
          <w:rFonts w:cs="Arial"/>
        </w:rPr>
      </w:pPr>
      <w:r w:rsidRPr="00D90538">
        <w:rPr>
          <w:rFonts w:cs="Arial"/>
        </w:rPr>
        <w:t>Eurostat, 2020. Just over 20% of energy used for heating and cooling is renewable [WWW Document]. URL https://ec.europa.eu/eurostat/web/products-eurostat-news/-/ddn-20201229-1 (accessed 4.20.21).</w:t>
      </w:r>
    </w:p>
    <w:p w14:paraId="472687B0" w14:textId="77777777" w:rsidR="00D90538" w:rsidRPr="00D90538" w:rsidRDefault="00D90538" w:rsidP="00D90538">
      <w:pPr>
        <w:pStyle w:val="Bibliography"/>
        <w:rPr>
          <w:rFonts w:cs="Arial"/>
        </w:rPr>
      </w:pPr>
      <w:r w:rsidRPr="00D90538">
        <w:rPr>
          <w:rFonts w:cs="Arial"/>
        </w:rPr>
        <w:t>Garcia Pardo, N., Vatopoulos, K., Krook Riekola, A., Perez Lopez, A., Olsen, L., 2012. Best available technologies for the heat and cooling market in the European Union. Publications Office of the European Union, LU.</w:t>
      </w:r>
    </w:p>
    <w:p w14:paraId="2C305710" w14:textId="77777777" w:rsidR="00D90538" w:rsidRPr="00D90538" w:rsidRDefault="00D90538" w:rsidP="00D90538">
      <w:pPr>
        <w:pStyle w:val="Bibliography"/>
        <w:rPr>
          <w:rFonts w:cs="Arial"/>
        </w:rPr>
      </w:pPr>
      <w:r w:rsidRPr="00D90538">
        <w:rPr>
          <w:rFonts w:cs="Arial"/>
        </w:rPr>
        <w:t>Gill, L., Mac Mahon, J., Ryan, K., 2016. The performance of an evacuated tube solar hot water system in a domestic house throughout a year in a northern maritime climate (Dublin). Solar Energy 137, 261–272. https://doi.org/10.1016/j.solener.2016.07.052</w:t>
      </w:r>
    </w:p>
    <w:p w14:paraId="5588CF69" w14:textId="77777777" w:rsidR="00D90538" w:rsidRPr="00D90538" w:rsidRDefault="00D90538" w:rsidP="00D90538">
      <w:pPr>
        <w:pStyle w:val="Bibliography"/>
        <w:rPr>
          <w:rFonts w:cs="Arial"/>
          <w:lang w:val="it-IT"/>
        </w:rPr>
      </w:pPr>
      <w:r w:rsidRPr="00D90538">
        <w:rPr>
          <w:rFonts w:cs="Arial"/>
        </w:rPr>
        <w:t xml:space="preserve">Nagpal, H., Spriet, J., Murali, M.K., McNabola, A., 2021. Heat Recovery from Wastewater—A Review of Available Resource. </w:t>
      </w:r>
      <w:r w:rsidRPr="00D90538">
        <w:rPr>
          <w:rFonts w:cs="Arial"/>
          <w:lang w:val="it-IT"/>
        </w:rPr>
        <w:t>Water 13, 1274. https://doi.org/10.3390/w13091274</w:t>
      </w:r>
    </w:p>
    <w:p w14:paraId="7C89DDBC" w14:textId="77777777" w:rsidR="00D90538" w:rsidRPr="00D90538" w:rsidRDefault="00D90538" w:rsidP="00D90538">
      <w:pPr>
        <w:pStyle w:val="Bibliography"/>
        <w:rPr>
          <w:rFonts w:cs="Arial"/>
        </w:rPr>
      </w:pPr>
      <w:r w:rsidRPr="00D90538">
        <w:rPr>
          <w:rFonts w:cs="Arial"/>
          <w:lang w:val="it-IT"/>
        </w:rPr>
        <w:t xml:space="preserve">Papapetrou, M., Kosmadakis, G., Cipollina, A., La Commare, U., Micale, G., 2018. </w:t>
      </w:r>
      <w:r w:rsidRPr="00D90538">
        <w:rPr>
          <w:rFonts w:cs="Arial"/>
        </w:rPr>
        <w:t>Industrial waste heat: Estimation of the technically available resource in the EU per industrial sector, temperature level and country. Applied Thermal Engineering 138, 207–216. https://doi.org/10.1016/j.applthermaleng.2018.04.043</w:t>
      </w:r>
    </w:p>
    <w:p w14:paraId="500C7965" w14:textId="77777777" w:rsidR="00D90538" w:rsidRPr="00D90538" w:rsidRDefault="00D90538" w:rsidP="00D90538">
      <w:pPr>
        <w:pStyle w:val="Bibliography"/>
        <w:rPr>
          <w:rFonts w:cs="Arial"/>
        </w:rPr>
      </w:pPr>
      <w:r w:rsidRPr="00D90538">
        <w:rPr>
          <w:rFonts w:cs="Arial"/>
        </w:rPr>
        <w:t>Spriet, J., Hendrick, P., 2017. Wastewater as a Heat Source for Individual Residence Heating: A Techno-economic Feasibility Study in the Brussels Capital Region. Journal of Sustainable Development of Energy, Water and Environment Systems 5, 289–308. https://doi.org/10.13044/j.sdewes.d5.0148</w:t>
      </w:r>
    </w:p>
    <w:p w14:paraId="0999FA87" w14:textId="77777777" w:rsidR="00D90538" w:rsidRPr="00D90538" w:rsidRDefault="00D90538" w:rsidP="00D90538">
      <w:pPr>
        <w:pStyle w:val="Bibliography"/>
        <w:rPr>
          <w:rFonts w:cs="Arial"/>
          <w:lang w:val="de-DE"/>
        </w:rPr>
      </w:pPr>
      <w:r w:rsidRPr="00D90538">
        <w:rPr>
          <w:rFonts w:cs="Arial"/>
        </w:rPr>
        <w:t xml:space="preserve">Spriet, J., McNabola, A., 2019. Decentralized drain water heat recovery: A probabilistic method for prediction of wastewater and heating system interaction. </w:t>
      </w:r>
      <w:r w:rsidRPr="00D90538">
        <w:rPr>
          <w:rFonts w:cs="Arial"/>
          <w:lang w:val="de-DE"/>
        </w:rPr>
        <w:t>Energy and Buildings 183, 684–696. https://doi.org/10.1016/j.enbuild.2018.11.036</w:t>
      </w:r>
    </w:p>
    <w:p w14:paraId="732CB08E" w14:textId="77777777" w:rsidR="00D90538" w:rsidRPr="00D90538" w:rsidRDefault="00D90538" w:rsidP="00D90538">
      <w:pPr>
        <w:pStyle w:val="Bibliography"/>
        <w:rPr>
          <w:rFonts w:cs="Arial"/>
        </w:rPr>
      </w:pPr>
      <w:r w:rsidRPr="00D90538">
        <w:rPr>
          <w:rFonts w:cs="Arial"/>
          <w:lang w:val="de-DE"/>
        </w:rPr>
        <w:t xml:space="preserve">Spriet, J., McNabola, A., Neugebauer, G., Stoeglehner, G., Ertl, T., Kretschmer, F., 2020. </w:t>
      </w:r>
      <w:r w:rsidRPr="00D90538">
        <w:rPr>
          <w:rFonts w:cs="Arial"/>
        </w:rPr>
        <w:t>Spatial and temporal considerations in the performance of wastewater heat recovery systems. Journal of Cleaner Production 247, 119583. https://doi.org/10.1016/j.jclepro.2019.119583</w:t>
      </w:r>
    </w:p>
    <w:p w14:paraId="147E3B8A" w14:textId="77777777" w:rsidR="00D90538" w:rsidRPr="00D90538" w:rsidRDefault="00D90538" w:rsidP="00D90538">
      <w:pPr>
        <w:pStyle w:val="Bibliography"/>
        <w:rPr>
          <w:rFonts w:cs="Arial"/>
        </w:rPr>
      </w:pPr>
      <w:r w:rsidRPr="00D90538">
        <w:rPr>
          <w:rFonts w:cs="Arial"/>
        </w:rPr>
        <w:t>Stoll-Kleemann, S., O’Riordan, T., 2015. The Sustainability Challenges of Our Meat and Dairy Diets. Environment: Science and Policy for Sustainable Development 57, 34–48. https://doi.org/10.1080/00139157.2015.1025644</w:t>
      </w:r>
    </w:p>
    <w:p w14:paraId="55B7E5A4" w14:textId="37980AE1" w:rsidR="00C56840" w:rsidRDefault="00852FAC" w:rsidP="00B0374D">
      <w:pPr>
        <w:ind w:left="270" w:hanging="270"/>
        <w:rPr>
          <w:rFonts w:cs="Arial"/>
        </w:rPr>
      </w:pPr>
      <w:r>
        <w:rPr>
          <w:rFonts w:cs="Arial"/>
        </w:rPr>
        <w:fldChar w:fldCharType="end"/>
      </w:r>
    </w:p>
    <w:sectPr w:rsidR="00C56840" w:rsidSect="00DE5A54">
      <w:headerReference w:type="even" r:id="rId24"/>
      <w:footerReference w:type="even" r:id="rId25"/>
      <w:type w:val="continuous"/>
      <w:pgSz w:w="11907" w:h="16840" w:code="9"/>
      <w:pgMar w:top="680" w:right="1021" w:bottom="907" w:left="1134" w:header="680" w:footer="567" w:gutter="0"/>
      <w:pgNumType w:start="1"/>
      <w:cols w:space="396"/>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F0352" w14:textId="77777777" w:rsidR="0074013C" w:rsidRDefault="0074013C">
      <w:r>
        <w:separator/>
      </w:r>
    </w:p>
  </w:endnote>
  <w:endnote w:type="continuationSeparator" w:id="0">
    <w:p w14:paraId="46B272EC" w14:textId="77777777" w:rsidR="0074013C" w:rsidRDefault="0074013C">
      <w:r>
        <w:continuationSeparator/>
      </w:r>
    </w:p>
  </w:endnote>
  <w:endnote w:type="continuationNotice" w:id="1">
    <w:p w14:paraId="706CE936" w14:textId="77777777" w:rsidR="0074013C" w:rsidRDefault="00740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IG5??">
    <w:altName w:val="Arial Unicode MS"/>
    <w:panose1 w:val="00000000000000000000"/>
    <w:charset w:val="86"/>
    <w:family w:val="roman"/>
    <w:notTrueType/>
    <w:pitch w:val="variable"/>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4C61" w14:textId="77777777" w:rsidR="006D25E0" w:rsidRDefault="006D25E0" w:rsidP="00BA1D71">
    <w:pPr>
      <w:pStyle w:val="Footer"/>
      <w:tabs>
        <w:tab w:val="clear" w:pos="4320"/>
        <w:tab w:val="clear" w:pos="8640"/>
      </w:tabs>
      <w:jc w:val="right"/>
    </w:pPr>
    <w:r>
      <w:tab/>
    </w:r>
    <w:r w:rsidR="0054024C">
      <w:rPr>
        <w:rStyle w:val="PageNumber"/>
      </w:rPr>
      <w:fldChar w:fldCharType="begin"/>
    </w:r>
    <w:r>
      <w:rPr>
        <w:rStyle w:val="PageNumber"/>
      </w:rPr>
      <w:instrText xml:space="preserve"> PAGE </w:instrText>
    </w:r>
    <w:r w:rsidR="0054024C">
      <w:rPr>
        <w:rStyle w:val="PageNumber"/>
      </w:rPr>
      <w:fldChar w:fldCharType="separate"/>
    </w:r>
    <w:r w:rsidR="001377F0">
      <w:rPr>
        <w:rStyle w:val="PageNumber"/>
        <w:noProof/>
      </w:rPr>
      <w:t>4</w:t>
    </w:r>
    <w:r w:rsidR="0054024C">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D8CF5" w14:textId="77777777" w:rsidR="006D25E0" w:rsidRDefault="006D25E0" w:rsidP="00071F3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DECF" w14:textId="347C2AE2" w:rsidR="006D25E0" w:rsidRDefault="00F00685" w:rsidP="00E52970">
    <w:pPr>
      <w:pStyle w:val="Footer"/>
      <w:rPr>
        <w:rStyle w:val="PageNumber"/>
        <w:lang w:val="pt-PT"/>
      </w:rPr>
    </w:pPr>
    <w:r w:rsidRPr="00F00685">
      <w:rPr>
        <w:rStyle w:val="PageNumber"/>
        <w:lang w:val="pt-PT"/>
      </w:rPr>
      <w:t>©</w:t>
    </w:r>
    <w:r w:rsidR="00E52970">
      <w:rPr>
        <w:rStyle w:val="PageNumber"/>
        <w:lang w:val="pt-PT"/>
      </w:rPr>
      <w:t>202</w:t>
    </w:r>
    <w:r w:rsidR="00295F40">
      <w:rPr>
        <w:rStyle w:val="PageNumber"/>
        <w:lang w:val="pt-PT"/>
      </w:rPr>
      <w:t>3</w:t>
    </w:r>
    <w:r w:rsidRPr="00F00685">
      <w:rPr>
        <w:rStyle w:val="PageNumber"/>
        <w:lang w:val="pt-PT"/>
      </w:rPr>
      <w:t xml:space="preserve"> IAHR. Used with permission / </w:t>
    </w:r>
    <w:r w:rsidR="00523111" w:rsidRPr="00523111">
      <w:rPr>
        <w:rStyle w:val="PageNumber"/>
        <w:lang w:val="pt-PT"/>
      </w:rPr>
      <w:t>ISSN-L 2521-7119</w:t>
    </w:r>
    <w:r w:rsidR="0007456D">
      <w:rPr>
        <w:rStyle w:val="PageNumber"/>
        <w:lang w:val="pt-PT"/>
      </w:rPr>
      <w:t xml:space="preserve">  </w:t>
    </w:r>
    <w:r w:rsidRPr="00F00685">
      <w:rPr>
        <w:rStyle w:val="PageNumber"/>
        <w:lang w:val="pt-PT"/>
      </w:rPr>
      <w:t xml:space="preserve"> </w:t>
    </w:r>
    <w:r w:rsidR="00E52970">
      <w:rPr>
        <w:rStyle w:val="PageNumber"/>
        <w:lang w:val="pt-PT"/>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C54A8" w14:textId="2EF0A521" w:rsidR="0060464E" w:rsidRDefault="0060464E" w:rsidP="0060464E">
    <w:pPr>
      <w:pStyle w:val="Footer"/>
      <w:rPr>
        <w:rStyle w:val="PageNumber"/>
        <w:lang w:val="pt-PT"/>
      </w:rPr>
    </w:pPr>
    <w:r>
      <w:tab/>
    </w:r>
    <w:r w:rsidR="006F1D49">
      <w:t xml:space="preserve">                                                                                                                  </w:t>
    </w:r>
    <w:r w:rsidRPr="00F00685">
      <w:rPr>
        <w:rStyle w:val="PageNumber"/>
        <w:lang w:val="pt-PT"/>
      </w:rPr>
      <w:t>©</w:t>
    </w:r>
    <w:r>
      <w:rPr>
        <w:rStyle w:val="PageNumber"/>
        <w:lang w:val="pt-PT"/>
      </w:rPr>
      <w:t>202</w:t>
    </w:r>
    <w:r w:rsidR="00295F40">
      <w:rPr>
        <w:rStyle w:val="PageNumber"/>
        <w:lang w:val="pt-PT"/>
      </w:rPr>
      <w:t>3</w:t>
    </w:r>
    <w:r w:rsidRPr="00F00685">
      <w:rPr>
        <w:rStyle w:val="PageNumber"/>
        <w:lang w:val="pt-PT"/>
      </w:rPr>
      <w:t xml:space="preserve"> IAHR. Used with permission / </w:t>
    </w:r>
    <w:r w:rsidRPr="00523111">
      <w:rPr>
        <w:rStyle w:val="PageNumber"/>
        <w:lang w:val="pt-PT"/>
      </w:rPr>
      <w:t>ISSN-L 2521-7119</w:t>
    </w:r>
    <w:r>
      <w:rPr>
        <w:rStyle w:val="PageNumber"/>
        <w:lang w:val="pt-PT"/>
      </w:rPr>
      <w:t xml:space="preserve">  </w:t>
    </w:r>
    <w:r w:rsidRPr="00F00685">
      <w:rPr>
        <w:rStyle w:val="PageNumber"/>
        <w:lang w:val="pt-PT"/>
      </w:rPr>
      <w:t xml:space="preserve"> </w:t>
    </w:r>
    <w:r>
      <w:rPr>
        <w:rStyle w:val="PageNumber"/>
        <w:lang w:val="pt-PT"/>
      </w:rPr>
      <w:t xml:space="preserve">                    </w:t>
    </w:r>
  </w:p>
  <w:p w14:paraId="208CF582" w14:textId="02786B08" w:rsidR="008F7884" w:rsidRPr="0060464E" w:rsidRDefault="008F7884" w:rsidP="0060464E">
    <w:pPr>
      <w:pStyle w:val="Footer"/>
      <w:tabs>
        <w:tab w:val="clear" w:pos="4320"/>
        <w:tab w:val="clear" w:pos="8640"/>
        <w:tab w:val="left" w:pos="520"/>
      </w:tabs>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F8665" w14:textId="77777777" w:rsidR="0074013C" w:rsidRDefault="0074013C">
      <w:r>
        <w:separator/>
      </w:r>
    </w:p>
  </w:footnote>
  <w:footnote w:type="continuationSeparator" w:id="0">
    <w:p w14:paraId="764F3142" w14:textId="77777777" w:rsidR="0074013C" w:rsidRDefault="0074013C">
      <w:r>
        <w:continuationSeparator/>
      </w:r>
    </w:p>
  </w:footnote>
  <w:footnote w:type="continuationNotice" w:id="1">
    <w:p w14:paraId="43EA3433" w14:textId="77777777" w:rsidR="0074013C" w:rsidRDefault="007401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08" w:type="dxa"/>
      <w:tblLook w:val="04A0" w:firstRow="1" w:lastRow="0" w:firstColumn="1" w:lastColumn="0" w:noHBand="0" w:noVBand="1"/>
    </w:tblPr>
    <w:tblGrid>
      <w:gridCol w:w="4361"/>
      <w:gridCol w:w="5547"/>
    </w:tblGrid>
    <w:tr w:rsidR="008A5C38" w:rsidRPr="00592C5C" w14:paraId="6DD4B5B8" w14:textId="77777777" w:rsidTr="000274E6">
      <w:trPr>
        <w:trHeight w:val="664"/>
      </w:trPr>
      <w:tc>
        <w:tcPr>
          <w:tcW w:w="4361" w:type="dxa"/>
          <w:shd w:val="clear" w:color="auto" w:fill="auto"/>
          <w:vAlign w:val="center"/>
        </w:tcPr>
        <w:p w14:paraId="462878CA" w14:textId="77777777" w:rsidR="008A5C38" w:rsidRPr="00747E6E" w:rsidRDefault="008A5C38" w:rsidP="00B33FE0">
          <w:pPr>
            <w:pStyle w:val="Header"/>
            <w:rPr>
              <w:sz w:val="18"/>
              <w:szCs w:val="18"/>
            </w:rPr>
          </w:pPr>
          <w:r>
            <w:rPr>
              <w:b/>
              <w:noProof/>
              <w:sz w:val="18"/>
              <w:szCs w:val="18"/>
            </w:rPr>
            <w:t xml:space="preserve">     </w:t>
          </w:r>
          <w:r>
            <w:rPr>
              <w:sz w:val="18"/>
              <w:szCs w:val="18"/>
            </w:rPr>
            <w:t xml:space="preserve">    </w:t>
          </w:r>
        </w:p>
      </w:tc>
      <w:tc>
        <w:tcPr>
          <w:tcW w:w="5547" w:type="dxa"/>
          <w:shd w:val="clear" w:color="auto" w:fill="auto"/>
        </w:tcPr>
        <w:p w14:paraId="19AEC250" w14:textId="77777777" w:rsidR="008A5C38" w:rsidRDefault="008A5C38" w:rsidP="008A5C38">
          <w:pPr>
            <w:pStyle w:val="Header"/>
            <w:ind w:left="-87" w:right="53"/>
            <w:jc w:val="right"/>
            <w:rPr>
              <w:rFonts w:cs="Times New Roman"/>
              <w:i/>
              <w:iCs/>
              <w:sz w:val="18"/>
              <w:szCs w:val="18"/>
              <w:lang w:val="en-GB"/>
            </w:rPr>
          </w:pPr>
          <w:r>
            <w:rPr>
              <w:rFonts w:cs="Times New Roman"/>
              <w:i/>
              <w:iCs/>
              <w:sz w:val="18"/>
              <w:szCs w:val="18"/>
              <w:lang w:val="en-GB"/>
            </w:rPr>
            <w:t>E-proceedings of the 36</w:t>
          </w:r>
          <w:r w:rsidRPr="003F49E3">
            <w:rPr>
              <w:rFonts w:cs="Times New Roman"/>
              <w:i/>
              <w:iCs/>
              <w:sz w:val="18"/>
              <w:szCs w:val="18"/>
              <w:vertAlign w:val="superscript"/>
              <w:lang w:val="en-GB"/>
            </w:rPr>
            <w:t>th</w:t>
          </w:r>
          <w:r>
            <w:rPr>
              <w:rFonts w:cs="Times New Roman"/>
              <w:i/>
              <w:iCs/>
              <w:sz w:val="18"/>
              <w:szCs w:val="18"/>
              <w:lang w:val="en-GB"/>
            </w:rPr>
            <w:t xml:space="preserve"> IAHR World Congress, the Netherlands</w:t>
          </w:r>
        </w:p>
        <w:p w14:paraId="6061443D" w14:textId="77777777" w:rsidR="00A43477" w:rsidRDefault="00A43477" w:rsidP="00A43477">
          <w:pPr>
            <w:pStyle w:val="Header"/>
            <w:ind w:left="-87" w:right="53"/>
            <w:rPr>
              <w:rFonts w:cs="Times New Roman"/>
              <w:i/>
              <w:iCs/>
              <w:sz w:val="18"/>
              <w:szCs w:val="18"/>
              <w:lang w:val="en-GB"/>
            </w:rPr>
          </w:pPr>
          <w:r>
            <w:rPr>
              <w:rFonts w:cs="Times New Roman"/>
              <w:i/>
              <w:iCs/>
              <w:sz w:val="18"/>
              <w:szCs w:val="18"/>
              <w:lang w:val="en-GB"/>
            </w:rPr>
            <w:t xml:space="preserve">             28 June – 3 </w:t>
          </w:r>
          <w:proofErr w:type="gramStart"/>
          <w:r>
            <w:rPr>
              <w:rFonts w:cs="Times New Roman"/>
              <w:i/>
              <w:iCs/>
              <w:sz w:val="18"/>
              <w:szCs w:val="18"/>
              <w:lang w:val="en-GB"/>
            </w:rPr>
            <w:t>July,</w:t>
          </w:r>
          <w:proofErr w:type="gramEnd"/>
          <w:r>
            <w:rPr>
              <w:rFonts w:cs="Times New Roman"/>
              <w:i/>
              <w:iCs/>
              <w:sz w:val="18"/>
              <w:szCs w:val="18"/>
              <w:lang w:val="en-GB"/>
            </w:rPr>
            <w:t xml:space="preserve"> 2015, The Hague, the Netherlands  </w:t>
          </w:r>
        </w:p>
        <w:p w14:paraId="0E83B573" w14:textId="77777777" w:rsidR="00A43477" w:rsidRPr="00747E6E" w:rsidRDefault="00A43477" w:rsidP="00A43477">
          <w:pPr>
            <w:pStyle w:val="Header"/>
            <w:ind w:left="-87" w:right="53"/>
            <w:jc w:val="center"/>
            <w:rPr>
              <w:rFonts w:cs="Times New Roman"/>
              <w:i/>
              <w:iCs/>
              <w:sz w:val="18"/>
              <w:szCs w:val="18"/>
              <w:lang w:val="en-GB"/>
            </w:rPr>
          </w:pPr>
        </w:p>
      </w:tc>
    </w:tr>
  </w:tbl>
  <w:p w14:paraId="144C55D9" w14:textId="77777777" w:rsidR="008A5C38" w:rsidRDefault="008A5C38">
    <w:pPr>
      <w:pStyle w:val="Header"/>
    </w:pPr>
    <w:r>
      <w:rPr>
        <w:b/>
        <w:noProof/>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08" w:type="dxa"/>
      <w:tblLook w:val="04A0" w:firstRow="1" w:lastRow="0" w:firstColumn="1" w:lastColumn="0" w:noHBand="0" w:noVBand="1"/>
    </w:tblPr>
    <w:tblGrid>
      <w:gridCol w:w="4361"/>
      <w:gridCol w:w="5547"/>
    </w:tblGrid>
    <w:tr w:rsidR="008A5C38" w:rsidRPr="00592C5C" w14:paraId="08AFBCB4" w14:textId="77777777" w:rsidTr="000274E6">
      <w:trPr>
        <w:trHeight w:val="664"/>
      </w:trPr>
      <w:tc>
        <w:tcPr>
          <w:tcW w:w="4361" w:type="dxa"/>
          <w:shd w:val="clear" w:color="auto" w:fill="auto"/>
          <w:vAlign w:val="center"/>
        </w:tcPr>
        <w:p w14:paraId="6760338A" w14:textId="77777777" w:rsidR="008A5C38" w:rsidRPr="00747E6E" w:rsidRDefault="008A5C38" w:rsidP="008A5C38">
          <w:pPr>
            <w:pStyle w:val="Header"/>
            <w:jc w:val="center"/>
            <w:rPr>
              <w:sz w:val="18"/>
              <w:szCs w:val="18"/>
            </w:rPr>
          </w:pPr>
          <w:r>
            <w:rPr>
              <w:b/>
              <w:noProof/>
              <w:sz w:val="18"/>
              <w:szCs w:val="18"/>
            </w:rPr>
            <w:t xml:space="preserve">     </w:t>
          </w:r>
          <w:r>
            <w:rPr>
              <w:sz w:val="18"/>
              <w:szCs w:val="18"/>
            </w:rPr>
            <w:t xml:space="preserve">    </w:t>
          </w:r>
        </w:p>
      </w:tc>
      <w:tc>
        <w:tcPr>
          <w:tcW w:w="5547" w:type="dxa"/>
          <w:shd w:val="clear" w:color="auto" w:fill="auto"/>
        </w:tcPr>
        <w:p w14:paraId="70A62E97" w14:textId="77777777" w:rsidR="00423298" w:rsidRDefault="00423298" w:rsidP="00423298">
          <w:pPr>
            <w:pStyle w:val="Header"/>
            <w:ind w:left="-87" w:right="53"/>
            <w:jc w:val="right"/>
            <w:rPr>
              <w:rFonts w:cs="Times New Roman"/>
              <w:i/>
              <w:iCs/>
              <w:sz w:val="18"/>
              <w:szCs w:val="18"/>
              <w:lang w:val="en-GB"/>
            </w:rPr>
          </w:pPr>
        </w:p>
        <w:p w14:paraId="24AF3D0D" w14:textId="790FC528" w:rsidR="00B67EB5" w:rsidRDefault="00B67EB5" w:rsidP="00B67EB5">
          <w:pPr>
            <w:pStyle w:val="Header"/>
            <w:ind w:hanging="110"/>
            <w:jc w:val="right"/>
          </w:pPr>
          <w:r w:rsidRPr="00F00685">
            <w:t xml:space="preserve">Proceedings of the </w:t>
          </w:r>
          <w:r w:rsidR="00295F40">
            <w:t>40</w:t>
          </w:r>
          <w:r w:rsidRPr="00D4610A">
            <w:rPr>
              <w:vertAlign w:val="superscript"/>
            </w:rPr>
            <w:t>th</w:t>
          </w:r>
          <w:r>
            <w:t xml:space="preserve"> IAHR World Congress</w:t>
          </w:r>
        </w:p>
        <w:p w14:paraId="71C5E1B4" w14:textId="37BE66D4" w:rsidR="00B67EB5" w:rsidRDefault="00295F40" w:rsidP="00B67EB5">
          <w:pPr>
            <w:pStyle w:val="Header"/>
            <w:ind w:hanging="110"/>
            <w:jc w:val="right"/>
          </w:pPr>
          <w:r>
            <w:t>21-25 August 2023</w:t>
          </w:r>
          <w:r w:rsidR="00B67EB5">
            <w:t>,</w:t>
          </w:r>
          <w:r w:rsidR="00B67EB5" w:rsidRPr="00F00685">
            <w:t xml:space="preserve"> </w:t>
          </w:r>
          <w:r>
            <w:t>Vienna</w:t>
          </w:r>
          <w:r w:rsidR="00B67EB5" w:rsidRPr="00F00685">
            <w:t xml:space="preserve">, </w:t>
          </w:r>
          <w:r>
            <w:t>Austria</w:t>
          </w:r>
        </w:p>
        <w:p w14:paraId="38254408" w14:textId="77777777" w:rsidR="00A43477" w:rsidRPr="00747E6E" w:rsidRDefault="00A43477" w:rsidP="008A5C38">
          <w:pPr>
            <w:pStyle w:val="Header"/>
            <w:ind w:left="-87" w:right="53"/>
            <w:jc w:val="right"/>
            <w:rPr>
              <w:rFonts w:cs="Times New Roman"/>
              <w:i/>
              <w:iCs/>
              <w:sz w:val="18"/>
              <w:szCs w:val="18"/>
              <w:lang w:val="en-GB"/>
            </w:rPr>
          </w:pPr>
        </w:p>
      </w:tc>
    </w:tr>
  </w:tbl>
  <w:p w14:paraId="58E6F80A" w14:textId="77777777" w:rsidR="008A5C38" w:rsidRPr="008A5C38" w:rsidRDefault="008A5C38">
    <w:pPr>
      <w:pStyle w:val="Head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24624" w14:textId="17EABB6C" w:rsidR="00F00685" w:rsidRDefault="00CF5243" w:rsidP="00FC5EEB">
    <w:pPr>
      <w:pStyle w:val="Header"/>
    </w:pPr>
    <w:r>
      <w:rPr>
        <w:noProof/>
      </w:rPr>
      <w:drawing>
        <wp:anchor distT="0" distB="0" distL="114300" distR="114300" simplePos="0" relativeHeight="251658240" behindDoc="1" locked="0" layoutInCell="1" allowOverlap="1" wp14:anchorId="1963870B" wp14:editId="50286DFE">
          <wp:simplePos x="0" y="0"/>
          <wp:positionH relativeFrom="column">
            <wp:posOffset>-200660</wp:posOffset>
          </wp:positionH>
          <wp:positionV relativeFrom="paragraph">
            <wp:posOffset>5080</wp:posOffset>
          </wp:positionV>
          <wp:extent cx="1830705" cy="944880"/>
          <wp:effectExtent l="0" t="0" r="0" b="7620"/>
          <wp:wrapTight wrapText="bothSides">
            <wp:wrapPolygon edited="0">
              <wp:start x="0" y="0"/>
              <wp:lineTo x="0" y="12629"/>
              <wp:lineTo x="2472" y="13935"/>
              <wp:lineTo x="0" y="16548"/>
              <wp:lineTo x="0" y="17855"/>
              <wp:lineTo x="6069" y="20903"/>
              <wp:lineTo x="6069" y="21339"/>
              <wp:lineTo x="21353" y="21339"/>
              <wp:lineTo x="21353" y="3919"/>
              <wp:lineTo x="150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stretch>
                    <a:fillRect/>
                  </a:stretch>
                </pic:blipFill>
                <pic:spPr bwMode="auto">
                  <a:xfrm>
                    <a:off x="0" y="0"/>
                    <a:ext cx="1830705" cy="944880"/>
                  </a:xfrm>
                  <a:prstGeom prst="rect">
                    <a:avLst/>
                  </a:prstGeom>
                  <a:noFill/>
                </pic:spPr>
              </pic:pic>
            </a:graphicData>
          </a:graphic>
          <wp14:sizeRelH relativeFrom="margin">
            <wp14:pctWidth>0</wp14:pctWidth>
          </wp14:sizeRelH>
          <wp14:sizeRelV relativeFrom="margin">
            <wp14:pctHeight>0</wp14:pctHeight>
          </wp14:sizeRelV>
        </wp:anchor>
      </w:drawing>
    </w:r>
  </w:p>
  <w:p w14:paraId="4C707FA7" w14:textId="56973FF6" w:rsidR="00F00685" w:rsidRDefault="00F00685" w:rsidP="003C061C">
    <w:pPr>
      <w:pStyle w:val="Header"/>
      <w:jc w:val="right"/>
    </w:pPr>
    <w:r>
      <w:t xml:space="preserve">                                                                 </w:t>
    </w:r>
    <w:r w:rsidRPr="00F00685">
      <w:t xml:space="preserve">Proceedings of the </w:t>
    </w:r>
    <w:r w:rsidR="00760D5D">
      <w:t>40</w:t>
    </w:r>
    <w:r w:rsidR="00D4610A" w:rsidRPr="00D4610A">
      <w:rPr>
        <w:vertAlign w:val="superscript"/>
      </w:rPr>
      <w:t>th</w:t>
    </w:r>
    <w:r w:rsidR="00D4610A">
      <w:t xml:space="preserve"> IAHR World Congress</w:t>
    </w:r>
  </w:p>
  <w:p w14:paraId="095799F1" w14:textId="359C2161" w:rsidR="00760D5D" w:rsidRDefault="00F00685" w:rsidP="003C061C">
    <w:pPr>
      <w:pStyle w:val="Header"/>
      <w:jc w:val="right"/>
    </w:pPr>
    <w:r>
      <w:t xml:space="preserve">                                                                                                               </w:t>
    </w:r>
    <w:r w:rsidR="00376CDD">
      <w:t xml:space="preserve"> </w:t>
    </w:r>
    <w:r w:rsidR="00760D5D">
      <w:t xml:space="preserve">21-25 August </w:t>
    </w:r>
    <w:r w:rsidR="00084ACF">
      <w:t>202</w:t>
    </w:r>
    <w:r w:rsidR="00760D5D">
      <w:t>3</w:t>
    </w:r>
    <w:r w:rsidR="00A81836">
      <w:t xml:space="preserve"> </w:t>
    </w:r>
  </w:p>
  <w:p w14:paraId="55CCC1AC" w14:textId="6D13DDCD" w:rsidR="00F00685" w:rsidRDefault="00760D5D" w:rsidP="003C061C">
    <w:pPr>
      <w:pStyle w:val="Header"/>
      <w:jc w:val="right"/>
    </w:pPr>
    <w:r>
      <w:t>Vienna</w:t>
    </w:r>
    <w:r w:rsidR="00F00685" w:rsidRPr="00F00685">
      <w:t xml:space="preserve">, </w:t>
    </w:r>
    <w:r>
      <w:t>Austria</w:t>
    </w:r>
    <w:r w:rsidR="00F00685">
      <w:t xml:space="preserve">                                                                                                                DOI number</w:t>
    </w:r>
  </w:p>
  <w:p w14:paraId="6ABCA2A3" w14:textId="77777777" w:rsidR="003C061C" w:rsidRDefault="003C061C" w:rsidP="00CF52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Look w:val="04A0" w:firstRow="1" w:lastRow="0" w:firstColumn="1" w:lastColumn="0" w:noHBand="0" w:noVBand="1"/>
    </w:tblPr>
    <w:tblGrid>
      <w:gridCol w:w="5041"/>
      <w:gridCol w:w="4882"/>
    </w:tblGrid>
    <w:tr w:rsidR="008F7884" w:rsidRPr="00592C5C" w14:paraId="124B4446" w14:textId="77777777" w:rsidTr="00604195">
      <w:trPr>
        <w:trHeight w:val="664"/>
      </w:trPr>
      <w:tc>
        <w:tcPr>
          <w:tcW w:w="5041" w:type="dxa"/>
        </w:tcPr>
        <w:p w14:paraId="447CA394" w14:textId="2E789956" w:rsidR="00423298" w:rsidRPr="00747E6E" w:rsidRDefault="00423298" w:rsidP="00B67EB5">
          <w:pPr>
            <w:pStyle w:val="Header"/>
            <w:ind w:hanging="110"/>
            <w:rPr>
              <w:rFonts w:cs="Times New Roman"/>
              <w:i/>
              <w:iCs/>
              <w:sz w:val="18"/>
              <w:szCs w:val="18"/>
              <w:lang w:val="en-GB"/>
            </w:rPr>
          </w:pPr>
        </w:p>
      </w:tc>
      <w:tc>
        <w:tcPr>
          <w:tcW w:w="4882" w:type="dxa"/>
          <w:shd w:val="clear" w:color="auto" w:fill="auto"/>
          <w:vAlign w:val="center"/>
        </w:tcPr>
        <w:p w14:paraId="45B0B8B2" w14:textId="58DF5D3B" w:rsidR="00B67EB5" w:rsidRDefault="008F7884" w:rsidP="00B67EB5">
          <w:pPr>
            <w:pStyle w:val="Header"/>
            <w:ind w:hanging="110"/>
          </w:pPr>
          <w:r>
            <w:rPr>
              <w:b/>
              <w:noProof/>
              <w:sz w:val="18"/>
              <w:szCs w:val="18"/>
            </w:rPr>
            <w:t xml:space="preserve">     </w:t>
          </w:r>
          <w:r>
            <w:rPr>
              <w:sz w:val="18"/>
              <w:szCs w:val="18"/>
            </w:rPr>
            <w:t xml:space="preserve">    </w:t>
          </w:r>
          <w:r w:rsidR="00B67EB5">
            <w:rPr>
              <w:sz w:val="18"/>
              <w:szCs w:val="18"/>
            </w:rPr>
            <w:t xml:space="preserve">      </w:t>
          </w:r>
          <w:r w:rsidR="00B67EB5" w:rsidRPr="00F00685">
            <w:t xml:space="preserve">Proceedings of the </w:t>
          </w:r>
          <w:r w:rsidR="00295F40">
            <w:t>40</w:t>
          </w:r>
          <w:r w:rsidR="00B67EB5" w:rsidRPr="00D4610A">
            <w:rPr>
              <w:vertAlign w:val="superscript"/>
            </w:rPr>
            <w:t>th</w:t>
          </w:r>
          <w:r w:rsidR="00B67EB5">
            <w:t xml:space="preserve"> IAHR World Congress</w:t>
          </w:r>
        </w:p>
        <w:p w14:paraId="27AA4D0C" w14:textId="754D2429" w:rsidR="00B67EB5" w:rsidRDefault="00295F40" w:rsidP="00B67EB5">
          <w:pPr>
            <w:pStyle w:val="Header"/>
            <w:ind w:hanging="110"/>
            <w:jc w:val="right"/>
          </w:pPr>
          <w:r>
            <w:t>21-25 August 2023</w:t>
          </w:r>
          <w:r w:rsidR="00B67EB5">
            <w:t>,</w:t>
          </w:r>
          <w:r w:rsidR="00B67EB5" w:rsidRPr="00F00685">
            <w:t xml:space="preserve"> </w:t>
          </w:r>
          <w:r>
            <w:t>Vienna</w:t>
          </w:r>
          <w:r w:rsidR="00B67EB5" w:rsidRPr="00F00685">
            <w:t xml:space="preserve">, </w:t>
          </w:r>
          <w:r>
            <w:t>Austria</w:t>
          </w:r>
        </w:p>
        <w:p w14:paraId="7C9C468B" w14:textId="4B5A8AAB" w:rsidR="008F7884" w:rsidRPr="00747E6E" w:rsidRDefault="008F7884" w:rsidP="008F7884">
          <w:pPr>
            <w:pStyle w:val="Header"/>
            <w:rPr>
              <w:sz w:val="18"/>
              <w:szCs w:val="18"/>
            </w:rPr>
          </w:pPr>
        </w:p>
      </w:tc>
    </w:tr>
  </w:tbl>
  <w:p w14:paraId="6C86FBFB" w14:textId="77777777" w:rsidR="008F7884" w:rsidRDefault="008F7884">
    <w:pPr>
      <w:pStyle w:val="Header"/>
    </w:pPr>
    <w:r>
      <w:rPr>
        <w:b/>
        <w:noProof/>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5E463754"/>
    <w:lvl w:ilvl="0">
      <w:start w:val="1"/>
      <w:numFmt w:val="decimal"/>
      <w:pStyle w:val="ListNumber5"/>
      <w:lvlText w:val="%1."/>
      <w:lvlJc w:val="left"/>
      <w:pPr>
        <w:tabs>
          <w:tab w:val="num" w:pos="926"/>
        </w:tabs>
        <w:ind w:left="926" w:hanging="360"/>
      </w:pPr>
      <w:rPr>
        <w:rFonts w:cs="Times New Roman"/>
      </w:rPr>
    </w:lvl>
  </w:abstractNum>
  <w:abstractNum w:abstractNumId="1" w15:restartNumberingAfterBreak="0">
    <w:nsid w:val="FFFFFF7F"/>
    <w:multiLevelType w:val="singleLevel"/>
    <w:tmpl w:val="67F6C920"/>
    <w:lvl w:ilvl="0">
      <w:start w:val="1"/>
      <w:numFmt w:val="decimal"/>
      <w:pStyle w:val="ListBullet3"/>
      <w:lvlText w:val="%1."/>
      <w:lvlJc w:val="left"/>
      <w:pPr>
        <w:tabs>
          <w:tab w:val="num" w:pos="643"/>
        </w:tabs>
        <w:ind w:left="643" w:hanging="360"/>
      </w:pPr>
      <w:rPr>
        <w:rFonts w:cs="Times New Roman"/>
      </w:rPr>
    </w:lvl>
  </w:abstractNum>
  <w:abstractNum w:abstractNumId="2" w15:restartNumberingAfterBreak="0">
    <w:nsid w:val="FFFFFF80"/>
    <w:multiLevelType w:val="singleLevel"/>
    <w:tmpl w:val="425E94C0"/>
    <w:lvl w:ilvl="0">
      <w:start w:val="1"/>
      <w:numFmt w:val="bullet"/>
      <w:pStyle w:val="ListNumber4"/>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46E07908"/>
    <w:lvl w:ilvl="0">
      <w:start w:val="1"/>
      <w:numFmt w:val="bullet"/>
      <w:pStyle w:val="ListNumber3"/>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24CE4E66"/>
    <w:lvl w:ilvl="0">
      <w:start w:val="1"/>
      <w:numFmt w:val="bullet"/>
      <w:pStyle w:val="ListBullet5"/>
      <w:lvlText w:val=""/>
      <w:lvlJc w:val="left"/>
      <w:pPr>
        <w:tabs>
          <w:tab w:val="num" w:pos="1080"/>
        </w:tabs>
        <w:ind w:left="1080" w:hanging="360"/>
      </w:pPr>
      <w:rPr>
        <w:rFonts w:ascii="Symbol" w:hAnsi="Symbol" w:hint="default"/>
      </w:rPr>
    </w:lvl>
  </w:abstractNum>
  <w:abstractNum w:abstractNumId="5" w15:restartNumberingAfterBreak="0">
    <w:nsid w:val="FFFFFF83"/>
    <w:multiLevelType w:val="singleLevel"/>
    <w:tmpl w:val="5D88B2BC"/>
    <w:lvl w:ilvl="0">
      <w:start w:val="1"/>
      <w:numFmt w:val="bullet"/>
      <w:pStyle w:val="ListBullet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C105986"/>
    <w:lvl w:ilvl="0">
      <w:start w:val="1"/>
      <w:numFmt w:val="decimal"/>
      <w:pStyle w:val="Heading2"/>
      <w:lvlText w:val="%1."/>
      <w:lvlJc w:val="left"/>
      <w:pPr>
        <w:tabs>
          <w:tab w:val="num" w:pos="360"/>
        </w:tabs>
        <w:ind w:left="360" w:hanging="360"/>
      </w:pPr>
      <w:rPr>
        <w:rFonts w:cs="Times New Roman"/>
      </w:rPr>
    </w:lvl>
  </w:abstractNum>
  <w:abstractNum w:abstractNumId="7" w15:restartNumberingAfterBreak="0">
    <w:nsid w:val="FFFFFF89"/>
    <w:multiLevelType w:val="singleLevel"/>
    <w:tmpl w:val="A40ABA4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FFFFFFFE"/>
    <w:multiLevelType w:val="singleLevel"/>
    <w:tmpl w:val="513CC650"/>
    <w:lvl w:ilvl="0">
      <w:numFmt w:val="decimal"/>
      <w:lvlText w:val="*"/>
      <w:lvlJc w:val="left"/>
      <w:rPr>
        <w:rFonts w:cs="Times New Roman"/>
      </w:rPr>
    </w:lvl>
  </w:abstractNum>
  <w:abstractNum w:abstractNumId="9" w15:restartNumberingAfterBreak="0">
    <w:nsid w:val="0C4202E3"/>
    <w:multiLevelType w:val="hybridMultilevel"/>
    <w:tmpl w:val="43FA39A6"/>
    <w:lvl w:ilvl="0" w:tplc="B7B8C44C">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7278A8"/>
    <w:multiLevelType w:val="multilevel"/>
    <w:tmpl w:val="B3A2CCB8"/>
    <w:lvl w:ilvl="0">
      <w:start w:val="1"/>
      <w:numFmt w:val="decimal"/>
      <w:lvlText w:val="%1"/>
      <w:lvlJc w:val="left"/>
      <w:pPr>
        <w:ind w:left="567" w:hanging="567"/>
      </w:pPr>
      <w:rPr>
        <w:rFonts w:hint="default"/>
        <w:b/>
        <w:i w:val="0"/>
        <w:color w:val="auto"/>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1" w15:restartNumberingAfterBreak="0">
    <w:nsid w:val="0DA93E09"/>
    <w:multiLevelType w:val="multilevel"/>
    <w:tmpl w:val="9C1EBBA4"/>
    <w:styleLink w:val="IAHRWorldCongress-list"/>
    <w:lvl w:ilvl="0">
      <w:start w:val="1"/>
      <w:numFmt w:val="decimal"/>
      <w:lvlText w:val="%1."/>
      <w:lvlJc w:val="left"/>
      <w:pPr>
        <w:ind w:left="851" w:hanging="851"/>
      </w:pPr>
      <w:rPr>
        <w:rFonts w:ascii="Arial" w:hAnsi="Arial" w:hint="default"/>
        <w:b/>
        <w:color w:val="auto"/>
        <w:sz w:val="20"/>
      </w:rPr>
    </w:lvl>
    <w:lvl w:ilvl="1">
      <w:start w:val="1"/>
      <w:numFmt w:val="decimal"/>
      <w:lvlText w:val="%2."/>
      <w:lvlJc w:val="left"/>
      <w:pPr>
        <w:ind w:left="851" w:hanging="851"/>
      </w:pPr>
      <w:rPr>
        <w:rFonts w:hint="default"/>
      </w:rPr>
    </w:lvl>
    <w:lvl w:ilvl="2">
      <w:start w:val="1"/>
      <w:numFmt w:val="decimal"/>
      <w:lvlText w:val="%3."/>
      <w:lvlJc w:val="right"/>
      <w:pPr>
        <w:ind w:left="851" w:hanging="851"/>
      </w:pPr>
      <w:rPr>
        <w:rFonts w:hint="default"/>
      </w:rPr>
    </w:lvl>
    <w:lvl w:ilvl="3">
      <w:start w:val="1"/>
      <w:numFmt w:val="decimal"/>
      <w:lvlText w:val="%4."/>
      <w:lvlJc w:val="left"/>
      <w:pPr>
        <w:ind w:left="851" w:hanging="851"/>
      </w:pPr>
      <w:rPr>
        <w:rFonts w:hint="default"/>
      </w:rPr>
    </w:lvl>
    <w:lvl w:ilvl="4">
      <w:start w:val="1"/>
      <w:numFmt w:val="decimal"/>
      <w:lvlText w:val="%5."/>
      <w:lvlJc w:val="left"/>
      <w:pPr>
        <w:ind w:left="851" w:hanging="851"/>
      </w:pPr>
      <w:rPr>
        <w:rFonts w:hint="default"/>
      </w:rPr>
    </w:lvl>
    <w:lvl w:ilvl="5">
      <w:start w:val="1"/>
      <w:numFmt w:val="lowerRoman"/>
      <w:lvlText w:val="%6."/>
      <w:lvlJc w:val="righ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right"/>
      <w:pPr>
        <w:ind w:left="851" w:hanging="851"/>
      </w:pPr>
      <w:rPr>
        <w:rFonts w:hint="default"/>
      </w:rPr>
    </w:lvl>
  </w:abstractNum>
  <w:abstractNum w:abstractNumId="12" w15:restartNumberingAfterBreak="0">
    <w:nsid w:val="1C0352BC"/>
    <w:multiLevelType w:val="multilevel"/>
    <w:tmpl w:val="9B3C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977646"/>
    <w:multiLevelType w:val="hybridMultilevel"/>
    <w:tmpl w:val="58EE196E"/>
    <w:lvl w:ilvl="0" w:tplc="DAE65864">
      <w:start w:val="1"/>
      <w:numFmt w:val="bullet"/>
      <w:pStyle w:val="ListBullet2"/>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8E4092"/>
    <w:multiLevelType w:val="hybridMultilevel"/>
    <w:tmpl w:val="CD3053DC"/>
    <w:lvl w:ilvl="0" w:tplc="0C0A000F">
      <w:start w:val="1"/>
      <w:numFmt w:val="decimal"/>
      <w:lvlText w:val="%1."/>
      <w:lvlJc w:val="left"/>
      <w:pPr>
        <w:ind w:left="719" w:hanging="360"/>
      </w:pPr>
    </w:lvl>
    <w:lvl w:ilvl="1" w:tplc="0C0A0019" w:tentative="1">
      <w:start w:val="1"/>
      <w:numFmt w:val="lowerLetter"/>
      <w:lvlText w:val="%2."/>
      <w:lvlJc w:val="left"/>
      <w:pPr>
        <w:ind w:left="1439" w:hanging="360"/>
      </w:pPr>
    </w:lvl>
    <w:lvl w:ilvl="2" w:tplc="0C0A001B" w:tentative="1">
      <w:start w:val="1"/>
      <w:numFmt w:val="lowerRoman"/>
      <w:lvlText w:val="%3."/>
      <w:lvlJc w:val="right"/>
      <w:pPr>
        <w:ind w:left="2159" w:hanging="180"/>
      </w:pPr>
    </w:lvl>
    <w:lvl w:ilvl="3" w:tplc="0C0A000F" w:tentative="1">
      <w:start w:val="1"/>
      <w:numFmt w:val="decimal"/>
      <w:lvlText w:val="%4."/>
      <w:lvlJc w:val="left"/>
      <w:pPr>
        <w:ind w:left="2879" w:hanging="360"/>
      </w:pPr>
    </w:lvl>
    <w:lvl w:ilvl="4" w:tplc="0C0A0019" w:tentative="1">
      <w:start w:val="1"/>
      <w:numFmt w:val="lowerLetter"/>
      <w:lvlText w:val="%5."/>
      <w:lvlJc w:val="left"/>
      <w:pPr>
        <w:ind w:left="3599" w:hanging="360"/>
      </w:pPr>
    </w:lvl>
    <w:lvl w:ilvl="5" w:tplc="0C0A001B" w:tentative="1">
      <w:start w:val="1"/>
      <w:numFmt w:val="lowerRoman"/>
      <w:lvlText w:val="%6."/>
      <w:lvlJc w:val="right"/>
      <w:pPr>
        <w:ind w:left="4319" w:hanging="180"/>
      </w:pPr>
    </w:lvl>
    <w:lvl w:ilvl="6" w:tplc="0C0A000F" w:tentative="1">
      <w:start w:val="1"/>
      <w:numFmt w:val="decimal"/>
      <w:lvlText w:val="%7."/>
      <w:lvlJc w:val="left"/>
      <w:pPr>
        <w:ind w:left="5039" w:hanging="360"/>
      </w:pPr>
    </w:lvl>
    <w:lvl w:ilvl="7" w:tplc="0C0A0019" w:tentative="1">
      <w:start w:val="1"/>
      <w:numFmt w:val="lowerLetter"/>
      <w:lvlText w:val="%8."/>
      <w:lvlJc w:val="left"/>
      <w:pPr>
        <w:ind w:left="5759" w:hanging="360"/>
      </w:pPr>
    </w:lvl>
    <w:lvl w:ilvl="8" w:tplc="0C0A001B" w:tentative="1">
      <w:start w:val="1"/>
      <w:numFmt w:val="lowerRoman"/>
      <w:lvlText w:val="%9."/>
      <w:lvlJc w:val="right"/>
      <w:pPr>
        <w:ind w:left="6479" w:hanging="180"/>
      </w:pPr>
    </w:lvl>
  </w:abstractNum>
  <w:abstractNum w:abstractNumId="15" w15:restartNumberingAfterBreak="0">
    <w:nsid w:val="38F137F5"/>
    <w:multiLevelType w:val="hybridMultilevel"/>
    <w:tmpl w:val="12662506"/>
    <w:lvl w:ilvl="0" w:tplc="EDF2146E">
      <w:start w:val="1"/>
      <w:numFmt w:val="decimal"/>
      <w:lvlText w:val="%1."/>
      <w:lvlJc w:val="left"/>
      <w:pPr>
        <w:ind w:left="851" w:hanging="851"/>
      </w:pPr>
      <w:rPr>
        <w:rFonts w:hint="default"/>
        <w:color w:val="auto"/>
      </w:rPr>
    </w:lvl>
    <w:lvl w:ilvl="1" w:tplc="0C0A0019" w:tentative="1">
      <w:start w:val="1"/>
      <w:numFmt w:val="lowerLetter"/>
      <w:pStyle w:val="06NumeratedHeading2"/>
      <w:lvlText w:val="%2."/>
      <w:lvlJc w:val="left"/>
      <w:pPr>
        <w:ind w:left="1441" w:hanging="360"/>
      </w:pPr>
    </w:lvl>
    <w:lvl w:ilvl="2" w:tplc="0C0A001B" w:tentative="1">
      <w:start w:val="1"/>
      <w:numFmt w:val="lowerRoman"/>
      <w:pStyle w:val="06NumeratedHeding3"/>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16" w15:restartNumberingAfterBreak="0">
    <w:nsid w:val="4C1F7CB4"/>
    <w:multiLevelType w:val="hybridMultilevel"/>
    <w:tmpl w:val="09B8465C"/>
    <w:lvl w:ilvl="0" w:tplc="92B48E70">
      <w:start w:val="1"/>
      <w:numFmt w:val="lowerRoman"/>
      <w:lvlText w:val="(%1)"/>
      <w:lvlJc w:val="left"/>
      <w:pPr>
        <w:ind w:left="1082" w:hanging="720"/>
      </w:pPr>
      <w:rPr>
        <w:rFonts w:hint="default"/>
      </w:rPr>
    </w:lvl>
    <w:lvl w:ilvl="1" w:tplc="0C090019" w:tentative="1">
      <w:start w:val="1"/>
      <w:numFmt w:val="lowerLetter"/>
      <w:lvlText w:val="%2."/>
      <w:lvlJc w:val="left"/>
      <w:pPr>
        <w:ind w:left="1442" w:hanging="360"/>
      </w:pPr>
    </w:lvl>
    <w:lvl w:ilvl="2" w:tplc="0C09001B" w:tentative="1">
      <w:start w:val="1"/>
      <w:numFmt w:val="lowerRoman"/>
      <w:lvlText w:val="%3."/>
      <w:lvlJc w:val="right"/>
      <w:pPr>
        <w:ind w:left="2162" w:hanging="180"/>
      </w:pPr>
    </w:lvl>
    <w:lvl w:ilvl="3" w:tplc="0C09000F" w:tentative="1">
      <w:start w:val="1"/>
      <w:numFmt w:val="decimal"/>
      <w:lvlText w:val="%4."/>
      <w:lvlJc w:val="left"/>
      <w:pPr>
        <w:ind w:left="2882" w:hanging="360"/>
      </w:pPr>
    </w:lvl>
    <w:lvl w:ilvl="4" w:tplc="0C090019" w:tentative="1">
      <w:start w:val="1"/>
      <w:numFmt w:val="lowerLetter"/>
      <w:lvlText w:val="%5."/>
      <w:lvlJc w:val="left"/>
      <w:pPr>
        <w:ind w:left="3602" w:hanging="360"/>
      </w:pPr>
    </w:lvl>
    <w:lvl w:ilvl="5" w:tplc="0C09001B" w:tentative="1">
      <w:start w:val="1"/>
      <w:numFmt w:val="lowerRoman"/>
      <w:lvlText w:val="%6."/>
      <w:lvlJc w:val="right"/>
      <w:pPr>
        <w:ind w:left="4322" w:hanging="180"/>
      </w:pPr>
    </w:lvl>
    <w:lvl w:ilvl="6" w:tplc="0C09000F" w:tentative="1">
      <w:start w:val="1"/>
      <w:numFmt w:val="decimal"/>
      <w:lvlText w:val="%7."/>
      <w:lvlJc w:val="left"/>
      <w:pPr>
        <w:ind w:left="5042" w:hanging="360"/>
      </w:pPr>
    </w:lvl>
    <w:lvl w:ilvl="7" w:tplc="0C090019" w:tentative="1">
      <w:start w:val="1"/>
      <w:numFmt w:val="lowerLetter"/>
      <w:lvlText w:val="%8."/>
      <w:lvlJc w:val="left"/>
      <w:pPr>
        <w:ind w:left="5762" w:hanging="360"/>
      </w:pPr>
    </w:lvl>
    <w:lvl w:ilvl="8" w:tplc="0C09001B" w:tentative="1">
      <w:start w:val="1"/>
      <w:numFmt w:val="lowerRoman"/>
      <w:lvlText w:val="%9."/>
      <w:lvlJc w:val="right"/>
      <w:pPr>
        <w:ind w:left="6482" w:hanging="180"/>
      </w:pPr>
    </w:lvl>
  </w:abstractNum>
  <w:abstractNum w:abstractNumId="17" w15:restartNumberingAfterBreak="0">
    <w:nsid w:val="69681A54"/>
    <w:multiLevelType w:val="hybridMultilevel"/>
    <w:tmpl w:val="AAA89BFA"/>
    <w:lvl w:ilvl="0" w:tplc="48041D98">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C7D395D"/>
    <w:multiLevelType w:val="singleLevel"/>
    <w:tmpl w:val="8C3C85F2"/>
    <w:lvl w:ilvl="0">
      <w:start w:val="1"/>
      <w:numFmt w:val="decimal"/>
      <w:pStyle w:val="a"/>
      <w:lvlText w:val="(%1)"/>
      <w:lvlJc w:val="left"/>
      <w:pPr>
        <w:tabs>
          <w:tab w:val="num" w:pos="360"/>
        </w:tabs>
        <w:ind w:left="170" w:hanging="170"/>
      </w:pPr>
      <w:rPr>
        <w:rFonts w:hint="eastAsia"/>
      </w:rPr>
    </w:lvl>
  </w:abstractNum>
  <w:abstractNum w:abstractNumId="19" w15:restartNumberingAfterBreak="0">
    <w:nsid w:val="72D2290E"/>
    <w:multiLevelType w:val="hybridMultilevel"/>
    <w:tmpl w:val="4C1057AE"/>
    <w:lvl w:ilvl="0" w:tplc="82AC6D0E">
      <w:start w:val="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3BA076C"/>
    <w:multiLevelType w:val="hybridMultilevel"/>
    <w:tmpl w:val="A91C1DAC"/>
    <w:lvl w:ilvl="0" w:tplc="D81A166A">
      <w:start w:val="1"/>
      <w:numFmt w:val="decimal"/>
      <w:lvlText w:val="%1."/>
      <w:lvlJc w:val="left"/>
      <w:pPr>
        <w:ind w:left="851" w:hanging="851"/>
      </w:pPr>
      <w:rPr>
        <w:rFonts w:hint="default"/>
        <w:color w:val="auto"/>
      </w:rPr>
    </w:lvl>
    <w:lvl w:ilvl="1" w:tplc="0C0A0019" w:tentative="1">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21" w15:restartNumberingAfterBreak="0">
    <w:nsid w:val="79A87863"/>
    <w:multiLevelType w:val="multilevel"/>
    <w:tmpl w:val="9C1EBBA4"/>
    <w:numStyleLink w:val="IAHRWorldCongress-list"/>
  </w:abstractNum>
  <w:abstractNum w:abstractNumId="22" w15:restartNumberingAfterBreak="0">
    <w:nsid w:val="7CC15CF6"/>
    <w:multiLevelType w:val="singleLevel"/>
    <w:tmpl w:val="4409001B"/>
    <w:lvl w:ilvl="0">
      <w:start w:val="1"/>
      <w:numFmt w:val="lowerRoman"/>
      <w:lvlText w:val="%1."/>
      <w:lvlJc w:val="right"/>
      <w:pPr>
        <w:ind w:left="360" w:hanging="360"/>
      </w:pPr>
    </w:lvl>
  </w:abstractNum>
  <w:num w:numId="1" w16cid:durableId="884563585">
    <w:abstractNumId w:val="6"/>
  </w:num>
  <w:num w:numId="2" w16cid:durableId="299313389">
    <w:abstractNumId w:val="7"/>
  </w:num>
  <w:num w:numId="3" w16cid:durableId="227424926">
    <w:abstractNumId w:val="1"/>
  </w:num>
  <w:num w:numId="4" w16cid:durableId="283200223">
    <w:abstractNumId w:val="5"/>
  </w:num>
  <w:num w:numId="5" w16cid:durableId="804393752">
    <w:abstractNumId w:val="4"/>
  </w:num>
  <w:num w:numId="6" w16cid:durableId="489903976">
    <w:abstractNumId w:val="3"/>
  </w:num>
  <w:num w:numId="7" w16cid:durableId="1236626445">
    <w:abstractNumId w:val="2"/>
  </w:num>
  <w:num w:numId="8" w16cid:durableId="1987011420">
    <w:abstractNumId w:val="0"/>
  </w:num>
  <w:num w:numId="9" w16cid:durableId="298801012">
    <w:abstractNumId w:val="13"/>
  </w:num>
  <w:num w:numId="10" w16cid:durableId="1087926366">
    <w:abstractNumId w:val="22"/>
  </w:num>
  <w:num w:numId="11" w16cid:durableId="196352517">
    <w:abstractNumId w:val="15"/>
    <w:lvlOverride w:ilvl="0">
      <w:lvl w:ilvl="0" w:tplc="EDF2146E">
        <w:start w:val="1"/>
        <w:numFmt w:val="decimal"/>
        <w:lvlText w:val="%1"/>
        <w:lvlJc w:val="left"/>
        <w:pPr>
          <w:ind w:left="432" w:hanging="432"/>
        </w:pPr>
      </w:lvl>
    </w:lvlOverride>
    <w:lvlOverride w:ilvl="1">
      <w:lvl w:ilvl="1" w:tplc="0C0A0019">
        <w:start w:val="1"/>
        <w:numFmt w:val="decimal"/>
        <w:pStyle w:val="06NumeratedHeading2"/>
        <w:lvlText w:val="%1.%2"/>
        <w:lvlJc w:val="left"/>
        <w:pPr>
          <w:ind w:left="576" w:hanging="576"/>
        </w:pPr>
      </w:lvl>
    </w:lvlOverride>
    <w:lvlOverride w:ilvl="2">
      <w:lvl w:ilvl="2" w:tplc="0C0A001B">
        <w:start w:val="1"/>
        <w:numFmt w:val="decimal"/>
        <w:pStyle w:val="06NumeratedHeding3"/>
        <w:lvlText w:val="%1.%2.%3"/>
        <w:lvlJc w:val="left"/>
        <w:pPr>
          <w:ind w:left="720" w:hanging="720"/>
        </w:pPr>
      </w:lvl>
    </w:lvlOverride>
    <w:lvlOverride w:ilvl="3">
      <w:lvl w:ilvl="3" w:tplc="0C0A000F">
        <w:start w:val="1"/>
        <w:numFmt w:val="decimal"/>
        <w:lvlText w:val="%1.%2.%3.%4"/>
        <w:lvlJc w:val="left"/>
        <w:pPr>
          <w:ind w:left="864" w:hanging="864"/>
        </w:pPr>
      </w:lvl>
    </w:lvlOverride>
    <w:lvlOverride w:ilvl="4">
      <w:lvl w:ilvl="4" w:tplc="0C0A0019">
        <w:start w:val="1"/>
        <w:numFmt w:val="decimal"/>
        <w:lvlText w:val="%1.%2.%3.%4.%5"/>
        <w:lvlJc w:val="left"/>
        <w:pPr>
          <w:ind w:left="1008" w:hanging="1008"/>
        </w:pPr>
      </w:lvl>
    </w:lvlOverride>
    <w:lvlOverride w:ilvl="5">
      <w:lvl w:ilvl="5" w:tplc="0C0A001B">
        <w:start w:val="1"/>
        <w:numFmt w:val="decimal"/>
        <w:lvlText w:val="%1.%2.%3.%4.%5.%6"/>
        <w:lvlJc w:val="left"/>
        <w:pPr>
          <w:ind w:left="1152" w:hanging="1152"/>
        </w:pPr>
      </w:lvl>
    </w:lvlOverride>
    <w:lvlOverride w:ilvl="6">
      <w:lvl w:ilvl="6" w:tplc="0C0A000F">
        <w:start w:val="1"/>
        <w:numFmt w:val="decimal"/>
        <w:lvlText w:val="%1.%2.%3.%4.%5.%6.%7"/>
        <w:lvlJc w:val="left"/>
        <w:pPr>
          <w:ind w:left="1296" w:hanging="1296"/>
        </w:pPr>
      </w:lvl>
    </w:lvlOverride>
    <w:lvlOverride w:ilvl="7">
      <w:lvl w:ilvl="7" w:tplc="0C0A0019">
        <w:start w:val="1"/>
        <w:numFmt w:val="decimal"/>
        <w:lvlText w:val="%1.%2.%3.%4.%5.%6.%7.%8"/>
        <w:lvlJc w:val="left"/>
        <w:pPr>
          <w:ind w:left="1440" w:hanging="1440"/>
        </w:pPr>
      </w:lvl>
    </w:lvlOverride>
    <w:lvlOverride w:ilvl="8">
      <w:lvl w:ilvl="8" w:tplc="0C0A001B">
        <w:start w:val="1"/>
        <w:numFmt w:val="decimal"/>
        <w:lvlText w:val="%1.%2.%3.%4.%5.%6.%7.%8.%9"/>
        <w:lvlJc w:val="left"/>
        <w:pPr>
          <w:ind w:left="1584" w:hanging="1584"/>
        </w:pPr>
      </w:lvl>
    </w:lvlOverride>
  </w:num>
  <w:num w:numId="12" w16cid:durableId="1866140590">
    <w:abstractNumId w:val="8"/>
    <w:lvlOverride w:ilvl="0">
      <w:lvl w:ilvl="0">
        <w:start w:val="1"/>
        <w:numFmt w:val="bullet"/>
        <w:lvlText w:val=""/>
        <w:legacy w:legacy="1" w:legacySpace="0" w:legacyIndent="360"/>
        <w:lvlJc w:val="left"/>
        <w:pPr>
          <w:ind w:left="360" w:hanging="360"/>
        </w:pPr>
        <w:rPr>
          <w:rFonts w:ascii="Symbol" w:hAnsi="Symbol" w:hint="default"/>
        </w:rPr>
      </w:lvl>
    </w:lvlOverride>
  </w:num>
  <w:num w:numId="13" w16cid:durableId="932543960">
    <w:abstractNumId w:val="18"/>
  </w:num>
  <w:num w:numId="14" w16cid:durableId="1663266495">
    <w:abstractNumId w:val="12"/>
  </w:num>
  <w:num w:numId="15" w16cid:durableId="1789615468">
    <w:abstractNumId w:val="14"/>
  </w:num>
  <w:num w:numId="16" w16cid:durableId="635793402">
    <w:abstractNumId w:val="15"/>
  </w:num>
  <w:num w:numId="17" w16cid:durableId="608123825">
    <w:abstractNumId w:val="15"/>
    <w:lvlOverride w:ilvl="0">
      <w:lvl w:ilvl="0" w:tplc="EDF2146E">
        <w:start w:val="1"/>
        <w:numFmt w:val="decimal"/>
        <w:lvlText w:val="%1."/>
        <w:lvlJc w:val="left"/>
        <w:pPr>
          <w:ind w:left="851" w:hanging="851"/>
        </w:pPr>
        <w:rPr>
          <w:rFonts w:hint="default"/>
          <w:color w:val="auto"/>
        </w:rPr>
      </w:lvl>
    </w:lvlOverride>
    <w:lvlOverride w:ilvl="1">
      <w:lvl w:ilvl="1" w:tplc="0C0A0019">
        <w:start w:val="1"/>
        <w:numFmt w:val="lowerLetter"/>
        <w:pStyle w:val="06NumeratedHeading2"/>
        <w:lvlText w:val="%2."/>
        <w:lvlJc w:val="left"/>
        <w:pPr>
          <w:ind w:left="1934" w:hanging="851"/>
        </w:pPr>
        <w:rPr>
          <w:rFonts w:hint="default"/>
        </w:rPr>
      </w:lvl>
    </w:lvlOverride>
    <w:lvlOverride w:ilvl="2">
      <w:lvl w:ilvl="2" w:tplc="0C0A001B">
        <w:start w:val="1"/>
        <w:numFmt w:val="lowerRoman"/>
        <w:pStyle w:val="06NumeratedHeding3"/>
        <w:lvlText w:val="%3."/>
        <w:lvlJc w:val="right"/>
        <w:pPr>
          <w:ind w:left="3017" w:hanging="851"/>
        </w:pPr>
        <w:rPr>
          <w:rFonts w:hint="default"/>
        </w:rPr>
      </w:lvl>
    </w:lvlOverride>
    <w:lvlOverride w:ilvl="3">
      <w:lvl w:ilvl="3" w:tplc="0C0A000F">
        <w:start w:val="1"/>
        <w:numFmt w:val="decimal"/>
        <w:lvlText w:val="%4."/>
        <w:lvlJc w:val="left"/>
        <w:pPr>
          <w:ind w:left="4100" w:hanging="851"/>
        </w:pPr>
        <w:rPr>
          <w:rFonts w:hint="default"/>
        </w:rPr>
      </w:lvl>
    </w:lvlOverride>
    <w:lvlOverride w:ilvl="4">
      <w:lvl w:ilvl="4" w:tplc="0C0A0019">
        <w:start w:val="1"/>
        <w:numFmt w:val="lowerLetter"/>
        <w:lvlText w:val="%5."/>
        <w:lvlJc w:val="left"/>
        <w:pPr>
          <w:ind w:left="5183" w:hanging="851"/>
        </w:pPr>
        <w:rPr>
          <w:rFonts w:hint="default"/>
        </w:rPr>
      </w:lvl>
    </w:lvlOverride>
    <w:lvlOverride w:ilvl="5">
      <w:lvl w:ilvl="5" w:tplc="0C0A001B">
        <w:start w:val="1"/>
        <w:numFmt w:val="lowerRoman"/>
        <w:lvlText w:val="%6."/>
        <w:lvlJc w:val="right"/>
        <w:pPr>
          <w:ind w:left="6266" w:hanging="851"/>
        </w:pPr>
        <w:rPr>
          <w:rFonts w:hint="default"/>
        </w:rPr>
      </w:lvl>
    </w:lvlOverride>
    <w:lvlOverride w:ilvl="6">
      <w:lvl w:ilvl="6" w:tplc="0C0A000F">
        <w:start w:val="1"/>
        <w:numFmt w:val="decimal"/>
        <w:lvlText w:val="%7."/>
        <w:lvlJc w:val="left"/>
        <w:pPr>
          <w:ind w:left="7349" w:hanging="851"/>
        </w:pPr>
        <w:rPr>
          <w:rFonts w:hint="default"/>
        </w:rPr>
      </w:lvl>
    </w:lvlOverride>
    <w:lvlOverride w:ilvl="7">
      <w:lvl w:ilvl="7" w:tplc="0C0A0019">
        <w:start w:val="1"/>
        <w:numFmt w:val="lowerLetter"/>
        <w:lvlText w:val="%8."/>
        <w:lvlJc w:val="left"/>
        <w:pPr>
          <w:ind w:left="8432" w:hanging="851"/>
        </w:pPr>
        <w:rPr>
          <w:rFonts w:hint="default"/>
        </w:rPr>
      </w:lvl>
    </w:lvlOverride>
    <w:lvlOverride w:ilvl="8">
      <w:lvl w:ilvl="8" w:tplc="0C0A001B">
        <w:start w:val="1"/>
        <w:numFmt w:val="lowerRoman"/>
        <w:lvlText w:val="%9."/>
        <w:lvlJc w:val="right"/>
        <w:pPr>
          <w:ind w:left="9515" w:hanging="851"/>
        </w:pPr>
        <w:rPr>
          <w:rFonts w:hint="default"/>
        </w:rPr>
      </w:lvl>
    </w:lvlOverride>
  </w:num>
  <w:num w:numId="18" w16cid:durableId="1662348247">
    <w:abstractNumId w:val="20"/>
  </w:num>
  <w:num w:numId="19" w16cid:durableId="410320916">
    <w:abstractNumId w:val="20"/>
    <w:lvlOverride w:ilvl="0">
      <w:lvl w:ilvl="0" w:tplc="D81A166A">
        <w:start w:val="1"/>
        <w:numFmt w:val="decimal"/>
        <w:lvlText w:val="%1."/>
        <w:lvlJc w:val="left"/>
        <w:pPr>
          <w:ind w:left="360" w:hanging="360"/>
        </w:pPr>
        <w:rPr>
          <w:rFonts w:hint="default"/>
          <w:color w:val="auto"/>
        </w:rPr>
      </w:lvl>
    </w:lvlOverride>
    <w:lvlOverride w:ilvl="1">
      <w:lvl w:ilvl="1" w:tplc="0C0A0019" w:tentative="1">
        <w:start w:val="1"/>
        <w:numFmt w:val="lowerLetter"/>
        <w:lvlText w:val="%2."/>
        <w:lvlJc w:val="left"/>
        <w:pPr>
          <w:ind w:left="1080" w:hanging="360"/>
        </w:pPr>
      </w:lvl>
    </w:lvlOverride>
    <w:lvlOverride w:ilvl="2">
      <w:lvl w:ilvl="2" w:tplc="0C0A001B" w:tentative="1">
        <w:start w:val="1"/>
        <w:numFmt w:val="lowerRoman"/>
        <w:lvlText w:val="%3."/>
        <w:lvlJc w:val="right"/>
        <w:pPr>
          <w:ind w:left="1800" w:hanging="180"/>
        </w:pPr>
      </w:lvl>
    </w:lvlOverride>
    <w:lvlOverride w:ilvl="3">
      <w:lvl w:ilvl="3" w:tplc="0C0A000F" w:tentative="1">
        <w:start w:val="1"/>
        <w:numFmt w:val="decimal"/>
        <w:lvlText w:val="%4."/>
        <w:lvlJc w:val="left"/>
        <w:pPr>
          <w:ind w:left="2520" w:hanging="360"/>
        </w:pPr>
      </w:lvl>
    </w:lvlOverride>
    <w:lvlOverride w:ilvl="4">
      <w:lvl w:ilvl="4" w:tplc="0C0A0019" w:tentative="1">
        <w:start w:val="1"/>
        <w:numFmt w:val="lowerLetter"/>
        <w:lvlText w:val="%5."/>
        <w:lvlJc w:val="left"/>
        <w:pPr>
          <w:ind w:left="3240" w:hanging="360"/>
        </w:pPr>
      </w:lvl>
    </w:lvlOverride>
    <w:lvlOverride w:ilvl="5">
      <w:lvl w:ilvl="5" w:tplc="0C0A001B" w:tentative="1">
        <w:start w:val="1"/>
        <w:numFmt w:val="lowerRoman"/>
        <w:lvlText w:val="%6."/>
        <w:lvlJc w:val="right"/>
        <w:pPr>
          <w:ind w:left="3960" w:hanging="180"/>
        </w:pPr>
      </w:lvl>
    </w:lvlOverride>
    <w:lvlOverride w:ilvl="6">
      <w:lvl w:ilvl="6" w:tplc="0C0A000F" w:tentative="1">
        <w:start w:val="1"/>
        <w:numFmt w:val="decimal"/>
        <w:lvlText w:val="%7."/>
        <w:lvlJc w:val="left"/>
        <w:pPr>
          <w:ind w:left="4680" w:hanging="360"/>
        </w:pPr>
      </w:lvl>
    </w:lvlOverride>
    <w:lvlOverride w:ilvl="7">
      <w:lvl w:ilvl="7" w:tplc="0C0A0019" w:tentative="1">
        <w:start w:val="1"/>
        <w:numFmt w:val="lowerLetter"/>
        <w:lvlText w:val="%8."/>
        <w:lvlJc w:val="left"/>
        <w:pPr>
          <w:ind w:left="5400" w:hanging="360"/>
        </w:pPr>
      </w:lvl>
    </w:lvlOverride>
    <w:lvlOverride w:ilvl="8">
      <w:lvl w:ilvl="8" w:tplc="0C0A001B" w:tentative="1">
        <w:start w:val="1"/>
        <w:numFmt w:val="lowerRoman"/>
        <w:lvlText w:val="%9."/>
        <w:lvlJc w:val="right"/>
        <w:pPr>
          <w:ind w:left="6120" w:hanging="180"/>
        </w:pPr>
      </w:lvl>
    </w:lvlOverride>
  </w:num>
  <w:num w:numId="20" w16cid:durableId="1660961716">
    <w:abstractNumId w:val="11"/>
  </w:num>
  <w:num w:numId="21" w16cid:durableId="729354069">
    <w:abstractNumId w:val="21"/>
  </w:num>
  <w:num w:numId="22" w16cid:durableId="1082918084">
    <w:abstractNumId w:val="9"/>
  </w:num>
  <w:num w:numId="23" w16cid:durableId="1608611172">
    <w:abstractNumId w:val="16"/>
  </w:num>
  <w:num w:numId="24" w16cid:durableId="126625725">
    <w:abstractNumId w:val="19"/>
  </w:num>
  <w:num w:numId="25" w16cid:durableId="118078090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0"/>
  <w:hyphenationZone w:val="425"/>
  <w:doNotHyphenateCaps/>
  <w:evenAndOddHeaders/>
  <w:displayHorizontalDrawingGridEvery w:val="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551"/>
    <w:rsid w:val="00010DA3"/>
    <w:rsid w:val="00014817"/>
    <w:rsid w:val="0001514A"/>
    <w:rsid w:val="00023811"/>
    <w:rsid w:val="00023C66"/>
    <w:rsid w:val="00024E6E"/>
    <w:rsid w:val="0002579E"/>
    <w:rsid w:val="000274E6"/>
    <w:rsid w:val="00030F69"/>
    <w:rsid w:val="00034E9D"/>
    <w:rsid w:val="00043033"/>
    <w:rsid w:val="000449AC"/>
    <w:rsid w:val="00046B4C"/>
    <w:rsid w:val="00047B72"/>
    <w:rsid w:val="00052B1F"/>
    <w:rsid w:val="00062684"/>
    <w:rsid w:val="00064308"/>
    <w:rsid w:val="00066540"/>
    <w:rsid w:val="00071F3A"/>
    <w:rsid w:val="000724D6"/>
    <w:rsid w:val="0007456D"/>
    <w:rsid w:val="00076D2B"/>
    <w:rsid w:val="00081067"/>
    <w:rsid w:val="00081C2E"/>
    <w:rsid w:val="0008413C"/>
    <w:rsid w:val="00084ACF"/>
    <w:rsid w:val="00086B64"/>
    <w:rsid w:val="000916A9"/>
    <w:rsid w:val="00092F76"/>
    <w:rsid w:val="00094C6F"/>
    <w:rsid w:val="00097D06"/>
    <w:rsid w:val="000A2826"/>
    <w:rsid w:val="000A7A51"/>
    <w:rsid w:val="000B1FC7"/>
    <w:rsid w:val="000B49C4"/>
    <w:rsid w:val="000C5C7C"/>
    <w:rsid w:val="000C6640"/>
    <w:rsid w:val="000C7E47"/>
    <w:rsid w:val="000D583E"/>
    <w:rsid w:val="000E45F1"/>
    <w:rsid w:val="000F11AA"/>
    <w:rsid w:val="000F1481"/>
    <w:rsid w:val="000F3279"/>
    <w:rsid w:val="00100047"/>
    <w:rsid w:val="0010009D"/>
    <w:rsid w:val="00100B03"/>
    <w:rsid w:val="00101A02"/>
    <w:rsid w:val="00107850"/>
    <w:rsid w:val="00111531"/>
    <w:rsid w:val="00114159"/>
    <w:rsid w:val="00123F57"/>
    <w:rsid w:val="00130063"/>
    <w:rsid w:val="0013350E"/>
    <w:rsid w:val="00135013"/>
    <w:rsid w:val="00136C62"/>
    <w:rsid w:val="001377F0"/>
    <w:rsid w:val="001464D5"/>
    <w:rsid w:val="00150170"/>
    <w:rsid w:val="00152D23"/>
    <w:rsid w:val="00153FA5"/>
    <w:rsid w:val="001607B9"/>
    <w:rsid w:val="00166B29"/>
    <w:rsid w:val="00182BB3"/>
    <w:rsid w:val="00190D8C"/>
    <w:rsid w:val="001920AB"/>
    <w:rsid w:val="001928B6"/>
    <w:rsid w:val="00195BDE"/>
    <w:rsid w:val="001A6844"/>
    <w:rsid w:val="001D023D"/>
    <w:rsid w:val="001D1A7A"/>
    <w:rsid w:val="001D3C47"/>
    <w:rsid w:val="001D55F0"/>
    <w:rsid w:val="001E6E16"/>
    <w:rsid w:val="00203FC8"/>
    <w:rsid w:val="00212155"/>
    <w:rsid w:val="002125BF"/>
    <w:rsid w:val="00214C24"/>
    <w:rsid w:val="00215960"/>
    <w:rsid w:val="0023787A"/>
    <w:rsid w:val="00242B54"/>
    <w:rsid w:val="00245A1B"/>
    <w:rsid w:val="002502FB"/>
    <w:rsid w:val="002527FE"/>
    <w:rsid w:val="00253FDB"/>
    <w:rsid w:val="00256724"/>
    <w:rsid w:val="0026034F"/>
    <w:rsid w:val="0026051B"/>
    <w:rsid w:val="0026202A"/>
    <w:rsid w:val="0026330F"/>
    <w:rsid w:val="00266AC3"/>
    <w:rsid w:val="00267BAB"/>
    <w:rsid w:val="00272E06"/>
    <w:rsid w:val="0027369F"/>
    <w:rsid w:val="00273D64"/>
    <w:rsid w:val="00280970"/>
    <w:rsid w:val="00281D5F"/>
    <w:rsid w:val="00283C68"/>
    <w:rsid w:val="002847F3"/>
    <w:rsid w:val="002917BB"/>
    <w:rsid w:val="00295246"/>
    <w:rsid w:val="00295F40"/>
    <w:rsid w:val="0029693B"/>
    <w:rsid w:val="00297F75"/>
    <w:rsid w:val="002A1063"/>
    <w:rsid w:val="002A267F"/>
    <w:rsid w:val="002A3847"/>
    <w:rsid w:val="002A597B"/>
    <w:rsid w:val="002B39A9"/>
    <w:rsid w:val="002B6201"/>
    <w:rsid w:val="002C27E3"/>
    <w:rsid w:val="002C4075"/>
    <w:rsid w:val="002C5647"/>
    <w:rsid w:val="002C5D6E"/>
    <w:rsid w:val="002D23CC"/>
    <w:rsid w:val="002E17EE"/>
    <w:rsid w:val="002E19B2"/>
    <w:rsid w:val="002E5216"/>
    <w:rsid w:val="002E652A"/>
    <w:rsid w:val="002E761F"/>
    <w:rsid w:val="002F1D05"/>
    <w:rsid w:val="002F3554"/>
    <w:rsid w:val="002F6A14"/>
    <w:rsid w:val="00304D34"/>
    <w:rsid w:val="0030515E"/>
    <w:rsid w:val="00306CB8"/>
    <w:rsid w:val="003200BC"/>
    <w:rsid w:val="00320F5C"/>
    <w:rsid w:val="00323165"/>
    <w:rsid w:val="0032329A"/>
    <w:rsid w:val="00327D70"/>
    <w:rsid w:val="0033110A"/>
    <w:rsid w:val="00334B97"/>
    <w:rsid w:val="00337734"/>
    <w:rsid w:val="003468D0"/>
    <w:rsid w:val="003503F6"/>
    <w:rsid w:val="00351A95"/>
    <w:rsid w:val="003550DA"/>
    <w:rsid w:val="003571FB"/>
    <w:rsid w:val="003576D7"/>
    <w:rsid w:val="003609C1"/>
    <w:rsid w:val="0036146F"/>
    <w:rsid w:val="003620A8"/>
    <w:rsid w:val="00362AED"/>
    <w:rsid w:val="00367E30"/>
    <w:rsid w:val="00367FED"/>
    <w:rsid w:val="003725FB"/>
    <w:rsid w:val="00373236"/>
    <w:rsid w:val="00373BB2"/>
    <w:rsid w:val="00376CDD"/>
    <w:rsid w:val="003776A2"/>
    <w:rsid w:val="00383944"/>
    <w:rsid w:val="003844C5"/>
    <w:rsid w:val="003860C2"/>
    <w:rsid w:val="0038673E"/>
    <w:rsid w:val="003955D9"/>
    <w:rsid w:val="00396068"/>
    <w:rsid w:val="00397DAD"/>
    <w:rsid w:val="003A2621"/>
    <w:rsid w:val="003A4C56"/>
    <w:rsid w:val="003A4E5D"/>
    <w:rsid w:val="003A6439"/>
    <w:rsid w:val="003B0A9E"/>
    <w:rsid w:val="003B6C86"/>
    <w:rsid w:val="003C061C"/>
    <w:rsid w:val="003C209C"/>
    <w:rsid w:val="003C35AB"/>
    <w:rsid w:val="003C5BC6"/>
    <w:rsid w:val="003C78AC"/>
    <w:rsid w:val="003D0BAD"/>
    <w:rsid w:val="003D1FED"/>
    <w:rsid w:val="003D21A4"/>
    <w:rsid w:val="003F41DB"/>
    <w:rsid w:val="003F49E3"/>
    <w:rsid w:val="003F6DAC"/>
    <w:rsid w:val="00401E42"/>
    <w:rsid w:val="00411C7A"/>
    <w:rsid w:val="00423298"/>
    <w:rsid w:val="004269DF"/>
    <w:rsid w:val="00426B29"/>
    <w:rsid w:val="00432AD7"/>
    <w:rsid w:val="00435CBB"/>
    <w:rsid w:val="00436D59"/>
    <w:rsid w:val="00442D2B"/>
    <w:rsid w:val="004452EC"/>
    <w:rsid w:val="00452EEE"/>
    <w:rsid w:val="00461F96"/>
    <w:rsid w:val="00465BCA"/>
    <w:rsid w:val="004747A9"/>
    <w:rsid w:val="00480F7D"/>
    <w:rsid w:val="004831D5"/>
    <w:rsid w:val="0048428D"/>
    <w:rsid w:val="00484D70"/>
    <w:rsid w:val="00485683"/>
    <w:rsid w:val="00493869"/>
    <w:rsid w:val="004A6111"/>
    <w:rsid w:val="004B133C"/>
    <w:rsid w:val="004B2F64"/>
    <w:rsid w:val="004B4ADB"/>
    <w:rsid w:val="004C1984"/>
    <w:rsid w:val="004C22D1"/>
    <w:rsid w:val="004C573E"/>
    <w:rsid w:val="004C622B"/>
    <w:rsid w:val="004C7C5C"/>
    <w:rsid w:val="004D2FB9"/>
    <w:rsid w:val="004D3BF9"/>
    <w:rsid w:val="004D57F4"/>
    <w:rsid w:val="004D5F6E"/>
    <w:rsid w:val="004D646E"/>
    <w:rsid w:val="004E6624"/>
    <w:rsid w:val="004F5077"/>
    <w:rsid w:val="004F7DB3"/>
    <w:rsid w:val="005041A1"/>
    <w:rsid w:val="0051045B"/>
    <w:rsid w:val="00513356"/>
    <w:rsid w:val="00516A1B"/>
    <w:rsid w:val="00523111"/>
    <w:rsid w:val="0053291C"/>
    <w:rsid w:val="005339B0"/>
    <w:rsid w:val="00536588"/>
    <w:rsid w:val="0054024C"/>
    <w:rsid w:val="00540B9B"/>
    <w:rsid w:val="005423AA"/>
    <w:rsid w:val="005464F0"/>
    <w:rsid w:val="00550967"/>
    <w:rsid w:val="005529EF"/>
    <w:rsid w:val="0055459E"/>
    <w:rsid w:val="00556246"/>
    <w:rsid w:val="00557D2F"/>
    <w:rsid w:val="00565202"/>
    <w:rsid w:val="005653AA"/>
    <w:rsid w:val="00570735"/>
    <w:rsid w:val="00576BA9"/>
    <w:rsid w:val="00577C96"/>
    <w:rsid w:val="00582CDC"/>
    <w:rsid w:val="00591D7C"/>
    <w:rsid w:val="00592C5C"/>
    <w:rsid w:val="00595594"/>
    <w:rsid w:val="00595C9F"/>
    <w:rsid w:val="00597C3D"/>
    <w:rsid w:val="005A4B2A"/>
    <w:rsid w:val="005B03DE"/>
    <w:rsid w:val="005B0C7D"/>
    <w:rsid w:val="005B277A"/>
    <w:rsid w:val="005B515A"/>
    <w:rsid w:val="005B55B1"/>
    <w:rsid w:val="005B5B92"/>
    <w:rsid w:val="005C0BAB"/>
    <w:rsid w:val="005C18FB"/>
    <w:rsid w:val="005C47AA"/>
    <w:rsid w:val="005C6CAD"/>
    <w:rsid w:val="005C74E3"/>
    <w:rsid w:val="005D0B3E"/>
    <w:rsid w:val="005D143D"/>
    <w:rsid w:val="005D524E"/>
    <w:rsid w:val="005D5893"/>
    <w:rsid w:val="005D71B0"/>
    <w:rsid w:val="005D7793"/>
    <w:rsid w:val="005E0159"/>
    <w:rsid w:val="005E1E3E"/>
    <w:rsid w:val="005E359D"/>
    <w:rsid w:val="005F1981"/>
    <w:rsid w:val="005F1B3D"/>
    <w:rsid w:val="005F7EAC"/>
    <w:rsid w:val="006006DE"/>
    <w:rsid w:val="00604195"/>
    <w:rsid w:val="0060464E"/>
    <w:rsid w:val="00605ED0"/>
    <w:rsid w:val="006077DB"/>
    <w:rsid w:val="00611657"/>
    <w:rsid w:val="00611DED"/>
    <w:rsid w:val="0061338E"/>
    <w:rsid w:val="00620D81"/>
    <w:rsid w:val="00633DD2"/>
    <w:rsid w:val="00634534"/>
    <w:rsid w:val="00634FD3"/>
    <w:rsid w:val="00637A2E"/>
    <w:rsid w:val="0064147F"/>
    <w:rsid w:val="00641827"/>
    <w:rsid w:val="00642226"/>
    <w:rsid w:val="0064266A"/>
    <w:rsid w:val="00644542"/>
    <w:rsid w:val="00650A71"/>
    <w:rsid w:val="00650D7C"/>
    <w:rsid w:val="00651DA6"/>
    <w:rsid w:val="00651F3E"/>
    <w:rsid w:val="00652359"/>
    <w:rsid w:val="00653905"/>
    <w:rsid w:val="00653E6D"/>
    <w:rsid w:val="00661171"/>
    <w:rsid w:val="00661F5F"/>
    <w:rsid w:val="00670FC9"/>
    <w:rsid w:val="00674286"/>
    <w:rsid w:val="00690BCF"/>
    <w:rsid w:val="00693470"/>
    <w:rsid w:val="00694393"/>
    <w:rsid w:val="006A2147"/>
    <w:rsid w:val="006A5EC0"/>
    <w:rsid w:val="006A6D8C"/>
    <w:rsid w:val="006A7F05"/>
    <w:rsid w:val="006B0E1A"/>
    <w:rsid w:val="006B258C"/>
    <w:rsid w:val="006B372F"/>
    <w:rsid w:val="006B4D0D"/>
    <w:rsid w:val="006B4E4F"/>
    <w:rsid w:val="006B7D19"/>
    <w:rsid w:val="006C2807"/>
    <w:rsid w:val="006C2DF2"/>
    <w:rsid w:val="006C30DA"/>
    <w:rsid w:val="006C582A"/>
    <w:rsid w:val="006C69EA"/>
    <w:rsid w:val="006D0922"/>
    <w:rsid w:val="006D12DE"/>
    <w:rsid w:val="006D25E0"/>
    <w:rsid w:val="006D469D"/>
    <w:rsid w:val="006E0CA0"/>
    <w:rsid w:val="006E1823"/>
    <w:rsid w:val="006E3494"/>
    <w:rsid w:val="006E4A02"/>
    <w:rsid w:val="006E4FF6"/>
    <w:rsid w:val="006F1D49"/>
    <w:rsid w:val="0070308A"/>
    <w:rsid w:val="00703972"/>
    <w:rsid w:val="00707D82"/>
    <w:rsid w:val="00713480"/>
    <w:rsid w:val="00715357"/>
    <w:rsid w:val="007169ED"/>
    <w:rsid w:val="00720970"/>
    <w:rsid w:val="00722BC5"/>
    <w:rsid w:val="0072362C"/>
    <w:rsid w:val="00724A61"/>
    <w:rsid w:val="00726E70"/>
    <w:rsid w:val="0074013C"/>
    <w:rsid w:val="0074270C"/>
    <w:rsid w:val="007445E3"/>
    <w:rsid w:val="00746D53"/>
    <w:rsid w:val="0074710B"/>
    <w:rsid w:val="00747E6E"/>
    <w:rsid w:val="00753506"/>
    <w:rsid w:val="00757EB0"/>
    <w:rsid w:val="00760D5D"/>
    <w:rsid w:val="00760EBC"/>
    <w:rsid w:val="007636C1"/>
    <w:rsid w:val="007734DC"/>
    <w:rsid w:val="007735CE"/>
    <w:rsid w:val="00773CE9"/>
    <w:rsid w:val="00773E67"/>
    <w:rsid w:val="00780D03"/>
    <w:rsid w:val="00782DA2"/>
    <w:rsid w:val="0078718C"/>
    <w:rsid w:val="00790119"/>
    <w:rsid w:val="007927E3"/>
    <w:rsid w:val="00794010"/>
    <w:rsid w:val="00794EE2"/>
    <w:rsid w:val="007A438E"/>
    <w:rsid w:val="007B007B"/>
    <w:rsid w:val="007B0C63"/>
    <w:rsid w:val="007B4A5D"/>
    <w:rsid w:val="007C2FB0"/>
    <w:rsid w:val="007C4BE1"/>
    <w:rsid w:val="007C6936"/>
    <w:rsid w:val="007C6DF7"/>
    <w:rsid w:val="007C73D9"/>
    <w:rsid w:val="007D132F"/>
    <w:rsid w:val="007D50A1"/>
    <w:rsid w:val="007D5F86"/>
    <w:rsid w:val="007D66CD"/>
    <w:rsid w:val="007E6A8C"/>
    <w:rsid w:val="007F2F32"/>
    <w:rsid w:val="007F3E02"/>
    <w:rsid w:val="007F6E30"/>
    <w:rsid w:val="00811749"/>
    <w:rsid w:val="00821169"/>
    <w:rsid w:val="00826E96"/>
    <w:rsid w:val="008273F3"/>
    <w:rsid w:val="00827DBD"/>
    <w:rsid w:val="0083182C"/>
    <w:rsid w:val="00832093"/>
    <w:rsid w:val="00836B78"/>
    <w:rsid w:val="00837D96"/>
    <w:rsid w:val="00844E39"/>
    <w:rsid w:val="0085096E"/>
    <w:rsid w:val="00850B5A"/>
    <w:rsid w:val="00852FAC"/>
    <w:rsid w:val="008573DB"/>
    <w:rsid w:val="00861034"/>
    <w:rsid w:val="00862582"/>
    <w:rsid w:val="0086294A"/>
    <w:rsid w:val="00871997"/>
    <w:rsid w:val="0089000C"/>
    <w:rsid w:val="0089324B"/>
    <w:rsid w:val="00893B07"/>
    <w:rsid w:val="00893BEA"/>
    <w:rsid w:val="008A58A8"/>
    <w:rsid w:val="008A5C38"/>
    <w:rsid w:val="008B161E"/>
    <w:rsid w:val="008B1DEA"/>
    <w:rsid w:val="008B5D48"/>
    <w:rsid w:val="008B630D"/>
    <w:rsid w:val="008C02B2"/>
    <w:rsid w:val="008C64F3"/>
    <w:rsid w:val="008C6534"/>
    <w:rsid w:val="008C7440"/>
    <w:rsid w:val="008D3D5E"/>
    <w:rsid w:val="008D5A0C"/>
    <w:rsid w:val="008E626D"/>
    <w:rsid w:val="008E74E4"/>
    <w:rsid w:val="008F7884"/>
    <w:rsid w:val="00902FE1"/>
    <w:rsid w:val="009075AD"/>
    <w:rsid w:val="00910C47"/>
    <w:rsid w:val="009268B6"/>
    <w:rsid w:val="00931534"/>
    <w:rsid w:val="009322D4"/>
    <w:rsid w:val="00937F67"/>
    <w:rsid w:val="00941A11"/>
    <w:rsid w:val="00942131"/>
    <w:rsid w:val="00942345"/>
    <w:rsid w:val="00943494"/>
    <w:rsid w:val="009456E9"/>
    <w:rsid w:val="00945D8D"/>
    <w:rsid w:val="00946E86"/>
    <w:rsid w:val="00951C77"/>
    <w:rsid w:val="00954B5F"/>
    <w:rsid w:val="00956C59"/>
    <w:rsid w:val="00963964"/>
    <w:rsid w:val="00963D3D"/>
    <w:rsid w:val="00963F5F"/>
    <w:rsid w:val="00965072"/>
    <w:rsid w:val="00966AEE"/>
    <w:rsid w:val="00966B4F"/>
    <w:rsid w:val="0096713A"/>
    <w:rsid w:val="0096715E"/>
    <w:rsid w:val="00967FA1"/>
    <w:rsid w:val="009702B6"/>
    <w:rsid w:val="009746C1"/>
    <w:rsid w:val="00975213"/>
    <w:rsid w:val="009820ED"/>
    <w:rsid w:val="00984F3A"/>
    <w:rsid w:val="00986BC9"/>
    <w:rsid w:val="00990CC4"/>
    <w:rsid w:val="00992909"/>
    <w:rsid w:val="00995E46"/>
    <w:rsid w:val="009A4E64"/>
    <w:rsid w:val="009B0F00"/>
    <w:rsid w:val="009B4AFD"/>
    <w:rsid w:val="009C104C"/>
    <w:rsid w:val="009C2125"/>
    <w:rsid w:val="009C3836"/>
    <w:rsid w:val="009C4171"/>
    <w:rsid w:val="009C7F59"/>
    <w:rsid w:val="009D01F7"/>
    <w:rsid w:val="009D14A0"/>
    <w:rsid w:val="009D4F04"/>
    <w:rsid w:val="009D7527"/>
    <w:rsid w:val="009E0149"/>
    <w:rsid w:val="009E54B0"/>
    <w:rsid w:val="009F2FEB"/>
    <w:rsid w:val="009F743F"/>
    <w:rsid w:val="00A00131"/>
    <w:rsid w:val="00A018F4"/>
    <w:rsid w:val="00A02491"/>
    <w:rsid w:val="00A05DB6"/>
    <w:rsid w:val="00A0706C"/>
    <w:rsid w:val="00A17A0E"/>
    <w:rsid w:val="00A22B07"/>
    <w:rsid w:val="00A243F7"/>
    <w:rsid w:val="00A24EEA"/>
    <w:rsid w:val="00A2559D"/>
    <w:rsid w:val="00A2603F"/>
    <w:rsid w:val="00A269BA"/>
    <w:rsid w:val="00A32E2C"/>
    <w:rsid w:val="00A37E21"/>
    <w:rsid w:val="00A40C01"/>
    <w:rsid w:val="00A42572"/>
    <w:rsid w:val="00A43477"/>
    <w:rsid w:val="00A45B72"/>
    <w:rsid w:val="00A65C6B"/>
    <w:rsid w:val="00A71540"/>
    <w:rsid w:val="00A81836"/>
    <w:rsid w:val="00A864FE"/>
    <w:rsid w:val="00A875F0"/>
    <w:rsid w:val="00A87B32"/>
    <w:rsid w:val="00A90C3C"/>
    <w:rsid w:val="00A91324"/>
    <w:rsid w:val="00A91BAA"/>
    <w:rsid w:val="00A942EA"/>
    <w:rsid w:val="00AA41CA"/>
    <w:rsid w:val="00AA5E33"/>
    <w:rsid w:val="00AA75EE"/>
    <w:rsid w:val="00AB058F"/>
    <w:rsid w:val="00AB520E"/>
    <w:rsid w:val="00AB5B5F"/>
    <w:rsid w:val="00AC405F"/>
    <w:rsid w:val="00AC43E1"/>
    <w:rsid w:val="00AD2453"/>
    <w:rsid w:val="00AD3733"/>
    <w:rsid w:val="00AD78CB"/>
    <w:rsid w:val="00AE0236"/>
    <w:rsid w:val="00AE345B"/>
    <w:rsid w:val="00AE39DE"/>
    <w:rsid w:val="00AE5A2F"/>
    <w:rsid w:val="00AF2327"/>
    <w:rsid w:val="00B00DE3"/>
    <w:rsid w:val="00B022D0"/>
    <w:rsid w:val="00B02A7C"/>
    <w:rsid w:val="00B0374D"/>
    <w:rsid w:val="00B05E1A"/>
    <w:rsid w:val="00B100AD"/>
    <w:rsid w:val="00B1079C"/>
    <w:rsid w:val="00B11219"/>
    <w:rsid w:val="00B2056C"/>
    <w:rsid w:val="00B21D30"/>
    <w:rsid w:val="00B23857"/>
    <w:rsid w:val="00B246E0"/>
    <w:rsid w:val="00B261EC"/>
    <w:rsid w:val="00B33FE0"/>
    <w:rsid w:val="00B36EF7"/>
    <w:rsid w:val="00B438E9"/>
    <w:rsid w:val="00B45FD8"/>
    <w:rsid w:val="00B465B1"/>
    <w:rsid w:val="00B5271F"/>
    <w:rsid w:val="00B534A5"/>
    <w:rsid w:val="00B64C1A"/>
    <w:rsid w:val="00B67EB5"/>
    <w:rsid w:val="00B75597"/>
    <w:rsid w:val="00B8067E"/>
    <w:rsid w:val="00B85B84"/>
    <w:rsid w:val="00B86479"/>
    <w:rsid w:val="00B914CF"/>
    <w:rsid w:val="00B93A96"/>
    <w:rsid w:val="00B96F6F"/>
    <w:rsid w:val="00BA095F"/>
    <w:rsid w:val="00BA1D71"/>
    <w:rsid w:val="00BA3591"/>
    <w:rsid w:val="00BB1C85"/>
    <w:rsid w:val="00BB29F8"/>
    <w:rsid w:val="00BB379D"/>
    <w:rsid w:val="00BB4CA7"/>
    <w:rsid w:val="00BC3D51"/>
    <w:rsid w:val="00BC71C5"/>
    <w:rsid w:val="00BD12E0"/>
    <w:rsid w:val="00BD5DC2"/>
    <w:rsid w:val="00C012FA"/>
    <w:rsid w:val="00C01F08"/>
    <w:rsid w:val="00C03D28"/>
    <w:rsid w:val="00C11660"/>
    <w:rsid w:val="00C162AE"/>
    <w:rsid w:val="00C17ECF"/>
    <w:rsid w:val="00C3032A"/>
    <w:rsid w:val="00C31F42"/>
    <w:rsid w:val="00C334E9"/>
    <w:rsid w:val="00C44AC5"/>
    <w:rsid w:val="00C452E7"/>
    <w:rsid w:val="00C56840"/>
    <w:rsid w:val="00C65EB9"/>
    <w:rsid w:val="00C707FD"/>
    <w:rsid w:val="00C7397A"/>
    <w:rsid w:val="00C73F5F"/>
    <w:rsid w:val="00C82EBD"/>
    <w:rsid w:val="00C859FA"/>
    <w:rsid w:val="00C912D0"/>
    <w:rsid w:val="00C94137"/>
    <w:rsid w:val="00C944B5"/>
    <w:rsid w:val="00CA16AB"/>
    <w:rsid w:val="00CB12B4"/>
    <w:rsid w:val="00CB1B11"/>
    <w:rsid w:val="00CB30A0"/>
    <w:rsid w:val="00CB5E63"/>
    <w:rsid w:val="00CC1CCD"/>
    <w:rsid w:val="00CC457A"/>
    <w:rsid w:val="00CC754C"/>
    <w:rsid w:val="00CD0454"/>
    <w:rsid w:val="00CD23DF"/>
    <w:rsid w:val="00CD4713"/>
    <w:rsid w:val="00CE4F93"/>
    <w:rsid w:val="00CE669B"/>
    <w:rsid w:val="00CF024F"/>
    <w:rsid w:val="00CF0593"/>
    <w:rsid w:val="00CF5243"/>
    <w:rsid w:val="00CF64E0"/>
    <w:rsid w:val="00CF7058"/>
    <w:rsid w:val="00D040F5"/>
    <w:rsid w:val="00D12AF4"/>
    <w:rsid w:val="00D13047"/>
    <w:rsid w:val="00D13E92"/>
    <w:rsid w:val="00D235B0"/>
    <w:rsid w:val="00D24787"/>
    <w:rsid w:val="00D26273"/>
    <w:rsid w:val="00D268C3"/>
    <w:rsid w:val="00D31104"/>
    <w:rsid w:val="00D3122F"/>
    <w:rsid w:val="00D329FA"/>
    <w:rsid w:val="00D32A53"/>
    <w:rsid w:val="00D41370"/>
    <w:rsid w:val="00D41CDA"/>
    <w:rsid w:val="00D445CA"/>
    <w:rsid w:val="00D4610A"/>
    <w:rsid w:val="00D462CE"/>
    <w:rsid w:val="00D46956"/>
    <w:rsid w:val="00D51F7B"/>
    <w:rsid w:val="00D545BB"/>
    <w:rsid w:val="00D617BB"/>
    <w:rsid w:val="00D6601E"/>
    <w:rsid w:val="00D71312"/>
    <w:rsid w:val="00D740CA"/>
    <w:rsid w:val="00D770F2"/>
    <w:rsid w:val="00D802D0"/>
    <w:rsid w:val="00D80B22"/>
    <w:rsid w:val="00D83FFD"/>
    <w:rsid w:val="00D84FF9"/>
    <w:rsid w:val="00D87B13"/>
    <w:rsid w:val="00D90538"/>
    <w:rsid w:val="00D939E7"/>
    <w:rsid w:val="00DA0E0C"/>
    <w:rsid w:val="00DA3305"/>
    <w:rsid w:val="00DA391A"/>
    <w:rsid w:val="00DA5825"/>
    <w:rsid w:val="00DA5F4D"/>
    <w:rsid w:val="00DC3533"/>
    <w:rsid w:val="00DC71B4"/>
    <w:rsid w:val="00DD6A0D"/>
    <w:rsid w:val="00DE1938"/>
    <w:rsid w:val="00DE24B4"/>
    <w:rsid w:val="00DE5A54"/>
    <w:rsid w:val="00E02078"/>
    <w:rsid w:val="00E02FC2"/>
    <w:rsid w:val="00E0694A"/>
    <w:rsid w:val="00E06DA0"/>
    <w:rsid w:val="00E079BC"/>
    <w:rsid w:val="00E15039"/>
    <w:rsid w:val="00E22174"/>
    <w:rsid w:val="00E235B7"/>
    <w:rsid w:val="00E2708B"/>
    <w:rsid w:val="00E301C6"/>
    <w:rsid w:val="00E30858"/>
    <w:rsid w:val="00E40D16"/>
    <w:rsid w:val="00E450C9"/>
    <w:rsid w:val="00E47FD9"/>
    <w:rsid w:val="00E5042B"/>
    <w:rsid w:val="00E52970"/>
    <w:rsid w:val="00E529A8"/>
    <w:rsid w:val="00E56F1A"/>
    <w:rsid w:val="00E73DED"/>
    <w:rsid w:val="00E842C6"/>
    <w:rsid w:val="00E85551"/>
    <w:rsid w:val="00E871B7"/>
    <w:rsid w:val="00E87212"/>
    <w:rsid w:val="00E92D61"/>
    <w:rsid w:val="00E93225"/>
    <w:rsid w:val="00E933F5"/>
    <w:rsid w:val="00E95820"/>
    <w:rsid w:val="00EA100B"/>
    <w:rsid w:val="00EA1733"/>
    <w:rsid w:val="00EA354E"/>
    <w:rsid w:val="00EA4EA4"/>
    <w:rsid w:val="00EB2B07"/>
    <w:rsid w:val="00EB5488"/>
    <w:rsid w:val="00EB55D6"/>
    <w:rsid w:val="00EC2074"/>
    <w:rsid w:val="00EC3B82"/>
    <w:rsid w:val="00ED10F3"/>
    <w:rsid w:val="00ED22A5"/>
    <w:rsid w:val="00ED2F7A"/>
    <w:rsid w:val="00ED378C"/>
    <w:rsid w:val="00ED58F6"/>
    <w:rsid w:val="00ED5B33"/>
    <w:rsid w:val="00ED72EE"/>
    <w:rsid w:val="00EE02A4"/>
    <w:rsid w:val="00EE105F"/>
    <w:rsid w:val="00EE3CE4"/>
    <w:rsid w:val="00F00685"/>
    <w:rsid w:val="00F05532"/>
    <w:rsid w:val="00F060E6"/>
    <w:rsid w:val="00F07994"/>
    <w:rsid w:val="00F17C63"/>
    <w:rsid w:val="00F216BE"/>
    <w:rsid w:val="00F24E67"/>
    <w:rsid w:val="00F3081F"/>
    <w:rsid w:val="00F34DEA"/>
    <w:rsid w:val="00F36080"/>
    <w:rsid w:val="00F471B4"/>
    <w:rsid w:val="00F5469E"/>
    <w:rsid w:val="00F5601A"/>
    <w:rsid w:val="00F57626"/>
    <w:rsid w:val="00F6288C"/>
    <w:rsid w:val="00F75E14"/>
    <w:rsid w:val="00F77B81"/>
    <w:rsid w:val="00F83B85"/>
    <w:rsid w:val="00F84FC8"/>
    <w:rsid w:val="00F93FF6"/>
    <w:rsid w:val="00F95C61"/>
    <w:rsid w:val="00F95FE1"/>
    <w:rsid w:val="00FA384F"/>
    <w:rsid w:val="00FA5572"/>
    <w:rsid w:val="00FA6A26"/>
    <w:rsid w:val="00FA6A85"/>
    <w:rsid w:val="00FB002F"/>
    <w:rsid w:val="00FB1635"/>
    <w:rsid w:val="00FB53B9"/>
    <w:rsid w:val="00FB5B7B"/>
    <w:rsid w:val="00FB7CAF"/>
    <w:rsid w:val="00FB7EBC"/>
    <w:rsid w:val="00FC2337"/>
    <w:rsid w:val="00FC4B86"/>
    <w:rsid w:val="00FC5EEB"/>
    <w:rsid w:val="00FC63E5"/>
    <w:rsid w:val="00FD2656"/>
    <w:rsid w:val="00FD5C07"/>
    <w:rsid w:val="00FD710C"/>
    <w:rsid w:val="00FE3110"/>
    <w:rsid w:val="00FE5D8B"/>
    <w:rsid w:val="00FE5EAF"/>
    <w:rsid w:val="00FF4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9A745E"/>
  <w15:docId w15:val="{637FB449-C71B-45BD-A667-2A9A616E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7FD"/>
    <w:rPr>
      <w:rFonts w:ascii="Arial" w:hAnsi="Arial"/>
      <w:lang w:val="en-US" w:eastAsia="en-US"/>
    </w:rPr>
  </w:style>
  <w:style w:type="paragraph" w:styleId="Heading1">
    <w:name w:val="heading 1"/>
    <w:basedOn w:val="Normal"/>
    <w:next w:val="07paragraphs"/>
    <w:link w:val="Heading1Char"/>
    <w:uiPriority w:val="99"/>
    <w:qFormat/>
    <w:rsid w:val="0054024C"/>
    <w:pPr>
      <w:keepNext/>
      <w:keepLines/>
      <w:tabs>
        <w:tab w:val="num" w:pos="360"/>
      </w:tabs>
      <w:suppressAutoHyphens/>
      <w:spacing w:before="240" w:after="120"/>
      <w:ind w:left="360" w:right="360" w:hanging="360"/>
      <w:outlineLvl w:val="0"/>
    </w:pPr>
    <w:rPr>
      <w:rFonts w:ascii="Book Antiqua" w:hAnsi="Book Antiqua" w:cs="Book Antiqua"/>
      <w:b/>
      <w:bCs/>
      <w:kern w:val="28"/>
    </w:rPr>
  </w:style>
  <w:style w:type="paragraph" w:styleId="Heading2">
    <w:name w:val="heading 2"/>
    <w:basedOn w:val="Normal"/>
    <w:next w:val="07paragraphs"/>
    <w:link w:val="Heading2Char"/>
    <w:uiPriority w:val="99"/>
    <w:qFormat/>
    <w:rsid w:val="0054024C"/>
    <w:pPr>
      <w:keepNext/>
      <w:numPr>
        <w:ilvl w:val="1"/>
        <w:numId w:val="1"/>
      </w:numPr>
      <w:tabs>
        <w:tab w:val="left" w:pos="432"/>
      </w:tabs>
      <w:spacing w:before="240" w:after="120"/>
      <w:ind w:right="360"/>
      <w:outlineLvl w:val="1"/>
    </w:pPr>
    <w:rPr>
      <w:rFonts w:ascii="Book Antiqua" w:hAnsi="Book Antiqua" w:cs="Book Antiqua"/>
      <w:b/>
      <w:bCs/>
      <w:i/>
      <w:iCs/>
    </w:rPr>
  </w:style>
  <w:style w:type="paragraph" w:styleId="Heading3">
    <w:name w:val="heading 3"/>
    <w:basedOn w:val="Normal"/>
    <w:next w:val="07paragraphs"/>
    <w:link w:val="Heading3Char"/>
    <w:uiPriority w:val="99"/>
    <w:qFormat/>
    <w:rsid w:val="0054024C"/>
    <w:pPr>
      <w:keepNext/>
      <w:keepLines/>
      <w:suppressAutoHyphens/>
      <w:spacing w:before="240" w:after="120"/>
      <w:ind w:right="360"/>
      <w:outlineLvl w:val="2"/>
    </w:pPr>
    <w:rPr>
      <w:rFonts w:ascii="Book Antiqua" w:hAnsi="Book Antiqua" w:cs="Book Antiqua"/>
    </w:rPr>
  </w:style>
  <w:style w:type="paragraph" w:styleId="Heading4">
    <w:name w:val="heading 4"/>
    <w:basedOn w:val="Normal"/>
    <w:next w:val="Normal"/>
    <w:link w:val="Heading4Char"/>
    <w:uiPriority w:val="99"/>
    <w:qFormat/>
    <w:rsid w:val="0054024C"/>
    <w:pPr>
      <w:keepNext/>
      <w:spacing w:before="240" w:after="60"/>
      <w:outlineLvl w:val="3"/>
    </w:pPr>
    <w:rPr>
      <w:rFonts w:ascii="Book Antiqua" w:hAnsi="Book Antiqua" w:cs="Book Antiqua"/>
    </w:rPr>
  </w:style>
  <w:style w:type="paragraph" w:styleId="Heading5">
    <w:name w:val="heading 5"/>
    <w:basedOn w:val="Normal"/>
    <w:next w:val="Normal"/>
    <w:link w:val="Heading5Char"/>
    <w:uiPriority w:val="99"/>
    <w:qFormat/>
    <w:rsid w:val="0054024C"/>
    <w:pPr>
      <w:spacing w:before="240" w:after="60"/>
      <w:outlineLvl w:val="4"/>
    </w:pPr>
  </w:style>
  <w:style w:type="paragraph" w:styleId="Heading6">
    <w:name w:val="heading 6"/>
    <w:basedOn w:val="Normal"/>
    <w:next w:val="Normal"/>
    <w:link w:val="Heading6Char"/>
    <w:uiPriority w:val="99"/>
    <w:qFormat/>
    <w:rsid w:val="0054024C"/>
    <w:pPr>
      <w:spacing w:before="240" w:after="60"/>
      <w:outlineLvl w:val="5"/>
    </w:pPr>
    <w:rPr>
      <w:i/>
      <w:iCs/>
      <w:sz w:val="22"/>
      <w:szCs w:val="22"/>
    </w:rPr>
  </w:style>
  <w:style w:type="paragraph" w:styleId="Heading7">
    <w:name w:val="heading 7"/>
    <w:basedOn w:val="Normal"/>
    <w:next w:val="Normal"/>
    <w:link w:val="Heading7Char"/>
    <w:uiPriority w:val="99"/>
    <w:qFormat/>
    <w:rsid w:val="0054024C"/>
    <w:pPr>
      <w:spacing w:before="240" w:after="60"/>
      <w:outlineLvl w:val="6"/>
    </w:pPr>
  </w:style>
  <w:style w:type="paragraph" w:styleId="Heading8">
    <w:name w:val="heading 8"/>
    <w:basedOn w:val="Normal"/>
    <w:next w:val="Normal"/>
    <w:link w:val="Heading8Char"/>
    <w:uiPriority w:val="99"/>
    <w:qFormat/>
    <w:rsid w:val="0054024C"/>
    <w:pPr>
      <w:spacing w:before="240" w:after="60"/>
      <w:outlineLvl w:val="7"/>
    </w:pPr>
  </w:style>
  <w:style w:type="paragraph" w:styleId="Heading9">
    <w:name w:val="heading 9"/>
    <w:basedOn w:val="Normal"/>
    <w:next w:val="Normal"/>
    <w:link w:val="Heading9Char"/>
    <w:uiPriority w:val="99"/>
    <w:qFormat/>
    <w:rsid w:val="0054024C"/>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4024C"/>
    <w:rPr>
      <w:rFonts w:ascii="Book Antiqua" w:hAnsi="Book Antiqua" w:cs="Book Antiqua"/>
      <w:b/>
      <w:bCs/>
      <w:kern w:val="28"/>
      <w:lang w:val="en-US" w:eastAsia="en-US"/>
    </w:rPr>
  </w:style>
  <w:style w:type="character" w:customStyle="1" w:styleId="Heading2Char">
    <w:name w:val="Heading 2 Char"/>
    <w:link w:val="Heading2"/>
    <w:uiPriority w:val="99"/>
    <w:locked/>
    <w:rsid w:val="0054024C"/>
    <w:rPr>
      <w:rFonts w:ascii="Book Antiqua" w:hAnsi="Book Antiqua" w:cs="Book Antiqua"/>
      <w:b/>
      <w:bCs/>
      <w:i/>
      <w:iCs/>
      <w:lang w:val="en-US" w:eastAsia="en-US"/>
    </w:rPr>
  </w:style>
  <w:style w:type="character" w:customStyle="1" w:styleId="Heading3Char">
    <w:name w:val="Heading 3 Char"/>
    <w:link w:val="Heading3"/>
    <w:uiPriority w:val="9"/>
    <w:semiHidden/>
    <w:locked/>
    <w:rsid w:val="0054024C"/>
    <w:rPr>
      <w:rFonts w:ascii="Cambria" w:eastAsia="Times New Roman" w:hAnsi="Cambria" w:cs="Times New Roman"/>
      <w:b/>
      <w:bCs/>
      <w:sz w:val="26"/>
      <w:szCs w:val="26"/>
      <w:lang w:val="en-US" w:eastAsia="en-US"/>
    </w:rPr>
  </w:style>
  <w:style w:type="character" w:customStyle="1" w:styleId="Heading4Char">
    <w:name w:val="Heading 4 Char"/>
    <w:link w:val="Heading4"/>
    <w:uiPriority w:val="9"/>
    <w:semiHidden/>
    <w:locked/>
    <w:rsid w:val="0054024C"/>
    <w:rPr>
      <w:rFonts w:ascii="Calibri" w:eastAsia="Times New Roman" w:hAnsi="Calibri" w:cs="Times New Roman"/>
      <w:b/>
      <w:bCs/>
      <w:sz w:val="28"/>
      <w:szCs w:val="28"/>
      <w:lang w:val="en-US" w:eastAsia="en-US"/>
    </w:rPr>
  </w:style>
  <w:style w:type="character" w:customStyle="1" w:styleId="Heading5Char">
    <w:name w:val="Heading 5 Char"/>
    <w:link w:val="Heading5"/>
    <w:uiPriority w:val="9"/>
    <w:semiHidden/>
    <w:locked/>
    <w:rsid w:val="0054024C"/>
    <w:rPr>
      <w:rFonts w:ascii="Calibri" w:eastAsia="Times New Roman" w:hAnsi="Calibri" w:cs="Times New Roman"/>
      <w:b/>
      <w:bCs/>
      <w:i/>
      <w:iCs/>
      <w:sz w:val="26"/>
      <w:szCs w:val="26"/>
      <w:lang w:val="en-US" w:eastAsia="en-US"/>
    </w:rPr>
  </w:style>
  <w:style w:type="character" w:customStyle="1" w:styleId="Heading6Char">
    <w:name w:val="Heading 6 Char"/>
    <w:link w:val="Heading6"/>
    <w:uiPriority w:val="9"/>
    <w:semiHidden/>
    <w:locked/>
    <w:rsid w:val="0054024C"/>
    <w:rPr>
      <w:rFonts w:ascii="Calibri" w:eastAsia="Times New Roman" w:hAnsi="Calibri" w:cs="Times New Roman"/>
      <w:b/>
      <w:bCs/>
      <w:lang w:val="en-US" w:eastAsia="en-US"/>
    </w:rPr>
  </w:style>
  <w:style w:type="character" w:customStyle="1" w:styleId="Heading7Char">
    <w:name w:val="Heading 7 Char"/>
    <w:link w:val="Heading7"/>
    <w:uiPriority w:val="9"/>
    <w:semiHidden/>
    <w:locked/>
    <w:rsid w:val="0054024C"/>
    <w:rPr>
      <w:rFonts w:ascii="Calibri" w:eastAsia="Times New Roman" w:hAnsi="Calibri" w:cs="Times New Roman"/>
      <w:sz w:val="24"/>
      <w:szCs w:val="24"/>
      <w:lang w:val="en-US" w:eastAsia="en-US"/>
    </w:rPr>
  </w:style>
  <w:style w:type="character" w:customStyle="1" w:styleId="Heading8Char">
    <w:name w:val="Heading 8 Char"/>
    <w:link w:val="Heading8"/>
    <w:uiPriority w:val="9"/>
    <w:semiHidden/>
    <w:locked/>
    <w:rsid w:val="0054024C"/>
    <w:rPr>
      <w:rFonts w:ascii="Calibri" w:eastAsia="Times New Roman" w:hAnsi="Calibri" w:cs="Times New Roman"/>
      <w:i/>
      <w:iCs/>
      <w:sz w:val="24"/>
      <w:szCs w:val="24"/>
      <w:lang w:val="en-US" w:eastAsia="en-US"/>
    </w:rPr>
  </w:style>
  <w:style w:type="character" w:customStyle="1" w:styleId="Heading9Char">
    <w:name w:val="Heading 9 Char"/>
    <w:link w:val="Heading9"/>
    <w:uiPriority w:val="9"/>
    <w:semiHidden/>
    <w:locked/>
    <w:rsid w:val="0054024C"/>
    <w:rPr>
      <w:rFonts w:ascii="Cambria" w:eastAsia="Times New Roman" w:hAnsi="Cambria" w:cs="Times New Roman"/>
      <w:lang w:val="en-US" w:eastAsia="en-US"/>
    </w:rPr>
  </w:style>
  <w:style w:type="paragraph" w:customStyle="1" w:styleId="07paragraphs">
    <w:name w:val="07. paragraphs"/>
    <w:basedOn w:val="Normal"/>
    <w:next w:val="Normal"/>
    <w:uiPriority w:val="99"/>
    <w:rsid w:val="00836B78"/>
    <w:pPr>
      <w:tabs>
        <w:tab w:val="left" w:pos="357"/>
      </w:tabs>
      <w:spacing w:after="120" w:line="240" w:lineRule="exact"/>
    </w:pPr>
    <w:rPr>
      <w:rFonts w:ascii="Book Antiqua" w:hAnsi="Book Antiqua" w:cs="Book Antiqua"/>
      <w:sz w:val="18"/>
      <w:szCs w:val="18"/>
    </w:rPr>
  </w:style>
  <w:style w:type="paragraph" w:customStyle="1" w:styleId="02Author">
    <w:name w:val="02. Author"/>
    <w:basedOn w:val="Normal"/>
    <w:next w:val="03Affiliation1"/>
    <w:uiPriority w:val="99"/>
    <w:rsid w:val="007B4A5D"/>
    <w:pPr>
      <w:keepNext/>
      <w:keepLines/>
      <w:suppressAutoHyphens/>
      <w:spacing w:line="240" w:lineRule="exact"/>
      <w:jc w:val="center"/>
    </w:pPr>
    <w:rPr>
      <w:rFonts w:ascii="Book Antiqua" w:hAnsi="Book Antiqua" w:cs="Book Antiqua"/>
      <w:caps/>
      <w:sz w:val="18"/>
      <w:szCs w:val="18"/>
    </w:rPr>
  </w:style>
  <w:style w:type="paragraph" w:customStyle="1" w:styleId="03Affiliation1">
    <w:name w:val="03. Affiliation 1"/>
    <w:basedOn w:val="Normal"/>
    <w:next w:val="Normal"/>
    <w:uiPriority w:val="99"/>
    <w:qFormat/>
    <w:rsid w:val="00F83B85"/>
    <w:pPr>
      <w:spacing w:before="120" w:after="60" w:line="240" w:lineRule="exact"/>
      <w:jc w:val="center"/>
    </w:pPr>
    <w:rPr>
      <w:rFonts w:ascii="Book Antiqua" w:hAnsi="Book Antiqua" w:cs="Book Antiqua"/>
      <w:i/>
      <w:iCs/>
      <w:sz w:val="16"/>
      <w:szCs w:val="16"/>
    </w:rPr>
  </w:style>
  <w:style w:type="character" w:styleId="FollowedHyperlink">
    <w:name w:val="FollowedHyperlink"/>
    <w:uiPriority w:val="99"/>
    <w:rsid w:val="0054024C"/>
    <w:rPr>
      <w:rFonts w:cs="Times New Roman"/>
      <w:color w:val="800080"/>
      <w:u w:val="single"/>
    </w:rPr>
  </w:style>
  <w:style w:type="paragraph" w:styleId="Title">
    <w:name w:val="Title"/>
    <w:basedOn w:val="Normal"/>
    <w:next w:val="02Author"/>
    <w:link w:val="TitleChar"/>
    <w:autoRedefine/>
    <w:uiPriority w:val="99"/>
    <w:qFormat/>
    <w:rsid w:val="0054024C"/>
    <w:pPr>
      <w:keepNext/>
      <w:keepLines/>
      <w:pageBreakBefore/>
      <w:suppressAutoHyphens/>
      <w:spacing w:before="240" w:after="400"/>
      <w:jc w:val="center"/>
    </w:pPr>
    <w:rPr>
      <w:rFonts w:ascii="Book Antiqua" w:hAnsi="Book Antiqua" w:cs="Book Antiqua"/>
      <w:b/>
      <w:bCs/>
      <w:caps/>
      <w:kern w:val="28"/>
      <w:sz w:val="22"/>
      <w:szCs w:val="22"/>
    </w:rPr>
  </w:style>
  <w:style w:type="character" w:customStyle="1" w:styleId="TitleChar">
    <w:name w:val="Title Char"/>
    <w:link w:val="Title"/>
    <w:uiPriority w:val="10"/>
    <w:locked/>
    <w:rsid w:val="0054024C"/>
    <w:rPr>
      <w:rFonts w:ascii="Cambria" w:eastAsia="Times New Roman" w:hAnsi="Cambria" w:cs="Times New Roman"/>
      <w:b/>
      <w:bCs/>
      <w:kern w:val="28"/>
      <w:sz w:val="32"/>
      <w:szCs w:val="32"/>
      <w:lang w:val="en-US" w:eastAsia="en-US"/>
    </w:rPr>
  </w:style>
  <w:style w:type="paragraph" w:styleId="ListNumber">
    <w:name w:val="List Number"/>
    <w:basedOn w:val="Normal"/>
    <w:uiPriority w:val="99"/>
    <w:rsid w:val="0054024C"/>
    <w:pPr>
      <w:spacing w:line="240" w:lineRule="exact"/>
      <w:ind w:left="357" w:hanging="357"/>
    </w:pPr>
    <w:rPr>
      <w:rFonts w:ascii="Book Antiqua" w:hAnsi="Book Antiqua" w:cs="Book Antiqua"/>
      <w:sz w:val="18"/>
      <w:szCs w:val="18"/>
    </w:rPr>
  </w:style>
  <w:style w:type="paragraph" w:styleId="ListBullet">
    <w:name w:val="List Bullet"/>
    <w:basedOn w:val="Normal"/>
    <w:uiPriority w:val="99"/>
    <w:rsid w:val="0054024C"/>
    <w:pPr>
      <w:numPr>
        <w:numId w:val="2"/>
      </w:numPr>
      <w:tabs>
        <w:tab w:val="clear" w:pos="360"/>
      </w:tabs>
      <w:spacing w:line="240" w:lineRule="exact"/>
      <w:ind w:left="357" w:hanging="357"/>
    </w:pPr>
    <w:rPr>
      <w:rFonts w:ascii="Book Antiqua" w:hAnsi="Book Antiqua" w:cs="Book Antiqua"/>
      <w:sz w:val="18"/>
      <w:szCs w:val="18"/>
    </w:rPr>
  </w:style>
  <w:style w:type="paragraph" w:customStyle="1" w:styleId="01Title">
    <w:name w:val="01. Title"/>
    <w:basedOn w:val="Title"/>
    <w:uiPriority w:val="99"/>
    <w:rsid w:val="007B4A5D"/>
    <w:pPr>
      <w:spacing w:before="400" w:line="240" w:lineRule="exact"/>
    </w:pPr>
  </w:style>
  <w:style w:type="paragraph" w:styleId="ListNumber2">
    <w:name w:val="List Number 2"/>
    <w:basedOn w:val="Normal"/>
    <w:uiPriority w:val="99"/>
    <w:rsid w:val="0054024C"/>
    <w:pPr>
      <w:ind w:left="720" w:hanging="360"/>
    </w:pPr>
  </w:style>
  <w:style w:type="paragraph" w:styleId="ListBullet2">
    <w:name w:val="List Bullet 2"/>
    <w:basedOn w:val="Normal"/>
    <w:uiPriority w:val="99"/>
    <w:rsid w:val="0054024C"/>
    <w:pPr>
      <w:numPr>
        <w:numId w:val="9"/>
      </w:numPr>
    </w:pPr>
  </w:style>
  <w:style w:type="paragraph" w:styleId="ListContinue">
    <w:name w:val="List Continue"/>
    <w:basedOn w:val="Normal"/>
    <w:uiPriority w:val="99"/>
    <w:rsid w:val="0054024C"/>
    <w:pPr>
      <w:ind w:left="360"/>
    </w:pPr>
  </w:style>
  <w:style w:type="paragraph" w:customStyle="1" w:styleId="04NonNumeratedHeading">
    <w:name w:val="04. Non Numerated Heading"/>
    <w:basedOn w:val="Normal"/>
    <w:next w:val="07paragraphs"/>
    <w:uiPriority w:val="99"/>
    <w:rsid w:val="002847F3"/>
    <w:pPr>
      <w:keepNext/>
      <w:suppressAutoHyphens/>
      <w:spacing w:before="400" w:after="120" w:line="240" w:lineRule="exact"/>
      <w:ind w:right="357"/>
    </w:pPr>
    <w:rPr>
      <w:rFonts w:ascii="Book Antiqua" w:hAnsi="Book Antiqua" w:cs="Book Antiqua"/>
      <w:b/>
      <w:bCs/>
      <w:sz w:val="18"/>
    </w:rPr>
  </w:style>
  <w:style w:type="paragraph" w:customStyle="1" w:styleId="03Affiliation2">
    <w:name w:val="03. Affiliation 2"/>
    <w:basedOn w:val="03Affiliation1"/>
    <w:qFormat/>
    <w:rsid w:val="00F83B85"/>
    <w:pPr>
      <w:spacing w:before="0"/>
    </w:pPr>
  </w:style>
  <w:style w:type="paragraph" w:styleId="NormalIndent">
    <w:name w:val="Normal Indent"/>
    <w:basedOn w:val="Normal"/>
    <w:uiPriority w:val="99"/>
    <w:rsid w:val="0054024C"/>
    <w:pPr>
      <w:ind w:left="720"/>
    </w:pPr>
  </w:style>
  <w:style w:type="paragraph" w:styleId="Header">
    <w:name w:val="header"/>
    <w:basedOn w:val="Normal"/>
    <w:link w:val="HeaderChar"/>
    <w:uiPriority w:val="99"/>
    <w:rsid w:val="0054024C"/>
    <w:pPr>
      <w:tabs>
        <w:tab w:val="center" w:pos="4320"/>
        <w:tab w:val="right" w:pos="8640"/>
      </w:tabs>
    </w:pPr>
    <w:rPr>
      <w:rFonts w:ascii="Book Antiqua" w:hAnsi="Book Antiqua" w:cs="Book Antiqua"/>
    </w:rPr>
  </w:style>
  <w:style w:type="character" w:customStyle="1" w:styleId="HeaderChar">
    <w:name w:val="Header Char"/>
    <w:link w:val="Header"/>
    <w:uiPriority w:val="99"/>
    <w:locked/>
    <w:rsid w:val="0054024C"/>
    <w:rPr>
      <w:rFonts w:cs="Times New Roman"/>
      <w:sz w:val="20"/>
      <w:szCs w:val="20"/>
      <w:lang w:val="en-US" w:eastAsia="en-US"/>
    </w:rPr>
  </w:style>
  <w:style w:type="paragraph" w:styleId="Footer">
    <w:name w:val="footer"/>
    <w:basedOn w:val="Normal"/>
    <w:link w:val="FooterChar"/>
    <w:uiPriority w:val="99"/>
    <w:rsid w:val="0054024C"/>
    <w:pPr>
      <w:tabs>
        <w:tab w:val="center" w:pos="4320"/>
        <w:tab w:val="right" w:pos="8640"/>
      </w:tabs>
    </w:pPr>
    <w:rPr>
      <w:rFonts w:ascii="Book Antiqua" w:hAnsi="Book Antiqua" w:cs="Book Antiqua"/>
    </w:rPr>
  </w:style>
  <w:style w:type="character" w:customStyle="1" w:styleId="FooterChar">
    <w:name w:val="Footer Char"/>
    <w:link w:val="Footer"/>
    <w:uiPriority w:val="99"/>
    <w:locked/>
    <w:rsid w:val="0054024C"/>
    <w:rPr>
      <w:rFonts w:cs="Times New Roman"/>
      <w:sz w:val="20"/>
      <w:szCs w:val="20"/>
      <w:lang w:val="en-US" w:eastAsia="en-US"/>
    </w:rPr>
  </w:style>
  <w:style w:type="paragraph" w:styleId="FootnoteText">
    <w:name w:val="footnote text"/>
    <w:basedOn w:val="Normal"/>
    <w:link w:val="FootnoteTextChar"/>
    <w:autoRedefine/>
    <w:uiPriority w:val="99"/>
    <w:semiHidden/>
    <w:rsid w:val="0054024C"/>
    <w:pPr>
      <w:spacing w:line="200" w:lineRule="exact"/>
      <w:ind w:left="142" w:hanging="142"/>
    </w:pPr>
    <w:rPr>
      <w:rFonts w:ascii="Book Antiqua" w:hAnsi="Book Antiqua" w:cs="Book Antiqua"/>
      <w:sz w:val="16"/>
      <w:szCs w:val="16"/>
    </w:rPr>
  </w:style>
  <w:style w:type="character" w:customStyle="1" w:styleId="FootnoteTextChar">
    <w:name w:val="Footnote Text Char"/>
    <w:link w:val="FootnoteText"/>
    <w:uiPriority w:val="99"/>
    <w:semiHidden/>
    <w:locked/>
    <w:rsid w:val="0054024C"/>
    <w:rPr>
      <w:rFonts w:cs="Times New Roman"/>
      <w:sz w:val="20"/>
      <w:szCs w:val="20"/>
      <w:lang w:val="en-US" w:eastAsia="en-US"/>
    </w:rPr>
  </w:style>
  <w:style w:type="character" w:styleId="FootnoteReference">
    <w:name w:val="footnote reference"/>
    <w:uiPriority w:val="99"/>
    <w:semiHidden/>
    <w:rsid w:val="0054024C"/>
    <w:rPr>
      <w:rFonts w:ascii="Book Antiqua" w:hAnsi="Book Antiqua" w:cs="Book Antiqua"/>
      <w:vertAlign w:val="superscript"/>
    </w:rPr>
  </w:style>
  <w:style w:type="character" w:styleId="Hyperlink">
    <w:name w:val="Hyperlink"/>
    <w:uiPriority w:val="99"/>
    <w:rsid w:val="0054024C"/>
    <w:rPr>
      <w:rFonts w:ascii="Book Antiqua" w:hAnsi="Book Antiqua" w:cs="Book Antiqua"/>
      <w:color w:val="000000"/>
      <w:u w:val="none"/>
    </w:rPr>
  </w:style>
  <w:style w:type="character" w:styleId="PageNumber">
    <w:name w:val="page number"/>
    <w:uiPriority w:val="99"/>
    <w:rsid w:val="0054024C"/>
    <w:rPr>
      <w:rFonts w:ascii="Book Antiqua" w:hAnsi="Book Antiqua" w:cs="Book Antiqua"/>
      <w:sz w:val="16"/>
      <w:szCs w:val="16"/>
    </w:rPr>
  </w:style>
  <w:style w:type="paragraph" w:styleId="List">
    <w:name w:val="List"/>
    <w:basedOn w:val="Normal"/>
    <w:uiPriority w:val="99"/>
    <w:rsid w:val="0054024C"/>
    <w:pPr>
      <w:ind w:left="360" w:hanging="360"/>
    </w:pPr>
    <w:rPr>
      <w:rFonts w:ascii="Book Antiqua" w:hAnsi="Book Antiqua" w:cs="Book Antiqua"/>
    </w:rPr>
  </w:style>
  <w:style w:type="paragraph" w:styleId="List2">
    <w:name w:val="List 2"/>
    <w:basedOn w:val="Normal"/>
    <w:uiPriority w:val="99"/>
    <w:rsid w:val="0054024C"/>
    <w:pPr>
      <w:ind w:left="720" w:hanging="360"/>
    </w:pPr>
    <w:rPr>
      <w:rFonts w:ascii="Book Antiqua" w:hAnsi="Book Antiqua" w:cs="Book Antiqua"/>
    </w:rPr>
  </w:style>
  <w:style w:type="paragraph" w:styleId="List3">
    <w:name w:val="List 3"/>
    <w:basedOn w:val="Normal"/>
    <w:uiPriority w:val="99"/>
    <w:rsid w:val="0054024C"/>
    <w:pPr>
      <w:ind w:left="1080" w:hanging="360"/>
    </w:pPr>
  </w:style>
  <w:style w:type="paragraph" w:styleId="List4">
    <w:name w:val="List 4"/>
    <w:basedOn w:val="Normal"/>
    <w:uiPriority w:val="99"/>
    <w:rsid w:val="0054024C"/>
    <w:pPr>
      <w:ind w:left="1440" w:hanging="360"/>
    </w:pPr>
  </w:style>
  <w:style w:type="paragraph" w:styleId="List5">
    <w:name w:val="List 5"/>
    <w:basedOn w:val="Normal"/>
    <w:uiPriority w:val="99"/>
    <w:rsid w:val="0054024C"/>
    <w:pPr>
      <w:ind w:left="1800" w:hanging="360"/>
    </w:pPr>
  </w:style>
  <w:style w:type="paragraph" w:styleId="ListBullet3">
    <w:name w:val="List Bullet 3"/>
    <w:basedOn w:val="Normal"/>
    <w:autoRedefine/>
    <w:uiPriority w:val="99"/>
    <w:rsid w:val="0054024C"/>
    <w:pPr>
      <w:numPr>
        <w:numId w:val="3"/>
      </w:numPr>
      <w:tabs>
        <w:tab w:val="clear" w:pos="643"/>
        <w:tab w:val="left" w:pos="1077"/>
        <w:tab w:val="left" w:pos="1134"/>
      </w:tabs>
      <w:ind w:left="1077" w:hanging="357"/>
    </w:pPr>
  </w:style>
  <w:style w:type="paragraph" w:styleId="ListBullet4">
    <w:name w:val="List Bullet 4"/>
    <w:basedOn w:val="Normal"/>
    <w:autoRedefine/>
    <w:uiPriority w:val="99"/>
    <w:rsid w:val="0054024C"/>
    <w:pPr>
      <w:numPr>
        <w:numId w:val="4"/>
      </w:numPr>
      <w:tabs>
        <w:tab w:val="num" w:pos="1440"/>
      </w:tabs>
      <w:ind w:left="1440"/>
    </w:pPr>
  </w:style>
  <w:style w:type="paragraph" w:styleId="ListBullet5">
    <w:name w:val="List Bullet 5"/>
    <w:basedOn w:val="Normal"/>
    <w:autoRedefine/>
    <w:uiPriority w:val="99"/>
    <w:rsid w:val="0054024C"/>
    <w:pPr>
      <w:numPr>
        <w:numId w:val="5"/>
      </w:numPr>
      <w:tabs>
        <w:tab w:val="num" w:pos="643"/>
        <w:tab w:val="num" w:pos="1800"/>
      </w:tabs>
      <w:ind w:left="1800"/>
    </w:pPr>
  </w:style>
  <w:style w:type="paragraph" w:styleId="ListContinue2">
    <w:name w:val="List Continue 2"/>
    <w:basedOn w:val="Normal"/>
    <w:uiPriority w:val="99"/>
    <w:rsid w:val="0054024C"/>
    <w:pPr>
      <w:spacing w:after="120"/>
      <w:ind w:left="720"/>
    </w:pPr>
  </w:style>
  <w:style w:type="paragraph" w:styleId="ListContinue3">
    <w:name w:val="List Continue 3"/>
    <w:basedOn w:val="Normal"/>
    <w:uiPriority w:val="99"/>
    <w:rsid w:val="0054024C"/>
    <w:pPr>
      <w:spacing w:after="120"/>
      <w:ind w:left="1080"/>
    </w:pPr>
  </w:style>
  <w:style w:type="paragraph" w:styleId="ListContinue4">
    <w:name w:val="List Continue 4"/>
    <w:basedOn w:val="Normal"/>
    <w:uiPriority w:val="99"/>
    <w:rsid w:val="0054024C"/>
    <w:pPr>
      <w:spacing w:after="120"/>
      <w:ind w:left="1440"/>
    </w:pPr>
  </w:style>
  <w:style w:type="paragraph" w:styleId="ListContinue5">
    <w:name w:val="List Continue 5"/>
    <w:basedOn w:val="Normal"/>
    <w:uiPriority w:val="99"/>
    <w:rsid w:val="0054024C"/>
    <w:pPr>
      <w:spacing w:after="120"/>
      <w:ind w:left="1800"/>
    </w:pPr>
  </w:style>
  <w:style w:type="paragraph" w:styleId="ListNumber3">
    <w:name w:val="List Number 3"/>
    <w:basedOn w:val="Normal"/>
    <w:uiPriority w:val="99"/>
    <w:rsid w:val="0054024C"/>
    <w:pPr>
      <w:numPr>
        <w:numId w:val="6"/>
      </w:numPr>
      <w:tabs>
        <w:tab w:val="num" w:pos="1080"/>
      </w:tabs>
      <w:ind w:left="1080"/>
    </w:pPr>
  </w:style>
  <w:style w:type="paragraph" w:styleId="ListNumber4">
    <w:name w:val="List Number 4"/>
    <w:basedOn w:val="Normal"/>
    <w:uiPriority w:val="99"/>
    <w:rsid w:val="0054024C"/>
    <w:pPr>
      <w:numPr>
        <w:numId w:val="7"/>
      </w:numPr>
      <w:tabs>
        <w:tab w:val="num" w:pos="1440"/>
      </w:tabs>
      <w:ind w:left="1440"/>
    </w:pPr>
  </w:style>
  <w:style w:type="paragraph" w:styleId="ListNumber5">
    <w:name w:val="List Number 5"/>
    <w:basedOn w:val="Normal"/>
    <w:uiPriority w:val="99"/>
    <w:rsid w:val="0054024C"/>
    <w:pPr>
      <w:numPr>
        <w:numId w:val="8"/>
      </w:numPr>
      <w:tabs>
        <w:tab w:val="clear" w:pos="926"/>
        <w:tab w:val="num" w:pos="1800"/>
      </w:tabs>
      <w:ind w:left="1800"/>
    </w:pPr>
  </w:style>
  <w:style w:type="paragraph" w:customStyle="1" w:styleId="03Affiliation3">
    <w:name w:val="03. Affiliation 3"/>
    <w:basedOn w:val="03Affiliation1"/>
    <w:qFormat/>
    <w:rsid w:val="00F83B85"/>
    <w:pPr>
      <w:spacing w:before="0" w:after="0"/>
    </w:pPr>
  </w:style>
  <w:style w:type="paragraph" w:customStyle="1" w:styleId="06NumeratedHeading1">
    <w:name w:val="06. Numerated Heading 1"/>
    <w:basedOn w:val="04NonNumeratedHeading"/>
    <w:next w:val="07paragraphs"/>
    <w:qFormat/>
    <w:rsid w:val="00595C9F"/>
    <w:pPr>
      <w:tabs>
        <w:tab w:val="left" w:pos="425"/>
      </w:tabs>
      <w:spacing w:before="240"/>
      <w:ind w:right="0"/>
    </w:pPr>
  </w:style>
  <w:style w:type="paragraph" w:styleId="BodyText">
    <w:name w:val="Body Text"/>
    <w:basedOn w:val="Normal"/>
    <w:link w:val="BodyTextChar"/>
    <w:uiPriority w:val="99"/>
    <w:rsid w:val="0054024C"/>
    <w:rPr>
      <w:rFonts w:ascii="Book Antiqua" w:hAnsi="Book Antiqua" w:cs="Book Antiqua"/>
    </w:rPr>
  </w:style>
  <w:style w:type="character" w:customStyle="1" w:styleId="BodyTextChar">
    <w:name w:val="Body Text Char"/>
    <w:link w:val="BodyText"/>
    <w:uiPriority w:val="99"/>
    <w:semiHidden/>
    <w:locked/>
    <w:rsid w:val="0054024C"/>
    <w:rPr>
      <w:rFonts w:cs="Times New Roman"/>
      <w:sz w:val="20"/>
      <w:szCs w:val="20"/>
      <w:lang w:val="en-US" w:eastAsia="en-US"/>
    </w:rPr>
  </w:style>
  <w:style w:type="paragraph" w:customStyle="1" w:styleId="08ListBu">
    <w:name w:val="08. ListBu"/>
    <w:basedOn w:val="ListBullet"/>
    <w:uiPriority w:val="99"/>
    <w:rsid w:val="0054024C"/>
  </w:style>
  <w:style w:type="paragraph" w:customStyle="1" w:styleId="13bibitem">
    <w:name w:val="13. bibitem"/>
    <w:basedOn w:val="Normal"/>
    <w:autoRedefine/>
    <w:uiPriority w:val="99"/>
    <w:rsid w:val="00A02491"/>
    <w:pPr>
      <w:spacing w:line="240" w:lineRule="exact"/>
      <w:ind w:left="360" w:hanging="360"/>
    </w:pPr>
    <w:rPr>
      <w:rFonts w:ascii="Book Antiqua" w:hAnsi="Book Antiqua" w:cs="Book Antiqua"/>
      <w:sz w:val="18"/>
      <w:szCs w:val="18"/>
    </w:rPr>
  </w:style>
  <w:style w:type="paragraph" w:customStyle="1" w:styleId="09Equation">
    <w:name w:val="09. Equation"/>
    <w:basedOn w:val="Normal"/>
    <w:next w:val="Normal"/>
    <w:uiPriority w:val="99"/>
    <w:rsid w:val="006D12DE"/>
    <w:pPr>
      <w:tabs>
        <w:tab w:val="center" w:pos="3402"/>
        <w:tab w:val="right" w:pos="7513"/>
      </w:tabs>
      <w:autoSpaceDE w:val="0"/>
      <w:autoSpaceDN w:val="0"/>
      <w:spacing w:before="60" w:after="60"/>
      <w:ind w:firstLine="1560"/>
    </w:pPr>
    <w:rPr>
      <w:rFonts w:ascii="Book Antiqua" w:hAnsi="Book Antiqua" w:cs="Book Antiqua"/>
      <w:sz w:val="18"/>
      <w:szCs w:val="18"/>
    </w:rPr>
  </w:style>
  <w:style w:type="paragraph" w:customStyle="1" w:styleId="06NumeratedHeading2">
    <w:name w:val="06. Numerated Heading 2"/>
    <w:basedOn w:val="07paragraphs"/>
    <w:next w:val="07paragraphs"/>
    <w:qFormat/>
    <w:rsid w:val="00595C9F"/>
    <w:pPr>
      <w:numPr>
        <w:ilvl w:val="1"/>
        <w:numId w:val="11"/>
      </w:numPr>
      <w:tabs>
        <w:tab w:val="clear" w:pos="357"/>
        <w:tab w:val="left" w:pos="426"/>
      </w:tabs>
      <w:spacing w:before="120"/>
    </w:pPr>
  </w:style>
  <w:style w:type="paragraph" w:customStyle="1" w:styleId="10ContentTables">
    <w:name w:val="10. Content Tables"/>
    <w:basedOn w:val="Normal"/>
    <w:uiPriority w:val="99"/>
    <w:rsid w:val="006D12DE"/>
    <w:pPr>
      <w:jc w:val="center"/>
    </w:pPr>
    <w:rPr>
      <w:rFonts w:ascii="Book Antiqua" w:hAnsi="Book Antiqua" w:cs="Book Antiqua"/>
      <w:sz w:val="16"/>
      <w:szCs w:val="16"/>
    </w:rPr>
  </w:style>
  <w:style w:type="paragraph" w:customStyle="1" w:styleId="05Keywords">
    <w:name w:val="05. Keywords"/>
    <w:basedOn w:val="Normal"/>
    <w:qFormat/>
    <w:rsid w:val="00AD2453"/>
    <w:pPr>
      <w:spacing w:before="120" w:after="120" w:line="240" w:lineRule="exact"/>
    </w:pPr>
    <w:rPr>
      <w:rFonts w:ascii="Book Antiqua" w:hAnsi="Book Antiqua"/>
      <w:bCs/>
      <w:iCs/>
      <w:spacing w:val="-7"/>
      <w:sz w:val="16"/>
      <w:szCs w:val="17"/>
    </w:rPr>
  </w:style>
  <w:style w:type="paragraph" w:customStyle="1" w:styleId="10CapTable">
    <w:name w:val="10. CapTable"/>
    <w:basedOn w:val="Normal"/>
    <w:uiPriority w:val="99"/>
    <w:rsid w:val="006D12DE"/>
    <w:pPr>
      <w:tabs>
        <w:tab w:val="left" w:pos="6521"/>
      </w:tabs>
      <w:spacing w:before="240" w:after="80"/>
    </w:pPr>
    <w:rPr>
      <w:rFonts w:ascii="Book Antiqua" w:hAnsi="Book Antiqua" w:cs="Book Antiqua"/>
      <w:sz w:val="16"/>
      <w:szCs w:val="16"/>
    </w:rPr>
  </w:style>
  <w:style w:type="paragraph" w:customStyle="1" w:styleId="11CapFigure">
    <w:name w:val="11. CapFigure"/>
    <w:basedOn w:val="10CapTable"/>
    <w:uiPriority w:val="99"/>
    <w:rsid w:val="006D12DE"/>
    <w:pPr>
      <w:spacing w:before="80" w:after="240"/>
    </w:pPr>
  </w:style>
  <w:style w:type="paragraph" w:customStyle="1" w:styleId="09ListBu">
    <w:name w:val="09. ListBu"/>
    <w:basedOn w:val="ListBullet"/>
    <w:uiPriority w:val="99"/>
    <w:rsid w:val="006D12DE"/>
  </w:style>
  <w:style w:type="paragraph" w:customStyle="1" w:styleId="09ListNu">
    <w:name w:val="09. ListNu"/>
    <w:basedOn w:val="ListNumber"/>
    <w:uiPriority w:val="99"/>
    <w:rsid w:val="006D12DE"/>
  </w:style>
  <w:style w:type="paragraph" w:customStyle="1" w:styleId="12FootNote">
    <w:name w:val="12. FootNote"/>
    <w:basedOn w:val="FootnoteText"/>
    <w:uiPriority w:val="99"/>
    <w:rsid w:val="006D12DE"/>
    <w:rPr>
      <w:color w:val="000000"/>
    </w:rPr>
  </w:style>
  <w:style w:type="paragraph" w:customStyle="1" w:styleId="06NumeratedHeding3">
    <w:name w:val="06. Numerated Heding 3"/>
    <w:basedOn w:val="07paragraphs"/>
    <w:next w:val="07paragraphs"/>
    <w:qFormat/>
    <w:rsid w:val="00595C9F"/>
    <w:pPr>
      <w:numPr>
        <w:ilvl w:val="2"/>
        <w:numId w:val="11"/>
      </w:numPr>
      <w:tabs>
        <w:tab w:val="clear" w:pos="357"/>
        <w:tab w:val="left" w:pos="425"/>
      </w:tabs>
      <w:spacing w:before="120"/>
    </w:pPr>
    <w:rPr>
      <w:i/>
    </w:rPr>
  </w:style>
  <w:style w:type="table" w:styleId="TableGrid">
    <w:name w:val="Table Grid"/>
    <w:basedOn w:val="TableNormal"/>
    <w:uiPriority w:val="59"/>
    <w:rsid w:val="00720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435CBB"/>
    <w:pPr>
      <w:spacing w:after="120"/>
      <w:ind w:left="283"/>
    </w:pPr>
  </w:style>
  <w:style w:type="character" w:customStyle="1" w:styleId="BodyTextIndentChar">
    <w:name w:val="Body Text Indent Char"/>
    <w:link w:val="BodyTextIndent"/>
    <w:uiPriority w:val="99"/>
    <w:rsid w:val="00435CBB"/>
    <w:rPr>
      <w:lang w:val="en-US" w:eastAsia="en-US"/>
    </w:rPr>
  </w:style>
  <w:style w:type="paragraph" w:customStyle="1" w:styleId="a">
    <w:name w:val="참고문헌(내용)"/>
    <w:basedOn w:val="Normal"/>
    <w:rsid w:val="00435CBB"/>
    <w:pPr>
      <w:widowControl w:val="0"/>
      <w:numPr>
        <w:numId w:val="13"/>
      </w:numPr>
      <w:wordWrap w:val="0"/>
    </w:pPr>
    <w:rPr>
      <w:rFonts w:eastAsia="BatangChe"/>
      <w:kern w:val="2"/>
      <w:lang w:eastAsia="ko-KR"/>
    </w:rPr>
  </w:style>
  <w:style w:type="character" w:customStyle="1" w:styleId="rightone">
    <w:name w:val="rightone"/>
    <w:rsid w:val="00A942EA"/>
    <w:rPr>
      <w:vanish w:val="0"/>
      <w:webHidden w:val="0"/>
      <w:specVanish w:val="0"/>
    </w:rPr>
  </w:style>
  <w:style w:type="paragraph" w:styleId="BalloonText">
    <w:name w:val="Balloon Text"/>
    <w:basedOn w:val="Normal"/>
    <w:link w:val="BalloonTextChar"/>
    <w:uiPriority w:val="99"/>
    <w:rsid w:val="00CE669B"/>
    <w:rPr>
      <w:rFonts w:ascii="Segoe UI" w:hAnsi="Segoe UI" w:cs="Segoe UI"/>
      <w:sz w:val="18"/>
      <w:szCs w:val="18"/>
    </w:rPr>
  </w:style>
  <w:style w:type="character" w:customStyle="1" w:styleId="BalloonTextChar">
    <w:name w:val="Balloon Text Char"/>
    <w:link w:val="BalloonText"/>
    <w:uiPriority w:val="99"/>
    <w:rsid w:val="00CE669B"/>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E87212"/>
    <w:rPr>
      <w:sz w:val="16"/>
      <w:szCs w:val="16"/>
    </w:rPr>
  </w:style>
  <w:style w:type="paragraph" w:styleId="CommentText">
    <w:name w:val="annotation text"/>
    <w:basedOn w:val="Normal"/>
    <w:link w:val="CommentTextChar"/>
    <w:uiPriority w:val="99"/>
    <w:semiHidden/>
    <w:unhideWhenUsed/>
    <w:rsid w:val="00E87212"/>
  </w:style>
  <w:style w:type="character" w:customStyle="1" w:styleId="CommentTextChar">
    <w:name w:val="Comment Text Char"/>
    <w:basedOn w:val="DefaultParagraphFont"/>
    <w:link w:val="CommentText"/>
    <w:uiPriority w:val="99"/>
    <w:semiHidden/>
    <w:rsid w:val="00E87212"/>
    <w:rPr>
      <w:lang w:val="en-US" w:eastAsia="en-US"/>
    </w:rPr>
  </w:style>
  <w:style w:type="paragraph" w:styleId="CommentSubject">
    <w:name w:val="annotation subject"/>
    <w:basedOn w:val="CommentText"/>
    <w:next w:val="CommentText"/>
    <w:link w:val="CommentSubjectChar"/>
    <w:uiPriority w:val="99"/>
    <w:semiHidden/>
    <w:unhideWhenUsed/>
    <w:rsid w:val="00E87212"/>
    <w:rPr>
      <w:b/>
      <w:bCs/>
    </w:rPr>
  </w:style>
  <w:style w:type="character" w:customStyle="1" w:styleId="CommentSubjectChar">
    <w:name w:val="Comment Subject Char"/>
    <w:basedOn w:val="CommentTextChar"/>
    <w:link w:val="CommentSubject"/>
    <w:uiPriority w:val="99"/>
    <w:semiHidden/>
    <w:rsid w:val="00E87212"/>
    <w:rPr>
      <w:b/>
      <w:bCs/>
      <w:lang w:val="en-US" w:eastAsia="en-US"/>
    </w:rPr>
  </w:style>
  <w:style w:type="character" w:styleId="Strong">
    <w:name w:val="Strong"/>
    <w:basedOn w:val="DefaultParagraphFont"/>
    <w:uiPriority w:val="22"/>
    <w:qFormat/>
    <w:rsid w:val="002E652A"/>
    <w:rPr>
      <w:b/>
      <w:bCs/>
    </w:rPr>
  </w:style>
  <w:style w:type="paragraph" w:styleId="ListParagraph">
    <w:name w:val="List Paragraph"/>
    <w:basedOn w:val="Normal"/>
    <w:uiPriority w:val="34"/>
    <w:qFormat/>
    <w:rsid w:val="002E652A"/>
    <w:pPr>
      <w:ind w:left="720"/>
      <w:contextualSpacing/>
    </w:pPr>
  </w:style>
  <w:style w:type="numbering" w:customStyle="1" w:styleId="IAHRWorldCongress-list">
    <w:name w:val="IAHR World Congress - list"/>
    <w:uiPriority w:val="99"/>
    <w:rsid w:val="00107850"/>
    <w:pPr>
      <w:numPr>
        <w:numId w:val="20"/>
      </w:numPr>
    </w:pPr>
  </w:style>
  <w:style w:type="character" w:styleId="UnresolvedMention">
    <w:name w:val="Unresolved Mention"/>
    <w:basedOn w:val="DefaultParagraphFont"/>
    <w:uiPriority w:val="99"/>
    <w:semiHidden/>
    <w:unhideWhenUsed/>
    <w:rsid w:val="002D23CC"/>
    <w:rPr>
      <w:color w:val="605E5C"/>
      <w:shd w:val="clear" w:color="auto" w:fill="E1DFDD"/>
    </w:rPr>
  </w:style>
  <w:style w:type="paragraph" w:styleId="Bibliography">
    <w:name w:val="Bibliography"/>
    <w:basedOn w:val="Normal"/>
    <w:next w:val="Normal"/>
    <w:uiPriority w:val="37"/>
    <w:unhideWhenUsed/>
    <w:rsid w:val="00852FAC"/>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6149">
      <w:bodyDiv w:val="1"/>
      <w:marLeft w:val="0"/>
      <w:marRight w:val="0"/>
      <w:marTop w:val="0"/>
      <w:marBottom w:val="0"/>
      <w:divBdr>
        <w:top w:val="none" w:sz="0" w:space="0" w:color="auto"/>
        <w:left w:val="none" w:sz="0" w:space="0" w:color="auto"/>
        <w:bottom w:val="none" w:sz="0" w:space="0" w:color="auto"/>
        <w:right w:val="none" w:sz="0" w:space="0" w:color="auto"/>
      </w:divBdr>
    </w:div>
    <w:div w:id="216014158">
      <w:bodyDiv w:val="1"/>
      <w:marLeft w:val="0"/>
      <w:marRight w:val="0"/>
      <w:marTop w:val="0"/>
      <w:marBottom w:val="0"/>
      <w:divBdr>
        <w:top w:val="none" w:sz="0" w:space="0" w:color="auto"/>
        <w:left w:val="none" w:sz="0" w:space="0" w:color="auto"/>
        <w:bottom w:val="none" w:sz="0" w:space="0" w:color="auto"/>
        <w:right w:val="none" w:sz="0" w:space="0" w:color="auto"/>
      </w:divBdr>
    </w:div>
    <w:div w:id="237401815">
      <w:bodyDiv w:val="1"/>
      <w:marLeft w:val="0"/>
      <w:marRight w:val="0"/>
      <w:marTop w:val="0"/>
      <w:marBottom w:val="0"/>
      <w:divBdr>
        <w:top w:val="none" w:sz="0" w:space="0" w:color="auto"/>
        <w:left w:val="none" w:sz="0" w:space="0" w:color="auto"/>
        <w:bottom w:val="none" w:sz="0" w:space="0" w:color="auto"/>
        <w:right w:val="none" w:sz="0" w:space="0" w:color="auto"/>
      </w:divBdr>
    </w:div>
    <w:div w:id="275913949">
      <w:bodyDiv w:val="1"/>
      <w:marLeft w:val="0"/>
      <w:marRight w:val="0"/>
      <w:marTop w:val="0"/>
      <w:marBottom w:val="0"/>
      <w:divBdr>
        <w:top w:val="none" w:sz="0" w:space="0" w:color="auto"/>
        <w:left w:val="none" w:sz="0" w:space="0" w:color="auto"/>
        <w:bottom w:val="none" w:sz="0" w:space="0" w:color="auto"/>
        <w:right w:val="none" w:sz="0" w:space="0" w:color="auto"/>
      </w:divBdr>
    </w:div>
    <w:div w:id="457916050">
      <w:bodyDiv w:val="1"/>
      <w:marLeft w:val="0"/>
      <w:marRight w:val="0"/>
      <w:marTop w:val="0"/>
      <w:marBottom w:val="0"/>
      <w:divBdr>
        <w:top w:val="none" w:sz="0" w:space="0" w:color="auto"/>
        <w:left w:val="none" w:sz="0" w:space="0" w:color="auto"/>
        <w:bottom w:val="none" w:sz="0" w:space="0" w:color="auto"/>
        <w:right w:val="none" w:sz="0" w:space="0" w:color="auto"/>
      </w:divBdr>
    </w:div>
    <w:div w:id="711659537">
      <w:bodyDiv w:val="1"/>
      <w:marLeft w:val="0"/>
      <w:marRight w:val="0"/>
      <w:marTop w:val="0"/>
      <w:marBottom w:val="0"/>
      <w:divBdr>
        <w:top w:val="none" w:sz="0" w:space="0" w:color="auto"/>
        <w:left w:val="none" w:sz="0" w:space="0" w:color="auto"/>
        <w:bottom w:val="none" w:sz="0" w:space="0" w:color="auto"/>
        <w:right w:val="none" w:sz="0" w:space="0" w:color="auto"/>
      </w:divBdr>
    </w:div>
    <w:div w:id="945887805">
      <w:bodyDiv w:val="1"/>
      <w:marLeft w:val="0"/>
      <w:marRight w:val="0"/>
      <w:marTop w:val="0"/>
      <w:marBottom w:val="0"/>
      <w:divBdr>
        <w:top w:val="none" w:sz="0" w:space="0" w:color="auto"/>
        <w:left w:val="none" w:sz="0" w:space="0" w:color="auto"/>
        <w:bottom w:val="none" w:sz="0" w:space="0" w:color="auto"/>
        <w:right w:val="none" w:sz="0" w:space="0" w:color="auto"/>
      </w:divBdr>
    </w:div>
    <w:div w:id="963192441">
      <w:bodyDiv w:val="1"/>
      <w:marLeft w:val="0"/>
      <w:marRight w:val="0"/>
      <w:marTop w:val="0"/>
      <w:marBottom w:val="0"/>
      <w:divBdr>
        <w:top w:val="none" w:sz="0" w:space="0" w:color="auto"/>
        <w:left w:val="none" w:sz="0" w:space="0" w:color="auto"/>
        <w:bottom w:val="none" w:sz="0" w:space="0" w:color="auto"/>
        <w:right w:val="none" w:sz="0" w:space="0" w:color="auto"/>
      </w:divBdr>
    </w:div>
    <w:div w:id="1198665827">
      <w:bodyDiv w:val="1"/>
      <w:marLeft w:val="0"/>
      <w:marRight w:val="0"/>
      <w:marTop w:val="0"/>
      <w:marBottom w:val="0"/>
      <w:divBdr>
        <w:top w:val="none" w:sz="0" w:space="0" w:color="auto"/>
        <w:left w:val="none" w:sz="0" w:space="0" w:color="auto"/>
        <w:bottom w:val="none" w:sz="0" w:space="0" w:color="auto"/>
        <w:right w:val="none" w:sz="0" w:space="0" w:color="auto"/>
      </w:divBdr>
    </w:div>
    <w:div w:id="1484275797">
      <w:bodyDiv w:val="1"/>
      <w:marLeft w:val="0"/>
      <w:marRight w:val="0"/>
      <w:marTop w:val="0"/>
      <w:marBottom w:val="0"/>
      <w:divBdr>
        <w:top w:val="none" w:sz="0" w:space="0" w:color="auto"/>
        <w:left w:val="none" w:sz="0" w:space="0" w:color="auto"/>
        <w:bottom w:val="none" w:sz="0" w:space="0" w:color="auto"/>
        <w:right w:val="none" w:sz="0" w:space="0" w:color="auto"/>
      </w:divBdr>
    </w:div>
    <w:div w:id="1519926241">
      <w:bodyDiv w:val="1"/>
      <w:marLeft w:val="0"/>
      <w:marRight w:val="0"/>
      <w:marTop w:val="0"/>
      <w:marBottom w:val="0"/>
      <w:divBdr>
        <w:top w:val="none" w:sz="0" w:space="0" w:color="auto"/>
        <w:left w:val="none" w:sz="0" w:space="0" w:color="auto"/>
        <w:bottom w:val="none" w:sz="0" w:space="0" w:color="auto"/>
        <w:right w:val="none" w:sz="0" w:space="0" w:color="auto"/>
      </w:divBdr>
    </w:div>
    <w:div w:id="1699743545">
      <w:bodyDiv w:val="1"/>
      <w:marLeft w:val="0"/>
      <w:marRight w:val="0"/>
      <w:marTop w:val="0"/>
      <w:marBottom w:val="0"/>
      <w:divBdr>
        <w:top w:val="none" w:sz="0" w:space="0" w:color="auto"/>
        <w:left w:val="none" w:sz="0" w:space="0" w:color="auto"/>
        <w:bottom w:val="none" w:sz="0" w:space="0" w:color="auto"/>
        <w:right w:val="none" w:sz="0" w:space="0" w:color="auto"/>
      </w:divBdr>
    </w:div>
    <w:div w:id="1713261977">
      <w:bodyDiv w:val="1"/>
      <w:marLeft w:val="0"/>
      <w:marRight w:val="0"/>
      <w:marTop w:val="0"/>
      <w:marBottom w:val="0"/>
      <w:divBdr>
        <w:top w:val="none" w:sz="0" w:space="0" w:color="auto"/>
        <w:left w:val="none" w:sz="0" w:space="0" w:color="auto"/>
        <w:bottom w:val="none" w:sz="0" w:space="0" w:color="auto"/>
        <w:right w:val="none" w:sz="0" w:space="0" w:color="auto"/>
      </w:divBdr>
    </w:div>
    <w:div w:id="1738552800">
      <w:bodyDiv w:val="1"/>
      <w:marLeft w:val="0"/>
      <w:marRight w:val="0"/>
      <w:marTop w:val="0"/>
      <w:marBottom w:val="0"/>
      <w:divBdr>
        <w:top w:val="none" w:sz="0" w:space="0" w:color="auto"/>
        <w:left w:val="none" w:sz="0" w:space="0" w:color="auto"/>
        <w:bottom w:val="none" w:sz="0" w:space="0" w:color="auto"/>
        <w:right w:val="none" w:sz="0" w:space="0" w:color="auto"/>
      </w:divBdr>
    </w:div>
    <w:div w:id="1775859744">
      <w:bodyDiv w:val="1"/>
      <w:marLeft w:val="0"/>
      <w:marRight w:val="0"/>
      <w:marTop w:val="0"/>
      <w:marBottom w:val="0"/>
      <w:divBdr>
        <w:top w:val="none" w:sz="0" w:space="0" w:color="auto"/>
        <w:left w:val="none" w:sz="0" w:space="0" w:color="auto"/>
        <w:bottom w:val="none" w:sz="0" w:space="0" w:color="auto"/>
        <w:right w:val="none" w:sz="0" w:space="0" w:color="auto"/>
      </w:divBdr>
    </w:div>
    <w:div w:id="1805851524">
      <w:bodyDiv w:val="1"/>
      <w:marLeft w:val="0"/>
      <w:marRight w:val="0"/>
      <w:marTop w:val="0"/>
      <w:marBottom w:val="0"/>
      <w:divBdr>
        <w:top w:val="none" w:sz="0" w:space="0" w:color="auto"/>
        <w:left w:val="none" w:sz="0" w:space="0" w:color="auto"/>
        <w:bottom w:val="none" w:sz="0" w:space="0" w:color="auto"/>
        <w:right w:val="none" w:sz="0" w:space="0" w:color="auto"/>
      </w:divBdr>
    </w:div>
    <w:div w:id="2008288961">
      <w:bodyDiv w:val="1"/>
      <w:marLeft w:val="0"/>
      <w:marRight w:val="0"/>
      <w:marTop w:val="0"/>
      <w:marBottom w:val="0"/>
      <w:divBdr>
        <w:top w:val="none" w:sz="0" w:space="0" w:color="auto"/>
        <w:left w:val="none" w:sz="0" w:space="0" w:color="auto"/>
        <w:bottom w:val="none" w:sz="0" w:space="0" w:color="auto"/>
        <w:right w:val="none" w:sz="0" w:space="0" w:color="auto"/>
      </w:divBdr>
    </w:div>
    <w:div w:id="200955605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prietj@tcd.ie"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894F3EDBCF1914AB16F7DBA982EC33A" ma:contentTypeVersion="13" ma:contentTypeDescription="Create a new document." ma:contentTypeScope="" ma:versionID="d4929652bd14ee0e8bccf3e7f186aa31">
  <xsd:schema xmlns:xsd="http://www.w3.org/2001/XMLSchema" xmlns:xs="http://www.w3.org/2001/XMLSchema" xmlns:p="http://schemas.microsoft.com/office/2006/metadata/properties" xmlns:ns2="00346d77-25f8-483e-ae25-25882f727c1a" xmlns:ns3="281ba583-ac1d-4ec0-82a6-449e4520eb43" targetNamespace="http://schemas.microsoft.com/office/2006/metadata/properties" ma:root="true" ma:fieldsID="a7ff54ad6ad3bd1c7af9f1cf68d16ff8" ns2:_="" ns3:_="">
    <xsd:import namespace="00346d77-25f8-483e-ae25-25882f727c1a"/>
    <xsd:import namespace="281ba583-ac1d-4ec0-82a6-449e4520eb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46d77-25f8-483e-ae25-25882f727c1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1ba583-ac1d-4ec0-82a6-449e4520eb4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248D4-F6DD-4496-9082-F5515CD74FAB}">
  <ds:schemaRefs>
    <ds:schemaRef ds:uri="http://purl.org/dc/elements/1.1/"/>
    <ds:schemaRef ds:uri="http://schemas.microsoft.com/office/infopath/2007/PartnerControls"/>
    <ds:schemaRef ds:uri="http://purl.org/dc/dcmitype/"/>
    <ds:schemaRef ds:uri="281ba583-ac1d-4ec0-82a6-449e4520eb43"/>
    <ds:schemaRef ds:uri="http://www.w3.org/XML/1998/namespace"/>
    <ds:schemaRef ds:uri="http://purl.org/dc/terms/"/>
    <ds:schemaRef ds:uri="http://schemas.microsoft.com/office/2006/documentManagement/types"/>
    <ds:schemaRef ds:uri="http://schemas.openxmlformats.org/package/2006/metadata/core-properties"/>
    <ds:schemaRef ds:uri="00346d77-25f8-483e-ae25-25882f727c1a"/>
    <ds:schemaRef ds:uri="http://schemas.microsoft.com/office/2006/metadata/properties"/>
  </ds:schemaRefs>
</ds:datastoreItem>
</file>

<file path=customXml/itemProps2.xml><?xml version="1.0" encoding="utf-8"?>
<ds:datastoreItem xmlns:ds="http://schemas.openxmlformats.org/officeDocument/2006/customXml" ds:itemID="{60E83565-2AF9-45BB-8A43-3ABC4710DD37}">
  <ds:schemaRefs>
    <ds:schemaRef ds:uri="http://schemas.microsoft.com/sharepoint/v3/contenttype/forms"/>
  </ds:schemaRefs>
</ds:datastoreItem>
</file>

<file path=customXml/itemProps3.xml><?xml version="1.0" encoding="utf-8"?>
<ds:datastoreItem xmlns:ds="http://schemas.openxmlformats.org/officeDocument/2006/customXml" ds:itemID="{2AB5A5AB-1659-4829-8F2C-934B7E56071F}">
  <ds:schemaRefs>
    <ds:schemaRef ds:uri="http://schemas.openxmlformats.org/officeDocument/2006/bibliography"/>
  </ds:schemaRefs>
</ds:datastoreItem>
</file>

<file path=customXml/itemProps4.xml><?xml version="1.0" encoding="utf-8"?>
<ds:datastoreItem xmlns:ds="http://schemas.openxmlformats.org/officeDocument/2006/customXml" ds:itemID="{E95CF570-D9EC-478D-AD41-72672B169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46d77-25f8-483e-ae25-25882f727c1a"/>
    <ds:schemaRef ds:uri="281ba583-ac1d-4ec0-82a6-449e4520eb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7121</Words>
  <Characters>40592</Characters>
  <Application>Microsoft Office Word</Application>
  <DocSecurity>0</DocSecurity>
  <Lines>338</Lines>
  <Paragraphs>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IAHR Porto 2017 - Paper Template</vt:lpstr>
      <vt:lpstr>IAHR Porto 2017 - Paper Template</vt:lpstr>
    </vt:vector>
  </TitlesOfParts>
  <Company>FEUP</Company>
  <LinksUpToDate>false</LinksUpToDate>
  <CharactersWithSpaces>47618</CharactersWithSpaces>
  <SharedDoc>false</SharedDoc>
  <HLinks>
    <vt:vector size="6" baseType="variant">
      <vt:variant>
        <vt:i4>5636124</vt:i4>
      </vt:variant>
      <vt:variant>
        <vt:i4>0</vt:i4>
      </vt:variant>
      <vt:variant>
        <vt:i4>0</vt:i4>
      </vt:variant>
      <vt:variant>
        <vt:i4>5</vt:i4>
      </vt:variant>
      <vt:variant>
        <vt:lpwstr>https://www.etouches.com/eselect/process.php?eventid=97018&amp;action=logout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IAHR Porto 2017 - Paper Template</dc:title>
  <dc:subject>IAHR-full-paper-template-2017</dc:subject>
  <dc:creator>CK Chang;REDAC</dc:creator>
  <dc:description>redac10@usm.my</dc:description>
  <cp:lastModifiedBy>Aonghus Mc Nabola</cp:lastModifiedBy>
  <cp:revision>2</cp:revision>
  <cp:lastPrinted>2014-02-21T13:55:00Z</cp:lastPrinted>
  <dcterms:created xsi:type="dcterms:W3CDTF">2023-12-18T15:24:00Z</dcterms:created>
  <dcterms:modified xsi:type="dcterms:W3CDTF">2023-12-18T15:24:00Z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0x010100D894F3EDBCF1914AB16F7DBA982EC33A</vt:lpwstr>
  </property>
  <property fmtid="{D5CDD505-2E9C-101B-9397-08002B2CF9AE}" pid="3" name="ZOTERO_PREF_1">
    <vt:lpwstr>&lt;data data-version="3" zotero-version="6.0.23"&gt;&lt;session id="kV80qZ6d"/&gt;&lt;style id="http://www.zotero.org/styles/elsevier-harvard" hasBibliography="1" bibliographyStyleHasBeenSet="1"/&gt;&lt;prefs&gt;&lt;pref name="fieldType" value="Field"/&gt;&lt;/prefs&gt;&lt;/data&gt;</vt:lpwstr>
  </property>
</Properties>
</file>