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2F0D0C" w14:textId="3A923707" w:rsidR="00B57DDF" w:rsidRPr="00271666" w:rsidRDefault="00B57DDF" w:rsidP="00F75B27">
      <w:pPr>
        <w:spacing w:line="360" w:lineRule="auto"/>
        <w:jc w:val="center"/>
      </w:pPr>
      <w:r w:rsidRPr="00271666">
        <w:t>The Prison System in Ireland</w:t>
      </w:r>
    </w:p>
    <w:p w14:paraId="0B145C34" w14:textId="77777777" w:rsidR="00B57DDF" w:rsidRPr="00271666" w:rsidRDefault="00B57DDF" w:rsidP="00F75B27">
      <w:pPr>
        <w:spacing w:line="360" w:lineRule="auto"/>
        <w:jc w:val="center"/>
      </w:pPr>
    </w:p>
    <w:p w14:paraId="2721FE60" w14:textId="1655C9DB" w:rsidR="00B57DDF" w:rsidRPr="00271666" w:rsidRDefault="00B57DDF" w:rsidP="00F75B27">
      <w:pPr>
        <w:spacing w:line="360" w:lineRule="auto"/>
        <w:jc w:val="center"/>
      </w:pPr>
      <w:r w:rsidRPr="00271666">
        <w:t>MARY ROGAN</w:t>
      </w:r>
      <w:r w:rsidRPr="00271666">
        <w:br/>
      </w:r>
      <w:r w:rsidRPr="00271666">
        <w:rPr>
          <w:i/>
          <w:iCs/>
        </w:rPr>
        <w:t>Associate Professor in Law, University of Dublin, Trinity College, Ireland</w:t>
      </w:r>
    </w:p>
    <w:p w14:paraId="5E28674A" w14:textId="77777777" w:rsidR="00B57DDF" w:rsidRPr="00271666" w:rsidRDefault="00B57DDF" w:rsidP="00133305">
      <w:pPr>
        <w:spacing w:line="360" w:lineRule="auto"/>
        <w:jc w:val="both"/>
      </w:pPr>
    </w:p>
    <w:p w14:paraId="1D01E594" w14:textId="77777777" w:rsidR="00B57DDF" w:rsidRPr="00271666" w:rsidRDefault="00B57DDF" w:rsidP="00133305">
      <w:pPr>
        <w:spacing w:line="360" w:lineRule="auto"/>
        <w:jc w:val="both"/>
      </w:pPr>
    </w:p>
    <w:p w14:paraId="6CD116F6" w14:textId="77777777" w:rsidR="00B57DDF" w:rsidRPr="00271666" w:rsidRDefault="00B57DDF" w:rsidP="00133305">
      <w:pPr>
        <w:spacing w:line="360" w:lineRule="auto"/>
        <w:jc w:val="both"/>
        <w:rPr>
          <w:b/>
          <w:bCs/>
        </w:rPr>
      </w:pPr>
      <w:r w:rsidRPr="00271666">
        <w:rPr>
          <w:b/>
          <w:bCs/>
        </w:rPr>
        <w:t>I – Introduction</w:t>
      </w:r>
    </w:p>
    <w:p w14:paraId="058A9F8C" w14:textId="77777777" w:rsidR="00B57DDF" w:rsidRPr="00271666" w:rsidRDefault="00B57DDF" w:rsidP="00133305">
      <w:pPr>
        <w:spacing w:line="360" w:lineRule="auto"/>
        <w:jc w:val="both"/>
        <w:rPr>
          <w:b/>
          <w:bCs/>
        </w:rPr>
      </w:pPr>
    </w:p>
    <w:p w14:paraId="4C93C998" w14:textId="13542B0B" w:rsidR="008F199E" w:rsidRPr="00271666" w:rsidRDefault="008F199E" w:rsidP="00133305">
      <w:pPr>
        <w:pStyle w:val="ListParagraph"/>
        <w:numPr>
          <w:ilvl w:val="0"/>
          <w:numId w:val="10"/>
        </w:numPr>
        <w:spacing w:line="360" w:lineRule="auto"/>
        <w:jc w:val="both"/>
      </w:pPr>
      <w:r w:rsidRPr="00271666">
        <w:t xml:space="preserve">History </w:t>
      </w:r>
    </w:p>
    <w:p w14:paraId="736B5E15" w14:textId="77777777" w:rsidR="008F199E" w:rsidRPr="00271666" w:rsidRDefault="008F199E" w:rsidP="00133305">
      <w:pPr>
        <w:spacing w:line="360" w:lineRule="auto"/>
        <w:jc w:val="both"/>
      </w:pPr>
    </w:p>
    <w:p w14:paraId="49D0D17D" w14:textId="6140CF32" w:rsidR="00B57DDF" w:rsidRPr="00271666" w:rsidRDefault="006451F5" w:rsidP="00133305">
      <w:pPr>
        <w:spacing w:line="360" w:lineRule="auto"/>
        <w:jc w:val="both"/>
      </w:pPr>
      <w:r w:rsidRPr="00271666">
        <w:t>Ireland obtained independence from the United Kingdom, and commenced administering its own prison system</w:t>
      </w:r>
      <w:r w:rsidR="00133305">
        <w:t>,</w:t>
      </w:r>
      <w:r w:rsidRPr="00271666">
        <w:t xml:space="preserve"> in 1922.</w:t>
      </w:r>
      <w:r w:rsidRPr="00271666">
        <w:rPr>
          <w:rStyle w:val="FootnoteReference"/>
        </w:rPr>
        <w:footnoteReference w:id="1"/>
      </w:r>
      <w:r w:rsidRPr="00271666">
        <w:t xml:space="preserve"> At that stage, prisons in Ireland were managed by the General Prisons Board, an agency which was governed by the Ministry for Home Affairs. The influence of the United Kingdom on prisons in Ireland has been very considerable, with many of the prisons which are still in use following the classic Victorian design found there. The legal regulation and internal regimes of the pr</w:t>
      </w:r>
      <w:r w:rsidR="00090940" w:rsidRPr="00271666">
        <w:t>i</w:t>
      </w:r>
      <w:r w:rsidRPr="00271666">
        <w:t xml:space="preserve">sons were also </w:t>
      </w:r>
      <w:r w:rsidR="00090940" w:rsidRPr="00271666">
        <w:t>the product of British administration and legislation, such as The Prisons (Ireland) Act 1826, and the Prisons (Ireland) Act 1907. At independence, the prison population stood at 462 prisoners, with 2038 spaces available.</w:t>
      </w:r>
      <w:r w:rsidR="00090940" w:rsidRPr="00271666">
        <w:rPr>
          <w:rStyle w:val="FootnoteReference"/>
        </w:rPr>
        <w:footnoteReference w:id="2"/>
      </w:r>
      <w:r w:rsidR="00090940" w:rsidRPr="00271666">
        <w:t xml:space="preserve"> However, </w:t>
      </w:r>
      <w:proofErr w:type="gramStart"/>
      <w:r w:rsidR="00090940" w:rsidRPr="00271666">
        <w:t>all of</w:t>
      </w:r>
      <w:proofErr w:type="gramEnd"/>
      <w:r w:rsidR="00090940" w:rsidRPr="00271666">
        <w:t xml:space="preserve"> Irish life was to be interrupted violently with the outbreak of the Civil War in 1922 between forces which supported and opposed the agreement with the United Kingdom which gave independence to 26 counties of Ireland, but which left what became Northern Ireland under British rule. This conflict had profound effects on all aspects of the criminal justice system</w:t>
      </w:r>
      <w:r w:rsidR="00733F9D" w:rsidRPr="00271666">
        <w:t>. The prison population increased dramatically. While it is difficult to ascertain exact figures, the average daily prison population increased by over 50% in the course of two years.</w:t>
      </w:r>
      <w:r w:rsidR="00733F9D" w:rsidRPr="00271666">
        <w:rPr>
          <w:rStyle w:val="FootnoteReference"/>
        </w:rPr>
        <w:footnoteReference w:id="3"/>
      </w:r>
      <w:r w:rsidR="00733F9D" w:rsidRPr="00271666">
        <w:t xml:space="preserve"> Once the conflict subsi</w:t>
      </w:r>
      <w:r w:rsidR="00133305">
        <w:t>d</w:t>
      </w:r>
      <w:r w:rsidR="00733F9D" w:rsidRPr="00271666">
        <w:t xml:space="preserve">ed, the General Prisons Board was </w:t>
      </w:r>
      <w:proofErr w:type="gramStart"/>
      <w:r w:rsidR="00733F9D" w:rsidRPr="00271666">
        <w:t>dissolved</w:t>
      </w:r>
      <w:proofErr w:type="gramEnd"/>
      <w:r w:rsidR="00733F9D" w:rsidRPr="00271666">
        <w:t xml:space="preserve"> and the </w:t>
      </w:r>
      <w:r w:rsidR="00F75B27">
        <w:rPr>
          <w:lang/>
        </w:rPr>
        <w:t>Department of</w:t>
      </w:r>
      <w:r w:rsidR="00733F9D" w:rsidRPr="00271666">
        <w:t xml:space="preserve"> Justice </w:t>
      </w:r>
      <w:r w:rsidR="00F75B27">
        <w:rPr>
          <w:lang/>
        </w:rPr>
        <w:t xml:space="preserve">eventually </w:t>
      </w:r>
      <w:r w:rsidR="00733F9D" w:rsidRPr="00271666">
        <w:t xml:space="preserve">became directly responsible for prison policy and the governance of prisons. For around 50 years after independence, the prison population in Ireland remained low, but large numbers of people were detained outside the formal prison system in network of sites including psychiatric hospitals and sites which detained women who had children outside of </w:t>
      </w:r>
      <w:r w:rsidR="00733F9D" w:rsidRPr="00271666">
        <w:lastRenderedPageBreak/>
        <w:t>marriage.</w:t>
      </w:r>
      <w:r w:rsidR="00733F9D" w:rsidRPr="00271666">
        <w:rPr>
          <w:rStyle w:val="FootnoteReference"/>
        </w:rPr>
        <w:footnoteReference w:id="4"/>
      </w:r>
      <w:r w:rsidR="00733F9D" w:rsidRPr="00271666">
        <w:t xml:space="preserve"> In the early 1970s, the Irish prison population began to increase, which increase was sustained until the mid 1990s, and then recurring in the 2000s-2010s. The effect of “the Troubles”</w:t>
      </w:r>
      <w:r w:rsidR="00F75B27">
        <w:rPr>
          <w:lang/>
        </w:rPr>
        <w:t xml:space="preserve"> – that is the conflict related to the status of Northern Ireland, which claimed thousands of lives </w:t>
      </w:r>
      <w:proofErr w:type="gramStart"/>
      <w:r w:rsidR="00F75B27">
        <w:rPr>
          <w:lang/>
        </w:rPr>
        <w:t xml:space="preserve">–  </w:t>
      </w:r>
      <w:r w:rsidR="00733F9D" w:rsidRPr="00271666">
        <w:t>on</w:t>
      </w:r>
      <w:proofErr w:type="gramEnd"/>
      <w:r w:rsidR="00733F9D" w:rsidRPr="00271666">
        <w:t xml:space="preserve"> Irish prison policy has been very significant, resulting in a security focus to prison policy for many decades, and hostility to outside interest in prison issues amongst government officials. While that </w:t>
      </w:r>
      <w:r w:rsidR="00F75B27">
        <w:rPr>
          <w:lang/>
        </w:rPr>
        <w:t>terrible</w:t>
      </w:r>
      <w:r w:rsidR="00733F9D" w:rsidRPr="00271666">
        <w:t xml:space="preserve"> part of Irish history is now largely over, Ireland has recently returned to perennial difficulties of overcrowding and increasing prison numbers. At the time of writing, the prison population stands at </w:t>
      </w:r>
      <w:r w:rsidR="006752B0" w:rsidRPr="00271666">
        <w:t>4677 people in prison, representing a rate of 87 people in prison per 100,000 population.</w:t>
      </w:r>
      <w:r w:rsidR="00133305">
        <w:rPr>
          <w:rStyle w:val="FootnoteReference"/>
        </w:rPr>
        <w:footnoteReference w:id="5"/>
      </w:r>
      <w:r w:rsidR="006752B0" w:rsidRPr="00271666">
        <w:t xml:space="preserve"> The prison system is now administered by the Irish Prison Service. This is an executive agency established in 1998 which reports to the Department of Justice. Legislation was proposed in 2023 to provide a basis in statute for the Irish Prison Service (IPS).</w:t>
      </w:r>
      <w:r w:rsidR="006752B0" w:rsidRPr="00271666">
        <w:rPr>
          <w:rStyle w:val="FootnoteReference"/>
        </w:rPr>
        <w:footnoteReference w:id="6"/>
      </w:r>
      <w:r w:rsidR="006752B0" w:rsidRPr="00271666">
        <w:t xml:space="preserve"> This legislation would create a non-executive board to run the IPS.  </w:t>
      </w:r>
    </w:p>
    <w:p w14:paraId="5E078912" w14:textId="77777777" w:rsidR="00126457" w:rsidRPr="00271666" w:rsidRDefault="00126457" w:rsidP="00133305">
      <w:pPr>
        <w:spacing w:line="360" w:lineRule="auto"/>
        <w:jc w:val="both"/>
      </w:pPr>
    </w:p>
    <w:p w14:paraId="4A15F6F2" w14:textId="77777777" w:rsidR="008F199E" w:rsidRPr="00271666" w:rsidRDefault="008F199E" w:rsidP="00133305">
      <w:pPr>
        <w:pStyle w:val="ListParagraph"/>
        <w:numPr>
          <w:ilvl w:val="0"/>
          <w:numId w:val="10"/>
        </w:numPr>
        <w:spacing w:line="360" w:lineRule="auto"/>
        <w:jc w:val="both"/>
      </w:pPr>
      <w:r w:rsidRPr="00271666">
        <w:t>Sources</w:t>
      </w:r>
    </w:p>
    <w:p w14:paraId="497EAC9E" w14:textId="77777777" w:rsidR="008F199E" w:rsidRPr="00271666" w:rsidRDefault="008F199E" w:rsidP="00133305">
      <w:pPr>
        <w:spacing w:line="360" w:lineRule="auto"/>
        <w:jc w:val="both"/>
      </w:pPr>
    </w:p>
    <w:p w14:paraId="5380FF0D" w14:textId="49D8975E" w:rsidR="0050762A" w:rsidRPr="00271666" w:rsidRDefault="008663BD" w:rsidP="00133305">
      <w:pPr>
        <w:spacing w:line="360" w:lineRule="auto"/>
        <w:jc w:val="both"/>
      </w:pPr>
      <w:r w:rsidRPr="00271666">
        <w:t>There are several old pieces of legislation</w:t>
      </w:r>
      <w:r w:rsidR="0050762A" w:rsidRPr="00271666">
        <w:t xml:space="preserve"> governing Irish prisons</w:t>
      </w:r>
      <w:r w:rsidRPr="00271666">
        <w:t xml:space="preserve">, some of which date back to the period before independence which are of limited </w:t>
      </w:r>
      <w:r w:rsidR="0050762A" w:rsidRPr="00271666">
        <w:t xml:space="preserve">day-to-day </w:t>
      </w:r>
      <w:r w:rsidRPr="00271666">
        <w:t xml:space="preserve">impact A series of pieces of legislation were passed in the 1970s, primarily to deal with the security situation pertaining in Irish prisons in those years. These various pieces of legislation are now described as the Prisons Acts 1826-2015. </w:t>
      </w:r>
      <w:r w:rsidR="0050762A" w:rsidRPr="00271666">
        <w:t>The main modern piece of legislation which governs the prison system at present is the Prisons Act 2007. The Prisons Act 2007 also created the foundation for a secondary piece of legislation, the Prison Rules 2007</w:t>
      </w:r>
      <w:r w:rsidR="0050762A" w:rsidRPr="00271666">
        <w:rPr>
          <w:rStyle w:val="FootnoteReference"/>
        </w:rPr>
        <w:footnoteReference w:id="7"/>
      </w:r>
      <w:r w:rsidR="0050762A" w:rsidRPr="00271666">
        <w:t xml:space="preserve"> which are the basis for the treatment of prisoners. </w:t>
      </w:r>
      <w:r w:rsidR="00640DBE" w:rsidRPr="00271666">
        <w:t xml:space="preserve">These rules govern almost all aspects of life in prison, including hygiene, work, exercise, visits, </w:t>
      </w:r>
      <w:proofErr w:type="gramStart"/>
      <w:r w:rsidR="00640DBE" w:rsidRPr="00271666">
        <w:t>discipline</w:t>
      </w:r>
      <w:proofErr w:type="gramEnd"/>
      <w:r w:rsidR="00640DBE" w:rsidRPr="00271666">
        <w:t xml:space="preserve"> and healthcare. Amendments to these rules have created a revised system for complaints by prisoners,</w:t>
      </w:r>
      <w:r w:rsidR="00640DBE" w:rsidRPr="00271666">
        <w:rPr>
          <w:rStyle w:val="FootnoteReference"/>
        </w:rPr>
        <w:footnoteReference w:id="8"/>
      </w:r>
      <w:r w:rsidR="00640DBE" w:rsidRPr="00271666">
        <w:t xml:space="preserve"> and also created a requirement – with a number of exceptions – that prisoners be permitted to spend at least two hour per day out of his or her cell </w:t>
      </w:r>
      <w:r w:rsidR="00640DBE" w:rsidRPr="00271666">
        <w:lastRenderedPageBreak/>
        <w:t>or room, with an opportunity for human contact.</w:t>
      </w:r>
      <w:r w:rsidR="00640DBE" w:rsidRPr="00271666">
        <w:rPr>
          <w:rStyle w:val="FootnoteReference"/>
        </w:rPr>
        <w:footnoteReference w:id="9"/>
      </w:r>
      <w:r w:rsidR="00640DBE" w:rsidRPr="00271666">
        <w:t xml:space="preserve"> Another statutory instrument was introduced during the Covid-19 pandemic which permits the Director General </w:t>
      </w:r>
      <w:r w:rsidR="008158B3">
        <w:rPr>
          <w:lang/>
        </w:rPr>
        <w:t xml:space="preserve">(most senior official) </w:t>
      </w:r>
      <w:r w:rsidR="00640DBE" w:rsidRPr="00271666">
        <w:t>of the Irish Prison Service to suspend the entitlement of prisoners to physical recreation, exercise or training or restrict or modify these entitlements, and also to suspend, restrict or modify the entitlement to visits.</w:t>
      </w:r>
      <w:r w:rsidR="00640DBE" w:rsidRPr="00271666">
        <w:rPr>
          <w:rStyle w:val="FootnoteReference"/>
        </w:rPr>
        <w:footnoteReference w:id="10"/>
      </w:r>
      <w:r w:rsidR="00702F98" w:rsidRPr="00271666">
        <w:t xml:space="preserve"> The temporary release of prisoners for humanitarian or rehabilitative purposes is governed by the Criminal Justice Act 1960 and the Criminal Justice (Temporary Release of Prisoners ) Act 2003. </w:t>
      </w:r>
    </w:p>
    <w:p w14:paraId="6381CE0A" w14:textId="77777777" w:rsidR="00702F98" w:rsidRPr="00271666" w:rsidRDefault="00702F98" w:rsidP="00133305">
      <w:pPr>
        <w:spacing w:line="360" w:lineRule="auto"/>
        <w:jc w:val="both"/>
      </w:pPr>
    </w:p>
    <w:p w14:paraId="6634DEEC" w14:textId="1D66624E" w:rsidR="00C23928" w:rsidRPr="00271666" w:rsidRDefault="00702F98" w:rsidP="00133305">
      <w:pPr>
        <w:spacing w:line="360" w:lineRule="auto"/>
        <w:jc w:val="both"/>
      </w:pPr>
      <w:r w:rsidRPr="00271666">
        <w:t>Ireland is a common law jurisdiction, with a written constitution containing protections for fundamental rights, enacted in 1937 (</w:t>
      </w:r>
      <w:proofErr w:type="spellStart"/>
      <w:r w:rsidRPr="00271666">
        <w:t>Bunreacht</w:t>
      </w:r>
      <w:proofErr w:type="spellEnd"/>
      <w:r w:rsidRPr="00271666">
        <w:t xml:space="preserve"> </w:t>
      </w:r>
      <w:proofErr w:type="spellStart"/>
      <w:r w:rsidRPr="00271666">
        <w:t>na</w:t>
      </w:r>
      <w:proofErr w:type="spellEnd"/>
      <w:r w:rsidRPr="00271666">
        <w:t xml:space="preserve"> </w:t>
      </w:r>
      <w:proofErr w:type="spellStart"/>
      <w:r w:rsidRPr="00271666">
        <w:t>hÉireann</w:t>
      </w:r>
      <w:proofErr w:type="spellEnd"/>
      <w:r w:rsidRPr="00271666">
        <w:t xml:space="preserve">). Decisions </w:t>
      </w:r>
      <w:r w:rsidR="00B40250" w:rsidRPr="00271666">
        <w:t>of the courts are therefore also very important sources of law governing the administration of prisons and the treatment of prisoners. While the area of prison or penitentiary law is still in the early stages of its development in Ireland,</w:t>
      </w:r>
      <w:r w:rsidR="008158B3">
        <w:rPr>
          <w:rStyle w:val="FootnoteReference"/>
        </w:rPr>
        <w:footnoteReference w:id="11"/>
      </w:r>
      <w:r w:rsidR="00B40250" w:rsidRPr="00271666">
        <w:t xml:space="preserve"> </w:t>
      </w:r>
      <w:proofErr w:type="gramStart"/>
      <w:r w:rsidR="00B40250" w:rsidRPr="00271666">
        <w:t>a number of</w:t>
      </w:r>
      <w:proofErr w:type="gramEnd"/>
      <w:r w:rsidR="00B40250" w:rsidRPr="00271666">
        <w:t xml:space="preserve"> important dec</w:t>
      </w:r>
      <w:r w:rsidR="005567A1" w:rsidRPr="00271666">
        <w:t>i</w:t>
      </w:r>
      <w:r w:rsidR="00B40250" w:rsidRPr="00271666">
        <w:t>sions ha</w:t>
      </w:r>
      <w:r w:rsidR="00133305">
        <w:t>ve</w:t>
      </w:r>
      <w:r w:rsidR="00B40250" w:rsidRPr="00271666">
        <w:t xml:space="preserve"> laid down important principles concerning how prisoners should be treated. </w:t>
      </w:r>
      <w:r w:rsidR="005567A1" w:rsidRPr="00271666">
        <w:t>The Supreme Court of Ireland has affirmed repeatedly that any attenuation of prisoners’ fundamental rights must be proportionate, and must not fall below standards which we identify as needed to protect during dignity.</w:t>
      </w:r>
      <w:r w:rsidR="005567A1" w:rsidRPr="00271666">
        <w:rPr>
          <w:rStyle w:val="FootnoteReference"/>
        </w:rPr>
        <w:footnoteReference w:id="12"/>
      </w:r>
      <w:r w:rsidR="005567A1" w:rsidRPr="00271666">
        <w:t xml:space="preserve"> In an important precedent, the Supreme Court held that prisoners ‘should not be exposed to conditions which are unnecessarily humiliating or which offend against standards of decency’.</w:t>
      </w:r>
      <w:r w:rsidR="005567A1" w:rsidRPr="00271666">
        <w:rPr>
          <w:rStyle w:val="FootnoteReference"/>
        </w:rPr>
        <w:footnoteReference w:id="13"/>
      </w:r>
      <w:r w:rsidR="0029466C" w:rsidRPr="00271666">
        <w:t xml:space="preserve"> The courts have held that the protection of the person, or personhood, applies to people in prison by virtue of their status as a human being.</w:t>
      </w:r>
      <w:r w:rsidR="0029466C" w:rsidRPr="00271666">
        <w:rPr>
          <w:rStyle w:val="FootnoteReference"/>
        </w:rPr>
        <w:footnoteReference w:id="14"/>
      </w:r>
      <w:r w:rsidR="0029466C" w:rsidRPr="00271666">
        <w:t xml:space="preserve"> Intentional mistreatment of prisoners would create a presumption of the right to the protection of the person under Article 40.3 of the Constitution, as would a regime which sought to break the spirit of a prisoners, or to deprive a person of the core elements of human dignity, autonomy and privacy.</w:t>
      </w:r>
      <w:r w:rsidR="0029466C" w:rsidRPr="00271666">
        <w:rPr>
          <w:rStyle w:val="FootnoteReference"/>
        </w:rPr>
        <w:footnoteReference w:id="15"/>
      </w:r>
      <w:r w:rsidR="0029466C" w:rsidRPr="00271666">
        <w:t xml:space="preserve"> The courts have found a breach of constitutional rights in circumstances where a person did not have access to private use of a toilet, and had to ‘slop out’ or empty </w:t>
      </w:r>
      <w:r w:rsidR="008158B3">
        <w:rPr>
          <w:lang/>
        </w:rPr>
        <w:t>a</w:t>
      </w:r>
      <w:r w:rsidR="0029466C" w:rsidRPr="00271666">
        <w:t xml:space="preserve"> receptacle containing human waste</w:t>
      </w:r>
      <w:r w:rsidR="008158B3">
        <w:rPr>
          <w:lang/>
        </w:rPr>
        <w:t>, such as a bucket,</w:t>
      </w:r>
      <w:r w:rsidR="0029466C" w:rsidRPr="00271666">
        <w:t xml:space="preserve"> in the presence of others, </w:t>
      </w:r>
      <w:r w:rsidR="002A683C" w:rsidRPr="00271666">
        <w:t>in circumstances involve overcrowding, limited time out of cells,</w:t>
      </w:r>
      <w:r w:rsidR="002A683C" w:rsidRPr="00271666">
        <w:rPr>
          <w:rStyle w:val="FootnoteReference"/>
        </w:rPr>
        <w:footnoteReference w:id="16"/>
      </w:r>
      <w:r w:rsidR="002A683C" w:rsidRPr="00271666">
        <w:t xml:space="preserve"> and that long periods of solitary confinement also breach the right to protection of the person.</w:t>
      </w:r>
      <w:r w:rsidR="002A683C" w:rsidRPr="00271666">
        <w:rPr>
          <w:rStyle w:val="FootnoteReference"/>
        </w:rPr>
        <w:footnoteReference w:id="17"/>
      </w:r>
      <w:r w:rsidR="002A683C" w:rsidRPr="00271666">
        <w:t xml:space="preserve"> Surprisingly, the European Court of Human Rights has never pronounced on </w:t>
      </w:r>
      <w:r w:rsidR="002A683C" w:rsidRPr="00271666">
        <w:lastRenderedPageBreak/>
        <w:t>Irish prison conditions, and the Irish Supreme Court has expressed some unease about what it sees as an expansive and evolutive interpretation of the prohibition on inhuman and degrading treatment in Article 3 of the Convention.</w:t>
      </w:r>
      <w:r w:rsidR="002A683C" w:rsidRPr="00271666">
        <w:rPr>
          <w:rStyle w:val="FootnoteReference"/>
        </w:rPr>
        <w:footnoteReference w:id="18"/>
      </w:r>
      <w:r w:rsidR="002A683C" w:rsidRPr="00271666">
        <w:t xml:space="preserve"> O’Donnell J (as he then was, now Chief Justice) has sought to discourage arguments suggesting that Convention principles concerning prison conditions can be automatically applied under Irish law.</w:t>
      </w:r>
      <w:r w:rsidR="002A683C" w:rsidRPr="00271666">
        <w:rPr>
          <w:rStyle w:val="FootnoteReference"/>
        </w:rPr>
        <w:footnoteReference w:id="19"/>
      </w:r>
      <w:r w:rsidR="002A683C" w:rsidRPr="00271666">
        <w:t xml:space="preserve"> This approach has been one of the factors limiting the influence of European </w:t>
      </w:r>
      <w:r w:rsidR="00C23928" w:rsidRPr="00271666">
        <w:t>caselaw principles on Irish penitentiary law and practice.</w:t>
      </w:r>
      <w:r w:rsidR="00C23928" w:rsidRPr="00271666">
        <w:rPr>
          <w:rStyle w:val="FootnoteReference"/>
        </w:rPr>
        <w:footnoteReference w:id="20"/>
      </w:r>
    </w:p>
    <w:p w14:paraId="113E33C7" w14:textId="77777777" w:rsidR="00C23928" w:rsidRPr="00271666" w:rsidRDefault="00C23928" w:rsidP="00133305">
      <w:pPr>
        <w:spacing w:line="360" w:lineRule="auto"/>
        <w:jc w:val="both"/>
      </w:pPr>
    </w:p>
    <w:p w14:paraId="24379FC3" w14:textId="77777777" w:rsidR="008F199E" w:rsidRPr="00271666" w:rsidRDefault="008F199E" w:rsidP="00133305">
      <w:pPr>
        <w:pStyle w:val="ListParagraph"/>
        <w:numPr>
          <w:ilvl w:val="0"/>
          <w:numId w:val="10"/>
        </w:numPr>
        <w:spacing w:line="360" w:lineRule="auto"/>
        <w:jc w:val="both"/>
      </w:pPr>
      <w:r w:rsidRPr="00271666">
        <w:t>Prisons</w:t>
      </w:r>
    </w:p>
    <w:p w14:paraId="4881729D" w14:textId="77777777" w:rsidR="008F199E" w:rsidRPr="00271666" w:rsidRDefault="008F199E" w:rsidP="00133305">
      <w:pPr>
        <w:spacing w:line="360" w:lineRule="auto"/>
        <w:jc w:val="both"/>
      </w:pPr>
    </w:p>
    <w:p w14:paraId="5981C8F2" w14:textId="110A057E" w:rsidR="00126457" w:rsidRPr="00271666" w:rsidRDefault="00C23928" w:rsidP="00133305">
      <w:pPr>
        <w:spacing w:line="360" w:lineRule="auto"/>
        <w:jc w:val="both"/>
      </w:pPr>
      <w:r w:rsidRPr="00271666">
        <w:t>Ireland is a small country, with a population of just over five million people.</w:t>
      </w:r>
      <w:r w:rsidRPr="00271666">
        <w:rPr>
          <w:rStyle w:val="FootnoteReference"/>
        </w:rPr>
        <w:footnoteReference w:id="21"/>
      </w:r>
      <w:r w:rsidRPr="00271666">
        <w:t xml:space="preserve"> There are 14 prisons in the state, including two open prisons, and two prisons for women. Untried prisoners are detained in one prison dedicated to this purpose (</w:t>
      </w:r>
      <w:proofErr w:type="spellStart"/>
      <w:r w:rsidRPr="00271666">
        <w:t>Cloverhill</w:t>
      </w:r>
      <w:proofErr w:type="spellEnd"/>
      <w:r w:rsidRPr="00271666">
        <w:t xml:space="preserve">, in west Dublin), but untried prisoners are also held in other prisons as well. </w:t>
      </w:r>
      <w:r w:rsidR="00FA05A0" w:rsidRPr="00271666">
        <w:t>The remand population rate is around 17 per 100,000 population, increasing from 11 in 2012.</w:t>
      </w:r>
      <w:r w:rsidR="00FA05A0" w:rsidRPr="00271666">
        <w:rPr>
          <w:rStyle w:val="FootnoteReference"/>
        </w:rPr>
        <w:footnoteReference w:id="22"/>
      </w:r>
      <w:r w:rsidR="00FA05A0" w:rsidRPr="00271666">
        <w:t xml:space="preserve"> </w:t>
      </w:r>
      <w:r w:rsidR="00915264" w:rsidRPr="00271666">
        <w:t>There is no formal security classification system for prisoners in Ireland</w:t>
      </w:r>
      <w:r w:rsidR="00506B67" w:rsidRPr="00271666">
        <w:t>, with prisoners with a variety of sentence profiles being detained in the same prison.</w:t>
      </w:r>
      <w:r w:rsidR="009D67C5" w:rsidRPr="00271666">
        <w:t xml:space="preserve"> </w:t>
      </w:r>
      <w:r w:rsidR="008F199E" w:rsidRPr="00271666">
        <w:t xml:space="preserve">There are no privately-run prisons in Ireland. </w:t>
      </w:r>
    </w:p>
    <w:p w14:paraId="5E025166" w14:textId="77777777" w:rsidR="00B57DDF" w:rsidRPr="00271666" w:rsidRDefault="00B57DDF" w:rsidP="00133305">
      <w:pPr>
        <w:spacing w:line="360" w:lineRule="auto"/>
        <w:jc w:val="both"/>
      </w:pPr>
    </w:p>
    <w:p w14:paraId="19F99F8E" w14:textId="77777777" w:rsidR="00B57DDF" w:rsidRDefault="00B57DDF" w:rsidP="00133305">
      <w:pPr>
        <w:spacing w:line="360" w:lineRule="auto"/>
        <w:jc w:val="both"/>
        <w:rPr>
          <w:b/>
          <w:bCs/>
        </w:rPr>
      </w:pPr>
      <w:r w:rsidRPr="00271666">
        <w:rPr>
          <w:b/>
          <w:bCs/>
        </w:rPr>
        <w:t>II – General regulations and prisoners’ rights</w:t>
      </w:r>
    </w:p>
    <w:p w14:paraId="365907CA" w14:textId="77777777" w:rsidR="008158B3" w:rsidRPr="00271666" w:rsidRDefault="008158B3" w:rsidP="00133305">
      <w:pPr>
        <w:spacing w:line="360" w:lineRule="auto"/>
        <w:jc w:val="both"/>
        <w:rPr>
          <w:b/>
          <w:bCs/>
        </w:rPr>
      </w:pPr>
    </w:p>
    <w:p w14:paraId="186ADAD6" w14:textId="77777777" w:rsidR="00B57DDF" w:rsidRPr="00271666" w:rsidRDefault="00B57DDF" w:rsidP="00133305">
      <w:pPr>
        <w:pStyle w:val="ListParagraph"/>
        <w:numPr>
          <w:ilvl w:val="0"/>
          <w:numId w:val="3"/>
        </w:numPr>
        <w:spacing w:line="360" w:lineRule="auto"/>
        <w:jc w:val="both"/>
      </w:pPr>
      <w:r w:rsidRPr="00271666">
        <w:t xml:space="preserve">Referral, </w:t>
      </w:r>
      <w:proofErr w:type="gramStart"/>
      <w:r w:rsidRPr="00271666">
        <w:t>allocation</w:t>
      </w:r>
      <w:proofErr w:type="gramEnd"/>
      <w:r w:rsidRPr="00271666">
        <w:t xml:space="preserve"> and transfer of prisoners</w:t>
      </w:r>
    </w:p>
    <w:p w14:paraId="29561653" w14:textId="77777777" w:rsidR="008F199E" w:rsidRPr="00271666" w:rsidRDefault="008F199E" w:rsidP="00133305">
      <w:pPr>
        <w:spacing w:line="360" w:lineRule="auto"/>
        <w:jc w:val="both"/>
      </w:pPr>
    </w:p>
    <w:p w14:paraId="5E656D18" w14:textId="7D5BFD7E" w:rsidR="008F0AA2" w:rsidRPr="00271666" w:rsidRDefault="008F199E" w:rsidP="00133305">
      <w:pPr>
        <w:spacing w:line="360" w:lineRule="auto"/>
        <w:jc w:val="both"/>
      </w:pPr>
      <w:r w:rsidRPr="00271666">
        <w:t xml:space="preserve">When a person is sentenced to prison, the judge issues a warrant of committal which is addressed to a ‘committal prison’. Committal prisons are those to which a judge may send a </w:t>
      </w:r>
      <w:r w:rsidRPr="00271666">
        <w:lastRenderedPageBreak/>
        <w:t>person directly. A person may go to a non-committal prison only through a transfer which is directed by the Irish Prison Service</w:t>
      </w:r>
      <w:r w:rsidR="00C406C9" w:rsidRPr="00271666">
        <w:t>, acting on behalf of the Minister for Justice</w:t>
      </w:r>
      <w:r w:rsidRPr="00271666">
        <w:t xml:space="preserve">. Seven prisons are committal prisons and the location of the court sentencing the person will </w:t>
      </w:r>
      <w:r w:rsidR="00C406C9" w:rsidRPr="00271666">
        <w:t xml:space="preserve">determine to which prison the person will initially be sent. </w:t>
      </w:r>
    </w:p>
    <w:p w14:paraId="32F260D2" w14:textId="77777777" w:rsidR="008F0AA2" w:rsidRPr="00271666" w:rsidRDefault="008F0AA2" w:rsidP="00133305">
      <w:pPr>
        <w:spacing w:line="360" w:lineRule="auto"/>
        <w:jc w:val="both"/>
      </w:pPr>
    </w:p>
    <w:p w14:paraId="68BC557B" w14:textId="65491A85" w:rsidR="008F0AA2" w:rsidRPr="00271666" w:rsidRDefault="00C406C9" w:rsidP="00133305">
      <w:pPr>
        <w:spacing w:line="360" w:lineRule="auto"/>
        <w:jc w:val="both"/>
      </w:pPr>
      <w:r w:rsidRPr="00271666">
        <w:t xml:space="preserve">A prisoner may spend </w:t>
      </w:r>
      <w:proofErr w:type="gramStart"/>
      <w:r w:rsidRPr="00271666">
        <w:t>all of</w:t>
      </w:r>
      <w:proofErr w:type="gramEnd"/>
      <w:r w:rsidRPr="00271666">
        <w:t xml:space="preserve"> their sentence in </w:t>
      </w:r>
      <w:r w:rsidR="008F0AA2" w:rsidRPr="00271666">
        <w:t>the</w:t>
      </w:r>
      <w:r w:rsidRPr="00271666">
        <w:t xml:space="preserve"> prison</w:t>
      </w:r>
      <w:r w:rsidR="008F0AA2" w:rsidRPr="00271666">
        <w:t xml:space="preserve"> to which they were first committed</w:t>
      </w:r>
      <w:r w:rsidRPr="00271666">
        <w:t>, but may also be transferred to another prison</w:t>
      </w:r>
      <w:r w:rsidR="008F0AA2" w:rsidRPr="00271666">
        <w:t xml:space="preserve">, for example to a prison in which those convicted of sexual offences are detained. </w:t>
      </w:r>
      <w:r w:rsidRPr="00271666">
        <w:t xml:space="preserve">A prisoner may also request a transfer to another prison. The power to transfer a prisoner from one prison to another is found in s. 17 of the Criminal Justice (Administration) Act 1914. There is no guidance contained in the legislation concerning the factors which should be </w:t>
      </w:r>
      <w:proofErr w:type="gramStart"/>
      <w:r w:rsidRPr="00271666">
        <w:t>taken into account</w:t>
      </w:r>
      <w:proofErr w:type="gramEnd"/>
      <w:r w:rsidRPr="00271666">
        <w:t xml:space="preserve"> when making such a decision, and no formal process is required. A person may be transferred with no notice, or with no input in the decision-making process. </w:t>
      </w:r>
    </w:p>
    <w:p w14:paraId="6165266E" w14:textId="77777777" w:rsidR="008F0AA2" w:rsidRPr="00271666" w:rsidRDefault="008F0AA2" w:rsidP="00133305">
      <w:pPr>
        <w:spacing w:line="360" w:lineRule="auto"/>
        <w:jc w:val="both"/>
      </w:pPr>
    </w:p>
    <w:p w14:paraId="565A0BD2" w14:textId="77777777" w:rsidR="00B57DDF" w:rsidRPr="00271666" w:rsidRDefault="00B57DDF" w:rsidP="00133305">
      <w:pPr>
        <w:pStyle w:val="ListParagraph"/>
        <w:numPr>
          <w:ilvl w:val="0"/>
          <w:numId w:val="3"/>
        </w:numPr>
        <w:spacing w:line="360" w:lineRule="auto"/>
        <w:jc w:val="both"/>
      </w:pPr>
      <w:r w:rsidRPr="00271666">
        <w:t>Right to information</w:t>
      </w:r>
    </w:p>
    <w:p w14:paraId="47D9F10D" w14:textId="77777777" w:rsidR="00DA652C" w:rsidRPr="00271666" w:rsidRDefault="00DA652C" w:rsidP="00133305">
      <w:pPr>
        <w:spacing w:line="360" w:lineRule="auto"/>
        <w:jc w:val="both"/>
      </w:pPr>
    </w:p>
    <w:p w14:paraId="1D4246EE" w14:textId="1EE7C9DB" w:rsidR="00DA652C" w:rsidRPr="00271666" w:rsidRDefault="00DA652C" w:rsidP="00133305">
      <w:pPr>
        <w:spacing w:line="360" w:lineRule="auto"/>
        <w:jc w:val="both"/>
      </w:pPr>
      <w:r w:rsidRPr="00271666">
        <w:t>On admission to prison, the prisoner must be given an explanatory booklet outlining their entitlements, obligations and privileges under the Prison Rules 2007.</w:t>
      </w:r>
      <w:r w:rsidRPr="00271666">
        <w:rPr>
          <w:rStyle w:val="FootnoteReference"/>
        </w:rPr>
        <w:footnoteReference w:id="23"/>
      </w:r>
      <w:r w:rsidRPr="00271666">
        <w:t xml:space="preserve"> This booklet should also be provided to a foreign national ‘in so far as is practicable’ in a language which they can understand.</w:t>
      </w:r>
      <w:r w:rsidRPr="00271666">
        <w:rPr>
          <w:rStyle w:val="FootnoteReference"/>
        </w:rPr>
        <w:footnoteReference w:id="24"/>
      </w:r>
      <w:r w:rsidRPr="00271666">
        <w:t xml:space="preserve"> If a person cannot read or understand the contents of the booklet, the governor (director) of the prison must take all reasonable measures to ensure the prisoner’s entitlements, obligations and privileges under the Prison Rules as soon as practicable.</w:t>
      </w:r>
      <w:r w:rsidRPr="00271666">
        <w:rPr>
          <w:rStyle w:val="FootnoteReference"/>
        </w:rPr>
        <w:footnoteReference w:id="25"/>
      </w:r>
      <w:r w:rsidRPr="00271666">
        <w:t xml:space="preserve"> It is the duty of the governor to satisfy him or herself that the person understands such matters.</w:t>
      </w:r>
      <w:r w:rsidRPr="00271666">
        <w:rPr>
          <w:rStyle w:val="FootnoteReference"/>
        </w:rPr>
        <w:footnoteReference w:id="26"/>
      </w:r>
      <w:r w:rsidRPr="00271666">
        <w:t xml:space="preserve"> The prisoner must be informed of the date of their release,</w:t>
      </w:r>
      <w:r w:rsidRPr="00271666">
        <w:rPr>
          <w:rStyle w:val="FootnoteReference"/>
        </w:rPr>
        <w:footnoteReference w:id="27"/>
      </w:r>
      <w:r w:rsidRPr="00271666">
        <w:t xml:space="preserve"> and, if a foreign national the opportunity to contact a consul, or, if an asylum applicant, the opportunity to contact the United Nations High Commissioner for Refugees.</w:t>
      </w:r>
      <w:r w:rsidRPr="00271666">
        <w:rPr>
          <w:rStyle w:val="FootnoteReference"/>
        </w:rPr>
        <w:footnoteReference w:id="28"/>
      </w:r>
      <w:r w:rsidRPr="00271666">
        <w:t xml:space="preserve"> </w:t>
      </w:r>
    </w:p>
    <w:p w14:paraId="5786AC3A" w14:textId="77777777" w:rsidR="00DA652C" w:rsidRPr="00271666" w:rsidRDefault="00DA652C" w:rsidP="00133305">
      <w:pPr>
        <w:spacing w:line="360" w:lineRule="auto"/>
        <w:jc w:val="both"/>
      </w:pPr>
    </w:p>
    <w:p w14:paraId="7F2DDB48" w14:textId="592414ED" w:rsidR="00DA652C" w:rsidRPr="00271666" w:rsidRDefault="00DA652C" w:rsidP="00133305">
      <w:pPr>
        <w:spacing w:line="360" w:lineRule="auto"/>
        <w:jc w:val="both"/>
      </w:pPr>
      <w:r w:rsidRPr="00271666">
        <w:lastRenderedPageBreak/>
        <w:t xml:space="preserve">Under rule 48 of the Prison Rules 2007, the governor must, in so far as practicable, and subject to the maintenance of good order and safe and secure custody, provide facilities to prisoners to enable them to be kept informed in relation to current affairs, sporting and cultural matters, including </w:t>
      </w:r>
      <w:proofErr w:type="gramStart"/>
      <w:r w:rsidRPr="00271666">
        <w:t>through the use of</w:t>
      </w:r>
      <w:proofErr w:type="gramEnd"/>
      <w:r w:rsidRPr="00271666">
        <w:t xml:space="preserve"> newspapers and other periodicals, radio and television. The same should apply to foreign national prisoners. A fee may be charged. There is no requirement in law to provide access to the internet. The case of </w:t>
      </w:r>
      <w:r w:rsidRPr="00271666">
        <w:rPr>
          <w:i/>
          <w:iCs/>
        </w:rPr>
        <w:t>Connolly v. Governor of Wheatfield Prison</w:t>
      </w:r>
      <w:r w:rsidRPr="00271666">
        <w:rPr>
          <w:rStyle w:val="FootnoteReference"/>
        </w:rPr>
        <w:footnoteReference w:id="29"/>
      </w:r>
      <w:r w:rsidR="00543FB0" w:rsidRPr="00271666">
        <w:rPr>
          <w:i/>
          <w:iCs/>
        </w:rPr>
        <w:t xml:space="preserve"> </w:t>
      </w:r>
      <w:r w:rsidR="00543FB0" w:rsidRPr="00271666">
        <w:t xml:space="preserve">has emphasised the importance of television and reading materials for people in prison. </w:t>
      </w:r>
    </w:p>
    <w:p w14:paraId="4F297E4C" w14:textId="77777777" w:rsidR="008F0AA2" w:rsidRPr="00271666" w:rsidRDefault="008F0AA2" w:rsidP="00133305">
      <w:pPr>
        <w:spacing w:line="360" w:lineRule="auto"/>
        <w:jc w:val="both"/>
      </w:pPr>
    </w:p>
    <w:p w14:paraId="57846D73" w14:textId="77777777" w:rsidR="00B57DDF" w:rsidRPr="00271666" w:rsidRDefault="00B57DDF" w:rsidP="00133305">
      <w:pPr>
        <w:pStyle w:val="ListParagraph"/>
        <w:numPr>
          <w:ilvl w:val="0"/>
          <w:numId w:val="3"/>
        </w:numPr>
        <w:spacing w:line="360" w:lineRule="auto"/>
        <w:jc w:val="both"/>
      </w:pPr>
      <w:r w:rsidRPr="00271666">
        <w:t>Private and family life</w:t>
      </w:r>
    </w:p>
    <w:p w14:paraId="39515BB3" w14:textId="77777777" w:rsidR="00543FB0" w:rsidRPr="00271666" w:rsidRDefault="00543FB0" w:rsidP="00133305">
      <w:pPr>
        <w:spacing w:line="360" w:lineRule="auto"/>
        <w:jc w:val="both"/>
      </w:pPr>
    </w:p>
    <w:p w14:paraId="5C8EAD7A" w14:textId="25AC3105" w:rsidR="00543FB0" w:rsidRPr="00271666" w:rsidRDefault="00543FB0" w:rsidP="00133305">
      <w:pPr>
        <w:spacing w:line="360" w:lineRule="auto"/>
        <w:jc w:val="both"/>
      </w:pPr>
      <w:r w:rsidRPr="00271666">
        <w:t>The Prison Rules 2007 govern visits from family members and friends, lawyers, consuls, and the police, as well as correspondence. A minimum requirement of one visit from relatives or friends each week of not less than thirty minutes is contained in rule 35(1)</w:t>
      </w:r>
      <w:r w:rsidR="00CF7C9C" w:rsidRPr="00271666">
        <w:t xml:space="preserve"> for prisoners over the age of 18. </w:t>
      </w:r>
      <w:proofErr w:type="spellStart"/>
      <w:r w:rsidR="008C4D48" w:rsidRPr="00271666">
        <w:t>Unconv</w:t>
      </w:r>
      <w:r w:rsidR="008C4D48">
        <w:t>ic</w:t>
      </w:r>
      <w:r w:rsidR="008C4D48" w:rsidRPr="00271666">
        <w:t>ted</w:t>
      </w:r>
      <w:proofErr w:type="spellEnd"/>
      <w:r w:rsidR="00CF7C9C" w:rsidRPr="00271666">
        <w:t xml:space="preserve"> prisoners are entitled to one fifteen-minute visit up to six times each week and no fewer than three times per week. Additional or longer visits may be permitted by a governor.</w:t>
      </w:r>
      <w:r w:rsidR="00CF7C9C" w:rsidRPr="00271666">
        <w:rPr>
          <w:rStyle w:val="FootnoteReference"/>
        </w:rPr>
        <w:footnoteReference w:id="30"/>
      </w:r>
      <w:r w:rsidR="00CF7C9C" w:rsidRPr="00271666">
        <w:t xml:space="preserve"> As noted above, however, Covid-19-related legislation allows for visits to be restricted. In-person visiting was suspended for a prolonged period in Ireland,</w:t>
      </w:r>
      <w:r w:rsidR="00CF7C9C" w:rsidRPr="00271666">
        <w:rPr>
          <w:rStyle w:val="FootnoteReference"/>
        </w:rPr>
        <w:footnoteReference w:id="31"/>
      </w:r>
      <w:r w:rsidR="00CF7C9C" w:rsidRPr="00271666">
        <w:t xml:space="preserve"> and visits were restricted to shorter periods and with less frequency for around eighteen months.</w:t>
      </w:r>
      <w:r w:rsidR="00CF7C9C" w:rsidRPr="00271666">
        <w:rPr>
          <w:rStyle w:val="FootnoteReference"/>
        </w:rPr>
        <w:footnoteReference w:id="32"/>
      </w:r>
      <w:r w:rsidR="00CF7C9C" w:rsidRPr="00271666">
        <w:t xml:space="preserve"> Virtual visits have now been introduced as a possibility for people in prison.</w:t>
      </w:r>
      <w:r w:rsidR="00CF7C9C" w:rsidRPr="00271666">
        <w:rPr>
          <w:rStyle w:val="FootnoteReference"/>
        </w:rPr>
        <w:footnoteReference w:id="33"/>
      </w:r>
    </w:p>
    <w:p w14:paraId="6B7C3C51" w14:textId="77777777" w:rsidR="00CF7C9C" w:rsidRPr="00271666" w:rsidRDefault="00CF7C9C" w:rsidP="00133305">
      <w:pPr>
        <w:spacing w:line="360" w:lineRule="auto"/>
        <w:jc w:val="both"/>
      </w:pPr>
    </w:p>
    <w:p w14:paraId="0DE8757B" w14:textId="54A29BB3" w:rsidR="00CF7C9C" w:rsidRPr="00271666" w:rsidRDefault="00CF7C9C" w:rsidP="00133305">
      <w:pPr>
        <w:spacing w:line="360" w:lineRule="auto"/>
        <w:jc w:val="both"/>
      </w:pPr>
      <w:r w:rsidRPr="00271666">
        <w:t>A maximum of three people may visit a prisoner at any one time,</w:t>
      </w:r>
      <w:r w:rsidRPr="00271666">
        <w:rPr>
          <w:rStyle w:val="FootnoteReference"/>
        </w:rPr>
        <w:footnoteReference w:id="34"/>
      </w:r>
      <w:r w:rsidRPr="00271666">
        <w:t xml:space="preserve"> and the governor may restrict who visits the person.</w:t>
      </w:r>
      <w:r w:rsidRPr="00271666">
        <w:rPr>
          <w:rStyle w:val="FootnoteReference"/>
        </w:rPr>
        <w:footnoteReference w:id="35"/>
      </w:r>
      <w:r w:rsidRPr="00271666">
        <w:t xml:space="preserve"> Governors have a very wide discretion concerning the regulation of visits</w:t>
      </w:r>
      <w:r w:rsidR="00255ABB" w:rsidRPr="00271666">
        <w:t>,</w:t>
      </w:r>
      <w:r w:rsidR="00255ABB" w:rsidRPr="00271666">
        <w:rPr>
          <w:rStyle w:val="FootnoteReference"/>
        </w:rPr>
        <w:footnoteReference w:id="36"/>
      </w:r>
      <w:r w:rsidR="00255ABB" w:rsidRPr="00271666">
        <w:t xml:space="preserve"> and to refuse particular people access to the prison for a visit.</w:t>
      </w:r>
      <w:r w:rsidR="00255ABB" w:rsidRPr="00271666">
        <w:rPr>
          <w:rStyle w:val="FootnoteReference"/>
        </w:rPr>
        <w:footnoteReference w:id="37"/>
      </w:r>
      <w:r w:rsidR="00255ABB" w:rsidRPr="00271666">
        <w:t xml:space="preserve"> The Prison Rules contain a default position that screens are to be used during visits, a position which was </w:t>
      </w:r>
      <w:r w:rsidR="00255ABB" w:rsidRPr="00271666">
        <w:lastRenderedPageBreak/>
        <w:t xml:space="preserve">challenged unsuccessfully in </w:t>
      </w:r>
      <w:r w:rsidR="00255ABB" w:rsidRPr="00271666">
        <w:rPr>
          <w:i/>
          <w:iCs/>
        </w:rPr>
        <w:t xml:space="preserve">Foy v. Governor of </w:t>
      </w:r>
      <w:proofErr w:type="spellStart"/>
      <w:r w:rsidR="00255ABB" w:rsidRPr="00271666">
        <w:rPr>
          <w:i/>
          <w:iCs/>
        </w:rPr>
        <w:t>Cloverhill</w:t>
      </w:r>
      <w:proofErr w:type="spellEnd"/>
      <w:r w:rsidR="00255ABB" w:rsidRPr="00271666">
        <w:rPr>
          <w:i/>
          <w:iCs/>
        </w:rPr>
        <w:t xml:space="preserve"> Prison</w:t>
      </w:r>
      <w:r w:rsidR="00255ABB" w:rsidRPr="00271666">
        <w:t>.</w:t>
      </w:r>
      <w:r w:rsidR="00255ABB" w:rsidRPr="00271666">
        <w:rPr>
          <w:rStyle w:val="FootnoteReference"/>
        </w:rPr>
        <w:footnoteReference w:id="38"/>
      </w:r>
      <w:r w:rsidR="00255ABB" w:rsidRPr="00271666">
        <w:t xml:space="preserve"> However, Irish Prison Service policy has moved away from this position to one which uses screens following a risk assessment which suggests a screen is necessary. Since the enactment of rule 3(b) of the Prison Rules (Amendment) 2013, a governor may not include a prohibition on receiving visits as a penalty for a breach of discipline without specifying why that prohibition has been imposed.  </w:t>
      </w:r>
    </w:p>
    <w:p w14:paraId="010F2744" w14:textId="77777777" w:rsidR="00255ABB" w:rsidRPr="00271666" w:rsidRDefault="00255ABB" w:rsidP="00133305">
      <w:pPr>
        <w:spacing w:line="360" w:lineRule="auto"/>
        <w:jc w:val="both"/>
      </w:pPr>
    </w:p>
    <w:p w14:paraId="73A2C3C3" w14:textId="4B4E7FAB" w:rsidR="00255ABB" w:rsidRPr="00271666" w:rsidRDefault="00D11C8C" w:rsidP="00133305">
      <w:pPr>
        <w:spacing w:line="360" w:lineRule="auto"/>
        <w:jc w:val="both"/>
      </w:pPr>
      <w:r w:rsidRPr="00271666">
        <w:t xml:space="preserve">Under the Prison Rules 2007 a child may be admitted to prison and remain with its mother until the age of twelve </w:t>
      </w:r>
      <w:proofErr w:type="gramStart"/>
      <w:r w:rsidRPr="00271666">
        <w:t>months, and</w:t>
      </w:r>
      <w:proofErr w:type="gramEnd"/>
      <w:r w:rsidRPr="00271666">
        <w:t xml:space="preserve"> may stay longer in unspecified ‘special circumstances’.</w:t>
      </w:r>
      <w:r w:rsidRPr="00271666">
        <w:rPr>
          <w:rStyle w:val="FootnoteReference"/>
        </w:rPr>
        <w:footnoteReference w:id="39"/>
      </w:r>
    </w:p>
    <w:p w14:paraId="23CF73EE" w14:textId="77777777" w:rsidR="00D11C8C" w:rsidRPr="00271666" w:rsidRDefault="00D11C8C" w:rsidP="00133305">
      <w:pPr>
        <w:spacing w:line="360" w:lineRule="auto"/>
        <w:jc w:val="both"/>
      </w:pPr>
    </w:p>
    <w:p w14:paraId="401EB168" w14:textId="52E410D0" w:rsidR="00D11C8C" w:rsidRPr="00271666" w:rsidRDefault="00D11C8C" w:rsidP="00133305">
      <w:pPr>
        <w:spacing w:line="360" w:lineRule="auto"/>
        <w:jc w:val="both"/>
      </w:pPr>
      <w:r w:rsidRPr="00271666">
        <w:t>Rule 43</w:t>
      </w:r>
      <w:r w:rsidR="00D01A7A" w:rsidRPr="00271666">
        <w:t xml:space="preserve"> of the Prison Rules 2007 allow a prisoner to send as many letters to family and friends as he or she wishes, though more than seven letters may be subject to a charge. </w:t>
      </w:r>
      <w:r w:rsidR="009C31BD" w:rsidRPr="00271666">
        <w:t xml:space="preserve">Prisoners may receive as many letters as are sent to them. </w:t>
      </w:r>
      <w:proofErr w:type="spellStart"/>
      <w:r w:rsidR="009C31BD" w:rsidRPr="00271666">
        <w:t>Unconvicted</w:t>
      </w:r>
      <w:proofErr w:type="spellEnd"/>
      <w:r w:rsidR="009C31BD" w:rsidRPr="00271666">
        <w:t xml:space="preserve"> prisoners may send as many letters as reasonably necessary to manage their affairs. Foreign national prisoner may write to and receive letters from the consult of the country of which they are a national. Rule 44 governs letters to ‘authorities’, including legal advisers. Letters which are sent to recipients other than these ‘authorities’ may be opened, </w:t>
      </w:r>
      <w:proofErr w:type="gramStart"/>
      <w:r w:rsidR="009C31BD" w:rsidRPr="00271666">
        <w:t>examined</w:t>
      </w:r>
      <w:proofErr w:type="gramEnd"/>
      <w:r w:rsidR="009C31BD" w:rsidRPr="00271666">
        <w:t xml:space="preserve"> and confiscated by a governor if, </w:t>
      </w:r>
      <w:r w:rsidR="009C31BD" w:rsidRPr="00271666">
        <w:rPr>
          <w:i/>
          <w:iCs/>
        </w:rPr>
        <w:t>inter alia</w:t>
      </w:r>
      <w:r w:rsidR="009C31BD" w:rsidRPr="00271666">
        <w:t>, the letter is threatening in nature, would cause serious offence or distress, be contrary to national security, or the interests of security, good order and the government of the prison. Rule 45(2) permits the governor to open and examine letters sent to prisoners by family and friends, and to confiscate letters, where, upon reasonable grounds, the governor believes that the letter would threaten the good order or safe or secure custody in the prison, that it might facilitate crime, or cause an interference with the course of justice. Rule 45(3) specifically prohibits a prisoner to send a letter to the victim of his or her offence, or that person’s family, unless there is prior consent. The High Court has held that the right to communicate is not an absolute one and may be restricted.</w:t>
      </w:r>
      <w:r w:rsidR="009C31BD" w:rsidRPr="00271666">
        <w:rPr>
          <w:rStyle w:val="FootnoteReference"/>
        </w:rPr>
        <w:footnoteReference w:id="40"/>
      </w:r>
      <w:r w:rsidR="009C31BD" w:rsidRPr="00271666">
        <w:t xml:space="preserve"> The High Court </w:t>
      </w:r>
      <w:r w:rsidR="007F0BAA">
        <w:rPr>
          <w:lang/>
        </w:rPr>
        <w:t>also</w:t>
      </w:r>
      <w:r w:rsidR="009C31BD" w:rsidRPr="00271666">
        <w:t xml:space="preserve"> in fact held that a prison officer may read correspondence with a lawyer, but this is not permitted under more recent legislation. </w:t>
      </w:r>
    </w:p>
    <w:p w14:paraId="34EF80B8" w14:textId="77777777" w:rsidR="009C31BD" w:rsidRPr="00271666" w:rsidRDefault="009C31BD" w:rsidP="00133305">
      <w:pPr>
        <w:spacing w:line="360" w:lineRule="auto"/>
        <w:jc w:val="both"/>
      </w:pPr>
    </w:p>
    <w:p w14:paraId="58953C53" w14:textId="7E52FE8F" w:rsidR="009C31BD" w:rsidRPr="00271666" w:rsidRDefault="009C31BD" w:rsidP="00133305">
      <w:pPr>
        <w:spacing w:line="360" w:lineRule="auto"/>
        <w:jc w:val="both"/>
      </w:pPr>
      <w:r w:rsidRPr="00271666">
        <w:t>Rule 44 deals with correspondence with a legal adviser, certain oversight bodies, the Minister for Justice, certain judges, the European Court of Human Rights, the European Committee for the Prevention of Torture and Inhuman or Degrading Treatment or Punishment</w:t>
      </w:r>
      <w:r w:rsidR="008E76F1" w:rsidRPr="00271666">
        <w:t xml:space="preserve">, the Parole </w:t>
      </w:r>
      <w:proofErr w:type="gramStart"/>
      <w:r w:rsidR="008E76F1" w:rsidRPr="00271666">
        <w:t>Board</w:t>
      </w:r>
      <w:proofErr w:type="gramEnd"/>
      <w:r w:rsidR="008E76F1" w:rsidRPr="00271666">
        <w:t xml:space="preserve"> and certain other human rights bodies. Such letters must be sent without delay and cannot </w:t>
      </w:r>
      <w:r w:rsidR="008E76F1" w:rsidRPr="00271666">
        <w:lastRenderedPageBreak/>
        <w:t>be opened by prison staff. Letters received from such bodies must not be examined beyond the extent necessary to determine if it is such a letter and, if it is to be opened, this must be done in the presence of the prisoner.</w:t>
      </w:r>
      <w:r w:rsidR="008E76F1" w:rsidRPr="00271666">
        <w:rPr>
          <w:rStyle w:val="FootnoteReference"/>
        </w:rPr>
        <w:footnoteReference w:id="41"/>
      </w:r>
      <w:r w:rsidR="008E76F1" w:rsidRPr="00271666">
        <w:t xml:space="preserve"> </w:t>
      </w:r>
    </w:p>
    <w:p w14:paraId="0C43CB7D" w14:textId="77777777" w:rsidR="00D11C8C" w:rsidRPr="00271666" w:rsidRDefault="00D11C8C" w:rsidP="00133305">
      <w:pPr>
        <w:spacing w:line="360" w:lineRule="auto"/>
        <w:jc w:val="both"/>
      </w:pPr>
    </w:p>
    <w:p w14:paraId="461ACBB4" w14:textId="39C4C45D" w:rsidR="00D11C8C" w:rsidRPr="00271666" w:rsidRDefault="00D11C8C" w:rsidP="00133305">
      <w:pPr>
        <w:spacing w:line="360" w:lineRule="auto"/>
        <w:jc w:val="both"/>
      </w:pPr>
      <w:r w:rsidRPr="00271666">
        <w:t xml:space="preserve">The law is silent on whether there is a right to marry or enter a civil union while in prison. It is long-established in Irish law that there is no constitutional right to beget children while in prison, and no obligation to grant a prisoner temporary release for the purpose of engaging in sexual relations, and no entitlement to conjugal visits. The Supreme Court in </w:t>
      </w:r>
      <w:r w:rsidRPr="00271666">
        <w:rPr>
          <w:i/>
          <w:iCs/>
        </w:rPr>
        <w:t>Murray v. Ireland</w:t>
      </w:r>
      <w:r w:rsidRPr="007F0BAA">
        <w:rPr>
          <w:rStyle w:val="FootnoteReference"/>
        </w:rPr>
        <w:footnoteReference w:id="42"/>
      </w:r>
      <w:r w:rsidRPr="00271666">
        <w:rPr>
          <w:i/>
          <w:iCs/>
        </w:rPr>
        <w:t xml:space="preserve"> </w:t>
      </w:r>
      <w:r w:rsidRPr="00271666">
        <w:t>held that there was a right of communication between a prisoner and their spouse, though this did not require a full right of privacy. There is also a right, exercised through communication, to take some part in the education of children.</w:t>
      </w:r>
    </w:p>
    <w:p w14:paraId="77A43F8E" w14:textId="77777777" w:rsidR="00CF7C9C" w:rsidRPr="00271666" w:rsidRDefault="00CF7C9C" w:rsidP="00133305">
      <w:pPr>
        <w:spacing w:line="360" w:lineRule="auto"/>
        <w:jc w:val="both"/>
      </w:pPr>
    </w:p>
    <w:p w14:paraId="3D34F775" w14:textId="77777777" w:rsidR="00B57DDF" w:rsidRPr="00271666" w:rsidRDefault="00B57DDF" w:rsidP="00133305">
      <w:pPr>
        <w:pStyle w:val="ListParagraph"/>
        <w:numPr>
          <w:ilvl w:val="0"/>
          <w:numId w:val="3"/>
        </w:numPr>
        <w:spacing w:line="360" w:lineRule="auto"/>
        <w:jc w:val="both"/>
      </w:pPr>
      <w:r w:rsidRPr="00271666">
        <w:t xml:space="preserve">Work </w:t>
      </w:r>
    </w:p>
    <w:p w14:paraId="7427F8FC" w14:textId="77777777" w:rsidR="008E76F1" w:rsidRPr="00271666" w:rsidRDefault="008E76F1" w:rsidP="00133305">
      <w:pPr>
        <w:spacing w:line="360" w:lineRule="auto"/>
        <w:jc w:val="both"/>
      </w:pPr>
    </w:p>
    <w:p w14:paraId="78D185CD" w14:textId="1FEE563E" w:rsidR="00D9156E" w:rsidRPr="008C4D48" w:rsidRDefault="008E76F1" w:rsidP="00133305">
      <w:pPr>
        <w:spacing w:line="360" w:lineRule="auto"/>
        <w:jc w:val="both"/>
      </w:pPr>
      <w:r w:rsidRPr="00271666">
        <w:t xml:space="preserve">Prisoners are required to carry out certain forms of work under the Prison Rules. Rule 28(1) states that convicted prisoners ‘shall’ do work consisting of tasks necessary to maintain and operate the prison, and that prisoners may be directed to clean or sweep the landings, </w:t>
      </w:r>
      <w:proofErr w:type="gramStart"/>
      <w:r w:rsidRPr="00271666">
        <w:t>yards</w:t>
      </w:r>
      <w:proofErr w:type="gramEnd"/>
      <w:r w:rsidRPr="00271666">
        <w:t xml:space="preserve"> or other parts of the prison, unless medically certified as unfit to do so. Other forms of work are viewed under the law as a privilege, rather than a right. </w:t>
      </w:r>
      <w:r w:rsidR="00723358" w:rsidRPr="00271666">
        <w:t xml:space="preserve">Rule 27 permits a prisoner to engage or participate in structured activity including work, and states that, in so far as is practicable, each convicted prisoner shall be engaged in authorised structured activity, which may include work, for not less than five hours on each of five days in each week. </w:t>
      </w:r>
      <w:r w:rsidR="004B49A0">
        <w:rPr>
          <w:lang/>
        </w:rPr>
        <w:t>In 2022, t</w:t>
      </w:r>
      <w:r w:rsidR="008C4D48">
        <w:t>he Inspector of Prisons found that, in two prisons inspected, the majority of prisoners were not guaranteed their entitlement to a minimum of five hours of access to authorised structured activity on each of five days in each week, with staff absences and deployment creating problems in this regard.</w:t>
      </w:r>
      <w:r w:rsidR="008C4D48">
        <w:rPr>
          <w:rStyle w:val="FootnoteReference"/>
        </w:rPr>
        <w:footnoteReference w:id="43"/>
      </w:r>
      <w:r w:rsidR="007F0BAA">
        <w:rPr>
          <w:lang/>
        </w:rPr>
        <w:t xml:space="preserve"> </w:t>
      </w:r>
      <w:r w:rsidR="008C4D48">
        <w:t xml:space="preserve">The Inspector of Prisons also found that prisoners were not getting sufficient opportunity to input into the type of work they wish to perform. </w:t>
      </w:r>
      <w:r w:rsidR="00723358" w:rsidRPr="00271666">
        <w:t xml:space="preserve">Rule 29 provides that a prisoner shall be eligible for a gratuity for their work. </w:t>
      </w:r>
      <w:r w:rsidR="00D9156E" w:rsidRPr="00271666">
        <w:t xml:space="preserve">All prisoners receive a gratuity to assist in paying for everyday items, which is increased if a person is on a regime which receives higher levels of privileges. Prisoners may also receive an ‘approved work gratuity’ for work such as laundry, </w:t>
      </w:r>
      <w:r w:rsidR="00D9156E" w:rsidRPr="00271666">
        <w:lastRenderedPageBreak/>
        <w:t>industrial cleaning, grounds maintenance and waste management. This increase is worth €1 per day.</w:t>
      </w:r>
      <w:r w:rsidR="00D9156E" w:rsidRPr="00271666">
        <w:rPr>
          <w:rStyle w:val="FootnoteReference"/>
        </w:rPr>
        <w:footnoteReference w:id="44"/>
      </w:r>
      <w:r w:rsidR="00D9156E" w:rsidRPr="00271666">
        <w:t xml:space="preserve"> </w:t>
      </w:r>
      <w:r w:rsidR="008C4D48">
        <w:t>Prisoners are not remunerated for engaging in education.</w:t>
      </w:r>
      <w:r w:rsidR="008C4D48">
        <w:rPr>
          <w:rStyle w:val="FootnoteReference"/>
        </w:rPr>
        <w:footnoteReference w:id="45"/>
      </w:r>
      <w:r w:rsidR="008C4D48">
        <w:t xml:space="preserve"> The quality of the teaching of prisoners has been commended by the Department of Education.</w:t>
      </w:r>
      <w:r w:rsidR="008C4D48">
        <w:rPr>
          <w:rStyle w:val="FootnoteReference"/>
        </w:rPr>
        <w:footnoteReference w:id="46"/>
      </w:r>
    </w:p>
    <w:p w14:paraId="346DE43C" w14:textId="77777777" w:rsidR="00723358" w:rsidRPr="00271666" w:rsidRDefault="00723358" w:rsidP="00133305">
      <w:pPr>
        <w:spacing w:line="360" w:lineRule="auto"/>
        <w:jc w:val="both"/>
      </w:pPr>
    </w:p>
    <w:p w14:paraId="4FBB36D6" w14:textId="3CE84378" w:rsidR="008E76F1" w:rsidRPr="00271666" w:rsidRDefault="00723358" w:rsidP="00133305">
      <w:pPr>
        <w:spacing w:line="360" w:lineRule="auto"/>
        <w:jc w:val="both"/>
      </w:pPr>
      <w:r w:rsidRPr="00271666">
        <w:t xml:space="preserve">It is also possible for a person to engage or participate in employment with an outside body </w:t>
      </w:r>
      <w:r w:rsidR="00D9156E" w:rsidRPr="00271666">
        <w:t>for rates which are no less favourable than for non-prisoners, once approved by the governor and the Minister.</w:t>
      </w:r>
      <w:r w:rsidR="00D9156E" w:rsidRPr="00271666">
        <w:rPr>
          <w:rStyle w:val="FootnoteReference"/>
        </w:rPr>
        <w:footnoteReference w:id="47"/>
      </w:r>
      <w:r w:rsidR="00D9156E" w:rsidRPr="00271666">
        <w:t xml:space="preserve"> </w:t>
      </w:r>
      <w:r w:rsidR="00752766" w:rsidRPr="00271666">
        <w:t xml:space="preserve">Under the rules, when a prison doctor believes that there is a serious risk to the health of a prisoner and makes a written recommendation on medical grounds concerning that prisoner to the governor, the governor is obliged to implement that recommendation as soon as may be, with certain exceptions. </w:t>
      </w:r>
    </w:p>
    <w:p w14:paraId="5B98FDDE" w14:textId="77777777" w:rsidR="008E76F1" w:rsidRPr="00271666" w:rsidRDefault="008E76F1" w:rsidP="00133305">
      <w:pPr>
        <w:spacing w:line="360" w:lineRule="auto"/>
        <w:jc w:val="both"/>
      </w:pPr>
    </w:p>
    <w:p w14:paraId="661CD31E" w14:textId="77777777" w:rsidR="00B57DDF" w:rsidRPr="00271666" w:rsidRDefault="00B57DDF" w:rsidP="00133305">
      <w:pPr>
        <w:pStyle w:val="ListParagraph"/>
        <w:numPr>
          <w:ilvl w:val="0"/>
          <w:numId w:val="3"/>
        </w:numPr>
        <w:spacing w:line="360" w:lineRule="auto"/>
        <w:jc w:val="both"/>
      </w:pPr>
      <w:r w:rsidRPr="00271666">
        <w:t>Right to health</w:t>
      </w:r>
    </w:p>
    <w:p w14:paraId="67481F1D" w14:textId="77777777" w:rsidR="00D9156E" w:rsidRPr="00271666" w:rsidRDefault="00D9156E" w:rsidP="00133305">
      <w:pPr>
        <w:spacing w:line="360" w:lineRule="auto"/>
        <w:jc w:val="both"/>
      </w:pPr>
    </w:p>
    <w:p w14:paraId="6FD60D39" w14:textId="68611AAA" w:rsidR="00D9156E" w:rsidRPr="00271666" w:rsidRDefault="00A02711" w:rsidP="00133305">
      <w:pPr>
        <w:spacing w:line="360" w:lineRule="auto"/>
        <w:jc w:val="both"/>
      </w:pPr>
      <w:r w:rsidRPr="00271666">
        <w:t xml:space="preserve">Prisoners in Ireland are entitled to equivalent healthcare to those in the community. </w:t>
      </w:r>
      <w:r w:rsidR="004D1696" w:rsidRPr="00271666">
        <w:t xml:space="preserve">Rule 33 of the Prison Rules 2007 states that a prisoner shall be entitled to the provision of healthcare of a ‘preventative, </w:t>
      </w:r>
      <w:proofErr w:type="gramStart"/>
      <w:r w:rsidR="004D1696" w:rsidRPr="00271666">
        <w:t>curative</w:t>
      </w:r>
      <w:proofErr w:type="gramEnd"/>
      <w:r w:rsidR="004D1696" w:rsidRPr="00271666">
        <w:t xml:space="preserve"> and rehabilitative nature </w:t>
      </w:r>
      <w:r w:rsidR="004B49A0">
        <w:t>…</w:t>
      </w:r>
      <w:r w:rsidR="004B49A0">
        <w:rPr>
          <w:lang/>
        </w:rPr>
        <w:t xml:space="preserve"> </w:t>
      </w:r>
      <w:r w:rsidR="004D1696" w:rsidRPr="00271666">
        <w:t xml:space="preserve"> that is, at least, of the same or similar standard’ available to those outside prison. </w:t>
      </w:r>
      <w:r w:rsidR="00752766" w:rsidRPr="00271666">
        <w:t>There is also a duty on the Minister for Justice to ensure that primary healthcare (through general practitioners and nursing staff) is available in each prison.</w:t>
      </w:r>
      <w:r w:rsidR="00752766" w:rsidRPr="00271666">
        <w:rPr>
          <w:rStyle w:val="FootnoteReference"/>
        </w:rPr>
        <w:footnoteReference w:id="48"/>
      </w:r>
      <w:r w:rsidR="004D1696" w:rsidRPr="00271666">
        <w:t xml:space="preserve"> Several decisions of the Irish courts have repeatedly recognised that prisoners have the right to bodily integrity under the Constitution of Ireland, which requires the authorities to protect the right to heath.</w:t>
      </w:r>
      <w:r w:rsidR="004D1696" w:rsidRPr="00271666">
        <w:rPr>
          <w:rStyle w:val="FootnoteReference"/>
        </w:rPr>
        <w:footnoteReference w:id="49"/>
      </w:r>
      <w:r w:rsidR="004D1696" w:rsidRPr="00271666">
        <w:t xml:space="preserve"> Hogan J in </w:t>
      </w:r>
      <w:r w:rsidR="004D1696" w:rsidRPr="00271666">
        <w:rPr>
          <w:i/>
          <w:iCs/>
        </w:rPr>
        <w:t>Kinsella v. Governor of Mountjoy Prison</w:t>
      </w:r>
      <w:r w:rsidR="004B49A0" w:rsidRPr="004B49A0">
        <w:rPr>
          <w:rStyle w:val="FootnoteReference"/>
        </w:rPr>
        <w:footnoteReference w:id="50"/>
      </w:r>
      <w:r w:rsidR="004D1696" w:rsidRPr="004B49A0">
        <w:t xml:space="preserve"> </w:t>
      </w:r>
      <w:r w:rsidR="004D1696" w:rsidRPr="00271666">
        <w:t>has further held that the right to bodily integrity includes the protection of a person’s psychological wellbeing, that is, the integrity of the human mind and personality. However, the courts have also recognised that this right is not absolute,</w:t>
      </w:r>
      <w:r w:rsidR="004D1696" w:rsidRPr="00271666">
        <w:rPr>
          <w:rStyle w:val="FootnoteReference"/>
        </w:rPr>
        <w:footnoteReference w:id="51"/>
      </w:r>
      <w:r w:rsidR="004D1696" w:rsidRPr="00271666">
        <w:t xml:space="preserve"> and must be protected as well as is reasonably possible in the circumstances. Prisoners do not have the right to choose any </w:t>
      </w:r>
      <w:proofErr w:type="gramStart"/>
      <w:r w:rsidR="004D1696" w:rsidRPr="00271666">
        <w:t>particular course</w:t>
      </w:r>
      <w:proofErr w:type="gramEnd"/>
      <w:r w:rsidR="004D1696" w:rsidRPr="00271666">
        <w:t xml:space="preserve"> of treatment, nor is the prison service under a duty to provide the best medical </w:t>
      </w:r>
      <w:r w:rsidR="004D1696" w:rsidRPr="00271666">
        <w:lastRenderedPageBreak/>
        <w:t>treatment,</w:t>
      </w:r>
      <w:r w:rsidR="004D1696" w:rsidRPr="00271666">
        <w:rPr>
          <w:rStyle w:val="FootnoteReference"/>
        </w:rPr>
        <w:footnoteReference w:id="52"/>
      </w:r>
      <w:r w:rsidR="004D1696" w:rsidRPr="00271666">
        <w:t xml:space="preserve"> but inadequate medical treatment can amount to a breach of the person’s constitutional rights.</w:t>
      </w:r>
      <w:r w:rsidR="004D1696" w:rsidRPr="00271666">
        <w:rPr>
          <w:rStyle w:val="FootnoteReference"/>
        </w:rPr>
        <w:footnoteReference w:id="53"/>
      </w:r>
    </w:p>
    <w:p w14:paraId="23DF2446" w14:textId="77777777" w:rsidR="004D1696" w:rsidRPr="00271666" w:rsidRDefault="004D1696" w:rsidP="00133305">
      <w:pPr>
        <w:spacing w:line="360" w:lineRule="auto"/>
        <w:jc w:val="both"/>
      </w:pPr>
    </w:p>
    <w:p w14:paraId="7ADC1730" w14:textId="77777777" w:rsidR="00B57DDF" w:rsidRPr="00271666" w:rsidRDefault="00B57DDF" w:rsidP="00133305">
      <w:pPr>
        <w:pStyle w:val="ListParagraph"/>
        <w:numPr>
          <w:ilvl w:val="0"/>
          <w:numId w:val="3"/>
        </w:numPr>
        <w:spacing w:line="360" w:lineRule="auto"/>
        <w:jc w:val="both"/>
      </w:pPr>
      <w:r w:rsidRPr="00271666">
        <w:t>Civil and political rights</w:t>
      </w:r>
    </w:p>
    <w:p w14:paraId="2B07017A" w14:textId="77777777" w:rsidR="004D1696" w:rsidRPr="00271666" w:rsidRDefault="004D1696" w:rsidP="00133305">
      <w:pPr>
        <w:spacing w:line="360" w:lineRule="auto"/>
        <w:jc w:val="both"/>
      </w:pPr>
    </w:p>
    <w:p w14:paraId="7875D10C" w14:textId="0DF80BB4" w:rsidR="004D1696" w:rsidRPr="00271666" w:rsidRDefault="004D1696" w:rsidP="00133305">
      <w:pPr>
        <w:spacing w:line="360" w:lineRule="auto"/>
        <w:jc w:val="both"/>
      </w:pPr>
      <w:r w:rsidRPr="00271666">
        <w:t xml:space="preserve">Prisoners </w:t>
      </w:r>
      <w:r w:rsidR="00A87146" w:rsidRPr="00271666">
        <w:t>are permitted to vote in Ireland. While the Supreme Court has held that prisoners have no right to vote,</w:t>
      </w:r>
      <w:r w:rsidR="00A87146" w:rsidRPr="00271666">
        <w:rPr>
          <w:rStyle w:val="FootnoteReference"/>
        </w:rPr>
        <w:footnoteReference w:id="54"/>
      </w:r>
      <w:r w:rsidRPr="00271666">
        <w:t xml:space="preserve"> </w:t>
      </w:r>
      <w:r w:rsidR="00A87146" w:rsidRPr="00271666">
        <w:t xml:space="preserve">the ability to vote by post was provided in the Electoral (Amendment) Act 2006. Prisoners can be registered to vote in the constituency in which they would normally vote. They are not entitled to receive temporary release to vote, but they </w:t>
      </w:r>
      <w:r w:rsidR="004B49A0">
        <w:rPr>
          <w:lang/>
        </w:rPr>
        <w:t>may</w:t>
      </w:r>
      <w:r w:rsidR="00A87146" w:rsidRPr="00271666">
        <w:t xml:space="preserve"> vote by post, or vote in the constituency in which the prison is based. </w:t>
      </w:r>
    </w:p>
    <w:p w14:paraId="5124715A" w14:textId="77777777" w:rsidR="00A87146" w:rsidRPr="00271666" w:rsidRDefault="00A87146" w:rsidP="00133305">
      <w:pPr>
        <w:spacing w:line="360" w:lineRule="auto"/>
        <w:jc w:val="both"/>
      </w:pPr>
    </w:p>
    <w:p w14:paraId="545E0495" w14:textId="719D7CF1" w:rsidR="004B49A0" w:rsidRDefault="00A87146" w:rsidP="00133305">
      <w:pPr>
        <w:spacing w:line="360" w:lineRule="auto"/>
        <w:jc w:val="both"/>
      </w:pPr>
      <w:r w:rsidRPr="00271666">
        <w:t xml:space="preserve">Prisoners are permitted to associate with one another, subject the limitations imposed by the need to maintain good order. A particularly challenging area has been the use of separation or segregation of prisoners. This has resulted in several legal challenges. </w:t>
      </w:r>
      <w:r w:rsidR="00F1517E" w:rsidRPr="00271666">
        <w:t xml:space="preserve">As noted above, </w:t>
      </w:r>
      <w:r w:rsidR="00607170" w:rsidRPr="00271666">
        <w:t>the Prison Rules (Amendment) 2017</w:t>
      </w:r>
      <w:r w:rsidR="00607170" w:rsidRPr="00271666">
        <w:rPr>
          <w:rStyle w:val="FootnoteReference"/>
        </w:rPr>
        <w:footnoteReference w:id="55"/>
      </w:r>
      <w:r w:rsidR="00607170" w:rsidRPr="00271666">
        <w:t xml:space="preserve"> provides that, with certain exceptions, prisoners should have at least two hours per day out of their cell and an opportunity for ‘meaningful human contact’, which is defined as ‘interaction between a prisoner and another person of sufficient proximity to allow both to communicate by way of conversation’.</w:t>
      </w:r>
      <w:r w:rsidR="00607170" w:rsidRPr="00271666">
        <w:rPr>
          <w:rStyle w:val="FootnoteReference"/>
        </w:rPr>
        <w:footnoteReference w:id="56"/>
      </w:r>
      <w:r w:rsidR="00607170" w:rsidRPr="00271666">
        <w:t xml:space="preserve"> Ireland has a record of using long periods of isolation and lock up in response to problems of overcrowding and concerns about permitting interaction between certain groups of prisoners, related to so-called ‘gang’ activity. There have</w:t>
      </w:r>
      <w:r w:rsidR="004B49A0">
        <w:rPr>
          <w:lang/>
        </w:rPr>
        <w:t>, however,</w:t>
      </w:r>
      <w:r w:rsidR="00607170" w:rsidRPr="00271666">
        <w:t xml:space="preserve"> been very </w:t>
      </w:r>
      <w:r w:rsidR="0027616C" w:rsidRPr="00271666">
        <w:t>significant</w:t>
      </w:r>
      <w:r w:rsidR="00607170" w:rsidRPr="00271666">
        <w:t xml:space="preserve"> falls in the numbers of people spending 23 hours per day in their cell since 2020, </w:t>
      </w:r>
      <w:proofErr w:type="gramStart"/>
      <w:r w:rsidR="00607170" w:rsidRPr="00271666">
        <w:t>with the exception of</w:t>
      </w:r>
      <w:proofErr w:type="gramEnd"/>
      <w:r w:rsidR="00607170" w:rsidRPr="00271666">
        <w:t xml:space="preserve"> the pandemic period. In October 2020, for example, there were 103 people spending 23 hours per day in their cells, which rose to 227 in January 2022, but fell to four in October 2023. 167 people were spending 23 hours per day in their cell in October 2023, down from 225 three years previously.</w:t>
      </w:r>
      <w:r w:rsidR="00BA4E27">
        <w:rPr>
          <w:rStyle w:val="FootnoteReference"/>
        </w:rPr>
        <w:footnoteReference w:id="57"/>
      </w:r>
      <w:r w:rsidR="00607170" w:rsidRPr="00271666">
        <w:t xml:space="preserve"> </w:t>
      </w:r>
    </w:p>
    <w:p w14:paraId="55CAD1F8" w14:textId="77777777" w:rsidR="004B49A0" w:rsidRDefault="004B49A0" w:rsidP="00133305">
      <w:pPr>
        <w:spacing w:line="360" w:lineRule="auto"/>
        <w:jc w:val="both"/>
      </w:pPr>
    </w:p>
    <w:p w14:paraId="215B4076" w14:textId="44C98238" w:rsidR="004727FE" w:rsidRPr="0027616C" w:rsidRDefault="00C133D8" w:rsidP="00133305">
      <w:pPr>
        <w:spacing w:line="360" w:lineRule="auto"/>
        <w:jc w:val="both"/>
      </w:pPr>
      <w:r w:rsidRPr="00271666">
        <w:t xml:space="preserve">There are three grounds on which a person can be isolated or segregated from the rest of the prison population. Under rule 62 of the Prison Rules 2007, the governor may direct that a person </w:t>
      </w:r>
      <w:r w:rsidRPr="00271666">
        <w:lastRenderedPageBreak/>
        <w:t>is not allowed to engage in structured activities, communal recreation, or to assoc</w:t>
      </w:r>
      <w:r w:rsidR="00D0179A" w:rsidRPr="00271666">
        <w:t>i</w:t>
      </w:r>
      <w:r w:rsidRPr="00271666">
        <w:t xml:space="preserve">ate with other </w:t>
      </w:r>
      <w:r w:rsidR="004727FE" w:rsidRPr="00271666">
        <w:t>prisoners. A governor must had had information supplied to him or her, or the prisoner’s behaviour must be such as to cause the governor to believe, upon reasonable grounds, that to permit association would result in there being a significant threat to</w:t>
      </w:r>
      <w:r w:rsidR="0027616C">
        <w:t xml:space="preserve"> </w:t>
      </w:r>
      <w:r w:rsidR="004727FE" w:rsidRPr="00271666">
        <w:t xml:space="preserve">the maintenance of good order or safe and secure custody. There are various provisions for review of the decision. Rule 63 applies to the case of ‘vulnerable prisoners’, whereby a prisoner either at his own request or when the governor considers it necessary ‘in so far as is practicable and subject to the maintenance of good order and safe and secure custody’ be kept separate from other prisoners who are reasonably likely to cause significant harm to him or her. Prisoners in this situation may </w:t>
      </w:r>
      <w:r w:rsidR="0027616C" w:rsidRPr="00271666">
        <w:t>participate</w:t>
      </w:r>
      <w:r w:rsidR="004727FE" w:rsidRPr="00271666">
        <w:t xml:space="preserve"> with other prisoners of the same category in authorised </w:t>
      </w:r>
      <w:r w:rsidR="0027616C" w:rsidRPr="00271666">
        <w:t>activity</w:t>
      </w:r>
      <w:r w:rsidR="004727FE" w:rsidRPr="00271666">
        <w:t xml:space="preserve">. Rule 64 governs the use of special observation cells, and a prisoner may be kept in such a cell for a period not exceeding 24 hours. This detention can be made if it is necessary to prevent the prisoner from causing imminent injury to himself or others, and all other less restrictive measures would be inadequate. </w:t>
      </w:r>
      <w:r w:rsidR="00CE05E5" w:rsidRPr="00271666">
        <w:t xml:space="preserve">This period of detention in a special observation cell may be extended, following </w:t>
      </w:r>
      <w:r w:rsidR="0027616C" w:rsidRPr="00271666">
        <w:t>consultation</w:t>
      </w:r>
      <w:r w:rsidR="00CE05E5" w:rsidRPr="00271666">
        <w:t xml:space="preserve"> with the prison doctor. The courts have held that, where a governor wishes to restrict a person’s </w:t>
      </w:r>
      <w:proofErr w:type="gramStart"/>
      <w:r w:rsidR="00CE05E5" w:rsidRPr="00271666">
        <w:t>regime</w:t>
      </w:r>
      <w:proofErr w:type="gramEnd"/>
      <w:r w:rsidR="00CE05E5" w:rsidRPr="00271666">
        <w:t xml:space="preserve"> she or he must use these statutory provisions, and cannot create a restricted regime with no foundation in these rules.</w:t>
      </w:r>
      <w:r w:rsidR="00CE05E5" w:rsidRPr="00271666">
        <w:rPr>
          <w:rStyle w:val="FootnoteReference"/>
        </w:rPr>
        <w:footnoteReference w:id="58"/>
      </w:r>
      <w:r w:rsidR="00BA4E27">
        <w:rPr>
          <w:lang/>
        </w:rPr>
        <w:t xml:space="preserve"> </w:t>
      </w:r>
      <w:r w:rsidR="0027616C">
        <w:t>The High Court has also held that the governor must give substantive reasons when deciding to impose isolation under rule 62, and cannot merely recite the legal basis for the use of separation.</w:t>
      </w:r>
      <w:r w:rsidR="0027616C">
        <w:rPr>
          <w:rStyle w:val="FootnoteReference"/>
        </w:rPr>
        <w:footnoteReference w:id="59"/>
      </w:r>
    </w:p>
    <w:p w14:paraId="49665B2E" w14:textId="77777777" w:rsidR="004727FE" w:rsidRPr="00271666" w:rsidRDefault="004727FE" w:rsidP="00133305">
      <w:pPr>
        <w:spacing w:line="360" w:lineRule="auto"/>
        <w:jc w:val="both"/>
      </w:pPr>
    </w:p>
    <w:p w14:paraId="68727EDA" w14:textId="35640306" w:rsidR="00B57DDF" w:rsidRPr="00271666" w:rsidRDefault="00B57DDF" w:rsidP="00133305">
      <w:pPr>
        <w:pStyle w:val="ListParagraph"/>
        <w:numPr>
          <w:ilvl w:val="0"/>
          <w:numId w:val="12"/>
        </w:numPr>
        <w:spacing w:line="360" w:lineRule="auto"/>
        <w:jc w:val="both"/>
      </w:pPr>
      <w:r w:rsidRPr="00271666">
        <w:t>Right to worship and to freedom of religion</w:t>
      </w:r>
    </w:p>
    <w:p w14:paraId="157C7490" w14:textId="77777777" w:rsidR="00CE05E5" w:rsidRPr="00271666" w:rsidRDefault="00CE05E5" w:rsidP="00133305">
      <w:pPr>
        <w:spacing w:line="360" w:lineRule="auto"/>
        <w:jc w:val="both"/>
      </w:pPr>
    </w:p>
    <w:p w14:paraId="2C22AF13" w14:textId="77777777" w:rsidR="00BA4E27" w:rsidRDefault="00CE05E5" w:rsidP="00133305">
      <w:pPr>
        <w:spacing w:line="360" w:lineRule="auto"/>
        <w:jc w:val="both"/>
      </w:pPr>
      <w:r w:rsidRPr="00271666">
        <w:t xml:space="preserve">Religious, </w:t>
      </w:r>
      <w:proofErr w:type="gramStart"/>
      <w:r w:rsidRPr="00271666">
        <w:t>spiritual</w:t>
      </w:r>
      <w:proofErr w:type="gramEnd"/>
      <w:r w:rsidRPr="00271666">
        <w:t xml:space="preserve"> and moral life is also subject to the Prison Rules 2007. Rule 34 </w:t>
      </w:r>
      <w:r w:rsidR="00271666" w:rsidRPr="00271666">
        <w:t xml:space="preserve">provides that a prisoner shall, in so far as is practicable and subject to the maintenance of good order and safe and secure custody, be permitted to practice and comply with ‘the rules, </w:t>
      </w:r>
      <w:r w:rsidR="00ED2D90" w:rsidRPr="00271666">
        <w:t>observances</w:t>
      </w:r>
      <w:r w:rsidR="00271666" w:rsidRPr="00271666">
        <w:t xml:space="preserve"> and norms of behaviour’ of their religious denomination.</w:t>
      </w:r>
      <w:r w:rsidR="00271666" w:rsidRPr="00271666">
        <w:rPr>
          <w:rStyle w:val="FootnoteReference"/>
        </w:rPr>
        <w:footnoteReference w:id="60"/>
      </w:r>
      <w:r w:rsidR="00271666" w:rsidRPr="00271666">
        <w:t xml:space="preserve"> Subject to the </w:t>
      </w:r>
      <w:r w:rsidR="00ED2D90" w:rsidRPr="00271666">
        <w:t>maintenance</w:t>
      </w:r>
      <w:r w:rsidR="00271666" w:rsidRPr="00271666">
        <w:t xml:space="preserve"> of good order and safe and secure custody, prisoners are also permitted to have access to </w:t>
      </w:r>
      <w:r w:rsidR="00ED2D90" w:rsidRPr="00271666">
        <w:t>religious</w:t>
      </w:r>
      <w:r w:rsidR="00271666" w:rsidRPr="00271666">
        <w:t xml:space="preserve"> books, items and materials relating to the religious faith of which they are a follower or member.</w:t>
      </w:r>
      <w:r w:rsidR="00271666" w:rsidRPr="00271666">
        <w:rPr>
          <w:rStyle w:val="FootnoteReference"/>
        </w:rPr>
        <w:footnoteReference w:id="61"/>
      </w:r>
      <w:r w:rsidR="00271666" w:rsidRPr="00271666">
        <w:t xml:space="preserve"> Prisoners may also attend services </w:t>
      </w:r>
      <w:r w:rsidR="00271666">
        <w:t>and</w:t>
      </w:r>
      <w:r w:rsidR="00271666" w:rsidRPr="00271666">
        <w:t xml:space="preserve"> meetings in the prison of his or</w:t>
      </w:r>
      <w:r w:rsidR="00BA4E27">
        <w:rPr>
          <w:lang/>
        </w:rPr>
        <w:t xml:space="preserve"> h</w:t>
      </w:r>
      <w:r w:rsidR="00271666" w:rsidRPr="00271666">
        <w:t>er denomination,</w:t>
      </w:r>
      <w:r w:rsidR="00271666" w:rsidRPr="00271666">
        <w:rPr>
          <w:rStyle w:val="FootnoteReference"/>
        </w:rPr>
        <w:footnoteReference w:id="62"/>
      </w:r>
      <w:r w:rsidR="00271666" w:rsidRPr="00271666">
        <w:t xml:space="preserve"> but </w:t>
      </w:r>
      <w:r w:rsidR="00271666" w:rsidRPr="00271666">
        <w:lastRenderedPageBreak/>
        <w:t>no prisoner may be compelled to attend any religious service or meting. Prisoners must also have access to a chaplain of any religious denomination, subject to the maintenance of good order and safe and secure custody. Meetings with cha</w:t>
      </w:r>
      <w:r w:rsidR="00271666">
        <w:t>p</w:t>
      </w:r>
      <w:r w:rsidR="00271666" w:rsidRPr="00271666">
        <w:t xml:space="preserve">lains shall not, unless there is a different local </w:t>
      </w:r>
      <w:r w:rsidR="00271666">
        <w:t xml:space="preserve">order in place, shall not be held in the </w:t>
      </w:r>
      <w:proofErr w:type="spellStart"/>
      <w:r w:rsidR="00271666">
        <w:t>pres</w:t>
      </w:r>
      <w:proofErr w:type="spellEnd"/>
      <w:r w:rsidR="00BA4E27">
        <w:rPr>
          <w:lang/>
        </w:rPr>
        <w:t>e</w:t>
      </w:r>
      <w:proofErr w:type="spellStart"/>
      <w:r w:rsidR="00271666">
        <w:t>nce</w:t>
      </w:r>
      <w:proofErr w:type="spellEnd"/>
      <w:r w:rsidR="00271666">
        <w:t xml:space="preserve"> or </w:t>
      </w:r>
      <w:proofErr w:type="spellStart"/>
      <w:r w:rsidR="00271666">
        <w:t>wi</w:t>
      </w:r>
      <w:proofErr w:type="spellEnd"/>
      <w:r w:rsidR="00BA4E27">
        <w:rPr>
          <w:lang/>
        </w:rPr>
        <w:t>thin</w:t>
      </w:r>
      <w:r w:rsidR="00271666">
        <w:t xml:space="preserve"> the view or hearing of a prisoner officer, unless the chaplain or prisoner requests this.</w:t>
      </w:r>
      <w:r w:rsidR="00271666">
        <w:rPr>
          <w:rStyle w:val="FootnoteReference"/>
        </w:rPr>
        <w:footnoteReference w:id="63"/>
      </w:r>
      <w:r w:rsidR="00271666">
        <w:t xml:space="preserve"> If there is no chaplain in the prison from the religion a prisoner belongs to, the governor may permit spiritual or pastoral visits from a minister or other representative of that person’s religious denomination from outside the prison.</w:t>
      </w:r>
      <w:r w:rsidR="00271666">
        <w:rPr>
          <w:rStyle w:val="FootnoteReference"/>
        </w:rPr>
        <w:footnoteReference w:id="64"/>
      </w:r>
      <w:r w:rsidR="00271666">
        <w:t xml:space="preserve"> These visits may be in the view of a prison officer, but not within his or her hearing.</w:t>
      </w:r>
      <w:r w:rsidR="00271666">
        <w:rPr>
          <w:rStyle w:val="FootnoteReference"/>
        </w:rPr>
        <w:footnoteReference w:id="65"/>
      </w:r>
      <w:r w:rsidR="00271666">
        <w:t xml:space="preserve"> </w:t>
      </w:r>
    </w:p>
    <w:p w14:paraId="16898947" w14:textId="77777777" w:rsidR="00BA4E27" w:rsidRDefault="00BA4E27" w:rsidP="00133305">
      <w:pPr>
        <w:spacing w:line="360" w:lineRule="auto"/>
        <w:jc w:val="both"/>
      </w:pPr>
    </w:p>
    <w:p w14:paraId="5A0B0FFA" w14:textId="49A33DE0" w:rsidR="00CE05E5" w:rsidRPr="00271666" w:rsidRDefault="00271666" w:rsidP="00133305">
      <w:pPr>
        <w:spacing w:line="360" w:lineRule="auto"/>
        <w:jc w:val="both"/>
      </w:pPr>
      <w:r>
        <w:t>Chaplains are also subject to part 15 of the Prison Rules 2007. Under rule 115, they are obliged to comply with the Prison Rules, and to ‘treat prisoners with the same dignity and respect as would be afforded to any person availing of his or her services who is not a prisoner.</w:t>
      </w:r>
      <w:r>
        <w:rPr>
          <w:rStyle w:val="FootnoteReference"/>
        </w:rPr>
        <w:footnoteReference w:id="66"/>
      </w:r>
      <w:r>
        <w:t xml:space="preserve"> Chaplains are obliged to encourage prisoners to talk to them, </w:t>
      </w:r>
      <w:r w:rsidR="00B52462">
        <w:t>to bring the governor’s attention to matters relating ot the wellbeing of prisoners, and develop and maintain links with appropriate community based groups.</w:t>
      </w:r>
      <w:r w:rsidR="00B52462">
        <w:rPr>
          <w:rStyle w:val="FootnoteReference"/>
        </w:rPr>
        <w:footnoteReference w:id="67"/>
      </w:r>
      <w:r w:rsidR="00B52462">
        <w:t xml:space="preserve"> Subject to any local orders, a chaplain is entitled to visit a prisoner at any time in any part of a prison.</w:t>
      </w:r>
      <w:r w:rsidR="00B52462">
        <w:rPr>
          <w:rStyle w:val="FootnoteReference"/>
        </w:rPr>
        <w:footnoteReference w:id="68"/>
      </w:r>
      <w:r w:rsidR="00B52462">
        <w:t xml:space="preserve"> Chaplains are also obliged to inform the governor in writing if he or she is of the opinion that the spiritual, moral, mental, emotional or physical state of any prisoner is being significantly impaired by his or her continued imprisonment.</w:t>
      </w:r>
      <w:r w:rsidR="00B52462">
        <w:rPr>
          <w:rStyle w:val="FootnoteReference"/>
        </w:rPr>
        <w:footnoteReference w:id="69"/>
      </w:r>
      <w:r w:rsidR="00B52462">
        <w:t xml:space="preserve"> </w:t>
      </w:r>
    </w:p>
    <w:p w14:paraId="0F541DF8" w14:textId="77777777" w:rsidR="00271666" w:rsidRPr="00271666" w:rsidRDefault="00271666" w:rsidP="00133305">
      <w:pPr>
        <w:spacing w:line="360" w:lineRule="auto"/>
        <w:jc w:val="both"/>
      </w:pPr>
    </w:p>
    <w:p w14:paraId="0B795920" w14:textId="77777777" w:rsidR="00B57DDF" w:rsidRDefault="00B57DDF" w:rsidP="00133305">
      <w:pPr>
        <w:pStyle w:val="ListParagraph"/>
        <w:numPr>
          <w:ilvl w:val="0"/>
          <w:numId w:val="12"/>
        </w:numPr>
        <w:spacing w:line="360" w:lineRule="auto"/>
        <w:jc w:val="both"/>
      </w:pPr>
      <w:r w:rsidRPr="00271666">
        <w:t>Legal Aid</w:t>
      </w:r>
    </w:p>
    <w:p w14:paraId="74DB9E46" w14:textId="77777777" w:rsidR="00B52462" w:rsidRDefault="00B52462" w:rsidP="00133305">
      <w:pPr>
        <w:spacing w:line="360" w:lineRule="auto"/>
        <w:jc w:val="both"/>
      </w:pPr>
    </w:p>
    <w:p w14:paraId="37C5B795" w14:textId="35642689" w:rsidR="00B52462" w:rsidRDefault="00B52462" w:rsidP="00133305">
      <w:pPr>
        <w:spacing w:line="360" w:lineRule="auto"/>
        <w:jc w:val="both"/>
      </w:pPr>
      <w:r>
        <w:t xml:space="preserve">There is no formal system for funded legal aid for prisoners seeking to take cases concerning their prison conditions or breaches of their constitutional rights. If the prisoner wins their case, they will usually obtain the costs of taking the action. </w:t>
      </w:r>
      <w:r w:rsidR="00540BBC">
        <w:t xml:space="preserve">The Supreme Court engaged in a rare examination of the question of the costs which lawyers acting for a prisoner should receive in </w:t>
      </w:r>
      <w:r w:rsidR="00540BBC">
        <w:rPr>
          <w:i/>
          <w:iCs/>
        </w:rPr>
        <w:t>Simpson v. Governor of Mountjoy Prison</w:t>
      </w:r>
      <w:r w:rsidR="00540BBC">
        <w:t>.</w:t>
      </w:r>
      <w:r w:rsidR="00540BBC">
        <w:rPr>
          <w:rStyle w:val="FootnoteReference"/>
        </w:rPr>
        <w:footnoteReference w:id="70"/>
      </w:r>
      <w:r w:rsidR="00540BBC">
        <w:t xml:space="preserve"> This case concerned a breach of a prisoner’s rights to protection of the person in circumstances where the prisoner was subject to poor conditions, including</w:t>
      </w:r>
      <w:r w:rsidR="00093054">
        <w:t xml:space="preserve"> long periods in his cell and</w:t>
      </w:r>
      <w:r w:rsidR="00540BBC">
        <w:t xml:space="preserve"> a lack of in-cell sanitation. The absence of in-cell </w:t>
      </w:r>
      <w:r w:rsidR="00540BBC">
        <w:lastRenderedPageBreak/>
        <w:t xml:space="preserve">sanitation </w:t>
      </w:r>
      <w:r w:rsidR="00093054">
        <w:t xml:space="preserve">was a widespread practice in Ireland until recently (it continues to exist for a small number of prisoners) and thousands of legal cases had been taken by prisoners seeking redress. </w:t>
      </w:r>
      <w:r w:rsidR="00895DBF">
        <w:t xml:space="preserve">The claimant in the </w:t>
      </w:r>
      <w:r w:rsidR="00895DBF">
        <w:rPr>
          <w:i/>
          <w:iCs/>
        </w:rPr>
        <w:t xml:space="preserve">Simpson </w:t>
      </w:r>
      <w:r w:rsidR="00895DBF">
        <w:t xml:space="preserve">case received €7500 in damages. Normally, costs of taking the action would be awarded to the successful party, but, in this case, the Supreme Court refused to award the full costs involved as the claimaint was found to have exaggerated part of his claim, was untruthful, and the length of the hearing was in part due to how the claimant had made the claims involved. The Supreme Court held that there must be some sanction for the conduct of the claimant in the proceedings, that the claimant had failed to discharge the standard of proof in many aspects of the case, and the ultimate award of damages was well below the High Court’s jurisdiction. However, MacMenamin J also noted that the decision had the value of offering principles or guidelines to other cases, and, ultimately, the court did find the prisoner’s rights had been violated. All in all, the court decided to awared 33.3% of the </w:t>
      </w:r>
      <w:r w:rsidR="00486E41">
        <w:t xml:space="preserve">reserved </w:t>
      </w:r>
      <w:r w:rsidR="00895DBF">
        <w:t>costs</w:t>
      </w:r>
      <w:r w:rsidR="00486E41">
        <w:t xml:space="preserve"> of the action. The State Claims Agency, which is a government body which manages cases taken against public bodies, created a scheme of settlement of cases involving a lack of in-cell sanitation in an effort to avoid litigation in the courts. As of 31 March 2023, 3,258 claims of this kind had been received by the State Claims Agency regarding a lack of in-cell sanitation. Damages and measured legal costs are offered to successful applicants.</w:t>
      </w:r>
      <w:r w:rsidR="00BA4E27">
        <w:rPr>
          <w:rStyle w:val="FootnoteReference"/>
        </w:rPr>
        <w:footnoteReference w:id="71"/>
      </w:r>
      <w:r w:rsidR="00486E41">
        <w:t xml:space="preserve"> </w:t>
      </w:r>
    </w:p>
    <w:p w14:paraId="65622050" w14:textId="77777777" w:rsidR="00486E41" w:rsidRDefault="00486E41" w:rsidP="00133305">
      <w:pPr>
        <w:spacing w:line="360" w:lineRule="auto"/>
        <w:jc w:val="both"/>
      </w:pPr>
    </w:p>
    <w:p w14:paraId="495CD1A1" w14:textId="0DD1C699" w:rsidR="00B57DDF" w:rsidRPr="000671D3" w:rsidRDefault="00486E41" w:rsidP="00133305">
      <w:pPr>
        <w:spacing w:line="360" w:lineRule="auto"/>
        <w:jc w:val="both"/>
      </w:pPr>
      <w:r>
        <w:t xml:space="preserve">Legal aid is not available to prisoners seeking to challenge disciplinary sanctions </w:t>
      </w:r>
      <w:r w:rsidR="000671D3">
        <w:t>applied to them. They may receive the costs of any challenge in the courts if they win their case. The High Court has held that there is no entitlement for prisoners to obtain funding for legal aid when they are applying for early release.</w:t>
      </w:r>
      <w:r w:rsidR="000671D3">
        <w:rPr>
          <w:rStyle w:val="FootnoteReference"/>
        </w:rPr>
        <w:footnoteReference w:id="72"/>
      </w:r>
      <w:r w:rsidR="000671D3">
        <w:t xml:space="preserve"> However, the government has provided for funded legal aid to prisoners applying for release under the Parole Act 2019. This Act applies to prisoners who are sentenced to life imprisonment and who have served twelve years of their sentence. The Parole Board is an agency independent of government which decides on whether a person in this situation should be released. Prisoners may be represented in parole hearings and their legal representatives may be remunerated for their work.</w:t>
      </w:r>
      <w:r w:rsidR="000671D3">
        <w:rPr>
          <w:rStyle w:val="FootnoteReference"/>
        </w:rPr>
        <w:footnoteReference w:id="73"/>
      </w:r>
    </w:p>
    <w:p w14:paraId="02A0A0E6" w14:textId="77777777" w:rsidR="00B57DDF" w:rsidRPr="00271666" w:rsidRDefault="00B57DDF" w:rsidP="00133305">
      <w:pPr>
        <w:spacing w:line="360" w:lineRule="auto"/>
        <w:jc w:val="both"/>
      </w:pPr>
    </w:p>
    <w:p w14:paraId="6749596A" w14:textId="77777777" w:rsidR="00B57DDF" w:rsidRPr="00271666" w:rsidRDefault="00B57DDF" w:rsidP="00133305">
      <w:pPr>
        <w:spacing w:line="360" w:lineRule="auto"/>
        <w:jc w:val="both"/>
        <w:rPr>
          <w:b/>
          <w:bCs/>
        </w:rPr>
      </w:pPr>
      <w:r w:rsidRPr="00271666">
        <w:rPr>
          <w:b/>
          <w:bCs/>
        </w:rPr>
        <w:t>III – Regulations and specific categories of prisoners</w:t>
      </w:r>
    </w:p>
    <w:p w14:paraId="03F82AC1" w14:textId="77777777" w:rsidR="00B57DDF" w:rsidRDefault="00B57DDF" w:rsidP="00133305">
      <w:pPr>
        <w:pStyle w:val="ListParagraph"/>
        <w:numPr>
          <w:ilvl w:val="0"/>
          <w:numId w:val="5"/>
        </w:numPr>
        <w:spacing w:line="360" w:lineRule="auto"/>
        <w:jc w:val="both"/>
      </w:pPr>
      <w:r w:rsidRPr="00271666">
        <w:t>Minors</w:t>
      </w:r>
    </w:p>
    <w:p w14:paraId="37105E5C" w14:textId="77777777" w:rsidR="000671D3" w:rsidRDefault="000671D3" w:rsidP="00133305">
      <w:pPr>
        <w:spacing w:line="360" w:lineRule="auto"/>
        <w:jc w:val="both"/>
      </w:pPr>
    </w:p>
    <w:p w14:paraId="778281D2" w14:textId="1C37F1FF" w:rsidR="000671D3" w:rsidRDefault="000671D3" w:rsidP="00133305">
      <w:pPr>
        <w:spacing w:line="360" w:lineRule="auto"/>
        <w:jc w:val="both"/>
      </w:pPr>
      <w:r>
        <w:t>Children under the age of 18 must not be placed in prison</w:t>
      </w:r>
      <w:r w:rsidR="00126637">
        <w:t xml:space="preserve"> or sentenced to imprisonment.</w:t>
      </w:r>
      <w:r w:rsidR="00126637">
        <w:rPr>
          <w:rStyle w:val="FootnoteReference"/>
        </w:rPr>
        <w:footnoteReference w:id="74"/>
      </w:r>
      <w:r w:rsidR="00126637">
        <w:t xml:space="preserve"> Children are dealt with through a separate system of justice and forms of detention.</w:t>
      </w:r>
    </w:p>
    <w:p w14:paraId="7F84413C" w14:textId="77777777" w:rsidR="00A034B4" w:rsidRPr="000671D3" w:rsidRDefault="00A034B4" w:rsidP="00133305">
      <w:pPr>
        <w:spacing w:line="360" w:lineRule="auto"/>
        <w:jc w:val="both"/>
      </w:pPr>
    </w:p>
    <w:p w14:paraId="628CE02A" w14:textId="77777777" w:rsidR="00B57DDF" w:rsidRDefault="00B57DDF" w:rsidP="00133305">
      <w:pPr>
        <w:pStyle w:val="ListParagraph"/>
        <w:numPr>
          <w:ilvl w:val="0"/>
          <w:numId w:val="5"/>
        </w:numPr>
        <w:spacing w:line="360" w:lineRule="auto"/>
        <w:jc w:val="both"/>
      </w:pPr>
      <w:r w:rsidRPr="00271666">
        <w:t>Pregnant women and young mothers</w:t>
      </w:r>
    </w:p>
    <w:p w14:paraId="791ECEE6" w14:textId="77777777" w:rsidR="00A034B4" w:rsidRDefault="00A034B4" w:rsidP="00133305">
      <w:pPr>
        <w:spacing w:line="360" w:lineRule="auto"/>
        <w:jc w:val="both"/>
      </w:pPr>
    </w:p>
    <w:p w14:paraId="35F63685" w14:textId="06AD471B" w:rsidR="00A034B4" w:rsidRPr="00271666" w:rsidRDefault="00A034B4" w:rsidP="00133305">
      <w:pPr>
        <w:spacing w:line="360" w:lineRule="auto"/>
        <w:jc w:val="both"/>
      </w:pPr>
      <w:r>
        <w:t>Pregnant women may be detained in prison. A</w:t>
      </w:r>
      <w:r w:rsidRPr="00271666">
        <w:t xml:space="preserve"> child </w:t>
      </w:r>
      <w:r>
        <w:t xml:space="preserve">of a female prisoner </w:t>
      </w:r>
      <w:r w:rsidRPr="00271666">
        <w:t>may be admitted to prison and remain with its mother until the age of twelve months, and may stay longer in unspecified ‘special circumstances’.</w:t>
      </w:r>
      <w:r w:rsidRPr="00271666">
        <w:rPr>
          <w:rStyle w:val="FootnoteReference"/>
        </w:rPr>
        <w:footnoteReference w:id="75"/>
      </w:r>
    </w:p>
    <w:p w14:paraId="157ECC73" w14:textId="41964A22" w:rsidR="00A034B4" w:rsidRPr="00A034B4" w:rsidRDefault="00A034B4" w:rsidP="00133305">
      <w:pPr>
        <w:spacing w:line="360" w:lineRule="auto"/>
        <w:jc w:val="both"/>
      </w:pPr>
    </w:p>
    <w:p w14:paraId="518091FC" w14:textId="77777777" w:rsidR="00B57DDF" w:rsidRDefault="00B57DDF" w:rsidP="00133305">
      <w:pPr>
        <w:pStyle w:val="ListParagraph"/>
        <w:numPr>
          <w:ilvl w:val="0"/>
          <w:numId w:val="5"/>
        </w:numPr>
        <w:spacing w:line="360" w:lineRule="auto"/>
        <w:jc w:val="both"/>
      </w:pPr>
      <w:r w:rsidRPr="00271666">
        <w:t>Foreigners</w:t>
      </w:r>
    </w:p>
    <w:p w14:paraId="1110236B" w14:textId="77777777" w:rsidR="00A034B4" w:rsidRDefault="00A034B4" w:rsidP="00133305">
      <w:pPr>
        <w:spacing w:line="360" w:lineRule="auto"/>
        <w:jc w:val="both"/>
      </w:pPr>
    </w:p>
    <w:p w14:paraId="704AB71E" w14:textId="790904C4" w:rsidR="00A034B4" w:rsidRDefault="00A034B4" w:rsidP="00133305">
      <w:pPr>
        <w:spacing w:line="360" w:lineRule="auto"/>
        <w:jc w:val="both"/>
      </w:pPr>
      <w:r>
        <w:t xml:space="preserve">As described above, prisoners who are not citizens of Ireland are subject to a number of special provisions in the Prison Rules 2007, including entitlements to visits from the consul of their home state, and translations of the booklet providing information to prisoners. </w:t>
      </w:r>
      <w:r w:rsidR="00683FAC">
        <w:t xml:space="preserve">There are deficiencies in the data collected on the </w:t>
      </w:r>
      <w:r w:rsidR="001B389B">
        <w:t>countries of origin and ethnic minority status of people in prison in Ireland. Limited research on their experiences exists, but research indicates that there are disparities between Irish and non-Irish nationals in terms of sentencin</w:t>
      </w:r>
      <w:r w:rsidR="00923882">
        <w:t>g, while these differences are modest, they are statistically significant.</w:t>
      </w:r>
      <w:r w:rsidR="001B389B">
        <w:rPr>
          <w:rStyle w:val="FootnoteReference"/>
        </w:rPr>
        <w:footnoteReference w:id="76"/>
      </w:r>
      <w:r w:rsidR="001B389B">
        <w:t xml:space="preserve"> There has been a considerable increase in the number of </w:t>
      </w:r>
      <w:r w:rsidR="001274A1">
        <w:t>non-Irish nationals in prisons</w:t>
      </w:r>
      <w:r w:rsidR="00923882">
        <w:t>, with this group representing 21.6% of the prison population in 2022.</w:t>
      </w:r>
      <w:r w:rsidR="00923882">
        <w:rPr>
          <w:rStyle w:val="FootnoteReference"/>
        </w:rPr>
        <w:footnoteReference w:id="77"/>
      </w:r>
      <w:r w:rsidR="00923882">
        <w:t xml:space="preserve"> The majority of those who are not from Ireland are from other member states of the European Union. Other categories used in presenting data include ‘African’ and ‘Asian’, with little further </w:t>
      </w:r>
      <w:r w:rsidR="00BA4E27">
        <w:rPr>
          <w:lang/>
        </w:rPr>
        <w:t>specification</w:t>
      </w:r>
      <w:r w:rsidR="00923882">
        <w:t>. Qualitative research has found that foreign national prisoners have reported challenges in gaining access to services in prison, as well as problems with regard to exercising their religion</w:t>
      </w:r>
      <w:r w:rsidR="00AA3E2D">
        <w:t>. Others reported a feeling of distrust in the authorities because of negative experiences with the criminal justice system more generally.</w:t>
      </w:r>
      <w:r w:rsidR="00AA3E2D">
        <w:rPr>
          <w:rStyle w:val="FootnoteReference"/>
        </w:rPr>
        <w:footnoteReference w:id="78"/>
      </w:r>
    </w:p>
    <w:p w14:paraId="0F8E5F6C" w14:textId="77777777" w:rsidR="001B389B" w:rsidRPr="00A034B4" w:rsidRDefault="001B389B" w:rsidP="00133305">
      <w:pPr>
        <w:spacing w:line="360" w:lineRule="auto"/>
        <w:jc w:val="both"/>
      </w:pPr>
    </w:p>
    <w:p w14:paraId="4C6D4B82" w14:textId="77777777" w:rsidR="00B57DDF" w:rsidRDefault="00B57DDF" w:rsidP="00133305">
      <w:pPr>
        <w:pStyle w:val="ListParagraph"/>
        <w:numPr>
          <w:ilvl w:val="0"/>
          <w:numId w:val="5"/>
        </w:numPr>
        <w:spacing w:line="360" w:lineRule="auto"/>
        <w:jc w:val="both"/>
      </w:pPr>
      <w:r w:rsidRPr="00271666">
        <w:t>Dangerous prisoners</w:t>
      </w:r>
    </w:p>
    <w:p w14:paraId="1BE0F852" w14:textId="77777777" w:rsidR="00A034B4" w:rsidRDefault="00A034B4" w:rsidP="00133305">
      <w:pPr>
        <w:spacing w:line="360" w:lineRule="auto"/>
        <w:jc w:val="both"/>
      </w:pPr>
    </w:p>
    <w:p w14:paraId="7C0EE4D7" w14:textId="1E809E5A" w:rsidR="00A034B4" w:rsidRDefault="00A034B4" w:rsidP="00133305">
      <w:pPr>
        <w:spacing w:line="360" w:lineRule="auto"/>
        <w:jc w:val="both"/>
      </w:pPr>
      <w:r>
        <w:t>Ireland does not apply a specific category of ‘dangerous prisoners’. However, as described above, there are provisions which permit the isolation of prisoners on the grounds of safety. Prisoners may be detained in the National Violence Reduction Unit (NVRU) which is contained in the Midlands Prison, and has been open since 2018. There are approximately six prisoners in this unit at a time. The unit is currently the subject of an independent review.</w:t>
      </w:r>
      <w:r>
        <w:rPr>
          <w:rStyle w:val="FootnoteReference"/>
        </w:rPr>
        <w:footnoteReference w:id="79"/>
      </w:r>
    </w:p>
    <w:p w14:paraId="3ED43AE1" w14:textId="77777777" w:rsidR="00A034B4" w:rsidRPr="00A034B4" w:rsidRDefault="00A034B4" w:rsidP="00133305">
      <w:pPr>
        <w:spacing w:line="360" w:lineRule="auto"/>
        <w:jc w:val="both"/>
      </w:pPr>
    </w:p>
    <w:p w14:paraId="17F6A7B3" w14:textId="77777777" w:rsidR="00B57DDF" w:rsidRDefault="00B57DDF" w:rsidP="00133305">
      <w:pPr>
        <w:pStyle w:val="ListParagraph"/>
        <w:numPr>
          <w:ilvl w:val="0"/>
          <w:numId w:val="5"/>
        </w:numPr>
        <w:spacing w:line="360" w:lineRule="auto"/>
        <w:jc w:val="both"/>
      </w:pPr>
      <w:r w:rsidRPr="00271666">
        <w:t>Non-disciplinary solitary confinement</w:t>
      </w:r>
    </w:p>
    <w:p w14:paraId="2B5DF517" w14:textId="77777777" w:rsidR="00A034B4" w:rsidRDefault="00A034B4" w:rsidP="00133305">
      <w:pPr>
        <w:spacing w:line="360" w:lineRule="auto"/>
        <w:jc w:val="both"/>
      </w:pPr>
    </w:p>
    <w:p w14:paraId="74C46684" w14:textId="70C3FC46" w:rsidR="00A034B4" w:rsidRDefault="00F84D49" w:rsidP="00133305">
      <w:pPr>
        <w:spacing w:line="360" w:lineRule="auto"/>
        <w:jc w:val="both"/>
      </w:pPr>
      <w:r>
        <w:t xml:space="preserve">As described above, long periods of detention alone in a cell may be imposed under rules 62, 63 and 64 of the Prison Rules, which permit isolation in situations involving order, safety, or the need for special observation. </w:t>
      </w:r>
    </w:p>
    <w:p w14:paraId="2ACCE432" w14:textId="77777777" w:rsidR="00F84D49" w:rsidRPr="00F84D49" w:rsidRDefault="00F84D49" w:rsidP="00133305">
      <w:pPr>
        <w:spacing w:line="360" w:lineRule="auto"/>
        <w:jc w:val="both"/>
      </w:pPr>
    </w:p>
    <w:p w14:paraId="6C8C3FF6" w14:textId="77777777" w:rsidR="00B57DDF" w:rsidRDefault="00B57DDF" w:rsidP="00133305">
      <w:pPr>
        <w:pStyle w:val="ListParagraph"/>
        <w:numPr>
          <w:ilvl w:val="0"/>
          <w:numId w:val="5"/>
        </w:numPr>
        <w:spacing w:line="360" w:lineRule="auto"/>
        <w:jc w:val="both"/>
      </w:pPr>
      <w:r w:rsidRPr="00271666">
        <w:t>Indigenous people</w:t>
      </w:r>
    </w:p>
    <w:p w14:paraId="2245E156" w14:textId="77777777" w:rsidR="009D264C" w:rsidRDefault="009D264C" w:rsidP="00133305">
      <w:pPr>
        <w:spacing w:line="360" w:lineRule="auto"/>
        <w:jc w:val="both"/>
      </w:pPr>
    </w:p>
    <w:p w14:paraId="2FEC4B25" w14:textId="4DC2F42D" w:rsidR="009D264C" w:rsidRDefault="009D264C" w:rsidP="00133305">
      <w:pPr>
        <w:spacing w:line="360" w:lineRule="auto"/>
        <w:jc w:val="both"/>
      </w:pPr>
      <w:r>
        <w:t xml:space="preserve">Ireland has one recognised ethnic group, Irish Travellers or Mincéirí, a group with a shared history, traditions, </w:t>
      </w:r>
      <w:proofErr w:type="gramStart"/>
      <w:r>
        <w:t>language</w:t>
      </w:r>
      <w:proofErr w:type="gramEnd"/>
      <w:r>
        <w:t xml:space="preserve"> and culture rooted in a nomadic tradition. No specific prison rules apply with respect to members of the Travelling Community, and there have been calls to include a specific provision in the Prison Rules </w:t>
      </w:r>
      <w:r w:rsidR="00683FAC">
        <w:t>concerning anti-discrimination.</w:t>
      </w:r>
      <w:r w:rsidR="00683FAC">
        <w:rPr>
          <w:rStyle w:val="FootnoteReference"/>
        </w:rPr>
        <w:footnoteReference w:id="80"/>
      </w:r>
      <w:r w:rsidR="00683FAC">
        <w:t xml:space="preserve"> </w:t>
      </w:r>
      <w:r w:rsidR="00897909">
        <w:t xml:space="preserve">Rule 75(5) of the Prison Rules require a prison governor to ensure that the Prison Rules are applied fairly, impartially and without discrimination. </w:t>
      </w:r>
      <w:r w:rsidR="00683FAC">
        <w:t>While limited research exists on the experiences of Irish Travellers in prison, a study has found that prisoners from this background report experiences of discrimination</w:t>
      </w:r>
      <w:r w:rsidR="00AA3E2D">
        <w:t>,</w:t>
      </w:r>
      <w:r w:rsidR="00683FAC">
        <w:rPr>
          <w:rStyle w:val="FootnoteReference"/>
        </w:rPr>
        <w:footnoteReference w:id="81"/>
      </w:r>
      <w:r w:rsidR="00AA3E2D">
        <w:t xml:space="preserve"> including name-calling from other prisoners, and a reluctance to engage in activities out of a fear of being discriminated against. While systematic evidence does not exist, it would appear that Irish Travellers are disproportionately represented in the Irish prison </w:t>
      </w:r>
      <w:r w:rsidR="00AA3E2D">
        <w:lastRenderedPageBreak/>
        <w:t>system.</w:t>
      </w:r>
      <w:r w:rsidR="00AA3E2D">
        <w:rPr>
          <w:rStyle w:val="FootnoteReference"/>
        </w:rPr>
        <w:footnoteReference w:id="82"/>
      </w:r>
      <w:r w:rsidR="00841320">
        <w:t xml:space="preserve"> Irish law requires all public bodies to have regard to the need to promote equality of opportunity, to eliminate discrimination and protect human rights in their work.</w:t>
      </w:r>
      <w:r w:rsidR="00841320">
        <w:rPr>
          <w:rStyle w:val="FootnoteReference"/>
        </w:rPr>
        <w:footnoteReference w:id="83"/>
      </w:r>
      <w:r w:rsidR="00841320">
        <w:t xml:space="preserve"> </w:t>
      </w:r>
    </w:p>
    <w:p w14:paraId="59FF9297" w14:textId="77777777" w:rsidR="00AA3E2D" w:rsidRPr="009D264C" w:rsidRDefault="00AA3E2D" w:rsidP="00133305">
      <w:pPr>
        <w:spacing w:line="360" w:lineRule="auto"/>
        <w:jc w:val="both"/>
      </w:pPr>
    </w:p>
    <w:p w14:paraId="5B7EBA93" w14:textId="77777777" w:rsidR="00B57DDF" w:rsidRDefault="00B57DDF" w:rsidP="00133305">
      <w:pPr>
        <w:pStyle w:val="ListParagraph"/>
        <w:numPr>
          <w:ilvl w:val="0"/>
          <w:numId w:val="5"/>
        </w:numPr>
        <w:spacing w:line="360" w:lineRule="auto"/>
        <w:jc w:val="both"/>
      </w:pPr>
      <w:r w:rsidRPr="00271666">
        <w:t>LGBT</w:t>
      </w:r>
    </w:p>
    <w:p w14:paraId="550DD07B" w14:textId="77777777" w:rsidR="00841320" w:rsidRDefault="00841320" w:rsidP="00133305">
      <w:pPr>
        <w:spacing w:line="360" w:lineRule="auto"/>
        <w:jc w:val="both"/>
      </w:pPr>
    </w:p>
    <w:p w14:paraId="7A70C426" w14:textId="18C3731B" w:rsidR="00841320" w:rsidRDefault="00841320" w:rsidP="00133305">
      <w:pPr>
        <w:spacing w:line="360" w:lineRule="auto"/>
        <w:jc w:val="both"/>
      </w:pPr>
      <w:r>
        <w:t>There are no specific provisions in the Prison Rules concerning LGBTQI+ people in prison. There are no official figures on those LGBTQI+ prisoners, and limited information on their experiences exist. There are no specific policies or standards governing prison administration in this area. One study from 2016 found that participants felt stigmatised, in a hyper-masculine culture.</w:t>
      </w:r>
      <w:r>
        <w:rPr>
          <w:rStyle w:val="FootnoteReference"/>
        </w:rPr>
        <w:footnoteReference w:id="84"/>
      </w:r>
      <w:r w:rsidR="00FA451C">
        <w:t xml:space="preserve"> </w:t>
      </w:r>
      <w:r w:rsidR="00CA5977">
        <w:t xml:space="preserve">One case, </w:t>
      </w:r>
      <w:r w:rsidR="00CA5977">
        <w:rPr>
          <w:i/>
          <w:iCs/>
        </w:rPr>
        <w:t>Connolly v. Governor of Wheatfield Prison</w:t>
      </w:r>
      <w:r w:rsidR="00CA5977" w:rsidRPr="00CA5977">
        <w:rPr>
          <w:rStyle w:val="FootnoteReference"/>
        </w:rPr>
        <w:footnoteReference w:id="85"/>
      </w:r>
      <w:r w:rsidR="009647E4">
        <w:rPr>
          <w:i/>
          <w:iCs/>
          <w:lang/>
        </w:rPr>
        <w:t xml:space="preserve"> </w:t>
      </w:r>
      <w:r w:rsidR="00CA5977">
        <w:t xml:space="preserve">demonstrates the concern. The applicant was a gay man who had previously been raped by a cell-mate. When he was moved to another prison, he requested to be in a cell by himself and be separated from the general prison population. He was fearful of homophobic victimisatoin. The applicant spent 23 hours per day in his cell. The governor was of the view that it was safe for him to mix with the general population, but the applicant refused. The High Court found that Mr Connolly was not in conditions of sensory deprivation, but if this kind of detention were to continue indefinitely for an extended period of months, such conditions could amount to a breach of the person’s constitutional rights. </w:t>
      </w:r>
    </w:p>
    <w:p w14:paraId="5548C09C" w14:textId="77777777" w:rsidR="00235E8F" w:rsidRDefault="00235E8F" w:rsidP="00133305">
      <w:pPr>
        <w:spacing w:line="360" w:lineRule="auto"/>
        <w:jc w:val="both"/>
      </w:pPr>
    </w:p>
    <w:p w14:paraId="457651BC" w14:textId="46403ACD" w:rsidR="00235E8F" w:rsidRPr="00CA5977" w:rsidRDefault="00235E8F" w:rsidP="00133305">
      <w:pPr>
        <w:spacing w:line="360" w:lineRule="auto"/>
        <w:jc w:val="both"/>
      </w:pPr>
      <w:r>
        <w:t>Very limited information or research exists on transgender prisoners in Ireland. One report suggests that there were two transgender prisoners in Ireland in 2023.</w:t>
      </w:r>
      <w:r>
        <w:rPr>
          <w:rStyle w:val="FootnoteReference"/>
        </w:rPr>
        <w:footnoteReference w:id="86"/>
      </w:r>
      <w:r>
        <w:t xml:space="preserve"> The absence of a policy on transgender priosners has been criticised by the Visiting Committee, a body which visits prisons, attached to the prison for women in Dublin, the Dóchas Centre.</w:t>
      </w:r>
      <w:r>
        <w:rPr>
          <w:rStyle w:val="FootnoteReference"/>
        </w:rPr>
        <w:footnoteReference w:id="87"/>
      </w:r>
      <w:r w:rsidR="00DA0CD6">
        <w:t xml:space="preserve"> This group noted that a transgender woman in that prison in 2021 was placed in isolation under rule 63 of the Prison Rules 2007.</w:t>
      </w:r>
      <w:r w:rsidR="008879C7">
        <w:t xml:space="preserve"> The Inspector of Prisons has expressed concern about these long periods of lock </w:t>
      </w:r>
      <w:proofErr w:type="gramStart"/>
      <w:r w:rsidR="008879C7">
        <w:lastRenderedPageBreak/>
        <w:t>up, and</w:t>
      </w:r>
      <w:proofErr w:type="gramEnd"/>
      <w:r w:rsidR="008879C7">
        <w:t xml:space="preserve"> has stated that Ireland is not in compliance with the Yogyakarta principles.</w:t>
      </w:r>
      <w:r w:rsidR="008879C7">
        <w:rPr>
          <w:rStyle w:val="FootnoteReference"/>
        </w:rPr>
        <w:footnoteReference w:id="88"/>
      </w:r>
      <w:r w:rsidR="008879C7">
        <w:t xml:space="preserve"> </w:t>
      </w:r>
      <w:r w:rsidR="009647E4">
        <w:rPr>
          <w:lang/>
        </w:rPr>
        <w:t xml:space="preserve"> </w:t>
      </w:r>
      <w:r w:rsidR="008879C7">
        <w:t>Irish Prison Service guidelines, which are not publicly available, state that a prisoner should be referred to by their preferred pronouns.</w:t>
      </w:r>
      <w:r w:rsidR="008879C7">
        <w:rPr>
          <w:rStyle w:val="FootnoteReference"/>
        </w:rPr>
        <w:footnoteReference w:id="89"/>
      </w:r>
    </w:p>
    <w:p w14:paraId="7BBCD94D" w14:textId="77777777" w:rsidR="00AA3E2D" w:rsidRPr="00271666" w:rsidRDefault="00AA3E2D" w:rsidP="00133305">
      <w:pPr>
        <w:spacing w:line="360" w:lineRule="auto"/>
        <w:jc w:val="both"/>
      </w:pPr>
    </w:p>
    <w:p w14:paraId="27C87D22" w14:textId="77777777" w:rsidR="00B57DDF" w:rsidRDefault="00B57DDF" w:rsidP="00133305">
      <w:pPr>
        <w:pStyle w:val="ListParagraph"/>
        <w:numPr>
          <w:ilvl w:val="0"/>
          <w:numId w:val="5"/>
        </w:numPr>
        <w:spacing w:line="360" w:lineRule="auto"/>
        <w:jc w:val="both"/>
      </w:pPr>
      <w:r w:rsidRPr="00271666">
        <w:t>Elderly persons</w:t>
      </w:r>
    </w:p>
    <w:p w14:paraId="1B5C6C1D" w14:textId="77777777" w:rsidR="00CA5977" w:rsidRDefault="00CA5977" w:rsidP="00133305">
      <w:pPr>
        <w:spacing w:line="360" w:lineRule="auto"/>
        <w:jc w:val="both"/>
      </w:pPr>
    </w:p>
    <w:p w14:paraId="2CFF07DC" w14:textId="4C8253A7" w:rsidR="00CA5977" w:rsidRPr="00DA0CD6" w:rsidRDefault="00CA5977" w:rsidP="00133305">
      <w:pPr>
        <w:spacing w:line="360" w:lineRule="auto"/>
        <w:jc w:val="both"/>
      </w:pPr>
      <w:r>
        <w:t xml:space="preserve">There has been </w:t>
      </w:r>
      <w:r w:rsidR="00235E8F">
        <w:t>an increase in the numbers of prisoners over the age of 50 in Irish prisons over the past ten years. 7.4% of the average daily prison population was over 50 in 2007, while this figure was 11% in 2022.</w:t>
      </w:r>
      <w:r w:rsidR="00235E8F">
        <w:rPr>
          <w:rStyle w:val="FootnoteReference"/>
        </w:rPr>
        <w:footnoteReference w:id="90"/>
      </w:r>
      <w:r w:rsidR="00235E8F">
        <w:t xml:space="preserve"> Th</w:t>
      </w:r>
      <w:r w:rsidR="00DA0CD6">
        <w:t>ere are no specific rules governing the management of this group, though the Irish Prison Service had a Strategy for the Management of Older Persons for 2011-2015. Research with this population has found that older people in prison felt fearful of dying in prison, and that people with dementia continued to be detained.</w:t>
      </w:r>
      <w:r w:rsidR="00DA0CD6">
        <w:rPr>
          <w:rStyle w:val="FootnoteReference"/>
        </w:rPr>
        <w:footnoteReference w:id="91"/>
      </w:r>
      <w:r w:rsidR="00DA0CD6">
        <w:t xml:space="preserve"> </w:t>
      </w:r>
    </w:p>
    <w:p w14:paraId="1CDC6820" w14:textId="77777777" w:rsidR="00B57DDF" w:rsidRPr="00271666" w:rsidRDefault="00B57DDF" w:rsidP="00133305">
      <w:pPr>
        <w:spacing w:line="360" w:lineRule="auto"/>
        <w:jc w:val="both"/>
      </w:pPr>
    </w:p>
    <w:p w14:paraId="4E934693" w14:textId="77777777" w:rsidR="00B57DDF" w:rsidRDefault="00B57DDF" w:rsidP="00133305">
      <w:pPr>
        <w:spacing w:line="360" w:lineRule="auto"/>
        <w:jc w:val="both"/>
        <w:rPr>
          <w:b/>
        </w:rPr>
      </w:pPr>
      <w:r w:rsidRPr="00271666">
        <w:rPr>
          <w:b/>
        </w:rPr>
        <w:t>IV. Safety rules</w:t>
      </w:r>
    </w:p>
    <w:p w14:paraId="133E0A2C" w14:textId="77777777" w:rsidR="008879C7" w:rsidRPr="00271666" w:rsidRDefault="008879C7" w:rsidP="00133305">
      <w:pPr>
        <w:spacing w:line="360" w:lineRule="auto"/>
        <w:jc w:val="both"/>
        <w:rPr>
          <w:b/>
        </w:rPr>
      </w:pPr>
    </w:p>
    <w:p w14:paraId="03076307" w14:textId="77777777" w:rsidR="00B57DDF" w:rsidRDefault="00B57DDF" w:rsidP="00133305">
      <w:pPr>
        <w:pStyle w:val="ListParagraph"/>
        <w:numPr>
          <w:ilvl w:val="0"/>
          <w:numId w:val="4"/>
        </w:numPr>
        <w:spacing w:line="360" w:lineRule="auto"/>
        <w:jc w:val="both"/>
      </w:pPr>
      <w:r w:rsidRPr="00271666">
        <w:t>Inspections</w:t>
      </w:r>
    </w:p>
    <w:p w14:paraId="4D161F66" w14:textId="77777777" w:rsidR="00DA0CD6" w:rsidRDefault="00DA0CD6" w:rsidP="00133305">
      <w:pPr>
        <w:spacing w:line="360" w:lineRule="auto"/>
        <w:jc w:val="both"/>
      </w:pPr>
    </w:p>
    <w:p w14:paraId="4A5DFCDA" w14:textId="6C1234BE" w:rsidR="00DA0CD6" w:rsidRDefault="00A8048F" w:rsidP="00133305">
      <w:pPr>
        <w:spacing w:line="360" w:lineRule="auto"/>
        <w:jc w:val="both"/>
      </w:pPr>
      <w:r>
        <w:t xml:space="preserve">Rule 77 of the Prison Rules oblige the governor to make daily inspections of the prison including the areas where prisoners are held. </w:t>
      </w:r>
    </w:p>
    <w:p w14:paraId="3040382D" w14:textId="77777777" w:rsidR="008879C7" w:rsidRPr="00A8048F" w:rsidRDefault="008879C7" w:rsidP="00133305">
      <w:pPr>
        <w:spacing w:line="360" w:lineRule="auto"/>
        <w:jc w:val="both"/>
      </w:pPr>
    </w:p>
    <w:p w14:paraId="4D6EAD0E" w14:textId="77777777" w:rsidR="00B57DDF" w:rsidRDefault="00B57DDF" w:rsidP="00133305">
      <w:pPr>
        <w:pStyle w:val="ListParagraph"/>
        <w:numPr>
          <w:ilvl w:val="0"/>
          <w:numId w:val="4"/>
        </w:numPr>
        <w:spacing w:line="360" w:lineRule="auto"/>
        <w:jc w:val="both"/>
      </w:pPr>
      <w:r w:rsidRPr="00271666">
        <w:t>Searches</w:t>
      </w:r>
    </w:p>
    <w:p w14:paraId="362A7EA5" w14:textId="77777777" w:rsidR="00A8048F" w:rsidRDefault="00A8048F" w:rsidP="00133305">
      <w:pPr>
        <w:spacing w:line="360" w:lineRule="auto"/>
        <w:jc w:val="both"/>
      </w:pPr>
    </w:p>
    <w:p w14:paraId="45DD46CE" w14:textId="30D733CB" w:rsidR="00A8048F" w:rsidRDefault="00A8048F" w:rsidP="00133305">
      <w:pPr>
        <w:spacing w:line="360" w:lineRule="auto"/>
        <w:jc w:val="both"/>
      </w:pPr>
      <w:r>
        <w:t>When a person is committed to prison, or transferred to a prison, they may be searched under both section 6(3) of the Criminal Law Act 1976 and the Prison Rules 2007. Prisons may be searched at any time where the governor considers, upon reasonable grounds, that the carrying out of the search is necessary for the purposes of:</w:t>
      </w:r>
    </w:p>
    <w:p w14:paraId="2CDFA65B" w14:textId="77777777" w:rsidR="00A8048F" w:rsidRDefault="00A8048F" w:rsidP="00133305">
      <w:pPr>
        <w:spacing w:line="360" w:lineRule="auto"/>
        <w:jc w:val="both"/>
      </w:pPr>
    </w:p>
    <w:p w14:paraId="1266CD5F" w14:textId="5CBC222A" w:rsidR="00A8048F" w:rsidRDefault="00A8048F" w:rsidP="00133305">
      <w:pPr>
        <w:pStyle w:val="ListParagraph"/>
        <w:numPr>
          <w:ilvl w:val="0"/>
          <w:numId w:val="11"/>
        </w:numPr>
        <w:spacing w:line="360" w:lineRule="auto"/>
        <w:jc w:val="both"/>
      </w:pPr>
      <w:r>
        <w:lastRenderedPageBreak/>
        <w:t xml:space="preserve">Ensuring the prisoner is not in possession of a prohibited article; </w:t>
      </w:r>
    </w:p>
    <w:p w14:paraId="5FAC21B4" w14:textId="3BCB80D2" w:rsidR="00A8048F" w:rsidRDefault="00A8048F" w:rsidP="00133305">
      <w:pPr>
        <w:pStyle w:val="ListParagraph"/>
        <w:numPr>
          <w:ilvl w:val="0"/>
          <w:numId w:val="11"/>
        </w:numPr>
        <w:spacing w:line="360" w:lineRule="auto"/>
        <w:jc w:val="both"/>
      </w:pPr>
      <w:r>
        <w:t xml:space="preserve">Confiscating a prohibited article; </w:t>
      </w:r>
    </w:p>
    <w:p w14:paraId="3B6332E8" w14:textId="6221CD38" w:rsidR="00A8048F" w:rsidRDefault="00A8048F" w:rsidP="00133305">
      <w:pPr>
        <w:pStyle w:val="ListParagraph"/>
        <w:numPr>
          <w:ilvl w:val="0"/>
          <w:numId w:val="11"/>
        </w:numPr>
        <w:spacing w:line="360" w:lineRule="auto"/>
        <w:jc w:val="both"/>
      </w:pPr>
      <w:r>
        <w:t xml:space="preserve">Seizing and retaining anything found in a search; </w:t>
      </w:r>
    </w:p>
    <w:p w14:paraId="101B52A2" w14:textId="6965D540" w:rsidR="00A8048F" w:rsidRDefault="00A8048F" w:rsidP="00133305">
      <w:pPr>
        <w:pStyle w:val="ListParagraph"/>
        <w:numPr>
          <w:ilvl w:val="0"/>
          <w:numId w:val="11"/>
        </w:numPr>
        <w:spacing w:line="360" w:lineRule="auto"/>
        <w:jc w:val="both"/>
      </w:pPr>
      <w:r>
        <w:t>Ensuring safe and secure custody and good government of the prison.</w:t>
      </w:r>
      <w:r>
        <w:rPr>
          <w:rStyle w:val="FootnoteReference"/>
        </w:rPr>
        <w:footnoteReference w:id="92"/>
      </w:r>
      <w:r>
        <w:t xml:space="preserve"> </w:t>
      </w:r>
    </w:p>
    <w:p w14:paraId="13040982" w14:textId="77777777" w:rsidR="00A8048F" w:rsidRDefault="00A8048F" w:rsidP="00133305">
      <w:pPr>
        <w:spacing w:line="360" w:lineRule="auto"/>
        <w:jc w:val="both"/>
      </w:pPr>
    </w:p>
    <w:p w14:paraId="6A6CDAAC" w14:textId="67D07615" w:rsidR="00A8048F" w:rsidRDefault="00A8048F" w:rsidP="00133305">
      <w:pPr>
        <w:spacing w:line="360" w:lineRule="auto"/>
        <w:jc w:val="both"/>
      </w:pPr>
      <w:r>
        <w:t>Such a search may consist an examination of the prisoner’s person and clothing, which may involve the removal of any hat, overcoat, jacket or other outer clothing only, or the removal and examination of all the prisoner’s clothing, and the examination of the prisoner’s body following removal of clothing in ‘as seemly a manner as is consistent with the necessity of discovering any concealed article’</w:t>
      </w:r>
      <w:r>
        <w:rPr>
          <w:rStyle w:val="FootnoteReference"/>
        </w:rPr>
        <w:footnoteReference w:id="93"/>
      </w:r>
      <w:r>
        <w:t xml:space="preserve"> Searches are to be carried out ‘with due regard to decency, privacy, and the dignity of the person being searched and at no stage shall a prisoner be left in a state of complete undress’</w:t>
      </w:r>
      <w:r w:rsidR="00606B46">
        <w:t>.</w:t>
      </w:r>
      <w:r>
        <w:rPr>
          <w:rStyle w:val="FootnoteReference"/>
        </w:rPr>
        <w:footnoteReference w:id="94"/>
      </w:r>
      <w:r w:rsidR="00606B46">
        <w:t xml:space="preserve"> If the complete removal of a person’s clothes is involved, no fewer than two prison officers must conduct the search.</w:t>
      </w:r>
      <w:r w:rsidR="00606B46">
        <w:rPr>
          <w:rStyle w:val="FootnoteReference"/>
        </w:rPr>
        <w:footnoteReference w:id="95"/>
      </w:r>
      <w:r w:rsidR="00606B46">
        <w:t xml:space="preserve"> Any search shall not be undertaken by a prison officer who is not of the same sex as the person being searched.</w:t>
      </w:r>
      <w:r w:rsidR="00606B46">
        <w:rPr>
          <w:rStyle w:val="FootnoteReference"/>
        </w:rPr>
        <w:footnoteReference w:id="96"/>
      </w:r>
      <w:r w:rsidR="00606B46">
        <w:t xml:space="preserve"> A search which involves the full removal of clothing shall not be conducted in the presence or view of another prisoner and shall be conducted in the presence and view only of a number of prison officers (of the same gender as the prisoner) as required to ensure an effective search and the maintenance of good order and safe and secure custody.</w:t>
      </w:r>
      <w:r w:rsidR="00606B46">
        <w:rPr>
          <w:rStyle w:val="FootnoteReference"/>
        </w:rPr>
        <w:footnoteReference w:id="97"/>
      </w:r>
      <w:r w:rsidR="00606B46">
        <w:t xml:space="preserve"> The governor may also request the police to be present.</w:t>
      </w:r>
      <w:r w:rsidR="00606B46">
        <w:rPr>
          <w:rStyle w:val="FootnoteReference"/>
        </w:rPr>
        <w:footnoteReference w:id="98"/>
      </w:r>
      <w:r w:rsidR="00606B46">
        <w:t xml:space="preserve"> Where a prisoner refuses to permit the carrying out of a search, ‘such force only as is reasonably necessary and proportionate to carry out the search may be applied’,</w:t>
      </w:r>
      <w:r w:rsidR="00606B46">
        <w:rPr>
          <w:rStyle w:val="FootnoteReference"/>
        </w:rPr>
        <w:footnoteReference w:id="99"/>
      </w:r>
      <w:r w:rsidR="00606B46">
        <w:t xml:space="preserve"> but invasive searching of the orifices of a prisoner’s body is not permitted. A prisoner’s property may be searched by the governor or a prison officer at any tme if such examination is reasonably considered necessary for the maintenance of good order and safe and secure custody.</w:t>
      </w:r>
      <w:r w:rsidR="00606B46">
        <w:rPr>
          <w:rStyle w:val="FootnoteReference"/>
        </w:rPr>
        <w:footnoteReference w:id="100"/>
      </w:r>
      <w:r w:rsidR="00606B46">
        <w:t xml:space="preserve"> A prison officer may search a cell at any time if the governor is of the same opinion.</w:t>
      </w:r>
      <w:r w:rsidR="00606B46">
        <w:rPr>
          <w:rStyle w:val="FootnoteReference"/>
        </w:rPr>
        <w:footnoteReference w:id="101"/>
      </w:r>
      <w:r w:rsidR="00606B46">
        <w:t xml:space="preserve"> </w:t>
      </w:r>
    </w:p>
    <w:p w14:paraId="042AADA4" w14:textId="77777777" w:rsidR="001B0DA7" w:rsidRDefault="001B0DA7" w:rsidP="00133305">
      <w:pPr>
        <w:spacing w:line="360" w:lineRule="auto"/>
        <w:jc w:val="both"/>
      </w:pPr>
    </w:p>
    <w:p w14:paraId="486CDE66" w14:textId="77777777" w:rsidR="009647E4" w:rsidRDefault="009647E4" w:rsidP="00133305">
      <w:pPr>
        <w:spacing w:line="360" w:lineRule="auto"/>
        <w:jc w:val="both"/>
      </w:pPr>
    </w:p>
    <w:p w14:paraId="7E6CA689" w14:textId="77777777" w:rsidR="009647E4" w:rsidRPr="00A8048F" w:rsidRDefault="009647E4" w:rsidP="00133305">
      <w:pPr>
        <w:spacing w:line="360" w:lineRule="auto"/>
        <w:jc w:val="both"/>
      </w:pPr>
    </w:p>
    <w:p w14:paraId="29F1BDB1" w14:textId="77777777" w:rsidR="00B57DDF" w:rsidRDefault="00B57DDF" w:rsidP="00133305">
      <w:pPr>
        <w:pStyle w:val="ListParagraph"/>
        <w:numPr>
          <w:ilvl w:val="0"/>
          <w:numId w:val="4"/>
        </w:numPr>
        <w:spacing w:line="360" w:lineRule="auto"/>
        <w:jc w:val="both"/>
      </w:pPr>
      <w:r w:rsidRPr="00271666">
        <w:lastRenderedPageBreak/>
        <w:t>Means of coercion and restraint</w:t>
      </w:r>
    </w:p>
    <w:p w14:paraId="5C52CB3F" w14:textId="77777777" w:rsidR="001B0DA7" w:rsidRDefault="001B0DA7" w:rsidP="00133305">
      <w:pPr>
        <w:spacing w:line="360" w:lineRule="auto"/>
        <w:jc w:val="both"/>
      </w:pPr>
    </w:p>
    <w:p w14:paraId="1C99FEAA" w14:textId="762E6325" w:rsidR="001B0DA7" w:rsidRPr="001B0DA7" w:rsidRDefault="001B0DA7" w:rsidP="00133305">
      <w:pPr>
        <w:spacing w:line="360" w:lineRule="auto"/>
        <w:jc w:val="both"/>
      </w:pPr>
      <w:r>
        <w:t>The Prison Rules 2007 permit the use of a restraint on a prisoner. A restraint is defined as a device approved by the Minister for Justice that is designed to restrict a prisoner’s movement without causing injury to the prisoner.</w:t>
      </w:r>
      <w:r>
        <w:rPr>
          <w:rStyle w:val="FootnoteReference"/>
        </w:rPr>
        <w:footnoteReference w:id="102"/>
      </w:r>
      <w:r>
        <w:t xml:space="preserve"> A prisoner may be placed in a restraint when the governor so directs, and may be kept in restraint for a period not exceeding 24 hours.</w:t>
      </w:r>
      <w:r>
        <w:rPr>
          <w:rStyle w:val="FootnoteReference"/>
        </w:rPr>
        <w:footnoteReference w:id="103"/>
      </w:r>
      <w:r>
        <w:t xml:space="preserve"> A restraint may not be used unless it is necessary, in cases of urgent necessity to prevent the prisoner from injuring himself or herself or others, or significant damage to property by the prisoner, and accommodation of the prisoner in a cell without restraint would be inadequate.</w:t>
      </w:r>
      <w:r>
        <w:rPr>
          <w:rStyle w:val="FootnoteReference"/>
        </w:rPr>
        <w:footnoteReference w:id="104"/>
      </w:r>
      <w:r>
        <w:t xml:space="preserve"> The governor must notify certain people of the use of the restraint, including the prisoin doctor,</w:t>
      </w:r>
      <w:r>
        <w:rPr>
          <w:rStyle w:val="FootnoteReference"/>
        </w:rPr>
        <w:footnoteReference w:id="105"/>
      </w:r>
      <w:r>
        <w:t xml:space="preserve"> and a member of the healthcare staff must visit the person immediately; if the prison doctor advises that the person be released from restraint, that must be done immediately.</w:t>
      </w:r>
      <w:r>
        <w:rPr>
          <w:rStyle w:val="FootnoteReference"/>
        </w:rPr>
        <w:footnoteReference w:id="106"/>
      </w:r>
      <w:r>
        <w:t xml:space="preserve"> It is possible to </w:t>
      </w:r>
      <w:r w:rsidR="007D4E4E">
        <w:t>use the restraint for an additional 24 hours.</w:t>
      </w:r>
      <w:r w:rsidR="007D4E4E">
        <w:rPr>
          <w:rStyle w:val="FootnoteReference"/>
        </w:rPr>
        <w:footnoteReference w:id="107"/>
      </w:r>
      <w:r>
        <w:t xml:space="preserve"> </w:t>
      </w:r>
      <w:r w:rsidR="004363F3">
        <w:t xml:space="preserve">The use of a restraint as a sanction for a breach of prison discipline is prohibited by section 7 of the Prison Act 2007. </w:t>
      </w:r>
    </w:p>
    <w:p w14:paraId="3A070458" w14:textId="77777777" w:rsidR="00B57DDF" w:rsidRPr="00271666" w:rsidRDefault="00B57DDF" w:rsidP="00133305">
      <w:pPr>
        <w:pStyle w:val="ListParagraph"/>
        <w:spacing w:line="360" w:lineRule="auto"/>
        <w:jc w:val="both"/>
      </w:pPr>
    </w:p>
    <w:p w14:paraId="3A3E8407" w14:textId="77777777" w:rsidR="00B57DDF" w:rsidRDefault="00B57DDF" w:rsidP="00133305">
      <w:pPr>
        <w:spacing w:line="360" w:lineRule="auto"/>
        <w:jc w:val="both"/>
        <w:rPr>
          <w:b/>
          <w:bCs/>
        </w:rPr>
      </w:pPr>
      <w:r w:rsidRPr="00271666">
        <w:rPr>
          <w:b/>
          <w:bCs/>
        </w:rPr>
        <w:t>V – Disciplinary repression</w:t>
      </w:r>
    </w:p>
    <w:p w14:paraId="3F59CC5E" w14:textId="77777777" w:rsidR="001D4D6A" w:rsidRDefault="001D4D6A" w:rsidP="00133305">
      <w:pPr>
        <w:spacing w:line="360" w:lineRule="auto"/>
        <w:jc w:val="both"/>
        <w:rPr>
          <w:b/>
          <w:bCs/>
        </w:rPr>
      </w:pPr>
    </w:p>
    <w:p w14:paraId="71EBA0C1" w14:textId="77777777" w:rsidR="004A63FF" w:rsidRDefault="004A63FF" w:rsidP="00133305">
      <w:pPr>
        <w:pStyle w:val="ListParagraph"/>
        <w:numPr>
          <w:ilvl w:val="0"/>
          <w:numId w:val="6"/>
        </w:numPr>
        <w:spacing w:line="360" w:lineRule="auto"/>
        <w:jc w:val="both"/>
      </w:pPr>
      <w:r w:rsidRPr="00271666">
        <w:t>Disciplinary offences</w:t>
      </w:r>
    </w:p>
    <w:p w14:paraId="6958E337" w14:textId="77777777" w:rsidR="008879C7" w:rsidRPr="00271666" w:rsidRDefault="008879C7" w:rsidP="00133305">
      <w:pPr>
        <w:pStyle w:val="ListParagraph"/>
        <w:spacing w:line="360" w:lineRule="auto"/>
        <w:jc w:val="both"/>
      </w:pPr>
    </w:p>
    <w:p w14:paraId="1D97B275" w14:textId="56FE70F4" w:rsidR="001D4D6A" w:rsidRDefault="001D4D6A" w:rsidP="00133305">
      <w:pPr>
        <w:spacing w:line="360" w:lineRule="auto"/>
        <w:jc w:val="both"/>
      </w:pPr>
      <w:r>
        <w:t xml:space="preserve">Breaches of prison discipline are detailed in Schedule 1 of the Prison Rules 2007. </w:t>
      </w:r>
      <w:r w:rsidR="004A63FF">
        <w:t>31 specific breaches are contained in the rules, such as taking any article belonging to another person without the consent of that person,</w:t>
      </w:r>
      <w:r w:rsidR="004A63FF">
        <w:rPr>
          <w:rStyle w:val="FootnoteReference"/>
        </w:rPr>
        <w:footnoteReference w:id="108"/>
      </w:r>
      <w:r w:rsidR="004A63FF">
        <w:t xml:space="preserve"> or detains any person against his or her will,</w:t>
      </w:r>
      <w:r w:rsidR="004A63FF">
        <w:rPr>
          <w:rStyle w:val="FootnoteReference"/>
        </w:rPr>
        <w:footnoteReference w:id="109"/>
      </w:r>
      <w:r w:rsidR="004A63FF">
        <w:t xml:space="preserve"> with a general catch all offence of in any other way offending ‘against good order and discipline’.</w:t>
      </w:r>
      <w:r w:rsidR="004A63FF">
        <w:rPr>
          <w:rStyle w:val="FootnoteReference"/>
        </w:rPr>
        <w:footnoteReference w:id="110"/>
      </w:r>
    </w:p>
    <w:p w14:paraId="4C15E11C" w14:textId="77777777" w:rsidR="008879C7" w:rsidRPr="001D4D6A" w:rsidRDefault="008879C7" w:rsidP="00133305">
      <w:pPr>
        <w:spacing w:line="360" w:lineRule="auto"/>
        <w:jc w:val="both"/>
      </w:pPr>
    </w:p>
    <w:p w14:paraId="5D0C7C53" w14:textId="77777777" w:rsidR="00B57DDF" w:rsidRDefault="00B57DDF" w:rsidP="00133305">
      <w:pPr>
        <w:pStyle w:val="ListParagraph"/>
        <w:numPr>
          <w:ilvl w:val="0"/>
          <w:numId w:val="6"/>
        </w:numPr>
        <w:spacing w:line="360" w:lineRule="auto"/>
        <w:jc w:val="both"/>
      </w:pPr>
      <w:r w:rsidRPr="00271666">
        <w:t>Disciplinary sanctions</w:t>
      </w:r>
    </w:p>
    <w:p w14:paraId="78AD5A7B" w14:textId="77777777" w:rsidR="004A63FF" w:rsidRDefault="004A63FF" w:rsidP="00133305">
      <w:pPr>
        <w:spacing w:line="360" w:lineRule="auto"/>
        <w:jc w:val="both"/>
      </w:pPr>
    </w:p>
    <w:p w14:paraId="5D82332D" w14:textId="4C5A7A8B" w:rsidR="004A63FF" w:rsidRDefault="004A63FF" w:rsidP="00133305">
      <w:pPr>
        <w:spacing w:line="360" w:lineRule="auto"/>
        <w:jc w:val="both"/>
      </w:pPr>
      <w:r>
        <w:t xml:space="preserve">Section 13 of the Prisons Act 2007 governs the sanctions which may be imposed for a breach of prison discipline. These include: a caution; reprimand, confinement in a cell (other than a </w:t>
      </w:r>
      <w:r>
        <w:lastRenderedPageBreak/>
        <w:t>special observation cell) for a period not exceeding three days; prohibition, for a period not exceeding 60 days, on engaging in specified activities; receiving visits (other than from lawyers, doctors and other such bodies);</w:t>
      </w:r>
      <w:r w:rsidR="008879C7">
        <w:rPr>
          <w:rStyle w:val="FootnoteReference"/>
        </w:rPr>
        <w:footnoteReference w:id="111"/>
      </w:r>
      <w:r>
        <w:t xml:space="preserve"> sending or receiving letters; </w:t>
      </w:r>
      <w:r w:rsidR="008879C7">
        <w:t>using money or credit or other facilities, including telephone facilities; possessing certain articles which are permitted as a privilege;</w:t>
      </w:r>
      <w:r w:rsidR="008879C7">
        <w:rPr>
          <w:rStyle w:val="FootnoteReference"/>
        </w:rPr>
        <w:footnoteReference w:id="112"/>
      </w:r>
      <w:r w:rsidR="008879C7">
        <w:t xml:space="preserve"> forfeiture of a sum of money which is credited to the prisoner; forfeiture of not more than 14 days’ remission of portion of a sentence;</w:t>
      </w:r>
      <w:r w:rsidR="008879C7">
        <w:rPr>
          <w:rStyle w:val="FootnoteReference"/>
        </w:rPr>
        <w:footnoteReference w:id="113"/>
      </w:r>
      <w:r w:rsidR="008879C7">
        <w:t xml:space="preserve"> postponement for a specified period not exceeding 60 days of the payment of a gratuity.</w:t>
      </w:r>
      <w:r w:rsidR="008879C7">
        <w:rPr>
          <w:rStyle w:val="FootnoteReference"/>
        </w:rPr>
        <w:footnoteReference w:id="114"/>
      </w:r>
      <w:r w:rsidR="008879C7">
        <w:t xml:space="preserve"> The governor may suspend the imposition of the sanction for a period not exceeding three months subject to certain conditions.</w:t>
      </w:r>
      <w:r w:rsidR="008879C7">
        <w:rPr>
          <w:rStyle w:val="FootnoteReference"/>
        </w:rPr>
        <w:footnoteReference w:id="115"/>
      </w:r>
      <w:r w:rsidR="008879C7">
        <w:t xml:space="preserve"> </w:t>
      </w:r>
      <w:r w:rsidR="00056F12">
        <w:t xml:space="preserve">Certain sanctions </w:t>
      </w:r>
      <w:r w:rsidR="00567C8A">
        <w:t>are prohibited, including: collective punishmemnt; corporal punishment; placing in a restraint; any form of sensory deprivatoin; deprivation of sleep; deprivation of food or drink; sanctions of indeterminate duration; or sanctions constituting cruel, inhumane or degrading treatment.</w:t>
      </w:r>
      <w:r w:rsidR="00567C8A">
        <w:rPr>
          <w:rStyle w:val="FootnoteReference"/>
        </w:rPr>
        <w:footnoteReference w:id="116"/>
      </w:r>
    </w:p>
    <w:p w14:paraId="56DA8843" w14:textId="77777777" w:rsidR="0069279F" w:rsidRPr="004A63FF" w:rsidRDefault="0069279F" w:rsidP="00133305">
      <w:pPr>
        <w:spacing w:line="360" w:lineRule="auto"/>
        <w:jc w:val="both"/>
      </w:pPr>
    </w:p>
    <w:p w14:paraId="430A6979" w14:textId="2E935ED6" w:rsidR="00B57DDF" w:rsidRDefault="00B57DDF" w:rsidP="00133305">
      <w:pPr>
        <w:pStyle w:val="ListParagraph"/>
        <w:numPr>
          <w:ilvl w:val="0"/>
          <w:numId w:val="6"/>
        </w:numPr>
        <w:spacing w:line="360" w:lineRule="auto"/>
        <w:jc w:val="both"/>
      </w:pPr>
      <w:r w:rsidRPr="00271666">
        <w:t>Disciplinary procedure (including judgment)</w:t>
      </w:r>
    </w:p>
    <w:p w14:paraId="30DED388" w14:textId="77777777" w:rsidR="00567C8A" w:rsidRDefault="00567C8A" w:rsidP="00133305">
      <w:pPr>
        <w:spacing w:line="360" w:lineRule="auto"/>
        <w:jc w:val="both"/>
      </w:pPr>
    </w:p>
    <w:p w14:paraId="589D3591" w14:textId="6F72E76A" w:rsidR="00567C8A" w:rsidRDefault="00567C8A" w:rsidP="00133305">
      <w:pPr>
        <w:spacing w:line="360" w:lineRule="auto"/>
        <w:jc w:val="both"/>
      </w:pPr>
      <w:r>
        <w:t xml:space="preserve">Rule 91 provides for </w:t>
      </w:r>
      <w:r w:rsidR="00897909">
        <w:t xml:space="preserve">the reporting of a breach of prison discipline by a prisoner officer. A prison officer must report a breach to a prison officer of higher rank or to the governor as soon as may be once s/he becomes aware of the breach. Rule 75(5) requires the prison governor to make all prisoners aware of the consequences of any breach of prison discipline. </w:t>
      </w:r>
    </w:p>
    <w:p w14:paraId="6CACB42B" w14:textId="77777777" w:rsidR="00897909" w:rsidRDefault="00897909" w:rsidP="00133305">
      <w:pPr>
        <w:spacing w:line="360" w:lineRule="auto"/>
        <w:jc w:val="both"/>
      </w:pPr>
    </w:p>
    <w:p w14:paraId="74B66F04" w14:textId="720DF563" w:rsidR="00897909" w:rsidRDefault="00897909" w:rsidP="00133305">
      <w:pPr>
        <w:spacing w:line="360" w:lineRule="auto"/>
        <w:jc w:val="both"/>
      </w:pPr>
      <w:r>
        <w:t>A disciplinary hearing is governed by Part 3 of the Prisons Act 2007. Section 12(1) of the 2007 Act permits the governor to hold an inquiry into the alleged breach of discipline, and no sanction may be imposed without a hearing. The prisoner must be informed of the alleged breach and of the date and time of the enquiry.</w:t>
      </w:r>
      <w:r>
        <w:rPr>
          <w:rStyle w:val="FootnoteReference"/>
        </w:rPr>
        <w:footnoteReference w:id="117"/>
      </w:r>
      <w:r>
        <w:t xml:space="preserve"> </w:t>
      </w:r>
      <w:r w:rsidR="00E351CE">
        <w:t xml:space="preserve">Section 12(4)(iii) requires the governor to record the finding and sanction imposed if a breach is found, or record that no breach was found. </w:t>
      </w:r>
    </w:p>
    <w:p w14:paraId="39C7D571" w14:textId="77777777" w:rsidR="00E351CE" w:rsidRDefault="00E351CE" w:rsidP="00133305">
      <w:pPr>
        <w:spacing w:line="360" w:lineRule="auto"/>
        <w:jc w:val="both"/>
      </w:pPr>
    </w:p>
    <w:p w14:paraId="3316F325" w14:textId="2A6C729A" w:rsidR="00E351CE" w:rsidRDefault="00E351CE" w:rsidP="00133305">
      <w:pPr>
        <w:spacing w:line="360" w:lineRule="auto"/>
        <w:jc w:val="both"/>
      </w:pPr>
      <w:r>
        <w:t xml:space="preserve">Under rule 67 of the Prison Rules 2007, the prisoner must be informed through a written notice of the nature of the alleged breach. This is colloquially referred to as a ‘P19’ form. Under rule </w:t>
      </w:r>
      <w:r>
        <w:lastRenderedPageBreak/>
        <w:t xml:space="preserve">67(2) the inquiry into the breach of discipline must begin no earlier than the next day after the prisoner has been given notice, unless the governor has reasoonable grounds to delay it. The hearing must take place not later than the day falling seven days after the governor has made the decision to hold the inquiry, again unless there are reasonable grounds to deelay it to ensure the inquiry can be conducted effectively. A prison governor holds the </w:t>
      </w:r>
      <w:proofErr w:type="gramStart"/>
      <w:r>
        <w:t>inquiry</w:t>
      </w:r>
      <w:proofErr w:type="gramEnd"/>
      <w:r>
        <w:t xml:space="preserve"> and the prisoner is entitled to be present at the hearing,</w:t>
      </w:r>
      <w:r>
        <w:rPr>
          <w:rStyle w:val="FootnoteReference"/>
        </w:rPr>
        <w:footnoteReference w:id="118"/>
      </w:r>
      <w:r>
        <w:t xml:space="preserve"> and cannot be escorted to or from the inquiry by the prison officer who made the </w:t>
      </w:r>
      <w:proofErr w:type="spellStart"/>
      <w:r>
        <w:t>allegati</w:t>
      </w:r>
      <w:proofErr w:type="spellEnd"/>
      <w:r w:rsidR="00265E1B">
        <w:rPr>
          <w:lang/>
        </w:rPr>
        <w:t>o</w:t>
      </w:r>
      <w:r>
        <w:t>n, insofar as is reasonably practical. The prisoner may sit or stand during the hearing.</w:t>
      </w:r>
      <w:r>
        <w:rPr>
          <w:rStyle w:val="FootnoteReference"/>
        </w:rPr>
        <w:footnoteReference w:id="119"/>
      </w:r>
      <w:r>
        <w:t xml:space="preserve"> Under rule 67(6) the prisoner is entitled to be told what is alleged against him or her and to hear and to have the opportunity to examine or have </w:t>
      </w:r>
      <w:proofErr w:type="spellStart"/>
      <w:r>
        <w:t>expl</w:t>
      </w:r>
      <w:proofErr w:type="spellEnd"/>
      <w:r w:rsidR="00265E1B">
        <w:rPr>
          <w:lang/>
        </w:rPr>
        <w:t>a</w:t>
      </w:r>
      <w:proofErr w:type="spellStart"/>
      <w:r>
        <w:t>ined</w:t>
      </w:r>
      <w:proofErr w:type="spellEnd"/>
      <w:r>
        <w:t xml:space="preserve"> to him or her any evidence given or submitted in support of an allegation that he or she committed a breach of prison discipline. The prisoner is entitled to reply to any allegation</w:t>
      </w:r>
      <w:r w:rsidR="003D1B32">
        <w:t>,</w:t>
      </w:r>
      <w:r w:rsidR="003D1B32">
        <w:rPr>
          <w:rStyle w:val="FootnoteReference"/>
        </w:rPr>
        <w:footnoteReference w:id="120"/>
      </w:r>
      <w:r w:rsidR="003D1B32">
        <w:t xml:space="preserve"> but must obtain the consent of the governor before being permitted to call a witness to give evidence.</w:t>
      </w:r>
      <w:r w:rsidR="00B651F4">
        <w:rPr>
          <w:rStyle w:val="FootnoteReference"/>
        </w:rPr>
        <w:footnoteReference w:id="121"/>
      </w:r>
      <w:r w:rsidR="003D1B32">
        <w:t xml:space="preserve"> A prisoner must give notice before the inquiry commences of the witnesses s/he wishes to call. </w:t>
      </w:r>
      <w:r w:rsidR="00B651F4">
        <w:t>The prisoner may question any witness who attends, but through the governor. The prisoner may also make a plea in mitigation before a penalty is imposed.</w:t>
      </w:r>
      <w:r w:rsidR="00B651F4">
        <w:rPr>
          <w:rStyle w:val="FootnoteReference"/>
        </w:rPr>
        <w:footnoteReference w:id="122"/>
      </w:r>
      <w:r w:rsidR="00B651F4">
        <w:t xml:space="preserve"> The governor must inform a prisoner of the decision to impose a penalty as soon as may be after s/he has made the decision.</w:t>
      </w:r>
      <w:r w:rsidR="00B651F4">
        <w:rPr>
          <w:rStyle w:val="FootnoteReference"/>
        </w:rPr>
        <w:footnoteReference w:id="123"/>
      </w:r>
      <w:r w:rsidR="00B651F4">
        <w:t xml:space="preserve"> </w:t>
      </w:r>
    </w:p>
    <w:p w14:paraId="773143EF" w14:textId="77777777" w:rsidR="00901FD4" w:rsidRDefault="00901FD4" w:rsidP="00133305">
      <w:pPr>
        <w:spacing w:line="360" w:lineRule="auto"/>
        <w:jc w:val="both"/>
      </w:pPr>
    </w:p>
    <w:p w14:paraId="2C841FD3" w14:textId="765BDD03" w:rsidR="00901FD4" w:rsidRDefault="00901FD4" w:rsidP="00133305">
      <w:pPr>
        <w:spacing w:line="360" w:lineRule="auto"/>
        <w:jc w:val="both"/>
      </w:pPr>
      <w:r>
        <w:t>The courts have held that a prisoner is entitled to have the opportunity to see the evidence which a governor is relying on to find a breach of discipline, calling this a ‘simple and basic reqiurement of fair procedures’</w:t>
      </w:r>
      <w:r w:rsidR="00A774AF">
        <w:t>.</w:t>
      </w:r>
      <w:r>
        <w:rPr>
          <w:rStyle w:val="FootnoteReference"/>
        </w:rPr>
        <w:footnoteReference w:id="124"/>
      </w:r>
      <w:r w:rsidR="00A774AF">
        <w:t xml:space="preserve"> In that case, the governor was relying on CCTV evidence, but did not show this to the prisoner.</w:t>
      </w:r>
      <w:r>
        <w:t xml:space="preserve"> While the disciplinary proceedings do not have to be the same as those which apply in a criminal trial, fair procedures must still apply</w:t>
      </w:r>
      <w:r w:rsidR="00A774AF">
        <w:t>, and basic evidence must be provided to the prisoner</w:t>
      </w:r>
      <w:r>
        <w:t xml:space="preserve">. </w:t>
      </w:r>
      <w:r w:rsidR="00A774AF">
        <w:t xml:space="preserve">In </w:t>
      </w:r>
      <w:r w:rsidR="00A774AF">
        <w:rPr>
          <w:i/>
          <w:iCs/>
        </w:rPr>
        <w:t>Doolan v. Governor of Arbour Hill Prison</w:t>
      </w:r>
      <w:r w:rsidR="00265E1B" w:rsidRPr="00265E1B">
        <w:rPr>
          <w:rStyle w:val="FootnoteReference"/>
        </w:rPr>
        <w:footnoteReference w:id="125"/>
      </w:r>
      <w:r w:rsidR="00A774AF">
        <w:rPr>
          <w:i/>
          <w:iCs/>
        </w:rPr>
        <w:t xml:space="preserve"> </w:t>
      </w:r>
      <w:r w:rsidR="00A774AF">
        <w:t xml:space="preserve">the High Court has also held that a prisoner is entitled to hear evidence against him or her, or to examine evidence. </w:t>
      </w:r>
      <w:r>
        <w:t>The courts have also recognised that ‘it is of the utmost improtance that the Governor be able to conduct prompt, informal hearings and apply any appropriate sanctions as soon as reasonably practicable’</w:t>
      </w:r>
      <w:r w:rsidR="00A774AF">
        <w:t>.</w:t>
      </w:r>
      <w:r>
        <w:rPr>
          <w:rStyle w:val="FootnoteReference"/>
        </w:rPr>
        <w:footnoteReference w:id="126"/>
      </w:r>
      <w:r w:rsidR="00A774AF">
        <w:t xml:space="preserve"> A refusal to comply with request to carry out a fingerprint </w:t>
      </w:r>
      <w:r w:rsidR="00A774AF">
        <w:lastRenderedPageBreak/>
        <w:t>analysis of a knife, for example, was not a breach of fair procedures.</w:t>
      </w:r>
      <w:r w:rsidR="00A774AF">
        <w:rPr>
          <w:rStyle w:val="FootnoteReference"/>
        </w:rPr>
        <w:footnoteReference w:id="127"/>
      </w:r>
      <w:r w:rsidR="00A774AF">
        <w:t xml:space="preserve"> In </w:t>
      </w:r>
      <w:r w:rsidR="0027616C">
        <w:rPr>
          <w:i/>
          <w:iCs/>
        </w:rPr>
        <w:t>Delacey</w:t>
      </w:r>
      <w:r w:rsidR="00A774AF">
        <w:rPr>
          <w:i/>
          <w:iCs/>
        </w:rPr>
        <w:t xml:space="preserve"> v. Governor of</w:t>
      </w:r>
      <w:r w:rsidR="0027616C">
        <w:rPr>
          <w:i/>
          <w:iCs/>
        </w:rPr>
        <w:t xml:space="preserve"> Wheatfield Prison</w:t>
      </w:r>
      <w:r w:rsidR="0027616C">
        <w:rPr>
          <w:rStyle w:val="FootnoteReference"/>
          <w:i/>
          <w:iCs/>
        </w:rPr>
        <w:footnoteReference w:id="128"/>
      </w:r>
      <w:r w:rsidR="00A774AF">
        <w:rPr>
          <w:i/>
          <w:iCs/>
        </w:rPr>
        <w:t xml:space="preserve"> </w:t>
      </w:r>
      <w:r w:rsidR="00A774AF">
        <w:t>a prisoner was found guilty of a breach of discipline when a mobile phone was found in his cell during a random search</w:t>
      </w:r>
      <w:r w:rsidR="00265E1B">
        <w:rPr>
          <w:lang/>
        </w:rPr>
        <w:t>;</w:t>
      </w:r>
      <w:r w:rsidR="00A774AF">
        <w:t xml:space="preserve"> he denied any knowledge of the phone and gave evidence that it was concealed in the cell before he moved into it, and had no knowledge of it. The High Court held that </w:t>
      </w:r>
      <w:r w:rsidR="0027616C">
        <w:t xml:space="preserve">the governor should have allowed the prisoner to examine the phone. This did not mean the prisoner had a right to physically examine the phone, but he should have been given access to the call history and contact list, which could have assisted him in his denial of the charge. </w:t>
      </w:r>
    </w:p>
    <w:p w14:paraId="399FA3FF" w14:textId="77777777" w:rsidR="00ED2D90" w:rsidRDefault="00ED2D90" w:rsidP="00133305">
      <w:pPr>
        <w:spacing w:line="360" w:lineRule="auto"/>
        <w:jc w:val="both"/>
      </w:pPr>
    </w:p>
    <w:p w14:paraId="44168EE5" w14:textId="20321A04" w:rsidR="00ED2D90" w:rsidRDefault="00ED2D90" w:rsidP="00133305">
      <w:pPr>
        <w:spacing w:line="360" w:lineRule="auto"/>
        <w:jc w:val="both"/>
      </w:pPr>
      <w:r>
        <w:t>There is a special situation if a person is given a sanction of a loss of remission. In Ireland, prisoners are entitled to a 25% reduction in their sentence of imprisonment, which can be lost in through the imposition of a sanction for a breach of discipline. Under section 13(1)(f) of the Prisons Act 2007, a prisoners can be sanctioned to a forfeiture of not more than 14 days’ remission of a portion of a sentence. This may be restored by a governor.</w:t>
      </w:r>
      <w:r>
        <w:rPr>
          <w:rStyle w:val="FootnoteReference"/>
        </w:rPr>
        <w:footnoteReference w:id="129"/>
      </w:r>
      <w:r>
        <w:t xml:space="preserve"> </w:t>
      </w:r>
    </w:p>
    <w:p w14:paraId="24589123" w14:textId="77777777" w:rsidR="00ED2D90" w:rsidRPr="00A774AF" w:rsidRDefault="00ED2D90" w:rsidP="00133305">
      <w:pPr>
        <w:spacing w:line="360" w:lineRule="auto"/>
        <w:jc w:val="both"/>
      </w:pPr>
    </w:p>
    <w:p w14:paraId="017D2153" w14:textId="77777777" w:rsidR="00B57DDF" w:rsidRDefault="00B57DDF" w:rsidP="00133305">
      <w:pPr>
        <w:pStyle w:val="ListParagraph"/>
        <w:numPr>
          <w:ilvl w:val="0"/>
          <w:numId w:val="6"/>
        </w:numPr>
        <w:spacing w:line="360" w:lineRule="auto"/>
        <w:jc w:val="both"/>
      </w:pPr>
      <w:r w:rsidRPr="00271666">
        <w:t>Appeals related to disciplinary actions (administrative, legal)</w:t>
      </w:r>
    </w:p>
    <w:p w14:paraId="77FBA47C" w14:textId="77777777" w:rsidR="00ED2D90" w:rsidRDefault="00ED2D90" w:rsidP="00133305">
      <w:pPr>
        <w:spacing w:line="360" w:lineRule="auto"/>
        <w:jc w:val="both"/>
      </w:pPr>
    </w:p>
    <w:p w14:paraId="53ABF2CF" w14:textId="7EC2206D" w:rsidR="00ED2D90" w:rsidRDefault="00ED2D90" w:rsidP="00133305">
      <w:pPr>
        <w:spacing w:line="360" w:lineRule="auto"/>
        <w:jc w:val="both"/>
      </w:pPr>
      <w:r>
        <w:t xml:space="preserve">There is no </w:t>
      </w:r>
      <w:r w:rsidR="008C4D48">
        <w:t xml:space="preserve">formal </w:t>
      </w:r>
      <w:r>
        <w:t xml:space="preserve">provision to appeal </w:t>
      </w:r>
      <w:r w:rsidR="008C4D48">
        <w:t xml:space="preserve">a disciplinary sanction, other than the loss of remission. </w:t>
      </w:r>
      <w:r w:rsidR="005C206D">
        <w:t>Rule 57 of the Prison Rules permit a prisoner to request, in writing to meet with a representative of a Minister for Justice, who must visit the prisoner and hear any request or complaint. The representative may make a recommendation to the governor and the Director General can oblige the governor to implement it.</w:t>
      </w:r>
      <w:r w:rsidR="005C206D">
        <w:rPr>
          <w:rStyle w:val="FootnoteReference"/>
        </w:rPr>
        <w:footnoteReference w:id="130"/>
      </w:r>
      <w:r w:rsidR="005C206D">
        <w:t xml:space="preserve"> A prisoner may seek judicial review of a disciplinary sanction before the High Court, though no legal aid is provided for this, and the prisoner risks an order to pay costs if unsuccessful. </w:t>
      </w:r>
    </w:p>
    <w:p w14:paraId="46FDC4E3" w14:textId="77777777" w:rsidR="005C206D" w:rsidRDefault="005C206D" w:rsidP="00133305">
      <w:pPr>
        <w:spacing w:line="360" w:lineRule="auto"/>
        <w:jc w:val="both"/>
      </w:pPr>
    </w:p>
    <w:p w14:paraId="44A6D941" w14:textId="610BCE18" w:rsidR="005C206D" w:rsidRPr="00ED2D90" w:rsidRDefault="005C206D" w:rsidP="00133305">
      <w:pPr>
        <w:spacing w:line="360" w:lineRule="auto"/>
        <w:jc w:val="both"/>
      </w:pPr>
      <w:r>
        <w:t>When a prisoner has had the sanction of loss of remission imposed, may appeal this decision to an Appeal Tribunal. The Appeal Tribunal may invite the prisoner and the governor to make written submissions to it.</w:t>
      </w:r>
      <w:r>
        <w:rPr>
          <w:rStyle w:val="FootnoteReference"/>
        </w:rPr>
        <w:footnoteReference w:id="131"/>
      </w:r>
      <w:r>
        <w:t xml:space="preserve"> The prisoner may obtain legal advice or representation and may apply for free legal aid.</w:t>
      </w:r>
      <w:r>
        <w:rPr>
          <w:rStyle w:val="FootnoteReference"/>
        </w:rPr>
        <w:footnoteReference w:id="132"/>
      </w:r>
      <w:r>
        <w:t xml:space="preserve"> The Appeal Tribunal may uphold or quash the finding that the </w:t>
      </w:r>
      <w:r>
        <w:lastRenderedPageBreak/>
        <w:t>prisoner committed the breach of prison discipline, and affirm or quash the sanction, or vary the period of loss of remission, or substitute another sanction.</w:t>
      </w:r>
      <w:r>
        <w:rPr>
          <w:rStyle w:val="FootnoteReference"/>
        </w:rPr>
        <w:footnoteReference w:id="133"/>
      </w:r>
    </w:p>
    <w:p w14:paraId="387422E0" w14:textId="77777777" w:rsidR="00B57DDF" w:rsidRPr="00271666" w:rsidRDefault="00B57DDF" w:rsidP="00133305">
      <w:pPr>
        <w:spacing w:line="360" w:lineRule="auto"/>
        <w:jc w:val="both"/>
      </w:pPr>
    </w:p>
    <w:p w14:paraId="5A6ACE48" w14:textId="77777777" w:rsidR="00B57DDF" w:rsidRDefault="00B57DDF" w:rsidP="00133305">
      <w:pPr>
        <w:spacing w:line="360" w:lineRule="auto"/>
        <w:jc w:val="both"/>
        <w:rPr>
          <w:b/>
        </w:rPr>
      </w:pPr>
      <w:r w:rsidRPr="00271666">
        <w:rPr>
          <w:b/>
        </w:rPr>
        <w:t>VI - Conditions of detention</w:t>
      </w:r>
    </w:p>
    <w:p w14:paraId="7D26B719" w14:textId="77777777" w:rsidR="005C206D" w:rsidRPr="00271666" w:rsidRDefault="005C206D" w:rsidP="00133305">
      <w:pPr>
        <w:spacing w:line="360" w:lineRule="auto"/>
        <w:jc w:val="both"/>
        <w:rPr>
          <w:b/>
        </w:rPr>
      </w:pPr>
    </w:p>
    <w:p w14:paraId="7BD77DA1" w14:textId="32329A8C" w:rsidR="005C206D" w:rsidRDefault="005C206D" w:rsidP="00133305">
      <w:pPr>
        <w:spacing w:line="360" w:lineRule="auto"/>
        <w:jc w:val="both"/>
      </w:pPr>
      <w:r>
        <w:t xml:space="preserve">The prison rate in Ireland has risen in the recent past, following a period of decline. </w:t>
      </w:r>
      <w:r w:rsidR="0020346C">
        <w:t xml:space="preserve">Since the 1970s, however, the overall trajectory of the prison rate in Ireland has been upwards. Ireland’s rate, at 87 prisoners per 100,000 population, is at the lower end of the mid-range in European terms. The rate is lower than that of its neighbour, England and Wales, but higher than that of countries including Sweden, Denmark, Germany and  the Netherlands. The pre-trial detention rate stands at 17 pre-trial detainees per 100,000 population; this has increased in recent years. </w:t>
      </w:r>
    </w:p>
    <w:p w14:paraId="57A08250" w14:textId="77777777" w:rsidR="00B536C9" w:rsidRDefault="00B536C9" w:rsidP="00133305">
      <w:pPr>
        <w:spacing w:line="360" w:lineRule="auto"/>
        <w:jc w:val="both"/>
      </w:pPr>
    </w:p>
    <w:p w14:paraId="6D7DA526" w14:textId="0F3A9FAD" w:rsidR="00B536C9" w:rsidRDefault="00B536C9" w:rsidP="00133305">
      <w:pPr>
        <w:spacing w:line="360" w:lineRule="auto"/>
        <w:jc w:val="both"/>
      </w:pPr>
      <w:r>
        <w:rPr>
          <w:noProof/>
          <w14:ligatures w14:val="standardContextual"/>
        </w:rPr>
        <w:drawing>
          <wp:inline distT="0" distB="0" distL="0" distR="0" wp14:anchorId="570C6366" wp14:editId="1486D663">
            <wp:extent cx="6063049" cy="2743200"/>
            <wp:effectExtent l="0" t="0" r="7620" b="12700"/>
            <wp:docPr id="1508482138" name="Chart 1">
              <a:extLst xmlns:a="http://schemas.openxmlformats.org/drawingml/2006/main">
                <a:ext uri="{FF2B5EF4-FFF2-40B4-BE49-F238E27FC236}">
                  <a16:creationId xmlns:a16="http://schemas.microsoft.com/office/drawing/2014/main" id="{872FD142-898A-3481-5C7A-B44230D0516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281ED18C" w14:textId="0760C1A7" w:rsidR="0061518B" w:rsidRDefault="00B536C9" w:rsidP="00133305">
      <w:pPr>
        <w:spacing w:line="360" w:lineRule="auto"/>
        <w:jc w:val="both"/>
      </w:pPr>
      <w:r>
        <w:t xml:space="preserve">Figure 1: Average Daily Prison Population 1922 – 2022. </w:t>
      </w:r>
    </w:p>
    <w:p w14:paraId="48FFE1D0" w14:textId="1C1ED81E" w:rsidR="00B536C9" w:rsidRDefault="00B536C9" w:rsidP="00133305">
      <w:pPr>
        <w:spacing w:line="360" w:lineRule="auto"/>
        <w:jc w:val="both"/>
      </w:pPr>
    </w:p>
    <w:p w14:paraId="27948DCD" w14:textId="5C4AC97A" w:rsidR="0061518B" w:rsidRDefault="0061518B" w:rsidP="00133305">
      <w:pPr>
        <w:spacing w:line="360" w:lineRule="auto"/>
        <w:jc w:val="both"/>
      </w:pPr>
      <w:r>
        <w:t xml:space="preserve">The recent increase in the number of people being sent to prison, and the overall increase in numbers in prison has led to the return of overcrowding in Irish prisons. </w:t>
      </w:r>
      <w:r w:rsidR="00EF09B0">
        <w:t>While systematic analysis of the reasons for this increase is lacking, longer sentences has been cited by the Irish Prison Service as one factor.</w:t>
      </w:r>
      <w:r w:rsidR="00EF09B0">
        <w:rPr>
          <w:rStyle w:val="FootnoteReference"/>
        </w:rPr>
        <w:footnoteReference w:id="134"/>
      </w:r>
      <w:r w:rsidR="00EF09B0">
        <w:t xml:space="preserve"> </w:t>
      </w:r>
      <w:r>
        <w:t xml:space="preserve">Overcrowding was a major problem for decades in Irish prisons, but had improved substantially in the 2010s. At the time of writing, the prison system was at 105% occupancy, with only three prisons being at less than 100% capacity, and no prison below </w:t>
      </w:r>
      <w:r>
        <w:lastRenderedPageBreak/>
        <w:t>90% occupancy.</w:t>
      </w:r>
      <w:r>
        <w:rPr>
          <w:rStyle w:val="FootnoteReference"/>
        </w:rPr>
        <w:footnoteReference w:id="135"/>
      </w:r>
      <w:r>
        <w:t xml:space="preserve"> The prisons with the highest rates of overcrowding are the two women’s prisons, one of which was opened in 2023.</w:t>
      </w:r>
      <w:r>
        <w:rPr>
          <w:rStyle w:val="FootnoteReference"/>
        </w:rPr>
        <w:footnoteReference w:id="136"/>
      </w:r>
      <w:r>
        <w:t xml:space="preserve"> Women make up 4.6% of the prison population.</w:t>
      </w:r>
      <w:r>
        <w:rPr>
          <w:rStyle w:val="FootnoteReference"/>
        </w:rPr>
        <w:footnoteReference w:id="137"/>
      </w:r>
    </w:p>
    <w:p w14:paraId="3A248AE3" w14:textId="77777777" w:rsidR="00EF09B0" w:rsidRDefault="00EF09B0" w:rsidP="00133305">
      <w:pPr>
        <w:spacing w:line="360" w:lineRule="auto"/>
        <w:jc w:val="both"/>
      </w:pPr>
    </w:p>
    <w:p w14:paraId="1162571A" w14:textId="27F670DB" w:rsidR="005C206D" w:rsidRDefault="00EF09B0" w:rsidP="00133305">
      <w:pPr>
        <w:spacing w:line="360" w:lineRule="auto"/>
        <w:jc w:val="both"/>
      </w:pPr>
      <w:r>
        <w:t xml:space="preserve">Temporary release is one mechanism used to relieve the pressure caused by overcrowding. </w:t>
      </w:r>
      <w:r w:rsidR="00692232">
        <w:t>Two schemes were also introduced to provide more supervision and structure to this kind of release. The Community Return Scheme and the Community Support Scheme are currently under review.</w:t>
      </w:r>
      <w:r w:rsidR="00692232">
        <w:rPr>
          <w:rStyle w:val="FootnoteReference"/>
        </w:rPr>
        <w:footnoteReference w:id="138"/>
      </w:r>
      <w:r w:rsidR="00692232">
        <w:t xml:space="preserve"> 92 prisoners were taking part in the Community Return Scheme, which permits a prisoner to be released early to carry out supervised work in the community, in December 2023.</w:t>
      </w:r>
      <w:r w:rsidR="00692232">
        <w:rPr>
          <w:rStyle w:val="FootnoteReference"/>
        </w:rPr>
        <w:footnoteReference w:id="139"/>
      </w:r>
      <w:r w:rsidR="00692232">
        <w:t xml:space="preserve"> People may no longer be imprisoned for non-payment of a fine, unless as a last resort.</w:t>
      </w:r>
      <w:r w:rsidR="00692232">
        <w:rPr>
          <w:rStyle w:val="FootnoteReference"/>
        </w:rPr>
        <w:footnoteReference w:id="140"/>
      </w:r>
      <w:r w:rsidR="00692232">
        <w:t xml:space="preserve">.  </w:t>
      </w:r>
    </w:p>
    <w:p w14:paraId="7F4BD90A" w14:textId="77777777" w:rsidR="00B57DDF" w:rsidRPr="00271666" w:rsidRDefault="00B57DDF" w:rsidP="00133305">
      <w:pPr>
        <w:spacing w:line="360" w:lineRule="auto"/>
        <w:jc w:val="both"/>
      </w:pPr>
    </w:p>
    <w:p w14:paraId="1BD23F7C" w14:textId="77777777" w:rsidR="00B57DDF" w:rsidRDefault="00B57DDF" w:rsidP="00133305">
      <w:pPr>
        <w:spacing w:line="360" w:lineRule="auto"/>
        <w:jc w:val="both"/>
        <w:rPr>
          <w:b/>
          <w:bCs/>
        </w:rPr>
      </w:pPr>
      <w:r w:rsidRPr="00271666">
        <w:rPr>
          <w:b/>
          <w:bCs/>
        </w:rPr>
        <w:t>VII – External prison audits</w:t>
      </w:r>
    </w:p>
    <w:p w14:paraId="646464E1" w14:textId="61BF4504" w:rsidR="00AB5B60" w:rsidRDefault="00AB5B60" w:rsidP="00133305">
      <w:pPr>
        <w:spacing w:line="360" w:lineRule="auto"/>
        <w:jc w:val="both"/>
        <w:rPr>
          <w:b/>
          <w:bCs/>
        </w:rPr>
      </w:pPr>
    </w:p>
    <w:p w14:paraId="5F6A1490" w14:textId="72F6956F" w:rsidR="00AB5B60" w:rsidRDefault="00AB5B60" w:rsidP="00133305">
      <w:pPr>
        <w:spacing w:line="360" w:lineRule="auto"/>
        <w:jc w:val="both"/>
      </w:pPr>
      <w:r>
        <w:t xml:space="preserve">Oversight of prisons takes place mainly through the Office of the Inspector of Prisons (OIP), a body which is independent of the prison system, and which has been in operation since 2004. The OIP </w:t>
      </w:r>
      <w:r w:rsidR="00436575">
        <w:t xml:space="preserve">has a set of standards and methodology by which a prison is inspected: respect and dignity; safety and security; health and wellbeing; rehabilitation and development; and resettlement. The OIP is empowered under the Prison Act 2007 to enter any prison or part of a prison at any time, and to obtain copies of any books, records or other documents, and to being any issues of concern to the governor, the Director General of the Irish Prison Service, and the Minister for Justice. The OIP may investigate any issue it wishes to, and can be asked to investigate matters by the Minister for Justice. </w:t>
      </w:r>
      <w:r w:rsidR="00E31D30">
        <w:t xml:space="preserve">At present, the Minister for Justice has the power to omit matters in reports of the OIP, where the Minister is of the opinion that the publication would be prejudicial to the security of the prison or the state, contrary to the public interest or </w:t>
      </w:r>
      <w:r w:rsidR="00E31D30">
        <w:lastRenderedPageBreak/>
        <w:t xml:space="preserve">may infrige the constitutional rights of any person. It is not possible for the OIP to compel documents or witneses, and there is no sanction if a person refuses a request by the OIP. The OIP publishes reports on inspections of individual prisons, as well as thematic reports, and an annual report. </w:t>
      </w:r>
    </w:p>
    <w:p w14:paraId="2B895756" w14:textId="77777777" w:rsidR="00E31D30" w:rsidRDefault="00E31D30" w:rsidP="00133305">
      <w:pPr>
        <w:spacing w:line="360" w:lineRule="auto"/>
        <w:jc w:val="both"/>
      </w:pPr>
    </w:p>
    <w:p w14:paraId="3F96D12F" w14:textId="0773FE03" w:rsidR="00E31D30" w:rsidRDefault="006D2FB5" w:rsidP="00133305">
      <w:pPr>
        <w:spacing w:line="360" w:lineRule="auto"/>
        <w:jc w:val="both"/>
      </w:pPr>
      <w:r>
        <w:t>Prisons may also be visited by Visiting Committees, which a group of between six and twelve people appointed by the Minister for Justice with the power to visit a particular prison. These bodies are based in the Prison (Visiting Committees) Act 1925. These bodies have often made important contributions to public awareness of issues in prison, but their reports are highly variable.</w:t>
      </w:r>
    </w:p>
    <w:p w14:paraId="450CF1A3" w14:textId="77777777" w:rsidR="006D2FB5" w:rsidRDefault="006D2FB5" w:rsidP="00133305">
      <w:pPr>
        <w:spacing w:line="360" w:lineRule="auto"/>
        <w:jc w:val="both"/>
      </w:pPr>
    </w:p>
    <w:p w14:paraId="16BDD1CB" w14:textId="6208DE21" w:rsidR="006D2FB5" w:rsidRDefault="006D2FB5" w:rsidP="00133305">
      <w:pPr>
        <w:spacing w:line="360" w:lineRule="auto"/>
        <w:jc w:val="both"/>
      </w:pPr>
      <w:r>
        <w:t>As a member of the Council of Europe, Ireland is visited by the European Committee for the Prevention of Torture and Inhuman or Degrading Treatment or Punishment. Its last visit was in 2019</w:t>
      </w:r>
      <w:r w:rsidR="00265E1B">
        <w:rPr>
          <w:rStyle w:val="FootnoteReference"/>
        </w:rPr>
        <w:footnoteReference w:id="141"/>
      </w:r>
      <w:r>
        <w:t xml:space="preserve"> and it is due to visit again in 2024. The CPT has expressed concern about overcrowding, lack of privacy for those in multi-occupancy cells </w:t>
      </w:r>
      <w:r w:rsidR="007970AA">
        <w:t xml:space="preserve">when using toilets, and inter-prisoner violence. The CPT has also expressed concern about the resources given to the OIP. </w:t>
      </w:r>
    </w:p>
    <w:p w14:paraId="5AA92BB9" w14:textId="77777777" w:rsidR="007970AA" w:rsidRDefault="007970AA" w:rsidP="00133305">
      <w:pPr>
        <w:spacing w:line="360" w:lineRule="auto"/>
        <w:jc w:val="both"/>
      </w:pPr>
    </w:p>
    <w:p w14:paraId="2AB93F4C" w14:textId="221ED00F" w:rsidR="007970AA" w:rsidRPr="00AB5B60" w:rsidRDefault="00E43A0A" w:rsidP="00133305">
      <w:pPr>
        <w:spacing w:line="360" w:lineRule="auto"/>
        <w:jc w:val="both"/>
      </w:pPr>
      <w:r>
        <w:t>Ireland is now one of two European Union member states yet to ratify the Optional Protocol to the Convention against Torture (OPCAT), though Ireland has signed it. Legislation has been proposed to enable Ireland to ratify OPCAT, through the publication of the General Scheme of the Inspection of Places of Detention Bill, which was published in 2022.</w:t>
      </w:r>
      <w:r>
        <w:rPr>
          <w:rStyle w:val="FootnoteReference"/>
        </w:rPr>
        <w:footnoteReference w:id="142"/>
      </w:r>
      <w:r>
        <w:t xml:space="preserve"> It is proposed that the OIP would become a National Preventive Mechanism, and coemce a Chief Inspector of Places of Detention, with responsibility for inspecting detention in Garda stations, court holding cells, and in vehicles transporting people between places of detention. While this is a welcome step, disappointingly the draft scheme currently does not provide explicity for a power for the NPM to speak to people in confidence. Worryingly, the draft scheme contains a prohibition on the Chief Inspector on questioning the merits of government policy.</w:t>
      </w:r>
      <w:r w:rsidR="002D7491">
        <w:t xml:space="preserve"> </w:t>
      </w:r>
    </w:p>
    <w:p w14:paraId="6BDA2C6B" w14:textId="77777777" w:rsidR="00B57DDF" w:rsidRPr="00271666" w:rsidRDefault="00B57DDF" w:rsidP="00133305">
      <w:pPr>
        <w:spacing w:line="360" w:lineRule="auto"/>
        <w:jc w:val="both"/>
      </w:pPr>
    </w:p>
    <w:p w14:paraId="327C4765" w14:textId="77777777" w:rsidR="00B57DDF" w:rsidRDefault="00B57DDF" w:rsidP="00133305">
      <w:pPr>
        <w:spacing w:line="360" w:lineRule="auto"/>
        <w:jc w:val="both"/>
      </w:pPr>
    </w:p>
    <w:p w14:paraId="113C70D4" w14:textId="77777777" w:rsidR="00265E1B" w:rsidRDefault="00265E1B" w:rsidP="00133305">
      <w:pPr>
        <w:spacing w:line="360" w:lineRule="auto"/>
        <w:jc w:val="both"/>
      </w:pPr>
    </w:p>
    <w:p w14:paraId="4C075243" w14:textId="77777777" w:rsidR="00265E1B" w:rsidRPr="00271666" w:rsidRDefault="00265E1B" w:rsidP="00133305">
      <w:pPr>
        <w:spacing w:line="360" w:lineRule="auto"/>
        <w:jc w:val="both"/>
      </w:pPr>
    </w:p>
    <w:p w14:paraId="64CBAD4E" w14:textId="77777777" w:rsidR="00B57DDF" w:rsidRDefault="00B57DDF" w:rsidP="00133305">
      <w:pPr>
        <w:spacing w:line="360" w:lineRule="auto"/>
        <w:jc w:val="both"/>
        <w:rPr>
          <w:b/>
          <w:bCs/>
        </w:rPr>
      </w:pPr>
      <w:r w:rsidRPr="00271666">
        <w:rPr>
          <w:b/>
          <w:bCs/>
        </w:rPr>
        <w:t>VIII – Right of appeal of prisoners</w:t>
      </w:r>
    </w:p>
    <w:p w14:paraId="41305EDF" w14:textId="77777777" w:rsidR="00C20923" w:rsidRDefault="00C20923" w:rsidP="00133305">
      <w:pPr>
        <w:spacing w:line="360" w:lineRule="auto"/>
        <w:jc w:val="both"/>
      </w:pPr>
    </w:p>
    <w:p w14:paraId="1CB58C74" w14:textId="7C0EB7D6" w:rsidR="00C20923" w:rsidRDefault="002D7491" w:rsidP="00133305">
      <w:pPr>
        <w:spacing w:line="360" w:lineRule="auto"/>
        <w:jc w:val="both"/>
        <w:rPr>
          <w:rFonts w:eastAsia="Times New Roman"/>
          <w:color w:val="000000" w:themeColor="text1"/>
        </w:rPr>
      </w:pPr>
      <w:r>
        <w:t xml:space="preserve">Prisoners in Ireland are permitted to make complaints concering their detention. </w:t>
      </w:r>
      <w:r w:rsidR="00C20923" w:rsidRPr="00665D39">
        <w:rPr>
          <w:rFonts w:eastAsia="Times New Roman"/>
          <w:color w:val="000000" w:themeColor="text1"/>
        </w:rPr>
        <w:t xml:space="preserve">The complaints systems in Ireland </w:t>
      </w:r>
      <w:proofErr w:type="gramStart"/>
      <w:r w:rsidR="00C20923" w:rsidRPr="00665D39">
        <w:rPr>
          <w:rFonts w:eastAsia="Times New Roman"/>
          <w:color w:val="000000" w:themeColor="text1"/>
        </w:rPr>
        <w:t>is</w:t>
      </w:r>
      <w:proofErr w:type="gramEnd"/>
      <w:r w:rsidR="00C20923" w:rsidRPr="00665D39">
        <w:rPr>
          <w:rFonts w:eastAsia="Times New Roman"/>
          <w:color w:val="000000" w:themeColor="text1"/>
        </w:rPr>
        <w:t xml:space="preserve"> governed in part by statute (for complaints of a serious nature) but mainly through Irish Prison Service policy. The relevant statutory provisions are set out in the Prison Rules 2007</w:t>
      </w:r>
      <w:r w:rsidR="00265E1B">
        <w:rPr>
          <w:rFonts w:eastAsia="Times New Roman"/>
          <w:color w:val="000000" w:themeColor="text1"/>
          <w:lang/>
        </w:rPr>
        <w:t xml:space="preserve">, </w:t>
      </w:r>
      <w:r w:rsidR="00C20923" w:rsidRPr="00665D39">
        <w:rPr>
          <w:rFonts w:eastAsia="Times New Roman"/>
          <w:color w:val="000000" w:themeColor="text1"/>
        </w:rPr>
        <w:t xml:space="preserve">amended in 2013 (Prison Rules (Amendment) 2013). Under the current system, there are six categories of complaints ranging from what are classified as ‘A’ to ‘F’. Category A is governed by the Prison Rules 2007, as amended, which also contains the procedures to be followed in such a case, while categories B – F were created by the Irish Prison Service policy document. The classification depends on the seriousness of the </w:t>
      </w:r>
      <w:proofErr w:type="gramStart"/>
      <w:r w:rsidR="00C20923" w:rsidRPr="00665D39">
        <w:rPr>
          <w:rFonts w:eastAsia="Times New Roman"/>
          <w:color w:val="000000" w:themeColor="text1"/>
        </w:rPr>
        <w:t>complaint</w:t>
      </w:r>
      <w:proofErr w:type="gramEnd"/>
      <w:r w:rsidR="00C20923" w:rsidRPr="00665D39">
        <w:rPr>
          <w:rFonts w:eastAsia="Times New Roman"/>
          <w:color w:val="000000" w:themeColor="text1"/>
        </w:rPr>
        <w:t xml:space="preserve"> or the subject matter complaint is about. In practice, all complaints are received by the governor (prison director) or assistant governor responsible for complaints, assigned a category and then distributed to the relevant officer for investigation. Some guidance concerning how complaints are to be categorised comes in the form of a policy document published in 2014</w:t>
      </w:r>
      <w:r w:rsidR="00265E1B">
        <w:rPr>
          <w:rFonts w:eastAsia="Times New Roman"/>
          <w:color w:val="000000" w:themeColor="text1"/>
          <w:lang/>
        </w:rPr>
        <w:t xml:space="preserve">. </w:t>
      </w:r>
      <w:r w:rsidR="00C20923" w:rsidRPr="00665D39">
        <w:rPr>
          <w:rFonts w:eastAsia="Times New Roman"/>
          <w:color w:val="000000" w:themeColor="text1"/>
        </w:rPr>
        <w:t>The procedure which must be followed differs according to the categorisation of the complaint.</w:t>
      </w:r>
    </w:p>
    <w:p w14:paraId="0F414751" w14:textId="77777777" w:rsidR="00265E1B" w:rsidRPr="00665D39" w:rsidRDefault="00265E1B" w:rsidP="00133305">
      <w:pPr>
        <w:spacing w:line="360" w:lineRule="auto"/>
        <w:jc w:val="both"/>
        <w:rPr>
          <w:rFonts w:eastAsia="Times New Roman"/>
          <w:color w:val="000000" w:themeColor="text1"/>
        </w:rPr>
      </w:pPr>
    </w:p>
    <w:p w14:paraId="7BD9F73C" w14:textId="3184CCE0" w:rsidR="00C20923" w:rsidRPr="00665D39" w:rsidRDefault="00C20923" w:rsidP="00133305">
      <w:pPr>
        <w:spacing w:line="360" w:lineRule="auto"/>
        <w:jc w:val="both"/>
        <w:rPr>
          <w:rFonts w:eastAsia="Times New Roman"/>
          <w:color w:val="000000" w:themeColor="text1"/>
        </w:rPr>
      </w:pPr>
      <w:r w:rsidRPr="00665D39">
        <w:rPr>
          <w:rFonts w:eastAsia="Times New Roman"/>
          <w:color w:val="000000" w:themeColor="text1"/>
        </w:rPr>
        <w:t>Category A complaints are those concerned with ‘complaints alleging assault or use of excessive force against a prisoner, or ill treatment, racial abuse, discrimination, intimidation, threats or any other conduct against a prisoner of a nature and gravity likely to bring discredit on the Irish Prison Service</w:t>
      </w:r>
      <w:r w:rsidR="00265E1B">
        <w:rPr>
          <w:rFonts w:eastAsia="Times New Roman"/>
          <w:color w:val="000000" w:themeColor="text1"/>
          <w:lang/>
        </w:rPr>
        <w:t>’</w:t>
      </w:r>
      <w:r w:rsidRPr="00665D39">
        <w:rPr>
          <w:rFonts w:eastAsia="Times New Roman"/>
          <w:color w:val="000000" w:themeColor="text1"/>
        </w:rPr>
        <w:t>.</w:t>
      </w:r>
      <w:r w:rsidRPr="00665D39">
        <w:rPr>
          <w:rFonts w:eastAsia="Times New Roman"/>
          <w:b/>
          <w:color w:val="000000" w:themeColor="text1"/>
        </w:rPr>
        <w:t xml:space="preserve"> </w:t>
      </w:r>
      <w:r w:rsidRPr="00665D39">
        <w:rPr>
          <w:rFonts w:eastAsia="Times New Roman"/>
          <w:color w:val="000000" w:themeColor="text1"/>
        </w:rPr>
        <w:t>The governor must comply with Rules 57A and Rule 57B of the Prison Rules 2007, as inserted by the Prison Rules (Amendment) 2013. The governor arranges for a record to be kept of the complaint and its details.</w:t>
      </w:r>
      <w:r w:rsidRPr="00665D39">
        <w:rPr>
          <w:rStyle w:val="FootnoteReference"/>
          <w:rFonts w:eastAsia="Times New Roman"/>
          <w:color w:val="000000" w:themeColor="text1"/>
        </w:rPr>
        <w:footnoteReference w:id="143"/>
      </w:r>
      <w:r w:rsidRPr="00665D39">
        <w:rPr>
          <w:rFonts w:eastAsia="Times New Roman"/>
          <w:color w:val="000000" w:themeColor="text1"/>
        </w:rPr>
        <w:t xml:space="preserve"> There is a duty on the governor to secure relevant evidence, including CCTV recordings, and to advise the complainant of the relevant procedures. Where an allegation that an act has been committed that may constitute a criminal offence, the governor must inform the police (</w:t>
      </w:r>
      <w:proofErr w:type="gramStart"/>
      <w:r w:rsidRPr="00665D39">
        <w:rPr>
          <w:rFonts w:eastAsia="Times New Roman"/>
          <w:color w:val="000000" w:themeColor="text1"/>
        </w:rPr>
        <w:t>An</w:t>
      </w:r>
      <w:proofErr w:type="gramEnd"/>
      <w:r w:rsidRPr="00665D39">
        <w:rPr>
          <w:rFonts w:eastAsia="Times New Roman"/>
          <w:color w:val="000000" w:themeColor="text1"/>
        </w:rPr>
        <w:t xml:space="preserve"> Garda Síochána). Within seven days of notification of the complaint, the governor must refer the complaint and the evidence gathered to the Director General of the Irish Prison Service, </w:t>
      </w:r>
      <w:proofErr w:type="gramStart"/>
      <w:r w:rsidRPr="00665D39">
        <w:rPr>
          <w:rFonts w:eastAsia="Times New Roman"/>
          <w:color w:val="000000" w:themeColor="text1"/>
        </w:rPr>
        <w:t>and also</w:t>
      </w:r>
      <w:proofErr w:type="gramEnd"/>
      <w:r w:rsidRPr="00665D39">
        <w:rPr>
          <w:rFonts w:eastAsia="Times New Roman"/>
          <w:color w:val="000000" w:themeColor="text1"/>
        </w:rPr>
        <w:t xml:space="preserve"> notify the Inspector of Prisons. Notably, under the policy this procedure is to be initiated even if the prisoner does not wish to pursue the matter</w:t>
      </w:r>
      <w:r w:rsidRPr="00665D39">
        <w:rPr>
          <w:color w:val="000000" w:themeColor="text1"/>
        </w:rPr>
        <w:t xml:space="preserve">. </w:t>
      </w:r>
      <w:r w:rsidRPr="00665D39">
        <w:rPr>
          <w:rFonts w:eastAsia="Times New Roman"/>
          <w:color w:val="000000" w:themeColor="text1"/>
        </w:rPr>
        <w:t xml:space="preserve"> It is then up to the Director General to appoint an investigator. No timeframe is provided for as to the appointment of external investigators, but whilst the </w:t>
      </w:r>
      <w:r w:rsidRPr="00665D39">
        <w:rPr>
          <w:rFonts w:eastAsia="Times New Roman"/>
          <w:color w:val="000000" w:themeColor="text1"/>
        </w:rPr>
        <w:lastRenderedPageBreak/>
        <w:t>legislation does not require that the investigators be independent of the prison system, this is what happens in practice.</w:t>
      </w:r>
      <w:r w:rsidRPr="00665D39">
        <w:rPr>
          <w:rStyle w:val="FootnoteReference"/>
          <w:rFonts w:eastAsia="Times New Roman"/>
          <w:color w:val="000000" w:themeColor="text1"/>
        </w:rPr>
        <w:footnoteReference w:id="144"/>
      </w:r>
      <w:r w:rsidRPr="00665D39">
        <w:rPr>
          <w:rFonts w:eastAsia="Times New Roman"/>
          <w:color w:val="000000" w:themeColor="text1"/>
        </w:rPr>
        <w:t xml:space="preserve"> The investigation team are empowered to gather evidence. A report is provided by the investigation team to the governor and a copy </w:t>
      </w:r>
      <w:proofErr w:type="gramStart"/>
      <w:r w:rsidRPr="00665D39">
        <w:rPr>
          <w:rFonts w:eastAsia="Times New Roman"/>
          <w:color w:val="000000" w:themeColor="text1"/>
        </w:rPr>
        <w:t>is also is</w:t>
      </w:r>
      <w:proofErr w:type="gramEnd"/>
      <w:r w:rsidRPr="00665D39">
        <w:rPr>
          <w:rFonts w:eastAsia="Times New Roman"/>
          <w:color w:val="000000" w:themeColor="text1"/>
        </w:rPr>
        <w:t xml:space="preserve"> provided to the Inspector of Prisons. The governor may find the following </w:t>
      </w:r>
      <w:proofErr w:type="gramStart"/>
      <w:r w:rsidRPr="00665D39">
        <w:rPr>
          <w:rFonts w:eastAsia="Times New Roman"/>
          <w:color w:val="000000" w:themeColor="text1"/>
        </w:rPr>
        <w:t>on the basis of</w:t>
      </w:r>
      <w:proofErr w:type="gramEnd"/>
      <w:r w:rsidRPr="00665D39">
        <w:rPr>
          <w:rFonts w:eastAsia="Times New Roman"/>
          <w:color w:val="000000" w:themeColor="text1"/>
        </w:rPr>
        <w:t xml:space="preserve"> the report:</w:t>
      </w:r>
    </w:p>
    <w:p w14:paraId="73EEA25E" w14:textId="77777777" w:rsidR="00C20923" w:rsidRPr="00665D39" w:rsidRDefault="00C20923" w:rsidP="00133305">
      <w:pPr>
        <w:pStyle w:val="ListParagraph"/>
        <w:numPr>
          <w:ilvl w:val="0"/>
          <w:numId w:val="13"/>
        </w:numPr>
        <w:spacing w:line="360" w:lineRule="auto"/>
        <w:jc w:val="both"/>
        <w:rPr>
          <w:rFonts w:eastAsia="Times New Roman"/>
          <w:color w:val="000000" w:themeColor="text1"/>
        </w:rPr>
      </w:pPr>
      <w:r w:rsidRPr="00665D39">
        <w:rPr>
          <w:rFonts w:eastAsia="Times New Roman"/>
          <w:color w:val="000000" w:themeColor="text1"/>
        </w:rPr>
        <w:t xml:space="preserve">there are reasonable grounds for sustaining the </w:t>
      </w:r>
      <w:proofErr w:type="gramStart"/>
      <w:r w:rsidRPr="00665D39">
        <w:rPr>
          <w:rFonts w:eastAsia="Times New Roman"/>
          <w:color w:val="000000" w:themeColor="text1"/>
        </w:rPr>
        <w:t>complaint;</w:t>
      </w:r>
      <w:proofErr w:type="gramEnd"/>
      <w:r w:rsidRPr="00665D39">
        <w:rPr>
          <w:rFonts w:eastAsia="Times New Roman"/>
          <w:color w:val="000000" w:themeColor="text1"/>
        </w:rPr>
        <w:t xml:space="preserve"> </w:t>
      </w:r>
    </w:p>
    <w:p w14:paraId="24D7EDCE" w14:textId="77777777" w:rsidR="00C20923" w:rsidRPr="00665D39" w:rsidRDefault="00C20923" w:rsidP="00133305">
      <w:pPr>
        <w:pStyle w:val="ListParagraph"/>
        <w:numPr>
          <w:ilvl w:val="0"/>
          <w:numId w:val="13"/>
        </w:numPr>
        <w:spacing w:line="360" w:lineRule="auto"/>
        <w:jc w:val="both"/>
        <w:rPr>
          <w:rFonts w:eastAsia="Times New Roman"/>
          <w:color w:val="000000" w:themeColor="text1"/>
        </w:rPr>
      </w:pPr>
      <w:r w:rsidRPr="00665D39">
        <w:rPr>
          <w:rFonts w:eastAsia="Times New Roman"/>
          <w:color w:val="000000" w:themeColor="text1"/>
        </w:rPr>
        <w:t xml:space="preserve">there are no reasonable grounds for sustaining the </w:t>
      </w:r>
      <w:proofErr w:type="gramStart"/>
      <w:r w:rsidRPr="00665D39">
        <w:rPr>
          <w:rFonts w:eastAsia="Times New Roman"/>
          <w:color w:val="000000" w:themeColor="text1"/>
        </w:rPr>
        <w:t>complaint;</w:t>
      </w:r>
      <w:proofErr w:type="gramEnd"/>
      <w:r w:rsidRPr="00665D39">
        <w:rPr>
          <w:rFonts w:eastAsia="Times New Roman"/>
          <w:color w:val="000000" w:themeColor="text1"/>
        </w:rPr>
        <w:t xml:space="preserve"> </w:t>
      </w:r>
    </w:p>
    <w:p w14:paraId="0ACAC2D8" w14:textId="77777777" w:rsidR="00C20923" w:rsidRPr="00665D39" w:rsidRDefault="00C20923" w:rsidP="00133305">
      <w:pPr>
        <w:pStyle w:val="ListParagraph"/>
        <w:numPr>
          <w:ilvl w:val="0"/>
          <w:numId w:val="13"/>
        </w:numPr>
        <w:spacing w:line="360" w:lineRule="auto"/>
        <w:jc w:val="both"/>
        <w:rPr>
          <w:rFonts w:eastAsia="Times New Roman"/>
          <w:color w:val="000000" w:themeColor="text1"/>
        </w:rPr>
      </w:pPr>
      <w:r w:rsidRPr="00665D39">
        <w:rPr>
          <w:rFonts w:eastAsia="Times New Roman"/>
          <w:color w:val="000000" w:themeColor="text1"/>
        </w:rPr>
        <w:t xml:space="preserve">it has not been possible to </w:t>
      </w:r>
      <w:proofErr w:type="gramStart"/>
      <w:r w:rsidRPr="00665D39">
        <w:rPr>
          <w:rFonts w:eastAsia="Times New Roman"/>
          <w:color w:val="000000" w:themeColor="text1"/>
        </w:rPr>
        <w:t>make a determination</w:t>
      </w:r>
      <w:proofErr w:type="gramEnd"/>
      <w:r w:rsidRPr="00665D39">
        <w:rPr>
          <w:rFonts w:eastAsia="Times New Roman"/>
          <w:color w:val="000000" w:themeColor="text1"/>
        </w:rPr>
        <w:t xml:space="preserve">. </w:t>
      </w:r>
    </w:p>
    <w:p w14:paraId="1FA18521" w14:textId="77777777" w:rsidR="00C20923" w:rsidRDefault="00C20923" w:rsidP="00133305">
      <w:pPr>
        <w:spacing w:line="360" w:lineRule="auto"/>
        <w:jc w:val="both"/>
        <w:rPr>
          <w:rFonts w:eastAsia="Times New Roman"/>
          <w:color w:val="000000" w:themeColor="text1"/>
        </w:rPr>
      </w:pPr>
      <w:r w:rsidRPr="00665D39">
        <w:rPr>
          <w:rFonts w:eastAsia="Times New Roman"/>
          <w:color w:val="000000" w:themeColor="text1"/>
        </w:rPr>
        <w:br/>
        <w:t xml:space="preserve">The governor may give a general outline of the report to those concerned, as well as advising them of their findings and decision. The governor may (rather than must) state the reasons for his or her finding. The governor also decides what action should be taken. This may include a decision to initiate disciplinary proceedings against a prison staff member. In informing the complainant of the outcome, s/he should also be informed that, if s/he is not satisfied with the outcome of the investigation, s/he may write to the Inspector of Prisons and the Director General of the Irish Prison Service stating why s/he is not satisfied. There is no provision, however, for the decision to be appealed to an external body. </w:t>
      </w:r>
    </w:p>
    <w:p w14:paraId="7E04C28A" w14:textId="77777777" w:rsidR="00265E1B" w:rsidRPr="00665D39" w:rsidRDefault="00265E1B" w:rsidP="00133305">
      <w:pPr>
        <w:spacing w:line="360" w:lineRule="auto"/>
        <w:jc w:val="both"/>
        <w:rPr>
          <w:rFonts w:eastAsia="Times New Roman"/>
          <w:color w:val="000000" w:themeColor="text1"/>
        </w:rPr>
      </w:pPr>
    </w:p>
    <w:p w14:paraId="127D005C" w14:textId="0C3D099D" w:rsidR="00C20923" w:rsidRDefault="00C20923" w:rsidP="00133305">
      <w:pPr>
        <w:spacing w:line="360" w:lineRule="auto"/>
        <w:jc w:val="both"/>
        <w:rPr>
          <w:rFonts w:eastAsia="Times New Roman"/>
          <w:color w:val="000000" w:themeColor="text1"/>
        </w:rPr>
      </w:pPr>
      <w:r w:rsidRPr="00665D39">
        <w:rPr>
          <w:rFonts w:eastAsia="Times New Roman"/>
          <w:color w:val="000000" w:themeColor="text1"/>
        </w:rPr>
        <w:t xml:space="preserve">Category B complaints are classified as ‘complaints of a serious nature, but not falling within any other category of complaint.’ For example, category B complaints could include ‘verbal abuse of prisoners by staff, inappropriate searches or any other conduct against a prisoner of a nature likely to bring discredit on the </w:t>
      </w:r>
      <w:r w:rsidRPr="00265E1B">
        <w:rPr>
          <w:rFonts w:eastAsia="Times New Roman"/>
          <w:color w:val="000000" w:themeColor="text1"/>
        </w:rPr>
        <w:t>IPS.’</w:t>
      </w:r>
      <w:r w:rsidR="00265E1B">
        <w:rPr>
          <w:rFonts w:eastAsia="Times New Roman"/>
          <w:color w:val="000000" w:themeColor="text1"/>
          <w:lang/>
        </w:rPr>
        <w:t xml:space="preserve"> </w:t>
      </w:r>
      <w:r w:rsidRPr="00665D39">
        <w:rPr>
          <w:rFonts w:eastAsia="Times New Roman"/>
          <w:color w:val="000000" w:themeColor="text1"/>
        </w:rPr>
        <w:t xml:space="preserve">A chief officer (senior prison staff member) is appointed by the governor to investigate this category of complaint. The chief officer must not be the officer in charge of the area in which the incident allegedly occurred or where the complainant is accommodated, nor have been present at any time during the alleged incident. This appointment must be made within 48 hours of the governor being notified of the complaint. The chief officer ‘may’ gather evidence, conduct interviews and so on, and the investigation must conclude within 28 days, unless there are ‘exceptional </w:t>
      </w:r>
      <w:proofErr w:type="gramStart"/>
      <w:r w:rsidRPr="00665D39">
        <w:rPr>
          <w:rFonts w:eastAsia="Times New Roman"/>
          <w:color w:val="000000" w:themeColor="text1"/>
        </w:rPr>
        <w:t>circumstances’</w:t>
      </w:r>
      <w:proofErr w:type="gramEnd"/>
      <w:r w:rsidRPr="00665D39">
        <w:rPr>
          <w:rFonts w:eastAsia="Times New Roman"/>
          <w:color w:val="000000" w:themeColor="text1"/>
        </w:rPr>
        <w:t xml:space="preserve">. The same findings are available as those for category A complaint, and it is up to the chief officer to communicate the findings to all parties within seven days of the completion of the investigation. The complainant has the right to appeal to the governor within 14 days of having been notified of the outcome. The governor then carries out a review of the </w:t>
      </w:r>
      <w:proofErr w:type="gramStart"/>
      <w:r w:rsidRPr="00665D39">
        <w:rPr>
          <w:rFonts w:eastAsia="Times New Roman"/>
          <w:color w:val="000000" w:themeColor="text1"/>
        </w:rPr>
        <w:t>investigation, and</w:t>
      </w:r>
      <w:proofErr w:type="gramEnd"/>
      <w:r w:rsidRPr="00665D39">
        <w:rPr>
          <w:rFonts w:eastAsia="Times New Roman"/>
          <w:color w:val="000000" w:themeColor="text1"/>
        </w:rPr>
        <w:t xml:space="preserve"> can carry out any </w:t>
      </w:r>
      <w:r w:rsidRPr="00665D39">
        <w:rPr>
          <w:rFonts w:eastAsia="Times New Roman"/>
          <w:color w:val="000000" w:themeColor="text1"/>
        </w:rPr>
        <w:lastRenderedPageBreak/>
        <w:t xml:space="preserve">further investigation following the receipt of any observations or submissions made by the appealing party. The governor can uphold the initial finding, quash it, or order a fresh investigation. This outcome may itself be the subject of review by the Director General of the Irish Prison Service, which is confined to a review of the application of procedures. </w:t>
      </w:r>
    </w:p>
    <w:p w14:paraId="38CA4988" w14:textId="77777777" w:rsidR="00265E1B" w:rsidRPr="00665D39" w:rsidRDefault="00265E1B" w:rsidP="00133305">
      <w:pPr>
        <w:spacing w:line="360" w:lineRule="auto"/>
        <w:jc w:val="both"/>
        <w:rPr>
          <w:rFonts w:eastAsia="Times New Roman"/>
          <w:color w:val="000000" w:themeColor="text1"/>
        </w:rPr>
      </w:pPr>
    </w:p>
    <w:p w14:paraId="608373D4" w14:textId="73A94438" w:rsidR="00C20923" w:rsidRDefault="00C20923" w:rsidP="00133305">
      <w:pPr>
        <w:spacing w:line="360" w:lineRule="auto"/>
        <w:jc w:val="both"/>
        <w:rPr>
          <w:rFonts w:eastAsia="Times New Roman"/>
          <w:color w:val="000000" w:themeColor="text1"/>
        </w:rPr>
      </w:pPr>
      <w:r w:rsidRPr="00665D39">
        <w:rPr>
          <w:rFonts w:eastAsia="Times New Roman"/>
          <w:color w:val="000000" w:themeColor="text1"/>
        </w:rPr>
        <w:t xml:space="preserve">Category C complaints, of which </w:t>
      </w:r>
      <w:proofErr w:type="gramStart"/>
      <w:r w:rsidRPr="00665D39">
        <w:rPr>
          <w:rFonts w:eastAsia="Times New Roman"/>
          <w:color w:val="000000" w:themeColor="text1"/>
        </w:rPr>
        <w:t>the majority of</w:t>
      </w:r>
      <w:proofErr w:type="gramEnd"/>
      <w:r w:rsidRPr="00665D39">
        <w:rPr>
          <w:rFonts w:eastAsia="Times New Roman"/>
          <w:color w:val="000000" w:themeColor="text1"/>
        </w:rPr>
        <w:t xml:space="preserve"> complaints comprise, ‘are basic service level complaints … [such as complaints] about visits, phone calls, reception issues, missing clothes, not getting post on time, not getting appropriate exercise</w:t>
      </w:r>
      <w:r w:rsidRPr="00265E1B">
        <w:rPr>
          <w:rFonts w:eastAsia="Times New Roman"/>
          <w:color w:val="000000" w:themeColor="text1"/>
        </w:rPr>
        <w:t>.’</w:t>
      </w:r>
      <w:r w:rsidRPr="00665D39">
        <w:rPr>
          <w:rFonts w:eastAsia="Times New Roman"/>
          <w:color w:val="000000" w:themeColor="text1"/>
        </w:rPr>
        <w:t xml:space="preserve"> These are investigated by an officer not below the position of class officer. They can arise in two ways, namely, by informal complaints made to officers and by written complaints on complaint forms. Prison staff are required to record all complaints and requests. When a verbal complaint is made, it is for the governor to appoint an officer to examine the issue. If a complaint form is filled out, what is referred to as the ‘more formal procedure’ is to be followed. Strict time limits apply, with a reply or acknowledgement expected within 24 hours and there should be ongoing updates given to the prisoner, as well as documenting the steps taken to resolve the complaint. If it is not possible to resolve the complaint, the investigating officer must be given a written explanation as to why the complaint cannot be resolved. The senior chief officer in the prison is also obliged to maintain ‘constant oversight’ of the procedure as a whole and take action to resolve any matters which have not been so dealt with within 48 hours of the complaint being made. </w:t>
      </w:r>
    </w:p>
    <w:p w14:paraId="21526A9D" w14:textId="77777777" w:rsidR="00265E1B" w:rsidRPr="00665D39" w:rsidRDefault="00265E1B" w:rsidP="00133305">
      <w:pPr>
        <w:spacing w:line="360" w:lineRule="auto"/>
        <w:jc w:val="both"/>
        <w:rPr>
          <w:rFonts w:eastAsia="Times New Roman"/>
          <w:color w:val="000000" w:themeColor="text1"/>
        </w:rPr>
      </w:pPr>
    </w:p>
    <w:p w14:paraId="15A8552B" w14:textId="2DFF84E0" w:rsidR="002D7491" w:rsidRDefault="00C20923" w:rsidP="00133305">
      <w:pPr>
        <w:spacing w:line="360" w:lineRule="auto"/>
        <w:jc w:val="both"/>
        <w:rPr>
          <w:rFonts w:eastAsia="Times New Roman"/>
          <w:color w:val="000000" w:themeColor="text1"/>
        </w:rPr>
      </w:pPr>
      <w:r w:rsidRPr="00665D39">
        <w:rPr>
          <w:rFonts w:eastAsia="Times New Roman"/>
          <w:color w:val="000000" w:themeColor="text1"/>
        </w:rPr>
        <w:t>Category D complaints ‘relate to complaints against professionals such as [for example] dentists [and] doctors.’ Category E complaints are those made by visitors to the prison. Category F complaints are ‘complaints against decisions made by the Irish Prison Service in relation to the granting of temporary release and prison transfers.’ Prisoners are entitled to ‘answers to reasonable queries’ raised by them on such matters, within seven days of receipt in the case of requests for information and four weeks in the case of these complaints.</w:t>
      </w:r>
    </w:p>
    <w:p w14:paraId="480F0AF1" w14:textId="77777777" w:rsidR="00C20923" w:rsidRPr="002D7491" w:rsidRDefault="00C20923" w:rsidP="00133305">
      <w:pPr>
        <w:spacing w:line="360" w:lineRule="auto"/>
        <w:jc w:val="both"/>
      </w:pPr>
    </w:p>
    <w:p w14:paraId="3B3E5F99" w14:textId="77777777" w:rsidR="00265E1B" w:rsidRDefault="00C20923" w:rsidP="00133305">
      <w:pPr>
        <w:spacing w:line="360" w:lineRule="auto"/>
        <w:jc w:val="both"/>
        <w:rPr>
          <w:rFonts w:eastAsia="Times New Roman"/>
          <w:iCs/>
          <w:color w:val="000000" w:themeColor="text1"/>
          <w:lang/>
        </w:rPr>
      </w:pPr>
      <w:r w:rsidRPr="00665D39">
        <w:rPr>
          <w:rFonts w:eastAsia="Times New Roman"/>
          <w:iCs/>
          <w:color w:val="000000" w:themeColor="text1"/>
        </w:rPr>
        <w:t xml:space="preserve">In practical terms, complaints are made by prisoners using a specifically designed form for this purpose. It provides for the prisoner to include her/his name, prisoner number and cell or location. There is then a space for the prisoner to include details of the complaint, and a place to sign. Prisoners are reminded to include ‘clear details of what happened, where it happened, when it happened, were there any </w:t>
      </w:r>
      <w:proofErr w:type="gramStart"/>
      <w:r w:rsidRPr="00665D39">
        <w:rPr>
          <w:rFonts w:eastAsia="Times New Roman"/>
          <w:iCs/>
          <w:color w:val="000000" w:themeColor="text1"/>
        </w:rPr>
        <w:t>witnesses’</w:t>
      </w:r>
      <w:proofErr w:type="gramEnd"/>
      <w:r w:rsidR="00265E1B">
        <w:rPr>
          <w:rFonts w:eastAsia="Times New Roman"/>
          <w:iCs/>
          <w:color w:val="000000" w:themeColor="text1"/>
          <w:lang/>
        </w:rPr>
        <w:t>.</w:t>
      </w:r>
    </w:p>
    <w:p w14:paraId="37ED00F8" w14:textId="77777777" w:rsidR="00265E1B" w:rsidRDefault="00265E1B" w:rsidP="00133305">
      <w:pPr>
        <w:spacing w:line="360" w:lineRule="auto"/>
        <w:jc w:val="both"/>
        <w:rPr>
          <w:rFonts w:eastAsia="Times New Roman"/>
          <w:iCs/>
          <w:color w:val="000000" w:themeColor="text1"/>
          <w:lang/>
        </w:rPr>
      </w:pPr>
    </w:p>
    <w:p w14:paraId="746CEFD8" w14:textId="62E64B8B" w:rsidR="00B57DDF" w:rsidRDefault="00C20923" w:rsidP="00133305">
      <w:pPr>
        <w:spacing w:line="360" w:lineRule="auto"/>
        <w:jc w:val="both"/>
        <w:rPr>
          <w:rFonts w:eastAsia="Times New Roman"/>
          <w:color w:val="000000" w:themeColor="text1"/>
        </w:rPr>
      </w:pPr>
      <w:r w:rsidRPr="00665D39">
        <w:rPr>
          <w:rFonts w:eastAsia="Times New Roman"/>
          <w:iCs/>
          <w:color w:val="000000" w:themeColor="text1"/>
        </w:rPr>
        <w:lastRenderedPageBreak/>
        <w:t xml:space="preserve">Prisoners are to be provided with a copy of the complaint form in a sealable envelope once recorded by the governor. The Irish Prison Service policy document on complaints also provides that </w:t>
      </w:r>
      <w:r w:rsidRPr="00665D39">
        <w:rPr>
          <w:rFonts w:eastAsia="Times New Roman"/>
          <w:color w:val="000000" w:themeColor="text1"/>
        </w:rPr>
        <w:t xml:space="preserve">complaint boxes be provided and emptied on each working day, that all complaints are logged and assigned a reference number and are photocopied and returned in a sealed envelope to the </w:t>
      </w:r>
      <w:r w:rsidRPr="00265E1B">
        <w:rPr>
          <w:rFonts w:eastAsia="Times New Roman"/>
          <w:color w:val="000000" w:themeColor="text1"/>
        </w:rPr>
        <w:t>prisoner.</w:t>
      </w:r>
    </w:p>
    <w:p w14:paraId="3CCA7CA3" w14:textId="77777777" w:rsidR="00C20923" w:rsidRDefault="00C20923" w:rsidP="00133305">
      <w:pPr>
        <w:spacing w:line="360" w:lineRule="auto"/>
        <w:jc w:val="both"/>
        <w:rPr>
          <w:rFonts w:eastAsia="Times New Roman"/>
          <w:color w:val="000000" w:themeColor="text1"/>
        </w:rPr>
      </w:pPr>
    </w:p>
    <w:p w14:paraId="3E48FF23" w14:textId="1A4AEC09" w:rsidR="00C20923" w:rsidRDefault="00C20923" w:rsidP="00133305">
      <w:pPr>
        <w:spacing w:line="360" w:lineRule="auto"/>
        <w:jc w:val="both"/>
        <w:rPr>
          <w:rFonts w:eastAsia="Times New Roman"/>
          <w:color w:val="000000" w:themeColor="text1"/>
        </w:rPr>
      </w:pPr>
      <w:r w:rsidRPr="00665D39">
        <w:rPr>
          <w:rFonts w:eastAsia="Times New Roman"/>
          <w:color w:val="000000" w:themeColor="text1"/>
        </w:rPr>
        <w:t>The operation of the complaints system has come in for heavy criticism.</w:t>
      </w:r>
      <w:r>
        <w:rPr>
          <w:rFonts w:eastAsia="Times New Roman"/>
          <w:color w:val="000000" w:themeColor="text1"/>
        </w:rPr>
        <w:t xml:space="preserve"> A High Court judge described the complaints system as ‘failed’.</w:t>
      </w:r>
      <w:r>
        <w:rPr>
          <w:rStyle w:val="FootnoteReference"/>
          <w:rFonts w:eastAsia="Times New Roman"/>
          <w:color w:val="000000" w:themeColor="text1"/>
        </w:rPr>
        <w:footnoteReference w:id="145"/>
      </w:r>
      <w:r>
        <w:rPr>
          <w:rFonts w:eastAsia="Times New Roman"/>
          <w:color w:val="000000" w:themeColor="text1"/>
        </w:rPr>
        <w:t xml:space="preserve"> </w:t>
      </w:r>
      <w:r w:rsidRPr="00665D39">
        <w:rPr>
          <w:rFonts w:eastAsia="Times New Roman"/>
          <w:color w:val="000000" w:themeColor="text1"/>
        </w:rPr>
        <w:t xml:space="preserve">This case concerned a very complex set of facts, whereby a prisoner went on hunger strike in protest at his conditions. </w:t>
      </w:r>
      <w:r>
        <w:rPr>
          <w:rFonts w:eastAsia="Times New Roman"/>
          <w:color w:val="000000" w:themeColor="text1"/>
        </w:rPr>
        <w:t>The Supreme Court eventually heard this case and found that the Irish Prison Service could not be considered negligent in that its implementation of the complaints procedure had caused the prisoner to engage in a hunger strike. However, one judge held that a declaration should be granted to the effect that the complaints procedure did not comply with the requirement to provide an effective complaints system in this particluar case. MacMenamin J was in the minority in this regard.</w:t>
      </w:r>
      <w:r>
        <w:rPr>
          <w:rStyle w:val="FootnoteReference"/>
          <w:rFonts w:eastAsia="Times New Roman"/>
          <w:color w:val="000000" w:themeColor="text1"/>
        </w:rPr>
        <w:footnoteReference w:id="146"/>
      </w:r>
      <w:r w:rsidR="006010E1">
        <w:rPr>
          <w:rFonts w:eastAsia="Times New Roman"/>
          <w:color w:val="000000" w:themeColor="text1"/>
        </w:rPr>
        <w:t xml:space="preserve"> However, the court did acept that written complaints made by the applicant in this case were dealt with ‘inadequately, slowly, or sometimes not at all’</w:t>
      </w:r>
      <w:r w:rsidR="001B26D4">
        <w:rPr>
          <w:rFonts w:eastAsia="Times New Roman"/>
          <w:color w:val="000000" w:themeColor="text1"/>
        </w:rPr>
        <w:t>.</w:t>
      </w:r>
      <w:r w:rsidR="006010E1">
        <w:rPr>
          <w:rStyle w:val="FootnoteReference"/>
          <w:rFonts w:eastAsia="Times New Roman"/>
          <w:color w:val="000000" w:themeColor="text1"/>
        </w:rPr>
        <w:footnoteReference w:id="147"/>
      </w:r>
      <w:r w:rsidR="001B26D4">
        <w:rPr>
          <w:rFonts w:eastAsia="Times New Roman"/>
          <w:color w:val="000000" w:themeColor="text1"/>
        </w:rPr>
        <w:t xml:space="preserve"> MacMenamin J noted that there were plans to introduce a new complaints policy and to give the general Ombudsman a role in the management of prisoner complaints and held ‘it is to be hoped that the obligations will be soon realised’.</w:t>
      </w:r>
      <w:r w:rsidR="001B26D4">
        <w:rPr>
          <w:rStyle w:val="FootnoteReference"/>
          <w:rFonts w:eastAsia="Times New Roman"/>
          <w:color w:val="000000" w:themeColor="text1"/>
        </w:rPr>
        <w:footnoteReference w:id="148"/>
      </w:r>
      <w:r w:rsidR="001B26D4">
        <w:rPr>
          <w:rFonts w:eastAsia="Times New Roman"/>
          <w:color w:val="000000" w:themeColor="text1"/>
        </w:rPr>
        <w:t xml:space="preserve"> However, the judge’s hopes have not yet been realised. </w:t>
      </w:r>
    </w:p>
    <w:p w14:paraId="128D3E34" w14:textId="77777777" w:rsidR="001B26D4" w:rsidRDefault="001B26D4" w:rsidP="00133305">
      <w:pPr>
        <w:spacing w:line="360" w:lineRule="auto"/>
        <w:jc w:val="both"/>
        <w:rPr>
          <w:rFonts w:eastAsia="Times New Roman"/>
          <w:color w:val="000000" w:themeColor="text1"/>
        </w:rPr>
      </w:pPr>
    </w:p>
    <w:p w14:paraId="1514C586" w14:textId="1FE8BE64" w:rsidR="001B26D4" w:rsidRPr="00F90A29" w:rsidRDefault="00F90A29" w:rsidP="00133305">
      <w:pPr>
        <w:spacing w:line="360" w:lineRule="auto"/>
        <w:jc w:val="both"/>
        <w:rPr>
          <w:rFonts w:eastAsia="Times New Roman"/>
          <w:i/>
          <w:iCs/>
          <w:color w:val="000000" w:themeColor="text1"/>
        </w:rPr>
      </w:pPr>
      <w:r>
        <w:rPr>
          <w:rFonts w:eastAsia="Times New Roman"/>
          <w:color w:val="000000" w:themeColor="text1"/>
        </w:rPr>
        <w:t>Each prisoner has the right to write directly to the High Court to assert that some aspect of his or her detention is unlawful, and letters cannot be confiscated by the authorities and must be forwarded to the court immediately.</w:t>
      </w:r>
      <w:r>
        <w:rPr>
          <w:rStyle w:val="FootnoteReference"/>
          <w:rFonts w:eastAsia="Times New Roman"/>
          <w:color w:val="000000" w:themeColor="text1"/>
        </w:rPr>
        <w:footnoteReference w:id="149"/>
      </w:r>
      <w:r>
        <w:rPr>
          <w:rFonts w:eastAsia="Times New Roman"/>
          <w:color w:val="000000" w:themeColor="text1"/>
        </w:rPr>
        <w:t xml:space="preserve"> Under this process, a prisoner, or someone on their behalf, may write to the High Court and any ruling is made in writing, transmitted to the prisoner and read aloud in open court. This route has been emphasised by Charleton J in </w:t>
      </w:r>
      <w:r>
        <w:rPr>
          <w:rFonts w:eastAsia="Times New Roman"/>
          <w:i/>
          <w:iCs/>
          <w:color w:val="000000" w:themeColor="text1"/>
        </w:rPr>
        <w:t>McD v. Governor of X Prison.</w:t>
      </w:r>
      <w:r w:rsidRPr="00F90A29">
        <w:rPr>
          <w:rStyle w:val="FootnoteReference"/>
          <w:rFonts w:eastAsia="Times New Roman"/>
          <w:color w:val="000000" w:themeColor="text1"/>
        </w:rPr>
        <w:footnoteReference w:id="150"/>
      </w:r>
      <w:r>
        <w:rPr>
          <w:rFonts w:eastAsia="Times New Roman"/>
          <w:i/>
          <w:iCs/>
          <w:color w:val="000000" w:themeColor="text1"/>
        </w:rPr>
        <w:t xml:space="preserve"> </w:t>
      </w:r>
    </w:p>
    <w:p w14:paraId="21CE45AA" w14:textId="77777777" w:rsidR="001B26D4" w:rsidRDefault="001B26D4" w:rsidP="00133305">
      <w:pPr>
        <w:spacing w:line="360" w:lineRule="auto"/>
        <w:jc w:val="both"/>
        <w:rPr>
          <w:rFonts w:eastAsia="Times New Roman"/>
          <w:color w:val="000000" w:themeColor="text1"/>
        </w:rPr>
      </w:pPr>
    </w:p>
    <w:p w14:paraId="0D352368" w14:textId="77777777" w:rsidR="00265E1B" w:rsidRDefault="00265E1B" w:rsidP="00133305">
      <w:pPr>
        <w:spacing w:line="360" w:lineRule="auto"/>
        <w:jc w:val="both"/>
        <w:rPr>
          <w:rFonts w:eastAsia="Times New Roman"/>
          <w:color w:val="000000" w:themeColor="text1"/>
        </w:rPr>
      </w:pPr>
    </w:p>
    <w:p w14:paraId="611B4F1C" w14:textId="77777777" w:rsidR="00265E1B" w:rsidRDefault="00265E1B" w:rsidP="00133305">
      <w:pPr>
        <w:spacing w:line="360" w:lineRule="auto"/>
        <w:jc w:val="both"/>
        <w:rPr>
          <w:rFonts w:eastAsia="Times New Roman"/>
          <w:color w:val="000000" w:themeColor="text1"/>
        </w:rPr>
      </w:pPr>
    </w:p>
    <w:p w14:paraId="123A16A0" w14:textId="02688A94" w:rsidR="00B57DDF" w:rsidRDefault="00B57DDF" w:rsidP="00133305">
      <w:pPr>
        <w:spacing w:line="360" w:lineRule="auto"/>
        <w:jc w:val="both"/>
        <w:rPr>
          <w:b/>
          <w:bCs/>
        </w:rPr>
      </w:pPr>
      <w:r w:rsidRPr="00271666">
        <w:rPr>
          <w:b/>
          <w:bCs/>
        </w:rPr>
        <w:lastRenderedPageBreak/>
        <w:t>IX – Alternatives and adjustments of the custodial sentence</w:t>
      </w:r>
    </w:p>
    <w:p w14:paraId="643E4C4E" w14:textId="77777777" w:rsidR="00F90A29" w:rsidRDefault="00F90A29" w:rsidP="00133305">
      <w:pPr>
        <w:spacing w:line="360" w:lineRule="auto"/>
        <w:jc w:val="both"/>
        <w:rPr>
          <w:b/>
          <w:bCs/>
        </w:rPr>
      </w:pPr>
    </w:p>
    <w:p w14:paraId="7FEC6D97" w14:textId="1DB42826" w:rsidR="00F90A29" w:rsidRDefault="00F90A29" w:rsidP="00133305">
      <w:pPr>
        <w:spacing w:line="360" w:lineRule="auto"/>
        <w:jc w:val="both"/>
      </w:pPr>
      <w:r>
        <w:t>Once a person is sentenced to a term of impris</w:t>
      </w:r>
      <w:r w:rsidR="005230AF">
        <w:t>o</w:t>
      </w:r>
      <w:r>
        <w:t xml:space="preserve">nment, release can take place at the expiration of the </w:t>
      </w:r>
      <w:r w:rsidR="005230AF">
        <w:t xml:space="preserve">sentence, through the application of ‘parole’, or through the use of temporary release, which could be for an extended period. Ireland does not use waiting lists for prison. </w:t>
      </w:r>
      <w:r w:rsidR="00E012C9">
        <w:t xml:space="preserve">While a person may spend the entirety of their life in prison, there are no ‘whole-life orders’ in Ireland. </w:t>
      </w:r>
    </w:p>
    <w:p w14:paraId="4AB7DC09" w14:textId="77777777" w:rsidR="005230AF" w:rsidRDefault="005230AF" w:rsidP="00133305">
      <w:pPr>
        <w:spacing w:line="360" w:lineRule="auto"/>
        <w:jc w:val="both"/>
      </w:pPr>
    </w:p>
    <w:p w14:paraId="15C73007" w14:textId="3B6F6CE0" w:rsidR="005230AF" w:rsidRDefault="005230AF" w:rsidP="00133305">
      <w:pPr>
        <w:spacing w:line="360" w:lineRule="auto"/>
        <w:jc w:val="both"/>
      </w:pPr>
      <w:r>
        <w:t>Remission is the complete ending of the prison sentence at a reduced point. Standard remission applies to all prisoners</w:t>
      </w:r>
      <w:r w:rsidR="00E012C9">
        <w:t xml:space="preserve">, except for those serving life sentences, </w:t>
      </w:r>
      <w:r>
        <w:t>and stands at one quarter of a prisoner’s sentence.</w:t>
      </w:r>
      <w:r>
        <w:rPr>
          <w:rStyle w:val="FootnoteReference"/>
        </w:rPr>
        <w:footnoteReference w:id="151"/>
      </w:r>
      <w:r w:rsidR="00E012C9">
        <w:t xml:space="preserve"> Enhanced remission is permitted under rules 59(1) and (2) of the Prison Rules 2007. </w:t>
      </w:r>
      <w:r w:rsidR="001014AE">
        <w:t xml:space="preserve"> </w:t>
      </w:r>
      <w:r w:rsidR="00E012C9">
        <w:t xml:space="preserve">Up to one-third remission may be permitted for prisoners who have ‘shown by engagement in authorised structured activity to such an extent as to satisfy the Minister for Justice that they are less likely to reoffend and will be better able to reintegrate into society’. A prisoner must apply for enhanced remission, and the law lays down particular factors which the Minister must consider, including reports from the govenor. </w:t>
      </w:r>
      <w:r w:rsidR="001014AE">
        <w:t>The Court of Appeal has held that the calculation of the period of remission may correctly be done through the calculation of the number of days in the sentence.</w:t>
      </w:r>
      <w:r w:rsidR="001014AE">
        <w:rPr>
          <w:rStyle w:val="FootnoteReference"/>
        </w:rPr>
        <w:footnoteReference w:id="152"/>
      </w:r>
      <w:r w:rsidR="001014AE">
        <w:t xml:space="preserve"> </w:t>
      </w:r>
    </w:p>
    <w:p w14:paraId="15C194F1" w14:textId="77777777" w:rsidR="00E012C9" w:rsidRDefault="00E012C9" w:rsidP="00133305">
      <w:pPr>
        <w:spacing w:line="360" w:lineRule="auto"/>
        <w:jc w:val="both"/>
      </w:pPr>
    </w:p>
    <w:p w14:paraId="25C362B5" w14:textId="3DCB829E" w:rsidR="00E012C9" w:rsidRDefault="00E012C9" w:rsidP="00133305">
      <w:pPr>
        <w:spacing w:line="360" w:lineRule="auto"/>
        <w:jc w:val="both"/>
      </w:pPr>
      <w:r>
        <w:t>Article 13.6 of the Constitution also provides for commutation of a sentence, which may be exercised on behalf of the President of Ireland by the Minister for Justice.</w:t>
      </w:r>
      <w:r>
        <w:rPr>
          <w:rStyle w:val="FootnoteReference"/>
        </w:rPr>
        <w:footnoteReference w:id="153"/>
      </w:r>
      <w:r>
        <w:t xml:space="preserve"> </w:t>
      </w:r>
    </w:p>
    <w:p w14:paraId="6582149C" w14:textId="77777777" w:rsidR="00E012C9" w:rsidRDefault="00E012C9" w:rsidP="00133305">
      <w:pPr>
        <w:spacing w:line="360" w:lineRule="auto"/>
        <w:jc w:val="both"/>
      </w:pPr>
    </w:p>
    <w:p w14:paraId="03A52CE8" w14:textId="1CAB9280" w:rsidR="00E012C9" w:rsidRDefault="00E012C9" w:rsidP="00133305">
      <w:pPr>
        <w:spacing w:line="360" w:lineRule="auto"/>
        <w:jc w:val="both"/>
      </w:pPr>
      <w:r>
        <w:t>Ireland changed its system</w:t>
      </w:r>
      <w:r w:rsidR="00DC6CD0">
        <w:t xml:space="preserve"> for the early release of life sentenced prisoners in the Parole Act 2019. When a prisoner sentenced to life imprisonment has served 12 years, they become eligible for early release to the Parole Board, a body which is independent of the prison service and the Minister for Justice. The prisoner may be legally represented in this process, and can obtain funded legal assistance for this purpose. The Parole Board may order release on parole if satisfied that the parole applicant would not present an undue risk to the safety and security of members of the public including the victim and, that the person has been rehabiltiated and would, upon being release, be capable of reintegrating into society. </w:t>
      </w:r>
      <w:r w:rsidR="002A2573">
        <w:t xml:space="preserve">The Parole Board must consider factors including the nature of the offence and the period of imprisonment already served, the conduct of the parole applicant, the risk of offending, and submissions made by the </w:t>
      </w:r>
      <w:r w:rsidR="002A2573">
        <w:lastRenderedPageBreak/>
        <w:t>applicnat and the victim. When the person is released on parole, they may be subject to conditions such as supervision by the Probation Service, residence requirements, contact restrictions or restrictions on attending certain places. If a person is refused parole, they must be informed of this in writing, with reasons, and be given a date, not later than two years after the date of the making of the decision on which they will become eligible again for parole.</w:t>
      </w:r>
      <w:r w:rsidR="002A2573">
        <w:rPr>
          <w:rStyle w:val="FootnoteReference"/>
        </w:rPr>
        <w:footnoteReference w:id="154"/>
      </w:r>
      <w:r w:rsidR="002A2573">
        <w:t xml:space="preserve"> Parole may be revoked.</w:t>
      </w:r>
      <w:r w:rsidR="002A2573">
        <w:rPr>
          <w:rStyle w:val="FootnoteReference"/>
        </w:rPr>
        <w:footnoteReference w:id="155"/>
      </w:r>
      <w:r w:rsidR="002A2573">
        <w:t xml:space="preserve">  </w:t>
      </w:r>
    </w:p>
    <w:p w14:paraId="4A9CAE32" w14:textId="77777777" w:rsidR="00E012C9" w:rsidRDefault="00E012C9" w:rsidP="00133305">
      <w:pPr>
        <w:spacing w:line="360" w:lineRule="auto"/>
        <w:jc w:val="both"/>
      </w:pPr>
    </w:p>
    <w:p w14:paraId="09E1AF34" w14:textId="547965F9" w:rsidR="00E012C9" w:rsidRDefault="00E012C9" w:rsidP="00133305">
      <w:pPr>
        <w:spacing w:line="360" w:lineRule="auto"/>
        <w:jc w:val="both"/>
      </w:pPr>
      <w:r>
        <w:t xml:space="preserve">For non-life sentenced prisoners, early release can take place by means of temporary release. </w:t>
      </w:r>
      <w:r w:rsidR="002A2573">
        <w:t>This is governed by the Criminal Justice Act 1960 and the Criminal Justice (Temporary Release of Prisoners) Act 2003. Temporary release may be granted for the purpose of assessing the person’s ability to reintegrate into society upon release</w:t>
      </w:r>
      <w:r w:rsidR="002F15CB">
        <w:t>, prepare the person for release, or assist the police, or on the grounds of health or other humanitarian grounds.</w:t>
      </w:r>
      <w:r w:rsidR="002F15CB">
        <w:rPr>
          <w:rStyle w:val="FootnoteReference"/>
        </w:rPr>
        <w:footnoteReference w:id="156"/>
      </w:r>
      <w:r w:rsidR="002F15CB">
        <w:t xml:space="preserve"> The Minister must be of the opinion that release is necessary or expedient in order to ensure the good government of the prison or maintain good order in, and humane and just </w:t>
      </w:r>
      <w:proofErr w:type="spellStart"/>
      <w:r w:rsidR="002F15CB">
        <w:t>managemen</w:t>
      </w:r>
      <w:proofErr w:type="spellEnd"/>
      <w:r w:rsidR="004336A8">
        <w:rPr>
          <w:lang/>
        </w:rPr>
        <w:t>t</w:t>
      </w:r>
      <w:r w:rsidR="002F15CB">
        <w:t xml:space="preserve"> of the prison concerned, or that </w:t>
      </w:r>
      <w:r w:rsidR="004336A8">
        <w:rPr>
          <w:lang/>
        </w:rPr>
        <w:t>the</w:t>
      </w:r>
      <w:r w:rsidR="002F15CB">
        <w:t xml:space="preserve"> person has been rehabilitated and would, on release, be capable of re</w:t>
      </w:r>
      <w:r w:rsidR="004336A8">
        <w:rPr>
          <w:lang/>
        </w:rPr>
        <w:t>i</w:t>
      </w:r>
      <w:proofErr w:type="spellStart"/>
      <w:r w:rsidR="002F15CB">
        <w:t>ntegrating</w:t>
      </w:r>
      <w:proofErr w:type="spellEnd"/>
      <w:r w:rsidR="002F15CB">
        <w:t xml:space="preserve"> into society. The Minister must take into account certain factors, including risk of offending, risk of not returning, and reports of, for example, the governor. The release is subject to conditions imposed by the Minister.</w:t>
      </w:r>
      <w:r w:rsidR="002F15CB">
        <w:rPr>
          <w:rStyle w:val="FootnoteReference"/>
        </w:rPr>
        <w:footnoteReference w:id="157"/>
      </w:r>
    </w:p>
    <w:p w14:paraId="44433769" w14:textId="77777777" w:rsidR="005230AF" w:rsidRDefault="005230AF" w:rsidP="00133305">
      <w:pPr>
        <w:spacing w:line="360" w:lineRule="auto"/>
        <w:jc w:val="both"/>
      </w:pPr>
    </w:p>
    <w:p w14:paraId="75B4B277" w14:textId="665D028A" w:rsidR="005230AF" w:rsidRPr="00F90A29" w:rsidRDefault="005230AF" w:rsidP="00133305">
      <w:pPr>
        <w:spacing w:line="360" w:lineRule="auto"/>
        <w:jc w:val="both"/>
      </w:pPr>
      <w:r>
        <w:t>In the case of pre-trial detention, the alternative to custody is the use of ‘bail’ which, in Ireland, has a broad meaning encompassing all conditions which might be placed on liberty pending trial or sentence. These conditions may include a curfew, residence restrictions, requirements to report to the police, and so on. At present, electronic monitoring is not used at the pre-trial</w:t>
      </w:r>
      <w:r w:rsidR="00E012C9">
        <w:t xml:space="preserve"> or post-conviction</w:t>
      </w:r>
      <w:r>
        <w:t xml:space="preserve"> stage, even though this is provided for in law.</w:t>
      </w:r>
    </w:p>
    <w:p w14:paraId="5982B3FE" w14:textId="77777777" w:rsidR="00B57DDF" w:rsidRPr="00271666" w:rsidRDefault="00B57DDF" w:rsidP="00133305">
      <w:pPr>
        <w:spacing w:line="360" w:lineRule="auto"/>
        <w:jc w:val="both"/>
      </w:pPr>
    </w:p>
    <w:p w14:paraId="3C05CBD7" w14:textId="77777777" w:rsidR="00B57DDF" w:rsidRPr="00271666" w:rsidRDefault="00B57DDF" w:rsidP="00133305">
      <w:pPr>
        <w:spacing w:line="360" w:lineRule="auto"/>
        <w:jc w:val="both"/>
      </w:pPr>
    </w:p>
    <w:p w14:paraId="4569C1E2" w14:textId="77777777" w:rsidR="00B57DDF" w:rsidRPr="00271666" w:rsidRDefault="00B57DDF" w:rsidP="00133305">
      <w:pPr>
        <w:spacing w:line="360" w:lineRule="auto"/>
        <w:jc w:val="both"/>
      </w:pPr>
    </w:p>
    <w:p w14:paraId="053FDF96" w14:textId="77777777" w:rsidR="00B57DDF" w:rsidRPr="00271666" w:rsidRDefault="00B57DDF" w:rsidP="00133305">
      <w:pPr>
        <w:spacing w:line="360" w:lineRule="auto"/>
        <w:jc w:val="both"/>
        <w:rPr>
          <w:b/>
          <w:bCs/>
        </w:rPr>
      </w:pPr>
    </w:p>
    <w:p w14:paraId="7E7120DB" w14:textId="77777777" w:rsidR="00B57DDF" w:rsidRPr="00271666" w:rsidRDefault="00B57DDF" w:rsidP="00133305">
      <w:pPr>
        <w:spacing w:line="360" w:lineRule="auto"/>
        <w:jc w:val="both"/>
        <w:rPr>
          <w:b/>
          <w:bCs/>
          <w:sz w:val="28"/>
          <w:szCs w:val="28"/>
        </w:rPr>
      </w:pPr>
    </w:p>
    <w:p w14:paraId="55066792" w14:textId="77777777" w:rsidR="00B57DDF" w:rsidRPr="00271666" w:rsidRDefault="00B57DDF" w:rsidP="00133305">
      <w:pPr>
        <w:spacing w:line="360" w:lineRule="auto"/>
        <w:jc w:val="both"/>
        <w:rPr>
          <w:b/>
          <w:bCs/>
          <w:sz w:val="28"/>
          <w:szCs w:val="28"/>
        </w:rPr>
      </w:pPr>
    </w:p>
    <w:p w14:paraId="33B0D7A4" w14:textId="77777777" w:rsidR="008C11DE" w:rsidRPr="00271666" w:rsidRDefault="008C11DE" w:rsidP="00133305">
      <w:pPr>
        <w:spacing w:line="360" w:lineRule="auto"/>
        <w:jc w:val="both"/>
      </w:pPr>
    </w:p>
    <w:sectPr w:rsidR="008C11DE" w:rsidRPr="00271666" w:rsidSect="000527A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B8A63D" w14:textId="77777777" w:rsidR="004D7A0A" w:rsidRDefault="004D7A0A" w:rsidP="006451F5">
      <w:r>
        <w:separator/>
      </w:r>
    </w:p>
  </w:endnote>
  <w:endnote w:type="continuationSeparator" w:id="0">
    <w:p w14:paraId="45FB02FF" w14:textId="77777777" w:rsidR="004D7A0A" w:rsidRDefault="004D7A0A" w:rsidP="006451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erriweather Sans">
    <w:panose1 w:val="00000000000000000000"/>
    <w:charset w:val="4D"/>
    <w:family w:val="auto"/>
    <w:pitch w:val="variable"/>
    <w:sig w:usb0="A00004FF" w:usb1="4000207B" w:usb2="00000000" w:usb3="00000000" w:csb0="00000193"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0A4195" w14:textId="77777777" w:rsidR="004D7A0A" w:rsidRDefault="004D7A0A" w:rsidP="006451F5">
      <w:r>
        <w:separator/>
      </w:r>
    </w:p>
  </w:footnote>
  <w:footnote w:type="continuationSeparator" w:id="0">
    <w:p w14:paraId="3F3EB9F6" w14:textId="77777777" w:rsidR="004D7A0A" w:rsidRDefault="004D7A0A" w:rsidP="006451F5">
      <w:r>
        <w:continuationSeparator/>
      </w:r>
    </w:p>
  </w:footnote>
  <w:footnote w:id="1">
    <w:p w14:paraId="5343F323" w14:textId="6109D82D" w:rsidR="006451F5" w:rsidRPr="008158B3" w:rsidRDefault="006451F5">
      <w:pPr>
        <w:pStyle w:val="FootnoteText"/>
      </w:pPr>
      <w:bookmarkStart w:id="0" w:name="_Hlk157173900"/>
      <w:bookmarkEnd w:id="0"/>
      <w:r w:rsidRPr="008158B3">
        <w:rPr>
          <w:rStyle w:val="FootnoteReference"/>
        </w:rPr>
        <w:footnoteRef/>
      </w:r>
      <w:r w:rsidRPr="008158B3">
        <w:t xml:space="preserve"> A note about terminology: ‘Ireland’ is used in this article to refer to the southern part of the island of Ireland, comprising 26 counties. </w:t>
      </w:r>
    </w:p>
  </w:footnote>
  <w:footnote w:id="2">
    <w:p w14:paraId="74F2D97A" w14:textId="65B1B0BE" w:rsidR="00090940" w:rsidRPr="008158B3" w:rsidRDefault="00090940">
      <w:pPr>
        <w:pStyle w:val="FootnoteText"/>
      </w:pPr>
      <w:r w:rsidRPr="008158B3">
        <w:rPr>
          <w:rStyle w:val="FootnoteReference"/>
        </w:rPr>
        <w:footnoteRef/>
      </w:r>
      <w:r w:rsidRPr="008158B3">
        <w:t xml:space="preserve"> Inventory of Prisons on January 27</w:t>
      </w:r>
      <w:proofErr w:type="gramStart"/>
      <w:r w:rsidRPr="008158B3">
        <w:t xml:space="preserve"> 1922</w:t>
      </w:r>
      <w:proofErr w:type="gramEnd"/>
      <w:r w:rsidRPr="008158B3">
        <w:t xml:space="preserve">, National Archives, Department of Justice Files H78/17. </w:t>
      </w:r>
    </w:p>
  </w:footnote>
  <w:footnote w:id="3">
    <w:p w14:paraId="464F01DE" w14:textId="1A8A7089" w:rsidR="00733F9D" w:rsidRPr="008158B3" w:rsidRDefault="00733F9D">
      <w:pPr>
        <w:pStyle w:val="FootnoteText"/>
      </w:pPr>
      <w:r w:rsidRPr="008158B3">
        <w:rPr>
          <w:rStyle w:val="FootnoteReference"/>
        </w:rPr>
        <w:footnoteRef/>
      </w:r>
      <w:r w:rsidRPr="008158B3">
        <w:t xml:space="preserve"> Annual Reports on Prisons 1922, 1924, General Prisons Board. </w:t>
      </w:r>
    </w:p>
  </w:footnote>
  <w:footnote w:id="4">
    <w:p w14:paraId="0BADBAA1" w14:textId="0FA01F9B" w:rsidR="00733F9D" w:rsidRPr="008158B3" w:rsidRDefault="00733F9D">
      <w:pPr>
        <w:pStyle w:val="FootnoteText"/>
      </w:pPr>
      <w:r w:rsidRPr="008158B3">
        <w:rPr>
          <w:rStyle w:val="FootnoteReference"/>
        </w:rPr>
        <w:footnoteRef/>
      </w:r>
      <w:r w:rsidRPr="008158B3">
        <w:t xml:space="preserve"> </w:t>
      </w:r>
      <w:r w:rsidR="00133305" w:rsidRPr="008158B3">
        <w:rPr>
          <w:i/>
          <w:iCs/>
        </w:rPr>
        <w:t xml:space="preserve">See further </w:t>
      </w:r>
      <w:r w:rsidR="00133305" w:rsidRPr="008158B3">
        <w:rPr>
          <w:color w:val="333333"/>
          <w:shd w:val="clear" w:color="auto" w:fill="FFFFFF"/>
        </w:rPr>
        <w:t xml:space="preserve">O'Rourke, </w:t>
      </w:r>
      <w:proofErr w:type="gramStart"/>
      <w:r w:rsidR="00133305" w:rsidRPr="008158B3">
        <w:rPr>
          <w:color w:val="333333"/>
          <w:shd w:val="clear" w:color="auto" w:fill="FFFFFF"/>
        </w:rPr>
        <w:t>Maeve ,</w:t>
      </w:r>
      <w:proofErr w:type="gramEnd"/>
      <w:r w:rsidR="00133305" w:rsidRPr="008158B3">
        <w:rPr>
          <w:color w:val="333333"/>
          <w:shd w:val="clear" w:color="auto" w:fill="FFFFFF"/>
        </w:rPr>
        <w:t xml:space="preserve"> &amp; Smith, James M. (2016). Ireland's Magdalene laundries: Confronting a history not yet in the past. In Alan Hayes &amp; Maire Meagher (Eds.), A century of progress? Irish women reflect. Dublin: Arlen House; Brangan, L. (2024). States of denial: Magdalene Laundries in twentieth-century Ireland. Punishment &amp; Society, 0(0). </w:t>
      </w:r>
      <w:hyperlink r:id="rId1" w:history="1">
        <w:r w:rsidR="00133305" w:rsidRPr="008158B3">
          <w:rPr>
            <w:rStyle w:val="Hyperlink"/>
            <w:shd w:val="clear" w:color="auto" w:fill="FFFFFF"/>
          </w:rPr>
          <w:t>https://doi.org/10.1177/14624745231218470</w:t>
        </w:r>
      </w:hyperlink>
      <w:r w:rsidR="00133305" w:rsidRPr="008158B3">
        <w:rPr>
          <w:color w:val="333333"/>
          <w:shd w:val="clear" w:color="auto" w:fill="FFFFFF"/>
        </w:rPr>
        <w:t xml:space="preserve">. </w:t>
      </w:r>
    </w:p>
  </w:footnote>
  <w:footnote w:id="5">
    <w:p w14:paraId="547C0ECA" w14:textId="77881A77" w:rsidR="00133305" w:rsidRPr="008158B3" w:rsidRDefault="00133305">
      <w:pPr>
        <w:pStyle w:val="FootnoteText"/>
      </w:pPr>
      <w:r w:rsidRPr="008158B3">
        <w:rPr>
          <w:rStyle w:val="FootnoteReference"/>
        </w:rPr>
        <w:footnoteRef/>
      </w:r>
      <w:r w:rsidRPr="008158B3">
        <w:t xml:space="preserve"> Source: Irish Prison Service daily prison population figures, </w:t>
      </w:r>
      <w:hyperlink r:id="rId2" w:history="1">
        <w:r w:rsidRPr="008158B3">
          <w:rPr>
            <w:rStyle w:val="Hyperlink"/>
          </w:rPr>
          <w:t>www.irishprisons.ie</w:t>
        </w:r>
      </w:hyperlink>
      <w:r w:rsidRPr="008158B3">
        <w:t xml:space="preserve"> (last accessed January 26</w:t>
      </w:r>
      <w:proofErr w:type="gramStart"/>
      <w:r w:rsidRPr="008158B3">
        <w:t xml:space="preserve"> 2024</w:t>
      </w:r>
      <w:proofErr w:type="gramEnd"/>
      <w:r w:rsidRPr="008158B3">
        <w:t xml:space="preserve">). </w:t>
      </w:r>
    </w:p>
  </w:footnote>
  <w:footnote w:id="6">
    <w:p w14:paraId="267E7871" w14:textId="3A9F0E7C" w:rsidR="006752B0" w:rsidRPr="008158B3" w:rsidRDefault="006752B0">
      <w:pPr>
        <w:pStyle w:val="FootnoteText"/>
      </w:pPr>
      <w:r w:rsidRPr="008158B3">
        <w:rPr>
          <w:rStyle w:val="FootnoteReference"/>
        </w:rPr>
        <w:footnoteRef/>
      </w:r>
      <w:r w:rsidRPr="008158B3">
        <w:t xml:space="preserve"> Irish Prison Service Bill 2023. </w:t>
      </w:r>
    </w:p>
  </w:footnote>
  <w:footnote w:id="7">
    <w:p w14:paraId="64022629" w14:textId="4693A463" w:rsidR="0050762A" w:rsidRPr="008158B3" w:rsidRDefault="0050762A">
      <w:pPr>
        <w:pStyle w:val="FootnoteText"/>
      </w:pPr>
      <w:r w:rsidRPr="008158B3">
        <w:rPr>
          <w:rStyle w:val="FootnoteReference"/>
        </w:rPr>
        <w:footnoteRef/>
      </w:r>
      <w:r w:rsidRPr="008158B3">
        <w:t xml:space="preserve"> S.I. No. 252 of 2007. </w:t>
      </w:r>
    </w:p>
  </w:footnote>
  <w:footnote w:id="8">
    <w:p w14:paraId="1CF20F76" w14:textId="6AB77982" w:rsidR="00640DBE" w:rsidRPr="008158B3" w:rsidRDefault="00640DBE">
      <w:pPr>
        <w:pStyle w:val="FootnoteText"/>
      </w:pPr>
      <w:r w:rsidRPr="008158B3">
        <w:rPr>
          <w:rStyle w:val="FootnoteReference"/>
        </w:rPr>
        <w:footnoteRef/>
      </w:r>
      <w:r w:rsidRPr="008158B3">
        <w:t xml:space="preserve"> Prison Rules (Amendment) 2013, S.I. No. 11</w:t>
      </w:r>
      <w:r w:rsidR="008054C5" w:rsidRPr="008158B3">
        <w:rPr>
          <w:lang/>
        </w:rPr>
        <w:t xml:space="preserve"> </w:t>
      </w:r>
      <w:r w:rsidR="008054C5" w:rsidRPr="008158B3">
        <w:rPr>
          <w:lang/>
        </w:rPr>
        <w:t xml:space="preserve">of </w:t>
      </w:r>
      <w:r w:rsidRPr="008158B3">
        <w:t xml:space="preserve">2013. </w:t>
      </w:r>
    </w:p>
  </w:footnote>
  <w:footnote w:id="9">
    <w:p w14:paraId="43A5BA3C" w14:textId="5B020F6D" w:rsidR="00640DBE" w:rsidRPr="008158B3" w:rsidRDefault="00640DBE">
      <w:pPr>
        <w:pStyle w:val="FootnoteText"/>
      </w:pPr>
      <w:r w:rsidRPr="008158B3">
        <w:rPr>
          <w:rStyle w:val="FootnoteReference"/>
        </w:rPr>
        <w:footnoteRef/>
      </w:r>
      <w:r w:rsidRPr="008158B3">
        <w:t xml:space="preserve"> Prison Rules (Amendment) 2017, S.I. No. 276/2017. </w:t>
      </w:r>
    </w:p>
  </w:footnote>
  <w:footnote w:id="10">
    <w:p w14:paraId="62E1B070" w14:textId="06C44793" w:rsidR="00640DBE" w:rsidRPr="008158B3" w:rsidRDefault="00640DBE">
      <w:pPr>
        <w:pStyle w:val="FootnoteText"/>
      </w:pPr>
      <w:r w:rsidRPr="008158B3">
        <w:rPr>
          <w:rStyle w:val="FootnoteReference"/>
        </w:rPr>
        <w:footnoteRef/>
      </w:r>
      <w:r w:rsidRPr="008158B3">
        <w:t xml:space="preserve"> Prison (</w:t>
      </w:r>
      <w:proofErr w:type="gramStart"/>
      <w:r w:rsidRPr="008158B3">
        <w:t>Amendment )</w:t>
      </w:r>
      <w:proofErr w:type="gramEnd"/>
      <w:r w:rsidRPr="008158B3">
        <w:t xml:space="preserve"> Rules 2020, S.I. No. 250/2020. </w:t>
      </w:r>
    </w:p>
  </w:footnote>
  <w:footnote w:id="11">
    <w:p w14:paraId="01943FD7" w14:textId="1D09D854" w:rsidR="008158B3" w:rsidRPr="008158B3" w:rsidRDefault="008158B3">
      <w:pPr>
        <w:pStyle w:val="FootnoteText"/>
        <w:rPr>
          <w:lang/>
        </w:rPr>
      </w:pPr>
      <w:r w:rsidRPr="008158B3">
        <w:rPr>
          <w:rStyle w:val="FootnoteReference"/>
        </w:rPr>
        <w:footnoteRef/>
      </w:r>
      <w:r w:rsidRPr="008158B3">
        <w:t xml:space="preserve"> </w:t>
      </w:r>
      <w:r w:rsidRPr="008158B3">
        <w:rPr>
          <w:lang/>
        </w:rPr>
        <w:t xml:space="preserve">Rogan, </w:t>
      </w:r>
      <w:r w:rsidRPr="008158B3">
        <w:rPr>
          <w:i/>
          <w:iCs/>
          <w:lang/>
        </w:rPr>
        <w:t xml:space="preserve">Prison Law </w:t>
      </w:r>
      <w:r w:rsidRPr="008158B3">
        <w:rPr>
          <w:lang/>
        </w:rPr>
        <w:t xml:space="preserve">(Dublin, Bloomsbury Professional, 2014). </w:t>
      </w:r>
    </w:p>
  </w:footnote>
  <w:footnote w:id="12">
    <w:p w14:paraId="331F8E96" w14:textId="4651E568" w:rsidR="005567A1" w:rsidRPr="008158B3" w:rsidRDefault="005567A1">
      <w:pPr>
        <w:pStyle w:val="FootnoteText"/>
      </w:pPr>
      <w:r w:rsidRPr="008158B3">
        <w:rPr>
          <w:rStyle w:val="FootnoteReference"/>
        </w:rPr>
        <w:footnoteRef/>
      </w:r>
      <w:r w:rsidRPr="008158B3">
        <w:t xml:space="preserve"> </w:t>
      </w:r>
      <w:r w:rsidRPr="008158B3">
        <w:rPr>
          <w:i/>
          <w:iCs/>
        </w:rPr>
        <w:t xml:space="preserve">Simpson v. Governor of Mountjoy Prison </w:t>
      </w:r>
      <w:r w:rsidRPr="008158B3">
        <w:rPr>
          <w:color w:val="000000" w:themeColor="text1"/>
        </w:rPr>
        <w:t xml:space="preserve">[2019] IESC 81. </w:t>
      </w:r>
    </w:p>
  </w:footnote>
  <w:footnote w:id="13">
    <w:p w14:paraId="4071E40B" w14:textId="57F44362" w:rsidR="005567A1" w:rsidRPr="008158B3" w:rsidRDefault="005567A1">
      <w:pPr>
        <w:pStyle w:val="FootnoteText"/>
      </w:pPr>
      <w:r w:rsidRPr="008158B3">
        <w:rPr>
          <w:rStyle w:val="FootnoteReference"/>
        </w:rPr>
        <w:footnoteRef/>
      </w:r>
      <w:r w:rsidRPr="008158B3">
        <w:t xml:space="preserve"> </w:t>
      </w:r>
      <w:r w:rsidRPr="008158B3">
        <w:rPr>
          <w:i/>
          <w:iCs/>
        </w:rPr>
        <w:t>Ibid</w:t>
      </w:r>
      <w:r w:rsidRPr="008158B3">
        <w:t xml:space="preserve">, at para. 84. </w:t>
      </w:r>
    </w:p>
  </w:footnote>
  <w:footnote w:id="14">
    <w:p w14:paraId="22B22830" w14:textId="7CD54935" w:rsidR="0029466C" w:rsidRPr="008158B3" w:rsidRDefault="0029466C">
      <w:pPr>
        <w:pStyle w:val="FootnoteText"/>
        <w:rPr>
          <w:lang/>
        </w:rPr>
      </w:pPr>
      <w:r w:rsidRPr="008158B3">
        <w:rPr>
          <w:rStyle w:val="FootnoteReference"/>
        </w:rPr>
        <w:footnoteRef/>
      </w:r>
      <w:r w:rsidRPr="008158B3">
        <w:t xml:space="preserve"> </w:t>
      </w:r>
      <w:r w:rsidRPr="008158B3">
        <w:rPr>
          <w:i/>
          <w:iCs/>
        </w:rPr>
        <w:t xml:space="preserve">Ibid, </w:t>
      </w:r>
      <w:r w:rsidRPr="008158B3">
        <w:t xml:space="preserve">at para 89; </w:t>
      </w:r>
      <w:r w:rsidRPr="008158B3">
        <w:rPr>
          <w:i/>
          <w:iCs/>
        </w:rPr>
        <w:t xml:space="preserve">Kinsella </w:t>
      </w:r>
      <w:r w:rsidR="008158B3" w:rsidRPr="008158B3">
        <w:rPr>
          <w:i/>
          <w:iCs/>
          <w:lang/>
        </w:rPr>
        <w:t xml:space="preserve">v. Governor of MountjoyPrison </w:t>
      </w:r>
      <w:r w:rsidR="008158B3" w:rsidRPr="008158B3">
        <w:rPr>
          <w:lang/>
        </w:rPr>
        <w:t>[2011] IEHC 235.</w:t>
      </w:r>
    </w:p>
  </w:footnote>
  <w:footnote w:id="15">
    <w:p w14:paraId="5C8B7606" w14:textId="2A3239E2" w:rsidR="0029466C" w:rsidRPr="008158B3" w:rsidRDefault="0029466C">
      <w:pPr>
        <w:pStyle w:val="FootnoteText"/>
        <w:rPr>
          <w:i/>
          <w:iCs/>
        </w:rPr>
      </w:pPr>
      <w:r w:rsidRPr="008158B3">
        <w:rPr>
          <w:rStyle w:val="FootnoteReference"/>
        </w:rPr>
        <w:footnoteRef/>
      </w:r>
      <w:r w:rsidRPr="008158B3">
        <w:t xml:space="preserve"> </w:t>
      </w:r>
      <w:r w:rsidR="008158B3" w:rsidRPr="008158B3">
        <w:rPr>
          <w:i/>
          <w:iCs/>
          <w:lang/>
        </w:rPr>
        <w:t xml:space="preserve">Simpson v. Governor of Mountjoy Prison </w:t>
      </w:r>
      <w:r w:rsidR="008158B3" w:rsidRPr="008158B3">
        <w:rPr>
          <w:lang/>
        </w:rPr>
        <w:t xml:space="preserve">[2019] IESC 81. </w:t>
      </w:r>
      <w:r w:rsidRPr="008158B3">
        <w:rPr>
          <w:i/>
          <w:iCs/>
        </w:rPr>
        <w:t xml:space="preserve"> </w:t>
      </w:r>
    </w:p>
  </w:footnote>
  <w:footnote w:id="16">
    <w:p w14:paraId="03B0A9F6" w14:textId="5479A628" w:rsidR="002A683C" w:rsidRPr="008158B3" w:rsidRDefault="002A683C">
      <w:pPr>
        <w:pStyle w:val="FootnoteText"/>
        <w:rPr>
          <w:i/>
          <w:iCs/>
          <w:lang/>
        </w:rPr>
      </w:pPr>
      <w:r w:rsidRPr="008158B3">
        <w:rPr>
          <w:rStyle w:val="FootnoteReference"/>
        </w:rPr>
        <w:footnoteRef/>
      </w:r>
      <w:r w:rsidRPr="008158B3">
        <w:t xml:space="preserve"> </w:t>
      </w:r>
      <w:r w:rsidRPr="008158B3">
        <w:rPr>
          <w:i/>
          <w:iCs/>
        </w:rPr>
        <w:t>Ibid</w:t>
      </w:r>
      <w:r w:rsidR="008158B3" w:rsidRPr="008158B3">
        <w:rPr>
          <w:i/>
          <w:iCs/>
          <w:lang/>
        </w:rPr>
        <w:t>.</w:t>
      </w:r>
    </w:p>
  </w:footnote>
  <w:footnote w:id="17">
    <w:p w14:paraId="0A97F919" w14:textId="3B486E59" w:rsidR="002A683C" w:rsidRPr="008158B3" w:rsidRDefault="002A683C">
      <w:pPr>
        <w:pStyle w:val="FootnoteText"/>
      </w:pPr>
      <w:r w:rsidRPr="008158B3">
        <w:rPr>
          <w:rStyle w:val="FootnoteReference"/>
        </w:rPr>
        <w:footnoteRef/>
      </w:r>
      <w:r w:rsidRPr="008158B3">
        <w:t xml:space="preserve"> </w:t>
      </w:r>
      <w:r w:rsidRPr="008158B3">
        <w:rPr>
          <w:i/>
          <w:iCs/>
        </w:rPr>
        <w:t>Kinsella</w:t>
      </w:r>
      <w:r w:rsidR="008158B3" w:rsidRPr="008158B3">
        <w:rPr>
          <w:i/>
          <w:iCs/>
          <w:lang/>
        </w:rPr>
        <w:t xml:space="preserve"> </w:t>
      </w:r>
      <w:r w:rsidR="008158B3" w:rsidRPr="008158B3">
        <w:rPr>
          <w:i/>
          <w:iCs/>
          <w:lang/>
        </w:rPr>
        <w:t xml:space="preserve">v. Governor of Mountjoy Prison </w:t>
      </w:r>
      <w:r w:rsidR="008158B3" w:rsidRPr="008158B3">
        <w:rPr>
          <w:lang/>
        </w:rPr>
        <w:t>[2011] IEHC 235</w:t>
      </w:r>
      <w:r w:rsidRPr="008158B3">
        <w:t xml:space="preserve">. </w:t>
      </w:r>
    </w:p>
  </w:footnote>
  <w:footnote w:id="18">
    <w:p w14:paraId="741ABCAC" w14:textId="006CBEC2" w:rsidR="002A683C" w:rsidRPr="008158B3" w:rsidRDefault="002A683C">
      <w:pPr>
        <w:pStyle w:val="FootnoteText"/>
        <w:rPr>
          <w:i/>
          <w:iCs/>
          <w:lang/>
        </w:rPr>
      </w:pPr>
      <w:r w:rsidRPr="008158B3">
        <w:rPr>
          <w:rStyle w:val="FootnoteReference"/>
        </w:rPr>
        <w:footnoteRef/>
      </w:r>
      <w:r w:rsidRPr="008158B3">
        <w:t xml:space="preserve"> </w:t>
      </w:r>
      <w:r w:rsidR="008158B3" w:rsidRPr="008158B3">
        <w:rPr>
          <w:i/>
          <w:iCs/>
          <w:lang/>
        </w:rPr>
        <w:t xml:space="preserve">Simpson v. Governor of Mountjoy Prison </w:t>
      </w:r>
      <w:r w:rsidR="008158B3" w:rsidRPr="008158B3">
        <w:rPr>
          <w:lang/>
        </w:rPr>
        <w:t xml:space="preserve">[2019] IESC 81. </w:t>
      </w:r>
      <w:r w:rsidR="008158B3" w:rsidRPr="008158B3">
        <w:rPr>
          <w:i/>
          <w:iCs/>
        </w:rPr>
        <w:t xml:space="preserve"> </w:t>
      </w:r>
    </w:p>
  </w:footnote>
  <w:footnote w:id="19">
    <w:p w14:paraId="13D4B9CA" w14:textId="30453721" w:rsidR="002A683C" w:rsidRPr="008158B3" w:rsidRDefault="002A683C">
      <w:pPr>
        <w:pStyle w:val="FootnoteText"/>
        <w:rPr>
          <w:i/>
          <w:iCs/>
        </w:rPr>
      </w:pPr>
      <w:r w:rsidRPr="008158B3">
        <w:rPr>
          <w:rStyle w:val="FootnoteReference"/>
        </w:rPr>
        <w:footnoteRef/>
      </w:r>
      <w:r w:rsidRPr="008158B3">
        <w:t xml:space="preserve"> </w:t>
      </w:r>
      <w:r w:rsidRPr="008158B3">
        <w:rPr>
          <w:i/>
          <w:iCs/>
        </w:rPr>
        <w:t>Ibid.</w:t>
      </w:r>
    </w:p>
  </w:footnote>
  <w:footnote w:id="20">
    <w:p w14:paraId="0B7E5C2F" w14:textId="57F0E4CE" w:rsidR="00C23928" w:rsidRPr="008158B3" w:rsidRDefault="00C23928">
      <w:pPr>
        <w:pStyle w:val="FootnoteText"/>
        <w:rPr>
          <w:lang/>
        </w:rPr>
      </w:pPr>
      <w:r w:rsidRPr="008158B3">
        <w:rPr>
          <w:rStyle w:val="FootnoteReference"/>
        </w:rPr>
        <w:footnoteRef/>
      </w:r>
      <w:r w:rsidRPr="008158B3">
        <w:t xml:space="preserve"> </w:t>
      </w:r>
      <w:r w:rsidR="008158B3" w:rsidRPr="008158B3">
        <w:rPr>
          <w:color w:val="555555"/>
        </w:rPr>
        <w:t xml:space="preserve">van der </w:t>
      </w:r>
      <w:proofErr w:type="spellStart"/>
      <w:r w:rsidR="008158B3" w:rsidRPr="008158B3">
        <w:rPr>
          <w:color w:val="555555"/>
        </w:rPr>
        <w:t>Valk</w:t>
      </w:r>
      <w:proofErr w:type="spellEnd"/>
      <w:r w:rsidR="008158B3" w:rsidRPr="008158B3">
        <w:rPr>
          <w:color w:val="555555"/>
        </w:rPr>
        <w:t xml:space="preserve">, </w:t>
      </w:r>
      <w:r w:rsidR="008158B3" w:rsidRPr="008158B3">
        <w:rPr>
          <w:color w:val="555555"/>
          <w:lang/>
        </w:rPr>
        <w:t>S. and Rogan, M</w:t>
      </w:r>
      <w:r w:rsidR="008158B3" w:rsidRPr="008158B3">
        <w:rPr>
          <w:i/>
          <w:iCs/>
          <w:color w:val="555555"/>
          <w:lang/>
        </w:rPr>
        <w:t>.</w:t>
      </w:r>
      <w:r w:rsidR="008158B3" w:rsidRPr="008158B3">
        <w:rPr>
          <w:i/>
          <w:iCs/>
          <w:color w:val="555555"/>
        </w:rPr>
        <w:t xml:space="preserve"> Ireland: The weak European supervision of prison policies and its explanations. In </w:t>
      </w:r>
      <w:proofErr w:type="spellStart"/>
      <w:r w:rsidR="008158B3" w:rsidRPr="008158B3">
        <w:rPr>
          <w:i/>
          <w:iCs/>
          <w:color w:val="555555"/>
        </w:rPr>
        <w:t>Gaëtan</w:t>
      </w:r>
      <w:proofErr w:type="spellEnd"/>
      <w:r w:rsidR="008158B3" w:rsidRPr="008158B3">
        <w:rPr>
          <w:i/>
          <w:iCs/>
          <w:color w:val="555555"/>
        </w:rPr>
        <w:t xml:space="preserve"> </w:t>
      </w:r>
      <w:proofErr w:type="spellStart"/>
      <w:r w:rsidR="008158B3" w:rsidRPr="008158B3">
        <w:rPr>
          <w:i/>
          <w:iCs/>
          <w:color w:val="555555"/>
        </w:rPr>
        <w:t>Cliquennois</w:t>
      </w:r>
      <w:proofErr w:type="spellEnd"/>
      <w:r w:rsidR="008158B3" w:rsidRPr="008158B3">
        <w:rPr>
          <w:i/>
          <w:iCs/>
          <w:color w:val="555555"/>
        </w:rPr>
        <w:t xml:space="preserve"> (Editor), The Evolving Protection of Prisoners' Rights in Europe, </w:t>
      </w:r>
      <w:r w:rsidR="008158B3" w:rsidRPr="008158B3">
        <w:rPr>
          <w:color w:val="555555"/>
        </w:rPr>
        <w:t>Abingdon, 2022, 13</w:t>
      </w:r>
      <w:r w:rsidR="008158B3">
        <w:rPr>
          <w:color w:val="555555"/>
          <w:lang/>
        </w:rPr>
        <w:t>.</w:t>
      </w:r>
    </w:p>
  </w:footnote>
  <w:footnote w:id="21">
    <w:p w14:paraId="0CFC9B9E" w14:textId="7A931AD1" w:rsidR="00C23928" w:rsidRPr="008158B3" w:rsidRDefault="00C23928">
      <w:pPr>
        <w:pStyle w:val="FootnoteText"/>
        <w:rPr>
          <w:lang/>
        </w:rPr>
      </w:pPr>
      <w:r w:rsidRPr="008158B3">
        <w:rPr>
          <w:rStyle w:val="FootnoteReference"/>
        </w:rPr>
        <w:footnoteRef/>
      </w:r>
      <w:r w:rsidRPr="008158B3">
        <w:t xml:space="preserve"> </w:t>
      </w:r>
      <w:r w:rsidR="008158B3">
        <w:rPr>
          <w:lang/>
        </w:rPr>
        <w:t xml:space="preserve">Source: Central Statistics Office: </w:t>
      </w:r>
      <w:r w:rsidR="008158B3">
        <w:fldChar w:fldCharType="begin"/>
      </w:r>
      <w:r w:rsidR="008158B3">
        <w:instrText>HYPERLINK "</w:instrText>
      </w:r>
      <w:r w:rsidR="008158B3" w:rsidRPr="008158B3">
        <w:instrText>https://www.cso.ie/en/releasesandpublications/ep/p-cpsr/censusofpopulation2022-summaryresults/populationchanges/#:~:text=After%20a%20constant%20decline%20since,population%20of%20Ireland%20was%205%2C149%2C139</w:instrText>
      </w:r>
      <w:r w:rsidR="008158B3">
        <w:instrText>"</w:instrText>
      </w:r>
      <w:r w:rsidR="008158B3">
        <w:fldChar w:fldCharType="separate"/>
      </w:r>
      <w:r w:rsidR="008158B3" w:rsidRPr="002315F5">
        <w:rPr>
          <w:rStyle w:val="Hyperlink"/>
        </w:rPr>
        <w:t>https://www.cso.ie/en/releasesandpublications/ep/p-cpsr/censusofpopulation2022-summaryresults/populationchanges/#:~:text=After%20a%20constant%20decline%20since,population%20of%20Ireland%20was%205%2C149%2C139</w:t>
      </w:r>
      <w:r w:rsidR="008158B3">
        <w:fldChar w:fldCharType="end"/>
      </w:r>
      <w:r w:rsidR="008158B3">
        <w:rPr>
          <w:lang/>
        </w:rPr>
        <w:t xml:space="preserve"> (last accessed January 26 2024). </w:t>
      </w:r>
    </w:p>
  </w:footnote>
  <w:footnote w:id="22">
    <w:p w14:paraId="4DC44526" w14:textId="29F78EA2" w:rsidR="008158B3" w:rsidRPr="008158B3" w:rsidRDefault="00FA05A0" w:rsidP="008158B3">
      <w:pPr>
        <w:pStyle w:val="c-bibliographic-informationcitation"/>
        <w:spacing w:before="0" w:beforeAutospacing="0" w:after="240" w:afterAutospacing="0"/>
        <w:rPr>
          <w:rFonts w:ascii="Merriweather Sans" w:hAnsi="Merriweather Sans"/>
          <w:color w:val="222222"/>
          <w:lang/>
        </w:rPr>
      </w:pPr>
      <w:r w:rsidRPr="008158B3">
        <w:rPr>
          <w:rStyle w:val="FootnoteReference"/>
          <w:sz w:val="20"/>
          <w:szCs w:val="20"/>
        </w:rPr>
        <w:footnoteRef/>
      </w:r>
      <w:r w:rsidRPr="008158B3">
        <w:rPr>
          <w:sz w:val="20"/>
          <w:szCs w:val="20"/>
        </w:rPr>
        <w:t xml:space="preserve"> </w:t>
      </w:r>
      <w:r w:rsidR="008158B3" w:rsidRPr="008158B3">
        <w:rPr>
          <w:color w:val="222222"/>
          <w:sz w:val="20"/>
          <w:szCs w:val="20"/>
        </w:rPr>
        <w:t>Rogan, M. Examining the Role of Legal Culture as a Protective Factor Against High Rates of Pre-trial Detention: the Case of Ireland. </w:t>
      </w:r>
      <w:proofErr w:type="spellStart"/>
      <w:r w:rsidR="008158B3" w:rsidRPr="008158B3">
        <w:rPr>
          <w:i/>
          <w:iCs/>
          <w:color w:val="222222"/>
          <w:sz w:val="20"/>
          <w:szCs w:val="20"/>
        </w:rPr>
        <w:t>Eur</w:t>
      </w:r>
      <w:proofErr w:type="spellEnd"/>
      <w:r w:rsidR="008158B3" w:rsidRPr="008158B3">
        <w:rPr>
          <w:i/>
          <w:iCs/>
          <w:color w:val="222222"/>
          <w:sz w:val="20"/>
          <w:szCs w:val="20"/>
        </w:rPr>
        <w:t xml:space="preserve"> J Crim Policy Res</w:t>
      </w:r>
      <w:r w:rsidR="008158B3" w:rsidRPr="008158B3">
        <w:rPr>
          <w:color w:val="222222"/>
          <w:sz w:val="20"/>
          <w:szCs w:val="20"/>
        </w:rPr>
        <w:t> 28, 425–433 (2022). https://doi.org/10.1007/s10610-022-09515-9</w:t>
      </w:r>
      <w:r w:rsidR="008158B3" w:rsidRPr="008158B3">
        <w:rPr>
          <w:color w:val="222222"/>
          <w:sz w:val="20"/>
          <w:szCs w:val="20"/>
          <w:lang/>
        </w:rPr>
        <w:t>.</w:t>
      </w:r>
    </w:p>
    <w:p w14:paraId="7D9D96CC" w14:textId="77777777" w:rsidR="008158B3" w:rsidRPr="008158B3" w:rsidRDefault="008158B3" w:rsidP="008158B3">
      <w:pPr>
        <w:rPr>
          <w:rFonts w:eastAsia="Times New Roman"/>
          <w:lang w:val="en-IE" w:eastAsia="en-GB"/>
        </w:rPr>
      </w:pPr>
    </w:p>
    <w:p w14:paraId="213DD2B0" w14:textId="21AF01B4" w:rsidR="00FA05A0" w:rsidRPr="008158B3" w:rsidRDefault="00FA05A0">
      <w:pPr>
        <w:pStyle w:val="FootnoteText"/>
      </w:pPr>
    </w:p>
  </w:footnote>
  <w:footnote w:id="23">
    <w:p w14:paraId="12A7CFFC" w14:textId="7755E6E2" w:rsidR="00DA652C" w:rsidRPr="00D502E4" w:rsidRDefault="00DA652C" w:rsidP="00DA652C">
      <w:pPr>
        <w:pStyle w:val="FootnoteText"/>
        <w:rPr>
          <w:lang/>
        </w:rPr>
      </w:pPr>
      <w:r w:rsidRPr="008158B3">
        <w:rPr>
          <w:rStyle w:val="FootnoteReference"/>
        </w:rPr>
        <w:footnoteRef/>
      </w:r>
      <w:r w:rsidRPr="008158B3">
        <w:t xml:space="preserve"> Rule 13(1)</w:t>
      </w:r>
      <w:r w:rsidR="00D502E4">
        <w:rPr>
          <w:lang/>
        </w:rPr>
        <w:t xml:space="preserve">. </w:t>
      </w:r>
      <w:r w:rsidR="00D502E4">
        <w:rPr>
          <w:lang/>
        </w:rPr>
        <w:t>The booklet can be found here:</w:t>
      </w:r>
      <w:r w:rsidRPr="008158B3">
        <w:t xml:space="preserve"> </w:t>
      </w:r>
      <w:r w:rsidR="00D9156E" w:rsidRPr="008158B3">
        <w:t xml:space="preserve"> </w:t>
      </w:r>
      <w:hyperlink r:id="rId3" w:history="1">
        <w:r w:rsidR="00D9156E" w:rsidRPr="008158B3">
          <w:rPr>
            <w:rStyle w:val="Hyperlink"/>
          </w:rPr>
          <w:t>https://ep2022-dev.tunaweb.com/wp-content/uploads/2020/10/NEW-IPS-PRISONER-INFORMATION-BOOK-Ireland-26-October-2020.pdf</w:t>
        </w:r>
      </w:hyperlink>
      <w:r w:rsidR="00D9156E" w:rsidRPr="008158B3">
        <w:t xml:space="preserve"> </w:t>
      </w:r>
      <w:r w:rsidR="00D502E4">
        <w:rPr>
          <w:lang/>
        </w:rPr>
        <w:t xml:space="preserve">(last accessed January 26 2024). </w:t>
      </w:r>
    </w:p>
  </w:footnote>
  <w:footnote w:id="24">
    <w:p w14:paraId="4AE2C0E0" w14:textId="77777777" w:rsidR="00DA652C" w:rsidRPr="008158B3" w:rsidRDefault="00DA652C" w:rsidP="00DA652C">
      <w:pPr>
        <w:pStyle w:val="FootnoteText"/>
      </w:pPr>
      <w:r w:rsidRPr="008158B3">
        <w:rPr>
          <w:rStyle w:val="FootnoteReference"/>
        </w:rPr>
        <w:footnoteRef/>
      </w:r>
      <w:r w:rsidRPr="008158B3">
        <w:t xml:space="preserve"> Rule 134). </w:t>
      </w:r>
    </w:p>
  </w:footnote>
  <w:footnote w:id="25">
    <w:p w14:paraId="780E3267" w14:textId="77777777" w:rsidR="00DA652C" w:rsidRPr="008158B3" w:rsidRDefault="00DA652C" w:rsidP="00DA652C">
      <w:pPr>
        <w:pStyle w:val="FootnoteText"/>
      </w:pPr>
      <w:r w:rsidRPr="008158B3">
        <w:rPr>
          <w:rStyle w:val="FootnoteReference"/>
        </w:rPr>
        <w:footnoteRef/>
      </w:r>
      <w:r w:rsidRPr="008158B3">
        <w:t xml:space="preserve"> Rule 13(7). </w:t>
      </w:r>
    </w:p>
  </w:footnote>
  <w:footnote w:id="26">
    <w:p w14:paraId="53B0A23C" w14:textId="77777777" w:rsidR="00DA652C" w:rsidRPr="008158B3" w:rsidRDefault="00DA652C" w:rsidP="00DA652C">
      <w:pPr>
        <w:pStyle w:val="FootnoteText"/>
      </w:pPr>
      <w:r w:rsidRPr="008158B3">
        <w:rPr>
          <w:rStyle w:val="FootnoteReference"/>
        </w:rPr>
        <w:footnoteRef/>
      </w:r>
      <w:r w:rsidRPr="008158B3">
        <w:t xml:space="preserve"> Rule 14. </w:t>
      </w:r>
    </w:p>
  </w:footnote>
  <w:footnote w:id="27">
    <w:p w14:paraId="3A4CCBB6" w14:textId="77777777" w:rsidR="00DA652C" w:rsidRPr="008158B3" w:rsidRDefault="00DA652C" w:rsidP="00DA652C">
      <w:pPr>
        <w:pStyle w:val="FootnoteText"/>
      </w:pPr>
      <w:r w:rsidRPr="008158B3">
        <w:rPr>
          <w:rStyle w:val="FootnoteReference"/>
        </w:rPr>
        <w:footnoteRef/>
      </w:r>
      <w:r w:rsidRPr="008158B3">
        <w:t xml:space="preserve"> Rule 15. </w:t>
      </w:r>
    </w:p>
  </w:footnote>
  <w:footnote w:id="28">
    <w:p w14:paraId="2F2FDEE2" w14:textId="77777777" w:rsidR="00DA652C" w:rsidRPr="008158B3" w:rsidRDefault="00DA652C" w:rsidP="00DA652C">
      <w:pPr>
        <w:pStyle w:val="FootnoteText"/>
      </w:pPr>
      <w:r w:rsidRPr="008158B3">
        <w:rPr>
          <w:rStyle w:val="FootnoteReference"/>
        </w:rPr>
        <w:footnoteRef/>
      </w:r>
      <w:r w:rsidRPr="008158B3">
        <w:t xml:space="preserve"> Rule 16. </w:t>
      </w:r>
    </w:p>
  </w:footnote>
  <w:footnote w:id="29">
    <w:p w14:paraId="53963671" w14:textId="00018E0D" w:rsidR="00DA652C" w:rsidRPr="008158B3" w:rsidRDefault="00DA652C">
      <w:pPr>
        <w:pStyle w:val="FootnoteText"/>
      </w:pPr>
      <w:r w:rsidRPr="008158B3">
        <w:rPr>
          <w:rStyle w:val="FootnoteReference"/>
        </w:rPr>
        <w:footnoteRef/>
      </w:r>
      <w:r w:rsidRPr="008158B3">
        <w:t xml:space="preserve"> [2013] IEHC 334. </w:t>
      </w:r>
    </w:p>
  </w:footnote>
  <w:footnote w:id="30">
    <w:p w14:paraId="42D41DE0" w14:textId="3587614A" w:rsidR="00CF7C9C" w:rsidRPr="008158B3" w:rsidRDefault="00CF7C9C">
      <w:pPr>
        <w:pStyle w:val="FootnoteText"/>
      </w:pPr>
      <w:r w:rsidRPr="008158B3">
        <w:rPr>
          <w:rStyle w:val="FootnoteReference"/>
        </w:rPr>
        <w:footnoteRef/>
      </w:r>
      <w:r w:rsidRPr="008158B3">
        <w:t xml:space="preserve"> Rule 35(4).</w:t>
      </w:r>
    </w:p>
  </w:footnote>
  <w:footnote w:id="31">
    <w:p w14:paraId="467FE364" w14:textId="24E4C5BC" w:rsidR="00CF7C9C" w:rsidRPr="007F0BAA" w:rsidRDefault="00CF7C9C">
      <w:pPr>
        <w:pStyle w:val="FootnoteText"/>
        <w:rPr>
          <w:lang/>
        </w:rPr>
      </w:pPr>
      <w:r w:rsidRPr="008158B3">
        <w:rPr>
          <w:rStyle w:val="FootnoteReference"/>
        </w:rPr>
        <w:footnoteRef/>
      </w:r>
      <w:r w:rsidRPr="008158B3">
        <w:t xml:space="preserve"> </w:t>
      </w:r>
      <w:r w:rsidR="00D502E4">
        <w:rPr>
          <w:lang/>
        </w:rPr>
        <w:t xml:space="preserve">Irish Penal Reform Trust, </w:t>
      </w:r>
      <w:r w:rsidR="00D502E4">
        <w:rPr>
          <w:i/>
          <w:iCs/>
          <w:lang/>
        </w:rPr>
        <w:t xml:space="preserve">Irish Prisons and Covid-19: Lessons Learned </w:t>
      </w:r>
      <w:r w:rsidR="007F0BAA">
        <w:rPr>
          <w:i/>
          <w:iCs/>
          <w:lang/>
        </w:rPr>
        <w:t>from the Pandemic</w:t>
      </w:r>
      <w:r w:rsidR="007F0BAA">
        <w:rPr>
          <w:lang/>
        </w:rPr>
        <w:t xml:space="preserve">, available at: </w:t>
      </w:r>
      <w:r w:rsidR="007F0BAA">
        <w:rPr>
          <w:lang/>
        </w:rPr>
        <w:fldChar w:fldCharType="begin"/>
      </w:r>
      <w:r w:rsidR="007F0BAA">
        <w:rPr>
          <w:lang/>
        </w:rPr>
        <w:instrText>HYPERLINK "</w:instrText>
      </w:r>
      <w:r w:rsidR="007F0BAA" w:rsidRPr="007F0BAA">
        <w:rPr>
          <w:lang/>
        </w:rPr>
        <w:instrText>https://www.iprt.ie/site/assets/files/7125/iprt_irish_prisons_and_covid-19_-_lessons_learned_from_the_pandemic.pdf</w:instrText>
      </w:r>
      <w:r w:rsidR="007F0BAA">
        <w:rPr>
          <w:lang/>
        </w:rPr>
        <w:instrText>"</w:instrText>
      </w:r>
      <w:r w:rsidR="007F0BAA">
        <w:rPr>
          <w:lang/>
        </w:rPr>
        <w:fldChar w:fldCharType="separate"/>
      </w:r>
      <w:r w:rsidR="007F0BAA" w:rsidRPr="002315F5">
        <w:rPr>
          <w:rStyle w:val="Hyperlink"/>
          <w:lang/>
        </w:rPr>
        <w:t>https://www.iprt.ie/site/assets/files/7125/iprt_irish_prisons_and_covid-19_-_lessons_learned_from_the_pandemic.pdf</w:t>
      </w:r>
      <w:r w:rsidR="007F0BAA">
        <w:rPr>
          <w:lang/>
        </w:rPr>
        <w:fldChar w:fldCharType="end"/>
      </w:r>
      <w:r w:rsidR="007F0BAA">
        <w:rPr>
          <w:lang/>
        </w:rPr>
        <w:t xml:space="preserve"> (last accessed January 24 2024). </w:t>
      </w:r>
    </w:p>
  </w:footnote>
  <w:footnote w:id="32">
    <w:p w14:paraId="1A54420E" w14:textId="0B39EF7A" w:rsidR="00CF7C9C" w:rsidRPr="007F0BAA" w:rsidRDefault="00CF7C9C">
      <w:pPr>
        <w:pStyle w:val="FootnoteText"/>
        <w:rPr>
          <w:lang/>
        </w:rPr>
      </w:pPr>
      <w:r w:rsidRPr="008158B3">
        <w:rPr>
          <w:rStyle w:val="FootnoteReference"/>
        </w:rPr>
        <w:footnoteRef/>
      </w:r>
      <w:r w:rsidR="007F0BAA">
        <w:rPr>
          <w:lang/>
        </w:rPr>
        <w:t xml:space="preserve"> </w:t>
      </w:r>
      <w:r w:rsidR="007F0BAA">
        <w:rPr>
          <w:i/>
          <w:iCs/>
          <w:lang/>
        </w:rPr>
        <w:t>Ibid</w:t>
      </w:r>
      <w:r w:rsidR="007F0BAA">
        <w:rPr>
          <w:lang/>
        </w:rPr>
        <w:t xml:space="preserve">.  See also: Irish Prison Service, </w:t>
      </w:r>
      <w:r w:rsidR="007F0BAA">
        <w:rPr>
          <w:i/>
          <w:iCs/>
          <w:lang/>
        </w:rPr>
        <w:t>Family Information Booklet</w:t>
      </w:r>
      <w:r w:rsidR="007F0BAA">
        <w:rPr>
          <w:lang/>
        </w:rPr>
        <w:t xml:space="preserve">, available at: </w:t>
      </w:r>
      <w:r w:rsidRPr="008158B3">
        <w:t xml:space="preserve"> </w:t>
      </w:r>
      <w:hyperlink r:id="rId4" w:history="1">
        <w:r w:rsidRPr="008158B3">
          <w:rPr>
            <w:rStyle w:val="Hyperlink"/>
          </w:rPr>
          <w:t>https://www.irishprisons.ie/wp-content/uploads/documents_pdf/Family-Information-Booklet-September-2020.pdf</w:t>
        </w:r>
      </w:hyperlink>
      <w:r w:rsidRPr="008158B3">
        <w:t xml:space="preserve"> </w:t>
      </w:r>
      <w:r w:rsidR="007F0BAA">
        <w:rPr>
          <w:lang/>
        </w:rPr>
        <w:t xml:space="preserve">(last accessed January 24 2024). </w:t>
      </w:r>
    </w:p>
  </w:footnote>
  <w:footnote w:id="33">
    <w:p w14:paraId="1A9B9F97" w14:textId="5593051A" w:rsidR="00CF7C9C" w:rsidRPr="007F0BAA" w:rsidRDefault="00CF7C9C">
      <w:pPr>
        <w:pStyle w:val="FootnoteText"/>
        <w:rPr>
          <w:lang/>
        </w:rPr>
      </w:pPr>
      <w:r w:rsidRPr="008158B3">
        <w:rPr>
          <w:rStyle w:val="FootnoteReference"/>
        </w:rPr>
        <w:footnoteRef/>
      </w:r>
      <w:r w:rsidRPr="008158B3">
        <w:t xml:space="preserve"> </w:t>
      </w:r>
      <w:r w:rsidR="007F0BAA">
        <w:rPr>
          <w:lang/>
        </w:rPr>
        <w:t xml:space="preserve">See further: </w:t>
      </w:r>
      <w:r w:rsidR="007F0BAA">
        <w:fldChar w:fldCharType="begin"/>
      </w:r>
      <w:r w:rsidR="007F0BAA">
        <w:instrText>HYPERLINK "</w:instrText>
      </w:r>
      <w:r w:rsidR="007F0BAA" w:rsidRPr="007F0BAA">
        <w:instrText>https://www.irishprisons.ie/what-to-expect-when-visiting-a-prison/</w:instrText>
      </w:r>
      <w:r w:rsidR="007F0BAA">
        <w:instrText>"</w:instrText>
      </w:r>
      <w:r w:rsidR="007F0BAA">
        <w:fldChar w:fldCharType="separate"/>
      </w:r>
      <w:r w:rsidR="007F0BAA" w:rsidRPr="002315F5">
        <w:rPr>
          <w:rStyle w:val="Hyperlink"/>
        </w:rPr>
        <w:t>https://www.irishprisons.ie/what-to-expect-when-visiting-a-prison/</w:t>
      </w:r>
      <w:r w:rsidR="007F0BAA">
        <w:fldChar w:fldCharType="end"/>
      </w:r>
      <w:r w:rsidRPr="008158B3">
        <w:t xml:space="preserve"> </w:t>
      </w:r>
      <w:r w:rsidR="007F0BAA">
        <w:rPr>
          <w:lang/>
        </w:rPr>
        <w:t xml:space="preserve">(last accessed January 24 2024). </w:t>
      </w:r>
    </w:p>
  </w:footnote>
  <w:footnote w:id="34">
    <w:p w14:paraId="6C002D8E" w14:textId="37BC68B2" w:rsidR="00CF7C9C" w:rsidRPr="008158B3" w:rsidRDefault="00CF7C9C">
      <w:pPr>
        <w:pStyle w:val="FootnoteText"/>
      </w:pPr>
      <w:r w:rsidRPr="008158B3">
        <w:rPr>
          <w:rStyle w:val="FootnoteReference"/>
        </w:rPr>
        <w:footnoteRef/>
      </w:r>
      <w:r w:rsidRPr="008158B3">
        <w:t xml:space="preserve"> Rule 35(5)(b)</w:t>
      </w:r>
      <w:r w:rsidR="007F0BAA">
        <w:rPr>
          <w:lang/>
        </w:rPr>
        <w:t xml:space="preserve"> </w:t>
      </w:r>
      <w:r w:rsidR="007F0BAA">
        <w:rPr>
          <w:lang/>
        </w:rPr>
        <w:t>Prison Rules 2007</w:t>
      </w:r>
      <w:r w:rsidRPr="008158B3">
        <w:t xml:space="preserve">. </w:t>
      </w:r>
    </w:p>
  </w:footnote>
  <w:footnote w:id="35">
    <w:p w14:paraId="1B2E7E8B" w14:textId="3BC484A9" w:rsidR="00CF7C9C" w:rsidRPr="008158B3" w:rsidRDefault="00CF7C9C">
      <w:pPr>
        <w:pStyle w:val="FootnoteText"/>
      </w:pPr>
      <w:r w:rsidRPr="008158B3">
        <w:rPr>
          <w:rStyle w:val="FootnoteReference"/>
        </w:rPr>
        <w:footnoteRef/>
      </w:r>
      <w:r w:rsidRPr="008158B3">
        <w:t xml:space="preserve"> Rule 35(9). </w:t>
      </w:r>
    </w:p>
  </w:footnote>
  <w:footnote w:id="36">
    <w:p w14:paraId="12B16F0C" w14:textId="7A8B2747" w:rsidR="00255ABB" w:rsidRPr="008158B3" w:rsidRDefault="00255ABB">
      <w:pPr>
        <w:pStyle w:val="FootnoteText"/>
      </w:pPr>
      <w:r w:rsidRPr="008158B3">
        <w:rPr>
          <w:rStyle w:val="FootnoteReference"/>
        </w:rPr>
        <w:footnoteRef/>
      </w:r>
      <w:r w:rsidRPr="008158B3">
        <w:t xml:space="preserve"> Rule 36(4).  </w:t>
      </w:r>
    </w:p>
  </w:footnote>
  <w:footnote w:id="37">
    <w:p w14:paraId="42C31598" w14:textId="63A98CCB" w:rsidR="00255ABB" w:rsidRPr="008158B3" w:rsidRDefault="00255ABB">
      <w:pPr>
        <w:pStyle w:val="FootnoteText"/>
      </w:pPr>
      <w:r w:rsidRPr="008158B3">
        <w:rPr>
          <w:rStyle w:val="FootnoteReference"/>
        </w:rPr>
        <w:footnoteRef/>
      </w:r>
      <w:r w:rsidRPr="008158B3">
        <w:t xml:space="preserve"> Rule 36(9).</w:t>
      </w:r>
    </w:p>
  </w:footnote>
  <w:footnote w:id="38">
    <w:p w14:paraId="108E8E3D" w14:textId="6B83F69C" w:rsidR="00255ABB" w:rsidRPr="008158B3" w:rsidRDefault="00255ABB">
      <w:pPr>
        <w:pStyle w:val="FootnoteText"/>
      </w:pPr>
      <w:r w:rsidRPr="008158B3">
        <w:rPr>
          <w:rStyle w:val="FootnoteReference"/>
        </w:rPr>
        <w:footnoteRef/>
      </w:r>
      <w:r w:rsidRPr="008158B3">
        <w:t xml:space="preserve"> [2012] 1 IR 37. </w:t>
      </w:r>
    </w:p>
  </w:footnote>
  <w:footnote w:id="39">
    <w:p w14:paraId="0D33CAB1" w14:textId="13F579CE" w:rsidR="00D11C8C" w:rsidRPr="008158B3" w:rsidRDefault="00D11C8C">
      <w:pPr>
        <w:pStyle w:val="FootnoteText"/>
      </w:pPr>
      <w:r w:rsidRPr="008158B3">
        <w:rPr>
          <w:rStyle w:val="FootnoteReference"/>
        </w:rPr>
        <w:footnoteRef/>
      </w:r>
      <w:r w:rsidRPr="008158B3">
        <w:t xml:space="preserve"> Rule 17</w:t>
      </w:r>
      <w:r w:rsidR="007F0BAA">
        <w:rPr>
          <w:lang/>
        </w:rPr>
        <w:t xml:space="preserve"> </w:t>
      </w:r>
      <w:r w:rsidR="007F0BAA">
        <w:rPr>
          <w:lang/>
        </w:rPr>
        <w:t>Prison Rules 2007</w:t>
      </w:r>
      <w:r w:rsidRPr="008158B3">
        <w:t xml:space="preserve">. </w:t>
      </w:r>
    </w:p>
  </w:footnote>
  <w:footnote w:id="40">
    <w:p w14:paraId="18C21DCB" w14:textId="4268DBEA" w:rsidR="009C31BD" w:rsidRPr="008158B3" w:rsidRDefault="009C31BD">
      <w:pPr>
        <w:pStyle w:val="FootnoteText"/>
      </w:pPr>
      <w:r w:rsidRPr="008158B3">
        <w:rPr>
          <w:rStyle w:val="FootnoteReference"/>
        </w:rPr>
        <w:footnoteRef/>
      </w:r>
      <w:r w:rsidRPr="008158B3">
        <w:t xml:space="preserve"> </w:t>
      </w:r>
      <w:r w:rsidRPr="008158B3">
        <w:rPr>
          <w:i/>
          <w:iCs/>
        </w:rPr>
        <w:t xml:space="preserve">Kearney v. Minister for Justice </w:t>
      </w:r>
      <w:r w:rsidRPr="008158B3">
        <w:t xml:space="preserve">[1986] 1 IR 116. </w:t>
      </w:r>
    </w:p>
  </w:footnote>
  <w:footnote w:id="41">
    <w:p w14:paraId="50FCC289" w14:textId="65791747" w:rsidR="008E76F1" w:rsidRPr="008158B3" w:rsidRDefault="008E76F1">
      <w:pPr>
        <w:pStyle w:val="FootnoteText"/>
      </w:pPr>
      <w:r w:rsidRPr="008158B3">
        <w:rPr>
          <w:rStyle w:val="FootnoteReference"/>
        </w:rPr>
        <w:footnoteRef/>
      </w:r>
      <w:r w:rsidRPr="008158B3">
        <w:t xml:space="preserve"> Rule 44(4). </w:t>
      </w:r>
    </w:p>
  </w:footnote>
  <w:footnote w:id="42">
    <w:p w14:paraId="4CADEE6A" w14:textId="33BDF822" w:rsidR="00D11C8C" w:rsidRPr="008158B3" w:rsidRDefault="00D11C8C">
      <w:pPr>
        <w:pStyle w:val="FootnoteText"/>
      </w:pPr>
      <w:r w:rsidRPr="008158B3">
        <w:rPr>
          <w:rStyle w:val="FootnoteReference"/>
        </w:rPr>
        <w:footnoteRef/>
      </w:r>
      <w:r w:rsidRPr="008158B3">
        <w:t xml:space="preserve"> [1991] ILRM 465. </w:t>
      </w:r>
    </w:p>
  </w:footnote>
  <w:footnote w:id="43">
    <w:p w14:paraId="53AE05EB" w14:textId="5A755F55" w:rsidR="008C4D48" w:rsidRPr="004B49A0" w:rsidRDefault="008C4D48">
      <w:pPr>
        <w:pStyle w:val="FootnoteText"/>
        <w:rPr>
          <w:lang/>
        </w:rPr>
      </w:pPr>
      <w:r w:rsidRPr="008158B3">
        <w:rPr>
          <w:rStyle w:val="FootnoteReference"/>
        </w:rPr>
        <w:footnoteRef/>
      </w:r>
      <w:r w:rsidRPr="008158B3">
        <w:t xml:space="preserve"> </w:t>
      </w:r>
      <w:r w:rsidR="004B49A0">
        <w:rPr>
          <w:lang/>
        </w:rPr>
        <w:t xml:space="preserve">Office of the Inspector of Prisons, </w:t>
      </w:r>
      <w:r w:rsidR="004B49A0">
        <w:rPr>
          <w:i/>
          <w:iCs/>
          <w:lang/>
        </w:rPr>
        <w:t>Thematic Inspection on Education and Work and Training</w:t>
      </w:r>
      <w:r w:rsidR="004B49A0">
        <w:rPr>
          <w:lang/>
        </w:rPr>
        <w:t xml:space="preserve">, available at: </w:t>
      </w:r>
      <w:r w:rsidR="004B49A0">
        <w:fldChar w:fldCharType="begin"/>
      </w:r>
      <w:r w:rsidR="004B49A0">
        <w:instrText>HYPERLINK "</w:instrText>
      </w:r>
      <w:r w:rsidR="004B49A0" w:rsidRPr="004B49A0">
        <w:instrText>https://www.oip.ie/wp-content/uploads/2023/06/Inspection-Report-on-Education-and-Work-Training.pdf</w:instrText>
      </w:r>
      <w:r w:rsidR="004B49A0">
        <w:instrText>"</w:instrText>
      </w:r>
      <w:r w:rsidR="004B49A0">
        <w:fldChar w:fldCharType="separate"/>
      </w:r>
      <w:r w:rsidR="004B49A0" w:rsidRPr="002315F5">
        <w:rPr>
          <w:rStyle w:val="Hyperlink"/>
        </w:rPr>
        <w:t>https://www.oip.ie/wp-content/uploads/2023/06/Inspection-Report-on-Education-and-Work-Training.pdf</w:t>
      </w:r>
      <w:r w:rsidR="004B49A0">
        <w:fldChar w:fldCharType="end"/>
      </w:r>
      <w:r w:rsidRPr="008158B3">
        <w:t xml:space="preserve"> </w:t>
      </w:r>
      <w:r w:rsidR="004B49A0">
        <w:rPr>
          <w:lang/>
        </w:rPr>
        <w:t xml:space="preserve">(last accessed January 26 2024). </w:t>
      </w:r>
    </w:p>
  </w:footnote>
  <w:footnote w:id="44">
    <w:p w14:paraId="406571A6" w14:textId="4E066ECC" w:rsidR="00D9156E" w:rsidRPr="008158B3" w:rsidRDefault="00D9156E">
      <w:pPr>
        <w:pStyle w:val="FootnoteText"/>
      </w:pPr>
      <w:r w:rsidRPr="008158B3">
        <w:rPr>
          <w:rStyle w:val="FootnoteReference"/>
        </w:rPr>
        <w:footnoteRef/>
      </w:r>
      <w:r w:rsidRPr="008158B3">
        <w:t xml:space="preserve"> </w:t>
      </w:r>
      <w:r w:rsidR="004B49A0">
        <w:rPr>
          <w:lang/>
        </w:rPr>
        <w:t xml:space="preserve">Finn C., </w:t>
      </w:r>
      <w:r w:rsidR="004B49A0">
        <w:rPr>
          <w:i/>
          <w:iCs/>
          <w:lang/>
        </w:rPr>
        <w:t xml:space="preserve">Spending Review 2021: Review of the Programme of Work and Training in the Irish Prison Service </w:t>
      </w:r>
      <w:r w:rsidR="004B49A0">
        <w:rPr>
          <w:lang/>
        </w:rPr>
        <w:t>(Irish Prison Service, 2021).</w:t>
      </w:r>
    </w:p>
  </w:footnote>
  <w:footnote w:id="45">
    <w:p w14:paraId="38B0039C" w14:textId="57CD0373" w:rsidR="008C4D48" w:rsidRPr="004B49A0" w:rsidRDefault="008C4D48">
      <w:pPr>
        <w:pStyle w:val="FootnoteText"/>
        <w:rPr>
          <w:lang/>
        </w:rPr>
      </w:pPr>
      <w:r w:rsidRPr="008158B3">
        <w:rPr>
          <w:rStyle w:val="FootnoteReference"/>
        </w:rPr>
        <w:footnoteRef/>
      </w:r>
      <w:r w:rsidRPr="008158B3">
        <w:t xml:space="preserve"> </w:t>
      </w:r>
      <w:r w:rsidR="004B49A0">
        <w:rPr>
          <w:lang/>
        </w:rPr>
        <w:t xml:space="preserve"> </w:t>
      </w:r>
      <w:r w:rsidR="004B49A0">
        <w:rPr>
          <w:lang/>
        </w:rPr>
        <w:t xml:space="preserve">Office of the Inspector of Prisons, </w:t>
      </w:r>
      <w:r w:rsidR="004B49A0">
        <w:rPr>
          <w:i/>
          <w:iCs/>
          <w:lang/>
        </w:rPr>
        <w:t xml:space="preserve">Thematic Report on Education and Work and Training </w:t>
      </w:r>
      <w:r w:rsidR="004B49A0">
        <w:rPr>
          <w:lang/>
        </w:rPr>
        <w:t xml:space="preserve">(2022), available at: </w:t>
      </w:r>
      <w:r w:rsidR="004B49A0">
        <w:fldChar w:fldCharType="begin"/>
      </w:r>
      <w:r w:rsidR="004B49A0">
        <w:instrText>HYPERLINK "</w:instrText>
      </w:r>
      <w:r w:rsidR="004B49A0" w:rsidRPr="004B49A0">
        <w:instrText>https://www.oip.ie/wp-content/uploads/2023/06/Inspection-Report-on-Education-and-Work-Training.pdf</w:instrText>
      </w:r>
      <w:r w:rsidR="004B49A0">
        <w:instrText>"</w:instrText>
      </w:r>
      <w:r w:rsidR="004B49A0">
        <w:fldChar w:fldCharType="separate"/>
      </w:r>
      <w:r w:rsidR="004B49A0" w:rsidRPr="002315F5">
        <w:rPr>
          <w:rStyle w:val="Hyperlink"/>
        </w:rPr>
        <w:t>https://www.oip.ie/wp-content/uploads/2023/06/Inspection-Report-on-Education-and-Work-Training.pdf</w:t>
      </w:r>
      <w:r w:rsidR="004B49A0">
        <w:fldChar w:fldCharType="end"/>
      </w:r>
      <w:r w:rsidRPr="008158B3">
        <w:t xml:space="preserve"> </w:t>
      </w:r>
      <w:r w:rsidR="004B49A0">
        <w:rPr>
          <w:lang/>
        </w:rPr>
        <w:t xml:space="preserve">(last accessed January 26 2024). </w:t>
      </w:r>
    </w:p>
  </w:footnote>
  <w:footnote w:id="46">
    <w:p w14:paraId="7DBCADEA" w14:textId="3B149573" w:rsidR="008C4D48" w:rsidRPr="008158B3" w:rsidRDefault="008C4D48">
      <w:pPr>
        <w:pStyle w:val="FootnoteText"/>
      </w:pPr>
      <w:r w:rsidRPr="008158B3">
        <w:rPr>
          <w:rStyle w:val="FootnoteReference"/>
        </w:rPr>
        <w:footnoteRef/>
      </w:r>
      <w:r w:rsidRPr="008158B3">
        <w:t xml:space="preserve"> </w:t>
      </w:r>
      <w:r w:rsidR="004B49A0">
        <w:rPr>
          <w:i/>
          <w:iCs/>
          <w:lang/>
        </w:rPr>
        <w:t>Ibid</w:t>
      </w:r>
      <w:r w:rsidR="004B49A0">
        <w:rPr>
          <w:lang/>
        </w:rPr>
        <w:t xml:space="preserve">. </w:t>
      </w:r>
      <w:r w:rsidRPr="008158B3">
        <w:t xml:space="preserve"> </w:t>
      </w:r>
    </w:p>
  </w:footnote>
  <w:footnote w:id="47">
    <w:p w14:paraId="624D9A6B" w14:textId="50FAC76C" w:rsidR="00D9156E" w:rsidRPr="008158B3" w:rsidRDefault="00D9156E">
      <w:pPr>
        <w:pStyle w:val="FootnoteText"/>
      </w:pPr>
      <w:r w:rsidRPr="008158B3">
        <w:rPr>
          <w:rStyle w:val="FootnoteReference"/>
        </w:rPr>
        <w:footnoteRef/>
      </w:r>
      <w:r w:rsidRPr="008158B3">
        <w:t xml:space="preserve"> Rule 30</w:t>
      </w:r>
      <w:r w:rsidR="004B49A0">
        <w:rPr>
          <w:lang/>
        </w:rPr>
        <w:t xml:space="preserve"> </w:t>
      </w:r>
      <w:r w:rsidR="004B49A0">
        <w:rPr>
          <w:lang/>
        </w:rPr>
        <w:t>Prison Rules 2007</w:t>
      </w:r>
      <w:r w:rsidRPr="008158B3">
        <w:t xml:space="preserve">. </w:t>
      </w:r>
    </w:p>
  </w:footnote>
  <w:footnote w:id="48">
    <w:p w14:paraId="14F24AA6" w14:textId="57D2F4E6" w:rsidR="00752766" w:rsidRPr="008158B3" w:rsidRDefault="00752766">
      <w:pPr>
        <w:pStyle w:val="FootnoteText"/>
      </w:pPr>
      <w:r w:rsidRPr="008158B3">
        <w:rPr>
          <w:rStyle w:val="FootnoteReference"/>
        </w:rPr>
        <w:footnoteRef/>
      </w:r>
      <w:r w:rsidRPr="008158B3">
        <w:t xml:space="preserve"> Rule 99</w:t>
      </w:r>
      <w:r w:rsidR="004B49A0">
        <w:rPr>
          <w:lang/>
        </w:rPr>
        <w:t xml:space="preserve"> </w:t>
      </w:r>
      <w:r w:rsidR="004B49A0">
        <w:rPr>
          <w:lang/>
        </w:rPr>
        <w:t>Prison Rules 2007</w:t>
      </w:r>
      <w:r w:rsidRPr="008158B3">
        <w:t xml:space="preserve">. </w:t>
      </w:r>
    </w:p>
  </w:footnote>
  <w:footnote w:id="49">
    <w:p w14:paraId="68FF944D" w14:textId="0C392F16" w:rsidR="004D1696" w:rsidRPr="008158B3" w:rsidRDefault="004D1696">
      <w:pPr>
        <w:pStyle w:val="FootnoteText"/>
        <w:rPr>
          <w:i/>
          <w:iCs/>
        </w:rPr>
      </w:pPr>
      <w:r w:rsidRPr="008158B3">
        <w:rPr>
          <w:rStyle w:val="FootnoteReference"/>
        </w:rPr>
        <w:footnoteRef/>
      </w:r>
      <w:r w:rsidRPr="008158B3">
        <w:t xml:space="preserve"> </w:t>
      </w:r>
      <w:proofErr w:type="spellStart"/>
      <w:r w:rsidRPr="008158B3">
        <w:rPr>
          <w:i/>
          <w:iCs/>
        </w:rPr>
        <w:t>Mulliga</w:t>
      </w:r>
      <w:proofErr w:type="spellEnd"/>
      <w:r w:rsidR="004B49A0">
        <w:rPr>
          <w:i/>
          <w:iCs/>
          <w:lang/>
        </w:rPr>
        <w:t xml:space="preserve">n v. Governor of Portlaoise Prison </w:t>
      </w:r>
      <w:r w:rsidR="004B49A0">
        <w:rPr>
          <w:lang/>
        </w:rPr>
        <w:t>[2010] IEHC 269</w:t>
      </w:r>
      <w:r w:rsidRPr="008158B3">
        <w:rPr>
          <w:i/>
          <w:iCs/>
        </w:rPr>
        <w:t xml:space="preserve">, </w:t>
      </w:r>
      <w:r w:rsidR="004B49A0">
        <w:rPr>
          <w:i/>
          <w:iCs/>
          <w:lang/>
        </w:rPr>
        <w:t>State (</w:t>
      </w:r>
      <w:r w:rsidRPr="008158B3">
        <w:rPr>
          <w:i/>
          <w:iCs/>
        </w:rPr>
        <w:t>Richardson</w:t>
      </w:r>
      <w:r w:rsidR="004B49A0">
        <w:rPr>
          <w:i/>
          <w:iCs/>
          <w:lang/>
        </w:rPr>
        <w:t xml:space="preserve">) v. Governor of Mountjoy Prison </w:t>
      </w:r>
      <w:r w:rsidR="004B49A0">
        <w:rPr>
          <w:lang/>
        </w:rPr>
        <w:t xml:space="preserve">[1980] ILRM 82. </w:t>
      </w:r>
      <w:r w:rsidRPr="008158B3">
        <w:rPr>
          <w:i/>
          <w:iCs/>
        </w:rPr>
        <w:t xml:space="preserve"> </w:t>
      </w:r>
    </w:p>
  </w:footnote>
  <w:footnote w:id="50">
    <w:p w14:paraId="7048DBFF" w14:textId="7B91B4E0" w:rsidR="004B49A0" w:rsidRPr="004B49A0" w:rsidRDefault="004B49A0">
      <w:pPr>
        <w:pStyle w:val="FootnoteText"/>
        <w:rPr>
          <w:lang/>
        </w:rPr>
      </w:pPr>
      <w:r>
        <w:rPr>
          <w:rStyle w:val="FootnoteReference"/>
        </w:rPr>
        <w:footnoteRef/>
      </w:r>
      <w:r>
        <w:t xml:space="preserve"> </w:t>
      </w:r>
      <w:r w:rsidRPr="008158B3">
        <w:rPr>
          <w:lang/>
        </w:rPr>
        <w:t>[2011] IEHC 235.</w:t>
      </w:r>
    </w:p>
  </w:footnote>
  <w:footnote w:id="51">
    <w:p w14:paraId="1DC6144A" w14:textId="1FD4E9BE" w:rsidR="004D1696" w:rsidRPr="004B49A0" w:rsidRDefault="004D1696">
      <w:pPr>
        <w:pStyle w:val="FootnoteText"/>
        <w:rPr>
          <w:lang/>
        </w:rPr>
      </w:pPr>
      <w:r w:rsidRPr="008158B3">
        <w:rPr>
          <w:rStyle w:val="FootnoteReference"/>
        </w:rPr>
        <w:footnoteRef/>
      </w:r>
      <w:r w:rsidRPr="008158B3">
        <w:t xml:space="preserve"> </w:t>
      </w:r>
      <w:r w:rsidRPr="008158B3">
        <w:rPr>
          <w:i/>
          <w:iCs/>
        </w:rPr>
        <w:t xml:space="preserve">State </w:t>
      </w:r>
      <w:r w:rsidR="004B49A0">
        <w:rPr>
          <w:i/>
          <w:iCs/>
          <w:lang/>
        </w:rPr>
        <w:t>(C)</w:t>
      </w:r>
      <w:r w:rsidRPr="008158B3">
        <w:rPr>
          <w:i/>
          <w:iCs/>
        </w:rPr>
        <w:t xml:space="preserve"> v. Frawley </w:t>
      </w:r>
      <w:r w:rsidRPr="008158B3">
        <w:t>[1978] IR 332</w:t>
      </w:r>
      <w:r w:rsidR="004B49A0">
        <w:rPr>
          <w:lang/>
        </w:rPr>
        <w:t>.</w:t>
      </w:r>
    </w:p>
  </w:footnote>
  <w:footnote w:id="52">
    <w:p w14:paraId="12939419" w14:textId="1E50AFED" w:rsidR="004D1696" w:rsidRPr="004B49A0" w:rsidRDefault="004D1696">
      <w:pPr>
        <w:pStyle w:val="FootnoteText"/>
        <w:rPr>
          <w:lang/>
        </w:rPr>
      </w:pPr>
      <w:r w:rsidRPr="008158B3">
        <w:rPr>
          <w:rStyle w:val="FootnoteReference"/>
        </w:rPr>
        <w:footnoteRef/>
      </w:r>
      <w:r w:rsidRPr="008158B3">
        <w:t xml:space="preserve"> </w:t>
      </w:r>
      <w:r w:rsidRPr="008158B3">
        <w:rPr>
          <w:i/>
          <w:iCs/>
        </w:rPr>
        <w:t>O’Reilly v. Governor of Wheatfield Prison</w:t>
      </w:r>
      <w:r w:rsidR="004B49A0">
        <w:rPr>
          <w:lang/>
        </w:rPr>
        <w:t>, unreported, High Court, June 22</w:t>
      </w:r>
      <w:proofErr w:type="gramStart"/>
      <w:r w:rsidR="004B49A0">
        <w:rPr>
          <w:lang/>
        </w:rPr>
        <w:t xml:space="preserve"> 2007</w:t>
      </w:r>
      <w:proofErr w:type="gramEnd"/>
      <w:r w:rsidR="004B49A0">
        <w:rPr>
          <w:lang/>
        </w:rPr>
        <w:t xml:space="preserve">. </w:t>
      </w:r>
    </w:p>
  </w:footnote>
  <w:footnote w:id="53">
    <w:p w14:paraId="6A2B21FB" w14:textId="7B90C0FF" w:rsidR="004D1696" w:rsidRPr="008158B3" w:rsidRDefault="004D1696">
      <w:pPr>
        <w:pStyle w:val="FootnoteText"/>
        <w:rPr>
          <w:i/>
          <w:iCs/>
        </w:rPr>
      </w:pPr>
      <w:r w:rsidRPr="008158B3">
        <w:rPr>
          <w:rStyle w:val="FootnoteReference"/>
        </w:rPr>
        <w:footnoteRef/>
      </w:r>
      <w:r w:rsidRPr="008158B3">
        <w:t xml:space="preserve"> </w:t>
      </w:r>
      <w:r w:rsidRPr="008158B3">
        <w:rPr>
          <w:i/>
          <w:iCs/>
        </w:rPr>
        <w:t>McMenamin v. Governor of Wheatfield Prison</w:t>
      </w:r>
      <w:r w:rsidR="004B49A0">
        <w:rPr>
          <w:i/>
          <w:iCs/>
          <w:lang/>
        </w:rPr>
        <w:t xml:space="preserve"> </w:t>
      </w:r>
      <w:r w:rsidR="004B49A0">
        <w:rPr>
          <w:lang/>
        </w:rPr>
        <w:t xml:space="preserve">[2012] IEHC 431. </w:t>
      </w:r>
      <w:r w:rsidRPr="008158B3">
        <w:rPr>
          <w:i/>
          <w:iCs/>
        </w:rPr>
        <w:t xml:space="preserve"> </w:t>
      </w:r>
    </w:p>
  </w:footnote>
  <w:footnote w:id="54">
    <w:p w14:paraId="58D3803A" w14:textId="26B1B9D4" w:rsidR="00A87146" w:rsidRPr="008158B3" w:rsidRDefault="00A87146">
      <w:pPr>
        <w:pStyle w:val="FootnoteText"/>
      </w:pPr>
      <w:r w:rsidRPr="008158B3">
        <w:rPr>
          <w:rStyle w:val="FootnoteReference"/>
        </w:rPr>
        <w:footnoteRef/>
      </w:r>
      <w:r w:rsidRPr="008158B3">
        <w:t xml:space="preserve"> </w:t>
      </w:r>
      <w:r w:rsidRPr="008158B3">
        <w:rPr>
          <w:i/>
          <w:iCs/>
        </w:rPr>
        <w:t xml:space="preserve">Breathnach v. Ireland </w:t>
      </w:r>
      <w:r w:rsidRPr="008158B3">
        <w:t xml:space="preserve">[2001] 3 IR 320. </w:t>
      </w:r>
    </w:p>
  </w:footnote>
  <w:footnote w:id="55">
    <w:p w14:paraId="68912B62" w14:textId="03550793" w:rsidR="00607170" w:rsidRPr="008158B3" w:rsidRDefault="00607170">
      <w:pPr>
        <w:pStyle w:val="FootnoteText"/>
      </w:pPr>
      <w:r w:rsidRPr="008158B3">
        <w:rPr>
          <w:rStyle w:val="FootnoteReference"/>
        </w:rPr>
        <w:footnoteRef/>
      </w:r>
      <w:r w:rsidRPr="008158B3">
        <w:t xml:space="preserve"> S.I. No. 276/2017</w:t>
      </w:r>
    </w:p>
  </w:footnote>
  <w:footnote w:id="56">
    <w:p w14:paraId="1CEE18D4" w14:textId="5CDF2C0B" w:rsidR="00607170" w:rsidRPr="008158B3" w:rsidRDefault="00607170">
      <w:pPr>
        <w:pStyle w:val="FootnoteText"/>
      </w:pPr>
      <w:r w:rsidRPr="008158B3">
        <w:rPr>
          <w:rStyle w:val="FootnoteReference"/>
        </w:rPr>
        <w:footnoteRef/>
      </w:r>
      <w:r w:rsidRPr="008158B3">
        <w:t xml:space="preserve"> </w:t>
      </w:r>
      <w:r w:rsidRPr="008158B3">
        <w:rPr>
          <w:i/>
          <w:iCs/>
        </w:rPr>
        <w:t xml:space="preserve">Ibid, </w:t>
      </w:r>
      <w:r w:rsidRPr="008158B3">
        <w:t xml:space="preserve">rule 4. </w:t>
      </w:r>
    </w:p>
  </w:footnote>
  <w:footnote w:id="57">
    <w:p w14:paraId="41CF20C3" w14:textId="1C49799E" w:rsidR="00BA4E27" w:rsidRPr="00BA4E27" w:rsidRDefault="00BA4E27">
      <w:pPr>
        <w:pStyle w:val="FootnoteText"/>
        <w:rPr>
          <w:lang/>
        </w:rPr>
      </w:pPr>
      <w:r>
        <w:rPr>
          <w:rStyle w:val="FootnoteReference"/>
        </w:rPr>
        <w:footnoteRef/>
      </w:r>
      <w:r>
        <w:t xml:space="preserve"> </w:t>
      </w:r>
      <w:r>
        <w:rPr>
          <w:lang/>
        </w:rPr>
        <w:t>Source: Irish Prison Service,</w:t>
      </w:r>
      <w:r>
        <w:rPr>
          <w:i/>
          <w:iCs/>
          <w:lang/>
        </w:rPr>
        <w:t xml:space="preserve"> Prison Population Census Reports</w:t>
      </w:r>
      <w:r>
        <w:rPr>
          <w:lang/>
        </w:rPr>
        <w:t xml:space="preserve">, available at: </w:t>
      </w:r>
      <w:r>
        <w:rPr>
          <w:lang/>
        </w:rPr>
        <w:fldChar w:fldCharType="begin"/>
      </w:r>
      <w:r>
        <w:rPr>
          <w:lang/>
        </w:rPr>
        <w:instrText>HYPERLINK "</w:instrText>
      </w:r>
      <w:r w:rsidRPr="00BA4E27">
        <w:rPr>
          <w:lang/>
        </w:rPr>
        <w:instrText>https://www.irishprisons.ie/information-centre/statistics-information/census-reports/</w:instrText>
      </w:r>
      <w:r>
        <w:rPr>
          <w:lang/>
        </w:rPr>
        <w:instrText>"</w:instrText>
      </w:r>
      <w:r>
        <w:rPr>
          <w:lang/>
        </w:rPr>
        <w:fldChar w:fldCharType="separate"/>
      </w:r>
      <w:r w:rsidRPr="002315F5">
        <w:rPr>
          <w:rStyle w:val="Hyperlink"/>
          <w:lang/>
        </w:rPr>
        <w:t>https://www.irishprisons.ie/information-centre/statistics-information/census-reports/</w:t>
      </w:r>
      <w:r>
        <w:rPr>
          <w:lang/>
        </w:rPr>
        <w:fldChar w:fldCharType="end"/>
      </w:r>
      <w:r>
        <w:rPr>
          <w:lang/>
        </w:rPr>
        <w:t xml:space="preserve">, last accessed January 24 2024). </w:t>
      </w:r>
    </w:p>
  </w:footnote>
  <w:footnote w:id="58">
    <w:p w14:paraId="701791F3" w14:textId="2F457503" w:rsidR="00CE05E5" w:rsidRPr="008158B3" w:rsidRDefault="00CE05E5">
      <w:pPr>
        <w:pStyle w:val="FootnoteText"/>
      </w:pPr>
      <w:r w:rsidRPr="008158B3">
        <w:rPr>
          <w:rStyle w:val="FootnoteReference"/>
        </w:rPr>
        <w:footnoteRef/>
      </w:r>
      <w:r w:rsidRPr="008158B3">
        <w:t xml:space="preserve"> </w:t>
      </w:r>
      <w:proofErr w:type="spellStart"/>
      <w:r w:rsidRPr="008158B3">
        <w:rPr>
          <w:i/>
          <w:iCs/>
        </w:rPr>
        <w:t>Devoy</w:t>
      </w:r>
      <w:proofErr w:type="spellEnd"/>
      <w:r w:rsidRPr="008158B3">
        <w:rPr>
          <w:i/>
          <w:iCs/>
        </w:rPr>
        <w:t xml:space="preserve"> v Governor of Portlaoise Prison </w:t>
      </w:r>
      <w:r w:rsidRPr="008158B3">
        <w:t xml:space="preserve">[2009] IEHC 288. </w:t>
      </w:r>
    </w:p>
  </w:footnote>
  <w:footnote w:id="59">
    <w:p w14:paraId="4EF2AF01" w14:textId="1288E209" w:rsidR="0027616C" w:rsidRPr="008158B3" w:rsidRDefault="0027616C">
      <w:pPr>
        <w:pStyle w:val="FootnoteText"/>
      </w:pPr>
      <w:r w:rsidRPr="008158B3">
        <w:rPr>
          <w:rStyle w:val="FootnoteReference"/>
        </w:rPr>
        <w:footnoteRef/>
      </w:r>
      <w:r w:rsidRPr="008158B3">
        <w:t xml:space="preserve"> </w:t>
      </w:r>
      <w:r w:rsidR="00891297" w:rsidRPr="008158B3">
        <w:rPr>
          <w:i/>
          <w:iCs/>
        </w:rPr>
        <w:t xml:space="preserve">Paget v. Governor of the Midlands Prison and the Director General of the Irish Prison Service </w:t>
      </w:r>
      <w:r w:rsidR="00891297" w:rsidRPr="008158B3">
        <w:t>[2019] IEHC 514.</w:t>
      </w:r>
    </w:p>
  </w:footnote>
  <w:footnote w:id="60">
    <w:p w14:paraId="017A6E99" w14:textId="5DFF4482" w:rsidR="00271666" w:rsidRPr="008158B3" w:rsidRDefault="00271666">
      <w:pPr>
        <w:pStyle w:val="FootnoteText"/>
      </w:pPr>
      <w:r w:rsidRPr="008158B3">
        <w:rPr>
          <w:rStyle w:val="FootnoteReference"/>
        </w:rPr>
        <w:footnoteRef/>
      </w:r>
      <w:r w:rsidRPr="008158B3">
        <w:t xml:space="preserve"> Rule 34(1). </w:t>
      </w:r>
    </w:p>
  </w:footnote>
  <w:footnote w:id="61">
    <w:p w14:paraId="2CE98D56" w14:textId="1A724115" w:rsidR="00271666" w:rsidRPr="008158B3" w:rsidRDefault="00271666">
      <w:pPr>
        <w:pStyle w:val="FootnoteText"/>
      </w:pPr>
      <w:r w:rsidRPr="008158B3">
        <w:rPr>
          <w:rStyle w:val="FootnoteReference"/>
        </w:rPr>
        <w:footnoteRef/>
      </w:r>
      <w:r w:rsidRPr="008158B3">
        <w:t xml:space="preserve"> Rule 34(3). </w:t>
      </w:r>
    </w:p>
  </w:footnote>
  <w:footnote w:id="62">
    <w:p w14:paraId="2FE2F710" w14:textId="08FA3181" w:rsidR="00271666" w:rsidRPr="008158B3" w:rsidRDefault="00271666">
      <w:pPr>
        <w:pStyle w:val="FootnoteText"/>
      </w:pPr>
      <w:r w:rsidRPr="008158B3">
        <w:rPr>
          <w:rStyle w:val="FootnoteReference"/>
        </w:rPr>
        <w:footnoteRef/>
      </w:r>
      <w:r w:rsidRPr="008158B3">
        <w:t xml:space="preserve"> Rule 34(4). </w:t>
      </w:r>
    </w:p>
  </w:footnote>
  <w:footnote w:id="63">
    <w:p w14:paraId="1EEDAA06" w14:textId="12D8B5CC" w:rsidR="00271666" w:rsidRPr="008158B3" w:rsidRDefault="00271666">
      <w:pPr>
        <w:pStyle w:val="FootnoteText"/>
      </w:pPr>
      <w:r w:rsidRPr="008158B3">
        <w:rPr>
          <w:rStyle w:val="FootnoteReference"/>
        </w:rPr>
        <w:footnoteRef/>
      </w:r>
      <w:r w:rsidRPr="008158B3">
        <w:t xml:space="preserve"> Rule 34(9). </w:t>
      </w:r>
    </w:p>
  </w:footnote>
  <w:footnote w:id="64">
    <w:p w14:paraId="048B5388" w14:textId="589B83E3" w:rsidR="00271666" w:rsidRPr="008158B3" w:rsidRDefault="00271666">
      <w:pPr>
        <w:pStyle w:val="FootnoteText"/>
      </w:pPr>
      <w:r w:rsidRPr="008158B3">
        <w:rPr>
          <w:rStyle w:val="FootnoteReference"/>
        </w:rPr>
        <w:footnoteRef/>
      </w:r>
      <w:r w:rsidRPr="008158B3">
        <w:t xml:space="preserve"> Rule 34(10). </w:t>
      </w:r>
    </w:p>
  </w:footnote>
  <w:footnote w:id="65">
    <w:p w14:paraId="5545CEDE" w14:textId="1F2C3EF8" w:rsidR="00271666" w:rsidRPr="008158B3" w:rsidRDefault="00271666">
      <w:pPr>
        <w:pStyle w:val="FootnoteText"/>
      </w:pPr>
      <w:r w:rsidRPr="008158B3">
        <w:rPr>
          <w:rStyle w:val="FootnoteReference"/>
        </w:rPr>
        <w:footnoteRef/>
      </w:r>
      <w:r w:rsidRPr="008158B3">
        <w:t xml:space="preserve"> Rule 34(11). </w:t>
      </w:r>
    </w:p>
  </w:footnote>
  <w:footnote w:id="66">
    <w:p w14:paraId="291C1AC2" w14:textId="6452D41F" w:rsidR="00271666" w:rsidRPr="008158B3" w:rsidRDefault="00271666">
      <w:pPr>
        <w:pStyle w:val="FootnoteText"/>
      </w:pPr>
      <w:r w:rsidRPr="008158B3">
        <w:rPr>
          <w:rStyle w:val="FootnoteReference"/>
        </w:rPr>
        <w:footnoteRef/>
      </w:r>
      <w:r w:rsidRPr="008158B3">
        <w:t xml:space="preserve"> Rule 115(b). </w:t>
      </w:r>
    </w:p>
  </w:footnote>
  <w:footnote w:id="67">
    <w:p w14:paraId="65500E92" w14:textId="4F02E402" w:rsidR="00B52462" w:rsidRPr="008158B3" w:rsidRDefault="00B52462">
      <w:pPr>
        <w:pStyle w:val="FootnoteText"/>
      </w:pPr>
      <w:r w:rsidRPr="008158B3">
        <w:rPr>
          <w:rStyle w:val="FootnoteReference"/>
        </w:rPr>
        <w:footnoteRef/>
      </w:r>
      <w:r w:rsidRPr="008158B3">
        <w:t xml:space="preserve"> Rule 115. </w:t>
      </w:r>
    </w:p>
  </w:footnote>
  <w:footnote w:id="68">
    <w:p w14:paraId="3DDA3883" w14:textId="6D5EE396" w:rsidR="00B52462" w:rsidRPr="008158B3" w:rsidRDefault="00B52462">
      <w:pPr>
        <w:pStyle w:val="FootnoteText"/>
      </w:pPr>
      <w:r w:rsidRPr="008158B3">
        <w:rPr>
          <w:rStyle w:val="FootnoteReference"/>
        </w:rPr>
        <w:footnoteRef/>
      </w:r>
      <w:r w:rsidRPr="008158B3">
        <w:t xml:space="preserve"> Rule 117(1). </w:t>
      </w:r>
    </w:p>
  </w:footnote>
  <w:footnote w:id="69">
    <w:p w14:paraId="11D47606" w14:textId="2473D2ED" w:rsidR="00B52462" w:rsidRPr="008158B3" w:rsidRDefault="00B52462">
      <w:pPr>
        <w:pStyle w:val="FootnoteText"/>
      </w:pPr>
      <w:r w:rsidRPr="008158B3">
        <w:rPr>
          <w:rStyle w:val="FootnoteReference"/>
        </w:rPr>
        <w:footnoteRef/>
      </w:r>
      <w:r w:rsidRPr="008158B3">
        <w:t xml:space="preserve"> Rule 118. </w:t>
      </w:r>
    </w:p>
  </w:footnote>
  <w:footnote w:id="70">
    <w:p w14:paraId="7E989595" w14:textId="6EAFCFE9" w:rsidR="00540BBC" w:rsidRPr="008158B3" w:rsidRDefault="00540BBC">
      <w:pPr>
        <w:pStyle w:val="FootnoteText"/>
      </w:pPr>
      <w:r w:rsidRPr="008158B3">
        <w:rPr>
          <w:rStyle w:val="FootnoteReference"/>
        </w:rPr>
        <w:footnoteRef/>
      </w:r>
      <w:r w:rsidRPr="008158B3">
        <w:t xml:space="preserve"> [2020] IESC 52. </w:t>
      </w:r>
    </w:p>
  </w:footnote>
  <w:footnote w:id="71">
    <w:p w14:paraId="5E272305" w14:textId="55027827" w:rsidR="00BA4E27" w:rsidRPr="00BA4E27" w:rsidRDefault="00BA4E27">
      <w:pPr>
        <w:pStyle w:val="FootnoteText"/>
        <w:rPr>
          <w:lang/>
        </w:rPr>
      </w:pPr>
      <w:r>
        <w:rPr>
          <w:rStyle w:val="FootnoteReference"/>
        </w:rPr>
        <w:footnoteRef/>
      </w:r>
      <w:r>
        <w:t xml:space="preserve"> </w:t>
      </w:r>
      <w:r>
        <w:rPr>
          <w:i/>
          <w:iCs/>
          <w:lang/>
        </w:rPr>
        <w:t xml:space="preserve">Dáil Debates, Questions 85; 86, </w:t>
      </w:r>
      <w:r>
        <w:rPr>
          <w:lang/>
        </w:rPr>
        <w:t xml:space="preserve">April 19 2023. </w:t>
      </w:r>
    </w:p>
  </w:footnote>
  <w:footnote w:id="72">
    <w:p w14:paraId="382570CD" w14:textId="1B9CB67E" w:rsidR="000671D3" w:rsidRPr="008158B3" w:rsidRDefault="000671D3">
      <w:pPr>
        <w:pStyle w:val="FootnoteText"/>
      </w:pPr>
      <w:r w:rsidRPr="008158B3">
        <w:rPr>
          <w:rStyle w:val="FootnoteReference"/>
        </w:rPr>
        <w:footnoteRef/>
      </w:r>
      <w:r w:rsidRPr="008158B3">
        <w:t xml:space="preserve"> </w:t>
      </w:r>
      <w:r w:rsidRPr="008158B3">
        <w:rPr>
          <w:i/>
          <w:iCs/>
        </w:rPr>
        <w:t xml:space="preserve">Grogan v. Parole Board </w:t>
      </w:r>
      <w:r w:rsidRPr="008158B3">
        <w:t xml:space="preserve">[2008] IEHC 204. </w:t>
      </w:r>
    </w:p>
  </w:footnote>
  <w:footnote w:id="73">
    <w:p w14:paraId="56F808F3" w14:textId="56B87FA0" w:rsidR="000671D3" w:rsidRPr="00BA4E27" w:rsidRDefault="000671D3">
      <w:pPr>
        <w:pStyle w:val="FootnoteText"/>
        <w:rPr>
          <w:lang/>
        </w:rPr>
      </w:pPr>
      <w:r w:rsidRPr="008158B3">
        <w:rPr>
          <w:rStyle w:val="FootnoteReference"/>
        </w:rPr>
        <w:footnoteRef/>
      </w:r>
      <w:r w:rsidRPr="008158B3">
        <w:t xml:space="preserve"> Section 14(4)(a) Parole Act 2019. </w:t>
      </w:r>
      <w:r w:rsidR="00BA4E27">
        <w:rPr>
          <w:i/>
          <w:iCs/>
          <w:lang/>
        </w:rPr>
        <w:t xml:space="preserve">See further: </w:t>
      </w:r>
      <w:r w:rsidR="00BA4E27">
        <w:rPr>
          <w:lang/>
        </w:rPr>
        <w:t xml:space="preserve">The Parole Board, Parole Board Legal Aid Scheme Overview, available at: </w:t>
      </w:r>
      <w:r w:rsidR="00BA4E27">
        <w:fldChar w:fldCharType="begin"/>
      </w:r>
      <w:r w:rsidR="00BA4E27">
        <w:instrText>HYPERLINK "</w:instrText>
      </w:r>
      <w:r w:rsidR="00BA4E27" w:rsidRPr="00BA4E27">
        <w:instrText>https://www.gov.ie/pdf/?file=https://assets.gov.ie/236154/792ede63-d49b-443e-ae49-499852afe1a8.pdf#page=null</w:instrText>
      </w:r>
      <w:r w:rsidR="00BA4E27">
        <w:instrText>"</w:instrText>
      </w:r>
      <w:r w:rsidR="00BA4E27">
        <w:fldChar w:fldCharType="separate"/>
      </w:r>
      <w:r w:rsidR="00BA4E27" w:rsidRPr="002315F5">
        <w:rPr>
          <w:rStyle w:val="Hyperlink"/>
        </w:rPr>
        <w:t>https://www.gov.ie/pdf/?file=ht</w:t>
      </w:r>
      <w:r w:rsidR="00BA4E27" w:rsidRPr="002315F5">
        <w:rPr>
          <w:rStyle w:val="Hyperlink"/>
        </w:rPr>
        <w:t>t</w:t>
      </w:r>
      <w:r w:rsidR="00BA4E27" w:rsidRPr="002315F5">
        <w:rPr>
          <w:rStyle w:val="Hyperlink"/>
        </w:rPr>
        <w:t>ps://assets.gov.ie/236154/792ede63-d49b-443e-ae49-499852afe1a8.pdf#page=null</w:t>
      </w:r>
      <w:r w:rsidR="00BA4E27">
        <w:fldChar w:fldCharType="end"/>
      </w:r>
      <w:r w:rsidRPr="008158B3">
        <w:t xml:space="preserve"> </w:t>
      </w:r>
      <w:r w:rsidR="00BA4E27">
        <w:rPr>
          <w:lang/>
        </w:rPr>
        <w:t xml:space="preserve">(last accessed January 24 2024). </w:t>
      </w:r>
    </w:p>
  </w:footnote>
  <w:footnote w:id="74">
    <w:p w14:paraId="58CCD86C" w14:textId="060E0282" w:rsidR="00126637" w:rsidRPr="008158B3" w:rsidRDefault="00126637">
      <w:pPr>
        <w:pStyle w:val="FootnoteText"/>
      </w:pPr>
      <w:r w:rsidRPr="008158B3">
        <w:rPr>
          <w:rStyle w:val="FootnoteReference"/>
        </w:rPr>
        <w:footnoteRef/>
      </w:r>
      <w:r w:rsidRPr="008158B3">
        <w:t xml:space="preserve"> Section 156 Children Act 2001. </w:t>
      </w:r>
    </w:p>
  </w:footnote>
  <w:footnote w:id="75">
    <w:p w14:paraId="3DA6CE92" w14:textId="77777777" w:rsidR="00A034B4" w:rsidRPr="008158B3" w:rsidRDefault="00A034B4" w:rsidP="00A034B4">
      <w:pPr>
        <w:pStyle w:val="FootnoteText"/>
      </w:pPr>
      <w:r w:rsidRPr="008158B3">
        <w:rPr>
          <w:rStyle w:val="FootnoteReference"/>
        </w:rPr>
        <w:footnoteRef/>
      </w:r>
      <w:r w:rsidRPr="008158B3">
        <w:t xml:space="preserve"> Rule 17. </w:t>
      </w:r>
    </w:p>
  </w:footnote>
  <w:footnote w:id="76">
    <w:p w14:paraId="256C9555" w14:textId="376949D6" w:rsidR="001B389B" w:rsidRPr="008158B3" w:rsidRDefault="001B389B">
      <w:pPr>
        <w:pStyle w:val="FootnoteText"/>
      </w:pPr>
      <w:r w:rsidRPr="008158B3">
        <w:rPr>
          <w:rStyle w:val="FootnoteReference"/>
        </w:rPr>
        <w:footnoteRef/>
      </w:r>
      <w:r w:rsidRPr="008158B3">
        <w:t xml:space="preserve"> </w:t>
      </w:r>
      <w:r w:rsidRPr="008158B3">
        <w:rPr>
          <w:color w:val="333333"/>
          <w:shd w:val="clear" w:color="auto" w:fill="FFFFFF"/>
        </w:rPr>
        <w:t>Brandon, A. M., &amp; O'Connell, M. (2018). Same crime: Different punishment? Investigating sentencing disparities between Irish and non-Irish nationals in the Irish criminal justice system.</w:t>
      </w:r>
      <w:r w:rsidRPr="008158B3">
        <w:rPr>
          <w:rStyle w:val="apple-converted-space"/>
          <w:color w:val="333333"/>
          <w:shd w:val="clear" w:color="auto" w:fill="FFFFFF"/>
        </w:rPr>
        <w:t> </w:t>
      </w:r>
      <w:r w:rsidRPr="008158B3">
        <w:rPr>
          <w:rStyle w:val="Emphasis"/>
          <w:color w:val="333333"/>
        </w:rPr>
        <w:t>British Journal of Criminology, 58</w:t>
      </w:r>
      <w:r w:rsidRPr="008158B3">
        <w:rPr>
          <w:color w:val="333333"/>
          <w:shd w:val="clear" w:color="auto" w:fill="FFFFFF"/>
        </w:rPr>
        <w:t>(5), 1127–1146.</w:t>
      </w:r>
      <w:r w:rsidRPr="008158B3">
        <w:rPr>
          <w:rStyle w:val="apple-converted-space"/>
          <w:color w:val="333333"/>
          <w:shd w:val="clear" w:color="auto" w:fill="FFFFFF"/>
        </w:rPr>
        <w:t> </w:t>
      </w:r>
      <w:hyperlink r:id="rId5" w:tgtFrame="_blank" w:history="1">
        <w:r w:rsidRPr="008158B3">
          <w:rPr>
            <w:rStyle w:val="Hyperlink"/>
            <w:color w:val="2C72B7"/>
          </w:rPr>
          <w:t>https://doi.org/10.1093/bjc/azx080</w:t>
        </w:r>
      </w:hyperlink>
    </w:p>
  </w:footnote>
  <w:footnote w:id="77">
    <w:p w14:paraId="23FA4146" w14:textId="671DD2C8" w:rsidR="00923882" w:rsidRPr="00BA4E27" w:rsidRDefault="00923882">
      <w:pPr>
        <w:pStyle w:val="FootnoteText"/>
        <w:rPr>
          <w:lang/>
        </w:rPr>
      </w:pPr>
      <w:r w:rsidRPr="008158B3">
        <w:rPr>
          <w:rStyle w:val="FootnoteReference"/>
        </w:rPr>
        <w:footnoteRef/>
      </w:r>
      <w:r w:rsidRPr="008158B3">
        <w:t xml:space="preserve"> </w:t>
      </w:r>
      <w:r w:rsidR="00BA4E27">
        <w:rPr>
          <w:lang/>
        </w:rPr>
        <w:t xml:space="preserve">Source, Irish Prison Service: </w:t>
      </w:r>
      <w:r w:rsidR="00BA4E27">
        <w:fldChar w:fldCharType="begin"/>
      </w:r>
      <w:r w:rsidR="00BA4E27">
        <w:instrText>HYPERLINK "</w:instrText>
      </w:r>
      <w:r w:rsidR="00BA4E27" w:rsidRPr="008158B3">
        <w:instrText>https://www.irishprisons.ie/wp-content/uploads/documents_pdf/PERSONS-COMMITTED-by-NATIONALITY-GROUP-Year-2007-to-Year-2022.pdf</w:instrText>
      </w:r>
      <w:r w:rsidR="00BA4E27">
        <w:instrText>"</w:instrText>
      </w:r>
      <w:r w:rsidR="00BA4E27">
        <w:fldChar w:fldCharType="separate"/>
      </w:r>
      <w:r w:rsidR="00BA4E27" w:rsidRPr="002315F5">
        <w:rPr>
          <w:rStyle w:val="Hyperlink"/>
        </w:rPr>
        <w:t>https://www.irishprisons.ie/wp-content/uploads/documents_pdf/PERSONS-COMMITTED-by-NATIONALITY-GROUP-Year-2007-to-Year-2022.pdf</w:t>
      </w:r>
      <w:r w:rsidR="00BA4E27">
        <w:fldChar w:fldCharType="end"/>
      </w:r>
      <w:r w:rsidR="00BA4E27">
        <w:rPr>
          <w:lang/>
        </w:rPr>
        <w:t xml:space="preserve"> (last accessed January 21 2024). </w:t>
      </w:r>
    </w:p>
  </w:footnote>
  <w:footnote w:id="78">
    <w:p w14:paraId="6D4B6E27" w14:textId="08C9E291" w:rsidR="00AA3E2D" w:rsidRPr="00BA4E27" w:rsidRDefault="00AA3E2D">
      <w:pPr>
        <w:pStyle w:val="FootnoteText"/>
        <w:rPr>
          <w:lang/>
        </w:rPr>
      </w:pPr>
      <w:r w:rsidRPr="008158B3">
        <w:rPr>
          <w:rStyle w:val="FootnoteReference"/>
        </w:rPr>
        <w:footnoteRef/>
      </w:r>
      <w:r w:rsidR="00BA4E27">
        <w:rPr>
          <w:lang/>
        </w:rPr>
        <w:t xml:space="preserve"> </w:t>
      </w:r>
      <w:r w:rsidR="00BA4E27">
        <w:rPr>
          <w:lang/>
        </w:rPr>
        <w:t xml:space="preserve">Irish Penal Reform Trust, Maynooth University, </w:t>
      </w:r>
      <w:r w:rsidR="00BA4E27" w:rsidRPr="00BA4E27">
        <w:rPr>
          <w:i/>
          <w:iCs/>
          <w:lang/>
        </w:rPr>
        <w:t>“Sometimes I’m Missing The Words</w:t>
      </w:r>
      <w:r w:rsidR="00BA4E27" w:rsidRPr="00BA4E27">
        <w:rPr>
          <w:lang/>
        </w:rPr>
        <w:t xml:space="preserve">”: The rights, needs and experiences of foreign national and minority ethnic groups in the Irish penal system, </w:t>
      </w:r>
      <w:r w:rsidR="00BA4E27">
        <w:rPr>
          <w:lang/>
        </w:rPr>
        <w:t xml:space="preserve">2022, available at: </w:t>
      </w:r>
      <w:r w:rsidR="00BA4E27">
        <w:fldChar w:fldCharType="begin"/>
      </w:r>
      <w:r w:rsidR="00BA4E27">
        <w:instrText>HYPERLINK "</w:instrText>
      </w:r>
      <w:r w:rsidR="00BA4E27" w:rsidRPr="00BA4E27">
        <w:instrText>https://iprt.ie/site/assets/files/7076/iprt_the_rights-_needs_and_experiences_of_foreign_national_and_minority_ethnic_groups.pdf</w:instrText>
      </w:r>
      <w:r w:rsidR="00BA4E27">
        <w:instrText>"</w:instrText>
      </w:r>
      <w:r w:rsidR="00BA4E27">
        <w:fldChar w:fldCharType="separate"/>
      </w:r>
      <w:r w:rsidR="00BA4E27" w:rsidRPr="002315F5">
        <w:rPr>
          <w:rStyle w:val="Hyperlink"/>
        </w:rPr>
        <w:t>https://iprt.ie/site/assets/files/7076/iprt_the_rights-_needs_and_experiences_of_foreign_national_an</w:t>
      </w:r>
      <w:r w:rsidR="00BA4E27" w:rsidRPr="002315F5">
        <w:rPr>
          <w:rStyle w:val="Hyperlink"/>
        </w:rPr>
        <w:t>d</w:t>
      </w:r>
      <w:r w:rsidR="00BA4E27" w:rsidRPr="002315F5">
        <w:rPr>
          <w:rStyle w:val="Hyperlink"/>
        </w:rPr>
        <w:t>_minority_ethnic_groups.pdf</w:t>
      </w:r>
      <w:r w:rsidR="00BA4E27">
        <w:fldChar w:fldCharType="end"/>
      </w:r>
      <w:r w:rsidRPr="008158B3">
        <w:t xml:space="preserve"> </w:t>
      </w:r>
      <w:r w:rsidR="00BA4E27">
        <w:rPr>
          <w:lang/>
        </w:rPr>
        <w:t xml:space="preserve">(last accessed January 20 2024). </w:t>
      </w:r>
    </w:p>
  </w:footnote>
  <w:footnote w:id="79">
    <w:p w14:paraId="4747A7EE" w14:textId="5CF568D1" w:rsidR="00A034B4" w:rsidRPr="00BA4E27" w:rsidRDefault="00A034B4">
      <w:pPr>
        <w:pStyle w:val="FootnoteText"/>
        <w:rPr>
          <w:lang/>
        </w:rPr>
      </w:pPr>
      <w:r w:rsidRPr="008158B3">
        <w:rPr>
          <w:rStyle w:val="FootnoteReference"/>
        </w:rPr>
        <w:footnoteRef/>
      </w:r>
      <w:r w:rsidR="00BA4E27">
        <w:rPr>
          <w:lang/>
        </w:rPr>
        <w:t xml:space="preserve"> </w:t>
      </w:r>
      <w:r w:rsidR="00BA4E27">
        <w:rPr>
          <w:i/>
          <w:iCs/>
          <w:lang/>
        </w:rPr>
        <w:t>Dáil Debates</w:t>
      </w:r>
      <w:r w:rsidR="00BA4E27">
        <w:rPr>
          <w:lang/>
        </w:rPr>
        <w:t>, question 481, July 11 2023;</w:t>
      </w:r>
      <w:r w:rsidRPr="008158B3">
        <w:t xml:space="preserve"> </w:t>
      </w:r>
      <w:hyperlink r:id="rId6" w:history="1">
        <w:r w:rsidRPr="008158B3">
          <w:rPr>
            <w:rStyle w:val="Hyperlink"/>
          </w:rPr>
          <w:t>https://www.oireachtas.ie/en/debates/</w:t>
        </w:r>
        <w:r w:rsidRPr="008158B3">
          <w:rPr>
            <w:rStyle w:val="Hyperlink"/>
          </w:rPr>
          <w:t>q</w:t>
        </w:r>
        <w:r w:rsidRPr="008158B3">
          <w:rPr>
            <w:rStyle w:val="Hyperlink"/>
          </w:rPr>
          <w:t>uestion/2023-07-11/481/</w:t>
        </w:r>
      </w:hyperlink>
      <w:r w:rsidRPr="008158B3">
        <w:t xml:space="preserve"> </w:t>
      </w:r>
      <w:r w:rsidR="00BA4E27">
        <w:rPr>
          <w:lang/>
        </w:rPr>
        <w:t xml:space="preserve">(last accessed January 21 2024). </w:t>
      </w:r>
    </w:p>
  </w:footnote>
  <w:footnote w:id="80">
    <w:p w14:paraId="392E5CFE" w14:textId="2EAC0834" w:rsidR="00683FAC" w:rsidRPr="009647E4" w:rsidRDefault="00683FAC">
      <w:pPr>
        <w:pStyle w:val="FootnoteText"/>
        <w:rPr>
          <w:lang/>
        </w:rPr>
      </w:pPr>
      <w:r w:rsidRPr="008158B3">
        <w:rPr>
          <w:rStyle w:val="FootnoteReference"/>
        </w:rPr>
        <w:footnoteRef/>
      </w:r>
      <w:r w:rsidR="009647E4">
        <w:rPr>
          <w:lang/>
        </w:rPr>
        <w:t xml:space="preserve"> </w:t>
      </w:r>
      <w:r w:rsidR="009647E4">
        <w:rPr>
          <w:lang/>
        </w:rPr>
        <w:t>Irish Penal Reform Trust,</w:t>
      </w:r>
      <w:r w:rsidRPr="008158B3">
        <w:t xml:space="preserve"> </w:t>
      </w:r>
      <w:hyperlink r:id="rId7" w:history="1">
        <w:r w:rsidRPr="008158B3">
          <w:rPr>
            <w:rStyle w:val="Hyperlink"/>
          </w:rPr>
          <w:t>https://www.iprt.ie/latest-news/ipr</w:t>
        </w:r>
        <w:r w:rsidRPr="008158B3">
          <w:rPr>
            <w:rStyle w:val="Hyperlink"/>
          </w:rPr>
          <w:t>t</w:t>
        </w:r>
        <w:r w:rsidRPr="008158B3">
          <w:rPr>
            <w:rStyle w:val="Hyperlink"/>
          </w:rPr>
          <w:t>-appears-before-joint-committee-on-key-issues-affecting-the-traveller-community/</w:t>
        </w:r>
      </w:hyperlink>
      <w:r w:rsidRPr="008158B3">
        <w:t xml:space="preserve"> </w:t>
      </w:r>
      <w:r w:rsidR="009647E4">
        <w:rPr>
          <w:lang/>
        </w:rPr>
        <w:t xml:space="preserve">(last accessed January 19 2024). </w:t>
      </w:r>
    </w:p>
  </w:footnote>
  <w:footnote w:id="81">
    <w:p w14:paraId="5CFAF623" w14:textId="7788C470" w:rsidR="00683FAC" w:rsidRPr="009647E4" w:rsidRDefault="00683FAC">
      <w:pPr>
        <w:pStyle w:val="FootnoteText"/>
        <w:rPr>
          <w:lang/>
        </w:rPr>
      </w:pPr>
      <w:r w:rsidRPr="008158B3">
        <w:rPr>
          <w:rStyle w:val="FootnoteReference"/>
        </w:rPr>
        <w:footnoteRef/>
      </w:r>
      <w:r w:rsidR="009647E4">
        <w:rPr>
          <w:lang/>
        </w:rPr>
        <w:t xml:space="preserve"> </w:t>
      </w:r>
      <w:r w:rsidR="009647E4">
        <w:rPr>
          <w:lang/>
        </w:rPr>
        <w:t xml:space="preserve">Irish Penal Reform Trust, (2016) </w:t>
      </w:r>
      <w:r w:rsidR="009647E4">
        <w:rPr>
          <w:i/>
          <w:iCs/>
          <w:lang/>
        </w:rPr>
        <w:t>Travellers in the Irish Prison Service: A Qualitative Study</w:t>
      </w:r>
      <w:r w:rsidR="009647E4">
        <w:rPr>
          <w:lang/>
        </w:rPr>
        <w:t>, available at:</w:t>
      </w:r>
      <w:r w:rsidRPr="008158B3">
        <w:t xml:space="preserve"> </w:t>
      </w:r>
      <w:r w:rsidR="00000000" w:rsidRPr="008158B3">
        <w:fldChar w:fldCharType="begin"/>
      </w:r>
      <w:r w:rsidR="00000000" w:rsidRPr="008158B3">
        <w:instrText>HYPERLINK "https://www.iprt.ie/site/assets/files/6339/iprt_travellers_report_web.pdf"</w:instrText>
      </w:r>
      <w:r w:rsidR="00000000" w:rsidRPr="008158B3">
        <w:fldChar w:fldCharType="separate"/>
      </w:r>
      <w:r w:rsidRPr="008158B3">
        <w:rPr>
          <w:rStyle w:val="Hyperlink"/>
        </w:rPr>
        <w:t>https://www.iprt.ie/site/assets/files/6339/iprt_trav</w:t>
      </w:r>
      <w:r w:rsidRPr="008158B3">
        <w:rPr>
          <w:rStyle w:val="Hyperlink"/>
        </w:rPr>
        <w:t>e</w:t>
      </w:r>
      <w:r w:rsidRPr="008158B3">
        <w:rPr>
          <w:rStyle w:val="Hyperlink"/>
        </w:rPr>
        <w:t>llers_report_web.pdf</w:t>
      </w:r>
      <w:r w:rsidR="00000000" w:rsidRPr="008158B3">
        <w:rPr>
          <w:rStyle w:val="Hyperlink"/>
        </w:rPr>
        <w:fldChar w:fldCharType="end"/>
      </w:r>
      <w:r w:rsidRPr="008158B3">
        <w:t xml:space="preserve"> </w:t>
      </w:r>
      <w:r w:rsidR="009647E4">
        <w:rPr>
          <w:lang/>
        </w:rPr>
        <w:t xml:space="preserve">(last accessed January 19 2024). </w:t>
      </w:r>
    </w:p>
  </w:footnote>
  <w:footnote w:id="82">
    <w:p w14:paraId="1739E85F" w14:textId="2EAB3660" w:rsidR="00AA3E2D" w:rsidRPr="008158B3" w:rsidRDefault="00AA3E2D">
      <w:pPr>
        <w:pStyle w:val="FootnoteText"/>
        <w:rPr>
          <w:i/>
          <w:iCs/>
        </w:rPr>
      </w:pPr>
      <w:r w:rsidRPr="008158B3">
        <w:rPr>
          <w:rStyle w:val="FootnoteReference"/>
        </w:rPr>
        <w:footnoteRef/>
      </w:r>
      <w:r w:rsidRPr="008158B3">
        <w:t xml:space="preserve"> </w:t>
      </w:r>
      <w:r w:rsidRPr="008158B3">
        <w:rPr>
          <w:i/>
          <w:iCs/>
        </w:rPr>
        <w:t xml:space="preserve">Ibid. </w:t>
      </w:r>
    </w:p>
  </w:footnote>
  <w:footnote w:id="83">
    <w:p w14:paraId="27FEC6DD" w14:textId="1D412C1F" w:rsidR="00841320" w:rsidRPr="008158B3" w:rsidRDefault="00841320">
      <w:pPr>
        <w:pStyle w:val="FootnoteText"/>
      </w:pPr>
      <w:r w:rsidRPr="008158B3">
        <w:rPr>
          <w:rStyle w:val="FootnoteReference"/>
        </w:rPr>
        <w:footnoteRef/>
      </w:r>
      <w:r w:rsidRPr="008158B3">
        <w:t xml:space="preserve"> Section 42 Irish Human Rights and Equality Commission Act 2014. </w:t>
      </w:r>
    </w:p>
  </w:footnote>
  <w:footnote w:id="84">
    <w:p w14:paraId="5D3F87FF" w14:textId="2AE17C02" w:rsidR="00841320" w:rsidRPr="009647E4" w:rsidRDefault="00841320">
      <w:pPr>
        <w:pStyle w:val="FootnoteText"/>
        <w:rPr>
          <w:lang/>
        </w:rPr>
      </w:pPr>
      <w:r w:rsidRPr="008158B3">
        <w:rPr>
          <w:rStyle w:val="FootnoteReference"/>
        </w:rPr>
        <w:footnoteRef/>
      </w:r>
      <w:r w:rsidR="009647E4">
        <w:rPr>
          <w:lang/>
        </w:rPr>
        <w:t xml:space="preserve"> </w:t>
      </w:r>
      <w:r w:rsidR="009647E4">
        <w:rPr>
          <w:lang/>
        </w:rPr>
        <w:t xml:space="preserve">Irish Penal Reform Trust (2016) </w:t>
      </w:r>
      <w:r w:rsidR="009647E4">
        <w:rPr>
          <w:i/>
          <w:iCs/>
          <w:lang/>
        </w:rPr>
        <w:t xml:space="preserve">Out on the Inside: the Rights, Experiences and Needs of LGBT People in Prison, </w:t>
      </w:r>
      <w:r w:rsidR="009647E4">
        <w:rPr>
          <w:lang/>
        </w:rPr>
        <w:t>available at:</w:t>
      </w:r>
      <w:r w:rsidRPr="008158B3">
        <w:t xml:space="preserve"> </w:t>
      </w:r>
      <w:hyperlink r:id="rId8" w:history="1">
        <w:r w:rsidRPr="008158B3">
          <w:rPr>
            <w:rStyle w:val="Hyperlink"/>
          </w:rPr>
          <w:t>https://www.iprt.ie/site/assets/files/6369/ip</w:t>
        </w:r>
        <w:r w:rsidRPr="008158B3">
          <w:rPr>
            <w:rStyle w:val="Hyperlink"/>
          </w:rPr>
          <w:t>r</w:t>
        </w:r>
        <w:r w:rsidRPr="008158B3">
          <w:rPr>
            <w:rStyle w:val="Hyperlink"/>
          </w:rPr>
          <w:t>t_out_on_the_inside_2016_embargo_to_1030_feb_02_2016.pdf</w:t>
        </w:r>
      </w:hyperlink>
      <w:r w:rsidRPr="008158B3">
        <w:t xml:space="preserve"> </w:t>
      </w:r>
      <w:r w:rsidR="009647E4">
        <w:rPr>
          <w:lang/>
        </w:rPr>
        <w:t xml:space="preserve">(last accessed January 10 2024). </w:t>
      </w:r>
    </w:p>
  </w:footnote>
  <w:footnote w:id="85">
    <w:p w14:paraId="25869FE5" w14:textId="42C6E008" w:rsidR="00CA5977" w:rsidRPr="008158B3" w:rsidRDefault="00CA5977">
      <w:pPr>
        <w:pStyle w:val="FootnoteText"/>
      </w:pPr>
      <w:r w:rsidRPr="008158B3">
        <w:rPr>
          <w:rStyle w:val="FootnoteReference"/>
        </w:rPr>
        <w:footnoteRef/>
      </w:r>
      <w:r w:rsidRPr="008158B3">
        <w:t xml:space="preserve"> [2013] IEHC 334. </w:t>
      </w:r>
    </w:p>
  </w:footnote>
  <w:footnote w:id="86">
    <w:p w14:paraId="3CB85F20" w14:textId="3F416CA7" w:rsidR="00235E8F" w:rsidRPr="009647E4" w:rsidRDefault="00235E8F">
      <w:pPr>
        <w:pStyle w:val="FootnoteText"/>
        <w:rPr>
          <w:lang/>
        </w:rPr>
      </w:pPr>
      <w:r w:rsidRPr="008158B3">
        <w:rPr>
          <w:rStyle w:val="FootnoteReference"/>
        </w:rPr>
        <w:footnoteRef/>
      </w:r>
      <w:r w:rsidR="009647E4">
        <w:rPr>
          <w:lang/>
        </w:rPr>
        <w:t xml:space="preserve"> </w:t>
      </w:r>
      <w:r w:rsidR="009647E4">
        <w:rPr>
          <w:lang/>
        </w:rPr>
        <w:t xml:space="preserve">Gallagher, C. (2023) “Transgender Prisoners: where should they be housed?” </w:t>
      </w:r>
      <w:r w:rsidR="009647E4">
        <w:rPr>
          <w:i/>
          <w:iCs/>
          <w:lang/>
        </w:rPr>
        <w:t xml:space="preserve">Irish Times </w:t>
      </w:r>
      <w:r w:rsidR="009647E4">
        <w:rPr>
          <w:lang/>
        </w:rPr>
        <w:t xml:space="preserve">June 3 2023, available at: </w:t>
      </w:r>
      <w:r w:rsidRPr="008158B3">
        <w:t xml:space="preserve"> </w:t>
      </w:r>
      <w:r w:rsidR="00000000" w:rsidRPr="008158B3">
        <w:fldChar w:fldCharType="begin"/>
      </w:r>
      <w:r w:rsidR="00000000" w:rsidRPr="008158B3">
        <w:instrText>HYPERLINK "https://www.irishtimes.com/crime-law/2023/06/03/transgender-prisoners-where-should-they-be-housed/" \l ":~:text=Ireland%20has%20no%20official%20policy,trans%20prisoners%2C%20says%20a%20spokeswoman"</w:instrText>
      </w:r>
      <w:r w:rsidR="00000000" w:rsidRPr="008158B3">
        <w:fldChar w:fldCharType="separate"/>
      </w:r>
      <w:r w:rsidRPr="008158B3">
        <w:rPr>
          <w:rStyle w:val="Hyperlink"/>
        </w:rPr>
        <w:t>https://www.irishtimes.com/crime-law/2023/06/03/transgender-prisoners-where-should-they-be-housed/#:~:text=Ireland%20has%20no%20official%20policy,trans%20prisoners%2C%20says%20a%20spokeswoman</w:t>
      </w:r>
      <w:r w:rsidR="00000000" w:rsidRPr="008158B3">
        <w:rPr>
          <w:rStyle w:val="Hyperlink"/>
        </w:rPr>
        <w:fldChar w:fldCharType="end"/>
      </w:r>
      <w:r w:rsidR="009647E4">
        <w:rPr>
          <w:lang/>
        </w:rPr>
        <w:t xml:space="preserve"> (last accesssed January 10 2024). </w:t>
      </w:r>
    </w:p>
  </w:footnote>
  <w:footnote w:id="87">
    <w:p w14:paraId="6BAC4880" w14:textId="42966377" w:rsidR="00235E8F" w:rsidRPr="009647E4" w:rsidRDefault="00235E8F">
      <w:pPr>
        <w:pStyle w:val="FootnoteText"/>
        <w:rPr>
          <w:lang/>
        </w:rPr>
      </w:pPr>
      <w:r w:rsidRPr="008158B3">
        <w:rPr>
          <w:rStyle w:val="FootnoteReference"/>
        </w:rPr>
        <w:footnoteRef/>
      </w:r>
      <w:r w:rsidRPr="008158B3">
        <w:t xml:space="preserve"> </w:t>
      </w:r>
      <w:r w:rsidR="009647E4">
        <w:rPr>
          <w:lang/>
        </w:rPr>
        <w:t xml:space="preserve">Dóchas Visiting Committee, Annual Report, available at:  </w:t>
      </w:r>
      <w:hyperlink r:id="rId9" w:history="1">
        <w:r w:rsidR="009647E4" w:rsidRPr="002315F5">
          <w:rPr>
            <w:rStyle w:val="Hyperlink"/>
          </w:rPr>
          <w:t>https://www.gov.ie/pdf/?file=https://assets.gov.ie/260826/14f0b383-0713-4b86-8baa-15fc48fa7770.pd</w:t>
        </w:r>
        <w:r w:rsidR="009647E4" w:rsidRPr="002315F5">
          <w:rPr>
            <w:rStyle w:val="Hyperlink"/>
          </w:rPr>
          <w:t>f</w:t>
        </w:r>
        <w:r w:rsidR="009647E4" w:rsidRPr="002315F5">
          <w:rPr>
            <w:rStyle w:val="Hyperlink"/>
          </w:rPr>
          <w:t>#page=null</w:t>
        </w:r>
      </w:hyperlink>
      <w:r w:rsidR="00DA0CD6" w:rsidRPr="008158B3">
        <w:t xml:space="preserve"> </w:t>
      </w:r>
      <w:r w:rsidR="009647E4">
        <w:rPr>
          <w:lang/>
        </w:rPr>
        <w:t xml:space="preserve">(last accessed January 24 2024). </w:t>
      </w:r>
    </w:p>
  </w:footnote>
  <w:footnote w:id="88">
    <w:p w14:paraId="2F0F1DCC" w14:textId="07ABE1BE" w:rsidR="008879C7" w:rsidRPr="009647E4" w:rsidRDefault="008879C7">
      <w:pPr>
        <w:pStyle w:val="FootnoteText"/>
        <w:rPr>
          <w:lang/>
        </w:rPr>
      </w:pPr>
      <w:r w:rsidRPr="008158B3">
        <w:rPr>
          <w:rStyle w:val="FootnoteReference"/>
        </w:rPr>
        <w:footnoteRef/>
      </w:r>
      <w:r w:rsidR="009647E4">
        <w:rPr>
          <w:lang/>
        </w:rPr>
        <w:t xml:space="preserve"> </w:t>
      </w:r>
      <w:r w:rsidR="009647E4">
        <w:rPr>
          <w:lang/>
        </w:rPr>
        <w:t>Office of the Inspector of Prisons, Recommendation LMCT 18, available at:</w:t>
      </w:r>
      <w:r w:rsidRPr="008158B3">
        <w:t xml:space="preserve"> </w:t>
      </w:r>
      <w:hyperlink r:id="rId10" w:history="1">
        <w:r w:rsidR="001014AE" w:rsidRPr="008158B3">
          <w:rPr>
            <w:rStyle w:val="Hyperlink"/>
          </w:rPr>
          <w:t>https://www.oip.ie/recommendation-and-status-update/</w:t>
        </w:r>
      </w:hyperlink>
      <w:r w:rsidR="009647E4">
        <w:rPr>
          <w:lang/>
        </w:rPr>
        <w:t xml:space="preserve"> (last accessed January 20 2024). </w:t>
      </w:r>
    </w:p>
  </w:footnote>
  <w:footnote w:id="89">
    <w:p w14:paraId="5C085485" w14:textId="52321AC1" w:rsidR="008879C7" w:rsidRPr="008158B3" w:rsidRDefault="008879C7">
      <w:pPr>
        <w:pStyle w:val="FootnoteText"/>
      </w:pPr>
      <w:r w:rsidRPr="008158B3">
        <w:rPr>
          <w:rStyle w:val="FootnoteReference"/>
        </w:rPr>
        <w:footnoteRef/>
      </w:r>
      <w:r w:rsidR="009647E4">
        <w:rPr>
          <w:lang/>
        </w:rPr>
        <w:t xml:space="preserve"> </w:t>
      </w:r>
      <w:r w:rsidR="009647E4">
        <w:rPr>
          <w:lang/>
        </w:rPr>
        <w:t xml:space="preserve">Gallagher, C. </w:t>
      </w:r>
      <w:r w:rsidRPr="008158B3">
        <w:t xml:space="preserve"> </w:t>
      </w:r>
      <w:r w:rsidR="009647E4">
        <w:rPr>
          <w:lang/>
        </w:rPr>
        <w:t xml:space="preserve">“Transgender Prisoners: Where should they be housed?” June 3 2023, available at: </w:t>
      </w:r>
      <w:r w:rsidR="009647E4">
        <w:fldChar w:fldCharType="begin"/>
      </w:r>
      <w:r w:rsidR="009647E4">
        <w:instrText>HYPERLINK "</w:instrText>
      </w:r>
      <w:r w:rsidR="009647E4" w:rsidRPr="009647E4">
        <w:instrText>https://www.irishtimes.com/crime-law/2023/06/03/transgender-prisoners-where-should-they-be-housed/#:~:text=Ireland%20has%20no%20official%20policy,trans%20prisoners%2C%20says%20a%20spokeswoman</w:instrText>
      </w:r>
      <w:r w:rsidR="009647E4">
        <w:instrText>"</w:instrText>
      </w:r>
      <w:r w:rsidR="009647E4">
        <w:fldChar w:fldCharType="separate"/>
      </w:r>
      <w:r w:rsidR="009647E4" w:rsidRPr="002315F5">
        <w:rPr>
          <w:rStyle w:val="Hyperlink"/>
        </w:rPr>
        <w:t>https://www.irishtimes.com/crime-law/2023/06/03/transgender-prisoners-where-should-they-be-housed/#:~:text=Ireland%20has%20no%20official%20policy,trans%20prisoners%2C%20says%20a%20spokeswoman</w:t>
      </w:r>
      <w:r w:rsidR="009647E4">
        <w:fldChar w:fldCharType="end"/>
      </w:r>
      <w:r w:rsidRPr="008158B3">
        <w:t>.</w:t>
      </w:r>
      <w:r w:rsidR="009647E4">
        <w:rPr>
          <w:lang/>
        </w:rPr>
        <w:t xml:space="preserve"> (last accessed January 24 2024). </w:t>
      </w:r>
      <w:r w:rsidRPr="008158B3">
        <w:t xml:space="preserve"> </w:t>
      </w:r>
    </w:p>
  </w:footnote>
  <w:footnote w:id="90">
    <w:p w14:paraId="20808F89" w14:textId="40156F13" w:rsidR="00235E8F" w:rsidRPr="009647E4" w:rsidRDefault="00235E8F">
      <w:pPr>
        <w:pStyle w:val="FootnoteText"/>
        <w:rPr>
          <w:lang/>
        </w:rPr>
      </w:pPr>
      <w:r w:rsidRPr="008158B3">
        <w:rPr>
          <w:rStyle w:val="FootnoteReference"/>
        </w:rPr>
        <w:footnoteRef/>
      </w:r>
      <w:r w:rsidR="009647E4">
        <w:rPr>
          <w:lang/>
        </w:rPr>
        <w:t xml:space="preserve"> </w:t>
      </w:r>
      <w:r w:rsidR="009647E4">
        <w:rPr>
          <w:lang/>
        </w:rPr>
        <w:t xml:space="preserve">Source: Irish Prsion Service, available at: </w:t>
      </w:r>
      <w:r w:rsidRPr="008158B3">
        <w:t xml:space="preserve"> </w:t>
      </w:r>
      <w:hyperlink r:id="rId11" w:history="1">
        <w:r w:rsidRPr="008158B3">
          <w:rPr>
            <w:rStyle w:val="Hyperlink"/>
          </w:rPr>
          <w:t>https://www.irishpriso</w:t>
        </w:r>
        <w:r w:rsidRPr="008158B3">
          <w:rPr>
            <w:rStyle w:val="Hyperlink"/>
          </w:rPr>
          <w:t>n</w:t>
        </w:r>
        <w:r w:rsidRPr="008158B3">
          <w:rPr>
            <w:rStyle w:val="Hyperlink"/>
          </w:rPr>
          <w:t>s.ie/wp-content/uploads/documents_pdf/SNAPSHOT-Age-Profile-Year-2007-to-2022.pdf</w:t>
        </w:r>
      </w:hyperlink>
      <w:r w:rsidRPr="008158B3">
        <w:t xml:space="preserve"> </w:t>
      </w:r>
      <w:r w:rsidR="009647E4">
        <w:rPr>
          <w:lang/>
        </w:rPr>
        <w:t xml:space="preserve"> (last accessed January 10 2024). </w:t>
      </w:r>
    </w:p>
  </w:footnote>
  <w:footnote w:id="91">
    <w:p w14:paraId="15231C25" w14:textId="25E8574B" w:rsidR="00DA0CD6" w:rsidRPr="009647E4" w:rsidRDefault="00DA0CD6">
      <w:pPr>
        <w:pStyle w:val="FootnoteText"/>
        <w:rPr>
          <w:lang/>
        </w:rPr>
      </w:pPr>
      <w:r w:rsidRPr="008158B3">
        <w:rPr>
          <w:rStyle w:val="FootnoteReference"/>
        </w:rPr>
        <w:footnoteRef/>
      </w:r>
      <w:r w:rsidRPr="008158B3">
        <w:t xml:space="preserve"> </w:t>
      </w:r>
      <w:r w:rsidR="009647E4">
        <w:rPr>
          <w:lang/>
        </w:rPr>
        <w:t xml:space="preserve">Irish Penal Reform Trust, </w:t>
      </w:r>
      <w:r w:rsidR="009647E4">
        <w:rPr>
          <w:i/>
          <w:iCs/>
          <w:lang/>
        </w:rPr>
        <w:t xml:space="preserve">In here, time stands </w:t>
      </w:r>
      <w:r w:rsidR="009647E4" w:rsidRPr="009647E4">
        <w:rPr>
          <w:lang/>
        </w:rPr>
        <w:t>still</w:t>
      </w:r>
      <w:r w:rsidR="009647E4">
        <w:rPr>
          <w:lang/>
        </w:rPr>
        <w:t xml:space="preserve">, available at: </w:t>
      </w:r>
      <w:hyperlink r:id="rId12" w:history="1">
        <w:r w:rsidR="009647E4" w:rsidRPr="002315F5">
          <w:rPr>
            <w:rStyle w:val="Hyperlink"/>
          </w:rPr>
          <w:t>https://www.iprt.ie/sit</w:t>
        </w:r>
        <w:r w:rsidR="009647E4" w:rsidRPr="002315F5">
          <w:rPr>
            <w:rStyle w:val="Hyperlink"/>
          </w:rPr>
          <w:t>e</w:t>
        </w:r>
        <w:r w:rsidR="009647E4" w:rsidRPr="002315F5">
          <w:rPr>
            <w:rStyle w:val="Hyperlink"/>
          </w:rPr>
          <w:t>/assets/files/6388/iprt-older_people_in_prison_report_web.pdf</w:t>
        </w:r>
      </w:hyperlink>
      <w:r w:rsidR="009647E4">
        <w:rPr>
          <w:lang/>
        </w:rPr>
        <w:t xml:space="preserve"> (last accessed January 10 2024). </w:t>
      </w:r>
    </w:p>
  </w:footnote>
  <w:footnote w:id="92">
    <w:p w14:paraId="02B2D4CA" w14:textId="5BC971A3" w:rsidR="00A8048F" w:rsidRPr="008158B3" w:rsidRDefault="00A8048F">
      <w:pPr>
        <w:pStyle w:val="FootnoteText"/>
      </w:pPr>
      <w:r w:rsidRPr="008158B3">
        <w:rPr>
          <w:rStyle w:val="FootnoteReference"/>
        </w:rPr>
        <w:footnoteRef/>
      </w:r>
      <w:r w:rsidRPr="008158B3">
        <w:t xml:space="preserve"> Rule 6(2), Prison Rules 2007. </w:t>
      </w:r>
    </w:p>
  </w:footnote>
  <w:footnote w:id="93">
    <w:p w14:paraId="3EEB2456" w14:textId="5DF6F6CA" w:rsidR="00A8048F" w:rsidRPr="008158B3" w:rsidRDefault="00A8048F">
      <w:pPr>
        <w:pStyle w:val="FootnoteText"/>
      </w:pPr>
      <w:r w:rsidRPr="008158B3">
        <w:rPr>
          <w:rStyle w:val="FootnoteReference"/>
        </w:rPr>
        <w:footnoteRef/>
      </w:r>
      <w:r w:rsidRPr="008158B3">
        <w:t xml:space="preserve"> Rule 6(2), Prison Rules 2007. </w:t>
      </w:r>
    </w:p>
  </w:footnote>
  <w:footnote w:id="94">
    <w:p w14:paraId="5EEB2649" w14:textId="42645DD4" w:rsidR="00A8048F" w:rsidRPr="008158B3" w:rsidRDefault="00A8048F">
      <w:pPr>
        <w:pStyle w:val="FootnoteText"/>
      </w:pPr>
      <w:r w:rsidRPr="008158B3">
        <w:rPr>
          <w:rStyle w:val="FootnoteReference"/>
        </w:rPr>
        <w:footnoteRef/>
      </w:r>
      <w:r w:rsidRPr="008158B3">
        <w:t xml:space="preserve"> Rule 62(4) Prison Rules 2007. </w:t>
      </w:r>
    </w:p>
  </w:footnote>
  <w:footnote w:id="95">
    <w:p w14:paraId="0B680326" w14:textId="0B3AFA9E" w:rsidR="00606B46" w:rsidRPr="008158B3" w:rsidRDefault="00606B46">
      <w:pPr>
        <w:pStyle w:val="FootnoteText"/>
      </w:pPr>
      <w:r w:rsidRPr="008158B3">
        <w:rPr>
          <w:rStyle w:val="FootnoteReference"/>
        </w:rPr>
        <w:footnoteRef/>
      </w:r>
      <w:r w:rsidRPr="008158B3">
        <w:t xml:space="preserve"> Rule 6(7). </w:t>
      </w:r>
    </w:p>
  </w:footnote>
  <w:footnote w:id="96">
    <w:p w14:paraId="0E657246" w14:textId="707B2200" w:rsidR="00606B46" w:rsidRPr="008158B3" w:rsidRDefault="00606B46">
      <w:pPr>
        <w:pStyle w:val="FootnoteText"/>
      </w:pPr>
      <w:r w:rsidRPr="008158B3">
        <w:rPr>
          <w:rStyle w:val="FootnoteReference"/>
        </w:rPr>
        <w:footnoteRef/>
      </w:r>
      <w:r w:rsidRPr="008158B3">
        <w:t xml:space="preserve"> Rule 6(5). </w:t>
      </w:r>
    </w:p>
  </w:footnote>
  <w:footnote w:id="97">
    <w:p w14:paraId="057C28E0" w14:textId="7CA97B22" w:rsidR="00606B46" w:rsidRPr="008158B3" w:rsidRDefault="00606B46">
      <w:pPr>
        <w:pStyle w:val="FootnoteText"/>
      </w:pPr>
      <w:r w:rsidRPr="008158B3">
        <w:rPr>
          <w:rStyle w:val="FootnoteReference"/>
        </w:rPr>
        <w:footnoteRef/>
      </w:r>
      <w:r w:rsidRPr="008158B3">
        <w:t xml:space="preserve"> Rule 6(6). </w:t>
      </w:r>
    </w:p>
  </w:footnote>
  <w:footnote w:id="98">
    <w:p w14:paraId="33B7F5AA" w14:textId="22FEF09A" w:rsidR="00606B46" w:rsidRPr="008158B3" w:rsidRDefault="00606B46">
      <w:pPr>
        <w:pStyle w:val="FootnoteText"/>
      </w:pPr>
      <w:r w:rsidRPr="008158B3">
        <w:rPr>
          <w:rStyle w:val="FootnoteReference"/>
        </w:rPr>
        <w:footnoteRef/>
      </w:r>
      <w:r w:rsidRPr="008158B3">
        <w:t xml:space="preserve"> Rule 6(8). </w:t>
      </w:r>
    </w:p>
  </w:footnote>
  <w:footnote w:id="99">
    <w:p w14:paraId="54CC3E02" w14:textId="484A5708" w:rsidR="00606B46" w:rsidRPr="008158B3" w:rsidRDefault="00606B46">
      <w:pPr>
        <w:pStyle w:val="FootnoteText"/>
      </w:pPr>
      <w:r w:rsidRPr="008158B3">
        <w:rPr>
          <w:rStyle w:val="FootnoteReference"/>
        </w:rPr>
        <w:footnoteRef/>
      </w:r>
      <w:r w:rsidRPr="008158B3">
        <w:t xml:space="preserve"> Rule 6(9).</w:t>
      </w:r>
    </w:p>
  </w:footnote>
  <w:footnote w:id="100">
    <w:p w14:paraId="09F77520" w14:textId="0DE9C3E1" w:rsidR="00606B46" w:rsidRPr="008158B3" w:rsidRDefault="00606B46">
      <w:pPr>
        <w:pStyle w:val="FootnoteText"/>
      </w:pPr>
      <w:r w:rsidRPr="008158B3">
        <w:rPr>
          <w:rStyle w:val="FootnoteReference"/>
        </w:rPr>
        <w:footnoteRef/>
      </w:r>
      <w:r w:rsidRPr="008158B3">
        <w:t xml:space="preserve"> Rule 53(1). </w:t>
      </w:r>
    </w:p>
  </w:footnote>
  <w:footnote w:id="101">
    <w:p w14:paraId="50E711D9" w14:textId="5566B5F1" w:rsidR="00606B46" w:rsidRPr="008158B3" w:rsidRDefault="00606B46">
      <w:pPr>
        <w:pStyle w:val="FootnoteText"/>
      </w:pPr>
      <w:r w:rsidRPr="008158B3">
        <w:rPr>
          <w:rStyle w:val="FootnoteReference"/>
        </w:rPr>
        <w:footnoteRef/>
      </w:r>
      <w:r w:rsidRPr="008158B3">
        <w:t xml:space="preserve"> Rule 53(2). </w:t>
      </w:r>
    </w:p>
  </w:footnote>
  <w:footnote w:id="102">
    <w:p w14:paraId="18D8CB94" w14:textId="0F3A817C" w:rsidR="001B0DA7" w:rsidRPr="008158B3" w:rsidRDefault="001B0DA7">
      <w:pPr>
        <w:pStyle w:val="FootnoteText"/>
      </w:pPr>
      <w:r w:rsidRPr="008158B3">
        <w:rPr>
          <w:rStyle w:val="FootnoteReference"/>
        </w:rPr>
        <w:footnoteRef/>
      </w:r>
      <w:r w:rsidRPr="008158B3">
        <w:t xml:space="preserve"> Rule 65(1). </w:t>
      </w:r>
    </w:p>
  </w:footnote>
  <w:footnote w:id="103">
    <w:p w14:paraId="2C0A9A50" w14:textId="32D9D26C" w:rsidR="001B0DA7" w:rsidRPr="008158B3" w:rsidRDefault="001B0DA7">
      <w:pPr>
        <w:pStyle w:val="FootnoteText"/>
      </w:pPr>
      <w:r w:rsidRPr="008158B3">
        <w:rPr>
          <w:rStyle w:val="FootnoteReference"/>
        </w:rPr>
        <w:footnoteRef/>
      </w:r>
      <w:r w:rsidRPr="008158B3">
        <w:t xml:space="preserve"> Rule 65(2). </w:t>
      </w:r>
    </w:p>
  </w:footnote>
  <w:footnote w:id="104">
    <w:p w14:paraId="7ACD998E" w14:textId="529B3FE0" w:rsidR="001B0DA7" w:rsidRPr="008158B3" w:rsidRDefault="001B0DA7">
      <w:pPr>
        <w:pStyle w:val="FootnoteText"/>
      </w:pPr>
      <w:r w:rsidRPr="008158B3">
        <w:rPr>
          <w:rStyle w:val="FootnoteReference"/>
        </w:rPr>
        <w:footnoteRef/>
      </w:r>
      <w:r w:rsidRPr="008158B3">
        <w:t xml:space="preserve"> Rule 65(3). </w:t>
      </w:r>
    </w:p>
  </w:footnote>
  <w:footnote w:id="105">
    <w:p w14:paraId="0CCDFC45" w14:textId="3FB6F80E" w:rsidR="001B0DA7" w:rsidRPr="008158B3" w:rsidRDefault="001B0DA7">
      <w:pPr>
        <w:pStyle w:val="FootnoteText"/>
      </w:pPr>
      <w:r w:rsidRPr="008158B3">
        <w:rPr>
          <w:rStyle w:val="FootnoteReference"/>
        </w:rPr>
        <w:footnoteRef/>
      </w:r>
      <w:r w:rsidRPr="008158B3">
        <w:t xml:space="preserve"> Rule 65(4).</w:t>
      </w:r>
    </w:p>
  </w:footnote>
  <w:footnote w:id="106">
    <w:p w14:paraId="1B83C533" w14:textId="1BDFD493" w:rsidR="001B0DA7" w:rsidRPr="008158B3" w:rsidRDefault="001B0DA7">
      <w:pPr>
        <w:pStyle w:val="FootnoteText"/>
      </w:pPr>
      <w:r w:rsidRPr="008158B3">
        <w:rPr>
          <w:rStyle w:val="FootnoteReference"/>
        </w:rPr>
        <w:footnoteRef/>
      </w:r>
      <w:r w:rsidRPr="008158B3">
        <w:t xml:space="preserve"> Rule 65(5). </w:t>
      </w:r>
    </w:p>
  </w:footnote>
  <w:footnote w:id="107">
    <w:p w14:paraId="0B6C4D42" w14:textId="6468FAA9" w:rsidR="007D4E4E" w:rsidRPr="008158B3" w:rsidRDefault="007D4E4E">
      <w:pPr>
        <w:pStyle w:val="FootnoteText"/>
      </w:pPr>
      <w:r w:rsidRPr="008158B3">
        <w:rPr>
          <w:rStyle w:val="FootnoteReference"/>
        </w:rPr>
        <w:footnoteRef/>
      </w:r>
      <w:r w:rsidRPr="008158B3">
        <w:t xml:space="preserve"> Rule 65(8). </w:t>
      </w:r>
    </w:p>
  </w:footnote>
  <w:footnote w:id="108">
    <w:p w14:paraId="7360AAE1" w14:textId="3F97DD18" w:rsidR="004A63FF" w:rsidRPr="009647E4" w:rsidRDefault="004A63FF">
      <w:pPr>
        <w:pStyle w:val="FootnoteText"/>
        <w:rPr>
          <w:lang/>
        </w:rPr>
      </w:pPr>
      <w:r w:rsidRPr="008158B3">
        <w:rPr>
          <w:rStyle w:val="FootnoteReference"/>
        </w:rPr>
        <w:footnoteRef/>
      </w:r>
      <w:r w:rsidRPr="008158B3">
        <w:t xml:space="preserve"> </w:t>
      </w:r>
      <w:r w:rsidR="009647E4">
        <w:rPr>
          <w:lang/>
        </w:rPr>
        <w:t xml:space="preserve">Section </w:t>
      </w:r>
      <w:r w:rsidRPr="008158B3">
        <w:t>25</w:t>
      </w:r>
      <w:r w:rsidR="009647E4">
        <w:rPr>
          <w:lang/>
        </w:rPr>
        <w:t>, Schedule 1.</w:t>
      </w:r>
    </w:p>
  </w:footnote>
  <w:footnote w:id="109">
    <w:p w14:paraId="6D69D7E1" w14:textId="0428AC23" w:rsidR="004A63FF" w:rsidRPr="009647E4" w:rsidRDefault="004A63FF">
      <w:pPr>
        <w:pStyle w:val="FootnoteText"/>
        <w:rPr>
          <w:lang/>
        </w:rPr>
      </w:pPr>
      <w:r w:rsidRPr="008158B3">
        <w:rPr>
          <w:rStyle w:val="FootnoteReference"/>
        </w:rPr>
        <w:footnoteRef/>
      </w:r>
      <w:r w:rsidRPr="008158B3">
        <w:t xml:space="preserve"> </w:t>
      </w:r>
      <w:r w:rsidR="009647E4">
        <w:rPr>
          <w:lang/>
        </w:rPr>
        <w:t xml:space="preserve">Section </w:t>
      </w:r>
      <w:r w:rsidRPr="008158B3">
        <w:t>26</w:t>
      </w:r>
      <w:r w:rsidR="009647E4">
        <w:rPr>
          <w:lang/>
        </w:rPr>
        <w:t xml:space="preserve">, Schedule 1. </w:t>
      </w:r>
    </w:p>
  </w:footnote>
  <w:footnote w:id="110">
    <w:p w14:paraId="7A40306E" w14:textId="7F53027D" w:rsidR="004A63FF" w:rsidRPr="009647E4" w:rsidRDefault="004A63FF">
      <w:pPr>
        <w:pStyle w:val="FootnoteText"/>
        <w:rPr>
          <w:lang/>
        </w:rPr>
      </w:pPr>
      <w:r w:rsidRPr="008158B3">
        <w:rPr>
          <w:rStyle w:val="FootnoteReference"/>
        </w:rPr>
        <w:footnoteRef/>
      </w:r>
      <w:r w:rsidRPr="008158B3">
        <w:t xml:space="preserve"> </w:t>
      </w:r>
      <w:r w:rsidR="009647E4">
        <w:rPr>
          <w:lang/>
        </w:rPr>
        <w:t xml:space="preserve">Section </w:t>
      </w:r>
      <w:r w:rsidRPr="008158B3">
        <w:t>32</w:t>
      </w:r>
      <w:r w:rsidR="009647E4">
        <w:rPr>
          <w:lang/>
        </w:rPr>
        <w:t xml:space="preserve">, Schedule 1. </w:t>
      </w:r>
    </w:p>
  </w:footnote>
  <w:footnote w:id="111">
    <w:p w14:paraId="0AF7A451" w14:textId="774A4C98" w:rsidR="008879C7" w:rsidRPr="008158B3" w:rsidRDefault="008879C7">
      <w:pPr>
        <w:pStyle w:val="FootnoteText"/>
      </w:pPr>
      <w:r w:rsidRPr="008158B3">
        <w:rPr>
          <w:rStyle w:val="FootnoteReference"/>
        </w:rPr>
        <w:footnoteRef/>
      </w:r>
      <w:r w:rsidRPr="008158B3">
        <w:t xml:space="preserve"> The governor must not include a prohibition on receiving visits as a penalty without specifying </w:t>
      </w:r>
      <w:r w:rsidR="00056F12" w:rsidRPr="008158B3">
        <w:t xml:space="preserve">why that prohibition has been decided upon (section 3, Prison Rules (Amendment) Act 2013). </w:t>
      </w:r>
    </w:p>
  </w:footnote>
  <w:footnote w:id="112">
    <w:p w14:paraId="3EB6211F" w14:textId="1CC50704" w:rsidR="008879C7" w:rsidRPr="008158B3" w:rsidRDefault="008879C7">
      <w:pPr>
        <w:pStyle w:val="FootnoteText"/>
      </w:pPr>
      <w:r w:rsidRPr="008158B3">
        <w:rPr>
          <w:rStyle w:val="FootnoteReference"/>
        </w:rPr>
        <w:footnoteRef/>
      </w:r>
      <w:r w:rsidRPr="008158B3">
        <w:t xml:space="preserve"> Section 13(1)(d) Prisons Act 2007. </w:t>
      </w:r>
    </w:p>
  </w:footnote>
  <w:footnote w:id="113">
    <w:p w14:paraId="49218A2C" w14:textId="67AC5C6A" w:rsidR="008879C7" w:rsidRPr="008158B3" w:rsidRDefault="008879C7">
      <w:pPr>
        <w:pStyle w:val="FootnoteText"/>
      </w:pPr>
      <w:r w:rsidRPr="008158B3">
        <w:rPr>
          <w:rStyle w:val="FootnoteReference"/>
        </w:rPr>
        <w:footnoteRef/>
      </w:r>
      <w:r w:rsidRPr="008158B3">
        <w:t xml:space="preserve"> Section 13(1)(e) Prisons Act 2007. </w:t>
      </w:r>
    </w:p>
  </w:footnote>
  <w:footnote w:id="114">
    <w:p w14:paraId="5F99E918" w14:textId="49EBF241" w:rsidR="008879C7" w:rsidRPr="008158B3" w:rsidRDefault="008879C7">
      <w:pPr>
        <w:pStyle w:val="FootnoteText"/>
      </w:pPr>
      <w:r w:rsidRPr="008158B3">
        <w:rPr>
          <w:rStyle w:val="FootnoteReference"/>
        </w:rPr>
        <w:footnoteRef/>
      </w:r>
      <w:r w:rsidRPr="008158B3">
        <w:t xml:space="preserve"> Section 13(1)(g) Prisons Act 2007. </w:t>
      </w:r>
    </w:p>
  </w:footnote>
  <w:footnote w:id="115">
    <w:p w14:paraId="1BFF72D8" w14:textId="5B9CEC94" w:rsidR="008879C7" w:rsidRPr="008158B3" w:rsidRDefault="008879C7">
      <w:pPr>
        <w:pStyle w:val="FootnoteText"/>
      </w:pPr>
      <w:r w:rsidRPr="008158B3">
        <w:rPr>
          <w:rStyle w:val="FootnoteReference"/>
        </w:rPr>
        <w:footnoteRef/>
      </w:r>
      <w:r w:rsidRPr="008158B3">
        <w:t xml:space="preserve"> Section 13(2) Prisons Act 2007. </w:t>
      </w:r>
    </w:p>
  </w:footnote>
  <w:footnote w:id="116">
    <w:p w14:paraId="461BF94B" w14:textId="70C863F4" w:rsidR="00567C8A" w:rsidRPr="008158B3" w:rsidRDefault="00567C8A">
      <w:pPr>
        <w:pStyle w:val="FootnoteText"/>
      </w:pPr>
      <w:r w:rsidRPr="008158B3">
        <w:rPr>
          <w:rStyle w:val="FootnoteReference"/>
        </w:rPr>
        <w:footnoteRef/>
      </w:r>
      <w:r w:rsidRPr="008158B3">
        <w:t xml:space="preserve"> Section 13(7) Prisons Act 2007. </w:t>
      </w:r>
    </w:p>
  </w:footnote>
  <w:footnote w:id="117">
    <w:p w14:paraId="1698905B" w14:textId="5BB780E4" w:rsidR="00897909" w:rsidRPr="008158B3" w:rsidRDefault="00897909">
      <w:pPr>
        <w:pStyle w:val="FootnoteText"/>
      </w:pPr>
      <w:r w:rsidRPr="008158B3">
        <w:rPr>
          <w:rStyle w:val="FootnoteReference"/>
        </w:rPr>
        <w:footnoteRef/>
      </w:r>
      <w:r w:rsidRPr="008158B3">
        <w:t xml:space="preserve"> Section 12(2) Prisons Act 2007. </w:t>
      </w:r>
    </w:p>
  </w:footnote>
  <w:footnote w:id="118">
    <w:p w14:paraId="77A27146" w14:textId="72E8C86A" w:rsidR="00E351CE" w:rsidRPr="008158B3" w:rsidRDefault="00E351CE">
      <w:pPr>
        <w:pStyle w:val="FootnoteText"/>
      </w:pPr>
      <w:r w:rsidRPr="008158B3">
        <w:rPr>
          <w:rStyle w:val="FootnoteReference"/>
        </w:rPr>
        <w:footnoteRef/>
      </w:r>
      <w:r w:rsidRPr="008158B3">
        <w:t xml:space="preserve"> Rule 67(3). </w:t>
      </w:r>
    </w:p>
  </w:footnote>
  <w:footnote w:id="119">
    <w:p w14:paraId="29319E20" w14:textId="1159731A" w:rsidR="00E351CE" w:rsidRPr="008158B3" w:rsidRDefault="00E351CE">
      <w:pPr>
        <w:pStyle w:val="FootnoteText"/>
      </w:pPr>
      <w:r w:rsidRPr="008158B3">
        <w:rPr>
          <w:rStyle w:val="FootnoteReference"/>
        </w:rPr>
        <w:footnoteRef/>
      </w:r>
      <w:r w:rsidRPr="008158B3">
        <w:t xml:space="preserve"> Rule 67(5). </w:t>
      </w:r>
    </w:p>
  </w:footnote>
  <w:footnote w:id="120">
    <w:p w14:paraId="5E67BB6F" w14:textId="15CB5AC1" w:rsidR="003D1B32" w:rsidRPr="008158B3" w:rsidRDefault="003D1B32">
      <w:pPr>
        <w:pStyle w:val="FootnoteText"/>
      </w:pPr>
      <w:r w:rsidRPr="008158B3">
        <w:rPr>
          <w:rStyle w:val="FootnoteReference"/>
        </w:rPr>
        <w:footnoteRef/>
      </w:r>
      <w:r w:rsidRPr="008158B3">
        <w:t xml:space="preserve"> Rule 67(12). </w:t>
      </w:r>
    </w:p>
  </w:footnote>
  <w:footnote w:id="121">
    <w:p w14:paraId="638B4191" w14:textId="47CC0AAF" w:rsidR="00B651F4" w:rsidRPr="008158B3" w:rsidRDefault="00B651F4">
      <w:pPr>
        <w:pStyle w:val="FootnoteText"/>
      </w:pPr>
      <w:r w:rsidRPr="008158B3">
        <w:rPr>
          <w:rStyle w:val="FootnoteReference"/>
        </w:rPr>
        <w:footnoteRef/>
      </w:r>
      <w:r w:rsidRPr="008158B3">
        <w:t xml:space="preserve"> Rule 67(2). </w:t>
      </w:r>
    </w:p>
  </w:footnote>
  <w:footnote w:id="122">
    <w:p w14:paraId="7C2A7F50" w14:textId="688FF4C7" w:rsidR="00B651F4" w:rsidRPr="008158B3" w:rsidRDefault="00B651F4">
      <w:pPr>
        <w:pStyle w:val="FootnoteText"/>
      </w:pPr>
      <w:r w:rsidRPr="008158B3">
        <w:rPr>
          <w:rStyle w:val="FootnoteReference"/>
        </w:rPr>
        <w:footnoteRef/>
      </w:r>
      <w:r w:rsidRPr="008158B3">
        <w:t xml:space="preserve"> Ibid. </w:t>
      </w:r>
    </w:p>
  </w:footnote>
  <w:footnote w:id="123">
    <w:p w14:paraId="661DA667" w14:textId="5B179BB9" w:rsidR="00B651F4" w:rsidRPr="008158B3" w:rsidRDefault="00B651F4">
      <w:pPr>
        <w:pStyle w:val="FootnoteText"/>
      </w:pPr>
      <w:r w:rsidRPr="008158B3">
        <w:rPr>
          <w:rStyle w:val="FootnoteReference"/>
        </w:rPr>
        <w:footnoteRef/>
      </w:r>
      <w:r w:rsidRPr="008158B3">
        <w:t xml:space="preserve"> Rule 67(13). </w:t>
      </w:r>
    </w:p>
  </w:footnote>
  <w:footnote w:id="124">
    <w:p w14:paraId="1AA2C56C" w14:textId="365A9910" w:rsidR="00901FD4" w:rsidRPr="008158B3" w:rsidRDefault="00901FD4">
      <w:pPr>
        <w:pStyle w:val="FootnoteText"/>
      </w:pPr>
      <w:r w:rsidRPr="008158B3">
        <w:rPr>
          <w:rStyle w:val="FootnoteReference"/>
        </w:rPr>
        <w:footnoteRef/>
      </w:r>
      <w:r w:rsidRPr="008158B3">
        <w:t xml:space="preserve"> </w:t>
      </w:r>
      <w:r w:rsidRPr="008158B3">
        <w:rPr>
          <w:i/>
          <w:iCs/>
        </w:rPr>
        <w:t xml:space="preserve">Kenny v. Governor of Portlaoise Prison </w:t>
      </w:r>
      <w:r w:rsidRPr="008158B3">
        <w:t xml:space="preserve">[2017] IEHC 581. </w:t>
      </w:r>
    </w:p>
  </w:footnote>
  <w:footnote w:id="125">
    <w:p w14:paraId="6D8BFCDD" w14:textId="3D7E1104" w:rsidR="00265E1B" w:rsidRPr="00265E1B" w:rsidRDefault="00265E1B">
      <w:pPr>
        <w:pStyle w:val="FootnoteText"/>
        <w:rPr>
          <w:lang/>
        </w:rPr>
      </w:pPr>
      <w:r>
        <w:rPr>
          <w:rStyle w:val="FootnoteReference"/>
        </w:rPr>
        <w:footnoteRef/>
      </w:r>
      <w:r>
        <w:t xml:space="preserve"> </w:t>
      </w:r>
      <w:r>
        <w:rPr>
          <w:lang/>
        </w:rPr>
        <w:t xml:space="preserve">[2019] IEHC 211. </w:t>
      </w:r>
    </w:p>
  </w:footnote>
  <w:footnote w:id="126">
    <w:p w14:paraId="027AAF4B" w14:textId="5B36E44F" w:rsidR="00901FD4" w:rsidRPr="008158B3" w:rsidRDefault="00901FD4">
      <w:pPr>
        <w:pStyle w:val="FootnoteText"/>
      </w:pPr>
      <w:r w:rsidRPr="008158B3">
        <w:rPr>
          <w:rStyle w:val="FootnoteReference"/>
        </w:rPr>
        <w:footnoteRef/>
      </w:r>
      <w:r w:rsidRPr="008158B3">
        <w:t xml:space="preserve"> </w:t>
      </w:r>
      <w:r w:rsidRPr="008158B3">
        <w:rPr>
          <w:i/>
          <w:iCs/>
        </w:rPr>
        <w:t xml:space="preserve">Egan v. Governor of Wheatfield Prison </w:t>
      </w:r>
      <w:r w:rsidRPr="008158B3">
        <w:t xml:space="preserve">[2014] IEHC 613, para 33. </w:t>
      </w:r>
    </w:p>
  </w:footnote>
  <w:footnote w:id="127">
    <w:p w14:paraId="09B5F0A7" w14:textId="156FD81A" w:rsidR="00A774AF" w:rsidRPr="008158B3" w:rsidRDefault="00A774AF">
      <w:pPr>
        <w:pStyle w:val="FootnoteText"/>
      </w:pPr>
      <w:r w:rsidRPr="008158B3">
        <w:rPr>
          <w:rStyle w:val="FootnoteReference"/>
        </w:rPr>
        <w:footnoteRef/>
      </w:r>
      <w:r w:rsidRPr="008158B3">
        <w:t xml:space="preserve"> </w:t>
      </w:r>
      <w:r w:rsidRPr="008158B3">
        <w:rPr>
          <w:i/>
          <w:iCs/>
        </w:rPr>
        <w:t>Dunne v. Governor of Wheatfield Prison</w:t>
      </w:r>
      <w:r w:rsidR="00265E1B">
        <w:rPr>
          <w:i/>
          <w:iCs/>
          <w:lang/>
        </w:rPr>
        <w:t xml:space="preserve"> </w:t>
      </w:r>
      <w:r w:rsidR="00265E1B">
        <w:rPr>
          <w:lang/>
        </w:rPr>
        <w:t>[2017] IEHC 221</w:t>
      </w:r>
      <w:r w:rsidRPr="008158B3">
        <w:t xml:space="preserve">. </w:t>
      </w:r>
    </w:p>
  </w:footnote>
  <w:footnote w:id="128">
    <w:p w14:paraId="38D501CF" w14:textId="0BB46C9A" w:rsidR="0027616C" w:rsidRPr="008158B3" w:rsidRDefault="0027616C">
      <w:pPr>
        <w:pStyle w:val="FootnoteText"/>
      </w:pPr>
      <w:r w:rsidRPr="008158B3">
        <w:rPr>
          <w:rStyle w:val="FootnoteReference"/>
        </w:rPr>
        <w:footnoteRef/>
      </w:r>
      <w:r w:rsidRPr="008158B3">
        <w:t xml:space="preserve"> [2022] IEHC 55. </w:t>
      </w:r>
    </w:p>
  </w:footnote>
  <w:footnote w:id="129">
    <w:p w14:paraId="3D1CC646" w14:textId="0069E5A9" w:rsidR="00ED2D90" w:rsidRPr="008158B3" w:rsidRDefault="00ED2D90">
      <w:pPr>
        <w:pStyle w:val="FootnoteText"/>
      </w:pPr>
      <w:r w:rsidRPr="008158B3">
        <w:rPr>
          <w:rStyle w:val="FootnoteReference"/>
        </w:rPr>
        <w:footnoteRef/>
      </w:r>
      <w:r w:rsidRPr="008158B3">
        <w:t xml:space="preserve"> Prisons Act 2007, s13(5)(a). </w:t>
      </w:r>
    </w:p>
  </w:footnote>
  <w:footnote w:id="130">
    <w:p w14:paraId="7344A137" w14:textId="161603FA" w:rsidR="005C206D" w:rsidRPr="008158B3" w:rsidRDefault="005C206D">
      <w:pPr>
        <w:pStyle w:val="FootnoteText"/>
      </w:pPr>
      <w:r w:rsidRPr="008158B3">
        <w:rPr>
          <w:rStyle w:val="FootnoteReference"/>
        </w:rPr>
        <w:footnoteRef/>
      </w:r>
      <w:r w:rsidRPr="008158B3">
        <w:t xml:space="preserve"> Rule 57(5) Prison Rules 2007. </w:t>
      </w:r>
    </w:p>
  </w:footnote>
  <w:footnote w:id="131">
    <w:p w14:paraId="2AA55869" w14:textId="329C8EDA" w:rsidR="005C206D" w:rsidRPr="008158B3" w:rsidRDefault="005C206D">
      <w:pPr>
        <w:pStyle w:val="FootnoteText"/>
      </w:pPr>
      <w:r w:rsidRPr="008158B3">
        <w:rPr>
          <w:rStyle w:val="FootnoteReference"/>
        </w:rPr>
        <w:footnoteRef/>
      </w:r>
      <w:r w:rsidRPr="008158B3">
        <w:t xml:space="preserve"> Prisons Act 2007, s 15(3).</w:t>
      </w:r>
    </w:p>
  </w:footnote>
  <w:footnote w:id="132">
    <w:p w14:paraId="3090CC12" w14:textId="29278778" w:rsidR="005C206D" w:rsidRPr="008158B3" w:rsidRDefault="005C206D">
      <w:pPr>
        <w:pStyle w:val="FootnoteText"/>
      </w:pPr>
      <w:r w:rsidRPr="008158B3">
        <w:rPr>
          <w:rStyle w:val="FootnoteReference"/>
        </w:rPr>
        <w:footnoteRef/>
      </w:r>
      <w:r w:rsidRPr="008158B3">
        <w:t xml:space="preserve"> Prisons Act 2007, s. 15(4). </w:t>
      </w:r>
    </w:p>
  </w:footnote>
  <w:footnote w:id="133">
    <w:p w14:paraId="1CEE4AF5" w14:textId="0794DEBF" w:rsidR="005C206D" w:rsidRPr="008158B3" w:rsidRDefault="005C206D">
      <w:pPr>
        <w:pStyle w:val="FootnoteText"/>
      </w:pPr>
      <w:r w:rsidRPr="008158B3">
        <w:rPr>
          <w:rStyle w:val="FootnoteReference"/>
        </w:rPr>
        <w:footnoteRef/>
      </w:r>
      <w:r w:rsidRPr="008158B3">
        <w:t xml:space="preserve"> Section 15(8) Prisons Act 2007. </w:t>
      </w:r>
    </w:p>
  </w:footnote>
  <w:footnote w:id="134">
    <w:p w14:paraId="3C202609" w14:textId="44D484C6" w:rsidR="00EF09B0" w:rsidRPr="00265E1B" w:rsidRDefault="00EF09B0">
      <w:pPr>
        <w:pStyle w:val="FootnoteText"/>
        <w:rPr>
          <w:lang/>
        </w:rPr>
      </w:pPr>
      <w:r w:rsidRPr="008158B3">
        <w:rPr>
          <w:rStyle w:val="FootnoteReference"/>
        </w:rPr>
        <w:footnoteRef/>
      </w:r>
      <w:r w:rsidR="00265E1B">
        <w:rPr>
          <w:lang/>
        </w:rPr>
        <w:t xml:space="preserve"> </w:t>
      </w:r>
      <w:r w:rsidR="00265E1B">
        <w:rPr>
          <w:lang/>
        </w:rPr>
        <w:t>Irish Prison Service Strategy 2023 – 2027, available at:</w:t>
      </w:r>
      <w:r w:rsidRPr="008158B3">
        <w:t xml:space="preserve"> </w:t>
      </w:r>
      <w:hyperlink r:id="rId13" w:history="1">
        <w:r w:rsidRPr="008158B3">
          <w:rPr>
            <w:rStyle w:val="Hyperlink"/>
          </w:rPr>
          <w:t>https://www.irishprisons.ie/wp-content/uploads/documents_pdf/IPS_Service_Strategy-2023-2027-final.pdf</w:t>
        </w:r>
      </w:hyperlink>
      <w:r w:rsidRPr="008158B3">
        <w:t xml:space="preserve"> </w:t>
      </w:r>
      <w:r w:rsidR="00265E1B">
        <w:rPr>
          <w:lang/>
        </w:rPr>
        <w:t xml:space="preserve">(last accessed January 20 2024). </w:t>
      </w:r>
    </w:p>
  </w:footnote>
  <w:footnote w:id="135">
    <w:p w14:paraId="7B1913A8" w14:textId="6EF49A30" w:rsidR="0061518B" w:rsidRPr="00265E1B" w:rsidRDefault="0061518B">
      <w:pPr>
        <w:pStyle w:val="FootnoteText"/>
        <w:rPr>
          <w:lang/>
        </w:rPr>
      </w:pPr>
      <w:r w:rsidRPr="008158B3">
        <w:rPr>
          <w:rStyle w:val="FootnoteReference"/>
        </w:rPr>
        <w:footnoteRef/>
      </w:r>
      <w:r w:rsidRPr="008158B3">
        <w:t xml:space="preserve"> </w:t>
      </w:r>
      <w:r w:rsidR="00265E1B">
        <w:rPr>
          <w:lang/>
        </w:rPr>
        <w:t xml:space="preserve">Source, Irish Prison Service, available at: </w:t>
      </w:r>
      <w:r w:rsidR="00265E1B">
        <w:fldChar w:fldCharType="begin"/>
      </w:r>
      <w:r w:rsidR="00265E1B">
        <w:instrText>HYPERLINK "</w:instrText>
      </w:r>
      <w:r w:rsidR="00265E1B" w:rsidRPr="00265E1B">
        <w:instrText>https://www.irishprisons.ie/wp-content/uploads/documents_pdf/24-January-2024.pdf</w:instrText>
      </w:r>
      <w:r w:rsidR="00265E1B">
        <w:instrText>"</w:instrText>
      </w:r>
      <w:r w:rsidR="00265E1B">
        <w:fldChar w:fldCharType="separate"/>
      </w:r>
      <w:r w:rsidR="00265E1B" w:rsidRPr="002315F5">
        <w:rPr>
          <w:rStyle w:val="Hyperlink"/>
        </w:rPr>
        <w:t>https://www.irishprisons.ie/wp-content/uploads/documents_pdf/24-January-2024.pdf</w:t>
      </w:r>
      <w:r w:rsidR="00265E1B">
        <w:fldChar w:fldCharType="end"/>
      </w:r>
      <w:r w:rsidRPr="008158B3">
        <w:t xml:space="preserve"> </w:t>
      </w:r>
      <w:r w:rsidR="00265E1B">
        <w:rPr>
          <w:lang/>
        </w:rPr>
        <w:t xml:space="preserve">(last accessed January 24 2024). </w:t>
      </w:r>
    </w:p>
  </w:footnote>
  <w:footnote w:id="136">
    <w:p w14:paraId="66455636" w14:textId="4E834EDB" w:rsidR="0061518B" w:rsidRPr="00265E1B" w:rsidRDefault="0061518B">
      <w:pPr>
        <w:pStyle w:val="FootnoteText"/>
        <w:rPr>
          <w:lang/>
        </w:rPr>
      </w:pPr>
      <w:r w:rsidRPr="008158B3">
        <w:rPr>
          <w:rStyle w:val="FootnoteReference"/>
        </w:rPr>
        <w:footnoteRef/>
      </w:r>
      <w:r w:rsidRPr="008158B3">
        <w:t xml:space="preserve"> </w:t>
      </w:r>
      <w:r w:rsidR="00265E1B">
        <w:rPr>
          <w:lang/>
        </w:rPr>
        <w:t xml:space="preserve">Gallagher, C. ‘You’d pay a thousand a month for this in Dublin: Inside the new Limerick Prison designed for reeform not punishment’ </w:t>
      </w:r>
      <w:r w:rsidR="00265E1B">
        <w:rPr>
          <w:i/>
          <w:iCs/>
          <w:lang/>
        </w:rPr>
        <w:t xml:space="preserve">Irish Times </w:t>
      </w:r>
      <w:r w:rsidR="00265E1B">
        <w:rPr>
          <w:lang/>
        </w:rPr>
        <w:t xml:space="preserve">October 18 2023, available at: </w:t>
      </w:r>
      <w:r w:rsidR="00265E1B">
        <w:fldChar w:fldCharType="begin"/>
      </w:r>
      <w:r w:rsidR="00265E1B">
        <w:instrText>HYPERLINK "</w:instrText>
      </w:r>
      <w:r w:rsidR="00265E1B" w:rsidRPr="00265E1B">
        <w:instrText>https://www.irishtimes.com/crime-law/2023/10/18/youd-pay-a-thousand-a-month-for-this-in-dublin-inside-the-new-limerick-womens-prison-designed-for-reform-not-punishment/</w:instrText>
      </w:r>
      <w:r w:rsidR="00265E1B">
        <w:instrText>"</w:instrText>
      </w:r>
      <w:r w:rsidR="00265E1B">
        <w:fldChar w:fldCharType="separate"/>
      </w:r>
      <w:r w:rsidR="00265E1B" w:rsidRPr="002315F5">
        <w:rPr>
          <w:rStyle w:val="Hyperlink"/>
        </w:rPr>
        <w:t>https://</w:t>
      </w:r>
      <w:r w:rsidR="00265E1B" w:rsidRPr="002315F5">
        <w:rPr>
          <w:rStyle w:val="Hyperlink"/>
        </w:rPr>
        <w:t>w</w:t>
      </w:r>
      <w:r w:rsidR="00265E1B" w:rsidRPr="002315F5">
        <w:rPr>
          <w:rStyle w:val="Hyperlink"/>
        </w:rPr>
        <w:t>ww.irishtimes.com/crime-law/2023/10/18/youd-pay-a-thousand-a-month-for-this-in-dublin-inside-the-new-limerick-womens-prison-designed-for-reform-not-punishment/</w:t>
      </w:r>
      <w:r w:rsidR="00265E1B">
        <w:fldChar w:fldCharType="end"/>
      </w:r>
      <w:r w:rsidRPr="008158B3">
        <w:t xml:space="preserve"> </w:t>
      </w:r>
      <w:r w:rsidR="00265E1B">
        <w:rPr>
          <w:lang/>
        </w:rPr>
        <w:t xml:space="preserve">(last accessed January 24 2024). </w:t>
      </w:r>
    </w:p>
  </w:footnote>
  <w:footnote w:id="137">
    <w:p w14:paraId="5B8F6A79" w14:textId="2F59492E" w:rsidR="0061518B" w:rsidRPr="00265E1B" w:rsidRDefault="0061518B">
      <w:pPr>
        <w:pStyle w:val="FootnoteText"/>
        <w:rPr>
          <w:lang/>
        </w:rPr>
      </w:pPr>
      <w:r w:rsidRPr="008158B3">
        <w:rPr>
          <w:rStyle w:val="FootnoteReference"/>
        </w:rPr>
        <w:footnoteRef/>
      </w:r>
      <w:r w:rsidRPr="008158B3">
        <w:t xml:space="preserve"> </w:t>
      </w:r>
      <w:r w:rsidR="00265E1B">
        <w:rPr>
          <w:lang/>
        </w:rPr>
        <w:t xml:space="preserve">Source: World Prison Brief: </w:t>
      </w:r>
      <w:r w:rsidR="00265E1B">
        <w:fldChar w:fldCharType="begin"/>
      </w:r>
      <w:r w:rsidR="00265E1B">
        <w:instrText>HYPERLINK "</w:instrText>
      </w:r>
      <w:r w:rsidR="00265E1B" w:rsidRPr="00265E1B">
        <w:instrText>https://www.prisonstudies.org/country/ireland-republic</w:instrText>
      </w:r>
      <w:r w:rsidR="00265E1B">
        <w:instrText>"</w:instrText>
      </w:r>
      <w:r w:rsidR="00265E1B">
        <w:fldChar w:fldCharType="separate"/>
      </w:r>
      <w:r w:rsidR="00265E1B" w:rsidRPr="002315F5">
        <w:rPr>
          <w:rStyle w:val="Hyperlink"/>
        </w:rPr>
        <w:t>https://www.prisonstudies.org/country/ireland-republic</w:t>
      </w:r>
      <w:r w:rsidR="00265E1B">
        <w:fldChar w:fldCharType="end"/>
      </w:r>
      <w:r w:rsidRPr="008158B3">
        <w:t xml:space="preserve"> </w:t>
      </w:r>
      <w:r w:rsidR="00265E1B">
        <w:rPr>
          <w:lang/>
        </w:rPr>
        <w:t xml:space="preserve">(last accessed January 24 2024). </w:t>
      </w:r>
    </w:p>
  </w:footnote>
  <w:footnote w:id="138">
    <w:p w14:paraId="0ACF05D7" w14:textId="7E9B3683" w:rsidR="00692232" w:rsidRPr="00265E1B" w:rsidRDefault="00692232">
      <w:pPr>
        <w:pStyle w:val="FootnoteText"/>
        <w:rPr>
          <w:lang/>
        </w:rPr>
      </w:pPr>
      <w:r w:rsidRPr="008158B3">
        <w:rPr>
          <w:rStyle w:val="FootnoteReference"/>
        </w:rPr>
        <w:footnoteRef/>
      </w:r>
      <w:r w:rsidR="00265E1B">
        <w:rPr>
          <w:lang/>
        </w:rPr>
        <w:t xml:space="preserve"> </w:t>
      </w:r>
      <w:r w:rsidR="00265E1B">
        <w:rPr>
          <w:lang/>
        </w:rPr>
        <w:t xml:space="preserve">Department of Justice, </w:t>
      </w:r>
      <w:r w:rsidR="00265E1B">
        <w:rPr>
          <w:i/>
          <w:iCs/>
          <w:lang/>
        </w:rPr>
        <w:t>Criminal Justice Policy: Review of Policy Options for Penal Reform 2022 – 2024</w:t>
      </w:r>
      <w:r w:rsidR="00265E1B">
        <w:rPr>
          <w:lang/>
        </w:rPr>
        <w:t xml:space="preserve">, available at: </w:t>
      </w:r>
      <w:r w:rsidRPr="008158B3">
        <w:t xml:space="preserve"> </w:t>
      </w:r>
      <w:hyperlink r:id="rId14" w:anchor="page=null" w:history="1">
        <w:r w:rsidRPr="008158B3">
          <w:rPr>
            <w:rStyle w:val="Hyperlink"/>
          </w:rPr>
          <w:t>https://www.gov.ie/pdf/?file=https://assets.gov.ie/233015/1dd9e5a8-796e-4eda-a2d7-4a1b4c160cea.pdf#page</w:t>
        </w:r>
        <w:r w:rsidRPr="008158B3">
          <w:rPr>
            <w:rStyle w:val="Hyperlink"/>
          </w:rPr>
          <w:t>=</w:t>
        </w:r>
        <w:r w:rsidRPr="008158B3">
          <w:rPr>
            <w:rStyle w:val="Hyperlink"/>
          </w:rPr>
          <w:t>null</w:t>
        </w:r>
      </w:hyperlink>
      <w:r w:rsidRPr="008158B3">
        <w:t xml:space="preserve"> </w:t>
      </w:r>
      <w:r w:rsidR="00265E1B">
        <w:rPr>
          <w:lang/>
        </w:rPr>
        <w:t xml:space="preserve">(last accessed January 19 2024). </w:t>
      </w:r>
    </w:p>
  </w:footnote>
  <w:footnote w:id="139">
    <w:p w14:paraId="47C9B50D" w14:textId="05BDD4FE" w:rsidR="00692232" w:rsidRPr="00265E1B" w:rsidRDefault="00692232">
      <w:pPr>
        <w:pStyle w:val="FootnoteText"/>
        <w:rPr>
          <w:lang/>
        </w:rPr>
      </w:pPr>
      <w:r w:rsidRPr="008158B3">
        <w:rPr>
          <w:rStyle w:val="FootnoteReference"/>
        </w:rPr>
        <w:footnoteRef/>
      </w:r>
      <w:r w:rsidRPr="008158B3">
        <w:t xml:space="preserve"> </w:t>
      </w:r>
      <w:r w:rsidR="00265E1B">
        <w:rPr>
          <w:lang/>
        </w:rPr>
        <w:t xml:space="preserve">Source, Probation Service, available at: </w:t>
      </w:r>
      <w:r w:rsidR="00265E1B">
        <w:fldChar w:fldCharType="begin"/>
      </w:r>
      <w:r w:rsidR="00265E1B">
        <w:instrText>HYPERLINK "</w:instrText>
      </w:r>
      <w:r w:rsidR="00265E1B" w:rsidRPr="00265E1B">
        <w:instrText>https://www.probation.ie/EN/PB/0/0BB1ED1209B7167080258AA50045F150/$File/Web%20Report%20Caseload%20End%20November%202023%20Updated.pdf</w:instrText>
      </w:r>
      <w:r w:rsidR="00265E1B">
        <w:instrText>"</w:instrText>
      </w:r>
      <w:r w:rsidR="00265E1B">
        <w:fldChar w:fldCharType="separate"/>
      </w:r>
      <w:r w:rsidR="00265E1B" w:rsidRPr="002315F5">
        <w:rPr>
          <w:rStyle w:val="Hyperlink"/>
        </w:rPr>
        <w:t>https://www.probation.ie/EN/PB/0/0BB1ED1209B7167080258AA50045F150/$File/Web%20Report%20Caseload%20End%20N</w:t>
      </w:r>
      <w:r w:rsidR="00265E1B" w:rsidRPr="002315F5">
        <w:rPr>
          <w:rStyle w:val="Hyperlink"/>
        </w:rPr>
        <w:t>o</w:t>
      </w:r>
      <w:r w:rsidR="00265E1B" w:rsidRPr="002315F5">
        <w:rPr>
          <w:rStyle w:val="Hyperlink"/>
        </w:rPr>
        <w:t>vember%202023%20Updated.pdf</w:t>
      </w:r>
      <w:r w:rsidR="00265E1B">
        <w:fldChar w:fldCharType="end"/>
      </w:r>
      <w:r w:rsidRPr="008158B3">
        <w:t xml:space="preserve"> </w:t>
      </w:r>
      <w:r w:rsidR="00265E1B">
        <w:rPr>
          <w:lang/>
        </w:rPr>
        <w:t xml:space="preserve">(last accessed January 24 2024). </w:t>
      </w:r>
    </w:p>
  </w:footnote>
  <w:footnote w:id="140">
    <w:p w14:paraId="5FF2DB8E" w14:textId="33344FA3" w:rsidR="00692232" w:rsidRPr="008158B3" w:rsidRDefault="00692232">
      <w:pPr>
        <w:pStyle w:val="FootnoteText"/>
      </w:pPr>
      <w:r w:rsidRPr="008158B3">
        <w:rPr>
          <w:rStyle w:val="FootnoteReference"/>
        </w:rPr>
        <w:footnoteRef/>
      </w:r>
      <w:r w:rsidRPr="008158B3">
        <w:t xml:space="preserve"> Fines Act 2014. </w:t>
      </w:r>
    </w:p>
  </w:footnote>
  <w:footnote w:id="141">
    <w:p w14:paraId="093E8516" w14:textId="229FF994" w:rsidR="00265E1B" w:rsidRPr="00265E1B" w:rsidRDefault="00265E1B">
      <w:pPr>
        <w:pStyle w:val="FootnoteText"/>
        <w:rPr>
          <w:lang/>
        </w:rPr>
      </w:pPr>
      <w:r>
        <w:rPr>
          <w:rStyle w:val="FootnoteReference"/>
        </w:rPr>
        <w:footnoteRef/>
      </w:r>
      <w:r>
        <w:t xml:space="preserve"> </w:t>
      </w:r>
      <w:r>
        <w:rPr>
          <w:lang/>
        </w:rPr>
        <w:t xml:space="preserve">CPT, Report to the government of Ireland, CPT/Inf (2020) 37, avaialble at: </w:t>
      </w:r>
      <w:r>
        <w:rPr>
          <w:lang/>
        </w:rPr>
        <w:fldChar w:fldCharType="begin"/>
      </w:r>
      <w:r>
        <w:rPr>
          <w:lang/>
        </w:rPr>
        <w:instrText>HYPERLINK "</w:instrText>
      </w:r>
      <w:r w:rsidRPr="00265E1B">
        <w:rPr>
          <w:lang/>
        </w:rPr>
        <w:instrText>https://rm.coe.int/1680a078cf</w:instrText>
      </w:r>
      <w:r>
        <w:rPr>
          <w:lang/>
        </w:rPr>
        <w:instrText>"</w:instrText>
      </w:r>
      <w:r>
        <w:rPr>
          <w:lang/>
        </w:rPr>
        <w:fldChar w:fldCharType="separate"/>
      </w:r>
      <w:r w:rsidRPr="002315F5">
        <w:rPr>
          <w:rStyle w:val="Hyperlink"/>
          <w:lang/>
        </w:rPr>
        <w:t>https://rm.coe.int/1680a078cf</w:t>
      </w:r>
      <w:r>
        <w:rPr>
          <w:lang/>
        </w:rPr>
        <w:fldChar w:fldCharType="end"/>
      </w:r>
      <w:r>
        <w:rPr>
          <w:lang/>
        </w:rPr>
        <w:t xml:space="preserve">, last accessed January 2 2024. </w:t>
      </w:r>
    </w:p>
  </w:footnote>
  <w:footnote w:id="142">
    <w:p w14:paraId="27F2E3C3" w14:textId="6DCFA43C" w:rsidR="00E43A0A" w:rsidRPr="00265E1B" w:rsidRDefault="00E43A0A">
      <w:pPr>
        <w:pStyle w:val="FootnoteText"/>
        <w:rPr>
          <w:lang/>
        </w:rPr>
      </w:pPr>
      <w:r w:rsidRPr="008158B3">
        <w:rPr>
          <w:rStyle w:val="FootnoteReference"/>
        </w:rPr>
        <w:footnoteRef/>
      </w:r>
      <w:r w:rsidRPr="008158B3">
        <w:t xml:space="preserve"> </w:t>
      </w:r>
      <w:r w:rsidR="00265E1B">
        <w:rPr>
          <w:lang/>
        </w:rPr>
        <w:t xml:space="preserve"> </w:t>
      </w:r>
      <w:r w:rsidR="00265E1B">
        <w:rPr>
          <w:lang/>
        </w:rPr>
        <w:t xml:space="preserve">See, Minister for Justice: </w:t>
      </w:r>
      <w:r w:rsidR="00265E1B">
        <w:fldChar w:fldCharType="begin"/>
      </w:r>
      <w:r w:rsidR="00265E1B">
        <w:instrText>HYPERLINK "</w:instrText>
      </w:r>
      <w:r w:rsidR="00265E1B" w:rsidRPr="00265E1B">
        <w:instrText>https://www.gov.ie/en/press-release/470b9-minister-for-justice-publishes-general-scheme-of-the-inspection-of-places-of-detention-bill/</w:instrText>
      </w:r>
      <w:r w:rsidR="00265E1B">
        <w:instrText>"</w:instrText>
      </w:r>
      <w:r w:rsidR="00265E1B">
        <w:fldChar w:fldCharType="separate"/>
      </w:r>
      <w:r w:rsidR="00265E1B" w:rsidRPr="002315F5">
        <w:rPr>
          <w:rStyle w:val="Hyperlink"/>
        </w:rPr>
        <w:t>https://www.gov.ie/en/press-release/470b9-minister-for-justice-publishes-general-scheme-of-the-inspection-of-places-of-detention-bill/</w:t>
      </w:r>
      <w:r w:rsidR="00265E1B">
        <w:fldChar w:fldCharType="end"/>
      </w:r>
      <w:r w:rsidRPr="008158B3">
        <w:t xml:space="preserve"> </w:t>
      </w:r>
      <w:r w:rsidR="00265E1B">
        <w:rPr>
          <w:lang/>
        </w:rPr>
        <w:t xml:space="preserve">(last accessed January 24 2024). </w:t>
      </w:r>
    </w:p>
  </w:footnote>
  <w:footnote w:id="143">
    <w:p w14:paraId="3E995EB1" w14:textId="77777777" w:rsidR="00C20923" w:rsidRPr="008158B3" w:rsidRDefault="00C20923" w:rsidP="00C20923">
      <w:pPr>
        <w:pStyle w:val="FootnoteText"/>
      </w:pPr>
      <w:r w:rsidRPr="008158B3">
        <w:rPr>
          <w:rStyle w:val="FootnoteReference"/>
        </w:rPr>
        <w:footnoteRef/>
      </w:r>
      <w:r w:rsidRPr="008158B3">
        <w:t xml:space="preserve"> If the complaint is about the governor, then under s.57B(2)(d) </w:t>
      </w:r>
      <w:r w:rsidRPr="008158B3">
        <w:rPr>
          <w:rFonts w:eastAsia="Times New Roman"/>
        </w:rPr>
        <w:t>the Governor shall notify the Director General of the Irish Prison Service and the Inspector of Prisons of the complaint. The Director General is then responsible for the complaint from the outset.</w:t>
      </w:r>
    </w:p>
  </w:footnote>
  <w:footnote w:id="144">
    <w:p w14:paraId="1CD2738F" w14:textId="77777777" w:rsidR="00C20923" w:rsidRPr="008158B3" w:rsidRDefault="00C20923" w:rsidP="00C20923">
      <w:pPr>
        <w:jc w:val="both"/>
        <w:rPr>
          <w:rFonts w:eastAsia="Times New Roman"/>
          <w:sz w:val="20"/>
          <w:szCs w:val="20"/>
        </w:rPr>
      </w:pPr>
      <w:r w:rsidRPr="008158B3">
        <w:rPr>
          <w:rStyle w:val="FootnoteReference"/>
          <w:sz w:val="20"/>
          <w:szCs w:val="20"/>
        </w:rPr>
        <w:footnoteRef/>
      </w:r>
      <w:r w:rsidRPr="008158B3">
        <w:rPr>
          <w:sz w:val="20"/>
          <w:szCs w:val="20"/>
        </w:rPr>
        <w:t xml:space="preserve"> </w:t>
      </w:r>
      <w:r w:rsidRPr="008158B3">
        <w:rPr>
          <w:rFonts w:eastAsia="Times New Roman"/>
          <w:sz w:val="20"/>
          <w:szCs w:val="20"/>
        </w:rPr>
        <w:t>Following the 2013 amendment to the Prison Rules introducing the procedure for investigating Category A complaints, a panel of 22 independent investigators was established to be selected from in the event of receipt of such a complaint (</w:t>
      </w:r>
      <w:proofErr w:type="spellStart"/>
      <w:r w:rsidRPr="008158B3">
        <w:rPr>
          <w:rFonts w:eastAsia="Times New Roman"/>
          <w:color w:val="000000"/>
          <w:sz w:val="20"/>
          <w:szCs w:val="20"/>
        </w:rPr>
        <w:t>Dáil</w:t>
      </w:r>
      <w:proofErr w:type="spellEnd"/>
      <w:r w:rsidRPr="008158B3">
        <w:rPr>
          <w:rFonts w:eastAsia="Times New Roman"/>
          <w:color w:val="000000"/>
          <w:sz w:val="20"/>
          <w:szCs w:val="20"/>
        </w:rPr>
        <w:t xml:space="preserve"> Debates 4</w:t>
      </w:r>
      <w:r w:rsidRPr="008158B3">
        <w:rPr>
          <w:rFonts w:eastAsia="Times New Roman"/>
          <w:color w:val="000000"/>
          <w:sz w:val="20"/>
          <w:szCs w:val="20"/>
          <w:vertAlign w:val="superscript"/>
        </w:rPr>
        <w:t>th</w:t>
      </w:r>
      <w:r w:rsidRPr="008158B3">
        <w:rPr>
          <w:rFonts w:eastAsia="Times New Roman"/>
          <w:color w:val="000000"/>
          <w:sz w:val="20"/>
          <w:szCs w:val="20"/>
        </w:rPr>
        <w:t xml:space="preserve"> May 2016 Response to Question 113 by Minister of Justice Francis Fitzgerald).</w:t>
      </w:r>
    </w:p>
  </w:footnote>
  <w:footnote w:id="145">
    <w:p w14:paraId="6E54EEE4" w14:textId="6242DAE7" w:rsidR="00C20923" w:rsidRPr="008158B3" w:rsidRDefault="00C20923">
      <w:pPr>
        <w:pStyle w:val="FootnoteText"/>
      </w:pPr>
      <w:r w:rsidRPr="008158B3">
        <w:rPr>
          <w:rStyle w:val="FootnoteReference"/>
        </w:rPr>
        <w:footnoteRef/>
      </w:r>
      <w:r w:rsidRPr="008158B3">
        <w:t xml:space="preserve"> </w:t>
      </w:r>
      <w:r w:rsidRPr="008158B3">
        <w:rPr>
          <w:i/>
          <w:iCs/>
        </w:rPr>
        <w:t xml:space="preserve">McD v. Governor of X Prison </w:t>
      </w:r>
      <w:r w:rsidRPr="008158B3">
        <w:t xml:space="preserve">[2018] IEHC 668. </w:t>
      </w:r>
    </w:p>
  </w:footnote>
  <w:footnote w:id="146">
    <w:p w14:paraId="2737E84F" w14:textId="7C402E5F" w:rsidR="00C20923" w:rsidRPr="008158B3" w:rsidRDefault="00C20923">
      <w:pPr>
        <w:pStyle w:val="FootnoteText"/>
      </w:pPr>
      <w:r w:rsidRPr="008158B3">
        <w:rPr>
          <w:rStyle w:val="FootnoteReference"/>
        </w:rPr>
        <w:footnoteRef/>
      </w:r>
      <w:r w:rsidRPr="008158B3">
        <w:t xml:space="preserve"> [2021] IESC 65. </w:t>
      </w:r>
    </w:p>
  </w:footnote>
  <w:footnote w:id="147">
    <w:p w14:paraId="5B67E353" w14:textId="2366B764" w:rsidR="006010E1" w:rsidRPr="008158B3" w:rsidRDefault="006010E1">
      <w:pPr>
        <w:pStyle w:val="FootnoteText"/>
      </w:pPr>
      <w:r w:rsidRPr="008158B3">
        <w:rPr>
          <w:rStyle w:val="FootnoteReference"/>
        </w:rPr>
        <w:footnoteRef/>
      </w:r>
      <w:r w:rsidRPr="008158B3">
        <w:t xml:space="preserve"> </w:t>
      </w:r>
      <w:r w:rsidRPr="008158B3">
        <w:rPr>
          <w:i/>
          <w:iCs/>
        </w:rPr>
        <w:t>Ibid</w:t>
      </w:r>
      <w:r w:rsidRPr="008158B3">
        <w:t xml:space="preserve">., at para 18. </w:t>
      </w:r>
    </w:p>
  </w:footnote>
  <w:footnote w:id="148">
    <w:p w14:paraId="3626731D" w14:textId="046B6059" w:rsidR="001B26D4" w:rsidRPr="008158B3" w:rsidRDefault="001B26D4">
      <w:pPr>
        <w:pStyle w:val="FootnoteText"/>
      </w:pPr>
      <w:r w:rsidRPr="008158B3">
        <w:rPr>
          <w:rStyle w:val="FootnoteReference"/>
        </w:rPr>
        <w:footnoteRef/>
      </w:r>
      <w:r w:rsidRPr="008158B3">
        <w:t xml:space="preserve"> </w:t>
      </w:r>
      <w:r w:rsidRPr="008158B3">
        <w:rPr>
          <w:i/>
          <w:iCs/>
        </w:rPr>
        <w:t>Ibid</w:t>
      </w:r>
      <w:r w:rsidRPr="008158B3">
        <w:t xml:space="preserve">.m at para 84, </w:t>
      </w:r>
    </w:p>
  </w:footnote>
  <w:footnote w:id="149">
    <w:p w14:paraId="3357733D" w14:textId="76534A38" w:rsidR="00F90A29" w:rsidRPr="008158B3" w:rsidRDefault="00F90A29">
      <w:pPr>
        <w:pStyle w:val="FootnoteText"/>
      </w:pPr>
      <w:r w:rsidRPr="008158B3">
        <w:rPr>
          <w:rStyle w:val="FootnoteReference"/>
        </w:rPr>
        <w:footnoteRef/>
      </w:r>
      <w:r w:rsidRPr="008158B3">
        <w:t xml:space="preserve"> </w:t>
      </w:r>
      <w:r w:rsidRPr="008158B3">
        <w:rPr>
          <w:i/>
          <w:iCs/>
        </w:rPr>
        <w:t xml:space="preserve">Woods v. Attorney General, unreported </w:t>
      </w:r>
      <w:r w:rsidRPr="008158B3">
        <w:t>High court, December 20</w:t>
      </w:r>
      <w:proofErr w:type="gramStart"/>
      <w:r w:rsidRPr="008158B3">
        <w:t xml:space="preserve"> 1974</w:t>
      </w:r>
      <w:proofErr w:type="gramEnd"/>
      <w:r w:rsidRPr="008158B3">
        <w:t xml:space="preserve">. </w:t>
      </w:r>
    </w:p>
  </w:footnote>
  <w:footnote w:id="150">
    <w:p w14:paraId="3EDCC983" w14:textId="6B18BBB1" w:rsidR="00F90A29" w:rsidRPr="008158B3" w:rsidRDefault="00F90A29">
      <w:pPr>
        <w:pStyle w:val="FootnoteText"/>
      </w:pPr>
      <w:r w:rsidRPr="008158B3">
        <w:rPr>
          <w:rStyle w:val="FootnoteReference"/>
        </w:rPr>
        <w:footnoteRef/>
      </w:r>
      <w:r w:rsidRPr="008158B3">
        <w:t xml:space="preserve"> [2021] IESC 65.</w:t>
      </w:r>
    </w:p>
  </w:footnote>
  <w:footnote w:id="151">
    <w:p w14:paraId="52C1E4BA" w14:textId="22A133DA" w:rsidR="005230AF" w:rsidRPr="008158B3" w:rsidRDefault="005230AF">
      <w:pPr>
        <w:pStyle w:val="FootnoteText"/>
      </w:pPr>
      <w:r w:rsidRPr="008158B3">
        <w:rPr>
          <w:rStyle w:val="FootnoteReference"/>
        </w:rPr>
        <w:footnoteRef/>
      </w:r>
      <w:r w:rsidRPr="008158B3">
        <w:t xml:space="preserve"> Rule 59</w:t>
      </w:r>
      <w:r w:rsidR="00E012C9" w:rsidRPr="008158B3">
        <w:t xml:space="preserve">(1) Prison Rules 2007. </w:t>
      </w:r>
    </w:p>
  </w:footnote>
  <w:footnote w:id="152">
    <w:p w14:paraId="3CB09E73" w14:textId="0CAC65ED" w:rsidR="001014AE" w:rsidRPr="008158B3" w:rsidRDefault="001014AE">
      <w:pPr>
        <w:pStyle w:val="FootnoteText"/>
      </w:pPr>
      <w:r w:rsidRPr="008158B3">
        <w:rPr>
          <w:rStyle w:val="FootnoteReference"/>
        </w:rPr>
        <w:footnoteRef/>
      </w:r>
      <w:r w:rsidRPr="008158B3">
        <w:t xml:space="preserve"> </w:t>
      </w:r>
      <w:r w:rsidRPr="008158B3">
        <w:rPr>
          <w:i/>
          <w:iCs/>
        </w:rPr>
        <w:t xml:space="preserve">Price v. The Governor of Wheatfield Prison </w:t>
      </w:r>
      <w:r w:rsidRPr="008158B3">
        <w:t xml:space="preserve">[2020] IECA 345. </w:t>
      </w:r>
    </w:p>
  </w:footnote>
  <w:footnote w:id="153">
    <w:p w14:paraId="435EC608" w14:textId="7A93C5FF" w:rsidR="00E012C9" w:rsidRPr="008158B3" w:rsidRDefault="00E012C9">
      <w:pPr>
        <w:pStyle w:val="FootnoteText"/>
      </w:pPr>
      <w:r w:rsidRPr="008158B3">
        <w:rPr>
          <w:rStyle w:val="FootnoteReference"/>
        </w:rPr>
        <w:footnoteRef/>
      </w:r>
      <w:r w:rsidRPr="008158B3">
        <w:t xml:space="preserve"> Section 23 Criminal Justice Act 1951. </w:t>
      </w:r>
    </w:p>
  </w:footnote>
  <w:footnote w:id="154">
    <w:p w14:paraId="2B1A5857" w14:textId="3E2A3F96" w:rsidR="002A2573" w:rsidRPr="008158B3" w:rsidRDefault="002A2573">
      <w:pPr>
        <w:pStyle w:val="FootnoteText"/>
      </w:pPr>
      <w:r w:rsidRPr="008158B3">
        <w:rPr>
          <w:rStyle w:val="FootnoteReference"/>
        </w:rPr>
        <w:footnoteRef/>
      </w:r>
      <w:r w:rsidRPr="008158B3">
        <w:t xml:space="preserve"> Section 30 Parole Act 2019. </w:t>
      </w:r>
    </w:p>
  </w:footnote>
  <w:footnote w:id="155">
    <w:p w14:paraId="7D20064F" w14:textId="5BDF394B" w:rsidR="002A2573" w:rsidRPr="008158B3" w:rsidRDefault="002A2573">
      <w:pPr>
        <w:pStyle w:val="FootnoteText"/>
      </w:pPr>
      <w:r w:rsidRPr="008158B3">
        <w:rPr>
          <w:rStyle w:val="FootnoteReference"/>
        </w:rPr>
        <w:footnoteRef/>
      </w:r>
      <w:r w:rsidRPr="008158B3">
        <w:t xml:space="preserve"> Section 33 Parole Act 2019. </w:t>
      </w:r>
    </w:p>
  </w:footnote>
  <w:footnote w:id="156">
    <w:p w14:paraId="078F63FD" w14:textId="4DE3AEC0" w:rsidR="002F15CB" w:rsidRPr="008158B3" w:rsidRDefault="002F15CB">
      <w:pPr>
        <w:pStyle w:val="FootnoteText"/>
      </w:pPr>
      <w:r w:rsidRPr="008158B3">
        <w:rPr>
          <w:rStyle w:val="FootnoteReference"/>
        </w:rPr>
        <w:footnoteRef/>
      </w:r>
      <w:r w:rsidRPr="008158B3">
        <w:t xml:space="preserve"> Section 2 2003</w:t>
      </w:r>
    </w:p>
  </w:footnote>
  <w:footnote w:id="157">
    <w:p w14:paraId="2F83001F" w14:textId="6ABF8B6A" w:rsidR="002F15CB" w:rsidRPr="008158B3" w:rsidRDefault="002F15CB">
      <w:pPr>
        <w:pStyle w:val="FootnoteText"/>
      </w:pPr>
      <w:r w:rsidRPr="008158B3">
        <w:rPr>
          <w:rStyle w:val="FootnoteReference"/>
        </w:rPr>
        <w:footnoteRef/>
      </w:r>
      <w:r w:rsidRPr="008158B3">
        <w:t xml:space="preserve"> Prisoners (Temporary Release) Rules 2005, SI No. 680/2004/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D67ECD"/>
    <w:multiLevelType w:val="hybridMultilevel"/>
    <w:tmpl w:val="C7E8828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4DE446A"/>
    <w:multiLevelType w:val="hybridMultilevel"/>
    <w:tmpl w:val="D0D2C24E"/>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C5A55E6"/>
    <w:multiLevelType w:val="hybridMultilevel"/>
    <w:tmpl w:val="517A2066"/>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1252E63"/>
    <w:multiLevelType w:val="hybridMultilevel"/>
    <w:tmpl w:val="5124599E"/>
    <w:lvl w:ilvl="0" w:tplc="040C0015">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15:restartNumberingAfterBreak="0">
    <w:nsid w:val="29DC17FE"/>
    <w:multiLevelType w:val="hybridMultilevel"/>
    <w:tmpl w:val="64F479BA"/>
    <w:lvl w:ilvl="0" w:tplc="EDFED344">
      <w:start w:val="1"/>
      <w:numFmt w:val="upperLetter"/>
      <w:lvlText w:val="%1."/>
      <w:lvlJc w:val="left"/>
      <w:pPr>
        <w:ind w:left="1068" w:hanging="360"/>
      </w:pPr>
      <w:rPr>
        <w:rFonts w:hint="default"/>
      </w:rPr>
    </w:lvl>
    <w:lvl w:ilvl="1" w:tplc="040C0019" w:tentative="1">
      <w:start w:val="1"/>
      <w:numFmt w:val="lowerLetter"/>
      <w:lvlText w:val="%2."/>
      <w:lvlJc w:val="left"/>
      <w:pPr>
        <w:ind w:left="1788" w:hanging="360"/>
      </w:pPr>
    </w:lvl>
    <w:lvl w:ilvl="2" w:tplc="040C001B" w:tentative="1">
      <w:start w:val="1"/>
      <w:numFmt w:val="lowerRoman"/>
      <w:lvlText w:val="%3."/>
      <w:lvlJc w:val="right"/>
      <w:pPr>
        <w:ind w:left="2508" w:hanging="180"/>
      </w:pPr>
    </w:lvl>
    <w:lvl w:ilvl="3" w:tplc="040C000F" w:tentative="1">
      <w:start w:val="1"/>
      <w:numFmt w:val="decimal"/>
      <w:lvlText w:val="%4."/>
      <w:lvlJc w:val="left"/>
      <w:pPr>
        <w:ind w:left="3228" w:hanging="360"/>
      </w:pPr>
    </w:lvl>
    <w:lvl w:ilvl="4" w:tplc="040C0019" w:tentative="1">
      <w:start w:val="1"/>
      <w:numFmt w:val="lowerLetter"/>
      <w:lvlText w:val="%5."/>
      <w:lvlJc w:val="left"/>
      <w:pPr>
        <w:ind w:left="3948" w:hanging="360"/>
      </w:pPr>
    </w:lvl>
    <w:lvl w:ilvl="5" w:tplc="040C001B" w:tentative="1">
      <w:start w:val="1"/>
      <w:numFmt w:val="lowerRoman"/>
      <w:lvlText w:val="%6."/>
      <w:lvlJc w:val="right"/>
      <w:pPr>
        <w:ind w:left="4668" w:hanging="180"/>
      </w:pPr>
    </w:lvl>
    <w:lvl w:ilvl="6" w:tplc="040C000F" w:tentative="1">
      <w:start w:val="1"/>
      <w:numFmt w:val="decimal"/>
      <w:lvlText w:val="%7."/>
      <w:lvlJc w:val="left"/>
      <w:pPr>
        <w:ind w:left="5388" w:hanging="360"/>
      </w:pPr>
    </w:lvl>
    <w:lvl w:ilvl="7" w:tplc="040C0019" w:tentative="1">
      <w:start w:val="1"/>
      <w:numFmt w:val="lowerLetter"/>
      <w:lvlText w:val="%8."/>
      <w:lvlJc w:val="left"/>
      <w:pPr>
        <w:ind w:left="6108" w:hanging="360"/>
      </w:pPr>
    </w:lvl>
    <w:lvl w:ilvl="8" w:tplc="040C001B" w:tentative="1">
      <w:start w:val="1"/>
      <w:numFmt w:val="lowerRoman"/>
      <w:lvlText w:val="%9."/>
      <w:lvlJc w:val="right"/>
      <w:pPr>
        <w:ind w:left="6828" w:hanging="180"/>
      </w:pPr>
    </w:lvl>
  </w:abstractNum>
  <w:abstractNum w:abstractNumId="5" w15:restartNumberingAfterBreak="0">
    <w:nsid w:val="2B3C47AA"/>
    <w:multiLevelType w:val="hybridMultilevel"/>
    <w:tmpl w:val="02665FB0"/>
    <w:lvl w:ilvl="0" w:tplc="08090015">
      <w:start w:val="6"/>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03929F1"/>
    <w:multiLevelType w:val="hybridMultilevel"/>
    <w:tmpl w:val="22CAFFF8"/>
    <w:lvl w:ilvl="0" w:tplc="56E858FC">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E976F09"/>
    <w:multiLevelType w:val="hybridMultilevel"/>
    <w:tmpl w:val="18689AE8"/>
    <w:lvl w:ilvl="0" w:tplc="040C0015">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8" w15:restartNumberingAfterBreak="0">
    <w:nsid w:val="4D1200D5"/>
    <w:multiLevelType w:val="hybridMultilevel"/>
    <w:tmpl w:val="FACAA744"/>
    <w:lvl w:ilvl="0" w:tplc="4CE2DAF2">
      <w:start w:val="1"/>
      <w:numFmt w:val="decimal"/>
      <w:lvlText w:val="%1."/>
      <w:lvlJc w:val="left"/>
      <w:pPr>
        <w:ind w:left="1068" w:hanging="360"/>
      </w:pPr>
      <w:rPr>
        <w:rFonts w:hint="default"/>
      </w:rPr>
    </w:lvl>
    <w:lvl w:ilvl="1" w:tplc="040C0019" w:tentative="1">
      <w:start w:val="1"/>
      <w:numFmt w:val="lowerLetter"/>
      <w:lvlText w:val="%2."/>
      <w:lvlJc w:val="left"/>
      <w:pPr>
        <w:ind w:left="1788" w:hanging="360"/>
      </w:pPr>
    </w:lvl>
    <w:lvl w:ilvl="2" w:tplc="040C001B" w:tentative="1">
      <w:start w:val="1"/>
      <w:numFmt w:val="lowerRoman"/>
      <w:lvlText w:val="%3."/>
      <w:lvlJc w:val="right"/>
      <w:pPr>
        <w:ind w:left="2508" w:hanging="180"/>
      </w:pPr>
    </w:lvl>
    <w:lvl w:ilvl="3" w:tplc="040C000F" w:tentative="1">
      <w:start w:val="1"/>
      <w:numFmt w:val="decimal"/>
      <w:lvlText w:val="%4."/>
      <w:lvlJc w:val="left"/>
      <w:pPr>
        <w:ind w:left="3228" w:hanging="360"/>
      </w:pPr>
    </w:lvl>
    <w:lvl w:ilvl="4" w:tplc="040C0019" w:tentative="1">
      <w:start w:val="1"/>
      <w:numFmt w:val="lowerLetter"/>
      <w:lvlText w:val="%5."/>
      <w:lvlJc w:val="left"/>
      <w:pPr>
        <w:ind w:left="3948" w:hanging="360"/>
      </w:pPr>
    </w:lvl>
    <w:lvl w:ilvl="5" w:tplc="040C001B" w:tentative="1">
      <w:start w:val="1"/>
      <w:numFmt w:val="lowerRoman"/>
      <w:lvlText w:val="%6."/>
      <w:lvlJc w:val="right"/>
      <w:pPr>
        <w:ind w:left="4668" w:hanging="180"/>
      </w:pPr>
    </w:lvl>
    <w:lvl w:ilvl="6" w:tplc="040C000F" w:tentative="1">
      <w:start w:val="1"/>
      <w:numFmt w:val="decimal"/>
      <w:lvlText w:val="%7."/>
      <w:lvlJc w:val="left"/>
      <w:pPr>
        <w:ind w:left="5388" w:hanging="360"/>
      </w:pPr>
    </w:lvl>
    <w:lvl w:ilvl="7" w:tplc="040C0019" w:tentative="1">
      <w:start w:val="1"/>
      <w:numFmt w:val="lowerLetter"/>
      <w:lvlText w:val="%8."/>
      <w:lvlJc w:val="left"/>
      <w:pPr>
        <w:ind w:left="6108" w:hanging="360"/>
      </w:pPr>
    </w:lvl>
    <w:lvl w:ilvl="8" w:tplc="040C001B" w:tentative="1">
      <w:start w:val="1"/>
      <w:numFmt w:val="lowerRoman"/>
      <w:lvlText w:val="%9."/>
      <w:lvlJc w:val="right"/>
      <w:pPr>
        <w:ind w:left="6828" w:hanging="180"/>
      </w:pPr>
    </w:lvl>
  </w:abstractNum>
  <w:abstractNum w:abstractNumId="9" w15:restartNumberingAfterBreak="0">
    <w:nsid w:val="4D1974CA"/>
    <w:multiLevelType w:val="hybridMultilevel"/>
    <w:tmpl w:val="4D807D54"/>
    <w:lvl w:ilvl="0" w:tplc="040C0015">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0" w15:restartNumberingAfterBreak="0">
    <w:nsid w:val="717564F6"/>
    <w:multiLevelType w:val="hybridMultilevel"/>
    <w:tmpl w:val="B596E52E"/>
    <w:lvl w:ilvl="0" w:tplc="040C0015">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1" w15:restartNumberingAfterBreak="0">
    <w:nsid w:val="72AE44D6"/>
    <w:multiLevelType w:val="hybridMultilevel"/>
    <w:tmpl w:val="0A7A44F2"/>
    <w:lvl w:ilvl="0" w:tplc="040C0015">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2" w15:restartNumberingAfterBreak="0">
    <w:nsid w:val="743C03CA"/>
    <w:multiLevelType w:val="hybridMultilevel"/>
    <w:tmpl w:val="E60AAECA"/>
    <w:lvl w:ilvl="0" w:tplc="040C0015">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16cid:durableId="657537966">
    <w:abstractNumId w:val="4"/>
  </w:num>
  <w:num w:numId="2" w16cid:durableId="834997703">
    <w:abstractNumId w:val="8"/>
  </w:num>
  <w:num w:numId="3" w16cid:durableId="1999262419">
    <w:abstractNumId w:val="9"/>
  </w:num>
  <w:num w:numId="4" w16cid:durableId="1584292809">
    <w:abstractNumId w:val="7"/>
  </w:num>
  <w:num w:numId="5" w16cid:durableId="1267350955">
    <w:abstractNumId w:val="11"/>
  </w:num>
  <w:num w:numId="6" w16cid:durableId="1693650659">
    <w:abstractNumId w:val="12"/>
  </w:num>
  <w:num w:numId="7" w16cid:durableId="1928346943">
    <w:abstractNumId w:val="3"/>
  </w:num>
  <w:num w:numId="8" w16cid:durableId="1059090244">
    <w:abstractNumId w:val="10"/>
  </w:num>
  <w:num w:numId="9" w16cid:durableId="471019412">
    <w:abstractNumId w:val="0"/>
  </w:num>
  <w:num w:numId="10" w16cid:durableId="35854087">
    <w:abstractNumId w:val="2"/>
  </w:num>
  <w:num w:numId="11" w16cid:durableId="78644399">
    <w:abstractNumId w:val="1"/>
  </w:num>
  <w:num w:numId="12" w16cid:durableId="2101175138">
    <w:abstractNumId w:val="5"/>
  </w:num>
  <w:num w:numId="13" w16cid:durableId="43614273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7DDF"/>
    <w:rsid w:val="00037A9F"/>
    <w:rsid w:val="00056F12"/>
    <w:rsid w:val="000671D3"/>
    <w:rsid w:val="00090940"/>
    <w:rsid w:val="00093054"/>
    <w:rsid w:val="001014AE"/>
    <w:rsid w:val="00126457"/>
    <w:rsid w:val="00126637"/>
    <w:rsid w:val="001274A1"/>
    <w:rsid w:val="00133305"/>
    <w:rsid w:val="00141A3E"/>
    <w:rsid w:val="0018304E"/>
    <w:rsid w:val="001B0DA7"/>
    <w:rsid w:val="001B26D4"/>
    <w:rsid w:val="001B389B"/>
    <w:rsid w:val="001D4D6A"/>
    <w:rsid w:val="0020346C"/>
    <w:rsid w:val="00235E8F"/>
    <w:rsid w:val="00255ABB"/>
    <w:rsid w:val="00265E1B"/>
    <w:rsid w:val="00271666"/>
    <w:rsid w:val="0027616C"/>
    <w:rsid w:val="0029466C"/>
    <w:rsid w:val="002A2573"/>
    <w:rsid w:val="002A683C"/>
    <w:rsid w:val="002C216A"/>
    <w:rsid w:val="002D7491"/>
    <w:rsid w:val="002F15CB"/>
    <w:rsid w:val="003D1B32"/>
    <w:rsid w:val="004336A8"/>
    <w:rsid w:val="004363F3"/>
    <w:rsid w:val="00436575"/>
    <w:rsid w:val="004727FE"/>
    <w:rsid w:val="00486E41"/>
    <w:rsid w:val="004A4833"/>
    <w:rsid w:val="004A63FF"/>
    <w:rsid w:val="004B49A0"/>
    <w:rsid w:val="004D1696"/>
    <w:rsid w:val="004D7A0A"/>
    <w:rsid w:val="00506B67"/>
    <w:rsid w:val="0050762A"/>
    <w:rsid w:val="005230AF"/>
    <w:rsid w:val="00540BBC"/>
    <w:rsid w:val="00543FB0"/>
    <w:rsid w:val="005567A1"/>
    <w:rsid w:val="00567C8A"/>
    <w:rsid w:val="005C206D"/>
    <w:rsid w:val="006010E1"/>
    <w:rsid w:val="0060346F"/>
    <w:rsid w:val="00606B46"/>
    <w:rsid w:val="00607170"/>
    <w:rsid w:val="0061518B"/>
    <w:rsid w:val="00640DBE"/>
    <w:rsid w:val="006451F5"/>
    <w:rsid w:val="006752B0"/>
    <w:rsid w:val="00683FAC"/>
    <w:rsid w:val="00692232"/>
    <w:rsid w:val="0069279F"/>
    <w:rsid w:val="006D2FB5"/>
    <w:rsid w:val="00702F98"/>
    <w:rsid w:val="00723358"/>
    <w:rsid w:val="00733F9D"/>
    <w:rsid w:val="00743E1F"/>
    <w:rsid w:val="00752766"/>
    <w:rsid w:val="007970AA"/>
    <w:rsid w:val="007C0644"/>
    <w:rsid w:val="007D4E4E"/>
    <w:rsid w:val="007F0BAA"/>
    <w:rsid w:val="008054C5"/>
    <w:rsid w:val="008158B3"/>
    <w:rsid w:val="00841320"/>
    <w:rsid w:val="008663BD"/>
    <w:rsid w:val="008879C7"/>
    <w:rsid w:val="00891297"/>
    <w:rsid w:val="00895DBF"/>
    <w:rsid w:val="00897909"/>
    <w:rsid w:val="008C11DE"/>
    <w:rsid w:val="008C4D48"/>
    <w:rsid w:val="008E76F1"/>
    <w:rsid w:val="008F0AA2"/>
    <w:rsid w:val="008F199E"/>
    <w:rsid w:val="00901FD4"/>
    <w:rsid w:val="00915264"/>
    <w:rsid w:val="00923882"/>
    <w:rsid w:val="009647E4"/>
    <w:rsid w:val="009C31BD"/>
    <w:rsid w:val="009D264C"/>
    <w:rsid w:val="009D67C5"/>
    <w:rsid w:val="009F5AA7"/>
    <w:rsid w:val="00A02711"/>
    <w:rsid w:val="00A034B4"/>
    <w:rsid w:val="00A42809"/>
    <w:rsid w:val="00A774AF"/>
    <w:rsid w:val="00A8048F"/>
    <w:rsid w:val="00A87146"/>
    <w:rsid w:val="00AA3E2D"/>
    <w:rsid w:val="00AB5B60"/>
    <w:rsid w:val="00AF1069"/>
    <w:rsid w:val="00B40250"/>
    <w:rsid w:val="00B52462"/>
    <w:rsid w:val="00B536C9"/>
    <w:rsid w:val="00B57DDF"/>
    <w:rsid w:val="00B651F4"/>
    <w:rsid w:val="00BA4E27"/>
    <w:rsid w:val="00C133D8"/>
    <w:rsid w:val="00C20923"/>
    <w:rsid w:val="00C21B0E"/>
    <w:rsid w:val="00C23928"/>
    <w:rsid w:val="00C34D05"/>
    <w:rsid w:val="00C406C9"/>
    <w:rsid w:val="00CA5977"/>
    <w:rsid w:val="00CE05E5"/>
    <w:rsid w:val="00CF7C9C"/>
    <w:rsid w:val="00D0179A"/>
    <w:rsid w:val="00D01A7A"/>
    <w:rsid w:val="00D11C8C"/>
    <w:rsid w:val="00D26DD0"/>
    <w:rsid w:val="00D502E4"/>
    <w:rsid w:val="00D9156E"/>
    <w:rsid w:val="00DA0CD6"/>
    <w:rsid w:val="00DA652C"/>
    <w:rsid w:val="00DC6CD0"/>
    <w:rsid w:val="00E012C9"/>
    <w:rsid w:val="00E31D30"/>
    <w:rsid w:val="00E351CE"/>
    <w:rsid w:val="00E43A0A"/>
    <w:rsid w:val="00ED2D90"/>
    <w:rsid w:val="00EF09B0"/>
    <w:rsid w:val="00F1517E"/>
    <w:rsid w:val="00F55527"/>
    <w:rsid w:val="00F75B27"/>
    <w:rsid w:val="00F84D49"/>
    <w:rsid w:val="00F90A29"/>
    <w:rsid w:val="00FA05A0"/>
    <w:rsid w:val="00FA451C"/>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decimalSymbol w:val="."/>
  <w:listSeparator w:val=","/>
  <w14:docId w14:val="504EBA86"/>
  <w15:chartTrackingRefBased/>
  <w15:docId w15:val="{BE7259AC-6394-1B4A-8F52-4F7910F7C9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IE"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57DDF"/>
    <w:rPr>
      <w:rFonts w:ascii="Times New Roman" w:eastAsia="SimSun" w:hAnsi="Times New Roman" w:cs="Times New Roman"/>
      <w:kern w:val="0"/>
      <w:lang w:val="en-GB" w:eastAsia="zh-CN"/>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57DDF"/>
    <w:pPr>
      <w:ind w:left="720"/>
      <w:contextualSpacing/>
    </w:pPr>
  </w:style>
  <w:style w:type="paragraph" w:styleId="FootnoteText">
    <w:name w:val="footnote text"/>
    <w:basedOn w:val="Normal"/>
    <w:link w:val="FootnoteTextChar"/>
    <w:uiPriority w:val="99"/>
    <w:unhideWhenUsed/>
    <w:rsid w:val="006451F5"/>
    <w:rPr>
      <w:sz w:val="20"/>
      <w:szCs w:val="20"/>
    </w:rPr>
  </w:style>
  <w:style w:type="character" w:customStyle="1" w:styleId="FootnoteTextChar">
    <w:name w:val="Footnote Text Char"/>
    <w:basedOn w:val="DefaultParagraphFont"/>
    <w:link w:val="FootnoteText"/>
    <w:uiPriority w:val="99"/>
    <w:rsid w:val="006451F5"/>
    <w:rPr>
      <w:rFonts w:ascii="Times New Roman" w:eastAsia="SimSun" w:hAnsi="Times New Roman" w:cs="Times New Roman"/>
      <w:kern w:val="0"/>
      <w:sz w:val="20"/>
      <w:szCs w:val="20"/>
      <w:lang w:val="fr-FR" w:eastAsia="zh-CN"/>
      <w14:ligatures w14:val="none"/>
    </w:rPr>
  </w:style>
  <w:style w:type="character" w:styleId="FootnoteReference">
    <w:name w:val="footnote reference"/>
    <w:basedOn w:val="DefaultParagraphFont"/>
    <w:uiPriority w:val="99"/>
    <w:unhideWhenUsed/>
    <w:rsid w:val="006451F5"/>
    <w:rPr>
      <w:vertAlign w:val="superscript"/>
    </w:rPr>
  </w:style>
  <w:style w:type="character" w:styleId="Hyperlink">
    <w:name w:val="Hyperlink"/>
    <w:basedOn w:val="DefaultParagraphFont"/>
    <w:uiPriority w:val="99"/>
    <w:unhideWhenUsed/>
    <w:rsid w:val="00C23928"/>
    <w:rPr>
      <w:color w:val="0563C1" w:themeColor="hyperlink"/>
      <w:u w:val="single"/>
    </w:rPr>
  </w:style>
  <w:style w:type="character" w:styleId="UnresolvedMention">
    <w:name w:val="Unresolved Mention"/>
    <w:basedOn w:val="DefaultParagraphFont"/>
    <w:uiPriority w:val="99"/>
    <w:semiHidden/>
    <w:unhideWhenUsed/>
    <w:rsid w:val="00C23928"/>
    <w:rPr>
      <w:color w:val="605E5C"/>
      <w:shd w:val="clear" w:color="auto" w:fill="E1DFDD"/>
    </w:rPr>
  </w:style>
  <w:style w:type="character" w:customStyle="1" w:styleId="apple-converted-space">
    <w:name w:val="apple-converted-space"/>
    <w:basedOn w:val="DefaultParagraphFont"/>
    <w:rsid w:val="001B389B"/>
  </w:style>
  <w:style w:type="character" w:styleId="Emphasis">
    <w:name w:val="Emphasis"/>
    <w:basedOn w:val="DefaultParagraphFont"/>
    <w:uiPriority w:val="20"/>
    <w:qFormat/>
    <w:rsid w:val="001B389B"/>
    <w:rPr>
      <w:i/>
      <w:iCs/>
    </w:rPr>
  </w:style>
  <w:style w:type="paragraph" w:styleId="Header">
    <w:name w:val="header"/>
    <w:basedOn w:val="Normal"/>
    <w:link w:val="HeaderChar"/>
    <w:uiPriority w:val="99"/>
    <w:unhideWhenUsed/>
    <w:rsid w:val="00A8048F"/>
    <w:pPr>
      <w:tabs>
        <w:tab w:val="center" w:pos="4513"/>
        <w:tab w:val="right" w:pos="9026"/>
      </w:tabs>
    </w:pPr>
  </w:style>
  <w:style w:type="character" w:customStyle="1" w:styleId="HeaderChar">
    <w:name w:val="Header Char"/>
    <w:basedOn w:val="DefaultParagraphFont"/>
    <w:link w:val="Header"/>
    <w:uiPriority w:val="99"/>
    <w:rsid w:val="00A8048F"/>
    <w:rPr>
      <w:rFonts w:ascii="Times New Roman" w:eastAsia="SimSun" w:hAnsi="Times New Roman" w:cs="Times New Roman"/>
      <w:kern w:val="0"/>
      <w:lang w:val="en-GB" w:eastAsia="zh-CN"/>
      <w14:ligatures w14:val="none"/>
    </w:rPr>
  </w:style>
  <w:style w:type="paragraph" w:styleId="Footer">
    <w:name w:val="footer"/>
    <w:basedOn w:val="Normal"/>
    <w:link w:val="FooterChar"/>
    <w:uiPriority w:val="99"/>
    <w:unhideWhenUsed/>
    <w:rsid w:val="00A8048F"/>
    <w:pPr>
      <w:tabs>
        <w:tab w:val="center" w:pos="4513"/>
        <w:tab w:val="right" w:pos="9026"/>
      </w:tabs>
    </w:pPr>
  </w:style>
  <w:style w:type="character" w:customStyle="1" w:styleId="FooterChar">
    <w:name w:val="Footer Char"/>
    <w:basedOn w:val="DefaultParagraphFont"/>
    <w:link w:val="Footer"/>
    <w:uiPriority w:val="99"/>
    <w:rsid w:val="00A8048F"/>
    <w:rPr>
      <w:rFonts w:ascii="Times New Roman" w:eastAsia="SimSun" w:hAnsi="Times New Roman" w:cs="Times New Roman"/>
      <w:kern w:val="0"/>
      <w:lang w:val="en-GB" w:eastAsia="zh-CN"/>
      <w14:ligatures w14:val="none"/>
    </w:rPr>
  </w:style>
  <w:style w:type="paragraph" w:customStyle="1" w:styleId="c-bibliographic-informationcitation">
    <w:name w:val="c-bibliographic-information__citation"/>
    <w:basedOn w:val="Normal"/>
    <w:rsid w:val="008158B3"/>
    <w:pPr>
      <w:spacing w:before="100" w:beforeAutospacing="1" w:after="100" w:afterAutospacing="1"/>
    </w:pPr>
    <w:rPr>
      <w:rFonts w:eastAsia="Times New Roman"/>
      <w:lang w:val="en-IE" w:eastAsia="en-GB"/>
    </w:rPr>
  </w:style>
  <w:style w:type="character" w:styleId="FollowedHyperlink">
    <w:name w:val="FollowedHyperlink"/>
    <w:basedOn w:val="DefaultParagraphFont"/>
    <w:uiPriority w:val="99"/>
    <w:semiHidden/>
    <w:unhideWhenUsed/>
    <w:rsid w:val="007F0BA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995900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chart" Target="charts/chart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www.iprt.ie/site/assets/files/6369/iprt_out_on_the_inside_2016_embargo_to_1030_feb_02_2016.pdf" TargetMode="External"/><Relationship Id="rId13" Type="http://schemas.openxmlformats.org/officeDocument/2006/relationships/hyperlink" Target="https://www.irishprisons.ie/wp-content/uploads/documents_pdf/IPS_Service_Strategy-2023-2027-final.pdf" TargetMode="External"/><Relationship Id="rId3" Type="http://schemas.openxmlformats.org/officeDocument/2006/relationships/hyperlink" Target="https://ep2022-dev.tunaweb.com/wp-content/uploads/2020/10/NEW-IPS-PRISONER-INFORMATION-BOOK-Ireland-26-October-2020.pdf" TargetMode="External"/><Relationship Id="rId7" Type="http://schemas.openxmlformats.org/officeDocument/2006/relationships/hyperlink" Target="https://www.iprt.ie/latest-news/iprt-appears-before-joint-committee-on-key-issues-affecting-the-traveller-community/" TargetMode="External"/><Relationship Id="rId12" Type="http://schemas.openxmlformats.org/officeDocument/2006/relationships/hyperlink" Target="https://www.iprt.ie/site/assets/files/6388/iprt-older_people_in_prison_report_web.pdf" TargetMode="External"/><Relationship Id="rId2" Type="http://schemas.openxmlformats.org/officeDocument/2006/relationships/hyperlink" Target="http://www.irishprisons.ie" TargetMode="External"/><Relationship Id="rId1" Type="http://schemas.openxmlformats.org/officeDocument/2006/relationships/hyperlink" Target="https://doi.org/10.1177/14624745231218470" TargetMode="External"/><Relationship Id="rId6" Type="http://schemas.openxmlformats.org/officeDocument/2006/relationships/hyperlink" Target="https://www.oireachtas.ie/en/debates/question/2023-07-11/481/" TargetMode="External"/><Relationship Id="rId11" Type="http://schemas.openxmlformats.org/officeDocument/2006/relationships/hyperlink" Target="https://www.irishprisons.ie/wp-content/uploads/documents_pdf/SNAPSHOT-Age-Profile-Year-2007-to-2022.pdf" TargetMode="External"/><Relationship Id="rId5" Type="http://schemas.openxmlformats.org/officeDocument/2006/relationships/hyperlink" Target="https://psycnet.apa.org/doi/10.1093/bjc/azx080" TargetMode="External"/><Relationship Id="rId10" Type="http://schemas.openxmlformats.org/officeDocument/2006/relationships/hyperlink" Target="https://www.oip.ie/recommendation-and-status-update/" TargetMode="External"/><Relationship Id="rId4" Type="http://schemas.openxmlformats.org/officeDocument/2006/relationships/hyperlink" Target="https://www.irishprisons.ie/wp-content/uploads/documents_pdf/Family-Information-Booklet-September-2020.pdf" TargetMode="External"/><Relationship Id="rId9" Type="http://schemas.openxmlformats.org/officeDocument/2006/relationships/hyperlink" Target="https://www.gov.ie/pdf/?file=https://assets.gov.ie/260826/14f0b383-0713-4b86-8baa-15fc48fa7770.pdf#page=null" TargetMode="External"/><Relationship Id="rId14" Type="http://schemas.openxmlformats.org/officeDocument/2006/relationships/hyperlink" Target="https://www.gov.ie/pdf/?file=https://assets.gov.ie/233015/1dd9e5a8-796e-4eda-a2d7-4a1b4c160cea.pdf"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Average Daily Prison Population</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Sheet1!$B$1</c:f>
              <c:strCache>
                <c:ptCount val="1"/>
                <c:pt idx="0">
                  <c:v>ADP</c:v>
                </c:pt>
              </c:strCache>
            </c:strRef>
          </c:tx>
          <c:spPr>
            <a:ln w="28575" cap="rnd">
              <a:solidFill>
                <a:schemeClr val="accent1"/>
              </a:solidFill>
              <a:round/>
            </a:ln>
            <a:effectLst/>
          </c:spPr>
          <c:marker>
            <c:symbol val="none"/>
          </c:marker>
          <c:cat>
            <c:numRef>
              <c:f>Sheet1!$A$2:$A$102</c:f>
              <c:numCache>
                <c:formatCode>General</c:formatCode>
                <c:ptCount val="101"/>
                <c:pt idx="0">
                  <c:v>1922</c:v>
                </c:pt>
                <c:pt idx="1">
                  <c:v>1923</c:v>
                </c:pt>
                <c:pt idx="2">
                  <c:v>1924</c:v>
                </c:pt>
                <c:pt idx="3">
                  <c:v>1925</c:v>
                </c:pt>
                <c:pt idx="4">
                  <c:v>1926</c:v>
                </c:pt>
                <c:pt idx="5">
                  <c:v>1927</c:v>
                </c:pt>
                <c:pt idx="6">
                  <c:v>1928</c:v>
                </c:pt>
                <c:pt idx="7">
                  <c:v>1929</c:v>
                </c:pt>
                <c:pt idx="8">
                  <c:v>1930</c:v>
                </c:pt>
                <c:pt idx="9">
                  <c:v>1931</c:v>
                </c:pt>
                <c:pt idx="10">
                  <c:v>1932</c:v>
                </c:pt>
                <c:pt idx="11">
                  <c:v>1933</c:v>
                </c:pt>
                <c:pt idx="12">
                  <c:v>1934</c:v>
                </c:pt>
                <c:pt idx="13">
                  <c:v>1935</c:v>
                </c:pt>
                <c:pt idx="14">
                  <c:v>1936</c:v>
                </c:pt>
                <c:pt idx="15">
                  <c:v>1937</c:v>
                </c:pt>
                <c:pt idx="16">
                  <c:v>1938</c:v>
                </c:pt>
                <c:pt idx="17">
                  <c:v>1939</c:v>
                </c:pt>
                <c:pt idx="18">
                  <c:v>1940</c:v>
                </c:pt>
                <c:pt idx="19">
                  <c:v>1941</c:v>
                </c:pt>
                <c:pt idx="20">
                  <c:v>1942</c:v>
                </c:pt>
                <c:pt idx="21">
                  <c:v>1943</c:v>
                </c:pt>
                <c:pt idx="22">
                  <c:v>1944</c:v>
                </c:pt>
                <c:pt idx="23">
                  <c:v>1945</c:v>
                </c:pt>
                <c:pt idx="24">
                  <c:v>1946</c:v>
                </c:pt>
                <c:pt idx="25">
                  <c:v>1947</c:v>
                </c:pt>
                <c:pt idx="26">
                  <c:v>1948</c:v>
                </c:pt>
                <c:pt idx="27">
                  <c:v>1949</c:v>
                </c:pt>
                <c:pt idx="28">
                  <c:v>1950</c:v>
                </c:pt>
                <c:pt idx="29">
                  <c:v>1951</c:v>
                </c:pt>
                <c:pt idx="30">
                  <c:v>1952</c:v>
                </c:pt>
                <c:pt idx="31">
                  <c:v>1953</c:v>
                </c:pt>
                <c:pt idx="32">
                  <c:v>1954</c:v>
                </c:pt>
                <c:pt idx="33">
                  <c:v>1955</c:v>
                </c:pt>
                <c:pt idx="34">
                  <c:v>1956</c:v>
                </c:pt>
                <c:pt idx="35">
                  <c:v>1957</c:v>
                </c:pt>
                <c:pt idx="36">
                  <c:v>1958</c:v>
                </c:pt>
                <c:pt idx="37">
                  <c:v>1959</c:v>
                </c:pt>
                <c:pt idx="38">
                  <c:v>1960</c:v>
                </c:pt>
                <c:pt idx="39">
                  <c:v>1961</c:v>
                </c:pt>
                <c:pt idx="40">
                  <c:v>1962</c:v>
                </c:pt>
                <c:pt idx="41">
                  <c:v>1963</c:v>
                </c:pt>
                <c:pt idx="42">
                  <c:v>1964</c:v>
                </c:pt>
                <c:pt idx="43">
                  <c:v>1965</c:v>
                </c:pt>
                <c:pt idx="44">
                  <c:v>1966</c:v>
                </c:pt>
                <c:pt idx="45">
                  <c:v>1967</c:v>
                </c:pt>
                <c:pt idx="46">
                  <c:v>1968</c:v>
                </c:pt>
                <c:pt idx="47">
                  <c:v>1969</c:v>
                </c:pt>
                <c:pt idx="48">
                  <c:v>1970</c:v>
                </c:pt>
                <c:pt idx="49">
                  <c:v>1971</c:v>
                </c:pt>
                <c:pt idx="50">
                  <c:v>1972</c:v>
                </c:pt>
                <c:pt idx="51">
                  <c:v>1973</c:v>
                </c:pt>
                <c:pt idx="52">
                  <c:v>1974</c:v>
                </c:pt>
                <c:pt idx="53">
                  <c:v>1975</c:v>
                </c:pt>
                <c:pt idx="54">
                  <c:v>1976</c:v>
                </c:pt>
                <c:pt idx="55">
                  <c:v>1977</c:v>
                </c:pt>
                <c:pt idx="56">
                  <c:v>1978</c:v>
                </c:pt>
                <c:pt idx="57">
                  <c:v>1979</c:v>
                </c:pt>
                <c:pt idx="58">
                  <c:v>1980</c:v>
                </c:pt>
                <c:pt idx="59">
                  <c:v>1981</c:v>
                </c:pt>
                <c:pt idx="60">
                  <c:v>1982</c:v>
                </c:pt>
                <c:pt idx="61">
                  <c:v>1983</c:v>
                </c:pt>
                <c:pt idx="62">
                  <c:v>1984</c:v>
                </c:pt>
                <c:pt idx="63">
                  <c:v>1985</c:v>
                </c:pt>
                <c:pt idx="64">
                  <c:v>1986</c:v>
                </c:pt>
                <c:pt idx="65">
                  <c:v>1987</c:v>
                </c:pt>
                <c:pt idx="66">
                  <c:v>1988</c:v>
                </c:pt>
                <c:pt idx="67">
                  <c:v>1989</c:v>
                </c:pt>
                <c:pt idx="68">
                  <c:v>1990</c:v>
                </c:pt>
                <c:pt idx="69">
                  <c:v>1991</c:v>
                </c:pt>
                <c:pt idx="70">
                  <c:v>1992</c:v>
                </c:pt>
                <c:pt idx="71">
                  <c:v>1993</c:v>
                </c:pt>
                <c:pt idx="72">
                  <c:v>1994</c:v>
                </c:pt>
                <c:pt idx="73">
                  <c:v>1995</c:v>
                </c:pt>
                <c:pt idx="74">
                  <c:v>1996</c:v>
                </c:pt>
                <c:pt idx="75">
                  <c:v>1997</c:v>
                </c:pt>
                <c:pt idx="76">
                  <c:v>1998</c:v>
                </c:pt>
                <c:pt idx="77">
                  <c:v>1999</c:v>
                </c:pt>
                <c:pt idx="78">
                  <c:v>2000</c:v>
                </c:pt>
                <c:pt idx="79">
                  <c:v>2001</c:v>
                </c:pt>
                <c:pt idx="80">
                  <c:v>2002</c:v>
                </c:pt>
                <c:pt idx="81">
                  <c:v>2003</c:v>
                </c:pt>
                <c:pt idx="82">
                  <c:v>2004</c:v>
                </c:pt>
                <c:pt idx="83">
                  <c:v>2005</c:v>
                </c:pt>
                <c:pt idx="84">
                  <c:v>2006</c:v>
                </c:pt>
                <c:pt idx="85">
                  <c:v>2007</c:v>
                </c:pt>
                <c:pt idx="86">
                  <c:v>2008</c:v>
                </c:pt>
                <c:pt idx="87">
                  <c:v>2009</c:v>
                </c:pt>
                <c:pt idx="88">
                  <c:v>2010</c:v>
                </c:pt>
                <c:pt idx="89">
                  <c:v>2011</c:v>
                </c:pt>
                <c:pt idx="90">
                  <c:v>2012</c:v>
                </c:pt>
                <c:pt idx="91">
                  <c:v>2013</c:v>
                </c:pt>
                <c:pt idx="92">
                  <c:v>2014</c:v>
                </c:pt>
                <c:pt idx="93">
                  <c:v>2015</c:v>
                </c:pt>
                <c:pt idx="94">
                  <c:v>2016</c:v>
                </c:pt>
                <c:pt idx="95">
                  <c:v>2017</c:v>
                </c:pt>
                <c:pt idx="96">
                  <c:v>2018</c:v>
                </c:pt>
                <c:pt idx="97">
                  <c:v>2019</c:v>
                </c:pt>
                <c:pt idx="98">
                  <c:v>2020</c:v>
                </c:pt>
                <c:pt idx="99">
                  <c:v>2021</c:v>
                </c:pt>
                <c:pt idx="100">
                  <c:v>2022</c:v>
                </c:pt>
              </c:numCache>
            </c:numRef>
          </c:cat>
          <c:val>
            <c:numRef>
              <c:f>Sheet1!$B$2:$B$102</c:f>
              <c:numCache>
                <c:formatCode>General</c:formatCode>
                <c:ptCount val="101"/>
                <c:pt idx="0">
                  <c:v>673.93</c:v>
                </c:pt>
                <c:pt idx="1">
                  <c:v>766.63</c:v>
                </c:pt>
                <c:pt idx="2">
                  <c:v>1029.75</c:v>
                </c:pt>
                <c:pt idx="3">
                  <c:v>922.29</c:v>
                </c:pt>
                <c:pt idx="4">
                  <c:v>861.71</c:v>
                </c:pt>
                <c:pt idx="5">
                  <c:v>800.73</c:v>
                </c:pt>
                <c:pt idx="6">
                  <c:v>729.28</c:v>
                </c:pt>
                <c:pt idx="7">
                  <c:v>695.27</c:v>
                </c:pt>
                <c:pt idx="8">
                  <c:v>642.95000000000005</c:v>
                </c:pt>
                <c:pt idx="9">
                  <c:v>657.41</c:v>
                </c:pt>
                <c:pt idx="10">
                  <c:v>626.82000000000005</c:v>
                </c:pt>
                <c:pt idx="11">
                  <c:v>575.19000000000005</c:v>
                </c:pt>
                <c:pt idx="12">
                  <c:v>631.41</c:v>
                </c:pt>
                <c:pt idx="13">
                  <c:v>616.54</c:v>
                </c:pt>
                <c:pt idx="14">
                  <c:v>592.14</c:v>
                </c:pt>
                <c:pt idx="15">
                  <c:v>590.85</c:v>
                </c:pt>
                <c:pt idx="16">
                  <c:v>517.41</c:v>
                </c:pt>
                <c:pt idx="17">
                  <c:v>500.11</c:v>
                </c:pt>
                <c:pt idx="18">
                  <c:v>493.21</c:v>
                </c:pt>
                <c:pt idx="19">
                  <c:v>578.54999999999995</c:v>
                </c:pt>
                <c:pt idx="20">
                  <c:v>771.67</c:v>
                </c:pt>
                <c:pt idx="21">
                  <c:v>766.46</c:v>
                </c:pt>
                <c:pt idx="22">
                  <c:v>723.8</c:v>
                </c:pt>
                <c:pt idx="23">
                  <c:v>733.33</c:v>
                </c:pt>
                <c:pt idx="24">
                  <c:v>683.33</c:v>
                </c:pt>
                <c:pt idx="25">
                  <c:v>583.15</c:v>
                </c:pt>
                <c:pt idx="26">
                  <c:v>588.67999999999995</c:v>
                </c:pt>
                <c:pt idx="27">
                  <c:v>580.17999999999995</c:v>
                </c:pt>
                <c:pt idx="28">
                  <c:v>520.73</c:v>
                </c:pt>
                <c:pt idx="29">
                  <c:v>487.66</c:v>
                </c:pt>
                <c:pt idx="30">
                  <c:v>479.48</c:v>
                </c:pt>
                <c:pt idx="31">
                  <c:v>458.37</c:v>
                </c:pt>
                <c:pt idx="32">
                  <c:v>449.2</c:v>
                </c:pt>
                <c:pt idx="33">
                  <c:v>396.03</c:v>
                </c:pt>
                <c:pt idx="34">
                  <c:v>401.47</c:v>
                </c:pt>
                <c:pt idx="35">
                  <c:v>395.97</c:v>
                </c:pt>
                <c:pt idx="36">
                  <c:v>369.1</c:v>
                </c:pt>
                <c:pt idx="37">
                  <c:v>426.01</c:v>
                </c:pt>
                <c:pt idx="38">
                  <c:v>461.42</c:v>
                </c:pt>
                <c:pt idx="39">
                  <c:v>446.63</c:v>
                </c:pt>
                <c:pt idx="40">
                  <c:v>489.57</c:v>
                </c:pt>
                <c:pt idx="41">
                  <c:v>533.58000000000004</c:v>
                </c:pt>
                <c:pt idx="42">
                  <c:v>573.02</c:v>
                </c:pt>
                <c:pt idx="43">
                  <c:v>560.53</c:v>
                </c:pt>
                <c:pt idx="44">
                  <c:v>561.27</c:v>
                </c:pt>
                <c:pt idx="45">
                  <c:v>610.55999999999995</c:v>
                </c:pt>
                <c:pt idx="46">
                  <c:v>615.23</c:v>
                </c:pt>
                <c:pt idx="47">
                  <c:v>655.87</c:v>
                </c:pt>
                <c:pt idx="48">
                  <c:v>749.06</c:v>
                </c:pt>
                <c:pt idx="49">
                  <c:v>926.52</c:v>
                </c:pt>
                <c:pt idx="50">
                  <c:v>1035.3800000000001</c:v>
                </c:pt>
                <c:pt idx="51">
                  <c:v>963.24</c:v>
                </c:pt>
                <c:pt idx="52">
                  <c:v>960.17</c:v>
                </c:pt>
                <c:pt idx="53">
                  <c:v>1017</c:v>
                </c:pt>
                <c:pt idx="54">
                  <c:v>1049</c:v>
                </c:pt>
                <c:pt idx="55">
                  <c:v>1029</c:v>
                </c:pt>
                <c:pt idx="56">
                  <c:v>1179</c:v>
                </c:pt>
                <c:pt idx="57">
                  <c:v>1140</c:v>
                </c:pt>
                <c:pt idx="58">
                  <c:v>1215</c:v>
                </c:pt>
                <c:pt idx="59">
                  <c:v>1196</c:v>
                </c:pt>
                <c:pt idx="60">
                  <c:v>1236</c:v>
                </c:pt>
                <c:pt idx="61">
                  <c:v>1450</c:v>
                </c:pt>
                <c:pt idx="62">
                  <c:v>1594</c:v>
                </c:pt>
                <c:pt idx="63">
                  <c:v>1863</c:v>
                </c:pt>
                <c:pt idx="64">
                  <c:v>1869</c:v>
                </c:pt>
                <c:pt idx="65">
                  <c:v>1943</c:v>
                </c:pt>
                <c:pt idx="66">
                  <c:v>1962</c:v>
                </c:pt>
                <c:pt idx="67">
                  <c:v>2067</c:v>
                </c:pt>
                <c:pt idx="68">
                  <c:v>2108.0700000000002</c:v>
                </c:pt>
                <c:pt idx="69">
                  <c:v>2141.0100000000002</c:v>
                </c:pt>
                <c:pt idx="70">
                  <c:v>2184.91</c:v>
                </c:pt>
                <c:pt idx="71">
                  <c:v>2171</c:v>
                </c:pt>
                <c:pt idx="72">
                  <c:v>2133</c:v>
                </c:pt>
                <c:pt idx="73">
                  <c:v>2121</c:v>
                </c:pt>
                <c:pt idx="74">
                  <c:v>2191</c:v>
                </c:pt>
                <c:pt idx="75">
                  <c:v>2422</c:v>
                </c:pt>
                <c:pt idx="76">
                  <c:v>2610</c:v>
                </c:pt>
                <c:pt idx="77">
                  <c:v>2871</c:v>
                </c:pt>
                <c:pt idx="78">
                  <c:v>2948</c:v>
                </c:pt>
                <c:pt idx="79">
                  <c:v>3112</c:v>
                </c:pt>
                <c:pt idx="80">
                  <c:v>3165</c:v>
                </c:pt>
                <c:pt idx="81">
                  <c:v>3176</c:v>
                </c:pt>
                <c:pt idx="82">
                  <c:v>3199</c:v>
                </c:pt>
                <c:pt idx="83">
                  <c:v>3315</c:v>
                </c:pt>
                <c:pt idx="84">
                  <c:v>3356</c:v>
                </c:pt>
                <c:pt idx="85">
                  <c:v>3321</c:v>
                </c:pt>
                <c:pt idx="86">
                  <c:v>3544</c:v>
                </c:pt>
                <c:pt idx="87">
                  <c:v>3881</c:v>
                </c:pt>
                <c:pt idx="88">
                  <c:v>4290</c:v>
                </c:pt>
                <c:pt idx="89">
                  <c:v>4390</c:v>
                </c:pt>
                <c:pt idx="90">
                  <c:v>4381</c:v>
                </c:pt>
                <c:pt idx="91">
                  <c:v>4158</c:v>
                </c:pt>
                <c:pt idx="92">
                  <c:v>3915</c:v>
                </c:pt>
                <c:pt idx="93">
                  <c:v>3722</c:v>
                </c:pt>
                <c:pt idx="94">
                  <c:v>3718</c:v>
                </c:pt>
                <c:pt idx="95">
                  <c:v>3680</c:v>
                </c:pt>
                <c:pt idx="96">
                  <c:v>3893</c:v>
                </c:pt>
                <c:pt idx="97">
                  <c:v>4035</c:v>
                </c:pt>
                <c:pt idx="98">
                  <c:v>4007</c:v>
                </c:pt>
                <c:pt idx="99">
                  <c:v>3806</c:v>
                </c:pt>
                <c:pt idx="100">
                  <c:v>4369</c:v>
                </c:pt>
              </c:numCache>
            </c:numRef>
          </c:val>
          <c:smooth val="0"/>
          <c:extLst>
            <c:ext xmlns:c16="http://schemas.microsoft.com/office/drawing/2014/chart" uri="{C3380CC4-5D6E-409C-BE32-E72D297353CC}">
              <c16:uniqueId val="{00000000-124B-8C40-ABC8-8EA1CBB64E07}"/>
            </c:ext>
          </c:extLst>
        </c:ser>
        <c:dLbls>
          <c:showLegendKey val="0"/>
          <c:showVal val="0"/>
          <c:showCatName val="0"/>
          <c:showSerName val="0"/>
          <c:showPercent val="0"/>
          <c:showBubbleSize val="0"/>
        </c:dLbls>
        <c:smooth val="0"/>
        <c:axId val="1893552496"/>
        <c:axId val="1893554224"/>
      </c:lineChart>
      <c:catAx>
        <c:axId val="189355249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93554224"/>
        <c:crosses val="autoZero"/>
        <c:auto val="1"/>
        <c:lblAlgn val="ctr"/>
        <c:lblOffset val="100"/>
        <c:noMultiLvlLbl val="0"/>
      </c:catAx>
      <c:valAx>
        <c:axId val="189355422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9355249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588</TotalTime>
  <Pages>32</Pages>
  <Words>9668</Words>
  <Characters>55109</Characters>
  <Application>Microsoft Office Word</Application>
  <DocSecurity>0</DocSecurity>
  <Lines>459</Lines>
  <Paragraphs>129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Mary Rogan</dc:creator>
  <cp:keywords/>
  <dc:description/>
  <cp:lastModifiedBy>Mary Rogan</cp:lastModifiedBy>
  <cp:revision>47</cp:revision>
  <dcterms:created xsi:type="dcterms:W3CDTF">2024-01-16T10:48:00Z</dcterms:created>
  <dcterms:modified xsi:type="dcterms:W3CDTF">2024-01-29T16:09:00Z</dcterms:modified>
</cp:coreProperties>
</file>