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1E8E91" w14:textId="77777777" w:rsidR="00010859" w:rsidRDefault="00010859" w:rsidP="001D5E78">
      <w:pPr>
        <w:spacing w:after="120" w:line="360" w:lineRule="auto"/>
        <w:jc w:val="center"/>
        <w:rPr>
          <w:rFonts w:cs="Times New Roman"/>
          <w:i/>
          <w:sz w:val="48"/>
          <w:szCs w:val="48"/>
        </w:rPr>
      </w:pPr>
      <w:bookmarkStart w:id="0" w:name="_GoBack"/>
      <w:bookmarkEnd w:id="0"/>
    </w:p>
    <w:p w14:paraId="684FF623" w14:textId="77777777" w:rsidR="00010859" w:rsidRDefault="00010859" w:rsidP="001D5E78">
      <w:pPr>
        <w:spacing w:after="120" w:line="360" w:lineRule="auto"/>
        <w:jc w:val="center"/>
        <w:rPr>
          <w:rFonts w:cs="Times New Roman"/>
          <w:i/>
          <w:sz w:val="48"/>
          <w:szCs w:val="48"/>
        </w:rPr>
      </w:pPr>
    </w:p>
    <w:p w14:paraId="28B6FEBE" w14:textId="77777777" w:rsidR="001D5E78" w:rsidRPr="001D5E78" w:rsidRDefault="001D5E78" w:rsidP="001D5E78">
      <w:pPr>
        <w:spacing w:after="120" w:line="360" w:lineRule="auto"/>
        <w:jc w:val="center"/>
        <w:rPr>
          <w:rFonts w:cs="Times New Roman"/>
          <w:i/>
          <w:sz w:val="48"/>
          <w:szCs w:val="48"/>
        </w:rPr>
      </w:pPr>
      <w:r w:rsidRPr="001D5E78">
        <w:rPr>
          <w:rFonts w:cs="Times New Roman"/>
          <w:i/>
          <w:sz w:val="48"/>
          <w:szCs w:val="48"/>
        </w:rPr>
        <w:t>Iambos Polytropos</w:t>
      </w:r>
    </w:p>
    <w:p w14:paraId="0F578B14" w14:textId="77777777" w:rsidR="001D5E78" w:rsidRPr="001D5E78" w:rsidRDefault="001D5E78" w:rsidP="001D5E78">
      <w:pPr>
        <w:spacing w:line="360" w:lineRule="auto"/>
        <w:jc w:val="center"/>
        <w:rPr>
          <w:rFonts w:cs="Times New Roman"/>
          <w:sz w:val="36"/>
          <w:szCs w:val="36"/>
        </w:rPr>
      </w:pPr>
      <w:r w:rsidRPr="001D5E78">
        <w:rPr>
          <w:rFonts w:cs="Times New Roman"/>
          <w:sz w:val="36"/>
          <w:szCs w:val="36"/>
        </w:rPr>
        <w:t xml:space="preserve">A Comparison of the Language of </w:t>
      </w:r>
    </w:p>
    <w:p w14:paraId="2C7F3FC1" w14:textId="25A1F3D5" w:rsidR="001D5E78" w:rsidRPr="001D5E78" w:rsidRDefault="001D5E78" w:rsidP="001D5E78">
      <w:pPr>
        <w:spacing w:line="360" w:lineRule="auto"/>
        <w:jc w:val="center"/>
        <w:rPr>
          <w:rFonts w:cs="Times New Roman"/>
          <w:sz w:val="36"/>
          <w:szCs w:val="36"/>
        </w:rPr>
      </w:pPr>
      <w:r w:rsidRPr="001D5E78">
        <w:rPr>
          <w:rFonts w:cs="Times New Roman"/>
          <w:sz w:val="36"/>
          <w:szCs w:val="36"/>
        </w:rPr>
        <w:t>Callimachus</w:t>
      </w:r>
      <w:r w:rsidR="00075F5F">
        <w:rPr>
          <w:rFonts w:cs="Times New Roman"/>
          <w:sz w:val="36"/>
          <w:szCs w:val="36"/>
        </w:rPr>
        <w:t>’</w:t>
      </w:r>
      <w:r w:rsidRPr="001D5E78">
        <w:rPr>
          <w:rFonts w:cs="Times New Roman"/>
          <w:sz w:val="36"/>
          <w:szCs w:val="36"/>
        </w:rPr>
        <w:t xml:space="preserve"> </w:t>
      </w:r>
      <w:r w:rsidRPr="001D5E78">
        <w:rPr>
          <w:rFonts w:cs="Times New Roman"/>
          <w:i/>
          <w:sz w:val="36"/>
          <w:szCs w:val="36"/>
        </w:rPr>
        <w:t>Iambi</w:t>
      </w:r>
      <w:r w:rsidRPr="001D5E78">
        <w:rPr>
          <w:rFonts w:cs="Times New Roman"/>
          <w:sz w:val="36"/>
          <w:szCs w:val="36"/>
        </w:rPr>
        <w:t xml:space="preserve">, Archilochus and Hipponax </w:t>
      </w:r>
    </w:p>
    <w:p w14:paraId="28BD9F83" w14:textId="77777777" w:rsidR="001D5E78" w:rsidRDefault="001D5E78" w:rsidP="001D5E78">
      <w:pPr>
        <w:jc w:val="center"/>
        <w:rPr>
          <w:rFonts w:cs="Times New Roman"/>
          <w:sz w:val="28"/>
          <w:szCs w:val="28"/>
        </w:rPr>
      </w:pPr>
    </w:p>
    <w:p w14:paraId="5F6CAED1" w14:textId="77777777" w:rsidR="001D5E78" w:rsidRDefault="001D5E78" w:rsidP="001D5E78">
      <w:pPr>
        <w:jc w:val="center"/>
        <w:rPr>
          <w:rFonts w:cs="Times New Roman"/>
          <w:sz w:val="28"/>
          <w:szCs w:val="28"/>
        </w:rPr>
      </w:pPr>
    </w:p>
    <w:p w14:paraId="0487A0B0" w14:textId="77777777" w:rsidR="001D5E78" w:rsidRDefault="001D5E78" w:rsidP="001D5E78">
      <w:pPr>
        <w:jc w:val="center"/>
        <w:rPr>
          <w:rFonts w:cs="Times New Roman"/>
          <w:sz w:val="28"/>
          <w:szCs w:val="28"/>
        </w:rPr>
      </w:pPr>
    </w:p>
    <w:p w14:paraId="622C349C" w14:textId="77777777" w:rsidR="001D5E78" w:rsidRDefault="001D5E78" w:rsidP="001D5E78">
      <w:pPr>
        <w:jc w:val="center"/>
        <w:rPr>
          <w:rFonts w:cs="Times New Roman"/>
          <w:sz w:val="28"/>
          <w:szCs w:val="28"/>
        </w:rPr>
      </w:pPr>
    </w:p>
    <w:p w14:paraId="54EB391C" w14:textId="4C4CAED9" w:rsidR="001D5E78" w:rsidRDefault="001D5E78" w:rsidP="001D5E78">
      <w:pPr>
        <w:jc w:val="center"/>
        <w:rPr>
          <w:rFonts w:cs="Times New Roman"/>
          <w:sz w:val="28"/>
          <w:szCs w:val="28"/>
        </w:rPr>
      </w:pPr>
      <w:r>
        <w:rPr>
          <w:rFonts w:cs="Times New Roman"/>
          <w:sz w:val="28"/>
          <w:szCs w:val="28"/>
        </w:rPr>
        <w:t>by</w:t>
      </w:r>
    </w:p>
    <w:p w14:paraId="5EFACB59" w14:textId="77777777" w:rsidR="001D5E78" w:rsidRDefault="001D5E78" w:rsidP="001D5E78">
      <w:pPr>
        <w:jc w:val="center"/>
        <w:rPr>
          <w:rFonts w:cs="Times New Roman"/>
          <w:sz w:val="28"/>
          <w:szCs w:val="28"/>
        </w:rPr>
      </w:pPr>
    </w:p>
    <w:p w14:paraId="56580FEA" w14:textId="77777777" w:rsidR="001D5E78" w:rsidRDefault="001D5E78" w:rsidP="001D5E78">
      <w:pPr>
        <w:jc w:val="center"/>
        <w:rPr>
          <w:rFonts w:cs="Times New Roman"/>
          <w:sz w:val="28"/>
          <w:szCs w:val="28"/>
        </w:rPr>
      </w:pPr>
    </w:p>
    <w:p w14:paraId="0B676425" w14:textId="77777777" w:rsidR="001D5E78" w:rsidRPr="001D5E78" w:rsidRDefault="001D5E78" w:rsidP="001D5E78">
      <w:pPr>
        <w:jc w:val="center"/>
        <w:rPr>
          <w:rFonts w:cs="Times New Roman"/>
          <w:sz w:val="36"/>
          <w:szCs w:val="36"/>
        </w:rPr>
      </w:pPr>
      <w:r w:rsidRPr="001D5E78">
        <w:rPr>
          <w:rFonts w:cs="Times New Roman"/>
          <w:sz w:val="36"/>
          <w:szCs w:val="36"/>
        </w:rPr>
        <w:t>Clara Felisari</w:t>
      </w:r>
    </w:p>
    <w:p w14:paraId="187994A5" w14:textId="77777777" w:rsidR="001D5E78" w:rsidRDefault="001D5E78" w:rsidP="001D5E78">
      <w:pPr>
        <w:jc w:val="center"/>
        <w:rPr>
          <w:rFonts w:cs="Times New Roman"/>
          <w:sz w:val="28"/>
          <w:szCs w:val="28"/>
        </w:rPr>
      </w:pPr>
    </w:p>
    <w:p w14:paraId="0B483012" w14:textId="77777777" w:rsidR="001D5E78" w:rsidRDefault="001D5E78" w:rsidP="001D5E78">
      <w:pPr>
        <w:jc w:val="center"/>
        <w:rPr>
          <w:rFonts w:cs="Times New Roman"/>
          <w:sz w:val="28"/>
          <w:szCs w:val="28"/>
        </w:rPr>
      </w:pPr>
    </w:p>
    <w:p w14:paraId="6B68E9DE" w14:textId="77777777" w:rsidR="001D5E78" w:rsidRDefault="001D5E78" w:rsidP="001D5E78">
      <w:pPr>
        <w:jc w:val="center"/>
        <w:rPr>
          <w:rFonts w:cs="Times New Roman"/>
          <w:sz w:val="28"/>
          <w:szCs w:val="28"/>
        </w:rPr>
      </w:pPr>
    </w:p>
    <w:p w14:paraId="32E0E6DB" w14:textId="77777777" w:rsidR="001D5E78" w:rsidRDefault="001D5E78" w:rsidP="001D5E78">
      <w:pPr>
        <w:jc w:val="center"/>
        <w:rPr>
          <w:rFonts w:cs="Times New Roman"/>
          <w:sz w:val="28"/>
          <w:szCs w:val="28"/>
        </w:rPr>
      </w:pPr>
    </w:p>
    <w:p w14:paraId="55BA6F48" w14:textId="77777777" w:rsidR="001D5E78" w:rsidRDefault="001D5E78" w:rsidP="001D5E78">
      <w:pPr>
        <w:jc w:val="center"/>
        <w:rPr>
          <w:rFonts w:cs="Times New Roman"/>
          <w:sz w:val="28"/>
          <w:szCs w:val="28"/>
        </w:rPr>
      </w:pPr>
    </w:p>
    <w:p w14:paraId="3A7A58DC" w14:textId="77777777" w:rsidR="001D5E78" w:rsidRDefault="001D5E78" w:rsidP="001D5E78">
      <w:pPr>
        <w:jc w:val="center"/>
        <w:rPr>
          <w:rFonts w:cs="Times New Roman"/>
          <w:sz w:val="28"/>
          <w:szCs w:val="28"/>
        </w:rPr>
      </w:pPr>
    </w:p>
    <w:p w14:paraId="02AFC2DF" w14:textId="77777777" w:rsidR="001D5E78" w:rsidRDefault="001D5E78" w:rsidP="001D5E78">
      <w:pPr>
        <w:jc w:val="center"/>
        <w:rPr>
          <w:rFonts w:cs="Times New Roman"/>
          <w:sz w:val="32"/>
          <w:szCs w:val="32"/>
        </w:rPr>
      </w:pPr>
    </w:p>
    <w:p w14:paraId="2BD39B69" w14:textId="77777777" w:rsidR="001D5E78" w:rsidRDefault="001D5E78" w:rsidP="001D5E78">
      <w:pPr>
        <w:jc w:val="center"/>
        <w:rPr>
          <w:rFonts w:cs="Times New Roman"/>
          <w:sz w:val="32"/>
          <w:szCs w:val="32"/>
        </w:rPr>
      </w:pPr>
    </w:p>
    <w:p w14:paraId="6FFDE00A" w14:textId="77777777" w:rsidR="001D5E78" w:rsidRDefault="001D5E78" w:rsidP="001D5E78">
      <w:pPr>
        <w:jc w:val="center"/>
        <w:rPr>
          <w:rFonts w:cs="Times New Roman"/>
          <w:sz w:val="32"/>
          <w:szCs w:val="32"/>
        </w:rPr>
      </w:pPr>
    </w:p>
    <w:p w14:paraId="7988C8C1" w14:textId="0656A5A2" w:rsidR="001D5E78" w:rsidRPr="007C68F9" w:rsidRDefault="001D5E78" w:rsidP="001D5E78">
      <w:pPr>
        <w:jc w:val="center"/>
        <w:rPr>
          <w:rFonts w:cs="Times New Roman"/>
          <w:sz w:val="32"/>
          <w:szCs w:val="32"/>
        </w:rPr>
      </w:pPr>
      <w:r w:rsidRPr="007C68F9">
        <w:rPr>
          <w:rFonts w:cs="Times New Roman"/>
          <w:sz w:val="32"/>
          <w:szCs w:val="32"/>
        </w:rPr>
        <w:t xml:space="preserve">A thesis submitted </w:t>
      </w:r>
      <w:r>
        <w:rPr>
          <w:rFonts w:cs="Times New Roman"/>
          <w:sz w:val="32"/>
          <w:szCs w:val="32"/>
        </w:rPr>
        <w:t xml:space="preserve">in fulfillment of the requirements </w:t>
      </w:r>
      <w:r w:rsidRPr="007C68F9">
        <w:rPr>
          <w:rFonts w:cs="Times New Roman"/>
          <w:sz w:val="32"/>
          <w:szCs w:val="32"/>
        </w:rPr>
        <w:t>for the degree of Doctor in Philosophy</w:t>
      </w:r>
    </w:p>
    <w:p w14:paraId="0F8A8E53" w14:textId="77777777" w:rsidR="001D5E78" w:rsidRPr="007C68F9" w:rsidRDefault="001D5E78" w:rsidP="001D5E78">
      <w:pPr>
        <w:jc w:val="center"/>
        <w:rPr>
          <w:rFonts w:cs="Times New Roman"/>
          <w:sz w:val="32"/>
          <w:szCs w:val="32"/>
        </w:rPr>
      </w:pPr>
    </w:p>
    <w:p w14:paraId="5182C385" w14:textId="77777777" w:rsidR="001D5E78" w:rsidRDefault="001D5E78" w:rsidP="001D5E78">
      <w:pPr>
        <w:jc w:val="center"/>
        <w:rPr>
          <w:rFonts w:cs="Times New Roman"/>
          <w:sz w:val="28"/>
          <w:szCs w:val="28"/>
        </w:rPr>
      </w:pPr>
    </w:p>
    <w:p w14:paraId="20939617" w14:textId="77777777" w:rsidR="001D5E78" w:rsidRPr="007C68F9" w:rsidRDefault="001D5E78" w:rsidP="001D5E78">
      <w:pPr>
        <w:jc w:val="center"/>
        <w:rPr>
          <w:rFonts w:cs="Times New Roman"/>
          <w:sz w:val="32"/>
          <w:szCs w:val="32"/>
        </w:rPr>
      </w:pPr>
      <w:r w:rsidRPr="007C68F9">
        <w:rPr>
          <w:rFonts w:cs="Times New Roman"/>
          <w:sz w:val="32"/>
          <w:szCs w:val="32"/>
        </w:rPr>
        <w:t>University of Dublin</w:t>
      </w:r>
    </w:p>
    <w:p w14:paraId="58F1C2DA" w14:textId="071B275A" w:rsidR="001D5E78" w:rsidRPr="007C68F9" w:rsidRDefault="001D5E78" w:rsidP="001D5E78">
      <w:pPr>
        <w:jc w:val="center"/>
        <w:rPr>
          <w:rFonts w:cs="Times New Roman"/>
          <w:sz w:val="32"/>
          <w:szCs w:val="32"/>
        </w:rPr>
      </w:pPr>
      <w:r w:rsidRPr="007C68F9">
        <w:rPr>
          <w:rFonts w:cs="Times New Roman"/>
          <w:sz w:val="32"/>
          <w:szCs w:val="32"/>
        </w:rPr>
        <w:t>Trinity College</w:t>
      </w:r>
    </w:p>
    <w:p w14:paraId="432A3E30" w14:textId="45005AF6" w:rsidR="00306A6D" w:rsidRPr="001D5E78" w:rsidRDefault="001D5E78" w:rsidP="001D5E78">
      <w:pPr>
        <w:jc w:val="center"/>
        <w:rPr>
          <w:rFonts w:cs="Times New Roman"/>
          <w:sz w:val="32"/>
          <w:szCs w:val="32"/>
        </w:rPr>
        <w:sectPr w:rsidR="00306A6D" w:rsidRPr="001D5E78" w:rsidSect="00033A07">
          <w:footerReference w:type="even" r:id="rId9"/>
          <w:footerReference w:type="default" r:id="rId10"/>
          <w:footnotePr>
            <w:numRestart w:val="eachSect"/>
          </w:footnotePr>
          <w:pgSz w:w="11901" w:h="16817"/>
          <w:pgMar w:top="1440" w:right="1440" w:bottom="1440" w:left="1797" w:header="851" w:footer="851" w:gutter="0"/>
          <w:pgNumType w:fmt="upperRoman"/>
          <w:cols w:space="708"/>
          <w:titlePg/>
          <w:docGrid w:linePitch="360"/>
          <w:printerSettings r:id="rId11"/>
        </w:sectPr>
      </w:pPr>
      <w:r w:rsidRPr="007C68F9">
        <w:rPr>
          <w:rFonts w:cs="Times New Roman"/>
          <w:sz w:val="32"/>
          <w:szCs w:val="32"/>
        </w:rPr>
        <w:t>201</w:t>
      </w:r>
      <w:r w:rsidR="00376A31">
        <w:rPr>
          <w:rFonts w:cs="Times New Roman"/>
          <w:sz w:val="32"/>
          <w:szCs w:val="32"/>
        </w:rPr>
        <w:t>7</w:t>
      </w:r>
    </w:p>
    <w:p w14:paraId="18E65DBC" w14:textId="39990064" w:rsidR="00072014" w:rsidRPr="00AD2018" w:rsidRDefault="00072014" w:rsidP="00227EE7">
      <w:pPr>
        <w:spacing w:after="800"/>
        <w:jc w:val="center"/>
        <w:rPr>
          <w:b/>
          <w:sz w:val="28"/>
          <w:szCs w:val="28"/>
        </w:rPr>
      </w:pPr>
      <w:r w:rsidRPr="00AD2018">
        <w:rPr>
          <w:b/>
          <w:sz w:val="28"/>
          <w:szCs w:val="28"/>
        </w:rPr>
        <w:lastRenderedPageBreak/>
        <w:t>Declaration</w:t>
      </w:r>
    </w:p>
    <w:p w14:paraId="23E21E66" w14:textId="77777777" w:rsidR="001D5E78" w:rsidRPr="00003D65" w:rsidRDefault="001D5E78" w:rsidP="00357FE2">
      <w:r w:rsidRPr="00003D65">
        <w:t>I declare that this thesis has not been submitted as an exercise for a degree at this or any other university and it is entirely my own work.</w:t>
      </w:r>
    </w:p>
    <w:p w14:paraId="34B4F5A3" w14:textId="77777777" w:rsidR="001D5E78" w:rsidRPr="00003D65" w:rsidRDefault="001D5E78" w:rsidP="00357FE2"/>
    <w:p w14:paraId="1D404C1A" w14:textId="07A74338" w:rsidR="001D5E78" w:rsidRDefault="001D5E78" w:rsidP="00357FE2">
      <w:r w:rsidRPr="00003D65">
        <w:t>I agree to deposit this thesis in the University</w:t>
      </w:r>
      <w:r w:rsidR="00075F5F">
        <w:t>’</w:t>
      </w:r>
      <w:r w:rsidRPr="00003D65">
        <w:t>s open access institutional repository or allow the library to do so on my behalf, subject to Irish Copyright Legislation and Trinity College Library conditions of use and acknowledgement.</w:t>
      </w:r>
    </w:p>
    <w:p w14:paraId="5AB9C5B2" w14:textId="77777777" w:rsidR="001D5E78" w:rsidRDefault="001D5E78" w:rsidP="00357FE2">
      <w:pPr>
        <w:rPr>
          <w:highlight w:val="yellow"/>
        </w:rPr>
      </w:pPr>
    </w:p>
    <w:p w14:paraId="477FD717" w14:textId="77777777" w:rsidR="00010859" w:rsidRDefault="00010859" w:rsidP="00357FE2">
      <w:pPr>
        <w:rPr>
          <w:highlight w:val="yellow"/>
        </w:rPr>
      </w:pPr>
    </w:p>
    <w:p w14:paraId="4FE17CFF" w14:textId="77777777" w:rsidR="00010859" w:rsidRDefault="00010859" w:rsidP="00357FE2"/>
    <w:p w14:paraId="694324A3" w14:textId="77777777" w:rsidR="00010859" w:rsidRDefault="00010859" w:rsidP="00357FE2">
      <w:pPr>
        <w:jc w:val="right"/>
      </w:pPr>
      <w:r>
        <w:t>Clara Felisari</w:t>
      </w:r>
    </w:p>
    <w:p w14:paraId="4BE69DDE" w14:textId="77777777" w:rsidR="00010859" w:rsidRPr="00306A6D" w:rsidRDefault="00010859" w:rsidP="00357FE2">
      <w:pPr>
        <w:rPr>
          <w:highlight w:val="yellow"/>
        </w:rPr>
        <w:sectPr w:rsidR="00010859" w:rsidRPr="00306A6D" w:rsidSect="00033A07">
          <w:footnotePr>
            <w:numRestart w:val="eachSect"/>
          </w:footnotePr>
          <w:pgSz w:w="11901" w:h="16817"/>
          <w:pgMar w:top="1440" w:right="1440" w:bottom="1440" w:left="1797" w:header="851" w:footer="851" w:gutter="0"/>
          <w:cols w:space="708"/>
          <w:titlePg/>
          <w:docGrid w:linePitch="360"/>
          <w:printerSettings r:id="rId12"/>
        </w:sectPr>
      </w:pPr>
    </w:p>
    <w:p w14:paraId="19C1C0F4" w14:textId="77777777" w:rsidR="00796AA1" w:rsidRPr="00E1287C" w:rsidRDefault="00796AA1" w:rsidP="00227EE7">
      <w:pPr>
        <w:pageBreakBefore/>
        <w:spacing w:after="800"/>
        <w:jc w:val="center"/>
        <w:rPr>
          <w:lang w:val="en-US"/>
        </w:rPr>
      </w:pPr>
      <w:r w:rsidRPr="00E1287C">
        <w:rPr>
          <w:b/>
          <w:bCs/>
          <w:lang w:val="en-US"/>
        </w:rPr>
        <w:lastRenderedPageBreak/>
        <w:t>Summary</w:t>
      </w:r>
    </w:p>
    <w:p w14:paraId="60EA4935" w14:textId="67CF7E88" w:rsidR="00796AA1" w:rsidRPr="00E1287C" w:rsidRDefault="00796AA1" w:rsidP="00796AA1">
      <w:pPr>
        <w:rPr>
          <w:lang w:val="en-US"/>
        </w:rPr>
      </w:pPr>
      <w:r w:rsidRPr="00E1287C">
        <w:rPr>
          <w:lang w:val="en-US"/>
        </w:rPr>
        <w:t>My work analyse</w:t>
      </w:r>
      <w:r w:rsidR="007F4100">
        <w:rPr>
          <w:lang w:val="en-US"/>
        </w:rPr>
        <w:t>s</w:t>
      </w:r>
      <w:r w:rsidRPr="00E1287C">
        <w:rPr>
          <w:lang w:val="en-US"/>
        </w:rPr>
        <w:t xml:space="preserve"> the language of Callimachus</w:t>
      </w:r>
      <w:r w:rsidR="00075F5F">
        <w:rPr>
          <w:lang w:val="en-US"/>
        </w:rPr>
        <w:t>’</w:t>
      </w:r>
      <w:r w:rsidRPr="00E1287C">
        <w:rPr>
          <w:lang w:val="en-US"/>
        </w:rPr>
        <w:t xml:space="preserve"> </w:t>
      </w:r>
      <w:r w:rsidRPr="00E1287C">
        <w:rPr>
          <w:i/>
          <w:iCs/>
          <w:lang w:val="en-US"/>
        </w:rPr>
        <w:t>Iambi</w:t>
      </w:r>
      <w:r w:rsidRPr="00E1287C">
        <w:rPr>
          <w:lang w:val="en-US"/>
        </w:rPr>
        <w:t xml:space="preserve"> in relation to the languages of the iambographers who precede him</w:t>
      </w:r>
      <w:r w:rsidR="007F4100">
        <w:rPr>
          <w:lang w:val="en-US"/>
        </w:rPr>
        <w:t xml:space="preserve">, notably </w:t>
      </w:r>
      <w:r w:rsidRPr="00E1287C">
        <w:rPr>
          <w:lang w:val="en-US"/>
        </w:rPr>
        <w:t xml:space="preserve">Archilochus, and Hipponax. </w:t>
      </w:r>
      <w:r w:rsidR="007F4100">
        <w:rPr>
          <w:lang w:val="en-US"/>
        </w:rPr>
        <w:t>T</w:t>
      </w:r>
      <w:r w:rsidRPr="00E1287C">
        <w:rPr>
          <w:lang w:val="en-US"/>
        </w:rPr>
        <w:t xml:space="preserve">hese three iambographers </w:t>
      </w:r>
      <w:r w:rsidR="00EC1C1D">
        <w:rPr>
          <w:lang w:val="en-US"/>
        </w:rPr>
        <w:t>allow significant scope for intertextual research</w:t>
      </w:r>
      <w:r w:rsidRPr="00E1287C">
        <w:rPr>
          <w:lang w:val="en-US"/>
        </w:rPr>
        <w:t xml:space="preserve">, since it is clear that Callimachus had Archilochus (implicitly) and Hipponax (explicitly) as his two main models while he was composing his </w:t>
      </w:r>
      <w:r w:rsidRPr="00E1287C">
        <w:rPr>
          <w:i/>
          <w:iCs/>
          <w:lang w:val="en-US"/>
        </w:rPr>
        <w:t>Iambi</w:t>
      </w:r>
      <w:r w:rsidR="00EC1C1D">
        <w:rPr>
          <w:lang w:val="en-US"/>
        </w:rPr>
        <w:t>, and the iambic remains of the</w:t>
      </w:r>
      <w:r w:rsidR="00AD4BC8">
        <w:rPr>
          <w:lang w:val="en-US"/>
        </w:rPr>
        <w:t>se</w:t>
      </w:r>
      <w:r w:rsidR="00EC1C1D">
        <w:rPr>
          <w:lang w:val="en-US"/>
        </w:rPr>
        <w:t xml:space="preserve"> three authors, </w:t>
      </w:r>
      <w:r w:rsidR="00AD4BC8">
        <w:rPr>
          <w:lang w:val="en-US"/>
        </w:rPr>
        <w:t xml:space="preserve">despite being frustratingly fragmentary, </w:t>
      </w:r>
      <w:r w:rsidR="00EC1C1D">
        <w:rPr>
          <w:lang w:val="en-US"/>
        </w:rPr>
        <w:t>are substantial enough to allow comparison.</w:t>
      </w:r>
    </w:p>
    <w:p w14:paraId="1707539E" w14:textId="7FDC705F" w:rsidR="00796AA1" w:rsidRPr="00E1287C" w:rsidRDefault="00796AA1" w:rsidP="00796AA1">
      <w:pPr>
        <w:ind w:firstLine="426"/>
        <w:rPr>
          <w:lang w:val="en-US"/>
        </w:rPr>
      </w:pPr>
      <w:r w:rsidRPr="00E1287C">
        <w:rPr>
          <w:lang w:val="en-US"/>
        </w:rPr>
        <w:t>The comparison involves both themes and language</w:t>
      </w:r>
      <w:r w:rsidR="00AD4BC8">
        <w:rPr>
          <w:lang w:val="en-US"/>
        </w:rPr>
        <w:t xml:space="preserve"> but focuses on the latter. C</w:t>
      </w:r>
      <w:r w:rsidRPr="00E1287C">
        <w:rPr>
          <w:lang w:val="en-US"/>
        </w:rPr>
        <w:t xml:space="preserve">hapters 1 and 2 analyse respectively lexicon and morphology, and syntax and pragmatics. Building on them, </w:t>
      </w:r>
      <w:r w:rsidR="00AD4BC8">
        <w:rPr>
          <w:lang w:val="en-US"/>
        </w:rPr>
        <w:t>C</w:t>
      </w:r>
      <w:r w:rsidRPr="00E1287C">
        <w:rPr>
          <w:lang w:val="en-US"/>
        </w:rPr>
        <w:t xml:space="preserve">hapter 3 </w:t>
      </w:r>
      <w:r w:rsidR="00AD4BC8">
        <w:rPr>
          <w:lang w:val="en-US"/>
        </w:rPr>
        <w:t>explores</w:t>
      </w:r>
      <w:r w:rsidR="00AD4BC8" w:rsidRPr="00E1287C">
        <w:rPr>
          <w:lang w:val="en-US"/>
        </w:rPr>
        <w:t xml:space="preserve"> </w:t>
      </w:r>
      <w:r w:rsidRPr="00E1287C">
        <w:rPr>
          <w:lang w:val="en-US"/>
        </w:rPr>
        <w:t xml:space="preserve">the iambic themes shared by all three iambographers, and </w:t>
      </w:r>
      <w:r w:rsidR="00AD4BC8">
        <w:rPr>
          <w:lang w:val="en-US"/>
        </w:rPr>
        <w:t>C</w:t>
      </w:r>
      <w:r w:rsidRPr="00E1287C">
        <w:rPr>
          <w:lang w:val="en-US"/>
        </w:rPr>
        <w:t xml:space="preserve">hapter 4 </w:t>
      </w:r>
      <w:r w:rsidR="00AD4BC8">
        <w:rPr>
          <w:lang w:val="en-US"/>
        </w:rPr>
        <w:t>seeks</w:t>
      </w:r>
      <w:r w:rsidRPr="00E1287C">
        <w:rPr>
          <w:lang w:val="en-US"/>
        </w:rPr>
        <w:t xml:space="preserve"> to explain how </w:t>
      </w:r>
      <w:r w:rsidR="00AD4BC8">
        <w:rPr>
          <w:lang w:val="en-US"/>
        </w:rPr>
        <w:t xml:space="preserve">the </w:t>
      </w:r>
      <w:r w:rsidRPr="00E1287C">
        <w:rPr>
          <w:lang w:val="en-US"/>
        </w:rPr>
        <w:t>iambographers</w:t>
      </w:r>
      <w:r w:rsidR="00075F5F">
        <w:rPr>
          <w:lang w:val="en-US"/>
        </w:rPr>
        <w:t>’</w:t>
      </w:r>
      <w:r w:rsidRPr="00E1287C">
        <w:rPr>
          <w:lang w:val="en-US"/>
        </w:rPr>
        <w:t xml:space="preserve"> language fits their poetic subjects and purposes. </w:t>
      </w:r>
      <w:r w:rsidR="00AD4BC8">
        <w:rPr>
          <w:lang w:val="en-US"/>
        </w:rPr>
        <w:t xml:space="preserve">Here, </w:t>
      </w:r>
      <w:r w:rsidRPr="00E1287C">
        <w:rPr>
          <w:lang w:val="en-US"/>
        </w:rPr>
        <w:t>I pay particular attention to shifts from the traditional expected poetic form</w:t>
      </w:r>
      <w:r w:rsidR="00A723DA">
        <w:rPr>
          <w:lang w:val="en-US"/>
        </w:rPr>
        <w:t>. U</w:t>
      </w:r>
      <w:r w:rsidR="00AD4BC8">
        <w:rPr>
          <w:lang w:val="en-US"/>
        </w:rPr>
        <w:t xml:space="preserve">sing methodologies developed for code-switching in </w:t>
      </w:r>
      <w:r w:rsidR="00A723DA">
        <w:rPr>
          <w:lang w:val="en-US"/>
        </w:rPr>
        <w:t xml:space="preserve">spoken languages, I analyse the </w:t>
      </w:r>
      <w:r w:rsidRPr="00E1287C">
        <w:rPr>
          <w:lang w:val="en-US"/>
        </w:rPr>
        <w:t>linguistic variation</w:t>
      </w:r>
      <w:r w:rsidR="00AD4BC8">
        <w:rPr>
          <w:lang w:val="en-US"/>
        </w:rPr>
        <w:t xml:space="preserve"> that, I contend, </w:t>
      </w:r>
      <w:r w:rsidR="00A723DA">
        <w:rPr>
          <w:lang w:val="en-US"/>
        </w:rPr>
        <w:t xml:space="preserve">is </w:t>
      </w:r>
      <w:r w:rsidR="00AD4BC8">
        <w:rPr>
          <w:lang w:val="en-US"/>
        </w:rPr>
        <w:t>a key characteristic of iambic poetry</w:t>
      </w:r>
      <w:r w:rsidRPr="00E1287C">
        <w:rPr>
          <w:lang w:val="en-US"/>
        </w:rPr>
        <w:t xml:space="preserve">, </w:t>
      </w:r>
      <w:r w:rsidR="00AD4BC8">
        <w:rPr>
          <w:lang w:val="en-US"/>
        </w:rPr>
        <w:t xml:space="preserve">ranging from </w:t>
      </w:r>
      <w:r w:rsidR="00075F5F">
        <w:rPr>
          <w:lang w:val="en-US"/>
        </w:rPr>
        <w:t>‘</w:t>
      </w:r>
      <w:r w:rsidR="00A723DA">
        <w:rPr>
          <w:lang w:val="en-US"/>
        </w:rPr>
        <w:t>moves</w:t>
      </w:r>
      <w:r w:rsidR="00075F5F">
        <w:rPr>
          <w:lang w:val="en-US"/>
        </w:rPr>
        <w:t>’</w:t>
      </w:r>
      <w:r w:rsidR="00A723DA">
        <w:rPr>
          <w:lang w:val="en-US"/>
        </w:rPr>
        <w:t xml:space="preserve"> </w:t>
      </w:r>
      <w:r w:rsidRPr="00E1287C">
        <w:rPr>
          <w:lang w:val="en-US"/>
        </w:rPr>
        <w:t xml:space="preserve">such as the substitution of a </w:t>
      </w:r>
      <w:r w:rsidR="00A723DA">
        <w:rPr>
          <w:lang w:val="en-US"/>
        </w:rPr>
        <w:t xml:space="preserve">single </w:t>
      </w:r>
      <w:r w:rsidRPr="00E1287C">
        <w:rPr>
          <w:lang w:val="en-US"/>
        </w:rPr>
        <w:t xml:space="preserve">word in a well-established Homeric formula, </w:t>
      </w:r>
      <w:r w:rsidR="00A723DA">
        <w:rPr>
          <w:lang w:val="en-US"/>
        </w:rPr>
        <w:t xml:space="preserve">or </w:t>
      </w:r>
      <w:r w:rsidRPr="00E1287C">
        <w:rPr>
          <w:lang w:val="en-US"/>
        </w:rPr>
        <w:t xml:space="preserve">the change of </w:t>
      </w:r>
      <w:r w:rsidR="00A723DA">
        <w:rPr>
          <w:lang w:val="en-US"/>
        </w:rPr>
        <w:t>a word</w:t>
      </w:r>
      <w:r w:rsidR="00075F5F">
        <w:rPr>
          <w:lang w:val="en-US"/>
        </w:rPr>
        <w:t>’</w:t>
      </w:r>
      <w:r w:rsidR="00A723DA">
        <w:rPr>
          <w:lang w:val="en-US"/>
        </w:rPr>
        <w:t xml:space="preserve">s grammatical </w:t>
      </w:r>
      <w:r w:rsidRPr="00E1287C">
        <w:rPr>
          <w:lang w:val="en-US"/>
        </w:rPr>
        <w:t xml:space="preserve">gender </w:t>
      </w:r>
      <w:r w:rsidR="00A723DA">
        <w:rPr>
          <w:lang w:val="en-US"/>
        </w:rPr>
        <w:t xml:space="preserve">or </w:t>
      </w:r>
      <w:r w:rsidR="00330164">
        <w:rPr>
          <w:lang w:val="en-US"/>
        </w:rPr>
        <w:t xml:space="preserve">suffix </w:t>
      </w:r>
      <w:r w:rsidRPr="00E1287C">
        <w:rPr>
          <w:lang w:val="en-US"/>
        </w:rPr>
        <w:t xml:space="preserve">of a word, </w:t>
      </w:r>
      <w:r w:rsidR="00330164">
        <w:rPr>
          <w:lang w:val="en-US"/>
        </w:rPr>
        <w:t xml:space="preserve">to shifts </w:t>
      </w:r>
      <w:r w:rsidRPr="00E1287C">
        <w:rPr>
          <w:lang w:val="en-US"/>
        </w:rPr>
        <w:t>of tone</w:t>
      </w:r>
      <w:r w:rsidR="00330164">
        <w:rPr>
          <w:lang w:val="en-US"/>
        </w:rPr>
        <w:t>,</w:t>
      </w:r>
      <w:r w:rsidRPr="00E1287C">
        <w:rPr>
          <w:lang w:val="en-US"/>
        </w:rPr>
        <w:t xml:space="preserve"> </w:t>
      </w:r>
      <w:r w:rsidR="00330164">
        <w:rPr>
          <w:lang w:val="en-US"/>
        </w:rPr>
        <w:t>e.g.</w:t>
      </w:r>
      <w:r w:rsidRPr="00E1287C">
        <w:rPr>
          <w:lang w:val="en-US"/>
        </w:rPr>
        <w:t xml:space="preserve"> from hymnic to comic</w:t>
      </w:r>
      <w:r w:rsidR="00330164">
        <w:rPr>
          <w:lang w:val="en-US"/>
        </w:rPr>
        <w:t xml:space="preserve"> or comic to epic</w:t>
      </w:r>
      <w:r w:rsidRPr="00E1287C">
        <w:rPr>
          <w:lang w:val="en-US"/>
        </w:rPr>
        <w:t xml:space="preserve"> within </w:t>
      </w:r>
      <w:r w:rsidR="00330164">
        <w:rPr>
          <w:lang w:val="en-US"/>
        </w:rPr>
        <w:t>a short space of words</w:t>
      </w:r>
      <w:r w:rsidRPr="00E1287C">
        <w:rPr>
          <w:lang w:val="en-US"/>
        </w:rPr>
        <w:t xml:space="preserve">. </w:t>
      </w:r>
    </w:p>
    <w:p w14:paraId="0F1F9451" w14:textId="49C78AAD" w:rsidR="00796AA1" w:rsidRPr="00E1287C" w:rsidRDefault="00796AA1" w:rsidP="00796AA1">
      <w:pPr>
        <w:ind w:firstLine="426"/>
        <w:rPr>
          <w:shd w:val="solid" w:color="FFFF00" w:fill="FFFF00"/>
          <w:lang w:val="en-US"/>
        </w:rPr>
      </w:pPr>
      <w:r w:rsidRPr="00E1287C">
        <w:rPr>
          <w:lang w:val="en-US"/>
        </w:rPr>
        <w:t>I contextualise these linguistic (and, often, also thematic) shifts within Callimachus</w:t>
      </w:r>
      <w:r w:rsidR="00075F5F">
        <w:rPr>
          <w:lang w:val="en-US"/>
        </w:rPr>
        <w:t>’</w:t>
      </w:r>
      <w:r w:rsidRPr="00E1287C">
        <w:rPr>
          <w:lang w:val="en-US"/>
        </w:rPr>
        <w:t xml:space="preserve"> defence</w:t>
      </w:r>
      <w:r w:rsidR="00330164">
        <w:rPr>
          <w:lang w:val="en-US"/>
        </w:rPr>
        <w:t>,</w:t>
      </w:r>
      <w:r w:rsidRPr="00E1287C">
        <w:rPr>
          <w:lang w:val="en-US"/>
        </w:rPr>
        <w:t xml:space="preserve"> in </w:t>
      </w:r>
      <w:r w:rsidRPr="00E1287C">
        <w:rPr>
          <w:i/>
          <w:iCs/>
          <w:lang w:val="en-US"/>
        </w:rPr>
        <w:t>Iambus</w:t>
      </w:r>
      <w:r w:rsidRPr="00E1287C">
        <w:rPr>
          <w:lang w:val="en-US"/>
        </w:rPr>
        <w:t xml:space="preserve"> 13</w:t>
      </w:r>
      <w:r w:rsidR="00330164">
        <w:rPr>
          <w:lang w:val="en-US"/>
        </w:rPr>
        <w:t>,</w:t>
      </w:r>
      <w:r w:rsidRPr="00E1287C">
        <w:rPr>
          <w:lang w:val="en-US"/>
        </w:rPr>
        <w:t xml:space="preserve"> of his </w:t>
      </w:r>
      <w:r w:rsidR="00330164">
        <w:rPr>
          <w:lang w:val="en-US"/>
        </w:rPr>
        <w:t>poetry</w:t>
      </w:r>
      <w:r w:rsidR="00075F5F">
        <w:rPr>
          <w:lang w:val="en-US"/>
        </w:rPr>
        <w:t>’</w:t>
      </w:r>
      <w:r w:rsidR="00330164">
        <w:rPr>
          <w:lang w:val="en-US"/>
        </w:rPr>
        <w:t xml:space="preserve">s </w:t>
      </w:r>
      <w:r w:rsidRPr="00E1287C">
        <w:rPr>
          <w:i/>
          <w:iCs/>
          <w:lang w:val="en-US"/>
        </w:rPr>
        <w:t>polyeídeia</w:t>
      </w:r>
      <w:r w:rsidR="00330164">
        <w:rPr>
          <w:lang w:val="en-US"/>
        </w:rPr>
        <w:t xml:space="preserve">, roughly translatable as </w:t>
      </w:r>
      <w:r w:rsidR="00075F5F">
        <w:rPr>
          <w:lang w:val="en-US"/>
        </w:rPr>
        <w:t>‘</w:t>
      </w:r>
      <w:r w:rsidR="00330164">
        <w:rPr>
          <w:lang w:val="en-US"/>
        </w:rPr>
        <w:t>pluriformity.</w:t>
      </w:r>
      <w:r w:rsidR="00075F5F">
        <w:rPr>
          <w:lang w:val="en-US"/>
        </w:rPr>
        <w:t>’</w:t>
      </w:r>
      <w:r w:rsidR="00330164">
        <w:rPr>
          <w:lang w:val="en-US"/>
        </w:rPr>
        <w:t xml:space="preserve"> T</w:t>
      </w:r>
      <w:r w:rsidRPr="00E1287C">
        <w:rPr>
          <w:lang w:val="en-US"/>
        </w:rPr>
        <w:t>his feature is</w:t>
      </w:r>
      <w:r w:rsidR="00487D30">
        <w:rPr>
          <w:lang w:val="en-US"/>
        </w:rPr>
        <w:t>, in fact,</w:t>
      </w:r>
      <w:r w:rsidRPr="00E1287C">
        <w:rPr>
          <w:lang w:val="en-US"/>
        </w:rPr>
        <w:t xml:space="preserve"> not limited to Callimachus</w:t>
      </w:r>
      <w:r w:rsidR="00075F5F">
        <w:rPr>
          <w:lang w:val="en-US"/>
        </w:rPr>
        <w:t>’</w:t>
      </w:r>
      <w:r w:rsidRPr="00E1287C">
        <w:rPr>
          <w:lang w:val="en-US"/>
        </w:rPr>
        <w:t xml:space="preserve"> </w:t>
      </w:r>
      <w:r w:rsidRPr="00E1287C">
        <w:rPr>
          <w:i/>
          <w:iCs/>
          <w:lang w:val="en-US"/>
        </w:rPr>
        <w:t>Iambi</w:t>
      </w:r>
      <w:r w:rsidRPr="00E1287C">
        <w:rPr>
          <w:lang w:val="en-US"/>
        </w:rPr>
        <w:t xml:space="preserve">, but also </w:t>
      </w:r>
      <w:r w:rsidR="007255D1">
        <w:rPr>
          <w:lang w:val="en-US"/>
        </w:rPr>
        <w:t>pertains to</w:t>
      </w:r>
      <w:r w:rsidR="007255D1" w:rsidRPr="00E1287C">
        <w:rPr>
          <w:lang w:val="en-US"/>
        </w:rPr>
        <w:t xml:space="preserve"> </w:t>
      </w:r>
      <w:r w:rsidR="00487D30">
        <w:rPr>
          <w:lang w:val="en-US"/>
        </w:rPr>
        <w:t xml:space="preserve">the poetry of </w:t>
      </w:r>
      <w:r w:rsidRPr="00E1287C">
        <w:rPr>
          <w:lang w:val="en-US"/>
        </w:rPr>
        <w:t>Archilochus and Hipponax</w:t>
      </w:r>
      <w:r w:rsidR="00487D30">
        <w:rPr>
          <w:lang w:val="en-US"/>
        </w:rPr>
        <w:t xml:space="preserve"> and appears to be a central characteristic of </w:t>
      </w:r>
      <w:r w:rsidRPr="00E1287C">
        <w:rPr>
          <w:lang w:val="en-US"/>
        </w:rPr>
        <w:t xml:space="preserve">iambic </w:t>
      </w:r>
      <w:r w:rsidR="00487D30">
        <w:rPr>
          <w:lang w:val="en-US"/>
        </w:rPr>
        <w:t>poetry at large</w:t>
      </w:r>
      <w:r w:rsidRPr="00E1287C">
        <w:rPr>
          <w:lang w:val="en-US"/>
        </w:rPr>
        <w:t xml:space="preserve">. Scholarship has </w:t>
      </w:r>
      <w:r w:rsidR="00487D30">
        <w:rPr>
          <w:lang w:val="en-US"/>
        </w:rPr>
        <w:t>generally</w:t>
      </w:r>
      <w:r w:rsidR="00487D30" w:rsidRPr="00E1287C">
        <w:rPr>
          <w:lang w:val="en-US"/>
        </w:rPr>
        <w:t xml:space="preserve"> </w:t>
      </w:r>
      <w:r w:rsidR="00487D30">
        <w:rPr>
          <w:lang w:val="en-US"/>
        </w:rPr>
        <w:t>regarded</w:t>
      </w:r>
      <w:r w:rsidR="00487D30" w:rsidRPr="00E1287C">
        <w:rPr>
          <w:lang w:val="en-US"/>
        </w:rPr>
        <w:t xml:space="preserve"> </w:t>
      </w:r>
      <w:r w:rsidR="00487D30">
        <w:rPr>
          <w:lang w:val="en-US"/>
        </w:rPr>
        <w:t xml:space="preserve">the </w:t>
      </w:r>
      <w:r w:rsidRPr="00E1287C">
        <w:rPr>
          <w:lang w:val="en-US"/>
        </w:rPr>
        <w:t>iambic genre as a loose network of poems without fixed shared characteristics. I argue that this is due</w:t>
      </w:r>
      <w:r w:rsidR="00487D30">
        <w:rPr>
          <w:lang w:val="en-US"/>
        </w:rPr>
        <w:t>, paradoxically,</w:t>
      </w:r>
      <w:r w:rsidRPr="00E1287C">
        <w:rPr>
          <w:lang w:val="en-US"/>
        </w:rPr>
        <w:t xml:space="preserve"> to the fact that variety is one of the main features of the genre. Callimachus revives this interest in variety through his </w:t>
      </w:r>
      <w:r w:rsidRPr="00E1287C">
        <w:rPr>
          <w:i/>
          <w:iCs/>
          <w:lang w:val="en-US"/>
        </w:rPr>
        <w:t>Iambi</w:t>
      </w:r>
      <w:r w:rsidRPr="00E1287C">
        <w:rPr>
          <w:lang w:val="en-US"/>
        </w:rPr>
        <w:t xml:space="preserve">, at a time when the mainstream poetic tradition had reduced iambs to abusive poetry. Furthermore, I suggest that the use of linguistic variety </w:t>
      </w:r>
      <w:r w:rsidR="00487D30">
        <w:rPr>
          <w:lang w:val="en-US"/>
        </w:rPr>
        <w:t>also fits with</w:t>
      </w:r>
      <w:r w:rsidRPr="00E1287C">
        <w:rPr>
          <w:lang w:val="en-US"/>
        </w:rPr>
        <w:t xml:space="preserve"> iambic poetry</w:t>
      </w:r>
      <w:r w:rsidR="00075F5F">
        <w:rPr>
          <w:lang w:val="en-US"/>
        </w:rPr>
        <w:t>’</w:t>
      </w:r>
      <w:r w:rsidR="00487D30">
        <w:rPr>
          <w:lang w:val="en-US"/>
        </w:rPr>
        <w:t>s social function</w:t>
      </w:r>
      <w:r w:rsidRPr="00E1287C">
        <w:rPr>
          <w:lang w:val="en-US"/>
        </w:rPr>
        <w:t>: iambic texts have an educational and, especially, moralising purpose</w:t>
      </w:r>
      <w:r w:rsidR="00487D30">
        <w:rPr>
          <w:lang w:val="en-US"/>
        </w:rPr>
        <w:t xml:space="preserve">, </w:t>
      </w:r>
      <w:r w:rsidRPr="00E1287C">
        <w:rPr>
          <w:lang w:val="en-US"/>
        </w:rPr>
        <w:t>which the later (post-Hellenistic) evidence confirms.</w:t>
      </w:r>
    </w:p>
    <w:p w14:paraId="33F69CE3" w14:textId="050E1CA6" w:rsidR="007F4100" w:rsidRDefault="007F4100">
      <w:pPr>
        <w:tabs>
          <w:tab w:val="clear" w:pos="425"/>
        </w:tabs>
        <w:spacing w:line="240" w:lineRule="auto"/>
        <w:jc w:val="left"/>
        <w:rPr>
          <w:highlight w:val="yellow"/>
        </w:rPr>
      </w:pPr>
      <w:r>
        <w:rPr>
          <w:highlight w:val="yellow"/>
        </w:rPr>
        <w:br w:type="page"/>
      </w:r>
    </w:p>
    <w:p w14:paraId="69436CFD" w14:textId="77777777" w:rsidR="00796AA1" w:rsidRPr="005C0ADB" w:rsidRDefault="00796AA1" w:rsidP="007F4100">
      <w:pPr>
        <w:spacing w:after="800"/>
        <w:jc w:val="center"/>
        <w:rPr>
          <w:b/>
          <w:bCs/>
          <w:szCs w:val="24"/>
          <w:lang w:val="en-US"/>
        </w:rPr>
      </w:pPr>
      <w:r w:rsidRPr="005C0ADB">
        <w:rPr>
          <w:b/>
          <w:bCs/>
          <w:szCs w:val="24"/>
          <w:lang w:val="en-US"/>
        </w:rPr>
        <w:lastRenderedPageBreak/>
        <w:t>Acknowledgements</w:t>
      </w:r>
    </w:p>
    <w:p w14:paraId="64862ACC" w14:textId="77777777" w:rsidR="00796AA1" w:rsidRPr="005C0ADB" w:rsidRDefault="00796AA1" w:rsidP="00796AA1">
      <w:pPr>
        <w:rPr>
          <w:szCs w:val="24"/>
          <w:lang w:val="en-US"/>
        </w:rPr>
      </w:pPr>
      <w:r w:rsidRPr="005C0ADB">
        <w:rPr>
          <w:szCs w:val="24"/>
          <w:lang w:val="en-US"/>
        </w:rPr>
        <w:t>Four years ago, I enrolled as a PhD student in the Department of Classics at Trinity College Dublin, and my life changed.</w:t>
      </w:r>
    </w:p>
    <w:p w14:paraId="0A24BA77" w14:textId="77777777" w:rsidR="00796AA1" w:rsidRPr="005C0ADB" w:rsidRDefault="00796AA1" w:rsidP="00796AA1">
      <w:pPr>
        <w:rPr>
          <w:szCs w:val="24"/>
          <w:lang w:val="en-US"/>
        </w:rPr>
      </w:pPr>
    </w:p>
    <w:p w14:paraId="3E121F5A" w14:textId="0A406A73" w:rsidR="00796AA1" w:rsidRPr="005C0ADB" w:rsidRDefault="00796AA1" w:rsidP="00796AA1">
      <w:pPr>
        <w:rPr>
          <w:szCs w:val="24"/>
          <w:lang w:val="en-US"/>
        </w:rPr>
      </w:pPr>
      <w:r w:rsidRPr="005C0ADB">
        <w:rPr>
          <w:szCs w:val="24"/>
          <w:lang w:val="en-US"/>
        </w:rPr>
        <w:t xml:space="preserve">Today I am grateful for this change, and I firstly want to thank my supervisor, </w:t>
      </w:r>
      <w:r w:rsidR="00487D30">
        <w:rPr>
          <w:szCs w:val="24"/>
          <w:lang w:val="en-US"/>
        </w:rPr>
        <w:br/>
      </w:r>
      <w:r w:rsidRPr="005C0ADB">
        <w:rPr>
          <w:szCs w:val="24"/>
          <w:lang w:val="en-US"/>
        </w:rPr>
        <w:t xml:space="preserve">Dr Martine Cuypers, who has supported me in both my educational </w:t>
      </w:r>
      <w:r w:rsidR="00487D30">
        <w:rPr>
          <w:szCs w:val="24"/>
          <w:lang w:val="en-US"/>
        </w:rPr>
        <w:t>journey</w:t>
      </w:r>
      <w:r w:rsidR="00487D30" w:rsidRPr="005C0ADB">
        <w:rPr>
          <w:szCs w:val="24"/>
          <w:lang w:val="en-US"/>
        </w:rPr>
        <w:t xml:space="preserve"> </w:t>
      </w:r>
      <w:r w:rsidRPr="005C0ADB">
        <w:rPr>
          <w:szCs w:val="24"/>
          <w:lang w:val="en-US"/>
        </w:rPr>
        <w:t xml:space="preserve">and my personal development, since she taught me that literature, as life, is a matter of perspective and daily learning. I have to thank also Professor Anna Chahoud for her academic advice and for speaking Italian with me, making me feel comfortable even when I was </w:t>
      </w:r>
      <w:r w:rsidR="00E0254B">
        <w:rPr>
          <w:szCs w:val="24"/>
          <w:lang w:val="en-US"/>
        </w:rPr>
        <w:t>ill at ease</w:t>
      </w:r>
      <w:r w:rsidRPr="005C0ADB">
        <w:rPr>
          <w:szCs w:val="24"/>
          <w:lang w:val="en-US"/>
        </w:rPr>
        <w:t>.</w:t>
      </w:r>
    </w:p>
    <w:p w14:paraId="58499B68" w14:textId="77777777" w:rsidR="00796AA1" w:rsidRPr="005C0ADB" w:rsidRDefault="00796AA1" w:rsidP="00796AA1">
      <w:pPr>
        <w:rPr>
          <w:szCs w:val="24"/>
          <w:lang w:val="en-US"/>
        </w:rPr>
      </w:pPr>
    </w:p>
    <w:p w14:paraId="1ADBCB36" w14:textId="2170E59A" w:rsidR="00796AA1" w:rsidRPr="005C0ADB" w:rsidRDefault="00796AA1" w:rsidP="00796AA1">
      <w:pPr>
        <w:rPr>
          <w:szCs w:val="24"/>
          <w:lang w:val="en-US"/>
        </w:rPr>
      </w:pPr>
      <w:r w:rsidRPr="005C0ADB">
        <w:rPr>
          <w:szCs w:val="24"/>
          <w:lang w:val="en-US"/>
        </w:rPr>
        <w:t xml:space="preserve">I also would like to thank </w:t>
      </w:r>
      <w:r w:rsidR="00E0254B">
        <w:rPr>
          <w:szCs w:val="24"/>
          <w:lang w:val="en-US"/>
        </w:rPr>
        <w:t>Professor</w:t>
      </w:r>
      <w:r w:rsidRPr="005C0ADB">
        <w:rPr>
          <w:szCs w:val="24"/>
          <w:lang w:val="en-US"/>
        </w:rPr>
        <w:t xml:space="preserve"> Philomen Probert and Professor Eleanor Dickey for their help in finding the right direction </w:t>
      </w:r>
      <w:r w:rsidR="00E22E35">
        <w:rPr>
          <w:szCs w:val="24"/>
          <w:lang w:val="en-US"/>
        </w:rPr>
        <w:t>for</w:t>
      </w:r>
      <w:r w:rsidR="00E22E35" w:rsidRPr="005C0ADB">
        <w:rPr>
          <w:szCs w:val="24"/>
          <w:lang w:val="en-US"/>
        </w:rPr>
        <w:t xml:space="preserve"> </w:t>
      </w:r>
      <w:r w:rsidRPr="005C0ADB">
        <w:rPr>
          <w:szCs w:val="24"/>
          <w:lang w:val="en-US"/>
        </w:rPr>
        <w:t>my work through chats in Oxford, and Professor Andreas Willi for reflecting with me on the difference</w:t>
      </w:r>
      <w:r w:rsidR="00E22E35">
        <w:rPr>
          <w:szCs w:val="24"/>
          <w:lang w:val="en-US"/>
        </w:rPr>
        <w:t>s</w:t>
      </w:r>
      <w:r w:rsidRPr="005C0ADB">
        <w:rPr>
          <w:szCs w:val="24"/>
          <w:lang w:val="en-US"/>
        </w:rPr>
        <w:t xml:space="preserve"> between iambic and comic language.</w:t>
      </w:r>
    </w:p>
    <w:p w14:paraId="7D0F95B4" w14:textId="77777777" w:rsidR="00796AA1" w:rsidRPr="005C0ADB" w:rsidRDefault="00796AA1" w:rsidP="00796AA1">
      <w:pPr>
        <w:rPr>
          <w:szCs w:val="24"/>
          <w:lang w:val="en-US"/>
        </w:rPr>
      </w:pPr>
    </w:p>
    <w:p w14:paraId="59EF1858" w14:textId="03250949" w:rsidR="00796AA1" w:rsidRPr="005C0ADB" w:rsidRDefault="00796AA1" w:rsidP="00796AA1">
      <w:pPr>
        <w:rPr>
          <w:szCs w:val="24"/>
          <w:lang w:val="en-US"/>
        </w:rPr>
      </w:pPr>
      <w:r w:rsidRPr="005C0ADB">
        <w:rPr>
          <w:szCs w:val="24"/>
          <w:lang w:val="en-US"/>
        </w:rPr>
        <w:t xml:space="preserve">Finally I owe respect and gratitude to my MA supervisor at </w:t>
      </w:r>
      <w:r w:rsidR="00E22E35">
        <w:rPr>
          <w:szCs w:val="24"/>
          <w:lang w:val="en-US"/>
        </w:rPr>
        <w:t xml:space="preserve">the </w:t>
      </w:r>
      <w:r w:rsidRPr="005C0ADB">
        <w:rPr>
          <w:szCs w:val="24"/>
          <w:lang w:val="en-US"/>
        </w:rPr>
        <w:t>Università Cattolica del Sacro Cuore di Milano, Professor Antonietta Porro, for training me so that I started this adventure with the right preparation.</w:t>
      </w:r>
    </w:p>
    <w:p w14:paraId="4485CED8" w14:textId="77777777" w:rsidR="00796AA1" w:rsidRPr="005C0ADB" w:rsidRDefault="00796AA1" w:rsidP="00796AA1">
      <w:pPr>
        <w:rPr>
          <w:szCs w:val="24"/>
          <w:lang w:val="en-US"/>
        </w:rPr>
      </w:pPr>
    </w:p>
    <w:p w14:paraId="5C5D1D5E" w14:textId="79BA6712" w:rsidR="00796AA1" w:rsidRPr="005C0ADB" w:rsidRDefault="00796AA1" w:rsidP="00796AA1">
      <w:pPr>
        <w:rPr>
          <w:szCs w:val="24"/>
          <w:lang w:val="en-US"/>
        </w:rPr>
      </w:pPr>
      <w:r w:rsidRPr="005C0ADB">
        <w:rPr>
          <w:szCs w:val="24"/>
          <w:lang w:val="en-US"/>
        </w:rPr>
        <w:t xml:space="preserve">My PhD experience has been financially supported by </w:t>
      </w:r>
      <w:r w:rsidR="00E22E35">
        <w:rPr>
          <w:szCs w:val="24"/>
          <w:lang w:val="en-US"/>
        </w:rPr>
        <w:t xml:space="preserve">a Government of Ireland Postgraduate Research Scholarship from </w:t>
      </w:r>
      <w:r w:rsidRPr="005C0ADB">
        <w:rPr>
          <w:szCs w:val="24"/>
          <w:lang w:val="en-US"/>
        </w:rPr>
        <w:t xml:space="preserve">the Irish Research Council, which I was privileged to </w:t>
      </w:r>
      <w:r w:rsidR="00E22E35">
        <w:rPr>
          <w:szCs w:val="24"/>
          <w:lang w:val="en-US"/>
        </w:rPr>
        <w:t>hold</w:t>
      </w:r>
      <w:r w:rsidRPr="005C0ADB">
        <w:rPr>
          <w:szCs w:val="24"/>
          <w:lang w:val="en-US"/>
        </w:rPr>
        <w:t>, and has benefited from the stimulating environment of the Trinity Long Room Hub.</w:t>
      </w:r>
    </w:p>
    <w:p w14:paraId="7B3C8460" w14:textId="77777777" w:rsidR="00796AA1" w:rsidRPr="005C0ADB" w:rsidRDefault="00796AA1" w:rsidP="00796AA1">
      <w:pPr>
        <w:rPr>
          <w:szCs w:val="24"/>
          <w:lang w:val="en-US"/>
        </w:rPr>
      </w:pPr>
    </w:p>
    <w:p w14:paraId="06BD9F1B" w14:textId="77777777" w:rsidR="00796AA1" w:rsidRPr="005C0ADB" w:rsidRDefault="00796AA1" w:rsidP="00796AA1">
      <w:pPr>
        <w:jc w:val="right"/>
        <w:rPr>
          <w:szCs w:val="24"/>
          <w:lang w:val="en-US"/>
        </w:rPr>
      </w:pPr>
      <w:r w:rsidRPr="005C0ADB">
        <w:rPr>
          <w:szCs w:val="24"/>
          <w:lang w:val="en-US"/>
        </w:rPr>
        <w:t>Dublin, June 2017</w:t>
      </w:r>
    </w:p>
    <w:p w14:paraId="0C5AE475" w14:textId="4B2C0FAE" w:rsidR="00796AA1" w:rsidRDefault="00796AA1" w:rsidP="007F4100">
      <w:pPr>
        <w:jc w:val="right"/>
        <w:rPr>
          <w:b/>
          <w:sz w:val="28"/>
          <w:szCs w:val="28"/>
        </w:rPr>
      </w:pPr>
      <w:r w:rsidRPr="005C0ADB">
        <w:rPr>
          <w:szCs w:val="24"/>
          <w:lang w:val="en-US"/>
        </w:rPr>
        <w:t>Clara Felisari</w:t>
      </w:r>
    </w:p>
    <w:p w14:paraId="7E089903" w14:textId="77777777" w:rsidR="007F4100" w:rsidRDefault="007F4100">
      <w:pPr>
        <w:tabs>
          <w:tab w:val="clear" w:pos="425"/>
        </w:tabs>
        <w:spacing w:line="240" w:lineRule="auto"/>
        <w:jc w:val="left"/>
        <w:rPr>
          <w:rFonts w:cs="Times New Roman"/>
          <w:b/>
          <w:bCs/>
          <w:sz w:val="36"/>
          <w:szCs w:val="36"/>
        </w:rPr>
      </w:pPr>
      <w:r>
        <w:rPr>
          <w:rFonts w:cs="Times New Roman"/>
          <w:b/>
          <w:bCs/>
          <w:sz w:val="36"/>
          <w:szCs w:val="36"/>
        </w:rPr>
        <w:br w:type="page"/>
      </w:r>
    </w:p>
    <w:p w14:paraId="3AFE4971" w14:textId="746266A4" w:rsidR="000D513A" w:rsidRPr="00FA2C29" w:rsidRDefault="000D513A" w:rsidP="00695A7C">
      <w:pPr>
        <w:spacing w:before="400" w:after="800"/>
        <w:jc w:val="center"/>
        <w:rPr>
          <w:rFonts w:cs="Times New Roman"/>
          <w:b/>
          <w:bCs/>
          <w:sz w:val="36"/>
          <w:szCs w:val="36"/>
        </w:rPr>
      </w:pPr>
      <w:r w:rsidRPr="00FA2C29">
        <w:rPr>
          <w:rFonts w:cs="Times New Roman"/>
          <w:b/>
          <w:bCs/>
          <w:sz w:val="36"/>
          <w:szCs w:val="36"/>
        </w:rPr>
        <w:lastRenderedPageBreak/>
        <w:t>Contents</w:t>
      </w:r>
    </w:p>
    <w:p w14:paraId="1FA4ABC5" w14:textId="77777777" w:rsidR="000D513A" w:rsidRPr="00427637" w:rsidRDefault="000D513A" w:rsidP="006747C4">
      <w:pPr>
        <w:tabs>
          <w:tab w:val="right" w:leader="dot" w:pos="7797"/>
          <w:tab w:val="right" w:pos="8222"/>
        </w:tabs>
        <w:rPr>
          <w:rFonts w:cs="Times New Roman"/>
        </w:rPr>
      </w:pPr>
      <w:r w:rsidRPr="00427637">
        <w:rPr>
          <w:rFonts w:cs="Times New Roman"/>
        </w:rPr>
        <w:t xml:space="preserve">Introduction </w:t>
      </w:r>
      <w:r w:rsidRPr="00427637">
        <w:rPr>
          <w:rFonts w:cs="Times New Roman"/>
        </w:rPr>
        <w:tab/>
      </w:r>
      <w:r w:rsidRPr="00427637">
        <w:rPr>
          <w:rFonts w:cs="Times New Roman"/>
        </w:rPr>
        <w:tab/>
        <w:t>1</w:t>
      </w:r>
    </w:p>
    <w:p w14:paraId="0B5E7964" w14:textId="77777777" w:rsidR="000D513A" w:rsidRPr="00427637" w:rsidRDefault="000D513A" w:rsidP="006747C4">
      <w:pPr>
        <w:tabs>
          <w:tab w:val="right" w:leader="dot" w:pos="7797"/>
          <w:tab w:val="right" w:pos="8222"/>
        </w:tabs>
        <w:rPr>
          <w:rFonts w:cs="Times New Roman"/>
        </w:rPr>
      </w:pPr>
    </w:p>
    <w:p w14:paraId="4263961E" w14:textId="3FC702E0" w:rsidR="000D513A" w:rsidRPr="00635E48" w:rsidRDefault="00E125F9" w:rsidP="006747C4">
      <w:pPr>
        <w:tabs>
          <w:tab w:val="right" w:leader="dot" w:pos="7796"/>
          <w:tab w:val="right" w:pos="8222"/>
        </w:tabs>
        <w:rPr>
          <w:rFonts w:cs="Times New Roman"/>
          <w:b/>
        </w:rPr>
      </w:pPr>
      <w:r>
        <w:rPr>
          <w:rFonts w:cs="Times New Roman"/>
          <w:b/>
        </w:rPr>
        <w:t>1. Morphology and Lexicon</w:t>
      </w:r>
      <w:r>
        <w:rPr>
          <w:rFonts w:cs="Times New Roman"/>
          <w:b/>
        </w:rPr>
        <w:tab/>
      </w:r>
      <w:r>
        <w:rPr>
          <w:rFonts w:cs="Times New Roman"/>
          <w:b/>
        </w:rPr>
        <w:tab/>
      </w:r>
      <w:r w:rsidR="00D47611">
        <w:rPr>
          <w:rFonts w:cs="Times New Roman"/>
          <w:b/>
        </w:rPr>
        <w:t>10</w:t>
      </w:r>
    </w:p>
    <w:p w14:paraId="0182DDDC" w14:textId="5CF31C20" w:rsidR="000D513A" w:rsidRDefault="000D513A" w:rsidP="00F56C73">
      <w:pPr>
        <w:pStyle w:val="ListParagraph"/>
        <w:numPr>
          <w:ilvl w:val="1"/>
          <w:numId w:val="17"/>
        </w:numPr>
        <w:tabs>
          <w:tab w:val="clear" w:pos="5387"/>
          <w:tab w:val="left" w:pos="993"/>
          <w:tab w:val="right" w:leader="dot" w:pos="7796"/>
          <w:tab w:val="right" w:pos="8222"/>
        </w:tabs>
        <w:ind w:left="425" w:hanging="425"/>
      </w:pPr>
      <w:r w:rsidRPr="00427637">
        <w:t xml:space="preserve">The Base Language of </w:t>
      </w:r>
      <w:r>
        <w:t xml:space="preserve">Archilochus, Hipponax and </w:t>
      </w:r>
      <w:r w:rsidRPr="00427637">
        <w:t>Callimachus</w:t>
      </w:r>
      <w:r w:rsidR="00075F5F">
        <w:t>’</w:t>
      </w:r>
      <w:r w:rsidRPr="00427637">
        <w:t xml:space="preserve"> </w:t>
      </w:r>
      <w:r w:rsidRPr="00427637">
        <w:rPr>
          <w:i/>
        </w:rPr>
        <w:t xml:space="preserve">Iambi </w:t>
      </w:r>
      <w:r w:rsidR="00E125F9">
        <w:tab/>
      </w:r>
      <w:r w:rsidR="00E125F9">
        <w:tab/>
      </w:r>
      <w:r w:rsidR="00D47611">
        <w:t>10</w:t>
      </w:r>
    </w:p>
    <w:p w14:paraId="1485F60D" w14:textId="6AE2E4C5" w:rsidR="000D513A" w:rsidRPr="00427637" w:rsidRDefault="000D513A" w:rsidP="00F56C73">
      <w:pPr>
        <w:pStyle w:val="ListParagraph"/>
        <w:numPr>
          <w:ilvl w:val="1"/>
          <w:numId w:val="17"/>
        </w:numPr>
        <w:tabs>
          <w:tab w:val="clear" w:pos="5387"/>
          <w:tab w:val="left" w:pos="993"/>
          <w:tab w:val="right" w:leader="dot" w:pos="7797"/>
          <w:tab w:val="right" w:pos="8222"/>
        </w:tabs>
        <w:ind w:left="425" w:hanging="425"/>
      </w:pPr>
      <w:r>
        <w:t xml:space="preserve">Word </w:t>
      </w:r>
      <w:r w:rsidR="00E125F9">
        <w:t xml:space="preserve">Formation </w:t>
      </w:r>
      <w:r w:rsidR="00E125F9">
        <w:tab/>
      </w:r>
      <w:r w:rsidR="00E125F9">
        <w:tab/>
      </w:r>
      <w:r w:rsidR="00D47611">
        <w:t>17</w:t>
      </w:r>
    </w:p>
    <w:p w14:paraId="723CFBE1" w14:textId="5080D298" w:rsidR="000D513A" w:rsidRPr="00427637" w:rsidRDefault="00E125F9" w:rsidP="00F56C73">
      <w:pPr>
        <w:pStyle w:val="ListParagraph"/>
        <w:numPr>
          <w:ilvl w:val="1"/>
          <w:numId w:val="17"/>
        </w:numPr>
        <w:tabs>
          <w:tab w:val="clear" w:pos="5387"/>
          <w:tab w:val="left" w:pos="993"/>
          <w:tab w:val="right" w:leader="dot" w:pos="7797"/>
          <w:tab w:val="right" w:pos="8222"/>
        </w:tabs>
        <w:ind w:left="425" w:hanging="425"/>
      </w:pPr>
      <w:r>
        <w:t xml:space="preserve">Compound Words </w:t>
      </w:r>
      <w:r>
        <w:tab/>
      </w:r>
      <w:r>
        <w:tab/>
      </w:r>
      <w:r w:rsidR="00D47611">
        <w:t>20</w:t>
      </w:r>
    </w:p>
    <w:p w14:paraId="2897E40F" w14:textId="3EE49252" w:rsidR="000D513A" w:rsidRPr="00427637" w:rsidRDefault="00E125F9" w:rsidP="00F56C73">
      <w:pPr>
        <w:pStyle w:val="ListParagraph"/>
        <w:numPr>
          <w:ilvl w:val="1"/>
          <w:numId w:val="17"/>
        </w:numPr>
        <w:tabs>
          <w:tab w:val="clear" w:pos="5387"/>
          <w:tab w:val="right" w:leader="dot" w:pos="7796"/>
          <w:tab w:val="right" w:pos="8222"/>
        </w:tabs>
        <w:ind w:left="425" w:hanging="425"/>
      </w:pPr>
      <w:r>
        <w:t xml:space="preserve">Heteroclisis </w:t>
      </w:r>
      <w:r>
        <w:tab/>
      </w:r>
      <w:r>
        <w:tab/>
      </w:r>
      <w:r w:rsidR="00D47611">
        <w:t>35</w:t>
      </w:r>
    </w:p>
    <w:p w14:paraId="6614D250" w14:textId="3CAB1751" w:rsidR="000D513A" w:rsidRPr="00427637" w:rsidRDefault="004D0056" w:rsidP="00F56C73">
      <w:pPr>
        <w:pStyle w:val="ListParagraph"/>
        <w:numPr>
          <w:ilvl w:val="1"/>
          <w:numId w:val="17"/>
        </w:numPr>
        <w:tabs>
          <w:tab w:val="clear" w:pos="5387"/>
          <w:tab w:val="right" w:leader="dot" w:pos="7796"/>
          <w:tab w:val="right" w:pos="8222"/>
        </w:tabs>
        <w:ind w:left="425" w:hanging="425"/>
      </w:pPr>
      <w:r>
        <w:rPr>
          <w:i/>
        </w:rPr>
        <w:t>Hapax L</w:t>
      </w:r>
      <w:r w:rsidR="000D513A" w:rsidRPr="00427637">
        <w:rPr>
          <w:i/>
        </w:rPr>
        <w:t xml:space="preserve">egomena </w:t>
      </w:r>
      <w:r w:rsidR="00E125F9">
        <w:tab/>
      </w:r>
      <w:r w:rsidR="00E125F9">
        <w:tab/>
      </w:r>
      <w:r w:rsidR="00D47611">
        <w:t>40</w:t>
      </w:r>
    </w:p>
    <w:p w14:paraId="47D5301D" w14:textId="1B944175" w:rsidR="000D513A" w:rsidRPr="00427637" w:rsidRDefault="000D513A" w:rsidP="00F56C73">
      <w:pPr>
        <w:pStyle w:val="ListParagraph"/>
        <w:numPr>
          <w:ilvl w:val="1"/>
          <w:numId w:val="17"/>
        </w:numPr>
        <w:tabs>
          <w:tab w:val="clear" w:pos="5387"/>
          <w:tab w:val="left" w:pos="993"/>
          <w:tab w:val="right" w:leader="dot" w:pos="7796"/>
          <w:tab w:val="left" w:pos="7938"/>
          <w:tab w:val="right" w:pos="8222"/>
        </w:tabs>
        <w:ind w:left="425" w:hanging="425"/>
        <w:rPr>
          <w:i/>
        </w:rPr>
      </w:pPr>
      <w:r>
        <w:t xml:space="preserve">Word Patterns in Archilochus, Hipponax and </w:t>
      </w:r>
      <w:r w:rsidRPr="00427637">
        <w:t>Callimachus</w:t>
      </w:r>
      <w:r w:rsidR="00075F5F">
        <w:t>’</w:t>
      </w:r>
      <w:r w:rsidRPr="00427637">
        <w:t xml:space="preserve"> </w:t>
      </w:r>
      <w:r w:rsidRPr="00C82B71">
        <w:rPr>
          <w:i/>
        </w:rPr>
        <w:t>Iambi</w:t>
      </w:r>
      <w:r w:rsidR="00E125F9">
        <w:tab/>
      </w:r>
      <w:r w:rsidR="00E125F9">
        <w:tab/>
      </w:r>
      <w:r w:rsidR="00E125F9">
        <w:tab/>
      </w:r>
      <w:r w:rsidR="00D47611">
        <w:t>44</w:t>
      </w:r>
      <w:r w:rsidR="00D47611" w:rsidRPr="00427637">
        <w:t xml:space="preserve"> </w:t>
      </w:r>
    </w:p>
    <w:p w14:paraId="30B78B14" w14:textId="0D0EBE74" w:rsidR="00E125F9" w:rsidRPr="00E125F9" w:rsidRDefault="000D513A" w:rsidP="00F56C73">
      <w:pPr>
        <w:pStyle w:val="ListParagraph"/>
        <w:numPr>
          <w:ilvl w:val="2"/>
          <w:numId w:val="17"/>
        </w:numPr>
        <w:tabs>
          <w:tab w:val="clear" w:pos="5387"/>
          <w:tab w:val="right" w:leader="dot" w:pos="7796"/>
          <w:tab w:val="right" w:pos="8222"/>
        </w:tabs>
        <w:ind w:left="1049" w:hanging="624"/>
        <w:rPr>
          <w:i/>
        </w:rPr>
      </w:pPr>
      <w:r>
        <w:t>Words Concerning Everyday Life</w:t>
      </w:r>
      <w:r w:rsidR="006747C4">
        <w:t xml:space="preserve"> </w:t>
      </w:r>
      <w:r w:rsidR="006747C4">
        <w:tab/>
      </w:r>
      <w:r w:rsidR="006747C4">
        <w:tab/>
      </w:r>
      <w:r w:rsidR="00D47611">
        <w:t>44</w:t>
      </w:r>
    </w:p>
    <w:p w14:paraId="135965C8" w14:textId="5111EDAE" w:rsidR="006747C4" w:rsidRPr="006747C4" w:rsidRDefault="000D513A" w:rsidP="00F56C73">
      <w:pPr>
        <w:pStyle w:val="ListParagraph"/>
        <w:numPr>
          <w:ilvl w:val="2"/>
          <w:numId w:val="17"/>
        </w:numPr>
        <w:tabs>
          <w:tab w:val="clear" w:pos="5387"/>
          <w:tab w:val="right" w:leader="dot" w:pos="7796"/>
          <w:tab w:val="right" w:pos="8222"/>
        </w:tabs>
        <w:ind w:left="1049" w:hanging="624"/>
        <w:rPr>
          <w:i/>
        </w:rPr>
      </w:pPr>
      <w:r w:rsidRPr="00E125F9">
        <w:t xml:space="preserve">Words Referring to </w:t>
      </w:r>
      <w:r w:rsidR="00E125F9" w:rsidRPr="00E125F9">
        <w:t xml:space="preserve">Lack of Good Sense </w:t>
      </w:r>
      <w:r w:rsidR="006747C4">
        <w:tab/>
      </w:r>
      <w:r w:rsidR="006747C4">
        <w:tab/>
      </w:r>
      <w:r w:rsidR="00D47611" w:rsidRPr="00E125F9">
        <w:t>5</w:t>
      </w:r>
      <w:r w:rsidR="00D47611">
        <w:t>2</w:t>
      </w:r>
    </w:p>
    <w:p w14:paraId="4EF3F146" w14:textId="7941264B" w:rsidR="000D513A" w:rsidRPr="006747C4" w:rsidRDefault="000D513A" w:rsidP="00F56C73">
      <w:pPr>
        <w:pStyle w:val="ListParagraph"/>
        <w:numPr>
          <w:ilvl w:val="2"/>
          <w:numId w:val="17"/>
        </w:numPr>
        <w:tabs>
          <w:tab w:val="clear" w:pos="5387"/>
          <w:tab w:val="right" w:leader="dot" w:pos="7796"/>
          <w:tab w:val="right" w:pos="8222"/>
        </w:tabs>
        <w:ind w:left="1049" w:hanging="624"/>
        <w:rPr>
          <w:i/>
        </w:rPr>
      </w:pPr>
      <w:r w:rsidRPr="006747C4">
        <w:t xml:space="preserve">Colloquialisms </w:t>
      </w:r>
      <w:r w:rsidR="006747C4" w:rsidRPr="006747C4">
        <w:tab/>
      </w:r>
      <w:r w:rsidR="006747C4" w:rsidRPr="006747C4">
        <w:tab/>
      </w:r>
      <w:r w:rsidR="00D47611" w:rsidRPr="006747C4">
        <w:t>6</w:t>
      </w:r>
      <w:r w:rsidR="00D47611">
        <w:t>0</w:t>
      </w:r>
    </w:p>
    <w:p w14:paraId="7F7BE431" w14:textId="2F7D5726" w:rsidR="000D513A" w:rsidRPr="00C82B71" w:rsidRDefault="000D513A" w:rsidP="00F56C73">
      <w:pPr>
        <w:pStyle w:val="ListParagraph"/>
        <w:numPr>
          <w:ilvl w:val="1"/>
          <w:numId w:val="17"/>
        </w:numPr>
        <w:tabs>
          <w:tab w:val="clear" w:pos="5387"/>
          <w:tab w:val="right" w:leader="dot" w:pos="7796"/>
          <w:tab w:val="right" w:pos="8222"/>
        </w:tabs>
        <w:ind w:left="425" w:hanging="425"/>
      </w:pPr>
      <w:r>
        <w:t xml:space="preserve">The Lexical </w:t>
      </w:r>
      <w:r w:rsidRPr="00C82B71">
        <w:rPr>
          <w:i/>
        </w:rPr>
        <w:t>Poikilía</w:t>
      </w:r>
      <w:r>
        <w:t xml:space="preserve"> of Callimachus</w:t>
      </w:r>
      <w:r w:rsidR="00075F5F">
        <w:t>’</w:t>
      </w:r>
      <w:r>
        <w:t xml:space="preserve"> </w:t>
      </w:r>
      <w:r w:rsidRPr="008B38A2">
        <w:rPr>
          <w:i/>
        </w:rPr>
        <w:t>Iambi</w:t>
      </w:r>
      <w:r w:rsidR="006747C4">
        <w:t xml:space="preserve"> </w:t>
      </w:r>
      <w:r w:rsidR="006747C4">
        <w:tab/>
      </w:r>
      <w:r w:rsidR="006747C4">
        <w:tab/>
      </w:r>
      <w:r w:rsidR="00D47611">
        <w:t>65</w:t>
      </w:r>
    </w:p>
    <w:p w14:paraId="40AF80A1" w14:textId="76851AE1" w:rsidR="00E125F9" w:rsidRDefault="00E125F9" w:rsidP="00F56C73">
      <w:pPr>
        <w:pStyle w:val="ListParagraph"/>
        <w:numPr>
          <w:ilvl w:val="2"/>
          <w:numId w:val="17"/>
        </w:numPr>
        <w:tabs>
          <w:tab w:val="right" w:leader="dot" w:pos="7796"/>
          <w:tab w:val="right" w:pos="8222"/>
        </w:tabs>
        <w:ind w:left="1049" w:hanging="624"/>
      </w:pPr>
      <w:r w:rsidRPr="00E125F9">
        <w:rPr>
          <w:rFonts w:cstheme="majorBidi"/>
        </w:rPr>
        <w:t xml:space="preserve">Evidence of Multiple Influences on the Vocabulary of the </w:t>
      </w:r>
      <w:r w:rsidRPr="00E125F9">
        <w:rPr>
          <w:rFonts w:cstheme="majorBidi"/>
          <w:i/>
        </w:rPr>
        <w:t>Iambi</w:t>
      </w:r>
      <w:r w:rsidR="006747C4">
        <w:tab/>
      </w:r>
      <w:r w:rsidR="006747C4">
        <w:tab/>
      </w:r>
      <w:r w:rsidR="00D47611">
        <w:t>66</w:t>
      </w:r>
    </w:p>
    <w:p w14:paraId="73770B40" w14:textId="6B650DEA" w:rsidR="00E125F9" w:rsidRPr="00E125F9" w:rsidRDefault="00E125F9" w:rsidP="00F56C73">
      <w:pPr>
        <w:pStyle w:val="ListParagraph"/>
        <w:numPr>
          <w:ilvl w:val="2"/>
          <w:numId w:val="17"/>
        </w:numPr>
        <w:tabs>
          <w:tab w:val="right" w:leader="dot" w:pos="7796"/>
          <w:tab w:val="right" w:pos="8222"/>
        </w:tabs>
        <w:ind w:left="1049" w:hanging="624"/>
      </w:pPr>
      <w:r w:rsidRPr="00E125F9">
        <w:t>Theoretical Model for Understanding Callimachus</w:t>
      </w:r>
      <w:r w:rsidR="00075F5F">
        <w:t>’</w:t>
      </w:r>
      <w:r>
        <w:t xml:space="preserve"> </w:t>
      </w:r>
      <w:r>
        <w:rPr>
          <w:i/>
        </w:rPr>
        <w:t>P</w:t>
      </w:r>
      <w:r w:rsidRPr="00E125F9">
        <w:rPr>
          <w:i/>
        </w:rPr>
        <w:t>oikilía</w:t>
      </w:r>
      <w:r>
        <w:rPr>
          <w:i/>
        </w:rPr>
        <w:t xml:space="preserve"> </w:t>
      </w:r>
      <w:r w:rsidR="006747C4">
        <w:tab/>
      </w:r>
      <w:r w:rsidR="006747C4">
        <w:tab/>
      </w:r>
      <w:r w:rsidR="00D47611">
        <w:t>77</w:t>
      </w:r>
    </w:p>
    <w:p w14:paraId="4EEE1CDE" w14:textId="3D2C94EF" w:rsidR="000D513A" w:rsidRPr="00427637" w:rsidRDefault="006747C4" w:rsidP="006747C4">
      <w:pPr>
        <w:tabs>
          <w:tab w:val="right" w:leader="dot" w:pos="7796"/>
          <w:tab w:val="right" w:pos="8222"/>
        </w:tabs>
        <w:rPr>
          <w:rFonts w:cs="Times New Roman"/>
        </w:rPr>
      </w:pPr>
      <w:r>
        <w:rPr>
          <w:rFonts w:cs="Times New Roman"/>
        </w:rPr>
        <w:t xml:space="preserve">Summary </w:t>
      </w:r>
      <w:r>
        <w:rPr>
          <w:rFonts w:cs="Times New Roman"/>
        </w:rPr>
        <w:tab/>
      </w:r>
      <w:r>
        <w:rPr>
          <w:rFonts w:cs="Times New Roman"/>
        </w:rPr>
        <w:tab/>
      </w:r>
      <w:r w:rsidR="00D47611">
        <w:rPr>
          <w:rFonts w:cs="Times New Roman"/>
        </w:rPr>
        <w:t>84</w:t>
      </w:r>
    </w:p>
    <w:p w14:paraId="1FD64E3C" w14:textId="77777777" w:rsidR="000D513A" w:rsidRPr="00427637" w:rsidRDefault="000D513A" w:rsidP="006747C4">
      <w:pPr>
        <w:keepNext/>
        <w:tabs>
          <w:tab w:val="right" w:leader="dot" w:pos="7797"/>
          <w:tab w:val="right" w:pos="8222"/>
        </w:tabs>
        <w:rPr>
          <w:rFonts w:cs="Times New Roman"/>
        </w:rPr>
      </w:pPr>
    </w:p>
    <w:p w14:paraId="7B84289D" w14:textId="1303998B" w:rsidR="000D513A" w:rsidRPr="0004149D" w:rsidRDefault="000D513A" w:rsidP="006747C4">
      <w:pPr>
        <w:keepNext/>
        <w:tabs>
          <w:tab w:val="right" w:leader="dot" w:pos="7796"/>
          <w:tab w:val="right" w:pos="8222"/>
        </w:tabs>
        <w:rPr>
          <w:rFonts w:cs="Times New Roman"/>
          <w:b/>
        </w:rPr>
      </w:pPr>
      <w:r w:rsidRPr="00396AC0">
        <w:rPr>
          <w:rFonts w:cs="Times New Roman"/>
          <w:b/>
        </w:rPr>
        <w:t xml:space="preserve">2. Syntax </w:t>
      </w:r>
      <w:r w:rsidR="00322AEF">
        <w:rPr>
          <w:rFonts w:cs="Times New Roman"/>
          <w:b/>
        </w:rPr>
        <w:t>and Pragmatics</w:t>
      </w:r>
      <w:r w:rsidR="006747C4">
        <w:rPr>
          <w:rFonts w:cs="Times New Roman"/>
          <w:b/>
        </w:rPr>
        <w:t xml:space="preserve"> </w:t>
      </w:r>
      <w:r w:rsidR="00322AEF">
        <w:rPr>
          <w:rFonts w:cs="Times New Roman"/>
          <w:b/>
        </w:rPr>
        <w:tab/>
      </w:r>
      <w:r w:rsidR="006747C4">
        <w:rPr>
          <w:rFonts w:cs="Times New Roman"/>
          <w:b/>
        </w:rPr>
        <w:tab/>
      </w:r>
      <w:r w:rsidR="00D47611">
        <w:rPr>
          <w:rFonts w:cs="Times New Roman"/>
          <w:b/>
        </w:rPr>
        <w:t>85</w:t>
      </w:r>
    </w:p>
    <w:p w14:paraId="1817008E" w14:textId="2FB63129" w:rsidR="000D513A" w:rsidRPr="00D972F0" w:rsidRDefault="000D513A" w:rsidP="00F56C73">
      <w:pPr>
        <w:pStyle w:val="ListParagraph"/>
        <w:keepNext/>
        <w:numPr>
          <w:ilvl w:val="1"/>
          <w:numId w:val="18"/>
        </w:numPr>
        <w:tabs>
          <w:tab w:val="clear" w:pos="5387"/>
          <w:tab w:val="left" w:pos="993"/>
          <w:tab w:val="right" w:leader="dot" w:pos="7796"/>
          <w:tab w:val="right" w:pos="8222"/>
        </w:tabs>
        <w:ind w:left="425" w:hanging="425"/>
      </w:pPr>
      <w:r w:rsidRPr="00427637">
        <w:t>Deixis</w:t>
      </w:r>
      <w:r w:rsidR="006E0DCE">
        <w:t xml:space="preserve"> </w:t>
      </w:r>
      <w:r w:rsidR="006E0DCE">
        <w:tab/>
        <w:t xml:space="preserve"> </w:t>
      </w:r>
      <w:r w:rsidR="006E0DCE">
        <w:tab/>
      </w:r>
      <w:r w:rsidR="00D47611">
        <w:t>85</w:t>
      </w:r>
    </w:p>
    <w:p w14:paraId="457D0241" w14:textId="498F81E2" w:rsidR="000D513A" w:rsidRPr="00D972F0" w:rsidRDefault="000D513A" w:rsidP="00F56C73">
      <w:pPr>
        <w:pStyle w:val="ListParagraph"/>
        <w:numPr>
          <w:ilvl w:val="2"/>
          <w:numId w:val="18"/>
        </w:numPr>
        <w:tabs>
          <w:tab w:val="clear" w:pos="5387"/>
          <w:tab w:val="left" w:pos="1985"/>
          <w:tab w:val="right" w:leader="dot" w:pos="7796"/>
          <w:tab w:val="right" w:pos="8222"/>
        </w:tabs>
        <w:ind w:left="1049" w:hanging="624"/>
      </w:pPr>
      <w:r w:rsidRPr="00D972F0">
        <w:t xml:space="preserve">Introduction </w:t>
      </w:r>
      <w:r w:rsidRPr="00D972F0">
        <w:tab/>
      </w:r>
      <w:r w:rsidRPr="00D972F0">
        <w:tab/>
        <w:t xml:space="preserve"> </w:t>
      </w:r>
      <w:r w:rsidR="00D47611">
        <w:t>85</w:t>
      </w:r>
    </w:p>
    <w:p w14:paraId="67CC5A11" w14:textId="217697A4" w:rsidR="000D513A" w:rsidRPr="00D972F0" w:rsidRDefault="000D513A" w:rsidP="00F56C73">
      <w:pPr>
        <w:pStyle w:val="ListParagraph"/>
        <w:numPr>
          <w:ilvl w:val="2"/>
          <w:numId w:val="18"/>
        </w:numPr>
        <w:tabs>
          <w:tab w:val="right" w:leader="dot" w:pos="7796"/>
          <w:tab w:val="right" w:pos="8222"/>
        </w:tabs>
        <w:ind w:left="1049" w:hanging="624"/>
      </w:pPr>
      <w:r w:rsidRPr="00D972F0">
        <w:t>Deixis in Archilochus</w:t>
      </w:r>
      <w:r w:rsidR="006747C4">
        <w:t xml:space="preserve">, Hipponax, and Callimachus </w:t>
      </w:r>
      <w:r w:rsidR="006747C4">
        <w:tab/>
      </w:r>
      <w:r w:rsidR="006747C4">
        <w:tab/>
      </w:r>
      <w:r w:rsidR="00D47611">
        <w:t>88</w:t>
      </w:r>
    </w:p>
    <w:p w14:paraId="25A831F1" w14:textId="7E9B4F28" w:rsidR="000D513A" w:rsidRPr="002C57F5" w:rsidRDefault="000D513A" w:rsidP="00F56C73">
      <w:pPr>
        <w:pStyle w:val="ListParagraph"/>
        <w:numPr>
          <w:ilvl w:val="2"/>
          <w:numId w:val="18"/>
        </w:numPr>
        <w:tabs>
          <w:tab w:val="right" w:leader="dot" w:pos="7796"/>
          <w:tab w:val="right" w:pos="8222"/>
        </w:tabs>
        <w:ind w:left="1049" w:hanging="624"/>
      </w:pPr>
      <w:r w:rsidRPr="002C57F5">
        <w:t>The Speaker-Audience Relationsh</w:t>
      </w:r>
      <w:r w:rsidR="006747C4">
        <w:t xml:space="preserve">ip in Light of Spatial Deixis </w:t>
      </w:r>
      <w:r w:rsidR="006747C4">
        <w:tab/>
      </w:r>
      <w:r w:rsidR="006747C4">
        <w:tab/>
      </w:r>
      <w:r w:rsidR="00D47611">
        <w:t>99</w:t>
      </w:r>
    </w:p>
    <w:p w14:paraId="4090B661" w14:textId="454F27BC" w:rsidR="000D513A" w:rsidRPr="00C0375D" w:rsidRDefault="000D513A" w:rsidP="006747C4">
      <w:pPr>
        <w:tabs>
          <w:tab w:val="left" w:pos="1276"/>
          <w:tab w:val="right" w:leader="dot" w:pos="7796"/>
          <w:tab w:val="right" w:pos="8222"/>
        </w:tabs>
        <w:ind w:left="425" w:hanging="425"/>
        <w:rPr>
          <w:rFonts w:cs="Times New Roman"/>
        </w:rPr>
      </w:pPr>
      <w:r>
        <w:rPr>
          <w:rFonts w:cs="Times New Roman"/>
        </w:rPr>
        <w:t>2.2</w:t>
      </w:r>
      <w:r>
        <w:rPr>
          <w:rFonts w:cs="Times New Roman"/>
        </w:rPr>
        <w:tab/>
        <w:t>Verbal Tense and Aspect</w:t>
      </w:r>
      <w:r w:rsidR="006747C4">
        <w:rPr>
          <w:rFonts w:cs="Times New Roman"/>
        </w:rPr>
        <w:tab/>
      </w:r>
      <w:r w:rsidR="006747C4">
        <w:rPr>
          <w:rFonts w:cs="Times New Roman"/>
        </w:rPr>
        <w:tab/>
      </w:r>
      <w:r w:rsidR="00D47611">
        <w:rPr>
          <w:rFonts w:cs="Times New Roman"/>
        </w:rPr>
        <w:t>102</w:t>
      </w:r>
    </w:p>
    <w:p w14:paraId="0AB17A30" w14:textId="058B6958" w:rsidR="000D513A" w:rsidRPr="00C0375D" w:rsidRDefault="000D513A" w:rsidP="006747C4">
      <w:pPr>
        <w:tabs>
          <w:tab w:val="left" w:pos="709"/>
          <w:tab w:val="left" w:pos="1985"/>
          <w:tab w:val="right" w:leader="dot" w:pos="7796"/>
          <w:tab w:val="right" w:pos="8222"/>
        </w:tabs>
        <w:ind w:left="1049" w:hanging="624"/>
        <w:rPr>
          <w:rFonts w:cs="Times New Roman"/>
        </w:rPr>
      </w:pPr>
      <w:r>
        <w:rPr>
          <w:rFonts w:cs="Times New Roman"/>
        </w:rPr>
        <w:t>2.2.1</w:t>
      </w:r>
      <w:r>
        <w:rPr>
          <w:rFonts w:cs="Times New Roman"/>
        </w:rPr>
        <w:tab/>
      </w:r>
      <w:r w:rsidR="00342BCB">
        <w:rPr>
          <w:rFonts w:cs="Times New Roman"/>
        </w:rPr>
        <w:t>Introduction</w:t>
      </w:r>
      <w:r w:rsidR="00342BCB">
        <w:rPr>
          <w:rFonts w:cs="Times New Roman"/>
        </w:rPr>
        <w:tab/>
      </w:r>
      <w:r w:rsidR="00342BCB">
        <w:rPr>
          <w:rFonts w:cs="Times New Roman"/>
        </w:rPr>
        <w:tab/>
        <w:t xml:space="preserve"> </w:t>
      </w:r>
      <w:r w:rsidR="00D47611">
        <w:rPr>
          <w:rFonts w:cs="Times New Roman"/>
        </w:rPr>
        <w:t>102</w:t>
      </w:r>
    </w:p>
    <w:p w14:paraId="55A939D6" w14:textId="6B2318B6" w:rsidR="000D513A" w:rsidRPr="00C0375D" w:rsidRDefault="000D513A" w:rsidP="006747C4">
      <w:pPr>
        <w:tabs>
          <w:tab w:val="left" w:pos="2410"/>
          <w:tab w:val="right" w:leader="dot" w:pos="7796"/>
          <w:tab w:val="right" w:pos="8222"/>
        </w:tabs>
        <w:ind w:left="1049" w:hanging="624"/>
        <w:rPr>
          <w:rFonts w:cs="Times New Roman"/>
        </w:rPr>
      </w:pPr>
      <w:r>
        <w:rPr>
          <w:rFonts w:cs="Times New Roman"/>
        </w:rPr>
        <w:t>2.2.2</w:t>
      </w:r>
      <w:r>
        <w:rPr>
          <w:rFonts w:cs="Times New Roman"/>
        </w:rPr>
        <w:tab/>
      </w:r>
      <w:r w:rsidRPr="00C0375D">
        <w:rPr>
          <w:rFonts w:cs="Times New Roman"/>
        </w:rPr>
        <w:t xml:space="preserve">Verbal </w:t>
      </w:r>
      <w:r>
        <w:rPr>
          <w:rFonts w:cs="Times New Roman"/>
        </w:rPr>
        <w:t xml:space="preserve">Tense and </w:t>
      </w:r>
      <w:r w:rsidRPr="00C0375D">
        <w:rPr>
          <w:rFonts w:cs="Times New Roman"/>
        </w:rPr>
        <w:t>Aspect in Archilochus, Hipponax and Callimachus</w:t>
      </w:r>
      <w:r w:rsidR="00EA2737">
        <w:rPr>
          <w:rFonts w:cs="Times New Roman"/>
        </w:rPr>
        <w:t xml:space="preserve"> </w:t>
      </w:r>
      <w:r w:rsidR="006747C4">
        <w:rPr>
          <w:rFonts w:cs="Times New Roman"/>
        </w:rPr>
        <w:tab/>
      </w:r>
      <w:r w:rsidR="006747C4">
        <w:rPr>
          <w:rFonts w:cs="Times New Roman"/>
        </w:rPr>
        <w:tab/>
      </w:r>
      <w:r w:rsidR="00D47611">
        <w:rPr>
          <w:rFonts w:cs="Times New Roman"/>
        </w:rPr>
        <w:t>105</w:t>
      </w:r>
    </w:p>
    <w:p w14:paraId="581C9BA3" w14:textId="5EF7A90E" w:rsidR="000D513A" w:rsidRPr="00C0375D" w:rsidRDefault="000D513A" w:rsidP="006747C4">
      <w:pPr>
        <w:tabs>
          <w:tab w:val="right" w:leader="dot" w:pos="7796"/>
          <w:tab w:val="right" w:pos="8222"/>
        </w:tabs>
        <w:autoSpaceDE w:val="0"/>
        <w:autoSpaceDN w:val="0"/>
        <w:adjustRightInd w:val="0"/>
        <w:ind w:left="1049" w:hanging="624"/>
        <w:rPr>
          <w:rFonts w:cs="Times New Roman"/>
        </w:rPr>
      </w:pPr>
      <w:r>
        <w:rPr>
          <w:rFonts w:cs="Times New Roman"/>
        </w:rPr>
        <w:t>2.2.3</w:t>
      </w:r>
      <w:r>
        <w:rPr>
          <w:rFonts w:cs="Times New Roman"/>
        </w:rPr>
        <w:tab/>
      </w:r>
      <w:r w:rsidRPr="00C0375D">
        <w:rPr>
          <w:rFonts w:cs="Times New Roman"/>
        </w:rPr>
        <w:t>The Speaker-Audience Relationship in Light of Temporal Deixis</w:t>
      </w:r>
      <w:r w:rsidR="00EA2737">
        <w:rPr>
          <w:rFonts w:cs="Times New Roman"/>
        </w:rPr>
        <w:t xml:space="preserve"> </w:t>
      </w:r>
      <w:r w:rsidR="00EA2737">
        <w:rPr>
          <w:rFonts w:cs="Times New Roman"/>
        </w:rPr>
        <w:tab/>
      </w:r>
      <w:r w:rsidR="006747C4">
        <w:rPr>
          <w:rFonts w:cs="Times New Roman"/>
        </w:rPr>
        <w:tab/>
      </w:r>
      <w:r w:rsidR="00D47611">
        <w:rPr>
          <w:rFonts w:cs="Times New Roman"/>
        </w:rPr>
        <w:t>123</w:t>
      </w:r>
    </w:p>
    <w:p w14:paraId="5C8B8E56" w14:textId="276C8924" w:rsidR="000D513A" w:rsidRPr="008D464B" w:rsidRDefault="000D513A" w:rsidP="006747C4">
      <w:pPr>
        <w:tabs>
          <w:tab w:val="left" w:pos="1560"/>
          <w:tab w:val="right" w:leader="dot" w:pos="7796"/>
          <w:tab w:val="right" w:pos="8222"/>
        </w:tabs>
        <w:ind w:left="1049" w:hanging="624"/>
        <w:rPr>
          <w:rFonts w:cs="Times New Roman"/>
        </w:rPr>
      </w:pPr>
      <w:r>
        <w:rPr>
          <w:rFonts w:cs="Times New Roman"/>
        </w:rPr>
        <w:t>2.2.4</w:t>
      </w:r>
      <w:r>
        <w:rPr>
          <w:rFonts w:cs="Times New Roman"/>
        </w:rPr>
        <w:tab/>
        <w:t>Present versus Aorist in</w:t>
      </w:r>
      <w:r w:rsidR="006747C4">
        <w:rPr>
          <w:rFonts w:cs="Times New Roman"/>
        </w:rPr>
        <w:t xml:space="preserve"> the Imperative Mood</w:t>
      </w:r>
      <w:r w:rsidR="006747C4">
        <w:rPr>
          <w:rFonts w:cs="Times New Roman"/>
        </w:rPr>
        <w:tab/>
      </w:r>
      <w:r w:rsidR="006747C4">
        <w:rPr>
          <w:rFonts w:cs="Times New Roman"/>
        </w:rPr>
        <w:tab/>
      </w:r>
      <w:r w:rsidR="00D47611">
        <w:rPr>
          <w:rFonts w:cs="Times New Roman"/>
        </w:rPr>
        <w:t>124</w:t>
      </w:r>
    </w:p>
    <w:p w14:paraId="70E05613" w14:textId="705E9731" w:rsidR="000D513A" w:rsidRPr="008D464B" w:rsidRDefault="000D513A" w:rsidP="006747C4">
      <w:pPr>
        <w:tabs>
          <w:tab w:val="left" w:pos="993"/>
          <w:tab w:val="right" w:leader="dot" w:pos="7796"/>
          <w:tab w:val="right" w:pos="8222"/>
        </w:tabs>
        <w:ind w:left="425" w:hanging="425"/>
        <w:rPr>
          <w:rFonts w:cs="Times New Roman"/>
        </w:rPr>
      </w:pPr>
      <w:r>
        <w:rPr>
          <w:rFonts w:cs="Times New Roman"/>
        </w:rPr>
        <w:t>2.3</w:t>
      </w:r>
      <w:r>
        <w:rPr>
          <w:rFonts w:cs="Times New Roman"/>
        </w:rPr>
        <w:tab/>
      </w:r>
      <w:r w:rsidR="006747C4">
        <w:rPr>
          <w:rFonts w:cs="Times New Roman"/>
        </w:rPr>
        <w:t xml:space="preserve">Particles </w:t>
      </w:r>
      <w:r w:rsidR="006747C4">
        <w:rPr>
          <w:rFonts w:cs="Times New Roman"/>
        </w:rPr>
        <w:tab/>
      </w:r>
      <w:r w:rsidR="006747C4">
        <w:rPr>
          <w:rFonts w:cs="Times New Roman"/>
        </w:rPr>
        <w:tab/>
      </w:r>
      <w:r w:rsidR="00D47611">
        <w:rPr>
          <w:rFonts w:cs="Times New Roman"/>
        </w:rPr>
        <w:t>126</w:t>
      </w:r>
    </w:p>
    <w:p w14:paraId="69531920" w14:textId="2ABFD30C" w:rsidR="000D513A" w:rsidRPr="008D464B" w:rsidRDefault="000D513A" w:rsidP="006747C4">
      <w:pPr>
        <w:tabs>
          <w:tab w:val="left" w:pos="709"/>
          <w:tab w:val="right" w:leader="dot" w:pos="7796"/>
          <w:tab w:val="right" w:pos="8222"/>
        </w:tabs>
        <w:ind w:left="1049" w:hanging="624"/>
        <w:rPr>
          <w:rFonts w:cs="Times New Roman"/>
        </w:rPr>
      </w:pPr>
      <w:r>
        <w:rPr>
          <w:rFonts w:cs="Times New Roman"/>
        </w:rPr>
        <w:t>2.3.1</w:t>
      </w:r>
      <w:r>
        <w:rPr>
          <w:rFonts w:cs="Times New Roman"/>
        </w:rPr>
        <w:tab/>
      </w:r>
      <w:r w:rsidR="006747C4">
        <w:rPr>
          <w:rFonts w:cs="Times New Roman"/>
        </w:rPr>
        <w:t xml:space="preserve">Connective Particles </w:t>
      </w:r>
      <w:r w:rsidR="006747C4">
        <w:rPr>
          <w:rFonts w:cs="Times New Roman"/>
        </w:rPr>
        <w:tab/>
      </w:r>
      <w:r w:rsidR="006747C4">
        <w:rPr>
          <w:rFonts w:cs="Times New Roman"/>
        </w:rPr>
        <w:tab/>
      </w:r>
      <w:r w:rsidR="00D47611">
        <w:rPr>
          <w:rFonts w:cs="Times New Roman"/>
        </w:rPr>
        <w:t>126</w:t>
      </w:r>
    </w:p>
    <w:p w14:paraId="33F7D524" w14:textId="352714F7" w:rsidR="000D513A" w:rsidRPr="008D464B" w:rsidRDefault="000D513A" w:rsidP="006747C4">
      <w:pPr>
        <w:tabs>
          <w:tab w:val="left" w:pos="1276"/>
          <w:tab w:val="right" w:leader="dot" w:pos="7796"/>
          <w:tab w:val="right" w:pos="8222"/>
        </w:tabs>
        <w:ind w:left="1049" w:hanging="624"/>
        <w:rPr>
          <w:rFonts w:cs="Times New Roman"/>
        </w:rPr>
      </w:pPr>
      <w:r>
        <w:rPr>
          <w:rFonts w:cs="Times New Roman"/>
        </w:rPr>
        <w:t>2.3.2</w:t>
      </w:r>
      <w:r>
        <w:rPr>
          <w:rFonts w:cs="Times New Roman"/>
        </w:rPr>
        <w:tab/>
      </w:r>
      <w:r w:rsidRPr="008D464B">
        <w:rPr>
          <w:rFonts w:cs="Times New Roman"/>
        </w:rPr>
        <w:t>Interactional Particles</w:t>
      </w:r>
      <w:r w:rsidRPr="008D464B">
        <w:rPr>
          <w:rFonts w:cs="Times New Roman"/>
        </w:rPr>
        <w:tab/>
      </w:r>
      <w:r w:rsidR="006747C4">
        <w:rPr>
          <w:rFonts w:cs="Times New Roman"/>
        </w:rPr>
        <w:tab/>
      </w:r>
      <w:r w:rsidR="00D47611">
        <w:rPr>
          <w:rFonts w:cs="Times New Roman"/>
        </w:rPr>
        <w:t>130</w:t>
      </w:r>
    </w:p>
    <w:p w14:paraId="45B88ADD" w14:textId="111D3297" w:rsidR="000D513A" w:rsidRPr="008D464B" w:rsidRDefault="000D513A" w:rsidP="006747C4">
      <w:pPr>
        <w:keepNext/>
        <w:tabs>
          <w:tab w:val="left" w:pos="1276"/>
          <w:tab w:val="right" w:leader="dot" w:pos="7796"/>
          <w:tab w:val="right" w:pos="8222"/>
        </w:tabs>
        <w:ind w:left="425" w:hanging="425"/>
        <w:rPr>
          <w:rFonts w:cs="Times New Roman"/>
        </w:rPr>
      </w:pPr>
      <w:r>
        <w:rPr>
          <w:rFonts w:cs="Times New Roman"/>
        </w:rPr>
        <w:lastRenderedPageBreak/>
        <w:t>2.4</w:t>
      </w:r>
      <w:r>
        <w:rPr>
          <w:rFonts w:cs="Times New Roman"/>
        </w:rPr>
        <w:tab/>
      </w:r>
      <w:r w:rsidR="006747C4">
        <w:rPr>
          <w:rFonts w:cs="Times New Roman"/>
        </w:rPr>
        <w:t xml:space="preserve">Prepositions </w:t>
      </w:r>
      <w:r w:rsidR="006747C4">
        <w:rPr>
          <w:rFonts w:cs="Times New Roman"/>
        </w:rPr>
        <w:tab/>
      </w:r>
      <w:r w:rsidR="006747C4">
        <w:rPr>
          <w:rFonts w:cs="Times New Roman"/>
        </w:rPr>
        <w:tab/>
      </w:r>
      <w:r w:rsidR="00D47611">
        <w:rPr>
          <w:rFonts w:cs="Times New Roman"/>
        </w:rPr>
        <w:t>135</w:t>
      </w:r>
      <w:r w:rsidR="00D47611" w:rsidRPr="008D464B">
        <w:rPr>
          <w:rFonts w:cs="Times New Roman"/>
        </w:rPr>
        <w:t xml:space="preserve"> </w:t>
      </w:r>
    </w:p>
    <w:p w14:paraId="53B41062" w14:textId="03F7D521" w:rsidR="000D513A" w:rsidRPr="008D464B" w:rsidRDefault="000D513A" w:rsidP="006747C4">
      <w:pPr>
        <w:tabs>
          <w:tab w:val="left" w:pos="1276"/>
          <w:tab w:val="right" w:leader="dot" w:pos="7796"/>
          <w:tab w:val="right" w:pos="8222"/>
        </w:tabs>
        <w:ind w:left="1049" w:hanging="624"/>
        <w:rPr>
          <w:rFonts w:cs="Times New Roman"/>
        </w:rPr>
      </w:pPr>
      <w:r>
        <w:rPr>
          <w:rFonts w:cs="Times New Roman"/>
        </w:rPr>
        <w:t>2.4.1</w:t>
      </w:r>
      <w:r>
        <w:rPr>
          <w:rFonts w:cs="Times New Roman"/>
        </w:rPr>
        <w:tab/>
      </w:r>
      <w:r w:rsidRPr="008D464B">
        <w:rPr>
          <w:rFonts w:cs="Times New Roman"/>
        </w:rPr>
        <w:t>Tmesis</w:t>
      </w:r>
      <w:r w:rsidRPr="008D464B">
        <w:rPr>
          <w:rFonts w:cs="Times New Roman"/>
        </w:rPr>
        <w:tab/>
        <w:t xml:space="preserve"> </w:t>
      </w:r>
      <w:r w:rsidR="006747C4">
        <w:rPr>
          <w:rFonts w:cs="Times New Roman"/>
        </w:rPr>
        <w:tab/>
      </w:r>
      <w:r w:rsidR="00D47611">
        <w:rPr>
          <w:rFonts w:cs="Times New Roman"/>
        </w:rPr>
        <w:t>139</w:t>
      </w:r>
    </w:p>
    <w:p w14:paraId="3DE5601C" w14:textId="0F333C89" w:rsidR="000D513A" w:rsidRPr="008D464B" w:rsidRDefault="000D513A" w:rsidP="006747C4">
      <w:pPr>
        <w:tabs>
          <w:tab w:val="left" w:pos="993"/>
          <w:tab w:val="right" w:leader="dot" w:pos="7796"/>
          <w:tab w:val="right" w:pos="8222"/>
        </w:tabs>
        <w:ind w:left="425" w:hanging="425"/>
        <w:rPr>
          <w:rFonts w:cs="Times New Roman"/>
        </w:rPr>
      </w:pPr>
      <w:r>
        <w:rPr>
          <w:rFonts w:cs="Times New Roman"/>
        </w:rPr>
        <w:t>2.5</w:t>
      </w:r>
      <w:r>
        <w:rPr>
          <w:rFonts w:cs="Times New Roman"/>
        </w:rPr>
        <w:tab/>
      </w:r>
      <w:r w:rsidRPr="008D464B">
        <w:rPr>
          <w:rFonts w:cs="Times New Roman"/>
        </w:rPr>
        <w:t>Word Order</w:t>
      </w:r>
      <w:r w:rsidRPr="008D464B">
        <w:rPr>
          <w:rFonts w:cs="Times New Roman"/>
        </w:rPr>
        <w:tab/>
        <w:t xml:space="preserve"> </w:t>
      </w:r>
      <w:r w:rsidR="006747C4">
        <w:rPr>
          <w:rFonts w:cs="Times New Roman"/>
        </w:rPr>
        <w:tab/>
      </w:r>
      <w:r w:rsidR="00D47611">
        <w:rPr>
          <w:rFonts w:cs="Times New Roman"/>
        </w:rPr>
        <w:t>149</w:t>
      </w:r>
    </w:p>
    <w:p w14:paraId="23A4EA37" w14:textId="6D50D7F5" w:rsidR="000D513A" w:rsidRPr="00427637" w:rsidRDefault="000D513A" w:rsidP="006747C4">
      <w:pPr>
        <w:tabs>
          <w:tab w:val="right" w:leader="dot" w:pos="7796"/>
          <w:tab w:val="right" w:pos="8222"/>
        </w:tabs>
        <w:rPr>
          <w:rFonts w:cs="Times New Roman"/>
        </w:rPr>
      </w:pPr>
      <w:r w:rsidRPr="00427637">
        <w:rPr>
          <w:rFonts w:cs="Times New Roman"/>
        </w:rPr>
        <w:t>Summary</w:t>
      </w:r>
      <w:r w:rsidRPr="00427637">
        <w:rPr>
          <w:rFonts w:cs="Times New Roman"/>
        </w:rPr>
        <w:tab/>
      </w:r>
      <w:r>
        <w:rPr>
          <w:rFonts w:cs="Times New Roman"/>
        </w:rPr>
        <w:t xml:space="preserve"> </w:t>
      </w:r>
      <w:r w:rsidR="006747C4">
        <w:rPr>
          <w:rFonts w:cs="Times New Roman"/>
        </w:rPr>
        <w:tab/>
      </w:r>
      <w:r w:rsidR="00D47611">
        <w:rPr>
          <w:rFonts w:cs="Times New Roman"/>
        </w:rPr>
        <w:t>154</w:t>
      </w:r>
    </w:p>
    <w:p w14:paraId="08BA03DF" w14:textId="77777777" w:rsidR="000D513A" w:rsidRPr="00427637" w:rsidRDefault="000D513A" w:rsidP="006747C4">
      <w:pPr>
        <w:tabs>
          <w:tab w:val="right" w:leader="dot" w:pos="7796"/>
          <w:tab w:val="left" w:pos="8063"/>
          <w:tab w:val="right" w:pos="8222"/>
        </w:tabs>
        <w:rPr>
          <w:rFonts w:cs="Times New Roman"/>
        </w:rPr>
      </w:pPr>
    </w:p>
    <w:p w14:paraId="633324DA" w14:textId="49C9E9B1" w:rsidR="000D513A" w:rsidRPr="005C6283" w:rsidRDefault="000D513A" w:rsidP="006747C4">
      <w:pPr>
        <w:tabs>
          <w:tab w:val="right" w:leader="dot" w:pos="7796"/>
          <w:tab w:val="right" w:pos="8222"/>
        </w:tabs>
        <w:rPr>
          <w:rFonts w:cs="Times New Roman"/>
          <w:b/>
        </w:rPr>
      </w:pPr>
      <w:r w:rsidRPr="005C6283">
        <w:rPr>
          <w:rFonts w:cs="Times New Roman"/>
          <w:b/>
        </w:rPr>
        <w:t xml:space="preserve">3. Iambic </w:t>
      </w:r>
      <w:r w:rsidRPr="007001C3">
        <w:rPr>
          <w:rFonts w:cs="Times New Roman"/>
          <w:b/>
        </w:rPr>
        <w:t>Topoi</w:t>
      </w:r>
      <w:r w:rsidR="007001C3">
        <w:rPr>
          <w:rFonts w:cs="Times New Roman"/>
          <w:b/>
          <w:i/>
        </w:rPr>
        <w:t xml:space="preserve"> </w:t>
      </w:r>
      <w:r w:rsidRPr="005C6283">
        <w:rPr>
          <w:rFonts w:cs="Times New Roman"/>
          <w:b/>
        </w:rPr>
        <w:tab/>
      </w:r>
      <w:r w:rsidRPr="005C6283">
        <w:rPr>
          <w:rFonts w:cs="Times New Roman"/>
          <w:b/>
        </w:rPr>
        <w:tab/>
      </w:r>
      <w:r w:rsidR="00D47611">
        <w:rPr>
          <w:rFonts w:cs="Times New Roman"/>
          <w:b/>
        </w:rPr>
        <w:t>156</w:t>
      </w:r>
    </w:p>
    <w:p w14:paraId="3C19AACB" w14:textId="621710C0" w:rsidR="000D513A" w:rsidRPr="00427637" w:rsidRDefault="000D513A" w:rsidP="00F56C73">
      <w:pPr>
        <w:pStyle w:val="ListParagraph"/>
        <w:numPr>
          <w:ilvl w:val="1"/>
          <w:numId w:val="19"/>
        </w:numPr>
        <w:tabs>
          <w:tab w:val="clear" w:pos="5387"/>
          <w:tab w:val="left" w:pos="993"/>
          <w:tab w:val="right" w:leader="dot" w:pos="7796"/>
          <w:tab w:val="right" w:pos="8222"/>
        </w:tabs>
        <w:ind w:left="425" w:hanging="425"/>
      </w:pPr>
      <w:r w:rsidRPr="00427637">
        <w:t xml:space="preserve">Invective </w:t>
      </w:r>
      <w:r w:rsidRPr="00427637">
        <w:tab/>
      </w:r>
      <w:r w:rsidRPr="00427637">
        <w:tab/>
      </w:r>
      <w:r w:rsidR="00D47611">
        <w:t>157</w:t>
      </w:r>
    </w:p>
    <w:p w14:paraId="3FBA014B" w14:textId="29EA93B5" w:rsidR="000D513A" w:rsidRPr="00427637" w:rsidRDefault="000D513A" w:rsidP="00F56C73">
      <w:pPr>
        <w:pStyle w:val="ListParagraph"/>
        <w:numPr>
          <w:ilvl w:val="1"/>
          <w:numId w:val="19"/>
        </w:numPr>
        <w:tabs>
          <w:tab w:val="clear" w:pos="5387"/>
          <w:tab w:val="left" w:pos="993"/>
          <w:tab w:val="right" w:leader="dot" w:pos="7796"/>
          <w:tab w:val="right" w:pos="8222"/>
        </w:tabs>
        <w:ind w:left="425" w:hanging="425"/>
      </w:pPr>
      <w:r>
        <w:t>Sexual Jokes and Insults</w:t>
      </w:r>
      <w:r w:rsidRPr="00427637">
        <w:tab/>
      </w:r>
      <w:r w:rsidRPr="00427637">
        <w:tab/>
      </w:r>
      <w:r w:rsidR="00D47611">
        <w:t>167</w:t>
      </w:r>
    </w:p>
    <w:p w14:paraId="5DD06207" w14:textId="27314732" w:rsidR="000D513A" w:rsidRPr="00427637" w:rsidRDefault="000D513A" w:rsidP="00F56C73">
      <w:pPr>
        <w:pStyle w:val="ListParagraph"/>
        <w:numPr>
          <w:ilvl w:val="1"/>
          <w:numId w:val="19"/>
        </w:numPr>
        <w:tabs>
          <w:tab w:val="clear" w:pos="5387"/>
          <w:tab w:val="left" w:pos="993"/>
          <w:tab w:val="right" w:leader="dot" w:pos="7796"/>
          <w:tab w:val="right" w:pos="8222"/>
        </w:tabs>
        <w:ind w:left="425" w:hanging="425"/>
      </w:pPr>
      <w:r w:rsidRPr="00427637">
        <w:t xml:space="preserve">Invocations of the Gods </w:t>
      </w:r>
      <w:r w:rsidRPr="00427637">
        <w:tab/>
      </w:r>
      <w:r w:rsidRPr="00427637">
        <w:tab/>
      </w:r>
      <w:r w:rsidR="00D47611">
        <w:t>175</w:t>
      </w:r>
    </w:p>
    <w:p w14:paraId="1E4D80D5" w14:textId="288504BC" w:rsidR="000D513A" w:rsidRPr="00427637" w:rsidRDefault="000D513A" w:rsidP="00F56C73">
      <w:pPr>
        <w:pStyle w:val="ListParagraph"/>
        <w:numPr>
          <w:ilvl w:val="1"/>
          <w:numId w:val="19"/>
        </w:numPr>
        <w:tabs>
          <w:tab w:val="clear" w:pos="5387"/>
          <w:tab w:val="left" w:pos="851"/>
          <w:tab w:val="right" w:leader="dot" w:pos="7796"/>
          <w:tab w:val="right" w:pos="8222"/>
        </w:tabs>
        <w:ind w:left="425" w:hanging="425"/>
      </w:pPr>
      <w:r>
        <w:t>Food</w:t>
      </w:r>
      <w:r w:rsidRPr="00427637">
        <w:tab/>
      </w:r>
      <w:r w:rsidRPr="00427637">
        <w:tab/>
      </w:r>
      <w:r w:rsidR="00D47611">
        <w:t>181</w:t>
      </w:r>
    </w:p>
    <w:p w14:paraId="1E544080" w14:textId="12136349" w:rsidR="000D513A" w:rsidRPr="00427637" w:rsidRDefault="000D513A" w:rsidP="00F56C73">
      <w:pPr>
        <w:pStyle w:val="ListParagraph"/>
        <w:numPr>
          <w:ilvl w:val="1"/>
          <w:numId w:val="19"/>
        </w:numPr>
        <w:tabs>
          <w:tab w:val="clear" w:pos="5387"/>
          <w:tab w:val="left" w:pos="993"/>
          <w:tab w:val="right" w:leader="dot" w:pos="7796"/>
          <w:tab w:val="right" w:pos="8222"/>
        </w:tabs>
        <w:ind w:left="425" w:hanging="425"/>
      </w:pPr>
      <w:r>
        <w:t>Comparisons of Humans to Animals</w:t>
      </w:r>
      <w:r w:rsidRPr="00427637">
        <w:tab/>
      </w:r>
      <w:r w:rsidRPr="00427637">
        <w:tab/>
      </w:r>
      <w:r w:rsidR="00D47611">
        <w:t>189</w:t>
      </w:r>
    </w:p>
    <w:p w14:paraId="213B2F2A" w14:textId="0CD4A9D6" w:rsidR="000D513A" w:rsidRPr="00427637" w:rsidRDefault="000D513A" w:rsidP="006747C4">
      <w:pPr>
        <w:tabs>
          <w:tab w:val="right" w:leader="dot" w:pos="7796"/>
          <w:tab w:val="right" w:pos="8222"/>
        </w:tabs>
        <w:rPr>
          <w:rFonts w:cs="Times New Roman"/>
        </w:rPr>
      </w:pPr>
      <w:r w:rsidRPr="00427637">
        <w:rPr>
          <w:rFonts w:cs="Times New Roman"/>
        </w:rPr>
        <w:t xml:space="preserve">Summary </w:t>
      </w:r>
      <w:r w:rsidRPr="00427637">
        <w:rPr>
          <w:rFonts w:cs="Times New Roman"/>
        </w:rPr>
        <w:tab/>
      </w:r>
      <w:r w:rsidRPr="00427637">
        <w:rPr>
          <w:rFonts w:cs="Times New Roman"/>
        </w:rPr>
        <w:tab/>
      </w:r>
      <w:r w:rsidR="00D47611">
        <w:rPr>
          <w:rFonts w:cs="Times New Roman"/>
        </w:rPr>
        <w:t>195</w:t>
      </w:r>
    </w:p>
    <w:p w14:paraId="768D2EBA" w14:textId="77777777" w:rsidR="000D513A" w:rsidRPr="00427637" w:rsidRDefault="000D513A" w:rsidP="006747C4">
      <w:pPr>
        <w:tabs>
          <w:tab w:val="left" w:pos="2410"/>
          <w:tab w:val="right" w:leader="dot" w:pos="7796"/>
          <w:tab w:val="right" w:pos="8222"/>
        </w:tabs>
        <w:rPr>
          <w:rFonts w:cs="Times New Roman"/>
        </w:rPr>
      </w:pPr>
    </w:p>
    <w:p w14:paraId="214698EC" w14:textId="558420B3" w:rsidR="000D513A" w:rsidRPr="00396AC0" w:rsidRDefault="000D513A" w:rsidP="006747C4">
      <w:pPr>
        <w:tabs>
          <w:tab w:val="right" w:leader="dot" w:pos="7796"/>
          <w:tab w:val="right" w:pos="8222"/>
        </w:tabs>
        <w:rPr>
          <w:rFonts w:cs="Times New Roman"/>
          <w:b/>
        </w:rPr>
      </w:pPr>
      <w:r w:rsidRPr="00396AC0">
        <w:rPr>
          <w:rFonts w:cs="Times New Roman"/>
          <w:b/>
        </w:rPr>
        <w:t xml:space="preserve">4. Iambic </w:t>
      </w:r>
      <w:r w:rsidRPr="007001C3">
        <w:rPr>
          <w:rFonts w:cs="Times New Roman"/>
          <w:b/>
        </w:rPr>
        <w:t>Polytropía</w:t>
      </w:r>
      <w:r w:rsidRPr="00396AC0">
        <w:rPr>
          <w:rFonts w:cs="Times New Roman"/>
          <w:b/>
          <w:i/>
        </w:rPr>
        <w:t xml:space="preserve"> </w:t>
      </w:r>
      <w:r w:rsidRPr="00396AC0">
        <w:rPr>
          <w:rFonts w:cs="Times New Roman"/>
          <w:b/>
        </w:rPr>
        <w:tab/>
      </w:r>
      <w:r w:rsidRPr="00396AC0">
        <w:rPr>
          <w:rFonts w:cs="Times New Roman"/>
          <w:b/>
        </w:rPr>
        <w:tab/>
      </w:r>
      <w:r w:rsidR="00D47611">
        <w:rPr>
          <w:rFonts w:cs="Times New Roman"/>
          <w:b/>
        </w:rPr>
        <w:t>197</w:t>
      </w:r>
    </w:p>
    <w:p w14:paraId="2C65593F" w14:textId="48E76871" w:rsidR="000D513A" w:rsidRPr="00396AC0" w:rsidRDefault="000D513A" w:rsidP="006747C4">
      <w:pPr>
        <w:tabs>
          <w:tab w:val="left" w:pos="2410"/>
          <w:tab w:val="right" w:leader="dot" w:pos="7796"/>
          <w:tab w:val="right" w:pos="8222"/>
        </w:tabs>
        <w:ind w:left="425" w:hanging="425"/>
        <w:rPr>
          <w:rFonts w:cs="Times New Roman"/>
        </w:rPr>
      </w:pPr>
      <w:r w:rsidRPr="00396AC0">
        <w:rPr>
          <w:rFonts w:cs="Times New Roman"/>
        </w:rPr>
        <w:t>4.1</w:t>
      </w:r>
      <w:r w:rsidRPr="00396AC0">
        <w:rPr>
          <w:rFonts w:cs="Times New Roman"/>
        </w:rPr>
        <w:tab/>
        <w:t>Organisational Variety of Callimachus</w:t>
      </w:r>
      <w:r w:rsidR="00075F5F">
        <w:rPr>
          <w:rFonts w:cs="Times New Roman"/>
        </w:rPr>
        <w:t>’</w:t>
      </w:r>
      <w:r w:rsidRPr="00396AC0">
        <w:rPr>
          <w:rFonts w:cs="Times New Roman"/>
        </w:rPr>
        <w:t xml:space="preserve"> </w:t>
      </w:r>
      <w:r w:rsidRPr="00396AC0">
        <w:rPr>
          <w:rFonts w:cs="Times New Roman"/>
          <w:i/>
        </w:rPr>
        <w:t xml:space="preserve">Iambi </w:t>
      </w:r>
      <w:r w:rsidRPr="00A103F2">
        <w:rPr>
          <w:rFonts w:cs="Times New Roman"/>
          <w:lang w:val="en-US"/>
        </w:rPr>
        <w:tab/>
      </w:r>
      <w:r w:rsidRPr="00A103F2">
        <w:rPr>
          <w:rFonts w:cs="Times New Roman"/>
          <w:lang w:val="en-US"/>
        </w:rPr>
        <w:tab/>
      </w:r>
      <w:r w:rsidR="00D47611">
        <w:rPr>
          <w:rFonts w:cs="Times New Roman"/>
          <w:lang w:val="en-US"/>
        </w:rPr>
        <w:t>197</w:t>
      </w:r>
    </w:p>
    <w:p w14:paraId="471D929D" w14:textId="709E82BA"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4.2</w:t>
      </w:r>
      <w:r w:rsidRPr="00396AC0">
        <w:rPr>
          <w:rFonts w:cs="Times New Roman"/>
        </w:rPr>
        <w:tab/>
        <w:t xml:space="preserve">The Relationship </w:t>
      </w:r>
      <w:r w:rsidRPr="00396AC0">
        <w:rPr>
          <w:rFonts w:cs="Times New Roman"/>
          <w:i/>
        </w:rPr>
        <w:t>Aetia-Iambi</w:t>
      </w:r>
      <w:r w:rsidRPr="00396AC0">
        <w:rPr>
          <w:rFonts w:cs="Times New Roman"/>
        </w:rPr>
        <w:tab/>
      </w:r>
      <w:r w:rsidRPr="00396AC0">
        <w:rPr>
          <w:rFonts w:cs="Times New Roman"/>
        </w:rPr>
        <w:tab/>
      </w:r>
      <w:r w:rsidR="00D47611">
        <w:rPr>
          <w:rFonts w:cs="Times New Roman"/>
        </w:rPr>
        <w:t>200</w:t>
      </w:r>
    </w:p>
    <w:p w14:paraId="548E6AE0" w14:textId="0C0A04F2"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4.3</w:t>
      </w:r>
      <w:r w:rsidRPr="00396AC0">
        <w:rPr>
          <w:rFonts w:cs="Times New Roman"/>
        </w:rPr>
        <w:tab/>
        <w:t>Hellenistic Theories of Genre</w:t>
      </w:r>
      <w:r w:rsidR="00F56C36">
        <w:rPr>
          <w:rFonts w:cs="Times New Roman"/>
        </w:rPr>
        <w:t xml:space="preserve"> </w:t>
      </w:r>
      <w:r w:rsidRPr="00396AC0">
        <w:rPr>
          <w:rFonts w:cs="Times New Roman"/>
        </w:rPr>
        <w:tab/>
      </w:r>
      <w:r w:rsidRPr="00396AC0">
        <w:rPr>
          <w:rFonts w:cs="Times New Roman"/>
        </w:rPr>
        <w:tab/>
      </w:r>
      <w:r w:rsidR="00D47611">
        <w:rPr>
          <w:rFonts w:cs="Times New Roman"/>
        </w:rPr>
        <w:t>202</w:t>
      </w:r>
    </w:p>
    <w:p w14:paraId="76A6E50B" w14:textId="776C76A0"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4.4</w:t>
      </w:r>
      <w:r w:rsidRPr="00396AC0">
        <w:rPr>
          <w:rFonts w:cs="Times New Roman"/>
        </w:rPr>
        <w:tab/>
        <w:t>Callimachus</w:t>
      </w:r>
      <w:r w:rsidR="00075F5F">
        <w:rPr>
          <w:rFonts w:cs="Times New Roman"/>
        </w:rPr>
        <w:t>’</w:t>
      </w:r>
      <w:r w:rsidRPr="00396AC0">
        <w:rPr>
          <w:rFonts w:cs="Times New Roman"/>
        </w:rPr>
        <w:t xml:space="preserve"> </w:t>
      </w:r>
      <w:r w:rsidRPr="00396AC0">
        <w:rPr>
          <w:rFonts w:cs="Times New Roman"/>
          <w:i/>
        </w:rPr>
        <w:t>Iambus</w:t>
      </w:r>
      <w:r w:rsidRPr="00396AC0">
        <w:rPr>
          <w:rFonts w:cs="Times New Roman"/>
        </w:rPr>
        <w:t xml:space="preserve"> 13 and the Definition of the Genre of </w:t>
      </w:r>
      <w:r w:rsidRPr="00396AC0">
        <w:rPr>
          <w:rFonts w:cs="Times New Roman"/>
          <w:i/>
        </w:rPr>
        <w:t>Iambus</w:t>
      </w:r>
      <w:r w:rsidRPr="00396AC0">
        <w:rPr>
          <w:rFonts w:cs="Times New Roman"/>
        </w:rPr>
        <w:tab/>
      </w:r>
      <w:r w:rsidRPr="00396AC0">
        <w:rPr>
          <w:rFonts w:cs="Times New Roman"/>
        </w:rPr>
        <w:tab/>
      </w:r>
      <w:r w:rsidR="00D47611">
        <w:rPr>
          <w:rFonts w:cs="Times New Roman"/>
        </w:rPr>
        <w:t>205</w:t>
      </w:r>
    </w:p>
    <w:p w14:paraId="7BADD6BF" w14:textId="170FD99B"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4.5</w:t>
      </w:r>
      <w:r w:rsidRPr="00396AC0">
        <w:rPr>
          <w:rFonts w:cs="Times New Roman"/>
        </w:rPr>
        <w:tab/>
        <w:t xml:space="preserve">Code-Switching </w:t>
      </w:r>
      <w:r w:rsidRPr="00396AC0">
        <w:rPr>
          <w:rFonts w:cs="Times New Roman"/>
        </w:rPr>
        <w:tab/>
      </w:r>
      <w:r w:rsidRPr="00396AC0">
        <w:rPr>
          <w:rFonts w:cs="Times New Roman"/>
        </w:rPr>
        <w:tab/>
      </w:r>
      <w:r w:rsidR="00D47611">
        <w:rPr>
          <w:rFonts w:cs="Times New Roman"/>
        </w:rPr>
        <w:t>209</w:t>
      </w:r>
    </w:p>
    <w:p w14:paraId="5714520D" w14:textId="561BBDFD" w:rsidR="000D513A" w:rsidRPr="00396AC0" w:rsidRDefault="000D513A" w:rsidP="006747C4">
      <w:pPr>
        <w:tabs>
          <w:tab w:val="left" w:pos="2410"/>
          <w:tab w:val="right" w:leader="dot" w:pos="7796"/>
          <w:tab w:val="right" w:pos="8222"/>
        </w:tabs>
        <w:ind w:left="1049" w:hanging="624"/>
        <w:rPr>
          <w:rFonts w:cs="Times New Roman"/>
        </w:rPr>
      </w:pPr>
      <w:r w:rsidRPr="00396AC0">
        <w:rPr>
          <w:rFonts w:cs="Times New Roman"/>
        </w:rPr>
        <w:t>4.5.1</w:t>
      </w:r>
      <w:r w:rsidRPr="00396AC0">
        <w:rPr>
          <w:rFonts w:cs="Times New Roman"/>
        </w:rPr>
        <w:tab/>
        <w:t xml:space="preserve">The Purposes of Code-Switching in Iambic Poetry </w:t>
      </w:r>
      <w:r w:rsidRPr="00396AC0">
        <w:rPr>
          <w:rFonts w:cs="Times New Roman"/>
        </w:rPr>
        <w:tab/>
      </w:r>
      <w:r w:rsidRPr="00396AC0">
        <w:rPr>
          <w:rFonts w:cs="Times New Roman"/>
        </w:rPr>
        <w:tab/>
      </w:r>
      <w:r w:rsidR="00D47611">
        <w:rPr>
          <w:rFonts w:cs="Times New Roman"/>
        </w:rPr>
        <w:t>211</w:t>
      </w:r>
    </w:p>
    <w:p w14:paraId="419C8F85" w14:textId="015472F9" w:rsidR="000D513A" w:rsidRPr="00396AC0" w:rsidRDefault="000D513A" w:rsidP="006747C4">
      <w:pPr>
        <w:tabs>
          <w:tab w:val="left" w:pos="2410"/>
          <w:tab w:val="right" w:leader="dot" w:pos="7796"/>
          <w:tab w:val="right" w:pos="8222"/>
        </w:tabs>
        <w:ind w:left="425" w:hanging="425"/>
        <w:rPr>
          <w:rFonts w:cs="Times New Roman"/>
        </w:rPr>
      </w:pPr>
      <w:r w:rsidRPr="00396AC0">
        <w:rPr>
          <w:rFonts w:cs="Times New Roman"/>
        </w:rPr>
        <w:t>4.6</w:t>
      </w:r>
      <w:r w:rsidRPr="00396AC0">
        <w:rPr>
          <w:rFonts w:cs="Times New Roman"/>
        </w:rPr>
        <w:tab/>
        <w:t>Why and Where Iambic Poetry Was Performed</w:t>
      </w:r>
      <w:r w:rsidRPr="00396AC0">
        <w:rPr>
          <w:rFonts w:cs="Times New Roman"/>
        </w:rPr>
        <w:tab/>
      </w:r>
      <w:r w:rsidRPr="00396AC0">
        <w:rPr>
          <w:rFonts w:cs="Times New Roman"/>
        </w:rPr>
        <w:tab/>
      </w:r>
      <w:r w:rsidR="00D47611">
        <w:rPr>
          <w:rFonts w:cs="Times New Roman"/>
        </w:rPr>
        <w:t>225</w:t>
      </w:r>
    </w:p>
    <w:p w14:paraId="2E3AB024" w14:textId="1FCB68B1"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4.7</w:t>
      </w:r>
      <w:r w:rsidRPr="00396AC0">
        <w:rPr>
          <w:rFonts w:cs="Times New Roman"/>
        </w:rPr>
        <w:tab/>
      </w:r>
      <w:r w:rsidRPr="005C1961">
        <w:rPr>
          <w:rFonts w:cs="Times New Roman"/>
          <w:i/>
        </w:rPr>
        <w:t>Paideusis</w:t>
      </w:r>
      <w:r w:rsidRPr="00396AC0">
        <w:rPr>
          <w:rFonts w:cs="Times New Roman"/>
        </w:rPr>
        <w:t xml:space="preserve"> vs </w:t>
      </w:r>
      <w:r w:rsidR="00E7609F">
        <w:rPr>
          <w:rFonts w:cs="Times New Roman"/>
        </w:rPr>
        <w:t>Invective</w:t>
      </w:r>
      <w:r w:rsidR="00E7609F" w:rsidRPr="00396AC0">
        <w:rPr>
          <w:rStyle w:val="CommentReference"/>
          <w:rFonts w:cs="Times New Roman"/>
          <w:szCs w:val="24"/>
        </w:rPr>
        <w:t xml:space="preserve"> </w:t>
      </w:r>
      <w:r w:rsidRPr="00DB3110">
        <w:t>as Main Purpose of Iambic Poetry</w:t>
      </w:r>
      <w:r w:rsidRPr="00396AC0">
        <w:rPr>
          <w:rFonts w:cs="Times New Roman"/>
        </w:rPr>
        <w:tab/>
      </w:r>
      <w:r w:rsidRPr="00396AC0">
        <w:rPr>
          <w:rFonts w:cs="Times New Roman"/>
        </w:rPr>
        <w:tab/>
      </w:r>
      <w:r w:rsidR="00D47611">
        <w:rPr>
          <w:rFonts w:cs="Times New Roman"/>
        </w:rPr>
        <w:t>229</w:t>
      </w:r>
    </w:p>
    <w:p w14:paraId="1C843237" w14:textId="597C048C" w:rsidR="000D513A" w:rsidRPr="00396AC0" w:rsidRDefault="000D513A" w:rsidP="006747C4">
      <w:pPr>
        <w:tabs>
          <w:tab w:val="left" w:pos="993"/>
          <w:tab w:val="right" w:leader="dot" w:pos="7796"/>
          <w:tab w:val="right" w:pos="8222"/>
        </w:tabs>
        <w:ind w:left="425" w:hanging="425"/>
        <w:rPr>
          <w:rFonts w:cs="Times New Roman"/>
        </w:rPr>
      </w:pPr>
      <w:r w:rsidRPr="00396AC0">
        <w:rPr>
          <w:rFonts w:cs="Times New Roman"/>
        </w:rPr>
        <w:t>4.8</w:t>
      </w:r>
      <w:r w:rsidRPr="00396AC0">
        <w:rPr>
          <w:rFonts w:cs="Times New Roman"/>
        </w:rPr>
        <w:tab/>
        <w:t xml:space="preserve">Hipponax as a </w:t>
      </w:r>
      <w:r w:rsidRPr="00396AC0">
        <w:rPr>
          <w:rFonts w:cs="Times New Roman"/>
          <w:i/>
        </w:rPr>
        <w:t>Persona</w:t>
      </w:r>
      <w:r w:rsidRPr="00396AC0">
        <w:rPr>
          <w:rFonts w:cs="Times New Roman"/>
        </w:rPr>
        <w:t xml:space="preserve"> in Callimachus</w:t>
      </w:r>
      <w:r w:rsidR="00075F5F">
        <w:rPr>
          <w:rFonts w:cs="Times New Roman"/>
        </w:rPr>
        <w:t>’</w:t>
      </w:r>
      <w:r w:rsidRPr="00396AC0">
        <w:rPr>
          <w:rFonts w:cs="Times New Roman"/>
        </w:rPr>
        <w:t xml:space="preserve"> </w:t>
      </w:r>
      <w:r w:rsidRPr="00396AC0">
        <w:rPr>
          <w:rFonts w:cs="Times New Roman"/>
          <w:i/>
        </w:rPr>
        <w:t xml:space="preserve">Iambus </w:t>
      </w:r>
      <w:r w:rsidRPr="00396AC0">
        <w:rPr>
          <w:rFonts w:cs="Times New Roman"/>
        </w:rPr>
        <w:t>1</w:t>
      </w:r>
      <w:r w:rsidRPr="00396AC0">
        <w:rPr>
          <w:rFonts w:cs="Times New Roman"/>
          <w:i/>
        </w:rPr>
        <w:t xml:space="preserve"> </w:t>
      </w:r>
      <w:r w:rsidRPr="00396AC0">
        <w:rPr>
          <w:rFonts w:cs="Times New Roman"/>
        </w:rPr>
        <w:tab/>
      </w:r>
      <w:r w:rsidRPr="00396AC0">
        <w:rPr>
          <w:rFonts w:cs="Times New Roman"/>
        </w:rPr>
        <w:tab/>
      </w:r>
      <w:r w:rsidR="00D47611">
        <w:rPr>
          <w:rFonts w:cs="Times New Roman"/>
        </w:rPr>
        <w:t>230</w:t>
      </w:r>
    </w:p>
    <w:p w14:paraId="1687395B" w14:textId="05C767AF" w:rsidR="000D513A" w:rsidRPr="00427637" w:rsidRDefault="00890EB4" w:rsidP="00890EB4">
      <w:pPr>
        <w:tabs>
          <w:tab w:val="left" w:leader="dot" w:pos="7797"/>
          <w:tab w:val="right" w:pos="8306"/>
        </w:tabs>
        <w:rPr>
          <w:rFonts w:cs="Times New Roman"/>
        </w:rPr>
      </w:pPr>
      <w:r w:rsidRPr="00427637">
        <w:rPr>
          <w:rFonts w:cs="Times New Roman"/>
        </w:rPr>
        <w:t xml:space="preserve">Summary </w:t>
      </w:r>
      <w:r w:rsidRPr="00427637">
        <w:rPr>
          <w:rFonts w:cs="Times New Roman"/>
        </w:rPr>
        <w:tab/>
      </w:r>
      <w:r w:rsidR="0039447D">
        <w:rPr>
          <w:rFonts w:cs="Times New Roman"/>
        </w:rPr>
        <w:t xml:space="preserve"> </w:t>
      </w:r>
      <w:r w:rsidR="00D47611">
        <w:rPr>
          <w:rFonts w:cs="Times New Roman"/>
        </w:rPr>
        <w:t>232</w:t>
      </w:r>
    </w:p>
    <w:p w14:paraId="42E52E9B" w14:textId="77777777" w:rsidR="00890EB4" w:rsidRDefault="00890EB4" w:rsidP="006747C4">
      <w:pPr>
        <w:tabs>
          <w:tab w:val="right" w:leader="dot" w:pos="7796"/>
          <w:tab w:val="right" w:pos="8222"/>
        </w:tabs>
        <w:rPr>
          <w:rFonts w:cs="Times New Roman"/>
        </w:rPr>
      </w:pPr>
    </w:p>
    <w:p w14:paraId="5CB01593" w14:textId="4DE16743" w:rsidR="000D513A" w:rsidRPr="00427637" w:rsidRDefault="000D513A" w:rsidP="006747C4">
      <w:pPr>
        <w:tabs>
          <w:tab w:val="right" w:leader="dot" w:pos="7796"/>
          <w:tab w:val="right" w:pos="8222"/>
        </w:tabs>
        <w:rPr>
          <w:rFonts w:cs="Times New Roman"/>
        </w:rPr>
      </w:pPr>
      <w:r w:rsidRPr="00427637">
        <w:rPr>
          <w:rFonts w:cs="Times New Roman"/>
        </w:rPr>
        <w:t xml:space="preserve">Conclusion </w:t>
      </w:r>
      <w:r w:rsidRPr="00427637">
        <w:rPr>
          <w:rFonts w:cs="Times New Roman"/>
        </w:rPr>
        <w:tab/>
      </w:r>
      <w:r w:rsidRPr="00427637">
        <w:rPr>
          <w:rFonts w:cs="Times New Roman"/>
        </w:rPr>
        <w:tab/>
      </w:r>
      <w:r w:rsidR="00D47611">
        <w:rPr>
          <w:rFonts w:cs="Times New Roman"/>
        </w:rPr>
        <w:t>233</w:t>
      </w:r>
    </w:p>
    <w:p w14:paraId="6A38871C" w14:textId="77777777" w:rsidR="000D513A" w:rsidRPr="00427637" w:rsidRDefault="000D513A" w:rsidP="006747C4">
      <w:pPr>
        <w:tabs>
          <w:tab w:val="left" w:pos="2410"/>
          <w:tab w:val="right" w:leader="dot" w:pos="7796"/>
          <w:tab w:val="right" w:pos="8222"/>
        </w:tabs>
        <w:rPr>
          <w:rFonts w:cs="Times New Roman"/>
        </w:rPr>
      </w:pPr>
    </w:p>
    <w:p w14:paraId="15A42DCB" w14:textId="3E4D3FE3" w:rsidR="000D513A" w:rsidRDefault="000D513A" w:rsidP="006747C4">
      <w:pPr>
        <w:tabs>
          <w:tab w:val="right" w:leader="dot" w:pos="7796"/>
          <w:tab w:val="right" w:pos="8222"/>
        </w:tabs>
        <w:rPr>
          <w:rFonts w:cs="Times New Roman"/>
        </w:rPr>
      </w:pPr>
      <w:r w:rsidRPr="00427637">
        <w:rPr>
          <w:rFonts w:cs="Times New Roman"/>
        </w:rPr>
        <w:t>Bibliography</w:t>
      </w:r>
      <w:r>
        <w:rPr>
          <w:rFonts w:cs="Times New Roman"/>
        </w:rPr>
        <w:t xml:space="preserve"> </w:t>
      </w:r>
      <w:r w:rsidR="00F820F0">
        <w:rPr>
          <w:rFonts w:cs="Times New Roman"/>
        </w:rPr>
        <w:tab/>
      </w:r>
      <w:r w:rsidR="00F820F0">
        <w:rPr>
          <w:rFonts w:cs="Times New Roman"/>
        </w:rPr>
        <w:tab/>
      </w:r>
      <w:r w:rsidR="00D47611">
        <w:rPr>
          <w:rFonts w:cs="Times New Roman"/>
        </w:rPr>
        <w:t>239</w:t>
      </w:r>
    </w:p>
    <w:p w14:paraId="39A64108" w14:textId="77777777" w:rsidR="00390B1D" w:rsidRPr="00427637" w:rsidRDefault="00390B1D" w:rsidP="006747C4">
      <w:pPr>
        <w:tabs>
          <w:tab w:val="right" w:leader="dot" w:pos="7796"/>
          <w:tab w:val="right" w:pos="8222"/>
        </w:tabs>
        <w:rPr>
          <w:rFonts w:cs="Times New Roman"/>
        </w:rPr>
      </w:pPr>
    </w:p>
    <w:p w14:paraId="567D7872" w14:textId="77777777" w:rsidR="000D513A" w:rsidRDefault="000D513A" w:rsidP="00695A7C"/>
    <w:p w14:paraId="78464627" w14:textId="77777777" w:rsidR="000D513A" w:rsidRDefault="000D513A" w:rsidP="00695A7C">
      <w:pPr>
        <w:jc w:val="center"/>
        <w:rPr>
          <w:rFonts w:cs="Times New Roman"/>
          <w:b/>
          <w:sz w:val="32"/>
          <w:szCs w:val="32"/>
        </w:rPr>
        <w:sectPr w:rsidR="000D513A" w:rsidSect="00033A07">
          <w:footnotePr>
            <w:numRestart w:val="eachSect"/>
          </w:footnotePr>
          <w:pgSz w:w="11901" w:h="16817"/>
          <w:pgMar w:top="1440" w:right="1440" w:bottom="1440" w:left="1797" w:header="851" w:footer="851" w:gutter="0"/>
          <w:pgNumType w:fmt="upperRoman"/>
          <w:cols w:space="708"/>
          <w:docGrid w:linePitch="360"/>
          <w:printerSettings r:id="rId13"/>
        </w:sectPr>
      </w:pPr>
    </w:p>
    <w:p w14:paraId="55892403" w14:textId="77777777" w:rsidR="00796AA1" w:rsidRPr="00227EE7" w:rsidRDefault="00796AA1" w:rsidP="00796AA1">
      <w:pPr>
        <w:pageBreakBefore/>
        <w:spacing w:before="400" w:after="800"/>
        <w:jc w:val="center"/>
        <w:rPr>
          <w:rFonts w:cs="Times New Roman"/>
          <w:b/>
          <w:bCs/>
          <w:sz w:val="36"/>
          <w:szCs w:val="36"/>
          <w:lang w:val="en-US"/>
        </w:rPr>
      </w:pPr>
      <w:r w:rsidRPr="00227EE7">
        <w:rPr>
          <w:rFonts w:cs="Times New Roman"/>
          <w:b/>
          <w:bCs/>
          <w:sz w:val="36"/>
          <w:szCs w:val="36"/>
          <w:lang w:val="en-US"/>
        </w:rPr>
        <w:lastRenderedPageBreak/>
        <w:t>Introduction</w:t>
      </w:r>
    </w:p>
    <w:p w14:paraId="0937685A" w14:textId="6B578909" w:rsidR="00796AA1" w:rsidRPr="00DF4F1C" w:rsidRDefault="00796AA1" w:rsidP="00772668">
      <w:pPr>
        <w:rPr>
          <w:rFonts w:cs="Times New Roman"/>
          <w:szCs w:val="24"/>
          <w:lang w:val="en-US"/>
        </w:rPr>
      </w:pPr>
      <w:r w:rsidRPr="00DF4F1C">
        <w:rPr>
          <w:rFonts w:cs="Times New Roman"/>
          <w:szCs w:val="24"/>
          <w:lang w:val="en-US"/>
        </w:rPr>
        <w:t>Th</w:t>
      </w:r>
      <w:r w:rsidR="00DD1E0A">
        <w:rPr>
          <w:rFonts w:cs="Times New Roman"/>
          <w:szCs w:val="24"/>
          <w:lang w:val="en-US"/>
        </w:rPr>
        <w:t xml:space="preserve">is </w:t>
      </w:r>
      <w:r w:rsidRPr="00DF4F1C">
        <w:rPr>
          <w:rFonts w:cs="Times New Roman"/>
          <w:szCs w:val="24"/>
          <w:lang w:val="en-US"/>
        </w:rPr>
        <w:t xml:space="preserve">study </w:t>
      </w:r>
      <w:r w:rsidR="00DD1E0A">
        <w:rPr>
          <w:rFonts w:cs="Times New Roman"/>
          <w:szCs w:val="24"/>
          <w:lang w:val="en-US"/>
        </w:rPr>
        <w:t xml:space="preserve">explores </w:t>
      </w:r>
      <w:r w:rsidRPr="00DF4F1C">
        <w:rPr>
          <w:rFonts w:cs="Times New Roman"/>
          <w:szCs w:val="24"/>
          <w:lang w:val="en-US"/>
        </w:rPr>
        <w:t xml:space="preserve">the language of the Greek poetic genre of </w:t>
      </w:r>
      <w:r w:rsidRPr="00DF4F1C">
        <w:rPr>
          <w:rFonts w:cs="Times New Roman"/>
          <w:i/>
          <w:iCs/>
          <w:szCs w:val="24"/>
          <w:lang w:val="en-US"/>
        </w:rPr>
        <w:t>iambo</w:t>
      </w:r>
      <w:r w:rsidR="00DD1E0A">
        <w:rPr>
          <w:rFonts w:cs="Times New Roman"/>
          <w:i/>
          <w:iCs/>
          <w:szCs w:val="24"/>
          <w:lang w:val="en-US"/>
        </w:rPr>
        <w:t>s</w:t>
      </w:r>
      <w:r w:rsidR="00FF5BAD">
        <w:rPr>
          <w:rFonts w:cs="Times New Roman"/>
          <w:szCs w:val="24"/>
          <w:lang w:val="en-US"/>
        </w:rPr>
        <w:t xml:space="preserve">, </w:t>
      </w:r>
      <w:r w:rsidRPr="00DF4F1C">
        <w:rPr>
          <w:rFonts w:cs="Times New Roman"/>
          <w:szCs w:val="24"/>
          <w:lang w:val="en-US"/>
        </w:rPr>
        <w:t>focus</w:t>
      </w:r>
      <w:r w:rsidR="00FF5BAD">
        <w:rPr>
          <w:rFonts w:cs="Times New Roman"/>
          <w:szCs w:val="24"/>
          <w:lang w:val="en-US"/>
        </w:rPr>
        <w:t>ing</w:t>
      </w:r>
      <w:r w:rsidRPr="00DF4F1C">
        <w:rPr>
          <w:rFonts w:cs="Times New Roman"/>
          <w:szCs w:val="24"/>
          <w:lang w:val="en-US"/>
        </w:rPr>
        <w:t xml:space="preserve"> </w:t>
      </w:r>
      <w:r w:rsidR="00FF5BAD">
        <w:rPr>
          <w:rFonts w:cs="Times New Roman"/>
          <w:szCs w:val="24"/>
          <w:lang w:val="en-US"/>
        </w:rPr>
        <w:t>on</w:t>
      </w:r>
      <w:r w:rsidRPr="00DF4F1C">
        <w:rPr>
          <w:rFonts w:cs="Times New Roman"/>
          <w:szCs w:val="24"/>
          <w:lang w:val="en-US"/>
        </w:rPr>
        <w:t xml:space="preserve"> the relationship between the language of Callimachus</w:t>
      </w:r>
      <w:r w:rsidR="00075F5F">
        <w:rPr>
          <w:rFonts w:cs="Times New Roman"/>
          <w:szCs w:val="24"/>
          <w:lang w:val="en-US"/>
        </w:rPr>
        <w:t>’</w:t>
      </w:r>
      <w:r w:rsidRPr="00DF4F1C">
        <w:rPr>
          <w:rFonts w:cs="Times New Roman"/>
          <w:szCs w:val="24"/>
          <w:lang w:val="en-US"/>
        </w:rPr>
        <w:t xml:space="preserve"> </w:t>
      </w:r>
      <w:r w:rsidR="00DD1E0A">
        <w:rPr>
          <w:rFonts w:cs="Times New Roman"/>
          <w:szCs w:val="24"/>
          <w:lang w:val="en-US"/>
        </w:rPr>
        <w:t xml:space="preserve">Hellenistic </w:t>
      </w:r>
      <w:r w:rsidRPr="00DF4F1C">
        <w:rPr>
          <w:rFonts w:cs="Times New Roman"/>
          <w:i/>
          <w:iCs/>
          <w:szCs w:val="24"/>
          <w:lang w:val="en-US"/>
        </w:rPr>
        <w:t xml:space="preserve">Iambi </w:t>
      </w:r>
      <w:r w:rsidRPr="00DF4F1C">
        <w:rPr>
          <w:rFonts w:cs="Times New Roman"/>
          <w:szCs w:val="24"/>
          <w:lang w:val="en-US"/>
        </w:rPr>
        <w:t xml:space="preserve">and the languages of the </w:t>
      </w:r>
      <w:r w:rsidR="00DD1E0A">
        <w:rPr>
          <w:rFonts w:cs="Times New Roman"/>
          <w:szCs w:val="24"/>
          <w:lang w:val="en-US"/>
        </w:rPr>
        <w:t xml:space="preserve">archaic </w:t>
      </w:r>
      <w:r w:rsidRPr="00DF4F1C">
        <w:rPr>
          <w:rFonts w:cs="Times New Roman"/>
          <w:szCs w:val="24"/>
          <w:lang w:val="en-US"/>
        </w:rPr>
        <w:t xml:space="preserve">iambic </w:t>
      </w:r>
      <w:r w:rsidR="00DD1E0A">
        <w:rPr>
          <w:rFonts w:cs="Times New Roman"/>
          <w:szCs w:val="24"/>
          <w:lang w:val="en-US"/>
        </w:rPr>
        <w:t>poetry of</w:t>
      </w:r>
      <w:r w:rsidRPr="00DF4F1C">
        <w:rPr>
          <w:rFonts w:cs="Times New Roman"/>
          <w:szCs w:val="24"/>
          <w:lang w:val="en-US"/>
        </w:rPr>
        <w:t xml:space="preserve"> Archilochus and Hipponax</w:t>
      </w:r>
      <w:r w:rsidR="00FF5BAD">
        <w:rPr>
          <w:rFonts w:cs="Times New Roman"/>
          <w:szCs w:val="24"/>
          <w:lang w:val="en-US"/>
        </w:rPr>
        <w:t>. I</w:t>
      </w:r>
      <w:r w:rsidR="00DD1E0A">
        <w:rPr>
          <w:rFonts w:cs="Times New Roman"/>
          <w:szCs w:val="24"/>
          <w:lang w:val="en-US"/>
        </w:rPr>
        <w:t xml:space="preserve">ts main </w:t>
      </w:r>
      <w:r w:rsidRPr="00DF4F1C">
        <w:rPr>
          <w:rFonts w:cs="Times New Roman"/>
          <w:szCs w:val="24"/>
          <w:lang w:val="en-US"/>
        </w:rPr>
        <w:t>hypothesis</w:t>
      </w:r>
      <w:r w:rsidR="00FF5BAD">
        <w:rPr>
          <w:rFonts w:cs="Times New Roman"/>
          <w:szCs w:val="24"/>
          <w:lang w:val="en-US"/>
        </w:rPr>
        <w:t xml:space="preserve"> is</w:t>
      </w:r>
      <w:r w:rsidRPr="00DF4F1C">
        <w:rPr>
          <w:rFonts w:cs="Times New Roman"/>
          <w:szCs w:val="24"/>
          <w:lang w:val="en-US"/>
        </w:rPr>
        <w:t xml:space="preserve"> that Callimachus </w:t>
      </w:r>
      <w:r w:rsidR="00FF5BAD">
        <w:rPr>
          <w:rFonts w:cs="Times New Roman"/>
          <w:szCs w:val="24"/>
          <w:lang w:val="en-US"/>
        </w:rPr>
        <w:t>emphasizes</w:t>
      </w:r>
      <w:r w:rsidRPr="00DF4F1C">
        <w:rPr>
          <w:rFonts w:cs="Times New Roman"/>
          <w:szCs w:val="24"/>
          <w:lang w:val="en-US"/>
        </w:rPr>
        <w:t xml:space="preserve"> variety in his </w:t>
      </w:r>
      <w:r w:rsidRPr="00DF4F1C">
        <w:rPr>
          <w:rFonts w:cs="Times New Roman"/>
          <w:i/>
          <w:iCs/>
          <w:szCs w:val="24"/>
          <w:lang w:val="en-US"/>
        </w:rPr>
        <w:t>Iambi</w:t>
      </w:r>
      <w:r w:rsidR="00FF5BAD">
        <w:rPr>
          <w:rFonts w:cs="Times New Roman"/>
          <w:szCs w:val="24"/>
          <w:lang w:val="en-US"/>
        </w:rPr>
        <w:t xml:space="preserve"> because </w:t>
      </w:r>
      <w:r w:rsidRPr="00DF4F1C">
        <w:rPr>
          <w:rFonts w:cs="Times New Roman"/>
          <w:szCs w:val="24"/>
          <w:lang w:val="en-US"/>
        </w:rPr>
        <w:t xml:space="preserve">he </w:t>
      </w:r>
      <w:r w:rsidR="00DD1E0A">
        <w:rPr>
          <w:rFonts w:cs="Times New Roman"/>
          <w:szCs w:val="24"/>
          <w:lang w:val="en-US"/>
        </w:rPr>
        <w:t>regards</w:t>
      </w:r>
      <w:r w:rsidR="00DD1E0A" w:rsidRPr="00DF4F1C">
        <w:rPr>
          <w:rFonts w:cs="Times New Roman"/>
          <w:szCs w:val="24"/>
          <w:lang w:val="en-US"/>
        </w:rPr>
        <w:t xml:space="preserve"> </w:t>
      </w:r>
      <w:r w:rsidR="00FF5BAD">
        <w:rPr>
          <w:rFonts w:cs="Times New Roman"/>
          <w:szCs w:val="24"/>
          <w:lang w:val="en-US"/>
        </w:rPr>
        <w:t>variety</w:t>
      </w:r>
      <w:r w:rsidR="00FF5BAD" w:rsidRPr="00DF4F1C">
        <w:rPr>
          <w:rFonts w:cs="Times New Roman"/>
          <w:szCs w:val="24"/>
          <w:lang w:val="en-US"/>
        </w:rPr>
        <w:t xml:space="preserve"> </w:t>
      </w:r>
      <w:r w:rsidRPr="00DF4F1C">
        <w:rPr>
          <w:rFonts w:cs="Times New Roman"/>
          <w:szCs w:val="24"/>
          <w:lang w:val="en-US"/>
        </w:rPr>
        <w:t xml:space="preserve">as the </w:t>
      </w:r>
      <w:r w:rsidR="00052893">
        <w:rPr>
          <w:rFonts w:cs="Times New Roman"/>
          <w:szCs w:val="24"/>
          <w:lang w:val="en-US"/>
        </w:rPr>
        <w:t xml:space="preserve">defining, essential </w:t>
      </w:r>
      <w:r w:rsidRPr="00DF4F1C">
        <w:rPr>
          <w:rFonts w:cs="Times New Roman"/>
          <w:szCs w:val="24"/>
          <w:lang w:val="en-US"/>
        </w:rPr>
        <w:t xml:space="preserve">feature </w:t>
      </w:r>
      <w:r w:rsidR="00052893">
        <w:rPr>
          <w:rFonts w:cs="Times New Roman"/>
          <w:szCs w:val="24"/>
          <w:lang w:val="en-US"/>
        </w:rPr>
        <w:t>of the iambic genre</w:t>
      </w:r>
      <w:r w:rsidRPr="00DF4F1C">
        <w:rPr>
          <w:rFonts w:cs="Times New Roman"/>
          <w:szCs w:val="24"/>
          <w:lang w:val="en-US"/>
        </w:rPr>
        <w:t xml:space="preserve">. </w:t>
      </w:r>
      <w:r w:rsidR="00FF5BAD">
        <w:rPr>
          <w:rFonts w:cs="Times New Roman"/>
          <w:szCs w:val="24"/>
          <w:lang w:val="en-US"/>
        </w:rPr>
        <w:t>My</w:t>
      </w:r>
      <w:r w:rsidR="00FF5BAD" w:rsidRPr="00DF4F1C">
        <w:rPr>
          <w:rFonts w:cs="Times New Roman"/>
          <w:szCs w:val="24"/>
          <w:lang w:val="en-US"/>
        </w:rPr>
        <w:t xml:space="preserve"> </w:t>
      </w:r>
      <w:r w:rsidRPr="00DF4F1C">
        <w:rPr>
          <w:rFonts w:cs="Times New Roman"/>
          <w:szCs w:val="24"/>
          <w:lang w:val="en-US"/>
        </w:rPr>
        <w:t>analys</w:t>
      </w:r>
      <w:r w:rsidR="00FF5BAD">
        <w:rPr>
          <w:rFonts w:cs="Times New Roman"/>
          <w:szCs w:val="24"/>
          <w:lang w:val="en-US"/>
        </w:rPr>
        <w:t>e</w:t>
      </w:r>
      <w:r w:rsidRPr="00DF4F1C">
        <w:rPr>
          <w:rFonts w:cs="Times New Roman"/>
          <w:szCs w:val="24"/>
          <w:lang w:val="en-US"/>
        </w:rPr>
        <w:t xml:space="preserve">s </w:t>
      </w:r>
      <w:r w:rsidR="00FF5BAD">
        <w:rPr>
          <w:rFonts w:cs="Times New Roman"/>
          <w:szCs w:val="24"/>
          <w:lang w:val="en-US"/>
        </w:rPr>
        <w:t>are</w:t>
      </w:r>
      <w:r w:rsidRPr="00DF4F1C">
        <w:rPr>
          <w:rFonts w:cs="Times New Roman"/>
          <w:szCs w:val="24"/>
          <w:lang w:val="en-US"/>
        </w:rPr>
        <w:t xml:space="preserve"> predominantly of a linguistic kind and consider a number of different levels</w:t>
      </w:r>
      <w:r w:rsidR="00FF5BAD">
        <w:rPr>
          <w:rFonts w:cs="Times New Roman"/>
          <w:szCs w:val="24"/>
          <w:lang w:val="en-US"/>
        </w:rPr>
        <w:t xml:space="preserve"> and areas of language and communication</w:t>
      </w:r>
      <w:r w:rsidRPr="00DF4F1C">
        <w:rPr>
          <w:rFonts w:cs="Times New Roman"/>
          <w:szCs w:val="24"/>
          <w:lang w:val="en-US"/>
        </w:rPr>
        <w:t xml:space="preserve">, including morphology, syntax, pragmatics, semantics, style, register, and </w:t>
      </w:r>
      <w:r w:rsidR="00052893">
        <w:rPr>
          <w:rFonts w:cs="Times New Roman"/>
          <w:szCs w:val="24"/>
          <w:lang w:val="en-US"/>
        </w:rPr>
        <w:t>etymology</w:t>
      </w:r>
      <w:r w:rsidRPr="00DF4F1C">
        <w:rPr>
          <w:rFonts w:cs="Times New Roman"/>
          <w:szCs w:val="24"/>
          <w:lang w:val="en-US"/>
        </w:rPr>
        <w:t xml:space="preserve">. </w:t>
      </w:r>
    </w:p>
    <w:p w14:paraId="3D9BCF66" w14:textId="61653437" w:rsidR="005262C7" w:rsidRDefault="00796AA1" w:rsidP="005262C7">
      <w:pPr>
        <w:ind w:firstLine="425"/>
        <w:rPr>
          <w:rFonts w:cs="Times New Roman"/>
          <w:szCs w:val="24"/>
          <w:lang w:val="en-US"/>
        </w:rPr>
      </w:pPr>
      <w:r w:rsidRPr="00DF4F1C">
        <w:rPr>
          <w:rFonts w:cs="Times New Roman"/>
          <w:szCs w:val="24"/>
          <w:lang w:val="en-US"/>
        </w:rPr>
        <w:t xml:space="preserve">Few studies have </w:t>
      </w:r>
      <w:r w:rsidR="00052893">
        <w:rPr>
          <w:rFonts w:cs="Times New Roman"/>
          <w:szCs w:val="24"/>
          <w:lang w:val="en-US"/>
        </w:rPr>
        <w:t>looked at</w:t>
      </w:r>
      <w:r w:rsidR="00052893" w:rsidRPr="00DF4F1C">
        <w:rPr>
          <w:rFonts w:cs="Times New Roman"/>
          <w:szCs w:val="24"/>
          <w:lang w:val="en-US"/>
        </w:rPr>
        <w:t xml:space="preserve"> </w:t>
      </w:r>
      <w:r w:rsidR="005262C7">
        <w:rPr>
          <w:rFonts w:cs="Times New Roman"/>
          <w:szCs w:val="24"/>
          <w:lang w:val="en-US"/>
        </w:rPr>
        <w:t xml:space="preserve">the development of </w:t>
      </w:r>
      <w:r w:rsidRPr="00DF4F1C">
        <w:rPr>
          <w:rFonts w:cs="Times New Roman"/>
          <w:szCs w:val="24"/>
          <w:lang w:val="en-US"/>
        </w:rPr>
        <w:t xml:space="preserve">Greek iambic poetry over time. The focus of </w:t>
      </w:r>
      <w:r w:rsidR="00052893">
        <w:rPr>
          <w:rFonts w:cs="Times New Roman"/>
          <w:szCs w:val="24"/>
          <w:lang w:val="en-US"/>
        </w:rPr>
        <w:t xml:space="preserve">scholarship </w:t>
      </w:r>
      <w:r w:rsidRPr="00DF4F1C">
        <w:rPr>
          <w:rFonts w:cs="Times New Roman"/>
          <w:szCs w:val="24"/>
          <w:lang w:val="en-US"/>
        </w:rPr>
        <w:t xml:space="preserve">on Greek iambs </w:t>
      </w:r>
      <w:r w:rsidR="00052893">
        <w:rPr>
          <w:rFonts w:cs="Times New Roman"/>
          <w:szCs w:val="24"/>
          <w:lang w:val="en-US"/>
        </w:rPr>
        <w:t>tends to be</w:t>
      </w:r>
      <w:r w:rsidR="00052893" w:rsidRPr="00DF4F1C">
        <w:rPr>
          <w:rFonts w:cs="Times New Roman"/>
          <w:szCs w:val="24"/>
          <w:lang w:val="en-US"/>
        </w:rPr>
        <w:t xml:space="preserve"> </w:t>
      </w:r>
      <w:r w:rsidRPr="00DF4F1C">
        <w:rPr>
          <w:rFonts w:cs="Times New Roman"/>
          <w:szCs w:val="24"/>
          <w:lang w:val="en-US"/>
        </w:rPr>
        <w:t xml:space="preserve">either on the archaic </w:t>
      </w:r>
      <w:r w:rsidR="00052893">
        <w:rPr>
          <w:rFonts w:cs="Times New Roman"/>
          <w:szCs w:val="24"/>
          <w:lang w:val="en-US"/>
        </w:rPr>
        <w:t>representatives of the genre</w:t>
      </w:r>
      <w:r w:rsidR="00052893" w:rsidRPr="00DF4F1C">
        <w:rPr>
          <w:rFonts w:cs="Times New Roman"/>
          <w:szCs w:val="24"/>
          <w:lang w:val="en-US"/>
        </w:rPr>
        <w:t xml:space="preserve"> </w:t>
      </w:r>
      <w:r w:rsidRPr="00DF4F1C">
        <w:rPr>
          <w:rFonts w:cs="Times New Roman"/>
          <w:szCs w:val="24"/>
          <w:lang w:val="en-US"/>
        </w:rPr>
        <w:t>or</w:t>
      </w:r>
      <w:r w:rsidR="00052893">
        <w:rPr>
          <w:rFonts w:cs="Times New Roman"/>
          <w:szCs w:val="24"/>
          <w:lang w:val="en-US"/>
        </w:rPr>
        <w:t xml:space="preserve"> on</w:t>
      </w:r>
      <w:r w:rsidRPr="00DF4F1C">
        <w:rPr>
          <w:rFonts w:cs="Times New Roman"/>
          <w:szCs w:val="24"/>
          <w:lang w:val="en-US"/>
        </w:rPr>
        <w:t xml:space="preserve"> Callimachus</w:t>
      </w:r>
      <w:r w:rsidR="00075F5F">
        <w:rPr>
          <w:rFonts w:cs="Times New Roman"/>
          <w:szCs w:val="24"/>
          <w:lang w:val="en-US"/>
        </w:rPr>
        <w:t>’</w:t>
      </w:r>
      <w:r w:rsidRPr="00DF4F1C">
        <w:rPr>
          <w:rFonts w:cs="Times New Roman"/>
          <w:szCs w:val="24"/>
          <w:lang w:val="en-US"/>
        </w:rPr>
        <w:t xml:space="preserve"> </w:t>
      </w:r>
      <w:r w:rsidRPr="00DF4F1C">
        <w:rPr>
          <w:rFonts w:cs="Times New Roman"/>
          <w:i/>
          <w:iCs/>
          <w:szCs w:val="24"/>
          <w:lang w:val="en-US"/>
        </w:rPr>
        <w:t>Iambi</w:t>
      </w:r>
      <w:r w:rsidR="00052893">
        <w:rPr>
          <w:rFonts w:cs="Times New Roman"/>
          <w:szCs w:val="24"/>
          <w:lang w:val="en-US"/>
        </w:rPr>
        <w:t>, and there has been little work done on</w:t>
      </w:r>
      <w:r w:rsidRPr="00DF4F1C">
        <w:rPr>
          <w:rFonts w:cs="Times New Roman"/>
          <w:szCs w:val="24"/>
          <w:lang w:val="en-US"/>
        </w:rPr>
        <w:t xml:space="preserve"> tracing the </w:t>
      </w:r>
      <w:r w:rsidR="00052893">
        <w:rPr>
          <w:rFonts w:cs="Times New Roman"/>
          <w:szCs w:val="24"/>
          <w:lang w:val="en-US"/>
        </w:rPr>
        <w:t xml:space="preserve">linguistic </w:t>
      </w:r>
      <w:r w:rsidRPr="00DF4F1C">
        <w:rPr>
          <w:rFonts w:cs="Times New Roman"/>
          <w:szCs w:val="24"/>
          <w:lang w:val="en-US"/>
        </w:rPr>
        <w:t xml:space="preserve">evolution of the genre, if there is any, from the seventh century </w:t>
      </w:r>
      <w:r w:rsidR="00052893">
        <w:rPr>
          <w:rFonts w:cs="Times New Roman"/>
          <w:szCs w:val="24"/>
          <w:lang w:val="en-US"/>
        </w:rPr>
        <w:t>to</w:t>
      </w:r>
      <w:r w:rsidR="00052893" w:rsidRPr="00DF4F1C">
        <w:rPr>
          <w:rFonts w:cs="Times New Roman"/>
          <w:szCs w:val="24"/>
          <w:lang w:val="en-US"/>
        </w:rPr>
        <w:t xml:space="preserve"> </w:t>
      </w:r>
      <w:r w:rsidRPr="00DF4F1C">
        <w:rPr>
          <w:rFonts w:cs="Times New Roman"/>
          <w:szCs w:val="24"/>
          <w:lang w:val="en-US"/>
        </w:rPr>
        <w:t xml:space="preserve">the Hellenistic period. </w:t>
      </w:r>
    </w:p>
    <w:p w14:paraId="2DAAEF55" w14:textId="1D7047BC" w:rsidR="00796AA1" w:rsidRPr="00DF4F1C" w:rsidRDefault="00796AA1" w:rsidP="00DC0177">
      <w:pPr>
        <w:spacing w:after="120"/>
        <w:ind w:firstLine="425"/>
        <w:rPr>
          <w:rFonts w:cs="Times New Roman"/>
          <w:szCs w:val="24"/>
          <w:lang w:val="en-US"/>
        </w:rPr>
      </w:pPr>
      <w:r w:rsidRPr="00DF4F1C">
        <w:rPr>
          <w:rFonts w:cs="Times New Roman"/>
          <w:szCs w:val="24"/>
          <w:lang w:val="en-US"/>
        </w:rPr>
        <w:t xml:space="preserve">The existing studies </w:t>
      </w:r>
      <w:r w:rsidR="00052893">
        <w:rPr>
          <w:rFonts w:cs="Times New Roman"/>
          <w:szCs w:val="24"/>
          <w:lang w:val="en-US"/>
        </w:rPr>
        <w:t xml:space="preserve">that focus on archaic iambic poetry </w:t>
      </w:r>
      <w:r w:rsidRPr="00DF4F1C">
        <w:rPr>
          <w:rFonts w:cs="Times New Roman"/>
          <w:szCs w:val="24"/>
          <w:lang w:val="en-US"/>
        </w:rPr>
        <w:t xml:space="preserve">may be divided </w:t>
      </w:r>
      <w:r w:rsidR="00052893">
        <w:rPr>
          <w:rFonts w:cs="Times New Roman"/>
          <w:szCs w:val="24"/>
          <w:lang w:val="en-US"/>
        </w:rPr>
        <w:t xml:space="preserve">roughly </w:t>
      </w:r>
      <w:r w:rsidRPr="00DF4F1C">
        <w:rPr>
          <w:rFonts w:cs="Times New Roman"/>
          <w:szCs w:val="24"/>
          <w:lang w:val="en-US"/>
        </w:rPr>
        <w:t>into three categories:</w:t>
      </w:r>
    </w:p>
    <w:p w14:paraId="11AC50EB" w14:textId="78DB7C1E" w:rsidR="00796AA1" w:rsidRPr="00DF4F1C" w:rsidRDefault="00796AA1" w:rsidP="00227EE7">
      <w:pPr>
        <w:widowControl w:val="0"/>
        <w:numPr>
          <w:ilvl w:val="0"/>
          <w:numId w:val="197"/>
        </w:numPr>
        <w:tabs>
          <w:tab w:val="clear" w:pos="425"/>
        </w:tabs>
        <w:ind w:left="568" w:hanging="284"/>
        <w:rPr>
          <w:rFonts w:cs="Times New Roman"/>
          <w:szCs w:val="24"/>
          <w:lang w:val="en-US"/>
        </w:rPr>
      </w:pPr>
      <w:r w:rsidRPr="00DF4F1C">
        <w:rPr>
          <w:rFonts w:cs="Times New Roman"/>
          <w:szCs w:val="24"/>
          <w:lang w:val="en-US"/>
        </w:rPr>
        <w:t>Studies of linguistic features of the genre</w:t>
      </w:r>
      <w:r w:rsidR="00052893">
        <w:rPr>
          <w:rFonts w:cs="Times New Roman"/>
          <w:szCs w:val="24"/>
          <w:lang w:val="en-US"/>
        </w:rPr>
        <w:t>, such as</w:t>
      </w:r>
      <w:r w:rsidRPr="00DF4F1C">
        <w:rPr>
          <w:rFonts w:cs="Times New Roman"/>
          <w:szCs w:val="24"/>
          <w:lang w:val="en-US"/>
        </w:rPr>
        <w:t xml:space="preserve"> West 1974; Bartol 1993; Cassio 2008.</w:t>
      </w:r>
    </w:p>
    <w:p w14:paraId="1AA91453" w14:textId="173580C3" w:rsidR="00796AA1" w:rsidRPr="00DF4F1C" w:rsidRDefault="00796AA1" w:rsidP="00227EE7">
      <w:pPr>
        <w:widowControl w:val="0"/>
        <w:numPr>
          <w:ilvl w:val="0"/>
          <w:numId w:val="197"/>
        </w:numPr>
        <w:tabs>
          <w:tab w:val="clear" w:pos="425"/>
        </w:tabs>
        <w:ind w:left="568" w:hanging="284"/>
        <w:rPr>
          <w:rFonts w:cs="Times New Roman"/>
          <w:szCs w:val="24"/>
          <w:lang w:val="en-US"/>
        </w:rPr>
      </w:pPr>
      <w:r w:rsidRPr="00DF4F1C">
        <w:rPr>
          <w:rFonts w:cs="Times New Roman"/>
          <w:szCs w:val="24"/>
          <w:lang w:val="en-US"/>
        </w:rPr>
        <w:t>Studies of thematic features of the genre</w:t>
      </w:r>
      <w:r w:rsidR="00052893">
        <w:rPr>
          <w:rFonts w:cs="Times New Roman"/>
          <w:szCs w:val="24"/>
          <w:lang w:val="en-US"/>
        </w:rPr>
        <w:t>, such as</w:t>
      </w:r>
      <w:r w:rsidRPr="00DF4F1C">
        <w:rPr>
          <w:rFonts w:cs="Times New Roman"/>
          <w:szCs w:val="24"/>
          <w:lang w:val="en-US"/>
        </w:rPr>
        <w:t xml:space="preserve"> Nagy 1976; Bowie 2001; Kantzios 2005; Carey 2009; Rotstein 2010.</w:t>
      </w:r>
    </w:p>
    <w:p w14:paraId="637D7C88" w14:textId="771649E8" w:rsidR="00796AA1" w:rsidRPr="00DF4F1C" w:rsidRDefault="00796AA1" w:rsidP="00227EE7">
      <w:pPr>
        <w:widowControl w:val="0"/>
        <w:numPr>
          <w:ilvl w:val="0"/>
          <w:numId w:val="197"/>
        </w:numPr>
        <w:tabs>
          <w:tab w:val="clear" w:pos="425"/>
        </w:tabs>
        <w:ind w:left="568" w:hanging="284"/>
        <w:rPr>
          <w:rFonts w:cs="Times New Roman"/>
          <w:szCs w:val="24"/>
          <w:lang w:val="en-US"/>
        </w:rPr>
      </w:pPr>
      <w:r w:rsidRPr="00DF4F1C">
        <w:rPr>
          <w:rFonts w:cs="Times New Roman"/>
          <w:szCs w:val="24"/>
          <w:lang w:val="en-US"/>
        </w:rPr>
        <w:t>Studies on individual iambographers</w:t>
      </w:r>
      <w:r w:rsidR="00052893">
        <w:rPr>
          <w:rFonts w:cs="Times New Roman"/>
          <w:szCs w:val="24"/>
          <w:lang w:val="en-US"/>
        </w:rPr>
        <w:t>, including</w:t>
      </w:r>
      <w:r w:rsidRPr="00DF4F1C">
        <w:rPr>
          <w:rFonts w:cs="Times New Roman"/>
          <w:szCs w:val="24"/>
          <w:lang w:val="en-US"/>
        </w:rPr>
        <w:t>:</w:t>
      </w:r>
    </w:p>
    <w:p w14:paraId="601F5914" w14:textId="7A998809" w:rsidR="00796AA1" w:rsidRPr="00DF4F1C" w:rsidRDefault="00796AA1" w:rsidP="00DC0177">
      <w:pPr>
        <w:widowControl w:val="0"/>
        <w:numPr>
          <w:ilvl w:val="0"/>
          <w:numId w:val="198"/>
        </w:numPr>
        <w:tabs>
          <w:tab w:val="left" w:pos="851"/>
          <w:tab w:val="center" w:pos="5387"/>
        </w:tabs>
        <w:ind w:left="851" w:hanging="295"/>
        <w:rPr>
          <w:rFonts w:cs="Times New Roman"/>
          <w:szCs w:val="24"/>
          <w:lang w:val="en-US"/>
        </w:rPr>
      </w:pPr>
      <w:r w:rsidRPr="00DF4F1C">
        <w:rPr>
          <w:rFonts w:cs="Times New Roman"/>
          <w:szCs w:val="24"/>
          <w:lang w:val="en-US"/>
        </w:rPr>
        <w:t>Archilochus: Page 1964; Miralles 1983; Steinrück 2008.</w:t>
      </w:r>
    </w:p>
    <w:p w14:paraId="2DA92EC8" w14:textId="6F04C13F" w:rsidR="00796AA1" w:rsidRPr="00DF4F1C" w:rsidRDefault="00796AA1" w:rsidP="00DC0177">
      <w:pPr>
        <w:widowControl w:val="0"/>
        <w:numPr>
          <w:ilvl w:val="0"/>
          <w:numId w:val="198"/>
        </w:numPr>
        <w:tabs>
          <w:tab w:val="left" w:pos="851"/>
          <w:tab w:val="left" w:pos="993"/>
          <w:tab w:val="center" w:pos="5387"/>
        </w:tabs>
        <w:ind w:left="851" w:hanging="284"/>
        <w:rPr>
          <w:rFonts w:cs="Times New Roman"/>
          <w:szCs w:val="24"/>
          <w:lang w:val="en-US"/>
        </w:rPr>
      </w:pPr>
      <w:r w:rsidRPr="00DF4F1C">
        <w:rPr>
          <w:rFonts w:cs="Times New Roman"/>
          <w:szCs w:val="24"/>
          <w:lang w:val="en-US"/>
        </w:rPr>
        <w:t>Hipponax: Degani 1984, 2002; Miralles 1988; Carey 2008; Hawkins 2013.</w:t>
      </w:r>
    </w:p>
    <w:p w14:paraId="4E747251" w14:textId="24767105" w:rsidR="00796AA1" w:rsidRPr="00DF4F1C" w:rsidRDefault="00796AA1" w:rsidP="00DC0177">
      <w:pPr>
        <w:widowControl w:val="0"/>
        <w:numPr>
          <w:ilvl w:val="0"/>
          <w:numId w:val="198"/>
        </w:numPr>
        <w:tabs>
          <w:tab w:val="left" w:pos="851"/>
          <w:tab w:val="left" w:pos="993"/>
          <w:tab w:val="center" w:pos="5387"/>
        </w:tabs>
        <w:spacing w:after="120"/>
        <w:ind w:left="851" w:hanging="284"/>
        <w:rPr>
          <w:rFonts w:cs="Times New Roman"/>
          <w:szCs w:val="24"/>
          <w:lang w:val="en-US"/>
        </w:rPr>
      </w:pPr>
      <w:r w:rsidRPr="00DF4F1C">
        <w:rPr>
          <w:rFonts w:cs="Times New Roman"/>
          <w:szCs w:val="24"/>
          <w:lang w:val="en-US"/>
        </w:rPr>
        <w:t>Semonides: Lloyd-Jones 1975; Gerber 1979; Morgan 2005.</w:t>
      </w:r>
    </w:p>
    <w:p w14:paraId="795EA37B" w14:textId="0291130D" w:rsidR="005262C7" w:rsidRDefault="001D7D5C" w:rsidP="00D71936">
      <w:pPr>
        <w:rPr>
          <w:rFonts w:cs="Times New Roman"/>
          <w:szCs w:val="24"/>
          <w:lang w:val="en-US"/>
        </w:rPr>
      </w:pPr>
      <w:r>
        <w:rPr>
          <w:rFonts w:cs="Times New Roman"/>
          <w:szCs w:val="24"/>
          <w:lang w:val="en-US"/>
        </w:rPr>
        <w:t>Among the</w:t>
      </w:r>
      <w:r w:rsidRPr="00DF4F1C">
        <w:rPr>
          <w:rFonts w:cs="Times New Roman"/>
          <w:szCs w:val="24"/>
          <w:lang w:val="en-US"/>
        </w:rPr>
        <w:t xml:space="preserve"> </w:t>
      </w:r>
      <w:r w:rsidR="00796AA1" w:rsidRPr="00DF4F1C">
        <w:rPr>
          <w:rFonts w:cs="Times New Roman"/>
          <w:szCs w:val="24"/>
          <w:lang w:val="en-US"/>
        </w:rPr>
        <w:t>studies relating to Callimachus</w:t>
      </w:r>
      <w:r w:rsidR="00075F5F">
        <w:rPr>
          <w:rFonts w:cs="Times New Roman"/>
          <w:szCs w:val="24"/>
          <w:lang w:val="en-US"/>
        </w:rPr>
        <w:t>’</w:t>
      </w:r>
      <w:r w:rsidR="00796AA1" w:rsidRPr="00DF4F1C">
        <w:rPr>
          <w:rFonts w:cs="Times New Roman"/>
          <w:szCs w:val="24"/>
          <w:lang w:val="en-US"/>
        </w:rPr>
        <w:t xml:space="preserve"> </w:t>
      </w:r>
      <w:r w:rsidR="00796AA1" w:rsidRPr="00DF4F1C">
        <w:rPr>
          <w:rFonts w:cs="Times New Roman"/>
          <w:i/>
          <w:iCs/>
          <w:szCs w:val="24"/>
          <w:lang w:val="en-US"/>
        </w:rPr>
        <w:t>Iambi</w:t>
      </w:r>
      <w:r>
        <w:rPr>
          <w:rFonts w:cs="Times New Roman"/>
          <w:szCs w:val="24"/>
          <w:lang w:val="en-US"/>
        </w:rPr>
        <w:t xml:space="preserve">, </w:t>
      </w:r>
      <w:r w:rsidR="00796AA1" w:rsidRPr="00DF4F1C">
        <w:rPr>
          <w:rFonts w:cs="Times New Roman"/>
          <w:szCs w:val="24"/>
          <w:lang w:val="en-US"/>
        </w:rPr>
        <w:t xml:space="preserve">my </w:t>
      </w:r>
      <w:r>
        <w:rPr>
          <w:rFonts w:cs="Times New Roman"/>
          <w:szCs w:val="24"/>
          <w:lang w:val="en-US"/>
        </w:rPr>
        <w:t xml:space="preserve">examination engages first and foremost with two </w:t>
      </w:r>
      <w:r w:rsidR="00796AA1" w:rsidRPr="00DF4F1C">
        <w:rPr>
          <w:rFonts w:cs="Times New Roman"/>
          <w:szCs w:val="24"/>
          <w:lang w:val="en-US"/>
        </w:rPr>
        <w:t>more recent monographs: Kerkhecker</w:t>
      </w:r>
      <w:r w:rsidR="00075F5F">
        <w:rPr>
          <w:rFonts w:cs="Times New Roman"/>
          <w:szCs w:val="24"/>
          <w:lang w:val="en-US"/>
        </w:rPr>
        <w:t>’</w:t>
      </w:r>
      <w:r w:rsidR="00796AA1" w:rsidRPr="00DF4F1C">
        <w:rPr>
          <w:rFonts w:cs="Times New Roman"/>
          <w:szCs w:val="24"/>
          <w:lang w:val="en-US"/>
        </w:rPr>
        <w:t xml:space="preserve">s </w:t>
      </w:r>
      <w:r w:rsidR="00796AA1" w:rsidRPr="00DF4F1C">
        <w:rPr>
          <w:rFonts w:cs="Times New Roman"/>
          <w:i/>
          <w:iCs/>
          <w:szCs w:val="24"/>
          <w:lang w:val="en-US"/>
        </w:rPr>
        <w:t>Callimachus</w:t>
      </w:r>
      <w:r w:rsidR="00075F5F">
        <w:rPr>
          <w:rFonts w:cs="Times New Roman"/>
          <w:i/>
          <w:iCs/>
          <w:szCs w:val="24"/>
          <w:lang w:val="en-US"/>
        </w:rPr>
        <w:t>’</w:t>
      </w:r>
      <w:r w:rsidR="00796AA1" w:rsidRPr="00DF4F1C">
        <w:rPr>
          <w:rFonts w:cs="Times New Roman"/>
          <w:i/>
          <w:iCs/>
          <w:szCs w:val="24"/>
          <w:lang w:val="en-US"/>
        </w:rPr>
        <w:t xml:space="preserve"> Book of Iambi</w:t>
      </w:r>
      <w:r w:rsidR="00796AA1" w:rsidRPr="00DF4F1C">
        <w:rPr>
          <w:rFonts w:cs="Times New Roman"/>
          <w:szCs w:val="24"/>
          <w:lang w:val="en-US"/>
        </w:rPr>
        <w:t xml:space="preserve"> (1999) and Acosta-Hughes</w:t>
      </w:r>
      <w:r w:rsidR="00075F5F">
        <w:rPr>
          <w:rFonts w:cs="Times New Roman"/>
          <w:szCs w:val="24"/>
          <w:lang w:val="en-US"/>
        </w:rPr>
        <w:t>’</w:t>
      </w:r>
      <w:r w:rsidR="00796AA1" w:rsidRPr="00DF4F1C">
        <w:rPr>
          <w:rFonts w:cs="Times New Roman"/>
          <w:szCs w:val="24"/>
          <w:lang w:val="en-US"/>
        </w:rPr>
        <w:t xml:space="preserve">s </w:t>
      </w:r>
      <w:r w:rsidR="00796AA1" w:rsidRPr="00DF4F1C">
        <w:rPr>
          <w:rFonts w:cs="Times New Roman"/>
          <w:i/>
          <w:iCs/>
          <w:szCs w:val="24"/>
          <w:lang w:val="en-US"/>
        </w:rPr>
        <w:t>Polyeideia</w:t>
      </w:r>
      <w:r w:rsidR="00796AA1" w:rsidRPr="00DF4F1C">
        <w:rPr>
          <w:rFonts w:cs="Times New Roman"/>
          <w:szCs w:val="24"/>
          <w:lang w:val="en-US"/>
        </w:rPr>
        <w:t xml:space="preserve"> (2002). Other </w:t>
      </w:r>
      <w:r w:rsidR="005262C7">
        <w:rPr>
          <w:rFonts w:cs="Times New Roman"/>
          <w:szCs w:val="24"/>
          <w:lang w:val="en-US"/>
        </w:rPr>
        <w:t xml:space="preserve">relevant </w:t>
      </w:r>
      <w:r w:rsidR="00796AA1" w:rsidRPr="00DF4F1C">
        <w:rPr>
          <w:rFonts w:cs="Times New Roman"/>
          <w:szCs w:val="24"/>
          <w:lang w:val="en-US"/>
        </w:rPr>
        <w:t xml:space="preserve">works include </w:t>
      </w:r>
      <w:r>
        <w:rPr>
          <w:rFonts w:cs="Times New Roman"/>
          <w:szCs w:val="24"/>
          <w:lang w:val="en-US"/>
        </w:rPr>
        <w:t xml:space="preserve">a number of </w:t>
      </w:r>
      <w:r w:rsidR="00796AA1" w:rsidRPr="00DF4F1C">
        <w:rPr>
          <w:rFonts w:cs="Times New Roman"/>
          <w:szCs w:val="24"/>
          <w:lang w:val="en-US"/>
        </w:rPr>
        <w:t>articles concerning specific aspects of Callimachus</w:t>
      </w:r>
      <w:r w:rsidR="00075F5F">
        <w:rPr>
          <w:rFonts w:cs="Times New Roman"/>
          <w:szCs w:val="24"/>
          <w:lang w:val="en-US"/>
        </w:rPr>
        <w:t>’</w:t>
      </w:r>
      <w:r w:rsidR="00796AA1" w:rsidRPr="00DF4F1C">
        <w:rPr>
          <w:rFonts w:cs="Times New Roman"/>
          <w:szCs w:val="24"/>
          <w:lang w:val="en-US"/>
        </w:rPr>
        <w:t xml:space="preserve"> </w:t>
      </w:r>
      <w:r w:rsidR="00796AA1" w:rsidRPr="00DF4F1C">
        <w:rPr>
          <w:rFonts w:cs="Times New Roman"/>
          <w:i/>
          <w:iCs/>
          <w:szCs w:val="24"/>
          <w:lang w:val="en-US"/>
        </w:rPr>
        <w:t>Iambi</w:t>
      </w:r>
      <w:r w:rsidR="00796AA1" w:rsidRPr="00DF4F1C">
        <w:rPr>
          <w:rFonts w:cs="Times New Roman"/>
          <w:szCs w:val="24"/>
          <w:lang w:val="en-US"/>
        </w:rPr>
        <w:t xml:space="preserve">, such as those by Hughes (1996), Sevieri (1998), Scodel (2001), and Giuseppetti (2012). </w:t>
      </w:r>
    </w:p>
    <w:p w14:paraId="48700BF4" w14:textId="688688DD" w:rsidR="00796AA1" w:rsidRPr="00DF4F1C" w:rsidRDefault="005262C7" w:rsidP="00D71936">
      <w:pPr>
        <w:rPr>
          <w:rFonts w:cs="Times New Roman"/>
          <w:szCs w:val="24"/>
          <w:lang w:val="en-US"/>
        </w:rPr>
      </w:pPr>
      <w:r>
        <w:rPr>
          <w:rFonts w:cs="Times New Roman"/>
          <w:szCs w:val="24"/>
          <w:lang w:val="en-US"/>
        </w:rPr>
        <w:tab/>
      </w:r>
      <w:r w:rsidR="00BA6C80">
        <w:rPr>
          <w:rFonts w:cs="Times New Roman"/>
          <w:szCs w:val="24"/>
          <w:lang w:val="en-US"/>
        </w:rPr>
        <w:t>D</w:t>
      </w:r>
      <w:r w:rsidR="001D7D5C">
        <w:rPr>
          <w:rFonts w:cs="Times New Roman"/>
          <w:szCs w:val="24"/>
          <w:lang w:val="en-US"/>
        </w:rPr>
        <w:t xml:space="preserve">iachronic </w:t>
      </w:r>
      <w:r w:rsidR="00BA6C80">
        <w:rPr>
          <w:rFonts w:cs="Times New Roman"/>
          <w:szCs w:val="24"/>
          <w:lang w:val="en-US"/>
        </w:rPr>
        <w:t>studies include</w:t>
      </w:r>
      <w:r w:rsidR="001D7D5C">
        <w:rPr>
          <w:rFonts w:cs="Times New Roman"/>
          <w:szCs w:val="24"/>
          <w:lang w:val="en-US"/>
        </w:rPr>
        <w:t xml:space="preserve"> </w:t>
      </w:r>
      <w:r w:rsidR="00796AA1" w:rsidRPr="00DF4F1C">
        <w:rPr>
          <w:rFonts w:cs="Times New Roman"/>
          <w:szCs w:val="24"/>
          <w:lang w:val="en-US"/>
        </w:rPr>
        <w:t xml:space="preserve">the volume </w:t>
      </w:r>
      <w:r w:rsidR="00796AA1" w:rsidRPr="00DF4F1C">
        <w:rPr>
          <w:rFonts w:cs="Times New Roman"/>
          <w:i/>
          <w:iCs/>
          <w:szCs w:val="24"/>
          <w:lang w:val="en-US"/>
        </w:rPr>
        <w:t>Iambic Ideas: Essays on a Poetic Tradition from Archaic Greece to the Late Roman Empire</w:t>
      </w:r>
      <w:r w:rsidR="00796AA1" w:rsidRPr="00DF4F1C">
        <w:rPr>
          <w:rFonts w:cs="Times New Roman"/>
          <w:szCs w:val="24"/>
          <w:lang w:val="en-US"/>
        </w:rPr>
        <w:t>, edited by Cavarzere, Aloni, and Barchiesi (2001)</w:t>
      </w:r>
      <w:r w:rsidR="00BA6C80">
        <w:rPr>
          <w:rFonts w:cs="Times New Roman"/>
          <w:szCs w:val="24"/>
          <w:lang w:val="en-US"/>
        </w:rPr>
        <w:t xml:space="preserve">, which provides helpful case-studies of individual poets in their </w:t>
      </w:r>
      <w:r w:rsidR="00BA6C80">
        <w:rPr>
          <w:rFonts w:cs="Times New Roman"/>
          <w:szCs w:val="24"/>
          <w:lang w:val="en-US"/>
        </w:rPr>
        <w:lastRenderedPageBreak/>
        <w:t xml:space="preserve">historical context. It does not, however, </w:t>
      </w:r>
      <w:r w:rsidR="00796AA1" w:rsidRPr="00DF4F1C">
        <w:rPr>
          <w:rFonts w:cs="Times New Roman"/>
          <w:szCs w:val="24"/>
          <w:lang w:val="en-US"/>
        </w:rPr>
        <w:t xml:space="preserve">provide a </w:t>
      </w:r>
      <w:r w:rsidR="00BA6C80">
        <w:rPr>
          <w:rFonts w:cs="Times New Roman"/>
          <w:szCs w:val="24"/>
          <w:lang w:val="en-US"/>
        </w:rPr>
        <w:t>clear</w:t>
      </w:r>
      <w:r w:rsidR="00BA6C80" w:rsidRPr="00DF4F1C">
        <w:rPr>
          <w:rFonts w:cs="Times New Roman"/>
          <w:szCs w:val="24"/>
          <w:lang w:val="en-US"/>
        </w:rPr>
        <w:t xml:space="preserve"> </w:t>
      </w:r>
      <w:r w:rsidR="00BA6C80" w:rsidRPr="00BA6C80">
        <w:rPr>
          <w:rFonts w:cs="Times New Roman"/>
          <w:szCs w:val="24"/>
          <w:lang w:val="en-US"/>
        </w:rPr>
        <w:t>“</w:t>
      </w:r>
      <w:r w:rsidR="00796AA1" w:rsidRPr="00227EE7">
        <w:rPr>
          <w:rFonts w:cs="Times New Roman"/>
          <w:iCs/>
          <w:szCs w:val="24"/>
          <w:lang w:val="en-US"/>
        </w:rPr>
        <w:t>idea</w:t>
      </w:r>
      <w:r w:rsidR="00BA6C80" w:rsidRPr="00227EE7">
        <w:rPr>
          <w:rFonts w:cs="Times New Roman"/>
          <w:iCs/>
          <w:szCs w:val="24"/>
          <w:lang w:val="en-US"/>
        </w:rPr>
        <w:t>”</w:t>
      </w:r>
      <w:r w:rsidR="00796AA1" w:rsidRPr="00BA6C80">
        <w:rPr>
          <w:rStyle w:val="FootnoteReference"/>
          <w:szCs w:val="24"/>
          <w:lang w:val="en-US"/>
        </w:rPr>
        <w:footnoteReference w:id="1"/>
      </w:r>
      <w:r w:rsidR="00BA6C80">
        <w:rPr>
          <w:rFonts w:cs="Times New Roman"/>
          <w:i/>
          <w:iCs/>
          <w:szCs w:val="24"/>
          <w:lang w:val="en-US"/>
        </w:rPr>
        <w:t xml:space="preserve"> </w:t>
      </w:r>
      <w:r w:rsidR="00796AA1" w:rsidRPr="00DF4F1C">
        <w:rPr>
          <w:rFonts w:cs="Times New Roman"/>
          <w:szCs w:val="24"/>
          <w:lang w:val="en-US"/>
        </w:rPr>
        <w:t xml:space="preserve">of what ancient </w:t>
      </w:r>
      <w:r w:rsidR="00796AA1" w:rsidRPr="00DF4F1C">
        <w:rPr>
          <w:rFonts w:cs="Times New Roman"/>
          <w:i/>
          <w:iCs/>
          <w:szCs w:val="24"/>
          <w:lang w:val="en-US"/>
        </w:rPr>
        <w:t>iambos</w:t>
      </w:r>
      <w:r w:rsidR="00796AA1" w:rsidRPr="00DF4F1C">
        <w:rPr>
          <w:rFonts w:cs="Times New Roman"/>
          <w:szCs w:val="24"/>
          <w:lang w:val="en-US"/>
        </w:rPr>
        <w:t xml:space="preserve"> is, </w:t>
      </w:r>
      <w:r w:rsidR="00455E9F">
        <w:rPr>
          <w:rFonts w:cs="Times New Roman"/>
          <w:szCs w:val="24"/>
          <w:lang w:val="en-US"/>
        </w:rPr>
        <w:t xml:space="preserve">even </w:t>
      </w:r>
      <w:r w:rsidR="00796AA1" w:rsidRPr="00DF4F1C">
        <w:rPr>
          <w:rFonts w:cs="Times New Roman"/>
          <w:szCs w:val="24"/>
          <w:lang w:val="en-US"/>
        </w:rPr>
        <w:t xml:space="preserve">though the foreword indicates that it </w:t>
      </w:r>
      <w:r w:rsidR="00CC0615">
        <w:rPr>
          <w:rFonts w:cs="Times New Roman"/>
          <w:szCs w:val="24"/>
          <w:lang w:val="en-US"/>
        </w:rPr>
        <w:t>“</w:t>
      </w:r>
      <w:r w:rsidR="00796AA1" w:rsidRPr="00DF4F1C">
        <w:rPr>
          <w:rFonts w:cs="Times New Roman"/>
          <w:szCs w:val="24"/>
          <w:lang w:val="en-US"/>
        </w:rPr>
        <w:t xml:space="preserve">explores the concept of the </w:t>
      </w:r>
      <w:r w:rsidR="00075F5F">
        <w:rPr>
          <w:rFonts w:cs="Times New Roman"/>
          <w:szCs w:val="24"/>
          <w:lang w:val="en-US"/>
        </w:rPr>
        <w:t>‘</w:t>
      </w:r>
      <w:r w:rsidR="00796AA1" w:rsidRPr="00DF4F1C">
        <w:rPr>
          <w:rFonts w:cs="Times New Roman"/>
          <w:szCs w:val="24"/>
          <w:lang w:val="en-US"/>
        </w:rPr>
        <w:t>iambic</w:t>
      </w:r>
      <w:r w:rsidR="00075F5F">
        <w:rPr>
          <w:rFonts w:cs="Times New Roman"/>
          <w:szCs w:val="24"/>
          <w:lang w:val="en-US"/>
        </w:rPr>
        <w:t>’</w:t>
      </w:r>
      <w:r w:rsidR="00796AA1" w:rsidRPr="00DF4F1C">
        <w:rPr>
          <w:rFonts w:cs="Times New Roman"/>
          <w:szCs w:val="24"/>
          <w:lang w:val="en-US"/>
        </w:rPr>
        <w:t xml:space="preserve"> as a genre.</w:t>
      </w:r>
      <w:r w:rsidR="00CC0615">
        <w:rPr>
          <w:rFonts w:cs="Times New Roman"/>
          <w:szCs w:val="24"/>
          <w:lang w:val="en-US"/>
        </w:rPr>
        <w:t>”</w:t>
      </w:r>
      <w:r w:rsidR="00796AA1" w:rsidRPr="00DF4F1C">
        <w:rPr>
          <w:rStyle w:val="FootnoteReference"/>
          <w:szCs w:val="24"/>
          <w:lang w:val="en-US"/>
        </w:rPr>
        <w:footnoteReference w:id="2"/>
      </w:r>
      <w:r w:rsidR="00796AA1" w:rsidRPr="00DF4F1C">
        <w:rPr>
          <w:rFonts w:cs="Times New Roman"/>
          <w:szCs w:val="24"/>
          <w:lang w:val="en-US"/>
        </w:rPr>
        <w:t xml:space="preserve"> </w:t>
      </w:r>
      <w:r w:rsidR="00455E9F">
        <w:rPr>
          <w:rFonts w:cs="Times New Roman"/>
          <w:szCs w:val="24"/>
          <w:lang w:val="en-US"/>
        </w:rPr>
        <w:t>What</w:t>
      </w:r>
      <w:r w:rsidR="00796AA1" w:rsidRPr="00DF4F1C">
        <w:rPr>
          <w:rFonts w:cs="Times New Roman"/>
          <w:szCs w:val="24"/>
          <w:lang w:val="en-US"/>
        </w:rPr>
        <w:t xml:space="preserve"> the articles in the book </w:t>
      </w:r>
      <w:r w:rsidR="00455E9F">
        <w:rPr>
          <w:rFonts w:cs="Times New Roman"/>
          <w:szCs w:val="24"/>
          <w:lang w:val="en-US"/>
        </w:rPr>
        <w:t>do make clear is</w:t>
      </w:r>
      <w:r w:rsidR="00796AA1" w:rsidRPr="00DF4F1C">
        <w:rPr>
          <w:rFonts w:cs="Times New Roman"/>
          <w:szCs w:val="24"/>
          <w:lang w:val="en-US"/>
        </w:rPr>
        <w:t xml:space="preserve"> that the form of iambic poetry varies </w:t>
      </w:r>
      <w:r w:rsidR="00D71936">
        <w:rPr>
          <w:rFonts w:cs="Times New Roman"/>
          <w:szCs w:val="24"/>
          <w:lang w:val="en-US"/>
        </w:rPr>
        <w:t xml:space="preserve">from </w:t>
      </w:r>
      <w:r w:rsidR="00796AA1" w:rsidRPr="00DF4F1C">
        <w:rPr>
          <w:rFonts w:cs="Times New Roman"/>
          <w:szCs w:val="24"/>
          <w:lang w:val="en-US"/>
        </w:rPr>
        <w:t xml:space="preserve">historical context </w:t>
      </w:r>
      <w:r w:rsidR="00D71936">
        <w:rPr>
          <w:rFonts w:cs="Times New Roman"/>
          <w:szCs w:val="24"/>
          <w:lang w:val="en-US"/>
        </w:rPr>
        <w:t>to historical context</w:t>
      </w:r>
      <w:r w:rsidR="00796AA1" w:rsidRPr="00DF4F1C">
        <w:rPr>
          <w:rFonts w:cs="Times New Roman"/>
          <w:szCs w:val="24"/>
          <w:lang w:val="en-US"/>
        </w:rPr>
        <w:t xml:space="preserve">. </w:t>
      </w:r>
      <w:r w:rsidR="00455E9F">
        <w:rPr>
          <w:rFonts w:cs="Times New Roman"/>
          <w:szCs w:val="24"/>
          <w:lang w:val="en-US"/>
        </w:rPr>
        <w:t>This</w:t>
      </w:r>
      <w:r w:rsidR="00796AA1" w:rsidRPr="00DF4F1C">
        <w:rPr>
          <w:rFonts w:cs="Times New Roman"/>
          <w:szCs w:val="24"/>
          <w:lang w:val="en-US"/>
        </w:rPr>
        <w:t xml:space="preserve"> variety, </w:t>
      </w:r>
      <w:r w:rsidR="00455E9F">
        <w:rPr>
          <w:rFonts w:cs="Times New Roman"/>
          <w:szCs w:val="24"/>
          <w:lang w:val="en-US"/>
        </w:rPr>
        <w:t xml:space="preserve">my study shall argue, is </w:t>
      </w:r>
      <w:r w:rsidR="000127C9" w:rsidRPr="00DF4F1C">
        <w:rPr>
          <w:rFonts w:cs="Times New Roman"/>
          <w:szCs w:val="24"/>
          <w:lang w:val="en-US"/>
        </w:rPr>
        <w:t>an innate feature of the genre</w:t>
      </w:r>
      <w:r w:rsidR="00D71936">
        <w:rPr>
          <w:rFonts w:cs="Times New Roman"/>
          <w:szCs w:val="24"/>
          <w:lang w:val="en-US"/>
        </w:rPr>
        <w:t xml:space="preserve"> as much as it is a product of </w:t>
      </w:r>
      <w:r w:rsidR="007A4226">
        <w:rPr>
          <w:rFonts w:cs="Times New Roman"/>
          <w:szCs w:val="24"/>
          <w:lang w:val="en-US"/>
        </w:rPr>
        <w:t>socio-historical changes</w:t>
      </w:r>
      <w:r w:rsidR="00796AA1" w:rsidRPr="00DF4F1C">
        <w:rPr>
          <w:rFonts w:cs="Times New Roman"/>
          <w:szCs w:val="24"/>
          <w:lang w:val="en-US"/>
        </w:rPr>
        <w:t xml:space="preserve">. </w:t>
      </w:r>
      <w:r w:rsidR="00D71936">
        <w:rPr>
          <w:rFonts w:cs="Times New Roman"/>
          <w:szCs w:val="24"/>
          <w:lang w:val="en-US"/>
        </w:rPr>
        <w:t xml:space="preserve">While time </w:t>
      </w:r>
      <w:r w:rsidR="007A4226">
        <w:rPr>
          <w:rFonts w:cs="Times New Roman"/>
          <w:szCs w:val="24"/>
          <w:lang w:val="en-US"/>
        </w:rPr>
        <w:t xml:space="preserve">alone </w:t>
      </w:r>
      <w:r w:rsidR="00D71936">
        <w:rPr>
          <w:rFonts w:cs="Times New Roman"/>
          <w:szCs w:val="24"/>
          <w:lang w:val="en-US"/>
        </w:rPr>
        <w:t>may change the</w:t>
      </w:r>
      <w:r w:rsidR="00D71936" w:rsidRPr="00DF4F1C">
        <w:rPr>
          <w:rFonts w:cs="Times New Roman"/>
          <w:szCs w:val="24"/>
          <w:lang w:val="en-US"/>
        </w:rPr>
        <w:t xml:space="preserve"> </w:t>
      </w:r>
      <w:r w:rsidR="00796AA1" w:rsidRPr="00DF4F1C">
        <w:rPr>
          <w:rFonts w:cs="Times New Roman"/>
          <w:szCs w:val="24"/>
          <w:lang w:val="en-US"/>
        </w:rPr>
        <w:t xml:space="preserve">features of any literary genre to some extent, it does not </w:t>
      </w:r>
      <w:r w:rsidR="00D71936">
        <w:rPr>
          <w:rFonts w:cs="Times New Roman"/>
          <w:szCs w:val="24"/>
          <w:lang w:val="en-US"/>
        </w:rPr>
        <w:t xml:space="preserve">generally </w:t>
      </w:r>
      <w:r w:rsidR="00796AA1" w:rsidRPr="00DF4F1C">
        <w:rPr>
          <w:rFonts w:cs="Times New Roman"/>
          <w:szCs w:val="24"/>
          <w:lang w:val="en-US"/>
        </w:rPr>
        <w:t xml:space="preserve">distort them to the </w:t>
      </w:r>
      <w:r w:rsidR="008F2F7B">
        <w:rPr>
          <w:rFonts w:cs="Times New Roman"/>
          <w:szCs w:val="24"/>
          <w:lang w:val="en-US"/>
        </w:rPr>
        <w:t>point that the genre becomes almost unrecognisable or undefinable</w:t>
      </w:r>
      <w:r w:rsidR="00796AA1" w:rsidRPr="00DF4F1C">
        <w:rPr>
          <w:rFonts w:cs="Times New Roman"/>
          <w:szCs w:val="24"/>
          <w:lang w:val="en-US"/>
        </w:rPr>
        <w:t>.</w:t>
      </w:r>
    </w:p>
    <w:p w14:paraId="0D876211" w14:textId="77777777" w:rsidR="00796AA1" w:rsidRPr="00DF4F1C" w:rsidRDefault="00796AA1" w:rsidP="00DC0177">
      <w:pPr>
        <w:pStyle w:val="Heading4"/>
        <w:rPr>
          <w:rFonts w:cs="Times New Roman"/>
          <w:b w:val="0"/>
          <w:bCs w:val="0"/>
          <w:i/>
          <w:iCs/>
          <w:lang w:val="en-US"/>
        </w:rPr>
      </w:pPr>
      <w:r w:rsidRPr="00DF4F1C">
        <w:rPr>
          <w:rFonts w:cs="Times New Roman"/>
          <w:b w:val="0"/>
          <w:bCs w:val="0"/>
          <w:i/>
          <w:iCs/>
          <w:lang w:val="en-US"/>
        </w:rPr>
        <w:t>Background of the Study</w:t>
      </w:r>
    </w:p>
    <w:p w14:paraId="473E0913" w14:textId="64551DE2" w:rsidR="007A4226" w:rsidRDefault="00796AA1" w:rsidP="00DC0177">
      <w:pPr>
        <w:rPr>
          <w:rFonts w:cs="Times New Roman"/>
          <w:szCs w:val="24"/>
          <w:lang w:val="en-US"/>
        </w:rPr>
      </w:pPr>
      <w:r w:rsidRPr="00DF4F1C">
        <w:rPr>
          <w:rFonts w:cs="Times New Roman"/>
          <w:szCs w:val="24"/>
          <w:lang w:val="en-US"/>
        </w:rPr>
        <w:t xml:space="preserve">Many scholars </w:t>
      </w:r>
      <w:r w:rsidR="008F2F7B">
        <w:rPr>
          <w:rFonts w:cs="Times New Roman"/>
          <w:szCs w:val="24"/>
          <w:lang w:val="en-US"/>
        </w:rPr>
        <w:t>regard</w:t>
      </w:r>
      <w:r w:rsidR="008F2F7B" w:rsidRPr="00DF4F1C">
        <w:rPr>
          <w:rFonts w:cs="Times New Roman"/>
          <w:szCs w:val="24"/>
          <w:lang w:val="en-US"/>
        </w:rPr>
        <w:t xml:space="preserve"> </w:t>
      </w:r>
      <w:r w:rsidRPr="00DF4F1C">
        <w:rPr>
          <w:rFonts w:cs="Times New Roman"/>
          <w:szCs w:val="24"/>
          <w:lang w:val="en-US"/>
        </w:rPr>
        <w:t>the iambic genre as a loose network of poetic texts, lacking fixed formal features.</w:t>
      </w:r>
      <w:r w:rsidRPr="00DF4F1C">
        <w:rPr>
          <w:rStyle w:val="FootnoteReference"/>
          <w:szCs w:val="24"/>
          <w:lang w:val="en-US"/>
        </w:rPr>
        <w:footnoteReference w:id="3"/>
      </w:r>
      <w:r w:rsidRPr="00DF4F1C">
        <w:rPr>
          <w:rFonts w:cs="Times New Roman"/>
          <w:szCs w:val="24"/>
          <w:lang w:val="en-US"/>
        </w:rPr>
        <w:t xml:space="preserve"> Greek iambic poetry flourished within the oral culture of Ionia during the seventh and  sixth centuries BCE</w:t>
      </w:r>
      <w:r w:rsidR="008F2F7B">
        <w:rPr>
          <w:rFonts w:cs="Times New Roman"/>
          <w:szCs w:val="24"/>
          <w:lang w:val="en-US"/>
        </w:rPr>
        <w:t>, but was not restricted to this time and place. I</w:t>
      </w:r>
      <w:r w:rsidRPr="00DF4F1C">
        <w:rPr>
          <w:rFonts w:cs="Times New Roman"/>
          <w:szCs w:val="24"/>
          <w:lang w:val="en-US"/>
        </w:rPr>
        <w:t xml:space="preserve">ambic poetry </w:t>
      </w:r>
      <w:r w:rsidR="00A02B24">
        <w:rPr>
          <w:rFonts w:cs="Times New Roman"/>
          <w:szCs w:val="24"/>
          <w:lang w:val="en-US"/>
        </w:rPr>
        <w:t xml:space="preserve">was also composed and performed elsewhere, and </w:t>
      </w:r>
      <w:r w:rsidR="008F2F7B">
        <w:rPr>
          <w:rFonts w:cs="Times New Roman"/>
          <w:szCs w:val="24"/>
          <w:lang w:val="en-US"/>
        </w:rPr>
        <w:t>continued to be</w:t>
      </w:r>
      <w:r w:rsidRPr="00DF4F1C">
        <w:rPr>
          <w:rFonts w:cs="Times New Roman"/>
          <w:szCs w:val="24"/>
          <w:lang w:val="en-US"/>
        </w:rPr>
        <w:t xml:space="preserve"> composed and performed </w:t>
      </w:r>
      <w:r w:rsidR="00A02B24">
        <w:rPr>
          <w:rFonts w:cs="Times New Roman"/>
          <w:szCs w:val="24"/>
          <w:lang w:val="en-US"/>
        </w:rPr>
        <w:t>after the archaic period.</w:t>
      </w:r>
      <w:r w:rsidR="008F2F7B">
        <w:rPr>
          <w:rFonts w:cs="Times New Roman"/>
          <w:szCs w:val="24"/>
          <w:lang w:val="en-US"/>
        </w:rPr>
        <w:t xml:space="preserve"> </w:t>
      </w:r>
      <w:r w:rsidR="00B6652E">
        <w:rPr>
          <w:rFonts w:cs="Times New Roman"/>
          <w:szCs w:val="24"/>
          <w:lang w:val="en-US"/>
        </w:rPr>
        <w:t>Αll in all, w</w:t>
      </w:r>
      <w:r w:rsidR="00B01EBF">
        <w:rPr>
          <w:rFonts w:cs="Times New Roman"/>
          <w:szCs w:val="24"/>
          <w:lang w:val="en-US"/>
        </w:rPr>
        <w:t xml:space="preserve">e have the </w:t>
      </w:r>
      <w:r w:rsidR="00B6652E">
        <w:rPr>
          <w:rFonts w:cs="Times New Roman"/>
          <w:szCs w:val="24"/>
          <w:lang w:val="en-US"/>
        </w:rPr>
        <w:t>remnants</w:t>
      </w:r>
      <w:r w:rsidR="00B01EBF">
        <w:rPr>
          <w:rFonts w:cs="Times New Roman"/>
          <w:szCs w:val="24"/>
          <w:lang w:val="en-US"/>
        </w:rPr>
        <w:t xml:space="preserve"> of a sizeable number of </w:t>
      </w:r>
      <w:r w:rsidR="00A02B24">
        <w:rPr>
          <w:rFonts w:cs="Times New Roman"/>
          <w:szCs w:val="24"/>
          <w:lang w:val="en-US"/>
        </w:rPr>
        <w:t xml:space="preserve">Greek </w:t>
      </w:r>
      <w:r w:rsidR="00B01EBF">
        <w:rPr>
          <w:rFonts w:cs="Times New Roman"/>
          <w:szCs w:val="24"/>
          <w:lang w:val="en-US"/>
        </w:rPr>
        <w:t xml:space="preserve">poems </w:t>
      </w:r>
      <w:r w:rsidR="00A02B24">
        <w:rPr>
          <w:rFonts w:cs="Times New Roman"/>
          <w:szCs w:val="24"/>
          <w:lang w:val="en-US"/>
        </w:rPr>
        <w:t>that</w:t>
      </w:r>
      <w:r w:rsidRPr="00DF4F1C">
        <w:rPr>
          <w:rFonts w:cs="Times New Roman"/>
          <w:szCs w:val="24"/>
          <w:lang w:val="en-US"/>
        </w:rPr>
        <w:t xml:space="preserve"> cannot be attributed to the genre of epic poetry or that of elegy. </w:t>
      </w:r>
      <w:r w:rsidR="00A02B24">
        <w:rPr>
          <w:rFonts w:cs="Times New Roman"/>
          <w:szCs w:val="24"/>
          <w:lang w:val="en-US"/>
        </w:rPr>
        <w:t>They</w:t>
      </w:r>
      <w:r w:rsidRPr="00DF4F1C">
        <w:rPr>
          <w:rFonts w:cs="Times New Roman"/>
          <w:szCs w:val="24"/>
          <w:lang w:val="en-US"/>
        </w:rPr>
        <w:t xml:space="preserve"> </w:t>
      </w:r>
      <w:r w:rsidR="00A02B24">
        <w:rPr>
          <w:rFonts w:cs="Times New Roman"/>
          <w:szCs w:val="24"/>
          <w:lang w:val="en-US"/>
        </w:rPr>
        <w:t xml:space="preserve">are </w:t>
      </w:r>
      <w:r w:rsidRPr="00DF4F1C">
        <w:rPr>
          <w:rFonts w:cs="Times New Roman"/>
          <w:szCs w:val="24"/>
          <w:lang w:val="en-US"/>
        </w:rPr>
        <w:t>in stichic trochaic tetrameters, stichic iambic trimeters, and stanzas called epodes, usually involving a combination of iambic trimeter</w:t>
      </w:r>
      <w:r w:rsidR="00A02B24">
        <w:rPr>
          <w:rFonts w:cs="Times New Roman"/>
          <w:szCs w:val="24"/>
          <w:lang w:val="en-US"/>
        </w:rPr>
        <w:t>s</w:t>
      </w:r>
      <w:r w:rsidRPr="00DF4F1C">
        <w:rPr>
          <w:rFonts w:cs="Times New Roman"/>
          <w:szCs w:val="24"/>
          <w:lang w:val="en-US"/>
        </w:rPr>
        <w:t xml:space="preserve"> </w:t>
      </w:r>
      <w:r w:rsidR="00A02B24">
        <w:rPr>
          <w:rFonts w:cs="Times New Roman"/>
          <w:szCs w:val="24"/>
          <w:lang w:val="en-US"/>
        </w:rPr>
        <w:t xml:space="preserve">with a dactylic sequence </w:t>
      </w:r>
      <w:r w:rsidRPr="00DF4F1C">
        <w:rPr>
          <w:rFonts w:cs="Times New Roman"/>
          <w:szCs w:val="24"/>
          <w:lang w:val="en-US"/>
        </w:rPr>
        <w:t xml:space="preserve">or </w:t>
      </w:r>
      <w:r w:rsidR="00A02B24">
        <w:rPr>
          <w:rFonts w:cs="Times New Roman"/>
          <w:szCs w:val="24"/>
          <w:lang w:val="en-US"/>
        </w:rPr>
        <w:t xml:space="preserve">dactylic </w:t>
      </w:r>
      <w:r w:rsidRPr="00DF4F1C">
        <w:rPr>
          <w:rFonts w:cs="Times New Roman"/>
          <w:szCs w:val="24"/>
          <w:lang w:val="en-US"/>
        </w:rPr>
        <w:t>hexameter</w:t>
      </w:r>
      <w:r w:rsidR="00A02B24">
        <w:rPr>
          <w:rFonts w:cs="Times New Roman"/>
          <w:szCs w:val="24"/>
          <w:lang w:val="en-US"/>
        </w:rPr>
        <w:t>s</w:t>
      </w:r>
      <w:r w:rsidRPr="00DF4F1C">
        <w:rPr>
          <w:rFonts w:cs="Times New Roman"/>
          <w:szCs w:val="24"/>
          <w:lang w:val="en-US"/>
        </w:rPr>
        <w:t xml:space="preserve"> with </w:t>
      </w:r>
      <w:r w:rsidR="00A02B24">
        <w:rPr>
          <w:rFonts w:cs="Times New Roman"/>
          <w:szCs w:val="24"/>
          <w:lang w:val="en-US"/>
        </w:rPr>
        <w:t>a</w:t>
      </w:r>
      <w:r w:rsidR="007A4226">
        <w:rPr>
          <w:rFonts w:cs="Times New Roman"/>
          <w:szCs w:val="24"/>
          <w:lang w:val="en-US"/>
        </w:rPr>
        <w:t xml:space="preserve">n </w:t>
      </w:r>
      <w:r w:rsidRPr="00DF4F1C">
        <w:rPr>
          <w:rFonts w:cs="Times New Roman"/>
          <w:szCs w:val="24"/>
          <w:lang w:val="en-US"/>
        </w:rPr>
        <w:t>iambic</w:t>
      </w:r>
      <w:r w:rsidR="00A02B24">
        <w:rPr>
          <w:rFonts w:cs="Times New Roman"/>
          <w:szCs w:val="24"/>
          <w:lang w:val="en-US"/>
        </w:rPr>
        <w:t xml:space="preserve"> verse</w:t>
      </w:r>
      <w:r w:rsidR="00B6652E">
        <w:rPr>
          <w:rFonts w:cs="Times New Roman"/>
          <w:szCs w:val="24"/>
          <w:lang w:val="en-US"/>
        </w:rPr>
        <w:t>. Comic-parodic s</w:t>
      </w:r>
      <w:r w:rsidRPr="00DF4F1C">
        <w:rPr>
          <w:rFonts w:cs="Times New Roman"/>
          <w:szCs w:val="24"/>
          <w:lang w:val="en-US"/>
        </w:rPr>
        <w:t xml:space="preserve">tichic hexameters </w:t>
      </w:r>
      <w:r w:rsidR="00B6652E">
        <w:rPr>
          <w:rFonts w:cs="Times New Roman"/>
          <w:szCs w:val="24"/>
          <w:lang w:val="en-US"/>
        </w:rPr>
        <w:t>composed by the same poets (</w:t>
      </w:r>
      <w:r w:rsidRPr="00DF4F1C">
        <w:rPr>
          <w:rFonts w:cs="Times New Roman"/>
          <w:szCs w:val="24"/>
          <w:lang w:val="en-US"/>
        </w:rPr>
        <w:t>such as Hipponax fr. 126</w:t>
      </w:r>
      <w:r w:rsidR="00B6652E">
        <w:rPr>
          <w:rFonts w:cs="Times New Roman"/>
          <w:szCs w:val="24"/>
          <w:lang w:val="en-US"/>
        </w:rPr>
        <w:t>)</w:t>
      </w:r>
      <w:r w:rsidRPr="00DF4F1C">
        <w:rPr>
          <w:rFonts w:cs="Times New Roman"/>
          <w:szCs w:val="24"/>
          <w:lang w:val="en-US"/>
        </w:rPr>
        <w:t xml:space="preserve"> </w:t>
      </w:r>
      <w:r w:rsidR="00B6652E">
        <w:rPr>
          <w:rFonts w:cs="Times New Roman"/>
          <w:szCs w:val="24"/>
          <w:lang w:val="en-US"/>
        </w:rPr>
        <w:t xml:space="preserve">are, </w:t>
      </w:r>
      <w:r w:rsidR="00B6652E" w:rsidRPr="00DF4F1C">
        <w:rPr>
          <w:rFonts w:cs="Times New Roman"/>
          <w:szCs w:val="24"/>
          <w:lang w:val="en-US"/>
        </w:rPr>
        <w:t>for pragmatic reasons</w:t>
      </w:r>
      <w:r w:rsidR="00B6652E">
        <w:rPr>
          <w:rFonts w:cs="Times New Roman"/>
          <w:szCs w:val="24"/>
          <w:lang w:val="en-US"/>
        </w:rPr>
        <w:t xml:space="preserve">, generally included in this mixed bag, which </w:t>
      </w:r>
      <w:r w:rsidRPr="00DF4F1C">
        <w:rPr>
          <w:rFonts w:cs="Times New Roman"/>
          <w:szCs w:val="24"/>
          <w:lang w:val="en-US"/>
        </w:rPr>
        <w:t>is customarily referred to</w:t>
      </w:r>
      <w:r w:rsidR="00B6652E">
        <w:rPr>
          <w:rFonts w:cs="Times New Roman"/>
          <w:szCs w:val="24"/>
          <w:lang w:val="en-US"/>
        </w:rPr>
        <w:t>, somewhat imprecisely,</w:t>
      </w:r>
      <w:r w:rsidRPr="00DF4F1C">
        <w:rPr>
          <w:rFonts w:cs="Times New Roman"/>
          <w:szCs w:val="24"/>
          <w:lang w:val="en-US"/>
        </w:rPr>
        <w:t xml:space="preserve"> as </w:t>
      </w:r>
      <w:r w:rsidR="00CC0615">
        <w:rPr>
          <w:rFonts w:cs="Times New Roman"/>
          <w:szCs w:val="24"/>
          <w:lang w:val="en-US"/>
        </w:rPr>
        <w:t>“</w:t>
      </w:r>
      <w:r w:rsidRPr="00DF4F1C">
        <w:rPr>
          <w:rFonts w:cs="Times New Roman"/>
          <w:szCs w:val="24"/>
          <w:lang w:val="en-US"/>
        </w:rPr>
        <w:t>iambic poetry,</w:t>
      </w:r>
      <w:r w:rsidR="00CC0615">
        <w:rPr>
          <w:rFonts w:cs="Times New Roman"/>
          <w:szCs w:val="24"/>
          <w:lang w:val="en-US"/>
        </w:rPr>
        <w:t>”</w:t>
      </w:r>
      <w:r w:rsidRPr="00DF4F1C">
        <w:rPr>
          <w:rFonts w:cs="Times New Roman"/>
          <w:szCs w:val="24"/>
          <w:lang w:val="en-US"/>
        </w:rPr>
        <w:t xml:space="preserve"> or </w:t>
      </w:r>
      <w:r w:rsidRPr="00DF4F1C">
        <w:rPr>
          <w:rFonts w:cs="Times New Roman"/>
          <w:i/>
          <w:iCs/>
          <w:szCs w:val="24"/>
          <w:lang w:val="en-US"/>
        </w:rPr>
        <w:t>iambus</w:t>
      </w:r>
      <w:r w:rsidRPr="00DF4F1C">
        <w:rPr>
          <w:rFonts w:cs="Times New Roman"/>
          <w:szCs w:val="24"/>
          <w:lang w:val="en-US"/>
        </w:rPr>
        <w:t xml:space="preserve"> in Latin. They </w:t>
      </w:r>
      <w:r w:rsidR="00E1250C">
        <w:rPr>
          <w:rFonts w:cs="Times New Roman"/>
          <w:szCs w:val="24"/>
          <w:lang w:val="en-US"/>
        </w:rPr>
        <w:t>are</w:t>
      </w:r>
      <w:r w:rsidR="00E1250C" w:rsidRPr="00DF4F1C">
        <w:rPr>
          <w:rFonts w:cs="Times New Roman"/>
          <w:szCs w:val="24"/>
          <w:lang w:val="en-US"/>
        </w:rPr>
        <w:t xml:space="preserve"> </w:t>
      </w:r>
      <w:r w:rsidRPr="00DF4F1C">
        <w:rPr>
          <w:rFonts w:cs="Times New Roman"/>
          <w:szCs w:val="24"/>
          <w:lang w:val="en-US"/>
        </w:rPr>
        <w:t xml:space="preserve">also referred to as </w:t>
      </w:r>
      <w:r w:rsidRPr="00DF4F1C">
        <w:rPr>
          <w:rFonts w:cs="Times New Roman"/>
          <w:i/>
          <w:iCs/>
          <w:szCs w:val="24"/>
          <w:lang w:val="en-US"/>
        </w:rPr>
        <w:t>iambos</w:t>
      </w:r>
      <w:r w:rsidRPr="00DF4F1C">
        <w:rPr>
          <w:rFonts w:cs="Times New Roman"/>
          <w:szCs w:val="24"/>
          <w:lang w:val="en-US"/>
        </w:rPr>
        <w:t xml:space="preserve"> in Greek, though it is unclear what exact range of poems th</w:t>
      </w:r>
      <w:r w:rsidR="00E1250C">
        <w:rPr>
          <w:rFonts w:cs="Times New Roman"/>
          <w:szCs w:val="24"/>
          <w:lang w:val="en-US"/>
        </w:rPr>
        <w:t xml:space="preserve">is term originally </w:t>
      </w:r>
      <w:r w:rsidRPr="00DF4F1C">
        <w:rPr>
          <w:rFonts w:cs="Times New Roman"/>
          <w:szCs w:val="24"/>
          <w:lang w:val="en-US"/>
        </w:rPr>
        <w:t xml:space="preserve">covered. </w:t>
      </w:r>
    </w:p>
    <w:p w14:paraId="62903A45" w14:textId="0F256845" w:rsidR="00796AA1" w:rsidRPr="00DF4F1C" w:rsidRDefault="007A4226" w:rsidP="00750FF6">
      <w:pPr>
        <w:rPr>
          <w:rFonts w:cs="Times New Roman"/>
          <w:szCs w:val="24"/>
          <w:lang w:val="en-US"/>
        </w:rPr>
      </w:pPr>
      <w:r>
        <w:rPr>
          <w:rFonts w:cs="Times New Roman"/>
          <w:szCs w:val="24"/>
          <w:lang w:val="en-US"/>
        </w:rPr>
        <w:tab/>
      </w:r>
      <w:r w:rsidR="00796AA1" w:rsidRPr="00DF4F1C">
        <w:rPr>
          <w:rFonts w:cs="Times New Roman"/>
          <w:szCs w:val="24"/>
          <w:lang w:val="en-US"/>
        </w:rPr>
        <w:t>There is no explicit contemporary evidence to illustrate how people in the sixth and seventh centuries BCE</w:t>
      </w:r>
      <w:r w:rsidR="00796AA1" w:rsidRPr="00DF4F1C" w:rsidDel="00610B0B">
        <w:rPr>
          <w:rFonts w:cs="Times New Roman"/>
          <w:szCs w:val="24"/>
          <w:lang w:val="en-US"/>
        </w:rPr>
        <w:t xml:space="preserve"> </w:t>
      </w:r>
      <w:r w:rsidR="00796AA1" w:rsidRPr="00DF4F1C">
        <w:rPr>
          <w:rFonts w:cs="Times New Roman"/>
          <w:szCs w:val="24"/>
          <w:lang w:val="en-US"/>
        </w:rPr>
        <w:t xml:space="preserve">conceptualized </w:t>
      </w:r>
      <w:r>
        <w:rPr>
          <w:rFonts w:cs="Times New Roman"/>
          <w:szCs w:val="24"/>
          <w:lang w:val="en-US"/>
        </w:rPr>
        <w:t xml:space="preserve">the </w:t>
      </w:r>
      <w:r w:rsidR="00796AA1" w:rsidRPr="00DF4F1C">
        <w:rPr>
          <w:rFonts w:cs="Times New Roman"/>
          <w:szCs w:val="24"/>
          <w:lang w:val="en-US"/>
        </w:rPr>
        <w:t>genre</w:t>
      </w:r>
      <w:r>
        <w:rPr>
          <w:rFonts w:cs="Times New Roman"/>
          <w:szCs w:val="24"/>
          <w:lang w:val="en-US"/>
        </w:rPr>
        <w:t>,</w:t>
      </w:r>
      <w:r w:rsidR="00E1250C">
        <w:rPr>
          <w:rFonts w:cs="Times New Roman"/>
          <w:szCs w:val="24"/>
          <w:lang w:val="en-US"/>
        </w:rPr>
        <w:t xml:space="preserve"> and </w:t>
      </w:r>
      <w:r>
        <w:rPr>
          <w:rFonts w:cs="Times New Roman"/>
          <w:szCs w:val="24"/>
          <w:lang w:val="en-US"/>
        </w:rPr>
        <w:t xml:space="preserve">the oral origins further obscure its </w:t>
      </w:r>
      <w:r w:rsidR="00E1250C">
        <w:rPr>
          <w:rFonts w:cs="Times New Roman"/>
          <w:szCs w:val="24"/>
          <w:lang w:val="en-US"/>
        </w:rPr>
        <w:t xml:space="preserve">original </w:t>
      </w:r>
      <w:r w:rsidR="00796AA1" w:rsidRPr="00DF4F1C">
        <w:rPr>
          <w:rFonts w:cs="Times New Roman"/>
          <w:szCs w:val="24"/>
          <w:lang w:val="en-US"/>
        </w:rPr>
        <w:t xml:space="preserve">purpose, content or performance </w:t>
      </w:r>
      <w:r w:rsidR="00E1250C">
        <w:rPr>
          <w:rFonts w:cs="Times New Roman"/>
          <w:szCs w:val="24"/>
          <w:lang w:val="en-US"/>
        </w:rPr>
        <w:t>context</w:t>
      </w:r>
      <w:r w:rsidR="00796AA1" w:rsidRPr="00DF4F1C">
        <w:rPr>
          <w:rFonts w:cs="Times New Roman"/>
          <w:szCs w:val="24"/>
          <w:lang w:val="en-US"/>
        </w:rPr>
        <w:t xml:space="preserve">. </w:t>
      </w:r>
      <w:r w:rsidR="00E1250C">
        <w:rPr>
          <w:rFonts w:cs="Times New Roman"/>
          <w:szCs w:val="24"/>
          <w:shd w:val="solid" w:color="FFFFFF" w:fill="FFFFFF"/>
          <w:lang w:val="en-US"/>
        </w:rPr>
        <w:t>T</w:t>
      </w:r>
      <w:r w:rsidR="00796AA1" w:rsidRPr="00DF4F1C">
        <w:rPr>
          <w:rFonts w:cs="Times New Roman"/>
          <w:szCs w:val="24"/>
          <w:shd w:val="solid" w:color="FFFFFF" w:fill="FFFFFF"/>
          <w:lang w:val="en-US"/>
        </w:rPr>
        <w:t xml:space="preserve">he term </w:t>
      </w:r>
      <w:r w:rsidR="00796AA1" w:rsidRPr="00DF4F1C">
        <w:rPr>
          <w:rFonts w:cs="Times New Roman"/>
          <w:i/>
          <w:iCs/>
          <w:szCs w:val="24"/>
          <w:shd w:val="solid" w:color="FFFFFF" w:fill="FFFFFF"/>
          <w:lang w:val="en-US"/>
        </w:rPr>
        <w:t>iambos</w:t>
      </w:r>
      <w:r w:rsidR="00796AA1" w:rsidRPr="00DF4F1C">
        <w:rPr>
          <w:rFonts w:cs="Times New Roman"/>
          <w:szCs w:val="24"/>
          <w:shd w:val="solid" w:color="FFFFFF" w:fill="FFFFFF"/>
          <w:lang w:val="en-US"/>
        </w:rPr>
        <w:t xml:space="preserve"> </w:t>
      </w:r>
      <w:r w:rsidR="00E1250C">
        <w:rPr>
          <w:rFonts w:cs="Times New Roman"/>
          <w:szCs w:val="24"/>
          <w:shd w:val="solid" w:color="FFFFFF" w:fill="FFFFFF"/>
          <w:lang w:val="en-US"/>
        </w:rPr>
        <w:t xml:space="preserve">first </w:t>
      </w:r>
      <w:r w:rsidR="00796AA1" w:rsidRPr="00DF4F1C">
        <w:rPr>
          <w:rFonts w:cs="Times New Roman"/>
          <w:szCs w:val="24"/>
          <w:shd w:val="solid" w:color="FFFFFF" w:fill="FFFFFF"/>
          <w:lang w:val="en-US"/>
        </w:rPr>
        <w:t xml:space="preserve">appears </w:t>
      </w:r>
      <w:r w:rsidR="00190283">
        <w:rPr>
          <w:rFonts w:cs="Times New Roman"/>
          <w:szCs w:val="24"/>
          <w:shd w:val="solid" w:color="FFFFFF" w:fill="FFFFFF"/>
          <w:lang w:val="en-US"/>
        </w:rPr>
        <w:t>to us</w:t>
      </w:r>
      <w:r w:rsidR="00796AA1" w:rsidRPr="00DF4F1C">
        <w:rPr>
          <w:rFonts w:cs="Times New Roman"/>
          <w:szCs w:val="24"/>
          <w:shd w:val="solid" w:color="FFFFFF" w:fill="FFFFFF"/>
          <w:lang w:val="en-US"/>
        </w:rPr>
        <w:t xml:space="preserve"> in Archilochus</w:t>
      </w:r>
      <w:r w:rsidR="00E1250C">
        <w:rPr>
          <w:rFonts w:cs="Times New Roman"/>
          <w:szCs w:val="24"/>
          <w:shd w:val="solid" w:color="FFFFFF" w:fill="FFFFFF"/>
          <w:lang w:val="en-US"/>
        </w:rPr>
        <w:t>, who allegedly claimed:</w:t>
      </w:r>
      <w:r w:rsidR="00796AA1" w:rsidRPr="00DF4F1C">
        <w:rPr>
          <w:rFonts w:cs="Times New Roman"/>
          <w:szCs w:val="24"/>
          <w:shd w:val="solid" w:color="FFFFFF" w:fill="FFFFFF"/>
          <w:lang w:val="en-US"/>
        </w:rPr>
        <w:t xml:space="preserve"> </w:t>
      </w:r>
      <w:r w:rsidR="00CC0615">
        <w:rPr>
          <w:rFonts w:cs="Times New Roman"/>
          <w:szCs w:val="24"/>
          <w:lang w:val="en-US"/>
        </w:rPr>
        <w:t>“</w:t>
      </w:r>
      <w:r w:rsidR="00796AA1" w:rsidRPr="00DF4F1C">
        <w:rPr>
          <w:rFonts w:cs="Times New Roman"/>
          <w:szCs w:val="24"/>
          <w:lang w:val="en-US"/>
        </w:rPr>
        <w:t xml:space="preserve">I do not care about </w:t>
      </w:r>
      <w:r w:rsidR="00796AA1" w:rsidRPr="00DF4F1C">
        <w:rPr>
          <w:rFonts w:cs="Times New Roman"/>
          <w:i/>
          <w:iCs/>
          <w:szCs w:val="24"/>
          <w:lang w:val="en-US"/>
        </w:rPr>
        <w:t>iamboi</w:t>
      </w:r>
      <w:r w:rsidR="00796AA1" w:rsidRPr="00DF4F1C">
        <w:rPr>
          <w:rFonts w:cs="Times New Roman"/>
          <w:szCs w:val="24"/>
          <w:lang w:val="en-US"/>
        </w:rPr>
        <w:t xml:space="preserve"> or pleasures</w:t>
      </w:r>
      <w:r w:rsidR="00CC0615">
        <w:rPr>
          <w:rFonts w:cs="Times New Roman"/>
          <w:szCs w:val="24"/>
          <w:lang w:val="en-US"/>
        </w:rPr>
        <w:t>”</w:t>
      </w:r>
      <w:r w:rsidR="00796AA1" w:rsidRPr="00DF4F1C">
        <w:rPr>
          <w:rFonts w:cs="Times New Roman"/>
          <w:szCs w:val="24"/>
          <w:lang w:val="en-US"/>
        </w:rPr>
        <w:t xml:space="preserve"> </w:t>
      </w:r>
      <w:r w:rsidR="00E1250C">
        <w:rPr>
          <w:rFonts w:cs="Times New Roman"/>
          <w:szCs w:val="24"/>
          <w:lang w:val="en-US"/>
        </w:rPr>
        <w:t>(</w:t>
      </w:r>
      <w:r w:rsidR="00E1250C" w:rsidRPr="00DF4F1C">
        <w:rPr>
          <w:rFonts w:cs="Times New Roman"/>
          <w:szCs w:val="24"/>
          <w:lang w:val="en-US"/>
        </w:rPr>
        <w:t>καί μ</w:t>
      </w:r>
      <w:r w:rsidR="00E1250C">
        <w:rPr>
          <w:rFonts w:cs="Times New Roman"/>
          <w:szCs w:val="24"/>
          <w:lang w:val="en-US"/>
        </w:rPr>
        <w:t>’</w:t>
      </w:r>
      <w:r w:rsidR="00E1250C" w:rsidRPr="00DF4F1C">
        <w:rPr>
          <w:rFonts w:cs="Times New Roman"/>
          <w:szCs w:val="24"/>
          <w:lang w:val="en-US"/>
        </w:rPr>
        <w:t xml:space="preserve"> οὔτ</w:t>
      </w:r>
      <w:r w:rsidR="00E1250C">
        <w:rPr>
          <w:rFonts w:cs="Times New Roman"/>
          <w:szCs w:val="24"/>
          <w:lang w:val="en-US"/>
        </w:rPr>
        <w:t>’</w:t>
      </w:r>
      <w:r w:rsidR="00E1250C" w:rsidRPr="00DF4F1C">
        <w:rPr>
          <w:rFonts w:cs="Times New Roman"/>
          <w:szCs w:val="24"/>
          <w:lang w:val="en-US"/>
        </w:rPr>
        <w:t xml:space="preserve"> ἰάμβων οὔτε τερπωλέων μέλει</w:t>
      </w:r>
      <w:r w:rsidR="00E1250C">
        <w:rPr>
          <w:rFonts w:cs="Times New Roman"/>
          <w:szCs w:val="24"/>
          <w:lang w:val="en-US"/>
        </w:rPr>
        <w:t xml:space="preserve">, </w:t>
      </w:r>
      <w:r w:rsidR="00E1250C" w:rsidRPr="00DF4F1C">
        <w:rPr>
          <w:rFonts w:cs="Times New Roman"/>
          <w:szCs w:val="24"/>
          <w:shd w:val="solid" w:color="FFFFFF" w:fill="FFFFFF"/>
          <w:lang w:val="en-US"/>
        </w:rPr>
        <w:t>fr. 20</w:t>
      </w:r>
      <w:r w:rsidR="00E1250C">
        <w:rPr>
          <w:rFonts w:cs="Times New Roman"/>
          <w:szCs w:val="24"/>
          <w:shd w:val="solid" w:color="FFFFFF" w:fill="FFFFFF"/>
          <w:lang w:val="en-US"/>
        </w:rPr>
        <w:t xml:space="preserve">). </w:t>
      </w:r>
      <w:r w:rsidR="00190283">
        <w:rPr>
          <w:rFonts w:cs="Times New Roman"/>
          <w:szCs w:val="24"/>
          <w:shd w:val="solid" w:color="FFFFFF" w:fill="FFFFFF"/>
          <w:lang w:val="en-US"/>
        </w:rPr>
        <w:t xml:space="preserve">It </w:t>
      </w:r>
      <w:r w:rsidR="00E1250C">
        <w:rPr>
          <w:rFonts w:cs="Times New Roman"/>
          <w:szCs w:val="24"/>
          <w:lang w:val="en-US"/>
        </w:rPr>
        <w:t>recurs</w:t>
      </w:r>
      <w:r w:rsidR="00796AA1" w:rsidRPr="00DF4F1C">
        <w:rPr>
          <w:rFonts w:cs="Times New Roman"/>
          <w:szCs w:val="24"/>
          <w:lang w:val="en-US"/>
        </w:rPr>
        <w:t xml:space="preserve"> in </w:t>
      </w:r>
      <w:r w:rsidR="00190283">
        <w:rPr>
          <w:rFonts w:cs="Times New Roman"/>
          <w:szCs w:val="24"/>
          <w:lang w:val="en-US"/>
        </w:rPr>
        <w:t>sources</w:t>
      </w:r>
      <w:r w:rsidR="00E1250C" w:rsidRPr="00DF4F1C">
        <w:rPr>
          <w:rFonts w:cs="Times New Roman"/>
          <w:szCs w:val="24"/>
          <w:lang w:val="en-US"/>
        </w:rPr>
        <w:t xml:space="preserve"> </w:t>
      </w:r>
      <w:r w:rsidR="00796AA1" w:rsidRPr="00DF4F1C">
        <w:rPr>
          <w:rFonts w:cs="Times New Roman"/>
          <w:szCs w:val="24"/>
          <w:lang w:val="en-US"/>
        </w:rPr>
        <w:t xml:space="preserve">from the fifth century BCE, </w:t>
      </w:r>
      <w:r w:rsidR="00E1250C">
        <w:rPr>
          <w:rFonts w:cs="Times New Roman"/>
          <w:szCs w:val="24"/>
          <w:lang w:val="en-US"/>
        </w:rPr>
        <w:t>including</w:t>
      </w:r>
      <w:r w:rsidR="00E1250C" w:rsidRPr="00DF4F1C">
        <w:rPr>
          <w:rFonts w:cs="Times New Roman"/>
          <w:szCs w:val="24"/>
          <w:lang w:val="en-US"/>
        </w:rPr>
        <w:t xml:space="preserve"> </w:t>
      </w:r>
      <w:r w:rsidR="00796AA1" w:rsidRPr="00DF4F1C">
        <w:rPr>
          <w:rFonts w:cs="Times New Roman"/>
          <w:szCs w:val="24"/>
          <w:lang w:val="en-US"/>
        </w:rPr>
        <w:t>Aristophanes, Epicharmus, Damon, and Herodotus</w:t>
      </w:r>
      <w:r w:rsidR="00190283">
        <w:rPr>
          <w:rFonts w:cs="Times New Roman"/>
          <w:szCs w:val="24"/>
          <w:lang w:val="en-US"/>
        </w:rPr>
        <w:t xml:space="preserve">, but the line of Archilochus so far remains the </w:t>
      </w:r>
      <w:r w:rsidR="00796AA1" w:rsidRPr="00DF4F1C">
        <w:rPr>
          <w:rFonts w:cs="Times New Roman"/>
          <w:szCs w:val="24"/>
          <w:lang w:val="en-US"/>
        </w:rPr>
        <w:t>only surviving use</w:t>
      </w:r>
      <w:r w:rsidR="00190283">
        <w:rPr>
          <w:rFonts w:cs="Times New Roman"/>
          <w:szCs w:val="24"/>
          <w:lang w:val="en-US"/>
        </w:rPr>
        <w:t xml:space="preserve"> of </w:t>
      </w:r>
      <w:r w:rsidR="00796AA1" w:rsidRPr="00DF4F1C">
        <w:rPr>
          <w:rFonts w:cs="Times New Roman"/>
          <w:i/>
          <w:iCs/>
          <w:szCs w:val="24"/>
          <w:lang w:val="en-US"/>
        </w:rPr>
        <w:t>iambos</w:t>
      </w:r>
      <w:r w:rsidR="00796AA1" w:rsidRPr="00DF4F1C">
        <w:rPr>
          <w:rFonts w:cs="Times New Roman"/>
          <w:szCs w:val="24"/>
          <w:lang w:val="en-US"/>
        </w:rPr>
        <w:t xml:space="preserve"> in archaic literatur</w:t>
      </w:r>
      <w:r w:rsidR="00190283">
        <w:rPr>
          <w:rFonts w:cs="Times New Roman"/>
          <w:szCs w:val="24"/>
          <w:lang w:val="en-US"/>
        </w:rPr>
        <w:t xml:space="preserve">e. It </w:t>
      </w:r>
      <w:r w:rsidR="00190283">
        <w:rPr>
          <w:rFonts w:cs="Times New Roman"/>
          <w:szCs w:val="24"/>
          <w:lang w:val="en-US"/>
        </w:rPr>
        <w:lastRenderedPageBreak/>
        <w:t>therefore does not surprise that it has been used</w:t>
      </w:r>
      <w:r w:rsidR="0049748D">
        <w:rPr>
          <w:rFonts w:cs="Times New Roman"/>
          <w:szCs w:val="24"/>
          <w:lang w:val="en-US"/>
        </w:rPr>
        <w:t xml:space="preserve"> </w:t>
      </w:r>
      <w:r w:rsidR="00796AA1" w:rsidRPr="00DF4F1C">
        <w:rPr>
          <w:rFonts w:cs="Times New Roman"/>
          <w:szCs w:val="24"/>
          <w:lang w:val="en-US"/>
        </w:rPr>
        <w:t xml:space="preserve">as the basis of hypotheses regarding the nature of early </w:t>
      </w:r>
      <w:r w:rsidR="00796AA1" w:rsidRPr="00DF4F1C">
        <w:rPr>
          <w:rFonts w:cs="Times New Roman"/>
          <w:i/>
          <w:iCs/>
          <w:szCs w:val="24"/>
          <w:lang w:val="en-US"/>
        </w:rPr>
        <w:t>iambos</w:t>
      </w:r>
      <w:r w:rsidR="00796AA1" w:rsidRPr="00DF4F1C">
        <w:rPr>
          <w:rFonts w:cs="Times New Roman"/>
          <w:szCs w:val="24"/>
          <w:lang w:val="en-US"/>
        </w:rPr>
        <w:t xml:space="preserve">. </w:t>
      </w:r>
    </w:p>
    <w:p w14:paraId="52185EEE" w14:textId="7B9B2834" w:rsidR="00796AA1" w:rsidRPr="00DF4F1C" w:rsidRDefault="00A05354" w:rsidP="00DC0177">
      <w:pPr>
        <w:ind w:firstLine="426"/>
        <w:rPr>
          <w:rFonts w:cs="Times New Roman"/>
          <w:szCs w:val="24"/>
          <w:lang w:val="en-US"/>
        </w:rPr>
      </w:pPr>
      <w:r>
        <w:rPr>
          <w:rFonts w:cs="Times New Roman"/>
          <w:szCs w:val="24"/>
          <w:lang w:val="en-US"/>
        </w:rPr>
        <w:t xml:space="preserve">It is now broadly accepted </w:t>
      </w:r>
      <w:r w:rsidR="00796AA1" w:rsidRPr="00DF4F1C">
        <w:rPr>
          <w:rFonts w:cs="Times New Roman"/>
          <w:szCs w:val="24"/>
          <w:lang w:val="en-US"/>
        </w:rPr>
        <w:t xml:space="preserve">that </w:t>
      </w:r>
      <w:r w:rsidR="00796AA1" w:rsidRPr="00DF4F1C">
        <w:rPr>
          <w:rFonts w:cs="Times New Roman"/>
          <w:i/>
          <w:iCs/>
          <w:szCs w:val="24"/>
          <w:lang w:val="en-US"/>
        </w:rPr>
        <w:t>iamboi</w:t>
      </w:r>
      <w:r w:rsidR="00796AA1" w:rsidRPr="00DF4F1C">
        <w:rPr>
          <w:rFonts w:cs="Times New Roman"/>
          <w:szCs w:val="24"/>
          <w:lang w:val="en-US"/>
        </w:rPr>
        <w:t xml:space="preserve"> in Archilochus fr. 20</w:t>
      </w:r>
      <w:r>
        <w:rPr>
          <w:rFonts w:cs="Times New Roman"/>
          <w:szCs w:val="24"/>
          <w:lang w:val="en-US"/>
        </w:rPr>
        <w:t xml:space="preserve"> does not refer</w:t>
      </w:r>
      <w:r w:rsidR="005730D6" w:rsidRPr="00DF4F1C">
        <w:rPr>
          <w:rFonts w:cs="Times New Roman"/>
          <w:szCs w:val="24"/>
          <w:lang w:val="en-US"/>
        </w:rPr>
        <w:t xml:space="preserve"> to poems in </w:t>
      </w:r>
      <w:r w:rsidR="005562D9">
        <w:rPr>
          <w:rFonts w:cs="Times New Roman"/>
          <w:szCs w:val="24"/>
          <w:lang w:val="en-US"/>
        </w:rPr>
        <w:t xml:space="preserve">what we call </w:t>
      </w:r>
      <w:r w:rsidR="005730D6" w:rsidRPr="00DF4F1C">
        <w:rPr>
          <w:rFonts w:cs="Times New Roman"/>
          <w:szCs w:val="24"/>
          <w:lang w:val="en-US"/>
        </w:rPr>
        <w:t>iambic metre</w:t>
      </w:r>
      <w:r>
        <w:rPr>
          <w:rFonts w:cs="Times New Roman"/>
          <w:szCs w:val="24"/>
          <w:lang w:val="en-US"/>
        </w:rPr>
        <w:t>,</w:t>
      </w:r>
      <w:r w:rsidR="005730D6" w:rsidRPr="00DF4F1C">
        <w:rPr>
          <w:rFonts w:cs="Times New Roman"/>
          <w:szCs w:val="24"/>
          <w:lang w:val="en-US"/>
        </w:rPr>
        <w:t xml:space="preserve"> </w:t>
      </w:r>
      <w:r>
        <w:rPr>
          <w:rFonts w:cs="Times New Roman"/>
          <w:szCs w:val="24"/>
          <w:lang w:val="en-US"/>
        </w:rPr>
        <w:t xml:space="preserve">but to a genre of poetry </w:t>
      </w:r>
      <w:r w:rsidR="00796AA1" w:rsidRPr="00DF4F1C">
        <w:rPr>
          <w:rFonts w:cs="Times New Roman"/>
          <w:szCs w:val="24"/>
          <w:lang w:val="en-US"/>
        </w:rPr>
        <w:t>defined by function, content, occasion of performance</w:t>
      </w:r>
      <w:r>
        <w:rPr>
          <w:rFonts w:cs="Times New Roman"/>
          <w:szCs w:val="24"/>
          <w:lang w:val="en-US"/>
        </w:rPr>
        <w:t>, or a combination of these parameters</w:t>
      </w:r>
      <w:r w:rsidR="00796AA1" w:rsidRPr="00DF4F1C">
        <w:rPr>
          <w:rFonts w:cs="Times New Roman"/>
          <w:szCs w:val="24"/>
          <w:lang w:val="en-US"/>
        </w:rPr>
        <w:t>.</w:t>
      </w:r>
      <w:r w:rsidR="00796AA1" w:rsidRPr="00DF4F1C">
        <w:rPr>
          <w:rStyle w:val="FootnoteReference"/>
          <w:szCs w:val="24"/>
          <w:lang w:val="en-US"/>
        </w:rPr>
        <w:footnoteReference w:id="4"/>
      </w:r>
      <w:r w:rsidR="00796AA1" w:rsidRPr="00DF4F1C">
        <w:rPr>
          <w:rFonts w:cs="Times New Roman"/>
          <w:szCs w:val="24"/>
          <w:lang w:val="en-US"/>
        </w:rPr>
        <w:t xml:space="preserve"> </w:t>
      </w:r>
      <w:r>
        <w:rPr>
          <w:rFonts w:cs="Times New Roman"/>
          <w:szCs w:val="24"/>
          <w:lang w:val="en-US"/>
        </w:rPr>
        <w:t>Seminal for this view was an</w:t>
      </w:r>
      <w:r w:rsidRPr="00DF4F1C">
        <w:rPr>
          <w:rFonts w:cs="Times New Roman"/>
          <w:szCs w:val="24"/>
          <w:lang w:val="en-US"/>
        </w:rPr>
        <w:t xml:space="preserve"> </w:t>
      </w:r>
      <w:r w:rsidR="00796AA1" w:rsidRPr="00DF4F1C">
        <w:rPr>
          <w:rFonts w:cs="Times New Roman"/>
          <w:szCs w:val="24"/>
          <w:lang w:val="en-US"/>
        </w:rPr>
        <w:t xml:space="preserve">article </w:t>
      </w:r>
      <w:r>
        <w:rPr>
          <w:rFonts w:cs="Times New Roman"/>
          <w:szCs w:val="24"/>
          <w:lang w:val="en-US"/>
        </w:rPr>
        <w:t xml:space="preserve">published </w:t>
      </w:r>
      <w:r w:rsidR="00796AA1" w:rsidRPr="00DF4F1C">
        <w:rPr>
          <w:rFonts w:cs="Times New Roman"/>
          <w:szCs w:val="24"/>
          <w:lang w:val="en-US"/>
        </w:rPr>
        <w:t>by Dover in 1946</w:t>
      </w:r>
      <w:r>
        <w:rPr>
          <w:rFonts w:cs="Times New Roman"/>
          <w:szCs w:val="24"/>
          <w:lang w:val="en-US"/>
        </w:rPr>
        <w:t xml:space="preserve">, in which he </w:t>
      </w:r>
      <w:r w:rsidR="00796AA1" w:rsidRPr="00DF4F1C">
        <w:rPr>
          <w:rFonts w:cs="Times New Roman"/>
          <w:szCs w:val="24"/>
          <w:lang w:val="en-US"/>
        </w:rPr>
        <w:t xml:space="preserve">proposed that </w:t>
      </w:r>
      <w:r>
        <w:rPr>
          <w:rFonts w:cs="Times New Roman"/>
          <w:szCs w:val="24"/>
          <w:lang w:val="en-US"/>
        </w:rPr>
        <w:t>with</w:t>
      </w:r>
      <w:r w:rsidR="00796AA1" w:rsidRPr="00DF4F1C">
        <w:rPr>
          <w:rFonts w:cs="Times New Roman"/>
          <w:szCs w:val="24"/>
          <w:lang w:val="en-US"/>
        </w:rPr>
        <w:t xml:space="preserve"> </w:t>
      </w:r>
      <w:r w:rsidR="00796AA1" w:rsidRPr="00DF4F1C">
        <w:rPr>
          <w:rFonts w:cs="Times New Roman"/>
          <w:i/>
          <w:iCs/>
          <w:szCs w:val="24"/>
          <w:lang w:val="en-US"/>
        </w:rPr>
        <w:t xml:space="preserve">iamboi </w:t>
      </w:r>
      <w:r>
        <w:rPr>
          <w:rFonts w:cs="Times New Roman"/>
          <w:szCs w:val="24"/>
          <w:lang w:val="en-US"/>
        </w:rPr>
        <w:t>Archilochus</w:t>
      </w:r>
      <w:r w:rsidRPr="00DF4F1C">
        <w:rPr>
          <w:rFonts w:cs="Times New Roman"/>
          <w:szCs w:val="24"/>
          <w:lang w:val="en-US"/>
        </w:rPr>
        <w:t xml:space="preserve"> </w:t>
      </w:r>
      <w:r w:rsidR="00796AA1" w:rsidRPr="00DF4F1C">
        <w:rPr>
          <w:rFonts w:cs="Times New Roman"/>
          <w:szCs w:val="24"/>
          <w:lang w:val="en-US"/>
        </w:rPr>
        <w:t xml:space="preserve">referred to </w:t>
      </w:r>
      <w:r w:rsidR="00F81C07">
        <w:rPr>
          <w:rFonts w:cs="Times New Roman"/>
          <w:szCs w:val="24"/>
          <w:lang w:val="en-US"/>
        </w:rPr>
        <w:t>“</w:t>
      </w:r>
      <w:r w:rsidR="00796AA1" w:rsidRPr="00DF4F1C">
        <w:rPr>
          <w:rFonts w:cs="Times New Roman"/>
          <w:szCs w:val="24"/>
          <w:lang w:val="en-US"/>
        </w:rPr>
        <w:t>all the forms of poem which he composed, their common characteristic being not their metre or language but the type of occasion for which they were composed</w:t>
      </w:r>
      <w:r w:rsidR="00A53A10">
        <w:rPr>
          <w:rFonts w:cs="Times New Roman"/>
          <w:szCs w:val="24"/>
          <w:lang w:val="en-US"/>
        </w:rPr>
        <w:t xml:space="preserve"> – </w:t>
      </w:r>
      <w:r w:rsidR="00796AA1" w:rsidRPr="00DF4F1C">
        <w:rPr>
          <w:rFonts w:cs="Times New Roman"/>
          <w:szCs w:val="24"/>
          <w:lang w:val="en-US"/>
        </w:rPr>
        <w:t xml:space="preserve">their </w:t>
      </w:r>
      <w:r w:rsidR="00075F5F">
        <w:rPr>
          <w:rFonts w:cs="Times New Roman"/>
          <w:szCs w:val="24"/>
          <w:lang w:val="en-US"/>
        </w:rPr>
        <w:t>‘</w:t>
      </w:r>
      <w:r w:rsidR="00796AA1" w:rsidRPr="00DF4F1C">
        <w:rPr>
          <w:rFonts w:cs="Times New Roman"/>
          <w:szCs w:val="24"/>
          <w:lang w:val="en-US"/>
        </w:rPr>
        <w:t>social context</w:t>
      </w:r>
      <w:r w:rsidR="00075F5F">
        <w:rPr>
          <w:rFonts w:cs="Times New Roman"/>
          <w:szCs w:val="24"/>
          <w:lang w:val="en-US"/>
        </w:rPr>
        <w:t>’</w:t>
      </w:r>
      <w:r w:rsidR="00796AA1" w:rsidRPr="00DF4F1C">
        <w:rPr>
          <w:rFonts w:cs="Times New Roman"/>
          <w:szCs w:val="24"/>
          <w:lang w:val="en-US"/>
        </w:rPr>
        <w:t>.</w:t>
      </w:r>
      <w:r w:rsidR="00CC0615">
        <w:rPr>
          <w:rFonts w:cs="Times New Roman"/>
          <w:szCs w:val="24"/>
          <w:lang w:val="en-US"/>
        </w:rPr>
        <w:t>”</w:t>
      </w:r>
      <w:r w:rsidR="00796AA1" w:rsidRPr="00DF4F1C">
        <w:rPr>
          <w:rStyle w:val="FootnoteReference"/>
          <w:szCs w:val="24"/>
          <w:lang w:val="en-US"/>
        </w:rPr>
        <w:footnoteReference w:id="5"/>
      </w:r>
      <w:r w:rsidR="00796AA1" w:rsidRPr="00DF4F1C">
        <w:rPr>
          <w:rFonts w:cs="Times New Roman"/>
          <w:szCs w:val="24"/>
          <w:lang w:val="en-US"/>
        </w:rPr>
        <w:t xml:space="preserve"> This interpretation was adopted by West, who defined </w:t>
      </w:r>
      <w:r w:rsidR="00796AA1" w:rsidRPr="00DF4F1C">
        <w:rPr>
          <w:rFonts w:cs="Times New Roman"/>
          <w:i/>
          <w:iCs/>
          <w:szCs w:val="24"/>
          <w:lang w:val="en-US"/>
        </w:rPr>
        <w:t xml:space="preserve">iamboi </w:t>
      </w:r>
      <w:r w:rsidR="00796AA1" w:rsidRPr="00DF4F1C">
        <w:rPr>
          <w:rFonts w:cs="Times New Roman"/>
          <w:szCs w:val="24"/>
          <w:lang w:val="en-US"/>
        </w:rPr>
        <w:t>as some sort of public entertainment with ritual origins</w:t>
      </w:r>
      <w:r>
        <w:rPr>
          <w:rFonts w:cs="Times New Roman"/>
          <w:szCs w:val="24"/>
          <w:lang w:val="en-US"/>
        </w:rPr>
        <w:t xml:space="preserve">, hypothesizing </w:t>
      </w:r>
      <w:r w:rsidR="00796AA1" w:rsidRPr="00DF4F1C">
        <w:rPr>
          <w:rFonts w:cs="Times New Roman"/>
          <w:szCs w:val="24"/>
          <w:lang w:val="en-US"/>
        </w:rPr>
        <w:t xml:space="preserve">that they </w:t>
      </w:r>
      <w:r w:rsidR="00CC0615">
        <w:rPr>
          <w:rFonts w:cs="Times New Roman"/>
          <w:szCs w:val="24"/>
          <w:lang w:val="en-US"/>
        </w:rPr>
        <w:t>“</w:t>
      </w:r>
      <w:r w:rsidR="00796AA1" w:rsidRPr="00DF4F1C">
        <w:rPr>
          <w:rFonts w:cs="Times New Roman"/>
          <w:szCs w:val="24"/>
          <w:lang w:val="en-US"/>
        </w:rPr>
        <w:t>are surely more than just verses, they are an occasion.</w:t>
      </w:r>
      <w:r w:rsidR="00CC0615">
        <w:rPr>
          <w:rFonts w:cs="Times New Roman"/>
          <w:szCs w:val="24"/>
          <w:lang w:val="en-US"/>
        </w:rPr>
        <w:t>”</w:t>
      </w:r>
      <w:r w:rsidR="00796AA1" w:rsidRPr="00DF4F1C">
        <w:rPr>
          <w:rStyle w:val="FootnoteReference"/>
          <w:szCs w:val="24"/>
          <w:lang w:val="en-US"/>
        </w:rPr>
        <w:footnoteReference w:id="6"/>
      </w:r>
      <w:r w:rsidR="00796AA1" w:rsidRPr="00DF4F1C">
        <w:rPr>
          <w:rFonts w:cs="Times New Roman"/>
          <w:szCs w:val="24"/>
          <w:lang w:val="en-US"/>
        </w:rPr>
        <w:t xml:space="preserve"> </w:t>
      </w:r>
      <w:r>
        <w:rPr>
          <w:rFonts w:cs="Times New Roman"/>
          <w:szCs w:val="24"/>
          <w:lang w:val="en-US"/>
        </w:rPr>
        <w:t>This</w:t>
      </w:r>
      <w:r w:rsidR="00796AA1" w:rsidRPr="00DF4F1C">
        <w:rPr>
          <w:rFonts w:cs="Times New Roman"/>
          <w:szCs w:val="24"/>
          <w:lang w:val="en-US"/>
        </w:rPr>
        <w:t xml:space="preserve"> attracted responses from various scholars. Brown </w:t>
      </w:r>
      <w:r>
        <w:rPr>
          <w:rFonts w:cs="Times New Roman"/>
          <w:szCs w:val="24"/>
          <w:lang w:val="en-US"/>
        </w:rPr>
        <w:t xml:space="preserve">objected </w:t>
      </w:r>
      <w:r w:rsidR="00FA6E74">
        <w:rPr>
          <w:rFonts w:cs="Times New Roman"/>
          <w:szCs w:val="24"/>
          <w:lang w:val="en-US"/>
        </w:rPr>
        <w:t xml:space="preserve">that association of </w:t>
      </w:r>
      <w:r w:rsidR="00796AA1" w:rsidRPr="00DF4F1C">
        <w:rPr>
          <w:rFonts w:cs="Times New Roman"/>
          <w:szCs w:val="24"/>
          <w:lang w:val="en-US"/>
        </w:rPr>
        <w:t xml:space="preserve">the term </w:t>
      </w:r>
      <w:r w:rsidR="00796AA1" w:rsidRPr="00DF4F1C">
        <w:rPr>
          <w:rFonts w:cs="Times New Roman"/>
          <w:i/>
          <w:iCs/>
          <w:szCs w:val="24"/>
          <w:lang w:val="en-US"/>
        </w:rPr>
        <w:t>iambos</w:t>
      </w:r>
      <w:r w:rsidR="00796AA1" w:rsidRPr="00DF4F1C">
        <w:rPr>
          <w:rFonts w:cs="Times New Roman"/>
          <w:szCs w:val="24"/>
          <w:lang w:val="en-US"/>
        </w:rPr>
        <w:t xml:space="preserve"> </w:t>
      </w:r>
      <w:r w:rsidR="00FA6E74">
        <w:rPr>
          <w:rFonts w:cs="Times New Roman"/>
          <w:szCs w:val="24"/>
          <w:lang w:val="en-US"/>
        </w:rPr>
        <w:t>with a</w:t>
      </w:r>
      <w:r w:rsidR="00603C08">
        <w:rPr>
          <w:rFonts w:cs="Times New Roman"/>
          <w:szCs w:val="24"/>
          <w:lang w:val="en-US"/>
        </w:rPr>
        <w:t xml:space="preserve">n </w:t>
      </w:r>
      <w:r w:rsidR="00796AA1" w:rsidRPr="00DF4F1C">
        <w:rPr>
          <w:rFonts w:cs="Times New Roman"/>
          <w:szCs w:val="24"/>
          <w:lang w:val="en-US"/>
        </w:rPr>
        <w:t>occasion is not supported by any evidence.</w:t>
      </w:r>
      <w:r w:rsidR="00796AA1" w:rsidRPr="00DF4F1C">
        <w:rPr>
          <w:rStyle w:val="FootnoteReference"/>
          <w:szCs w:val="24"/>
          <w:lang w:val="en-US"/>
        </w:rPr>
        <w:footnoteReference w:id="7"/>
      </w:r>
      <w:r w:rsidR="00796AA1" w:rsidRPr="00DF4F1C">
        <w:rPr>
          <w:rFonts w:cs="Times New Roman"/>
          <w:szCs w:val="24"/>
          <w:lang w:val="en-US"/>
        </w:rPr>
        <w:t xml:space="preserve"> Brown </w:t>
      </w:r>
      <w:r w:rsidR="007E237C">
        <w:rPr>
          <w:rFonts w:cs="Times New Roman"/>
          <w:szCs w:val="24"/>
          <w:lang w:val="en-US"/>
        </w:rPr>
        <w:t xml:space="preserve">read </w:t>
      </w:r>
      <w:r w:rsidR="00796AA1" w:rsidRPr="00DF4F1C">
        <w:rPr>
          <w:rFonts w:cs="Times New Roman"/>
          <w:szCs w:val="24"/>
          <w:lang w:val="en-US"/>
        </w:rPr>
        <w:t xml:space="preserve">the term as meaning </w:t>
      </w:r>
      <w:r w:rsidR="00CC0615">
        <w:rPr>
          <w:rFonts w:cs="Times New Roman"/>
          <w:szCs w:val="24"/>
          <w:lang w:val="en-US"/>
        </w:rPr>
        <w:t>“</w:t>
      </w:r>
      <w:r w:rsidR="00796AA1" w:rsidRPr="00DF4F1C">
        <w:rPr>
          <w:rFonts w:cs="Times New Roman"/>
          <w:szCs w:val="24"/>
          <w:lang w:val="en-US"/>
        </w:rPr>
        <w:t>songs,</w:t>
      </w:r>
      <w:r w:rsidR="00CC0615">
        <w:rPr>
          <w:rFonts w:cs="Times New Roman"/>
          <w:szCs w:val="24"/>
          <w:lang w:val="en-US"/>
        </w:rPr>
        <w:t>”</w:t>
      </w:r>
      <w:r w:rsidR="00796AA1" w:rsidRPr="00DF4F1C">
        <w:rPr>
          <w:rFonts w:cs="Times New Roman"/>
          <w:szCs w:val="24"/>
          <w:lang w:val="en-US"/>
        </w:rPr>
        <w:t xml:space="preserve"> </w:t>
      </w:r>
      <w:r w:rsidR="007E237C">
        <w:rPr>
          <w:rFonts w:cs="Times New Roman"/>
          <w:szCs w:val="24"/>
          <w:lang w:val="en-US"/>
        </w:rPr>
        <w:t>and suggested</w:t>
      </w:r>
      <w:r w:rsidR="007E237C" w:rsidRPr="00DF4F1C">
        <w:rPr>
          <w:rFonts w:cs="Times New Roman"/>
          <w:szCs w:val="24"/>
          <w:lang w:val="en-US"/>
        </w:rPr>
        <w:t xml:space="preserve"> </w:t>
      </w:r>
      <w:r w:rsidR="00796AA1" w:rsidRPr="00DF4F1C">
        <w:rPr>
          <w:rFonts w:cs="Times New Roman"/>
          <w:szCs w:val="24"/>
          <w:lang w:val="en-US"/>
        </w:rPr>
        <w:t xml:space="preserve">that, </w:t>
      </w:r>
      <w:r w:rsidR="00CC0615">
        <w:rPr>
          <w:rFonts w:cs="Times New Roman"/>
          <w:szCs w:val="24"/>
          <w:lang w:val="en-US"/>
        </w:rPr>
        <w:t>“</w:t>
      </w:r>
      <w:r w:rsidR="00796AA1" w:rsidRPr="00DF4F1C">
        <w:rPr>
          <w:rFonts w:cs="Times New Roman"/>
          <w:szCs w:val="24"/>
          <w:lang w:val="en-US"/>
        </w:rPr>
        <w:t>if ἴαμβοι and τερπωλαί are to be seen together, we may conjecture that ἴαμβοι were songs performed at the occasions designated by τερπωλαί.</w:t>
      </w:r>
      <w:r w:rsidR="00CC0615">
        <w:rPr>
          <w:rFonts w:cs="Times New Roman"/>
          <w:szCs w:val="24"/>
          <w:lang w:val="en-US"/>
        </w:rPr>
        <w:t>”</w:t>
      </w:r>
      <w:r w:rsidR="00796AA1" w:rsidRPr="00DF4F1C">
        <w:rPr>
          <w:rStyle w:val="FootnoteReference"/>
          <w:szCs w:val="24"/>
          <w:lang w:val="en-US"/>
        </w:rPr>
        <w:footnoteReference w:id="8"/>
      </w:r>
      <w:r w:rsidR="00796AA1" w:rsidRPr="00DF4F1C">
        <w:rPr>
          <w:rFonts w:cs="Times New Roman"/>
          <w:szCs w:val="24"/>
          <w:lang w:val="en-US"/>
        </w:rPr>
        <w:t xml:space="preserve"> Bartol opined that </w:t>
      </w:r>
      <w:r w:rsidR="004D6116">
        <w:rPr>
          <w:rFonts w:cs="Times New Roman"/>
          <w:i/>
          <w:iCs/>
          <w:szCs w:val="24"/>
          <w:lang w:val="en-US"/>
        </w:rPr>
        <w:t>i</w:t>
      </w:r>
      <w:r w:rsidR="00796AA1" w:rsidRPr="00DF4F1C">
        <w:rPr>
          <w:rFonts w:cs="Times New Roman"/>
          <w:i/>
          <w:iCs/>
          <w:szCs w:val="24"/>
          <w:lang w:val="en-US"/>
        </w:rPr>
        <w:t>amboi</w:t>
      </w:r>
      <w:r w:rsidR="00796AA1" w:rsidRPr="00DF4F1C">
        <w:rPr>
          <w:rFonts w:cs="Times New Roman"/>
          <w:szCs w:val="24"/>
          <w:lang w:val="en-US"/>
        </w:rPr>
        <w:t xml:space="preserve"> referred to the </w:t>
      </w:r>
      <w:r w:rsidR="00E60931">
        <w:rPr>
          <w:rFonts w:cs="Times New Roman"/>
          <w:szCs w:val="24"/>
          <w:lang w:val="en-US"/>
        </w:rPr>
        <w:t>content</w:t>
      </w:r>
      <w:r w:rsidR="00796AA1" w:rsidRPr="00DF4F1C">
        <w:rPr>
          <w:rFonts w:cs="Times New Roman"/>
          <w:szCs w:val="24"/>
          <w:lang w:val="en-US"/>
        </w:rPr>
        <w:t xml:space="preserve"> of the literary genre</w:t>
      </w:r>
      <w:r w:rsidR="004D6116">
        <w:rPr>
          <w:rFonts w:cs="Times New Roman"/>
          <w:szCs w:val="24"/>
          <w:lang w:val="en-US"/>
        </w:rPr>
        <w:t>;</w:t>
      </w:r>
      <w:r w:rsidR="00796AA1" w:rsidRPr="00DF4F1C">
        <w:rPr>
          <w:rStyle w:val="FootnoteReference"/>
          <w:szCs w:val="24"/>
          <w:lang w:val="en-US"/>
        </w:rPr>
        <w:footnoteReference w:id="9"/>
      </w:r>
      <w:r w:rsidR="00796AA1" w:rsidRPr="00DF4F1C">
        <w:rPr>
          <w:rFonts w:cs="Times New Roman"/>
          <w:szCs w:val="24"/>
          <w:lang w:val="en-US"/>
        </w:rPr>
        <w:t xml:space="preserve"> Kantzios</w:t>
      </w:r>
      <w:r w:rsidR="004D6116">
        <w:rPr>
          <w:rFonts w:cs="Times New Roman"/>
          <w:szCs w:val="24"/>
          <w:lang w:val="en-US"/>
        </w:rPr>
        <w:t>,</w:t>
      </w:r>
      <w:r w:rsidR="00796AA1" w:rsidRPr="00DF4F1C">
        <w:rPr>
          <w:rFonts w:cs="Times New Roman"/>
          <w:szCs w:val="24"/>
          <w:lang w:val="en-US"/>
        </w:rPr>
        <w:t xml:space="preserve"> that </w:t>
      </w:r>
      <w:r w:rsidR="004D6116">
        <w:rPr>
          <w:rFonts w:cs="Times New Roman"/>
          <w:szCs w:val="24"/>
          <w:lang w:val="en-US"/>
        </w:rPr>
        <w:t>it</w:t>
      </w:r>
      <w:r w:rsidR="00796AA1" w:rsidRPr="00DF4F1C">
        <w:rPr>
          <w:rFonts w:cs="Times New Roman"/>
          <w:szCs w:val="24"/>
          <w:lang w:val="en-US"/>
        </w:rPr>
        <w:t xml:space="preserve"> denote</w:t>
      </w:r>
      <w:r w:rsidR="004D6116">
        <w:rPr>
          <w:rFonts w:cs="Times New Roman"/>
          <w:szCs w:val="24"/>
          <w:lang w:val="en-US"/>
        </w:rPr>
        <w:t>s</w:t>
      </w:r>
      <w:r w:rsidR="00796AA1" w:rsidRPr="00DF4F1C">
        <w:rPr>
          <w:rFonts w:cs="Times New Roman"/>
          <w:szCs w:val="24"/>
          <w:lang w:val="en-US"/>
        </w:rPr>
        <w:t xml:space="preserve"> </w:t>
      </w:r>
      <w:r w:rsidR="00CC0615">
        <w:rPr>
          <w:rFonts w:cs="Times New Roman"/>
          <w:szCs w:val="24"/>
          <w:lang w:val="en-US"/>
        </w:rPr>
        <w:t>“</w:t>
      </w:r>
      <w:r w:rsidR="00796AA1" w:rsidRPr="00DF4F1C">
        <w:rPr>
          <w:rFonts w:cs="Times New Roman"/>
          <w:szCs w:val="24"/>
          <w:lang w:val="en-US"/>
        </w:rPr>
        <w:t>poetry in general.</w:t>
      </w:r>
      <w:r w:rsidR="00CC0615">
        <w:rPr>
          <w:rFonts w:cs="Times New Roman"/>
          <w:szCs w:val="24"/>
          <w:lang w:val="en-US"/>
        </w:rPr>
        <w:t>”</w:t>
      </w:r>
      <w:r w:rsidR="00796AA1" w:rsidRPr="00DF4F1C">
        <w:rPr>
          <w:rStyle w:val="FootnoteReference"/>
          <w:szCs w:val="24"/>
          <w:lang w:val="en-US"/>
        </w:rPr>
        <w:footnoteReference w:id="10"/>
      </w:r>
      <w:r w:rsidR="00796AA1" w:rsidRPr="00DF4F1C">
        <w:rPr>
          <w:rFonts w:cs="Times New Roman"/>
          <w:szCs w:val="24"/>
          <w:lang w:val="en-US"/>
        </w:rPr>
        <w:t xml:space="preserve"> Bowie</w:t>
      </w:r>
      <w:r w:rsidR="00271F89">
        <w:rPr>
          <w:rFonts w:cs="Times New Roman"/>
          <w:szCs w:val="24"/>
          <w:lang w:val="en-US"/>
        </w:rPr>
        <w:t xml:space="preserve"> cautioned that</w:t>
      </w:r>
      <w:r w:rsidR="00796AA1" w:rsidRPr="00DF4F1C">
        <w:rPr>
          <w:rFonts w:cs="Times New Roman"/>
          <w:szCs w:val="24"/>
          <w:lang w:val="en-US"/>
        </w:rPr>
        <w:t xml:space="preserve"> the term does not </w:t>
      </w:r>
      <w:r w:rsidR="00271F89">
        <w:rPr>
          <w:rFonts w:cs="Times New Roman"/>
          <w:szCs w:val="24"/>
          <w:lang w:val="en-US"/>
        </w:rPr>
        <w:t>have to</w:t>
      </w:r>
      <w:r w:rsidR="00796AA1" w:rsidRPr="00DF4F1C">
        <w:rPr>
          <w:rFonts w:cs="Times New Roman"/>
          <w:szCs w:val="24"/>
          <w:lang w:val="en-US"/>
        </w:rPr>
        <w:t xml:space="preserve"> </w:t>
      </w:r>
      <w:r w:rsidR="00271F89">
        <w:rPr>
          <w:rFonts w:cs="Times New Roman"/>
          <w:szCs w:val="24"/>
          <w:lang w:val="en-US"/>
        </w:rPr>
        <w:t xml:space="preserve">refer </w:t>
      </w:r>
      <w:r w:rsidR="00796AA1" w:rsidRPr="00DF4F1C">
        <w:rPr>
          <w:rFonts w:cs="Times New Roman"/>
          <w:szCs w:val="24"/>
          <w:lang w:val="en-US"/>
        </w:rPr>
        <w:t>to the poem in which it is mentioned</w:t>
      </w:r>
      <w:r w:rsidR="00271F89">
        <w:rPr>
          <w:rFonts w:cs="Times New Roman"/>
          <w:szCs w:val="24"/>
          <w:lang w:val="en-US"/>
        </w:rPr>
        <w:t xml:space="preserve"> – i</w:t>
      </w:r>
      <w:r w:rsidR="00796AA1" w:rsidRPr="00DF4F1C">
        <w:rPr>
          <w:rFonts w:cs="Times New Roman"/>
          <w:szCs w:val="24"/>
          <w:lang w:val="en-US"/>
        </w:rPr>
        <w:t xml:space="preserve">n other words, the term is not </w:t>
      </w:r>
      <w:r w:rsidR="00271F89">
        <w:rPr>
          <w:rFonts w:cs="Times New Roman"/>
          <w:szCs w:val="24"/>
          <w:lang w:val="en-US"/>
        </w:rPr>
        <w:t xml:space="preserve">necessarily </w:t>
      </w:r>
      <w:r w:rsidR="00796AA1" w:rsidRPr="00DF4F1C">
        <w:rPr>
          <w:rFonts w:cs="Times New Roman"/>
          <w:szCs w:val="24"/>
          <w:lang w:val="en-US"/>
        </w:rPr>
        <w:t>self-reflexive</w:t>
      </w:r>
      <w:r w:rsidR="00271F89">
        <w:rPr>
          <w:rFonts w:cs="Times New Roman"/>
          <w:szCs w:val="24"/>
          <w:lang w:val="en-US"/>
        </w:rPr>
        <w:t xml:space="preserve"> – and that the disjunction</w:t>
      </w:r>
      <w:r w:rsidR="00796AA1" w:rsidRPr="00DF4F1C">
        <w:rPr>
          <w:rFonts w:cs="Times New Roman"/>
          <w:szCs w:val="24"/>
          <w:lang w:val="en-US"/>
        </w:rPr>
        <w:t xml:space="preserve"> οὔτ</w:t>
      </w:r>
      <w:r w:rsidR="00075F5F">
        <w:rPr>
          <w:rFonts w:cs="Times New Roman"/>
          <w:szCs w:val="24"/>
          <w:lang w:val="en-US"/>
        </w:rPr>
        <w:t>’</w:t>
      </w:r>
      <w:r w:rsidR="00796AA1" w:rsidRPr="00DF4F1C">
        <w:rPr>
          <w:rFonts w:cs="Times New Roman"/>
          <w:szCs w:val="24"/>
          <w:lang w:val="en-US"/>
        </w:rPr>
        <w:t xml:space="preserve"> ἰάμβων οὔτε τερπωλέων, </w:t>
      </w:r>
      <w:r w:rsidR="00CC0615">
        <w:rPr>
          <w:rFonts w:cs="Times New Roman"/>
          <w:szCs w:val="24"/>
          <w:lang w:val="en-US"/>
        </w:rPr>
        <w:t>“</w:t>
      </w:r>
      <w:r w:rsidR="00796AA1" w:rsidRPr="00DF4F1C">
        <w:rPr>
          <w:rFonts w:cs="Times New Roman"/>
          <w:szCs w:val="24"/>
          <w:lang w:val="en-US"/>
        </w:rPr>
        <w:t xml:space="preserve">neither </w:t>
      </w:r>
      <w:r w:rsidR="00796AA1" w:rsidRPr="00DF4F1C">
        <w:rPr>
          <w:rFonts w:cs="Times New Roman"/>
          <w:i/>
          <w:iCs/>
          <w:szCs w:val="24"/>
          <w:lang w:val="en-US"/>
        </w:rPr>
        <w:t>iamboi</w:t>
      </w:r>
      <w:r w:rsidR="00796AA1" w:rsidRPr="00DF4F1C">
        <w:rPr>
          <w:rFonts w:cs="Times New Roman"/>
          <w:szCs w:val="24"/>
          <w:lang w:val="en-US"/>
        </w:rPr>
        <w:t xml:space="preserve"> nor pleasures</w:t>
      </w:r>
      <w:r w:rsidR="00271F89">
        <w:rPr>
          <w:rFonts w:cs="Times New Roman"/>
          <w:szCs w:val="24"/>
          <w:lang w:val="en-US"/>
        </w:rPr>
        <w:t>,</w:t>
      </w:r>
      <w:r w:rsidR="00CC0615">
        <w:rPr>
          <w:rFonts w:cs="Times New Roman"/>
          <w:szCs w:val="24"/>
          <w:lang w:val="en-US"/>
        </w:rPr>
        <w:t>”</w:t>
      </w:r>
      <w:r w:rsidR="00796AA1" w:rsidRPr="00DF4F1C">
        <w:rPr>
          <w:rFonts w:cs="Times New Roman"/>
          <w:szCs w:val="24"/>
          <w:lang w:val="en-US"/>
        </w:rPr>
        <w:t xml:space="preserve"> is</w:t>
      </w:r>
      <w:r w:rsidR="00271F89">
        <w:rPr>
          <w:rFonts w:cs="Times New Roman"/>
          <w:szCs w:val="24"/>
          <w:lang w:val="en-US"/>
        </w:rPr>
        <w:t xml:space="preserve"> </w:t>
      </w:r>
      <w:r w:rsidR="008B2B25">
        <w:rPr>
          <w:rFonts w:cs="Times New Roman"/>
          <w:szCs w:val="24"/>
          <w:lang w:val="en-US"/>
        </w:rPr>
        <w:t>open to different interpretations</w:t>
      </w:r>
      <w:r w:rsidR="00271F89">
        <w:rPr>
          <w:rFonts w:cs="Times New Roman"/>
          <w:szCs w:val="24"/>
          <w:lang w:val="en-US"/>
        </w:rPr>
        <w:t>.</w:t>
      </w:r>
      <w:r w:rsidR="00796AA1" w:rsidRPr="00DF4F1C">
        <w:rPr>
          <w:rStyle w:val="FootnoteReference"/>
          <w:szCs w:val="24"/>
          <w:lang w:val="en-US"/>
        </w:rPr>
        <w:footnoteReference w:id="11"/>
      </w:r>
      <w:r w:rsidR="00796AA1" w:rsidRPr="00DF4F1C">
        <w:rPr>
          <w:rFonts w:cs="Times New Roman"/>
          <w:szCs w:val="24"/>
          <w:lang w:val="en-US"/>
        </w:rPr>
        <w:t xml:space="preserve"> In archaic poetry, parallels of comparison involving the impersonal </w:t>
      </w:r>
      <w:r w:rsidR="008B2B25">
        <w:rPr>
          <w:rFonts w:cs="Times New Roman"/>
          <w:szCs w:val="24"/>
          <w:lang w:val="en-US"/>
        </w:rPr>
        <w:t xml:space="preserve">verb </w:t>
      </w:r>
      <w:r w:rsidR="00796AA1" w:rsidRPr="00DF4F1C">
        <w:rPr>
          <w:rFonts w:cs="Times New Roman"/>
          <w:szCs w:val="24"/>
          <w:lang w:val="en-US"/>
        </w:rPr>
        <w:t xml:space="preserve">μέλει with more than one negative, </w:t>
      </w:r>
      <w:r w:rsidR="008B2B25">
        <w:rPr>
          <w:rFonts w:cs="Times New Roman"/>
          <w:szCs w:val="24"/>
          <w:lang w:val="en-US"/>
        </w:rPr>
        <w:t>such as</w:t>
      </w:r>
      <w:r w:rsidR="008B2B25" w:rsidRPr="00DF4F1C">
        <w:rPr>
          <w:rFonts w:cs="Times New Roman"/>
          <w:szCs w:val="24"/>
          <w:lang w:val="en-US"/>
        </w:rPr>
        <w:t xml:space="preserve"> </w:t>
      </w:r>
      <w:r w:rsidR="00796AA1" w:rsidRPr="00DF4F1C">
        <w:rPr>
          <w:rFonts w:cs="Times New Roman"/>
          <w:szCs w:val="24"/>
          <w:lang w:val="en-US"/>
        </w:rPr>
        <w:t>οὔτε ... οὔτε... or οὐ ... οὐδέ..., usually coordinate similar elements</w:t>
      </w:r>
      <w:r w:rsidR="003778D7">
        <w:rPr>
          <w:rFonts w:cs="Times New Roman"/>
          <w:szCs w:val="24"/>
          <w:lang w:val="en-US"/>
        </w:rPr>
        <w:t>.</w:t>
      </w:r>
      <w:r w:rsidR="003778D7" w:rsidRPr="00DF4F1C">
        <w:rPr>
          <w:rStyle w:val="FootnoteReference"/>
          <w:szCs w:val="24"/>
          <w:lang w:val="en-US"/>
        </w:rPr>
        <w:footnoteReference w:id="12"/>
      </w:r>
      <w:r w:rsidR="00796AA1" w:rsidRPr="00DF4F1C">
        <w:rPr>
          <w:rFonts w:cs="Times New Roman"/>
          <w:szCs w:val="24"/>
          <w:lang w:val="en-US"/>
        </w:rPr>
        <w:t xml:space="preserve"> </w:t>
      </w:r>
      <w:r w:rsidR="008B2B25">
        <w:rPr>
          <w:rFonts w:cs="Times New Roman"/>
          <w:szCs w:val="24"/>
          <w:lang w:val="en-US"/>
        </w:rPr>
        <w:t xml:space="preserve">This makes it unlikely </w:t>
      </w:r>
      <w:r w:rsidR="00796AA1" w:rsidRPr="00DF4F1C">
        <w:rPr>
          <w:rFonts w:cs="Times New Roman"/>
          <w:szCs w:val="24"/>
          <w:lang w:val="en-US"/>
        </w:rPr>
        <w:t xml:space="preserve">that </w:t>
      </w:r>
      <w:r w:rsidR="00796AA1" w:rsidRPr="00DF4F1C">
        <w:rPr>
          <w:rFonts w:cs="Times New Roman"/>
          <w:i/>
          <w:iCs/>
          <w:szCs w:val="24"/>
          <w:lang w:val="en-US"/>
        </w:rPr>
        <w:t>iamboi</w:t>
      </w:r>
      <w:r w:rsidR="00796AA1" w:rsidRPr="00DF4F1C">
        <w:rPr>
          <w:rFonts w:cs="Times New Roman"/>
          <w:szCs w:val="24"/>
          <w:lang w:val="en-US"/>
        </w:rPr>
        <w:t xml:space="preserve"> and </w:t>
      </w:r>
      <w:r w:rsidR="00796AA1" w:rsidRPr="00DF4F1C">
        <w:rPr>
          <w:rFonts w:cs="Times New Roman"/>
          <w:i/>
          <w:iCs/>
          <w:szCs w:val="24"/>
          <w:lang w:val="en-US"/>
        </w:rPr>
        <w:t>terpolai</w:t>
      </w:r>
      <w:r w:rsidR="00796AA1" w:rsidRPr="00DF4F1C">
        <w:rPr>
          <w:rFonts w:cs="Times New Roman"/>
          <w:szCs w:val="24"/>
          <w:lang w:val="en-US"/>
        </w:rPr>
        <w:t xml:space="preserve"> in Archil. fr. 20 are opposites</w:t>
      </w:r>
      <w:r w:rsidR="00796AA1" w:rsidRPr="00DF4F1C">
        <w:rPr>
          <w:rStyle w:val="FootnoteReference"/>
          <w:szCs w:val="24"/>
          <w:lang w:val="en-US"/>
        </w:rPr>
        <w:footnoteReference w:id="13"/>
      </w:r>
      <w:r w:rsidR="00796AA1" w:rsidRPr="00DF4F1C">
        <w:rPr>
          <w:rFonts w:cs="Times New Roman"/>
          <w:szCs w:val="24"/>
          <w:lang w:val="en-US"/>
        </w:rPr>
        <w:t xml:space="preserve"> </w:t>
      </w:r>
      <w:r w:rsidR="003244F9">
        <w:rPr>
          <w:rFonts w:cs="Times New Roman"/>
          <w:szCs w:val="24"/>
          <w:lang w:val="en-US"/>
        </w:rPr>
        <w:t xml:space="preserve">and suggest </w:t>
      </w:r>
      <w:r w:rsidR="00796AA1" w:rsidRPr="00DF4F1C">
        <w:rPr>
          <w:rFonts w:cs="Times New Roman"/>
          <w:szCs w:val="24"/>
          <w:lang w:val="en-US"/>
        </w:rPr>
        <w:t xml:space="preserve">that </w:t>
      </w:r>
      <w:r w:rsidR="00796AA1" w:rsidRPr="00DF4F1C">
        <w:rPr>
          <w:rFonts w:cs="Times New Roman"/>
          <w:i/>
          <w:iCs/>
          <w:szCs w:val="24"/>
          <w:lang w:val="en-US"/>
        </w:rPr>
        <w:t>iamboi</w:t>
      </w:r>
      <w:r w:rsidR="00796AA1" w:rsidRPr="00DF4F1C">
        <w:rPr>
          <w:rFonts w:cs="Times New Roman"/>
          <w:szCs w:val="24"/>
          <w:lang w:val="en-US"/>
        </w:rPr>
        <w:t xml:space="preserve"> </w:t>
      </w:r>
      <w:r w:rsidR="003244F9">
        <w:rPr>
          <w:rFonts w:cs="Times New Roman"/>
          <w:szCs w:val="24"/>
          <w:lang w:val="en-US"/>
        </w:rPr>
        <w:t xml:space="preserve">are affiliated with </w:t>
      </w:r>
      <w:r w:rsidR="00CC0615">
        <w:rPr>
          <w:rFonts w:cs="Times New Roman"/>
          <w:szCs w:val="24"/>
          <w:lang w:val="en-US"/>
        </w:rPr>
        <w:t>“</w:t>
      </w:r>
      <w:r w:rsidR="00796AA1" w:rsidRPr="00DF4F1C">
        <w:rPr>
          <w:rFonts w:cs="Times New Roman"/>
          <w:szCs w:val="24"/>
          <w:lang w:val="en-US"/>
        </w:rPr>
        <w:t>pleasure or entertainment in a context of leisure related to commensality or conviviality.</w:t>
      </w:r>
      <w:r w:rsidR="00CC0615">
        <w:rPr>
          <w:rFonts w:cs="Times New Roman"/>
          <w:szCs w:val="24"/>
          <w:lang w:val="en-US"/>
        </w:rPr>
        <w:t>”</w:t>
      </w:r>
      <w:r w:rsidR="00796AA1" w:rsidRPr="00DF4F1C">
        <w:rPr>
          <w:rStyle w:val="FootnoteReference"/>
          <w:szCs w:val="24"/>
          <w:lang w:val="en-US"/>
        </w:rPr>
        <w:footnoteReference w:id="14"/>
      </w:r>
      <w:r w:rsidR="00796AA1" w:rsidRPr="00DF4F1C">
        <w:rPr>
          <w:rFonts w:cs="Times New Roman"/>
          <w:szCs w:val="24"/>
          <w:lang w:val="en-US"/>
        </w:rPr>
        <w:t xml:space="preserve"> </w:t>
      </w:r>
    </w:p>
    <w:p w14:paraId="6F0E2B1C" w14:textId="77ECBF1E" w:rsidR="00796AA1" w:rsidRPr="00DC0177" w:rsidRDefault="000038AA" w:rsidP="000038AA">
      <w:pPr>
        <w:ind w:firstLine="426"/>
        <w:rPr>
          <w:rFonts w:cs="Times New Roman"/>
          <w:szCs w:val="24"/>
          <w:lang w:val="en-US"/>
        </w:rPr>
      </w:pPr>
      <w:r>
        <w:rPr>
          <w:rFonts w:cs="Times New Roman"/>
          <w:szCs w:val="24"/>
          <w:lang w:val="el-GR"/>
        </w:rPr>
        <w:lastRenderedPageBreak/>
        <w:t>Τ</w:t>
      </w:r>
      <w:r w:rsidR="00796AA1" w:rsidRPr="00DF4F1C">
        <w:rPr>
          <w:rFonts w:cs="Times New Roman"/>
          <w:szCs w:val="24"/>
          <w:lang w:val="en-US"/>
        </w:rPr>
        <w:t xml:space="preserve">ερπωλαί is a Homeric </w:t>
      </w:r>
      <w:r w:rsidR="00796AA1" w:rsidRPr="00DF4F1C">
        <w:rPr>
          <w:rFonts w:cs="Times New Roman"/>
          <w:i/>
          <w:iCs/>
          <w:szCs w:val="24"/>
          <w:lang w:val="en-US"/>
        </w:rPr>
        <w:t>hapax</w:t>
      </w:r>
      <w:r w:rsidR="003244F9">
        <w:rPr>
          <w:rFonts w:cs="Times New Roman"/>
          <w:szCs w:val="24"/>
          <w:lang w:val="en-US"/>
        </w:rPr>
        <w:t xml:space="preserve">, appearing only in </w:t>
      </w:r>
      <w:r w:rsidR="00796AA1" w:rsidRPr="00DF4F1C">
        <w:rPr>
          <w:rFonts w:cs="Times New Roman"/>
          <w:i/>
          <w:iCs/>
          <w:szCs w:val="24"/>
          <w:lang w:val="en-US"/>
        </w:rPr>
        <w:t>Od</w:t>
      </w:r>
      <w:r w:rsidR="00796AA1" w:rsidRPr="00DF4F1C">
        <w:rPr>
          <w:rFonts w:cs="Times New Roman"/>
          <w:szCs w:val="24"/>
          <w:lang w:val="en-US"/>
        </w:rPr>
        <w:t xml:space="preserve">. 18.37. </w:t>
      </w:r>
      <w:r w:rsidR="003244F9">
        <w:rPr>
          <w:rFonts w:cs="Times New Roman"/>
          <w:szCs w:val="24"/>
          <w:lang w:val="en-US"/>
        </w:rPr>
        <w:t>T</w:t>
      </w:r>
      <w:r w:rsidR="00796AA1" w:rsidRPr="00DF4F1C">
        <w:rPr>
          <w:rFonts w:cs="Times New Roman"/>
          <w:szCs w:val="24"/>
          <w:lang w:val="en-US"/>
        </w:rPr>
        <w:t>he Odyss</w:t>
      </w:r>
      <w:r w:rsidR="003244F9">
        <w:rPr>
          <w:rFonts w:cs="Times New Roman"/>
          <w:szCs w:val="24"/>
          <w:lang w:val="en-US"/>
        </w:rPr>
        <w:t>ean</w:t>
      </w:r>
      <w:r w:rsidR="00796AA1" w:rsidRPr="00DF4F1C">
        <w:rPr>
          <w:rFonts w:cs="Times New Roman"/>
          <w:szCs w:val="24"/>
          <w:lang w:val="en-US"/>
        </w:rPr>
        <w:t xml:space="preserve"> context</w:t>
      </w:r>
      <w:r w:rsidR="003244F9">
        <w:rPr>
          <w:rFonts w:cs="Times New Roman"/>
          <w:szCs w:val="24"/>
          <w:lang w:val="en-US"/>
        </w:rPr>
        <w:t xml:space="preserve"> is </w:t>
      </w:r>
      <w:r w:rsidR="0081524F">
        <w:rPr>
          <w:rFonts w:cs="Times New Roman"/>
          <w:szCs w:val="24"/>
          <w:lang w:val="en-US"/>
        </w:rPr>
        <w:t>a markedly “</w:t>
      </w:r>
      <w:r w:rsidR="0081524F" w:rsidRPr="00DF4F1C">
        <w:rPr>
          <w:rFonts w:cs="Times New Roman"/>
          <w:szCs w:val="24"/>
          <w:lang w:val="en-US"/>
        </w:rPr>
        <w:t>iambic</w:t>
      </w:r>
      <w:r w:rsidR="0081524F">
        <w:rPr>
          <w:rFonts w:cs="Times New Roman"/>
          <w:szCs w:val="24"/>
          <w:lang w:val="en-US"/>
        </w:rPr>
        <w:t>” scene:</w:t>
      </w:r>
      <w:r w:rsidR="00796AA1" w:rsidRPr="00DF4F1C">
        <w:rPr>
          <w:rFonts w:cs="Times New Roman"/>
          <w:szCs w:val="24"/>
          <w:lang w:val="en-US"/>
        </w:rPr>
        <w:t xml:space="preserve"> </w:t>
      </w:r>
      <w:r w:rsidR="0081524F">
        <w:rPr>
          <w:rFonts w:cs="Times New Roman"/>
          <w:szCs w:val="24"/>
          <w:lang w:val="en-US"/>
        </w:rPr>
        <w:t xml:space="preserve">the </w:t>
      </w:r>
      <w:r w:rsidR="00796AA1" w:rsidRPr="00DF4F1C">
        <w:rPr>
          <w:rFonts w:cs="Times New Roman"/>
          <w:szCs w:val="24"/>
          <w:lang w:val="en-US"/>
        </w:rPr>
        <w:t>two beggars, Odysseus and Irus, are exchanging insults</w:t>
      </w:r>
      <w:r>
        <w:rPr>
          <w:rFonts w:cs="Times New Roman"/>
          <w:szCs w:val="24"/>
          <w:lang w:val="en-US"/>
        </w:rPr>
        <w:t xml:space="preserve">, </w:t>
      </w:r>
      <w:r w:rsidR="00796AA1" w:rsidRPr="00DF4F1C">
        <w:rPr>
          <w:rFonts w:cs="Times New Roman"/>
          <w:szCs w:val="24"/>
          <w:lang w:val="en-US"/>
        </w:rPr>
        <w:t>threats,</w:t>
      </w:r>
      <w:r>
        <w:rPr>
          <w:rFonts w:cs="Times New Roman"/>
          <w:szCs w:val="24"/>
          <w:lang w:val="en-US"/>
        </w:rPr>
        <w:t xml:space="preserve"> and fists which provide entertainment </w:t>
      </w:r>
      <w:r w:rsidR="00796AA1" w:rsidRPr="00772668">
        <w:rPr>
          <w:rFonts w:cs="Times New Roman"/>
          <w:szCs w:val="24"/>
          <w:lang w:val="en-US"/>
        </w:rPr>
        <w:t>to the suitors.</w:t>
      </w:r>
      <w:r w:rsidR="00796AA1" w:rsidRPr="00772668">
        <w:rPr>
          <w:rStyle w:val="FootnoteReference"/>
          <w:szCs w:val="24"/>
          <w:lang w:val="en-US"/>
        </w:rPr>
        <w:footnoteReference w:id="15"/>
      </w:r>
      <w:r w:rsidR="00796AA1" w:rsidRPr="00772668">
        <w:rPr>
          <w:rFonts w:cs="Times New Roman"/>
          <w:szCs w:val="24"/>
          <w:lang w:val="en-US"/>
        </w:rPr>
        <w:t xml:space="preserve"> In this context, τερπωλή implies the pleasure that is derived from unexpected and improvised entertainment in </w:t>
      </w:r>
      <w:r w:rsidR="006C7F3A">
        <w:rPr>
          <w:rFonts w:cs="Times New Roman"/>
          <w:szCs w:val="24"/>
          <w:lang w:val="en-US"/>
        </w:rPr>
        <w:t xml:space="preserve">the </w:t>
      </w:r>
      <w:r w:rsidR="00796AA1" w:rsidRPr="00772668">
        <w:rPr>
          <w:rFonts w:cs="Times New Roman"/>
          <w:szCs w:val="24"/>
          <w:lang w:val="en-US"/>
        </w:rPr>
        <w:t xml:space="preserve">form of a fight, a comical counterpart of athletic wrestling or heroic combat. </w:t>
      </w:r>
      <w:r w:rsidR="00CC581A">
        <w:rPr>
          <w:rFonts w:cs="Times New Roman"/>
          <w:szCs w:val="24"/>
          <w:lang w:val="en-US"/>
        </w:rPr>
        <w:t xml:space="preserve">Such contexts would include </w:t>
      </w:r>
      <w:r w:rsidR="00796AA1" w:rsidRPr="00772668">
        <w:rPr>
          <w:rFonts w:cs="Times New Roman"/>
          <w:szCs w:val="24"/>
          <w:lang w:val="en-US"/>
        </w:rPr>
        <w:t>religious festivals, symposia, and public meals</w:t>
      </w:r>
      <w:r w:rsidR="00CC581A">
        <w:rPr>
          <w:rFonts w:cs="Times New Roman"/>
          <w:szCs w:val="24"/>
          <w:lang w:val="en-US"/>
        </w:rPr>
        <w:t>,</w:t>
      </w:r>
      <w:r w:rsidR="00796AA1" w:rsidRPr="00772668">
        <w:rPr>
          <w:rStyle w:val="FootnoteReference"/>
          <w:szCs w:val="24"/>
          <w:lang w:val="en-US"/>
        </w:rPr>
        <w:footnoteReference w:id="16"/>
      </w:r>
      <w:r w:rsidR="00796AA1" w:rsidRPr="00772668">
        <w:rPr>
          <w:rFonts w:cs="Times New Roman"/>
          <w:szCs w:val="24"/>
          <w:lang w:val="en-US"/>
        </w:rPr>
        <w:t xml:space="preserve"> </w:t>
      </w:r>
      <w:r w:rsidR="00CC581A">
        <w:rPr>
          <w:rFonts w:cs="Times New Roman"/>
          <w:szCs w:val="24"/>
          <w:lang w:val="en-US"/>
        </w:rPr>
        <w:t>which i</w:t>
      </w:r>
      <w:r w:rsidR="00796AA1" w:rsidRPr="00772668">
        <w:rPr>
          <w:rFonts w:cs="Times New Roman"/>
          <w:szCs w:val="24"/>
          <w:lang w:val="en-US"/>
        </w:rPr>
        <w:t xml:space="preserve">n addition to food and drink </w:t>
      </w:r>
      <w:r w:rsidR="00CC581A">
        <w:rPr>
          <w:rFonts w:cs="Times New Roman"/>
          <w:szCs w:val="24"/>
          <w:lang w:val="en-US"/>
        </w:rPr>
        <w:t>featured</w:t>
      </w:r>
      <w:r w:rsidR="00796AA1" w:rsidRPr="00772668">
        <w:rPr>
          <w:rFonts w:cs="Times New Roman"/>
          <w:szCs w:val="24"/>
          <w:lang w:val="en-US"/>
        </w:rPr>
        <w:t xml:space="preserve"> music, poetry, and dance, and </w:t>
      </w:r>
      <w:r w:rsidR="00CC581A">
        <w:rPr>
          <w:rFonts w:cs="Times New Roman"/>
          <w:szCs w:val="24"/>
          <w:lang w:val="en-US"/>
        </w:rPr>
        <w:t>at times</w:t>
      </w:r>
      <w:r w:rsidR="00CC581A" w:rsidRPr="00772668">
        <w:rPr>
          <w:rFonts w:cs="Times New Roman"/>
          <w:szCs w:val="24"/>
          <w:lang w:val="en-US"/>
        </w:rPr>
        <w:t xml:space="preserve"> </w:t>
      </w:r>
      <w:r w:rsidR="00796AA1" w:rsidRPr="00772668">
        <w:rPr>
          <w:rFonts w:cs="Times New Roman"/>
          <w:szCs w:val="24"/>
          <w:lang w:val="en-US"/>
        </w:rPr>
        <w:t xml:space="preserve">some form of verbal abuse as in the </w:t>
      </w:r>
      <w:r w:rsidR="00F81C07">
        <w:rPr>
          <w:rFonts w:cs="Times New Roman"/>
          <w:szCs w:val="24"/>
          <w:lang w:val="en-US"/>
        </w:rPr>
        <w:t>altercation</w:t>
      </w:r>
      <w:r w:rsidR="00F81C07" w:rsidRPr="00772668">
        <w:rPr>
          <w:rFonts w:cs="Times New Roman"/>
          <w:szCs w:val="24"/>
          <w:lang w:val="en-US"/>
        </w:rPr>
        <w:t xml:space="preserve"> </w:t>
      </w:r>
      <w:r w:rsidR="00796AA1" w:rsidRPr="00772668">
        <w:rPr>
          <w:rFonts w:cs="Times New Roman"/>
          <w:szCs w:val="24"/>
          <w:lang w:val="en-US"/>
        </w:rPr>
        <w:t xml:space="preserve">between Odysseus and Irus. </w:t>
      </w:r>
    </w:p>
    <w:p w14:paraId="4C0C0F4B" w14:textId="506CD3F0" w:rsidR="000038AA" w:rsidRDefault="00796AA1" w:rsidP="00DC0177">
      <w:pPr>
        <w:ind w:firstLine="426"/>
        <w:rPr>
          <w:rFonts w:cs="Times New Roman"/>
          <w:szCs w:val="24"/>
          <w:lang w:val="en-US"/>
        </w:rPr>
      </w:pPr>
      <w:r w:rsidRPr="00DC0177">
        <w:rPr>
          <w:rFonts w:cs="Times New Roman"/>
          <w:szCs w:val="24"/>
          <w:lang w:val="en-US"/>
        </w:rPr>
        <w:t xml:space="preserve">If </w:t>
      </w:r>
      <w:r w:rsidRPr="00DC0177">
        <w:rPr>
          <w:rFonts w:cs="Times New Roman"/>
          <w:i/>
          <w:iCs/>
          <w:szCs w:val="24"/>
          <w:lang w:val="en-US"/>
        </w:rPr>
        <w:t>iamboi</w:t>
      </w:r>
      <w:r w:rsidRPr="00DC0177">
        <w:rPr>
          <w:rFonts w:cs="Times New Roman"/>
          <w:szCs w:val="24"/>
          <w:lang w:val="en-US"/>
        </w:rPr>
        <w:t xml:space="preserve"> and </w:t>
      </w:r>
      <w:r w:rsidRPr="00DC0177">
        <w:rPr>
          <w:rFonts w:cs="Times New Roman"/>
          <w:i/>
          <w:iCs/>
          <w:szCs w:val="24"/>
          <w:lang w:val="en-US"/>
        </w:rPr>
        <w:t>terpolai</w:t>
      </w:r>
      <w:r w:rsidRPr="00DC0177">
        <w:rPr>
          <w:rFonts w:cs="Times New Roman"/>
          <w:szCs w:val="24"/>
          <w:lang w:val="en-US"/>
        </w:rPr>
        <w:t xml:space="preserve"> are similar, then all the </w:t>
      </w:r>
      <w:r w:rsidR="007D7AE6">
        <w:rPr>
          <w:rFonts w:cs="Times New Roman"/>
          <w:szCs w:val="24"/>
          <w:lang w:val="en-US"/>
        </w:rPr>
        <w:t xml:space="preserve">existing </w:t>
      </w:r>
      <w:r w:rsidRPr="00DC0177">
        <w:rPr>
          <w:rFonts w:cs="Times New Roman"/>
          <w:szCs w:val="24"/>
          <w:lang w:val="en-US"/>
        </w:rPr>
        <w:t xml:space="preserve">hypotheses about the nature of </w:t>
      </w:r>
      <w:r w:rsidR="007D7AE6">
        <w:rPr>
          <w:rFonts w:cs="Times New Roman"/>
          <w:szCs w:val="24"/>
          <w:lang w:val="en-US"/>
        </w:rPr>
        <w:t xml:space="preserve">archaic </w:t>
      </w:r>
      <w:r w:rsidRPr="00DC0177">
        <w:rPr>
          <w:rFonts w:cs="Times New Roman"/>
          <w:i/>
          <w:iCs/>
          <w:szCs w:val="24"/>
          <w:lang w:val="en-US"/>
        </w:rPr>
        <w:t>iambos</w:t>
      </w:r>
      <w:r w:rsidRPr="00DC0177">
        <w:rPr>
          <w:rFonts w:cs="Times New Roman"/>
          <w:szCs w:val="24"/>
          <w:lang w:val="en-US"/>
        </w:rPr>
        <w:t xml:space="preserve"> </w:t>
      </w:r>
      <w:r w:rsidR="007E213B">
        <w:rPr>
          <w:rFonts w:cs="Times New Roman"/>
          <w:szCs w:val="24"/>
          <w:lang w:val="en-US"/>
        </w:rPr>
        <w:t>are to some extent valid</w:t>
      </w:r>
      <w:r w:rsidR="007D7AE6">
        <w:rPr>
          <w:rFonts w:cs="Times New Roman"/>
          <w:szCs w:val="24"/>
          <w:lang w:val="en-US"/>
        </w:rPr>
        <w:t xml:space="preserve"> and </w:t>
      </w:r>
      <w:r w:rsidRPr="00DC0177">
        <w:rPr>
          <w:rFonts w:cs="Times New Roman"/>
          <w:szCs w:val="24"/>
          <w:lang w:val="en-US"/>
        </w:rPr>
        <w:t>compatible</w:t>
      </w:r>
      <w:r w:rsidR="007D7AE6">
        <w:rPr>
          <w:rFonts w:cs="Times New Roman"/>
          <w:szCs w:val="24"/>
          <w:lang w:val="en-US"/>
        </w:rPr>
        <w:t xml:space="preserve"> with each other. The interpretation </w:t>
      </w:r>
      <w:r w:rsidR="007E213B">
        <w:rPr>
          <w:rFonts w:cs="Times New Roman"/>
          <w:szCs w:val="24"/>
          <w:lang w:val="en-US"/>
        </w:rPr>
        <w:t>suits</w:t>
      </w:r>
      <w:r w:rsidR="007D7AE6">
        <w:rPr>
          <w:rFonts w:cs="Times New Roman"/>
          <w:szCs w:val="24"/>
          <w:lang w:val="en-US"/>
        </w:rPr>
        <w:t xml:space="preserve"> </w:t>
      </w:r>
      <w:r w:rsidRPr="00DC0177">
        <w:rPr>
          <w:rFonts w:cs="Times New Roman"/>
          <w:szCs w:val="24"/>
          <w:lang w:val="en-US"/>
        </w:rPr>
        <w:t>the hypothesis of ritual origins (Fluck</w:t>
      </w:r>
      <w:r w:rsidR="00305940">
        <w:rPr>
          <w:rFonts w:cs="Times New Roman"/>
          <w:szCs w:val="24"/>
          <w:lang w:val="en-US"/>
        </w:rPr>
        <w:t>,</w:t>
      </w:r>
      <w:r w:rsidRPr="00772668">
        <w:rPr>
          <w:rStyle w:val="FootnoteReference"/>
          <w:szCs w:val="24"/>
          <w:lang w:val="en-US"/>
        </w:rPr>
        <w:footnoteReference w:id="17"/>
      </w:r>
      <w:r w:rsidRPr="00772668">
        <w:rPr>
          <w:rFonts w:cs="Times New Roman"/>
          <w:szCs w:val="24"/>
          <w:lang w:val="en-US"/>
        </w:rPr>
        <w:t xml:space="preserve"> West</w:t>
      </w:r>
      <w:r w:rsidR="00305940">
        <w:rPr>
          <w:rFonts w:cs="Times New Roman"/>
          <w:szCs w:val="24"/>
          <w:lang w:val="en-US"/>
        </w:rPr>
        <w:t>,</w:t>
      </w:r>
      <w:r w:rsidRPr="00772668">
        <w:rPr>
          <w:rFonts w:cs="Times New Roman"/>
          <w:szCs w:val="24"/>
          <w:lang w:val="en-US"/>
        </w:rPr>
        <w:t xml:space="preserve"> Brown)</w:t>
      </w:r>
      <w:r w:rsidR="007E213B">
        <w:rPr>
          <w:rFonts w:cs="Times New Roman"/>
          <w:szCs w:val="24"/>
          <w:lang w:val="en-US"/>
        </w:rPr>
        <w:t>, but also the different</w:t>
      </w:r>
      <w:r w:rsidRPr="00772668">
        <w:rPr>
          <w:rFonts w:cs="Times New Roman"/>
          <w:szCs w:val="24"/>
          <w:lang w:val="en-US"/>
        </w:rPr>
        <w:t xml:space="preserve"> occasion</w:t>
      </w:r>
      <w:r w:rsidR="007D7AE6">
        <w:rPr>
          <w:rFonts w:cs="Times New Roman"/>
          <w:szCs w:val="24"/>
          <w:lang w:val="en-US"/>
        </w:rPr>
        <w:t>s</w:t>
      </w:r>
      <w:r w:rsidRPr="00772668">
        <w:rPr>
          <w:rFonts w:cs="Times New Roman"/>
          <w:szCs w:val="24"/>
          <w:lang w:val="en-US"/>
        </w:rPr>
        <w:t xml:space="preserve"> that ha</w:t>
      </w:r>
      <w:r w:rsidR="00305940">
        <w:rPr>
          <w:rFonts w:cs="Times New Roman"/>
          <w:szCs w:val="24"/>
          <w:lang w:val="en-US"/>
        </w:rPr>
        <w:t>ve</w:t>
      </w:r>
      <w:r w:rsidRPr="00772668">
        <w:rPr>
          <w:rFonts w:cs="Times New Roman"/>
          <w:szCs w:val="24"/>
          <w:lang w:val="en-US"/>
        </w:rPr>
        <w:t xml:space="preserve"> been proposed by scholars </w:t>
      </w:r>
      <w:r w:rsidR="00305940">
        <w:rPr>
          <w:rFonts w:cs="Times New Roman"/>
          <w:szCs w:val="24"/>
          <w:lang w:val="en-US"/>
        </w:rPr>
        <w:t>for</w:t>
      </w:r>
      <w:r w:rsidR="00305940" w:rsidRPr="00772668">
        <w:rPr>
          <w:rFonts w:cs="Times New Roman"/>
          <w:szCs w:val="24"/>
          <w:lang w:val="en-US"/>
        </w:rPr>
        <w:t xml:space="preserve"> </w:t>
      </w:r>
      <w:r w:rsidRPr="00772668">
        <w:rPr>
          <w:rFonts w:cs="Times New Roman"/>
          <w:szCs w:val="24"/>
          <w:lang w:val="en-US"/>
        </w:rPr>
        <w:t xml:space="preserve">the performance of </w:t>
      </w:r>
      <w:r w:rsidRPr="00772668">
        <w:rPr>
          <w:rFonts w:cs="Times New Roman"/>
          <w:i/>
          <w:iCs/>
          <w:szCs w:val="24"/>
          <w:lang w:val="en-US"/>
        </w:rPr>
        <w:t>iamboi</w:t>
      </w:r>
      <w:r w:rsidR="00305940">
        <w:rPr>
          <w:rFonts w:cs="Times New Roman"/>
          <w:szCs w:val="24"/>
          <w:lang w:val="en-US"/>
        </w:rPr>
        <w:t xml:space="preserve">: </w:t>
      </w:r>
      <w:r w:rsidRPr="00772668">
        <w:rPr>
          <w:rFonts w:cs="Times New Roman"/>
          <w:szCs w:val="24"/>
          <w:lang w:val="en-US"/>
        </w:rPr>
        <w:t>public performances in theatres (Bartol),</w:t>
      </w:r>
      <w:r w:rsidRPr="00772668">
        <w:rPr>
          <w:rStyle w:val="FootnoteReference"/>
          <w:szCs w:val="24"/>
          <w:lang w:val="en-US"/>
        </w:rPr>
        <w:footnoteReference w:id="18"/>
      </w:r>
      <w:r w:rsidR="00305940">
        <w:rPr>
          <w:rFonts w:cs="Times New Roman"/>
          <w:szCs w:val="24"/>
          <w:lang w:val="en-US"/>
        </w:rPr>
        <w:t xml:space="preserve"> </w:t>
      </w:r>
      <w:r w:rsidRPr="00772668">
        <w:rPr>
          <w:rFonts w:cs="Times New Roman"/>
          <w:szCs w:val="24"/>
          <w:lang w:val="en-US"/>
        </w:rPr>
        <w:t xml:space="preserve">public performances at festivals (West), </w:t>
      </w:r>
      <w:r w:rsidRPr="00772668">
        <w:rPr>
          <w:rFonts w:cs="Times New Roman"/>
          <w:i/>
          <w:iCs/>
          <w:szCs w:val="24"/>
          <w:lang w:val="en-US"/>
        </w:rPr>
        <w:t>komoi</w:t>
      </w:r>
      <w:r w:rsidRPr="00772668">
        <w:rPr>
          <w:rFonts w:cs="Times New Roman"/>
          <w:szCs w:val="24"/>
          <w:lang w:val="en-US"/>
        </w:rPr>
        <w:t xml:space="preserve"> (Gentili), and </w:t>
      </w:r>
      <w:r w:rsidRPr="00772668">
        <w:rPr>
          <w:rFonts w:cs="Times New Roman"/>
          <w:i/>
          <w:iCs/>
          <w:szCs w:val="24"/>
          <w:lang w:val="en-US"/>
        </w:rPr>
        <w:t>symposia</w:t>
      </w:r>
      <w:r w:rsidRPr="00772668">
        <w:rPr>
          <w:rFonts w:cs="Times New Roman"/>
          <w:szCs w:val="24"/>
          <w:lang w:val="en-US"/>
        </w:rPr>
        <w:t xml:space="preserve"> (Rösler, Pellizer, Vetta, Bowie, Kantzios).</w:t>
      </w:r>
      <w:r w:rsidRPr="00772668">
        <w:rPr>
          <w:rStyle w:val="FootnoteReference"/>
          <w:szCs w:val="24"/>
          <w:lang w:val="en-US"/>
        </w:rPr>
        <w:footnoteReference w:id="19"/>
      </w:r>
      <w:r w:rsidRPr="00772668">
        <w:rPr>
          <w:rFonts w:cs="Times New Roman"/>
          <w:szCs w:val="24"/>
          <w:lang w:val="en-US"/>
        </w:rPr>
        <w:t xml:space="preserve"> </w:t>
      </w:r>
    </w:p>
    <w:p w14:paraId="330D3048" w14:textId="2B2DDEF4" w:rsidR="003079D5" w:rsidRDefault="000038AA" w:rsidP="000038AA">
      <w:pPr>
        <w:ind w:firstLine="426"/>
        <w:rPr>
          <w:rFonts w:cs="Times New Roman"/>
          <w:szCs w:val="24"/>
          <w:lang w:val="en-US"/>
        </w:rPr>
      </w:pPr>
      <w:r>
        <w:rPr>
          <w:rFonts w:cs="Times New Roman"/>
          <w:szCs w:val="24"/>
          <w:lang w:val="en-US"/>
        </w:rPr>
        <w:t>Since</w:t>
      </w:r>
      <w:r w:rsidR="00F81C07">
        <w:rPr>
          <w:rFonts w:cs="Times New Roman"/>
          <w:szCs w:val="24"/>
          <w:lang w:val="en-US"/>
        </w:rPr>
        <w:t>, then, the original</w:t>
      </w:r>
      <w:r>
        <w:rPr>
          <w:rFonts w:cs="Times New Roman"/>
          <w:szCs w:val="24"/>
          <w:lang w:val="en-US"/>
        </w:rPr>
        <w:t xml:space="preserve"> occasion</w:t>
      </w:r>
      <w:r w:rsidR="00F81C07">
        <w:rPr>
          <w:rFonts w:cs="Times New Roman"/>
          <w:szCs w:val="24"/>
          <w:lang w:val="en-US"/>
        </w:rPr>
        <w:t>(s)</w:t>
      </w:r>
      <w:r>
        <w:rPr>
          <w:rFonts w:cs="Times New Roman"/>
          <w:szCs w:val="24"/>
          <w:lang w:val="en-US"/>
        </w:rPr>
        <w:t xml:space="preserve"> of performance and function</w:t>
      </w:r>
      <w:r w:rsidR="00F81C07">
        <w:rPr>
          <w:rFonts w:cs="Times New Roman"/>
          <w:szCs w:val="24"/>
          <w:lang w:val="en-US"/>
        </w:rPr>
        <w:t>(s)</w:t>
      </w:r>
      <w:r>
        <w:rPr>
          <w:rFonts w:cs="Times New Roman"/>
          <w:szCs w:val="24"/>
          <w:lang w:val="en-US"/>
        </w:rPr>
        <w:t xml:space="preserve"> </w:t>
      </w:r>
      <w:r w:rsidR="00F81C07">
        <w:rPr>
          <w:rFonts w:cs="Times New Roman"/>
          <w:szCs w:val="24"/>
          <w:lang w:val="en-US"/>
        </w:rPr>
        <w:t>of this kind of poetry cannot be pinned down with certainty</w:t>
      </w:r>
      <w:r>
        <w:rPr>
          <w:rFonts w:cs="Times New Roman"/>
          <w:szCs w:val="24"/>
          <w:lang w:val="en-US"/>
        </w:rPr>
        <w:t xml:space="preserve">, </w:t>
      </w:r>
      <w:r w:rsidR="00796AA1" w:rsidRPr="00DC0177">
        <w:rPr>
          <w:rFonts w:cs="Times New Roman"/>
          <w:szCs w:val="24"/>
          <w:lang w:val="en-US"/>
        </w:rPr>
        <w:t xml:space="preserve">it is difficult to deduce what </w:t>
      </w:r>
      <w:r w:rsidR="00796AA1" w:rsidRPr="00DC0177">
        <w:rPr>
          <w:rFonts w:cs="Times New Roman"/>
          <w:i/>
          <w:iCs/>
          <w:szCs w:val="24"/>
          <w:lang w:val="en-US"/>
        </w:rPr>
        <w:t>iambos</w:t>
      </w:r>
      <w:r w:rsidR="00796AA1" w:rsidRPr="00DC0177">
        <w:rPr>
          <w:rFonts w:cs="Times New Roman"/>
          <w:szCs w:val="24"/>
          <w:lang w:val="en-US"/>
        </w:rPr>
        <w:t xml:space="preserve"> </w:t>
      </w:r>
      <w:r w:rsidR="00F81C07">
        <w:rPr>
          <w:rFonts w:cs="Times New Roman"/>
          <w:szCs w:val="24"/>
          <w:lang w:val="en-US"/>
        </w:rPr>
        <w:t>meant</w:t>
      </w:r>
      <w:r w:rsidR="00F81C07" w:rsidRPr="00DC0177">
        <w:rPr>
          <w:rFonts w:cs="Times New Roman"/>
          <w:szCs w:val="24"/>
          <w:lang w:val="en-US"/>
        </w:rPr>
        <w:t xml:space="preserve"> </w:t>
      </w:r>
      <w:r w:rsidR="00796AA1" w:rsidRPr="00DC0177">
        <w:rPr>
          <w:rFonts w:cs="Times New Roman"/>
          <w:szCs w:val="24"/>
          <w:lang w:val="en-US"/>
        </w:rPr>
        <w:t>to seventh-</w:t>
      </w:r>
      <w:r w:rsidR="00F81C07">
        <w:rPr>
          <w:rFonts w:cs="Times New Roman"/>
          <w:szCs w:val="24"/>
          <w:lang w:val="en-US"/>
        </w:rPr>
        <w:t xml:space="preserve"> and sixt-</w:t>
      </w:r>
      <w:r w:rsidR="00796AA1" w:rsidRPr="00DC0177">
        <w:rPr>
          <w:rFonts w:cs="Times New Roman"/>
          <w:szCs w:val="24"/>
          <w:lang w:val="en-US"/>
        </w:rPr>
        <w:t>century audiences</w:t>
      </w:r>
      <w:r w:rsidR="00F81C07">
        <w:rPr>
          <w:rFonts w:cs="Times New Roman"/>
          <w:szCs w:val="24"/>
          <w:lang w:val="en-US"/>
        </w:rPr>
        <w:t xml:space="preserve">, and we </w:t>
      </w:r>
      <w:r w:rsidR="00796AA1" w:rsidRPr="00DC0177">
        <w:rPr>
          <w:rFonts w:cs="Times New Roman"/>
          <w:szCs w:val="24"/>
          <w:lang w:val="en-US"/>
        </w:rPr>
        <w:t xml:space="preserve">must depend on much later evidence when establishing a corpus of iambic poetry. </w:t>
      </w:r>
      <w:r w:rsidR="00F81C07">
        <w:rPr>
          <w:rFonts w:cs="Times New Roman"/>
          <w:szCs w:val="24"/>
          <w:lang w:val="en-US"/>
        </w:rPr>
        <w:t>With the rise of philology in</w:t>
      </w:r>
      <w:r w:rsidR="00F81C07" w:rsidRPr="00772668">
        <w:rPr>
          <w:rFonts w:cs="Times New Roman"/>
          <w:szCs w:val="24"/>
          <w:lang w:val="en-US"/>
        </w:rPr>
        <w:t xml:space="preserve"> the</w:t>
      </w:r>
      <w:r w:rsidR="00F81C07">
        <w:rPr>
          <w:rFonts w:cs="Times New Roman"/>
          <w:szCs w:val="24"/>
          <w:lang w:val="en-US"/>
        </w:rPr>
        <w:t xml:space="preserve"> </w:t>
      </w:r>
      <w:r w:rsidR="00F81C07" w:rsidRPr="00772668">
        <w:rPr>
          <w:rFonts w:cs="Times New Roman"/>
          <w:szCs w:val="24"/>
          <w:lang w:val="en-US"/>
        </w:rPr>
        <w:t xml:space="preserve">fourth </w:t>
      </w:r>
      <w:r w:rsidR="00F81C07">
        <w:rPr>
          <w:rFonts w:cs="Times New Roman"/>
          <w:szCs w:val="24"/>
          <w:lang w:val="en-US"/>
        </w:rPr>
        <w:t xml:space="preserve">century and Hellenistic period, </w:t>
      </w:r>
      <w:r>
        <w:rPr>
          <w:rFonts w:cs="Times New Roman"/>
          <w:szCs w:val="24"/>
          <w:lang w:val="en-US"/>
        </w:rPr>
        <w:t>t</w:t>
      </w:r>
      <w:r w:rsidR="00796AA1" w:rsidRPr="00DC0177">
        <w:rPr>
          <w:rStyle w:val="CommentReference"/>
          <w:rFonts w:cs="Times New Roman"/>
          <w:vanish/>
          <w:sz w:val="24"/>
          <w:szCs w:val="24"/>
        </w:rPr>
        <w:t>TT</w:t>
      </w:r>
      <w:r w:rsidR="00796AA1" w:rsidRPr="00772668">
        <w:rPr>
          <w:rFonts w:cs="Times New Roman"/>
          <w:szCs w:val="24"/>
          <w:lang w:val="en-US"/>
        </w:rPr>
        <w:t xml:space="preserve">here was much scholarly interest in </w:t>
      </w:r>
      <w:r w:rsidR="00F81C07">
        <w:rPr>
          <w:rFonts w:cs="Times New Roman"/>
          <w:szCs w:val="24"/>
          <w:lang w:val="en-US"/>
        </w:rPr>
        <w:t xml:space="preserve">the </w:t>
      </w:r>
      <w:r w:rsidR="00796AA1" w:rsidRPr="00772668">
        <w:rPr>
          <w:rFonts w:cs="Times New Roman"/>
          <w:szCs w:val="24"/>
          <w:lang w:val="en-US"/>
        </w:rPr>
        <w:t>iambic poets</w:t>
      </w:r>
      <w:r w:rsidR="00F81C07">
        <w:rPr>
          <w:rFonts w:cs="Times New Roman"/>
          <w:szCs w:val="24"/>
          <w:lang w:val="en-US"/>
        </w:rPr>
        <w:t xml:space="preserve"> of the past</w:t>
      </w:r>
      <w:r w:rsidR="00796AA1" w:rsidRPr="00772668">
        <w:rPr>
          <w:rFonts w:cs="Times New Roman"/>
          <w:szCs w:val="24"/>
          <w:lang w:val="en-US"/>
        </w:rPr>
        <w:t>. Most of the scholarly focus was on Archilochus and later on Hipponax. Monographs on textual problems, editions and line by line commentaries were produced alongside works of biographical interest.</w:t>
      </w:r>
      <w:r w:rsidR="00750FF6">
        <w:rPr>
          <w:rStyle w:val="FootnoteReference"/>
          <w:rFonts w:cs="Times New Roman"/>
          <w:szCs w:val="24"/>
          <w:lang w:val="en-US"/>
        </w:rPr>
        <w:footnoteReference w:id="20"/>
      </w:r>
      <w:r w:rsidR="00796AA1" w:rsidRPr="00772668">
        <w:rPr>
          <w:rFonts w:cs="Times New Roman"/>
          <w:szCs w:val="24"/>
          <w:lang w:val="en-US"/>
        </w:rPr>
        <w:t xml:space="preserve"> In addition, Hellenistic poets such as Callimachus and Phoenix </w:t>
      </w:r>
      <w:r w:rsidR="00796AA1" w:rsidRPr="00DC0177">
        <w:rPr>
          <w:rFonts w:cs="Times New Roman"/>
          <w:szCs w:val="24"/>
          <w:lang w:val="en-US"/>
        </w:rPr>
        <w:t>creative</w:t>
      </w:r>
      <w:r w:rsidR="004A3075">
        <w:rPr>
          <w:rFonts w:cs="Times New Roman"/>
          <w:szCs w:val="24"/>
          <w:lang w:val="en-US"/>
        </w:rPr>
        <w:t>ly</w:t>
      </w:r>
      <w:r w:rsidR="00796AA1" w:rsidRPr="00DC0177">
        <w:rPr>
          <w:rFonts w:cs="Times New Roman"/>
          <w:szCs w:val="24"/>
          <w:lang w:val="en-US"/>
        </w:rPr>
        <w:t xml:space="preserve"> (re)formulat</w:t>
      </w:r>
      <w:r w:rsidR="004A3075">
        <w:rPr>
          <w:rFonts w:cs="Times New Roman"/>
          <w:szCs w:val="24"/>
          <w:lang w:val="en-US"/>
        </w:rPr>
        <w:t xml:space="preserve">ed </w:t>
      </w:r>
      <w:r w:rsidR="00796AA1" w:rsidRPr="00DC0177">
        <w:rPr>
          <w:rFonts w:cs="Times New Roman"/>
          <w:szCs w:val="24"/>
          <w:lang w:val="en-US"/>
        </w:rPr>
        <w:t>the genre.</w:t>
      </w:r>
      <w:r w:rsidR="00750FF6">
        <w:rPr>
          <w:rStyle w:val="FootnoteReference"/>
          <w:rFonts w:cs="Times New Roman"/>
          <w:szCs w:val="24"/>
          <w:lang w:val="en-US"/>
        </w:rPr>
        <w:footnoteReference w:id="21"/>
      </w:r>
      <w:r w:rsidR="00796AA1" w:rsidRPr="00DC0177">
        <w:rPr>
          <w:rFonts w:cs="Times New Roman"/>
          <w:szCs w:val="24"/>
          <w:lang w:val="en-US"/>
        </w:rPr>
        <w:t xml:space="preserve"> </w:t>
      </w:r>
    </w:p>
    <w:p w14:paraId="532C1F50" w14:textId="1ECF8BF1" w:rsidR="00796AA1" w:rsidRPr="00DC0177" w:rsidRDefault="004A3075" w:rsidP="00DC0177">
      <w:pPr>
        <w:ind w:firstLine="426"/>
        <w:rPr>
          <w:rFonts w:cs="Times New Roman"/>
          <w:szCs w:val="24"/>
          <w:lang w:val="en-US"/>
        </w:rPr>
      </w:pPr>
      <w:r>
        <w:rPr>
          <w:rFonts w:cs="Times New Roman"/>
          <w:szCs w:val="24"/>
          <w:lang w:val="en-US"/>
        </w:rPr>
        <w:t>I</w:t>
      </w:r>
      <w:r w:rsidR="00796AA1" w:rsidRPr="00DC0177">
        <w:rPr>
          <w:rFonts w:cs="Times New Roman"/>
          <w:szCs w:val="24"/>
          <w:lang w:val="en-US"/>
        </w:rPr>
        <w:t>n the study of ancient Greek iambs</w:t>
      </w:r>
      <w:r>
        <w:rPr>
          <w:rFonts w:cs="Times New Roman"/>
          <w:szCs w:val="24"/>
          <w:lang w:val="en-US"/>
        </w:rPr>
        <w:t>, o</w:t>
      </w:r>
      <w:r w:rsidRPr="00DC0177">
        <w:rPr>
          <w:rFonts w:cs="Times New Roman"/>
          <w:szCs w:val="24"/>
          <w:lang w:val="en-US"/>
        </w:rPr>
        <w:t>ne has to deal with extremely fragmentary evidence</w:t>
      </w:r>
      <w:r w:rsidR="00796AA1" w:rsidRPr="00DC0177">
        <w:rPr>
          <w:rFonts w:cs="Times New Roman"/>
          <w:szCs w:val="24"/>
          <w:lang w:val="en-US"/>
        </w:rPr>
        <w:t xml:space="preserve">. Most of the surviving </w:t>
      </w:r>
      <w:r>
        <w:rPr>
          <w:rFonts w:cs="Times New Roman"/>
          <w:szCs w:val="24"/>
          <w:lang w:val="en-US"/>
        </w:rPr>
        <w:t>lines</w:t>
      </w:r>
      <w:r w:rsidRPr="00DC0177">
        <w:rPr>
          <w:rFonts w:cs="Times New Roman"/>
          <w:szCs w:val="24"/>
          <w:lang w:val="en-US"/>
        </w:rPr>
        <w:t xml:space="preserve"> </w:t>
      </w:r>
      <w:r w:rsidR="00796AA1" w:rsidRPr="00DC0177">
        <w:rPr>
          <w:rFonts w:cs="Times New Roman"/>
          <w:szCs w:val="24"/>
          <w:lang w:val="en-US"/>
        </w:rPr>
        <w:t xml:space="preserve">are </w:t>
      </w:r>
      <w:r>
        <w:rPr>
          <w:rFonts w:cs="Times New Roman"/>
          <w:szCs w:val="24"/>
          <w:lang w:val="en-US"/>
        </w:rPr>
        <w:t xml:space="preserve">quotations and </w:t>
      </w:r>
      <w:r w:rsidR="00796AA1" w:rsidRPr="00DC0177">
        <w:rPr>
          <w:rFonts w:cs="Times New Roman"/>
          <w:szCs w:val="24"/>
          <w:lang w:val="en-US"/>
        </w:rPr>
        <w:t xml:space="preserve">fragments of </w:t>
      </w:r>
      <w:r>
        <w:rPr>
          <w:rFonts w:cs="Times New Roman"/>
          <w:szCs w:val="24"/>
          <w:lang w:val="en-US"/>
        </w:rPr>
        <w:t xml:space="preserve">longer </w:t>
      </w:r>
      <w:r w:rsidR="00796AA1" w:rsidRPr="00DC0177">
        <w:rPr>
          <w:rFonts w:cs="Times New Roman"/>
          <w:szCs w:val="24"/>
          <w:lang w:val="en-US"/>
        </w:rPr>
        <w:t xml:space="preserve">poems, and the extant </w:t>
      </w:r>
      <w:r>
        <w:rPr>
          <w:rFonts w:cs="Times New Roman"/>
          <w:szCs w:val="24"/>
          <w:lang w:val="en-US"/>
        </w:rPr>
        <w:t>evidence</w:t>
      </w:r>
      <w:r w:rsidRPr="00DC0177">
        <w:rPr>
          <w:rFonts w:cs="Times New Roman"/>
          <w:szCs w:val="24"/>
          <w:lang w:val="en-US"/>
        </w:rPr>
        <w:t xml:space="preserve"> </w:t>
      </w:r>
      <w:r>
        <w:rPr>
          <w:rFonts w:cs="Times New Roman"/>
          <w:szCs w:val="24"/>
          <w:lang w:val="en-US"/>
        </w:rPr>
        <w:t>for</w:t>
      </w:r>
      <w:r w:rsidRPr="00DC0177">
        <w:rPr>
          <w:rFonts w:cs="Times New Roman"/>
          <w:szCs w:val="24"/>
          <w:lang w:val="en-US"/>
        </w:rPr>
        <w:t xml:space="preserve"> </w:t>
      </w:r>
      <w:r w:rsidR="00796AA1" w:rsidRPr="00DC0177">
        <w:rPr>
          <w:rFonts w:cs="Times New Roman"/>
          <w:szCs w:val="24"/>
          <w:lang w:val="en-US"/>
        </w:rPr>
        <w:t xml:space="preserve">many iambographers </w:t>
      </w:r>
      <w:r>
        <w:rPr>
          <w:rFonts w:cs="Times New Roman"/>
          <w:szCs w:val="24"/>
          <w:lang w:val="en-US"/>
        </w:rPr>
        <w:t>is</w:t>
      </w:r>
      <w:r w:rsidRPr="00DC0177">
        <w:rPr>
          <w:rFonts w:cs="Times New Roman"/>
          <w:szCs w:val="24"/>
          <w:lang w:val="en-US"/>
        </w:rPr>
        <w:t xml:space="preserve"> </w:t>
      </w:r>
      <w:r w:rsidR="00796AA1" w:rsidRPr="00DC0177">
        <w:rPr>
          <w:rFonts w:cs="Times New Roman"/>
          <w:szCs w:val="24"/>
          <w:lang w:val="en-US"/>
        </w:rPr>
        <w:t xml:space="preserve">too scarce to allow meaningful conclusions. Therefore, </w:t>
      </w:r>
      <w:r>
        <w:rPr>
          <w:rFonts w:cs="Times New Roman"/>
          <w:szCs w:val="24"/>
          <w:lang w:val="en-US"/>
        </w:rPr>
        <w:t xml:space="preserve">my study by needs </w:t>
      </w:r>
      <w:r w:rsidR="00796AA1" w:rsidRPr="00DC0177">
        <w:rPr>
          <w:rFonts w:cs="Times New Roman"/>
          <w:szCs w:val="24"/>
          <w:lang w:val="en-US"/>
        </w:rPr>
        <w:t>focuse</w:t>
      </w:r>
      <w:r>
        <w:rPr>
          <w:rFonts w:cs="Times New Roman"/>
          <w:szCs w:val="24"/>
          <w:lang w:val="en-US"/>
        </w:rPr>
        <w:t>s</w:t>
      </w:r>
      <w:r w:rsidR="00796AA1" w:rsidRPr="00DC0177">
        <w:rPr>
          <w:rFonts w:cs="Times New Roman"/>
          <w:szCs w:val="24"/>
          <w:lang w:val="en-US"/>
        </w:rPr>
        <w:t xml:space="preserve"> on a very </w:t>
      </w:r>
      <w:r>
        <w:rPr>
          <w:rFonts w:cs="Times New Roman"/>
          <w:szCs w:val="24"/>
          <w:lang w:val="en-US"/>
        </w:rPr>
        <w:t>small</w:t>
      </w:r>
      <w:r w:rsidRPr="00DC0177">
        <w:rPr>
          <w:rFonts w:cs="Times New Roman"/>
          <w:szCs w:val="24"/>
          <w:lang w:val="en-US"/>
        </w:rPr>
        <w:t xml:space="preserve"> </w:t>
      </w:r>
      <w:r w:rsidR="00796AA1" w:rsidRPr="00DC0177">
        <w:rPr>
          <w:rFonts w:cs="Times New Roman"/>
          <w:szCs w:val="24"/>
          <w:lang w:val="en-US"/>
        </w:rPr>
        <w:t xml:space="preserve">corpus of authors, namely Archilochus, Hipponax, and Callimachus, </w:t>
      </w:r>
      <w:r>
        <w:rPr>
          <w:rFonts w:cs="Times New Roman"/>
          <w:szCs w:val="24"/>
          <w:lang w:val="en-US"/>
        </w:rPr>
        <w:t>for whom the</w:t>
      </w:r>
      <w:r w:rsidRPr="00DC0177">
        <w:rPr>
          <w:rFonts w:cs="Times New Roman"/>
          <w:szCs w:val="24"/>
          <w:lang w:val="en-US"/>
        </w:rPr>
        <w:t xml:space="preserve"> </w:t>
      </w:r>
      <w:r w:rsidR="00796AA1" w:rsidRPr="00DC0177">
        <w:rPr>
          <w:rFonts w:cs="Times New Roman"/>
          <w:szCs w:val="24"/>
          <w:lang w:val="en-US"/>
        </w:rPr>
        <w:t xml:space="preserve">extant </w:t>
      </w:r>
      <w:r w:rsidR="00ED7605">
        <w:rPr>
          <w:rFonts w:cs="Times New Roman"/>
          <w:szCs w:val="24"/>
          <w:lang w:val="en-US"/>
        </w:rPr>
        <w:t>material</w:t>
      </w:r>
      <w:r>
        <w:rPr>
          <w:rFonts w:cs="Times New Roman"/>
          <w:szCs w:val="24"/>
          <w:lang w:val="en-US"/>
        </w:rPr>
        <w:t>, scant</w:t>
      </w:r>
      <w:r w:rsidR="00ED7605">
        <w:rPr>
          <w:rFonts w:cs="Times New Roman"/>
          <w:szCs w:val="24"/>
          <w:lang w:val="en-US"/>
        </w:rPr>
        <w:t xml:space="preserve"> as </w:t>
      </w:r>
      <w:r w:rsidR="00ED7605">
        <w:rPr>
          <w:rFonts w:cs="Times New Roman"/>
          <w:szCs w:val="24"/>
          <w:lang w:val="en-US"/>
        </w:rPr>
        <w:lastRenderedPageBreak/>
        <w:t>it is</w:t>
      </w:r>
      <w:r>
        <w:rPr>
          <w:rFonts w:cs="Times New Roman"/>
          <w:szCs w:val="24"/>
          <w:lang w:val="en-US"/>
        </w:rPr>
        <w:t xml:space="preserve">, is at least </w:t>
      </w:r>
      <w:r w:rsidR="00ED7605">
        <w:rPr>
          <w:rFonts w:cs="Times New Roman"/>
          <w:szCs w:val="24"/>
          <w:lang w:val="en-US"/>
        </w:rPr>
        <w:t>sizeable enough</w:t>
      </w:r>
      <w:r>
        <w:rPr>
          <w:rFonts w:cs="Times New Roman"/>
          <w:szCs w:val="24"/>
          <w:lang w:val="en-US"/>
        </w:rPr>
        <w:t xml:space="preserve"> </w:t>
      </w:r>
      <w:r w:rsidR="00574FD8">
        <w:rPr>
          <w:rFonts w:cs="Times New Roman"/>
          <w:szCs w:val="24"/>
          <w:lang w:val="en-US"/>
        </w:rPr>
        <w:t>to admit</w:t>
      </w:r>
      <w:r w:rsidR="00796AA1" w:rsidRPr="00DC0177">
        <w:rPr>
          <w:rFonts w:cs="Times New Roman"/>
          <w:szCs w:val="24"/>
          <w:lang w:val="en-US"/>
        </w:rPr>
        <w:t xml:space="preserve"> a consistent analysis of the language. Since Callimachus</w:t>
      </w:r>
      <w:r w:rsidR="00075F5F">
        <w:rPr>
          <w:rFonts w:cs="Times New Roman"/>
          <w:szCs w:val="24"/>
          <w:lang w:val="en-US"/>
        </w:rPr>
        <w:t>’</w:t>
      </w:r>
      <w:r w:rsidR="00796AA1" w:rsidRPr="00DC0177">
        <w:rPr>
          <w:rFonts w:cs="Times New Roman"/>
          <w:szCs w:val="24"/>
          <w:lang w:val="en-US"/>
        </w:rPr>
        <w:t xml:space="preserve"> </w:t>
      </w:r>
      <w:r w:rsidR="00796AA1" w:rsidRPr="00DC0177">
        <w:rPr>
          <w:rFonts w:cs="Times New Roman"/>
          <w:i/>
          <w:iCs/>
          <w:szCs w:val="24"/>
          <w:lang w:val="en-US"/>
        </w:rPr>
        <w:t>Iambi</w:t>
      </w:r>
      <w:r w:rsidR="00796AA1" w:rsidRPr="00DC0177">
        <w:rPr>
          <w:rFonts w:cs="Times New Roman"/>
          <w:szCs w:val="24"/>
          <w:lang w:val="en-US"/>
        </w:rPr>
        <w:t xml:space="preserve"> offer a more substantial and continuous body of evidence than the generally very short and de-contextualised fragments of Archilochus and Hipponax, they are used as a touchstone through</w:t>
      </w:r>
      <w:r w:rsidR="00574FD8">
        <w:rPr>
          <w:rFonts w:cs="Times New Roman"/>
          <w:szCs w:val="24"/>
          <w:lang w:val="en-US"/>
        </w:rPr>
        <w:t>out</w:t>
      </w:r>
      <w:r w:rsidR="00796AA1" w:rsidRPr="00DC0177">
        <w:rPr>
          <w:rFonts w:cs="Times New Roman"/>
          <w:szCs w:val="24"/>
          <w:lang w:val="en-US"/>
        </w:rPr>
        <w:t xml:space="preserve"> this </w:t>
      </w:r>
      <w:r w:rsidR="00574FD8">
        <w:rPr>
          <w:rFonts w:cs="Times New Roman"/>
          <w:szCs w:val="24"/>
          <w:lang w:val="en-US"/>
        </w:rPr>
        <w:t>study</w:t>
      </w:r>
      <w:r w:rsidR="00796AA1" w:rsidRPr="00DC0177">
        <w:rPr>
          <w:rFonts w:cs="Times New Roman"/>
          <w:szCs w:val="24"/>
          <w:lang w:val="en-US"/>
        </w:rPr>
        <w:t xml:space="preserve">. </w:t>
      </w:r>
      <w:r w:rsidR="00574FD8">
        <w:rPr>
          <w:rFonts w:cs="Times New Roman"/>
          <w:szCs w:val="24"/>
          <w:lang w:val="en-US"/>
        </w:rPr>
        <w:t>Moreover</w:t>
      </w:r>
      <w:r w:rsidR="00796AA1" w:rsidRPr="00DC0177">
        <w:rPr>
          <w:rFonts w:cs="Times New Roman"/>
          <w:szCs w:val="24"/>
          <w:lang w:val="en-US"/>
        </w:rPr>
        <w:t xml:space="preserve">, the </w:t>
      </w:r>
      <w:r w:rsidR="00796AA1" w:rsidRPr="00DC0177">
        <w:rPr>
          <w:rFonts w:cs="Times New Roman"/>
          <w:i/>
          <w:iCs/>
          <w:szCs w:val="24"/>
          <w:lang w:val="en-US"/>
        </w:rPr>
        <w:t>Iambi</w:t>
      </w:r>
      <w:r w:rsidR="00796AA1" w:rsidRPr="00DC0177">
        <w:rPr>
          <w:rFonts w:cs="Times New Roman"/>
          <w:szCs w:val="24"/>
          <w:lang w:val="en-US"/>
        </w:rPr>
        <w:t xml:space="preserve"> reflect on the poetic language and poetic world established by these two earlier iambic poets. It can be argued that when Callimachus </w:t>
      </w:r>
      <w:r w:rsidR="00574FD8">
        <w:rPr>
          <w:rFonts w:cs="Times New Roman"/>
          <w:szCs w:val="24"/>
          <w:lang w:val="en-US"/>
        </w:rPr>
        <w:t xml:space="preserve">composed </w:t>
      </w:r>
      <w:r w:rsidR="00796AA1" w:rsidRPr="00DC0177">
        <w:rPr>
          <w:rFonts w:cs="Times New Roman"/>
          <w:szCs w:val="24"/>
          <w:lang w:val="en-US"/>
        </w:rPr>
        <w:t>his iambic poetry, he had already made a selection among the iambographers</w:t>
      </w:r>
      <w:r w:rsidR="00574FD8">
        <w:rPr>
          <w:rFonts w:cs="Times New Roman"/>
          <w:szCs w:val="24"/>
          <w:lang w:val="en-US"/>
        </w:rPr>
        <w:t xml:space="preserve">, and </w:t>
      </w:r>
      <w:r w:rsidR="00796AA1" w:rsidRPr="00DC0177">
        <w:rPr>
          <w:rFonts w:cs="Times New Roman"/>
          <w:szCs w:val="24"/>
          <w:lang w:val="en-US"/>
        </w:rPr>
        <w:t xml:space="preserve">that the iambic canon </w:t>
      </w:r>
      <w:r w:rsidR="00D27BA8">
        <w:rPr>
          <w:rFonts w:cs="Times New Roman"/>
          <w:szCs w:val="24"/>
          <w:lang w:val="en-US"/>
        </w:rPr>
        <w:t xml:space="preserve">as </w:t>
      </w:r>
      <w:r w:rsidR="00574FD8">
        <w:rPr>
          <w:rFonts w:cs="Times New Roman"/>
          <w:szCs w:val="24"/>
          <w:lang w:val="en-US"/>
        </w:rPr>
        <w:t>formulated</w:t>
      </w:r>
      <w:r w:rsidR="00574FD8" w:rsidRPr="00DC0177">
        <w:rPr>
          <w:rFonts w:cs="Times New Roman"/>
          <w:szCs w:val="24"/>
          <w:lang w:val="en-US"/>
        </w:rPr>
        <w:t xml:space="preserve"> </w:t>
      </w:r>
      <w:r w:rsidR="00796AA1" w:rsidRPr="00DC0177">
        <w:rPr>
          <w:rFonts w:cs="Times New Roman"/>
          <w:szCs w:val="24"/>
          <w:lang w:val="en-US"/>
        </w:rPr>
        <w:t xml:space="preserve">by ancient scholars </w:t>
      </w:r>
      <w:r w:rsidR="00574FD8">
        <w:rPr>
          <w:rFonts w:cs="Times New Roman"/>
          <w:szCs w:val="24"/>
          <w:lang w:val="en-US"/>
        </w:rPr>
        <w:t>is encapsulated</w:t>
      </w:r>
      <w:r w:rsidR="00796AA1" w:rsidRPr="00DC0177">
        <w:rPr>
          <w:rFonts w:cs="Times New Roman"/>
          <w:szCs w:val="24"/>
          <w:lang w:val="en-US"/>
        </w:rPr>
        <w:t xml:space="preserve"> in Callimachus</w:t>
      </w:r>
      <w:r w:rsidR="00574FD8">
        <w:rPr>
          <w:rFonts w:cs="Times New Roman"/>
          <w:szCs w:val="24"/>
          <w:lang w:val="en-US"/>
        </w:rPr>
        <w:t>’</w:t>
      </w:r>
      <w:r w:rsidR="00796AA1" w:rsidRPr="00DC0177">
        <w:rPr>
          <w:rFonts w:cs="Times New Roman"/>
          <w:szCs w:val="24"/>
          <w:lang w:val="en-US"/>
        </w:rPr>
        <w:t xml:space="preserve"> work. </w:t>
      </w:r>
    </w:p>
    <w:p w14:paraId="5EBA10C2" w14:textId="12415351" w:rsidR="00796AA1" w:rsidRPr="00DC0177" w:rsidRDefault="00796AA1" w:rsidP="00516FBC">
      <w:pPr>
        <w:ind w:firstLine="426"/>
        <w:rPr>
          <w:rFonts w:cs="Times New Roman"/>
          <w:szCs w:val="24"/>
          <w:lang w:val="en-US"/>
        </w:rPr>
      </w:pPr>
      <w:r w:rsidRPr="00DC0177">
        <w:rPr>
          <w:rFonts w:cs="Times New Roman"/>
          <w:szCs w:val="24"/>
          <w:lang w:val="en-US"/>
        </w:rPr>
        <w:t>Quintilian note</w:t>
      </w:r>
      <w:r w:rsidR="00D27BA8">
        <w:rPr>
          <w:rFonts w:cs="Times New Roman"/>
          <w:szCs w:val="24"/>
          <w:lang w:val="en-US"/>
        </w:rPr>
        <w:t>s</w:t>
      </w:r>
      <w:r w:rsidRPr="00DC0177">
        <w:rPr>
          <w:rFonts w:cs="Times New Roman"/>
          <w:szCs w:val="24"/>
          <w:lang w:val="en-US"/>
        </w:rPr>
        <w:t xml:space="preserve"> that</w:t>
      </w:r>
      <w:r w:rsidR="00D27BA8">
        <w:rPr>
          <w:rFonts w:cs="Times New Roman"/>
          <w:szCs w:val="24"/>
          <w:lang w:val="en-US"/>
        </w:rPr>
        <w:t xml:space="preserve"> </w:t>
      </w:r>
      <w:r w:rsidR="00D27BA8" w:rsidRPr="00772668">
        <w:rPr>
          <w:rFonts w:cs="Times New Roman"/>
          <w:szCs w:val="24"/>
          <w:lang w:val="en-US"/>
        </w:rPr>
        <w:t>according to Aristarchus</w:t>
      </w:r>
      <w:r w:rsidR="00D27BA8">
        <w:rPr>
          <w:rFonts w:cs="Times New Roman"/>
          <w:szCs w:val="24"/>
          <w:lang w:val="en-US"/>
        </w:rPr>
        <w:t>,</w:t>
      </w:r>
      <w:r w:rsidRPr="00DC0177">
        <w:rPr>
          <w:rFonts w:cs="Times New Roman"/>
          <w:szCs w:val="24"/>
          <w:lang w:val="en-US"/>
        </w:rPr>
        <w:t xml:space="preserve"> the best of the three </w:t>
      </w:r>
      <w:r w:rsidR="00CC0615">
        <w:rPr>
          <w:rFonts w:cs="Times New Roman"/>
          <w:szCs w:val="24"/>
          <w:lang w:val="en-US"/>
        </w:rPr>
        <w:t>“</w:t>
      </w:r>
      <w:r w:rsidRPr="00DC0177">
        <w:rPr>
          <w:rFonts w:cs="Times New Roman"/>
          <w:szCs w:val="24"/>
          <w:lang w:val="en-US"/>
        </w:rPr>
        <w:t>received</w:t>
      </w:r>
      <w:r w:rsidR="00CC0615">
        <w:rPr>
          <w:rFonts w:cs="Times New Roman"/>
          <w:szCs w:val="24"/>
          <w:lang w:val="en-US"/>
        </w:rPr>
        <w:t>”</w:t>
      </w:r>
      <w:r w:rsidRPr="00772668">
        <w:rPr>
          <w:rFonts w:cs="Times New Roman"/>
          <w:szCs w:val="24"/>
          <w:lang w:val="en-US"/>
        </w:rPr>
        <w:t xml:space="preserve"> iambic poets was Archilochus</w:t>
      </w:r>
      <w:r w:rsidR="00D05A53">
        <w:rPr>
          <w:rFonts w:cs="Times New Roman"/>
          <w:iCs/>
          <w:szCs w:val="24"/>
          <w:lang w:val="en-US"/>
        </w:rPr>
        <w:t>.</w:t>
      </w:r>
      <w:r w:rsidRPr="00772668">
        <w:rPr>
          <w:rStyle w:val="FootnoteReference"/>
          <w:szCs w:val="24"/>
          <w:lang w:val="en-US"/>
        </w:rPr>
        <w:footnoteReference w:id="22"/>
      </w:r>
      <w:r w:rsidRPr="00772668">
        <w:rPr>
          <w:rFonts w:cs="Times New Roman"/>
          <w:szCs w:val="24"/>
          <w:lang w:val="en-US"/>
        </w:rPr>
        <w:t xml:space="preserve"> The other </w:t>
      </w:r>
      <w:r w:rsidR="00D05A53">
        <w:rPr>
          <w:rFonts w:cs="Times New Roman"/>
          <w:szCs w:val="24"/>
          <w:lang w:val="en-US"/>
        </w:rPr>
        <w:t>canonical</w:t>
      </w:r>
      <w:r w:rsidR="00D05A53" w:rsidRPr="00772668">
        <w:rPr>
          <w:rFonts w:cs="Times New Roman"/>
          <w:szCs w:val="24"/>
          <w:lang w:val="en-US"/>
        </w:rPr>
        <w:t xml:space="preserve"> </w:t>
      </w:r>
      <w:r w:rsidR="00D05A53">
        <w:rPr>
          <w:rFonts w:cs="Times New Roman"/>
          <w:szCs w:val="24"/>
          <w:lang w:val="en-US"/>
        </w:rPr>
        <w:t xml:space="preserve">iambographers </w:t>
      </w:r>
      <w:r w:rsidR="00AD29B9">
        <w:rPr>
          <w:rFonts w:cs="Times New Roman"/>
          <w:szCs w:val="24"/>
          <w:lang w:val="en-US"/>
        </w:rPr>
        <w:t xml:space="preserve">are generally identified by </w:t>
      </w:r>
      <w:r w:rsidRPr="00772668">
        <w:rPr>
          <w:rFonts w:cs="Times New Roman"/>
          <w:szCs w:val="24"/>
          <w:lang w:val="en-US"/>
        </w:rPr>
        <w:t xml:space="preserve">late antique </w:t>
      </w:r>
      <w:r w:rsidR="00D05A53">
        <w:rPr>
          <w:rFonts w:cs="Times New Roman"/>
          <w:szCs w:val="24"/>
          <w:lang w:val="en-US"/>
        </w:rPr>
        <w:t>sources as</w:t>
      </w:r>
      <w:r w:rsidR="00D05A53" w:rsidRPr="00772668">
        <w:rPr>
          <w:rFonts w:cs="Times New Roman"/>
          <w:szCs w:val="24"/>
          <w:lang w:val="en-US"/>
        </w:rPr>
        <w:t xml:space="preserve"> </w:t>
      </w:r>
      <w:r w:rsidRPr="00772668">
        <w:rPr>
          <w:rFonts w:cs="Times New Roman"/>
          <w:szCs w:val="24"/>
          <w:lang w:val="en-US"/>
        </w:rPr>
        <w:t>Hipponax and Semonides.</w:t>
      </w:r>
      <w:r w:rsidRPr="00772668">
        <w:rPr>
          <w:rStyle w:val="FootnoteReference"/>
          <w:szCs w:val="24"/>
          <w:lang w:val="en-US"/>
        </w:rPr>
        <w:footnoteReference w:id="23"/>
      </w:r>
      <w:r w:rsidRPr="00772668">
        <w:rPr>
          <w:rFonts w:cs="Times New Roman"/>
          <w:szCs w:val="24"/>
          <w:lang w:val="en-US"/>
        </w:rPr>
        <w:t xml:space="preserve"> </w:t>
      </w:r>
      <w:r w:rsidR="00AD29B9">
        <w:rPr>
          <w:rFonts w:cs="Times New Roman"/>
          <w:szCs w:val="24"/>
          <w:lang w:val="en-US"/>
        </w:rPr>
        <w:t xml:space="preserve">For example, </w:t>
      </w:r>
      <w:r w:rsidRPr="00772668">
        <w:rPr>
          <w:rFonts w:cs="Times New Roman"/>
          <w:szCs w:val="24"/>
          <w:lang w:val="en-US"/>
        </w:rPr>
        <w:t>Hipponax is mentioned along</w:t>
      </w:r>
      <w:r w:rsidR="00D05A53">
        <w:rPr>
          <w:rFonts w:cs="Times New Roman"/>
          <w:szCs w:val="24"/>
          <w:lang w:val="en-US"/>
        </w:rPr>
        <w:t>side</w:t>
      </w:r>
      <w:r w:rsidRPr="00772668">
        <w:rPr>
          <w:rFonts w:cs="Times New Roman"/>
          <w:szCs w:val="24"/>
          <w:lang w:val="en-US"/>
        </w:rPr>
        <w:t xml:space="preserve"> Archilochus by Diomedes (</w:t>
      </w:r>
      <w:r w:rsidRPr="00772668">
        <w:rPr>
          <w:rFonts w:cs="Times New Roman"/>
          <w:i/>
          <w:iCs/>
          <w:szCs w:val="24"/>
          <w:lang w:val="en-US"/>
        </w:rPr>
        <w:t>de poem</w:t>
      </w:r>
      <w:r w:rsidRPr="00772668">
        <w:rPr>
          <w:rFonts w:cs="Times New Roman"/>
          <w:szCs w:val="24"/>
          <w:lang w:val="en-US"/>
        </w:rPr>
        <w:t xml:space="preserve">. </w:t>
      </w:r>
      <w:r w:rsidRPr="00772668">
        <w:rPr>
          <w:rFonts w:cs="Times New Roman"/>
          <w:i/>
          <w:iCs/>
          <w:szCs w:val="24"/>
          <w:lang w:val="en-US"/>
        </w:rPr>
        <w:t>GL</w:t>
      </w:r>
      <w:r w:rsidRPr="00772668">
        <w:rPr>
          <w:rFonts w:cs="Times New Roman"/>
          <w:szCs w:val="24"/>
          <w:lang w:val="en-US"/>
        </w:rPr>
        <w:t xml:space="preserve"> I p. 485, l. 13), and Archilochus, Hipponax, and Semonides are mentioned </w:t>
      </w:r>
      <w:r w:rsidR="00D05A53">
        <w:rPr>
          <w:rFonts w:cs="Times New Roman"/>
          <w:szCs w:val="24"/>
          <w:lang w:val="en-US"/>
        </w:rPr>
        <w:t xml:space="preserve">together </w:t>
      </w:r>
      <w:r w:rsidRPr="00772668">
        <w:rPr>
          <w:rFonts w:cs="Times New Roman"/>
          <w:szCs w:val="24"/>
          <w:lang w:val="en-US"/>
        </w:rPr>
        <w:t>in the tenth-cent</w:t>
      </w:r>
      <w:r w:rsidRPr="00DC0177">
        <w:rPr>
          <w:rFonts w:cs="Times New Roman"/>
          <w:szCs w:val="24"/>
          <w:lang w:val="en-US"/>
        </w:rPr>
        <w:t xml:space="preserve">ury </w:t>
      </w:r>
      <w:r w:rsidRPr="00DC0177">
        <w:rPr>
          <w:rFonts w:cs="Times New Roman"/>
          <w:i/>
          <w:iCs/>
          <w:szCs w:val="24"/>
          <w:lang w:val="en-US"/>
        </w:rPr>
        <w:t>Tractatus Coislinianus</w:t>
      </w:r>
      <w:r w:rsidRPr="00DC0177">
        <w:rPr>
          <w:rFonts w:cs="Times New Roman"/>
          <w:szCs w:val="24"/>
          <w:lang w:val="en-US"/>
        </w:rPr>
        <w:t xml:space="preserve"> </w:t>
      </w:r>
      <w:r w:rsidR="00D05A53">
        <w:rPr>
          <w:rFonts w:cs="Times New Roman"/>
          <w:szCs w:val="24"/>
          <w:lang w:val="en-US"/>
        </w:rPr>
        <w:t>(</w:t>
      </w:r>
      <w:r w:rsidRPr="00DC0177">
        <w:rPr>
          <w:rFonts w:cs="Times New Roman"/>
          <w:szCs w:val="24"/>
          <w:lang w:val="en-US"/>
        </w:rPr>
        <w:t>387</w:t>
      </w:r>
      <w:r w:rsidR="00D05A53">
        <w:rPr>
          <w:rFonts w:cs="Times New Roman"/>
          <w:szCs w:val="24"/>
          <w:lang w:val="en-US"/>
        </w:rPr>
        <w:t>)</w:t>
      </w:r>
      <w:r w:rsidRPr="00DC0177">
        <w:rPr>
          <w:rFonts w:cs="Times New Roman"/>
          <w:szCs w:val="24"/>
          <w:lang w:val="en-US"/>
        </w:rPr>
        <w:t>. Tzetzes</w:t>
      </w:r>
      <w:r w:rsidR="00D05A53">
        <w:rPr>
          <w:rFonts w:cs="Times New Roman"/>
          <w:szCs w:val="24"/>
          <w:lang w:val="en-US"/>
        </w:rPr>
        <w:t>, in</w:t>
      </w:r>
      <w:r w:rsidRPr="00DC0177">
        <w:rPr>
          <w:rFonts w:cs="Times New Roman"/>
          <w:szCs w:val="24"/>
          <w:lang w:val="en-US"/>
        </w:rPr>
        <w:t xml:space="preserve"> an isolated reference</w:t>
      </w:r>
      <w:r w:rsidR="00D05A53">
        <w:rPr>
          <w:rFonts w:cs="Times New Roman"/>
          <w:szCs w:val="24"/>
          <w:lang w:val="en-US"/>
        </w:rPr>
        <w:t>, substitutes</w:t>
      </w:r>
      <w:r w:rsidRPr="00DC0177">
        <w:rPr>
          <w:rFonts w:cs="Times New Roman"/>
          <w:szCs w:val="24"/>
          <w:lang w:val="en-US"/>
        </w:rPr>
        <w:t xml:space="preserve"> Ananius</w:t>
      </w:r>
      <w:r w:rsidR="00D05A53">
        <w:rPr>
          <w:rFonts w:cs="Times New Roman"/>
          <w:szCs w:val="24"/>
          <w:lang w:val="en-US"/>
        </w:rPr>
        <w:t xml:space="preserve"> for Semonides</w:t>
      </w:r>
      <w:r w:rsidR="00AD29B9">
        <w:rPr>
          <w:rFonts w:cs="Times New Roman"/>
          <w:szCs w:val="24"/>
          <w:lang w:val="en-US"/>
        </w:rPr>
        <w:t xml:space="preserve">, and </w:t>
      </w:r>
      <w:r w:rsidRPr="00DC0177">
        <w:rPr>
          <w:rFonts w:cs="Times New Roman"/>
          <w:szCs w:val="24"/>
          <w:lang w:val="en-US"/>
        </w:rPr>
        <w:t>Vardi</w:t>
      </w:r>
      <w:r w:rsidR="0009750B">
        <w:rPr>
          <w:rFonts w:cs="Times New Roman"/>
          <w:szCs w:val="24"/>
          <w:lang w:val="en-US"/>
        </w:rPr>
        <w:t xml:space="preserve"> has attractively</w:t>
      </w:r>
      <w:r w:rsidRPr="00772668">
        <w:rPr>
          <w:rFonts w:cs="Times New Roman"/>
          <w:szCs w:val="24"/>
          <w:lang w:val="en-US"/>
        </w:rPr>
        <w:t xml:space="preserve"> suggested that the core of the ancient canon of iambographers comprised Archilochus and Hipponax</w:t>
      </w:r>
      <w:r w:rsidR="00D05A53">
        <w:rPr>
          <w:rFonts w:cs="Times New Roman"/>
          <w:szCs w:val="24"/>
          <w:lang w:val="en-US"/>
        </w:rPr>
        <w:t>,</w:t>
      </w:r>
      <w:r w:rsidRPr="00772668">
        <w:rPr>
          <w:rFonts w:cs="Times New Roman"/>
          <w:szCs w:val="24"/>
          <w:lang w:val="en-US"/>
        </w:rPr>
        <w:t xml:space="preserve"> while Semonides and Ananius were peripheral members</w:t>
      </w:r>
      <w:r w:rsidR="00D05A53">
        <w:rPr>
          <w:rFonts w:cs="Times New Roman"/>
          <w:szCs w:val="24"/>
          <w:lang w:val="en-US"/>
        </w:rPr>
        <w:t>.</w:t>
      </w:r>
      <w:r w:rsidRPr="00772668">
        <w:rPr>
          <w:rStyle w:val="FootnoteReference"/>
          <w:szCs w:val="24"/>
          <w:lang w:val="en-US"/>
        </w:rPr>
        <w:footnoteReference w:id="24"/>
      </w:r>
      <w:r w:rsidR="00A53A10">
        <w:rPr>
          <w:rFonts w:cs="Times New Roman"/>
          <w:szCs w:val="24"/>
          <w:lang w:val="en-US"/>
        </w:rPr>
        <w:t xml:space="preserve"> </w:t>
      </w:r>
      <w:r w:rsidR="00516FBC">
        <w:rPr>
          <w:rFonts w:cs="Times New Roman"/>
          <w:szCs w:val="24"/>
          <w:lang w:val="en-US"/>
        </w:rPr>
        <w:t>This would</w:t>
      </w:r>
      <w:r w:rsidR="00AD29B9">
        <w:rPr>
          <w:rFonts w:cs="Times New Roman"/>
          <w:szCs w:val="24"/>
          <w:lang w:val="en-US"/>
        </w:rPr>
        <w:t xml:space="preserve"> certainly fit </w:t>
      </w:r>
      <w:r w:rsidR="00516FBC">
        <w:rPr>
          <w:rFonts w:cs="Times New Roman"/>
          <w:szCs w:val="24"/>
          <w:lang w:val="en-US"/>
        </w:rPr>
        <w:t xml:space="preserve">with the observation that </w:t>
      </w:r>
      <w:r w:rsidRPr="00772668">
        <w:rPr>
          <w:rFonts w:cs="Times New Roman"/>
          <w:szCs w:val="24"/>
          <w:lang w:val="en-US"/>
        </w:rPr>
        <w:t>Callimachus</w:t>
      </w:r>
      <w:r w:rsidR="00516FBC">
        <w:rPr>
          <w:rFonts w:cs="Times New Roman"/>
          <w:szCs w:val="24"/>
          <w:lang w:val="en-US"/>
        </w:rPr>
        <w:t>,</w:t>
      </w:r>
      <w:r w:rsidRPr="00772668">
        <w:rPr>
          <w:rFonts w:cs="Times New Roman"/>
          <w:szCs w:val="24"/>
          <w:lang w:val="en-US"/>
        </w:rPr>
        <w:t xml:space="preserve"> in composi</w:t>
      </w:r>
      <w:r w:rsidR="0009750B">
        <w:rPr>
          <w:rFonts w:cs="Times New Roman"/>
          <w:szCs w:val="24"/>
          <w:lang w:val="en-US"/>
        </w:rPr>
        <w:t xml:space="preserve">ng </w:t>
      </w:r>
      <w:r w:rsidRPr="00772668">
        <w:rPr>
          <w:rFonts w:cs="Times New Roman"/>
          <w:szCs w:val="24"/>
          <w:lang w:val="en-US"/>
        </w:rPr>
        <w:t xml:space="preserve">the </w:t>
      </w:r>
      <w:r w:rsidRPr="00772668">
        <w:rPr>
          <w:rFonts w:cs="Times New Roman"/>
          <w:i/>
          <w:iCs/>
          <w:szCs w:val="24"/>
          <w:lang w:val="en-US"/>
        </w:rPr>
        <w:t>Iambi</w:t>
      </w:r>
      <w:r w:rsidR="00516FBC">
        <w:rPr>
          <w:rFonts w:cs="Times New Roman"/>
          <w:szCs w:val="24"/>
          <w:lang w:val="en-US"/>
        </w:rPr>
        <w:t xml:space="preserve">, seems to have taken </w:t>
      </w:r>
      <w:r w:rsidRPr="00DC0177">
        <w:rPr>
          <w:rFonts w:cs="Times New Roman"/>
          <w:szCs w:val="24"/>
          <w:lang w:val="en-US"/>
        </w:rPr>
        <w:t xml:space="preserve">the language and themes of </w:t>
      </w:r>
      <w:r w:rsidR="00516FBC" w:rsidRPr="00772668">
        <w:rPr>
          <w:rFonts w:cs="Times New Roman"/>
          <w:szCs w:val="24"/>
          <w:lang w:val="en-US"/>
        </w:rPr>
        <w:t>Archilochus and Hipponax</w:t>
      </w:r>
      <w:r w:rsidR="00516FBC">
        <w:rPr>
          <w:rFonts w:cs="Times New Roman"/>
          <w:szCs w:val="24"/>
          <w:lang w:val="en-US"/>
        </w:rPr>
        <w:t xml:space="preserve"> as his primary point</w:t>
      </w:r>
      <w:r w:rsidRPr="00DC0177">
        <w:rPr>
          <w:rFonts w:cs="Times New Roman"/>
          <w:szCs w:val="24"/>
          <w:lang w:val="en-US"/>
        </w:rPr>
        <w:t xml:space="preserve">. </w:t>
      </w:r>
    </w:p>
    <w:p w14:paraId="478BA26E" w14:textId="5B342D36" w:rsidR="000C1B91" w:rsidRDefault="00796AA1" w:rsidP="00DC0177">
      <w:pPr>
        <w:ind w:firstLine="426"/>
        <w:rPr>
          <w:rFonts w:cs="Times New Roman"/>
          <w:szCs w:val="24"/>
          <w:lang w:val="en-US"/>
        </w:rPr>
      </w:pPr>
      <w:r w:rsidRPr="00DC0177">
        <w:rPr>
          <w:rFonts w:cs="Times New Roman"/>
          <w:szCs w:val="24"/>
          <w:lang w:val="en-US"/>
        </w:rPr>
        <w:t xml:space="preserve">Callimachus </w:t>
      </w:r>
      <w:r w:rsidR="00117E4A">
        <w:rPr>
          <w:rFonts w:cs="Times New Roman"/>
          <w:szCs w:val="24"/>
          <w:lang w:val="en-US"/>
        </w:rPr>
        <w:t xml:space="preserve">unambiguously </w:t>
      </w:r>
      <w:r w:rsidRPr="00DC0177">
        <w:rPr>
          <w:rFonts w:cs="Times New Roman"/>
          <w:szCs w:val="24"/>
          <w:lang w:val="en-US"/>
        </w:rPr>
        <w:t xml:space="preserve">proclaimed Hipponax </w:t>
      </w:r>
      <w:r w:rsidR="00117E4A">
        <w:rPr>
          <w:rFonts w:cs="Times New Roman"/>
          <w:szCs w:val="24"/>
          <w:lang w:val="en-US"/>
        </w:rPr>
        <w:t>as a model by using</w:t>
      </w:r>
      <w:r w:rsidRPr="00DC0177">
        <w:rPr>
          <w:rFonts w:cs="Times New Roman"/>
          <w:szCs w:val="24"/>
          <w:lang w:val="en-US"/>
        </w:rPr>
        <w:t xml:space="preserve"> him </w:t>
      </w:r>
      <w:r w:rsidR="00117E4A">
        <w:rPr>
          <w:rFonts w:cs="Times New Roman"/>
          <w:szCs w:val="24"/>
          <w:lang w:val="en-US"/>
        </w:rPr>
        <w:t xml:space="preserve">as a </w:t>
      </w:r>
      <w:r w:rsidR="00117E4A" w:rsidRPr="00750FF6">
        <w:rPr>
          <w:rFonts w:cs="Times New Roman"/>
          <w:i/>
          <w:szCs w:val="24"/>
          <w:lang w:val="en-US"/>
        </w:rPr>
        <w:t>persona</w:t>
      </w:r>
      <w:r w:rsidR="00117E4A">
        <w:rPr>
          <w:rFonts w:cs="Times New Roman"/>
          <w:szCs w:val="24"/>
          <w:lang w:val="en-US"/>
        </w:rPr>
        <w:t xml:space="preserve"> </w:t>
      </w:r>
      <w:r w:rsidRPr="00DC0177">
        <w:rPr>
          <w:rFonts w:cs="Times New Roman"/>
          <w:szCs w:val="24"/>
          <w:lang w:val="en-US"/>
        </w:rPr>
        <w:t xml:space="preserve">in his first </w:t>
      </w:r>
      <w:r w:rsidRPr="00DC0177">
        <w:rPr>
          <w:rFonts w:cs="Times New Roman"/>
          <w:i/>
          <w:iCs/>
          <w:szCs w:val="24"/>
          <w:lang w:val="en-US"/>
        </w:rPr>
        <w:t>Iambus.</w:t>
      </w:r>
      <w:r w:rsidRPr="00DC0177">
        <w:rPr>
          <w:rFonts w:cs="Times New Roman"/>
          <w:szCs w:val="24"/>
          <w:lang w:val="en-US"/>
        </w:rPr>
        <w:t xml:space="preserve"> </w:t>
      </w:r>
      <w:r w:rsidR="00117E4A">
        <w:rPr>
          <w:rFonts w:cs="Times New Roman"/>
          <w:szCs w:val="24"/>
          <w:lang w:val="en-US"/>
        </w:rPr>
        <w:t>S</w:t>
      </w:r>
      <w:r w:rsidRPr="00DC0177">
        <w:rPr>
          <w:rFonts w:cs="Times New Roman"/>
          <w:szCs w:val="24"/>
          <w:lang w:val="en-US"/>
        </w:rPr>
        <w:t xml:space="preserve">cholars have </w:t>
      </w:r>
      <w:r w:rsidR="00117E4A">
        <w:rPr>
          <w:rFonts w:cs="Times New Roman"/>
          <w:szCs w:val="24"/>
          <w:lang w:val="en-US"/>
        </w:rPr>
        <w:t>rightly cautioned</w:t>
      </w:r>
      <w:r w:rsidR="00117E4A" w:rsidRPr="00DC0177">
        <w:rPr>
          <w:rFonts w:cs="Times New Roman"/>
          <w:szCs w:val="24"/>
          <w:lang w:val="en-US"/>
        </w:rPr>
        <w:t xml:space="preserve"> </w:t>
      </w:r>
      <w:r w:rsidRPr="00DC0177">
        <w:rPr>
          <w:rFonts w:cs="Times New Roman"/>
          <w:szCs w:val="24"/>
          <w:lang w:val="en-US"/>
        </w:rPr>
        <w:t xml:space="preserve">that the Hipponax </w:t>
      </w:r>
      <w:r w:rsidR="00117E4A">
        <w:rPr>
          <w:rFonts w:cs="Times New Roman"/>
          <w:szCs w:val="24"/>
          <w:lang w:val="en-US"/>
        </w:rPr>
        <w:t>staged</w:t>
      </w:r>
      <w:r w:rsidR="00117E4A" w:rsidRPr="00DC0177">
        <w:rPr>
          <w:rFonts w:cs="Times New Roman"/>
          <w:szCs w:val="24"/>
          <w:lang w:val="en-US"/>
        </w:rPr>
        <w:t xml:space="preserve"> </w:t>
      </w:r>
      <w:r w:rsidRPr="00DC0177">
        <w:rPr>
          <w:rFonts w:cs="Times New Roman"/>
          <w:szCs w:val="24"/>
          <w:lang w:val="en-US"/>
        </w:rPr>
        <w:t>by the Alexandrian poet is not the historical Hipponax</w:t>
      </w:r>
      <w:r w:rsidR="00117E4A">
        <w:rPr>
          <w:rFonts w:cs="Times New Roman"/>
          <w:szCs w:val="24"/>
          <w:lang w:val="en-US"/>
        </w:rPr>
        <w:t xml:space="preserve"> but</w:t>
      </w:r>
      <w:r w:rsidRPr="00DC0177">
        <w:rPr>
          <w:rFonts w:cs="Times New Roman"/>
          <w:szCs w:val="24"/>
          <w:lang w:val="en-US"/>
        </w:rPr>
        <w:t xml:space="preserve"> a reinterpretation</w:t>
      </w:r>
      <w:r w:rsidR="00117E4A">
        <w:rPr>
          <w:rFonts w:cs="Times New Roman"/>
          <w:szCs w:val="24"/>
          <w:lang w:val="en-US"/>
        </w:rPr>
        <w:t>; a Hipponax who, as he says</w:t>
      </w:r>
      <w:r w:rsidRPr="00DC0177">
        <w:rPr>
          <w:rFonts w:cs="Times New Roman"/>
          <w:szCs w:val="24"/>
          <w:lang w:val="en-US"/>
        </w:rPr>
        <w:t xml:space="preserve"> at the beginning of his speech</w:t>
      </w:r>
      <w:r w:rsidR="00117E4A">
        <w:rPr>
          <w:rFonts w:cs="Times New Roman"/>
          <w:szCs w:val="24"/>
          <w:lang w:val="en-US"/>
        </w:rPr>
        <w:t>, “</w:t>
      </w:r>
      <w:r w:rsidR="00117E4A" w:rsidRPr="00DC0177">
        <w:rPr>
          <w:rFonts w:cs="Times New Roman"/>
          <w:szCs w:val="24"/>
          <w:lang w:val="en-US"/>
        </w:rPr>
        <w:t>will not sing the battle of Bupalus</w:t>
      </w:r>
      <w:r w:rsidRPr="00DC0177">
        <w:rPr>
          <w:rFonts w:cs="Times New Roman"/>
          <w:szCs w:val="24"/>
          <w:lang w:val="en-US"/>
        </w:rPr>
        <w:t>.</w:t>
      </w:r>
      <w:r w:rsidR="00117E4A">
        <w:rPr>
          <w:rFonts w:cs="Times New Roman"/>
          <w:szCs w:val="24"/>
          <w:lang w:val="en-US"/>
        </w:rPr>
        <w:t>”</w:t>
      </w:r>
      <w:r w:rsidRPr="00DC0177">
        <w:rPr>
          <w:rFonts w:cs="Times New Roman"/>
          <w:szCs w:val="24"/>
          <w:lang w:val="en-US"/>
        </w:rPr>
        <w:t xml:space="preserve"> </w:t>
      </w:r>
      <w:r w:rsidR="00117E4A">
        <w:rPr>
          <w:rFonts w:cs="Times New Roman"/>
          <w:szCs w:val="24"/>
          <w:lang w:val="en-US"/>
        </w:rPr>
        <w:t xml:space="preserve">Even so, </w:t>
      </w:r>
      <w:r w:rsidRPr="00DC0177">
        <w:rPr>
          <w:rFonts w:cs="Times New Roman"/>
          <w:szCs w:val="24"/>
          <w:lang w:val="en-US"/>
        </w:rPr>
        <w:t>the use of the name Hipponax has strong implications for Callimachus</w:t>
      </w:r>
      <w:r w:rsidR="00075F5F">
        <w:rPr>
          <w:rFonts w:cs="Times New Roman"/>
          <w:szCs w:val="24"/>
          <w:lang w:val="en-US"/>
        </w:rPr>
        <w:t>’</w:t>
      </w:r>
      <w:r w:rsidRPr="00DC0177">
        <w:rPr>
          <w:rFonts w:cs="Times New Roman"/>
          <w:szCs w:val="24"/>
          <w:lang w:val="en-US"/>
        </w:rPr>
        <w:t xml:space="preserve"> way of ἰαμβίζειν, given that Hipponax in </w:t>
      </w:r>
      <w:r w:rsidR="00117E4A">
        <w:rPr>
          <w:rFonts w:cs="Times New Roman"/>
          <w:szCs w:val="24"/>
          <w:lang w:val="en-US"/>
        </w:rPr>
        <w:t>his</w:t>
      </w:r>
      <w:r w:rsidR="00117E4A" w:rsidRPr="00DC0177">
        <w:rPr>
          <w:rFonts w:cs="Times New Roman"/>
          <w:szCs w:val="24"/>
          <w:lang w:val="en-US"/>
        </w:rPr>
        <w:t xml:space="preserve"> </w:t>
      </w:r>
      <w:r w:rsidRPr="00DC0177">
        <w:rPr>
          <w:rFonts w:cs="Times New Roman"/>
          <w:szCs w:val="24"/>
          <w:lang w:val="en-US"/>
        </w:rPr>
        <w:t xml:space="preserve">own </w:t>
      </w:r>
      <w:r w:rsidR="00117E4A">
        <w:rPr>
          <w:rFonts w:cs="Times New Roman"/>
          <w:szCs w:val="24"/>
          <w:lang w:val="en-US"/>
        </w:rPr>
        <w:t>poetry</w:t>
      </w:r>
      <w:r w:rsidR="00117E4A" w:rsidRPr="00DC0177">
        <w:rPr>
          <w:rFonts w:cs="Times New Roman"/>
          <w:szCs w:val="24"/>
          <w:lang w:val="en-US"/>
        </w:rPr>
        <w:t xml:space="preserve"> </w:t>
      </w:r>
      <w:r w:rsidRPr="00DC0177">
        <w:rPr>
          <w:rFonts w:cs="Times New Roman"/>
          <w:szCs w:val="24"/>
          <w:lang w:val="en-US"/>
        </w:rPr>
        <w:t xml:space="preserve">also portrayed a </w:t>
      </w:r>
      <w:r w:rsidRPr="00DC0177">
        <w:rPr>
          <w:rFonts w:cs="Times New Roman"/>
          <w:i/>
          <w:iCs/>
          <w:szCs w:val="24"/>
          <w:lang w:val="en-US"/>
        </w:rPr>
        <w:t>persona</w:t>
      </w:r>
      <w:r w:rsidRPr="00DC0177">
        <w:rPr>
          <w:rFonts w:cs="Times New Roman"/>
          <w:szCs w:val="24"/>
          <w:lang w:val="en-US"/>
        </w:rPr>
        <w:t xml:space="preserve"> </w:t>
      </w:r>
      <w:r w:rsidR="007C420F">
        <w:rPr>
          <w:rFonts w:cs="Times New Roman"/>
          <w:szCs w:val="24"/>
          <w:lang w:val="en-US"/>
        </w:rPr>
        <w:t xml:space="preserve">called </w:t>
      </w:r>
      <w:r w:rsidR="00117E4A">
        <w:rPr>
          <w:rFonts w:cs="Times New Roman"/>
          <w:szCs w:val="24"/>
          <w:lang w:val="en-US"/>
        </w:rPr>
        <w:t>Hipponax</w:t>
      </w:r>
      <w:r w:rsidR="007C420F">
        <w:rPr>
          <w:rFonts w:cs="Times New Roman"/>
          <w:szCs w:val="24"/>
          <w:lang w:val="en-US"/>
        </w:rPr>
        <w:t>,</w:t>
      </w:r>
      <w:r w:rsidR="00117E4A">
        <w:rPr>
          <w:rFonts w:cs="Times New Roman"/>
          <w:szCs w:val="24"/>
          <w:lang w:val="en-US"/>
        </w:rPr>
        <w:t xml:space="preserve"> </w:t>
      </w:r>
      <w:r w:rsidRPr="00DC0177">
        <w:rPr>
          <w:rFonts w:cs="Times New Roman"/>
          <w:szCs w:val="24"/>
          <w:lang w:val="en-US"/>
        </w:rPr>
        <w:t>speaking in third person</w:t>
      </w:r>
      <w:r w:rsidR="00BF0977">
        <w:rPr>
          <w:rFonts w:cs="Times New Roman"/>
          <w:szCs w:val="24"/>
          <w:lang w:val="en-US"/>
        </w:rPr>
        <w:t xml:space="preserve"> – as an allusion to Hipponax fr.</w:t>
      </w:r>
      <w:r w:rsidR="00BF0977" w:rsidRPr="00DC0177">
        <w:rPr>
          <w:rFonts w:cs="Times New Roman"/>
          <w:szCs w:val="24"/>
          <w:lang w:val="en-US"/>
        </w:rPr>
        <w:t xml:space="preserve"> 79</w:t>
      </w:r>
      <w:r w:rsidR="00BF0977">
        <w:rPr>
          <w:rFonts w:cs="Times New Roman"/>
          <w:szCs w:val="24"/>
          <w:lang w:val="en-US"/>
        </w:rPr>
        <w:t xml:space="preserve"> reminds us in</w:t>
      </w:r>
      <w:r w:rsidR="007C420F">
        <w:rPr>
          <w:rFonts w:cs="Times New Roman"/>
          <w:szCs w:val="24"/>
          <w:lang w:val="en-US"/>
        </w:rPr>
        <w:t xml:space="preserve"> t</w:t>
      </w:r>
      <w:r w:rsidRPr="00DC0177">
        <w:rPr>
          <w:rFonts w:cs="Times New Roman"/>
          <w:szCs w:val="24"/>
          <w:lang w:val="en-US"/>
        </w:rPr>
        <w:t xml:space="preserve">he </w:t>
      </w:r>
      <w:r w:rsidR="007C420F">
        <w:rPr>
          <w:rFonts w:cs="Times New Roman"/>
          <w:szCs w:val="24"/>
          <w:lang w:val="en-US"/>
        </w:rPr>
        <w:lastRenderedPageBreak/>
        <w:t>opening</w:t>
      </w:r>
      <w:r w:rsidR="007C420F" w:rsidRPr="00DC0177">
        <w:rPr>
          <w:rFonts w:cs="Times New Roman"/>
          <w:szCs w:val="24"/>
          <w:lang w:val="en-US"/>
        </w:rPr>
        <w:t xml:space="preserve"> </w:t>
      </w:r>
      <w:r w:rsidRPr="00DC0177">
        <w:rPr>
          <w:rFonts w:cs="Times New Roman"/>
          <w:szCs w:val="24"/>
          <w:lang w:val="en-US"/>
        </w:rPr>
        <w:t xml:space="preserve">lines of </w:t>
      </w:r>
      <w:r w:rsidR="00BF0977">
        <w:rPr>
          <w:rFonts w:cs="Times New Roman"/>
          <w:szCs w:val="24"/>
          <w:lang w:val="en-US"/>
        </w:rPr>
        <w:t>the</w:t>
      </w:r>
      <w:r w:rsidR="00BF0977" w:rsidRPr="00DC0177">
        <w:rPr>
          <w:rFonts w:cs="Times New Roman"/>
          <w:szCs w:val="24"/>
          <w:lang w:val="en-US"/>
        </w:rPr>
        <w:t xml:space="preserve"> </w:t>
      </w:r>
      <w:r w:rsidRPr="00DC0177">
        <w:rPr>
          <w:rFonts w:cs="Times New Roman"/>
          <w:szCs w:val="24"/>
          <w:lang w:val="en-US"/>
        </w:rPr>
        <w:t xml:space="preserve">first </w:t>
      </w:r>
      <w:r w:rsidRPr="00DC0177">
        <w:rPr>
          <w:rFonts w:cs="Times New Roman"/>
          <w:i/>
          <w:iCs/>
          <w:szCs w:val="24"/>
          <w:lang w:val="en-US"/>
        </w:rPr>
        <w:t>Iambus</w:t>
      </w:r>
      <w:r w:rsidR="00BF0977">
        <w:rPr>
          <w:rFonts w:cs="Times New Roman"/>
          <w:szCs w:val="24"/>
          <w:lang w:val="en-US"/>
        </w:rPr>
        <w:t>, where t</w:t>
      </w:r>
      <w:r w:rsidRPr="00DC0177">
        <w:rPr>
          <w:rFonts w:cs="Times New Roman"/>
          <w:szCs w:val="24"/>
          <w:lang w:val="en-US"/>
        </w:rPr>
        <w:t>he Alexandrian poet literally effect</w:t>
      </w:r>
      <w:r w:rsidR="00BF0977">
        <w:rPr>
          <w:rFonts w:cs="Times New Roman"/>
          <w:szCs w:val="24"/>
          <w:lang w:val="en-US"/>
        </w:rPr>
        <w:t>s</w:t>
      </w:r>
      <w:r w:rsidRPr="00DC0177">
        <w:rPr>
          <w:rFonts w:cs="Times New Roman"/>
          <w:szCs w:val="24"/>
          <w:lang w:val="en-US"/>
        </w:rPr>
        <w:t xml:space="preserve"> Hipponax</w:t>
      </w:r>
      <w:r w:rsidR="00075F5F">
        <w:rPr>
          <w:rFonts w:cs="Times New Roman"/>
          <w:szCs w:val="24"/>
          <w:lang w:val="en-US"/>
        </w:rPr>
        <w:t>’</w:t>
      </w:r>
      <w:r w:rsidRPr="00DC0177">
        <w:rPr>
          <w:rFonts w:cs="Times New Roman"/>
          <w:szCs w:val="24"/>
          <w:lang w:val="en-US"/>
        </w:rPr>
        <w:t xml:space="preserve">s </w:t>
      </w:r>
      <w:r w:rsidR="00BF0977">
        <w:rPr>
          <w:rFonts w:cs="Times New Roman"/>
          <w:szCs w:val="24"/>
          <w:lang w:val="en-US"/>
        </w:rPr>
        <w:t xml:space="preserve">anabasis </w:t>
      </w:r>
      <w:r w:rsidRPr="00DC0177">
        <w:rPr>
          <w:rFonts w:cs="Times New Roman"/>
          <w:szCs w:val="24"/>
          <w:lang w:val="en-US"/>
        </w:rPr>
        <w:t xml:space="preserve">from Hades. </w:t>
      </w:r>
    </w:p>
    <w:p w14:paraId="63DCF795" w14:textId="39BF159D" w:rsidR="00796AA1" w:rsidRPr="00772668" w:rsidRDefault="00796AA1" w:rsidP="00862598">
      <w:pPr>
        <w:ind w:firstLine="426"/>
        <w:rPr>
          <w:rFonts w:cs="Times New Roman"/>
          <w:szCs w:val="24"/>
          <w:lang w:val="en-US"/>
        </w:rPr>
      </w:pPr>
      <w:r w:rsidRPr="00DC0177">
        <w:rPr>
          <w:rFonts w:cs="Times New Roman"/>
          <w:szCs w:val="24"/>
          <w:lang w:val="en-US"/>
        </w:rPr>
        <w:t xml:space="preserve">Past studies </w:t>
      </w:r>
      <w:r w:rsidR="00BF0977">
        <w:rPr>
          <w:rFonts w:cs="Times New Roman"/>
          <w:szCs w:val="24"/>
          <w:lang w:val="en-US"/>
        </w:rPr>
        <w:t xml:space="preserve">of </w:t>
      </w:r>
      <w:r w:rsidRPr="00DC0177">
        <w:rPr>
          <w:rFonts w:cs="Times New Roman"/>
          <w:szCs w:val="24"/>
          <w:lang w:val="en-US"/>
        </w:rPr>
        <w:t>the relationship between Callimachus and Hipponax have placed emphasis on the latter</w:t>
      </w:r>
      <w:r w:rsidR="00075F5F">
        <w:rPr>
          <w:rFonts w:cs="Times New Roman"/>
          <w:szCs w:val="24"/>
          <w:lang w:val="en-US"/>
        </w:rPr>
        <w:t>’</w:t>
      </w:r>
      <w:r w:rsidRPr="00DC0177">
        <w:rPr>
          <w:rFonts w:cs="Times New Roman"/>
          <w:szCs w:val="24"/>
          <w:lang w:val="en-US"/>
        </w:rPr>
        <w:t xml:space="preserve">s presence </w:t>
      </w:r>
      <w:r w:rsidR="00BF0977">
        <w:rPr>
          <w:rFonts w:cs="Times New Roman"/>
          <w:szCs w:val="24"/>
          <w:lang w:val="en-US"/>
        </w:rPr>
        <w:t xml:space="preserve">in the </w:t>
      </w:r>
      <w:r w:rsidR="00BF0977" w:rsidRPr="00BF0977">
        <w:rPr>
          <w:rFonts w:cs="Times New Roman"/>
          <w:i/>
          <w:szCs w:val="24"/>
          <w:lang w:val="en-US"/>
        </w:rPr>
        <w:t>Iambi</w:t>
      </w:r>
      <w:r w:rsidR="00BF0977">
        <w:rPr>
          <w:rFonts w:cs="Times New Roman"/>
          <w:szCs w:val="24"/>
          <w:lang w:val="en-US"/>
        </w:rPr>
        <w:t xml:space="preserve"> </w:t>
      </w:r>
      <w:r w:rsidRPr="00DC0177">
        <w:rPr>
          <w:rFonts w:cs="Times New Roman"/>
          <w:szCs w:val="24"/>
          <w:lang w:val="en-US"/>
        </w:rPr>
        <w:t xml:space="preserve">and the atmosphere created by </w:t>
      </w:r>
      <w:r w:rsidR="00BF0977">
        <w:rPr>
          <w:rFonts w:cs="Times New Roman"/>
          <w:szCs w:val="24"/>
          <w:lang w:val="en-US"/>
        </w:rPr>
        <w:t xml:space="preserve">the use of </w:t>
      </w:r>
      <w:r w:rsidRPr="00DC0177">
        <w:rPr>
          <w:rFonts w:cs="Times New Roman"/>
          <w:szCs w:val="24"/>
          <w:lang w:val="en-US"/>
        </w:rPr>
        <w:t xml:space="preserve">his </w:t>
      </w:r>
      <w:r w:rsidRPr="00DC0177">
        <w:rPr>
          <w:rFonts w:cs="Times New Roman"/>
          <w:i/>
          <w:iCs/>
          <w:szCs w:val="24"/>
          <w:lang w:val="en-US"/>
        </w:rPr>
        <w:t>persona</w:t>
      </w:r>
      <w:r w:rsidRPr="00DC0177">
        <w:rPr>
          <w:rFonts w:cs="Times New Roman"/>
          <w:szCs w:val="24"/>
          <w:lang w:val="en-US"/>
        </w:rPr>
        <w:t xml:space="preserve">. </w:t>
      </w:r>
      <w:r w:rsidR="000C1B91">
        <w:rPr>
          <w:rFonts w:cs="Times New Roman"/>
          <w:szCs w:val="24"/>
          <w:lang w:val="en-US"/>
        </w:rPr>
        <w:t>T</w:t>
      </w:r>
      <w:r w:rsidR="00BF0977">
        <w:rPr>
          <w:rFonts w:cs="Times New Roman"/>
          <w:szCs w:val="24"/>
          <w:lang w:val="en-US"/>
        </w:rPr>
        <w:t xml:space="preserve">hey </w:t>
      </w:r>
      <w:r w:rsidRPr="00DC0177">
        <w:rPr>
          <w:rFonts w:cs="Times New Roman"/>
          <w:szCs w:val="24"/>
          <w:lang w:val="en-US"/>
        </w:rPr>
        <w:t xml:space="preserve">have </w:t>
      </w:r>
      <w:r w:rsidR="000C1B91">
        <w:rPr>
          <w:rFonts w:cs="Times New Roman"/>
          <w:szCs w:val="24"/>
          <w:lang w:val="en-US"/>
        </w:rPr>
        <w:t xml:space="preserve">not systematically explored the </w:t>
      </w:r>
      <w:r w:rsidRPr="00DC0177">
        <w:rPr>
          <w:rFonts w:cs="Times New Roman"/>
          <w:szCs w:val="24"/>
          <w:lang w:val="en-US"/>
        </w:rPr>
        <w:t>influence of Hipponax</w:t>
      </w:r>
      <w:r w:rsidR="00075F5F">
        <w:rPr>
          <w:rFonts w:cs="Times New Roman"/>
          <w:szCs w:val="24"/>
          <w:lang w:val="en-US"/>
        </w:rPr>
        <w:t>’</w:t>
      </w:r>
      <w:r w:rsidRPr="00DC0177">
        <w:rPr>
          <w:rFonts w:cs="Times New Roman"/>
          <w:szCs w:val="24"/>
          <w:lang w:val="en-US"/>
        </w:rPr>
        <w:t>s poetry on Callimachus</w:t>
      </w:r>
      <w:r w:rsidR="00075F5F">
        <w:rPr>
          <w:rFonts w:cs="Times New Roman"/>
          <w:szCs w:val="24"/>
          <w:lang w:val="en-US"/>
        </w:rPr>
        <w:t>’</w:t>
      </w:r>
      <w:r w:rsidRPr="00DC0177">
        <w:rPr>
          <w:rFonts w:cs="Times New Roman"/>
          <w:szCs w:val="24"/>
          <w:lang w:val="en-US"/>
        </w:rPr>
        <w:t xml:space="preserve"> </w:t>
      </w:r>
      <w:r w:rsidR="000C1B91" w:rsidRPr="00750FF6">
        <w:rPr>
          <w:rFonts w:cs="Times New Roman"/>
          <w:i/>
          <w:szCs w:val="24"/>
          <w:lang w:val="en-US"/>
        </w:rPr>
        <w:t>Iambi</w:t>
      </w:r>
      <w:r w:rsidR="000C1B91">
        <w:rPr>
          <w:rFonts w:cs="Times New Roman"/>
          <w:szCs w:val="24"/>
          <w:lang w:val="en-US"/>
        </w:rPr>
        <w:t xml:space="preserve"> at the micro-level, a lacuna which this study seeks to fill. As we shall see, close </w:t>
      </w:r>
      <w:r w:rsidRPr="00DC0177">
        <w:rPr>
          <w:rFonts w:cs="Times New Roman"/>
          <w:szCs w:val="24"/>
          <w:lang w:val="en-US"/>
        </w:rPr>
        <w:t>linguistic analysis reveal</w:t>
      </w:r>
      <w:r w:rsidR="000C1B91">
        <w:rPr>
          <w:rFonts w:cs="Times New Roman"/>
          <w:szCs w:val="24"/>
          <w:lang w:val="en-US"/>
        </w:rPr>
        <w:t>s</w:t>
      </w:r>
      <w:r w:rsidRPr="00DC0177">
        <w:rPr>
          <w:rFonts w:cs="Times New Roman"/>
          <w:szCs w:val="24"/>
          <w:lang w:val="en-US"/>
        </w:rPr>
        <w:t xml:space="preserve"> a complex net of </w:t>
      </w:r>
      <w:r w:rsidR="00862598">
        <w:rPr>
          <w:rFonts w:cs="Times New Roman"/>
          <w:szCs w:val="24"/>
          <w:lang w:val="en-US"/>
        </w:rPr>
        <w:t>communalities</w:t>
      </w:r>
      <w:r w:rsidRPr="00DC0177">
        <w:rPr>
          <w:rFonts w:cs="Times New Roman"/>
          <w:szCs w:val="24"/>
          <w:lang w:val="en-US"/>
        </w:rPr>
        <w:t>, both intertextual and allusive.</w:t>
      </w:r>
      <w:r w:rsidRPr="00772668">
        <w:rPr>
          <w:rStyle w:val="FootnoteReference"/>
          <w:szCs w:val="24"/>
          <w:lang w:val="en-US"/>
        </w:rPr>
        <w:footnoteReference w:id="25"/>
      </w:r>
      <w:r w:rsidRPr="00772668">
        <w:rPr>
          <w:rFonts w:cs="Times New Roman"/>
          <w:szCs w:val="24"/>
          <w:lang w:val="en-US"/>
        </w:rPr>
        <w:t xml:space="preserve"> </w:t>
      </w:r>
      <w:r w:rsidR="00862598">
        <w:rPr>
          <w:rFonts w:cs="Times New Roman"/>
          <w:szCs w:val="24"/>
          <w:lang w:val="en-US"/>
        </w:rPr>
        <w:t>But</w:t>
      </w:r>
      <w:r w:rsidRPr="00772668">
        <w:rPr>
          <w:rFonts w:cs="Times New Roman"/>
          <w:szCs w:val="24"/>
          <w:lang w:val="en-US"/>
        </w:rPr>
        <w:t xml:space="preserve"> analysis of the </w:t>
      </w:r>
      <w:r w:rsidRPr="00DC0177">
        <w:rPr>
          <w:rFonts w:cs="Times New Roman"/>
          <w:i/>
          <w:iCs/>
          <w:szCs w:val="24"/>
          <w:lang w:val="en-US"/>
        </w:rPr>
        <w:t>Iambi</w:t>
      </w:r>
      <w:r w:rsidR="00862598">
        <w:rPr>
          <w:rFonts w:cs="Times New Roman"/>
          <w:szCs w:val="24"/>
          <w:lang w:val="en-US"/>
        </w:rPr>
        <w:t>’s language also shows</w:t>
      </w:r>
      <w:r w:rsidRPr="00DC0177">
        <w:rPr>
          <w:rFonts w:cs="Times New Roman"/>
          <w:szCs w:val="24"/>
          <w:lang w:val="en-US"/>
        </w:rPr>
        <w:t xml:space="preserve"> that</w:t>
      </w:r>
      <w:r w:rsidR="00862598">
        <w:rPr>
          <w:rFonts w:cs="Times New Roman"/>
          <w:szCs w:val="24"/>
          <w:lang w:val="en-US"/>
        </w:rPr>
        <w:t xml:space="preserve"> at this level </w:t>
      </w:r>
      <w:r w:rsidRPr="00DC0177">
        <w:rPr>
          <w:rFonts w:cs="Times New Roman"/>
          <w:szCs w:val="24"/>
          <w:lang w:val="en-US"/>
        </w:rPr>
        <w:t>Hipponax</w:t>
      </w:r>
      <w:r w:rsidR="00862598">
        <w:rPr>
          <w:rFonts w:cs="Times New Roman"/>
          <w:szCs w:val="24"/>
          <w:lang w:val="en-US"/>
        </w:rPr>
        <w:t xml:space="preserve">, although he is an important model, is neither the only nor perhaps even the </w:t>
      </w:r>
      <w:r w:rsidRPr="00DC0177">
        <w:rPr>
          <w:rFonts w:cs="Times New Roman"/>
          <w:szCs w:val="24"/>
          <w:lang w:val="en-US"/>
        </w:rPr>
        <w:t>main model</w:t>
      </w:r>
      <w:r w:rsidR="00862598">
        <w:rPr>
          <w:rFonts w:cs="Times New Roman"/>
          <w:szCs w:val="24"/>
          <w:lang w:val="en-US"/>
        </w:rPr>
        <w:t>. My</w:t>
      </w:r>
      <w:r w:rsidR="00862598" w:rsidRPr="00DC0177">
        <w:rPr>
          <w:rFonts w:cs="Times New Roman"/>
          <w:szCs w:val="24"/>
          <w:lang w:val="en-US"/>
        </w:rPr>
        <w:t xml:space="preserve"> </w:t>
      </w:r>
      <w:r w:rsidRPr="00DC0177">
        <w:rPr>
          <w:rFonts w:cs="Times New Roman"/>
          <w:szCs w:val="24"/>
          <w:lang w:val="en-US"/>
        </w:rPr>
        <w:t xml:space="preserve">analysis </w:t>
      </w:r>
      <w:r w:rsidR="00862598">
        <w:rPr>
          <w:rFonts w:cs="Times New Roman"/>
          <w:szCs w:val="24"/>
          <w:lang w:val="en-US"/>
        </w:rPr>
        <w:t>found</w:t>
      </w:r>
      <w:r w:rsidR="00862598" w:rsidRPr="00DC0177">
        <w:rPr>
          <w:rFonts w:cs="Times New Roman"/>
          <w:szCs w:val="24"/>
          <w:lang w:val="en-US"/>
        </w:rPr>
        <w:t xml:space="preserve"> </w:t>
      </w:r>
      <w:r w:rsidRPr="00DC0177">
        <w:rPr>
          <w:rFonts w:cs="Times New Roman"/>
          <w:szCs w:val="24"/>
          <w:lang w:val="en-US"/>
        </w:rPr>
        <w:t xml:space="preserve">more parallels between Callimachus and Archilochus than between Callimachus and Hipponax. However, the relationship of the </w:t>
      </w:r>
      <w:r w:rsidRPr="00DC0177">
        <w:rPr>
          <w:rFonts w:cs="Times New Roman"/>
          <w:i/>
          <w:iCs/>
          <w:szCs w:val="24"/>
          <w:lang w:val="en-US"/>
        </w:rPr>
        <w:t xml:space="preserve">Iambi </w:t>
      </w:r>
      <w:r w:rsidRPr="00DC0177">
        <w:rPr>
          <w:rFonts w:cs="Times New Roman"/>
          <w:szCs w:val="24"/>
          <w:lang w:val="en-US"/>
        </w:rPr>
        <w:t>to Hipponax has unfortunately overshadowed the contribution of Archilochus in terms of language, imagery, and theme</w:t>
      </w:r>
      <w:r w:rsidR="00862598">
        <w:rPr>
          <w:rFonts w:cs="Times New Roman"/>
          <w:szCs w:val="24"/>
          <w:lang w:val="en-US"/>
        </w:rPr>
        <w:t>s</w:t>
      </w:r>
      <w:r w:rsidRPr="00DC0177">
        <w:rPr>
          <w:rFonts w:cs="Times New Roman"/>
          <w:szCs w:val="24"/>
          <w:lang w:val="en-US"/>
        </w:rPr>
        <w:t xml:space="preserve"> in these poems.</w:t>
      </w:r>
      <w:r w:rsidRPr="00772668">
        <w:rPr>
          <w:rStyle w:val="FootnoteReference"/>
          <w:szCs w:val="24"/>
          <w:lang w:val="en-US"/>
        </w:rPr>
        <w:footnoteReference w:id="26"/>
      </w:r>
      <w:r w:rsidRPr="00772668">
        <w:rPr>
          <w:rFonts w:cs="Times New Roman"/>
          <w:szCs w:val="24"/>
          <w:lang w:val="en-US"/>
        </w:rPr>
        <w:t xml:space="preserve"> The impetus of this thesis is thus to </w:t>
      </w:r>
      <w:r w:rsidR="00862598">
        <w:rPr>
          <w:rFonts w:cs="Times New Roman"/>
          <w:szCs w:val="24"/>
          <w:lang w:val="en-US"/>
        </w:rPr>
        <w:t>conduct a full l</w:t>
      </w:r>
      <w:r w:rsidR="002807DF">
        <w:rPr>
          <w:rFonts w:cs="Times New Roman"/>
          <w:szCs w:val="24"/>
          <w:lang w:val="en-US"/>
        </w:rPr>
        <w:t xml:space="preserve">inguistic </w:t>
      </w:r>
      <w:r w:rsidR="00862598">
        <w:rPr>
          <w:rFonts w:cs="Times New Roman"/>
          <w:szCs w:val="24"/>
          <w:lang w:val="en-US"/>
        </w:rPr>
        <w:t>study of</w:t>
      </w:r>
      <w:r w:rsidR="00862598" w:rsidRPr="00772668">
        <w:rPr>
          <w:rFonts w:cs="Times New Roman"/>
          <w:szCs w:val="24"/>
          <w:lang w:val="en-US"/>
        </w:rPr>
        <w:t xml:space="preserve"> </w:t>
      </w:r>
      <w:r w:rsidRPr="00772668">
        <w:rPr>
          <w:rFonts w:cs="Times New Roman"/>
          <w:szCs w:val="24"/>
          <w:lang w:val="en-US"/>
        </w:rPr>
        <w:t>the relationship</w:t>
      </w:r>
      <w:r w:rsidR="002807DF">
        <w:rPr>
          <w:rFonts w:cs="Times New Roman"/>
          <w:szCs w:val="24"/>
          <w:lang w:val="en-US"/>
        </w:rPr>
        <w:t>s</w:t>
      </w:r>
      <w:r w:rsidRPr="00772668">
        <w:rPr>
          <w:rFonts w:cs="Times New Roman"/>
          <w:szCs w:val="24"/>
          <w:lang w:val="en-US"/>
        </w:rPr>
        <w:t xml:space="preserve"> between the three major Greek iambographers. </w:t>
      </w:r>
    </w:p>
    <w:p w14:paraId="2F12FC60" w14:textId="0FD90313" w:rsidR="00796AA1" w:rsidRPr="00DC0177" w:rsidRDefault="00897BC7" w:rsidP="00DC0177">
      <w:pPr>
        <w:ind w:firstLine="426"/>
        <w:rPr>
          <w:rFonts w:cs="Times New Roman"/>
          <w:szCs w:val="24"/>
          <w:lang w:val="en-US"/>
        </w:rPr>
      </w:pPr>
      <w:r>
        <w:rPr>
          <w:rFonts w:cs="Times New Roman"/>
          <w:szCs w:val="24"/>
          <w:lang w:val="en-US"/>
        </w:rPr>
        <w:t xml:space="preserve">The </w:t>
      </w:r>
      <w:r w:rsidR="00796AA1" w:rsidRPr="00DC0177">
        <w:rPr>
          <w:rFonts w:cs="Times New Roman"/>
          <w:szCs w:val="24"/>
          <w:lang w:val="en-US"/>
        </w:rPr>
        <w:t>language of iambic poetry</w:t>
      </w:r>
      <w:r>
        <w:rPr>
          <w:rFonts w:cs="Times New Roman"/>
          <w:szCs w:val="24"/>
          <w:lang w:val="en-US"/>
        </w:rPr>
        <w:t xml:space="preserve"> </w:t>
      </w:r>
      <w:r w:rsidRPr="00DC0177">
        <w:rPr>
          <w:rFonts w:cs="Times New Roman"/>
          <w:szCs w:val="24"/>
          <w:lang w:val="en-US"/>
        </w:rPr>
        <w:t xml:space="preserve">at first sight </w:t>
      </w:r>
      <w:r>
        <w:rPr>
          <w:rFonts w:cs="Times New Roman"/>
          <w:szCs w:val="24"/>
          <w:lang w:val="en-US"/>
        </w:rPr>
        <w:t xml:space="preserve">appears to be Eastern Ionic, the language spoken by the archaic </w:t>
      </w:r>
      <w:r w:rsidR="00796AA1" w:rsidRPr="00DC0177">
        <w:rPr>
          <w:rFonts w:cs="Times New Roman"/>
          <w:szCs w:val="24"/>
          <w:lang w:val="en-US"/>
        </w:rPr>
        <w:t xml:space="preserve">iambographers, including Hipponax and Archilochus. </w:t>
      </w:r>
      <w:r>
        <w:rPr>
          <w:rFonts w:cs="Times New Roman"/>
          <w:szCs w:val="24"/>
          <w:lang w:val="en-US"/>
        </w:rPr>
        <w:t>C</w:t>
      </w:r>
      <w:r w:rsidR="00796AA1" w:rsidRPr="00DC0177">
        <w:rPr>
          <w:rFonts w:cs="Times New Roman"/>
          <w:szCs w:val="24"/>
          <w:lang w:val="en-US"/>
        </w:rPr>
        <w:t>loser examination</w:t>
      </w:r>
      <w:r>
        <w:rPr>
          <w:rFonts w:cs="Times New Roman"/>
          <w:szCs w:val="24"/>
          <w:lang w:val="en-US"/>
        </w:rPr>
        <w:t>, however,</w:t>
      </w:r>
      <w:r w:rsidR="00796AA1" w:rsidRPr="00DC0177">
        <w:rPr>
          <w:rFonts w:cs="Times New Roman"/>
          <w:szCs w:val="24"/>
          <w:lang w:val="en-US"/>
        </w:rPr>
        <w:t xml:space="preserve"> reveals </w:t>
      </w:r>
      <w:r>
        <w:rPr>
          <w:rFonts w:cs="Times New Roman"/>
          <w:szCs w:val="24"/>
          <w:lang w:val="en-US"/>
        </w:rPr>
        <w:t xml:space="preserve">that it is, to a much larger extent than is often acknowledged, </w:t>
      </w:r>
      <w:r w:rsidR="00796AA1" w:rsidRPr="00DC0177">
        <w:rPr>
          <w:rFonts w:cs="Times New Roman"/>
          <w:szCs w:val="24"/>
          <w:lang w:val="en-US"/>
        </w:rPr>
        <w:t xml:space="preserve">an artificial literary language. </w:t>
      </w:r>
      <w:r>
        <w:rPr>
          <w:rFonts w:cs="Times New Roman"/>
          <w:szCs w:val="24"/>
          <w:lang w:val="en-US"/>
        </w:rPr>
        <w:t>Unsurprisingly, t</w:t>
      </w:r>
      <w:r w:rsidR="00796AA1" w:rsidRPr="00DC0177">
        <w:rPr>
          <w:rFonts w:cs="Times New Roman"/>
          <w:szCs w:val="24"/>
          <w:lang w:val="en-US"/>
        </w:rPr>
        <w:t xml:space="preserve">his is </w:t>
      </w:r>
      <w:r>
        <w:rPr>
          <w:rFonts w:cs="Times New Roman"/>
          <w:szCs w:val="24"/>
          <w:lang w:val="en-US"/>
        </w:rPr>
        <w:t>most obvious in</w:t>
      </w:r>
      <w:r w:rsidR="00796AA1" w:rsidRPr="00DC0177">
        <w:rPr>
          <w:rFonts w:cs="Times New Roman"/>
          <w:szCs w:val="24"/>
          <w:lang w:val="en-US"/>
        </w:rPr>
        <w:t xml:space="preserve"> Callimachus</w:t>
      </w:r>
      <w:r w:rsidR="00075F5F">
        <w:rPr>
          <w:rFonts w:cs="Times New Roman"/>
          <w:szCs w:val="24"/>
          <w:lang w:val="en-US"/>
        </w:rPr>
        <w:t>’</w:t>
      </w:r>
      <w:r w:rsidR="00796AA1" w:rsidRPr="00DC0177">
        <w:rPr>
          <w:rFonts w:cs="Times New Roman"/>
          <w:szCs w:val="24"/>
          <w:lang w:val="en-US"/>
        </w:rPr>
        <w:t xml:space="preserve"> </w:t>
      </w:r>
      <w:r w:rsidR="00796AA1" w:rsidRPr="00DC0177">
        <w:rPr>
          <w:rFonts w:cs="Times New Roman"/>
          <w:i/>
          <w:iCs/>
          <w:szCs w:val="24"/>
          <w:lang w:val="en-US"/>
        </w:rPr>
        <w:t>Iambi</w:t>
      </w:r>
      <w:r>
        <w:rPr>
          <w:rFonts w:cs="Times New Roman"/>
          <w:szCs w:val="24"/>
          <w:lang w:val="en-US"/>
        </w:rPr>
        <w:t xml:space="preserve">, but in Archilochus and Hipponax, too, the language constantly fluctuates </w:t>
      </w:r>
      <w:r w:rsidR="00796AA1" w:rsidRPr="00DC0177">
        <w:rPr>
          <w:rFonts w:cs="Times New Roman"/>
          <w:szCs w:val="24"/>
          <w:lang w:val="en-US"/>
        </w:rPr>
        <w:t>between spoken Eastern Ionic and</w:t>
      </w:r>
      <w:r>
        <w:rPr>
          <w:rFonts w:cs="Times New Roman"/>
          <w:szCs w:val="24"/>
          <w:lang w:val="en-US"/>
        </w:rPr>
        <w:t xml:space="preserve"> other idioms, notably</w:t>
      </w:r>
      <w:r w:rsidR="00796AA1" w:rsidRPr="00DC0177">
        <w:rPr>
          <w:rFonts w:cs="Times New Roman"/>
          <w:szCs w:val="24"/>
          <w:lang w:val="en-US"/>
        </w:rPr>
        <w:t xml:space="preserve"> epic diction</w:t>
      </w:r>
      <w:r>
        <w:rPr>
          <w:rFonts w:cs="Times New Roman"/>
          <w:szCs w:val="24"/>
          <w:lang w:val="en-US"/>
        </w:rPr>
        <w:t xml:space="preserve">, already itself </w:t>
      </w:r>
      <w:r w:rsidR="00796AA1" w:rsidRPr="00DC0177">
        <w:rPr>
          <w:rFonts w:cs="Times New Roman"/>
          <w:szCs w:val="24"/>
          <w:lang w:val="en-US"/>
        </w:rPr>
        <w:t xml:space="preserve">a literary language that includes other elements </w:t>
      </w:r>
      <w:r>
        <w:rPr>
          <w:rFonts w:cs="Times New Roman"/>
          <w:szCs w:val="24"/>
          <w:lang w:val="en-US"/>
        </w:rPr>
        <w:t>of</w:t>
      </w:r>
      <w:r w:rsidRPr="00DC0177">
        <w:rPr>
          <w:rFonts w:cs="Times New Roman"/>
          <w:szCs w:val="24"/>
          <w:lang w:val="en-US"/>
        </w:rPr>
        <w:t xml:space="preserve"> </w:t>
      </w:r>
      <w:r>
        <w:rPr>
          <w:rFonts w:cs="Times New Roman"/>
          <w:szCs w:val="24"/>
          <w:lang w:val="en-US"/>
        </w:rPr>
        <w:t>various provenance, status and date. The language of individual</w:t>
      </w:r>
      <w:r w:rsidRPr="00DC0177">
        <w:rPr>
          <w:rFonts w:cs="Times New Roman"/>
          <w:szCs w:val="24"/>
          <w:lang w:val="en-US"/>
        </w:rPr>
        <w:t xml:space="preserve"> </w:t>
      </w:r>
      <w:r w:rsidR="00796AA1" w:rsidRPr="00DC0177">
        <w:rPr>
          <w:rFonts w:cs="Times New Roman"/>
          <w:szCs w:val="24"/>
          <w:lang w:val="en-US"/>
        </w:rPr>
        <w:t>iambic poets</w:t>
      </w:r>
      <w:r>
        <w:rPr>
          <w:rFonts w:cs="Times New Roman"/>
          <w:szCs w:val="24"/>
          <w:lang w:val="en-US"/>
        </w:rPr>
        <w:t xml:space="preserve">, and even of individual poems, sits somewhere within </w:t>
      </w:r>
      <w:r w:rsidR="00796AA1" w:rsidRPr="00DC0177">
        <w:rPr>
          <w:rFonts w:cs="Times New Roman"/>
          <w:szCs w:val="24"/>
          <w:lang w:val="en-US"/>
        </w:rPr>
        <w:t>this range. Archilochus</w:t>
      </w:r>
      <w:r w:rsidR="00075F5F">
        <w:rPr>
          <w:rFonts w:cs="Times New Roman"/>
          <w:szCs w:val="24"/>
          <w:lang w:val="en-US"/>
        </w:rPr>
        <w:t>’</w:t>
      </w:r>
      <w:r w:rsidR="00796AA1" w:rsidRPr="00DC0177">
        <w:rPr>
          <w:rFonts w:cs="Times New Roman"/>
          <w:szCs w:val="24"/>
          <w:lang w:val="en-US"/>
        </w:rPr>
        <w:t xml:space="preserve"> language closely resembles Homeric diction</w:t>
      </w:r>
      <w:r w:rsidR="00290F65">
        <w:rPr>
          <w:rFonts w:cs="Times New Roman"/>
          <w:szCs w:val="24"/>
          <w:lang w:val="en-US"/>
        </w:rPr>
        <w:t xml:space="preserve">; </w:t>
      </w:r>
      <w:r w:rsidR="00796AA1" w:rsidRPr="00DC0177">
        <w:rPr>
          <w:rFonts w:cs="Times New Roman"/>
          <w:szCs w:val="24"/>
          <w:lang w:val="en-US"/>
        </w:rPr>
        <w:t>Hipponax constantly references and reflects the epic idiom but incorporates many elements of spoken Eastern Ionic, vulgar words, foreign terms and neologisms. Callimachus</w:t>
      </w:r>
      <w:r w:rsidR="00075F5F">
        <w:rPr>
          <w:rFonts w:cs="Times New Roman"/>
          <w:szCs w:val="24"/>
          <w:lang w:val="en-US"/>
        </w:rPr>
        <w:t>’</w:t>
      </w:r>
      <w:r w:rsidR="00796AA1" w:rsidRPr="00DC0177">
        <w:rPr>
          <w:rFonts w:cs="Times New Roman"/>
          <w:szCs w:val="24"/>
          <w:lang w:val="en-US"/>
        </w:rPr>
        <w:t xml:space="preserve"> </w:t>
      </w:r>
      <w:r w:rsidR="00290F65" w:rsidRPr="00750FF6">
        <w:rPr>
          <w:rFonts w:cs="Times New Roman"/>
          <w:i/>
          <w:szCs w:val="24"/>
          <w:lang w:val="en-US"/>
        </w:rPr>
        <w:t>Iambi</w:t>
      </w:r>
      <w:r w:rsidR="00290F65" w:rsidRPr="00DC0177">
        <w:rPr>
          <w:rFonts w:cs="Times New Roman"/>
          <w:szCs w:val="24"/>
          <w:lang w:val="en-US"/>
        </w:rPr>
        <w:t xml:space="preserve"> </w:t>
      </w:r>
      <w:r w:rsidR="00290F65">
        <w:rPr>
          <w:rFonts w:cs="Times New Roman"/>
          <w:szCs w:val="24"/>
          <w:lang w:val="en-US"/>
        </w:rPr>
        <w:t xml:space="preserve">reflect the language of both poets but also look beyond them – </w:t>
      </w:r>
      <w:r w:rsidR="00796AA1" w:rsidRPr="00DC0177">
        <w:rPr>
          <w:rFonts w:cs="Times New Roman"/>
          <w:szCs w:val="24"/>
          <w:lang w:val="en-US"/>
        </w:rPr>
        <w:t>three of the</w:t>
      </w:r>
      <w:r w:rsidR="00290F65">
        <w:rPr>
          <w:rFonts w:cs="Times New Roman"/>
          <w:i/>
          <w:iCs/>
          <w:szCs w:val="24"/>
          <w:lang w:val="en-US"/>
        </w:rPr>
        <w:t xml:space="preserve"> </w:t>
      </w:r>
      <w:r w:rsidR="00290F65" w:rsidRPr="00750FF6">
        <w:rPr>
          <w:rFonts w:cs="Times New Roman"/>
          <w:iCs/>
          <w:szCs w:val="24"/>
          <w:lang w:val="en-US"/>
        </w:rPr>
        <w:t>poems</w:t>
      </w:r>
      <w:r w:rsidR="00290F65">
        <w:rPr>
          <w:rFonts w:cs="Times New Roman"/>
          <w:i/>
          <w:iCs/>
          <w:szCs w:val="24"/>
          <w:lang w:val="en-US"/>
        </w:rPr>
        <w:t xml:space="preserve"> </w:t>
      </w:r>
      <w:r w:rsidR="00290F65">
        <w:rPr>
          <w:rFonts w:cs="Times New Roman"/>
          <w:szCs w:val="24"/>
          <w:lang w:val="en-US"/>
        </w:rPr>
        <w:t xml:space="preserve">in fact </w:t>
      </w:r>
      <w:r w:rsidR="00796AA1" w:rsidRPr="00DC0177">
        <w:rPr>
          <w:rFonts w:cs="Times New Roman"/>
          <w:szCs w:val="24"/>
          <w:lang w:val="en-US"/>
        </w:rPr>
        <w:t>use the Doric dialect.</w:t>
      </w:r>
    </w:p>
    <w:p w14:paraId="0668C246" w14:textId="024B4551" w:rsidR="00796AA1" w:rsidRPr="00DC0177" w:rsidRDefault="00796AA1" w:rsidP="00DC0177">
      <w:pPr>
        <w:rPr>
          <w:rFonts w:cs="Times New Roman"/>
          <w:szCs w:val="24"/>
          <w:lang w:val="en-US"/>
        </w:rPr>
      </w:pPr>
      <w:r w:rsidRPr="00DC0177">
        <w:rPr>
          <w:rFonts w:cs="Times New Roman"/>
          <w:szCs w:val="24"/>
          <w:lang w:val="en-US"/>
        </w:rPr>
        <w:lastRenderedPageBreak/>
        <w:tab/>
      </w:r>
      <w:r w:rsidR="00290F65">
        <w:rPr>
          <w:rFonts w:cs="Times New Roman"/>
          <w:szCs w:val="24"/>
          <w:lang w:val="en-US"/>
        </w:rPr>
        <w:t xml:space="preserve">Apart from </w:t>
      </w:r>
      <w:r w:rsidRPr="00DC0177">
        <w:rPr>
          <w:rFonts w:cs="Times New Roman"/>
          <w:szCs w:val="24"/>
          <w:lang w:val="en-US"/>
        </w:rPr>
        <w:t xml:space="preserve">generic use of epic language, iambic poets </w:t>
      </w:r>
      <w:r w:rsidR="00290F65">
        <w:rPr>
          <w:rFonts w:cs="Times New Roman"/>
          <w:szCs w:val="24"/>
          <w:lang w:val="en-US"/>
        </w:rPr>
        <w:t xml:space="preserve">also </w:t>
      </w:r>
      <w:r w:rsidRPr="00DC0177">
        <w:rPr>
          <w:rFonts w:cs="Times New Roman"/>
          <w:szCs w:val="24"/>
          <w:lang w:val="en-US"/>
        </w:rPr>
        <w:t xml:space="preserve">play with the canonical texts of the genre, notably the </w:t>
      </w:r>
      <w:r w:rsidRPr="00DC0177">
        <w:rPr>
          <w:rFonts w:cs="Times New Roman"/>
          <w:i/>
          <w:iCs/>
          <w:szCs w:val="24"/>
          <w:lang w:val="en-US"/>
        </w:rPr>
        <w:t>Odyssey,</w:t>
      </w:r>
      <w:r w:rsidRPr="00DC0177">
        <w:rPr>
          <w:rFonts w:cs="Times New Roman"/>
          <w:szCs w:val="24"/>
          <w:lang w:val="en-US"/>
        </w:rPr>
        <w:t xml:space="preserve"> the </w:t>
      </w:r>
      <w:r w:rsidRPr="00DC0177">
        <w:rPr>
          <w:rFonts w:cs="Times New Roman"/>
          <w:i/>
          <w:iCs/>
          <w:szCs w:val="24"/>
          <w:lang w:val="en-US"/>
        </w:rPr>
        <w:t>Iliad</w:t>
      </w:r>
      <w:r w:rsidRPr="00DC0177">
        <w:rPr>
          <w:rFonts w:cs="Times New Roman"/>
          <w:szCs w:val="24"/>
          <w:lang w:val="en-US"/>
        </w:rPr>
        <w:t xml:space="preserve">, and the </w:t>
      </w:r>
      <w:r w:rsidRPr="00DC0177">
        <w:rPr>
          <w:rFonts w:cs="Times New Roman"/>
          <w:i/>
          <w:iCs/>
          <w:szCs w:val="24"/>
          <w:lang w:val="en-US"/>
        </w:rPr>
        <w:t>Homeric Hymns</w:t>
      </w:r>
      <w:r w:rsidRPr="00DC0177">
        <w:rPr>
          <w:rFonts w:cs="Times New Roman"/>
          <w:szCs w:val="24"/>
          <w:lang w:val="en-US"/>
        </w:rPr>
        <w:t xml:space="preserve">. </w:t>
      </w:r>
      <w:r w:rsidR="00290F65">
        <w:rPr>
          <w:rFonts w:cs="Times New Roman"/>
          <w:szCs w:val="24"/>
          <w:lang w:val="en-US"/>
        </w:rPr>
        <w:t>I</w:t>
      </w:r>
      <w:r w:rsidR="00290F65" w:rsidRPr="00DC0177">
        <w:rPr>
          <w:rFonts w:cs="Times New Roman"/>
          <w:szCs w:val="24"/>
          <w:lang w:val="en-US"/>
        </w:rPr>
        <w:t xml:space="preserve">n the creation of a fictional </w:t>
      </w:r>
      <w:r w:rsidR="00290F65" w:rsidRPr="00DC0177">
        <w:rPr>
          <w:rFonts w:cs="Times New Roman"/>
          <w:i/>
          <w:iCs/>
          <w:szCs w:val="24"/>
          <w:lang w:val="en-US"/>
        </w:rPr>
        <w:t>persona</w:t>
      </w:r>
      <w:r w:rsidR="00290F65" w:rsidRPr="00DC0177">
        <w:rPr>
          <w:rFonts w:cs="Times New Roman"/>
          <w:szCs w:val="24"/>
          <w:lang w:val="en-US"/>
        </w:rPr>
        <w:t xml:space="preserve"> and voice </w:t>
      </w:r>
      <w:r w:rsidR="000B68F2">
        <w:rPr>
          <w:rFonts w:cs="Times New Roman"/>
          <w:szCs w:val="24"/>
          <w:lang w:val="en-US"/>
        </w:rPr>
        <w:t>for</w:t>
      </w:r>
      <w:r w:rsidR="00290F65" w:rsidRPr="00DC0177">
        <w:rPr>
          <w:rFonts w:cs="Times New Roman"/>
          <w:szCs w:val="24"/>
          <w:lang w:val="en-US"/>
        </w:rPr>
        <w:t xml:space="preserve"> their poetry</w:t>
      </w:r>
      <w:r w:rsidR="00290F65">
        <w:rPr>
          <w:rFonts w:cs="Times New Roman"/>
          <w:szCs w:val="24"/>
          <w:lang w:val="en-US"/>
        </w:rPr>
        <w:t>,</w:t>
      </w:r>
      <w:r w:rsidR="00290F65" w:rsidRPr="00DC0177">
        <w:rPr>
          <w:rFonts w:cs="Times New Roman"/>
          <w:szCs w:val="24"/>
          <w:lang w:val="en-US"/>
        </w:rPr>
        <w:t xml:space="preserve"> </w:t>
      </w:r>
      <w:r w:rsidRPr="00DC0177">
        <w:rPr>
          <w:rFonts w:cs="Times New Roman"/>
          <w:szCs w:val="24"/>
          <w:lang w:val="en-US"/>
        </w:rPr>
        <w:t xml:space="preserve">Archilochus, Hipponax, and Callimachus </w:t>
      </w:r>
      <w:r w:rsidR="00290F65">
        <w:rPr>
          <w:rFonts w:cs="Times New Roman"/>
          <w:szCs w:val="24"/>
          <w:lang w:val="en-US"/>
        </w:rPr>
        <w:t>fashioned</w:t>
      </w:r>
      <w:r w:rsidR="00290F65" w:rsidRPr="00DC0177">
        <w:rPr>
          <w:rFonts w:cs="Times New Roman"/>
          <w:szCs w:val="24"/>
          <w:lang w:val="en-US"/>
        </w:rPr>
        <w:t xml:space="preserve"> </w:t>
      </w:r>
      <w:r w:rsidRPr="00DC0177">
        <w:rPr>
          <w:rFonts w:cs="Times New Roman"/>
          <w:szCs w:val="24"/>
          <w:lang w:val="en-US"/>
        </w:rPr>
        <w:t xml:space="preserve">themselves after figures such as Odysseus and Proteus in the </w:t>
      </w:r>
      <w:r w:rsidRPr="00DC0177">
        <w:rPr>
          <w:rFonts w:cs="Times New Roman"/>
          <w:i/>
          <w:iCs/>
          <w:szCs w:val="24"/>
          <w:lang w:val="en-US"/>
        </w:rPr>
        <w:t>Odyssey,</w:t>
      </w:r>
      <w:r w:rsidRPr="00DC0177">
        <w:rPr>
          <w:rFonts w:cs="Times New Roman"/>
          <w:szCs w:val="24"/>
          <w:lang w:val="en-US"/>
        </w:rPr>
        <w:t xml:space="preserve"> and Hermes in the </w:t>
      </w:r>
      <w:r w:rsidRPr="00DC0177">
        <w:rPr>
          <w:rFonts w:cs="Times New Roman"/>
          <w:i/>
          <w:iCs/>
          <w:szCs w:val="24"/>
          <w:lang w:val="en-US"/>
        </w:rPr>
        <w:t>Homeric Hymn to Hermes</w:t>
      </w:r>
      <w:r w:rsidR="000B68F2">
        <w:rPr>
          <w:rFonts w:cs="Times New Roman"/>
          <w:szCs w:val="24"/>
          <w:lang w:val="en-US"/>
        </w:rPr>
        <w:t>. Firm k</w:t>
      </w:r>
      <w:r w:rsidRPr="00DC0177">
        <w:rPr>
          <w:rFonts w:cs="Times New Roman"/>
          <w:szCs w:val="24"/>
          <w:lang w:val="en-US"/>
        </w:rPr>
        <w:t>nowledge of the</w:t>
      </w:r>
      <w:r w:rsidR="000B68F2">
        <w:rPr>
          <w:rFonts w:cs="Times New Roman"/>
          <w:szCs w:val="24"/>
          <w:lang w:val="en-US"/>
        </w:rPr>
        <w:t xml:space="preserve">se poems is presupposed to </w:t>
      </w:r>
      <w:r w:rsidRPr="00DC0177">
        <w:rPr>
          <w:rFonts w:cs="Times New Roman"/>
          <w:szCs w:val="24"/>
          <w:lang w:val="en-US"/>
        </w:rPr>
        <w:t>appreciat</w:t>
      </w:r>
      <w:r w:rsidR="000B68F2">
        <w:rPr>
          <w:rFonts w:cs="Times New Roman"/>
          <w:szCs w:val="24"/>
          <w:lang w:val="en-US"/>
        </w:rPr>
        <w:t>e such</w:t>
      </w:r>
      <w:r w:rsidRPr="00DC0177">
        <w:rPr>
          <w:rFonts w:cs="Times New Roman"/>
          <w:szCs w:val="24"/>
          <w:lang w:val="en-US"/>
        </w:rPr>
        <w:t xml:space="preserve"> conceit</w:t>
      </w:r>
      <w:r w:rsidR="000B68F2">
        <w:rPr>
          <w:rFonts w:cs="Times New Roman"/>
          <w:szCs w:val="24"/>
          <w:lang w:val="en-US"/>
        </w:rPr>
        <w:t>s, identify allusions, and laugh about the ubiquitous parodies of epic language</w:t>
      </w:r>
      <w:r w:rsidRPr="00DC0177">
        <w:rPr>
          <w:rFonts w:cs="Times New Roman"/>
          <w:szCs w:val="24"/>
          <w:lang w:val="en-US"/>
        </w:rPr>
        <w:t xml:space="preserve">. Thus, </w:t>
      </w:r>
      <w:r w:rsidRPr="00DC0177">
        <w:rPr>
          <w:rFonts w:cs="Times New Roman"/>
          <w:i/>
          <w:iCs/>
          <w:szCs w:val="24"/>
          <w:lang w:val="en-US"/>
        </w:rPr>
        <w:t>iambos</w:t>
      </w:r>
      <w:r w:rsidRPr="00DC0177">
        <w:rPr>
          <w:rFonts w:cs="Times New Roman"/>
          <w:szCs w:val="24"/>
          <w:lang w:val="en-US"/>
        </w:rPr>
        <w:t xml:space="preserve"> is a complex literary genre that incorporated linguistic variety and versatility from its earliest incarnations.</w:t>
      </w:r>
    </w:p>
    <w:p w14:paraId="7BF1B145" w14:textId="77777777" w:rsidR="00796AA1" w:rsidRPr="00DC0177" w:rsidRDefault="00796AA1" w:rsidP="00DC0177">
      <w:pPr>
        <w:pStyle w:val="Heading4"/>
        <w:rPr>
          <w:rFonts w:cs="Times New Roman"/>
          <w:b w:val="0"/>
          <w:bCs w:val="0"/>
          <w:i/>
          <w:iCs/>
          <w:lang w:val="en-US"/>
        </w:rPr>
      </w:pPr>
      <w:r w:rsidRPr="00DC0177">
        <w:rPr>
          <w:rFonts w:cs="Times New Roman"/>
          <w:b w:val="0"/>
          <w:bCs w:val="0"/>
          <w:i/>
          <w:iCs/>
          <w:lang w:val="en-US"/>
        </w:rPr>
        <w:t>Purpose of the Study</w:t>
      </w:r>
    </w:p>
    <w:p w14:paraId="022AACF7" w14:textId="15D0BC7A" w:rsidR="00796AA1" w:rsidRPr="00DC0177" w:rsidRDefault="00796AA1" w:rsidP="00DC0177">
      <w:pPr>
        <w:rPr>
          <w:rFonts w:cs="Times New Roman"/>
          <w:szCs w:val="24"/>
          <w:lang w:val="en-US"/>
        </w:rPr>
      </w:pPr>
      <w:r w:rsidRPr="00DC0177">
        <w:rPr>
          <w:rFonts w:cs="Times New Roman"/>
          <w:szCs w:val="24"/>
          <w:lang w:val="en-US"/>
        </w:rPr>
        <w:t>It is easy to spot the protean nature of iambic language</w:t>
      </w:r>
      <w:r w:rsidR="006C7F3A">
        <w:rPr>
          <w:rFonts w:cs="Times New Roman"/>
          <w:szCs w:val="24"/>
          <w:lang w:val="en-US"/>
        </w:rPr>
        <w:t xml:space="preserve">, but </w:t>
      </w:r>
      <w:r w:rsidRPr="00DC0177">
        <w:rPr>
          <w:rFonts w:cs="Times New Roman"/>
          <w:szCs w:val="24"/>
          <w:lang w:val="en-US"/>
        </w:rPr>
        <w:t xml:space="preserve">difficult to pin down and describe </w:t>
      </w:r>
      <w:r w:rsidR="000B68F2">
        <w:rPr>
          <w:rFonts w:cs="Times New Roman"/>
          <w:szCs w:val="24"/>
          <w:lang w:val="en-US"/>
        </w:rPr>
        <w:t>it</w:t>
      </w:r>
      <w:r w:rsidRPr="00DC0177">
        <w:rPr>
          <w:rFonts w:cs="Times New Roman"/>
          <w:szCs w:val="24"/>
          <w:lang w:val="en-US"/>
        </w:rPr>
        <w:t>. This is because variety and shifts appear at various different levels and thus must be analyzed at these levels, including semantics, pragmatics, syntax, morphology, register, style, and ethnic and literary provenance. For instance, some of Hipponax</w:t>
      </w:r>
      <w:r w:rsidR="00075F5F">
        <w:rPr>
          <w:rFonts w:cs="Times New Roman"/>
          <w:szCs w:val="24"/>
          <w:lang w:val="en-US"/>
        </w:rPr>
        <w:t>’</w:t>
      </w:r>
      <w:r w:rsidRPr="00DC0177">
        <w:rPr>
          <w:rFonts w:cs="Times New Roman"/>
          <w:szCs w:val="24"/>
          <w:lang w:val="en-US"/>
        </w:rPr>
        <w:t xml:space="preserve">s fragments have </w:t>
      </w:r>
      <w:r w:rsidR="000B68F2">
        <w:rPr>
          <w:rFonts w:cs="Times New Roman"/>
          <w:szCs w:val="24"/>
          <w:lang w:val="en-US"/>
        </w:rPr>
        <w:t xml:space="preserve">an </w:t>
      </w:r>
      <w:r w:rsidRPr="00DC0177">
        <w:rPr>
          <w:rFonts w:cs="Times New Roman"/>
          <w:szCs w:val="24"/>
          <w:lang w:val="en-US"/>
        </w:rPr>
        <w:t xml:space="preserve">overall colloquial tone but use terms drawn from </w:t>
      </w:r>
      <w:r w:rsidR="00075F5F">
        <w:rPr>
          <w:rFonts w:cs="Times New Roman"/>
          <w:szCs w:val="24"/>
          <w:lang w:val="en-US"/>
        </w:rPr>
        <w:t>‘</w:t>
      </w:r>
      <w:r w:rsidRPr="00DC0177">
        <w:rPr>
          <w:rFonts w:cs="Times New Roman"/>
          <w:szCs w:val="24"/>
          <w:lang w:val="en-US"/>
        </w:rPr>
        <w:t>high</w:t>
      </w:r>
      <w:r w:rsidR="00075F5F">
        <w:rPr>
          <w:rFonts w:cs="Times New Roman"/>
          <w:szCs w:val="24"/>
          <w:lang w:val="en-US"/>
        </w:rPr>
        <w:t>’</w:t>
      </w:r>
      <w:r w:rsidRPr="00DC0177">
        <w:rPr>
          <w:rFonts w:cs="Times New Roman"/>
          <w:szCs w:val="24"/>
          <w:lang w:val="en-US"/>
        </w:rPr>
        <w:t xml:space="preserve"> epic diction beside humble everyday words and Lydian terms </w:t>
      </w:r>
      <w:r w:rsidR="00075F5F">
        <w:rPr>
          <w:rFonts w:cs="Times New Roman"/>
          <w:szCs w:val="24"/>
          <w:lang w:val="en-US"/>
        </w:rPr>
        <w:t>–</w:t>
      </w:r>
      <w:r w:rsidRPr="00DC0177">
        <w:rPr>
          <w:rFonts w:cs="Times New Roman"/>
          <w:szCs w:val="24"/>
          <w:lang w:val="en-US"/>
        </w:rPr>
        <w:t xml:space="preserve"> both presumably </w:t>
      </w:r>
      <w:r w:rsidR="000B68F2">
        <w:rPr>
          <w:rFonts w:cs="Times New Roman"/>
          <w:szCs w:val="24"/>
          <w:lang w:val="en-US"/>
        </w:rPr>
        <w:t>taken</w:t>
      </w:r>
      <w:r w:rsidR="000B68F2" w:rsidRPr="00DC0177">
        <w:rPr>
          <w:rFonts w:cs="Times New Roman"/>
          <w:szCs w:val="24"/>
          <w:lang w:val="en-US"/>
        </w:rPr>
        <w:t xml:space="preserve"> </w:t>
      </w:r>
      <w:r w:rsidRPr="00DC0177">
        <w:rPr>
          <w:rFonts w:cs="Times New Roman"/>
          <w:szCs w:val="24"/>
          <w:lang w:val="en-US"/>
        </w:rPr>
        <w:t>from Ephesus</w:t>
      </w:r>
      <w:r w:rsidR="00075F5F">
        <w:rPr>
          <w:rFonts w:cs="Times New Roman"/>
          <w:szCs w:val="24"/>
          <w:lang w:val="en-US"/>
        </w:rPr>
        <w:t>’</w:t>
      </w:r>
      <w:r w:rsidRPr="00DC0177">
        <w:rPr>
          <w:rFonts w:cs="Times New Roman"/>
          <w:szCs w:val="24"/>
          <w:lang w:val="en-US"/>
        </w:rPr>
        <w:t xml:space="preserve"> spoken language. </w:t>
      </w:r>
      <w:r w:rsidR="000B68F2">
        <w:rPr>
          <w:rFonts w:cs="Times New Roman"/>
          <w:szCs w:val="24"/>
          <w:lang w:val="en-US"/>
        </w:rPr>
        <w:t>T</w:t>
      </w:r>
      <w:r w:rsidRPr="00DC0177">
        <w:rPr>
          <w:rFonts w:cs="Times New Roman"/>
          <w:szCs w:val="24"/>
          <w:lang w:val="en-US"/>
        </w:rPr>
        <w:t xml:space="preserve">he epic words may have colloquial </w:t>
      </w:r>
      <w:r w:rsidR="00772668" w:rsidRPr="00DC0177">
        <w:rPr>
          <w:rFonts w:cs="Times New Roman"/>
          <w:szCs w:val="24"/>
          <w:lang w:val="en-US"/>
        </w:rPr>
        <w:t xml:space="preserve">endings </w:t>
      </w:r>
      <w:r w:rsidRPr="00DC0177">
        <w:rPr>
          <w:rFonts w:cs="Times New Roman"/>
          <w:szCs w:val="24"/>
          <w:lang w:val="en-US"/>
        </w:rPr>
        <w:t xml:space="preserve">and foreign words </w:t>
      </w:r>
      <w:r w:rsidR="00772668" w:rsidRPr="00DC0177">
        <w:rPr>
          <w:rFonts w:cs="Times New Roman"/>
          <w:szCs w:val="24"/>
          <w:lang w:val="en-US"/>
        </w:rPr>
        <w:t xml:space="preserve">may </w:t>
      </w:r>
      <w:r w:rsidR="000B68F2">
        <w:rPr>
          <w:rFonts w:cs="Times New Roman"/>
          <w:szCs w:val="24"/>
          <w:lang w:val="en-US"/>
        </w:rPr>
        <w:t>be epicised</w:t>
      </w:r>
      <w:r w:rsidRPr="00DC0177">
        <w:rPr>
          <w:rFonts w:cs="Times New Roman"/>
          <w:szCs w:val="24"/>
          <w:lang w:val="en-US"/>
        </w:rPr>
        <w:t>. Syntactically Hipponax</w:t>
      </w:r>
      <w:r w:rsidR="00075F5F">
        <w:rPr>
          <w:rFonts w:cs="Times New Roman"/>
          <w:szCs w:val="24"/>
          <w:lang w:val="en-US"/>
        </w:rPr>
        <w:t>’</w:t>
      </w:r>
      <w:r w:rsidRPr="00DC0177">
        <w:rPr>
          <w:rFonts w:cs="Times New Roman"/>
          <w:szCs w:val="24"/>
          <w:lang w:val="en-US"/>
        </w:rPr>
        <w:t xml:space="preserve">s clauses and phrases may follow the rules of epic, of polished </w:t>
      </w:r>
      <w:r w:rsidR="00075F5F">
        <w:rPr>
          <w:rFonts w:cs="Times New Roman"/>
          <w:szCs w:val="24"/>
          <w:lang w:val="en-US"/>
        </w:rPr>
        <w:t>‘</w:t>
      </w:r>
      <w:r w:rsidRPr="00DC0177">
        <w:rPr>
          <w:rFonts w:cs="Times New Roman"/>
          <w:szCs w:val="24"/>
          <w:lang w:val="en-US"/>
        </w:rPr>
        <w:t>literary</w:t>
      </w:r>
      <w:r w:rsidR="00075F5F">
        <w:rPr>
          <w:rFonts w:cs="Times New Roman"/>
          <w:szCs w:val="24"/>
          <w:lang w:val="en-US"/>
        </w:rPr>
        <w:t>’</w:t>
      </w:r>
      <w:r w:rsidRPr="00DC0177">
        <w:rPr>
          <w:rFonts w:cs="Times New Roman"/>
          <w:szCs w:val="24"/>
          <w:lang w:val="en-US"/>
        </w:rPr>
        <w:t xml:space="preserve"> prose or of the spoken language, and so on.</w:t>
      </w:r>
    </w:p>
    <w:p w14:paraId="3A3A2DD0" w14:textId="18C15BC4" w:rsidR="00796AA1" w:rsidRPr="00DC0177" w:rsidRDefault="000B68F2" w:rsidP="00DC0177">
      <w:pPr>
        <w:ind w:firstLine="426"/>
        <w:rPr>
          <w:rFonts w:cs="Times New Roman"/>
          <w:szCs w:val="24"/>
          <w:shd w:val="solid" w:color="FFFFFF" w:fill="FFFFFF"/>
          <w:lang w:val="en-US"/>
        </w:rPr>
      </w:pPr>
      <w:r>
        <w:rPr>
          <w:rFonts w:cs="Times New Roman"/>
          <w:szCs w:val="24"/>
          <w:lang w:val="en-US"/>
        </w:rPr>
        <w:t>My</w:t>
      </w:r>
      <w:r w:rsidRPr="00DC0177">
        <w:rPr>
          <w:rFonts w:cs="Times New Roman"/>
          <w:szCs w:val="24"/>
          <w:lang w:val="en-US"/>
        </w:rPr>
        <w:t xml:space="preserve"> </w:t>
      </w:r>
      <w:r w:rsidR="00796AA1" w:rsidRPr="00DC0177">
        <w:rPr>
          <w:rFonts w:cs="Times New Roman"/>
          <w:szCs w:val="24"/>
          <w:lang w:val="en-US"/>
        </w:rPr>
        <w:t>study analy</w:t>
      </w:r>
      <w:r w:rsidR="00772668" w:rsidRPr="00DC0177">
        <w:rPr>
          <w:rFonts w:cs="Times New Roman"/>
          <w:szCs w:val="24"/>
          <w:lang w:val="en-US"/>
        </w:rPr>
        <w:t>s</w:t>
      </w:r>
      <w:r w:rsidR="00796AA1" w:rsidRPr="00DC0177">
        <w:rPr>
          <w:rFonts w:cs="Times New Roman"/>
          <w:szCs w:val="24"/>
          <w:lang w:val="en-US"/>
        </w:rPr>
        <w:t xml:space="preserve">es iambic language through the lens of code-switching in order to detangle these complex compositions and describe which </w:t>
      </w:r>
      <w:r w:rsidR="00075F5F">
        <w:rPr>
          <w:rFonts w:cs="Times New Roman"/>
          <w:szCs w:val="24"/>
          <w:lang w:val="en-US"/>
        </w:rPr>
        <w:t>‘</w:t>
      </w:r>
      <w:r w:rsidR="00796AA1" w:rsidRPr="00DC0177">
        <w:rPr>
          <w:rFonts w:cs="Times New Roman"/>
          <w:szCs w:val="24"/>
          <w:lang w:val="en-US"/>
        </w:rPr>
        <w:t>moves</w:t>
      </w:r>
      <w:r w:rsidR="00075F5F">
        <w:rPr>
          <w:rFonts w:cs="Times New Roman"/>
          <w:szCs w:val="24"/>
          <w:lang w:val="en-US"/>
        </w:rPr>
        <w:t>’</w:t>
      </w:r>
      <w:r w:rsidR="00796AA1" w:rsidRPr="00DC0177">
        <w:rPr>
          <w:rFonts w:cs="Times New Roman"/>
          <w:szCs w:val="24"/>
          <w:lang w:val="en-US"/>
        </w:rPr>
        <w:t xml:space="preserve"> poets are making, and to what effect. Code-switching is the </w:t>
      </w:r>
      <w:r w:rsidR="00796AA1" w:rsidRPr="00DC0177">
        <w:rPr>
          <w:rFonts w:cs="Times New Roman"/>
          <w:szCs w:val="24"/>
          <w:shd w:val="solid" w:color="FFFFFF" w:fill="FFFFFF"/>
          <w:lang w:val="en-US"/>
        </w:rPr>
        <w:t xml:space="preserve">switching between two or more language varieties in the context of a single conversation. Research around code-switching mostly examines the language of bilingual speakers, but the model can also be employed to analyze the switching between idioms, dialects, styles and registers </w:t>
      </w:r>
      <w:r w:rsidR="009E0EBF">
        <w:rPr>
          <w:rFonts w:cs="Times New Roman"/>
          <w:szCs w:val="24"/>
          <w:shd w:val="solid" w:color="FFFFFF" w:fill="FFFFFF"/>
          <w:lang w:val="en-US"/>
        </w:rPr>
        <w:t xml:space="preserve">that we find </w:t>
      </w:r>
      <w:r w:rsidR="00796AA1" w:rsidRPr="00DC0177">
        <w:rPr>
          <w:rFonts w:cs="Times New Roman"/>
          <w:szCs w:val="24"/>
          <w:shd w:val="solid" w:color="FFFFFF" w:fill="FFFFFF"/>
          <w:lang w:val="en-US"/>
        </w:rPr>
        <w:t>in modern literary texts such as Tolstoi</w:t>
      </w:r>
      <w:r w:rsidR="00075F5F">
        <w:rPr>
          <w:rFonts w:cs="Times New Roman"/>
          <w:szCs w:val="24"/>
          <w:shd w:val="solid" w:color="FFFFFF" w:fill="FFFFFF"/>
          <w:lang w:val="en-US"/>
        </w:rPr>
        <w:t>’</w:t>
      </w:r>
      <w:r w:rsidR="00796AA1" w:rsidRPr="00DC0177">
        <w:rPr>
          <w:rFonts w:cs="Times New Roman"/>
          <w:szCs w:val="24"/>
          <w:shd w:val="solid" w:color="FFFFFF" w:fill="FFFFFF"/>
          <w:lang w:val="en-US"/>
        </w:rPr>
        <w:t xml:space="preserve">s </w:t>
      </w:r>
      <w:r w:rsidR="00796AA1" w:rsidRPr="00DC0177">
        <w:rPr>
          <w:rFonts w:cs="Times New Roman"/>
          <w:i/>
          <w:iCs/>
          <w:szCs w:val="24"/>
          <w:shd w:val="solid" w:color="FFFFFF" w:fill="FFFFFF"/>
          <w:lang w:val="en-US"/>
        </w:rPr>
        <w:t>War and Peace</w:t>
      </w:r>
      <w:r w:rsidR="00796AA1" w:rsidRPr="00DC0177">
        <w:rPr>
          <w:rFonts w:cs="Times New Roman"/>
          <w:szCs w:val="24"/>
          <w:shd w:val="solid" w:color="FFFFFF" w:fill="FFFFFF"/>
          <w:lang w:val="en-US"/>
        </w:rPr>
        <w:t xml:space="preserve"> and Joyce</w:t>
      </w:r>
      <w:r w:rsidR="00075F5F">
        <w:rPr>
          <w:rFonts w:cs="Times New Roman"/>
          <w:szCs w:val="24"/>
          <w:shd w:val="solid" w:color="FFFFFF" w:fill="FFFFFF"/>
          <w:lang w:val="en-US"/>
        </w:rPr>
        <w:t>’</w:t>
      </w:r>
      <w:r w:rsidR="00796AA1" w:rsidRPr="00DC0177">
        <w:rPr>
          <w:rFonts w:cs="Times New Roman"/>
          <w:szCs w:val="24"/>
          <w:shd w:val="solid" w:color="FFFFFF" w:fill="FFFFFF"/>
          <w:lang w:val="en-US"/>
        </w:rPr>
        <w:t xml:space="preserve">s </w:t>
      </w:r>
      <w:r w:rsidR="00796AA1" w:rsidRPr="00DC0177">
        <w:rPr>
          <w:rFonts w:cs="Times New Roman"/>
          <w:i/>
          <w:iCs/>
          <w:szCs w:val="24"/>
          <w:shd w:val="solid" w:color="FFFFFF" w:fill="FFFFFF"/>
          <w:lang w:val="en-US"/>
        </w:rPr>
        <w:t>Ulysses.</w:t>
      </w:r>
      <w:r w:rsidR="00796AA1" w:rsidRPr="00DC0177">
        <w:rPr>
          <w:rFonts w:cs="Times New Roman"/>
          <w:szCs w:val="24"/>
          <w:shd w:val="solid" w:color="FFFFFF" w:fill="FFFFFF"/>
          <w:lang w:val="en-US"/>
        </w:rPr>
        <w:t xml:space="preserve"> However, the approach has not been properly tested on pre-modern literature, despite the fact that code-switching is prominent in the early literature of many cultures. For instance, straightforward code-switching appears in the </w:t>
      </w:r>
      <w:r w:rsidR="009E0EBF">
        <w:rPr>
          <w:rFonts w:cs="Times New Roman"/>
          <w:szCs w:val="24"/>
          <w:shd w:val="solid" w:color="FFFFFF" w:fill="FFFFFF"/>
          <w:lang w:val="en-US"/>
        </w:rPr>
        <w:t xml:space="preserve">classical </w:t>
      </w:r>
      <w:r w:rsidR="00796AA1" w:rsidRPr="00DC0177">
        <w:rPr>
          <w:rFonts w:cs="Times New Roman"/>
          <w:szCs w:val="24"/>
          <w:shd w:val="solid" w:color="FFFFFF" w:fill="FFFFFF"/>
          <w:lang w:val="en-US"/>
        </w:rPr>
        <w:t xml:space="preserve">plays of India, which mingle Sanskrit with Pakrit. </w:t>
      </w:r>
    </w:p>
    <w:p w14:paraId="64FC533D" w14:textId="77777777" w:rsidR="00796AA1" w:rsidRPr="00DC0177" w:rsidRDefault="00796AA1" w:rsidP="00DC0177">
      <w:pPr>
        <w:pStyle w:val="Heading4"/>
        <w:rPr>
          <w:rFonts w:cs="Times New Roman"/>
          <w:b w:val="0"/>
          <w:bCs w:val="0"/>
          <w:i/>
          <w:iCs/>
          <w:shd w:val="solid" w:color="FFFFFF" w:fill="FFFFFF"/>
          <w:lang w:val="en-US"/>
        </w:rPr>
      </w:pPr>
      <w:r w:rsidRPr="00DC0177">
        <w:rPr>
          <w:rFonts w:cs="Times New Roman"/>
          <w:b w:val="0"/>
          <w:bCs w:val="0"/>
          <w:i/>
          <w:iCs/>
          <w:shd w:val="solid" w:color="FFFFFF" w:fill="FFFFFF"/>
          <w:lang w:val="en-US"/>
        </w:rPr>
        <w:t>Aim of the Study</w:t>
      </w:r>
    </w:p>
    <w:p w14:paraId="3F12315D" w14:textId="0692158E" w:rsidR="00796AA1" w:rsidRPr="00DC0177" w:rsidRDefault="00796AA1" w:rsidP="00DC0177">
      <w:pPr>
        <w:spacing w:after="120"/>
        <w:rPr>
          <w:rFonts w:cs="Times New Roman"/>
          <w:szCs w:val="24"/>
          <w:shd w:val="solid" w:color="FFFFFF" w:fill="FFFFFF"/>
          <w:lang w:val="en-US"/>
        </w:rPr>
      </w:pPr>
      <w:r w:rsidRPr="00DC0177">
        <w:rPr>
          <w:rFonts w:cs="Times New Roman"/>
          <w:szCs w:val="24"/>
          <w:shd w:val="solid" w:color="FFFFFF" w:fill="FFFFFF"/>
          <w:lang w:val="en-US"/>
        </w:rPr>
        <w:t>The aim of this project is to demonstrate</w:t>
      </w:r>
      <w:r w:rsidR="009E0EBF">
        <w:rPr>
          <w:rFonts w:cs="Times New Roman"/>
          <w:szCs w:val="24"/>
          <w:shd w:val="solid" w:color="FFFFFF" w:fill="FFFFFF"/>
          <w:lang w:val="en-US"/>
        </w:rPr>
        <w:t xml:space="preserve"> </w:t>
      </w:r>
      <w:r w:rsidRPr="00DC0177">
        <w:rPr>
          <w:rFonts w:cs="Times New Roman"/>
          <w:szCs w:val="24"/>
          <w:shd w:val="solid" w:color="FFFFFF" w:fill="FFFFFF"/>
          <w:lang w:val="en-US"/>
        </w:rPr>
        <w:t>that language</w:t>
      </w:r>
      <w:r w:rsidR="009E0EBF">
        <w:rPr>
          <w:rFonts w:cs="Times New Roman"/>
          <w:szCs w:val="24"/>
          <w:shd w:val="solid" w:color="FFFFFF" w:fill="FFFFFF"/>
          <w:lang w:val="en-US"/>
        </w:rPr>
        <w:t>-</w:t>
      </w:r>
      <w:r w:rsidRPr="00DC0177">
        <w:rPr>
          <w:rFonts w:cs="Times New Roman"/>
          <w:szCs w:val="24"/>
          <w:shd w:val="solid" w:color="FFFFFF" w:fill="FFFFFF"/>
          <w:lang w:val="en-US"/>
        </w:rPr>
        <w:t xml:space="preserve">shifting </w:t>
      </w:r>
      <w:r w:rsidR="009E0EBF">
        <w:rPr>
          <w:rFonts w:cs="Times New Roman"/>
          <w:szCs w:val="24"/>
          <w:shd w:val="solid" w:color="FFFFFF" w:fill="FFFFFF"/>
          <w:lang w:val="en-US"/>
        </w:rPr>
        <w:t xml:space="preserve">and linguistic versatility and pluriformity </w:t>
      </w:r>
      <w:r w:rsidRPr="00DC0177">
        <w:rPr>
          <w:rFonts w:cs="Times New Roman"/>
          <w:szCs w:val="24"/>
          <w:shd w:val="solid" w:color="FFFFFF" w:fill="FFFFFF"/>
          <w:lang w:val="en-US"/>
        </w:rPr>
        <w:t xml:space="preserve">remains a constant in iambic poetry over time and is a defining feature of the genre. In addition, </w:t>
      </w:r>
      <w:r w:rsidR="009E0EBF">
        <w:rPr>
          <w:rFonts w:cs="Times New Roman"/>
          <w:szCs w:val="24"/>
          <w:shd w:val="solid" w:color="FFFFFF" w:fill="FFFFFF"/>
          <w:lang w:val="en-US"/>
        </w:rPr>
        <w:t>I hope</w:t>
      </w:r>
      <w:r w:rsidR="009E0EBF" w:rsidRPr="00DC0177">
        <w:rPr>
          <w:rFonts w:cs="Times New Roman"/>
          <w:szCs w:val="24"/>
          <w:shd w:val="solid" w:color="FFFFFF" w:fill="FFFFFF"/>
          <w:lang w:val="en-US"/>
        </w:rPr>
        <w:t xml:space="preserve"> </w:t>
      </w:r>
      <w:r w:rsidR="009E0EBF">
        <w:rPr>
          <w:rFonts w:cs="Times New Roman"/>
          <w:szCs w:val="24"/>
          <w:shd w:val="solid" w:color="FFFFFF" w:fill="FFFFFF"/>
          <w:lang w:val="en-US"/>
        </w:rPr>
        <w:t>to</w:t>
      </w:r>
      <w:r w:rsidRPr="00DC0177">
        <w:rPr>
          <w:rFonts w:cs="Times New Roman"/>
          <w:szCs w:val="24"/>
          <w:shd w:val="solid" w:color="FFFFFF" w:fill="FFFFFF"/>
          <w:lang w:val="en-US"/>
        </w:rPr>
        <w:t xml:space="preserve"> show that </w:t>
      </w:r>
      <w:r w:rsidR="009E0EBF">
        <w:rPr>
          <w:rFonts w:cs="Times New Roman"/>
          <w:szCs w:val="24"/>
          <w:shd w:val="solid" w:color="FFFFFF" w:fill="FFFFFF"/>
          <w:lang w:val="en-US"/>
        </w:rPr>
        <w:t xml:space="preserve">the </w:t>
      </w:r>
      <w:r w:rsidRPr="00DC0177">
        <w:rPr>
          <w:rFonts w:cs="Times New Roman"/>
          <w:szCs w:val="24"/>
          <w:shd w:val="solid" w:color="FFFFFF" w:fill="FFFFFF"/>
          <w:lang w:val="en-US"/>
        </w:rPr>
        <w:t xml:space="preserve">code-switching approach is suited for </w:t>
      </w:r>
      <w:r w:rsidRPr="00DC0177">
        <w:rPr>
          <w:rFonts w:cs="Times New Roman"/>
          <w:szCs w:val="24"/>
          <w:shd w:val="solid" w:color="FFFFFF" w:fill="FFFFFF"/>
          <w:lang w:val="en-US"/>
        </w:rPr>
        <w:lastRenderedPageBreak/>
        <w:t xml:space="preserve">analysis of transformations of prior texts (intertextuality). </w:t>
      </w:r>
      <w:r w:rsidR="009E0EBF">
        <w:rPr>
          <w:rFonts w:cs="Times New Roman"/>
          <w:szCs w:val="24"/>
          <w:lang w:val="en-US"/>
        </w:rPr>
        <w:t>My</w:t>
      </w:r>
      <w:r w:rsidR="009E0EBF" w:rsidRPr="00DC0177">
        <w:rPr>
          <w:rFonts w:cs="Times New Roman"/>
          <w:szCs w:val="24"/>
          <w:lang w:val="en-US"/>
        </w:rPr>
        <w:t xml:space="preserve"> </w:t>
      </w:r>
      <w:r w:rsidRPr="00DC0177">
        <w:rPr>
          <w:rFonts w:cs="Times New Roman"/>
          <w:szCs w:val="24"/>
          <w:lang w:val="en-US"/>
        </w:rPr>
        <w:t xml:space="preserve">analysis will investigate the linguistic features </w:t>
      </w:r>
      <w:r w:rsidR="009E0EBF">
        <w:rPr>
          <w:rFonts w:cs="Times New Roman"/>
          <w:szCs w:val="24"/>
          <w:lang w:val="en-US"/>
        </w:rPr>
        <w:t>of</w:t>
      </w:r>
      <w:r w:rsidRPr="00DC0177">
        <w:rPr>
          <w:rFonts w:cs="Times New Roman"/>
          <w:szCs w:val="24"/>
          <w:lang w:val="en-US"/>
        </w:rPr>
        <w:t xml:space="preserve"> the fragments </w:t>
      </w:r>
      <w:r w:rsidR="009E0EBF">
        <w:rPr>
          <w:rFonts w:cs="Times New Roman"/>
          <w:szCs w:val="24"/>
          <w:lang w:val="en-US"/>
        </w:rPr>
        <w:t xml:space="preserve">of Arcilochus, Hipponax and Callimachus’ </w:t>
      </w:r>
      <w:r w:rsidR="009E0EBF" w:rsidRPr="00750FF6">
        <w:rPr>
          <w:rFonts w:cs="Times New Roman"/>
          <w:i/>
          <w:szCs w:val="24"/>
          <w:lang w:val="en-US"/>
        </w:rPr>
        <w:t>Iambi</w:t>
      </w:r>
      <w:r w:rsidR="009E0EBF">
        <w:rPr>
          <w:rFonts w:cs="Times New Roman"/>
          <w:szCs w:val="24"/>
          <w:lang w:val="en-US"/>
        </w:rPr>
        <w:t xml:space="preserve"> </w:t>
      </w:r>
      <w:r w:rsidRPr="00DC0177">
        <w:rPr>
          <w:rFonts w:cs="Times New Roman"/>
          <w:szCs w:val="24"/>
          <w:lang w:val="en-US"/>
        </w:rPr>
        <w:t>with the aim of:</w:t>
      </w:r>
    </w:p>
    <w:p w14:paraId="37FC8D55" w14:textId="3F9E9E91" w:rsidR="00796AA1" w:rsidRPr="00DC0177" w:rsidRDefault="00796AA1" w:rsidP="008B2B25">
      <w:pPr>
        <w:numPr>
          <w:ilvl w:val="0"/>
          <w:numId w:val="27"/>
        </w:numPr>
        <w:tabs>
          <w:tab w:val="left" w:pos="360"/>
          <w:tab w:val="left" w:pos="720"/>
          <w:tab w:val="center" w:pos="5387"/>
        </w:tabs>
        <w:ind w:hanging="357"/>
        <w:rPr>
          <w:rFonts w:cs="Times New Roman"/>
          <w:szCs w:val="24"/>
          <w:lang w:val="en-US"/>
        </w:rPr>
      </w:pPr>
      <w:r w:rsidRPr="00DC0177">
        <w:rPr>
          <w:rFonts w:cs="Times New Roman"/>
          <w:szCs w:val="24"/>
          <w:lang w:val="en-US"/>
        </w:rPr>
        <w:t xml:space="preserve">Investigating </w:t>
      </w:r>
      <w:r w:rsidR="009E0EBF">
        <w:rPr>
          <w:rFonts w:cs="Times New Roman"/>
          <w:szCs w:val="24"/>
          <w:lang w:val="en-US"/>
        </w:rPr>
        <w:t>how</w:t>
      </w:r>
      <w:r w:rsidR="009E0EBF" w:rsidRPr="00DC0177">
        <w:rPr>
          <w:rFonts w:cs="Times New Roman"/>
          <w:szCs w:val="24"/>
          <w:lang w:val="en-US"/>
        </w:rPr>
        <w:t xml:space="preserve"> </w:t>
      </w:r>
      <w:r w:rsidRPr="00DC0177">
        <w:rPr>
          <w:rFonts w:cs="Times New Roman"/>
          <w:szCs w:val="24"/>
          <w:lang w:val="en-US"/>
        </w:rPr>
        <w:t>Callimachus</w:t>
      </w:r>
      <w:r w:rsidR="00075F5F">
        <w:rPr>
          <w:rFonts w:cs="Times New Roman"/>
          <w:szCs w:val="24"/>
          <w:lang w:val="en-US"/>
        </w:rPr>
        <w:t>’</w:t>
      </w:r>
      <w:r w:rsidRPr="00DC0177">
        <w:rPr>
          <w:rFonts w:cs="Times New Roman"/>
          <w:szCs w:val="24"/>
          <w:lang w:val="en-US"/>
        </w:rPr>
        <w:t xml:space="preserve"> </w:t>
      </w:r>
      <w:r w:rsidRPr="00DC0177">
        <w:rPr>
          <w:rFonts w:cs="Times New Roman"/>
          <w:i/>
          <w:iCs/>
          <w:szCs w:val="24"/>
          <w:lang w:val="en-US"/>
        </w:rPr>
        <w:t>Iambi</w:t>
      </w:r>
      <w:r w:rsidRPr="00DC0177">
        <w:rPr>
          <w:rFonts w:cs="Times New Roman"/>
          <w:szCs w:val="24"/>
          <w:lang w:val="en-US"/>
        </w:rPr>
        <w:t xml:space="preserve"> fit </w:t>
      </w:r>
      <w:r w:rsidR="009E0EBF">
        <w:rPr>
          <w:rFonts w:cs="Times New Roman"/>
          <w:szCs w:val="24"/>
          <w:lang w:val="en-US"/>
        </w:rPr>
        <w:t>into</w:t>
      </w:r>
      <w:r w:rsidR="009E0EBF" w:rsidRPr="00DC0177">
        <w:rPr>
          <w:rFonts w:cs="Times New Roman"/>
          <w:szCs w:val="24"/>
          <w:lang w:val="en-US"/>
        </w:rPr>
        <w:t xml:space="preserve"> </w:t>
      </w:r>
      <w:r w:rsidR="009E0EBF">
        <w:rPr>
          <w:rFonts w:cs="Times New Roman"/>
          <w:szCs w:val="24"/>
          <w:lang w:val="en-US"/>
        </w:rPr>
        <w:t>the</w:t>
      </w:r>
      <w:r w:rsidR="009E0EBF" w:rsidRPr="00DC0177">
        <w:rPr>
          <w:rFonts w:cs="Times New Roman"/>
          <w:szCs w:val="24"/>
          <w:lang w:val="en-US"/>
        </w:rPr>
        <w:t xml:space="preserve"> </w:t>
      </w:r>
      <w:r w:rsidR="009E0EBF">
        <w:rPr>
          <w:rFonts w:cs="Times New Roman"/>
          <w:szCs w:val="24"/>
          <w:lang w:val="en-US"/>
        </w:rPr>
        <w:t>‘</w:t>
      </w:r>
      <w:r w:rsidRPr="00DC0177">
        <w:rPr>
          <w:rFonts w:cs="Times New Roman"/>
          <w:szCs w:val="24"/>
          <w:lang w:val="en-US"/>
        </w:rPr>
        <w:t>iambic tradition.</w:t>
      </w:r>
      <w:r w:rsidR="009E0EBF">
        <w:rPr>
          <w:rFonts w:cs="Times New Roman"/>
          <w:szCs w:val="24"/>
          <w:lang w:val="en-US"/>
        </w:rPr>
        <w:t>’</w:t>
      </w:r>
    </w:p>
    <w:p w14:paraId="6EC6D9D5" w14:textId="11FE3111" w:rsidR="00796AA1" w:rsidRPr="00DC0177" w:rsidRDefault="009E0EBF" w:rsidP="008B2B25">
      <w:pPr>
        <w:numPr>
          <w:ilvl w:val="0"/>
          <w:numId w:val="27"/>
        </w:numPr>
        <w:tabs>
          <w:tab w:val="left" w:pos="360"/>
          <w:tab w:val="left" w:pos="720"/>
          <w:tab w:val="center" w:pos="5387"/>
        </w:tabs>
        <w:ind w:hanging="357"/>
        <w:rPr>
          <w:rFonts w:cs="Times New Roman"/>
          <w:szCs w:val="24"/>
          <w:lang w:val="en-US"/>
        </w:rPr>
      </w:pPr>
      <w:r>
        <w:rPr>
          <w:rFonts w:cs="Times New Roman"/>
          <w:szCs w:val="24"/>
          <w:lang w:val="en-US"/>
        </w:rPr>
        <w:t>Determining</w:t>
      </w:r>
      <w:r w:rsidRPr="00DC0177">
        <w:rPr>
          <w:rFonts w:cs="Times New Roman"/>
          <w:szCs w:val="24"/>
          <w:lang w:val="en-US"/>
        </w:rPr>
        <w:t xml:space="preserve"> </w:t>
      </w:r>
      <w:r>
        <w:rPr>
          <w:rFonts w:cs="Times New Roman"/>
          <w:szCs w:val="24"/>
          <w:lang w:val="en-US"/>
        </w:rPr>
        <w:t>the relative</w:t>
      </w:r>
      <w:r w:rsidRPr="00DC0177">
        <w:rPr>
          <w:rFonts w:cs="Times New Roman"/>
          <w:szCs w:val="24"/>
          <w:lang w:val="en-US"/>
        </w:rPr>
        <w:t xml:space="preserve"> </w:t>
      </w:r>
      <w:r>
        <w:rPr>
          <w:rFonts w:cs="Times New Roman"/>
          <w:szCs w:val="24"/>
          <w:lang w:val="en-US"/>
        </w:rPr>
        <w:t xml:space="preserve">importance of </w:t>
      </w:r>
      <w:r w:rsidR="00796AA1" w:rsidRPr="00DC0177">
        <w:rPr>
          <w:rFonts w:cs="Times New Roman"/>
          <w:szCs w:val="24"/>
          <w:lang w:val="en-US"/>
        </w:rPr>
        <w:t xml:space="preserve">Hipponax and Archilochus </w:t>
      </w:r>
      <w:r>
        <w:rPr>
          <w:rFonts w:cs="Times New Roman"/>
          <w:szCs w:val="24"/>
          <w:lang w:val="en-US"/>
        </w:rPr>
        <w:t>as Callimachus’</w:t>
      </w:r>
      <w:r w:rsidR="00796AA1" w:rsidRPr="00DC0177">
        <w:rPr>
          <w:rFonts w:cs="Times New Roman"/>
          <w:szCs w:val="24"/>
          <w:lang w:val="en-US"/>
        </w:rPr>
        <w:t xml:space="preserve"> models. </w:t>
      </w:r>
    </w:p>
    <w:p w14:paraId="0E4EE8A0" w14:textId="0E55AA35" w:rsidR="00796AA1" w:rsidRPr="00534A31" w:rsidRDefault="00796AA1" w:rsidP="00750FF6">
      <w:pPr>
        <w:numPr>
          <w:ilvl w:val="0"/>
          <w:numId w:val="27"/>
        </w:numPr>
        <w:tabs>
          <w:tab w:val="left" w:pos="360"/>
          <w:tab w:val="left" w:pos="720"/>
          <w:tab w:val="center" w:pos="5387"/>
        </w:tabs>
        <w:ind w:hanging="357"/>
        <w:rPr>
          <w:rFonts w:cs="Times New Roman"/>
          <w:szCs w:val="24"/>
          <w:lang w:val="en-US"/>
        </w:rPr>
      </w:pPr>
      <w:r w:rsidRPr="00DC0177">
        <w:rPr>
          <w:rFonts w:cs="Times New Roman"/>
          <w:szCs w:val="24"/>
          <w:lang w:val="en-US"/>
        </w:rPr>
        <w:t>Comparing the languages of the three major iambographers to gain a deeper understanding of iamb</w:t>
      </w:r>
      <w:r w:rsidR="009E0EBF">
        <w:rPr>
          <w:rFonts w:cs="Times New Roman"/>
          <w:szCs w:val="24"/>
          <w:lang w:val="en-US"/>
        </w:rPr>
        <w:t>ic poetry</w:t>
      </w:r>
      <w:r w:rsidRPr="00DC0177">
        <w:rPr>
          <w:rFonts w:cs="Times New Roman"/>
          <w:szCs w:val="24"/>
          <w:lang w:val="en-US"/>
        </w:rPr>
        <w:t xml:space="preserve"> as a genre in terms of</w:t>
      </w:r>
      <w:r w:rsidR="00534A31">
        <w:rPr>
          <w:rFonts w:cs="Times New Roman"/>
          <w:szCs w:val="24"/>
          <w:lang w:val="en-US"/>
        </w:rPr>
        <w:t xml:space="preserve"> its </w:t>
      </w:r>
      <w:r w:rsidRPr="00534A31">
        <w:rPr>
          <w:rFonts w:cs="Times New Roman"/>
          <w:szCs w:val="24"/>
          <w:lang w:val="en-US"/>
        </w:rPr>
        <w:t>characteristic linguistic and thematic features</w:t>
      </w:r>
      <w:r w:rsidR="00534A31">
        <w:rPr>
          <w:rFonts w:cs="Times New Roman"/>
          <w:szCs w:val="24"/>
          <w:lang w:val="en-US"/>
        </w:rPr>
        <w:t xml:space="preserve">, </w:t>
      </w:r>
      <w:r w:rsidR="00534A31" w:rsidRPr="00534A31">
        <w:rPr>
          <w:rFonts w:cs="Times New Roman"/>
          <w:szCs w:val="24"/>
          <w:lang w:val="en-US"/>
        </w:rPr>
        <w:t xml:space="preserve">poetic </w:t>
      </w:r>
      <w:r w:rsidRPr="00534A31">
        <w:rPr>
          <w:rFonts w:cs="Times New Roman"/>
          <w:szCs w:val="24"/>
          <w:lang w:val="en-US"/>
        </w:rPr>
        <w:t>purpose</w:t>
      </w:r>
      <w:r w:rsidR="00534A31">
        <w:rPr>
          <w:rFonts w:cs="Times New Roman"/>
          <w:szCs w:val="24"/>
          <w:lang w:val="en-US"/>
        </w:rPr>
        <w:t xml:space="preserve"> and </w:t>
      </w:r>
      <w:r w:rsidRPr="00534A31">
        <w:rPr>
          <w:rFonts w:cs="Times New Roman"/>
          <w:szCs w:val="24"/>
          <w:lang w:val="en-US"/>
        </w:rPr>
        <w:t>performance</w:t>
      </w:r>
      <w:r w:rsidR="00534A31">
        <w:rPr>
          <w:rFonts w:cs="Times New Roman"/>
          <w:szCs w:val="24"/>
          <w:lang w:val="en-US"/>
        </w:rPr>
        <w:t xml:space="preserve"> context.</w:t>
      </w:r>
    </w:p>
    <w:p w14:paraId="043EFAED" w14:textId="77777777" w:rsidR="00796AA1" w:rsidRPr="00DC0177" w:rsidRDefault="00796AA1" w:rsidP="00772668">
      <w:pPr>
        <w:pStyle w:val="Heading4"/>
        <w:rPr>
          <w:rFonts w:cs="Times New Roman"/>
          <w:b w:val="0"/>
          <w:bCs w:val="0"/>
          <w:i/>
          <w:iCs/>
          <w:shd w:val="solid" w:color="FFFFFF" w:fill="FFFFFF"/>
          <w:lang w:val="en-US"/>
        </w:rPr>
      </w:pPr>
      <w:r w:rsidRPr="00DC0177">
        <w:rPr>
          <w:rFonts w:cs="Times New Roman"/>
          <w:b w:val="0"/>
          <w:bCs w:val="0"/>
          <w:i/>
          <w:iCs/>
          <w:shd w:val="solid" w:color="FFFFFF" w:fill="FFFFFF"/>
          <w:lang w:val="en-US"/>
        </w:rPr>
        <w:t>Organization of the Study</w:t>
      </w:r>
    </w:p>
    <w:p w14:paraId="7F2CFD6E" w14:textId="684B037D" w:rsidR="00796AA1" w:rsidRPr="00DC0177" w:rsidRDefault="00796AA1" w:rsidP="00772668">
      <w:pPr>
        <w:rPr>
          <w:rFonts w:cs="Times New Roman"/>
          <w:szCs w:val="24"/>
          <w:shd w:val="solid" w:color="FFFFFF" w:fill="FFFFFF"/>
          <w:lang w:val="en-US"/>
        </w:rPr>
      </w:pPr>
      <w:r w:rsidRPr="00DC0177">
        <w:rPr>
          <w:rFonts w:cs="Times New Roman"/>
          <w:szCs w:val="24"/>
          <w:shd w:val="solid" w:color="FFFFFF" w:fill="FFFFFF"/>
          <w:lang w:val="en-US"/>
        </w:rPr>
        <w:t xml:space="preserve">The thesis is organized into four chapters. Chapter 1 deals with </w:t>
      </w:r>
      <w:r w:rsidR="00534A31">
        <w:rPr>
          <w:rFonts w:cs="Times New Roman"/>
          <w:szCs w:val="24"/>
          <w:shd w:val="solid" w:color="FFFFFF" w:fill="FFFFFF"/>
          <w:lang w:val="en-US"/>
        </w:rPr>
        <w:t>selected</w:t>
      </w:r>
      <w:r w:rsidR="00534A31" w:rsidRPr="00DC0177">
        <w:rPr>
          <w:rFonts w:cs="Times New Roman"/>
          <w:szCs w:val="24"/>
          <w:shd w:val="solid" w:color="FFFFFF" w:fill="FFFFFF"/>
          <w:lang w:val="en-US"/>
        </w:rPr>
        <w:t xml:space="preserve"> </w:t>
      </w:r>
      <w:r w:rsidRPr="00DC0177">
        <w:rPr>
          <w:rFonts w:cs="Times New Roman"/>
          <w:szCs w:val="24"/>
          <w:shd w:val="solid" w:color="FFFFFF" w:fill="FFFFFF"/>
          <w:lang w:val="en-US"/>
        </w:rPr>
        <w:t xml:space="preserve">morphological features and the vocabularies of the three iambographers. The aim of the chapter is not to give an overall description of the language of ancient Greek iambs </w:t>
      </w:r>
      <w:r w:rsidR="00534A31">
        <w:rPr>
          <w:rFonts w:cs="Times New Roman"/>
          <w:szCs w:val="24"/>
          <w:shd w:val="solid" w:color="FFFFFF" w:fill="FFFFFF"/>
          <w:lang w:val="en-US"/>
        </w:rPr>
        <w:t>(</w:t>
      </w:r>
      <w:r w:rsidRPr="00DC0177">
        <w:rPr>
          <w:rFonts w:cs="Times New Roman"/>
          <w:szCs w:val="24"/>
          <w:shd w:val="solid" w:color="FFFFFF" w:fill="FFFFFF"/>
          <w:lang w:val="en-US"/>
        </w:rPr>
        <w:t xml:space="preserve">as previous scholarship has abundantly </w:t>
      </w:r>
      <w:r w:rsidR="00534A31">
        <w:rPr>
          <w:rFonts w:cs="Times New Roman"/>
          <w:szCs w:val="24"/>
          <w:shd w:val="solid" w:color="FFFFFF" w:fill="FFFFFF"/>
          <w:lang w:val="en-US"/>
        </w:rPr>
        <w:t xml:space="preserve">noted, </w:t>
      </w:r>
      <w:r w:rsidR="00534A31" w:rsidRPr="00DC0177">
        <w:rPr>
          <w:rFonts w:cs="Times New Roman"/>
          <w:szCs w:val="24"/>
          <w:shd w:val="solid" w:color="FFFFFF" w:fill="FFFFFF"/>
          <w:lang w:val="en-US"/>
        </w:rPr>
        <w:t>this kind of perspective is doomed to fail</w:t>
      </w:r>
      <w:r w:rsidR="00534A31">
        <w:rPr>
          <w:rFonts w:cs="Times New Roman"/>
          <w:szCs w:val="24"/>
          <w:shd w:val="solid" w:color="FFFFFF" w:fill="FFFFFF"/>
          <w:lang w:val="en-US"/>
        </w:rPr>
        <w:t>)</w:t>
      </w:r>
      <w:r w:rsidRPr="00DC0177">
        <w:rPr>
          <w:rFonts w:cs="Times New Roman"/>
          <w:szCs w:val="24"/>
          <w:shd w:val="solid" w:color="FFFFFF" w:fill="FFFFFF"/>
          <w:lang w:val="en-US"/>
        </w:rPr>
        <w:t>. Rather, it aims to highlight some salient features which all the texts included in the corpus studied in this research share, and which show continuity over time in the language of iamb</w:t>
      </w:r>
      <w:r w:rsidR="00534A31">
        <w:rPr>
          <w:rFonts w:cs="Times New Roman"/>
          <w:szCs w:val="24"/>
          <w:shd w:val="solid" w:color="FFFFFF" w:fill="FFFFFF"/>
          <w:lang w:val="en-US"/>
        </w:rPr>
        <w:t>ic poetry</w:t>
      </w:r>
      <w:r w:rsidRPr="00DC0177">
        <w:rPr>
          <w:rFonts w:cs="Times New Roman"/>
          <w:szCs w:val="24"/>
          <w:shd w:val="solid" w:color="FFFFFF" w:fill="FFFFFF"/>
          <w:lang w:val="en-US"/>
        </w:rPr>
        <w:t xml:space="preserve">. </w:t>
      </w:r>
      <w:r w:rsidR="00534A31">
        <w:rPr>
          <w:rFonts w:cs="Times New Roman"/>
          <w:szCs w:val="24"/>
          <w:shd w:val="solid" w:color="FFFFFF" w:fill="FFFFFF"/>
          <w:lang w:val="en-US"/>
        </w:rPr>
        <w:t>The</w:t>
      </w:r>
      <w:r w:rsidRPr="00DC0177">
        <w:rPr>
          <w:rFonts w:cs="Times New Roman"/>
          <w:szCs w:val="24"/>
          <w:shd w:val="solid" w:color="FFFFFF" w:fill="FFFFFF"/>
          <w:lang w:val="en-US"/>
        </w:rPr>
        <w:t xml:space="preserve"> case-studies </w:t>
      </w:r>
      <w:r w:rsidR="00534A31">
        <w:rPr>
          <w:rFonts w:cs="Times New Roman"/>
          <w:szCs w:val="24"/>
          <w:shd w:val="solid" w:color="FFFFFF" w:fill="FFFFFF"/>
          <w:lang w:val="en-US"/>
        </w:rPr>
        <w:t>in this chapter have been</w:t>
      </w:r>
      <w:r w:rsidR="00534A31" w:rsidRPr="00DC0177">
        <w:rPr>
          <w:rFonts w:cs="Times New Roman"/>
          <w:szCs w:val="24"/>
          <w:shd w:val="solid" w:color="FFFFFF" w:fill="FFFFFF"/>
          <w:lang w:val="en-US"/>
        </w:rPr>
        <w:t xml:space="preserve"> </w:t>
      </w:r>
      <w:r w:rsidRPr="00DC0177">
        <w:rPr>
          <w:rFonts w:cs="Times New Roman"/>
          <w:szCs w:val="24"/>
          <w:shd w:val="solid" w:color="FFFFFF" w:fill="FFFFFF"/>
          <w:lang w:val="en-US"/>
        </w:rPr>
        <w:t>selected to exemplify some morphological and lexical constants</w:t>
      </w:r>
      <w:r w:rsidR="00534A31">
        <w:rPr>
          <w:rFonts w:cs="Times New Roman"/>
          <w:szCs w:val="24"/>
          <w:shd w:val="solid" w:color="FFFFFF" w:fill="FFFFFF"/>
          <w:lang w:val="en-US"/>
        </w:rPr>
        <w:t xml:space="preserve"> – and to identify and explain some significant idiosyncracies</w:t>
      </w:r>
      <w:r w:rsidRPr="00DC0177">
        <w:rPr>
          <w:rFonts w:cs="Times New Roman"/>
          <w:szCs w:val="24"/>
          <w:shd w:val="solid" w:color="FFFFFF" w:fill="FFFFFF"/>
          <w:lang w:val="en-US"/>
        </w:rPr>
        <w:t xml:space="preserve">. </w:t>
      </w:r>
    </w:p>
    <w:p w14:paraId="7C037306" w14:textId="62FECB9C" w:rsidR="00796AA1" w:rsidRPr="00DC0177" w:rsidRDefault="00796AA1" w:rsidP="00DC0177">
      <w:pPr>
        <w:spacing w:after="120"/>
        <w:ind w:firstLine="425"/>
        <w:rPr>
          <w:rFonts w:cs="Times New Roman"/>
          <w:szCs w:val="24"/>
          <w:shd w:val="solid" w:color="FFFFFF" w:fill="FFFFFF"/>
          <w:lang w:val="en-US"/>
        </w:rPr>
      </w:pPr>
      <w:r w:rsidRPr="00DC0177">
        <w:rPr>
          <w:rFonts w:cs="Times New Roman"/>
          <w:szCs w:val="24"/>
          <w:shd w:val="solid" w:color="FFFFFF" w:fill="FFFFFF"/>
          <w:lang w:val="en-US"/>
        </w:rPr>
        <w:t xml:space="preserve">Chapter 2, </w:t>
      </w:r>
      <w:r w:rsidR="00CC0615">
        <w:rPr>
          <w:rFonts w:cs="Times New Roman"/>
          <w:szCs w:val="24"/>
          <w:shd w:val="solid" w:color="FFFFFF" w:fill="FFFFFF"/>
          <w:lang w:val="en-US"/>
        </w:rPr>
        <w:t>“</w:t>
      </w:r>
      <w:r w:rsidRPr="00DC0177">
        <w:rPr>
          <w:rFonts w:cs="Times New Roman"/>
          <w:szCs w:val="24"/>
          <w:shd w:val="solid" w:color="FFFFFF" w:fill="FFFFFF"/>
          <w:lang w:val="en-US"/>
        </w:rPr>
        <w:t>Syntax and Pragmatics,</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w:t>
      </w:r>
      <w:r w:rsidR="00534A31">
        <w:rPr>
          <w:rFonts w:cs="Times New Roman"/>
          <w:szCs w:val="24"/>
          <w:shd w:val="solid" w:color="FFFFFF" w:fill="FFFFFF"/>
          <w:lang w:val="en-US"/>
        </w:rPr>
        <w:t xml:space="preserve">likewise conducts case-studies, which have in common that they </w:t>
      </w:r>
      <w:r w:rsidRPr="00DC0177">
        <w:rPr>
          <w:rFonts w:cs="Times New Roman"/>
          <w:szCs w:val="24"/>
          <w:shd w:val="solid" w:color="FFFFFF" w:fill="FFFFFF"/>
          <w:lang w:val="en-US"/>
        </w:rPr>
        <w:t>investigate relationship</w:t>
      </w:r>
      <w:r w:rsidR="00534A31">
        <w:rPr>
          <w:rFonts w:cs="Times New Roman"/>
          <w:szCs w:val="24"/>
          <w:shd w:val="solid" w:color="FFFFFF" w:fill="FFFFFF"/>
          <w:lang w:val="en-US"/>
        </w:rPr>
        <w:t>s</w:t>
      </w:r>
      <w:r w:rsidRPr="00DC0177">
        <w:rPr>
          <w:rFonts w:cs="Times New Roman"/>
          <w:szCs w:val="24"/>
          <w:shd w:val="solid" w:color="FFFFFF" w:fill="FFFFFF"/>
          <w:lang w:val="en-US"/>
        </w:rPr>
        <w:t xml:space="preserve"> between the various participants in </w:t>
      </w:r>
      <w:r w:rsidR="00534A31">
        <w:rPr>
          <w:rFonts w:cs="Times New Roman"/>
          <w:szCs w:val="24"/>
          <w:shd w:val="solid" w:color="FFFFFF" w:fill="FFFFFF"/>
          <w:lang w:val="en-US"/>
        </w:rPr>
        <w:t>an</w:t>
      </w:r>
      <w:r w:rsidR="00534A31" w:rsidRPr="00DC0177">
        <w:rPr>
          <w:rFonts w:cs="Times New Roman"/>
          <w:szCs w:val="24"/>
          <w:shd w:val="solid" w:color="FFFFFF" w:fill="FFFFFF"/>
          <w:lang w:val="en-US"/>
        </w:rPr>
        <w:t xml:space="preserve"> </w:t>
      </w:r>
      <w:r w:rsidRPr="00DC0177">
        <w:rPr>
          <w:rFonts w:cs="Times New Roman"/>
          <w:szCs w:val="24"/>
          <w:shd w:val="solid" w:color="FFFFFF" w:fill="FFFFFF"/>
          <w:lang w:val="en-US"/>
        </w:rPr>
        <w:t>iambic performance</w:t>
      </w:r>
      <w:r w:rsidR="00534A31">
        <w:rPr>
          <w:rFonts w:cs="Times New Roman"/>
          <w:szCs w:val="24"/>
          <w:shd w:val="solid" w:color="FFFFFF" w:fill="FFFFFF"/>
          <w:lang w:val="en-US"/>
        </w:rPr>
        <w:t>, namely</w:t>
      </w:r>
      <w:r w:rsidRPr="00DC0177">
        <w:rPr>
          <w:rFonts w:cs="Times New Roman"/>
          <w:szCs w:val="24"/>
          <w:shd w:val="solid" w:color="FFFFFF" w:fill="FFFFFF"/>
          <w:lang w:val="en-US"/>
        </w:rPr>
        <w:t>:</w:t>
      </w:r>
    </w:p>
    <w:p w14:paraId="2B609602" w14:textId="77777777" w:rsidR="00796AA1" w:rsidRPr="00DC0177" w:rsidRDefault="00796AA1" w:rsidP="00772668">
      <w:pPr>
        <w:widowControl w:val="0"/>
        <w:numPr>
          <w:ilvl w:val="0"/>
          <w:numId w:val="29"/>
        </w:numPr>
        <w:tabs>
          <w:tab w:val="left" w:pos="450"/>
          <w:tab w:val="left" w:pos="810"/>
          <w:tab w:val="center" w:pos="5387"/>
        </w:tabs>
        <w:ind w:hanging="360"/>
        <w:rPr>
          <w:rFonts w:cs="Times New Roman"/>
          <w:szCs w:val="24"/>
          <w:shd w:val="solid" w:color="FFFFFF" w:fill="FFFFFF"/>
          <w:lang w:val="en-US"/>
        </w:rPr>
      </w:pPr>
      <w:r w:rsidRPr="00DC0177">
        <w:rPr>
          <w:rFonts w:cs="Times New Roman"/>
          <w:szCs w:val="24"/>
          <w:shd w:val="solid" w:color="FFFFFF" w:fill="FFFFFF"/>
          <w:lang w:val="en-US"/>
        </w:rPr>
        <w:t>the relationship between the iambographer and his audience;</w:t>
      </w:r>
    </w:p>
    <w:p w14:paraId="336782B3" w14:textId="77777777" w:rsidR="00796AA1" w:rsidRPr="00DC0177" w:rsidRDefault="00796AA1" w:rsidP="00772668">
      <w:pPr>
        <w:widowControl w:val="0"/>
        <w:numPr>
          <w:ilvl w:val="0"/>
          <w:numId w:val="29"/>
        </w:numPr>
        <w:tabs>
          <w:tab w:val="left" w:pos="450"/>
          <w:tab w:val="left" w:pos="810"/>
          <w:tab w:val="center" w:pos="5387"/>
        </w:tabs>
        <w:ind w:hanging="360"/>
        <w:rPr>
          <w:rFonts w:cs="Times New Roman"/>
          <w:szCs w:val="24"/>
          <w:shd w:val="solid" w:color="FFFFFF" w:fill="FFFFFF"/>
          <w:lang w:val="en-US"/>
        </w:rPr>
      </w:pPr>
      <w:r w:rsidRPr="00DC0177">
        <w:rPr>
          <w:rFonts w:cs="Times New Roman"/>
          <w:szCs w:val="24"/>
          <w:shd w:val="solid" w:color="FFFFFF" w:fill="FFFFFF"/>
          <w:lang w:val="en-US"/>
        </w:rPr>
        <w:t xml:space="preserve">the relationship between the iambographer and his </w:t>
      </w:r>
      <w:r w:rsidRPr="00DC0177">
        <w:rPr>
          <w:rFonts w:cs="Times New Roman"/>
          <w:i/>
          <w:iCs/>
          <w:szCs w:val="24"/>
          <w:shd w:val="solid" w:color="FFFFFF" w:fill="FFFFFF"/>
          <w:lang w:val="en-US"/>
        </w:rPr>
        <w:t>persona loquens</w:t>
      </w:r>
      <w:r w:rsidRPr="00DC0177">
        <w:rPr>
          <w:rFonts w:cs="Times New Roman"/>
          <w:szCs w:val="24"/>
          <w:shd w:val="solid" w:color="FFFFFF" w:fill="FFFFFF"/>
          <w:lang w:val="en-US"/>
        </w:rPr>
        <w:t>;</w:t>
      </w:r>
    </w:p>
    <w:p w14:paraId="250DDACE" w14:textId="77777777" w:rsidR="00796AA1" w:rsidRPr="00DC0177" w:rsidRDefault="00796AA1" w:rsidP="00DC0177">
      <w:pPr>
        <w:widowControl w:val="0"/>
        <w:numPr>
          <w:ilvl w:val="0"/>
          <w:numId w:val="29"/>
        </w:numPr>
        <w:tabs>
          <w:tab w:val="left" w:pos="450"/>
          <w:tab w:val="left" w:pos="810"/>
          <w:tab w:val="center" w:pos="5387"/>
        </w:tabs>
        <w:spacing w:after="120"/>
        <w:ind w:left="805" w:hanging="357"/>
        <w:rPr>
          <w:rFonts w:cs="Times New Roman"/>
          <w:szCs w:val="24"/>
          <w:shd w:val="solid" w:color="FFFFFF" w:fill="FFFFFF"/>
          <w:lang w:val="en-US"/>
        </w:rPr>
      </w:pPr>
      <w:r w:rsidRPr="00DC0177">
        <w:rPr>
          <w:rFonts w:cs="Times New Roman"/>
          <w:szCs w:val="24"/>
          <w:shd w:val="solid" w:color="FFFFFF" w:fill="FFFFFF"/>
          <w:lang w:val="en-US"/>
        </w:rPr>
        <w:t>the relationship between the iambographer and his target.</w:t>
      </w:r>
    </w:p>
    <w:p w14:paraId="1F8FD925" w14:textId="260DC305" w:rsidR="00796AA1" w:rsidRPr="00DC0177" w:rsidRDefault="00796AA1" w:rsidP="00772668">
      <w:pPr>
        <w:rPr>
          <w:rFonts w:cs="Times New Roman"/>
          <w:szCs w:val="24"/>
          <w:shd w:val="solid" w:color="FFFFFF" w:fill="FFFFFF"/>
          <w:lang w:val="en-US"/>
        </w:rPr>
      </w:pPr>
      <w:r w:rsidRPr="00DC0177">
        <w:rPr>
          <w:rFonts w:cs="Times New Roman"/>
          <w:szCs w:val="24"/>
          <w:shd w:val="solid" w:color="FFFFFF" w:fill="FFFFFF"/>
          <w:lang w:val="en-US"/>
        </w:rPr>
        <w:t xml:space="preserve">Chapter 3 looks at </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Iambic </w:t>
      </w:r>
      <w:r w:rsidRPr="00DC0177">
        <w:rPr>
          <w:rFonts w:cs="Times New Roman"/>
          <w:i/>
          <w:iCs/>
          <w:szCs w:val="24"/>
          <w:shd w:val="solid" w:color="FFFFFF" w:fill="FFFFFF"/>
          <w:lang w:val="en-US"/>
        </w:rPr>
        <w:t>Topoi,</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detailing five linguistic actions which constantly are performed in the iambic texts, namely </w:t>
      </w:r>
      <w:r w:rsidR="00CC0615">
        <w:rPr>
          <w:rFonts w:cs="Times New Roman"/>
          <w:szCs w:val="24"/>
          <w:shd w:val="solid" w:color="FFFFFF" w:fill="FFFFFF"/>
          <w:lang w:val="en-US"/>
        </w:rPr>
        <w:t>“</w:t>
      </w:r>
      <w:r w:rsidRPr="00DC0177">
        <w:rPr>
          <w:rFonts w:cs="Times New Roman"/>
          <w:szCs w:val="24"/>
          <w:shd w:val="solid" w:color="FFFFFF" w:fill="FFFFFF"/>
          <w:lang w:val="en-US"/>
        </w:rPr>
        <w:t>Invective,</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w:t>
      </w:r>
      <w:r w:rsidR="00CC0615">
        <w:rPr>
          <w:rFonts w:cs="Times New Roman"/>
          <w:szCs w:val="24"/>
          <w:shd w:val="solid" w:color="FFFFFF" w:fill="FFFFFF"/>
          <w:lang w:val="en-US"/>
        </w:rPr>
        <w:t>“</w:t>
      </w:r>
      <w:r w:rsidRPr="00DC0177">
        <w:rPr>
          <w:rFonts w:cs="Times New Roman"/>
          <w:szCs w:val="24"/>
          <w:shd w:val="solid" w:color="FFFFFF" w:fill="FFFFFF"/>
          <w:lang w:val="en-US"/>
        </w:rPr>
        <w:t>Prayers to Gods,</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w:t>
      </w:r>
      <w:r w:rsidR="00CC0615">
        <w:rPr>
          <w:rFonts w:cs="Times New Roman"/>
          <w:szCs w:val="24"/>
          <w:shd w:val="solid" w:color="FFFFFF" w:fill="FFFFFF"/>
          <w:lang w:val="en-US"/>
        </w:rPr>
        <w:t>“</w:t>
      </w:r>
      <w:r w:rsidRPr="00DC0177">
        <w:rPr>
          <w:rFonts w:cs="Times New Roman"/>
          <w:szCs w:val="24"/>
          <w:shd w:val="solid" w:color="FFFFFF" w:fill="FFFFFF"/>
          <w:lang w:val="en-US"/>
        </w:rPr>
        <w:t>Sex,</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w:t>
      </w:r>
      <w:r w:rsidR="00CC0615">
        <w:rPr>
          <w:rFonts w:cs="Times New Roman"/>
          <w:szCs w:val="24"/>
          <w:shd w:val="solid" w:color="FFFFFF" w:fill="FFFFFF"/>
          <w:lang w:val="en-US"/>
        </w:rPr>
        <w:t>“</w:t>
      </w:r>
      <w:r w:rsidRPr="00DC0177">
        <w:rPr>
          <w:rFonts w:cs="Times New Roman"/>
          <w:szCs w:val="24"/>
          <w:shd w:val="solid" w:color="FFFFFF" w:fill="FFFFFF"/>
          <w:lang w:val="en-US"/>
        </w:rPr>
        <w:t>Food,</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and </w:t>
      </w:r>
      <w:r w:rsidR="00CC0615">
        <w:rPr>
          <w:rFonts w:cs="Times New Roman"/>
          <w:szCs w:val="24"/>
          <w:shd w:val="solid" w:color="FFFFFF" w:fill="FFFFFF"/>
          <w:lang w:val="en-US"/>
        </w:rPr>
        <w:t>“</w:t>
      </w:r>
      <w:r w:rsidRPr="00DC0177">
        <w:rPr>
          <w:rFonts w:cs="Times New Roman"/>
          <w:szCs w:val="24"/>
          <w:shd w:val="solid" w:color="FFFFFF" w:fill="FFFFFF"/>
          <w:lang w:val="en-US"/>
        </w:rPr>
        <w:t>Fables.</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These performative utterances cover almost the whole iambic corpus, and convey the iambographers</w:t>
      </w:r>
      <w:r w:rsidR="00075F5F">
        <w:rPr>
          <w:rFonts w:cs="Times New Roman"/>
          <w:szCs w:val="24"/>
          <w:shd w:val="solid" w:color="FFFFFF" w:fill="FFFFFF"/>
          <w:lang w:val="en-US"/>
        </w:rPr>
        <w:t>’</w:t>
      </w:r>
      <w:r w:rsidRPr="00DC0177">
        <w:rPr>
          <w:rFonts w:cs="Times New Roman"/>
          <w:szCs w:val="24"/>
          <w:shd w:val="solid" w:color="FFFFFF" w:fill="FFFFFF"/>
          <w:lang w:val="en-US"/>
        </w:rPr>
        <w:t xml:space="preserve"> intention; hence, they give an immediate insight into the function of the iambic communication.</w:t>
      </w:r>
    </w:p>
    <w:p w14:paraId="6C8A1EC8" w14:textId="5D86D1ED" w:rsidR="00796AA1" w:rsidRPr="00DC0177" w:rsidRDefault="00796AA1" w:rsidP="00772668">
      <w:pPr>
        <w:ind w:firstLine="426"/>
        <w:rPr>
          <w:rFonts w:cs="Times New Roman"/>
          <w:szCs w:val="24"/>
          <w:shd w:val="solid" w:color="FFFFFF" w:fill="FFFFFF"/>
          <w:lang w:val="en-US"/>
        </w:rPr>
      </w:pPr>
      <w:r w:rsidRPr="00DC0177">
        <w:rPr>
          <w:rFonts w:cs="Times New Roman"/>
          <w:szCs w:val="24"/>
          <w:shd w:val="solid" w:color="FFFFFF" w:fill="FFFFFF"/>
          <w:lang w:val="en-US"/>
        </w:rPr>
        <w:t>Chapter 4</w:t>
      </w:r>
      <w:r w:rsidR="00534A31">
        <w:rPr>
          <w:rFonts w:cs="Times New Roman"/>
          <w:szCs w:val="24"/>
          <w:shd w:val="solid" w:color="FFFFFF" w:fill="FFFFFF"/>
          <w:lang w:val="en-US"/>
        </w:rPr>
        <w:t>, on</w:t>
      </w:r>
      <w:r w:rsidRPr="00DC0177">
        <w:rPr>
          <w:rFonts w:cs="Times New Roman"/>
          <w:szCs w:val="24"/>
          <w:shd w:val="solid" w:color="FFFFFF" w:fill="FFFFFF"/>
          <w:lang w:val="en-US"/>
        </w:rPr>
        <w:t xml:space="preserve"> </w:t>
      </w:r>
      <w:r w:rsidR="00CC0615">
        <w:rPr>
          <w:rFonts w:cs="Times New Roman"/>
          <w:szCs w:val="24"/>
          <w:shd w:val="solid" w:color="FFFFFF" w:fill="FFFFFF"/>
          <w:lang w:val="en-US"/>
        </w:rPr>
        <w:t>“</w:t>
      </w:r>
      <w:r w:rsidRPr="00DC0177">
        <w:rPr>
          <w:rFonts w:cs="Times New Roman"/>
          <w:i/>
          <w:iCs/>
          <w:szCs w:val="24"/>
          <w:shd w:val="solid" w:color="FFFFFF" w:fill="FFFFFF"/>
          <w:lang w:val="en-US"/>
        </w:rPr>
        <w:t>Polyeídeia</w:t>
      </w:r>
      <w:r w:rsidR="00534A31">
        <w:rPr>
          <w:rFonts w:cs="Times New Roman"/>
          <w:iCs/>
          <w:szCs w:val="24"/>
          <w:shd w:val="solid" w:color="FFFFFF" w:fill="FFFFFF"/>
          <w:lang w:val="en-US"/>
        </w:rPr>
        <w:t>,</w:t>
      </w:r>
      <w:r w:rsidR="00CC0615">
        <w:rPr>
          <w:rFonts w:cs="Times New Roman"/>
          <w:szCs w:val="24"/>
          <w:shd w:val="solid" w:color="FFFFFF" w:fill="FFFFFF"/>
          <w:lang w:val="en-US"/>
        </w:rPr>
        <w:t>”</w:t>
      </w:r>
      <w:r w:rsidRPr="00DC0177">
        <w:rPr>
          <w:rFonts w:cs="Times New Roman"/>
          <w:szCs w:val="24"/>
          <w:shd w:val="solid" w:color="FFFFFF" w:fill="FFFFFF"/>
          <w:lang w:val="en-US"/>
        </w:rPr>
        <w:t xml:space="preserve"> </w:t>
      </w:r>
      <w:r w:rsidR="00B10CE3">
        <w:rPr>
          <w:rFonts w:cs="Times New Roman"/>
          <w:szCs w:val="24"/>
          <w:shd w:val="solid" w:color="FFFFFF" w:fill="FFFFFF"/>
          <w:lang w:val="en-US"/>
        </w:rPr>
        <w:t>focuses on the importance of</w:t>
      </w:r>
      <w:r w:rsidRPr="00DC0177">
        <w:rPr>
          <w:rFonts w:cs="Times New Roman"/>
          <w:szCs w:val="24"/>
          <w:shd w:val="solid" w:color="FFFFFF" w:fill="FFFFFF"/>
          <w:lang w:val="en-US"/>
        </w:rPr>
        <w:t xml:space="preserve"> formal variety and variety of content in iambic texts. </w:t>
      </w:r>
      <w:r w:rsidR="00B10CE3">
        <w:rPr>
          <w:rFonts w:cs="Times New Roman"/>
          <w:szCs w:val="24"/>
          <w:shd w:val="solid" w:color="FFFFFF" w:fill="FFFFFF"/>
          <w:lang w:val="en-US"/>
        </w:rPr>
        <w:t>Using</w:t>
      </w:r>
      <w:r w:rsidR="00B10CE3" w:rsidRPr="00DC0177">
        <w:rPr>
          <w:rFonts w:cs="Times New Roman"/>
          <w:szCs w:val="24"/>
          <w:shd w:val="solid" w:color="FFFFFF" w:fill="FFFFFF"/>
          <w:lang w:val="en-US"/>
        </w:rPr>
        <w:t xml:space="preserve"> </w:t>
      </w:r>
      <w:r w:rsidRPr="00DC0177">
        <w:rPr>
          <w:rFonts w:cs="Times New Roman"/>
          <w:szCs w:val="24"/>
          <w:shd w:val="solid" w:color="FFFFFF" w:fill="FFFFFF"/>
          <w:lang w:val="en-US"/>
        </w:rPr>
        <w:t xml:space="preserve">the lens of code-switching, I demonstrate that iambic </w:t>
      </w:r>
      <w:r w:rsidRPr="00DC0177">
        <w:rPr>
          <w:rFonts w:cs="Times New Roman"/>
          <w:szCs w:val="24"/>
          <w:shd w:val="solid" w:color="FFFFFF" w:fill="FFFFFF"/>
          <w:lang w:val="en-US"/>
        </w:rPr>
        <w:lastRenderedPageBreak/>
        <w:t>language is a mixed language</w:t>
      </w:r>
      <w:r w:rsidR="00B10CE3">
        <w:rPr>
          <w:rFonts w:cs="Times New Roman"/>
          <w:szCs w:val="24"/>
          <w:shd w:val="solid" w:color="FFFFFF" w:fill="FFFFFF"/>
          <w:lang w:val="en-US"/>
        </w:rPr>
        <w:t xml:space="preserve"> in its very essence</w:t>
      </w:r>
      <w:r w:rsidRPr="00DC0177">
        <w:rPr>
          <w:rFonts w:cs="Times New Roman"/>
          <w:szCs w:val="24"/>
          <w:shd w:val="solid" w:color="FFFFFF" w:fill="FFFFFF"/>
          <w:lang w:val="en-US"/>
        </w:rPr>
        <w:t>. Furthermore, I argue that this language variety perfectly fits the purpose of iambic poetry, and the purpose helps to clarify the occasion of the performance of iambs.</w:t>
      </w:r>
    </w:p>
    <w:p w14:paraId="09CBBD4B" w14:textId="77777777" w:rsidR="00796AA1" w:rsidRPr="00DC0177" w:rsidRDefault="00796AA1" w:rsidP="00DC0177">
      <w:pPr>
        <w:pStyle w:val="Heading4"/>
        <w:rPr>
          <w:rFonts w:cs="Times New Roman"/>
          <w:b w:val="0"/>
          <w:bCs w:val="0"/>
          <w:i/>
          <w:iCs/>
          <w:shd w:val="solid" w:color="FFFFFF" w:fill="FFFFFF"/>
          <w:lang w:val="en-US"/>
        </w:rPr>
      </w:pPr>
      <w:r w:rsidRPr="00DC0177">
        <w:rPr>
          <w:rFonts w:cs="Times New Roman"/>
          <w:b w:val="0"/>
          <w:bCs w:val="0"/>
          <w:i/>
          <w:iCs/>
          <w:shd w:val="solid" w:color="FFFFFF" w:fill="FFFFFF"/>
          <w:lang w:val="en-US"/>
        </w:rPr>
        <w:t>Iambic Corpus</w:t>
      </w:r>
    </w:p>
    <w:p w14:paraId="6829A99B" w14:textId="18305F3F" w:rsidR="00796AA1" w:rsidRPr="00DC0177" w:rsidRDefault="00796AA1" w:rsidP="00DC0177">
      <w:pPr>
        <w:rPr>
          <w:rFonts w:cs="Times New Roman"/>
          <w:szCs w:val="24"/>
          <w:lang w:val="en-US"/>
        </w:rPr>
      </w:pPr>
      <w:r w:rsidRPr="00DC0177">
        <w:rPr>
          <w:rFonts w:cs="Times New Roman"/>
          <w:szCs w:val="24"/>
          <w:lang w:val="en-US"/>
        </w:rPr>
        <w:t xml:space="preserve">The editions of texts used in this </w:t>
      </w:r>
      <w:r w:rsidR="00B10CE3">
        <w:rPr>
          <w:rFonts w:cs="Times New Roman"/>
          <w:szCs w:val="24"/>
          <w:lang w:val="en-US"/>
        </w:rPr>
        <w:t>study</w:t>
      </w:r>
      <w:r w:rsidR="00B10CE3" w:rsidRPr="00DC0177">
        <w:rPr>
          <w:rFonts w:cs="Times New Roman"/>
          <w:szCs w:val="24"/>
          <w:lang w:val="en-US"/>
        </w:rPr>
        <w:t xml:space="preserve"> </w:t>
      </w:r>
      <w:r w:rsidRPr="00DC0177">
        <w:rPr>
          <w:rFonts w:cs="Times New Roman"/>
          <w:szCs w:val="24"/>
          <w:lang w:val="en-US"/>
        </w:rPr>
        <w:t>are Tarditi (1968) for Archilochus, Degani (1991) for Hipponax, and Kerkhecker (1999) for Callimachus</w:t>
      </w:r>
      <w:r w:rsidR="00075F5F">
        <w:rPr>
          <w:rFonts w:cs="Times New Roman"/>
          <w:szCs w:val="24"/>
          <w:lang w:val="en-US"/>
        </w:rPr>
        <w:t>’</w:t>
      </w:r>
      <w:r w:rsidRPr="00DC0177">
        <w:rPr>
          <w:rFonts w:cs="Times New Roman"/>
          <w:szCs w:val="24"/>
          <w:lang w:val="en-US"/>
        </w:rPr>
        <w:t xml:space="preserve"> </w:t>
      </w:r>
      <w:r w:rsidRPr="00DC0177">
        <w:rPr>
          <w:rFonts w:cs="Times New Roman"/>
          <w:i/>
          <w:iCs/>
          <w:szCs w:val="24"/>
          <w:lang w:val="en-US"/>
        </w:rPr>
        <w:t>Iambi</w:t>
      </w:r>
      <w:r w:rsidRPr="00DC0177">
        <w:rPr>
          <w:rFonts w:cs="Times New Roman"/>
          <w:szCs w:val="24"/>
          <w:lang w:val="en-US"/>
        </w:rPr>
        <w:t xml:space="preserve">. For English translation of the Greek texts, Gerber (1999) is used for Archilochus and Hipponax and Acosta-Hughes (2002) for Callimachus. </w:t>
      </w:r>
    </w:p>
    <w:p w14:paraId="215C8477" w14:textId="209772CD" w:rsidR="00796AA1" w:rsidRPr="00DC0177" w:rsidRDefault="00796AA1" w:rsidP="00DC0177">
      <w:pPr>
        <w:ind w:firstLine="426"/>
        <w:rPr>
          <w:rFonts w:cs="Times New Roman"/>
          <w:szCs w:val="24"/>
          <w:lang w:val="en-US"/>
        </w:rPr>
      </w:pPr>
      <w:r w:rsidRPr="00DC0177">
        <w:rPr>
          <w:rFonts w:cs="Times New Roman"/>
          <w:szCs w:val="24"/>
          <w:lang w:val="en-US"/>
        </w:rPr>
        <w:t xml:space="preserve">I </w:t>
      </w:r>
      <w:r w:rsidR="00B10CE3">
        <w:rPr>
          <w:rFonts w:cs="Times New Roman"/>
          <w:szCs w:val="24"/>
          <w:lang w:val="en-US"/>
        </w:rPr>
        <w:t>generally follow</w:t>
      </w:r>
      <w:r w:rsidR="00B10CE3" w:rsidRPr="00DC0177">
        <w:rPr>
          <w:rFonts w:cs="Times New Roman"/>
          <w:szCs w:val="24"/>
          <w:lang w:val="en-US"/>
        </w:rPr>
        <w:t xml:space="preserve"> </w:t>
      </w:r>
      <w:r w:rsidR="00B10CE3">
        <w:rPr>
          <w:rFonts w:cs="Times New Roman"/>
          <w:szCs w:val="24"/>
          <w:lang w:val="en-US"/>
        </w:rPr>
        <w:t xml:space="preserve">my chosen </w:t>
      </w:r>
      <w:r w:rsidRPr="00DC0177">
        <w:rPr>
          <w:rFonts w:cs="Times New Roman"/>
          <w:szCs w:val="24"/>
          <w:lang w:val="en-US"/>
        </w:rPr>
        <w:t xml:space="preserve">editions of Archilochus, Hipponax, and Callimachus </w:t>
      </w:r>
      <w:r w:rsidR="00B10CE3">
        <w:rPr>
          <w:rFonts w:cs="Times New Roman"/>
          <w:szCs w:val="24"/>
          <w:lang w:val="en-US"/>
        </w:rPr>
        <w:t xml:space="preserve">without reporting textual problems and variants, discussing </w:t>
      </w:r>
      <w:r w:rsidRPr="00DC0177">
        <w:rPr>
          <w:rFonts w:cs="Times New Roman"/>
          <w:szCs w:val="24"/>
          <w:lang w:val="en-US"/>
        </w:rPr>
        <w:t xml:space="preserve">the forms </w:t>
      </w:r>
      <w:r w:rsidR="00B10CE3">
        <w:rPr>
          <w:rFonts w:cs="Times New Roman"/>
          <w:szCs w:val="24"/>
          <w:lang w:val="en-US"/>
        </w:rPr>
        <w:t xml:space="preserve">championed by </w:t>
      </w:r>
      <w:r w:rsidRPr="00DC0177">
        <w:rPr>
          <w:rFonts w:cs="Times New Roman"/>
          <w:szCs w:val="24"/>
          <w:lang w:val="en-US"/>
        </w:rPr>
        <w:t xml:space="preserve">the editors show. I am </w:t>
      </w:r>
      <w:r w:rsidR="00B10CE3">
        <w:rPr>
          <w:rFonts w:cs="Times New Roman"/>
          <w:szCs w:val="24"/>
          <w:lang w:val="en-US"/>
        </w:rPr>
        <w:t xml:space="preserve">painfully </w:t>
      </w:r>
      <w:r w:rsidRPr="00DC0177">
        <w:rPr>
          <w:rFonts w:cs="Times New Roman"/>
          <w:szCs w:val="24"/>
          <w:lang w:val="en-US"/>
        </w:rPr>
        <w:t xml:space="preserve">aware of the fragmentary </w:t>
      </w:r>
      <w:r w:rsidR="00B10CE3">
        <w:rPr>
          <w:rFonts w:cs="Times New Roman"/>
          <w:szCs w:val="24"/>
          <w:lang w:val="en-US"/>
        </w:rPr>
        <w:t xml:space="preserve">and often highly uncertain </w:t>
      </w:r>
      <w:r w:rsidRPr="00DC0177">
        <w:rPr>
          <w:rFonts w:cs="Times New Roman"/>
          <w:szCs w:val="24"/>
          <w:lang w:val="en-US"/>
        </w:rPr>
        <w:t xml:space="preserve">status of the texts with which I deal, and I know that many forms are </w:t>
      </w:r>
      <w:r w:rsidR="00B10CE3">
        <w:rPr>
          <w:rFonts w:cs="Times New Roman"/>
          <w:szCs w:val="24"/>
          <w:lang w:val="en-US"/>
        </w:rPr>
        <w:t>debatable</w:t>
      </w:r>
      <w:r w:rsidR="00B10CE3" w:rsidRPr="00DC0177">
        <w:rPr>
          <w:rFonts w:cs="Times New Roman"/>
          <w:szCs w:val="24"/>
          <w:lang w:val="en-US"/>
        </w:rPr>
        <w:t xml:space="preserve"> </w:t>
      </w:r>
      <w:r w:rsidRPr="00DC0177">
        <w:rPr>
          <w:rFonts w:cs="Times New Roman"/>
          <w:szCs w:val="24"/>
          <w:lang w:val="en-US"/>
        </w:rPr>
        <w:t xml:space="preserve">and represent </w:t>
      </w:r>
      <w:r w:rsidR="00B10CE3">
        <w:rPr>
          <w:rFonts w:cs="Times New Roman"/>
          <w:szCs w:val="24"/>
          <w:lang w:val="en-US"/>
        </w:rPr>
        <w:t xml:space="preserve">what </w:t>
      </w:r>
      <w:r w:rsidRPr="00DC0177">
        <w:rPr>
          <w:rFonts w:cs="Times New Roman"/>
          <w:szCs w:val="24"/>
          <w:lang w:val="en-US"/>
        </w:rPr>
        <w:t xml:space="preserve">the editor or even of the copyist </w:t>
      </w:r>
      <w:r w:rsidR="00B10CE3">
        <w:rPr>
          <w:rFonts w:cs="Times New Roman"/>
          <w:szCs w:val="24"/>
          <w:lang w:val="en-US"/>
        </w:rPr>
        <w:t>thought the poet said</w:t>
      </w:r>
      <w:r w:rsidRPr="00DC0177">
        <w:rPr>
          <w:rFonts w:cs="Times New Roman"/>
          <w:szCs w:val="24"/>
          <w:lang w:val="en-US"/>
        </w:rPr>
        <w:t xml:space="preserve">. </w:t>
      </w:r>
      <w:r w:rsidR="00B10CE3">
        <w:rPr>
          <w:rFonts w:cs="Times New Roman"/>
          <w:szCs w:val="24"/>
          <w:lang w:val="en-US"/>
        </w:rPr>
        <w:t>Problems of transmissions are bound to affect any linguistic analysis of this material</w:t>
      </w:r>
      <w:r w:rsidR="008855F3">
        <w:rPr>
          <w:rFonts w:cs="Times New Roman"/>
          <w:szCs w:val="24"/>
          <w:lang w:val="en-US"/>
        </w:rPr>
        <w:t xml:space="preserve">. They are, however, somewhat mitigated by the fact </w:t>
      </w:r>
      <w:r w:rsidRPr="00DC0177">
        <w:rPr>
          <w:rFonts w:cs="Times New Roman"/>
          <w:szCs w:val="24"/>
          <w:lang w:val="en-US"/>
        </w:rPr>
        <w:t xml:space="preserve">that the fragments of all three iambographers went through </w:t>
      </w:r>
      <w:r w:rsidR="00756A40">
        <w:rPr>
          <w:rFonts w:cs="Times New Roman"/>
          <w:szCs w:val="24"/>
          <w:lang w:val="en-US"/>
        </w:rPr>
        <w:t xml:space="preserve">almost </w:t>
      </w:r>
      <w:r w:rsidRPr="00DC0177">
        <w:rPr>
          <w:rFonts w:cs="Times New Roman"/>
          <w:szCs w:val="24"/>
          <w:lang w:val="en-US"/>
        </w:rPr>
        <w:t>the same process.</w:t>
      </w:r>
    </w:p>
    <w:p w14:paraId="1898818F" w14:textId="77777777" w:rsidR="000D513A" w:rsidRDefault="000D513A" w:rsidP="00695A7C">
      <w:pPr>
        <w:tabs>
          <w:tab w:val="clear" w:pos="425"/>
          <w:tab w:val="left" w:pos="426"/>
        </w:tabs>
        <w:jc w:val="center"/>
        <w:rPr>
          <w:rFonts w:cs="Times New Roman"/>
          <w:sz w:val="28"/>
          <w:szCs w:val="28"/>
        </w:rPr>
        <w:sectPr w:rsidR="000D513A" w:rsidSect="00033A07">
          <w:footnotePr>
            <w:numRestart w:val="eachSect"/>
          </w:footnotePr>
          <w:pgSz w:w="11901" w:h="16817"/>
          <w:pgMar w:top="1440" w:right="1440" w:bottom="1440" w:left="1797" w:header="851" w:footer="851" w:gutter="0"/>
          <w:pgNumType w:start="1"/>
          <w:cols w:space="708"/>
          <w:docGrid w:linePitch="360"/>
          <w:printerSettings r:id="rId14"/>
        </w:sectPr>
      </w:pPr>
    </w:p>
    <w:p w14:paraId="68B086EA" w14:textId="239505E1" w:rsidR="00A65A56" w:rsidRPr="00881752" w:rsidRDefault="003115E7" w:rsidP="009630F3">
      <w:pPr>
        <w:tabs>
          <w:tab w:val="clear" w:pos="425"/>
          <w:tab w:val="left" w:pos="426"/>
        </w:tabs>
        <w:spacing w:before="400" w:after="800"/>
        <w:jc w:val="center"/>
        <w:rPr>
          <w:rFonts w:cs="Times New Roman"/>
          <w:b/>
          <w:sz w:val="36"/>
          <w:szCs w:val="36"/>
        </w:rPr>
      </w:pPr>
      <w:r w:rsidRPr="00881752">
        <w:rPr>
          <w:rFonts w:cs="Times New Roman"/>
          <w:bCs/>
          <w:sz w:val="28"/>
          <w:szCs w:val="28"/>
        </w:rPr>
        <w:lastRenderedPageBreak/>
        <w:t>CHAPTER</w:t>
      </w:r>
      <w:r w:rsidR="009630F3" w:rsidRPr="00881752">
        <w:rPr>
          <w:rFonts w:cs="Times New Roman"/>
          <w:bCs/>
          <w:sz w:val="28"/>
          <w:szCs w:val="28"/>
        </w:rPr>
        <w:t xml:space="preserve"> 1</w:t>
      </w:r>
      <w:r w:rsidR="009630F3" w:rsidRPr="00881752">
        <w:rPr>
          <w:rFonts w:cs="Times New Roman"/>
          <w:bCs/>
          <w:sz w:val="28"/>
          <w:szCs w:val="28"/>
        </w:rPr>
        <w:br/>
      </w:r>
      <w:r w:rsidR="00A65A56" w:rsidRPr="00881752">
        <w:rPr>
          <w:rFonts w:cs="Times New Roman"/>
          <w:b/>
          <w:sz w:val="36"/>
          <w:szCs w:val="36"/>
        </w:rPr>
        <w:t>Morphology</w:t>
      </w:r>
      <w:r w:rsidR="00FA5109" w:rsidRPr="00881752">
        <w:rPr>
          <w:rFonts w:cs="Times New Roman"/>
          <w:b/>
          <w:sz w:val="36"/>
          <w:szCs w:val="36"/>
        </w:rPr>
        <w:t xml:space="preserve"> and Lexicon</w:t>
      </w:r>
    </w:p>
    <w:p w14:paraId="6F50746D" w14:textId="70177FA4" w:rsidR="00A65A56" w:rsidRPr="00881752" w:rsidRDefault="003115E7" w:rsidP="00825A39">
      <w:pPr>
        <w:pStyle w:val="Heading3"/>
        <w:rPr>
          <w:i/>
        </w:rPr>
      </w:pPr>
      <w:r w:rsidRPr="00881752">
        <w:t>1.1</w:t>
      </w:r>
      <w:r w:rsidR="00B92E1A" w:rsidRPr="00881752">
        <w:t xml:space="preserve"> </w:t>
      </w:r>
      <w:r w:rsidR="0004198F" w:rsidRPr="00881752">
        <w:t xml:space="preserve">The </w:t>
      </w:r>
      <w:r w:rsidR="008E516D" w:rsidRPr="00881752">
        <w:t xml:space="preserve">Base Language of Archilochus, Hipponax and </w:t>
      </w:r>
      <w:r w:rsidR="00370494" w:rsidRPr="00881752">
        <w:t>Callimachus</w:t>
      </w:r>
      <w:r w:rsidR="00075F5F">
        <w:t>’</w:t>
      </w:r>
      <w:r w:rsidR="00370494" w:rsidRPr="00881752">
        <w:t xml:space="preserve"> </w:t>
      </w:r>
      <w:r w:rsidR="00370494" w:rsidRPr="00881752">
        <w:rPr>
          <w:i/>
        </w:rPr>
        <w:t>Iambi</w:t>
      </w:r>
    </w:p>
    <w:p w14:paraId="5482E068" w14:textId="6BA3F8DB" w:rsidR="009C4864" w:rsidRPr="00881752" w:rsidRDefault="009C4864" w:rsidP="009C4864">
      <w:pPr>
        <w:rPr>
          <w:rFonts w:cs="Times New Roman"/>
          <w:lang w:val="en-US"/>
        </w:rPr>
      </w:pPr>
      <w:r w:rsidRPr="00881752">
        <w:rPr>
          <w:rFonts w:cs="Times New Roman"/>
          <w:lang w:val="en-US"/>
        </w:rPr>
        <w:t>It is commonly accepted that the language of the archaic iambographers is connected with the geographical area where iambic poetry flourished in the archaic period:</w:t>
      </w:r>
      <w:r w:rsidRPr="00881752">
        <w:rPr>
          <w:rStyle w:val="FootnoteReference"/>
          <w:rFonts w:cs="Times New Roman"/>
          <w:lang w:val="en-US"/>
        </w:rPr>
        <w:footnoteReference w:id="27"/>
      </w:r>
      <w:r w:rsidRPr="00881752">
        <w:rPr>
          <w:rFonts w:cs="Times New Roman"/>
          <w:lang w:val="en-US"/>
        </w:rPr>
        <w:t xml:space="preserve"> this is the East-Ionic dialect,</w:t>
      </w:r>
      <w:r w:rsidRPr="00881752">
        <w:rPr>
          <w:rStyle w:val="FootnoteReference"/>
          <w:rFonts w:cs="Times New Roman"/>
          <w:lang w:val="en-US"/>
        </w:rPr>
        <w:footnoteReference w:id="28"/>
      </w:r>
      <w:r w:rsidRPr="00881752">
        <w:rPr>
          <w:rFonts w:cs="Times New Roman"/>
          <w:lang w:val="en-US"/>
        </w:rPr>
        <w:t xml:space="preserve"> the language spoken in the central part of west-coast Asia Minor, including the islands of Samos and Chios and coastal cities such as Ephesus and Miletus. The language of the archaic iambographers also incorporates some elements drawn from the language of epic, which is likewise based on the Ionic dialect but includes Aeolic and Achaean elements, linguistic features dating back to earlier language phases, and artificial forms.</w:t>
      </w:r>
      <w:r w:rsidRPr="00881752">
        <w:rPr>
          <w:rStyle w:val="FootnoteReference"/>
          <w:rFonts w:cs="Times New Roman"/>
          <w:lang w:val="en-US"/>
        </w:rPr>
        <w:footnoteReference w:id="29"/>
      </w:r>
      <w:r w:rsidRPr="00881752">
        <w:rPr>
          <w:rFonts w:cs="Times New Roman"/>
          <w:lang w:val="en-US"/>
        </w:rPr>
        <w:t xml:space="preserve"> The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(and the language of Hellenistic iambic poetry in general) has so far not been the subject of systematic scholarship. It is generally claimed that the base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is still the East-Ionic dialect,</w:t>
      </w:r>
      <w:r w:rsidRPr="00881752">
        <w:rPr>
          <w:rStyle w:val="FootnoteReference"/>
          <w:rFonts w:cs="Times New Roman"/>
          <w:lang w:val="en-US"/>
        </w:rPr>
        <w:footnoteReference w:id="30"/>
      </w:r>
      <w:r w:rsidRPr="00881752">
        <w:rPr>
          <w:rFonts w:cs="Times New Roman"/>
          <w:lang w:val="en-US"/>
        </w:rPr>
        <w:t xml:space="preserve"> even though the corpus includes five </w:t>
      </w:r>
      <w:r w:rsidR="00CC0615">
        <w:rPr>
          <w:rFonts w:cs="Times New Roman"/>
          <w:lang w:val="en-US"/>
        </w:rPr>
        <w:t>“</w:t>
      </w:r>
      <w:r w:rsidRPr="00881752">
        <w:rPr>
          <w:rFonts w:cs="Times New Roman"/>
          <w:lang w:val="en-US"/>
        </w:rPr>
        <w:t>Doric</w:t>
      </w:r>
      <w:r w:rsidR="00CC0615">
        <w:rPr>
          <w:rFonts w:cs="Times New Roman"/>
          <w:lang w:val="en-US"/>
        </w:rPr>
        <w:t>”</w:t>
      </w:r>
      <w:r w:rsidRPr="00881752">
        <w:rPr>
          <w:rFonts w:cs="Times New Roman"/>
          <w:lang w:val="en-US"/>
        </w:rPr>
        <w:t xml:space="preserve"> poems namely </w:t>
      </w:r>
      <w:r w:rsidRPr="00881752">
        <w:rPr>
          <w:rFonts w:cs="Times New Roman"/>
          <w:i/>
          <w:iCs/>
          <w:lang w:val="en-US"/>
        </w:rPr>
        <w:t>Iambi</w:t>
      </w:r>
      <w:r w:rsidRPr="00881752">
        <w:rPr>
          <w:rFonts w:cs="Times New Roman"/>
          <w:lang w:val="en-US"/>
        </w:rPr>
        <w:t xml:space="preserve"> 6, 7, 8, 9 and 11 (all poorly preserved). One may contend that these poems are not written in actual Doric dialect but that they merely show Doric colouring: they display some typical, easily identifiable features of the Doric dialects, but their base language is the literary language which Callimachus uses in all his iambs. This literary language is, indeed, based on the East-Ionic dialect of Archilochus and Hipponax, but it includes markedly fewer of the vernacular elements which Callimachus</w:t>
      </w:r>
      <w:r w:rsidR="00075F5F">
        <w:rPr>
          <w:rFonts w:cs="Times New Roman"/>
          <w:lang w:val="en-US"/>
        </w:rPr>
        <w:t>’</w:t>
      </w:r>
      <w:r w:rsidRPr="00881752">
        <w:rPr>
          <w:rFonts w:cs="Times New Roman"/>
          <w:lang w:val="en-US"/>
        </w:rPr>
        <w:t xml:space="preserve"> predecessors, Hipponax especially, drew directly from their spoken language. </w:t>
      </w:r>
    </w:p>
    <w:p w14:paraId="3BE7E247" w14:textId="7BCB37DA" w:rsidR="009C4864" w:rsidRPr="00881752" w:rsidRDefault="009C4864" w:rsidP="009C4864">
      <w:pPr>
        <w:rPr>
          <w:rFonts w:cs="Times New Roman"/>
          <w:lang w:val="en-US"/>
        </w:rPr>
      </w:pPr>
      <w:r w:rsidRPr="00881752">
        <w:rPr>
          <w:rFonts w:cs="Times New Roman"/>
          <w:lang w:val="en-US"/>
        </w:rPr>
        <w:tab/>
        <w:t>In the following table I list the main phonological and morphological features of the iambic languages of Archilochus, Hipponax and Callimachus.</w:t>
      </w:r>
      <w:r w:rsidRPr="00881752">
        <w:rPr>
          <w:rStyle w:val="FootnoteReference"/>
          <w:rFonts w:cs="Times New Roman"/>
          <w:lang w:val="en-US"/>
        </w:rPr>
        <w:footnoteReference w:id="31"/>
      </w:r>
      <w:r w:rsidRPr="00881752">
        <w:rPr>
          <w:rFonts w:cs="Times New Roman"/>
          <w:lang w:val="en-US"/>
        </w:rPr>
        <w:t xml:space="preserve"> In the columns under the iambographers</w:t>
      </w:r>
      <w:r w:rsidR="00075F5F">
        <w:rPr>
          <w:rFonts w:cs="Times New Roman"/>
          <w:lang w:val="en-US"/>
        </w:rPr>
        <w:t>’</w:t>
      </w:r>
      <w:r w:rsidRPr="00881752">
        <w:rPr>
          <w:rFonts w:cs="Times New Roman"/>
          <w:lang w:val="en-US"/>
        </w:rPr>
        <w:t xml:space="preserve"> names the symbol </w:t>
      </w:r>
      <w:r w:rsidR="00CC0615">
        <w:rPr>
          <w:rFonts w:cs="Times New Roman"/>
          <w:lang w:val="en-US"/>
        </w:rPr>
        <w:t>“</w:t>
      </w:r>
      <w:r w:rsidRPr="00881752">
        <w:rPr>
          <w:rFonts w:cs="Times New Roman"/>
          <w:lang w:val="en-US"/>
        </w:rPr>
        <w:t>+</w:t>
      </w:r>
      <w:r w:rsidR="00CC0615">
        <w:rPr>
          <w:rFonts w:cs="Times New Roman"/>
          <w:lang w:val="en-US"/>
        </w:rPr>
        <w:t>”</w:t>
      </w:r>
      <w:r w:rsidRPr="00881752">
        <w:rPr>
          <w:rFonts w:cs="Times New Roman"/>
          <w:lang w:val="en-US"/>
        </w:rPr>
        <w:t xml:space="preserve"> means that the feature in question occurs in the remains of the relevant iambographer</w:t>
      </w:r>
      <w:r w:rsidR="00075F5F">
        <w:rPr>
          <w:rFonts w:cs="Times New Roman"/>
          <w:lang w:val="en-US"/>
        </w:rPr>
        <w:t>’</w:t>
      </w:r>
      <w:r w:rsidRPr="00881752">
        <w:rPr>
          <w:rFonts w:cs="Times New Roman"/>
          <w:lang w:val="en-US"/>
        </w:rPr>
        <w:t xml:space="preserve">s poetry; the symbol </w:t>
      </w:r>
      <w:r w:rsidR="00CC0615">
        <w:rPr>
          <w:rFonts w:cs="Times New Roman"/>
          <w:lang w:val="en-US"/>
        </w:rPr>
        <w:t>“</w:t>
      </w:r>
      <w:r w:rsidRPr="00881752">
        <w:rPr>
          <w:rFonts w:cs="Times New Roman"/>
          <w:lang w:val="en-US"/>
        </w:rPr>
        <w:t>–</w:t>
      </w:r>
      <w:r w:rsidR="00CC0615">
        <w:rPr>
          <w:rFonts w:cs="Times New Roman"/>
          <w:lang w:val="en-US"/>
        </w:rPr>
        <w:t>”</w:t>
      </w:r>
      <w:r w:rsidRPr="00881752">
        <w:rPr>
          <w:rFonts w:cs="Times New Roman"/>
          <w:lang w:val="en-US"/>
        </w:rPr>
        <w:t xml:space="preserve"> that the feature does not </w:t>
      </w:r>
      <w:r w:rsidRPr="00881752">
        <w:rPr>
          <w:rFonts w:cs="Times New Roman"/>
          <w:lang w:val="en-US"/>
        </w:rPr>
        <w:lastRenderedPageBreak/>
        <w:t xml:space="preserve">occur in the extant evidence. The table is linked to the evidence collected in Appendix </w:t>
      </w:r>
      <w:r w:rsidRPr="00881752">
        <w:rPr>
          <w:rFonts w:cs="Times New Roman"/>
          <w:b/>
          <w:bCs/>
          <w:lang w:val="en-US"/>
        </w:rPr>
        <w:t xml:space="preserve">1 </w:t>
      </w:r>
      <w:r w:rsidRPr="00881752">
        <w:rPr>
          <w:rFonts w:cs="Times New Roman"/>
          <w:lang w:val="en-US"/>
        </w:rPr>
        <w:t>A (referenced in the third column) and to the notes that follow the table (referenced in the final column). For Callimachus</w:t>
      </w:r>
      <w:r w:rsidR="00075F5F">
        <w:rPr>
          <w:rFonts w:cs="Times New Roman"/>
          <w:lang w:val="en-US"/>
        </w:rPr>
        <w:t>’</w:t>
      </w:r>
      <w:r w:rsidRPr="00881752">
        <w:rPr>
          <w:rFonts w:cs="Times New Roman"/>
          <w:lang w:val="en-US"/>
        </w:rPr>
        <w:t xml:space="preserve"> corpus this survey also takes into consideration the </w:t>
      </w:r>
      <w:r w:rsidR="00CC0615">
        <w:rPr>
          <w:rFonts w:cs="Times New Roman"/>
          <w:lang w:val="en-US"/>
        </w:rPr>
        <w:t>“</w:t>
      </w:r>
      <w:r w:rsidRPr="00881752">
        <w:rPr>
          <w:rFonts w:cs="Times New Roman"/>
          <w:lang w:val="en-US"/>
        </w:rPr>
        <w:t>Doric</w:t>
      </w:r>
      <w:r w:rsidR="00CC0615">
        <w:rPr>
          <w:rFonts w:cs="Times New Roman"/>
          <w:lang w:val="en-US"/>
        </w:rPr>
        <w:t>”</w:t>
      </w:r>
      <w:r w:rsidRPr="00881752">
        <w:rPr>
          <w:rFonts w:cs="Times New Roman"/>
          <w:lang w:val="en-US"/>
        </w:rPr>
        <w:t xml:space="preserve"> poems (</w:t>
      </w:r>
      <w:r w:rsidRPr="00881752">
        <w:rPr>
          <w:rFonts w:cs="Times New Roman"/>
          <w:i/>
          <w:iCs/>
          <w:lang w:val="en-US"/>
        </w:rPr>
        <w:t>Ia.</w:t>
      </w:r>
      <w:r w:rsidRPr="00881752">
        <w:rPr>
          <w:rFonts w:cs="Times New Roman"/>
          <w:lang w:val="en-US"/>
        </w:rPr>
        <w:t xml:space="preserve"> 6, 7, 8, 9 and 11) in cases where the relevant features are not affected by the Doric colouring. </w:t>
      </w:r>
    </w:p>
    <w:p w14:paraId="49E0983B" w14:textId="66DEDCFB" w:rsidR="009C4864" w:rsidRPr="00881752" w:rsidRDefault="009C4864" w:rsidP="009C4864">
      <w:pPr>
        <w:ind w:firstLine="284"/>
        <w:rPr>
          <w:rFonts w:cs="Times New Roman"/>
          <w:lang w:val="en-US"/>
        </w:rPr>
      </w:pPr>
      <w:r w:rsidRPr="00881752">
        <w:rPr>
          <w:rFonts w:cs="Times New Roman"/>
          <w:lang w:val="en-US"/>
        </w:rPr>
        <w:t>For the phonological and morphological features listed and discussed below I rely on the textual evidence as it is provided by the reference editions I use in this thesis, namely Tarditi</w:t>
      </w:r>
      <w:r w:rsidR="00075F5F">
        <w:rPr>
          <w:rFonts w:cs="Times New Roman"/>
          <w:lang w:val="en-US"/>
        </w:rPr>
        <w:t>’</w:t>
      </w:r>
      <w:r w:rsidRPr="00881752">
        <w:rPr>
          <w:rFonts w:cs="Times New Roman"/>
          <w:lang w:val="en-US"/>
        </w:rPr>
        <w:t>s Archilochus, Degani</w:t>
      </w:r>
      <w:r w:rsidR="00075F5F">
        <w:rPr>
          <w:rFonts w:cs="Times New Roman"/>
          <w:lang w:val="en-US"/>
        </w:rPr>
        <w:t>’</w:t>
      </w:r>
      <w:r w:rsidRPr="00881752">
        <w:rPr>
          <w:rFonts w:cs="Times New Roman"/>
          <w:lang w:val="en-US"/>
        </w:rPr>
        <w:t>s Hipponax, and Pfeiffer</w:t>
      </w:r>
      <w:r w:rsidR="00075F5F">
        <w:rPr>
          <w:rFonts w:cs="Times New Roman"/>
          <w:lang w:val="en-US"/>
        </w:rPr>
        <w:t>’</w:t>
      </w:r>
      <w:r w:rsidRPr="00881752">
        <w:rPr>
          <w:rFonts w:cs="Times New Roman"/>
          <w:lang w:val="en-US"/>
        </w:rPr>
        <w:t>s Callimachus. It should be noted that the process of transmission has caused significant difficulties regarding dialectal features and other formal characteristics, especially for Archilochus and Hipponax where we must reckon not only with mistakes and conscious alterations (normalisations) introduced by copyists but also with the influence of the fragments</w:t>
      </w:r>
      <w:r w:rsidR="00075F5F">
        <w:rPr>
          <w:rFonts w:cs="Times New Roman"/>
          <w:lang w:val="en-US"/>
        </w:rPr>
        <w:t>’</w:t>
      </w:r>
      <w:r w:rsidRPr="00881752">
        <w:rPr>
          <w:rFonts w:cs="Times New Roman"/>
          <w:lang w:val="en-US"/>
        </w:rPr>
        <w:t xml:space="preserve"> mediating sources. As a result, it is not always possible to distinguish with certainty from the textual evidence what the poet originally wrote and editors must rely to a certain degree on comparison with other sources. </w:t>
      </w:r>
    </w:p>
    <w:p w14:paraId="483CF27D" w14:textId="371F78DC" w:rsidR="009C4864" w:rsidRPr="00881752" w:rsidRDefault="009C4864" w:rsidP="009C4864">
      <w:pPr>
        <w:ind w:firstLine="284"/>
        <w:rPr>
          <w:rFonts w:cs="Times New Roman"/>
          <w:lang w:val="en-US"/>
        </w:rPr>
      </w:pPr>
      <w:r w:rsidRPr="00881752">
        <w:rPr>
          <w:rFonts w:cs="Times New Roman"/>
          <w:lang w:val="en-US"/>
        </w:rPr>
        <w:t>Since my aim is to highlight the linguistic similarities and differences between Callimachus and his two archaic models, a further complication also arises. When Callimachus diverges from the forms which, we may reasonably assume, were used by Archilochus and Hipponax, we should reckon with the possibility that this divergence is not due to Callimachus</w:t>
      </w:r>
      <w:r w:rsidR="00075F5F">
        <w:rPr>
          <w:rFonts w:cs="Times New Roman"/>
          <w:lang w:val="en-US"/>
        </w:rPr>
        <w:t>’</w:t>
      </w:r>
      <w:r w:rsidRPr="00881752">
        <w:rPr>
          <w:rFonts w:cs="Times New Roman"/>
          <w:lang w:val="en-US"/>
        </w:rPr>
        <w:t xml:space="preserve"> conscious choice but was already present in the text of the poems of Archilochus and Hipponax as Callimachus knew them. Indeed, some differences in the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seem to correspond to normalisations of the East-Ionic spelling allegedly introduced by Attic copyists.</w:t>
      </w:r>
      <w:r w:rsidRPr="00881752">
        <w:rPr>
          <w:rStyle w:val="FootnoteReference"/>
          <w:rFonts w:cs="Times New Roman"/>
          <w:lang w:val="en-US"/>
        </w:rPr>
        <w:footnoteReference w:id="32"/>
      </w:r>
      <w:r w:rsidRPr="00881752">
        <w:rPr>
          <w:rFonts w:cs="Times New Roman"/>
          <w:lang w:val="en-US"/>
        </w:rPr>
        <w:t xml:space="preserve"> In the following survey I will deal with such problems of transmission as they occur. </w:t>
      </w:r>
    </w:p>
    <w:p w14:paraId="5570693E" w14:textId="1F6E1988" w:rsidR="00D92287" w:rsidRPr="00881752" w:rsidRDefault="00D92287" w:rsidP="00695A7C">
      <w:pPr>
        <w:rPr>
          <w:rFonts w:cs="Times New Roman"/>
          <w:szCs w:val="24"/>
        </w:rPr>
      </w:pPr>
    </w:p>
    <w:tbl>
      <w:tblPr>
        <w:tblStyle w:val="TableGrid"/>
        <w:tblW w:w="0" w:type="auto"/>
        <w:tblLayout w:type="fixed"/>
        <w:tblLook w:val="04A0" w:firstRow="1" w:lastRow="0" w:firstColumn="1" w:lastColumn="0" w:noHBand="0" w:noVBand="1"/>
      </w:tblPr>
      <w:tblGrid>
        <w:gridCol w:w="534"/>
        <w:gridCol w:w="2835"/>
        <w:gridCol w:w="850"/>
        <w:gridCol w:w="567"/>
        <w:gridCol w:w="567"/>
        <w:gridCol w:w="567"/>
        <w:gridCol w:w="2596"/>
      </w:tblGrid>
      <w:tr w:rsidR="00BA6A90" w:rsidRPr="00881752" w14:paraId="78AEA5EF" w14:textId="77777777" w:rsidTr="002F55F1">
        <w:tc>
          <w:tcPr>
            <w:tcW w:w="534" w:type="dxa"/>
            <w:vMerge w:val="restart"/>
          </w:tcPr>
          <w:p w14:paraId="22BCF336" w14:textId="47E18CE5" w:rsidR="00BA6A90" w:rsidRPr="00881752" w:rsidRDefault="00BA6A90" w:rsidP="009630F3">
            <w:pPr>
              <w:keepNext/>
              <w:keepLines/>
              <w:tabs>
                <w:tab w:val="clear" w:pos="425"/>
                <w:tab w:val="left" w:pos="426"/>
              </w:tabs>
              <w:spacing w:before="60" w:after="60" w:line="300" w:lineRule="exact"/>
              <w:rPr>
                <w:rFonts w:cs="Times New Roman"/>
                <w:sz w:val="20"/>
                <w:szCs w:val="20"/>
              </w:rPr>
            </w:pPr>
          </w:p>
        </w:tc>
        <w:tc>
          <w:tcPr>
            <w:tcW w:w="2835" w:type="dxa"/>
            <w:vMerge w:val="restart"/>
          </w:tcPr>
          <w:p w14:paraId="45CB1FBB" w14:textId="77777777" w:rsidR="00BA6A90" w:rsidRPr="00881752" w:rsidRDefault="00BA6A90"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Feature</w:t>
            </w:r>
          </w:p>
        </w:tc>
        <w:tc>
          <w:tcPr>
            <w:tcW w:w="850" w:type="dxa"/>
            <w:vMerge w:val="restart"/>
          </w:tcPr>
          <w:p w14:paraId="6C98C1D1" w14:textId="0D668C03" w:rsidR="00BA6A90"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Cf.</w:t>
            </w:r>
            <w:r w:rsidR="007C41B8" w:rsidRPr="00881752">
              <w:rPr>
                <w:rFonts w:cs="Times New Roman"/>
                <w:szCs w:val="24"/>
              </w:rPr>
              <w:br/>
            </w:r>
            <w:r w:rsidR="00D3015A" w:rsidRPr="00881752">
              <w:rPr>
                <w:rFonts w:cs="Times New Roman"/>
                <w:szCs w:val="24"/>
              </w:rPr>
              <w:t>App.</w:t>
            </w:r>
          </w:p>
        </w:tc>
        <w:tc>
          <w:tcPr>
            <w:tcW w:w="1701" w:type="dxa"/>
            <w:gridSpan w:val="3"/>
          </w:tcPr>
          <w:p w14:paraId="3B505AF9" w14:textId="77777777" w:rsidR="00BA6A90" w:rsidRPr="00881752" w:rsidRDefault="00BA6A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szCs w:val="24"/>
              </w:rPr>
              <w:t>Author</w:t>
            </w:r>
          </w:p>
        </w:tc>
        <w:tc>
          <w:tcPr>
            <w:tcW w:w="2596" w:type="dxa"/>
            <w:vMerge w:val="restart"/>
          </w:tcPr>
          <w:p w14:paraId="14BED99A" w14:textId="64B207D1" w:rsidR="00BA6A90" w:rsidRPr="00881752" w:rsidRDefault="00D3015A" w:rsidP="009630F3">
            <w:pPr>
              <w:keepNext/>
              <w:keepLines/>
              <w:tabs>
                <w:tab w:val="clear" w:pos="425"/>
                <w:tab w:val="left" w:pos="426"/>
              </w:tabs>
              <w:spacing w:before="60" w:after="60" w:line="300" w:lineRule="exact"/>
              <w:rPr>
                <w:rFonts w:cs="Times New Roman"/>
                <w:szCs w:val="24"/>
              </w:rPr>
            </w:pPr>
            <w:r w:rsidRPr="00881752">
              <w:rPr>
                <w:rFonts w:cs="Times New Roman"/>
                <w:szCs w:val="24"/>
              </w:rPr>
              <w:t>Comments</w:t>
            </w:r>
          </w:p>
        </w:tc>
      </w:tr>
      <w:tr w:rsidR="0039394D" w:rsidRPr="00881752" w14:paraId="2E8FE4B2" w14:textId="77777777" w:rsidTr="002F55F1">
        <w:tc>
          <w:tcPr>
            <w:tcW w:w="534" w:type="dxa"/>
            <w:vMerge/>
          </w:tcPr>
          <w:p w14:paraId="5F20BC7B" w14:textId="77777777" w:rsidR="00BA6A90" w:rsidRPr="00881752" w:rsidRDefault="00BA6A90" w:rsidP="009630F3">
            <w:pPr>
              <w:keepNext/>
              <w:keepLines/>
              <w:tabs>
                <w:tab w:val="clear" w:pos="425"/>
                <w:tab w:val="left" w:pos="426"/>
              </w:tabs>
              <w:spacing w:before="60" w:after="60" w:line="300" w:lineRule="exact"/>
              <w:rPr>
                <w:rFonts w:cs="Times New Roman"/>
                <w:sz w:val="20"/>
                <w:szCs w:val="20"/>
              </w:rPr>
            </w:pPr>
          </w:p>
        </w:tc>
        <w:tc>
          <w:tcPr>
            <w:tcW w:w="2835" w:type="dxa"/>
            <w:vMerge/>
          </w:tcPr>
          <w:p w14:paraId="05EBA1DD" w14:textId="77777777" w:rsidR="00BA6A90" w:rsidRPr="00881752" w:rsidRDefault="00BA6A90" w:rsidP="009630F3">
            <w:pPr>
              <w:keepNext/>
              <w:keepLines/>
              <w:tabs>
                <w:tab w:val="clear" w:pos="425"/>
                <w:tab w:val="left" w:pos="426"/>
              </w:tabs>
              <w:spacing w:before="60" w:after="60" w:line="300" w:lineRule="exact"/>
              <w:rPr>
                <w:rFonts w:cs="Times New Roman"/>
                <w:sz w:val="20"/>
                <w:szCs w:val="20"/>
              </w:rPr>
            </w:pPr>
          </w:p>
        </w:tc>
        <w:tc>
          <w:tcPr>
            <w:tcW w:w="850" w:type="dxa"/>
            <w:vMerge/>
          </w:tcPr>
          <w:p w14:paraId="3BAD5355" w14:textId="77777777" w:rsidR="00BA6A90" w:rsidRPr="00881752" w:rsidRDefault="00BA6A90" w:rsidP="009630F3">
            <w:pPr>
              <w:keepNext/>
              <w:keepLines/>
              <w:tabs>
                <w:tab w:val="clear" w:pos="425"/>
                <w:tab w:val="left" w:pos="426"/>
              </w:tabs>
              <w:spacing w:before="60" w:after="60" w:line="300" w:lineRule="exact"/>
              <w:rPr>
                <w:rFonts w:cs="Times New Roman"/>
                <w:sz w:val="20"/>
                <w:szCs w:val="20"/>
              </w:rPr>
            </w:pPr>
          </w:p>
        </w:tc>
        <w:tc>
          <w:tcPr>
            <w:tcW w:w="567" w:type="dxa"/>
          </w:tcPr>
          <w:p w14:paraId="0362B8A0" w14:textId="7218BC99" w:rsidR="00BA6A90" w:rsidRPr="00881752" w:rsidRDefault="00BA6A90" w:rsidP="009630F3">
            <w:pPr>
              <w:keepNext/>
              <w:keepLines/>
              <w:tabs>
                <w:tab w:val="clear" w:pos="425"/>
                <w:tab w:val="left" w:pos="426"/>
              </w:tabs>
              <w:spacing w:before="60" w:after="60" w:line="300" w:lineRule="exact"/>
              <w:rPr>
                <w:rFonts w:cs="Times New Roman"/>
                <w:sz w:val="16"/>
                <w:szCs w:val="16"/>
              </w:rPr>
            </w:pPr>
            <w:r w:rsidRPr="00881752">
              <w:rPr>
                <w:rFonts w:cs="Times New Roman"/>
                <w:sz w:val="16"/>
                <w:szCs w:val="16"/>
              </w:rPr>
              <w:t>A</w:t>
            </w:r>
            <w:r w:rsidR="00AB0C21" w:rsidRPr="00881752">
              <w:rPr>
                <w:rFonts w:cs="Times New Roman"/>
                <w:sz w:val="16"/>
                <w:szCs w:val="16"/>
              </w:rPr>
              <w:t>rch</w:t>
            </w:r>
          </w:p>
        </w:tc>
        <w:tc>
          <w:tcPr>
            <w:tcW w:w="567" w:type="dxa"/>
          </w:tcPr>
          <w:p w14:paraId="7D51964E" w14:textId="3A083BF5" w:rsidR="00BA6A90" w:rsidRPr="00881752" w:rsidRDefault="00BA6A90" w:rsidP="009630F3">
            <w:pPr>
              <w:keepNext/>
              <w:keepLines/>
              <w:tabs>
                <w:tab w:val="clear" w:pos="425"/>
                <w:tab w:val="left" w:pos="426"/>
              </w:tabs>
              <w:spacing w:before="60" w:after="60" w:line="300" w:lineRule="exact"/>
              <w:rPr>
                <w:rFonts w:cs="Times New Roman"/>
                <w:sz w:val="16"/>
                <w:szCs w:val="16"/>
              </w:rPr>
            </w:pPr>
            <w:r w:rsidRPr="00881752">
              <w:rPr>
                <w:rFonts w:cs="Times New Roman"/>
                <w:sz w:val="16"/>
                <w:szCs w:val="16"/>
              </w:rPr>
              <w:t>H</w:t>
            </w:r>
            <w:r w:rsidR="00AB0C21" w:rsidRPr="00881752">
              <w:rPr>
                <w:rFonts w:cs="Times New Roman"/>
                <w:sz w:val="16"/>
                <w:szCs w:val="16"/>
              </w:rPr>
              <w:t>ipp</w:t>
            </w:r>
          </w:p>
        </w:tc>
        <w:tc>
          <w:tcPr>
            <w:tcW w:w="567" w:type="dxa"/>
          </w:tcPr>
          <w:p w14:paraId="3E0039C7" w14:textId="2C6C8B3F" w:rsidR="00BA6A90" w:rsidRPr="00881752" w:rsidRDefault="00BA6A90" w:rsidP="009630F3">
            <w:pPr>
              <w:keepNext/>
              <w:keepLines/>
              <w:tabs>
                <w:tab w:val="clear" w:pos="425"/>
                <w:tab w:val="left" w:pos="426"/>
              </w:tabs>
              <w:spacing w:before="60" w:after="60" w:line="300" w:lineRule="exact"/>
              <w:rPr>
                <w:rFonts w:cs="Times New Roman"/>
                <w:sz w:val="16"/>
                <w:szCs w:val="16"/>
              </w:rPr>
            </w:pPr>
            <w:r w:rsidRPr="00881752">
              <w:rPr>
                <w:rFonts w:cs="Times New Roman"/>
                <w:sz w:val="16"/>
                <w:szCs w:val="16"/>
              </w:rPr>
              <w:t>C</w:t>
            </w:r>
            <w:r w:rsidR="00AB0C21" w:rsidRPr="00881752">
              <w:rPr>
                <w:rFonts w:cs="Times New Roman"/>
                <w:sz w:val="16"/>
                <w:szCs w:val="16"/>
              </w:rPr>
              <w:t>all</w:t>
            </w:r>
          </w:p>
        </w:tc>
        <w:tc>
          <w:tcPr>
            <w:tcW w:w="2596" w:type="dxa"/>
            <w:vMerge/>
          </w:tcPr>
          <w:p w14:paraId="29B5627B" w14:textId="77777777" w:rsidR="00BA6A90" w:rsidRPr="00881752" w:rsidRDefault="00BA6A90" w:rsidP="009630F3">
            <w:pPr>
              <w:keepNext/>
              <w:keepLines/>
              <w:tabs>
                <w:tab w:val="clear" w:pos="425"/>
                <w:tab w:val="left" w:pos="426"/>
              </w:tabs>
              <w:spacing w:before="60" w:after="60" w:line="300" w:lineRule="exact"/>
              <w:rPr>
                <w:rFonts w:cs="Times New Roman"/>
                <w:sz w:val="20"/>
                <w:szCs w:val="20"/>
              </w:rPr>
            </w:pPr>
          </w:p>
        </w:tc>
      </w:tr>
      <w:tr w:rsidR="00A67CCE" w:rsidRPr="00881752" w14:paraId="490BBCBA" w14:textId="77777777" w:rsidTr="002F55F1">
        <w:trPr>
          <w:trHeight w:val="372"/>
        </w:trPr>
        <w:tc>
          <w:tcPr>
            <w:tcW w:w="534" w:type="dxa"/>
          </w:tcPr>
          <w:p w14:paraId="61455C99" w14:textId="77777777" w:rsidR="00A67CCE" w:rsidRPr="00881752" w:rsidRDefault="00A67CCE" w:rsidP="009630F3">
            <w:pPr>
              <w:keepNext/>
              <w:keepLines/>
              <w:tabs>
                <w:tab w:val="clear" w:pos="425"/>
                <w:tab w:val="left" w:pos="426"/>
              </w:tabs>
              <w:spacing w:before="60" w:after="60" w:line="300" w:lineRule="exact"/>
              <w:rPr>
                <w:rFonts w:cs="Times New Roman"/>
                <w:szCs w:val="24"/>
              </w:rPr>
            </w:pPr>
          </w:p>
        </w:tc>
        <w:tc>
          <w:tcPr>
            <w:tcW w:w="7982" w:type="dxa"/>
            <w:gridSpan w:val="6"/>
          </w:tcPr>
          <w:p w14:paraId="4C6E930A" w14:textId="44CCDFEA" w:rsidR="00A67CCE" w:rsidRPr="00881752" w:rsidRDefault="00A67CCE"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i/>
                <w:szCs w:val="24"/>
              </w:rPr>
              <w:t>Phonology</w:t>
            </w:r>
          </w:p>
        </w:tc>
      </w:tr>
      <w:tr w:rsidR="0039394D" w:rsidRPr="00881752" w14:paraId="17C106A2" w14:textId="77777777" w:rsidTr="00801909">
        <w:trPr>
          <w:trHeight w:val="194"/>
        </w:trPr>
        <w:tc>
          <w:tcPr>
            <w:tcW w:w="534" w:type="dxa"/>
          </w:tcPr>
          <w:p w14:paraId="6253FA18" w14:textId="77777777" w:rsidR="00BA6A90" w:rsidRPr="00881752" w:rsidRDefault="00BA6A90" w:rsidP="009630F3">
            <w:pPr>
              <w:keepNext/>
              <w:keepLines/>
              <w:tabs>
                <w:tab w:val="clear" w:pos="425"/>
                <w:tab w:val="left" w:pos="426"/>
              </w:tabs>
              <w:spacing w:before="60" w:after="60" w:line="300" w:lineRule="exact"/>
              <w:rPr>
                <w:rFonts w:cs="Times New Roman"/>
                <w:szCs w:val="24"/>
              </w:rPr>
            </w:pPr>
            <w:r w:rsidRPr="00881752">
              <w:rPr>
                <w:rFonts w:cs="Times New Roman"/>
                <w:szCs w:val="24"/>
              </w:rPr>
              <w:t>1</w:t>
            </w:r>
          </w:p>
        </w:tc>
        <w:tc>
          <w:tcPr>
            <w:tcW w:w="2835" w:type="dxa"/>
          </w:tcPr>
          <w:p w14:paraId="4AAE5258" w14:textId="78BD05AC" w:rsidR="00BA6A90"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ending ε: for α: after ε, ι, ρ</w:t>
            </w:r>
          </w:p>
        </w:tc>
        <w:tc>
          <w:tcPr>
            <w:tcW w:w="850" w:type="dxa"/>
          </w:tcPr>
          <w:p w14:paraId="1C99DBD4" w14:textId="2336242D" w:rsidR="00BA6A90" w:rsidRPr="00881752" w:rsidRDefault="00896D90" w:rsidP="009630F3">
            <w:pPr>
              <w:keepNext/>
              <w:keepLines/>
              <w:tabs>
                <w:tab w:val="clear" w:pos="425"/>
                <w:tab w:val="left" w:pos="426"/>
              </w:tabs>
              <w:spacing w:before="60" w:after="60" w:line="300" w:lineRule="exact"/>
              <w:rPr>
                <w:rFonts w:cs="Times New Roman"/>
                <w:szCs w:val="24"/>
              </w:rPr>
            </w:pPr>
            <w:r w:rsidRPr="00881752">
              <w:rPr>
                <w:rFonts w:cs="Times New Roman"/>
                <w:b/>
                <w:szCs w:val="24"/>
              </w:rPr>
              <w:t>1</w:t>
            </w:r>
            <w:r w:rsidR="001500B2" w:rsidRPr="00881752">
              <w:rPr>
                <w:rFonts w:cs="Times New Roman"/>
                <w:b/>
                <w:szCs w:val="24"/>
              </w:rPr>
              <w:t xml:space="preserve"> </w:t>
            </w:r>
            <w:r w:rsidR="00274868" w:rsidRPr="00881752">
              <w:rPr>
                <w:rFonts w:cs="Times New Roman"/>
                <w:szCs w:val="24"/>
              </w:rPr>
              <w:t>A.1</w:t>
            </w:r>
          </w:p>
        </w:tc>
        <w:tc>
          <w:tcPr>
            <w:tcW w:w="567" w:type="dxa"/>
          </w:tcPr>
          <w:p w14:paraId="55931008" w14:textId="77777777" w:rsidR="00BA6A90" w:rsidRPr="00881752" w:rsidRDefault="00274868"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05DAEFB5" w14:textId="77777777" w:rsidR="00BA6A90" w:rsidRPr="00881752" w:rsidRDefault="00274868"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B2A9C57" w14:textId="77777777" w:rsidR="00BA6A90" w:rsidRPr="00881752" w:rsidRDefault="00274868"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6CBC882D" w14:textId="4EF3377F" w:rsidR="00BA6A90" w:rsidRPr="00881752" w:rsidRDefault="004B67DF" w:rsidP="009630F3">
            <w:pPr>
              <w:keepNext/>
              <w:keepLines/>
              <w:tabs>
                <w:tab w:val="clear" w:pos="425"/>
                <w:tab w:val="left" w:pos="426"/>
              </w:tabs>
              <w:spacing w:before="60" w:after="60" w:line="300" w:lineRule="exact"/>
              <w:rPr>
                <w:rFonts w:cs="Times New Roman"/>
                <w:szCs w:val="24"/>
              </w:rPr>
            </w:pPr>
            <w:r w:rsidRPr="00881752">
              <w:rPr>
                <w:rFonts w:cs="Times New Roman"/>
                <w:szCs w:val="24"/>
              </w:rPr>
              <w:t xml:space="preserve">Exceptions </w:t>
            </w:r>
            <w:r w:rsidR="00E36226" w:rsidRPr="00881752">
              <w:rPr>
                <w:rFonts w:cs="Times New Roman"/>
                <w:szCs w:val="24"/>
              </w:rPr>
              <w:t>in Call. (1)</w:t>
            </w:r>
          </w:p>
        </w:tc>
      </w:tr>
      <w:tr w:rsidR="0039394D" w:rsidRPr="00881752" w14:paraId="77F8792C" w14:textId="77777777" w:rsidTr="002F55F1">
        <w:tc>
          <w:tcPr>
            <w:tcW w:w="534" w:type="dxa"/>
          </w:tcPr>
          <w:p w14:paraId="01507D54" w14:textId="78AF66D2" w:rsidR="008E5B9C"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2</w:t>
            </w:r>
          </w:p>
        </w:tc>
        <w:tc>
          <w:tcPr>
            <w:tcW w:w="2835" w:type="dxa"/>
          </w:tcPr>
          <w:p w14:paraId="07E4A116" w14:textId="38AA93DD" w:rsidR="008E5B9C" w:rsidRPr="00881752" w:rsidRDefault="008E5B9C" w:rsidP="009630F3">
            <w:pPr>
              <w:keepNext/>
              <w:keepLines/>
              <w:tabs>
                <w:tab w:val="clear" w:pos="425"/>
                <w:tab w:val="left" w:pos="426"/>
              </w:tabs>
              <w:spacing w:before="60" w:after="60" w:line="300" w:lineRule="exact"/>
              <w:rPr>
                <w:rFonts w:cs="Times New Roman"/>
                <w:szCs w:val="24"/>
              </w:rPr>
            </w:pPr>
            <w:r w:rsidRPr="00881752">
              <w:rPr>
                <w:rFonts w:cs="Times New Roman"/>
                <w:szCs w:val="24"/>
              </w:rPr>
              <w:t xml:space="preserve">ɛ: for </w:t>
            </w:r>
            <w:r w:rsidR="0039394D" w:rsidRPr="00881752">
              <w:rPr>
                <w:rFonts w:cs="Times New Roman"/>
                <w:szCs w:val="24"/>
              </w:rPr>
              <w:t>α: inside the word</w:t>
            </w:r>
          </w:p>
        </w:tc>
        <w:tc>
          <w:tcPr>
            <w:tcW w:w="850" w:type="dxa"/>
          </w:tcPr>
          <w:p w14:paraId="69048ADA" w14:textId="63A4D661" w:rsidR="008E5B9C" w:rsidRPr="00881752" w:rsidRDefault="00896D90" w:rsidP="009630F3">
            <w:pPr>
              <w:keepNext/>
              <w:keepLines/>
              <w:tabs>
                <w:tab w:val="clear" w:pos="425"/>
                <w:tab w:val="left" w:pos="426"/>
              </w:tabs>
              <w:spacing w:before="60" w:after="60" w:line="300" w:lineRule="exact"/>
              <w:rPr>
                <w:rFonts w:cs="Times New Roman"/>
                <w:b/>
                <w:szCs w:val="24"/>
              </w:rPr>
            </w:pPr>
            <w:r w:rsidRPr="00881752">
              <w:rPr>
                <w:rFonts w:cs="Times New Roman"/>
                <w:b/>
                <w:szCs w:val="24"/>
              </w:rPr>
              <w:t>1</w:t>
            </w:r>
            <w:r w:rsidR="008E5B9C" w:rsidRPr="00881752">
              <w:rPr>
                <w:rFonts w:cs="Times New Roman"/>
                <w:b/>
                <w:szCs w:val="24"/>
              </w:rPr>
              <w:t xml:space="preserve"> </w:t>
            </w:r>
            <w:r w:rsidR="008E5B9C" w:rsidRPr="00881752">
              <w:rPr>
                <w:rFonts w:cs="Times New Roman"/>
                <w:szCs w:val="24"/>
              </w:rPr>
              <w:t>A.</w:t>
            </w:r>
            <w:r w:rsidR="0039394D" w:rsidRPr="00881752">
              <w:rPr>
                <w:rFonts w:cs="Times New Roman"/>
                <w:szCs w:val="24"/>
              </w:rPr>
              <w:t>2</w:t>
            </w:r>
          </w:p>
        </w:tc>
        <w:tc>
          <w:tcPr>
            <w:tcW w:w="567" w:type="dxa"/>
          </w:tcPr>
          <w:p w14:paraId="6E4FCBEF" w14:textId="0C6942D5" w:rsidR="008E5B9C" w:rsidRPr="00881752" w:rsidRDefault="008E5B9C"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064F8637" w14:textId="3D3597E2" w:rsidR="008E5B9C" w:rsidRPr="00881752" w:rsidRDefault="008E5B9C"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3DC9F28" w14:textId="7D453D3D" w:rsidR="008E5B9C" w:rsidRPr="00881752" w:rsidRDefault="008E5B9C"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31D29DB2" w14:textId="2E50937A" w:rsidR="008E5B9C"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Call. πιπρήσκουσι</w:t>
            </w:r>
            <w:r w:rsidR="009102E1" w:rsidRPr="00881752">
              <w:rPr>
                <w:rFonts w:cs="Times New Roman"/>
                <w:szCs w:val="24"/>
              </w:rPr>
              <w:t xml:space="preserve"> (2</w:t>
            </w:r>
            <w:r w:rsidR="00E36226" w:rsidRPr="00881752">
              <w:rPr>
                <w:rFonts w:cs="Times New Roman"/>
                <w:szCs w:val="24"/>
              </w:rPr>
              <w:t>)</w:t>
            </w:r>
          </w:p>
        </w:tc>
      </w:tr>
      <w:tr w:rsidR="0039394D" w:rsidRPr="00881752" w14:paraId="11894227" w14:textId="77777777" w:rsidTr="002F55F1">
        <w:tc>
          <w:tcPr>
            <w:tcW w:w="534" w:type="dxa"/>
          </w:tcPr>
          <w:p w14:paraId="6328380F" w14:textId="77777777" w:rsidR="00BA6A90" w:rsidRPr="00881752" w:rsidRDefault="00BA6A90"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2</w:t>
            </w:r>
          </w:p>
        </w:tc>
        <w:tc>
          <w:tcPr>
            <w:tcW w:w="2835" w:type="dxa"/>
          </w:tcPr>
          <w:p w14:paraId="18FB9508" w14:textId="5577BE5E" w:rsidR="00BA6A90" w:rsidRPr="00881752" w:rsidRDefault="00BA6A90"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 xml:space="preserve">-σσ- </w:t>
            </w:r>
            <w:r w:rsidR="00B21E94" w:rsidRPr="00881752">
              <w:rPr>
                <w:rFonts w:cs="Times New Roman"/>
                <w:szCs w:val="24"/>
              </w:rPr>
              <w:t xml:space="preserve">not </w:t>
            </w:r>
            <w:r w:rsidRPr="00881752">
              <w:rPr>
                <w:rFonts w:cs="Times New Roman"/>
                <w:szCs w:val="24"/>
              </w:rPr>
              <w:t>-ττ-</w:t>
            </w:r>
          </w:p>
        </w:tc>
        <w:tc>
          <w:tcPr>
            <w:tcW w:w="850" w:type="dxa"/>
          </w:tcPr>
          <w:p w14:paraId="069117DF" w14:textId="21BC38C9" w:rsidR="00BA6A90"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1500B2" w:rsidRPr="00881752">
              <w:rPr>
                <w:rFonts w:cs="Times New Roman"/>
                <w:b/>
                <w:szCs w:val="24"/>
              </w:rPr>
              <w:t xml:space="preserve"> </w:t>
            </w:r>
            <w:r w:rsidR="00274868" w:rsidRPr="00881752">
              <w:rPr>
                <w:rFonts w:cs="Times New Roman"/>
                <w:szCs w:val="24"/>
              </w:rPr>
              <w:t>A.</w:t>
            </w:r>
            <w:r w:rsidR="001F0E51" w:rsidRPr="00881752">
              <w:rPr>
                <w:rFonts w:cs="Times New Roman"/>
                <w:szCs w:val="24"/>
              </w:rPr>
              <w:t>3</w:t>
            </w:r>
          </w:p>
        </w:tc>
        <w:tc>
          <w:tcPr>
            <w:tcW w:w="567" w:type="dxa"/>
          </w:tcPr>
          <w:p w14:paraId="074D6FD3" w14:textId="77777777" w:rsidR="00BA6A90" w:rsidRPr="00881752" w:rsidRDefault="00274868"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40C7B2C4" w14:textId="77777777" w:rsidR="00BA6A90" w:rsidRPr="00881752" w:rsidRDefault="00274868"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4821DD1F" w14:textId="77777777" w:rsidR="00BA6A90" w:rsidRPr="00881752" w:rsidRDefault="00274868"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562CD8E2" w14:textId="77777777" w:rsidR="00BA6A90" w:rsidRPr="00881752" w:rsidRDefault="00BA6A90" w:rsidP="009630F3">
            <w:pPr>
              <w:keepNext/>
              <w:keepLines/>
              <w:tabs>
                <w:tab w:val="clear" w:pos="425"/>
                <w:tab w:val="left" w:pos="426"/>
              </w:tabs>
              <w:spacing w:before="60" w:after="60" w:line="300" w:lineRule="exact"/>
              <w:rPr>
                <w:rFonts w:cs="Times New Roman"/>
                <w:szCs w:val="24"/>
              </w:rPr>
            </w:pPr>
          </w:p>
        </w:tc>
      </w:tr>
      <w:tr w:rsidR="0039394D" w:rsidRPr="00881752" w14:paraId="5D1DDE13" w14:textId="77777777" w:rsidTr="002F55F1">
        <w:tc>
          <w:tcPr>
            <w:tcW w:w="534" w:type="dxa"/>
          </w:tcPr>
          <w:p w14:paraId="47A8639B" w14:textId="635F86A6"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3</w:t>
            </w:r>
          </w:p>
        </w:tc>
        <w:tc>
          <w:tcPr>
            <w:tcW w:w="2835" w:type="dxa"/>
          </w:tcPr>
          <w:p w14:paraId="22021A36" w14:textId="6CE1AE36"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-τ/δ/θ+μ- &gt; -σμ-</w:t>
            </w:r>
          </w:p>
        </w:tc>
        <w:tc>
          <w:tcPr>
            <w:tcW w:w="850" w:type="dxa"/>
          </w:tcPr>
          <w:p w14:paraId="45B4487B" w14:textId="77777777" w:rsidR="002F5196" w:rsidRPr="00881752" w:rsidRDefault="002F5196" w:rsidP="009630F3">
            <w:pPr>
              <w:keepNext/>
              <w:keepLines/>
              <w:tabs>
                <w:tab w:val="clear" w:pos="425"/>
                <w:tab w:val="left" w:pos="426"/>
              </w:tabs>
              <w:spacing w:before="60" w:after="60" w:line="300" w:lineRule="exact"/>
              <w:rPr>
                <w:rFonts w:cs="Times New Roman"/>
                <w:b/>
                <w:szCs w:val="24"/>
              </w:rPr>
            </w:pPr>
          </w:p>
        </w:tc>
        <w:tc>
          <w:tcPr>
            <w:tcW w:w="567" w:type="dxa"/>
          </w:tcPr>
          <w:p w14:paraId="304D7FBC" w14:textId="3DA89AF6"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282A1C1A" w14:textId="084D9953"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7284CBE3" w14:textId="23FFC358"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6B8EB760" w14:textId="34714C3A" w:rsidR="002F5196"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 xml:space="preserve">Cf. instances </w:t>
            </w:r>
            <w:r w:rsidR="00F82571" w:rsidRPr="00881752">
              <w:rPr>
                <w:rFonts w:cs="Times New Roman"/>
                <w:szCs w:val="24"/>
              </w:rPr>
              <w:t xml:space="preserve">in </w:t>
            </w:r>
            <w:r w:rsidRPr="00881752">
              <w:rPr>
                <w:rFonts w:cs="Times New Roman"/>
                <w:szCs w:val="24"/>
              </w:rPr>
              <w:t>(3</w:t>
            </w:r>
            <w:r w:rsidR="00E36226" w:rsidRPr="00881752">
              <w:rPr>
                <w:rFonts w:cs="Times New Roman"/>
                <w:szCs w:val="24"/>
              </w:rPr>
              <w:t>)</w:t>
            </w:r>
          </w:p>
        </w:tc>
      </w:tr>
      <w:tr w:rsidR="0039394D" w:rsidRPr="00881752" w14:paraId="1E02CDC2" w14:textId="77777777" w:rsidTr="002F55F1">
        <w:tc>
          <w:tcPr>
            <w:tcW w:w="534" w:type="dxa"/>
          </w:tcPr>
          <w:p w14:paraId="59BB82CC" w14:textId="4CDB4AA4"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4</w:t>
            </w:r>
          </w:p>
        </w:tc>
        <w:tc>
          <w:tcPr>
            <w:tcW w:w="2835" w:type="dxa"/>
          </w:tcPr>
          <w:p w14:paraId="0995A188"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 xml:space="preserve">metathesis </w:t>
            </w:r>
          </w:p>
        </w:tc>
        <w:tc>
          <w:tcPr>
            <w:tcW w:w="850" w:type="dxa"/>
          </w:tcPr>
          <w:p w14:paraId="4C629494" w14:textId="780920AE"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4</w:t>
            </w:r>
          </w:p>
        </w:tc>
        <w:tc>
          <w:tcPr>
            <w:tcW w:w="567" w:type="dxa"/>
          </w:tcPr>
          <w:p w14:paraId="7CEAD81D"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5871D562"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2213EC64"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71607F5C"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0F82F315" w14:textId="77777777" w:rsidTr="002F55F1">
        <w:tc>
          <w:tcPr>
            <w:tcW w:w="534" w:type="dxa"/>
          </w:tcPr>
          <w:p w14:paraId="6C9C3D27" w14:textId="1137AF12"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5</w:t>
            </w:r>
          </w:p>
        </w:tc>
        <w:tc>
          <w:tcPr>
            <w:tcW w:w="2835" w:type="dxa"/>
          </w:tcPr>
          <w:p w14:paraId="40E2EB6B"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synizesis</w:t>
            </w:r>
          </w:p>
        </w:tc>
        <w:tc>
          <w:tcPr>
            <w:tcW w:w="850" w:type="dxa"/>
          </w:tcPr>
          <w:p w14:paraId="5C6E3139" w14:textId="6C2A8F4F"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5</w:t>
            </w:r>
          </w:p>
        </w:tc>
        <w:tc>
          <w:tcPr>
            <w:tcW w:w="567" w:type="dxa"/>
          </w:tcPr>
          <w:p w14:paraId="0A63513F"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1F3082D4"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2317C78C"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624F191A"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5A96A49C" w14:textId="77777777" w:rsidTr="002F55F1">
        <w:tc>
          <w:tcPr>
            <w:tcW w:w="534" w:type="dxa"/>
          </w:tcPr>
          <w:p w14:paraId="2DB4310A" w14:textId="37C8CACD"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6</w:t>
            </w:r>
          </w:p>
        </w:tc>
        <w:tc>
          <w:tcPr>
            <w:tcW w:w="2835" w:type="dxa"/>
          </w:tcPr>
          <w:p w14:paraId="74CA2040"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aphaeresis</w:t>
            </w:r>
          </w:p>
        </w:tc>
        <w:tc>
          <w:tcPr>
            <w:tcW w:w="850" w:type="dxa"/>
          </w:tcPr>
          <w:p w14:paraId="09442C5E" w14:textId="313374CE"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6</w:t>
            </w:r>
          </w:p>
        </w:tc>
        <w:tc>
          <w:tcPr>
            <w:tcW w:w="567" w:type="dxa"/>
          </w:tcPr>
          <w:p w14:paraId="1766C208"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5C2E6301"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7A98FCBE"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5A250DFE"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1FBEC59F" w14:textId="77777777" w:rsidTr="002F55F1">
        <w:tc>
          <w:tcPr>
            <w:tcW w:w="534" w:type="dxa"/>
          </w:tcPr>
          <w:p w14:paraId="6035DE9E" w14:textId="1E14D170"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7</w:t>
            </w:r>
          </w:p>
        </w:tc>
        <w:tc>
          <w:tcPr>
            <w:tcW w:w="2835" w:type="dxa"/>
          </w:tcPr>
          <w:p w14:paraId="0DAA4D76"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crasis</w:t>
            </w:r>
          </w:p>
        </w:tc>
        <w:tc>
          <w:tcPr>
            <w:tcW w:w="850" w:type="dxa"/>
          </w:tcPr>
          <w:p w14:paraId="596A5738" w14:textId="43F27E1B"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7</w:t>
            </w:r>
          </w:p>
        </w:tc>
        <w:tc>
          <w:tcPr>
            <w:tcW w:w="567" w:type="dxa"/>
          </w:tcPr>
          <w:p w14:paraId="5FA0F7C0"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3D4D7CFB"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60C0892A"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555B043F"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34607FB5" w14:textId="77777777" w:rsidTr="002F55F1">
        <w:tc>
          <w:tcPr>
            <w:tcW w:w="534" w:type="dxa"/>
          </w:tcPr>
          <w:p w14:paraId="74B02B57" w14:textId="48DCB490"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8</w:t>
            </w:r>
          </w:p>
        </w:tc>
        <w:tc>
          <w:tcPr>
            <w:tcW w:w="2835" w:type="dxa"/>
          </w:tcPr>
          <w:p w14:paraId="257BACDB"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vowel contraction</w:t>
            </w:r>
          </w:p>
        </w:tc>
        <w:tc>
          <w:tcPr>
            <w:tcW w:w="850" w:type="dxa"/>
          </w:tcPr>
          <w:p w14:paraId="14A317F7" w14:textId="07661934"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8</w:t>
            </w:r>
          </w:p>
        </w:tc>
        <w:tc>
          <w:tcPr>
            <w:tcW w:w="567" w:type="dxa"/>
          </w:tcPr>
          <w:p w14:paraId="4FDB205E"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2475947C"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4DCE26D2"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78B434F4" w14:textId="755A1112"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 xml:space="preserve">mainly in </w:t>
            </w:r>
            <w:r w:rsidRPr="00881752">
              <w:rPr>
                <w:rFonts w:cs="Times New Roman"/>
                <w:i/>
                <w:szCs w:val="24"/>
              </w:rPr>
              <w:t>verba vocalia</w:t>
            </w:r>
          </w:p>
        </w:tc>
      </w:tr>
      <w:tr w:rsidR="0039394D" w:rsidRPr="00881752" w14:paraId="65CD2EC4" w14:textId="77777777" w:rsidTr="002F55F1">
        <w:tc>
          <w:tcPr>
            <w:tcW w:w="534" w:type="dxa"/>
          </w:tcPr>
          <w:p w14:paraId="75102163" w14:textId="72E18DF8"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9</w:t>
            </w:r>
          </w:p>
        </w:tc>
        <w:tc>
          <w:tcPr>
            <w:tcW w:w="2835" w:type="dxa"/>
          </w:tcPr>
          <w:p w14:paraId="06DDBC9E" w14:textId="6DCF05CB"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ephelcystic -ν</w:t>
            </w:r>
          </w:p>
        </w:tc>
        <w:tc>
          <w:tcPr>
            <w:tcW w:w="850" w:type="dxa"/>
          </w:tcPr>
          <w:p w14:paraId="0399B160" w14:textId="5811DFB3" w:rsidR="002F5196"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2F5196" w:rsidRPr="00881752">
              <w:rPr>
                <w:rFonts w:cs="Times New Roman"/>
                <w:b/>
                <w:szCs w:val="24"/>
              </w:rPr>
              <w:t xml:space="preserve"> </w:t>
            </w:r>
            <w:r w:rsidR="002F5196" w:rsidRPr="00881752">
              <w:rPr>
                <w:rFonts w:cs="Times New Roman"/>
                <w:szCs w:val="24"/>
              </w:rPr>
              <w:t>A.</w:t>
            </w:r>
            <w:r w:rsidR="001F0E51" w:rsidRPr="00881752">
              <w:rPr>
                <w:rFonts w:cs="Times New Roman"/>
                <w:szCs w:val="24"/>
              </w:rPr>
              <w:t>9</w:t>
            </w:r>
          </w:p>
        </w:tc>
        <w:tc>
          <w:tcPr>
            <w:tcW w:w="567" w:type="dxa"/>
          </w:tcPr>
          <w:p w14:paraId="3A36574A"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51BF7A30"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39BF6824"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404040" w:themeColor="text1" w:themeTint="BF"/>
                <w:szCs w:val="24"/>
              </w:rPr>
            </w:pPr>
            <w:r w:rsidRPr="00881752">
              <w:rPr>
                <w:rFonts w:cs="Times New Roman"/>
                <w:szCs w:val="24"/>
              </w:rPr>
              <w:t>+</w:t>
            </w:r>
          </w:p>
        </w:tc>
        <w:tc>
          <w:tcPr>
            <w:tcW w:w="2596" w:type="dxa"/>
          </w:tcPr>
          <w:p w14:paraId="7F0B0BB6"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25A88D11" w14:textId="77777777" w:rsidTr="002F55F1">
        <w:tc>
          <w:tcPr>
            <w:tcW w:w="534" w:type="dxa"/>
          </w:tcPr>
          <w:p w14:paraId="0B87F38B" w14:textId="40BFBD94"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10</w:t>
            </w:r>
          </w:p>
        </w:tc>
        <w:tc>
          <w:tcPr>
            <w:tcW w:w="2835" w:type="dxa"/>
          </w:tcPr>
          <w:p w14:paraId="7996C2E8"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Aeolic forms</w:t>
            </w:r>
          </w:p>
        </w:tc>
        <w:tc>
          <w:tcPr>
            <w:tcW w:w="850" w:type="dxa"/>
          </w:tcPr>
          <w:p w14:paraId="27C02CF4"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c>
          <w:tcPr>
            <w:tcW w:w="567" w:type="dxa"/>
          </w:tcPr>
          <w:p w14:paraId="12894B0F" w14:textId="25B9FD67"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8113DB1" w14:textId="6B3B2644"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08786E78" w14:textId="5737F457"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0F32A9CB" w14:textId="2C26DA5B"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6638F06A" w14:textId="77777777" w:rsidTr="002F55F1">
        <w:tc>
          <w:tcPr>
            <w:tcW w:w="534" w:type="dxa"/>
          </w:tcPr>
          <w:p w14:paraId="4E38811E" w14:textId="16D8B1A8"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11</w:t>
            </w:r>
          </w:p>
        </w:tc>
        <w:tc>
          <w:tcPr>
            <w:tcW w:w="2835" w:type="dxa"/>
          </w:tcPr>
          <w:p w14:paraId="68BE41B9"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metrical lengthening</w:t>
            </w:r>
          </w:p>
        </w:tc>
        <w:tc>
          <w:tcPr>
            <w:tcW w:w="850" w:type="dxa"/>
          </w:tcPr>
          <w:p w14:paraId="65EC50A3"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c>
          <w:tcPr>
            <w:tcW w:w="567" w:type="dxa"/>
          </w:tcPr>
          <w:p w14:paraId="35DE75C7" w14:textId="4A5242A3"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25910BC" w14:textId="10DEB1A8"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1DE3D40A" w14:textId="77777777" w:rsidR="002F5196" w:rsidRPr="00881752" w:rsidRDefault="002F5196"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484A5202" w14:textId="798621AA"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Call.</w:t>
            </w:r>
            <w:r w:rsidR="0039394D" w:rsidRPr="00881752">
              <w:rPr>
                <w:rFonts w:cs="Times New Roman"/>
                <w:szCs w:val="24"/>
              </w:rPr>
              <w:t xml:space="preserve"> </w:t>
            </w:r>
            <w:r w:rsidRPr="00881752">
              <w:rPr>
                <w:rFonts w:cs="Times New Roman"/>
                <w:szCs w:val="24"/>
              </w:rPr>
              <w:t>12.8 οὔρεα (</w:t>
            </w:r>
            <w:r w:rsidR="009102E1" w:rsidRPr="00881752">
              <w:rPr>
                <w:rFonts w:cs="Times New Roman"/>
                <w:szCs w:val="24"/>
              </w:rPr>
              <w:t>4</w:t>
            </w:r>
            <w:r w:rsidRPr="00881752">
              <w:rPr>
                <w:rFonts w:cs="Times New Roman"/>
                <w:szCs w:val="24"/>
              </w:rPr>
              <w:t>)</w:t>
            </w:r>
          </w:p>
        </w:tc>
      </w:tr>
      <w:tr w:rsidR="0039394D" w:rsidRPr="00881752" w14:paraId="43839C2C" w14:textId="77777777" w:rsidTr="002F55F1">
        <w:tc>
          <w:tcPr>
            <w:tcW w:w="534" w:type="dxa"/>
            <w:tcBorders>
              <w:bottom w:val="single" w:sz="4" w:space="0" w:color="auto"/>
            </w:tcBorders>
          </w:tcPr>
          <w:p w14:paraId="316BFC9C" w14:textId="7F9AF130"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12</w:t>
            </w:r>
          </w:p>
        </w:tc>
        <w:tc>
          <w:tcPr>
            <w:tcW w:w="2835" w:type="dxa"/>
            <w:tcBorders>
              <w:bottom w:val="single" w:sz="4" w:space="0" w:color="auto"/>
            </w:tcBorders>
          </w:tcPr>
          <w:p w14:paraId="16C6A7F1" w14:textId="77777777"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hiatus</w:t>
            </w:r>
          </w:p>
        </w:tc>
        <w:tc>
          <w:tcPr>
            <w:tcW w:w="850" w:type="dxa"/>
            <w:tcBorders>
              <w:bottom w:val="single" w:sz="4" w:space="0" w:color="auto"/>
            </w:tcBorders>
          </w:tcPr>
          <w:p w14:paraId="5E259606"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c>
          <w:tcPr>
            <w:tcW w:w="567" w:type="dxa"/>
            <w:tcBorders>
              <w:bottom w:val="single" w:sz="4" w:space="0" w:color="auto"/>
            </w:tcBorders>
          </w:tcPr>
          <w:p w14:paraId="62F95D56" w14:textId="3C011711"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Borders>
              <w:bottom w:val="single" w:sz="4" w:space="0" w:color="auto"/>
            </w:tcBorders>
          </w:tcPr>
          <w:p w14:paraId="137EA16F" w14:textId="36FADC11"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Borders>
              <w:bottom w:val="single" w:sz="4" w:space="0" w:color="auto"/>
            </w:tcBorders>
          </w:tcPr>
          <w:p w14:paraId="7C03D618" w14:textId="50D950E4"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Borders>
              <w:bottom w:val="single" w:sz="4" w:space="0" w:color="auto"/>
            </w:tcBorders>
          </w:tcPr>
          <w:p w14:paraId="3A394E74"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r>
      <w:tr w:rsidR="0039394D" w:rsidRPr="00881752" w14:paraId="1D58B830" w14:textId="77777777" w:rsidTr="002F55F1">
        <w:tc>
          <w:tcPr>
            <w:tcW w:w="534" w:type="dxa"/>
            <w:tcBorders>
              <w:bottom w:val="single" w:sz="4" w:space="0" w:color="auto"/>
            </w:tcBorders>
          </w:tcPr>
          <w:p w14:paraId="50C6994C" w14:textId="1FC51D47"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13</w:t>
            </w:r>
          </w:p>
        </w:tc>
        <w:tc>
          <w:tcPr>
            <w:tcW w:w="2835" w:type="dxa"/>
            <w:tcBorders>
              <w:bottom w:val="single" w:sz="4" w:space="0" w:color="auto"/>
            </w:tcBorders>
          </w:tcPr>
          <w:p w14:paraId="6DF3DFB5" w14:textId="43923ED1" w:rsidR="002F5196" w:rsidRPr="00881752" w:rsidRDefault="002F5196" w:rsidP="009630F3">
            <w:pPr>
              <w:keepNext/>
              <w:keepLines/>
              <w:tabs>
                <w:tab w:val="clear" w:pos="425"/>
                <w:tab w:val="left" w:pos="426"/>
              </w:tabs>
              <w:spacing w:before="60" w:after="60" w:line="300" w:lineRule="exact"/>
              <w:rPr>
                <w:rFonts w:cs="Times New Roman"/>
                <w:szCs w:val="24"/>
              </w:rPr>
            </w:pPr>
            <w:r w:rsidRPr="00881752">
              <w:rPr>
                <w:rFonts w:cs="Times New Roman"/>
                <w:szCs w:val="24"/>
              </w:rPr>
              <w:t>psilosis</w:t>
            </w:r>
          </w:p>
        </w:tc>
        <w:tc>
          <w:tcPr>
            <w:tcW w:w="850" w:type="dxa"/>
            <w:tcBorders>
              <w:bottom w:val="single" w:sz="4" w:space="0" w:color="auto"/>
            </w:tcBorders>
          </w:tcPr>
          <w:p w14:paraId="3FDA208F" w14:textId="289DE631" w:rsidR="002F5196" w:rsidRPr="00881752" w:rsidRDefault="00896D90" w:rsidP="009630F3">
            <w:pPr>
              <w:keepNext/>
              <w:keepLines/>
              <w:tabs>
                <w:tab w:val="clear" w:pos="425"/>
                <w:tab w:val="left" w:pos="426"/>
              </w:tabs>
              <w:spacing w:before="60" w:after="60" w:line="300" w:lineRule="exact"/>
              <w:rPr>
                <w:rFonts w:cs="Times New Roman"/>
                <w:szCs w:val="24"/>
              </w:rPr>
            </w:pPr>
            <w:r w:rsidRPr="00881752">
              <w:rPr>
                <w:rFonts w:cs="Times New Roman"/>
                <w:b/>
                <w:szCs w:val="24"/>
              </w:rPr>
              <w:t>1</w:t>
            </w:r>
            <w:r w:rsidR="001F0E51" w:rsidRPr="00881752">
              <w:rPr>
                <w:rFonts w:cs="Times New Roman"/>
                <w:szCs w:val="24"/>
              </w:rPr>
              <w:t>A.10</w:t>
            </w:r>
          </w:p>
        </w:tc>
        <w:tc>
          <w:tcPr>
            <w:tcW w:w="567" w:type="dxa"/>
            <w:tcBorders>
              <w:bottom w:val="single" w:sz="4" w:space="0" w:color="auto"/>
            </w:tcBorders>
          </w:tcPr>
          <w:p w14:paraId="2E1FE6E4" w14:textId="5C80B91B"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Borders>
              <w:bottom w:val="single" w:sz="4" w:space="0" w:color="auto"/>
            </w:tcBorders>
          </w:tcPr>
          <w:p w14:paraId="18E9839C" w14:textId="514A3133"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Borders>
              <w:bottom w:val="single" w:sz="4" w:space="0" w:color="auto"/>
            </w:tcBorders>
          </w:tcPr>
          <w:p w14:paraId="516AB5C9" w14:textId="295A70F3"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Borders>
              <w:bottom w:val="single" w:sz="4" w:space="0" w:color="auto"/>
            </w:tcBorders>
          </w:tcPr>
          <w:p w14:paraId="05CCD01E" w14:textId="4FE10391" w:rsidR="002F5196" w:rsidRPr="00881752" w:rsidRDefault="00CF5F59" w:rsidP="009630F3">
            <w:pPr>
              <w:keepNext/>
              <w:keepLines/>
              <w:tabs>
                <w:tab w:val="clear" w:pos="425"/>
                <w:tab w:val="left" w:pos="426"/>
              </w:tabs>
              <w:spacing w:before="60" w:after="60" w:line="300" w:lineRule="exact"/>
              <w:rPr>
                <w:rFonts w:cs="Times New Roman"/>
                <w:szCs w:val="24"/>
              </w:rPr>
            </w:pPr>
            <w:r w:rsidRPr="00881752">
              <w:rPr>
                <w:rFonts w:cs="Times New Roman"/>
                <w:szCs w:val="24"/>
              </w:rPr>
              <w:t xml:space="preserve">Never in Call. </w:t>
            </w:r>
            <w:r w:rsidR="009102E1" w:rsidRPr="00881752">
              <w:rPr>
                <w:rFonts w:cs="Times New Roman"/>
                <w:szCs w:val="24"/>
              </w:rPr>
              <w:t>(5</w:t>
            </w:r>
            <w:r w:rsidRPr="00881752">
              <w:rPr>
                <w:rFonts w:cs="Times New Roman"/>
                <w:szCs w:val="24"/>
              </w:rPr>
              <w:t>)</w:t>
            </w:r>
          </w:p>
        </w:tc>
      </w:tr>
      <w:tr w:rsidR="002F5196" w:rsidRPr="00881752" w14:paraId="544B18AC" w14:textId="77777777" w:rsidTr="002F55F1">
        <w:tc>
          <w:tcPr>
            <w:tcW w:w="534" w:type="dxa"/>
            <w:tcBorders>
              <w:top w:val="nil"/>
            </w:tcBorders>
          </w:tcPr>
          <w:p w14:paraId="7C6FE54B"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c>
          <w:tcPr>
            <w:tcW w:w="7982" w:type="dxa"/>
            <w:gridSpan w:val="6"/>
            <w:tcBorders>
              <w:top w:val="nil"/>
            </w:tcBorders>
          </w:tcPr>
          <w:p w14:paraId="6FE8E2A0" w14:textId="0DA244B2" w:rsidR="002F5196" w:rsidRPr="00881752" w:rsidRDefault="002F5196"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i/>
                <w:szCs w:val="24"/>
              </w:rPr>
              <w:t>Morphology</w:t>
            </w:r>
          </w:p>
        </w:tc>
      </w:tr>
      <w:tr w:rsidR="0039394D" w:rsidRPr="00881752" w14:paraId="28BE7788" w14:textId="77777777" w:rsidTr="0039394D">
        <w:tc>
          <w:tcPr>
            <w:tcW w:w="534" w:type="dxa"/>
          </w:tcPr>
          <w:p w14:paraId="32E951A5" w14:textId="78A96771"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14</w:t>
            </w:r>
          </w:p>
        </w:tc>
        <w:tc>
          <w:tcPr>
            <w:tcW w:w="2835" w:type="dxa"/>
          </w:tcPr>
          <w:p w14:paraId="3BEDEF53" w14:textId="4500133C" w:rsidR="0039394D" w:rsidRPr="00881752" w:rsidRDefault="0039394D" w:rsidP="009630F3">
            <w:pPr>
              <w:keepNext/>
              <w:keepLines/>
              <w:tabs>
                <w:tab w:val="clear" w:pos="425"/>
                <w:tab w:val="left" w:pos="426"/>
              </w:tabs>
              <w:spacing w:before="60" w:after="60" w:line="300" w:lineRule="exact"/>
              <w:outlineLvl w:val="4"/>
              <w:rPr>
                <w:rFonts w:cs="Times New Roman"/>
                <w:szCs w:val="24"/>
              </w:rPr>
            </w:pPr>
            <w:r w:rsidRPr="00881752">
              <w:rPr>
                <w:rFonts w:cs="Times New Roman"/>
                <w:szCs w:val="24"/>
              </w:rPr>
              <w:t>sg. gen. -εω of α-themes</w:t>
            </w:r>
          </w:p>
        </w:tc>
        <w:tc>
          <w:tcPr>
            <w:tcW w:w="850" w:type="dxa"/>
          </w:tcPr>
          <w:p w14:paraId="32030876" w14:textId="7EC887EE" w:rsidR="0039394D" w:rsidRPr="00881752" w:rsidRDefault="00896D90" w:rsidP="009630F3">
            <w:pPr>
              <w:keepNext/>
              <w:keepLines/>
              <w:tabs>
                <w:tab w:val="clear" w:pos="425"/>
                <w:tab w:val="left" w:pos="426"/>
              </w:tabs>
              <w:spacing w:before="60" w:after="60" w:line="300" w:lineRule="exact"/>
              <w:rPr>
                <w:rFonts w:cs="Times New Roman"/>
                <w:szCs w:val="24"/>
              </w:rPr>
            </w:pPr>
            <w:r w:rsidRPr="00881752">
              <w:rPr>
                <w:rFonts w:cs="Times New Roman"/>
                <w:b/>
                <w:szCs w:val="24"/>
              </w:rPr>
              <w:t>1</w:t>
            </w:r>
            <w:r w:rsidR="009102E1" w:rsidRPr="00881752">
              <w:rPr>
                <w:rFonts w:cs="Times New Roman"/>
                <w:szCs w:val="24"/>
              </w:rPr>
              <w:t>A.</w:t>
            </w:r>
            <w:r w:rsidR="001F0E51" w:rsidRPr="00881752">
              <w:rPr>
                <w:rFonts w:cs="Times New Roman"/>
                <w:szCs w:val="24"/>
              </w:rPr>
              <w:t>11</w:t>
            </w:r>
          </w:p>
        </w:tc>
        <w:tc>
          <w:tcPr>
            <w:tcW w:w="567" w:type="dxa"/>
          </w:tcPr>
          <w:p w14:paraId="39687162" w14:textId="2EEEC7EE"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76D28042" w14:textId="1978B4DA"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048F6502" w14:textId="29C65EDF" w:rsidR="0039394D" w:rsidRPr="00881752" w:rsidRDefault="00330EF3"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0C22A91D" w14:textId="3A3266A8" w:rsidR="0039394D" w:rsidRPr="00881752" w:rsidRDefault="00CE36A4" w:rsidP="009630F3">
            <w:pPr>
              <w:keepNext/>
              <w:keepLines/>
              <w:tabs>
                <w:tab w:val="clear" w:pos="425"/>
                <w:tab w:val="left" w:pos="426"/>
              </w:tabs>
              <w:spacing w:before="60" w:after="60" w:line="300" w:lineRule="exact"/>
              <w:rPr>
                <w:rFonts w:cs="Times New Roman"/>
                <w:szCs w:val="24"/>
              </w:rPr>
            </w:pPr>
            <w:r w:rsidRPr="00881752">
              <w:rPr>
                <w:rFonts w:cs="Times New Roman"/>
                <w:szCs w:val="24"/>
              </w:rPr>
              <w:t>Call. 1.4 Χαριτάδεω (6)</w:t>
            </w:r>
          </w:p>
        </w:tc>
      </w:tr>
      <w:tr w:rsidR="0039394D" w:rsidRPr="00881752" w14:paraId="4050AA59" w14:textId="77777777" w:rsidTr="002F55F1">
        <w:tc>
          <w:tcPr>
            <w:tcW w:w="534" w:type="dxa"/>
          </w:tcPr>
          <w:p w14:paraId="36F43120" w14:textId="15F25250" w:rsidR="002F5196"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15</w:t>
            </w:r>
          </w:p>
        </w:tc>
        <w:tc>
          <w:tcPr>
            <w:tcW w:w="2835" w:type="dxa"/>
          </w:tcPr>
          <w:p w14:paraId="510D74A3" w14:textId="6553DB09" w:rsidR="002F5196" w:rsidRPr="00881752" w:rsidRDefault="002F5196" w:rsidP="009630F3">
            <w:pPr>
              <w:keepNext/>
              <w:keepLines/>
              <w:tabs>
                <w:tab w:val="clear" w:pos="425"/>
                <w:tab w:val="left" w:pos="426"/>
              </w:tabs>
              <w:spacing w:before="60" w:after="60" w:line="300" w:lineRule="exact"/>
              <w:outlineLvl w:val="4"/>
              <w:rPr>
                <w:rFonts w:cs="Times New Roman"/>
                <w:szCs w:val="24"/>
              </w:rPr>
            </w:pPr>
            <w:r w:rsidRPr="00881752">
              <w:rPr>
                <w:rFonts w:cs="Times New Roman"/>
                <w:szCs w:val="24"/>
              </w:rPr>
              <w:t>sg. gen. ἐμέο / σέο</w:t>
            </w:r>
          </w:p>
        </w:tc>
        <w:tc>
          <w:tcPr>
            <w:tcW w:w="850" w:type="dxa"/>
          </w:tcPr>
          <w:p w14:paraId="0C406D28" w14:textId="77777777" w:rsidR="002F5196" w:rsidRPr="00881752" w:rsidRDefault="002F5196" w:rsidP="009630F3">
            <w:pPr>
              <w:keepNext/>
              <w:keepLines/>
              <w:tabs>
                <w:tab w:val="clear" w:pos="425"/>
                <w:tab w:val="left" w:pos="426"/>
              </w:tabs>
              <w:spacing w:before="60" w:after="60" w:line="300" w:lineRule="exact"/>
              <w:rPr>
                <w:rFonts w:cs="Times New Roman"/>
                <w:szCs w:val="24"/>
              </w:rPr>
            </w:pPr>
          </w:p>
        </w:tc>
        <w:tc>
          <w:tcPr>
            <w:tcW w:w="567" w:type="dxa"/>
          </w:tcPr>
          <w:p w14:paraId="1EA84624" w14:textId="5D06E699"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89785CE" w14:textId="6CC975DD"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27F5088E" w14:textId="4CF2CE61" w:rsidR="002F5196" w:rsidRPr="00881752" w:rsidRDefault="002F5196"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7E55E575" w14:textId="3882A555" w:rsidR="002F5196"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Never in Call. (</w:t>
            </w:r>
            <w:r w:rsidR="004B67DF" w:rsidRPr="00881752">
              <w:rPr>
                <w:rFonts w:cs="Times New Roman"/>
                <w:szCs w:val="24"/>
              </w:rPr>
              <w:t>7</w:t>
            </w:r>
            <w:r w:rsidR="00CF5F59" w:rsidRPr="00881752">
              <w:rPr>
                <w:rFonts w:cs="Times New Roman"/>
                <w:szCs w:val="24"/>
              </w:rPr>
              <w:t>)</w:t>
            </w:r>
          </w:p>
        </w:tc>
      </w:tr>
      <w:tr w:rsidR="0039394D" w:rsidRPr="00881752" w14:paraId="5C74D3DF" w14:textId="77777777" w:rsidTr="0039394D">
        <w:tc>
          <w:tcPr>
            <w:tcW w:w="534" w:type="dxa"/>
          </w:tcPr>
          <w:p w14:paraId="6B443744" w14:textId="70196E5E"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16</w:t>
            </w:r>
          </w:p>
        </w:tc>
        <w:tc>
          <w:tcPr>
            <w:tcW w:w="2835" w:type="dxa"/>
          </w:tcPr>
          <w:p w14:paraId="33091A73" w14:textId="58AAB99E" w:rsidR="0039394D"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pl. dat. -οισι/-ηισι</w:t>
            </w:r>
          </w:p>
        </w:tc>
        <w:tc>
          <w:tcPr>
            <w:tcW w:w="850" w:type="dxa"/>
          </w:tcPr>
          <w:p w14:paraId="7F48733B" w14:textId="06F05821" w:rsidR="0039394D" w:rsidRPr="00881752" w:rsidRDefault="00896D90" w:rsidP="009630F3">
            <w:pPr>
              <w:keepNext/>
              <w:keepLines/>
              <w:tabs>
                <w:tab w:val="clear" w:pos="425"/>
                <w:tab w:val="left" w:pos="426"/>
              </w:tabs>
              <w:spacing w:before="60" w:after="60" w:line="300" w:lineRule="exact"/>
              <w:rPr>
                <w:rFonts w:cs="Times New Roman"/>
                <w:szCs w:val="24"/>
              </w:rPr>
            </w:pPr>
            <w:r w:rsidRPr="00881752">
              <w:rPr>
                <w:rFonts w:cs="Times New Roman"/>
                <w:b/>
                <w:szCs w:val="24"/>
              </w:rPr>
              <w:t>1</w:t>
            </w:r>
            <w:r w:rsidR="0039394D" w:rsidRPr="00881752">
              <w:rPr>
                <w:rFonts w:cs="Times New Roman"/>
                <w:szCs w:val="24"/>
              </w:rPr>
              <w:t>A.</w:t>
            </w:r>
            <w:r w:rsidR="009102E1" w:rsidRPr="00881752">
              <w:rPr>
                <w:rFonts w:cs="Times New Roman"/>
                <w:szCs w:val="24"/>
              </w:rPr>
              <w:t>1</w:t>
            </w:r>
            <w:r w:rsidR="001F0E51" w:rsidRPr="00881752">
              <w:rPr>
                <w:rFonts w:cs="Times New Roman"/>
                <w:szCs w:val="24"/>
              </w:rPr>
              <w:t>2</w:t>
            </w:r>
          </w:p>
        </w:tc>
        <w:tc>
          <w:tcPr>
            <w:tcW w:w="567" w:type="dxa"/>
          </w:tcPr>
          <w:p w14:paraId="1979AD40" w14:textId="1743D0F3"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6BF82BD1" w14:textId="1FB3BC71"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2AB5DA47" w14:textId="3A99061C" w:rsidR="0039394D" w:rsidRPr="00881752" w:rsidRDefault="00F82571"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1D839842" w14:textId="291A3DB0" w:rsidR="0039394D" w:rsidRPr="00881752" w:rsidDel="0039394D"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Call. prefers -οις/-αις</w:t>
            </w:r>
            <w:r w:rsidR="004B67DF" w:rsidRPr="00881752">
              <w:rPr>
                <w:rFonts w:cs="Times New Roman"/>
                <w:szCs w:val="24"/>
              </w:rPr>
              <w:t xml:space="preserve"> (8</w:t>
            </w:r>
            <w:r w:rsidRPr="00881752">
              <w:rPr>
                <w:rFonts w:cs="Times New Roman"/>
                <w:szCs w:val="24"/>
              </w:rPr>
              <w:t>)</w:t>
            </w:r>
          </w:p>
        </w:tc>
      </w:tr>
      <w:tr w:rsidR="0039394D" w:rsidRPr="00881752" w14:paraId="162A26E3" w14:textId="77777777" w:rsidTr="002F55F1">
        <w:tc>
          <w:tcPr>
            <w:tcW w:w="534" w:type="dxa"/>
          </w:tcPr>
          <w:p w14:paraId="5FFE64C3" w14:textId="7623B98B"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1</w:t>
            </w:r>
            <w:r w:rsidR="009102E1" w:rsidRPr="00881752">
              <w:rPr>
                <w:rFonts w:cs="Times New Roman"/>
                <w:szCs w:val="24"/>
              </w:rPr>
              <w:t>7</w:t>
            </w:r>
          </w:p>
        </w:tc>
        <w:tc>
          <w:tcPr>
            <w:tcW w:w="2835" w:type="dxa"/>
          </w:tcPr>
          <w:p w14:paraId="3D6C645B" w14:textId="6A2D9D4E"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lang w:val="nl-NL"/>
              </w:rPr>
            </w:pPr>
            <w:r w:rsidRPr="00881752">
              <w:rPr>
                <w:rFonts w:cs="Times New Roman"/>
                <w:szCs w:val="24"/>
                <w:lang w:val="nl-NL"/>
              </w:rPr>
              <w:t>sg. gen./dat. -</w:t>
            </w:r>
            <w:r w:rsidRPr="00881752">
              <w:rPr>
                <w:rFonts w:cs="Times New Roman"/>
                <w:szCs w:val="24"/>
              </w:rPr>
              <w:t>ιος</w:t>
            </w:r>
            <w:r w:rsidRPr="00881752">
              <w:rPr>
                <w:rFonts w:cs="Times New Roman"/>
                <w:szCs w:val="24"/>
                <w:lang w:val="nl-NL"/>
              </w:rPr>
              <w:t>/-</w:t>
            </w:r>
            <w:r w:rsidRPr="00881752">
              <w:rPr>
                <w:rFonts w:cs="Times New Roman"/>
                <w:szCs w:val="24"/>
              </w:rPr>
              <w:t>ῑ</w:t>
            </w:r>
          </w:p>
        </w:tc>
        <w:tc>
          <w:tcPr>
            <w:tcW w:w="850" w:type="dxa"/>
          </w:tcPr>
          <w:p w14:paraId="0252D6E5" w14:textId="77777777" w:rsidR="0039394D" w:rsidRPr="00881752" w:rsidRDefault="0039394D" w:rsidP="009630F3">
            <w:pPr>
              <w:keepNext/>
              <w:keepLines/>
              <w:tabs>
                <w:tab w:val="clear" w:pos="425"/>
                <w:tab w:val="left" w:pos="426"/>
              </w:tabs>
              <w:spacing w:before="60" w:after="60" w:line="300" w:lineRule="exact"/>
              <w:rPr>
                <w:rFonts w:cs="Times New Roman"/>
                <w:szCs w:val="24"/>
                <w:lang w:val="nl-NL"/>
              </w:rPr>
            </w:pPr>
          </w:p>
        </w:tc>
        <w:tc>
          <w:tcPr>
            <w:tcW w:w="567" w:type="dxa"/>
          </w:tcPr>
          <w:p w14:paraId="3F0ACEE1"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1CAF76B8"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126A2752" w14:textId="5F14AB42"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0D732A4B" w14:textId="214F0F06" w:rsidR="0039394D"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Insufficient evidence (</w:t>
            </w:r>
            <w:r w:rsidR="004B67DF" w:rsidRPr="00881752">
              <w:rPr>
                <w:rFonts w:cs="Times New Roman"/>
                <w:szCs w:val="24"/>
              </w:rPr>
              <w:t>9</w:t>
            </w:r>
            <w:r w:rsidRPr="00881752">
              <w:rPr>
                <w:rFonts w:cs="Times New Roman"/>
                <w:szCs w:val="24"/>
              </w:rPr>
              <w:t>)</w:t>
            </w:r>
          </w:p>
        </w:tc>
      </w:tr>
      <w:tr w:rsidR="0039394D" w:rsidRPr="00881752" w14:paraId="3DBE696C" w14:textId="77777777" w:rsidTr="002F55F1">
        <w:tc>
          <w:tcPr>
            <w:tcW w:w="534" w:type="dxa"/>
          </w:tcPr>
          <w:p w14:paraId="56E77DA2" w14:textId="710010C6"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1</w:t>
            </w:r>
            <w:r w:rsidR="009102E1" w:rsidRPr="00881752">
              <w:rPr>
                <w:rFonts w:cs="Times New Roman"/>
                <w:szCs w:val="24"/>
              </w:rPr>
              <w:t>8</w:t>
            </w:r>
          </w:p>
        </w:tc>
        <w:tc>
          <w:tcPr>
            <w:tcW w:w="2835" w:type="dxa"/>
          </w:tcPr>
          <w:p w14:paraId="09CB98AE" w14:textId="7777777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Attic declension</w:t>
            </w:r>
          </w:p>
        </w:tc>
        <w:tc>
          <w:tcPr>
            <w:tcW w:w="850" w:type="dxa"/>
          </w:tcPr>
          <w:p w14:paraId="62AD031B"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225D0FFB" w14:textId="77777777" w:rsidR="0039394D" w:rsidRPr="00881752" w:rsidRDefault="0039394D" w:rsidP="009630F3">
            <w:pPr>
              <w:keepNext/>
              <w:keepLines/>
              <w:tabs>
                <w:tab w:val="clear" w:pos="425"/>
                <w:tab w:val="left" w:pos="426"/>
              </w:tabs>
              <w:spacing w:before="60" w:after="60" w:line="300" w:lineRule="exact"/>
              <w:jc w:val="center"/>
              <w:rPr>
                <w:rFonts w:cs="Times New Roman"/>
                <w:color w:val="243F60" w:themeColor="accent1" w:themeShade="7F"/>
                <w:szCs w:val="24"/>
              </w:rPr>
            </w:pPr>
            <w:r w:rsidRPr="00881752">
              <w:rPr>
                <w:rFonts w:cs="Times New Roman"/>
                <w:szCs w:val="24"/>
              </w:rPr>
              <w:t>+</w:t>
            </w:r>
          </w:p>
        </w:tc>
        <w:tc>
          <w:tcPr>
            <w:tcW w:w="567" w:type="dxa"/>
          </w:tcPr>
          <w:p w14:paraId="673ADC9C"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582E3100" w14:textId="2280B66D"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7F1AAF27" w14:textId="2A907398"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Insufficient evidence (</w:t>
            </w:r>
            <w:r w:rsidR="004B67DF" w:rsidRPr="00881752">
              <w:rPr>
                <w:rFonts w:cs="Times New Roman"/>
                <w:szCs w:val="24"/>
              </w:rPr>
              <w:t>9</w:t>
            </w:r>
            <w:r w:rsidRPr="00881752">
              <w:rPr>
                <w:rFonts w:cs="Times New Roman"/>
                <w:szCs w:val="24"/>
              </w:rPr>
              <w:t>)</w:t>
            </w:r>
          </w:p>
        </w:tc>
      </w:tr>
      <w:tr w:rsidR="0039394D" w:rsidRPr="00881752" w14:paraId="1633B086" w14:textId="77777777" w:rsidTr="002F55F1">
        <w:tc>
          <w:tcPr>
            <w:tcW w:w="534" w:type="dxa"/>
          </w:tcPr>
          <w:p w14:paraId="4CDF309F" w14:textId="02AF44D8"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1</w:t>
            </w:r>
            <w:r w:rsidR="009102E1" w:rsidRPr="00881752">
              <w:rPr>
                <w:rFonts w:cs="Times New Roman"/>
                <w:szCs w:val="24"/>
              </w:rPr>
              <w:t>9</w:t>
            </w:r>
          </w:p>
        </w:tc>
        <w:tc>
          <w:tcPr>
            <w:tcW w:w="2835" w:type="dxa"/>
          </w:tcPr>
          <w:p w14:paraId="29591C2E" w14:textId="2126F1C4"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them. -ω for -μι verbs</w:t>
            </w:r>
          </w:p>
        </w:tc>
        <w:tc>
          <w:tcPr>
            <w:tcW w:w="850" w:type="dxa"/>
          </w:tcPr>
          <w:p w14:paraId="5A9AD113"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0053A0DF"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234F2BC2"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2F4E736B" w14:textId="3EE32593"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6FAE8BBC" w14:textId="18F0D5E8"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Insufficient evidence (</w:t>
            </w:r>
            <w:r w:rsidR="004B67DF" w:rsidRPr="00881752">
              <w:rPr>
                <w:rFonts w:cs="Times New Roman"/>
                <w:szCs w:val="24"/>
              </w:rPr>
              <w:t>9</w:t>
            </w:r>
            <w:r w:rsidRPr="00881752">
              <w:rPr>
                <w:rFonts w:cs="Times New Roman"/>
                <w:szCs w:val="24"/>
              </w:rPr>
              <w:t>)</w:t>
            </w:r>
          </w:p>
        </w:tc>
      </w:tr>
      <w:tr w:rsidR="0039394D" w:rsidRPr="00881752" w14:paraId="017667FE" w14:textId="77777777" w:rsidTr="002F55F1">
        <w:tc>
          <w:tcPr>
            <w:tcW w:w="534" w:type="dxa"/>
          </w:tcPr>
          <w:p w14:paraId="5807B6A8" w14:textId="6A4AEB0A"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20</w:t>
            </w:r>
          </w:p>
        </w:tc>
        <w:tc>
          <w:tcPr>
            <w:tcW w:w="2835" w:type="dxa"/>
          </w:tcPr>
          <w:p w14:paraId="3AF72ACA" w14:textId="7777777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augment</w:t>
            </w:r>
          </w:p>
        </w:tc>
        <w:tc>
          <w:tcPr>
            <w:tcW w:w="850" w:type="dxa"/>
          </w:tcPr>
          <w:p w14:paraId="37316678" w14:textId="2DED5CD0" w:rsidR="0039394D" w:rsidRPr="00881752" w:rsidRDefault="00896D90" w:rsidP="009630F3">
            <w:pPr>
              <w:keepNext/>
              <w:keepLines/>
              <w:tabs>
                <w:tab w:val="clear" w:pos="425"/>
                <w:tab w:val="left" w:pos="426"/>
              </w:tabs>
              <w:spacing w:before="60" w:after="60" w:line="300" w:lineRule="exact"/>
              <w:rPr>
                <w:rFonts w:cs="Times New Roman"/>
                <w:color w:val="243F60" w:themeColor="accent1" w:themeShade="7F"/>
                <w:szCs w:val="24"/>
              </w:rPr>
            </w:pPr>
            <w:r w:rsidRPr="00881752">
              <w:rPr>
                <w:rFonts w:cs="Times New Roman"/>
                <w:b/>
                <w:szCs w:val="24"/>
              </w:rPr>
              <w:t>1</w:t>
            </w:r>
            <w:r w:rsidR="0039394D" w:rsidRPr="00881752">
              <w:rPr>
                <w:rFonts w:cs="Times New Roman"/>
                <w:szCs w:val="24"/>
              </w:rPr>
              <w:t>A.1</w:t>
            </w:r>
            <w:r w:rsidR="001F0E51" w:rsidRPr="00881752">
              <w:rPr>
                <w:rFonts w:cs="Times New Roman"/>
                <w:szCs w:val="24"/>
              </w:rPr>
              <w:t>3</w:t>
            </w:r>
          </w:p>
        </w:tc>
        <w:tc>
          <w:tcPr>
            <w:tcW w:w="567" w:type="dxa"/>
          </w:tcPr>
          <w:p w14:paraId="7D34D053"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404040" w:themeColor="text1" w:themeTint="BF"/>
                <w:szCs w:val="24"/>
              </w:rPr>
            </w:pPr>
            <w:r w:rsidRPr="00881752">
              <w:rPr>
                <w:rFonts w:cs="Times New Roman"/>
                <w:szCs w:val="24"/>
              </w:rPr>
              <w:t>+</w:t>
            </w:r>
          </w:p>
        </w:tc>
        <w:tc>
          <w:tcPr>
            <w:tcW w:w="567" w:type="dxa"/>
          </w:tcPr>
          <w:p w14:paraId="6E28EBF9"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32F197FC"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79606101"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r>
      <w:tr w:rsidR="0039394D" w:rsidRPr="00881752" w14:paraId="6FD2B5F4" w14:textId="77777777" w:rsidTr="002F55F1">
        <w:tc>
          <w:tcPr>
            <w:tcW w:w="534" w:type="dxa"/>
          </w:tcPr>
          <w:p w14:paraId="36801BDE" w14:textId="060E754D"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21</w:t>
            </w:r>
          </w:p>
        </w:tc>
        <w:tc>
          <w:tcPr>
            <w:tcW w:w="2835" w:type="dxa"/>
          </w:tcPr>
          <w:p w14:paraId="6BB9EE03" w14:textId="2208FF7B"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 xml:space="preserve">κρέσσων </w:t>
            </w:r>
            <w:r w:rsidRPr="00881752">
              <w:rPr>
                <w:rFonts w:cs="Times New Roman"/>
                <w:i/>
                <w:szCs w:val="24"/>
              </w:rPr>
              <w:t>vs</w:t>
            </w:r>
            <w:r w:rsidRPr="00881752">
              <w:rPr>
                <w:rFonts w:cs="Times New Roman"/>
                <w:szCs w:val="24"/>
              </w:rPr>
              <w:t xml:space="preserve"> κρείσσων</w:t>
            </w:r>
          </w:p>
        </w:tc>
        <w:tc>
          <w:tcPr>
            <w:tcW w:w="850" w:type="dxa"/>
          </w:tcPr>
          <w:p w14:paraId="56ECD0A4"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560CFE9D"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4B90C179"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567" w:type="dxa"/>
          </w:tcPr>
          <w:p w14:paraId="0B5B2324"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425FC9EF" w14:textId="1B8C3A2A"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Cf.</w:t>
            </w:r>
            <w:r w:rsidR="0039394D" w:rsidRPr="00881752">
              <w:rPr>
                <w:rFonts w:cs="Times New Roman"/>
                <w:szCs w:val="24"/>
              </w:rPr>
              <w:t xml:space="preserve"> instances </w:t>
            </w:r>
            <w:r w:rsidR="00F82571" w:rsidRPr="00881752">
              <w:rPr>
                <w:rFonts w:cs="Times New Roman"/>
                <w:szCs w:val="24"/>
              </w:rPr>
              <w:t xml:space="preserve">in </w:t>
            </w:r>
            <w:r w:rsidR="0039394D" w:rsidRPr="00881752">
              <w:rPr>
                <w:rFonts w:cs="Times New Roman"/>
                <w:szCs w:val="24"/>
              </w:rPr>
              <w:t>(</w:t>
            </w:r>
            <w:r w:rsidR="004B67DF" w:rsidRPr="00881752">
              <w:rPr>
                <w:rFonts w:cs="Times New Roman"/>
                <w:szCs w:val="24"/>
              </w:rPr>
              <w:t>10</w:t>
            </w:r>
            <w:r w:rsidR="0039394D" w:rsidRPr="00881752">
              <w:rPr>
                <w:rFonts w:cs="Times New Roman"/>
                <w:szCs w:val="24"/>
              </w:rPr>
              <w:t>)</w:t>
            </w:r>
          </w:p>
        </w:tc>
      </w:tr>
      <w:tr w:rsidR="0039394D" w:rsidRPr="00881752" w14:paraId="0D84374B" w14:textId="77777777" w:rsidTr="002F55F1">
        <w:tc>
          <w:tcPr>
            <w:tcW w:w="534" w:type="dxa"/>
          </w:tcPr>
          <w:p w14:paraId="019B5392" w14:textId="3473353B"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22</w:t>
            </w:r>
          </w:p>
        </w:tc>
        <w:tc>
          <w:tcPr>
            <w:tcW w:w="2835" w:type="dxa"/>
          </w:tcPr>
          <w:p w14:paraId="3EE1BA51" w14:textId="7777777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dual</w:t>
            </w:r>
          </w:p>
        </w:tc>
        <w:tc>
          <w:tcPr>
            <w:tcW w:w="850" w:type="dxa"/>
          </w:tcPr>
          <w:p w14:paraId="74B58AB1"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7396A8BA" w14:textId="2B25582A"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75D3CE4B" w14:textId="52B3FBFA"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599E14A5" w14:textId="5DD692EA"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208AF275" w14:textId="6DA01680"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Cf.</w:t>
            </w:r>
            <w:r w:rsidR="0039394D" w:rsidRPr="00881752">
              <w:rPr>
                <w:rFonts w:cs="Times New Roman"/>
                <w:szCs w:val="24"/>
              </w:rPr>
              <w:t xml:space="preserve"> evidence </w:t>
            </w:r>
            <w:r w:rsidR="00F82571" w:rsidRPr="00881752">
              <w:rPr>
                <w:rFonts w:cs="Times New Roman"/>
                <w:szCs w:val="24"/>
              </w:rPr>
              <w:t xml:space="preserve">in </w:t>
            </w:r>
            <w:r w:rsidR="0039394D" w:rsidRPr="00881752">
              <w:rPr>
                <w:rFonts w:cs="Times New Roman"/>
                <w:szCs w:val="24"/>
              </w:rPr>
              <w:t>(</w:t>
            </w:r>
            <w:r w:rsidR="004B67DF" w:rsidRPr="00881752">
              <w:rPr>
                <w:rFonts w:cs="Times New Roman"/>
                <w:szCs w:val="24"/>
              </w:rPr>
              <w:t>11</w:t>
            </w:r>
            <w:r w:rsidR="0039394D" w:rsidRPr="00881752">
              <w:rPr>
                <w:rFonts w:cs="Times New Roman"/>
                <w:szCs w:val="24"/>
              </w:rPr>
              <w:t>)</w:t>
            </w:r>
          </w:p>
        </w:tc>
      </w:tr>
      <w:tr w:rsidR="0039394D" w:rsidRPr="00881752" w14:paraId="0348CA95" w14:textId="77777777" w:rsidTr="002F55F1">
        <w:tc>
          <w:tcPr>
            <w:tcW w:w="534" w:type="dxa"/>
          </w:tcPr>
          <w:p w14:paraId="2449E1FC" w14:textId="0166238B"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23</w:t>
            </w:r>
          </w:p>
        </w:tc>
        <w:tc>
          <w:tcPr>
            <w:tcW w:w="2835" w:type="dxa"/>
          </w:tcPr>
          <w:p w14:paraId="416F3AB1" w14:textId="318C2403"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lang w:val="nl-NL"/>
              </w:rPr>
            </w:pPr>
            <w:r w:rsidRPr="00881752">
              <w:rPr>
                <w:rFonts w:cs="Times New Roman"/>
                <w:szCs w:val="24"/>
                <w:lang w:val="nl-NL"/>
              </w:rPr>
              <w:t>sg./pl. gen. -</w:t>
            </w:r>
            <w:r w:rsidRPr="00881752">
              <w:rPr>
                <w:rFonts w:cs="Times New Roman"/>
                <w:szCs w:val="24"/>
              </w:rPr>
              <w:t>αο</w:t>
            </w:r>
            <w:r w:rsidRPr="00881752">
              <w:rPr>
                <w:rFonts w:cs="Times New Roman"/>
                <w:szCs w:val="24"/>
                <w:lang w:val="nl-NL"/>
              </w:rPr>
              <w:t>/-</w:t>
            </w:r>
            <w:r w:rsidRPr="00881752">
              <w:rPr>
                <w:rFonts w:cs="Times New Roman"/>
                <w:szCs w:val="24"/>
              </w:rPr>
              <w:t>α</w:t>
            </w:r>
            <w:r w:rsidR="00F82571" w:rsidRPr="00881752">
              <w:rPr>
                <w:rFonts w:cs="Times New Roman"/>
                <w:szCs w:val="24"/>
              </w:rPr>
              <w:t>ω</w:t>
            </w:r>
            <w:r w:rsidRPr="00881752">
              <w:rPr>
                <w:rFonts w:cs="Times New Roman"/>
                <w:szCs w:val="24"/>
              </w:rPr>
              <w:t>ν</w:t>
            </w:r>
          </w:p>
        </w:tc>
        <w:tc>
          <w:tcPr>
            <w:tcW w:w="850" w:type="dxa"/>
          </w:tcPr>
          <w:p w14:paraId="632B7057" w14:textId="77777777" w:rsidR="0039394D" w:rsidRPr="00881752" w:rsidRDefault="0039394D" w:rsidP="009630F3">
            <w:pPr>
              <w:keepNext/>
              <w:keepLines/>
              <w:tabs>
                <w:tab w:val="clear" w:pos="425"/>
                <w:tab w:val="left" w:pos="426"/>
              </w:tabs>
              <w:spacing w:before="60" w:after="60" w:line="300" w:lineRule="exact"/>
              <w:rPr>
                <w:rFonts w:cs="Times New Roman"/>
                <w:szCs w:val="24"/>
                <w:lang w:val="nl-NL"/>
              </w:rPr>
            </w:pPr>
          </w:p>
        </w:tc>
        <w:tc>
          <w:tcPr>
            <w:tcW w:w="567" w:type="dxa"/>
          </w:tcPr>
          <w:p w14:paraId="1481A3DB" w14:textId="0BCF06D5"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4C77D1C3" w14:textId="2045DB78"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2BB71170" w14:textId="33014603"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2924C93C"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r>
      <w:tr w:rsidR="0039394D" w:rsidRPr="00881752" w14:paraId="4DDFF5F0" w14:textId="77777777" w:rsidTr="002F55F1">
        <w:tc>
          <w:tcPr>
            <w:tcW w:w="534" w:type="dxa"/>
          </w:tcPr>
          <w:p w14:paraId="1A906A0F" w14:textId="466E3B60" w:rsidR="0039394D" w:rsidRPr="00881752" w:rsidRDefault="009102E1" w:rsidP="009630F3">
            <w:pPr>
              <w:keepNext/>
              <w:keepLines/>
              <w:tabs>
                <w:tab w:val="clear" w:pos="425"/>
                <w:tab w:val="left" w:pos="426"/>
              </w:tabs>
              <w:spacing w:before="60" w:after="60" w:line="300" w:lineRule="exact"/>
              <w:rPr>
                <w:rFonts w:cs="Times New Roman"/>
                <w:szCs w:val="24"/>
              </w:rPr>
            </w:pPr>
            <w:r w:rsidRPr="00881752">
              <w:rPr>
                <w:rFonts w:cs="Times New Roman"/>
                <w:szCs w:val="24"/>
              </w:rPr>
              <w:t>24</w:t>
            </w:r>
          </w:p>
        </w:tc>
        <w:tc>
          <w:tcPr>
            <w:tcW w:w="2835" w:type="dxa"/>
          </w:tcPr>
          <w:p w14:paraId="31417035" w14:textId="51EBA1BB"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sg. gen. -οιο</w:t>
            </w:r>
          </w:p>
        </w:tc>
        <w:tc>
          <w:tcPr>
            <w:tcW w:w="850" w:type="dxa"/>
          </w:tcPr>
          <w:p w14:paraId="367A78EC"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137DBD25" w14:textId="52E7BC80"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59CDEBE3" w14:textId="1F376B6B"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4BDF4D30" w14:textId="2C20B772"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50A10F97" w14:textId="72D589D8" w:rsidR="0039394D" w:rsidRPr="00881752" w:rsidRDefault="008849B2" w:rsidP="009630F3">
            <w:pPr>
              <w:keepNext/>
              <w:keepLines/>
              <w:tabs>
                <w:tab w:val="clear" w:pos="425"/>
                <w:tab w:val="left" w:pos="426"/>
              </w:tabs>
              <w:spacing w:before="60" w:after="60" w:line="300" w:lineRule="exact"/>
              <w:rPr>
                <w:rFonts w:cs="Times New Roman"/>
                <w:szCs w:val="24"/>
              </w:rPr>
            </w:pPr>
            <w:r w:rsidRPr="00881752">
              <w:rPr>
                <w:rFonts w:cs="Times New Roman"/>
                <w:szCs w:val="24"/>
              </w:rPr>
              <w:t>Cf. evidence in (12)</w:t>
            </w:r>
          </w:p>
        </w:tc>
      </w:tr>
      <w:tr w:rsidR="0039394D" w:rsidRPr="00881752" w14:paraId="006EBEA4" w14:textId="77777777" w:rsidTr="002F55F1">
        <w:tc>
          <w:tcPr>
            <w:tcW w:w="534" w:type="dxa"/>
          </w:tcPr>
          <w:p w14:paraId="23EAC91D" w14:textId="0DE8AE5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2</w:t>
            </w:r>
            <w:r w:rsidR="009102E1" w:rsidRPr="00881752">
              <w:rPr>
                <w:rFonts w:cs="Times New Roman"/>
                <w:szCs w:val="24"/>
              </w:rPr>
              <w:t>5</w:t>
            </w:r>
          </w:p>
        </w:tc>
        <w:tc>
          <w:tcPr>
            <w:tcW w:w="2835" w:type="dxa"/>
          </w:tcPr>
          <w:p w14:paraId="0132179C" w14:textId="2575787D"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pl. dat. -εσσι</w:t>
            </w:r>
          </w:p>
        </w:tc>
        <w:tc>
          <w:tcPr>
            <w:tcW w:w="850" w:type="dxa"/>
          </w:tcPr>
          <w:p w14:paraId="79C06661"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6524859B" w14:textId="7E2A6681"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4526861E" w14:textId="3BAB57C1"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71F3FB92" w14:textId="77777777" w:rsidR="0039394D" w:rsidRPr="00881752" w:rsidRDefault="0039394D" w:rsidP="009630F3">
            <w:pPr>
              <w:keepNext/>
              <w:keepLines/>
              <w:tabs>
                <w:tab w:val="clear" w:pos="425"/>
                <w:tab w:val="left" w:pos="426"/>
              </w:tabs>
              <w:spacing w:before="60" w:after="60" w:line="300" w:lineRule="exact"/>
              <w:jc w:val="center"/>
              <w:rPr>
                <w:rFonts w:cs="Times New Roman"/>
                <w:i/>
                <w:iCs/>
                <w:color w:val="243F60" w:themeColor="accent1" w:themeShade="7F"/>
                <w:szCs w:val="24"/>
              </w:rPr>
            </w:pPr>
            <w:r w:rsidRPr="00881752">
              <w:rPr>
                <w:rFonts w:cs="Times New Roman"/>
                <w:szCs w:val="24"/>
              </w:rPr>
              <w:t>+</w:t>
            </w:r>
          </w:p>
        </w:tc>
        <w:tc>
          <w:tcPr>
            <w:tcW w:w="2596" w:type="dxa"/>
          </w:tcPr>
          <w:p w14:paraId="3807059A" w14:textId="1E3E1FF9" w:rsidR="0039394D" w:rsidRPr="00881752" w:rsidRDefault="0039394D" w:rsidP="009630F3">
            <w:pPr>
              <w:keepNext/>
              <w:keepLines/>
              <w:tabs>
                <w:tab w:val="clear" w:pos="425"/>
                <w:tab w:val="left" w:pos="426"/>
              </w:tabs>
              <w:spacing w:before="60" w:after="60" w:line="300" w:lineRule="exact"/>
              <w:rPr>
                <w:rFonts w:cs="Times New Roman"/>
                <w:szCs w:val="24"/>
              </w:rPr>
            </w:pPr>
            <w:r w:rsidRPr="00881752">
              <w:rPr>
                <w:rFonts w:cs="Times New Roman"/>
                <w:szCs w:val="24"/>
              </w:rPr>
              <w:t>Call.</w:t>
            </w:r>
            <w:r w:rsidRPr="00881752" w:rsidDel="00CF5F59">
              <w:rPr>
                <w:rFonts w:cs="Times New Roman"/>
                <w:i/>
                <w:szCs w:val="24"/>
              </w:rPr>
              <w:t xml:space="preserve"> </w:t>
            </w:r>
            <w:r w:rsidRPr="00881752">
              <w:rPr>
                <w:rFonts w:cs="Times New Roman"/>
                <w:szCs w:val="24"/>
              </w:rPr>
              <w:t>6.38 παχέεσσι (</w:t>
            </w:r>
            <w:r w:rsidR="002B14AB" w:rsidRPr="00881752">
              <w:rPr>
                <w:rFonts w:cs="Times New Roman"/>
                <w:szCs w:val="24"/>
              </w:rPr>
              <w:t>1</w:t>
            </w:r>
            <w:r w:rsidR="008849B2" w:rsidRPr="00881752">
              <w:rPr>
                <w:rFonts w:cs="Times New Roman"/>
                <w:szCs w:val="24"/>
              </w:rPr>
              <w:t>3</w:t>
            </w:r>
            <w:r w:rsidRPr="00881752">
              <w:rPr>
                <w:rFonts w:cs="Times New Roman"/>
                <w:szCs w:val="24"/>
              </w:rPr>
              <w:t>)</w:t>
            </w:r>
          </w:p>
        </w:tc>
      </w:tr>
      <w:tr w:rsidR="0039394D" w:rsidRPr="00881752" w14:paraId="43433C20" w14:textId="77777777" w:rsidTr="002F55F1">
        <w:tc>
          <w:tcPr>
            <w:tcW w:w="534" w:type="dxa"/>
          </w:tcPr>
          <w:p w14:paraId="339436F3" w14:textId="73588109"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2</w:t>
            </w:r>
            <w:r w:rsidR="009102E1" w:rsidRPr="00881752">
              <w:rPr>
                <w:rFonts w:cs="Times New Roman"/>
                <w:szCs w:val="24"/>
              </w:rPr>
              <w:t>6</w:t>
            </w:r>
          </w:p>
        </w:tc>
        <w:tc>
          <w:tcPr>
            <w:tcW w:w="2835" w:type="dxa"/>
          </w:tcPr>
          <w:p w14:paraId="580CE9E9" w14:textId="7777777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infinitives -μεναι/-μεν</w:t>
            </w:r>
          </w:p>
        </w:tc>
        <w:tc>
          <w:tcPr>
            <w:tcW w:w="850" w:type="dxa"/>
          </w:tcPr>
          <w:p w14:paraId="027668A0"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13987D2C" w14:textId="0160159B"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5C06B98E" w14:textId="12EF4CC0"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090972C0" w14:textId="177F8A74"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4A83F462"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r>
      <w:tr w:rsidR="0039394D" w:rsidRPr="00881752" w14:paraId="0C0D80BD" w14:textId="77777777" w:rsidTr="002F55F1">
        <w:tc>
          <w:tcPr>
            <w:tcW w:w="534" w:type="dxa"/>
          </w:tcPr>
          <w:p w14:paraId="05668061" w14:textId="255B2E9B"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2</w:t>
            </w:r>
            <w:r w:rsidR="009102E1" w:rsidRPr="00881752">
              <w:rPr>
                <w:rFonts w:cs="Times New Roman"/>
                <w:szCs w:val="24"/>
              </w:rPr>
              <w:t>7</w:t>
            </w:r>
          </w:p>
        </w:tc>
        <w:tc>
          <w:tcPr>
            <w:tcW w:w="2835" w:type="dxa"/>
          </w:tcPr>
          <w:p w14:paraId="4857BA2B" w14:textId="77777777" w:rsidR="0039394D" w:rsidRPr="00881752" w:rsidRDefault="0039394D" w:rsidP="009630F3">
            <w:pPr>
              <w:keepNext/>
              <w:keepLines/>
              <w:tabs>
                <w:tab w:val="clear" w:pos="425"/>
                <w:tab w:val="left" w:pos="426"/>
              </w:tabs>
              <w:spacing w:before="60" w:after="60" w:line="300" w:lineRule="exact"/>
              <w:rPr>
                <w:rFonts w:cs="Times New Roman"/>
                <w:i/>
                <w:iCs/>
                <w:color w:val="243F60" w:themeColor="accent1" w:themeShade="7F"/>
                <w:szCs w:val="24"/>
              </w:rPr>
            </w:pPr>
            <w:r w:rsidRPr="00881752">
              <w:rPr>
                <w:rFonts w:cs="Times New Roman"/>
                <w:szCs w:val="24"/>
              </w:rPr>
              <w:t>archaic ending -φι</w:t>
            </w:r>
          </w:p>
        </w:tc>
        <w:tc>
          <w:tcPr>
            <w:tcW w:w="850" w:type="dxa"/>
          </w:tcPr>
          <w:p w14:paraId="688DCE8C"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c>
          <w:tcPr>
            <w:tcW w:w="567" w:type="dxa"/>
          </w:tcPr>
          <w:p w14:paraId="2339C347" w14:textId="1E64AE4D"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7A053C47" w14:textId="5373D950"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567" w:type="dxa"/>
          </w:tcPr>
          <w:p w14:paraId="35E6668E" w14:textId="0790A76E" w:rsidR="0039394D" w:rsidRPr="00881752" w:rsidRDefault="0039394D" w:rsidP="009630F3">
            <w:pPr>
              <w:keepNext/>
              <w:keepLines/>
              <w:tabs>
                <w:tab w:val="clear" w:pos="425"/>
                <w:tab w:val="left" w:pos="426"/>
              </w:tabs>
              <w:spacing w:before="60" w:after="60" w:line="300" w:lineRule="exact"/>
              <w:jc w:val="center"/>
              <w:rPr>
                <w:rFonts w:cs="Times New Roman"/>
                <w:szCs w:val="24"/>
              </w:rPr>
            </w:pPr>
            <w:r w:rsidRPr="00881752">
              <w:rPr>
                <w:rFonts w:cs="Times New Roman"/>
                <w:szCs w:val="24"/>
              </w:rPr>
              <w:t>–</w:t>
            </w:r>
          </w:p>
        </w:tc>
        <w:tc>
          <w:tcPr>
            <w:tcW w:w="2596" w:type="dxa"/>
          </w:tcPr>
          <w:p w14:paraId="62F92BAD" w14:textId="77777777" w:rsidR="0039394D" w:rsidRPr="00881752" w:rsidRDefault="0039394D" w:rsidP="009630F3">
            <w:pPr>
              <w:keepNext/>
              <w:keepLines/>
              <w:tabs>
                <w:tab w:val="clear" w:pos="425"/>
                <w:tab w:val="left" w:pos="426"/>
              </w:tabs>
              <w:spacing w:before="60" w:after="60" w:line="300" w:lineRule="exact"/>
              <w:rPr>
                <w:rFonts w:cs="Times New Roman"/>
                <w:szCs w:val="24"/>
              </w:rPr>
            </w:pPr>
          </w:p>
        </w:tc>
      </w:tr>
    </w:tbl>
    <w:p w14:paraId="1DBA7997" w14:textId="77777777" w:rsidR="009C4864" w:rsidRPr="00881752" w:rsidRDefault="009C4864" w:rsidP="00E27B4B">
      <w:pPr>
        <w:keepNext/>
        <w:tabs>
          <w:tab w:val="clear" w:pos="425"/>
          <w:tab w:val="left" w:pos="426"/>
        </w:tabs>
        <w:rPr>
          <w:rFonts w:cs="Times New Roman"/>
          <w:szCs w:val="24"/>
          <w:lang w:val="en-US"/>
        </w:rPr>
      </w:pPr>
      <w:r w:rsidRPr="00881752">
        <w:rPr>
          <w:rFonts w:cs="Times New Roman"/>
          <w:szCs w:val="24"/>
          <w:lang w:val="en-US"/>
        </w:rPr>
        <w:lastRenderedPageBreak/>
        <w:t>Notes:</w:t>
      </w:r>
    </w:p>
    <w:p w14:paraId="15D75120" w14:textId="5130E5E2" w:rsidR="009C4864" w:rsidRPr="00881752" w:rsidRDefault="009C4864" w:rsidP="00E27B4B">
      <w:pPr>
        <w:keepNext/>
        <w:widowControl w:val="0"/>
        <w:numPr>
          <w:ilvl w:val="0"/>
          <w:numId w:val="30"/>
        </w:numPr>
        <w:tabs>
          <w:tab w:val="clear" w:pos="425"/>
          <w:tab w:val="left" w:pos="360"/>
          <w:tab w:val="left" w:pos="426"/>
        </w:tabs>
        <w:ind w:left="426" w:hanging="426"/>
        <w:rPr>
          <w:rFonts w:cs="Times New Roman"/>
          <w:szCs w:val="24"/>
          <w:lang w:val="en-US"/>
        </w:rPr>
      </w:pPr>
      <w:r w:rsidRPr="00881752">
        <w:rPr>
          <w:rFonts w:cs="Times New Roman"/>
          <w:szCs w:val="24"/>
          <w:lang w:val="en-US"/>
        </w:rPr>
        <w:t xml:space="preserve">The data gathered in Appendix </w:t>
      </w:r>
      <w:r w:rsidRPr="00881752">
        <w:rPr>
          <w:rFonts w:cs="Times New Roman"/>
          <w:b/>
          <w:bCs/>
          <w:szCs w:val="24"/>
          <w:lang w:val="en-US"/>
        </w:rPr>
        <w:t xml:space="preserve">1 </w:t>
      </w:r>
      <w:r w:rsidRPr="00881752">
        <w:rPr>
          <w:rFonts w:cs="Times New Roman"/>
          <w:szCs w:val="24"/>
          <w:lang w:val="en-US"/>
        </w:rPr>
        <w:t>A.1 show that the frequency of ε: after ε, ι, ρ at word end is lower in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 xml:space="preserve">Iambi </w:t>
      </w:r>
      <w:r w:rsidRPr="00881752">
        <w:rPr>
          <w:rFonts w:cs="Times New Roman"/>
          <w:szCs w:val="24"/>
          <w:lang w:val="en-US"/>
        </w:rPr>
        <w:t>than in Archilochos and Hipponax; however, Callimachus adopts the Ionic ending ε: instead of α: consistently, with only two exceptions:</w:t>
      </w:r>
    </w:p>
    <w:p w14:paraId="0050061B" w14:textId="21127155" w:rsidR="009C4864" w:rsidRPr="00881752" w:rsidRDefault="009C4864" w:rsidP="00E27B4B">
      <w:pPr>
        <w:keepNext/>
        <w:widowControl w:val="0"/>
        <w:numPr>
          <w:ilvl w:val="0"/>
          <w:numId w:val="31"/>
        </w:numPr>
        <w:tabs>
          <w:tab w:val="clear" w:pos="425"/>
          <w:tab w:val="left" w:pos="360"/>
          <w:tab w:val="left" w:pos="426"/>
          <w:tab w:val="left" w:pos="720"/>
        </w:tabs>
        <w:ind w:hanging="294"/>
        <w:rPr>
          <w:rFonts w:cs="Times New Roman"/>
          <w:szCs w:val="24"/>
          <w:lang w:val="en-US"/>
        </w:rPr>
      </w:pPr>
      <w:r w:rsidRPr="00881752">
        <w:rPr>
          <w:rFonts w:cs="Times New Roman"/>
          <w:szCs w:val="24"/>
          <w:lang w:val="en-US"/>
        </w:rPr>
        <w:t xml:space="preserve">ἱραῖς (3.28): this occurrence concerns the monosyllabic dative plural ending </w:t>
      </w:r>
      <w:r w:rsidRPr="00881752">
        <w:rPr>
          <w:rFonts w:cs="Times New Roman"/>
          <w:szCs w:val="24"/>
          <w:lang w:val="en-US"/>
        </w:rPr>
        <w:br/>
        <w:t>-αις/-οις, preferred by Callimachus, while Archilochus and Hipponax prefer the disyllabic dative plural ending -ηισι/-οισι: see (8) below. However, it is worth noting that Archilochus</w:t>
      </w:r>
      <w:r w:rsidR="00075F5F">
        <w:rPr>
          <w:rFonts w:cs="Times New Roman"/>
          <w:szCs w:val="24"/>
          <w:lang w:val="en-US"/>
        </w:rPr>
        <w:t>’</w:t>
      </w:r>
      <w:r w:rsidRPr="00881752">
        <w:rPr>
          <w:rFonts w:cs="Times New Roman"/>
          <w:szCs w:val="24"/>
          <w:lang w:val="en-US"/>
        </w:rPr>
        <w:t xml:space="preserve"> fragments show an instance of monosyllabic dative plural where α: after ι is ε: (Archil. 10.2 θαλίηις).</w:t>
      </w:r>
    </w:p>
    <w:p w14:paraId="1906E63E" w14:textId="77777777" w:rsidR="009C4864" w:rsidRPr="00881752" w:rsidRDefault="009C4864" w:rsidP="00E27B4B">
      <w:pPr>
        <w:widowControl w:val="0"/>
        <w:numPr>
          <w:ilvl w:val="0"/>
          <w:numId w:val="31"/>
        </w:numPr>
        <w:tabs>
          <w:tab w:val="left" w:pos="232"/>
          <w:tab w:val="left" w:pos="360"/>
          <w:tab w:val="left" w:pos="720"/>
        </w:tabs>
        <w:ind w:hanging="294"/>
        <w:rPr>
          <w:rFonts w:cs="Times New Roman"/>
          <w:szCs w:val="24"/>
          <w:lang w:val="en-US"/>
        </w:rPr>
      </w:pPr>
      <w:r w:rsidRPr="00881752">
        <w:rPr>
          <w:rFonts w:cs="Times New Roman"/>
          <w:szCs w:val="24"/>
          <w:lang w:val="en-US"/>
        </w:rPr>
        <w:t>λάθραι (1.80) instead of the Ionic form λάθρηι.</w:t>
      </w:r>
    </w:p>
    <w:p w14:paraId="38BBA75A" w14:textId="0B602BB5" w:rsidR="009C4864" w:rsidRPr="00881752" w:rsidRDefault="009C4864" w:rsidP="00E27B4B">
      <w:pPr>
        <w:widowControl w:val="0"/>
        <w:numPr>
          <w:ilvl w:val="0"/>
          <w:numId w:val="30"/>
        </w:numPr>
        <w:tabs>
          <w:tab w:val="clear" w:pos="425"/>
          <w:tab w:val="left" w:pos="232"/>
          <w:tab w:val="left" w:pos="360"/>
          <w:tab w:val="left" w:pos="426"/>
        </w:tabs>
        <w:ind w:left="426" w:hanging="426"/>
        <w:rPr>
          <w:rFonts w:cs="Times New Roman"/>
          <w:szCs w:val="24"/>
          <w:lang w:val="en-US"/>
        </w:rPr>
      </w:pPr>
      <w:r w:rsidRPr="00881752">
        <w:rPr>
          <w:rFonts w:cs="Times New Roman"/>
          <w:szCs w:val="24"/>
          <w:lang w:val="en-US"/>
        </w:rPr>
        <w:t>In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the only instance of ε: for α: inside a word is 1.2 πιπρήσκουσι, in the opening lines of Hipponax</w:t>
      </w:r>
      <w:r w:rsidR="00075F5F">
        <w:rPr>
          <w:rFonts w:cs="Times New Roman"/>
          <w:szCs w:val="24"/>
          <w:lang w:val="en-US"/>
        </w:rPr>
        <w:t>’</w:t>
      </w:r>
      <w:r w:rsidRPr="00881752">
        <w:rPr>
          <w:rFonts w:cs="Times New Roman"/>
          <w:szCs w:val="24"/>
          <w:lang w:val="en-US"/>
        </w:rPr>
        <w:t xml:space="preserve">s speech in this poem. </w:t>
      </w:r>
    </w:p>
    <w:p w14:paraId="120FECD7" w14:textId="728A81D9" w:rsidR="009C4864" w:rsidRPr="00881752" w:rsidRDefault="009C4864" w:rsidP="00E27B4B">
      <w:pPr>
        <w:widowControl w:val="0"/>
        <w:numPr>
          <w:ilvl w:val="0"/>
          <w:numId w:val="30"/>
        </w:numPr>
        <w:tabs>
          <w:tab w:val="clear" w:pos="425"/>
          <w:tab w:val="left" w:pos="232"/>
          <w:tab w:val="left" w:pos="360"/>
          <w:tab w:val="left" w:pos="426"/>
        </w:tabs>
        <w:ind w:left="426" w:hanging="426"/>
        <w:rPr>
          <w:rFonts w:cs="Times New Roman"/>
          <w:szCs w:val="24"/>
          <w:lang w:val="en-US"/>
        </w:rPr>
      </w:pPr>
      <w:r w:rsidRPr="00881752">
        <w:rPr>
          <w:rFonts w:cs="Times New Roman"/>
          <w:szCs w:val="24"/>
          <w:lang w:val="en-US"/>
        </w:rPr>
        <w:t>It is plausible that in the spoken East-Ionic dialect the tendency was to pronounce the consonant cluster [dental + nasal] as [sibilant + nasal].</w:t>
      </w:r>
      <w:r w:rsidRPr="00881752">
        <w:rPr>
          <w:rStyle w:val="FootnoteReference"/>
          <w:rFonts w:cs="Times New Roman"/>
          <w:szCs w:val="24"/>
          <w:lang w:val="en-US"/>
        </w:rPr>
        <w:footnoteReference w:id="33"/>
      </w:r>
      <w:r w:rsidRPr="00881752">
        <w:rPr>
          <w:rFonts w:cs="Times New Roman"/>
          <w:szCs w:val="24"/>
          <w:lang w:val="en-US"/>
        </w:rPr>
        <w:t xml:space="preserve"> Archilochus</w:t>
      </w:r>
      <w:r w:rsidR="00075F5F">
        <w:rPr>
          <w:rFonts w:cs="Times New Roman"/>
          <w:szCs w:val="24"/>
          <w:lang w:val="en-US"/>
        </w:rPr>
        <w:t>’</w:t>
      </w:r>
      <w:r w:rsidRPr="00881752">
        <w:rPr>
          <w:rFonts w:cs="Times New Roman"/>
          <w:szCs w:val="24"/>
          <w:lang w:val="en-US"/>
        </w:rPr>
        <w:t xml:space="preserve"> and Hipponax</w:t>
      </w:r>
      <w:r w:rsidR="00075F5F">
        <w:rPr>
          <w:rFonts w:cs="Times New Roman"/>
          <w:szCs w:val="24"/>
          <w:lang w:val="en-US"/>
        </w:rPr>
        <w:t>’</w:t>
      </w:r>
      <w:r w:rsidRPr="00881752">
        <w:rPr>
          <w:rFonts w:cs="Times New Roman"/>
          <w:szCs w:val="24"/>
          <w:lang w:val="en-US"/>
        </w:rPr>
        <w:t>s fragments show only a few examples of this phenomenon:</w:t>
      </w:r>
    </w:p>
    <w:p w14:paraId="07FDA231" w14:textId="77777777" w:rsidR="009C4864" w:rsidRPr="00881752" w:rsidRDefault="009C4864" w:rsidP="00E27B4B">
      <w:pPr>
        <w:widowControl w:val="0"/>
        <w:numPr>
          <w:ilvl w:val="0"/>
          <w:numId w:val="32"/>
        </w:numPr>
        <w:tabs>
          <w:tab w:val="left" w:pos="232"/>
          <w:tab w:val="left" w:pos="709"/>
          <w:tab w:val="left" w:pos="786"/>
        </w:tabs>
        <w:ind w:left="709" w:hanging="283"/>
        <w:rPr>
          <w:rFonts w:cs="Times New Roman"/>
          <w:szCs w:val="24"/>
          <w:lang w:val="en-US"/>
        </w:rPr>
      </w:pPr>
      <w:r w:rsidRPr="00881752">
        <w:rPr>
          <w:rFonts w:cs="Times New Roman"/>
          <w:szCs w:val="24"/>
          <w:lang w:val="en-US"/>
        </w:rPr>
        <w:t>Archil. 105.7 ῥυσμός (ῥυθμός);</w:t>
      </w:r>
    </w:p>
    <w:p w14:paraId="2843DA1D" w14:textId="77777777" w:rsidR="009C4864" w:rsidRPr="00881752" w:rsidRDefault="009C4864" w:rsidP="00E27B4B">
      <w:pPr>
        <w:widowControl w:val="0"/>
        <w:numPr>
          <w:ilvl w:val="0"/>
          <w:numId w:val="32"/>
        </w:numPr>
        <w:tabs>
          <w:tab w:val="left" w:pos="232"/>
          <w:tab w:val="left" w:pos="709"/>
          <w:tab w:val="left" w:pos="786"/>
        </w:tabs>
        <w:ind w:left="709" w:hanging="283"/>
        <w:rPr>
          <w:rFonts w:cs="Times New Roman"/>
          <w:szCs w:val="24"/>
          <w:lang w:val="en-US"/>
        </w:rPr>
      </w:pPr>
      <w:r w:rsidRPr="00881752">
        <w:rPr>
          <w:rFonts w:cs="Times New Roman"/>
          <w:szCs w:val="24"/>
          <w:lang w:val="en-US"/>
        </w:rPr>
        <w:t>Hippon. 95.11 ὀσμήν (ὀδμήν), 164 Κασμῖλος (Καδμῖλος).</w:t>
      </w:r>
    </w:p>
    <w:p w14:paraId="4E1359BC" w14:textId="25E451DE" w:rsidR="009C4864" w:rsidRPr="00881752" w:rsidRDefault="009C4864" w:rsidP="00E27B4B">
      <w:pPr>
        <w:tabs>
          <w:tab w:val="center" w:pos="5387"/>
        </w:tabs>
        <w:ind w:left="425" w:hanging="425"/>
        <w:rPr>
          <w:rFonts w:cs="Times New Roman"/>
          <w:szCs w:val="24"/>
          <w:lang w:val="en-US"/>
        </w:rPr>
      </w:pPr>
      <w:r w:rsidRPr="00881752">
        <w:rPr>
          <w:rFonts w:cs="Times New Roman"/>
          <w:szCs w:val="24"/>
          <w:lang w:val="en-US"/>
        </w:rPr>
        <w:t>(4)</w:t>
      </w:r>
      <w:r w:rsidRPr="00881752">
        <w:rPr>
          <w:rFonts w:cs="Times New Roman"/>
          <w:szCs w:val="24"/>
          <w:lang w:val="en-US"/>
        </w:rPr>
        <w:tab/>
        <w:t>οὔρεα (12.8) is the only instance of metrical lengthening in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and it is probably not coincidental that it occurs in </w:t>
      </w:r>
      <w:r w:rsidRPr="00881752">
        <w:rPr>
          <w:rFonts w:cs="Times New Roman"/>
          <w:i/>
          <w:iCs/>
          <w:szCs w:val="24"/>
          <w:lang w:val="en-US"/>
        </w:rPr>
        <w:t>Iambus</w:t>
      </w:r>
      <w:r w:rsidRPr="00881752">
        <w:rPr>
          <w:rFonts w:cs="Times New Roman"/>
          <w:szCs w:val="24"/>
          <w:lang w:val="en-US"/>
        </w:rPr>
        <w:t xml:space="preserve"> 12, which is considered closest to elegy in style.</w:t>
      </w:r>
      <w:r w:rsidRPr="00881752">
        <w:rPr>
          <w:rStyle w:val="FootnoteReference"/>
          <w:rFonts w:cs="Times New Roman"/>
          <w:szCs w:val="24"/>
          <w:lang w:val="en-US"/>
        </w:rPr>
        <w:footnoteReference w:id="34"/>
      </w:r>
      <w:r w:rsidRPr="00881752">
        <w:rPr>
          <w:rFonts w:cs="Times New Roman"/>
          <w:szCs w:val="24"/>
          <w:lang w:val="en-US"/>
        </w:rPr>
        <w:t xml:space="preserve"> Furthermore, the form οὔρεα, in a context referring to the goddess Artemis, recalls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Hymn to Artemis</w:t>
      </w:r>
      <w:r w:rsidRPr="00881752">
        <w:rPr>
          <w:rFonts w:cs="Times New Roman"/>
          <w:szCs w:val="24"/>
          <w:lang w:val="en-US"/>
        </w:rPr>
        <w:t xml:space="preserve"> 18 δὸς δέ μοι οὔρεα πάντα </w:t>
      </w:r>
      <w:r w:rsidR="00CC0615">
        <w:rPr>
          <w:rFonts w:cs="Times New Roman"/>
          <w:szCs w:val="24"/>
          <w:lang w:val="en-US"/>
        </w:rPr>
        <w:t>“</w:t>
      </w:r>
      <w:r w:rsidRPr="00881752">
        <w:rPr>
          <w:rFonts w:cs="Times New Roman"/>
          <w:szCs w:val="24"/>
          <w:lang w:val="en-US"/>
        </w:rPr>
        <w:t>give me all the mountains</w:t>
      </w:r>
      <w:r w:rsidR="00CC0615">
        <w:rPr>
          <w:rFonts w:cs="Times New Roman"/>
          <w:szCs w:val="24"/>
          <w:lang w:val="en-US"/>
        </w:rPr>
        <w:t>”</w:t>
      </w:r>
      <w:r w:rsidRPr="00881752">
        <w:rPr>
          <w:rFonts w:cs="Times New Roman"/>
          <w:szCs w:val="24"/>
          <w:lang w:val="en-US"/>
        </w:rPr>
        <w:t xml:space="preserve">. It is plausible that this remarkable use of metrical lengthening, which is strictly avoided by the archaic iambographers, is here both an intertextual self-reference and a marker of the </w:t>
      </w:r>
      <w:r w:rsidR="00CC0615">
        <w:rPr>
          <w:rFonts w:cs="Times New Roman"/>
          <w:szCs w:val="24"/>
          <w:lang w:val="en-US"/>
        </w:rPr>
        <w:t>“</w:t>
      </w:r>
      <w:r w:rsidRPr="00881752">
        <w:rPr>
          <w:rFonts w:cs="Times New Roman"/>
          <w:szCs w:val="24"/>
          <w:lang w:val="en-US"/>
        </w:rPr>
        <w:t>elegiac</w:t>
      </w:r>
      <w:r w:rsidR="00CC0615">
        <w:rPr>
          <w:rFonts w:cs="Times New Roman"/>
          <w:szCs w:val="24"/>
          <w:lang w:val="en-US"/>
        </w:rPr>
        <w:t>”</w:t>
      </w:r>
      <w:r w:rsidRPr="00881752">
        <w:rPr>
          <w:rFonts w:cs="Times New Roman"/>
          <w:szCs w:val="24"/>
          <w:lang w:val="en-US"/>
        </w:rPr>
        <w:t xml:space="preserve"> colouring of </w:t>
      </w:r>
      <w:r w:rsidRPr="00881752">
        <w:rPr>
          <w:rFonts w:cs="Times New Roman"/>
          <w:i/>
          <w:iCs/>
          <w:szCs w:val="24"/>
          <w:lang w:val="en-US"/>
        </w:rPr>
        <w:t>Iambus</w:t>
      </w:r>
      <w:r w:rsidRPr="00881752">
        <w:rPr>
          <w:rFonts w:cs="Times New Roman"/>
          <w:szCs w:val="24"/>
          <w:lang w:val="en-US"/>
        </w:rPr>
        <w:t xml:space="preserve"> 12. It is also not random that in </w:t>
      </w:r>
      <w:r w:rsidRPr="00881752">
        <w:rPr>
          <w:rFonts w:cs="Times New Roman"/>
          <w:i/>
          <w:iCs/>
          <w:szCs w:val="24"/>
          <w:lang w:val="en-US"/>
        </w:rPr>
        <w:t>Iambus</w:t>
      </w:r>
      <w:r w:rsidRPr="00881752">
        <w:rPr>
          <w:rFonts w:cs="Times New Roman"/>
          <w:szCs w:val="24"/>
          <w:lang w:val="en-US"/>
        </w:rPr>
        <w:t xml:space="preserve"> 12 we find the rare singular vocative form νύμφα with short α (12.73), which otherwise appears only in epic and elegiac contexts; and that this poem features Callimachus</w:t>
      </w:r>
      <w:r w:rsidR="00075F5F">
        <w:rPr>
          <w:rFonts w:cs="Times New Roman"/>
          <w:szCs w:val="24"/>
          <w:lang w:val="en-US"/>
        </w:rPr>
        <w:t>’</w:t>
      </w:r>
      <w:r w:rsidRPr="00881752">
        <w:rPr>
          <w:rFonts w:cs="Times New Roman"/>
          <w:szCs w:val="24"/>
          <w:lang w:val="en-US"/>
        </w:rPr>
        <w:t xml:space="preserve"> only example of sg. gen. -οιο (12.33 χρυσοῖο).</w:t>
      </w:r>
    </w:p>
    <w:p w14:paraId="57665AE9" w14:textId="4097B2DB" w:rsidR="009C4864" w:rsidRPr="00881752" w:rsidRDefault="009C4864" w:rsidP="00E27B4B">
      <w:pPr>
        <w:widowControl w:val="0"/>
        <w:numPr>
          <w:ilvl w:val="0"/>
          <w:numId w:val="33"/>
        </w:numPr>
        <w:tabs>
          <w:tab w:val="clear" w:pos="425"/>
          <w:tab w:val="left" w:pos="360"/>
          <w:tab w:val="left" w:pos="426"/>
          <w:tab w:val="center" w:pos="5387"/>
        </w:tabs>
        <w:ind w:left="426" w:hanging="426"/>
        <w:rPr>
          <w:rFonts w:cs="Times New Roman"/>
          <w:szCs w:val="24"/>
          <w:lang w:val="en-US"/>
        </w:rPr>
      </w:pPr>
      <w:r w:rsidRPr="00881752">
        <w:rPr>
          <w:rFonts w:cs="Times New Roman"/>
          <w:szCs w:val="24"/>
          <w:lang w:val="en-US"/>
        </w:rPr>
        <w:t>Although we know for certain that East-Ionic, the base language of the archaic iambographers, was a psilotic dialect, this feature is visible only to a limited extent in our textual evidence for Archilochus and Hipponax (or any East-Ionic authors), because aspiration has been introduced secondarily on a large scale.</w:t>
      </w:r>
      <w:r w:rsidRPr="00881752">
        <w:rPr>
          <w:rStyle w:val="FootnoteReference"/>
          <w:rFonts w:cs="Times New Roman"/>
          <w:szCs w:val="24"/>
          <w:lang w:val="en-US"/>
        </w:rPr>
        <w:footnoteReference w:id="35"/>
      </w:r>
      <w:r w:rsidRPr="00881752">
        <w:rPr>
          <w:rFonts w:cs="Times New Roman"/>
          <w:szCs w:val="24"/>
          <w:lang w:val="en-US"/>
        </w:rPr>
        <w:t xml:space="preserve"> In Appendix </w:t>
      </w:r>
      <w:r w:rsidRPr="00881752">
        <w:rPr>
          <w:rFonts w:cs="Times New Roman"/>
          <w:b/>
          <w:bCs/>
          <w:szCs w:val="24"/>
          <w:lang w:val="en-US"/>
        </w:rPr>
        <w:t>1</w:t>
      </w:r>
      <w:r w:rsidRPr="00881752">
        <w:rPr>
          <w:rFonts w:cs="Times New Roman"/>
          <w:szCs w:val="24"/>
          <w:lang w:val="en-US"/>
        </w:rPr>
        <w:t xml:space="preserve"> </w:t>
      </w:r>
      <w:r w:rsidRPr="00881752">
        <w:rPr>
          <w:rFonts w:cs="Times New Roman"/>
          <w:szCs w:val="24"/>
          <w:lang w:val="en-US"/>
        </w:rPr>
        <w:lastRenderedPageBreak/>
        <w:t>A.10, I list the psilotic forms which my reference editions report. The evidence for psilosis is substantial in Hipponax; in Archilochus, (some of) the manuscripts preserve psilosis in only two instances, 18.1 ἐπίμερος and 107.2 ἐπ</w:t>
      </w:r>
      <w:r w:rsidR="00075F5F">
        <w:rPr>
          <w:rFonts w:cs="Times New Roman"/>
          <w:szCs w:val="24"/>
          <w:lang w:val="en-US"/>
        </w:rPr>
        <w:t>’</w:t>
      </w:r>
      <w:r w:rsidRPr="00881752">
        <w:rPr>
          <w:rFonts w:cs="Times New Roman"/>
          <w:szCs w:val="24"/>
          <w:lang w:val="en-US"/>
        </w:rPr>
        <w:t xml:space="preserve"> ἠμέρην. Both the general state of affairs and the nature of the exceptions suit the fact that Archilochus was considered closer to Homer; this would have invited copyists to normalise psilosis similar to their practice for epic language.</w:t>
      </w:r>
      <w:r w:rsidRPr="00881752">
        <w:rPr>
          <w:rStyle w:val="FootnoteReference"/>
          <w:rFonts w:cs="Times New Roman"/>
          <w:szCs w:val="24"/>
          <w:lang w:val="en-US"/>
        </w:rPr>
        <w:footnoteReference w:id="36"/>
      </w:r>
      <w:r w:rsidRPr="00881752">
        <w:rPr>
          <w:rFonts w:cs="Times New Roman"/>
          <w:szCs w:val="24"/>
          <w:lang w:val="en-US"/>
        </w:rPr>
        <w:t xml:space="preserve"> If this is the case, Callimachus may here, as in other linguistic features, have chosen to follow the language of Archilochus rather than that of Hipponax. </w:t>
      </w:r>
    </w:p>
    <w:p w14:paraId="0CBA7FC7" w14:textId="449D071B" w:rsidR="009C4864" w:rsidRPr="00881752" w:rsidRDefault="009C4864" w:rsidP="00E27B4B">
      <w:pPr>
        <w:widowControl w:val="0"/>
        <w:numPr>
          <w:ilvl w:val="0"/>
          <w:numId w:val="33"/>
        </w:numPr>
        <w:tabs>
          <w:tab w:val="clear" w:pos="425"/>
          <w:tab w:val="left" w:pos="360"/>
          <w:tab w:val="left" w:pos="426"/>
          <w:tab w:val="center" w:pos="5387"/>
        </w:tabs>
        <w:ind w:left="426" w:hanging="426"/>
        <w:rPr>
          <w:rFonts w:cs="Times New Roman"/>
          <w:szCs w:val="24"/>
          <w:lang w:val="en-US"/>
        </w:rPr>
      </w:pPr>
      <w:r w:rsidRPr="00881752">
        <w:rPr>
          <w:rFonts w:cs="Times New Roman"/>
          <w:szCs w:val="24"/>
          <w:lang w:val="en-US"/>
        </w:rPr>
        <w:t xml:space="preserve">As shown in Appendix </w:t>
      </w:r>
      <w:r w:rsidRPr="00881752">
        <w:rPr>
          <w:rFonts w:cs="Times New Roman"/>
          <w:b/>
          <w:bCs/>
          <w:szCs w:val="24"/>
          <w:lang w:val="en-US"/>
        </w:rPr>
        <w:t xml:space="preserve">1 </w:t>
      </w:r>
      <w:r w:rsidRPr="00881752">
        <w:rPr>
          <w:rFonts w:cs="Times New Roman"/>
          <w:szCs w:val="24"/>
          <w:lang w:val="en-US"/>
        </w:rPr>
        <w:t>A.11, first declension genitive singular forms in -εω occur quite regularly in Archilochus and Hipponax (five times in each author), but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show only one instance (4.1 Χαριτάδεω).</w:t>
      </w:r>
    </w:p>
    <w:p w14:paraId="69C4B4AE" w14:textId="77777777" w:rsidR="009C4864" w:rsidRPr="00881752" w:rsidRDefault="009C4864" w:rsidP="00E27B4B">
      <w:pPr>
        <w:widowControl w:val="0"/>
        <w:numPr>
          <w:ilvl w:val="0"/>
          <w:numId w:val="33"/>
        </w:numPr>
        <w:tabs>
          <w:tab w:val="clear" w:pos="425"/>
          <w:tab w:val="left" w:pos="360"/>
          <w:tab w:val="left" w:pos="426"/>
          <w:tab w:val="center" w:pos="5387"/>
        </w:tabs>
        <w:ind w:left="426" w:hanging="426"/>
        <w:rPr>
          <w:rFonts w:cs="Times New Roman"/>
          <w:szCs w:val="24"/>
          <w:lang w:val="en-US"/>
        </w:rPr>
      </w:pPr>
      <w:r w:rsidRPr="00881752">
        <w:rPr>
          <w:rFonts w:cs="Times New Roman"/>
          <w:szCs w:val="24"/>
          <w:lang w:val="en-US"/>
        </w:rPr>
        <w:t>Archilochus and Hipponax probably used -εο for the genitive singular of the personal pronouns ἐγώ and σύ</w:t>
      </w:r>
      <w:r w:rsidRPr="00881752">
        <w:rPr>
          <w:rStyle w:val="FootnoteReference"/>
          <w:rFonts w:cs="Times New Roman"/>
          <w:szCs w:val="24"/>
          <w:lang w:val="en-US"/>
        </w:rPr>
        <w:footnoteReference w:id="37"/>
      </w:r>
      <w:r w:rsidRPr="00881752">
        <w:rPr>
          <w:rFonts w:cs="Times New Roman"/>
          <w:szCs w:val="24"/>
          <w:lang w:val="en-US"/>
        </w:rPr>
        <w:t xml:space="preserve"> (ἐμέο Archil. 5.22; 183; 194; μεο Hippon. 121, 132; σεο Archil. 92.4; 119.4), even if this ending is not preserved in our sources (which generally have Attic -ου). Here Callimachus may indirectly preserve the archaic forms: his </w:t>
      </w:r>
      <w:r w:rsidRPr="00881752">
        <w:rPr>
          <w:rFonts w:cs="Times New Roman"/>
          <w:i/>
          <w:iCs/>
          <w:szCs w:val="24"/>
          <w:lang w:val="en-US"/>
        </w:rPr>
        <w:t>Iambi</w:t>
      </w:r>
      <w:r w:rsidRPr="00881752">
        <w:rPr>
          <w:rFonts w:cs="Times New Roman"/>
          <w:szCs w:val="24"/>
          <w:lang w:val="en-US"/>
        </w:rPr>
        <w:t xml:space="preserve"> always show the ending -ευ, which represents the monophthongization of -εο (ἐμεῦ </w:t>
      </w:r>
      <w:r w:rsidRPr="00881752">
        <w:rPr>
          <w:rFonts w:cs="Times New Roman"/>
          <w:i/>
          <w:iCs/>
          <w:szCs w:val="24"/>
          <w:lang w:val="en-US"/>
        </w:rPr>
        <w:t>Ia</w:t>
      </w:r>
      <w:r w:rsidRPr="00881752">
        <w:rPr>
          <w:rFonts w:cs="Times New Roman"/>
          <w:szCs w:val="24"/>
          <w:lang w:val="en-US"/>
        </w:rPr>
        <w:t xml:space="preserve">. 4.16; μευ 4.21; 6.46; 11.1; σεῦ 4.58). Since synizesis is on the whole more frequent than contraction in Archilochus and Hipponax, it is plausible that -εο, not -ευ, is the ending the archaic iambographers used, even though the only certain instance is Archil. 92.4 σεο. </w:t>
      </w:r>
    </w:p>
    <w:p w14:paraId="3A546AAD" w14:textId="77777777" w:rsidR="009C4864" w:rsidRPr="00881752" w:rsidRDefault="009C4864" w:rsidP="00E27B4B">
      <w:pPr>
        <w:widowControl w:val="0"/>
        <w:numPr>
          <w:ilvl w:val="0"/>
          <w:numId w:val="33"/>
        </w:numPr>
        <w:tabs>
          <w:tab w:val="clear" w:pos="425"/>
          <w:tab w:val="left" w:pos="360"/>
          <w:tab w:val="left" w:pos="426"/>
          <w:tab w:val="center" w:pos="5387"/>
        </w:tabs>
        <w:ind w:left="426" w:hanging="426"/>
        <w:rPr>
          <w:rFonts w:cs="Times New Roman"/>
          <w:szCs w:val="24"/>
          <w:lang w:val="en-US"/>
        </w:rPr>
      </w:pPr>
      <w:r w:rsidRPr="00881752">
        <w:rPr>
          <w:rFonts w:cs="Times New Roman"/>
          <w:szCs w:val="24"/>
          <w:lang w:val="en-US"/>
        </w:rPr>
        <w:t xml:space="preserve">As shown in Appendix </w:t>
      </w:r>
      <w:r w:rsidRPr="00881752">
        <w:rPr>
          <w:rFonts w:cs="Times New Roman"/>
          <w:b/>
          <w:bCs/>
          <w:szCs w:val="24"/>
          <w:lang w:val="en-US"/>
        </w:rPr>
        <w:t>1</w:t>
      </w:r>
      <w:r w:rsidRPr="00881752">
        <w:rPr>
          <w:rFonts w:cs="Times New Roman"/>
          <w:szCs w:val="24"/>
          <w:lang w:val="en-US"/>
        </w:rPr>
        <w:t xml:space="preserve"> A.12, Archilochus and Hipponax have a clear preference in the first and second declension plural dative endings for disyllabic </w:t>
      </w:r>
      <w:r w:rsidRPr="00881752">
        <w:rPr>
          <w:rFonts w:cs="Times New Roman"/>
          <w:szCs w:val="24"/>
          <w:lang w:val="en-US"/>
        </w:rPr>
        <w:br/>
        <w:t>-οισι/-ηισι, while Callimachus prefers monosyllabic -οις/-αις.</w:t>
      </w:r>
    </w:p>
    <w:p w14:paraId="538D452A" w14:textId="1C1FECBF" w:rsidR="009C4864" w:rsidRPr="00881752" w:rsidRDefault="009C4864" w:rsidP="00E27B4B">
      <w:pPr>
        <w:tabs>
          <w:tab w:val="clear" w:pos="425"/>
          <w:tab w:val="left" w:pos="426"/>
        </w:tabs>
        <w:ind w:left="426" w:hanging="426"/>
        <w:rPr>
          <w:rFonts w:cs="Times New Roman"/>
          <w:szCs w:val="24"/>
          <w:lang w:val="en-US"/>
        </w:rPr>
      </w:pPr>
      <w:r w:rsidRPr="00881752">
        <w:rPr>
          <w:rFonts w:cs="Times New Roman"/>
          <w:szCs w:val="24"/>
          <w:lang w:val="en-US"/>
        </w:rPr>
        <w:t>(9)</w:t>
      </w:r>
      <w:r w:rsidRPr="00881752">
        <w:rPr>
          <w:rFonts w:cs="Times New Roman"/>
          <w:szCs w:val="24"/>
          <w:lang w:val="en-US"/>
        </w:rPr>
        <w:tab/>
        <w:t xml:space="preserve">Scholars tend to assign to the iambic genre the use of singular genitive/dative endings in -ιος/-ῑ with ι-stem nouns; the use of </w:t>
      </w:r>
      <w:r w:rsidR="00075F5F">
        <w:rPr>
          <w:rFonts w:cs="Times New Roman"/>
          <w:szCs w:val="24"/>
          <w:lang w:val="en-US"/>
        </w:rPr>
        <w:t>‘</w:t>
      </w:r>
      <w:r w:rsidRPr="00881752">
        <w:rPr>
          <w:rFonts w:cs="Times New Roman"/>
          <w:szCs w:val="24"/>
          <w:lang w:val="en-US"/>
        </w:rPr>
        <w:t>Attic declension</w:t>
      </w:r>
      <w:r w:rsidR="00075F5F">
        <w:rPr>
          <w:rFonts w:cs="Times New Roman"/>
          <w:szCs w:val="24"/>
          <w:lang w:val="en-US"/>
        </w:rPr>
        <w:t>’</w:t>
      </w:r>
      <w:r w:rsidRPr="00881752">
        <w:rPr>
          <w:rFonts w:cs="Times New Roman"/>
          <w:szCs w:val="24"/>
          <w:lang w:val="en-US"/>
        </w:rPr>
        <w:t xml:space="preserve"> forms; and a tendency to inflect μι-verbs as thematic verbs.</w:t>
      </w:r>
      <w:r w:rsidRPr="00881752">
        <w:rPr>
          <w:rStyle w:val="FootnoteReference"/>
          <w:rFonts w:cs="Times New Roman"/>
          <w:szCs w:val="24"/>
          <w:lang w:val="en-US"/>
        </w:rPr>
        <w:footnoteReference w:id="38"/>
      </w:r>
      <w:r w:rsidRPr="00881752">
        <w:rPr>
          <w:rFonts w:cs="Times New Roman"/>
          <w:szCs w:val="24"/>
          <w:lang w:val="en-US"/>
        </w:rPr>
        <w:t xml:space="preserve"> However, the evidence in the corpus is too limited to allow firm conclusions. The only occurrences of these phenomena are:</w:t>
      </w:r>
    </w:p>
    <w:p w14:paraId="6DA33FAF" w14:textId="77777777" w:rsidR="009C4864" w:rsidRPr="00881752" w:rsidRDefault="009C4864" w:rsidP="00F56C73">
      <w:pPr>
        <w:widowControl w:val="0"/>
        <w:numPr>
          <w:ilvl w:val="3"/>
          <w:numId w:val="180"/>
        </w:numPr>
        <w:tabs>
          <w:tab w:val="clear" w:pos="425"/>
          <w:tab w:val="left" w:pos="426"/>
          <w:tab w:val="left" w:pos="709"/>
          <w:tab w:val="left" w:pos="2520"/>
        </w:tabs>
        <w:ind w:left="709" w:hanging="283"/>
        <w:rPr>
          <w:rFonts w:cs="Times New Roman"/>
          <w:szCs w:val="24"/>
          <w:lang w:val="en-US"/>
        </w:rPr>
      </w:pPr>
      <w:r w:rsidRPr="00881752">
        <w:rPr>
          <w:rFonts w:cs="Times New Roman"/>
          <w:szCs w:val="24"/>
          <w:lang w:val="en-US"/>
        </w:rPr>
        <w:t>-ιος/-ῑ: Hippon. 53.1 πόλιος; Archil. 89.11 πόλι, Hippon. 107.21 βακκάρι</w:t>
      </w:r>
    </w:p>
    <w:p w14:paraId="2ACF1E34" w14:textId="77777777" w:rsidR="009C4864" w:rsidRPr="00881752" w:rsidRDefault="009C4864" w:rsidP="00F56C73">
      <w:pPr>
        <w:widowControl w:val="0"/>
        <w:numPr>
          <w:ilvl w:val="3"/>
          <w:numId w:val="180"/>
        </w:numPr>
        <w:tabs>
          <w:tab w:val="clear" w:pos="425"/>
          <w:tab w:val="left" w:pos="426"/>
          <w:tab w:val="left" w:pos="709"/>
          <w:tab w:val="left" w:pos="2520"/>
        </w:tabs>
        <w:ind w:left="709" w:hanging="283"/>
        <w:rPr>
          <w:rFonts w:cs="Times New Roman"/>
          <w:szCs w:val="24"/>
          <w:lang w:val="en-US"/>
        </w:rPr>
      </w:pPr>
      <w:r w:rsidRPr="00881752">
        <w:rPr>
          <w:rFonts w:cs="Times New Roman"/>
          <w:szCs w:val="24"/>
          <w:lang w:val="en-US"/>
        </w:rPr>
        <w:t>Attic declension: Archil. 121.3 λεώ, 99.9 λεώι</w:t>
      </w:r>
    </w:p>
    <w:p w14:paraId="66C66DA8" w14:textId="1522DA89" w:rsidR="009C4864" w:rsidRPr="00881752" w:rsidRDefault="009C4864" w:rsidP="00F56C73">
      <w:pPr>
        <w:widowControl w:val="0"/>
        <w:numPr>
          <w:ilvl w:val="3"/>
          <w:numId w:val="180"/>
        </w:numPr>
        <w:tabs>
          <w:tab w:val="clear" w:pos="425"/>
          <w:tab w:val="left" w:pos="426"/>
          <w:tab w:val="left" w:pos="709"/>
          <w:tab w:val="left" w:pos="2520"/>
        </w:tabs>
        <w:ind w:left="709" w:hanging="283"/>
        <w:rPr>
          <w:rFonts w:cs="Times New Roman"/>
          <w:szCs w:val="24"/>
          <w:lang w:val="en-US"/>
        </w:rPr>
      </w:pPr>
      <w:r w:rsidRPr="00881752">
        <w:rPr>
          <w:rFonts w:cs="Times New Roman"/>
          <w:szCs w:val="24"/>
          <w:lang w:val="en-US"/>
        </w:rPr>
        <w:t xml:space="preserve">thematic endings in μι-verbs: Archil. 30.2 ὀλλύεις and ὀλλύε; Hippon. 38.1 </w:t>
      </w:r>
      <w:r w:rsidRPr="00881752">
        <w:rPr>
          <w:rFonts w:cs="Times New Roman"/>
          <w:szCs w:val="24"/>
          <w:lang w:val="en-US"/>
        </w:rPr>
        <w:lastRenderedPageBreak/>
        <w:t>περνῶσι, 55 περνᾶις.</w:t>
      </w:r>
      <w:r w:rsidRPr="00881752">
        <w:rPr>
          <w:rStyle w:val="FootnoteReference"/>
          <w:rFonts w:cs="Times New Roman"/>
          <w:szCs w:val="24"/>
          <w:lang w:val="en-US"/>
        </w:rPr>
        <w:footnoteReference w:id="39"/>
      </w:r>
      <w:r w:rsidRPr="00881752">
        <w:rPr>
          <w:rFonts w:cs="Times New Roman"/>
          <w:szCs w:val="24"/>
          <w:lang w:val="en-US"/>
        </w:rPr>
        <w:t xml:space="preserve"> It may be significant that Callimachus once uses the present form πιπρήσκω, thus avoiding the choice between πέρνημι and περνάω (</w:t>
      </w:r>
      <w:r w:rsidRPr="00881752">
        <w:rPr>
          <w:rFonts w:cs="Times New Roman"/>
          <w:i/>
          <w:iCs/>
          <w:szCs w:val="24"/>
          <w:lang w:val="en-US"/>
        </w:rPr>
        <w:t>Ia</w:t>
      </w:r>
      <w:r w:rsidRPr="00881752">
        <w:rPr>
          <w:rFonts w:cs="Times New Roman"/>
          <w:szCs w:val="24"/>
          <w:lang w:val="en-US"/>
        </w:rPr>
        <w:t xml:space="preserve">. 1.2 πιπρήσκουσιν, spoken by </w:t>
      </w:r>
      <w:r w:rsidR="00CC0615">
        <w:rPr>
          <w:rFonts w:cs="Times New Roman"/>
          <w:szCs w:val="24"/>
          <w:lang w:val="en-US"/>
        </w:rPr>
        <w:t>“</w:t>
      </w:r>
      <w:r w:rsidRPr="00881752">
        <w:rPr>
          <w:rFonts w:cs="Times New Roman"/>
          <w:szCs w:val="24"/>
          <w:lang w:val="en-US"/>
        </w:rPr>
        <w:t>Hipponax</w:t>
      </w:r>
      <w:r w:rsidR="00CC0615">
        <w:rPr>
          <w:rFonts w:cs="Times New Roman"/>
          <w:szCs w:val="24"/>
          <w:lang w:val="en-US"/>
        </w:rPr>
        <w:t>”</w:t>
      </w:r>
      <w:r w:rsidRPr="00881752">
        <w:rPr>
          <w:rFonts w:cs="Times New Roman"/>
          <w:szCs w:val="24"/>
          <w:lang w:val="en-US"/>
        </w:rPr>
        <w:t xml:space="preserve">). </w:t>
      </w:r>
    </w:p>
    <w:p w14:paraId="6569ABC8" w14:textId="77777777" w:rsidR="009C4864" w:rsidRPr="00881752" w:rsidRDefault="009C4864" w:rsidP="00E27B4B">
      <w:pPr>
        <w:widowControl w:val="0"/>
        <w:numPr>
          <w:ilvl w:val="0"/>
          <w:numId w:val="35"/>
        </w:numPr>
        <w:tabs>
          <w:tab w:val="clear" w:pos="425"/>
          <w:tab w:val="left" w:pos="360"/>
          <w:tab w:val="left" w:pos="426"/>
        </w:tabs>
        <w:ind w:left="426" w:hanging="426"/>
        <w:rPr>
          <w:rFonts w:cs="Times New Roman"/>
          <w:szCs w:val="24"/>
          <w:lang w:val="el-GR"/>
        </w:rPr>
      </w:pPr>
      <w:r w:rsidRPr="00881752">
        <w:rPr>
          <w:rFonts w:cs="Times New Roman"/>
          <w:szCs w:val="24"/>
          <w:lang w:val="en-US"/>
        </w:rPr>
        <w:t xml:space="preserve">For κρέσσων rather than (Attic) κρείσσων cf. Hippon. </w:t>
      </w:r>
      <w:r w:rsidRPr="00881752">
        <w:rPr>
          <w:rFonts w:cs="Times New Roman"/>
          <w:szCs w:val="24"/>
          <w:lang w:val="el-GR"/>
        </w:rPr>
        <w:t xml:space="preserve">12 κρέσσων, 219.3  κρέσσω; </w:t>
      </w:r>
      <w:r w:rsidRPr="00881752">
        <w:rPr>
          <w:rFonts w:cs="Times New Roman"/>
          <w:szCs w:val="24"/>
          <w:lang w:val="en-US"/>
        </w:rPr>
        <w:t>Call</w:t>
      </w:r>
      <w:r w:rsidRPr="00881752">
        <w:rPr>
          <w:rFonts w:cs="Times New Roman"/>
          <w:szCs w:val="24"/>
          <w:lang w:val="el-GR"/>
        </w:rPr>
        <w:t xml:space="preserve">. </w:t>
      </w:r>
      <w:r w:rsidRPr="00881752">
        <w:rPr>
          <w:rFonts w:cs="Times New Roman"/>
          <w:i/>
          <w:iCs/>
          <w:szCs w:val="24"/>
          <w:lang w:val="en-US"/>
        </w:rPr>
        <w:t>Ia</w:t>
      </w:r>
      <w:r w:rsidRPr="00881752">
        <w:rPr>
          <w:rFonts w:cs="Times New Roman"/>
          <w:szCs w:val="24"/>
          <w:lang w:val="el-GR"/>
        </w:rPr>
        <w:t>. 4.57 κρέσσων.</w:t>
      </w:r>
    </w:p>
    <w:p w14:paraId="21F00B1F" w14:textId="77777777" w:rsidR="009C4864" w:rsidRPr="00881752" w:rsidRDefault="009C4864" w:rsidP="00E27B4B">
      <w:pPr>
        <w:tabs>
          <w:tab w:val="left" w:pos="-426"/>
        </w:tabs>
        <w:ind w:left="426" w:hanging="426"/>
        <w:rPr>
          <w:rFonts w:cs="Times New Roman"/>
          <w:szCs w:val="24"/>
          <w:lang w:val="en-US"/>
        </w:rPr>
      </w:pPr>
      <w:r w:rsidRPr="00881752">
        <w:rPr>
          <w:rFonts w:cs="Times New Roman"/>
          <w:szCs w:val="24"/>
          <w:lang w:val="en-US"/>
        </w:rPr>
        <w:t>(11)</w:t>
      </w:r>
      <w:r w:rsidRPr="00881752">
        <w:rPr>
          <w:rFonts w:cs="Times New Roman"/>
          <w:szCs w:val="24"/>
          <w:lang w:val="en-US"/>
        </w:rPr>
        <w:tab/>
        <w:t xml:space="preserve">There are no instances of the dual in any of the three poets, even though contexts with two subjects are common enough: cf. Archil. 175.3, 207.4; Hippon. 66.1, 95.6; Call. </w:t>
      </w:r>
      <w:r w:rsidRPr="00881752">
        <w:rPr>
          <w:rFonts w:cs="Times New Roman"/>
          <w:i/>
          <w:iCs/>
          <w:szCs w:val="24"/>
          <w:lang w:val="en-US"/>
        </w:rPr>
        <w:t>Ia</w:t>
      </w:r>
      <w:r w:rsidRPr="00881752">
        <w:rPr>
          <w:rFonts w:cs="Times New Roman"/>
          <w:szCs w:val="24"/>
          <w:lang w:val="en-US"/>
        </w:rPr>
        <w:t>. 4.61-63.</w:t>
      </w:r>
    </w:p>
    <w:p w14:paraId="10E77A95" w14:textId="77777777" w:rsidR="009C4864" w:rsidRPr="00881752" w:rsidRDefault="009C4864" w:rsidP="00E27B4B">
      <w:pPr>
        <w:ind w:left="426" w:hanging="426"/>
        <w:rPr>
          <w:rFonts w:cs="Times New Roman"/>
          <w:szCs w:val="24"/>
          <w:lang w:val="en-US"/>
        </w:rPr>
      </w:pPr>
      <w:r w:rsidRPr="00881752">
        <w:rPr>
          <w:rFonts w:cs="Times New Roman"/>
          <w:szCs w:val="24"/>
          <w:lang w:val="en-US"/>
        </w:rPr>
        <w:t>(12)</w:t>
      </w:r>
      <w:r w:rsidRPr="00881752">
        <w:rPr>
          <w:rFonts w:cs="Times New Roman"/>
          <w:szCs w:val="24"/>
          <w:lang w:val="en-US"/>
        </w:rPr>
        <w:tab/>
        <w:t xml:space="preserve">For the sake of completeness, it should be said that there are a few instances of the genitive ending -οιο in non-choliambic lines. Archil. 1.1 Ἐνυάλοιο, 117.1 Διωνύσοιο and Hippon. 126.4 ἀτρυγέτοιο occur in hexametric or elegiac contexts; Call. </w:t>
      </w:r>
      <w:r w:rsidRPr="00881752">
        <w:rPr>
          <w:rFonts w:cs="Times New Roman"/>
          <w:i/>
          <w:iCs/>
          <w:szCs w:val="24"/>
          <w:lang w:val="en-US"/>
        </w:rPr>
        <w:t>Ia</w:t>
      </w:r>
      <w:r w:rsidRPr="00881752">
        <w:rPr>
          <w:rFonts w:cs="Times New Roman"/>
          <w:szCs w:val="24"/>
          <w:lang w:val="en-US"/>
        </w:rPr>
        <w:t>. 12.33 χρύσοιο, in a catalectic trochaic trimeter with a marked elegiac tone.</w:t>
      </w:r>
      <w:r w:rsidRPr="00881752">
        <w:rPr>
          <w:rStyle w:val="FootnoteReference"/>
          <w:rFonts w:cs="Times New Roman"/>
          <w:szCs w:val="24"/>
          <w:lang w:val="en-US"/>
        </w:rPr>
        <w:footnoteReference w:id="40"/>
      </w:r>
      <w:r w:rsidRPr="00881752">
        <w:rPr>
          <w:rFonts w:cs="Times New Roman"/>
          <w:szCs w:val="24"/>
          <w:lang w:val="en-US"/>
        </w:rPr>
        <w:t xml:space="preserve"> </w:t>
      </w:r>
    </w:p>
    <w:p w14:paraId="1B566333" w14:textId="098062A0" w:rsidR="009C4864" w:rsidRPr="00881752" w:rsidRDefault="009C4864" w:rsidP="00E27B4B">
      <w:pPr>
        <w:tabs>
          <w:tab w:val="clear" w:pos="425"/>
          <w:tab w:val="left" w:pos="-1134"/>
          <w:tab w:val="left" w:pos="426"/>
        </w:tabs>
        <w:spacing w:after="200"/>
        <w:ind w:left="426" w:hanging="426"/>
        <w:rPr>
          <w:rFonts w:cs="Times New Roman"/>
          <w:szCs w:val="24"/>
          <w:lang w:val="en-US"/>
        </w:rPr>
      </w:pPr>
      <w:r w:rsidRPr="00881752">
        <w:rPr>
          <w:rFonts w:cs="Times New Roman"/>
          <w:szCs w:val="24"/>
          <w:lang w:val="en-US"/>
        </w:rPr>
        <w:t>(13)The plural dative in -εσσι is usually classified as an Aeolic feature, as it is characteristic of Aeolic dialects such as Lesbian, Thessalian and Boeotian, even though it also appears in some dialects belonging to the Doric group.</w:t>
      </w:r>
      <w:r w:rsidRPr="00881752">
        <w:rPr>
          <w:rStyle w:val="FootnoteReference"/>
          <w:rFonts w:cs="Times New Roman"/>
          <w:szCs w:val="24"/>
          <w:lang w:val="en-US"/>
        </w:rPr>
        <w:footnoteReference w:id="41"/>
      </w:r>
      <w:r w:rsidRPr="00881752">
        <w:rPr>
          <w:rFonts w:cs="Times New Roman"/>
          <w:szCs w:val="24"/>
          <w:lang w:val="en-US"/>
        </w:rPr>
        <w:t xml:space="preserve"> This may explain why the only instance of -εσσι in the corpus occurs in one of Callimachus</w:t>
      </w:r>
      <w:r w:rsidR="00075F5F">
        <w:rPr>
          <w:rFonts w:cs="Times New Roman"/>
          <w:szCs w:val="24"/>
          <w:lang w:val="en-US"/>
        </w:rPr>
        <w:t>’</w:t>
      </w:r>
      <w:r w:rsidRPr="00881752">
        <w:rPr>
          <w:rFonts w:cs="Times New Roman"/>
          <w:szCs w:val="24"/>
          <w:lang w:val="en-US"/>
        </w:rPr>
        <w:t xml:space="preserve"> so-called </w:t>
      </w:r>
      <w:r w:rsidR="00CC0615">
        <w:rPr>
          <w:rFonts w:cs="Times New Roman"/>
          <w:szCs w:val="24"/>
          <w:lang w:val="en-US"/>
        </w:rPr>
        <w:t>“</w:t>
      </w:r>
      <w:r w:rsidRPr="00881752">
        <w:rPr>
          <w:rFonts w:cs="Times New Roman"/>
          <w:szCs w:val="24"/>
          <w:lang w:val="en-US"/>
        </w:rPr>
        <w:t>Doric</w:t>
      </w:r>
      <w:r w:rsidR="00CC0615">
        <w:rPr>
          <w:rFonts w:cs="Times New Roman"/>
          <w:szCs w:val="24"/>
          <w:lang w:val="en-US"/>
        </w:rPr>
        <w:t>”</w:t>
      </w:r>
      <w:r w:rsidRPr="00881752">
        <w:rPr>
          <w:rFonts w:cs="Times New Roman"/>
          <w:szCs w:val="24"/>
          <w:lang w:val="en-US"/>
        </w:rPr>
        <w:t xml:space="preserve"> poems (6.38).</w:t>
      </w:r>
    </w:p>
    <w:p w14:paraId="5C28506D" w14:textId="34351090" w:rsidR="009C4864" w:rsidRPr="00881752" w:rsidRDefault="009C4864" w:rsidP="006D6997">
      <w:pPr>
        <w:rPr>
          <w:rFonts w:cs="Times New Roman"/>
          <w:szCs w:val="24"/>
          <w:lang w:val="en-US"/>
        </w:rPr>
      </w:pPr>
      <w:r w:rsidRPr="00881752">
        <w:rPr>
          <w:rFonts w:cs="Times New Roman"/>
          <w:szCs w:val="24"/>
          <w:lang w:val="en-US"/>
        </w:rPr>
        <w:t xml:space="preserve">Finally, it is worth noting that the phonological features 10-12 and morphological features 22-27 are frequent in epic and elegy but nearly absent from </w:t>
      </w:r>
      <w:r w:rsidRPr="00881752">
        <w:rPr>
          <w:rFonts w:cs="Times New Roman"/>
          <w:i/>
          <w:iCs/>
          <w:szCs w:val="24"/>
          <w:lang w:val="en-US"/>
        </w:rPr>
        <w:t>iambos</w:t>
      </w:r>
      <w:r w:rsidRPr="00881752">
        <w:rPr>
          <w:rFonts w:cs="Times New Roman"/>
          <w:szCs w:val="24"/>
          <w:lang w:val="en-US"/>
        </w:rPr>
        <w:t xml:space="preserve">. In the rare cases where these elements appear, the context suggests that they are to be read either as epic parody (in the archaic iambographers, especially) </w:t>
      </w:r>
      <w:r w:rsidR="00075F5F">
        <w:rPr>
          <w:rFonts w:cs="Times New Roman"/>
          <w:szCs w:val="24"/>
          <w:lang w:val="en-US"/>
        </w:rPr>
        <w:t>–</w:t>
      </w:r>
      <w:r w:rsidRPr="00881752">
        <w:rPr>
          <w:rFonts w:cs="Times New Roman"/>
          <w:szCs w:val="24"/>
          <w:lang w:val="en-US"/>
        </w:rPr>
        <w:t xml:space="preserve"> this applies to Archil. 211 (unaugmented) λίπε, 117.1 Διωνύσοιο, and Hippon. 3.1 ἄμμορος, 126.3 ἔννεπε, 126.4 ἀτρυγέτοιο </w:t>
      </w:r>
      <w:r w:rsidR="00075F5F">
        <w:rPr>
          <w:rFonts w:cs="Times New Roman"/>
          <w:szCs w:val="24"/>
          <w:lang w:val="en-US"/>
        </w:rPr>
        <w:t>–</w:t>
      </w:r>
      <w:r w:rsidRPr="00881752">
        <w:rPr>
          <w:rFonts w:cs="Times New Roman"/>
          <w:szCs w:val="24"/>
          <w:lang w:val="en-US"/>
        </w:rPr>
        <w:t xml:space="preserve"> or as a clue that the poet is mixing poetic idioms: this applies to Call. </w:t>
      </w:r>
      <w:r w:rsidRPr="00881752">
        <w:rPr>
          <w:rFonts w:cs="Times New Roman"/>
          <w:i/>
          <w:iCs/>
          <w:szCs w:val="24"/>
          <w:lang w:val="en-US"/>
        </w:rPr>
        <w:t>Ia</w:t>
      </w:r>
      <w:r w:rsidRPr="00881752">
        <w:rPr>
          <w:rFonts w:cs="Times New Roman"/>
          <w:szCs w:val="24"/>
          <w:lang w:val="en-US"/>
        </w:rPr>
        <w:t xml:space="preserve">. 12.33 χρύσοιο, which linguistically marks the elegiac tone of </w:t>
      </w:r>
      <w:r w:rsidRPr="00881752">
        <w:rPr>
          <w:rFonts w:cs="Times New Roman"/>
          <w:i/>
          <w:iCs/>
          <w:szCs w:val="24"/>
          <w:lang w:val="en-US"/>
        </w:rPr>
        <w:t>Iambus</w:t>
      </w:r>
      <w:r w:rsidRPr="00881752">
        <w:rPr>
          <w:rFonts w:cs="Times New Roman"/>
          <w:szCs w:val="24"/>
          <w:lang w:val="en-US"/>
        </w:rPr>
        <w:t xml:space="preserve"> 12.</w:t>
      </w:r>
    </w:p>
    <w:p w14:paraId="11A24895" w14:textId="086D1C1B" w:rsidR="009C4864" w:rsidRPr="00881752" w:rsidRDefault="009C4864" w:rsidP="00965919">
      <w:pPr>
        <w:ind w:firstLine="426"/>
        <w:rPr>
          <w:rFonts w:cs="Times New Roman"/>
          <w:szCs w:val="24"/>
          <w:lang w:val="en-US"/>
        </w:rPr>
      </w:pPr>
      <w:r w:rsidRPr="00881752">
        <w:rPr>
          <w:rFonts w:cs="Times New Roman"/>
          <w:szCs w:val="24"/>
          <w:lang w:val="en-US"/>
        </w:rPr>
        <w:t>In light of this analysis it is undeniable that the language of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shares many distinctive features with the East-Ionic dialect of the archaic iambographers. However, there are some significant differences. From the phonological point of view,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show no evidence of psilosis, and they have only one instance of ε: for α: inside a word (and this one instance is put into the mouth of Hipponax). From the morphological point of view, the most remarkable difference is that Callimachus favours monosyllabic dative plural endings whereas Archilochus and Hipponax favour disyllabic </w:t>
      </w:r>
      <w:r w:rsidRPr="00881752">
        <w:rPr>
          <w:rFonts w:cs="Times New Roman"/>
          <w:szCs w:val="24"/>
          <w:lang w:val="en-US"/>
        </w:rPr>
        <w:lastRenderedPageBreak/>
        <w:t xml:space="preserve">-οισι/-ηισι. Given the number of attestations (Appendix </w:t>
      </w:r>
      <w:r w:rsidRPr="00881752">
        <w:rPr>
          <w:rFonts w:cs="Times New Roman"/>
          <w:b/>
          <w:bCs/>
          <w:szCs w:val="24"/>
          <w:lang w:val="en-US"/>
        </w:rPr>
        <w:t>1</w:t>
      </w:r>
      <w:r w:rsidRPr="00881752">
        <w:rPr>
          <w:rFonts w:cs="Times New Roman"/>
          <w:szCs w:val="24"/>
          <w:lang w:val="en-US"/>
        </w:rPr>
        <w:t xml:space="preserve"> A.12) this must reflect a conscious preference; it cannot reasonably be due to metrical considerations in all cases. Moreover, Callimachus uses the pronominal forms ἐμεῦ, μευ and σεῦ instead of the archaic iambographers</w:t>
      </w:r>
      <w:r w:rsidR="00075F5F">
        <w:rPr>
          <w:rFonts w:cs="Times New Roman"/>
          <w:szCs w:val="24"/>
          <w:lang w:val="en-US"/>
        </w:rPr>
        <w:t>’</w:t>
      </w:r>
      <w:r w:rsidRPr="00881752">
        <w:rPr>
          <w:rFonts w:cs="Times New Roman"/>
          <w:szCs w:val="24"/>
          <w:lang w:val="en-US"/>
        </w:rPr>
        <w:t xml:space="preserve"> ἐμέο, μεο and σεο, reflecting assimilation of the East-Ionic forms to the Attic/Koine forms in -ου;</w:t>
      </w:r>
      <w:r w:rsidRPr="00881752">
        <w:rPr>
          <w:rStyle w:val="FootnoteReference"/>
          <w:rFonts w:cs="Times New Roman"/>
          <w:szCs w:val="24"/>
          <w:lang w:val="en-US"/>
        </w:rPr>
        <w:footnoteReference w:id="42"/>
      </w:r>
      <w:r w:rsidRPr="00881752">
        <w:rPr>
          <w:rFonts w:cs="Times New Roman"/>
          <w:szCs w:val="24"/>
          <w:lang w:val="en-US"/>
        </w:rPr>
        <w:t xml:space="preserve"> and his </w:t>
      </w:r>
      <w:r w:rsidRPr="00881752">
        <w:rPr>
          <w:rFonts w:cs="Times New Roman"/>
          <w:i/>
          <w:iCs/>
          <w:szCs w:val="24"/>
          <w:lang w:val="en-US"/>
        </w:rPr>
        <w:t>Iambi</w:t>
      </w:r>
      <w:r w:rsidRPr="00881752">
        <w:rPr>
          <w:rFonts w:cs="Times New Roman"/>
          <w:szCs w:val="24"/>
          <w:lang w:val="en-US"/>
        </w:rPr>
        <w:t xml:space="preserve"> have only one case of the ending -εω for the singular genitive of the first declension. There are also some more marginal linguistic features from the language of Archilochus</w:t>
      </w:r>
      <w:r w:rsidR="00075F5F">
        <w:rPr>
          <w:rFonts w:cs="Times New Roman"/>
          <w:szCs w:val="24"/>
          <w:lang w:val="en-US"/>
        </w:rPr>
        <w:t>’</w:t>
      </w:r>
      <w:r w:rsidRPr="00881752">
        <w:rPr>
          <w:rFonts w:cs="Times New Roman"/>
          <w:szCs w:val="24"/>
          <w:lang w:val="en-US"/>
        </w:rPr>
        <w:t xml:space="preserve"> and Hipponax</w:t>
      </w:r>
      <w:r w:rsidR="00075F5F">
        <w:rPr>
          <w:rFonts w:cs="Times New Roman"/>
          <w:szCs w:val="24"/>
          <w:lang w:val="en-US"/>
        </w:rPr>
        <w:t>’</w:t>
      </w:r>
      <w:r w:rsidRPr="00881752">
        <w:rPr>
          <w:rFonts w:cs="Times New Roman"/>
          <w:szCs w:val="24"/>
          <w:lang w:val="en-US"/>
        </w:rPr>
        <w:t>s fragments which Callimachus does not use, notably the spelling σμ for the cluster δ/τ/θ+μ, singular genitive/dative endings in -ιος/-ῑ with ι-stem nouns and the thematic inflection of μι-verbs. Although these features are very rare also in the fragments of the archaic iambographers, it seems likely enough that they were characteristic, and they do not occur in what survives of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w:t>
      </w:r>
    </w:p>
    <w:p w14:paraId="19C72D96" w14:textId="24C00235" w:rsidR="009C4864" w:rsidRPr="00881752" w:rsidRDefault="009C4864" w:rsidP="00965919">
      <w:pPr>
        <w:ind w:firstLine="426"/>
        <w:rPr>
          <w:rFonts w:cs="Times New Roman"/>
          <w:szCs w:val="24"/>
          <w:lang w:val="en-US"/>
        </w:rPr>
      </w:pPr>
      <w:r w:rsidRPr="00881752">
        <w:rPr>
          <w:rFonts w:cs="Times New Roman"/>
          <w:szCs w:val="24"/>
          <w:lang w:val="en-US"/>
        </w:rPr>
        <w:t>At the same time, Callimachus exaggerates other features which are notable in the language of Archilochus and Hipponax</w:t>
      </w:r>
      <w:r w:rsidR="00075F5F">
        <w:rPr>
          <w:rFonts w:cs="Times New Roman"/>
          <w:szCs w:val="24"/>
          <w:lang w:val="en-US"/>
        </w:rPr>
        <w:t>’</w:t>
      </w:r>
      <w:r w:rsidRPr="00881752">
        <w:rPr>
          <w:rFonts w:cs="Times New Roman"/>
          <w:szCs w:val="24"/>
          <w:lang w:val="en-US"/>
        </w:rPr>
        <w:t xml:space="preserve">s language and which he seems to have considered characteristic of this language, such as the use of aphaeresis, crasis, and vowel contraction. The data in Appendix </w:t>
      </w:r>
      <w:r w:rsidRPr="00881752">
        <w:rPr>
          <w:rFonts w:cs="Times New Roman"/>
          <w:b/>
          <w:bCs/>
          <w:szCs w:val="24"/>
          <w:lang w:val="en-US"/>
        </w:rPr>
        <w:t>1</w:t>
      </w:r>
      <w:r w:rsidRPr="00881752">
        <w:rPr>
          <w:rFonts w:cs="Times New Roman"/>
          <w:szCs w:val="24"/>
          <w:lang w:val="en-US"/>
        </w:rPr>
        <w:t xml:space="preserve"> A.6, 7, 8 show that aphaeresis and crasis are considerably more frequent in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than they are in Archilochus and Hipponax. </w:t>
      </w:r>
    </w:p>
    <w:p w14:paraId="092C827A" w14:textId="06ADBCED" w:rsidR="009C4864" w:rsidRPr="00881752" w:rsidRDefault="009C4864" w:rsidP="007D78E3">
      <w:pPr>
        <w:ind w:firstLine="426"/>
        <w:rPr>
          <w:rFonts w:cs="Times New Roman"/>
          <w:b/>
          <w:bCs/>
          <w:szCs w:val="24"/>
          <w:lang w:val="en-US"/>
        </w:rPr>
      </w:pPr>
      <w:r w:rsidRPr="00881752">
        <w:rPr>
          <w:rFonts w:cs="Times New Roman"/>
          <w:szCs w:val="24"/>
          <w:lang w:val="en-US"/>
        </w:rPr>
        <w:t xml:space="preserve">It appears, then, that Callimachus adopts, and occasionally magnifies, distinctive features of the language of his iambic predecessors, but that he does not imitate this language strictly. He seems to avoid some features which were characteristic of the language of the archaic iambographers but distant from the spoken language of his own time and place, the </w:t>
      </w:r>
      <w:r w:rsidRPr="00881752">
        <w:rPr>
          <w:rFonts w:cs="Times New Roman"/>
          <w:i/>
          <w:iCs/>
          <w:szCs w:val="24"/>
          <w:lang w:val="en-US"/>
        </w:rPr>
        <w:t>koine</w:t>
      </w:r>
      <w:r w:rsidRPr="00881752">
        <w:rPr>
          <w:rFonts w:cs="Times New Roman"/>
          <w:szCs w:val="24"/>
          <w:lang w:val="en-US"/>
        </w:rPr>
        <w:t xml:space="preserve"> of the Hellenistic world, such as the Attic declension and dative endings in -οισι/-ηισι. It is implied, I argue, that Callimachus considers one of the iambic genre</w:t>
      </w:r>
      <w:r w:rsidR="00075F5F">
        <w:rPr>
          <w:rFonts w:cs="Times New Roman"/>
          <w:szCs w:val="24"/>
          <w:lang w:val="en-US"/>
        </w:rPr>
        <w:t>’</w:t>
      </w:r>
      <w:r w:rsidRPr="00881752">
        <w:rPr>
          <w:rFonts w:cs="Times New Roman"/>
          <w:szCs w:val="24"/>
          <w:lang w:val="en-US"/>
        </w:rPr>
        <w:t>s main features to be, that it mimicks the spoken language.</w:t>
      </w:r>
      <w:r w:rsidRPr="00881752">
        <w:rPr>
          <w:rStyle w:val="FootnoteReference"/>
          <w:rFonts w:cs="Times New Roman"/>
          <w:szCs w:val="24"/>
          <w:lang w:val="en-US"/>
        </w:rPr>
        <w:footnoteReference w:id="43"/>
      </w:r>
      <w:r w:rsidRPr="00881752">
        <w:rPr>
          <w:rFonts w:cs="Times New Roman"/>
          <w:szCs w:val="24"/>
          <w:lang w:val="en-US"/>
        </w:rPr>
        <w:t xml:space="preserve"> For the archaic iambographers, spoken language corresponded to the East-Ionic dialect and for Callimachus to </w:t>
      </w:r>
      <w:r w:rsidRPr="00881752">
        <w:rPr>
          <w:rFonts w:cs="Times New Roman"/>
          <w:i/>
          <w:iCs/>
          <w:szCs w:val="24"/>
          <w:lang w:val="en-US"/>
        </w:rPr>
        <w:t>koine</w:t>
      </w:r>
      <w:r w:rsidRPr="00881752">
        <w:rPr>
          <w:rFonts w:cs="Times New Roman"/>
          <w:szCs w:val="24"/>
          <w:lang w:val="en-US"/>
        </w:rPr>
        <w:t>. This explains why he favours aphaeresis, crasis, and vowel contraction, features associated with the fluency of the spoken word.</w:t>
      </w:r>
      <w:r w:rsidRPr="00881752">
        <w:rPr>
          <w:rStyle w:val="FootnoteReference"/>
          <w:rFonts w:cs="Times New Roman"/>
          <w:szCs w:val="24"/>
          <w:lang w:val="en-US"/>
        </w:rPr>
        <w:footnoteReference w:id="44"/>
      </w:r>
      <w:r w:rsidRPr="00881752">
        <w:rPr>
          <w:rFonts w:cs="Times New Roman"/>
          <w:szCs w:val="24"/>
          <w:lang w:val="en-US"/>
        </w:rPr>
        <w:t xml:space="preserve"> It also fits with the observed frequency in the </w:t>
      </w:r>
      <w:r w:rsidRPr="00881752">
        <w:rPr>
          <w:rFonts w:cs="Times New Roman"/>
          <w:i/>
          <w:iCs/>
          <w:szCs w:val="24"/>
          <w:lang w:val="en-US"/>
        </w:rPr>
        <w:t>Iambi</w:t>
      </w:r>
      <w:r w:rsidRPr="00881752">
        <w:rPr>
          <w:rFonts w:cs="Times New Roman"/>
          <w:szCs w:val="24"/>
          <w:lang w:val="en-US"/>
        </w:rPr>
        <w:t xml:space="preserve"> of adverbs in -ως.</w:t>
      </w:r>
      <w:r w:rsidRPr="00881752">
        <w:rPr>
          <w:rStyle w:val="FootnoteReference"/>
          <w:rFonts w:cs="Times New Roman"/>
          <w:szCs w:val="24"/>
          <w:lang w:val="en-US"/>
        </w:rPr>
        <w:footnoteReference w:id="45"/>
      </w:r>
      <w:r w:rsidRPr="00881752">
        <w:rPr>
          <w:rFonts w:cs="Times New Roman"/>
          <w:szCs w:val="24"/>
          <w:lang w:val="en-US"/>
        </w:rPr>
        <w:t xml:space="preserve"> Such adverbs are relatively infrequent in Ionic poetry (and poetry in general),</w:t>
      </w:r>
      <w:r w:rsidRPr="00881752">
        <w:rPr>
          <w:rStyle w:val="FootnoteReference"/>
          <w:rFonts w:cs="Times New Roman"/>
          <w:szCs w:val="24"/>
          <w:lang w:val="en-US"/>
        </w:rPr>
        <w:footnoteReference w:id="46"/>
      </w:r>
      <w:r w:rsidRPr="00881752">
        <w:rPr>
          <w:rFonts w:cs="Times New Roman"/>
          <w:szCs w:val="24"/>
          <w:lang w:val="en-US"/>
        </w:rPr>
        <w:t xml:space="preserve"> but frequent and productive in prose, </w:t>
      </w:r>
      <w:r w:rsidRPr="00881752">
        <w:rPr>
          <w:rFonts w:cs="Times New Roman"/>
          <w:szCs w:val="24"/>
          <w:lang w:val="en-US"/>
        </w:rPr>
        <w:lastRenderedPageBreak/>
        <w:t>and their usage increases during the Hellenistic period.</w:t>
      </w:r>
      <w:r w:rsidRPr="00881752">
        <w:rPr>
          <w:rStyle w:val="FootnoteReference"/>
          <w:rFonts w:cs="Times New Roman"/>
          <w:szCs w:val="24"/>
          <w:lang w:val="en-US"/>
        </w:rPr>
        <w:footnoteReference w:id="47"/>
      </w:r>
      <w:r w:rsidRPr="00881752">
        <w:rPr>
          <w:rFonts w:cs="Times New Roman"/>
          <w:szCs w:val="24"/>
          <w:lang w:val="en-US"/>
        </w:rPr>
        <w:t xml:space="preserve"> If this hypothesis is accepted, one might question whether the base language of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really is the East-Ionic dialect. There is something to be said, I think, for regarding the East-Ionic features as dialectal colouring like the Doric colouring in </w:t>
      </w:r>
      <w:r w:rsidRPr="00881752">
        <w:rPr>
          <w:rFonts w:cs="Times New Roman"/>
          <w:i/>
          <w:iCs/>
          <w:szCs w:val="24"/>
          <w:lang w:val="en-US"/>
        </w:rPr>
        <w:t>Iambi</w:t>
      </w:r>
      <w:r w:rsidRPr="00881752">
        <w:rPr>
          <w:rFonts w:cs="Times New Roman"/>
          <w:szCs w:val="24"/>
          <w:lang w:val="en-US"/>
        </w:rPr>
        <w:t xml:space="preserve"> 6, 7, 8, 9, 11; a colouring which Callimachus applies to a base language which to a significant extent reflects and imitates the spoken </w:t>
      </w:r>
      <w:r w:rsidRPr="00881752">
        <w:rPr>
          <w:rFonts w:cs="Times New Roman"/>
          <w:i/>
          <w:iCs/>
          <w:szCs w:val="24"/>
          <w:lang w:val="en-US"/>
        </w:rPr>
        <w:t>koine</w:t>
      </w:r>
      <w:r w:rsidRPr="00881752">
        <w:rPr>
          <w:rFonts w:cs="Times New Roman"/>
          <w:szCs w:val="24"/>
          <w:lang w:val="en-US"/>
        </w:rPr>
        <w:t xml:space="preserve"> of his time.</w:t>
      </w:r>
      <w:r w:rsidRPr="00881752">
        <w:rPr>
          <w:rStyle w:val="FootnoteReference"/>
          <w:rFonts w:cs="Times New Roman"/>
          <w:szCs w:val="24"/>
          <w:lang w:val="en-US"/>
        </w:rPr>
        <w:footnoteReference w:id="48"/>
      </w:r>
      <w:r w:rsidRPr="00881752">
        <w:rPr>
          <w:rFonts w:cs="Times New Roman"/>
          <w:szCs w:val="24"/>
          <w:lang w:val="en-US"/>
        </w:rPr>
        <w:t xml:space="preserve"> </w:t>
      </w:r>
    </w:p>
    <w:p w14:paraId="04C1CABC" w14:textId="160F42B8" w:rsidR="00272F31" w:rsidRPr="00881752" w:rsidRDefault="007028FC" w:rsidP="009630F3">
      <w:pPr>
        <w:pStyle w:val="Heading3"/>
      </w:pPr>
      <w:r w:rsidRPr="00881752">
        <w:t xml:space="preserve">1.2 </w:t>
      </w:r>
      <w:r w:rsidR="00272F31" w:rsidRPr="00881752">
        <w:t>Word Formation</w:t>
      </w:r>
    </w:p>
    <w:p w14:paraId="0E4F76AA" w14:textId="77777777" w:rsidR="009C4864" w:rsidRPr="00881752" w:rsidRDefault="009C4864" w:rsidP="00E27B4B">
      <w:pPr>
        <w:spacing w:after="200"/>
        <w:rPr>
          <w:rFonts w:cs="Times New Roman"/>
          <w:szCs w:val="24"/>
          <w:shd w:val="solid" w:color="FFFFFF" w:fill="FFFFFF"/>
          <w:lang w:val="en-US"/>
        </w:rPr>
      </w:pPr>
      <w:r w:rsidRPr="00881752">
        <w:rPr>
          <w:rFonts w:cs="Times New Roman"/>
          <w:szCs w:val="24"/>
          <w:lang w:val="en-US"/>
        </w:rPr>
        <w:t>Creating new words is a distinctive feature of iambic style,</w:t>
      </w:r>
      <w:r w:rsidRPr="00881752">
        <w:rPr>
          <w:rStyle w:val="FootnoteReference"/>
          <w:rFonts w:cs="Times New Roman"/>
          <w:szCs w:val="24"/>
          <w:lang w:val="en-US"/>
        </w:rPr>
        <w:footnoteReference w:id="49"/>
      </w:r>
      <w:r w:rsidRPr="00881752">
        <w:rPr>
          <w:rFonts w:cs="Times New Roman"/>
          <w:szCs w:val="24"/>
          <w:lang w:val="en-US"/>
        </w:rPr>
        <w:t xml:space="preserve"> and also an area in which Callimachus distinguishes himself from Archilochus and Hipponax. There are different ways to create new words, and the three iambographers use individual strategies to different degrees. This will be illustrated in detail in Section 1.3 for </w:t>
      </w:r>
      <w:r w:rsidRPr="00881752">
        <w:rPr>
          <w:rFonts w:cs="Times New Roman"/>
          <w:szCs w:val="24"/>
          <w:shd w:val="solid" w:color="FFFFFF" w:fill="FFFFFF"/>
          <w:lang w:val="en-US"/>
        </w:rPr>
        <w:t>compounding, the process of creating a new word by combining two (or more) pre-existing words, which I have singled out as being the most productive means of word formation in all three iambographers. Other processes of word formation found in all three poets include:</w:t>
      </w:r>
    </w:p>
    <w:p w14:paraId="198813C7" w14:textId="43B9839D" w:rsidR="009C4864" w:rsidRPr="00881752" w:rsidRDefault="009C4864" w:rsidP="00881752">
      <w:pPr>
        <w:widowControl w:val="0"/>
        <w:numPr>
          <w:ilvl w:val="0"/>
          <w:numId w:val="36"/>
        </w:numPr>
        <w:tabs>
          <w:tab w:val="left" w:pos="360"/>
          <w:tab w:val="left" w:pos="714"/>
          <w:tab w:val="center" w:pos="5387"/>
        </w:tabs>
        <w:ind w:left="714" w:hanging="357"/>
        <w:rPr>
          <w:rFonts w:cs="Times New Roman"/>
          <w:szCs w:val="24"/>
          <w:shd w:val="solid" w:color="FFFFFF" w:fill="FFFFFF"/>
          <w:lang w:val="en-US"/>
        </w:rPr>
      </w:pPr>
      <w:r w:rsidRPr="00881752">
        <w:rPr>
          <w:rFonts w:cs="Times New Roman"/>
          <w:szCs w:val="24"/>
          <w:shd w:val="solid" w:color="FFFFFF" w:fill="FFFFFF"/>
          <w:lang w:val="en-US"/>
        </w:rPr>
        <w:t xml:space="preserve">Derivation: the process of forming new words from existing ones by adding suffixes to them. There are many different kinds of derivation in our iambic corpus: for instance, Archilochus derives the noun μύσχης </w:t>
      </w:r>
      <w:r w:rsidR="00CC0615">
        <w:rPr>
          <w:rFonts w:cs="Times New Roman"/>
          <w:szCs w:val="24"/>
          <w:shd w:val="solid" w:color="FFFFFF" w:fill="FFFFFF"/>
          <w:lang w:val="en-US"/>
        </w:rPr>
        <w:t>“</w:t>
      </w:r>
      <w:r w:rsidRPr="00881752">
        <w:rPr>
          <w:rFonts w:cs="Times New Roman"/>
          <w:szCs w:val="24"/>
          <w:shd w:val="solid" w:color="FFFFFF" w:fill="FFFFFF"/>
          <w:lang w:val="en-US"/>
        </w:rPr>
        <w:t>snort?</w:t>
      </w:r>
      <w:r w:rsidR="00CC0615">
        <w:rPr>
          <w:rFonts w:cs="Times New Roman"/>
          <w:szCs w:val="24"/>
          <w:shd w:val="solid" w:color="FFFFFF" w:fill="FFFFFF"/>
          <w:lang w:val="en-US"/>
        </w:rPr>
        <w:t>”</w:t>
      </w:r>
      <w:r w:rsidRPr="00881752">
        <w:rPr>
          <w:rFonts w:cs="Times New Roman"/>
          <w:szCs w:val="24"/>
          <w:shd w:val="solid" w:color="FFFFFF" w:fill="FFFFFF"/>
          <w:lang w:val="en-US"/>
        </w:rPr>
        <w:t xml:space="preserve"> (fr. 259) from the verb μύσσομαι; Hipponax creates the noun μολοβρίτης </w:t>
      </w:r>
      <w:r w:rsidR="00CC0615">
        <w:rPr>
          <w:rFonts w:cs="Times New Roman"/>
          <w:szCs w:val="24"/>
          <w:shd w:val="solid" w:color="FFFFFF" w:fill="FFFFFF"/>
          <w:lang w:val="en-US"/>
        </w:rPr>
        <w:t>“</w:t>
      </w:r>
      <w:r w:rsidRPr="00881752">
        <w:rPr>
          <w:rFonts w:cs="Times New Roman"/>
          <w:szCs w:val="24"/>
          <w:shd w:val="solid" w:color="FFFFFF" w:fill="FFFFFF"/>
          <w:lang w:val="en-US"/>
        </w:rPr>
        <w:t>wild boar</w:t>
      </w:r>
      <w:r w:rsidR="00CC0615">
        <w:rPr>
          <w:rFonts w:cs="Times New Roman"/>
          <w:szCs w:val="24"/>
          <w:shd w:val="solid" w:color="FFFFFF" w:fill="FFFFFF"/>
          <w:lang w:val="en-US"/>
        </w:rPr>
        <w:t>”</w:t>
      </w:r>
      <w:r w:rsidRPr="00881752">
        <w:rPr>
          <w:rFonts w:cs="Times New Roman"/>
          <w:szCs w:val="24"/>
          <w:shd w:val="solid" w:color="FFFFFF" w:fill="FFFFFF"/>
          <w:lang w:val="en-US"/>
        </w:rPr>
        <w:t xml:space="preserve"> (fr. 134) starting from the adjective μολοβρός; Callimachus coins the verb ἐσμεύω </w:t>
      </w:r>
      <w:r w:rsidR="00CC0615">
        <w:rPr>
          <w:rFonts w:cs="Times New Roman"/>
          <w:szCs w:val="24"/>
          <w:shd w:val="solid" w:color="FFFFFF" w:fill="FFFFFF"/>
          <w:lang w:val="en-US"/>
        </w:rPr>
        <w:t>“</w:t>
      </w:r>
      <w:r w:rsidRPr="00881752">
        <w:rPr>
          <w:rFonts w:cs="Times New Roman"/>
          <w:szCs w:val="24"/>
          <w:shd w:val="solid" w:color="FFFFFF" w:fill="FFFFFF"/>
          <w:lang w:val="en-US"/>
        </w:rPr>
        <w:t>swarm pour</w:t>
      </w:r>
      <w:r w:rsidR="00CC0615">
        <w:rPr>
          <w:rFonts w:cs="Times New Roman"/>
          <w:szCs w:val="24"/>
          <w:shd w:val="solid" w:color="FFFFFF" w:fill="FFFFFF"/>
          <w:lang w:val="en-US"/>
        </w:rPr>
        <w:t>”</w:t>
      </w:r>
      <w:r w:rsidRPr="00881752">
        <w:rPr>
          <w:rFonts w:cs="Times New Roman"/>
          <w:szCs w:val="24"/>
          <w:shd w:val="solid" w:color="FFFFFF" w:fill="FFFFFF"/>
          <w:lang w:val="en-US"/>
        </w:rPr>
        <w:t xml:space="preserve"> (</w:t>
      </w:r>
      <w:r w:rsidRPr="00881752">
        <w:rPr>
          <w:rFonts w:cs="Times New Roman"/>
          <w:i/>
          <w:iCs/>
          <w:szCs w:val="24"/>
          <w:shd w:val="solid" w:color="FFFFFF" w:fill="FFFFFF"/>
          <w:lang w:val="en-US"/>
        </w:rPr>
        <w:t xml:space="preserve">Ia. </w:t>
      </w:r>
      <w:r w:rsidRPr="00881752">
        <w:rPr>
          <w:rFonts w:cs="Times New Roman"/>
          <w:szCs w:val="24"/>
          <w:shd w:val="solid" w:color="FFFFFF" w:fill="FFFFFF"/>
          <w:lang w:val="en-US"/>
        </w:rPr>
        <w:t>1.28), which is built on the noun ἑσμός.</w:t>
      </w:r>
    </w:p>
    <w:p w14:paraId="146B7FBB" w14:textId="39A9B6CE" w:rsidR="009C4864" w:rsidRPr="00881752" w:rsidRDefault="009C4864" w:rsidP="00881752">
      <w:pPr>
        <w:widowControl w:val="0"/>
        <w:numPr>
          <w:ilvl w:val="0"/>
          <w:numId w:val="36"/>
        </w:numPr>
        <w:tabs>
          <w:tab w:val="left" w:pos="360"/>
          <w:tab w:val="left" w:pos="714"/>
          <w:tab w:val="center" w:pos="5387"/>
        </w:tabs>
        <w:ind w:left="714" w:hanging="357"/>
        <w:rPr>
          <w:rFonts w:cs="Times New Roman"/>
          <w:szCs w:val="24"/>
          <w:shd w:val="solid" w:color="FFFFFF" w:fill="FFFFFF"/>
          <w:lang w:val="en-US"/>
        </w:rPr>
      </w:pPr>
      <w:r w:rsidRPr="00881752">
        <w:rPr>
          <w:rFonts w:cs="Times New Roman"/>
          <w:szCs w:val="24"/>
          <w:lang w:val="en-US"/>
        </w:rPr>
        <w:t>Loanword and calque: a loanword is a transliteration into the Greek alphabet of a foreign word; a calque consists of translating a foreign word in to a Greek word whose internal structure mirrors the one of the original word. One expects loanwords and calques to be more frequent and prominent in a bilingual context, and this is surely the reason why their number is higher in the poetry of Hipponax, which was composed in a Greek city in close contact with its Anatolian hinterland, than in Archilochus and Callimachus. In Hipponax the following words may be confidently classified as loans:</w:t>
      </w:r>
      <w:r w:rsidRPr="00881752">
        <w:rPr>
          <w:rStyle w:val="FootnoteReference"/>
          <w:rFonts w:cs="Times New Roman"/>
          <w:szCs w:val="24"/>
          <w:lang w:val="en-US"/>
        </w:rPr>
        <w:footnoteReference w:id="50"/>
      </w:r>
      <w:r w:rsidRPr="00881752">
        <w:rPr>
          <w:rFonts w:cs="Times New Roman"/>
          <w:szCs w:val="24"/>
          <w:lang w:val="en-US"/>
        </w:rPr>
        <w:t xml:space="preserve"> ἀσκέρα </w:t>
      </w:r>
      <w:r w:rsidR="00CC0615">
        <w:rPr>
          <w:rFonts w:cs="Times New Roman"/>
          <w:szCs w:val="24"/>
          <w:lang w:val="en-US"/>
        </w:rPr>
        <w:t>“</w:t>
      </w:r>
      <w:r w:rsidRPr="00881752">
        <w:rPr>
          <w:rFonts w:cs="Times New Roman"/>
          <w:szCs w:val="24"/>
          <w:lang w:val="en-US"/>
        </w:rPr>
        <w:t>slipper</w:t>
      </w:r>
      <w:r w:rsidR="00CC0615">
        <w:rPr>
          <w:rFonts w:cs="Times New Roman"/>
          <w:szCs w:val="24"/>
          <w:lang w:val="en-US"/>
        </w:rPr>
        <w:t>”</w:t>
      </w:r>
      <w:r w:rsidRPr="00881752">
        <w:rPr>
          <w:rFonts w:cs="Times New Roman"/>
          <w:szCs w:val="24"/>
          <w:lang w:val="en-US"/>
        </w:rPr>
        <w:t xml:space="preserve"> (fr. 42b.2), </w:t>
      </w:r>
      <w:r w:rsidRPr="00881752">
        <w:rPr>
          <w:rFonts w:cs="Times New Roman"/>
          <w:szCs w:val="24"/>
          <w:lang w:val="en-US"/>
        </w:rPr>
        <w:lastRenderedPageBreak/>
        <w:t xml:space="preserve">βάκκαρις </w:t>
      </w:r>
      <w:r w:rsidR="00CC0615">
        <w:rPr>
          <w:rFonts w:cs="Times New Roman"/>
          <w:szCs w:val="24"/>
          <w:lang w:val="en-US"/>
        </w:rPr>
        <w:t>“</w:t>
      </w:r>
      <w:r w:rsidRPr="00881752">
        <w:rPr>
          <w:rFonts w:cs="Times New Roman"/>
          <w:szCs w:val="24"/>
          <w:lang w:val="en-US"/>
        </w:rPr>
        <w:t>perfume</w:t>
      </w:r>
      <w:r w:rsidR="00CC0615">
        <w:rPr>
          <w:rFonts w:cs="Times New Roman"/>
          <w:szCs w:val="24"/>
          <w:lang w:val="en-US"/>
        </w:rPr>
        <w:t>”</w:t>
      </w:r>
      <w:r w:rsidRPr="00881752">
        <w:rPr>
          <w:rFonts w:cs="Times New Roman"/>
          <w:szCs w:val="24"/>
          <w:lang w:val="en-US"/>
        </w:rPr>
        <w:t xml:space="preserve"> (fr. 107.21), Κανδαύλης </w:t>
      </w:r>
      <w:r w:rsidR="00CC0615">
        <w:rPr>
          <w:rFonts w:cs="Times New Roman"/>
          <w:szCs w:val="24"/>
          <w:lang w:val="en-US"/>
        </w:rPr>
        <w:t>“</w:t>
      </w:r>
      <w:r w:rsidRPr="00881752">
        <w:rPr>
          <w:rFonts w:cs="Times New Roman"/>
          <w:szCs w:val="24"/>
          <w:lang w:val="en-US"/>
        </w:rPr>
        <w:t>dog-throttler</w:t>
      </w:r>
      <w:r w:rsidR="00CC0615">
        <w:rPr>
          <w:rFonts w:cs="Times New Roman"/>
          <w:szCs w:val="24"/>
          <w:lang w:val="en-US"/>
        </w:rPr>
        <w:t>”</w:t>
      </w:r>
      <w:r w:rsidRPr="00881752">
        <w:rPr>
          <w:rFonts w:cs="Times New Roman"/>
          <w:szCs w:val="24"/>
          <w:lang w:val="en-US"/>
        </w:rPr>
        <w:t xml:space="preserve"> (fr. 2.1), κόλλιξ </w:t>
      </w:r>
      <w:r w:rsidR="00CC0615">
        <w:rPr>
          <w:rFonts w:cs="Times New Roman"/>
          <w:szCs w:val="24"/>
          <w:lang w:val="en-US"/>
        </w:rPr>
        <w:t>“</w:t>
      </w:r>
      <w:r w:rsidRPr="00881752">
        <w:rPr>
          <w:rFonts w:cs="Times New Roman"/>
          <w:szCs w:val="24"/>
          <w:lang w:val="en-US"/>
        </w:rPr>
        <w:t>crumbs</w:t>
      </w:r>
      <w:r w:rsidR="00CC0615">
        <w:rPr>
          <w:rFonts w:cs="Times New Roman"/>
          <w:szCs w:val="24"/>
          <w:lang w:val="en-US"/>
        </w:rPr>
        <w:t>”</w:t>
      </w:r>
      <w:r w:rsidRPr="00881752">
        <w:rPr>
          <w:rFonts w:cs="Times New Roman"/>
          <w:szCs w:val="24"/>
          <w:lang w:val="en-US"/>
        </w:rPr>
        <w:t xml:space="preserve"> (fr. 36.6), κύπασσις </w:t>
      </w:r>
      <w:r w:rsidR="00CC0615">
        <w:rPr>
          <w:rFonts w:cs="Times New Roman"/>
          <w:szCs w:val="24"/>
          <w:lang w:val="en-US"/>
        </w:rPr>
        <w:t>“</w:t>
      </w:r>
      <w:r w:rsidRPr="00881752">
        <w:rPr>
          <w:rFonts w:cs="Times New Roman"/>
          <w:szCs w:val="24"/>
          <w:lang w:val="en-US"/>
        </w:rPr>
        <w:t>short tunic</w:t>
      </w:r>
      <w:r w:rsidR="00CC0615">
        <w:rPr>
          <w:rFonts w:cs="Times New Roman"/>
          <w:szCs w:val="24"/>
          <w:lang w:val="en-US"/>
        </w:rPr>
        <w:t>”</w:t>
      </w:r>
      <w:r w:rsidRPr="00881752">
        <w:rPr>
          <w:rFonts w:cs="Times New Roman"/>
          <w:szCs w:val="24"/>
          <w:lang w:val="en-US"/>
        </w:rPr>
        <w:t xml:space="preserve"> (frs. 42b.1; 186), πάλμυς </w:t>
      </w:r>
      <w:r w:rsidR="00CC0615">
        <w:rPr>
          <w:rFonts w:cs="Times New Roman"/>
          <w:szCs w:val="24"/>
          <w:lang w:val="en-US"/>
        </w:rPr>
        <w:t>“</w:t>
      </w:r>
      <w:r w:rsidRPr="00881752">
        <w:rPr>
          <w:rFonts w:cs="Times New Roman"/>
          <w:szCs w:val="24"/>
          <w:lang w:val="en-US"/>
        </w:rPr>
        <w:t>lord</w:t>
      </w:r>
      <w:r w:rsidR="00CC0615">
        <w:rPr>
          <w:rFonts w:cs="Times New Roman"/>
          <w:szCs w:val="24"/>
          <w:lang w:val="en-US"/>
        </w:rPr>
        <w:t>”</w:t>
      </w:r>
      <w:r w:rsidRPr="00881752">
        <w:rPr>
          <w:rFonts w:cs="Times New Roman"/>
          <w:szCs w:val="24"/>
          <w:lang w:val="en-US"/>
        </w:rPr>
        <w:t xml:space="preserve"> (frs. 1; 7.4; 47.1, 2; 72.7), σάμβαλον </w:t>
      </w:r>
      <w:r w:rsidR="00CC0615">
        <w:rPr>
          <w:rFonts w:cs="Times New Roman"/>
          <w:szCs w:val="24"/>
          <w:lang w:val="en-US"/>
        </w:rPr>
        <w:t>“</w:t>
      </w:r>
      <w:r w:rsidRPr="00881752">
        <w:rPr>
          <w:rFonts w:cs="Times New Roman"/>
          <w:szCs w:val="24"/>
          <w:lang w:val="en-US"/>
        </w:rPr>
        <w:t>sandal</w:t>
      </w:r>
      <w:r w:rsidR="00CC0615">
        <w:rPr>
          <w:rFonts w:cs="Times New Roman"/>
          <w:szCs w:val="24"/>
          <w:lang w:val="en-US"/>
        </w:rPr>
        <w:t>”</w:t>
      </w:r>
      <w:r w:rsidRPr="00881752">
        <w:rPr>
          <w:rFonts w:cs="Times New Roman"/>
          <w:szCs w:val="24"/>
          <w:lang w:val="en-US"/>
        </w:rPr>
        <w:t xml:space="preserve"> (fr. 42b.2), and the uninterpretable words σκαπερδεύω (fr. 2.2) and βασκ[...]ρολεα (fr. 95.1). Calques are κυνάγχης </w:t>
      </w:r>
      <w:r w:rsidR="00CC0615">
        <w:rPr>
          <w:rFonts w:cs="Times New Roman"/>
          <w:szCs w:val="24"/>
          <w:lang w:val="en-US"/>
        </w:rPr>
        <w:t>“</w:t>
      </w:r>
      <w:r w:rsidRPr="00881752">
        <w:rPr>
          <w:rFonts w:cs="Times New Roman"/>
          <w:szCs w:val="24"/>
          <w:lang w:val="en-US"/>
        </w:rPr>
        <w:t>dog-throttler</w:t>
      </w:r>
      <w:r w:rsidR="00CC0615">
        <w:rPr>
          <w:rFonts w:cs="Times New Roman"/>
          <w:szCs w:val="24"/>
          <w:lang w:val="en-US"/>
        </w:rPr>
        <w:t>”</w:t>
      </w:r>
      <w:r w:rsidRPr="00881752">
        <w:rPr>
          <w:rFonts w:cs="Times New Roman"/>
          <w:szCs w:val="24"/>
          <w:lang w:val="en-US"/>
        </w:rPr>
        <w:t xml:space="preserve"> (fr. 2.1), which translates the Lydian Κανδαύλης (fr. 2.1), and probably also τὸν πυγεῶνα παρ[ </w:t>
      </w:r>
      <w:r w:rsidR="00CC0615">
        <w:rPr>
          <w:rFonts w:cs="Times New Roman"/>
          <w:szCs w:val="24"/>
          <w:lang w:val="en-US"/>
        </w:rPr>
        <w:t>“</w:t>
      </w:r>
      <w:r w:rsidRPr="00881752">
        <w:rPr>
          <w:rFonts w:cs="Times New Roman"/>
          <w:szCs w:val="24"/>
          <w:lang w:val="en-US"/>
        </w:rPr>
        <w:t>the ass…</w:t>
      </w:r>
      <w:r w:rsidR="00CC0615">
        <w:rPr>
          <w:rFonts w:cs="Times New Roman"/>
          <w:szCs w:val="24"/>
          <w:lang w:val="en-US"/>
        </w:rPr>
        <w:t>”</w:t>
      </w:r>
      <w:r w:rsidRPr="00881752">
        <w:rPr>
          <w:rFonts w:cs="Times New Roman"/>
          <w:szCs w:val="24"/>
          <w:lang w:val="en-US"/>
        </w:rPr>
        <w:t xml:space="preserve"> (fr. 95.2), which appears to translate βασκ[...]ρολεα (fr. 95.1).</w:t>
      </w:r>
    </w:p>
    <w:p w14:paraId="7B0FD284" w14:textId="77777777" w:rsidR="009C4864" w:rsidRPr="00881752" w:rsidRDefault="009C4864" w:rsidP="00881752">
      <w:pPr>
        <w:widowControl w:val="0"/>
        <w:numPr>
          <w:ilvl w:val="0"/>
          <w:numId w:val="36"/>
        </w:numPr>
        <w:tabs>
          <w:tab w:val="left" w:pos="360"/>
          <w:tab w:val="left" w:pos="714"/>
          <w:tab w:val="center" w:pos="5387"/>
        </w:tabs>
        <w:ind w:left="714" w:hanging="357"/>
        <w:rPr>
          <w:rFonts w:cs="Times New Roman"/>
          <w:szCs w:val="24"/>
          <w:shd w:val="solid" w:color="FFFFFF" w:fill="FFFFFF"/>
          <w:lang w:val="en-US"/>
        </w:rPr>
      </w:pPr>
      <w:r w:rsidRPr="00881752">
        <w:rPr>
          <w:rFonts w:cs="Times New Roman"/>
          <w:szCs w:val="24"/>
          <w:lang w:val="en-US"/>
        </w:rPr>
        <w:t>Neologism: a completely new word, which can be:</w:t>
      </w:r>
    </w:p>
    <w:p w14:paraId="290C0AE4" w14:textId="1591D46A" w:rsidR="009C4864" w:rsidRPr="00881752" w:rsidRDefault="009C4864" w:rsidP="00F56C73">
      <w:pPr>
        <w:widowControl w:val="0"/>
        <w:numPr>
          <w:ilvl w:val="0"/>
          <w:numId w:val="181"/>
        </w:numPr>
        <w:tabs>
          <w:tab w:val="left" w:pos="1074"/>
          <w:tab w:val="center" w:pos="5387"/>
        </w:tabs>
        <w:ind w:left="993" w:hanging="284"/>
        <w:rPr>
          <w:rFonts w:cs="Times New Roman"/>
          <w:szCs w:val="24"/>
          <w:shd w:val="solid" w:color="FFFFFF" w:fill="FFFFFF"/>
          <w:lang w:val="en-US"/>
        </w:rPr>
      </w:pPr>
      <w:r w:rsidRPr="00881752">
        <w:rPr>
          <w:rFonts w:cs="Times New Roman"/>
          <w:szCs w:val="24"/>
          <w:lang w:val="en-US"/>
        </w:rPr>
        <w:t>an eponym, that is a personal name which is used as designation of an object or an idea connected to the person known by this name. In my corpus, there are two examples in Hipponax and one in Callimachus. Hipponax</w:t>
      </w:r>
      <w:r w:rsidR="00075F5F">
        <w:rPr>
          <w:rFonts w:cs="Times New Roman"/>
          <w:szCs w:val="24"/>
          <w:lang w:val="en-US"/>
        </w:rPr>
        <w:t>’</w:t>
      </w:r>
      <w:r w:rsidRPr="00881752">
        <w:rPr>
          <w:rFonts w:cs="Times New Roman"/>
          <w:szCs w:val="24"/>
          <w:lang w:val="en-US"/>
        </w:rPr>
        <w:t xml:space="preserve">s instances are Κανδαύλης </w:t>
      </w:r>
      <w:r w:rsidR="00CC0615">
        <w:rPr>
          <w:rFonts w:cs="Times New Roman"/>
          <w:szCs w:val="24"/>
          <w:lang w:val="en-US"/>
        </w:rPr>
        <w:t>“</w:t>
      </w:r>
      <w:r w:rsidRPr="00881752">
        <w:rPr>
          <w:rFonts w:cs="Times New Roman"/>
          <w:szCs w:val="24"/>
          <w:lang w:val="en-US"/>
        </w:rPr>
        <w:t>Candaules</w:t>
      </w:r>
      <w:r w:rsidR="00CC0615">
        <w:rPr>
          <w:rFonts w:cs="Times New Roman"/>
          <w:szCs w:val="24"/>
          <w:lang w:val="en-US"/>
        </w:rPr>
        <w:t>”</w:t>
      </w:r>
      <w:r w:rsidRPr="00881752">
        <w:rPr>
          <w:rFonts w:cs="Times New Roman"/>
          <w:szCs w:val="24"/>
          <w:lang w:val="en-US"/>
        </w:rPr>
        <w:t xml:space="preserve"> (fr. 2.1), a Lydian proper name which Hipponax uses as an insult equivalent to </w:t>
      </w:r>
      <w:r w:rsidR="00CC0615">
        <w:rPr>
          <w:rFonts w:cs="Times New Roman"/>
          <w:szCs w:val="24"/>
          <w:lang w:val="en-US"/>
        </w:rPr>
        <w:t>“</w:t>
      </w:r>
      <w:r w:rsidRPr="00881752">
        <w:rPr>
          <w:rFonts w:cs="Times New Roman"/>
          <w:szCs w:val="24"/>
          <w:lang w:val="en-US"/>
        </w:rPr>
        <w:t>dog-throttler</w:t>
      </w:r>
      <w:r w:rsidR="00CC0615">
        <w:rPr>
          <w:rFonts w:cs="Times New Roman"/>
          <w:szCs w:val="24"/>
          <w:lang w:val="en-US"/>
        </w:rPr>
        <w:t>”</w:t>
      </w:r>
      <w:r w:rsidRPr="00881752">
        <w:rPr>
          <w:rFonts w:cs="Times New Roman"/>
          <w:szCs w:val="24"/>
          <w:lang w:val="en-US"/>
        </w:rPr>
        <w:t xml:space="preserve">; and σάβαννις </w:t>
      </w:r>
      <w:r w:rsidR="00CC0615">
        <w:rPr>
          <w:rFonts w:cs="Times New Roman"/>
          <w:szCs w:val="24"/>
          <w:lang w:val="en-US"/>
        </w:rPr>
        <w:t>“</w:t>
      </w:r>
      <w:r w:rsidRPr="00881752">
        <w:rPr>
          <w:rFonts w:cs="Times New Roman"/>
          <w:szCs w:val="24"/>
          <w:lang w:val="en-US"/>
        </w:rPr>
        <w:t>Jonah</w:t>
      </w:r>
      <w:r w:rsidR="00CC0615">
        <w:rPr>
          <w:rFonts w:cs="Times New Roman"/>
          <w:szCs w:val="24"/>
          <w:lang w:val="en-US"/>
        </w:rPr>
        <w:t>”</w:t>
      </w:r>
      <w:r w:rsidRPr="00881752">
        <w:rPr>
          <w:rFonts w:cs="Times New Roman"/>
          <w:szCs w:val="24"/>
          <w:lang w:val="en-US"/>
        </w:rPr>
        <w:t xml:space="preserve"> (fr. 39.5), which is an insult probably derived from the proper name Σαβάζιος </w:t>
      </w:r>
      <w:r w:rsidR="00CC0615">
        <w:rPr>
          <w:rFonts w:cs="Times New Roman"/>
          <w:szCs w:val="24"/>
          <w:lang w:val="en-US"/>
        </w:rPr>
        <w:t>“</w:t>
      </w:r>
      <w:r w:rsidRPr="00881752">
        <w:rPr>
          <w:rFonts w:cs="Times New Roman"/>
          <w:szCs w:val="24"/>
          <w:lang w:val="en-US"/>
        </w:rPr>
        <w:t>Sabazius.</w:t>
      </w:r>
      <w:r w:rsidR="00CC0615">
        <w:rPr>
          <w:rFonts w:cs="Times New Roman"/>
          <w:szCs w:val="24"/>
          <w:lang w:val="en-US"/>
        </w:rPr>
        <w:t>”</w:t>
      </w:r>
      <w:r w:rsidRPr="00881752">
        <w:rPr>
          <w:rStyle w:val="FootnoteReference"/>
          <w:rFonts w:cs="Times New Roman"/>
          <w:szCs w:val="24"/>
          <w:lang w:val="en-US"/>
        </w:rPr>
        <w:footnoteReference w:id="51"/>
      </w:r>
      <w:r w:rsidRPr="00881752">
        <w:rPr>
          <w:rFonts w:cs="Times New Roman"/>
          <w:szCs w:val="24"/>
          <w:lang w:val="en-US"/>
        </w:rPr>
        <w:t xml:space="preserve"> Callimachus</w:t>
      </w:r>
      <w:r w:rsidR="00075F5F">
        <w:rPr>
          <w:rFonts w:cs="Times New Roman"/>
          <w:szCs w:val="24"/>
          <w:lang w:val="en-US"/>
        </w:rPr>
        <w:t>’</w:t>
      </w:r>
      <w:r w:rsidRPr="00881752">
        <w:rPr>
          <w:rFonts w:cs="Times New Roman"/>
          <w:szCs w:val="24"/>
          <w:lang w:val="en-US"/>
        </w:rPr>
        <w:t xml:space="preserve"> instance is Ἀλκμέων </w:t>
      </w:r>
      <w:r w:rsidR="00CC0615">
        <w:rPr>
          <w:rFonts w:cs="Times New Roman"/>
          <w:szCs w:val="24"/>
          <w:lang w:val="en-US"/>
        </w:rPr>
        <w:t>“</w:t>
      </w:r>
      <w:r w:rsidRPr="00881752">
        <w:rPr>
          <w:rFonts w:cs="Times New Roman"/>
          <w:szCs w:val="24"/>
          <w:lang w:val="en-US"/>
        </w:rPr>
        <w:t>Alcmeon</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w:t>
      </w:r>
      <w:r w:rsidRPr="00881752">
        <w:rPr>
          <w:rFonts w:cs="Times New Roman"/>
          <w:szCs w:val="24"/>
          <w:lang w:val="en-US"/>
        </w:rPr>
        <w:t xml:space="preserve">. 1.78) which means </w:t>
      </w:r>
      <w:r w:rsidR="00CC0615">
        <w:rPr>
          <w:rFonts w:cs="Times New Roman"/>
          <w:szCs w:val="24"/>
          <w:lang w:val="en-US"/>
        </w:rPr>
        <w:t>“</w:t>
      </w:r>
      <w:r w:rsidRPr="00881752">
        <w:rPr>
          <w:rFonts w:cs="Times New Roman"/>
          <w:szCs w:val="24"/>
          <w:lang w:val="en-US"/>
        </w:rPr>
        <w:t>crazy person,</w:t>
      </w:r>
      <w:r w:rsidR="00CC0615">
        <w:rPr>
          <w:rFonts w:cs="Times New Roman"/>
          <w:szCs w:val="24"/>
          <w:lang w:val="en-US"/>
        </w:rPr>
        <w:t>”</w:t>
      </w:r>
      <w:r w:rsidRPr="00881752">
        <w:rPr>
          <w:rFonts w:cs="Times New Roman"/>
          <w:szCs w:val="24"/>
          <w:lang w:val="en-US"/>
        </w:rPr>
        <w:t xml:space="preserve"> since the matricide Alcmeon is a proverbial example of violent insanity.</w:t>
      </w:r>
      <w:r w:rsidRPr="00881752">
        <w:rPr>
          <w:rStyle w:val="FootnoteReference"/>
          <w:rFonts w:cs="Times New Roman"/>
          <w:szCs w:val="24"/>
          <w:lang w:val="en-US"/>
        </w:rPr>
        <w:footnoteReference w:id="52"/>
      </w:r>
    </w:p>
    <w:p w14:paraId="4E0A86E6" w14:textId="1C83C2C9" w:rsidR="009C4864" w:rsidRPr="00881752" w:rsidRDefault="009C4864" w:rsidP="00F56C73">
      <w:pPr>
        <w:widowControl w:val="0"/>
        <w:numPr>
          <w:ilvl w:val="0"/>
          <w:numId w:val="181"/>
        </w:numPr>
        <w:tabs>
          <w:tab w:val="left" w:pos="1074"/>
          <w:tab w:val="center" w:pos="5387"/>
        </w:tabs>
        <w:ind w:left="993" w:hanging="284"/>
        <w:rPr>
          <w:rFonts w:cs="Times New Roman"/>
          <w:szCs w:val="24"/>
          <w:shd w:val="solid" w:color="FFFFFF" w:fill="FFFFFF"/>
          <w:lang w:val="en-US"/>
        </w:rPr>
      </w:pPr>
      <w:r w:rsidRPr="00881752">
        <w:rPr>
          <w:rFonts w:cs="Times New Roman"/>
          <w:szCs w:val="24"/>
          <w:lang w:val="en-US"/>
        </w:rPr>
        <w:t>an onomatopoeic word, such as Archilochus</w:t>
      </w:r>
      <w:r w:rsidR="00075F5F">
        <w:rPr>
          <w:rFonts w:cs="Times New Roman"/>
          <w:szCs w:val="24"/>
          <w:lang w:val="en-US"/>
        </w:rPr>
        <w:t>’</w:t>
      </w:r>
      <w:r w:rsidRPr="00881752">
        <w:rPr>
          <w:rFonts w:cs="Times New Roman"/>
          <w:szCs w:val="24"/>
          <w:lang w:val="en-US"/>
        </w:rPr>
        <w:t xml:space="preserve"> βάβαξ </w:t>
      </w:r>
      <w:r w:rsidR="00CC0615">
        <w:rPr>
          <w:rFonts w:cs="Times New Roman"/>
          <w:szCs w:val="24"/>
          <w:lang w:val="en-US"/>
        </w:rPr>
        <w:t>“</w:t>
      </w:r>
      <w:r w:rsidRPr="00881752">
        <w:rPr>
          <w:rFonts w:cs="Times New Roman"/>
          <w:szCs w:val="24"/>
          <w:lang w:val="en-US"/>
        </w:rPr>
        <w:t>chatterbox</w:t>
      </w:r>
      <w:r w:rsidR="00CC0615">
        <w:rPr>
          <w:rFonts w:cs="Times New Roman"/>
          <w:szCs w:val="24"/>
          <w:lang w:val="en-US"/>
        </w:rPr>
        <w:t>”</w:t>
      </w:r>
      <w:r w:rsidRPr="00881752">
        <w:rPr>
          <w:rFonts w:cs="Times New Roman"/>
          <w:szCs w:val="24"/>
          <w:lang w:val="en-US"/>
        </w:rPr>
        <w:t xml:space="preserve"> (fr. 32); Hipponax</w:t>
      </w:r>
      <w:r w:rsidR="00075F5F">
        <w:rPr>
          <w:rFonts w:cs="Times New Roman"/>
          <w:szCs w:val="24"/>
          <w:lang w:val="en-US"/>
        </w:rPr>
        <w:t>’</w:t>
      </w:r>
      <w:r w:rsidRPr="00881752">
        <w:rPr>
          <w:rFonts w:cs="Times New Roman"/>
          <w:szCs w:val="24"/>
          <w:lang w:val="en-US"/>
        </w:rPr>
        <w:t xml:space="preserve">s βαμβαλύζω </w:t>
      </w:r>
      <w:r w:rsidR="00CC0615">
        <w:rPr>
          <w:rFonts w:cs="Times New Roman"/>
          <w:szCs w:val="24"/>
          <w:lang w:val="en-US"/>
        </w:rPr>
        <w:t>“</w:t>
      </w:r>
      <w:r w:rsidRPr="00881752">
        <w:rPr>
          <w:rFonts w:cs="Times New Roman"/>
          <w:szCs w:val="24"/>
          <w:lang w:val="en-US"/>
        </w:rPr>
        <w:t>shiver</w:t>
      </w:r>
      <w:r w:rsidR="00CC0615">
        <w:rPr>
          <w:rFonts w:cs="Times New Roman"/>
          <w:szCs w:val="24"/>
          <w:lang w:val="en-US"/>
        </w:rPr>
        <w:t>”</w:t>
      </w:r>
      <w:r w:rsidRPr="00881752">
        <w:rPr>
          <w:rFonts w:cs="Times New Roman"/>
          <w:szCs w:val="24"/>
          <w:lang w:val="en-US"/>
        </w:rPr>
        <w:t xml:space="preserve"> (fr. 42a.3), βορβορόπη </w:t>
      </w:r>
      <w:r w:rsidR="00CC0615">
        <w:rPr>
          <w:rFonts w:cs="Times New Roman"/>
          <w:szCs w:val="24"/>
          <w:lang w:val="en-US"/>
        </w:rPr>
        <w:t>“</w:t>
      </w:r>
      <w:r w:rsidRPr="00881752">
        <w:rPr>
          <w:rFonts w:cs="Times New Roman"/>
          <w:szCs w:val="24"/>
          <w:lang w:val="en-US"/>
        </w:rPr>
        <w:t>filth</w:t>
      </w:r>
      <w:r w:rsidR="00CC0615">
        <w:rPr>
          <w:rFonts w:cs="Times New Roman"/>
          <w:szCs w:val="24"/>
          <w:lang w:val="en-US"/>
        </w:rPr>
        <w:t>”</w:t>
      </w:r>
      <w:r w:rsidRPr="00881752">
        <w:rPr>
          <w:rFonts w:cs="Times New Roman"/>
          <w:szCs w:val="24"/>
          <w:lang w:val="en-US"/>
        </w:rPr>
        <w:t xml:space="preserve"> (fr. 158), and ἐμβαβάζω </w:t>
      </w:r>
      <w:r w:rsidR="00CC0615">
        <w:rPr>
          <w:rFonts w:cs="Times New Roman"/>
          <w:szCs w:val="24"/>
          <w:lang w:val="en-US"/>
        </w:rPr>
        <w:t>“</w:t>
      </w:r>
      <w:r w:rsidRPr="00881752">
        <w:rPr>
          <w:rFonts w:cs="Times New Roman"/>
          <w:szCs w:val="24"/>
          <w:lang w:val="en-US"/>
        </w:rPr>
        <w:t>yammer</w:t>
      </w:r>
      <w:r w:rsidR="00CC0615">
        <w:rPr>
          <w:rFonts w:cs="Times New Roman"/>
          <w:szCs w:val="24"/>
          <w:lang w:val="en-US"/>
        </w:rPr>
        <w:t>”</w:t>
      </w:r>
      <w:r w:rsidRPr="00881752">
        <w:rPr>
          <w:rFonts w:cs="Times New Roman"/>
          <w:szCs w:val="24"/>
          <w:lang w:val="en-US"/>
        </w:rPr>
        <w:t xml:space="preserve"> (fr. 56); Callimachus</w:t>
      </w:r>
      <w:r w:rsidR="00075F5F">
        <w:rPr>
          <w:rFonts w:cs="Times New Roman"/>
          <w:szCs w:val="24"/>
          <w:lang w:val="en-US"/>
        </w:rPr>
        <w:t>’</w:t>
      </w:r>
      <w:r w:rsidRPr="00881752">
        <w:rPr>
          <w:rFonts w:cs="Times New Roman"/>
          <w:szCs w:val="24"/>
          <w:lang w:val="en-US"/>
        </w:rPr>
        <w:t xml:space="preserve"> ἐσμεύω </w:t>
      </w:r>
      <w:r w:rsidR="00CC0615">
        <w:rPr>
          <w:rFonts w:cs="Times New Roman"/>
          <w:szCs w:val="24"/>
          <w:lang w:val="en-US"/>
        </w:rPr>
        <w:t>“</w:t>
      </w:r>
      <w:r w:rsidRPr="00881752">
        <w:rPr>
          <w:rFonts w:cs="Times New Roman"/>
          <w:szCs w:val="24"/>
          <w:lang w:val="en-US"/>
        </w:rPr>
        <w:t>swarm</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w:t>
      </w:r>
      <w:r w:rsidRPr="00881752">
        <w:rPr>
          <w:rFonts w:cs="Times New Roman"/>
          <w:szCs w:val="24"/>
          <w:lang w:val="en-US"/>
        </w:rPr>
        <w:t>. 1.28).</w:t>
      </w:r>
      <w:r w:rsidRPr="00881752">
        <w:rPr>
          <w:rStyle w:val="FootnoteReference"/>
          <w:rFonts w:cs="Times New Roman"/>
          <w:szCs w:val="24"/>
          <w:lang w:val="en-US"/>
        </w:rPr>
        <w:footnoteReference w:id="53"/>
      </w:r>
    </w:p>
    <w:p w14:paraId="04E5F6A2" w14:textId="3F699AE6" w:rsidR="009C4864" w:rsidRPr="00881752" w:rsidRDefault="009C4864" w:rsidP="00F56C73">
      <w:pPr>
        <w:widowControl w:val="0"/>
        <w:numPr>
          <w:ilvl w:val="0"/>
          <w:numId w:val="181"/>
        </w:numPr>
        <w:tabs>
          <w:tab w:val="left" w:pos="1071"/>
          <w:tab w:val="center" w:pos="5387"/>
        </w:tabs>
        <w:ind w:left="993" w:hanging="284"/>
        <w:rPr>
          <w:rFonts w:cs="Times New Roman"/>
          <w:szCs w:val="24"/>
          <w:shd w:val="solid" w:color="FFFFFF" w:fill="FFFFFF"/>
          <w:lang w:val="en-US"/>
        </w:rPr>
      </w:pPr>
      <w:r w:rsidRPr="00881752">
        <w:rPr>
          <w:rFonts w:cs="Times New Roman"/>
          <w:szCs w:val="24"/>
          <w:lang w:val="en-US"/>
        </w:rPr>
        <w:t xml:space="preserve">a phono-semantic matching, where a native word or morpheme assumes the meaning of a foreign word which is phonetically similar to it. Thus, a phono-semantic match implies an expansion of the meaning of a native word. Like the calque, this phenomenon is typical of bilingual areas, which explains why the two examples in the corpus are found in Hipponax. The word ἔρπις </w:t>
      </w:r>
      <w:r w:rsidR="00CC0615">
        <w:rPr>
          <w:rFonts w:cs="Times New Roman"/>
          <w:szCs w:val="24"/>
          <w:lang w:val="en-US"/>
        </w:rPr>
        <w:t>“</w:t>
      </w:r>
      <w:r w:rsidRPr="00881752">
        <w:rPr>
          <w:rFonts w:cs="Times New Roman"/>
          <w:szCs w:val="24"/>
          <w:lang w:val="en-US"/>
        </w:rPr>
        <w:t>wine</w:t>
      </w:r>
      <w:r w:rsidR="00CC0615">
        <w:rPr>
          <w:rFonts w:cs="Times New Roman"/>
          <w:szCs w:val="24"/>
          <w:lang w:val="en-US"/>
        </w:rPr>
        <w:t>”</w:t>
      </w:r>
      <w:r w:rsidRPr="00881752">
        <w:rPr>
          <w:rFonts w:cs="Times New Roman"/>
          <w:szCs w:val="24"/>
          <w:lang w:val="en-US"/>
        </w:rPr>
        <w:t xml:space="preserve"> (fr. 79.18), borrowed from the Egyptian language where </w:t>
      </w:r>
      <w:r w:rsidRPr="00881752">
        <w:rPr>
          <w:rFonts w:cs="Times New Roman"/>
          <w:i/>
          <w:iCs/>
          <w:szCs w:val="24"/>
          <w:lang w:val="en-US"/>
        </w:rPr>
        <w:t>jrp</w:t>
      </w:r>
      <w:r w:rsidRPr="00881752">
        <w:rPr>
          <w:rFonts w:cs="Times New Roman"/>
          <w:szCs w:val="24"/>
          <w:lang w:val="en-US"/>
        </w:rPr>
        <w:t xml:space="preserve"> (Coptic </w:t>
      </w:r>
      <w:r w:rsidRPr="00881752">
        <w:rPr>
          <w:rFonts w:cs="Times New Roman"/>
          <w:i/>
          <w:iCs/>
          <w:szCs w:val="24"/>
          <w:lang w:val="en-US"/>
        </w:rPr>
        <w:t>erp</w:t>
      </w:r>
      <w:r w:rsidRPr="00881752">
        <w:rPr>
          <w:rFonts w:cs="Times New Roman"/>
          <w:szCs w:val="24"/>
          <w:lang w:val="en-US"/>
        </w:rPr>
        <w:t xml:space="preserve">) means </w:t>
      </w:r>
      <w:r w:rsidR="00CC0615">
        <w:rPr>
          <w:rFonts w:cs="Times New Roman"/>
          <w:szCs w:val="24"/>
          <w:lang w:val="en-US"/>
        </w:rPr>
        <w:t>“</w:t>
      </w:r>
      <w:r w:rsidRPr="00881752">
        <w:rPr>
          <w:rFonts w:cs="Times New Roman"/>
          <w:szCs w:val="24"/>
          <w:lang w:val="en-US"/>
        </w:rPr>
        <w:t>wine</w:t>
      </w:r>
      <w:r w:rsidR="00CC0615">
        <w:rPr>
          <w:rFonts w:cs="Times New Roman"/>
          <w:szCs w:val="24"/>
          <w:lang w:val="en-US"/>
        </w:rPr>
        <w:t>”</w:t>
      </w:r>
      <w:r w:rsidRPr="00881752">
        <w:rPr>
          <w:rFonts w:cs="Times New Roman"/>
          <w:szCs w:val="24"/>
          <w:lang w:val="en-US"/>
        </w:rPr>
        <w:t>;</w:t>
      </w:r>
      <w:r w:rsidRPr="00881752">
        <w:rPr>
          <w:rStyle w:val="FootnoteReference"/>
          <w:rFonts w:cs="Times New Roman"/>
          <w:szCs w:val="24"/>
          <w:lang w:val="en-US"/>
        </w:rPr>
        <w:footnoteReference w:id="54"/>
      </w:r>
      <w:r w:rsidRPr="00881752">
        <w:rPr>
          <w:rFonts w:cs="Times New Roman"/>
          <w:szCs w:val="24"/>
          <w:lang w:val="en-US"/>
        </w:rPr>
        <w:t xml:space="preserve"> however, Hipponax</w:t>
      </w:r>
      <w:r w:rsidR="00075F5F">
        <w:rPr>
          <w:rFonts w:cs="Times New Roman"/>
          <w:szCs w:val="24"/>
          <w:lang w:val="en-US"/>
        </w:rPr>
        <w:t>’</w:t>
      </w:r>
      <w:r w:rsidRPr="00881752">
        <w:rPr>
          <w:rFonts w:cs="Times New Roman"/>
          <w:szCs w:val="24"/>
          <w:lang w:val="en-US"/>
        </w:rPr>
        <w:t xml:space="preserve">s Greek audience probably associated the term with the verb ἕρπω, as shown by the interpretations of the word given by the </w:t>
      </w:r>
      <w:r w:rsidRPr="00881752">
        <w:rPr>
          <w:rFonts w:cs="Times New Roman"/>
          <w:szCs w:val="24"/>
          <w:lang w:val="en-US"/>
        </w:rPr>
        <w:lastRenderedPageBreak/>
        <w:t xml:space="preserve">scholia and Tzetzes </w:t>
      </w:r>
      <w:r w:rsidRPr="00881752">
        <w:rPr>
          <w:rFonts w:cs="Times New Roman"/>
          <w:i/>
          <w:iCs/>
          <w:szCs w:val="24"/>
          <w:lang w:val="en-US"/>
        </w:rPr>
        <w:t>in Lyc</w:t>
      </w:r>
      <w:r w:rsidRPr="00881752">
        <w:rPr>
          <w:rFonts w:cs="Times New Roman"/>
          <w:szCs w:val="24"/>
          <w:lang w:val="en-US"/>
        </w:rPr>
        <w:t xml:space="preserve">. 579, where it is said that wine is called </w:t>
      </w:r>
      <w:r w:rsidR="00CC0615">
        <w:rPr>
          <w:rFonts w:cs="Times New Roman"/>
          <w:szCs w:val="24"/>
          <w:lang w:val="en-US"/>
        </w:rPr>
        <w:t>“</w:t>
      </w:r>
      <w:r w:rsidRPr="00881752">
        <w:rPr>
          <w:rFonts w:cs="Times New Roman"/>
          <w:i/>
          <w:iCs/>
          <w:szCs w:val="24"/>
          <w:lang w:val="en-US"/>
        </w:rPr>
        <w:t>hérpis</w:t>
      </w:r>
      <w:r w:rsidRPr="00881752">
        <w:rPr>
          <w:rFonts w:cs="Times New Roman"/>
          <w:szCs w:val="24"/>
          <w:lang w:val="en-US"/>
        </w:rPr>
        <w:t xml:space="preserve"> because it makes crawl (</w:t>
      </w:r>
      <w:r w:rsidRPr="00881752">
        <w:rPr>
          <w:rFonts w:cs="Times New Roman"/>
          <w:i/>
          <w:iCs/>
          <w:szCs w:val="24"/>
          <w:lang w:val="en-US"/>
        </w:rPr>
        <w:t>hérpontas</w:t>
      </w:r>
      <w:r w:rsidRPr="00881752">
        <w:rPr>
          <w:rFonts w:cs="Times New Roman"/>
          <w:szCs w:val="24"/>
          <w:lang w:val="en-US"/>
        </w:rPr>
        <w:t>) those who drink immoderately.</w:t>
      </w:r>
      <w:r w:rsidR="00CC0615">
        <w:rPr>
          <w:rFonts w:cs="Times New Roman"/>
          <w:szCs w:val="24"/>
          <w:lang w:val="en-US"/>
        </w:rPr>
        <w:t>”</w:t>
      </w:r>
      <w:r w:rsidRPr="00881752">
        <w:rPr>
          <w:rStyle w:val="FootnoteReference"/>
          <w:rFonts w:cs="Times New Roman"/>
          <w:szCs w:val="24"/>
          <w:lang w:val="en-US"/>
        </w:rPr>
        <w:footnoteReference w:id="55"/>
      </w:r>
      <w:r w:rsidRPr="00881752">
        <w:rPr>
          <w:rFonts w:cs="Times New Roman"/>
          <w:szCs w:val="24"/>
          <w:lang w:val="en-US"/>
        </w:rPr>
        <w:t xml:space="preserve"> The second example, καύης </w:t>
      </w:r>
      <w:r w:rsidR="00CC0615">
        <w:rPr>
          <w:rFonts w:cs="Times New Roman"/>
          <w:szCs w:val="24"/>
          <w:lang w:val="en-US"/>
        </w:rPr>
        <w:t>“</w:t>
      </w:r>
      <w:r w:rsidRPr="00881752">
        <w:rPr>
          <w:rFonts w:cs="Times New Roman"/>
          <w:szCs w:val="24"/>
          <w:lang w:val="en-US"/>
        </w:rPr>
        <w:t>priest</w:t>
      </w:r>
      <w:r w:rsidR="00CC0615">
        <w:rPr>
          <w:rFonts w:cs="Times New Roman"/>
          <w:szCs w:val="24"/>
          <w:lang w:val="en-US"/>
        </w:rPr>
        <w:t>”</w:t>
      </w:r>
      <w:r w:rsidRPr="00881752">
        <w:rPr>
          <w:rFonts w:cs="Times New Roman"/>
          <w:szCs w:val="24"/>
          <w:lang w:val="en-US"/>
        </w:rPr>
        <w:t xml:space="preserve"> (fr. 3.1), is a matching between the rare Greek word κοίης </w:t>
      </w:r>
      <w:r w:rsidR="00CC0615">
        <w:rPr>
          <w:rFonts w:cs="Times New Roman"/>
          <w:szCs w:val="24"/>
          <w:lang w:val="en-US"/>
        </w:rPr>
        <w:t>“</w:t>
      </w:r>
      <w:r w:rsidRPr="00881752">
        <w:rPr>
          <w:rFonts w:cs="Times New Roman"/>
          <w:szCs w:val="24"/>
          <w:lang w:val="en-US"/>
        </w:rPr>
        <w:t>priest</w:t>
      </w:r>
      <w:r w:rsidR="00CC0615">
        <w:rPr>
          <w:rFonts w:cs="Times New Roman"/>
          <w:szCs w:val="24"/>
          <w:lang w:val="en-US"/>
        </w:rPr>
        <w:t>”</w:t>
      </w:r>
      <w:r w:rsidRPr="00881752">
        <w:rPr>
          <w:rFonts w:cs="Times New Roman"/>
          <w:szCs w:val="24"/>
          <w:lang w:val="en-US"/>
        </w:rPr>
        <w:t xml:space="preserve"> and the Lydian word </w:t>
      </w:r>
      <w:r w:rsidRPr="00881752">
        <w:rPr>
          <w:rFonts w:cs="Times New Roman"/>
          <w:i/>
          <w:iCs/>
          <w:szCs w:val="24"/>
          <w:lang w:val="en-US"/>
        </w:rPr>
        <w:t>kaweś</w:t>
      </w:r>
      <w:r w:rsidRPr="00881752">
        <w:rPr>
          <w:rFonts w:cs="Times New Roman"/>
          <w:szCs w:val="24"/>
          <w:lang w:val="en-US"/>
        </w:rPr>
        <w:t xml:space="preserve"> </w:t>
      </w:r>
      <w:r w:rsidR="00CC0615">
        <w:rPr>
          <w:rFonts w:cs="Times New Roman"/>
          <w:szCs w:val="24"/>
          <w:lang w:val="en-US"/>
        </w:rPr>
        <w:t>“</w:t>
      </w:r>
      <w:r w:rsidRPr="00881752">
        <w:rPr>
          <w:rFonts w:cs="Times New Roman"/>
          <w:szCs w:val="24"/>
          <w:lang w:val="en-US"/>
        </w:rPr>
        <w:t>seer.</w:t>
      </w:r>
      <w:r w:rsidR="00CC0615">
        <w:rPr>
          <w:rFonts w:cs="Times New Roman"/>
          <w:szCs w:val="24"/>
          <w:lang w:val="en-US"/>
        </w:rPr>
        <w:t>”</w:t>
      </w:r>
      <w:r w:rsidRPr="00881752">
        <w:rPr>
          <w:rFonts w:cs="Times New Roman"/>
          <w:szCs w:val="24"/>
          <w:lang w:val="en-US"/>
        </w:rPr>
        <w:t xml:space="preserve"> </w:t>
      </w:r>
    </w:p>
    <w:p w14:paraId="1CF50E05" w14:textId="77777777" w:rsidR="007713D2" w:rsidRDefault="009C4864" w:rsidP="00E27B4B">
      <w:pPr>
        <w:spacing w:before="200"/>
        <w:rPr>
          <w:rFonts w:cs="Times New Roman"/>
          <w:szCs w:val="24"/>
          <w:lang w:val="en-US"/>
        </w:rPr>
      </w:pPr>
      <w:r w:rsidRPr="00881752">
        <w:rPr>
          <w:rFonts w:cs="Times New Roman"/>
          <w:szCs w:val="24"/>
          <w:lang w:val="en-US"/>
        </w:rPr>
        <w:t xml:space="preserve">Among the three iambographers, Hipponax, in whose work we see all the processes of word formation listed above, is clearly the most productive in creating new words; while Callimachus creates the smallest number. </w:t>
      </w:r>
    </w:p>
    <w:p w14:paraId="05334680" w14:textId="6B6C1DD9" w:rsidR="009C4864" w:rsidRPr="00881752" w:rsidRDefault="009C4864" w:rsidP="00F56C73">
      <w:pPr>
        <w:ind w:firstLine="426"/>
        <w:rPr>
          <w:rFonts w:cs="Times New Roman"/>
          <w:szCs w:val="24"/>
          <w:lang w:val="en-US"/>
        </w:rPr>
      </w:pPr>
      <w:r w:rsidRPr="00881752">
        <w:rPr>
          <w:rFonts w:cs="Times New Roman"/>
          <w:szCs w:val="24"/>
          <w:lang w:val="en-US"/>
        </w:rPr>
        <w:t>One may suggest at least two hypotheses to explain this fact. Firstly, it is possible that Callimachus considers the high incidence of neologisms a characteristic of the language of Hipponax rather than of the language of the iambic genre. The fragments of Archilochus do not show as many new words as those of Hipponax. Only Hipponax uses loanwords, calques, and phono-semantic matches, and this is usually explained by the geographical proximity of Hipponax</w:t>
      </w:r>
      <w:r w:rsidR="00075F5F">
        <w:rPr>
          <w:rFonts w:cs="Times New Roman"/>
          <w:szCs w:val="24"/>
          <w:lang w:val="en-US"/>
        </w:rPr>
        <w:t>’</w:t>
      </w:r>
      <w:r w:rsidRPr="00881752">
        <w:rPr>
          <w:rFonts w:cs="Times New Roman"/>
          <w:szCs w:val="24"/>
          <w:lang w:val="en-US"/>
        </w:rPr>
        <w:t xml:space="preserve">s Ephesus to Lydian territory. However, the relative rareness of new words in Callimachus may also be due to some extent to the fact that Callimachus had access to a wider range of words than Archilochus and Hipponax, since he could draw upon a longer literary tradition. For example, if the Alexandrian poet wants to talk about a </w:t>
      </w:r>
      <w:r w:rsidR="00CC0615">
        <w:rPr>
          <w:rFonts w:cs="Times New Roman"/>
          <w:szCs w:val="24"/>
          <w:lang w:val="en-US"/>
        </w:rPr>
        <w:t>“</w:t>
      </w:r>
      <w:r w:rsidRPr="00881752">
        <w:rPr>
          <w:rFonts w:cs="Times New Roman"/>
          <w:szCs w:val="24"/>
          <w:lang w:val="en-US"/>
        </w:rPr>
        <w:t>chatterer,</w:t>
      </w:r>
      <w:r w:rsidR="00CC0615">
        <w:rPr>
          <w:rFonts w:cs="Times New Roman"/>
          <w:szCs w:val="24"/>
          <w:lang w:val="en-US"/>
        </w:rPr>
        <w:t>”</w:t>
      </w:r>
      <w:r w:rsidRPr="00881752">
        <w:rPr>
          <w:rFonts w:cs="Times New Roman"/>
          <w:szCs w:val="24"/>
          <w:lang w:val="en-US"/>
        </w:rPr>
        <w:t xml:space="preserve"> he has a wide spectrum of terms to choose from, including the onomatopoeic noun βάβαξ, used by Archilochus; the verbs λαλάζω (e.g. in the participle λαλάζων), which is an Anacreontic </w:t>
      </w:r>
      <w:r w:rsidRPr="00881752">
        <w:rPr>
          <w:rFonts w:cs="Times New Roman"/>
          <w:i/>
          <w:iCs/>
          <w:szCs w:val="24"/>
          <w:lang w:val="en-US"/>
        </w:rPr>
        <w:t>hapax</w:t>
      </w:r>
      <w:r w:rsidRPr="00881752">
        <w:rPr>
          <w:rFonts w:cs="Times New Roman"/>
          <w:szCs w:val="24"/>
          <w:lang w:val="en-US"/>
        </w:rPr>
        <w:t xml:space="preserve"> (fr. 48.2 Gentili) and λαλαγέω, which occurs in Pindar (</w:t>
      </w:r>
      <w:r w:rsidRPr="00881752">
        <w:rPr>
          <w:rFonts w:cs="Times New Roman"/>
          <w:i/>
          <w:iCs/>
          <w:szCs w:val="24"/>
          <w:lang w:val="en-US"/>
        </w:rPr>
        <w:t>Ol</w:t>
      </w:r>
      <w:r w:rsidRPr="00881752">
        <w:rPr>
          <w:rFonts w:cs="Times New Roman"/>
          <w:szCs w:val="24"/>
          <w:lang w:val="en-US"/>
        </w:rPr>
        <w:t>. 9.40) to refer to sacrilegious utterances about the gods; the verb λαλέω, often used by Aristophanes and Plato, two prominent models in Callimachus</w:t>
      </w:r>
      <w:r w:rsidR="00075F5F">
        <w:rPr>
          <w:rFonts w:cs="Times New Roman"/>
          <w:szCs w:val="24"/>
          <w:lang w:val="en-US"/>
        </w:rPr>
        <w:t>’</w:t>
      </w:r>
      <w:r w:rsidRPr="00881752">
        <w:rPr>
          <w:rFonts w:cs="Times New Roman"/>
          <w:szCs w:val="24"/>
          <w:lang w:val="en-US"/>
        </w:rPr>
        <w:t xml:space="preserve"> work; and the term ἀλαζών which has a sort of technical connotation after Aristotle used it referring to a boaster: δοκεῖ</w:t>
      </w:r>
      <w:r w:rsidRPr="00881752">
        <w:rPr>
          <w:rFonts w:cs="Times New Roman"/>
          <w:i/>
          <w:iCs/>
          <w:color w:val="808000"/>
          <w:szCs w:val="24"/>
          <w:lang w:val="en-US"/>
        </w:rPr>
        <w:t> </w:t>
      </w:r>
      <w:r w:rsidRPr="00881752">
        <w:rPr>
          <w:rFonts w:cs="Times New Roman"/>
          <w:szCs w:val="24"/>
          <w:lang w:val="en-US"/>
        </w:rPr>
        <w:t xml:space="preserve">δὴ ὁ μὲν ἀλαζὼν προσποιητικὸς τῶν ἐνδόξων εἶναι καὶ μὴ ὑπαρχόντων καὶ μειζόνων ἢ ὑπάρχει </w:t>
      </w:r>
      <w:r w:rsidR="00CC0615">
        <w:rPr>
          <w:rFonts w:cs="Times New Roman"/>
          <w:szCs w:val="24"/>
          <w:lang w:val="en-US"/>
        </w:rPr>
        <w:t>“</w:t>
      </w:r>
      <w:r w:rsidRPr="00881752">
        <w:rPr>
          <w:rFonts w:cs="Times New Roman"/>
          <w:szCs w:val="24"/>
          <w:lang w:val="en-US"/>
        </w:rPr>
        <w:t>who pretends to creditable qualities that he does not possess, or possesses in a lesser degree than he makes out</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 xml:space="preserve">EN </w:t>
      </w:r>
      <w:r w:rsidRPr="00881752">
        <w:rPr>
          <w:rFonts w:cs="Times New Roman"/>
          <w:szCs w:val="24"/>
          <w:lang w:val="en-US"/>
        </w:rPr>
        <w:t>1127a20-22).</w:t>
      </w:r>
      <w:r w:rsidRPr="00881752">
        <w:rPr>
          <w:rStyle w:val="FootnoteReference"/>
          <w:rFonts w:cs="Times New Roman"/>
          <w:szCs w:val="24"/>
          <w:lang w:val="en-US"/>
        </w:rPr>
        <w:footnoteReference w:id="56"/>
      </w:r>
      <w:r w:rsidRPr="00881752">
        <w:rPr>
          <w:rFonts w:cs="Times New Roman"/>
          <w:szCs w:val="24"/>
          <w:lang w:val="en-US"/>
        </w:rPr>
        <w:t xml:space="preserve"> Thus Callimachus can choose which word best defines his character, and his choice guides the understanding of his audience, creating intertextual connections. </w:t>
      </w:r>
    </w:p>
    <w:p w14:paraId="0073B95F" w14:textId="46941E4E" w:rsidR="00F55E6E" w:rsidRPr="00881752" w:rsidRDefault="007028FC" w:rsidP="009630F3">
      <w:pPr>
        <w:pStyle w:val="Heading3"/>
      </w:pPr>
      <w:r w:rsidRPr="00881752">
        <w:lastRenderedPageBreak/>
        <w:t>1.3</w:t>
      </w:r>
      <w:r w:rsidR="00F55E6E" w:rsidRPr="00881752">
        <w:t xml:space="preserve"> Compound Words</w:t>
      </w:r>
    </w:p>
    <w:p w14:paraId="1EFFAEB5" w14:textId="77777777" w:rsidR="009C4864" w:rsidRPr="00881752" w:rsidRDefault="009C4864" w:rsidP="00E27B4B">
      <w:pPr>
        <w:keepNext/>
        <w:rPr>
          <w:rFonts w:cs="Times New Roman"/>
          <w:szCs w:val="24"/>
          <w:lang w:val="en-US"/>
        </w:rPr>
      </w:pPr>
      <w:r w:rsidRPr="00881752">
        <w:rPr>
          <w:rFonts w:cs="Times New Roman"/>
          <w:szCs w:val="24"/>
          <w:lang w:val="en-US"/>
        </w:rPr>
        <w:t>Among the various processes of word formation, compounding is surely the most productive in the three poets under examination. For this reason the following section investigates in greater depth how the three iambographers create compound words and which kinds of compound words are found in their surviving iambic work.</w:t>
      </w:r>
    </w:p>
    <w:p w14:paraId="51DE294C" w14:textId="77777777" w:rsidR="009C4864" w:rsidRPr="00881752" w:rsidRDefault="009C4864" w:rsidP="006D6997">
      <w:pPr>
        <w:tabs>
          <w:tab w:val="clear" w:pos="425"/>
          <w:tab w:val="left" w:pos="426"/>
        </w:tabs>
        <w:rPr>
          <w:rFonts w:cs="Times New Roman"/>
          <w:szCs w:val="24"/>
          <w:lang w:val="en-US"/>
        </w:rPr>
      </w:pPr>
      <w:r w:rsidRPr="00881752">
        <w:rPr>
          <w:rFonts w:cs="Times New Roman"/>
          <w:szCs w:val="24"/>
          <w:lang w:val="en-US"/>
        </w:rPr>
        <w:tab/>
        <w:t xml:space="preserve">Compound words form a significant part of the vocabulary of the iambographers, constituting on average 5% of their lexicon (Appendix </w:t>
      </w:r>
      <w:r w:rsidRPr="00881752">
        <w:rPr>
          <w:rFonts w:cs="Times New Roman"/>
          <w:b/>
          <w:bCs/>
          <w:szCs w:val="24"/>
          <w:lang w:val="en-US"/>
        </w:rPr>
        <w:t>1</w:t>
      </w:r>
      <w:r w:rsidRPr="00881752">
        <w:rPr>
          <w:rFonts w:cs="Times New Roman"/>
          <w:szCs w:val="24"/>
          <w:lang w:val="en-US"/>
        </w:rPr>
        <w:t xml:space="preserve"> B.1): 4.88% in Archilochus,  6.23% in Hipponax, and 4.31% in Callimachus.</w:t>
      </w:r>
    </w:p>
    <w:p w14:paraId="52E336C1" w14:textId="3C99C9AF" w:rsidR="009C4864" w:rsidRPr="00881752" w:rsidRDefault="009C4864" w:rsidP="00965919">
      <w:pPr>
        <w:tabs>
          <w:tab w:val="left" w:pos="0"/>
        </w:tabs>
        <w:ind w:firstLine="426"/>
        <w:rPr>
          <w:rFonts w:cs="Times New Roman"/>
          <w:szCs w:val="24"/>
          <w:lang w:val="en-US"/>
        </w:rPr>
      </w:pPr>
      <w:r w:rsidRPr="00881752">
        <w:rPr>
          <w:rFonts w:cs="Times New Roman"/>
          <w:szCs w:val="24"/>
          <w:lang w:val="en-US"/>
        </w:rPr>
        <w:t xml:space="preserve">Classification of compound words has been and remains a much-debated issue in linguistic scholarship, especially because the process of compounding involves both morphology and syntax. Consequently, it is difficult to fit them into what Jackendoff has called </w:t>
      </w:r>
      <w:r w:rsidR="00CC0615">
        <w:rPr>
          <w:rFonts w:cs="Times New Roman"/>
          <w:szCs w:val="24"/>
          <w:lang w:val="en-US"/>
        </w:rPr>
        <w:t>“</w:t>
      </w:r>
      <w:r w:rsidRPr="00881752">
        <w:rPr>
          <w:rFonts w:cs="Times New Roman"/>
          <w:szCs w:val="24"/>
          <w:lang w:val="en-US"/>
        </w:rPr>
        <w:t>the architecture of the grammar.</w:t>
      </w:r>
      <w:r w:rsidR="00CC0615">
        <w:rPr>
          <w:rFonts w:cs="Times New Roman"/>
          <w:szCs w:val="24"/>
          <w:lang w:val="en-US"/>
        </w:rPr>
        <w:t>”</w:t>
      </w:r>
      <w:r w:rsidRPr="00881752">
        <w:rPr>
          <w:rStyle w:val="FootnoteReference"/>
          <w:rFonts w:cs="Times New Roman"/>
          <w:szCs w:val="24"/>
          <w:lang w:val="en-US"/>
        </w:rPr>
        <w:footnoteReference w:id="57"/>
      </w:r>
      <w:r w:rsidRPr="00881752">
        <w:rPr>
          <w:rFonts w:cs="Times New Roman"/>
          <w:szCs w:val="24"/>
          <w:lang w:val="en-US"/>
        </w:rPr>
        <w:t xml:space="preserve"> The precise nature of compound structure seems to be indefinable, and so far no single classification proposal has proven to be adequate for dealing with the phenomenon in different languages, or even in individual languages and corpora, including the ancient Greek language. For this reason I will limit myself to describing the morphological features of compounds in my iambic corpus without systematically analysing their semantic aspects. </w:t>
      </w:r>
    </w:p>
    <w:p w14:paraId="71B86466" w14:textId="77777777" w:rsidR="009C4864" w:rsidRPr="00881752" w:rsidRDefault="009C4864" w:rsidP="007D78E3">
      <w:pPr>
        <w:rPr>
          <w:rFonts w:cs="Times New Roman"/>
          <w:szCs w:val="24"/>
          <w:lang w:val="en-US"/>
        </w:rPr>
      </w:pPr>
    </w:p>
    <w:p w14:paraId="49F09889" w14:textId="4F5C7AA1" w:rsidR="009C4864" w:rsidRPr="00881752" w:rsidRDefault="009C4864" w:rsidP="009E2C55">
      <w:pPr>
        <w:rPr>
          <w:rFonts w:cs="Times New Roman"/>
          <w:szCs w:val="24"/>
          <w:lang w:val="en-US"/>
        </w:rPr>
      </w:pPr>
      <w:r w:rsidRPr="00881752">
        <w:rPr>
          <w:rFonts w:cs="Times New Roman"/>
          <w:szCs w:val="24"/>
          <w:lang w:val="en-US"/>
        </w:rPr>
        <w:t>Most of Callimachus</w:t>
      </w:r>
      <w:r w:rsidR="00075F5F">
        <w:rPr>
          <w:rFonts w:cs="Times New Roman"/>
          <w:szCs w:val="24"/>
          <w:lang w:val="en-US"/>
        </w:rPr>
        <w:t>’</w:t>
      </w:r>
      <w:r w:rsidRPr="00881752">
        <w:rPr>
          <w:rFonts w:cs="Times New Roman"/>
          <w:szCs w:val="24"/>
          <w:lang w:val="en-US"/>
        </w:rPr>
        <w:t xml:space="preserve"> compound words have a particle (ἀ-, δυσ-, εὐ-) or a preposition as first element (</w:t>
      </w:r>
      <w:r w:rsidRPr="00881752">
        <w:rPr>
          <w:rFonts w:cs="Times New Roman"/>
          <w:b/>
          <w:bCs/>
          <w:szCs w:val="24"/>
          <w:lang w:val="en-US"/>
        </w:rPr>
        <w:t>1</w:t>
      </w:r>
      <w:r w:rsidRPr="00881752">
        <w:rPr>
          <w:rFonts w:cs="Times New Roman"/>
          <w:szCs w:val="24"/>
          <w:lang w:val="en-US"/>
        </w:rPr>
        <w:t xml:space="preserve"> B.3). In this respect the language of iambos reflects the general trend of nominal composition in Greek literature over time: the percentage of compound words with a particle or preposition as first element increases from Archilochus</w:t>
      </w:r>
      <w:r w:rsidR="00075F5F">
        <w:rPr>
          <w:rFonts w:cs="Times New Roman"/>
          <w:szCs w:val="24"/>
          <w:lang w:val="en-US"/>
        </w:rPr>
        <w:t>’</w:t>
      </w:r>
      <w:r w:rsidRPr="00881752">
        <w:rPr>
          <w:rFonts w:cs="Times New Roman"/>
          <w:szCs w:val="24"/>
          <w:lang w:val="en-US"/>
        </w:rPr>
        <w:t xml:space="preserve"> 42.86% of the total number of compounds, through Hipponax</w:t>
      </w:r>
      <w:r w:rsidR="00075F5F">
        <w:rPr>
          <w:rFonts w:cs="Times New Roman"/>
          <w:szCs w:val="24"/>
          <w:lang w:val="en-US"/>
        </w:rPr>
        <w:t>’</w:t>
      </w:r>
      <w:r w:rsidRPr="00881752">
        <w:rPr>
          <w:rFonts w:cs="Times New Roman"/>
          <w:szCs w:val="24"/>
          <w:lang w:val="en-US"/>
        </w:rPr>
        <w:t>s 50%, to Callimachus</w:t>
      </w:r>
      <w:r w:rsidR="00075F5F">
        <w:rPr>
          <w:rFonts w:cs="Times New Roman"/>
          <w:szCs w:val="24"/>
          <w:lang w:val="en-US"/>
        </w:rPr>
        <w:t>’</w:t>
      </w:r>
      <w:r w:rsidRPr="00881752">
        <w:rPr>
          <w:rFonts w:cs="Times New Roman"/>
          <w:szCs w:val="24"/>
          <w:lang w:val="en-US"/>
        </w:rPr>
        <w:t xml:space="preserve"> 68.57% (</w:t>
      </w:r>
      <w:r w:rsidRPr="00881752">
        <w:rPr>
          <w:rFonts w:cs="Times New Roman"/>
          <w:b/>
          <w:bCs/>
          <w:szCs w:val="24"/>
          <w:lang w:val="en-US"/>
        </w:rPr>
        <w:t>1</w:t>
      </w:r>
      <w:r w:rsidRPr="00881752">
        <w:rPr>
          <w:rFonts w:cs="Times New Roman"/>
          <w:szCs w:val="24"/>
          <w:lang w:val="en-US"/>
        </w:rPr>
        <w:t xml:space="preserve"> B.3). </w:t>
      </w:r>
    </w:p>
    <w:p w14:paraId="2E18A6CC" w14:textId="62B8FAD3" w:rsidR="009C4864" w:rsidRPr="00881752" w:rsidRDefault="009C4864" w:rsidP="009E2C55">
      <w:pPr>
        <w:ind w:firstLine="425"/>
        <w:rPr>
          <w:rFonts w:cs="Times New Roman"/>
          <w:szCs w:val="24"/>
          <w:lang w:val="en-US"/>
        </w:rPr>
      </w:pPr>
      <w:r w:rsidRPr="00881752">
        <w:rPr>
          <w:rFonts w:cs="Times New Roman"/>
          <w:szCs w:val="24"/>
          <w:lang w:val="en-US"/>
        </w:rPr>
        <w:t>Most iambic compound words are verbal compounds, in which the embedded verb determines the role of the other element(s) of the word. Usually the verb occupies the second position of the compound word, and examples of compound words with the verb in the first position are rare (</w:t>
      </w:r>
      <w:r w:rsidRPr="00881752">
        <w:rPr>
          <w:rFonts w:cs="Times New Roman"/>
          <w:b/>
          <w:bCs/>
          <w:szCs w:val="24"/>
          <w:lang w:val="en-US"/>
        </w:rPr>
        <w:t>1</w:t>
      </w:r>
      <w:r w:rsidRPr="00881752">
        <w:rPr>
          <w:rFonts w:cs="Times New Roman"/>
          <w:szCs w:val="24"/>
          <w:lang w:val="en-US"/>
        </w:rPr>
        <w:t xml:space="preserve"> B.3). Archilochus uses λυσιμελής </w:t>
      </w:r>
      <w:r w:rsidR="00CC0615">
        <w:rPr>
          <w:rFonts w:cs="Times New Roman"/>
          <w:szCs w:val="24"/>
          <w:lang w:val="en-US"/>
        </w:rPr>
        <w:t>“</w:t>
      </w:r>
      <w:r w:rsidRPr="00881752">
        <w:rPr>
          <w:rFonts w:cs="Times New Roman"/>
          <w:szCs w:val="24"/>
          <w:lang w:val="en-US"/>
        </w:rPr>
        <w:t>limb-relaxing</w:t>
      </w:r>
      <w:r w:rsidR="00CC0615">
        <w:rPr>
          <w:rFonts w:cs="Times New Roman"/>
          <w:szCs w:val="24"/>
          <w:lang w:val="en-US"/>
        </w:rPr>
        <w:t>”</w:t>
      </w:r>
      <w:r w:rsidRPr="00881752">
        <w:rPr>
          <w:rFonts w:cs="Times New Roman"/>
          <w:szCs w:val="24"/>
          <w:lang w:val="en-US"/>
        </w:rPr>
        <w:t xml:space="preserve"> (fr. 212); Hipponax has ἀνασεισίφαλλος </w:t>
      </w:r>
      <w:r w:rsidR="00CC0615">
        <w:rPr>
          <w:rFonts w:cs="Times New Roman"/>
          <w:szCs w:val="24"/>
          <w:lang w:val="en-US"/>
        </w:rPr>
        <w:t>“</w:t>
      </w:r>
      <w:r w:rsidRPr="00881752">
        <w:rPr>
          <w:rFonts w:cs="Times New Roman"/>
          <w:szCs w:val="24"/>
          <w:lang w:val="en-US"/>
        </w:rPr>
        <w:t>cock-shaker</w:t>
      </w:r>
      <w:r w:rsidR="00CC0615">
        <w:rPr>
          <w:rFonts w:cs="Times New Roman"/>
          <w:szCs w:val="24"/>
          <w:lang w:val="en-US"/>
        </w:rPr>
        <w:t>”</w:t>
      </w:r>
      <w:r w:rsidRPr="00881752">
        <w:rPr>
          <w:rFonts w:cs="Times New Roman"/>
          <w:szCs w:val="24"/>
          <w:lang w:val="en-US"/>
        </w:rPr>
        <w:t xml:space="preserve"> (fr. 150, uniquely with a first element derived from a compound verb), ταραξίπους </w:t>
      </w:r>
      <w:r w:rsidR="00CC0615">
        <w:rPr>
          <w:rFonts w:cs="Times New Roman"/>
          <w:szCs w:val="24"/>
          <w:lang w:val="en-US"/>
        </w:rPr>
        <w:t>“</w:t>
      </w:r>
      <w:r w:rsidRPr="00881752">
        <w:rPr>
          <w:rFonts w:cs="Times New Roman"/>
          <w:szCs w:val="24"/>
          <w:lang w:val="en-US"/>
        </w:rPr>
        <w:t>troubling the feet</w:t>
      </w:r>
      <w:r w:rsidR="00CC0615">
        <w:rPr>
          <w:rFonts w:cs="Times New Roman"/>
          <w:szCs w:val="24"/>
          <w:lang w:val="en-US"/>
        </w:rPr>
        <w:t>”</w:t>
      </w:r>
      <w:r w:rsidRPr="00881752">
        <w:rPr>
          <w:rFonts w:cs="Times New Roman"/>
          <w:szCs w:val="24"/>
          <w:lang w:val="en-US"/>
        </w:rPr>
        <w:t xml:space="preserve"> (fr. 107.46), and perhaps σαρκοκύων </w:t>
      </w:r>
      <w:r w:rsidR="00CC0615">
        <w:rPr>
          <w:rFonts w:cs="Times New Roman"/>
          <w:szCs w:val="24"/>
          <w:lang w:val="en-US"/>
        </w:rPr>
        <w:t>“</w:t>
      </w:r>
      <w:r w:rsidRPr="00881752">
        <w:rPr>
          <w:rFonts w:cs="Times New Roman"/>
          <w:szCs w:val="24"/>
          <w:lang w:val="en-US"/>
        </w:rPr>
        <w:t>flesh-tearing-dog</w:t>
      </w:r>
      <w:r w:rsidR="00CC0615">
        <w:rPr>
          <w:rFonts w:cs="Times New Roman"/>
          <w:szCs w:val="24"/>
          <w:lang w:val="en-US"/>
        </w:rPr>
        <w:t>”</w:t>
      </w:r>
      <w:r w:rsidRPr="00881752">
        <w:rPr>
          <w:rStyle w:val="FootnoteReference"/>
          <w:rFonts w:cs="Times New Roman"/>
          <w:szCs w:val="24"/>
          <w:lang w:val="en-US"/>
        </w:rPr>
        <w:footnoteReference w:id="58"/>
      </w:r>
      <w:r w:rsidRPr="00881752">
        <w:rPr>
          <w:rFonts w:cs="Times New Roman"/>
          <w:szCs w:val="24"/>
          <w:lang w:val="en-US"/>
        </w:rPr>
        <w:t xml:space="preserve"> (fr. 141); and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yield λίπουρος </w:t>
      </w:r>
      <w:r w:rsidR="00CC0615">
        <w:rPr>
          <w:rFonts w:cs="Times New Roman"/>
          <w:szCs w:val="24"/>
          <w:lang w:val="en-US"/>
        </w:rPr>
        <w:lastRenderedPageBreak/>
        <w:t>“</w:t>
      </w:r>
      <w:r w:rsidRPr="00881752">
        <w:rPr>
          <w:rFonts w:cs="Times New Roman"/>
          <w:szCs w:val="24"/>
          <w:lang w:val="en-US"/>
        </w:rPr>
        <w:t>without tail</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 xml:space="preserve">Ia. </w:t>
      </w:r>
      <w:r w:rsidRPr="00881752">
        <w:rPr>
          <w:rFonts w:cs="Times New Roman"/>
          <w:szCs w:val="24"/>
          <w:lang w:val="en-US"/>
        </w:rPr>
        <w:t xml:space="preserve">10.2) and φυγαίχμης </w:t>
      </w:r>
      <w:r w:rsidR="00CC0615">
        <w:rPr>
          <w:rFonts w:cs="Times New Roman"/>
          <w:szCs w:val="24"/>
          <w:lang w:val="en-US"/>
        </w:rPr>
        <w:t>“</w:t>
      </w:r>
      <w:r w:rsidRPr="00881752">
        <w:rPr>
          <w:rFonts w:cs="Times New Roman"/>
          <w:szCs w:val="24"/>
          <w:lang w:val="en-US"/>
        </w:rPr>
        <w:t>coward</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w:t>
      </w:r>
      <w:r w:rsidRPr="00881752">
        <w:rPr>
          <w:rFonts w:cs="Times New Roman"/>
          <w:szCs w:val="24"/>
          <w:lang w:val="en-US"/>
        </w:rPr>
        <w:t xml:space="preserve"> 7.2). With the exception of the uncertain σαρκοκύων, all archaic verb-initial compounds connect the verbal root with the second element through -σι-; the Callimachean compounds do not contain this affix. </w:t>
      </w:r>
    </w:p>
    <w:p w14:paraId="02C3B096" w14:textId="77777777" w:rsidR="009C4864" w:rsidRPr="00881752" w:rsidRDefault="009C4864" w:rsidP="00FE2144">
      <w:pPr>
        <w:ind w:firstLine="426"/>
        <w:rPr>
          <w:rFonts w:cs="Times New Roman"/>
          <w:szCs w:val="24"/>
          <w:lang w:val="en-US"/>
        </w:rPr>
      </w:pPr>
    </w:p>
    <w:p w14:paraId="285A211E" w14:textId="77777777" w:rsidR="009C4864" w:rsidRPr="00881752" w:rsidRDefault="009C4864" w:rsidP="00E95AF7">
      <w:pPr>
        <w:spacing w:after="200"/>
        <w:rPr>
          <w:rFonts w:cs="Times New Roman"/>
          <w:szCs w:val="24"/>
          <w:lang w:val="en-US"/>
        </w:rPr>
      </w:pPr>
      <w:r w:rsidRPr="00881752">
        <w:rPr>
          <w:rFonts w:cs="Times New Roman"/>
          <w:szCs w:val="24"/>
          <w:lang w:val="en-US"/>
        </w:rPr>
        <w:t>Most compound words in our corpus are adjectives (</w:t>
      </w:r>
      <w:r w:rsidRPr="00881752">
        <w:rPr>
          <w:rFonts w:cs="Times New Roman"/>
          <w:b/>
          <w:bCs/>
          <w:szCs w:val="24"/>
          <w:lang w:val="en-US"/>
        </w:rPr>
        <w:t>1</w:t>
      </w:r>
      <w:r w:rsidRPr="00881752">
        <w:rPr>
          <w:rFonts w:cs="Times New Roman"/>
          <w:szCs w:val="24"/>
          <w:lang w:val="en-US"/>
        </w:rPr>
        <w:t xml:space="preserve"> B.2) whose internal structure corresponds to one of the following schemata (</w:t>
      </w:r>
      <w:r w:rsidRPr="00881752">
        <w:rPr>
          <w:rFonts w:cs="Times New Roman"/>
          <w:b/>
          <w:bCs/>
          <w:szCs w:val="24"/>
          <w:lang w:val="en-US"/>
        </w:rPr>
        <w:t>1</w:t>
      </w:r>
      <w:r w:rsidRPr="00881752">
        <w:rPr>
          <w:rFonts w:cs="Times New Roman"/>
          <w:szCs w:val="24"/>
          <w:lang w:val="en-US"/>
        </w:rPr>
        <w:t xml:space="preserve"> B.3):</w:t>
      </w:r>
      <w:r w:rsidRPr="00881752">
        <w:rPr>
          <w:rStyle w:val="FootnoteReference"/>
          <w:rFonts w:cs="Times New Roman"/>
          <w:szCs w:val="24"/>
          <w:lang w:val="en-US"/>
        </w:rPr>
        <w:footnoteReference w:id="59"/>
      </w:r>
    </w:p>
    <w:p w14:paraId="24B53F57" w14:textId="77777777" w:rsidR="009C4864" w:rsidRPr="00881752" w:rsidRDefault="009C4864" w:rsidP="00881752">
      <w:pPr>
        <w:widowControl w:val="0"/>
        <w:numPr>
          <w:ilvl w:val="0"/>
          <w:numId w:val="38"/>
        </w:numPr>
        <w:tabs>
          <w:tab w:val="left" w:pos="360"/>
          <w:tab w:val="left" w:pos="714"/>
          <w:tab w:val="center" w:pos="5387"/>
        </w:tabs>
        <w:ind w:left="714" w:hanging="357"/>
        <w:rPr>
          <w:rFonts w:cs="Times New Roman"/>
          <w:szCs w:val="24"/>
          <w:lang w:val="en-US"/>
        </w:rPr>
      </w:pPr>
      <w:r w:rsidRPr="00881752">
        <w:rPr>
          <w:rFonts w:cs="Times New Roman"/>
          <w:szCs w:val="24"/>
          <w:lang w:val="en-US"/>
        </w:rPr>
        <w:t>[</w:t>
      </w:r>
      <w:r w:rsidRPr="00881752">
        <w:rPr>
          <w:rFonts w:cs="Times New Roman"/>
          <w:color w:val="008000"/>
          <w:szCs w:val="24"/>
          <w:lang w:val="en-US"/>
        </w:rPr>
        <w:t>Adverb</w:t>
      </w:r>
      <w:r w:rsidRPr="00881752">
        <w:rPr>
          <w:rFonts w:cs="Times New Roman"/>
          <w:szCs w:val="24"/>
          <w:lang w:val="en-US"/>
        </w:rPr>
        <w:t>/</w:t>
      </w:r>
      <w:r w:rsidRPr="00881752">
        <w:rPr>
          <w:rFonts w:cs="Times New Roman"/>
          <w:color w:val="FF0000"/>
          <w:szCs w:val="24"/>
          <w:lang w:val="en-US"/>
        </w:rPr>
        <w:t>Particle</w:t>
      </w:r>
      <w:r w:rsidRPr="00881752">
        <w:rPr>
          <w:rFonts w:cs="Times New Roman"/>
          <w:szCs w:val="24"/>
          <w:lang w:val="en-US"/>
        </w:rPr>
        <w:t>/</w:t>
      </w:r>
      <w:r w:rsidRPr="00881752">
        <w:rPr>
          <w:rFonts w:cs="Times New Roman"/>
          <w:color w:val="0000FF"/>
          <w:szCs w:val="24"/>
          <w:lang w:val="en-US"/>
        </w:rPr>
        <w:t>Preposition</w:t>
      </w:r>
      <w:r w:rsidRPr="00881752">
        <w:rPr>
          <w:rFonts w:cs="Times New Roman"/>
          <w:szCs w:val="24"/>
          <w:lang w:val="en-US"/>
        </w:rPr>
        <w:t xml:space="preserve"> + Adjective] = e.g. </w:t>
      </w:r>
      <w:r w:rsidRPr="00881752">
        <w:rPr>
          <w:rFonts w:cs="Times New Roman"/>
          <w:color w:val="008000"/>
          <w:szCs w:val="24"/>
          <w:lang w:val="en-US"/>
        </w:rPr>
        <w:t>παλίν</w:t>
      </w:r>
      <w:r w:rsidRPr="00881752">
        <w:rPr>
          <w:rFonts w:cs="Times New Roman"/>
          <w:szCs w:val="24"/>
          <w:lang w:val="en-US"/>
        </w:rPr>
        <w:t xml:space="preserve">σκιος (Archil. fr. 33), </w:t>
      </w:r>
      <w:r w:rsidRPr="00881752">
        <w:rPr>
          <w:rFonts w:cs="Times New Roman"/>
          <w:color w:val="0000FF"/>
          <w:szCs w:val="24"/>
          <w:lang w:val="en-US"/>
        </w:rPr>
        <w:t>ἀμφι</w:t>
      </w:r>
      <w:r w:rsidRPr="00881752">
        <w:rPr>
          <w:rFonts w:cs="Times New Roman"/>
          <w:szCs w:val="24"/>
          <w:lang w:val="en-US"/>
        </w:rPr>
        <w:t xml:space="preserve">δέξιος (Hippon. fr. 122), </w:t>
      </w:r>
      <w:r w:rsidRPr="00881752">
        <w:rPr>
          <w:rFonts w:cs="Times New Roman"/>
          <w:color w:val="FF0000"/>
          <w:szCs w:val="24"/>
          <w:lang w:val="en-US"/>
        </w:rPr>
        <w:t>ἄν</w:t>
      </w:r>
      <w:r w:rsidRPr="00881752">
        <w:rPr>
          <w:rFonts w:cs="Times New Roman"/>
          <w:szCs w:val="24"/>
          <w:lang w:val="en-US"/>
        </w:rPr>
        <w:t xml:space="preserve">ολβος (Call. </w:t>
      </w:r>
      <w:r w:rsidRPr="00881752">
        <w:rPr>
          <w:rFonts w:cs="Times New Roman"/>
          <w:i/>
          <w:iCs/>
          <w:szCs w:val="24"/>
          <w:lang w:val="en-US"/>
        </w:rPr>
        <w:t>Ia.</w:t>
      </w:r>
      <w:r w:rsidRPr="00881752">
        <w:rPr>
          <w:rFonts w:cs="Times New Roman"/>
          <w:szCs w:val="24"/>
          <w:lang w:val="en-US"/>
        </w:rPr>
        <w:t xml:space="preserve"> 4.100) </w:t>
      </w:r>
    </w:p>
    <w:p w14:paraId="584BA301" w14:textId="77777777" w:rsidR="009C4864" w:rsidRPr="00881752" w:rsidRDefault="009C4864" w:rsidP="00881752">
      <w:pPr>
        <w:widowControl w:val="0"/>
        <w:numPr>
          <w:ilvl w:val="0"/>
          <w:numId w:val="38"/>
        </w:numPr>
        <w:tabs>
          <w:tab w:val="left" w:pos="360"/>
          <w:tab w:val="left" w:pos="720"/>
          <w:tab w:val="center" w:pos="5387"/>
        </w:tabs>
        <w:rPr>
          <w:rFonts w:cs="Times New Roman"/>
          <w:szCs w:val="24"/>
          <w:lang w:val="en-US"/>
        </w:rPr>
      </w:pPr>
      <w:r w:rsidRPr="00881752">
        <w:rPr>
          <w:rFonts w:cs="Times New Roman"/>
          <w:szCs w:val="24"/>
          <w:lang w:val="en-US"/>
        </w:rPr>
        <w:t>[</w:t>
      </w:r>
      <w:r w:rsidRPr="00881752">
        <w:rPr>
          <w:rFonts w:cs="Times New Roman"/>
          <w:color w:val="008000"/>
          <w:szCs w:val="24"/>
          <w:lang w:val="en-US"/>
        </w:rPr>
        <w:t>Adverb</w:t>
      </w:r>
      <w:r w:rsidRPr="00881752">
        <w:rPr>
          <w:rFonts w:cs="Times New Roman"/>
          <w:szCs w:val="24"/>
          <w:lang w:val="en-US"/>
        </w:rPr>
        <w:t>/</w:t>
      </w:r>
      <w:r w:rsidRPr="00881752">
        <w:rPr>
          <w:rFonts w:cs="Times New Roman"/>
          <w:color w:val="FF0000"/>
          <w:szCs w:val="24"/>
          <w:lang w:val="en-US"/>
        </w:rPr>
        <w:t>Particle</w:t>
      </w:r>
      <w:r w:rsidRPr="00881752">
        <w:rPr>
          <w:rFonts w:cs="Times New Roman"/>
          <w:szCs w:val="24"/>
          <w:lang w:val="en-US"/>
        </w:rPr>
        <w:t>/</w:t>
      </w:r>
      <w:r w:rsidRPr="00881752">
        <w:rPr>
          <w:rFonts w:cs="Times New Roman"/>
          <w:color w:val="0000FF"/>
          <w:szCs w:val="24"/>
          <w:lang w:val="en-US"/>
        </w:rPr>
        <w:t>Prepositio</w:t>
      </w:r>
      <w:r w:rsidRPr="00881752">
        <w:rPr>
          <w:rFonts w:cs="Times New Roman"/>
          <w:szCs w:val="24"/>
          <w:lang w:val="en-US"/>
        </w:rPr>
        <w:t xml:space="preserve">n + Deverbative] = e.g. </w:t>
      </w:r>
      <w:r w:rsidRPr="00881752">
        <w:rPr>
          <w:rFonts w:cs="Times New Roman"/>
          <w:color w:val="FF0000"/>
          <w:szCs w:val="24"/>
          <w:lang w:val="en-US"/>
        </w:rPr>
        <w:t>ἀ</w:t>
      </w:r>
      <w:r w:rsidRPr="00881752">
        <w:rPr>
          <w:rFonts w:cs="Times New Roman"/>
          <w:szCs w:val="24"/>
          <w:lang w:val="en-US"/>
        </w:rPr>
        <w:t xml:space="preserve">κήρατος (Archil. frr. 89.3, 120.5), </w:t>
      </w:r>
      <w:r w:rsidRPr="00881752">
        <w:rPr>
          <w:rFonts w:cs="Times New Roman"/>
          <w:color w:val="0000FF"/>
          <w:szCs w:val="24"/>
          <w:lang w:val="en-US"/>
        </w:rPr>
        <w:t>ἔγ</w:t>
      </w:r>
      <w:r w:rsidRPr="00881752">
        <w:rPr>
          <w:rFonts w:cs="Times New Roman"/>
          <w:szCs w:val="24"/>
          <w:lang w:val="en-US"/>
        </w:rPr>
        <w:t xml:space="preserve">χυτον (Hippon. fr. 107.49), </w:t>
      </w:r>
      <w:r w:rsidRPr="00881752">
        <w:rPr>
          <w:rFonts w:cs="Times New Roman"/>
          <w:color w:val="008000"/>
          <w:szCs w:val="24"/>
          <w:lang w:val="en-US"/>
        </w:rPr>
        <w:t>παλίμ</w:t>
      </w:r>
      <w:r w:rsidRPr="00881752">
        <w:rPr>
          <w:rFonts w:cs="Times New Roman"/>
          <w:szCs w:val="24"/>
          <w:lang w:val="en-US"/>
        </w:rPr>
        <w:t xml:space="preserve">πρητος (Call. </w:t>
      </w:r>
      <w:r w:rsidRPr="00881752">
        <w:rPr>
          <w:rFonts w:cs="Times New Roman"/>
          <w:i/>
          <w:iCs/>
          <w:szCs w:val="24"/>
          <w:lang w:val="en-US"/>
        </w:rPr>
        <w:t xml:space="preserve">Ia. </w:t>
      </w:r>
      <w:r w:rsidRPr="00881752">
        <w:rPr>
          <w:rFonts w:cs="Times New Roman"/>
          <w:szCs w:val="24"/>
          <w:lang w:val="en-US"/>
        </w:rPr>
        <w:t>13.55)</w:t>
      </w:r>
    </w:p>
    <w:p w14:paraId="68B93241" w14:textId="77777777" w:rsidR="009C4864" w:rsidRPr="00881752" w:rsidRDefault="009C4864" w:rsidP="00881752">
      <w:pPr>
        <w:widowControl w:val="0"/>
        <w:numPr>
          <w:ilvl w:val="0"/>
          <w:numId w:val="38"/>
        </w:numPr>
        <w:tabs>
          <w:tab w:val="left" w:pos="360"/>
          <w:tab w:val="left" w:pos="720"/>
          <w:tab w:val="center" w:pos="5387"/>
        </w:tabs>
        <w:rPr>
          <w:rFonts w:cs="Times New Roman"/>
          <w:szCs w:val="24"/>
          <w:lang w:val="en-US"/>
        </w:rPr>
      </w:pPr>
      <w:r w:rsidRPr="00881752">
        <w:rPr>
          <w:rFonts w:cs="Times New Roman"/>
          <w:szCs w:val="24"/>
          <w:lang w:val="en-US"/>
        </w:rPr>
        <w:t>[</w:t>
      </w:r>
      <w:r w:rsidRPr="00881752">
        <w:rPr>
          <w:rFonts w:cs="Times New Roman"/>
          <w:color w:val="008000"/>
          <w:szCs w:val="24"/>
          <w:lang w:val="en-US"/>
        </w:rPr>
        <w:t>Adverb</w:t>
      </w:r>
      <w:r w:rsidRPr="00881752">
        <w:rPr>
          <w:rFonts w:cs="Times New Roman"/>
          <w:szCs w:val="24"/>
          <w:lang w:val="en-US"/>
        </w:rPr>
        <w:t>/</w:t>
      </w:r>
      <w:r w:rsidRPr="00881752">
        <w:rPr>
          <w:rFonts w:cs="Times New Roman"/>
          <w:color w:val="FF0000"/>
          <w:szCs w:val="24"/>
          <w:lang w:val="en-US"/>
        </w:rPr>
        <w:t>Particle</w:t>
      </w:r>
      <w:r w:rsidRPr="00881752">
        <w:rPr>
          <w:rFonts w:cs="Times New Roman"/>
          <w:szCs w:val="24"/>
          <w:lang w:val="en-US"/>
        </w:rPr>
        <w:t>/</w:t>
      </w:r>
      <w:r w:rsidRPr="00881752">
        <w:rPr>
          <w:rFonts w:cs="Times New Roman"/>
          <w:color w:val="0000FF"/>
          <w:szCs w:val="24"/>
          <w:lang w:val="en-US"/>
        </w:rPr>
        <w:t>Preposition</w:t>
      </w:r>
      <w:r w:rsidRPr="00881752">
        <w:rPr>
          <w:rFonts w:cs="Times New Roman"/>
          <w:szCs w:val="24"/>
          <w:lang w:val="en-US"/>
        </w:rPr>
        <w:t xml:space="preserve"> + Noun] = e.g. </w:t>
      </w:r>
      <w:r w:rsidRPr="00881752">
        <w:rPr>
          <w:rFonts w:cs="Times New Roman"/>
          <w:color w:val="FF0000"/>
          <w:szCs w:val="24"/>
          <w:lang w:val="en-US"/>
        </w:rPr>
        <w:t>δυσ</w:t>
      </w:r>
      <w:r w:rsidRPr="00881752">
        <w:rPr>
          <w:rFonts w:cs="Times New Roman"/>
          <w:szCs w:val="24"/>
          <w:lang w:val="en-US"/>
        </w:rPr>
        <w:t xml:space="preserve">παίπαλος (Archil. fr. 210), </w:t>
      </w:r>
      <w:r w:rsidRPr="00881752">
        <w:rPr>
          <w:rFonts w:cs="Times New Roman"/>
          <w:color w:val="008000"/>
          <w:szCs w:val="24"/>
          <w:lang w:val="en-US"/>
        </w:rPr>
        <w:t>ἀντι</w:t>
      </w:r>
      <w:r w:rsidRPr="00881752">
        <w:rPr>
          <w:rFonts w:cs="Times New Roman"/>
          <w:szCs w:val="24"/>
          <w:lang w:val="en-US"/>
        </w:rPr>
        <w:t xml:space="preserve">κνήμιον (Hippon. fr. 39.6), </w:t>
      </w:r>
      <w:r w:rsidRPr="00881752">
        <w:rPr>
          <w:rFonts w:cs="Times New Roman"/>
          <w:color w:val="0000FF"/>
          <w:szCs w:val="24"/>
          <w:lang w:val="en-US"/>
        </w:rPr>
        <w:t>ἐπί</w:t>
      </w:r>
      <w:r w:rsidRPr="00881752">
        <w:rPr>
          <w:rFonts w:cs="Times New Roman"/>
          <w:szCs w:val="24"/>
          <w:lang w:val="en-US"/>
        </w:rPr>
        <w:t xml:space="preserve">βαθρος (Call. </w:t>
      </w:r>
      <w:r w:rsidRPr="00881752">
        <w:rPr>
          <w:rFonts w:cs="Times New Roman"/>
          <w:i/>
          <w:iCs/>
          <w:szCs w:val="24"/>
          <w:lang w:val="en-US"/>
        </w:rPr>
        <w:t>Ia.</w:t>
      </w:r>
      <w:r w:rsidRPr="00881752">
        <w:rPr>
          <w:rFonts w:cs="Times New Roman"/>
          <w:szCs w:val="24"/>
          <w:lang w:val="en-US"/>
        </w:rPr>
        <w:t xml:space="preserve"> 6.23) </w:t>
      </w:r>
    </w:p>
    <w:p w14:paraId="23C9E01A" w14:textId="77777777" w:rsidR="009C4864" w:rsidRPr="00881752" w:rsidRDefault="009C4864" w:rsidP="00881752">
      <w:pPr>
        <w:widowControl w:val="0"/>
        <w:numPr>
          <w:ilvl w:val="0"/>
          <w:numId w:val="38"/>
        </w:numPr>
        <w:tabs>
          <w:tab w:val="left" w:pos="360"/>
          <w:tab w:val="left" w:pos="720"/>
          <w:tab w:val="center" w:pos="5387"/>
        </w:tabs>
        <w:rPr>
          <w:rFonts w:cs="Times New Roman"/>
          <w:szCs w:val="24"/>
          <w:lang w:val="en-US"/>
        </w:rPr>
      </w:pPr>
      <w:r w:rsidRPr="00881752">
        <w:rPr>
          <w:rFonts w:cs="Times New Roman"/>
          <w:szCs w:val="24"/>
          <w:lang w:val="en-US"/>
        </w:rPr>
        <w:t xml:space="preserve">[Adjective + Noun] = i.e. μελάμπυγος (Archil. fr. 173), λευκόπεπλος (Hippon. fr. 51.1), πουλύμυθος (Call. </w:t>
      </w:r>
      <w:r w:rsidRPr="00881752">
        <w:rPr>
          <w:rFonts w:cs="Times New Roman"/>
          <w:i/>
          <w:iCs/>
          <w:szCs w:val="24"/>
          <w:lang w:val="en-US"/>
        </w:rPr>
        <w:t>Ia.</w:t>
      </w:r>
      <w:r w:rsidRPr="00881752">
        <w:rPr>
          <w:rFonts w:cs="Times New Roman"/>
          <w:szCs w:val="24"/>
          <w:lang w:val="en-US"/>
        </w:rPr>
        <w:t xml:space="preserve"> 2.14)</w:t>
      </w:r>
    </w:p>
    <w:p w14:paraId="12A6FBEC" w14:textId="77777777" w:rsidR="009C4864" w:rsidRPr="00881752" w:rsidRDefault="009C4864" w:rsidP="00881752">
      <w:pPr>
        <w:widowControl w:val="0"/>
        <w:numPr>
          <w:ilvl w:val="0"/>
          <w:numId w:val="38"/>
        </w:numPr>
        <w:tabs>
          <w:tab w:val="left" w:pos="360"/>
          <w:tab w:val="left" w:pos="720"/>
          <w:tab w:val="center" w:pos="5387"/>
        </w:tabs>
        <w:rPr>
          <w:rFonts w:cs="Times New Roman"/>
          <w:szCs w:val="24"/>
          <w:lang w:val="en-US"/>
        </w:rPr>
      </w:pPr>
      <w:r w:rsidRPr="00881752">
        <w:rPr>
          <w:rFonts w:cs="Times New Roman"/>
          <w:szCs w:val="24"/>
          <w:lang w:val="en-US"/>
        </w:rPr>
        <w:t xml:space="preserve">[Noun + Devarbative] = e.g. ὀτρυγηφάγος (Archil. fr. 180.3), θεόσυλις (Hippon. fr. 129a.1), οὑλαφηφόρος (Call. </w:t>
      </w:r>
      <w:r w:rsidRPr="00881752">
        <w:rPr>
          <w:rFonts w:cs="Times New Roman"/>
          <w:i/>
          <w:iCs/>
          <w:szCs w:val="24"/>
          <w:lang w:val="en-US"/>
        </w:rPr>
        <w:t xml:space="preserve">Ia. </w:t>
      </w:r>
      <w:r w:rsidRPr="00881752">
        <w:rPr>
          <w:rFonts w:cs="Times New Roman"/>
          <w:szCs w:val="24"/>
          <w:lang w:val="en-US"/>
        </w:rPr>
        <w:t>4.38)</w:t>
      </w:r>
    </w:p>
    <w:p w14:paraId="2B1B423C" w14:textId="77777777" w:rsidR="009C4864" w:rsidRPr="00881752" w:rsidRDefault="009C4864" w:rsidP="00881752">
      <w:pPr>
        <w:widowControl w:val="0"/>
        <w:numPr>
          <w:ilvl w:val="0"/>
          <w:numId w:val="38"/>
        </w:numPr>
        <w:tabs>
          <w:tab w:val="left" w:pos="360"/>
          <w:tab w:val="left" w:pos="714"/>
          <w:tab w:val="center" w:pos="5387"/>
        </w:tabs>
        <w:ind w:left="714" w:hanging="357"/>
        <w:rPr>
          <w:rFonts w:cs="Times New Roman"/>
          <w:szCs w:val="24"/>
          <w:lang w:val="en-US"/>
        </w:rPr>
      </w:pPr>
      <w:r w:rsidRPr="00881752">
        <w:rPr>
          <w:rFonts w:cs="Times New Roman"/>
          <w:szCs w:val="24"/>
          <w:lang w:val="en-US"/>
        </w:rPr>
        <w:t xml:space="preserve">[Verb + Noun] = e.g. λυσιμελής (Archil. fr. 212), ταραξίπους (Hippon. fr. 107.46), λίπουρος (Call. </w:t>
      </w:r>
      <w:r w:rsidRPr="00881752">
        <w:rPr>
          <w:rFonts w:cs="Times New Roman"/>
          <w:i/>
          <w:iCs/>
          <w:szCs w:val="24"/>
          <w:lang w:val="en-US"/>
        </w:rPr>
        <w:t>Ia.</w:t>
      </w:r>
      <w:r w:rsidRPr="00881752">
        <w:rPr>
          <w:rFonts w:cs="Times New Roman"/>
          <w:szCs w:val="24"/>
          <w:lang w:val="en-US"/>
        </w:rPr>
        <w:t xml:space="preserve"> 10b.2) </w:t>
      </w:r>
    </w:p>
    <w:p w14:paraId="4FC8C5CC" w14:textId="7FA6FCE3" w:rsidR="009C4864" w:rsidRPr="00881752" w:rsidRDefault="009C4864" w:rsidP="00F56C73">
      <w:pPr>
        <w:spacing w:after="120"/>
        <w:rPr>
          <w:rFonts w:cs="Times New Roman"/>
          <w:szCs w:val="24"/>
          <w:lang w:val="en-US"/>
        </w:rPr>
      </w:pPr>
      <w:r w:rsidRPr="00881752">
        <w:rPr>
          <w:rFonts w:cs="Times New Roman"/>
          <w:szCs w:val="24"/>
          <w:lang w:val="en-US"/>
        </w:rPr>
        <w:t>Among these, 2) is the most productive structure in Archilochus</w:t>
      </w:r>
      <w:r w:rsidR="00075F5F">
        <w:rPr>
          <w:rFonts w:cs="Times New Roman"/>
          <w:szCs w:val="24"/>
          <w:lang w:val="en-US"/>
        </w:rPr>
        <w:t>’</w:t>
      </w:r>
      <w:r w:rsidRPr="00881752">
        <w:rPr>
          <w:rFonts w:cs="Times New Roman"/>
          <w:szCs w:val="24"/>
          <w:lang w:val="en-US"/>
        </w:rPr>
        <w:t xml:space="preserve"> line, since 28.6% of his compound words reflect the structure [Adverb/Particle/Preposition + Deverbative]; Hipponax prefers to use the structure 5) [Noun + Deverbative] which constitutes 32.1% of his compound words; finally, Callimachus predominantly uses the structure 1) [Adverb/Particle/Preposition + Adjective], as 32.4% of the number of compound words in his </w:t>
      </w:r>
      <w:r w:rsidRPr="00881752">
        <w:rPr>
          <w:rFonts w:cs="Times New Roman"/>
          <w:i/>
          <w:iCs/>
          <w:szCs w:val="24"/>
          <w:lang w:val="en-US"/>
        </w:rPr>
        <w:t>Iambi</w:t>
      </w:r>
      <w:r w:rsidRPr="00881752">
        <w:rPr>
          <w:rFonts w:cs="Times New Roman"/>
          <w:szCs w:val="24"/>
          <w:lang w:val="en-US"/>
        </w:rPr>
        <w:t xml:space="preserve"> are built according to this structure. In the iambic corpus it is very rare to find cases of compound nouns whose internal structure is:</w:t>
      </w:r>
    </w:p>
    <w:p w14:paraId="64590051" w14:textId="77777777" w:rsidR="009C4864" w:rsidRPr="00881752" w:rsidRDefault="009C4864" w:rsidP="00881752">
      <w:pPr>
        <w:widowControl w:val="0"/>
        <w:numPr>
          <w:ilvl w:val="0"/>
          <w:numId w:val="38"/>
        </w:numPr>
        <w:tabs>
          <w:tab w:val="left" w:pos="360"/>
          <w:tab w:val="left" w:pos="714"/>
          <w:tab w:val="center" w:pos="5387"/>
        </w:tabs>
        <w:ind w:left="714" w:hanging="357"/>
        <w:rPr>
          <w:rFonts w:cs="Times New Roman"/>
          <w:szCs w:val="24"/>
          <w:lang w:val="en-US"/>
        </w:rPr>
      </w:pPr>
      <w:r w:rsidRPr="00881752">
        <w:rPr>
          <w:rFonts w:cs="Times New Roman"/>
          <w:szCs w:val="24"/>
          <w:lang w:val="en-US"/>
        </w:rPr>
        <w:t xml:space="preserve">[Preposition + Noun] = e.g. ἀμφικουρίη (Archil. fr. 135.9), διόζια (Hippon. fr. 95.5), ἐφεδρίς (Call. </w:t>
      </w:r>
      <w:r w:rsidRPr="00881752">
        <w:rPr>
          <w:rFonts w:cs="Times New Roman"/>
          <w:i/>
          <w:iCs/>
          <w:szCs w:val="24"/>
          <w:lang w:val="en-US"/>
        </w:rPr>
        <w:t>Ia.</w:t>
      </w:r>
      <w:r w:rsidRPr="00881752">
        <w:rPr>
          <w:rFonts w:cs="Times New Roman"/>
          <w:szCs w:val="24"/>
          <w:lang w:val="en-US"/>
        </w:rPr>
        <w:t xml:space="preserve"> 6.37)</w:t>
      </w:r>
    </w:p>
    <w:p w14:paraId="456E2221" w14:textId="314A8F5C" w:rsidR="009C4864" w:rsidRPr="00881752" w:rsidRDefault="009C4864" w:rsidP="00F56C73">
      <w:pPr>
        <w:spacing w:before="120" w:after="120"/>
        <w:rPr>
          <w:rFonts w:cs="Times New Roman"/>
          <w:szCs w:val="24"/>
          <w:lang w:val="en-US"/>
        </w:rPr>
      </w:pPr>
      <w:r w:rsidRPr="00881752">
        <w:rPr>
          <w:rFonts w:cs="Times New Roman"/>
          <w:szCs w:val="24"/>
          <w:lang w:val="en-US"/>
        </w:rPr>
        <w:t>Only Archilochus</w:t>
      </w:r>
      <w:r w:rsidR="00075F5F">
        <w:rPr>
          <w:rFonts w:cs="Times New Roman"/>
          <w:szCs w:val="24"/>
          <w:lang w:val="en-US"/>
        </w:rPr>
        <w:t>’</w:t>
      </w:r>
      <w:r w:rsidRPr="00881752">
        <w:rPr>
          <w:rFonts w:cs="Times New Roman"/>
          <w:szCs w:val="24"/>
          <w:lang w:val="en-US"/>
        </w:rPr>
        <w:t xml:space="preserve"> and Hipponax</w:t>
      </w:r>
      <w:r w:rsidR="00075F5F">
        <w:rPr>
          <w:rFonts w:cs="Times New Roman"/>
          <w:szCs w:val="24"/>
          <w:lang w:val="en-US"/>
        </w:rPr>
        <w:t>’</w:t>
      </w:r>
      <w:r w:rsidRPr="00881752">
        <w:rPr>
          <w:rFonts w:cs="Times New Roman"/>
          <w:szCs w:val="24"/>
          <w:lang w:val="en-US"/>
        </w:rPr>
        <w:t>s fragments include compound nouns which reflect the structure:</w:t>
      </w:r>
    </w:p>
    <w:p w14:paraId="2D202BC0" w14:textId="77777777" w:rsidR="009C4864" w:rsidRPr="00881752" w:rsidRDefault="009C4864" w:rsidP="00881752">
      <w:pPr>
        <w:widowControl w:val="0"/>
        <w:numPr>
          <w:ilvl w:val="0"/>
          <w:numId w:val="38"/>
        </w:numPr>
        <w:tabs>
          <w:tab w:val="left" w:pos="360"/>
          <w:tab w:val="left" w:pos="714"/>
          <w:tab w:val="center" w:pos="5387"/>
        </w:tabs>
        <w:ind w:left="714" w:hanging="357"/>
        <w:rPr>
          <w:rFonts w:cs="Times New Roman"/>
          <w:szCs w:val="24"/>
          <w:lang w:val="en-US"/>
        </w:rPr>
      </w:pPr>
      <w:r w:rsidRPr="00881752">
        <w:rPr>
          <w:rFonts w:cs="Times New Roman"/>
          <w:szCs w:val="24"/>
          <w:lang w:val="en-US"/>
        </w:rPr>
        <w:t xml:space="preserve"> [Noun + Noun] = κοκκύμηλον (Archil. fr. 250), ἐγγαστριμάχαιρα (Hippon. fr. 126.2).</w:t>
      </w:r>
    </w:p>
    <w:p w14:paraId="463B1D78" w14:textId="679769B1" w:rsidR="009C4864" w:rsidRPr="00881752" w:rsidRDefault="009C4864" w:rsidP="00F56C73">
      <w:pPr>
        <w:tabs>
          <w:tab w:val="clear" w:pos="425"/>
          <w:tab w:val="left" w:pos="426"/>
        </w:tabs>
        <w:spacing w:before="120"/>
        <w:rPr>
          <w:rFonts w:cs="Times New Roman"/>
          <w:szCs w:val="24"/>
          <w:lang w:val="en-US"/>
        </w:rPr>
      </w:pPr>
      <w:r w:rsidRPr="00881752">
        <w:rPr>
          <w:rFonts w:cs="Times New Roman"/>
          <w:szCs w:val="24"/>
          <w:lang w:val="en-US"/>
        </w:rPr>
        <w:lastRenderedPageBreak/>
        <w:t>From the semantic point of view (</w:t>
      </w:r>
      <w:r w:rsidRPr="00881752">
        <w:rPr>
          <w:rFonts w:cs="Times New Roman"/>
          <w:b/>
          <w:bCs/>
          <w:szCs w:val="24"/>
          <w:lang w:val="en-US"/>
        </w:rPr>
        <w:t>1</w:t>
      </w:r>
      <w:r w:rsidRPr="00881752">
        <w:rPr>
          <w:rFonts w:cs="Times New Roman"/>
          <w:szCs w:val="24"/>
          <w:lang w:val="en-US"/>
        </w:rPr>
        <w:t xml:space="preserve"> B.2), compound words play an important role in the iambic texts. The fact that they often occur in strongly representational passages is not random: compound words appear especially in contexts of invective, with the purpose of stressing a physical imperfection which often symbolises a more serious weakness of mind or behaviour. For example, Hipponax coins the compound κατωμόχανος </w:t>
      </w:r>
      <w:r w:rsidR="00CC0615">
        <w:rPr>
          <w:rFonts w:cs="Times New Roman"/>
          <w:szCs w:val="24"/>
          <w:lang w:val="en-US"/>
        </w:rPr>
        <w:t>“</w:t>
      </w:r>
      <w:r w:rsidRPr="00881752">
        <w:rPr>
          <w:rFonts w:cs="Times New Roman"/>
          <w:szCs w:val="24"/>
          <w:lang w:val="en-US"/>
        </w:rPr>
        <w:t>who gape open all the way to the shoulders</w:t>
      </w:r>
      <w:r w:rsidR="00CC0615">
        <w:rPr>
          <w:rFonts w:cs="Times New Roman"/>
          <w:szCs w:val="24"/>
          <w:lang w:val="en-US"/>
        </w:rPr>
        <w:t>”</w:t>
      </w:r>
      <w:r w:rsidRPr="00881752">
        <w:rPr>
          <w:rFonts w:cs="Times New Roman"/>
          <w:szCs w:val="24"/>
          <w:lang w:val="en-US"/>
        </w:rPr>
        <w:t xml:space="preserve"> and uses it to refers to Mimnes, when he is reproaching him for his lack of skill as painter. Hipponax</w:t>
      </w:r>
      <w:r w:rsidR="00075F5F">
        <w:rPr>
          <w:rFonts w:cs="Times New Roman"/>
          <w:szCs w:val="24"/>
          <w:lang w:val="en-US"/>
        </w:rPr>
        <w:t>’</w:t>
      </w:r>
      <w:r w:rsidRPr="00881752">
        <w:rPr>
          <w:rFonts w:cs="Times New Roman"/>
          <w:szCs w:val="24"/>
          <w:lang w:val="en-US"/>
        </w:rPr>
        <w:t>s κατωμόχανος is paradigmatic of the way in which iambic compound words play an important role in creating both a superimposition of images in the mind of the audience and an intertextual wire with other literary genres. Indeed, κατωμόχανος is generally explained as equivalent to κατ</w:t>
      </w:r>
      <w:r w:rsidR="00075F5F">
        <w:rPr>
          <w:rFonts w:cs="Times New Roman"/>
          <w:szCs w:val="24"/>
          <w:lang w:val="en-US"/>
        </w:rPr>
        <w:t>’</w:t>
      </w:r>
      <w:r w:rsidRPr="00881752">
        <w:rPr>
          <w:rFonts w:cs="Times New Roman"/>
          <w:szCs w:val="24"/>
          <w:lang w:val="en-US"/>
        </w:rPr>
        <w:t xml:space="preserve"> ὤμου χαίνων </w:t>
      </w:r>
      <w:r w:rsidR="00CC0615">
        <w:rPr>
          <w:rFonts w:cs="Times New Roman"/>
          <w:szCs w:val="24"/>
          <w:lang w:val="en-US"/>
        </w:rPr>
        <w:t>“</w:t>
      </w:r>
      <w:r w:rsidRPr="00881752">
        <w:rPr>
          <w:rFonts w:cs="Times New Roman"/>
          <w:szCs w:val="24"/>
          <w:lang w:val="en-US"/>
        </w:rPr>
        <w:t>gaping to the shoulders,</w:t>
      </w:r>
      <w:r w:rsidR="00CC0615">
        <w:rPr>
          <w:rFonts w:cs="Times New Roman"/>
          <w:szCs w:val="24"/>
          <w:lang w:val="en-US"/>
        </w:rPr>
        <w:t>”</w:t>
      </w:r>
      <w:r w:rsidRPr="00881752">
        <w:rPr>
          <w:rFonts w:cs="Times New Roman"/>
          <w:szCs w:val="24"/>
          <w:lang w:val="en-US"/>
        </w:rPr>
        <w:t xml:space="preserve"> and it is both a pun on Homeric κακομήχανος </w:t>
      </w:r>
      <w:r w:rsidR="00CC0615">
        <w:rPr>
          <w:rFonts w:cs="Times New Roman"/>
          <w:szCs w:val="24"/>
          <w:lang w:val="en-US"/>
        </w:rPr>
        <w:t>“</w:t>
      </w:r>
      <w:r w:rsidRPr="00881752">
        <w:rPr>
          <w:rFonts w:cs="Times New Roman"/>
          <w:szCs w:val="24"/>
          <w:lang w:val="en-US"/>
        </w:rPr>
        <w:t>contriver of evil</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Od</w:t>
      </w:r>
      <w:r w:rsidRPr="00881752">
        <w:rPr>
          <w:rFonts w:cs="Times New Roman"/>
          <w:szCs w:val="24"/>
          <w:lang w:val="en-US"/>
        </w:rPr>
        <w:t xml:space="preserve">. 16.418), and a hyperbobole of εὐρύπρωκτος </w:t>
      </w:r>
      <w:r w:rsidR="00CC0615">
        <w:rPr>
          <w:rFonts w:cs="Times New Roman"/>
          <w:szCs w:val="24"/>
          <w:lang w:val="en-US"/>
        </w:rPr>
        <w:t>“</w:t>
      </w:r>
      <w:r w:rsidRPr="00881752">
        <w:rPr>
          <w:rFonts w:cs="Times New Roman"/>
          <w:szCs w:val="24"/>
          <w:lang w:val="en-US"/>
        </w:rPr>
        <w:t>with a big rump.</w:t>
      </w:r>
      <w:r w:rsidR="00CC0615">
        <w:rPr>
          <w:rFonts w:cs="Times New Roman"/>
          <w:szCs w:val="24"/>
          <w:lang w:val="en-US"/>
        </w:rPr>
        <w:t>”</w:t>
      </w:r>
      <w:r w:rsidRPr="00881752">
        <w:rPr>
          <w:rStyle w:val="FootnoteReference"/>
          <w:rFonts w:cs="Times New Roman"/>
          <w:szCs w:val="24"/>
          <w:lang w:val="en-US"/>
        </w:rPr>
        <w:footnoteReference w:id="60"/>
      </w:r>
      <w:r w:rsidRPr="00881752">
        <w:rPr>
          <w:rFonts w:cs="Times New Roman"/>
          <w:szCs w:val="24"/>
          <w:lang w:val="en-US"/>
        </w:rPr>
        <w:t xml:space="preserve"> </w:t>
      </w:r>
    </w:p>
    <w:p w14:paraId="64E671B0" w14:textId="366CB0CC" w:rsidR="009C4864" w:rsidRPr="00881752" w:rsidRDefault="009C4864" w:rsidP="006D6997">
      <w:pPr>
        <w:tabs>
          <w:tab w:val="clear" w:pos="425"/>
          <w:tab w:val="left" w:pos="426"/>
        </w:tabs>
        <w:ind w:firstLine="426"/>
        <w:rPr>
          <w:rFonts w:cs="Times New Roman"/>
          <w:szCs w:val="24"/>
          <w:lang w:val="en-US"/>
        </w:rPr>
      </w:pPr>
      <w:r w:rsidRPr="00881752">
        <w:rPr>
          <w:rFonts w:cs="Times New Roman"/>
          <w:szCs w:val="24"/>
          <w:lang w:val="en-US"/>
        </w:rPr>
        <w:t xml:space="preserve">I suggest that iambic texts take particular advantage from the semantic power of compound words, since iambographers regard compositionality as the product of the continual complex interplay of variability and literary models. Indeed, they deal with compound words as multi-word chunks consisting of constituents which are bound together lexically and syntactically, but which are not fixed: therefore, compound words are a combination in which one constituent can be replaced, as shown for instance by λεωργός </w:t>
      </w:r>
      <w:r w:rsidR="00CC0615">
        <w:rPr>
          <w:rFonts w:cs="Times New Roman"/>
          <w:szCs w:val="24"/>
          <w:lang w:val="en-US"/>
        </w:rPr>
        <w:t>“</w:t>
      </w:r>
      <w:r w:rsidRPr="00881752">
        <w:rPr>
          <w:rFonts w:cs="Times New Roman"/>
          <w:szCs w:val="24"/>
          <w:lang w:val="en-US"/>
        </w:rPr>
        <w:t>villainous</w:t>
      </w:r>
      <w:r w:rsidR="00CC0615">
        <w:rPr>
          <w:rFonts w:cs="Times New Roman"/>
          <w:szCs w:val="24"/>
          <w:lang w:val="en-US"/>
        </w:rPr>
        <w:t>”</w:t>
      </w:r>
      <w:r w:rsidRPr="00881752">
        <w:rPr>
          <w:rFonts w:cs="Times New Roman"/>
          <w:szCs w:val="24"/>
          <w:lang w:val="en-US"/>
        </w:rPr>
        <w:t xml:space="preserve"> (Archil. fr. 174.3), which varies the first constituent of the more known εὐεργός </w:t>
      </w:r>
      <w:r w:rsidR="00CC0615">
        <w:rPr>
          <w:rFonts w:cs="Times New Roman"/>
          <w:szCs w:val="24"/>
          <w:lang w:val="en-US"/>
        </w:rPr>
        <w:t>“</w:t>
      </w:r>
      <w:r w:rsidRPr="00881752">
        <w:rPr>
          <w:rFonts w:cs="Times New Roman"/>
          <w:szCs w:val="24"/>
          <w:lang w:val="en-US"/>
        </w:rPr>
        <w:t>honest</w:t>
      </w:r>
      <w:r w:rsidR="00CC0615">
        <w:rPr>
          <w:rFonts w:cs="Times New Roman"/>
          <w:szCs w:val="24"/>
          <w:lang w:val="en-US"/>
        </w:rPr>
        <w:t>”</w:t>
      </w:r>
      <w:r w:rsidRPr="00881752">
        <w:rPr>
          <w:rFonts w:cs="Times New Roman"/>
          <w:szCs w:val="24"/>
          <w:lang w:val="en-US"/>
        </w:rPr>
        <w:t xml:space="preserve"> (cf. </w:t>
      </w:r>
      <w:r w:rsidRPr="00881752">
        <w:rPr>
          <w:rFonts w:cs="Times New Roman"/>
          <w:i/>
          <w:iCs/>
          <w:szCs w:val="24"/>
          <w:lang w:val="en-US"/>
        </w:rPr>
        <w:t>Od</w:t>
      </w:r>
      <w:r w:rsidRPr="00881752">
        <w:rPr>
          <w:rFonts w:cs="Times New Roman"/>
          <w:szCs w:val="24"/>
          <w:lang w:val="en-US"/>
        </w:rPr>
        <w:t xml:space="preserve">. 11.434, al.); or by ἐπτάφυλλος </w:t>
      </w:r>
      <w:r w:rsidR="00CC0615">
        <w:rPr>
          <w:rFonts w:cs="Times New Roman"/>
          <w:szCs w:val="24"/>
          <w:lang w:val="en-US"/>
        </w:rPr>
        <w:t>“</w:t>
      </w:r>
      <w:r w:rsidRPr="00881752">
        <w:rPr>
          <w:rFonts w:cs="Times New Roman"/>
          <w:szCs w:val="24"/>
          <w:lang w:val="en-US"/>
        </w:rPr>
        <w:t>seven-leaved</w:t>
      </w:r>
      <w:r w:rsidR="00CC0615">
        <w:rPr>
          <w:rFonts w:cs="Times New Roman"/>
          <w:szCs w:val="24"/>
          <w:lang w:val="en-US"/>
        </w:rPr>
        <w:t>”</w:t>
      </w:r>
      <w:r w:rsidRPr="00881752">
        <w:rPr>
          <w:rFonts w:cs="Times New Roman"/>
          <w:szCs w:val="24"/>
          <w:lang w:val="en-US"/>
        </w:rPr>
        <w:t xml:space="preserve"> (Hippon. fr. 107.48), which alters the second element of the better-known ἐπτά</w:t>
      </w:r>
      <w:r w:rsidR="009354D5">
        <w:rPr>
          <w:rFonts w:cs="Times New Roman"/>
          <w:szCs w:val="24"/>
          <w:lang w:val="el-GR"/>
        </w:rPr>
        <w:t>π</w:t>
      </w:r>
      <w:r w:rsidRPr="00881752">
        <w:rPr>
          <w:rFonts w:cs="Times New Roman"/>
          <w:szCs w:val="24"/>
          <w:lang w:val="en-US"/>
        </w:rPr>
        <w:t xml:space="preserve">υλος </w:t>
      </w:r>
      <w:r w:rsidR="00CC0615">
        <w:rPr>
          <w:rFonts w:cs="Times New Roman"/>
          <w:szCs w:val="24"/>
          <w:lang w:val="en-US"/>
        </w:rPr>
        <w:t>“</w:t>
      </w:r>
      <w:r w:rsidRPr="00881752">
        <w:rPr>
          <w:rFonts w:cs="Times New Roman"/>
          <w:szCs w:val="24"/>
          <w:lang w:val="en-US"/>
        </w:rPr>
        <w:t>with seven gates</w:t>
      </w:r>
      <w:r w:rsidR="00CC0615">
        <w:rPr>
          <w:rFonts w:cs="Times New Roman"/>
          <w:szCs w:val="24"/>
          <w:lang w:val="en-US"/>
        </w:rPr>
        <w:t>”</w:t>
      </w:r>
      <w:r w:rsidRPr="00881752">
        <w:rPr>
          <w:rFonts w:cs="Times New Roman"/>
          <w:szCs w:val="24"/>
          <w:lang w:val="en-US"/>
        </w:rPr>
        <w:t xml:space="preserve"> (cf. </w:t>
      </w:r>
      <w:r w:rsidRPr="00881752">
        <w:rPr>
          <w:rFonts w:cs="Times New Roman"/>
          <w:i/>
          <w:iCs/>
          <w:szCs w:val="24"/>
          <w:lang w:val="en-US"/>
        </w:rPr>
        <w:t>Il</w:t>
      </w:r>
      <w:r w:rsidRPr="00881752">
        <w:rPr>
          <w:rFonts w:cs="Times New Roman"/>
          <w:szCs w:val="24"/>
          <w:lang w:val="en-US"/>
        </w:rPr>
        <w:t xml:space="preserve">. 4.406; </w:t>
      </w:r>
      <w:r w:rsidRPr="00881752">
        <w:rPr>
          <w:rFonts w:cs="Times New Roman"/>
          <w:i/>
          <w:iCs/>
          <w:szCs w:val="24"/>
          <w:lang w:val="en-US"/>
        </w:rPr>
        <w:t>Od</w:t>
      </w:r>
      <w:r w:rsidRPr="00881752">
        <w:rPr>
          <w:rFonts w:cs="Times New Roman"/>
          <w:szCs w:val="24"/>
          <w:lang w:val="en-US"/>
        </w:rPr>
        <w:t xml:space="preserve">. 11.263). </w:t>
      </w:r>
    </w:p>
    <w:p w14:paraId="77A458C2" w14:textId="2F8B50A0" w:rsidR="009C4864" w:rsidRPr="00881752" w:rsidRDefault="009C4864" w:rsidP="006D6997">
      <w:pPr>
        <w:tabs>
          <w:tab w:val="clear" w:pos="425"/>
          <w:tab w:val="left" w:pos="426"/>
        </w:tabs>
        <w:ind w:firstLine="426"/>
        <w:rPr>
          <w:rFonts w:cs="Times New Roman"/>
          <w:szCs w:val="24"/>
          <w:lang w:val="en-US"/>
        </w:rPr>
      </w:pPr>
      <w:r w:rsidRPr="00881752">
        <w:rPr>
          <w:rFonts w:cs="Times New Roman"/>
          <w:szCs w:val="24"/>
          <w:lang w:val="en-US"/>
        </w:rPr>
        <w:t>Moreover, variability of compound words makes compositionality a scalar phenomenon at the level of literalness: for example, Callimachus</w:t>
      </w:r>
      <w:r w:rsidR="00075F5F">
        <w:rPr>
          <w:rFonts w:cs="Times New Roman"/>
          <w:szCs w:val="24"/>
          <w:lang w:val="en-US"/>
        </w:rPr>
        <w:t>’</w:t>
      </w:r>
      <w:r w:rsidRPr="00881752">
        <w:rPr>
          <w:rFonts w:cs="Times New Roman"/>
          <w:szCs w:val="24"/>
          <w:lang w:val="en-US"/>
        </w:rPr>
        <w:t xml:space="preserve"> ψιλοκόρσης (</w:t>
      </w:r>
      <w:r w:rsidRPr="00881752">
        <w:rPr>
          <w:rFonts w:cs="Times New Roman"/>
          <w:i/>
          <w:iCs/>
          <w:szCs w:val="24"/>
          <w:lang w:val="en-US"/>
        </w:rPr>
        <w:t>Ia.</w:t>
      </w:r>
      <w:r w:rsidRPr="00881752">
        <w:rPr>
          <w:rFonts w:cs="Times New Roman"/>
          <w:szCs w:val="24"/>
          <w:lang w:val="en-US"/>
        </w:rPr>
        <w:t xml:space="preserve"> 1.29) literally means </w:t>
      </w:r>
      <w:r w:rsidR="00CC0615">
        <w:rPr>
          <w:rFonts w:cs="Times New Roman"/>
          <w:szCs w:val="24"/>
          <w:lang w:val="en-US"/>
        </w:rPr>
        <w:t>“</w:t>
      </w:r>
      <w:r w:rsidRPr="00881752">
        <w:rPr>
          <w:rFonts w:cs="Times New Roman"/>
          <w:szCs w:val="24"/>
          <w:lang w:val="en-US"/>
        </w:rPr>
        <w:t>bald-headed,</w:t>
      </w:r>
      <w:r w:rsidR="00CC0615">
        <w:rPr>
          <w:rFonts w:cs="Times New Roman"/>
          <w:szCs w:val="24"/>
          <w:lang w:val="en-US"/>
        </w:rPr>
        <w:t>”</w:t>
      </w:r>
      <w:r w:rsidRPr="00881752">
        <w:rPr>
          <w:rFonts w:cs="Times New Roman"/>
          <w:szCs w:val="24"/>
          <w:lang w:val="en-US"/>
        </w:rPr>
        <w:t xml:space="preserve"> but it is highly probable the compound word alludes to easy-mindness. It is built with the adjective ψιλός </w:t>
      </w:r>
      <w:r w:rsidR="00CC0615">
        <w:rPr>
          <w:rFonts w:cs="Times New Roman"/>
          <w:szCs w:val="24"/>
          <w:lang w:val="en-US"/>
        </w:rPr>
        <w:t>“</w:t>
      </w:r>
      <w:r w:rsidRPr="00881752">
        <w:rPr>
          <w:rFonts w:cs="Times New Roman"/>
          <w:szCs w:val="24"/>
          <w:lang w:val="en-US"/>
        </w:rPr>
        <w:t>strip bare</w:t>
      </w:r>
      <w:r w:rsidR="00CC0615">
        <w:rPr>
          <w:rFonts w:cs="Times New Roman"/>
          <w:szCs w:val="24"/>
          <w:lang w:val="en-US"/>
        </w:rPr>
        <w:t>”</w:t>
      </w:r>
      <w:r w:rsidRPr="00881752">
        <w:rPr>
          <w:rFonts w:cs="Times New Roman"/>
          <w:szCs w:val="24"/>
          <w:lang w:val="en-US"/>
        </w:rPr>
        <w:t xml:space="preserve"> and the noun κόρση </w:t>
      </w:r>
      <w:r w:rsidR="00CC0615">
        <w:rPr>
          <w:rFonts w:cs="Times New Roman"/>
          <w:szCs w:val="24"/>
          <w:lang w:val="en-US"/>
        </w:rPr>
        <w:t>“</w:t>
      </w:r>
      <w:r w:rsidRPr="00881752">
        <w:rPr>
          <w:rFonts w:cs="Times New Roman"/>
          <w:szCs w:val="24"/>
          <w:lang w:val="en-US"/>
        </w:rPr>
        <w:t>head, hair,</w:t>
      </w:r>
      <w:r w:rsidR="00CC0615">
        <w:rPr>
          <w:rFonts w:cs="Times New Roman"/>
          <w:szCs w:val="24"/>
          <w:lang w:val="en-US"/>
        </w:rPr>
        <w:t>”</w:t>
      </w:r>
      <w:r w:rsidRPr="00881752">
        <w:rPr>
          <w:rFonts w:cs="Times New Roman"/>
          <w:szCs w:val="24"/>
          <w:lang w:val="en-US"/>
        </w:rPr>
        <w:t xml:space="preserve"> and the two roots have already been semantically connected by Hesiod, who writes ψίλωτο δὲ καλὰ κάρηνα </w:t>
      </w:r>
      <w:r w:rsidR="00CC0615">
        <w:rPr>
          <w:rFonts w:cs="Times New Roman"/>
          <w:szCs w:val="24"/>
          <w:lang w:val="en-US"/>
        </w:rPr>
        <w:t>“</w:t>
      </w:r>
      <w:r w:rsidRPr="00881752">
        <w:rPr>
          <w:rFonts w:cs="Times New Roman"/>
          <w:szCs w:val="24"/>
          <w:lang w:val="en-US"/>
        </w:rPr>
        <w:t>became bald</w:t>
      </w:r>
      <w:r w:rsidR="00CC0615">
        <w:rPr>
          <w:rFonts w:cs="Times New Roman"/>
          <w:szCs w:val="24"/>
          <w:lang w:val="en-US"/>
        </w:rPr>
        <w:t>”</w:t>
      </w:r>
      <w:r w:rsidRPr="00881752">
        <w:rPr>
          <w:rFonts w:cs="Times New Roman"/>
          <w:szCs w:val="24"/>
          <w:lang w:val="en-US"/>
        </w:rPr>
        <w:t xml:space="preserve"> (fr. 133.5). For this reason, a scholion to Call. </w:t>
      </w:r>
      <w:r w:rsidRPr="00881752">
        <w:rPr>
          <w:rFonts w:cs="Times New Roman"/>
          <w:i/>
          <w:iCs/>
          <w:szCs w:val="24"/>
          <w:lang w:val="en-US"/>
        </w:rPr>
        <w:t>Ia</w:t>
      </w:r>
      <w:r w:rsidRPr="00881752">
        <w:rPr>
          <w:rFonts w:cs="Times New Roman"/>
          <w:szCs w:val="24"/>
          <w:lang w:val="en-US"/>
        </w:rPr>
        <w:t xml:space="preserve">. 1.29 glosses ψιλοκόρσης as ψιλόκουρος </w:t>
      </w:r>
      <w:r w:rsidR="00CC0615">
        <w:rPr>
          <w:rFonts w:cs="Times New Roman"/>
          <w:szCs w:val="24"/>
          <w:lang w:val="en-US"/>
        </w:rPr>
        <w:t>“</w:t>
      </w:r>
      <w:r w:rsidRPr="00881752">
        <w:rPr>
          <w:rFonts w:cs="Times New Roman"/>
          <w:szCs w:val="24"/>
          <w:lang w:val="en-US"/>
        </w:rPr>
        <w:t>well-shaved, bald-headed</w:t>
      </w:r>
      <w:r w:rsidR="00CC0615">
        <w:rPr>
          <w:rFonts w:cs="Times New Roman"/>
          <w:szCs w:val="24"/>
          <w:lang w:val="en-US"/>
        </w:rPr>
        <w:t>”</w:t>
      </w:r>
      <w:r w:rsidRPr="00881752">
        <w:rPr>
          <w:rFonts w:cs="Times New Roman"/>
          <w:szCs w:val="24"/>
          <w:lang w:val="en-US"/>
        </w:rPr>
        <w:t xml:space="preserve">: it is worth noting that the scholiast makes a variation, since he replaces the Callimachean second member κόρση with the Ionic and Homeric more known word κούρη; Callimachus has already made a variation, since he preferred the prosaic κόρση to the epic κάρηνον used by </w:t>
      </w:r>
      <w:r w:rsidRPr="00881752">
        <w:rPr>
          <w:rFonts w:cs="Times New Roman"/>
          <w:szCs w:val="24"/>
          <w:lang w:val="en-US"/>
        </w:rPr>
        <w:lastRenderedPageBreak/>
        <w:t xml:space="preserve">Hesiod. Furthermore, Tzetzes, while commenting on two lines of Hesiod (μηδὲ γυνή σε νόον πυγοστόλος ἐξαπατάτω / αἱμύλα κωτίλλουσα, τεὴν διφῶσα καλιήν </w:t>
      </w:r>
      <w:r w:rsidR="00CC0615">
        <w:rPr>
          <w:rFonts w:cs="Times New Roman"/>
          <w:szCs w:val="24"/>
          <w:lang w:val="en-US"/>
        </w:rPr>
        <w:t>“</w:t>
      </w:r>
      <w:r w:rsidRPr="00881752">
        <w:rPr>
          <w:rFonts w:cs="Times New Roman"/>
          <w:szCs w:val="24"/>
          <w:lang w:val="en-US"/>
        </w:rPr>
        <w:t>do not let a flaunting woman coax and cozen and deceive you: she is after your barn,</w:t>
      </w:r>
      <w:r w:rsidR="00CC0615">
        <w:rPr>
          <w:rFonts w:cs="Times New Roman"/>
          <w:szCs w:val="24"/>
          <w:lang w:val="en-US"/>
        </w:rPr>
        <w:t>”</w:t>
      </w:r>
      <w:r w:rsidRPr="00881752">
        <w:rPr>
          <w:rFonts w:cs="Times New Roman"/>
          <w:i/>
          <w:iCs/>
          <w:szCs w:val="24"/>
          <w:lang w:val="en-US"/>
        </w:rPr>
        <w:t xml:space="preserve"> Op</w:t>
      </w:r>
      <w:r w:rsidRPr="00881752">
        <w:rPr>
          <w:rFonts w:cs="Times New Roman"/>
          <w:szCs w:val="24"/>
          <w:lang w:val="en-US"/>
        </w:rPr>
        <w:t>. 373-374), quotes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w:t>
      </w:r>
      <w:r w:rsidRPr="00881752">
        <w:rPr>
          <w:rFonts w:cs="Times New Roman"/>
          <w:szCs w:val="24"/>
          <w:lang w:val="en-US"/>
        </w:rPr>
        <w:t>. 1.29 and uses the compound word ψιλοκράνος (another variant made up with the noun κράνη) to describes the easy-mindness of the man who is deceived by his woman in Hesiod</w:t>
      </w:r>
      <w:r w:rsidR="00075F5F">
        <w:rPr>
          <w:rFonts w:cs="Times New Roman"/>
          <w:szCs w:val="24"/>
          <w:lang w:val="en-US"/>
        </w:rPr>
        <w:t>’</w:t>
      </w:r>
      <w:r w:rsidRPr="00881752">
        <w:rPr>
          <w:rFonts w:cs="Times New Roman"/>
          <w:szCs w:val="24"/>
          <w:lang w:val="en-US"/>
        </w:rPr>
        <w:t xml:space="preserve">s lines. These Hesiodic lines have a strongly iambic taste and this could have led Tzetzes to quote, as explanation, another iambic text, namely Call. </w:t>
      </w:r>
      <w:r w:rsidRPr="00881752">
        <w:rPr>
          <w:rFonts w:cs="Times New Roman"/>
          <w:i/>
          <w:iCs/>
          <w:szCs w:val="24"/>
          <w:lang w:val="en-US"/>
        </w:rPr>
        <w:t>Ia.</w:t>
      </w:r>
      <w:r w:rsidRPr="00881752">
        <w:rPr>
          <w:rFonts w:cs="Times New Roman"/>
          <w:szCs w:val="24"/>
          <w:lang w:val="en-US"/>
        </w:rPr>
        <w:t xml:space="preserve"> 1.29. Through this quotation, it is possible to infer that Callimachus</w:t>
      </w:r>
      <w:r w:rsidR="00075F5F">
        <w:rPr>
          <w:rFonts w:cs="Times New Roman"/>
          <w:szCs w:val="24"/>
          <w:lang w:val="en-US"/>
        </w:rPr>
        <w:t>’</w:t>
      </w:r>
      <w:r w:rsidRPr="00881752">
        <w:rPr>
          <w:rFonts w:cs="Times New Roman"/>
          <w:szCs w:val="24"/>
          <w:lang w:val="en-US"/>
        </w:rPr>
        <w:t xml:space="preserve"> ψιλοκόρσης has </w:t>
      </w:r>
      <w:r w:rsidR="00CC0615">
        <w:rPr>
          <w:rFonts w:cs="Times New Roman"/>
          <w:szCs w:val="24"/>
          <w:lang w:val="en-US"/>
        </w:rPr>
        <w:t>“</w:t>
      </w:r>
      <w:r w:rsidRPr="00881752">
        <w:rPr>
          <w:rFonts w:cs="Times New Roman"/>
          <w:szCs w:val="24"/>
          <w:lang w:val="en-US"/>
        </w:rPr>
        <w:t>easy-minded</w:t>
      </w:r>
      <w:r w:rsidR="00CC0615">
        <w:rPr>
          <w:rFonts w:cs="Times New Roman"/>
          <w:szCs w:val="24"/>
          <w:lang w:val="en-US"/>
        </w:rPr>
        <w:t>”</w:t>
      </w:r>
      <w:r w:rsidRPr="00881752">
        <w:rPr>
          <w:rFonts w:cs="Times New Roman"/>
          <w:szCs w:val="24"/>
          <w:lang w:val="en-US"/>
        </w:rPr>
        <w:t xml:space="preserve"> as a non-literal meaning. Therefore, variability of compositionality creates a complex phenomenon,</w:t>
      </w:r>
      <w:r w:rsidRPr="00881752">
        <w:rPr>
          <w:rStyle w:val="FootnoteReference"/>
          <w:rFonts w:cs="Times New Roman"/>
          <w:szCs w:val="24"/>
          <w:lang w:val="en-US"/>
        </w:rPr>
        <w:footnoteReference w:id="61"/>
      </w:r>
      <w:r w:rsidRPr="00881752">
        <w:rPr>
          <w:rFonts w:cs="Times New Roman"/>
          <w:szCs w:val="24"/>
          <w:lang w:val="en-US"/>
        </w:rPr>
        <w:t xml:space="preserve"> which plays with both literalness and literariness: one may suggest that when Callimachus invented the compound word ψιλοκόρσης he had in mind both Hesiodic passages, the one with the words καρήνα ψιλοῦμαι and the iambic lines which describe an easy-minded man. </w:t>
      </w:r>
    </w:p>
    <w:p w14:paraId="76EDF2EC" w14:textId="1B5E4558" w:rsidR="009C4864" w:rsidRPr="00881752" w:rsidRDefault="009C4864" w:rsidP="00965919">
      <w:pPr>
        <w:tabs>
          <w:tab w:val="clear" w:pos="425"/>
          <w:tab w:val="left" w:pos="426"/>
        </w:tabs>
        <w:ind w:firstLine="426"/>
        <w:rPr>
          <w:rFonts w:cs="Times New Roman"/>
          <w:szCs w:val="24"/>
          <w:lang w:val="en-US"/>
        </w:rPr>
      </w:pPr>
      <w:r w:rsidRPr="00881752">
        <w:rPr>
          <w:rFonts w:cs="Times New Roman"/>
          <w:szCs w:val="24"/>
          <w:lang w:val="en-US"/>
        </w:rPr>
        <w:t>However, we cannot know which degree of literalness Callimachus</w:t>
      </w:r>
      <w:r w:rsidR="00075F5F">
        <w:rPr>
          <w:rFonts w:cs="Times New Roman"/>
          <w:szCs w:val="24"/>
          <w:lang w:val="en-US"/>
        </w:rPr>
        <w:t>’</w:t>
      </w:r>
      <w:r w:rsidRPr="00881752">
        <w:rPr>
          <w:rFonts w:cs="Times New Roman"/>
          <w:szCs w:val="24"/>
          <w:lang w:val="en-US"/>
        </w:rPr>
        <w:t xml:space="preserve"> use of the compound word possessed, while we can be sure that Tzetzes</w:t>
      </w:r>
      <w:r w:rsidR="00075F5F">
        <w:rPr>
          <w:rFonts w:cs="Times New Roman"/>
          <w:szCs w:val="24"/>
          <w:lang w:val="en-US"/>
        </w:rPr>
        <w:t>’</w:t>
      </w:r>
      <w:r w:rsidRPr="00881752">
        <w:rPr>
          <w:rFonts w:cs="Times New Roman"/>
          <w:szCs w:val="24"/>
          <w:lang w:val="en-US"/>
        </w:rPr>
        <w:t xml:space="preserve"> gloss ψιλοκράνος is a fixed expression, both formally and semantically: Tzetzes calls ψιλοκράνος a man whose physical characteristics are unknown, hence he cannot use it with its literal meaning. The fact that he uses a compound word whose elements have no reference to the meaning which he hints</w:t>
      </w:r>
      <w:r w:rsidR="00E95AF7" w:rsidRPr="00881752">
        <w:rPr>
          <w:rFonts w:cs="Times New Roman"/>
          <w:szCs w:val="24"/>
          <w:lang w:val="en-US"/>
        </w:rPr>
        <w:t xml:space="preserve"> (easy-minded)</w:t>
      </w:r>
      <w:r w:rsidRPr="00881752">
        <w:rPr>
          <w:rFonts w:cs="Times New Roman"/>
          <w:szCs w:val="24"/>
          <w:lang w:val="en-US"/>
        </w:rPr>
        <w:t xml:space="preserve"> suggests that the form ψιλοκράνος is the common word to mean someone easy-minded. When compound words become not compositional, they are referred as idiomatic,</w:t>
      </w:r>
      <w:r w:rsidRPr="00881752">
        <w:rPr>
          <w:rStyle w:val="FootnoteReference"/>
          <w:rFonts w:cs="Times New Roman"/>
          <w:szCs w:val="24"/>
          <w:lang w:val="en-US"/>
        </w:rPr>
        <w:footnoteReference w:id="62"/>
      </w:r>
      <w:r w:rsidRPr="00881752">
        <w:rPr>
          <w:rFonts w:cs="Times New Roman"/>
          <w:szCs w:val="24"/>
          <w:lang w:val="en-US"/>
        </w:rPr>
        <w:t xml:space="preserve"> where idioms are </w:t>
      </w:r>
      <w:r w:rsidR="00CC0615">
        <w:rPr>
          <w:rFonts w:cs="Times New Roman"/>
          <w:szCs w:val="24"/>
          <w:lang w:val="en-US"/>
        </w:rPr>
        <w:t>“</w:t>
      </w:r>
      <w:r w:rsidRPr="00881752">
        <w:rPr>
          <w:rFonts w:cs="Times New Roman"/>
          <w:szCs w:val="24"/>
          <w:lang w:val="en-US"/>
        </w:rPr>
        <w:t>fixed syntactic constructions which are made up of words already in the lexicon, but which carry meaning independent of the meaning of their constituents.</w:t>
      </w:r>
      <w:r w:rsidR="00CC0615">
        <w:rPr>
          <w:rFonts w:cs="Times New Roman"/>
          <w:szCs w:val="24"/>
          <w:lang w:val="en-US"/>
        </w:rPr>
        <w:t>”</w:t>
      </w:r>
      <w:r w:rsidRPr="00881752">
        <w:rPr>
          <w:rStyle w:val="FootnoteReference"/>
          <w:rFonts w:cs="Times New Roman"/>
          <w:szCs w:val="24"/>
          <w:lang w:val="en-US"/>
        </w:rPr>
        <w:footnoteReference w:id="63"/>
      </w:r>
      <w:r w:rsidRPr="00881752">
        <w:rPr>
          <w:rFonts w:cs="Times New Roman"/>
          <w:szCs w:val="24"/>
          <w:lang w:val="en-US"/>
        </w:rPr>
        <w:t xml:space="preserve"> </w:t>
      </w:r>
    </w:p>
    <w:p w14:paraId="7D33CAB6" w14:textId="41679C6D" w:rsidR="007713D2" w:rsidRDefault="009C4864" w:rsidP="00965919">
      <w:pPr>
        <w:tabs>
          <w:tab w:val="clear" w:pos="425"/>
          <w:tab w:val="left" w:pos="426"/>
        </w:tabs>
        <w:ind w:firstLine="426"/>
        <w:rPr>
          <w:rFonts w:cs="Times New Roman"/>
          <w:szCs w:val="24"/>
          <w:lang w:val="en-US"/>
        </w:rPr>
      </w:pPr>
      <w:r w:rsidRPr="00881752">
        <w:rPr>
          <w:rFonts w:cs="Times New Roman"/>
          <w:szCs w:val="24"/>
          <w:lang w:val="en-US"/>
        </w:rPr>
        <w:t>I argue that iambic compound words were easily perceived by an ancient Greek audience as idiomatic expressions, rather than as variable literary expressions moving on the scale of compositionality between the two extremes of litera</w:t>
      </w:r>
      <w:r w:rsidR="00881752" w:rsidRPr="00881752">
        <w:rPr>
          <w:rFonts w:cs="Times New Roman"/>
          <w:szCs w:val="24"/>
          <w:lang w:val="en-US"/>
        </w:rPr>
        <w:t>l</w:t>
      </w:r>
      <w:r w:rsidRPr="00881752">
        <w:rPr>
          <w:rFonts w:cs="Times New Roman"/>
          <w:szCs w:val="24"/>
          <w:lang w:val="en-US"/>
        </w:rPr>
        <w:t>ness and metaphor. For example, Archilochus</w:t>
      </w:r>
      <w:r w:rsidR="00075F5F">
        <w:rPr>
          <w:rFonts w:cs="Times New Roman"/>
          <w:szCs w:val="24"/>
          <w:lang w:val="en-US"/>
        </w:rPr>
        <w:t>’</w:t>
      </w:r>
      <w:r w:rsidRPr="00881752">
        <w:rPr>
          <w:rFonts w:cs="Times New Roman"/>
          <w:szCs w:val="24"/>
          <w:lang w:val="en-US"/>
        </w:rPr>
        <w:t xml:space="preserve"> μελάμπυγος (fr. 173) literally means </w:t>
      </w:r>
      <w:r w:rsidR="00CC0615">
        <w:rPr>
          <w:rFonts w:cs="Times New Roman"/>
          <w:szCs w:val="24"/>
          <w:lang w:val="en-US"/>
        </w:rPr>
        <w:t>“</w:t>
      </w:r>
      <w:r w:rsidRPr="00881752">
        <w:rPr>
          <w:rFonts w:cs="Times New Roman"/>
          <w:szCs w:val="24"/>
          <w:lang w:val="en-US"/>
        </w:rPr>
        <w:t>black-bottomed,</w:t>
      </w:r>
      <w:r w:rsidR="00CC0615">
        <w:rPr>
          <w:rFonts w:cs="Times New Roman"/>
          <w:szCs w:val="24"/>
          <w:lang w:val="en-US"/>
        </w:rPr>
        <w:t>”</w:t>
      </w:r>
      <w:r w:rsidRPr="00881752">
        <w:rPr>
          <w:rFonts w:cs="Times New Roman"/>
          <w:szCs w:val="24"/>
          <w:lang w:val="en-US"/>
        </w:rPr>
        <w:t xml:space="preserve"> but in the context of the fragment it acquires the meaning of </w:t>
      </w:r>
      <w:r w:rsidR="00CC0615">
        <w:rPr>
          <w:rFonts w:cs="Times New Roman"/>
          <w:szCs w:val="24"/>
          <w:lang w:val="en-US"/>
        </w:rPr>
        <w:t>“</w:t>
      </w:r>
      <w:r w:rsidRPr="00881752">
        <w:rPr>
          <w:rFonts w:cs="Times New Roman"/>
          <w:szCs w:val="24"/>
          <w:lang w:val="en-US"/>
        </w:rPr>
        <w:t>powerful</w:t>
      </w:r>
      <w:r w:rsidR="00CC0615">
        <w:rPr>
          <w:rFonts w:cs="Times New Roman"/>
          <w:szCs w:val="24"/>
          <w:lang w:val="en-US"/>
        </w:rPr>
        <w:t>”</w:t>
      </w:r>
      <w:r w:rsidRPr="00881752">
        <w:rPr>
          <w:rFonts w:cs="Times New Roman"/>
          <w:szCs w:val="24"/>
          <w:lang w:val="en-US"/>
        </w:rPr>
        <w:t xml:space="preserve"> from a physical point of view. Archilochus</w:t>
      </w:r>
      <w:r w:rsidR="00075F5F">
        <w:rPr>
          <w:rFonts w:cs="Times New Roman"/>
          <w:szCs w:val="24"/>
          <w:lang w:val="en-US"/>
        </w:rPr>
        <w:t>’</w:t>
      </w:r>
      <w:r w:rsidRPr="00881752">
        <w:rPr>
          <w:rFonts w:cs="Times New Roman"/>
          <w:szCs w:val="24"/>
          <w:lang w:val="en-US"/>
        </w:rPr>
        <w:t xml:space="preserve"> fragment 173 reports the words of the fox (μὴ τευ μελαμπύγου τύχηις </w:t>
      </w:r>
      <w:r w:rsidR="00CC0615">
        <w:rPr>
          <w:rFonts w:cs="Times New Roman"/>
          <w:szCs w:val="24"/>
          <w:lang w:val="en-US"/>
        </w:rPr>
        <w:t>“</w:t>
      </w:r>
      <w:r w:rsidRPr="00881752">
        <w:rPr>
          <w:rFonts w:cs="Times New Roman"/>
          <w:szCs w:val="24"/>
          <w:lang w:val="en-US"/>
        </w:rPr>
        <w:t>lest you encounter one that is stronger</w:t>
      </w:r>
      <w:r w:rsidR="00CC0615">
        <w:rPr>
          <w:rFonts w:cs="Times New Roman"/>
          <w:szCs w:val="24"/>
          <w:lang w:val="en-US"/>
        </w:rPr>
        <w:t>”</w:t>
      </w:r>
      <w:r w:rsidRPr="00881752">
        <w:rPr>
          <w:rFonts w:cs="Times New Roman"/>
          <w:szCs w:val="24"/>
          <w:lang w:val="en-US"/>
        </w:rPr>
        <w:t>) warning the eagle that it may encounter one who is stronger (in this case, Zeus).</w:t>
      </w:r>
      <w:r w:rsidRPr="00881752">
        <w:rPr>
          <w:rStyle w:val="FootnoteReference"/>
          <w:rFonts w:cs="Times New Roman"/>
          <w:szCs w:val="24"/>
          <w:lang w:val="en-US"/>
        </w:rPr>
        <w:footnoteReference w:id="64"/>
      </w:r>
      <w:r w:rsidRPr="00881752">
        <w:rPr>
          <w:rFonts w:cs="Times New Roman"/>
          <w:szCs w:val="24"/>
          <w:lang w:val="en-US"/>
        </w:rPr>
        <w:t xml:space="preserve"> Indeed, Aristophanes uses Archilochus</w:t>
      </w:r>
      <w:r w:rsidR="00075F5F">
        <w:rPr>
          <w:rFonts w:cs="Times New Roman"/>
          <w:szCs w:val="24"/>
          <w:lang w:val="en-US"/>
        </w:rPr>
        <w:t>’</w:t>
      </w:r>
      <w:r w:rsidRPr="00881752">
        <w:rPr>
          <w:rFonts w:cs="Times New Roman"/>
          <w:szCs w:val="24"/>
          <w:lang w:val="en-US"/>
        </w:rPr>
        <w:t xml:space="preserve"> compound </w:t>
      </w:r>
      <w:r w:rsidRPr="00881752">
        <w:rPr>
          <w:rFonts w:cs="Times New Roman"/>
          <w:szCs w:val="24"/>
          <w:lang w:val="en-US"/>
        </w:rPr>
        <w:lastRenderedPageBreak/>
        <w:t xml:space="preserve">word: καὶ Μυρωνίδης γὰρ ἦν / […] μελάμπυ- / γός τε τοῖς ἐχθροῖς ἅπασιν </w:t>
      </w:r>
      <w:r w:rsidR="00CC0615">
        <w:rPr>
          <w:rFonts w:cs="Times New Roman"/>
          <w:szCs w:val="24"/>
          <w:lang w:val="en-US"/>
        </w:rPr>
        <w:t>“</w:t>
      </w:r>
      <w:r w:rsidRPr="00881752">
        <w:rPr>
          <w:rFonts w:cs="Times New Roman"/>
          <w:szCs w:val="24"/>
          <w:lang w:val="en-US"/>
        </w:rPr>
        <w:t>Myrónides, too, was [...] terribly stronger than all the enemies</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Lys</w:t>
      </w:r>
      <w:r w:rsidRPr="00881752">
        <w:rPr>
          <w:rFonts w:cs="Times New Roman"/>
          <w:szCs w:val="24"/>
          <w:lang w:val="en-US"/>
        </w:rPr>
        <w:t>. 801-803). The same semantic process is involved with Hipponax</w:t>
      </w:r>
      <w:r w:rsidR="00075F5F">
        <w:rPr>
          <w:rFonts w:cs="Times New Roman"/>
          <w:szCs w:val="24"/>
          <w:lang w:val="en-US"/>
        </w:rPr>
        <w:t>’</w:t>
      </w:r>
      <w:r w:rsidRPr="00881752">
        <w:rPr>
          <w:rFonts w:cs="Times New Roman"/>
          <w:szCs w:val="24"/>
          <w:lang w:val="en-US"/>
        </w:rPr>
        <w:t xml:space="preserve">s compound ποντοχάρυβδις </w:t>
      </w:r>
      <w:r w:rsidR="00CC0615">
        <w:rPr>
          <w:rFonts w:cs="Times New Roman"/>
          <w:szCs w:val="24"/>
          <w:lang w:val="en-US"/>
        </w:rPr>
        <w:t>“</w:t>
      </w:r>
      <w:r w:rsidRPr="00881752">
        <w:rPr>
          <w:rFonts w:cs="Times New Roman"/>
          <w:szCs w:val="24"/>
          <w:lang w:val="en-US"/>
        </w:rPr>
        <w:t>sea-Charybdis</w:t>
      </w:r>
      <w:r w:rsidR="00CC0615">
        <w:rPr>
          <w:rFonts w:cs="Times New Roman"/>
          <w:szCs w:val="24"/>
          <w:lang w:val="en-US"/>
        </w:rPr>
        <w:t>”</w:t>
      </w:r>
      <w:r w:rsidRPr="00881752">
        <w:rPr>
          <w:rFonts w:cs="Times New Roman"/>
          <w:szCs w:val="24"/>
          <w:lang w:val="en-US"/>
        </w:rPr>
        <w:t xml:space="preserve"> (fr. 126.1), which over time becomes a more colourful synonymous of </w:t>
      </w:r>
      <w:r w:rsidR="00CC0615">
        <w:rPr>
          <w:rFonts w:cs="Times New Roman"/>
          <w:szCs w:val="24"/>
          <w:lang w:val="en-US"/>
        </w:rPr>
        <w:t>“</w:t>
      </w:r>
      <w:r w:rsidRPr="00881752">
        <w:rPr>
          <w:rFonts w:cs="Times New Roman"/>
          <w:szCs w:val="24"/>
          <w:lang w:val="en-US"/>
        </w:rPr>
        <w:t>glutton.</w:t>
      </w:r>
      <w:r w:rsidR="00CC0615">
        <w:rPr>
          <w:rFonts w:cs="Times New Roman"/>
          <w:szCs w:val="24"/>
          <w:lang w:val="en-US"/>
        </w:rPr>
        <w:t>”</w:t>
      </w:r>
      <w:r w:rsidRPr="00881752">
        <w:rPr>
          <w:rStyle w:val="FootnoteReference"/>
          <w:rFonts w:cs="Times New Roman"/>
          <w:szCs w:val="24"/>
          <w:lang w:val="en-US"/>
        </w:rPr>
        <w:footnoteReference w:id="65"/>
      </w:r>
      <w:r w:rsidRPr="00881752">
        <w:rPr>
          <w:rFonts w:cs="Times New Roman"/>
          <w:szCs w:val="24"/>
          <w:lang w:val="en-US"/>
        </w:rPr>
        <w:t xml:space="preserve"> </w:t>
      </w:r>
    </w:p>
    <w:p w14:paraId="218D5008" w14:textId="07B810DE" w:rsidR="009C4864" w:rsidRPr="00881752" w:rsidRDefault="009C4864" w:rsidP="00965919">
      <w:pPr>
        <w:tabs>
          <w:tab w:val="clear" w:pos="425"/>
          <w:tab w:val="left" w:pos="426"/>
        </w:tabs>
        <w:ind w:firstLine="426"/>
        <w:rPr>
          <w:rFonts w:cs="Times New Roman"/>
          <w:szCs w:val="24"/>
          <w:lang w:val="en-US"/>
        </w:rPr>
      </w:pPr>
      <w:r w:rsidRPr="00881752">
        <w:rPr>
          <w:rFonts w:cs="Times New Roman"/>
          <w:szCs w:val="24"/>
          <w:lang w:val="en-US"/>
        </w:rPr>
        <w:t xml:space="preserve">I suggest that the crystallization of the metaphoric meaning in most of the iambic compound words is to a great extent due to the context in which most of them occur. Compound words are more frequent in invective contexts. This plays a crucial role in guiding their interpretation, as the concept of context, according to Kavka, comprises not only </w:t>
      </w:r>
      <w:r w:rsidR="00CC0615">
        <w:rPr>
          <w:rFonts w:cs="Times New Roman"/>
          <w:szCs w:val="24"/>
          <w:lang w:val="en-US"/>
        </w:rPr>
        <w:t>“</w:t>
      </w:r>
      <w:r w:rsidRPr="00881752">
        <w:rPr>
          <w:rFonts w:cs="Times New Roman"/>
          <w:szCs w:val="24"/>
          <w:lang w:val="en-US"/>
        </w:rPr>
        <w:t>verbal, linguistic context,</w:t>
      </w:r>
      <w:r w:rsidR="00CC0615">
        <w:rPr>
          <w:rFonts w:cs="Times New Roman"/>
          <w:szCs w:val="24"/>
          <w:lang w:val="en-US"/>
        </w:rPr>
        <w:t>”</w:t>
      </w:r>
      <w:r w:rsidRPr="00881752">
        <w:rPr>
          <w:rFonts w:cs="Times New Roman"/>
          <w:szCs w:val="24"/>
          <w:lang w:val="en-US"/>
        </w:rPr>
        <w:t xml:space="preserve"> or </w:t>
      </w:r>
      <w:r w:rsidR="00CC0615">
        <w:rPr>
          <w:rFonts w:cs="Times New Roman"/>
          <w:szCs w:val="24"/>
          <w:lang w:val="en-US"/>
        </w:rPr>
        <w:t>“</w:t>
      </w:r>
      <w:r w:rsidRPr="00881752">
        <w:rPr>
          <w:rFonts w:cs="Times New Roman"/>
          <w:szCs w:val="24"/>
          <w:lang w:val="en-US"/>
        </w:rPr>
        <w:t>co-text,</w:t>
      </w:r>
      <w:r w:rsidR="00CC0615">
        <w:rPr>
          <w:rFonts w:cs="Times New Roman"/>
          <w:szCs w:val="24"/>
          <w:lang w:val="en-US"/>
        </w:rPr>
        <w:t>”</w:t>
      </w:r>
      <w:r w:rsidRPr="00881752">
        <w:rPr>
          <w:rFonts w:cs="Times New Roman"/>
          <w:szCs w:val="24"/>
          <w:lang w:val="en-US"/>
        </w:rPr>
        <w:t xml:space="preserve"> but also the so-called </w:t>
      </w:r>
      <w:r w:rsidR="00CC0615">
        <w:rPr>
          <w:rFonts w:cs="Times New Roman"/>
          <w:szCs w:val="24"/>
          <w:lang w:val="en-US"/>
        </w:rPr>
        <w:t>“</w:t>
      </w:r>
      <w:r w:rsidRPr="00881752">
        <w:rPr>
          <w:rFonts w:cs="Times New Roman"/>
          <w:szCs w:val="24"/>
          <w:lang w:val="en-US"/>
        </w:rPr>
        <w:t>context of situation,</w:t>
      </w:r>
      <w:r w:rsidR="00CC0615">
        <w:rPr>
          <w:rFonts w:cs="Times New Roman"/>
          <w:szCs w:val="24"/>
          <w:lang w:val="en-US"/>
        </w:rPr>
        <w:t>”</w:t>
      </w:r>
      <w:r w:rsidRPr="00881752">
        <w:rPr>
          <w:rFonts w:cs="Times New Roman"/>
          <w:szCs w:val="24"/>
          <w:lang w:val="en-US"/>
        </w:rPr>
        <w:t xml:space="preserve"> or </w:t>
      </w:r>
      <w:r w:rsidR="00CC0615">
        <w:rPr>
          <w:rFonts w:cs="Times New Roman"/>
          <w:szCs w:val="24"/>
          <w:lang w:val="en-US"/>
        </w:rPr>
        <w:t>“</w:t>
      </w:r>
      <w:r w:rsidRPr="00881752">
        <w:rPr>
          <w:rFonts w:cs="Times New Roman"/>
          <w:szCs w:val="24"/>
          <w:lang w:val="en-US"/>
        </w:rPr>
        <w:t>co-situation,</w:t>
      </w:r>
      <w:r w:rsidR="00CC0615">
        <w:rPr>
          <w:rFonts w:cs="Times New Roman"/>
          <w:szCs w:val="24"/>
          <w:lang w:val="en-US"/>
        </w:rPr>
        <w:t>”</w:t>
      </w:r>
      <w:r w:rsidRPr="00881752">
        <w:rPr>
          <w:rStyle w:val="FootnoteReference"/>
          <w:rFonts w:cs="Times New Roman"/>
          <w:szCs w:val="24"/>
          <w:lang w:val="en-US"/>
        </w:rPr>
        <w:footnoteReference w:id="66"/>
      </w:r>
      <w:r w:rsidRPr="00881752">
        <w:rPr>
          <w:rFonts w:cs="Times New Roman"/>
          <w:szCs w:val="24"/>
          <w:lang w:val="en-US"/>
        </w:rPr>
        <w:t xml:space="preserve"> </w:t>
      </w:r>
      <w:r w:rsidR="00CC0615">
        <w:rPr>
          <w:rFonts w:cs="Times New Roman"/>
          <w:szCs w:val="24"/>
          <w:lang w:val="en-US"/>
        </w:rPr>
        <w:t>“</w:t>
      </w:r>
      <w:r w:rsidRPr="00881752">
        <w:rPr>
          <w:rFonts w:cs="Times New Roman"/>
          <w:szCs w:val="24"/>
          <w:lang w:val="en-US"/>
        </w:rPr>
        <w:t>which involves phenomena connected with the cultural background, including speakers</w:t>
      </w:r>
      <w:r w:rsidR="00075F5F">
        <w:rPr>
          <w:rFonts w:cs="Times New Roman"/>
          <w:szCs w:val="24"/>
          <w:lang w:val="en-US"/>
        </w:rPr>
        <w:t>’</w:t>
      </w:r>
      <w:r w:rsidRPr="00881752">
        <w:rPr>
          <w:rFonts w:cs="Times New Roman"/>
          <w:szCs w:val="24"/>
          <w:lang w:val="en-US"/>
        </w:rPr>
        <w:t xml:space="preserve"> current knowledge of the external world.</w:t>
      </w:r>
      <w:r w:rsidR="00CC0615">
        <w:rPr>
          <w:rFonts w:cs="Times New Roman"/>
          <w:szCs w:val="24"/>
          <w:lang w:val="en-US"/>
        </w:rPr>
        <w:t>”</w:t>
      </w:r>
      <w:r w:rsidRPr="00881752">
        <w:rPr>
          <w:rStyle w:val="FootnoteReference"/>
          <w:rFonts w:cs="Times New Roman"/>
          <w:szCs w:val="24"/>
          <w:lang w:val="en-US"/>
        </w:rPr>
        <w:footnoteReference w:id="67"/>
      </w:r>
      <w:r w:rsidRPr="00881752">
        <w:rPr>
          <w:rFonts w:cs="Times New Roman"/>
          <w:szCs w:val="24"/>
          <w:lang w:val="en-US"/>
        </w:rPr>
        <w:t xml:space="preserve"> Therefore, it is likely that iambic audience was able to go beyond the literal meaning of the compound and to translate it into a corresponding common word, usually a more generic insult. But not all iambic compound words have the same intensity. That is, not all of them carry the same powerful iambic significance. Therefore, the list of compound words collected from Archilochus</w:t>
      </w:r>
      <w:r w:rsidR="00075F5F">
        <w:rPr>
          <w:rFonts w:cs="Times New Roman"/>
          <w:szCs w:val="24"/>
          <w:lang w:val="en-US"/>
        </w:rPr>
        <w:t>’</w:t>
      </w:r>
      <w:r w:rsidRPr="00881752">
        <w:rPr>
          <w:rFonts w:cs="Times New Roman"/>
          <w:szCs w:val="24"/>
          <w:lang w:val="en-US"/>
        </w:rPr>
        <w:t>, Hipponax</w:t>
      </w:r>
      <w:r w:rsidR="00075F5F">
        <w:rPr>
          <w:rFonts w:cs="Times New Roman"/>
          <w:szCs w:val="24"/>
          <w:lang w:val="en-US"/>
        </w:rPr>
        <w:t>’</w:t>
      </w:r>
      <w:r w:rsidRPr="00881752">
        <w:rPr>
          <w:rFonts w:cs="Times New Roman"/>
          <w:szCs w:val="24"/>
          <w:lang w:val="en-US"/>
        </w:rPr>
        <w:t>, and Callimachus</w:t>
      </w:r>
      <w:r w:rsidR="00075F5F">
        <w:rPr>
          <w:rFonts w:cs="Times New Roman"/>
          <w:szCs w:val="24"/>
          <w:lang w:val="en-US"/>
        </w:rPr>
        <w:t>’</w:t>
      </w:r>
      <w:r w:rsidRPr="00881752">
        <w:rPr>
          <w:rFonts w:cs="Times New Roman"/>
          <w:szCs w:val="24"/>
          <w:lang w:val="en-US"/>
        </w:rPr>
        <w:t xml:space="preserve"> iambs does not constitute a homogeneous set of words.</w:t>
      </w:r>
    </w:p>
    <w:p w14:paraId="51797927" w14:textId="78A031F4" w:rsidR="00E27B4B" w:rsidRPr="00881752" w:rsidRDefault="009C4864" w:rsidP="00965919">
      <w:pPr>
        <w:tabs>
          <w:tab w:val="clear" w:pos="425"/>
          <w:tab w:val="left" w:pos="426"/>
        </w:tabs>
        <w:ind w:firstLine="425"/>
        <w:rPr>
          <w:rFonts w:cs="Times New Roman"/>
          <w:szCs w:val="24"/>
          <w:lang w:val="en-US"/>
        </w:rPr>
      </w:pPr>
      <w:r w:rsidRPr="00881752">
        <w:rPr>
          <w:rFonts w:cs="Times New Roman"/>
          <w:szCs w:val="24"/>
          <w:lang w:val="en-US"/>
        </w:rPr>
        <w:t>It seems useful to distinguish two large sub-sets within the compound words which occur in iambic texts, pre-existing compound words (</w:t>
      </w:r>
      <w:r w:rsidRPr="00881752">
        <w:rPr>
          <w:rFonts w:cs="Times New Roman"/>
          <w:b/>
          <w:bCs/>
          <w:szCs w:val="24"/>
          <w:lang w:val="en-US"/>
        </w:rPr>
        <w:t>1</w:t>
      </w:r>
      <w:r w:rsidRPr="00881752">
        <w:rPr>
          <w:rFonts w:cs="Times New Roman"/>
          <w:szCs w:val="24"/>
          <w:lang w:val="en-US"/>
        </w:rPr>
        <w:t xml:space="preserve"> B.4) and the iambic new ones (</w:t>
      </w:r>
      <w:r w:rsidRPr="00881752">
        <w:rPr>
          <w:rFonts w:cs="Times New Roman"/>
          <w:b/>
          <w:bCs/>
          <w:szCs w:val="24"/>
          <w:lang w:val="en-US"/>
        </w:rPr>
        <w:t>1</w:t>
      </w:r>
      <w:r w:rsidRPr="00881752">
        <w:rPr>
          <w:rFonts w:cs="Times New Roman"/>
          <w:szCs w:val="24"/>
          <w:lang w:val="en-US"/>
        </w:rPr>
        <w:t xml:space="preserve"> B.5). One important consideration in this regard: in my categorisation, there may be a significant margin of error. The compound words which appear in my iambic corpus and nowhere else in the Greek literary texts </w:t>
      </w:r>
      <w:r w:rsidR="00075F5F">
        <w:rPr>
          <w:rFonts w:cs="Times New Roman"/>
          <w:szCs w:val="24"/>
          <w:lang w:val="en-US"/>
        </w:rPr>
        <w:t>–</w:t>
      </w:r>
      <w:r w:rsidRPr="00881752">
        <w:rPr>
          <w:rFonts w:cs="Times New Roman"/>
          <w:szCs w:val="24"/>
          <w:lang w:val="en-US"/>
        </w:rPr>
        <w:t xml:space="preserve"> and which, consequently, I label </w:t>
      </w:r>
      <w:r w:rsidR="00CC0615">
        <w:rPr>
          <w:rFonts w:cs="Times New Roman"/>
          <w:szCs w:val="24"/>
          <w:lang w:val="en-US"/>
        </w:rPr>
        <w:t>“</w:t>
      </w:r>
      <w:r w:rsidRPr="00881752">
        <w:rPr>
          <w:rFonts w:cs="Times New Roman"/>
          <w:szCs w:val="24"/>
          <w:lang w:val="en-US"/>
        </w:rPr>
        <w:t>new compound</w:t>
      </w:r>
      <w:r w:rsidR="00CC0615">
        <w:rPr>
          <w:rFonts w:cs="Times New Roman"/>
          <w:szCs w:val="24"/>
          <w:lang w:val="en-US"/>
        </w:rPr>
        <w:t>”</w:t>
      </w:r>
      <w:r w:rsidRPr="00881752">
        <w:rPr>
          <w:rFonts w:cs="Times New Roman"/>
          <w:szCs w:val="24"/>
          <w:lang w:val="en-US"/>
        </w:rPr>
        <w:t xml:space="preserve"> </w:t>
      </w:r>
      <w:r w:rsidR="00075F5F">
        <w:rPr>
          <w:rFonts w:cs="Times New Roman"/>
          <w:szCs w:val="24"/>
          <w:lang w:val="en-US"/>
        </w:rPr>
        <w:t>–</w:t>
      </w:r>
      <w:r w:rsidRPr="00881752">
        <w:rPr>
          <w:rFonts w:cs="Times New Roman"/>
          <w:szCs w:val="24"/>
          <w:lang w:val="en-US"/>
        </w:rPr>
        <w:t xml:space="preserve"> could have occurred also in hexameter poems that are now lost. Pre-existing compounds are those words which were not expressly created for iambic poetry, but which appear also in other genres: these compounds belong to the traditional language of poetry, particularly that of hexameter poetry, and are borrowed by the iambographers. The comic effect of these pre-existing compounds resides in the contrast between their original usage and the contexts into which they are inserted, since the context is very different (typically of lower register) from the original and expected one. The contextual dissonance causes first disorientation in the audience</w:t>
      </w:r>
      <w:r w:rsidR="00075F5F">
        <w:rPr>
          <w:rFonts w:cs="Times New Roman"/>
          <w:szCs w:val="24"/>
          <w:lang w:val="en-US"/>
        </w:rPr>
        <w:t>’</w:t>
      </w:r>
      <w:r w:rsidRPr="00881752">
        <w:rPr>
          <w:rFonts w:cs="Times New Roman"/>
          <w:szCs w:val="24"/>
          <w:lang w:val="en-US"/>
        </w:rPr>
        <w:t xml:space="preserve">s mind, and then produces irony. </w:t>
      </w:r>
    </w:p>
    <w:p w14:paraId="454405F8" w14:textId="6EDB8094" w:rsidR="009C4864" w:rsidRPr="00881752" w:rsidRDefault="009C4864" w:rsidP="007D78E3">
      <w:pPr>
        <w:tabs>
          <w:tab w:val="clear" w:pos="425"/>
          <w:tab w:val="left" w:pos="426"/>
        </w:tabs>
        <w:ind w:firstLine="425"/>
        <w:rPr>
          <w:rFonts w:cs="Times New Roman"/>
          <w:szCs w:val="24"/>
          <w:lang w:val="en-US"/>
        </w:rPr>
      </w:pPr>
      <w:r w:rsidRPr="00881752">
        <w:rPr>
          <w:rFonts w:cs="Times New Roman"/>
          <w:szCs w:val="24"/>
          <w:lang w:val="en-US"/>
        </w:rPr>
        <w:lastRenderedPageBreak/>
        <w:t>For instance, Archilochus</w:t>
      </w:r>
      <w:r w:rsidR="00075F5F">
        <w:rPr>
          <w:rFonts w:cs="Times New Roman"/>
          <w:szCs w:val="24"/>
          <w:lang w:val="en-US"/>
        </w:rPr>
        <w:t>’</w:t>
      </w:r>
      <w:r w:rsidRPr="00881752">
        <w:rPr>
          <w:rFonts w:cs="Times New Roman"/>
          <w:szCs w:val="24"/>
          <w:lang w:val="en-US"/>
        </w:rPr>
        <w:t xml:space="preserve"> fr. 44.3 shows the compound προβλής </w:t>
      </w:r>
      <w:r w:rsidR="00CC0615">
        <w:rPr>
          <w:rFonts w:cs="Times New Roman"/>
          <w:szCs w:val="24"/>
          <w:lang w:val="en-US"/>
        </w:rPr>
        <w:t>“</w:t>
      </w:r>
      <w:r w:rsidRPr="00881752">
        <w:rPr>
          <w:rFonts w:cs="Times New Roman"/>
          <w:szCs w:val="24"/>
          <w:lang w:val="en-US"/>
        </w:rPr>
        <w:t>thrown forward</w:t>
      </w:r>
      <w:r w:rsidR="00CC0615">
        <w:rPr>
          <w:rFonts w:cs="Times New Roman"/>
          <w:szCs w:val="24"/>
          <w:lang w:val="en-US"/>
        </w:rPr>
        <w:t>”</w:t>
      </w:r>
      <w:r w:rsidRPr="00881752">
        <w:rPr>
          <w:rFonts w:cs="Times New Roman"/>
          <w:szCs w:val="24"/>
          <w:lang w:val="en-US"/>
        </w:rPr>
        <w:t xml:space="preserve"> which belongs to the language of epic, as it appears in </w:t>
      </w:r>
      <w:r w:rsidRPr="00881752">
        <w:rPr>
          <w:rFonts w:cs="Times New Roman"/>
          <w:i/>
          <w:iCs/>
          <w:szCs w:val="24"/>
          <w:lang w:val="en-US"/>
        </w:rPr>
        <w:t>Il</w:t>
      </w:r>
      <w:r w:rsidRPr="00881752">
        <w:rPr>
          <w:rFonts w:cs="Times New Roman"/>
          <w:szCs w:val="24"/>
          <w:lang w:val="en-US"/>
        </w:rPr>
        <w:t>. 16.407. In both cases, the compound word is an adjective of the noun πέτρη: Archilochus says πέτρης</w:t>
      </w:r>
      <w:r w:rsidR="00E27B4B" w:rsidRPr="00881752">
        <w:rPr>
          <w:rFonts w:cs="Times New Roman"/>
          <w:szCs w:val="24"/>
          <w:lang w:val="en-US"/>
        </w:rPr>
        <w:t xml:space="preserve"> </w:t>
      </w:r>
      <w:r w:rsidRPr="00881752">
        <w:rPr>
          <w:rFonts w:cs="Times New Roman"/>
          <w:szCs w:val="24"/>
          <w:lang w:val="en-US"/>
        </w:rPr>
        <w:t>ἐπὶ</w:t>
      </w:r>
      <w:r w:rsidR="00E27B4B" w:rsidRPr="00881752">
        <w:rPr>
          <w:rFonts w:cs="Times New Roman"/>
          <w:szCs w:val="24"/>
          <w:lang w:val="en-US"/>
        </w:rPr>
        <w:t xml:space="preserve"> </w:t>
      </w:r>
      <w:r w:rsidRPr="00881752">
        <w:rPr>
          <w:rFonts w:cs="Times New Roman"/>
          <w:szCs w:val="24"/>
          <w:lang w:val="en-US"/>
        </w:rPr>
        <w:t>προβλῆτος</w:t>
      </w:r>
      <w:r w:rsidR="00E27B4B" w:rsidRPr="00881752">
        <w:rPr>
          <w:rFonts w:cs="Times New Roman"/>
          <w:szCs w:val="24"/>
          <w:lang w:val="en-US"/>
        </w:rPr>
        <w:t xml:space="preserve">   </w:t>
      </w:r>
      <w:r w:rsidRPr="00881752">
        <w:rPr>
          <w:rFonts w:cs="Times New Roman"/>
          <w:szCs w:val="24"/>
          <w:lang w:val="en-US"/>
        </w:rPr>
        <w:t xml:space="preserve">ἀπτερύσσετο </w:t>
      </w:r>
      <w:r w:rsidR="00CC0615">
        <w:rPr>
          <w:rFonts w:cs="Times New Roman"/>
          <w:szCs w:val="24"/>
          <w:lang w:val="en-US"/>
        </w:rPr>
        <w:t>“</w:t>
      </w:r>
      <w:r w:rsidRPr="00881752">
        <w:rPr>
          <w:rFonts w:cs="Times New Roman"/>
          <w:szCs w:val="24"/>
          <w:lang w:val="en-US"/>
        </w:rPr>
        <w:t>flapped on a protruding rock</w:t>
      </w:r>
      <w:r w:rsidR="00CC0615">
        <w:rPr>
          <w:rFonts w:cs="Times New Roman"/>
          <w:szCs w:val="24"/>
          <w:lang w:val="en-US"/>
        </w:rPr>
        <w:t>”</w:t>
      </w:r>
      <w:r w:rsidRPr="00881752">
        <w:rPr>
          <w:rFonts w:cs="Times New Roman"/>
          <w:szCs w:val="24"/>
          <w:lang w:val="en-US"/>
        </w:rPr>
        <w:t xml:space="preserve"> (fr. 44.3); and </w:t>
      </w:r>
      <w:r w:rsidRPr="00881752">
        <w:rPr>
          <w:rFonts w:cs="Times New Roman"/>
          <w:i/>
          <w:iCs/>
          <w:szCs w:val="24"/>
          <w:lang w:val="en-US"/>
        </w:rPr>
        <w:t>Il</w:t>
      </w:r>
      <w:r w:rsidRPr="00881752">
        <w:rPr>
          <w:rFonts w:cs="Times New Roman"/>
          <w:szCs w:val="24"/>
          <w:lang w:val="en-US"/>
        </w:rPr>
        <w:t xml:space="preserve">. 16.407 says ὡς ὅτε τις φὼς / πέτρῃ ἔπι προβλῆτι καθήμενος ἱερὸν ἰχθὺν / ἐκ πόντοιο θύραζε </w:t>
      </w:r>
      <w:r w:rsidR="00CC0615">
        <w:rPr>
          <w:rFonts w:cs="Times New Roman"/>
          <w:szCs w:val="24"/>
          <w:lang w:val="en-US"/>
        </w:rPr>
        <w:t>“</w:t>
      </w:r>
      <w:r w:rsidRPr="00881752">
        <w:rPr>
          <w:rFonts w:cs="Times New Roman"/>
          <w:szCs w:val="24"/>
          <w:lang w:val="en-US"/>
        </w:rPr>
        <w:t>as when a man sitting on a jutting rock drags to land a sacred fish from the sea.</w:t>
      </w:r>
      <w:r w:rsidR="00CC0615">
        <w:rPr>
          <w:rFonts w:cs="Times New Roman"/>
          <w:szCs w:val="24"/>
          <w:lang w:val="en-US"/>
        </w:rPr>
        <w:t>”</w:t>
      </w:r>
      <w:r w:rsidRPr="00881752">
        <w:rPr>
          <w:rFonts w:cs="Times New Roman"/>
          <w:szCs w:val="24"/>
          <w:lang w:val="en-US"/>
        </w:rPr>
        <w:t xml:space="preserve"> Despite the similarity of the prepositional phrase, the contexts are very different from each other. Archilochus</w:t>
      </w:r>
      <w:r w:rsidR="00075F5F">
        <w:rPr>
          <w:rFonts w:cs="Times New Roman"/>
          <w:szCs w:val="24"/>
          <w:lang w:val="en-US"/>
        </w:rPr>
        <w:t>’</w:t>
      </w:r>
      <w:r w:rsidRPr="00881752">
        <w:rPr>
          <w:rFonts w:cs="Times New Roman"/>
          <w:szCs w:val="24"/>
          <w:lang w:val="en-US"/>
        </w:rPr>
        <w:t xml:space="preserve"> fragment describes a sexual encounter, where a lustful woman rests on a protruding rock (Archil. fr. 44): </w:t>
      </w:r>
    </w:p>
    <w:p w14:paraId="3064ED09" w14:textId="77777777" w:rsidR="00382253" w:rsidRPr="00881752" w:rsidRDefault="00382253" w:rsidP="00F74824">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7E4ECBD7" w14:textId="77777777" w:rsidTr="0013179E">
        <w:tc>
          <w:tcPr>
            <w:tcW w:w="4258" w:type="dxa"/>
          </w:tcPr>
          <w:p w14:paraId="329A8248" w14:textId="5E682575" w:rsidR="00272F31" w:rsidRPr="00881752" w:rsidRDefault="00272F31" w:rsidP="00F74824">
            <w:pPr>
              <w:pStyle w:val="Blockquote"/>
              <w:rPr>
                <w:sz w:val="22"/>
                <w:szCs w:val="22"/>
                <w:lang w:val="el-GR"/>
              </w:rPr>
            </w:pPr>
            <w:r w:rsidRPr="00881752">
              <w:rPr>
                <w:sz w:val="22"/>
                <w:szCs w:val="22"/>
                <w:lang w:val="el-GR"/>
              </w:rPr>
              <w:t>ὑφ</w:t>
            </w:r>
            <w:r w:rsidR="00075F5F">
              <w:rPr>
                <w:sz w:val="22"/>
                <w:szCs w:val="22"/>
                <w:lang w:val="el-GR"/>
              </w:rPr>
              <w:t>’</w:t>
            </w:r>
            <w:r w:rsidRPr="00881752">
              <w:rPr>
                <w:sz w:val="22"/>
                <w:szCs w:val="22"/>
                <w:lang w:val="el-GR"/>
              </w:rPr>
              <w:t xml:space="preserve"> ἡδονῆς σαλευμένη </w:t>
            </w:r>
          </w:p>
          <w:p w14:paraId="6C84D0BB" w14:textId="77777777" w:rsidR="00272F31" w:rsidRPr="00881752" w:rsidRDefault="00272F31" w:rsidP="00F74824">
            <w:pPr>
              <w:pStyle w:val="Blockquote"/>
              <w:rPr>
                <w:sz w:val="22"/>
                <w:szCs w:val="22"/>
                <w:lang w:val="el-GR"/>
              </w:rPr>
            </w:pPr>
            <w:r w:rsidRPr="00881752">
              <w:rPr>
                <w:sz w:val="22"/>
                <w:szCs w:val="22"/>
                <w:lang w:val="el-GR"/>
              </w:rPr>
              <w:t xml:space="preserve">κορώνη […] ὥστε </w:t>
            </w:r>
            <w:r w:rsidRPr="00881752">
              <w:rPr>
                <w:rStyle w:val="txt"/>
                <w:sz w:val="22"/>
                <w:szCs w:val="22"/>
                <w:lang w:val="el-GR"/>
              </w:rPr>
              <w:t>κηρύλος</w:t>
            </w:r>
            <w:r w:rsidRPr="00881752">
              <w:rPr>
                <w:sz w:val="22"/>
                <w:szCs w:val="22"/>
                <w:lang w:val="el-GR"/>
              </w:rPr>
              <w:t xml:space="preserve"> </w:t>
            </w:r>
          </w:p>
          <w:p w14:paraId="3E488833" w14:textId="77777777" w:rsidR="00272F31" w:rsidRPr="00881752" w:rsidRDefault="00272F31" w:rsidP="00F74824">
            <w:pPr>
              <w:pStyle w:val="Blockquote"/>
              <w:rPr>
                <w:sz w:val="22"/>
                <w:szCs w:val="22"/>
              </w:rPr>
            </w:pPr>
            <w:r w:rsidRPr="00881752">
              <w:rPr>
                <w:rStyle w:val="txt"/>
                <w:sz w:val="22"/>
                <w:szCs w:val="22"/>
              </w:rPr>
              <w:t>πέτρης ἐπὶ</w:t>
            </w:r>
            <w:r w:rsidRPr="00881752">
              <w:rPr>
                <w:rStyle w:val="apple-converted-space"/>
                <w:sz w:val="22"/>
                <w:szCs w:val="22"/>
              </w:rPr>
              <w:t> </w:t>
            </w:r>
            <w:r w:rsidRPr="00881752">
              <w:rPr>
                <w:rStyle w:val="primaryw"/>
                <w:sz w:val="22"/>
                <w:szCs w:val="22"/>
              </w:rPr>
              <w:t>προβλῆτος</w:t>
            </w:r>
            <w:r w:rsidRPr="00881752">
              <w:rPr>
                <w:rStyle w:val="apple-converted-space"/>
                <w:sz w:val="22"/>
                <w:szCs w:val="22"/>
              </w:rPr>
              <w:t> </w:t>
            </w:r>
            <w:r w:rsidRPr="00881752">
              <w:rPr>
                <w:rStyle w:val="txt"/>
                <w:sz w:val="22"/>
                <w:szCs w:val="22"/>
              </w:rPr>
              <w:t>ἀπτερύσσετο</w:t>
            </w:r>
          </w:p>
        </w:tc>
        <w:tc>
          <w:tcPr>
            <w:tcW w:w="3680" w:type="dxa"/>
          </w:tcPr>
          <w:p w14:paraId="7F9DE683" w14:textId="77777777" w:rsidR="00272F31" w:rsidRPr="00881752" w:rsidRDefault="00272F31" w:rsidP="00F74824">
            <w:pPr>
              <w:pStyle w:val="Blockquote"/>
              <w:rPr>
                <w:rStyle w:val="txt"/>
                <w:sz w:val="22"/>
                <w:szCs w:val="22"/>
              </w:rPr>
            </w:pPr>
            <w:r w:rsidRPr="00881752">
              <w:rPr>
                <w:rStyle w:val="txt"/>
                <w:sz w:val="22"/>
                <w:szCs w:val="22"/>
              </w:rPr>
              <w:t xml:space="preserve">turned on by the pleasure, </w:t>
            </w:r>
          </w:p>
          <w:p w14:paraId="67A1358F" w14:textId="77777777" w:rsidR="00272F31" w:rsidRPr="00881752" w:rsidRDefault="00272F31" w:rsidP="00F74824">
            <w:pPr>
              <w:pStyle w:val="Blockquote"/>
              <w:rPr>
                <w:rStyle w:val="txt"/>
                <w:sz w:val="22"/>
                <w:szCs w:val="22"/>
              </w:rPr>
            </w:pPr>
            <w:r w:rsidRPr="00881752">
              <w:rPr>
                <w:rStyle w:val="txt"/>
                <w:sz w:val="22"/>
                <w:szCs w:val="22"/>
              </w:rPr>
              <w:t xml:space="preserve">crow […] as a kingfisher </w:t>
            </w:r>
          </w:p>
          <w:p w14:paraId="2E90A676" w14:textId="77777777" w:rsidR="00272F31" w:rsidRPr="00881752" w:rsidRDefault="00272F31" w:rsidP="00F74824">
            <w:pPr>
              <w:pStyle w:val="Blockquote"/>
              <w:rPr>
                <w:sz w:val="22"/>
                <w:szCs w:val="22"/>
              </w:rPr>
            </w:pPr>
            <w:r w:rsidRPr="00881752">
              <w:rPr>
                <w:rStyle w:val="txt"/>
                <w:sz w:val="22"/>
                <w:szCs w:val="22"/>
              </w:rPr>
              <w:t>flapped its wings on a protruding rock</w:t>
            </w:r>
          </w:p>
        </w:tc>
      </w:tr>
    </w:tbl>
    <w:p w14:paraId="58ACC370" w14:textId="77777777" w:rsidR="00382253" w:rsidRPr="00881752" w:rsidRDefault="00382253" w:rsidP="00F74824">
      <w:pPr>
        <w:pStyle w:val="Blockquote"/>
      </w:pPr>
    </w:p>
    <w:p w14:paraId="0E5D55CA" w14:textId="2751F82F" w:rsidR="009C4864" w:rsidRPr="00881752" w:rsidRDefault="009C4864" w:rsidP="00756BD3">
      <w:pPr>
        <w:tabs>
          <w:tab w:val="clear" w:pos="425"/>
          <w:tab w:val="left" w:pos="426"/>
        </w:tabs>
        <w:rPr>
          <w:rFonts w:cs="Times New Roman"/>
          <w:lang w:val="en-US"/>
        </w:rPr>
      </w:pPr>
      <w:r w:rsidRPr="00881752">
        <w:rPr>
          <w:rFonts w:cs="Times New Roman"/>
          <w:lang w:val="en-US"/>
        </w:rPr>
        <w:t>The Iliadic lines describe Patroclus</w:t>
      </w:r>
      <w:r w:rsidR="00075F5F">
        <w:rPr>
          <w:rFonts w:cs="Times New Roman"/>
          <w:lang w:val="en-US"/>
        </w:rPr>
        <w:t>’</w:t>
      </w:r>
      <w:r w:rsidRPr="00881752">
        <w:rPr>
          <w:rFonts w:cs="Times New Roman"/>
          <w:lang w:val="en-US"/>
        </w:rPr>
        <w:t xml:space="preserve"> fights, in particular how Patroclus killed Testor, son of Enopus. Patroclus</w:t>
      </w:r>
      <w:r w:rsidR="00075F5F">
        <w:rPr>
          <w:rFonts w:cs="Times New Roman"/>
          <w:lang w:val="en-US"/>
        </w:rPr>
        <w:t>’</w:t>
      </w:r>
      <w:r w:rsidRPr="00881752">
        <w:rPr>
          <w:rFonts w:cs="Times New Roman"/>
          <w:lang w:val="en-US"/>
        </w:rPr>
        <w:t xml:space="preserve"> spear strikes Testor</w:t>
      </w:r>
      <w:r w:rsidR="00075F5F">
        <w:rPr>
          <w:rFonts w:cs="Times New Roman"/>
          <w:lang w:val="en-US"/>
        </w:rPr>
        <w:t>’</w:t>
      </w:r>
      <w:r w:rsidRPr="00881752">
        <w:rPr>
          <w:rFonts w:cs="Times New Roman"/>
          <w:lang w:val="en-US"/>
        </w:rPr>
        <w:t>s right jaw, penetrating to his teeth, then Patroclus drags his enemy, so pierced, over the chariot rim. This image is associated with that of a fisherman who, sitting on a jutting rock (πέτρῃ ἔπι προβλῆτι καθήμενος), drags a fish out of the sea with line and hook. Therefore, both rocks are protruding (προβλής); but, while Homer is talking about a real rock, Archilochus</w:t>
      </w:r>
      <w:r w:rsidR="00075F5F">
        <w:rPr>
          <w:rFonts w:cs="Times New Roman"/>
          <w:lang w:val="en-US"/>
        </w:rPr>
        <w:t>’</w:t>
      </w:r>
      <w:r w:rsidRPr="00881752">
        <w:rPr>
          <w:rFonts w:cs="Times New Roman"/>
          <w:lang w:val="en-US"/>
        </w:rPr>
        <w:t xml:space="preserve"> protrusion is a metaphor for an erect penis. Similarly, Hipponax applies the epic compound δυσώνυμος </w:t>
      </w:r>
      <w:r w:rsidR="00CC0615">
        <w:rPr>
          <w:rFonts w:cs="Times New Roman"/>
          <w:lang w:val="en-US"/>
        </w:rPr>
        <w:t>“</w:t>
      </w:r>
      <w:r w:rsidRPr="00881752">
        <w:rPr>
          <w:rFonts w:cs="Times New Roman"/>
          <w:lang w:val="en-US"/>
        </w:rPr>
        <w:t>bearing an ill name</w:t>
      </w:r>
      <w:r w:rsidR="00CC0615">
        <w:rPr>
          <w:rFonts w:cs="Times New Roman"/>
          <w:lang w:val="en-US"/>
        </w:rPr>
        <w:t>”</w:t>
      </w:r>
      <w:r w:rsidRPr="00881752">
        <w:rPr>
          <w:rFonts w:cs="Times New Roman"/>
          <w:lang w:val="en-US"/>
        </w:rPr>
        <w:t xml:space="preserve"> to the penis. The context is quite vivid and racy, as shown by much more insulting compound word μητροκοίτης (Hippon. fr. 20.2-3): </w:t>
      </w:r>
    </w:p>
    <w:p w14:paraId="64D68D72" w14:textId="77777777" w:rsidR="00382253" w:rsidRPr="00881752" w:rsidRDefault="00382253" w:rsidP="00F74824">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24786BEE" w14:textId="77777777" w:rsidTr="0013179E">
        <w:tc>
          <w:tcPr>
            <w:tcW w:w="4258" w:type="dxa"/>
          </w:tcPr>
          <w:p w14:paraId="176C116B" w14:textId="77777777" w:rsidR="00272F31" w:rsidRPr="00881752" w:rsidRDefault="00272F31" w:rsidP="00F74824">
            <w:pPr>
              <w:pStyle w:val="Blockquote"/>
              <w:rPr>
                <w:sz w:val="22"/>
                <w:szCs w:val="22"/>
              </w:rPr>
            </w:pPr>
            <w:r w:rsidRPr="00881752">
              <w:rPr>
                <w:rStyle w:val="txt"/>
                <w:sz w:val="22"/>
                <w:szCs w:val="22"/>
              </w:rPr>
              <w:t>ὁ μητροκοίτης Βούπαλος σὺν Ἀρήτηι</w:t>
            </w:r>
          </w:p>
          <w:p w14:paraId="27E4F0C4" w14:textId="77777777" w:rsidR="00272F31" w:rsidRPr="00881752" w:rsidRDefault="00272F31" w:rsidP="00F74824">
            <w:pPr>
              <w:pStyle w:val="Blockquote"/>
              <w:rPr>
                <w:sz w:val="22"/>
                <w:szCs w:val="22"/>
              </w:rPr>
            </w:pPr>
            <w:r w:rsidRPr="00881752">
              <w:rPr>
                <w:rStyle w:val="txt"/>
                <w:sz w:val="22"/>
                <w:szCs w:val="22"/>
              </w:rPr>
              <w:t>καὶ ὑφέλξων τὸν δυσώνυμον</w:t>
            </w:r>
            <w:r w:rsidRPr="00881752">
              <w:rPr>
                <w:rStyle w:val="apple-converted-space"/>
                <w:sz w:val="22"/>
                <w:szCs w:val="22"/>
              </w:rPr>
              <w:t> </w:t>
            </w:r>
            <w:r w:rsidRPr="00881752">
              <w:rPr>
                <w:rStyle w:val="txt"/>
                <w:sz w:val="22"/>
                <w:szCs w:val="22"/>
              </w:rPr>
              <w:t>δάρτον</w:t>
            </w:r>
          </w:p>
        </w:tc>
        <w:tc>
          <w:tcPr>
            <w:tcW w:w="3680" w:type="dxa"/>
          </w:tcPr>
          <w:p w14:paraId="14F56034" w14:textId="77777777" w:rsidR="00272F31" w:rsidRPr="00881752" w:rsidRDefault="00272F31" w:rsidP="00F74824">
            <w:pPr>
              <w:pStyle w:val="Blockquote"/>
              <w:rPr>
                <w:sz w:val="22"/>
                <w:szCs w:val="22"/>
              </w:rPr>
            </w:pPr>
            <w:r w:rsidRPr="00881752">
              <w:rPr>
                <w:rStyle w:val="txt"/>
                <w:sz w:val="22"/>
                <w:szCs w:val="22"/>
              </w:rPr>
              <w:t>Bupalus, the mother-fucker, with Arete drawing back his damnable foreskin</w:t>
            </w:r>
          </w:p>
        </w:tc>
      </w:tr>
    </w:tbl>
    <w:p w14:paraId="3CDEE775" w14:textId="77777777" w:rsidR="00382253" w:rsidRPr="00881752" w:rsidRDefault="00382253" w:rsidP="00F74824">
      <w:pPr>
        <w:pStyle w:val="Blockquote"/>
        <w:rPr>
          <w:rStyle w:val="txt"/>
        </w:rPr>
      </w:pPr>
    </w:p>
    <w:p w14:paraId="3AD1566A" w14:textId="6A0A430F" w:rsidR="00272F31" w:rsidRPr="00881752" w:rsidRDefault="009C4864" w:rsidP="004D0056">
      <w:pPr>
        <w:rPr>
          <w:rFonts w:cs="Times New Roman"/>
          <w:lang w:val="en-US"/>
        </w:rPr>
      </w:pPr>
      <w:r w:rsidRPr="00881752">
        <w:rPr>
          <w:rFonts w:cs="Times New Roman"/>
          <w:lang w:val="en-US"/>
        </w:rPr>
        <w:t xml:space="preserve">The use of δυσώνυμος is likely an allusion to </w:t>
      </w:r>
      <w:r w:rsidRPr="00881752">
        <w:rPr>
          <w:rFonts w:cs="Times New Roman"/>
          <w:i/>
          <w:iCs/>
          <w:lang w:val="en-US"/>
        </w:rPr>
        <w:t>Il</w:t>
      </w:r>
      <w:r w:rsidRPr="00881752">
        <w:rPr>
          <w:rFonts w:cs="Times New Roman"/>
          <w:lang w:val="en-US"/>
        </w:rPr>
        <w:t xml:space="preserve">. 24.255, where the word refers to the sons of the Achaeans (δυσώνυμοι υἷες Ἀχαιῶν). Finally, Callimachus, in </w:t>
      </w:r>
      <w:r w:rsidRPr="00881752">
        <w:rPr>
          <w:rFonts w:cs="Times New Roman"/>
          <w:i/>
          <w:iCs/>
          <w:lang w:val="en-US"/>
        </w:rPr>
        <w:t>Iambus</w:t>
      </w:r>
      <w:r w:rsidRPr="00881752">
        <w:rPr>
          <w:rFonts w:cs="Times New Roman"/>
          <w:lang w:val="en-US"/>
        </w:rPr>
        <w:t xml:space="preserve"> 7, put the high-resounding φυγαίχμης in the mouth of the statue of Hermes Perphereus (Call. </w:t>
      </w:r>
      <w:r w:rsidRPr="00881752">
        <w:rPr>
          <w:rFonts w:cs="Times New Roman"/>
          <w:i/>
          <w:iCs/>
          <w:lang w:val="en-US"/>
        </w:rPr>
        <w:t>Ia</w:t>
      </w:r>
      <w:r w:rsidRPr="00881752">
        <w:rPr>
          <w:rFonts w:cs="Times New Roman"/>
          <w:lang w:val="en-US"/>
        </w:rPr>
        <w:t xml:space="preserve">. 7.1-3): </w:t>
      </w:r>
    </w:p>
    <w:p w14:paraId="4FA27657" w14:textId="77777777" w:rsidR="00F74824" w:rsidRPr="00881752" w:rsidRDefault="00F74824" w:rsidP="004D0056">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72F99164" w14:textId="77777777" w:rsidTr="0013179E">
        <w:tc>
          <w:tcPr>
            <w:tcW w:w="4258" w:type="dxa"/>
          </w:tcPr>
          <w:p w14:paraId="3849A818" w14:textId="77777777" w:rsidR="00272F31" w:rsidRPr="00881752" w:rsidRDefault="00272F31" w:rsidP="004D0056">
            <w:pPr>
              <w:pStyle w:val="Blockquote"/>
              <w:rPr>
                <w:sz w:val="22"/>
                <w:szCs w:val="22"/>
              </w:rPr>
            </w:pPr>
            <w:r w:rsidRPr="00881752">
              <w:rPr>
                <w:sz w:val="22"/>
                <w:szCs w:val="22"/>
              </w:rPr>
              <w:t>Ἑρμᾶς ὁ Περφεραῖος, Αἰνίων θεός,</w:t>
            </w:r>
          </w:p>
          <w:p w14:paraId="7CC27B61" w14:textId="77777777" w:rsidR="00272F31" w:rsidRPr="00881752" w:rsidRDefault="00272F31" w:rsidP="004D0056">
            <w:pPr>
              <w:pStyle w:val="Blockquote"/>
              <w:rPr>
                <w:sz w:val="22"/>
                <w:szCs w:val="22"/>
              </w:rPr>
            </w:pPr>
            <w:r w:rsidRPr="00881752">
              <w:rPr>
                <w:sz w:val="22"/>
                <w:szCs w:val="22"/>
              </w:rPr>
              <w:t>ἔμμι τῶ φυγαίχμα</w:t>
            </w:r>
          </w:p>
          <w:p w14:paraId="4C043033" w14:textId="77777777" w:rsidR="00272F31" w:rsidRPr="00881752" w:rsidRDefault="00272F31" w:rsidP="004D0056">
            <w:pPr>
              <w:pStyle w:val="Blockquote"/>
              <w:rPr>
                <w:sz w:val="22"/>
                <w:szCs w:val="22"/>
              </w:rPr>
            </w:pPr>
            <w:r w:rsidRPr="00881752">
              <w:rPr>
                <w:sz w:val="22"/>
                <w:szCs w:val="22"/>
              </w:rPr>
              <w:t>π̣άρεργον ἱπποτέκτονος·</w:t>
            </w:r>
          </w:p>
        </w:tc>
        <w:tc>
          <w:tcPr>
            <w:tcW w:w="3680" w:type="dxa"/>
          </w:tcPr>
          <w:p w14:paraId="57B9E706" w14:textId="77777777" w:rsidR="00272F31" w:rsidRPr="00881752" w:rsidRDefault="00272F31" w:rsidP="004D0056">
            <w:pPr>
              <w:pStyle w:val="Blockquote"/>
              <w:rPr>
                <w:sz w:val="22"/>
                <w:szCs w:val="22"/>
              </w:rPr>
            </w:pPr>
            <w:r w:rsidRPr="00881752">
              <w:rPr>
                <w:sz w:val="22"/>
                <w:szCs w:val="22"/>
              </w:rPr>
              <w:t xml:space="preserve">Hermes Perpheraius, god of the Aineans, I am a by-work of the coward </w:t>
            </w:r>
          </w:p>
          <w:p w14:paraId="11E0AA7F" w14:textId="77777777" w:rsidR="00272F31" w:rsidRPr="00881752" w:rsidRDefault="00272F31" w:rsidP="004D0056">
            <w:pPr>
              <w:pStyle w:val="Blockquote"/>
              <w:rPr>
                <w:sz w:val="22"/>
                <w:szCs w:val="22"/>
              </w:rPr>
            </w:pPr>
            <w:r w:rsidRPr="00881752">
              <w:rPr>
                <w:sz w:val="22"/>
                <w:szCs w:val="22"/>
              </w:rPr>
              <w:t>builder of the horse</w:t>
            </w:r>
          </w:p>
        </w:tc>
      </w:tr>
    </w:tbl>
    <w:p w14:paraId="26A2D30E" w14:textId="77777777" w:rsidR="00F74824" w:rsidRPr="00881752" w:rsidRDefault="00F74824" w:rsidP="004D0056">
      <w:pPr>
        <w:pStyle w:val="Blockquote"/>
      </w:pPr>
    </w:p>
    <w:p w14:paraId="7754F99D" w14:textId="1515F002" w:rsidR="009C4864" w:rsidRPr="00881752" w:rsidRDefault="009C4864" w:rsidP="009C4864">
      <w:pPr>
        <w:tabs>
          <w:tab w:val="left" w:pos="0"/>
        </w:tabs>
        <w:rPr>
          <w:rFonts w:cs="Times New Roman"/>
          <w:lang w:val="en-US"/>
        </w:rPr>
      </w:pPr>
      <w:r w:rsidRPr="00881752">
        <w:rPr>
          <w:rFonts w:cs="Times New Roman"/>
          <w:lang w:val="en-US"/>
        </w:rPr>
        <w:t xml:space="preserve">The statue insults its builder using the same compound word which the choir of Persians applies to the Ionians as a compliment, in Aeschylus </w:t>
      </w:r>
      <w:r w:rsidRPr="00881752">
        <w:rPr>
          <w:rFonts w:cs="Times New Roman"/>
          <w:i/>
          <w:iCs/>
          <w:lang w:val="en-US"/>
        </w:rPr>
        <w:t>Persians</w:t>
      </w:r>
      <w:r w:rsidRPr="00881752">
        <w:rPr>
          <w:rFonts w:cs="Times New Roman"/>
          <w:lang w:val="en-US"/>
        </w:rPr>
        <w:t xml:space="preserve"> 1025 Ἰάνων λαὸς οὐ φυγαίχμας </w:t>
      </w:r>
      <w:r w:rsidR="00CC0615">
        <w:rPr>
          <w:rFonts w:cs="Times New Roman"/>
          <w:lang w:val="en-US"/>
        </w:rPr>
        <w:t>“</w:t>
      </w:r>
      <w:r w:rsidRPr="00881752">
        <w:rPr>
          <w:rFonts w:cs="Times New Roman"/>
          <w:lang w:val="en-US"/>
        </w:rPr>
        <w:t>people from Ionia shrink not from the spear.</w:t>
      </w:r>
      <w:r w:rsidR="00CC0615">
        <w:rPr>
          <w:rFonts w:cs="Times New Roman"/>
          <w:lang w:val="en-US"/>
        </w:rPr>
        <w:t>”</w:t>
      </w:r>
      <w:r w:rsidRPr="00881752">
        <w:rPr>
          <w:rFonts w:cs="Times New Roman"/>
          <w:lang w:val="en-US"/>
        </w:rPr>
        <w:t xml:space="preserve"> </w:t>
      </w:r>
    </w:p>
    <w:p w14:paraId="11F8F2E0" w14:textId="720F0898" w:rsidR="009C4864" w:rsidRPr="00881752" w:rsidRDefault="009C4864" w:rsidP="009C4864">
      <w:pPr>
        <w:tabs>
          <w:tab w:val="left" w:pos="0"/>
        </w:tabs>
        <w:ind w:firstLine="426"/>
        <w:rPr>
          <w:rFonts w:cs="Times New Roman"/>
          <w:lang w:val="en-US"/>
        </w:rPr>
      </w:pPr>
      <w:r w:rsidRPr="00881752">
        <w:rPr>
          <w:rFonts w:cs="Times New Roman"/>
          <w:lang w:val="en-US"/>
        </w:rPr>
        <w:lastRenderedPageBreak/>
        <w:t xml:space="preserve">All these examples seem to suggest that the iambographers use pre-existing compound words to allude to specific passages of previous literary works which belong to genres very distant from the iambic one. In considering close verbal and thematic associations between two or more authors, it is wise to draw a clear distinction, when possible, between allusion and re-employment of traditional generic words. In the case of compound words it is likely that they hint at specific literary passages, since they are not, especially those which I mentioned, common words of Greek vocabulary. They occur very rarely and are used by very few Greek poets. Therefore, I am inclined to think that iambographers use them as </w:t>
      </w:r>
      <w:r w:rsidRPr="00881752">
        <w:rPr>
          <w:rFonts w:cs="Times New Roman"/>
          <w:i/>
          <w:iCs/>
          <w:lang w:val="en-US"/>
        </w:rPr>
        <w:t>verba propria</w:t>
      </w:r>
      <w:r w:rsidRPr="00881752">
        <w:rPr>
          <w:rFonts w:cs="Times New Roman"/>
          <w:lang w:val="en-US"/>
        </w:rPr>
        <w:t xml:space="preserve"> which set up a </w:t>
      </w:r>
      <w:r w:rsidR="00CC0615">
        <w:rPr>
          <w:rFonts w:cs="Times New Roman"/>
          <w:lang w:val="en-US"/>
        </w:rPr>
        <w:t>“</w:t>
      </w:r>
      <w:r w:rsidRPr="00881752">
        <w:rPr>
          <w:rFonts w:cs="Times New Roman"/>
          <w:lang w:val="en-US"/>
        </w:rPr>
        <w:t>sympathetic vibration between the poet</w:t>
      </w:r>
      <w:r w:rsidR="00075F5F">
        <w:rPr>
          <w:rFonts w:cs="Times New Roman"/>
          <w:lang w:val="en-US"/>
        </w:rPr>
        <w:t>’</w:t>
      </w:r>
      <w:r w:rsidRPr="00881752">
        <w:rPr>
          <w:rFonts w:cs="Times New Roman"/>
          <w:lang w:val="en-US"/>
        </w:rPr>
        <w:t>s and the reader</w:t>
      </w:r>
      <w:r w:rsidR="00075F5F">
        <w:rPr>
          <w:rFonts w:cs="Times New Roman"/>
          <w:lang w:val="en-US"/>
        </w:rPr>
        <w:t>’</w:t>
      </w:r>
      <w:r w:rsidRPr="00881752">
        <w:rPr>
          <w:rFonts w:cs="Times New Roman"/>
          <w:lang w:val="en-US"/>
        </w:rPr>
        <w:t>s memories,</w:t>
      </w:r>
      <w:r w:rsidR="00CC0615">
        <w:rPr>
          <w:rFonts w:cs="Times New Roman"/>
          <w:lang w:val="en-US"/>
        </w:rPr>
        <w:t>”</w:t>
      </w:r>
      <w:r w:rsidRPr="00881752">
        <w:rPr>
          <w:rStyle w:val="FootnoteReference"/>
          <w:rFonts w:cs="Times New Roman"/>
          <w:lang w:val="en-US"/>
        </w:rPr>
        <w:footnoteReference w:id="68"/>
      </w:r>
      <w:r w:rsidRPr="00881752">
        <w:rPr>
          <w:rFonts w:cs="Times New Roman"/>
          <w:lang w:val="en-US"/>
        </w:rPr>
        <w:t xml:space="preserve"> since they refer to a source already stored in both.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show a higher percentage of already-used compound words (80% of all his compounds) than the fragments of Archilochus (57.14% of all his compounds) and Hipponax (32.14% of all his compounds). It is possible to explain this by, as previously mentioned, considering that Callimachus is able to access a wider literary tradition than Archilochus and Hipponax: Archilochus and Hipponax take inspiration only from the epic language, while Callimachus can refer to both the Archaic and the Classical tradition. He takes inspiration from tragedy as well as epic, when he does not take his inspiration directly from the previous iambic tradition. </w:t>
      </w:r>
    </w:p>
    <w:p w14:paraId="168A3227" w14:textId="77777777" w:rsidR="009C4864" w:rsidRPr="00881752" w:rsidRDefault="009C4864" w:rsidP="009C4864">
      <w:pPr>
        <w:tabs>
          <w:tab w:val="clear" w:pos="425"/>
          <w:tab w:val="left" w:pos="426"/>
        </w:tabs>
        <w:rPr>
          <w:rFonts w:cs="Times New Roman"/>
          <w:lang w:val="en-US"/>
        </w:rPr>
      </w:pPr>
    </w:p>
    <w:p w14:paraId="4EB2AD2D" w14:textId="06987CCF" w:rsidR="009C4864" w:rsidRPr="00881752" w:rsidRDefault="009C4864" w:rsidP="009C4864">
      <w:pPr>
        <w:tabs>
          <w:tab w:val="clear" w:pos="425"/>
          <w:tab w:val="left" w:pos="426"/>
        </w:tabs>
        <w:rPr>
          <w:rFonts w:cs="Times New Roman"/>
          <w:szCs w:val="24"/>
          <w:lang w:val="en-US"/>
        </w:rPr>
      </w:pPr>
      <w:r w:rsidRPr="00881752">
        <w:rPr>
          <w:rFonts w:cs="Times New Roman"/>
          <w:szCs w:val="24"/>
          <w:lang w:val="en-US"/>
        </w:rPr>
        <w:t>Iambic new compound words are words which, as far as our evidence goes, seem to have been created expressly for the iambic context in which they occur for the first time in the corpus of Greek literature (</w:t>
      </w:r>
      <w:r w:rsidRPr="00881752">
        <w:rPr>
          <w:rFonts w:cs="Times New Roman"/>
          <w:b/>
          <w:bCs/>
          <w:szCs w:val="24"/>
          <w:lang w:val="en-US"/>
        </w:rPr>
        <w:t>1</w:t>
      </w:r>
      <w:r w:rsidRPr="00881752">
        <w:rPr>
          <w:rFonts w:cs="Times New Roman"/>
          <w:szCs w:val="24"/>
          <w:lang w:val="en-US"/>
        </w:rPr>
        <w:t xml:space="preserve"> B.5.a). This group can be usefully divided into two further sub-sets, </w:t>
      </w:r>
      <w:r w:rsidR="00CC0615">
        <w:rPr>
          <w:rFonts w:cs="Times New Roman"/>
          <w:szCs w:val="24"/>
          <w:lang w:val="en-US"/>
        </w:rPr>
        <w:t>“</w:t>
      </w:r>
      <w:r w:rsidRPr="00881752">
        <w:rPr>
          <w:rFonts w:cs="Times New Roman"/>
          <w:szCs w:val="24"/>
          <w:lang w:val="en-US"/>
        </w:rPr>
        <w:t>partially new compound words</w:t>
      </w:r>
      <w:r w:rsidR="00CC0615">
        <w:rPr>
          <w:rFonts w:cs="Times New Roman"/>
          <w:szCs w:val="24"/>
          <w:lang w:val="en-US"/>
        </w:rPr>
        <w:t>”</w:t>
      </w:r>
      <w:r w:rsidRPr="00881752">
        <w:rPr>
          <w:rFonts w:cs="Times New Roman"/>
          <w:szCs w:val="24"/>
          <w:lang w:val="en-US"/>
        </w:rPr>
        <w:t xml:space="preserve"> (</w:t>
      </w:r>
      <w:r w:rsidRPr="00881752">
        <w:rPr>
          <w:rFonts w:cs="Times New Roman"/>
          <w:b/>
          <w:bCs/>
          <w:szCs w:val="24"/>
          <w:lang w:val="en-US"/>
        </w:rPr>
        <w:t>1</w:t>
      </w:r>
      <w:r w:rsidRPr="00881752">
        <w:rPr>
          <w:rFonts w:cs="Times New Roman"/>
          <w:szCs w:val="24"/>
          <w:lang w:val="en-US"/>
        </w:rPr>
        <w:t xml:space="preserve"> B.5.b) and </w:t>
      </w:r>
      <w:r w:rsidR="00CC0615">
        <w:rPr>
          <w:rFonts w:cs="Times New Roman"/>
          <w:szCs w:val="24"/>
          <w:lang w:val="en-US"/>
        </w:rPr>
        <w:t>“</w:t>
      </w:r>
      <w:r w:rsidRPr="00881752">
        <w:rPr>
          <w:rFonts w:cs="Times New Roman"/>
          <w:szCs w:val="24"/>
          <w:lang w:val="en-US"/>
        </w:rPr>
        <w:t>totally new compound words</w:t>
      </w:r>
      <w:r w:rsidR="00CC0615">
        <w:rPr>
          <w:rFonts w:cs="Times New Roman"/>
          <w:szCs w:val="24"/>
          <w:lang w:val="en-US"/>
        </w:rPr>
        <w:t>”</w:t>
      </w:r>
      <w:r w:rsidRPr="00881752">
        <w:rPr>
          <w:rFonts w:cs="Times New Roman"/>
          <w:szCs w:val="24"/>
          <w:lang w:val="en-US"/>
        </w:rPr>
        <w:t xml:space="preserve"> (</w:t>
      </w:r>
      <w:r w:rsidRPr="00881752">
        <w:rPr>
          <w:rFonts w:cs="Times New Roman"/>
          <w:b/>
          <w:bCs/>
          <w:szCs w:val="24"/>
          <w:lang w:val="en-US"/>
        </w:rPr>
        <w:t>1</w:t>
      </w:r>
      <w:r w:rsidRPr="00881752">
        <w:rPr>
          <w:rFonts w:cs="Times New Roman"/>
          <w:szCs w:val="24"/>
          <w:lang w:val="en-US"/>
        </w:rPr>
        <w:t xml:space="preserve"> B.5.c). </w:t>
      </w:r>
    </w:p>
    <w:p w14:paraId="3118787D" w14:textId="68AA9BEC" w:rsidR="007713D2" w:rsidRDefault="009C4864" w:rsidP="009C4864">
      <w:pPr>
        <w:tabs>
          <w:tab w:val="clear" w:pos="425"/>
          <w:tab w:val="left" w:pos="426"/>
        </w:tabs>
        <w:rPr>
          <w:rFonts w:cs="Times New Roman"/>
          <w:szCs w:val="24"/>
          <w:lang w:val="en-US"/>
        </w:rPr>
      </w:pPr>
      <w:r w:rsidRPr="00881752">
        <w:rPr>
          <w:rFonts w:cs="Times New Roman"/>
          <w:szCs w:val="24"/>
          <w:lang w:val="en-US"/>
        </w:rPr>
        <w:tab/>
        <w:t xml:space="preserve">The subgroup labelled </w:t>
      </w:r>
      <w:r w:rsidR="00CC0615">
        <w:rPr>
          <w:rFonts w:cs="Times New Roman"/>
          <w:szCs w:val="24"/>
          <w:lang w:val="en-US"/>
        </w:rPr>
        <w:t>“</w:t>
      </w:r>
      <w:r w:rsidRPr="00881752">
        <w:rPr>
          <w:rFonts w:cs="Times New Roman"/>
          <w:szCs w:val="24"/>
          <w:lang w:val="en-US"/>
        </w:rPr>
        <w:t>totally new compound words</w:t>
      </w:r>
      <w:r w:rsidR="00CC0615">
        <w:rPr>
          <w:rFonts w:cs="Times New Roman"/>
          <w:szCs w:val="24"/>
          <w:lang w:val="en-US"/>
        </w:rPr>
        <w:t>”</w:t>
      </w:r>
      <w:r w:rsidRPr="00881752">
        <w:rPr>
          <w:rFonts w:cs="Times New Roman"/>
          <w:szCs w:val="24"/>
          <w:lang w:val="en-US"/>
        </w:rPr>
        <w:t xml:space="preserve"> includes compound words made up of two or more elements which have never before been part of a compound.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do not have any examples of this type of compound, and Archilochus</w:t>
      </w:r>
      <w:r w:rsidR="00075F5F">
        <w:rPr>
          <w:rFonts w:cs="Times New Roman"/>
          <w:szCs w:val="24"/>
          <w:lang w:val="en-US"/>
        </w:rPr>
        <w:t>’</w:t>
      </w:r>
      <w:r w:rsidRPr="00881752">
        <w:rPr>
          <w:rFonts w:cs="Times New Roman"/>
          <w:szCs w:val="24"/>
          <w:lang w:val="en-US"/>
        </w:rPr>
        <w:t xml:space="preserve"> and Hipponax</w:t>
      </w:r>
      <w:r w:rsidR="00075F5F">
        <w:rPr>
          <w:rFonts w:cs="Times New Roman"/>
          <w:szCs w:val="24"/>
          <w:lang w:val="en-US"/>
        </w:rPr>
        <w:t>’</w:t>
      </w:r>
      <w:r w:rsidRPr="00881752">
        <w:rPr>
          <w:rFonts w:cs="Times New Roman"/>
          <w:szCs w:val="24"/>
          <w:lang w:val="en-US"/>
        </w:rPr>
        <w:t xml:space="preserve">s fragments show very few instances. The reason why newly-created words constitute a small amount of the compound words used resides, perhaps, in the fact that they would create a network of allusion or references which would be much more difficult for the audience to perceive. The most widespread in later Greek literature and the most famous among the new compound words is συκοτραγίδης </w:t>
      </w:r>
      <w:r w:rsidR="00CC0615">
        <w:rPr>
          <w:rFonts w:cs="Times New Roman"/>
          <w:szCs w:val="24"/>
          <w:lang w:val="en-US"/>
        </w:rPr>
        <w:t>“</w:t>
      </w:r>
      <w:r w:rsidRPr="00881752">
        <w:rPr>
          <w:rFonts w:cs="Times New Roman"/>
          <w:szCs w:val="24"/>
          <w:lang w:val="en-US"/>
        </w:rPr>
        <w:t>son of a fig-nibbler,</w:t>
      </w:r>
      <w:r w:rsidR="00CC0615">
        <w:rPr>
          <w:rFonts w:cs="Times New Roman"/>
          <w:szCs w:val="24"/>
          <w:lang w:val="en-US"/>
        </w:rPr>
        <w:t>”</w:t>
      </w:r>
      <w:r w:rsidRPr="00881752">
        <w:rPr>
          <w:rFonts w:cs="Times New Roman"/>
          <w:szCs w:val="24"/>
          <w:lang w:val="en-US"/>
        </w:rPr>
        <w:t xml:space="preserve"> which is a two-member compound made up of the substantive σύκον </w:t>
      </w:r>
      <w:r w:rsidR="00CC0615">
        <w:rPr>
          <w:rFonts w:cs="Times New Roman"/>
          <w:szCs w:val="24"/>
          <w:lang w:val="en-US"/>
        </w:rPr>
        <w:t>“</w:t>
      </w:r>
      <w:r w:rsidRPr="00881752">
        <w:rPr>
          <w:rFonts w:cs="Times New Roman"/>
          <w:szCs w:val="24"/>
          <w:lang w:val="en-US"/>
        </w:rPr>
        <w:t>fig</w:t>
      </w:r>
      <w:r w:rsidR="00CC0615">
        <w:rPr>
          <w:rFonts w:cs="Times New Roman"/>
          <w:szCs w:val="24"/>
          <w:lang w:val="en-US"/>
        </w:rPr>
        <w:t>”</w:t>
      </w:r>
      <w:r w:rsidRPr="00881752">
        <w:rPr>
          <w:rFonts w:cs="Times New Roman"/>
          <w:szCs w:val="24"/>
          <w:lang w:val="en-US"/>
        </w:rPr>
        <w:t xml:space="preserve"> and </w:t>
      </w:r>
      <w:r w:rsidRPr="00881752">
        <w:rPr>
          <w:rFonts w:cs="Times New Roman"/>
          <w:szCs w:val="24"/>
          <w:lang w:val="en-US"/>
        </w:rPr>
        <w:lastRenderedPageBreak/>
        <w:t xml:space="preserve">the verb τρώγω </w:t>
      </w:r>
      <w:r w:rsidR="00CC0615">
        <w:rPr>
          <w:rFonts w:cs="Times New Roman"/>
          <w:szCs w:val="24"/>
          <w:lang w:val="en-US"/>
        </w:rPr>
        <w:t>“</w:t>
      </w:r>
      <w:r w:rsidRPr="00881752">
        <w:rPr>
          <w:rFonts w:cs="Times New Roman"/>
          <w:szCs w:val="24"/>
          <w:lang w:val="en-US"/>
        </w:rPr>
        <w:t>nibble,</w:t>
      </w:r>
      <w:r w:rsidR="00CC0615">
        <w:rPr>
          <w:rFonts w:cs="Times New Roman"/>
          <w:szCs w:val="24"/>
          <w:lang w:val="en-US"/>
        </w:rPr>
        <w:t>”</w:t>
      </w:r>
      <w:r w:rsidRPr="00881752">
        <w:rPr>
          <w:rFonts w:cs="Times New Roman"/>
          <w:szCs w:val="24"/>
          <w:lang w:val="en-US"/>
        </w:rPr>
        <w:t xml:space="preserve"> with the ie *-[id]- nominal suffix for patronymics. It appears for the first time in extant Greek literature in Archil. fr. 264, and Hippon. fr. 177, and neither σύκον nor τρώγω appear as constituents of a compound word in earlier literature. </w:t>
      </w:r>
    </w:p>
    <w:p w14:paraId="48063E3E" w14:textId="22A75BED" w:rsidR="007713D2" w:rsidRDefault="009C4864" w:rsidP="007713D2">
      <w:pPr>
        <w:tabs>
          <w:tab w:val="clear" w:pos="425"/>
          <w:tab w:val="left" w:pos="426"/>
        </w:tabs>
        <w:ind w:firstLine="426"/>
        <w:rPr>
          <w:rFonts w:cs="Times New Roman"/>
          <w:szCs w:val="24"/>
          <w:lang w:val="en-US"/>
        </w:rPr>
      </w:pPr>
      <w:r w:rsidRPr="00881752">
        <w:rPr>
          <w:rFonts w:cs="Times New Roman"/>
          <w:szCs w:val="24"/>
          <w:lang w:val="en-US"/>
        </w:rPr>
        <w:t>Other instances of totally new compound words occur only in the fragments of Archilochus and of Hipponax, where they constitute respectively 13.6% of all Archilochus</w:t>
      </w:r>
      <w:r w:rsidR="00075F5F">
        <w:rPr>
          <w:rFonts w:cs="Times New Roman"/>
          <w:szCs w:val="24"/>
          <w:lang w:val="en-US"/>
        </w:rPr>
        <w:t>’</w:t>
      </w:r>
      <w:r w:rsidRPr="00881752">
        <w:rPr>
          <w:rFonts w:cs="Times New Roman"/>
          <w:szCs w:val="24"/>
          <w:lang w:val="en-US"/>
        </w:rPr>
        <w:t xml:space="preserve"> compound words and 35% of all Hipponax</w:t>
      </w:r>
      <w:r w:rsidR="00075F5F">
        <w:rPr>
          <w:rFonts w:cs="Times New Roman"/>
          <w:szCs w:val="24"/>
          <w:lang w:val="en-US"/>
        </w:rPr>
        <w:t>’</w:t>
      </w:r>
      <w:r w:rsidRPr="00881752">
        <w:rPr>
          <w:rFonts w:cs="Times New Roman"/>
          <w:szCs w:val="24"/>
          <w:lang w:val="en-US"/>
        </w:rPr>
        <w:t>s compound words. Hipponax can be seen to create compounds made up of three elements, and they are very innovative: ἐγγαστριμάχαιρα</w:t>
      </w:r>
      <w:r w:rsidRPr="00881752">
        <w:rPr>
          <w:rStyle w:val="FootnoteReference"/>
          <w:rFonts w:cs="Times New Roman"/>
          <w:szCs w:val="24"/>
          <w:lang w:val="en-US"/>
        </w:rPr>
        <w:footnoteReference w:id="69"/>
      </w:r>
      <w:r w:rsidRPr="00881752">
        <w:rPr>
          <w:rFonts w:cs="Times New Roman"/>
          <w:szCs w:val="24"/>
          <w:lang w:val="en-US"/>
        </w:rPr>
        <w:t xml:space="preserve"> </w:t>
      </w:r>
      <w:r w:rsidR="00CC0615">
        <w:rPr>
          <w:rFonts w:cs="Times New Roman"/>
          <w:szCs w:val="24"/>
          <w:lang w:val="en-US"/>
        </w:rPr>
        <w:t>“</w:t>
      </w:r>
      <w:r w:rsidRPr="00881752">
        <w:rPr>
          <w:rFonts w:cs="Times New Roman"/>
          <w:szCs w:val="24"/>
          <w:lang w:val="en-US"/>
        </w:rPr>
        <w:t>knife-in-the-stomach</w:t>
      </w:r>
      <w:r w:rsidR="00CC0615">
        <w:rPr>
          <w:rFonts w:cs="Times New Roman"/>
          <w:szCs w:val="24"/>
          <w:lang w:val="en-US"/>
        </w:rPr>
        <w:t>”</w:t>
      </w:r>
      <w:r w:rsidRPr="00881752">
        <w:rPr>
          <w:rFonts w:cs="Times New Roman"/>
          <w:szCs w:val="24"/>
          <w:lang w:val="en-US"/>
        </w:rPr>
        <w:t xml:space="preserve"> (fr. 126.2), which refers more likely to the knife that lies in the stomach</w:t>
      </w:r>
      <w:r w:rsidRPr="00881752">
        <w:rPr>
          <w:rStyle w:val="FootnoteReference"/>
          <w:rFonts w:cs="Times New Roman"/>
          <w:szCs w:val="24"/>
          <w:lang w:val="en-US"/>
        </w:rPr>
        <w:footnoteReference w:id="70"/>
      </w:r>
      <w:r w:rsidRPr="00881752">
        <w:rPr>
          <w:rFonts w:cs="Times New Roman"/>
          <w:szCs w:val="24"/>
          <w:lang w:val="en-US"/>
        </w:rPr>
        <w:t xml:space="preserve"> rather than to the person </w:t>
      </w:r>
      <w:r w:rsidR="00CC0615">
        <w:rPr>
          <w:rFonts w:cs="Times New Roman"/>
          <w:szCs w:val="24"/>
          <w:lang w:val="en-US"/>
        </w:rPr>
        <w:t>“</w:t>
      </w:r>
      <w:r w:rsidRPr="00881752">
        <w:rPr>
          <w:rFonts w:cs="Times New Roman"/>
          <w:szCs w:val="24"/>
          <w:lang w:val="en-US"/>
        </w:rPr>
        <w:t>having a knife in the stomach</w:t>
      </w:r>
      <w:r w:rsidR="00CC0615">
        <w:rPr>
          <w:rFonts w:cs="Times New Roman"/>
          <w:szCs w:val="24"/>
          <w:lang w:val="en-US"/>
        </w:rPr>
        <w:t>”</w:t>
      </w:r>
      <w:r w:rsidRPr="00881752">
        <w:rPr>
          <w:rFonts w:cs="Times New Roman"/>
          <w:szCs w:val="24"/>
          <w:lang w:val="en-US"/>
        </w:rPr>
        <w:t>;</w:t>
      </w:r>
      <w:r w:rsidRPr="00881752">
        <w:rPr>
          <w:rStyle w:val="FootnoteReference"/>
          <w:rFonts w:cs="Times New Roman"/>
          <w:szCs w:val="24"/>
          <w:lang w:val="en-US"/>
        </w:rPr>
        <w:footnoteReference w:id="71"/>
      </w:r>
      <w:r w:rsidRPr="00881752">
        <w:rPr>
          <w:rFonts w:cs="Times New Roman"/>
          <w:szCs w:val="24"/>
          <w:lang w:val="en-US"/>
        </w:rPr>
        <w:t xml:space="preserve"> κατωμόχανος </w:t>
      </w:r>
      <w:r w:rsidR="00CC0615">
        <w:rPr>
          <w:rFonts w:cs="Times New Roman"/>
          <w:szCs w:val="24"/>
          <w:lang w:val="en-US"/>
        </w:rPr>
        <w:t>“</w:t>
      </w:r>
      <w:r w:rsidRPr="00881752">
        <w:rPr>
          <w:rFonts w:cs="Times New Roman"/>
          <w:szCs w:val="24"/>
          <w:lang w:val="en-US"/>
        </w:rPr>
        <w:t>gaping to the shoulder</w:t>
      </w:r>
      <w:r w:rsidR="00CC0615">
        <w:rPr>
          <w:rFonts w:cs="Times New Roman"/>
          <w:szCs w:val="24"/>
          <w:lang w:val="en-US"/>
        </w:rPr>
        <w:t>”</w:t>
      </w:r>
      <w:r w:rsidRPr="00881752">
        <w:rPr>
          <w:rFonts w:cs="Times New Roman"/>
          <w:szCs w:val="24"/>
          <w:lang w:val="en-US"/>
        </w:rPr>
        <w:t xml:space="preserve"> (fr. 39.1); μεσσηγυδορποχέστης </w:t>
      </w:r>
      <w:r w:rsidR="00CC0615">
        <w:rPr>
          <w:rFonts w:cs="Times New Roman"/>
          <w:szCs w:val="24"/>
          <w:lang w:val="en-US"/>
        </w:rPr>
        <w:t>“</w:t>
      </w:r>
      <w:r w:rsidRPr="00881752">
        <w:rPr>
          <w:rFonts w:cs="Times New Roman"/>
          <w:szCs w:val="24"/>
          <w:lang w:val="en-US"/>
        </w:rPr>
        <w:t>mid-supper-shitter</w:t>
      </w:r>
      <w:r w:rsidR="00CC0615">
        <w:rPr>
          <w:rFonts w:cs="Times New Roman"/>
          <w:szCs w:val="24"/>
          <w:lang w:val="en-US"/>
        </w:rPr>
        <w:t>”</w:t>
      </w:r>
      <w:r w:rsidRPr="00881752">
        <w:rPr>
          <w:rFonts w:cs="Times New Roman"/>
          <w:szCs w:val="24"/>
          <w:lang w:val="en-US"/>
        </w:rPr>
        <w:t xml:space="preserve"> (171), which is a verbal governing compound, whose last member is a masculine agent noun in -της. It is worth noting that all these three compound words have the last element as member governing the whole compound, and the relationship between the two first elements is [</w:t>
      </w:r>
      <w:r w:rsidRPr="00881752">
        <w:rPr>
          <w:rFonts w:cs="Times New Roman"/>
          <w:color w:val="008000"/>
          <w:szCs w:val="24"/>
          <w:lang w:val="en-US"/>
        </w:rPr>
        <w:t>Adverb</w:t>
      </w:r>
      <w:r w:rsidRPr="00881752">
        <w:rPr>
          <w:rFonts w:cs="Times New Roman"/>
          <w:szCs w:val="24"/>
          <w:lang w:val="en-US"/>
        </w:rPr>
        <w:t>/</w:t>
      </w:r>
      <w:r w:rsidRPr="00881752">
        <w:rPr>
          <w:rFonts w:cs="Times New Roman"/>
          <w:color w:val="0000FF"/>
          <w:szCs w:val="24"/>
          <w:lang w:val="en-US"/>
        </w:rPr>
        <w:t>Preposition</w:t>
      </w:r>
      <w:r w:rsidRPr="00881752">
        <w:rPr>
          <w:rFonts w:cs="Times New Roman"/>
          <w:szCs w:val="24"/>
          <w:lang w:val="en-US"/>
        </w:rPr>
        <w:t xml:space="preserve"> + </w:t>
      </w:r>
      <w:r w:rsidRPr="00881752">
        <w:rPr>
          <w:rFonts w:cs="Times New Roman"/>
          <w:color w:val="FF0000"/>
          <w:szCs w:val="24"/>
          <w:lang w:val="en-US"/>
        </w:rPr>
        <w:t>Noun</w:t>
      </w:r>
      <w:r w:rsidRPr="00881752">
        <w:rPr>
          <w:rFonts w:cs="Times New Roman"/>
          <w:szCs w:val="24"/>
          <w:lang w:val="en-US"/>
        </w:rPr>
        <w:t xml:space="preserve">]: </w:t>
      </w:r>
      <w:r w:rsidRPr="00881752">
        <w:rPr>
          <w:rFonts w:cs="Times New Roman"/>
          <w:color w:val="0000FF"/>
          <w:szCs w:val="24"/>
          <w:lang w:val="en-US"/>
        </w:rPr>
        <w:t>ἐγ</w:t>
      </w:r>
      <w:r w:rsidRPr="00881752">
        <w:rPr>
          <w:rFonts w:cs="Times New Roman"/>
          <w:color w:val="FF0000"/>
          <w:szCs w:val="24"/>
          <w:lang w:val="en-US"/>
        </w:rPr>
        <w:t>γαστρι</w:t>
      </w:r>
      <w:r w:rsidRPr="00881752">
        <w:rPr>
          <w:rFonts w:cs="Times New Roman"/>
          <w:szCs w:val="24"/>
          <w:lang w:val="en-US"/>
        </w:rPr>
        <w:t xml:space="preserve">μάχαιρα, </w:t>
      </w:r>
      <w:r w:rsidRPr="00881752">
        <w:rPr>
          <w:rFonts w:cs="Times New Roman"/>
          <w:color w:val="0000FF"/>
          <w:szCs w:val="24"/>
          <w:lang w:val="en-US"/>
        </w:rPr>
        <w:t>κατ</w:t>
      </w:r>
      <w:r w:rsidRPr="00881752">
        <w:rPr>
          <w:rFonts w:cs="Times New Roman"/>
          <w:color w:val="FF0000"/>
          <w:szCs w:val="24"/>
          <w:lang w:val="en-US"/>
        </w:rPr>
        <w:t>ωμό</w:t>
      </w:r>
      <w:r w:rsidRPr="00881752">
        <w:rPr>
          <w:rFonts w:cs="Times New Roman"/>
          <w:szCs w:val="24"/>
          <w:lang w:val="en-US"/>
        </w:rPr>
        <w:t xml:space="preserve">χανος, </w:t>
      </w:r>
      <w:r w:rsidRPr="00881752">
        <w:rPr>
          <w:rFonts w:cs="Times New Roman"/>
          <w:color w:val="008000"/>
          <w:szCs w:val="24"/>
          <w:lang w:val="en-US"/>
        </w:rPr>
        <w:t>μεσσηγυ</w:t>
      </w:r>
      <w:r w:rsidRPr="00881752">
        <w:rPr>
          <w:rFonts w:cs="Times New Roman"/>
          <w:color w:val="FF0000"/>
          <w:szCs w:val="24"/>
          <w:lang w:val="en-US"/>
        </w:rPr>
        <w:t>δορπο</w:t>
      </w:r>
      <w:r w:rsidRPr="00881752">
        <w:rPr>
          <w:rFonts w:cs="Times New Roman"/>
          <w:szCs w:val="24"/>
          <w:lang w:val="en-US"/>
        </w:rPr>
        <w:t>χέστης.</w:t>
      </w:r>
    </w:p>
    <w:p w14:paraId="37AA7B3A" w14:textId="1E15094B" w:rsidR="009C4864" w:rsidRPr="00881752" w:rsidRDefault="009C4864" w:rsidP="007713D2">
      <w:pPr>
        <w:tabs>
          <w:tab w:val="clear" w:pos="425"/>
          <w:tab w:val="left" w:pos="426"/>
        </w:tabs>
        <w:ind w:firstLine="426"/>
        <w:rPr>
          <w:rFonts w:cs="Times New Roman"/>
          <w:szCs w:val="24"/>
          <w:lang w:val="en-US"/>
        </w:rPr>
      </w:pPr>
      <w:r w:rsidRPr="00881752">
        <w:rPr>
          <w:rFonts w:cs="Times New Roman"/>
          <w:szCs w:val="24"/>
          <w:lang w:val="en-US"/>
        </w:rPr>
        <w:t>It is significant that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do not show any instances of newly-created compounds: I suggest that maybe the Alexandrian poet is more interested in creating intertextual connections through compound words in which at least one element reminds his audience of a specific word belonging to an example of earlier literature. Furthermore, one may argue that during Callimachus</w:t>
      </w:r>
      <w:r w:rsidR="00075F5F">
        <w:rPr>
          <w:rFonts w:cs="Times New Roman"/>
          <w:szCs w:val="24"/>
          <w:lang w:val="en-US"/>
        </w:rPr>
        <w:t>’</w:t>
      </w:r>
      <w:r w:rsidRPr="00881752">
        <w:rPr>
          <w:rFonts w:cs="Times New Roman"/>
          <w:szCs w:val="24"/>
          <w:lang w:val="en-US"/>
        </w:rPr>
        <w:t xml:space="preserve"> time the literary interplay of </w:t>
      </w:r>
      <w:r w:rsidRPr="00881752">
        <w:rPr>
          <w:rFonts w:cs="Times New Roman"/>
          <w:i/>
          <w:iCs/>
          <w:szCs w:val="24"/>
          <w:lang w:val="en-US"/>
        </w:rPr>
        <w:t>imitatio</w:t>
      </w:r>
      <w:r w:rsidRPr="00881752">
        <w:rPr>
          <w:rFonts w:cs="Times New Roman"/>
          <w:szCs w:val="24"/>
          <w:lang w:val="en-US"/>
        </w:rPr>
        <w:t xml:space="preserve"> and </w:t>
      </w:r>
      <w:r w:rsidRPr="00881752">
        <w:rPr>
          <w:rFonts w:cs="Times New Roman"/>
          <w:i/>
          <w:iCs/>
          <w:szCs w:val="24"/>
          <w:lang w:val="en-US"/>
        </w:rPr>
        <w:t>aemulatio</w:t>
      </w:r>
      <w:r w:rsidRPr="00881752">
        <w:rPr>
          <w:rFonts w:cs="Times New Roman"/>
          <w:szCs w:val="24"/>
          <w:lang w:val="en-US"/>
        </w:rPr>
        <w:t xml:space="preserve"> had already become widespread. The poet could have a personal motive to prefer to imitate previous models rather than to create new compounds. </w:t>
      </w:r>
    </w:p>
    <w:p w14:paraId="22463EC8" w14:textId="39E49416" w:rsidR="009C4864" w:rsidRPr="00881752" w:rsidRDefault="009C4864" w:rsidP="009C4864">
      <w:pPr>
        <w:tabs>
          <w:tab w:val="clear" w:pos="425"/>
          <w:tab w:val="left" w:pos="426"/>
        </w:tabs>
        <w:rPr>
          <w:rFonts w:cs="Times New Roman"/>
          <w:szCs w:val="24"/>
          <w:lang w:val="en-US"/>
        </w:rPr>
      </w:pPr>
      <w:r w:rsidRPr="00881752">
        <w:rPr>
          <w:rFonts w:cs="Times New Roman"/>
          <w:szCs w:val="24"/>
          <w:lang w:val="en-US"/>
        </w:rPr>
        <w:tab/>
        <w:t xml:space="preserve">The subgroup </w:t>
      </w:r>
      <w:r w:rsidR="00CC0615">
        <w:rPr>
          <w:rFonts w:cs="Times New Roman"/>
          <w:szCs w:val="24"/>
          <w:lang w:val="en-US"/>
        </w:rPr>
        <w:t>“</w:t>
      </w:r>
      <w:r w:rsidRPr="00881752">
        <w:rPr>
          <w:rFonts w:cs="Times New Roman"/>
          <w:szCs w:val="24"/>
          <w:lang w:val="en-US"/>
        </w:rPr>
        <w:t>partially new compound words</w:t>
      </w:r>
      <w:r w:rsidR="00CC0615">
        <w:rPr>
          <w:rFonts w:cs="Times New Roman"/>
          <w:szCs w:val="24"/>
          <w:lang w:val="en-US"/>
        </w:rPr>
        <w:t>”</w:t>
      </w:r>
      <w:r w:rsidRPr="00881752">
        <w:rPr>
          <w:rFonts w:cs="Times New Roman"/>
          <w:szCs w:val="24"/>
          <w:lang w:val="en-US"/>
        </w:rPr>
        <w:t xml:space="preserve"> includes compound words in which one of the elements is a typical member of a compound word, especially compound words belonging to hexameter poetry, while the other is new </w:t>
      </w:r>
      <w:r w:rsidR="00075F5F">
        <w:rPr>
          <w:rFonts w:cs="Times New Roman"/>
          <w:szCs w:val="24"/>
          <w:lang w:val="en-US"/>
        </w:rPr>
        <w:t>–</w:t>
      </w:r>
      <w:r w:rsidRPr="00881752">
        <w:rPr>
          <w:rFonts w:cs="Times New Roman"/>
          <w:szCs w:val="24"/>
          <w:lang w:val="en-US"/>
        </w:rPr>
        <w:t xml:space="preserve"> that is it does not correspond to an element that may be expected to be used in combination with the other. Traditional language, and in particular a formulaic language like the language of epic, tends to create specific combinations of two or more words within which each of the components becomes crystallised. However, as I stated before, iambographers consider compounds</w:t>
      </w:r>
      <w:r w:rsidR="00075F5F">
        <w:rPr>
          <w:rFonts w:cs="Times New Roman"/>
          <w:szCs w:val="24"/>
          <w:lang w:val="en-US"/>
        </w:rPr>
        <w:t>’</w:t>
      </w:r>
      <w:r w:rsidRPr="00881752">
        <w:rPr>
          <w:rFonts w:cs="Times New Roman"/>
          <w:szCs w:val="24"/>
          <w:lang w:val="en-US"/>
        </w:rPr>
        <w:t xml:space="preserve"> members to be not necessarily absolutely bound together: in this case, one of the constituent elements can be replaced. Therefore, iambic partially new compounds are </w:t>
      </w:r>
      <w:r w:rsidRPr="00881752">
        <w:rPr>
          <w:rFonts w:cs="Times New Roman"/>
          <w:szCs w:val="24"/>
          <w:lang w:val="en-US"/>
        </w:rPr>
        <w:lastRenderedPageBreak/>
        <w:t>atypical compounds which differentiate themselves from the expected combination of elements. This deviation gives the compound its comic effect, generating astonishment followed by laughter in the audience. In a typical combination any of the two elements can be replaced, and whether to change the first or the second element of the compound word depends on iambographer</w:t>
      </w:r>
      <w:r w:rsidR="00075F5F">
        <w:rPr>
          <w:rFonts w:cs="Times New Roman"/>
          <w:szCs w:val="24"/>
          <w:lang w:val="en-US"/>
        </w:rPr>
        <w:t>’</w:t>
      </w:r>
      <w:r w:rsidRPr="00881752">
        <w:rPr>
          <w:rFonts w:cs="Times New Roman"/>
          <w:szCs w:val="24"/>
          <w:lang w:val="en-US"/>
        </w:rPr>
        <w:t>s aim. Maintaining the first element and replacing the second generates irony by leading the audience on a well-known path, but then suddenly changing direction; while replacing the first element and maintaining the second causes an immediate burst of laugher, which however diverts audience</w:t>
      </w:r>
      <w:r w:rsidR="00075F5F">
        <w:rPr>
          <w:rFonts w:cs="Times New Roman"/>
          <w:szCs w:val="24"/>
          <w:lang w:val="en-US"/>
        </w:rPr>
        <w:t>’</w:t>
      </w:r>
      <w:r w:rsidRPr="00881752">
        <w:rPr>
          <w:rFonts w:cs="Times New Roman"/>
          <w:szCs w:val="24"/>
          <w:lang w:val="en-US"/>
        </w:rPr>
        <w:t xml:space="preserve">s attention to the allusion embodied in the second element. </w:t>
      </w:r>
    </w:p>
    <w:p w14:paraId="7BE348E8" w14:textId="014A57B3" w:rsidR="009C4864" w:rsidRPr="00881752" w:rsidRDefault="009C4864" w:rsidP="009C4864">
      <w:pPr>
        <w:tabs>
          <w:tab w:val="clear" w:pos="425"/>
          <w:tab w:val="left" w:pos="426"/>
        </w:tabs>
        <w:ind w:firstLine="425"/>
        <w:rPr>
          <w:rFonts w:cs="Times New Roman"/>
          <w:szCs w:val="24"/>
          <w:lang w:val="en-US"/>
        </w:rPr>
      </w:pPr>
      <w:r w:rsidRPr="00881752">
        <w:rPr>
          <w:rFonts w:cs="Times New Roman"/>
          <w:szCs w:val="24"/>
          <w:lang w:val="en-US"/>
        </w:rPr>
        <w:t>In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the traditional element always comes first in the compound word, while the new element always comes second. This is deliberate. He wants to re-use the traditional language for his own purposes. Therefore he prefers to maintain the first element so that the audience can easily recognise his reference to a specific literary work. I suggest that his purpose in creating intertextuality through compound words is the reason why Callimachus does not usually build compounds with πολυ- as first element: the only occurrence of πολυ- as first element is πουλύμυθος </w:t>
      </w:r>
      <w:r w:rsidR="00CC0615">
        <w:rPr>
          <w:rFonts w:cs="Times New Roman"/>
          <w:szCs w:val="24"/>
          <w:lang w:val="en-US"/>
        </w:rPr>
        <w:t>“</w:t>
      </w:r>
      <w:r w:rsidRPr="00881752">
        <w:rPr>
          <w:rFonts w:cs="Times New Roman"/>
          <w:szCs w:val="24"/>
          <w:lang w:val="en-US"/>
        </w:rPr>
        <w:t>wordy</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w:t>
      </w:r>
      <w:r w:rsidRPr="00881752">
        <w:rPr>
          <w:rFonts w:cs="Times New Roman"/>
          <w:szCs w:val="24"/>
          <w:lang w:val="en-US"/>
        </w:rPr>
        <w:t>. 2.14), a Homeric word which Callimachus writes with the Ionic form πουλύ- instead of the usual πολυ-. But both Archilochus and Hipponax use πολυ- as a first element (3 instances in Archilochus on a total of 49 compound words, and 2 instances in Hipponax on a total of 53 compound words).</w:t>
      </w:r>
      <w:r w:rsidRPr="00881752">
        <w:rPr>
          <w:rStyle w:val="FootnoteReference"/>
          <w:rFonts w:cs="Times New Roman"/>
          <w:szCs w:val="24"/>
          <w:lang w:val="en-US"/>
        </w:rPr>
        <w:footnoteReference w:id="72"/>
      </w:r>
      <w:r w:rsidRPr="00881752">
        <w:rPr>
          <w:rFonts w:cs="Times New Roman"/>
          <w:szCs w:val="24"/>
          <w:lang w:val="en-US"/>
        </w:rPr>
        <w:t xml:space="preserve"> These are clearly epic compounds, but πολυ- as first member is </w:t>
      </w:r>
      <w:r w:rsidR="006D6997" w:rsidRPr="00881752">
        <w:rPr>
          <w:rFonts w:cs="Times New Roman"/>
          <w:szCs w:val="24"/>
          <w:lang w:val="en-US"/>
        </w:rPr>
        <w:t xml:space="preserve">common, </w:t>
      </w:r>
      <w:r w:rsidRPr="00881752">
        <w:rPr>
          <w:rFonts w:cs="Times New Roman"/>
          <w:szCs w:val="24"/>
          <w:lang w:val="en-US"/>
        </w:rPr>
        <w:t>and maintaining it while replacing the second element does not create any specific allusion.</w:t>
      </w:r>
    </w:p>
    <w:p w14:paraId="5970ECB5" w14:textId="407D26D2" w:rsidR="009C4864" w:rsidRPr="00881752" w:rsidRDefault="009C4864" w:rsidP="009C4864">
      <w:pPr>
        <w:tabs>
          <w:tab w:val="clear" w:pos="425"/>
          <w:tab w:val="left" w:pos="426"/>
        </w:tabs>
        <w:ind w:firstLine="425"/>
        <w:rPr>
          <w:rFonts w:cs="Times New Roman"/>
          <w:lang w:val="en-US"/>
        </w:rPr>
      </w:pPr>
      <w:r w:rsidRPr="00881752">
        <w:rPr>
          <w:rFonts w:cs="Times New Roman"/>
          <w:lang w:val="en-US"/>
        </w:rPr>
        <w:t>Callimachus tends to avoid compound words with πολυ- as first member. It is worth noting that 20% of Callimachus</w:t>
      </w:r>
      <w:r w:rsidR="00075F5F">
        <w:rPr>
          <w:rFonts w:cs="Times New Roman"/>
          <w:lang w:val="en-US"/>
        </w:rPr>
        <w:t>’</w:t>
      </w:r>
      <w:r w:rsidRPr="00881752">
        <w:rPr>
          <w:rFonts w:cs="Times New Roman"/>
          <w:lang w:val="en-US"/>
        </w:rPr>
        <w:t xml:space="preserve"> compound words are drawn from Aeschylus, namely 7 of 35: among which 2 (28.6%) are the same as those used by Aeschylus, while 5 (71.5%) have the same first element as compounds in Aeschylus</w:t>
      </w:r>
      <w:r w:rsidR="00075F5F">
        <w:rPr>
          <w:rFonts w:cs="Times New Roman"/>
          <w:lang w:val="en-US"/>
        </w:rPr>
        <w:t>’</w:t>
      </w:r>
      <w:r w:rsidRPr="00881752">
        <w:rPr>
          <w:rFonts w:cs="Times New Roman"/>
          <w:lang w:val="en-US"/>
        </w:rPr>
        <w:t xml:space="preserve"> works. </w:t>
      </w:r>
    </w:p>
    <w:p w14:paraId="5C35C27B" w14:textId="092B5451" w:rsidR="009C4864" w:rsidRPr="00881752" w:rsidRDefault="009C4864" w:rsidP="009C4864">
      <w:pPr>
        <w:tabs>
          <w:tab w:val="clear" w:pos="425"/>
          <w:tab w:val="left" w:pos="426"/>
        </w:tabs>
        <w:ind w:firstLine="425"/>
        <w:rPr>
          <w:rFonts w:cs="Times New Roman"/>
          <w:lang w:val="en-US"/>
        </w:rPr>
      </w:pPr>
      <w:r w:rsidRPr="00881752">
        <w:rPr>
          <w:rFonts w:cs="Times New Roman"/>
          <w:lang w:val="en-US"/>
        </w:rPr>
        <w:t>Only 31.43% of Callimachus</w:t>
      </w:r>
      <w:r w:rsidR="00075F5F">
        <w:rPr>
          <w:rFonts w:cs="Times New Roman"/>
          <w:lang w:val="en-US"/>
        </w:rPr>
        <w:t>’</w:t>
      </w:r>
      <w:r w:rsidRPr="00881752">
        <w:rPr>
          <w:rFonts w:cs="Times New Roman"/>
          <w:lang w:val="en-US"/>
        </w:rPr>
        <w:t xml:space="preserve"> compounds have a noun or a verb as first element (in all the other cases, the first element consists of an adverb, a particle, or a preposition): thus, the percentage of compounds which in some way refers to Aeschylus steeply rises to 78%. For example, Callimachus in his </w:t>
      </w:r>
      <w:r w:rsidRPr="00881752">
        <w:rPr>
          <w:rFonts w:cs="Times New Roman"/>
          <w:i/>
          <w:iCs/>
          <w:lang w:val="en-US"/>
        </w:rPr>
        <w:t>Iambus</w:t>
      </w:r>
      <w:r w:rsidRPr="00881752">
        <w:rPr>
          <w:rFonts w:cs="Times New Roman"/>
          <w:lang w:val="en-US"/>
        </w:rPr>
        <w:t xml:space="preserve"> 7 puts on stage the statue of Hermes Perphereus who says to be a minor work of the coward φυγαίχμης (7.2) maker of the Trojan horse ἱπποτέκνων (7.3). The semantic connection between the two compound </w:t>
      </w:r>
      <w:r w:rsidRPr="00881752">
        <w:rPr>
          <w:rFonts w:cs="Times New Roman"/>
          <w:lang w:val="en-US"/>
        </w:rPr>
        <w:lastRenderedPageBreak/>
        <w:t>words is clear, since the person who made the Trojan horse can be rightly considered a coward, preferring cheating the enemy to fighting him on an even footing. Of these two compound words, φυγαίχμης appears for the first time in Aeschylus</w:t>
      </w:r>
      <w:r w:rsidR="00075F5F">
        <w:rPr>
          <w:rFonts w:cs="Times New Roman"/>
          <w:lang w:val="en-US"/>
        </w:rPr>
        <w:t>’</w:t>
      </w:r>
      <w:r w:rsidRPr="00881752">
        <w:rPr>
          <w:rFonts w:cs="Times New Roman"/>
          <w:lang w:val="en-US"/>
        </w:rPr>
        <w:t xml:space="preserve"> </w:t>
      </w:r>
      <w:r w:rsidRPr="00881752">
        <w:rPr>
          <w:rFonts w:cs="Times New Roman"/>
          <w:i/>
          <w:iCs/>
          <w:lang w:val="en-US"/>
        </w:rPr>
        <w:t>Persians</w:t>
      </w:r>
      <w:r w:rsidRPr="00881752">
        <w:rPr>
          <w:rFonts w:cs="Times New Roman"/>
          <w:lang w:val="en-US"/>
        </w:rPr>
        <w:t xml:space="preserve"> 1025: Ἰάνων λαὸς οὐ φυγαίχμας </w:t>
      </w:r>
      <w:r w:rsidR="00CC0615">
        <w:rPr>
          <w:rFonts w:cs="Times New Roman"/>
          <w:lang w:val="en-US"/>
        </w:rPr>
        <w:t>“</w:t>
      </w:r>
      <w:r w:rsidRPr="00881752">
        <w:rPr>
          <w:rFonts w:cs="Times New Roman"/>
          <w:lang w:val="en-US"/>
        </w:rPr>
        <w:t>the Greeks</w:t>
      </w:r>
      <w:r w:rsidRPr="00881752">
        <w:rPr>
          <w:rStyle w:val="FootnoteReference"/>
          <w:rFonts w:cs="Times New Roman"/>
          <w:lang w:val="en-US"/>
        </w:rPr>
        <w:footnoteReference w:id="73"/>
      </w:r>
      <w:r w:rsidRPr="00881752">
        <w:rPr>
          <w:rFonts w:cs="Times New Roman"/>
          <w:lang w:val="en-US"/>
        </w:rPr>
        <w:t xml:space="preserve"> are not cowards in the battle</w:t>
      </w:r>
      <w:r w:rsidR="00CC0615">
        <w:rPr>
          <w:rFonts w:cs="Times New Roman"/>
          <w:lang w:val="en-US"/>
        </w:rPr>
        <w:t>”</w:t>
      </w:r>
      <w:r w:rsidRPr="00881752">
        <w:rPr>
          <w:rFonts w:cs="Times New Roman"/>
          <w:lang w:val="en-US"/>
        </w:rPr>
        <w:t xml:space="preserve">; while ἱπποτέκνων in a compound word which Callimachus builds on the model of ἱππόδαμος </w:t>
      </w:r>
      <w:r w:rsidR="00CC0615">
        <w:rPr>
          <w:rFonts w:cs="Times New Roman"/>
          <w:lang w:val="en-US"/>
        </w:rPr>
        <w:t>“</w:t>
      </w:r>
      <w:r w:rsidRPr="00881752">
        <w:rPr>
          <w:rFonts w:cs="Times New Roman"/>
          <w:lang w:val="en-US"/>
        </w:rPr>
        <w:t>tamer of horses.</w:t>
      </w:r>
      <w:r w:rsidR="00CC0615">
        <w:rPr>
          <w:rFonts w:cs="Times New Roman"/>
          <w:lang w:val="en-US"/>
        </w:rPr>
        <w:t>”</w:t>
      </w:r>
      <w:r w:rsidRPr="00881752">
        <w:rPr>
          <w:rFonts w:cs="Times New Roman"/>
          <w:lang w:val="en-US"/>
        </w:rPr>
        <w:t xml:space="preserve"> Ἱππόδαμος is an epic epithet which refers to courageous warriors who are respected as men of honour for their valour and honesty. In the Iliad, ἱππόδαμοι are the Trojans, ἱππόδαμος is an epithet of Hektor, Ἱππόδαμος is the personal name of a Trojan warrior; among the Greek warriors, Diomedes is called ἱππόδαμος as well as his father Tydeus, and Atreus, father of Agamemnon. Therefore the model ἱππόδαμος is associated with virtues such as honesty and bravery, while ἱπποτέκνων refers to the maker of the wooden horse, who uses this deceit to overpower the enemy. Epeius, the Greek warrior who is the builder of the horse, is described in the </w:t>
      </w:r>
      <w:r w:rsidRPr="00881752">
        <w:rPr>
          <w:rFonts w:cs="Times New Roman"/>
          <w:i/>
          <w:iCs/>
          <w:lang w:val="en-US"/>
        </w:rPr>
        <w:t>Iliad</w:t>
      </w:r>
      <w:r w:rsidRPr="00881752">
        <w:rPr>
          <w:rFonts w:cs="Times New Roman"/>
          <w:lang w:val="en-US"/>
        </w:rPr>
        <w:t xml:space="preserve"> as a mediocre warrior and a coward. The contrast between the original ἱππόδαμος and the re-built ἱπποτέκνων is stressed by the other compound φυγαίχμης, since in Aeschylus</w:t>
      </w:r>
      <w:r w:rsidR="00075F5F">
        <w:rPr>
          <w:rFonts w:cs="Times New Roman"/>
          <w:lang w:val="en-US"/>
        </w:rPr>
        <w:t>’</w:t>
      </w:r>
      <w:r w:rsidRPr="00881752">
        <w:rPr>
          <w:rFonts w:cs="Times New Roman"/>
          <w:lang w:val="en-US"/>
        </w:rPr>
        <w:t xml:space="preserve"> tragedy Xerxes states that the Greeks are not cowards, while the maker of the Trojan horse is both a Greek and a coward. </w:t>
      </w:r>
    </w:p>
    <w:p w14:paraId="1572C3A6" w14:textId="5D0494E5" w:rsidR="009C4864" w:rsidRPr="00881752" w:rsidRDefault="009C4864" w:rsidP="009C4864">
      <w:pPr>
        <w:tabs>
          <w:tab w:val="clear" w:pos="425"/>
          <w:tab w:val="left" w:pos="426"/>
        </w:tabs>
        <w:ind w:firstLine="425"/>
        <w:rPr>
          <w:rFonts w:cs="Times New Roman"/>
          <w:lang w:val="en-US"/>
        </w:rPr>
      </w:pPr>
      <w:r w:rsidRPr="00881752">
        <w:rPr>
          <w:rFonts w:cs="Times New Roman"/>
          <w:lang w:val="en-US"/>
        </w:rPr>
        <w:t xml:space="preserve">Similarly, in his </w:t>
      </w:r>
      <w:r w:rsidRPr="00881752">
        <w:rPr>
          <w:rFonts w:cs="Times New Roman"/>
          <w:i/>
          <w:iCs/>
          <w:lang w:val="en-US"/>
        </w:rPr>
        <w:t>Iambus</w:t>
      </w:r>
      <w:r w:rsidRPr="00881752">
        <w:rPr>
          <w:rFonts w:cs="Times New Roman"/>
          <w:lang w:val="en-US"/>
        </w:rPr>
        <w:t xml:space="preserve"> 10b, the Alexandrian poet says that Agamemnon is offering to Artemis Kolainis</w:t>
      </w:r>
      <w:r w:rsidRPr="00881752">
        <w:rPr>
          <w:rStyle w:val="FootnoteReference"/>
          <w:rFonts w:cs="Times New Roman"/>
          <w:lang w:val="en-US"/>
        </w:rPr>
        <w:footnoteReference w:id="74"/>
      </w:r>
      <w:r w:rsidRPr="00881752">
        <w:rPr>
          <w:rFonts w:cs="Times New Roman"/>
          <w:lang w:val="en-US"/>
        </w:rPr>
        <w:t xml:space="preserve"> victims without a tail (λίπουρα) and with only one eye (μονῶπα). Μονώψ is a compound used by Aeschylus who calls μονῶπα the army (στρατόν) of Arimaspi in </w:t>
      </w:r>
      <w:r w:rsidRPr="00881752">
        <w:rPr>
          <w:rFonts w:cs="Times New Roman"/>
          <w:i/>
          <w:iCs/>
          <w:lang w:val="en-US"/>
        </w:rPr>
        <w:t>Pr</w:t>
      </w:r>
      <w:r w:rsidRPr="00881752">
        <w:rPr>
          <w:rFonts w:cs="Times New Roman"/>
          <w:lang w:val="en-US"/>
        </w:rPr>
        <w:t>. 804; while it is possible that Callimachus creates λίπουρος having in mind Aeschylus</w:t>
      </w:r>
      <w:r w:rsidR="00075F5F">
        <w:rPr>
          <w:rFonts w:cs="Times New Roman"/>
          <w:lang w:val="en-US"/>
        </w:rPr>
        <w:t>’</w:t>
      </w:r>
      <w:r w:rsidRPr="00881752">
        <w:rPr>
          <w:rFonts w:cs="Times New Roman"/>
          <w:lang w:val="en-US"/>
        </w:rPr>
        <w:t xml:space="preserve"> λιπόναυς </w:t>
      </w:r>
      <w:r w:rsidR="00CC0615">
        <w:rPr>
          <w:rFonts w:cs="Times New Roman"/>
          <w:lang w:val="en-US"/>
        </w:rPr>
        <w:t>“</w:t>
      </w:r>
      <w:r w:rsidRPr="00881752">
        <w:rPr>
          <w:rFonts w:cs="Times New Roman"/>
          <w:lang w:val="en-US"/>
        </w:rPr>
        <w:t>deserted by the allied fleet</w:t>
      </w:r>
      <w:r w:rsidR="00CC0615">
        <w:rPr>
          <w:rFonts w:cs="Times New Roman"/>
          <w:lang w:val="en-US"/>
        </w:rPr>
        <w:t>”</w:t>
      </w:r>
      <w:r w:rsidRPr="00881752">
        <w:rPr>
          <w:rFonts w:cs="Times New Roman"/>
          <w:lang w:val="en-US"/>
        </w:rPr>
        <w:t xml:space="preserve"> (</w:t>
      </w:r>
      <w:r w:rsidRPr="00881752">
        <w:rPr>
          <w:rFonts w:cs="Times New Roman"/>
          <w:i/>
          <w:iCs/>
          <w:lang w:val="en-US"/>
        </w:rPr>
        <w:t>Ag</w:t>
      </w:r>
      <w:r w:rsidRPr="00881752">
        <w:rPr>
          <w:rFonts w:cs="Times New Roman"/>
          <w:lang w:val="en-US"/>
        </w:rPr>
        <w:t>. 212). When he had to leave for Troy, Agamemnon erected a sanctuary in honour of Artemis in Aulis,</w:t>
      </w:r>
      <w:r w:rsidRPr="00881752">
        <w:rPr>
          <w:rStyle w:val="FootnoteReference"/>
          <w:rFonts w:cs="Times New Roman"/>
          <w:lang w:val="en-US"/>
        </w:rPr>
        <w:footnoteReference w:id="75"/>
      </w:r>
      <w:r w:rsidRPr="00881752">
        <w:rPr>
          <w:rFonts w:cs="Times New Roman"/>
          <w:lang w:val="en-US"/>
        </w:rPr>
        <w:t xml:space="preserve"> where a cult very similar to that of Artemis Kolainis was celebrated,</w:t>
      </w:r>
      <w:r w:rsidRPr="00881752">
        <w:rPr>
          <w:rStyle w:val="FootnoteReference"/>
          <w:rFonts w:cs="Times New Roman"/>
          <w:lang w:val="en-US"/>
        </w:rPr>
        <w:footnoteReference w:id="76"/>
      </w:r>
      <w:r w:rsidRPr="00881752">
        <w:rPr>
          <w:rFonts w:cs="Times New Roman"/>
          <w:lang w:val="en-US"/>
        </w:rPr>
        <w:t xml:space="preserve"> implying that Agamemnon offered a victim without a tail and with only one eye.</w:t>
      </w:r>
      <w:r w:rsidRPr="00881752">
        <w:rPr>
          <w:rStyle w:val="FootnoteReference"/>
          <w:rFonts w:cs="Times New Roman"/>
          <w:lang w:val="en-US"/>
        </w:rPr>
        <w:footnoteReference w:id="77"/>
      </w:r>
      <w:r w:rsidRPr="00881752">
        <w:rPr>
          <w:rFonts w:cs="Times New Roman"/>
          <w:lang w:val="en-US"/>
        </w:rPr>
        <w:t xml:space="preserve"> I suggest that Callimachus is playing with both these allusions, since it seems that Agamemnon in order to leave for the Trojan war, offered to Artemis victims which represent what would happen to Agamemnon during his expedition: he will be deserted by part of his army and be without his best warrior. Hence, Callimachus seems to use compound words to create a network of literary references, playing with different genres and different points of view. </w:t>
      </w:r>
    </w:p>
    <w:p w14:paraId="70C396C6" w14:textId="437E62D4" w:rsidR="00D17BFC" w:rsidRPr="00881752" w:rsidRDefault="009C4864" w:rsidP="006D6997">
      <w:pPr>
        <w:tabs>
          <w:tab w:val="clear" w:pos="425"/>
          <w:tab w:val="left" w:pos="426"/>
        </w:tabs>
        <w:ind w:firstLine="426"/>
        <w:textAlignment w:val="bottom"/>
        <w:rPr>
          <w:rStyle w:val="primaryw"/>
          <w:rFonts w:cs="Times New Roman"/>
          <w:szCs w:val="24"/>
        </w:rPr>
      </w:pPr>
      <w:r w:rsidRPr="00881752">
        <w:rPr>
          <w:rFonts w:cs="Times New Roman"/>
          <w:lang w:val="en-US"/>
        </w:rPr>
        <w:lastRenderedPageBreak/>
        <w:t xml:space="preserve">His purpose in using compound words becomes even more explicit when he creates new compound words by putting together two elements which come from two different compound words that belong to different genres. For example, he coins the compound ἡλιοπλήξ </w:t>
      </w:r>
      <w:r w:rsidR="00CC0615">
        <w:rPr>
          <w:rFonts w:cs="Times New Roman"/>
          <w:lang w:val="en-US"/>
        </w:rPr>
        <w:t>“</w:t>
      </w:r>
      <w:r w:rsidRPr="00881752">
        <w:rPr>
          <w:rFonts w:cs="Times New Roman"/>
          <w:lang w:val="en-US"/>
        </w:rPr>
        <w:t>sunburnt,</w:t>
      </w:r>
      <w:r w:rsidR="00CC0615">
        <w:rPr>
          <w:rFonts w:cs="Times New Roman"/>
          <w:lang w:val="en-US"/>
        </w:rPr>
        <w:t>”</w:t>
      </w:r>
      <w:r w:rsidRPr="00881752">
        <w:rPr>
          <w:rFonts w:cs="Times New Roman"/>
          <w:lang w:val="en-US"/>
        </w:rPr>
        <w:t xml:space="preserve"> in which the first element aludes to Aeschylus</w:t>
      </w:r>
      <w:r w:rsidR="00075F5F">
        <w:rPr>
          <w:rFonts w:cs="Times New Roman"/>
          <w:lang w:val="en-US"/>
        </w:rPr>
        <w:t>’</w:t>
      </w:r>
      <w:r w:rsidRPr="00881752">
        <w:rPr>
          <w:rFonts w:cs="Times New Roman"/>
          <w:lang w:val="en-US"/>
        </w:rPr>
        <w:t xml:space="preserve"> ἡλιόκτυπος (</w:t>
      </w:r>
      <w:r w:rsidRPr="00881752">
        <w:rPr>
          <w:rFonts w:cs="Times New Roman"/>
          <w:i/>
          <w:iCs/>
          <w:lang w:val="en-US"/>
        </w:rPr>
        <w:t>Suppl.</w:t>
      </w:r>
      <w:r w:rsidRPr="00881752">
        <w:rPr>
          <w:rFonts w:cs="Times New Roman"/>
          <w:lang w:val="en-US"/>
        </w:rPr>
        <w:t xml:space="preserve"> 155). Although ἡλιόκτυπος means the same as ἡλιοπλήξ,</w:t>
      </w:r>
      <w:r w:rsidRPr="00881752">
        <w:rPr>
          <w:rStyle w:val="FootnoteReference"/>
          <w:rFonts w:cs="Times New Roman"/>
          <w:lang w:val="en-US"/>
        </w:rPr>
        <w:footnoteReference w:id="78"/>
      </w:r>
      <w:r w:rsidRPr="00881752">
        <w:rPr>
          <w:rFonts w:cs="Times New Roman"/>
          <w:lang w:val="en-US"/>
        </w:rPr>
        <w:t xml:space="preserve"> Callimachus prefers to replace the second element of Aeschylus</w:t>
      </w:r>
      <w:r w:rsidR="00075F5F">
        <w:rPr>
          <w:rFonts w:cs="Times New Roman"/>
          <w:lang w:val="en-US"/>
        </w:rPr>
        <w:t>’</w:t>
      </w:r>
      <w:r w:rsidRPr="00881752">
        <w:rPr>
          <w:rFonts w:cs="Times New Roman"/>
          <w:lang w:val="en-US"/>
        </w:rPr>
        <w:t xml:space="preserve"> compound with the deverbative -πλήξ of πλήσσω </w:t>
      </w:r>
      <w:r w:rsidR="00CC0615">
        <w:rPr>
          <w:rFonts w:cs="Times New Roman"/>
          <w:lang w:val="en-US"/>
        </w:rPr>
        <w:t>“</w:t>
      </w:r>
      <w:r w:rsidRPr="00881752">
        <w:rPr>
          <w:rFonts w:cs="Times New Roman"/>
          <w:lang w:val="en-US"/>
        </w:rPr>
        <w:t>strike,</w:t>
      </w:r>
      <w:r w:rsidR="00CC0615">
        <w:rPr>
          <w:rFonts w:cs="Times New Roman"/>
          <w:lang w:val="en-US"/>
        </w:rPr>
        <w:t>”</w:t>
      </w:r>
      <w:r w:rsidRPr="00881752">
        <w:rPr>
          <w:rFonts w:cs="Times New Roman"/>
          <w:lang w:val="en-US"/>
        </w:rPr>
        <w:t xml:space="preserve"> since -πλήξ is the second member of two of Hipponax</w:t>
      </w:r>
      <w:r w:rsidR="00075F5F">
        <w:rPr>
          <w:rFonts w:cs="Times New Roman"/>
          <w:lang w:val="en-US"/>
        </w:rPr>
        <w:t>’</w:t>
      </w:r>
      <w:r w:rsidRPr="00881752">
        <w:rPr>
          <w:rFonts w:cs="Times New Roman"/>
          <w:lang w:val="en-US"/>
        </w:rPr>
        <w:t xml:space="preserve">s compound words, primarily διοπλήξ </w:t>
      </w:r>
      <w:r w:rsidR="00CC0615">
        <w:rPr>
          <w:rFonts w:cs="Times New Roman"/>
          <w:lang w:val="en-US"/>
        </w:rPr>
        <w:t>“</w:t>
      </w:r>
      <w:r w:rsidRPr="00881752">
        <w:rPr>
          <w:rFonts w:cs="Times New Roman"/>
          <w:lang w:val="en-US"/>
        </w:rPr>
        <w:t>struck by Zeus,</w:t>
      </w:r>
      <w:r w:rsidR="00CC0615">
        <w:rPr>
          <w:rFonts w:cs="Times New Roman"/>
          <w:lang w:val="en-US"/>
        </w:rPr>
        <w:t>”</w:t>
      </w:r>
      <w:r w:rsidRPr="00881752">
        <w:rPr>
          <w:rFonts w:cs="Times New Roman"/>
          <w:lang w:val="en-US"/>
        </w:rPr>
        <w:t xml:space="preserve"> thus </w:t>
      </w:r>
      <w:r w:rsidR="00CC0615">
        <w:rPr>
          <w:rFonts w:cs="Times New Roman"/>
          <w:lang w:val="en-US"/>
        </w:rPr>
        <w:t>“</w:t>
      </w:r>
      <w:r w:rsidRPr="00881752">
        <w:rPr>
          <w:rFonts w:cs="Times New Roman"/>
          <w:lang w:val="en-US"/>
        </w:rPr>
        <w:t>wretch,</w:t>
      </w:r>
      <w:r w:rsidR="00CC0615">
        <w:rPr>
          <w:rFonts w:cs="Times New Roman"/>
          <w:lang w:val="en-US"/>
        </w:rPr>
        <w:t>”</w:t>
      </w:r>
      <w:r w:rsidRPr="00881752">
        <w:rPr>
          <w:rFonts w:cs="Times New Roman"/>
          <w:lang w:val="en-US"/>
        </w:rPr>
        <w:t xml:space="preserve"> and secondarily αὐχηνοπλήξ </w:t>
      </w:r>
      <w:r w:rsidR="00CC0615">
        <w:rPr>
          <w:rFonts w:cs="Times New Roman"/>
          <w:lang w:val="en-US"/>
        </w:rPr>
        <w:t>“</w:t>
      </w:r>
      <w:r w:rsidRPr="00881752">
        <w:rPr>
          <w:rFonts w:cs="Times New Roman"/>
          <w:lang w:val="en-US"/>
        </w:rPr>
        <w:t>struck in the neck.</w:t>
      </w:r>
      <w:r w:rsidR="00CC0615">
        <w:rPr>
          <w:rFonts w:cs="Times New Roman"/>
          <w:lang w:val="en-US"/>
        </w:rPr>
        <w:t>”</w:t>
      </w:r>
      <w:r w:rsidRPr="00881752">
        <w:rPr>
          <w:rFonts w:cs="Times New Roman"/>
          <w:lang w:val="en-US"/>
        </w:rPr>
        <w:t xml:space="preserve"> Similarly, Callimachus</w:t>
      </w:r>
      <w:r w:rsidR="00075F5F">
        <w:rPr>
          <w:rFonts w:cs="Times New Roman"/>
          <w:lang w:val="en-US"/>
        </w:rPr>
        <w:t>’</w:t>
      </w:r>
      <w:r w:rsidRPr="00881752">
        <w:rPr>
          <w:rFonts w:cs="Times New Roman"/>
          <w:lang w:val="en-US"/>
        </w:rPr>
        <w:t xml:space="preserve"> Λυδιεργής (</w:t>
      </w:r>
      <w:r w:rsidRPr="00881752">
        <w:rPr>
          <w:rFonts w:cs="Times New Roman"/>
          <w:i/>
          <w:iCs/>
          <w:lang w:val="en-US"/>
        </w:rPr>
        <w:t>Ia</w:t>
      </w:r>
      <w:r w:rsidRPr="00881752">
        <w:rPr>
          <w:rFonts w:cs="Times New Roman"/>
          <w:lang w:val="en-US"/>
        </w:rPr>
        <w:t>. 6.29) aludes to Sappho</w:t>
      </w:r>
      <w:r w:rsidR="00075F5F">
        <w:rPr>
          <w:rFonts w:cs="Times New Roman"/>
          <w:lang w:val="en-US"/>
        </w:rPr>
        <w:t>’</w:t>
      </w:r>
      <w:r w:rsidRPr="00881752">
        <w:rPr>
          <w:rFonts w:cs="Times New Roman"/>
          <w:lang w:val="en-US"/>
        </w:rPr>
        <w:t>s Λύδιον ἔργον (fr. 39.1-3 Lobel-Page):</w:t>
      </w:r>
    </w:p>
    <w:p w14:paraId="3140F670" w14:textId="77777777" w:rsidR="00F74824" w:rsidRPr="00881752" w:rsidRDefault="00F74824" w:rsidP="007001C3">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67350C00" w14:textId="77777777" w:rsidTr="0013179E">
        <w:tc>
          <w:tcPr>
            <w:tcW w:w="4258" w:type="dxa"/>
          </w:tcPr>
          <w:p w14:paraId="170B7CC1" w14:textId="77777777" w:rsidR="00272F31" w:rsidRPr="00881752" w:rsidRDefault="00272F31" w:rsidP="007001C3">
            <w:pPr>
              <w:pStyle w:val="Blockquote"/>
              <w:rPr>
                <w:sz w:val="22"/>
                <w:szCs w:val="22"/>
                <w:lang w:val="el-GR"/>
              </w:rPr>
            </w:pPr>
            <w:r w:rsidRPr="00881752">
              <w:rPr>
                <w:sz w:val="22"/>
                <w:szCs w:val="22"/>
                <w:lang w:val="el-GR"/>
              </w:rPr>
              <w:t>... πόδας δὲ</w:t>
            </w:r>
          </w:p>
          <w:p w14:paraId="2EBDC2AB" w14:textId="77777777" w:rsidR="00272F31" w:rsidRPr="00881752" w:rsidRDefault="00272F31" w:rsidP="007001C3">
            <w:pPr>
              <w:pStyle w:val="Blockquote"/>
              <w:rPr>
                <w:sz w:val="22"/>
                <w:szCs w:val="22"/>
                <w:lang w:val="el-GR"/>
              </w:rPr>
            </w:pPr>
            <w:r w:rsidRPr="00881752">
              <w:rPr>
                <w:sz w:val="22"/>
                <w:szCs w:val="22"/>
                <w:lang w:val="el-GR"/>
              </w:rPr>
              <w:t>ποίκιλος μάσλης ἐκάλυπτε, Λύδι-</w:t>
            </w:r>
          </w:p>
          <w:p w14:paraId="40E1E9B2" w14:textId="77777777" w:rsidR="00272F31" w:rsidRPr="00881752" w:rsidRDefault="00272F31" w:rsidP="007001C3">
            <w:pPr>
              <w:pStyle w:val="Blockquote"/>
              <w:rPr>
                <w:sz w:val="22"/>
                <w:szCs w:val="22"/>
              </w:rPr>
            </w:pPr>
            <w:r w:rsidRPr="00881752">
              <w:rPr>
                <w:sz w:val="22"/>
                <w:szCs w:val="22"/>
              </w:rPr>
              <w:t>ον κάλον ἔργον.</w:t>
            </w:r>
          </w:p>
        </w:tc>
        <w:tc>
          <w:tcPr>
            <w:tcW w:w="3680" w:type="dxa"/>
          </w:tcPr>
          <w:p w14:paraId="35CF27C2" w14:textId="021809C9" w:rsidR="00272F31" w:rsidRPr="00881752" w:rsidRDefault="00272F31" w:rsidP="007001C3">
            <w:pPr>
              <w:pStyle w:val="Blockquote"/>
              <w:rPr>
                <w:sz w:val="22"/>
                <w:szCs w:val="22"/>
              </w:rPr>
            </w:pPr>
            <w:r w:rsidRPr="00881752">
              <w:rPr>
                <w:sz w:val="22"/>
                <w:szCs w:val="22"/>
              </w:rPr>
              <w:t>… and a pair of</w:t>
            </w:r>
            <w:r w:rsidR="00204539" w:rsidRPr="00881752">
              <w:rPr>
                <w:sz w:val="22"/>
                <w:szCs w:val="22"/>
              </w:rPr>
              <w:t xml:space="preserve"> </w:t>
            </w:r>
            <w:r w:rsidRPr="00881752">
              <w:rPr>
                <w:sz w:val="22"/>
                <w:szCs w:val="22"/>
              </w:rPr>
              <w:t>colourful shoes, beautiful Lydian manufacturing,</w:t>
            </w:r>
            <w:r w:rsidR="00204539" w:rsidRPr="00881752">
              <w:rPr>
                <w:sz w:val="22"/>
                <w:szCs w:val="22"/>
              </w:rPr>
              <w:t xml:space="preserve"> </w:t>
            </w:r>
            <w:r w:rsidRPr="00881752">
              <w:rPr>
                <w:sz w:val="22"/>
                <w:szCs w:val="22"/>
              </w:rPr>
              <w:t>hid his feet</w:t>
            </w:r>
          </w:p>
        </w:tc>
      </w:tr>
    </w:tbl>
    <w:p w14:paraId="243B021A" w14:textId="77777777" w:rsidR="00F74824" w:rsidRPr="00881752" w:rsidRDefault="00F74824" w:rsidP="007001C3">
      <w:pPr>
        <w:pStyle w:val="Blockquote"/>
      </w:pPr>
    </w:p>
    <w:p w14:paraId="2ED6403D" w14:textId="6EC47AF9" w:rsidR="009C4864" w:rsidRPr="00881752" w:rsidRDefault="009C4864" w:rsidP="006D6997">
      <w:pPr>
        <w:tabs>
          <w:tab w:val="clear" w:pos="425"/>
          <w:tab w:val="left" w:pos="426"/>
        </w:tabs>
        <w:rPr>
          <w:rFonts w:cs="Times New Roman"/>
          <w:szCs w:val="24"/>
          <w:lang w:val="en-US"/>
        </w:rPr>
      </w:pPr>
      <w:r w:rsidRPr="00881752">
        <w:rPr>
          <w:rFonts w:cs="Times New Roman"/>
          <w:szCs w:val="24"/>
          <w:lang w:val="en-US"/>
        </w:rPr>
        <w:t>Callimachus puts together Sappho</w:t>
      </w:r>
      <w:r w:rsidR="00075F5F">
        <w:rPr>
          <w:rFonts w:cs="Times New Roman"/>
          <w:szCs w:val="24"/>
          <w:lang w:val="en-US"/>
        </w:rPr>
        <w:t>’</w:t>
      </w:r>
      <w:r w:rsidRPr="00881752">
        <w:rPr>
          <w:rFonts w:cs="Times New Roman"/>
          <w:szCs w:val="24"/>
          <w:lang w:val="en-US"/>
        </w:rPr>
        <w:t xml:space="preserve">s elements in order to create a compound which remains a </w:t>
      </w:r>
      <w:r w:rsidRPr="00881752">
        <w:rPr>
          <w:rFonts w:cs="Times New Roman"/>
          <w:i/>
          <w:iCs/>
          <w:szCs w:val="24"/>
          <w:lang w:val="en-US"/>
        </w:rPr>
        <w:t>hapax legomenon</w:t>
      </w:r>
      <w:r w:rsidRPr="00881752">
        <w:rPr>
          <w:rFonts w:cs="Times New Roman"/>
          <w:szCs w:val="24"/>
          <w:lang w:val="en-US"/>
        </w:rPr>
        <w:t xml:space="preserve"> in Greek literature. I suggest that Callimachus wants to give the word a sort of epic nuance through the ending -εργής, while simultaneously establishing a quite strong opposition: if the ending recalls epic, the first element Λυδι(ο)- never occurs in the extant Homeric poems. Furthermore, Callimachus</w:t>
      </w:r>
      <w:r w:rsidR="00075F5F">
        <w:rPr>
          <w:rFonts w:cs="Times New Roman"/>
          <w:szCs w:val="24"/>
          <w:lang w:val="en-US"/>
        </w:rPr>
        <w:t>’</w:t>
      </w:r>
      <w:r w:rsidRPr="00881752">
        <w:rPr>
          <w:rFonts w:cs="Times New Roman"/>
          <w:szCs w:val="24"/>
          <w:lang w:val="en-US"/>
        </w:rPr>
        <w:t xml:space="preserve"> compound word has a parallel in the form Κορινθιουργής </w:t>
      </w:r>
      <w:r w:rsidR="00CC0615">
        <w:rPr>
          <w:rFonts w:cs="Times New Roman"/>
          <w:szCs w:val="24"/>
          <w:lang w:val="en-US"/>
        </w:rPr>
        <w:t>“</w:t>
      </w:r>
      <w:r w:rsidRPr="00881752">
        <w:rPr>
          <w:rFonts w:cs="Times New Roman"/>
          <w:szCs w:val="24"/>
          <w:lang w:val="en-US"/>
        </w:rPr>
        <w:t>of Corinthian workmanship,</w:t>
      </w:r>
      <w:r w:rsidR="00CC0615">
        <w:rPr>
          <w:rFonts w:cs="Times New Roman"/>
          <w:szCs w:val="24"/>
          <w:lang w:val="en-US"/>
        </w:rPr>
        <w:t>”</w:t>
      </w:r>
      <w:r w:rsidRPr="00881752">
        <w:rPr>
          <w:rFonts w:cs="Times New Roman"/>
          <w:szCs w:val="24"/>
          <w:lang w:val="en-US"/>
        </w:rPr>
        <w:t xml:space="preserve"> coined by Apollonius of Rhodes: Κορινθιουργές ἐστι κιόνων σχῆμα </w:t>
      </w:r>
      <w:r w:rsidR="00CC0615">
        <w:rPr>
          <w:rFonts w:cs="Times New Roman"/>
          <w:szCs w:val="24"/>
          <w:lang w:val="en-US"/>
        </w:rPr>
        <w:t>“</w:t>
      </w:r>
      <w:r w:rsidRPr="00881752">
        <w:rPr>
          <w:rFonts w:cs="Times New Roman"/>
          <w:szCs w:val="24"/>
          <w:lang w:val="en-US"/>
        </w:rPr>
        <w:t>the column-shape is of Corinthian workmanship</w:t>
      </w:r>
      <w:r w:rsidR="00CC0615">
        <w:rPr>
          <w:rFonts w:cs="Times New Roman"/>
          <w:szCs w:val="24"/>
          <w:lang w:val="en-US"/>
        </w:rPr>
        <w:t>”</w:t>
      </w:r>
      <w:r w:rsidRPr="00881752">
        <w:rPr>
          <w:rFonts w:cs="Times New Roman"/>
          <w:szCs w:val="24"/>
          <w:lang w:val="en-US"/>
        </w:rPr>
        <w:t xml:space="preserve"> (fr. 1 Powell). It is worth noting that Apollonius</w:t>
      </w:r>
      <w:r w:rsidR="00075F5F">
        <w:rPr>
          <w:rFonts w:cs="Times New Roman"/>
          <w:szCs w:val="24"/>
          <w:lang w:val="en-US"/>
        </w:rPr>
        <w:t>’</w:t>
      </w:r>
      <w:r w:rsidRPr="00881752">
        <w:rPr>
          <w:rFonts w:cs="Times New Roman"/>
          <w:szCs w:val="24"/>
          <w:lang w:val="en-US"/>
        </w:rPr>
        <w:t xml:space="preserve"> fragment is thought to have been part of a description of the temple of Serapis at Canopus: this has been debated</w:t>
      </w:r>
      <w:r w:rsidRPr="00881752">
        <w:rPr>
          <w:rStyle w:val="FootnoteReference"/>
          <w:rFonts w:cs="Times New Roman"/>
          <w:szCs w:val="24"/>
          <w:lang w:val="en-US"/>
        </w:rPr>
        <w:footnoteReference w:id="79"/>
      </w:r>
      <w:r w:rsidRPr="00881752">
        <w:rPr>
          <w:rFonts w:cs="Times New Roman"/>
          <w:szCs w:val="24"/>
          <w:lang w:val="en-US"/>
        </w:rPr>
        <w:t>, but if it is the case, there would be two similarities between Callimachus</w:t>
      </w:r>
      <w:r w:rsidR="00075F5F">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Iambus</w:t>
      </w:r>
      <w:r w:rsidRPr="00881752">
        <w:rPr>
          <w:rFonts w:cs="Times New Roman"/>
          <w:szCs w:val="24"/>
          <w:lang w:val="en-US"/>
        </w:rPr>
        <w:t xml:space="preserve"> 6 and Apollonius</w:t>
      </w:r>
      <w:r w:rsidR="00075F5F">
        <w:rPr>
          <w:rFonts w:cs="Times New Roman"/>
          <w:szCs w:val="24"/>
          <w:lang w:val="en-US"/>
        </w:rPr>
        <w:t>’</w:t>
      </w:r>
      <w:r w:rsidRPr="00881752">
        <w:rPr>
          <w:rFonts w:cs="Times New Roman"/>
          <w:szCs w:val="24"/>
          <w:lang w:val="en-US"/>
        </w:rPr>
        <w:t xml:space="preserve"> fr. 1 Powell: the description of a large religious monument and the iambic metre. </w:t>
      </w:r>
    </w:p>
    <w:p w14:paraId="6C6B37DA" w14:textId="388E5AF5" w:rsidR="009C4864" w:rsidRPr="00881752" w:rsidRDefault="009C4864" w:rsidP="006D6997">
      <w:pPr>
        <w:tabs>
          <w:tab w:val="clear" w:pos="425"/>
          <w:tab w:val="left" w:pos="426"/>
        </w:tabs>
        <w:rPr>
          <w:rFonts w:cs="Times New Roman"/>
          <w:szCs w:val="24"/>
          <w:lang w:val="en-US"/>
        </w:rPr>
      </w:pPr>
      <w:r w:rsidRPr="00881752">
        <w:rPr>
          <w:rFonts w:cs="Times New Roman"/>
          <w:szCs w:val="24"/>
          <w:lang w:val="en-US"/>
        </w:rPr>
        <w:tab/>
        <w:t>It is interesting that Callimachus</w:t>
      </w:r>
      <w:r w:rsidR="00075F5F">
        <w:rPr>
          <w:rFonts w:cs="Times New Roman"/>
          <w:szCs w:val="24"/>
          <w:lang w:val="en-US"/>
        </w:rPr>
        <w:t>’</w:t>
      </w:r>
      <w:r w:rsidRPr="00881752">
        <w:rPr>
          <w:rFonts w:cs="Times New Roman"/>
          <w:szCs w:val="24"/>
          <w:lang w:val="en-US"/>
        </w:rPr>
        <w:t xml:space="preserve"> way of compounding, that is, maintaining the first element of a traditional compound word while replacing the second, is clearly the predominant way of compounding in Archilochus</w:t>
      </w:r>
      <w:r w:rsidR="00075F5F">
        <w:rPr>
          <w:rFonts w:cs="Times New Roman"/>
          <w:szCs w:val="24"/>
          <w:lang w:val="en-US"/>
        </w:rPr>
        <w:t>’</w:t>
      </w:r>
      <w:r w:rsidRPr="00881752">
        <w:rPr>
          <w:rFonts w:cs="Times New Roman"/>
          <w:szCs w:val="24"/>
          <w:lang w:val="en-US"/>
        </w:rPr>
        <w:t xml:space="preserve"> fragments but not in Hipponax</w:t>
      </w:r>
      <w:r w:rsidR="00075F5F">
        <w:rPr>
          <w:rFonts w:cs="Times New Roman"/>
          <w:szCs w:val="24"/>
          <w:lang w:val="en-US"/>
        </w:rPr>
        <w:t>’</w:t>
      </w:r>
      <w:r w:rsidRPr="00881752">
        <w:rPr>
          <w:rFonts w:cs="Times New Roman"/>
          <w:szCs w:val="24"/>
          <w:lang w:val="en-US"/>
        </w:rPr>
        <w:t>s fragments: consequently, it seems that in making compound words that Archilochus, not Hipponax, is Callimachus</w:t>
      </w:r>
      <w:r w:rsidR="00075F5F">
        <w:rPr>
          <w:rFonts w:cs="Times New Roman"/>
          <w:szCs w:val="24"/>
          <w:lang w:val="en-US"/>
        </w:rPr>
        <w:t>’</w:t>
      </w:r>
      <w:r w:rsidRPr="00881752">
        <w:rPr>
          <w:rFonts w:cs="Times New Roman"/>
          <w:szCs w:val="24"/>
          <w:lang w:val="en-US"/>
        </w:rPr>
        <w:t xml:space="preserve"> iambic model. </w:t>
      </w:r>
    </w:p>
    <w:p w14:paraId="684AA246" w14:textId="55A45F9A" w:rsidR="009C4864" w:rsidRPr="00881752" w:rsidRDefault="009C4864" w:rsidP="00965919">
      <w:pPr>
        <w:tabs>
          <w:tab w:val="clear" w:pos="425"/>
          <w:tab w:val="left" w:pos="426"/>
        </w:tabs>
        <w:ind w:firstLine="426"/>
        <w:rPr>
          <w:rFonts w:cs="Times New Roman"/>
          <w:szCs w:val="24"/>
          <w:lang w:val="en-US"/>
        </w:rPr>
      </w:pPr>
      <w:r w:rsidRPr="00881752">
        <w:rPr>
          <w:rFonts w:cs="Times New Roman"/>
          <w:szCs w:val="24"/>
          <w:lang w:val="en-US"/>
        </w:rPr>
        <w:lastRenderedPageBreak/>
        <w:t>Most of Archilochus</w:t>
      </w:r>
      <w:r w:rsidR="00075F5F">
        <w:rPr>
          <w:rFonts w:cs="Times New Roman"/>
          <w:szCs w:val="24"/>
          <w:lang w:val="en-US"/>
        </w:rPr>
        <w:t>’</w:t>
      </w:r>
      <w:r w:rsidRPr="00881752">
        <w:rPr>
          <w:rFonts w:cs="Times New Roman"/>
          <w:szCs w:val="24"/>
          <w:lang w:val="en-US"/>
        </w:rPr>
        <w:t xml:space="preserve"> partially new compound words have the traditional word as first element. For instance, Archilochus says κεροπλάστης </w:t>
      </w:r>
      <w:r w:rsidR="00CC0615">
        <w:rPr>
          <w:rFonts w:cs="Times New Roman"/>
          <w:szCs w:val="24"/>
          <w:lang w:val="en-US"/>
        </w:rPr>
        <w:t>“</w:t>
      </w:r>
      <w:r w:rsidRPr="00881752">
        <w:rPr>
          <w:rFonts w:cs="Times New Roman"/>
          <w:szCs w:val="24"/>
          <w:lang w:val="en-US"/>
        </w:rPr>
        <w:t>arranging the hair in horns</w:t>
      </w:r>
      <w:r w:rsidR="00CC0615">
        <w:rPr>
          <w:rFonts w:cs="Times New Roman"/>
          <w:szCs w:val="24"/>
          <w:lang w:val="en-US"/>
        </w:rPr>
        <w:t>”</w:t>
      </w:r>
      <w:r w:rsidRPr="00881752">
        <w:rPr>
          <w:rFonts w:cs="Times New Roman"/>
          <w:szCs w:val="24"/>
          <w:lang w:val="en-US"/>
        </w:rPr>
        <w:t xml:space="preserve"> (fr. 95) when the audience would expect κεραοξόος </w:t>
      </w:r>
      <w:r w:rsidR="00CC0615">
        <w:rPr>
          <w:rFonts w:cs="Times New Roman"/>
          <w:szCs w:val="24"/>
          <w:lang w:val="en-US"/>
        </w:rPr>
        <w:t>“</w:t>
      </w:r>
      <w:r w:rsidRPr="00881752">
        <w:rPr>
          <w:rFonts w:cs="Times New Roman"/>
          <w:szCs w:val="24"/>
          <w:lang w:val="en-US"/>
        </w:rPr>
        <w:t>polishing horn,</w:t>
      </w:r>
      <w:r w:rsidR="00CC0615">
        <w:rPr>
          <w:rFonts w:cs="Times New Roman"/>
          <w:szCs w:val="24"/>
          <w:lang w:val="en-US"/>
        </w:rPr>
        <w:t>”</w:t>
      </w:r>
      <w:r w:rsidRPr="00881752">
        <w:rPr>
          <w:rFonts w:cs="Times New Roman"/>
          <w:szCs w:val="24"/>
          <w:lang w:val="en-US"/>
        </w:rPr>
        <w:t xml:space="preserve"> from </w:t>
      </w:r>
      <w:r w:rsidRPr="00881752">
        <w:rPr>
          <w:rFonts w:cs="Times New Roman"/>
          <w:i/>
          <w:iCs/>
          <w:szCs w:val="24"/>
          <w:lang w:val="en-US"/>
        </w:rPr>
        <w:t>Il</w:t>
      </w:r>
      <w:r w:rsidRPr="00881752">
        <w:rPr>
          <w:rFonts w:cs="Times New Roman"/>
          <w:szCs w:val="24"/>
          <w:lang w:val="en-US"/>
        </w:rPr>
        <w:t xml:space="preserve">. 4.110, having κέρας as first member. In this case, one may rightly wonder whether Archilochus is alluding to Iliadic word or, more probably, whether he is adapting the traditional word κέρας to his new context. But there are other instances that undoubtedly constitute allusions to specific epic words: the funny μελάμπυγος </w:t>
      </w:r>
      <w:r w:rsidR="00CC0615">
        <w:rPr>
          <w:rFonts w:cs="Times New Roman"/>
          <w:szCs w:val="24"/>
          <w:lang w:val="en-US"/>
        </w:rPr>
        <w:t>“</w:t>
      </w:r>
      <w:r w:rsidRPr="00881752">
        <w:rPr>
          <w:rFonts w:cs="Times New Roman"/>
          <w:szCs w:val="24"/>
          <w:lang w:val="en-US"/>
        </w:rPr>
        <w:t>black-bottomed</w:t>
      </w:r>
      <w:r w:rsidR="00CC0615">
        <w:rPr>
          <w:rFonts w:cs="Times New Roman"/>
          <w:szCs w:val="24"/>
          <w:lang w:val="en-US"/>
        </w:rPr>
        <w:t>”</w:t>
      </w:r>
      <w:r w:rsidRPr="00881752">
        <w:rPr>
          <w:rFonts w:cs="Times New Roman"/>
          <w:szCs w:val="24"/>
          <w:lang w:val="en-US"/>
        </w:rPr>
        <w:t xml:space="preserve"> (fr. 173) is modeled on the name of Μελάμπους (</w:t>
      </w:r>
      <w:r w:rsidRPr="00881752">
        <w:rPr>
          <w:rFonts w:cs="Times New Roman"/>
          <w:i/>
          <w:iCs/>
          <w:szCs w:val="24"/>
          <w:lang w:val="en-US"/>
        </w:rPr>
        <w:t>Od</w:t>
      </w:r>
      <w:r w:rsidRPr="00881752">
        <w:rPr>
          <w:rFonts w:cs="Times New Roman"/>
          <w:szCs w:val="24"/>
          <w:lang w:val="en-US"/>
        </w:rPr>
        <w:t>. 15.225), and χαλίκρητος</w:t>
      </w:r>
      <w:r w:rsidRPr="00881752">
        <w:rPr>
          <w:rStyle w:val="FootnoteReference"/>
          <w:rFonts w:cs="Times New Roman"/>
          <w:szCs w:val="24"/>
          <w:lang w:val="en-US"/>
        </w:rPr>
        <w:footnoteReference w:id="80"/>
      </w:r>
      <w:r w:rsidRPr="00881752">
        <w:rPr>
          <w:rFonts w:cs="Times New Roman"/>
          <w:szCs w:val="24"/>
          <w:lang w:val="en-US"/>
        </w:rPr>
        <w:t xml:space="preserve"> </w:t>
      </w:r>
      <w:r w:rsidR="00CC0615">
        <w:rPr>
          <w:rFonts w:cs="Times New Roman"/>
          <w:szCs w:val="24"/>
          <w:lang w:val="en-US"/>
        </w:rPr>
        <w:t>“</w:t>
      </w:r>
      <w:r w:rsidRPr="00881752">
        <w:rPr>
          <w:rFonts w:cs="Times New Roman"/>
          <w:szCs w:val="24"/>
          <w:lang w:val="en-US"/>
        </w:rPr>
        <w:t>unmixed</w:t>
      </w:r>
      <w:r w:rsidR="00CC0615">
        <w:rPr>
          <w:rFonts w:cs="Times New Roman"/>
          <w:szCs w:val="24"/>
          <w:lang w:val="en-US"/>
        </w:rPr>
        <w:t>”</w:t>
      </w:r>
      <w:r w:rsidRPr="00881752">
        <w:rPr>
          <w:rFonts w:cs="Times New Roman"/>
          <w:szCs w:val="24"/>
          <w:lang w:val="en-US"/>
        </w:rPr>
        <w:t xml:space="preserve"> (fr. 119.1) is a sort of gloss of the Homeric χαλίφρων </w:t>
      </w:r>
      <w:r w:rsidR="00CC0615">
        <w:rPr>
          <w:rFonts w:cs="Times New Roman"/>
          <w:szCs w:val="24"/>
          <w:lang w:val="en-US"/>
        </w:rPr>
        <w:t>“</w:t>
      </w:r>
      <w:r w:rsidRPr="00881752">
        <w:rPr>
          <w:rFonts w:cs="Times New Roman"/>
          <w:szCs w:val="24"/>
          <w:lang w:val="en-US"/>
        </w:rPr>
        <w:t>fool</w:t>
      </w:r>
      <w:r w:rsidR="00CC0615">
        <w:rPr>
          <w:rFonts w:cs="Times New Roman"/>
          <w:szCs w:val="24"/>
          <w:lang w:val="en-US"/>
        </w:rPr>
        <w:t>”</w:t>
      </w:r>
      <w:r w:rsidRPr="00881752">
        <w:rPr>
          <w:rFonts w:cs="Times New Roman"/>
          <w:szCs w:val="24"/>
          <w:lang w:val="en-US"/>
        </w:rPr>
        <w:t xml:space="preserve"> (</w:t>
      </w:r>
      <w:r w:rsidRPr="00881752">
        <w:rPr>
          <w:rFonts w:cs="Times New Roman"/>
          <w:i/>
          <w:iCs/>
          <w:szCs w:val="24"/>
          <w:lang w:val="en-US"/>
        </w:rPr>
        <w:t>Od</w:t>
      </w:r>
      <w:r w:rsidRPr="00881752">
        <w:rPr>
          <w:rFonts w:cs="Times New Roman"/>
          <w:szCs w:val="24"/>
          <w:lang w:val="en-US"/>
        </w:rPr>
        <w:t xml:space="preserve">. 4.371; 19.530), since who drinks χαλίκρητος wine easily becomes χαλίφρων. </w:t>
      </w:r>
    </w:p>
    <w:p w14:paraId="12404FD8" w14:textId="7E733A26" w:rsidR="009C4864" w:rsidRPr="00881752" w:rsidRDefault="009C4864" w:rsidP="00965919">
      <w:pPr>
        <w:tabs>
          <w:tab w:val="clear" w:pos="425"/>
          <w:tab w:val="left" w:pos="426"/>
        </w:tabs>
        <w:ind w:firstLine="426"/>
        <w:rPr>
          <w:rFonts w:cs="Times New Roman"/>
          <w:szCs w:val="24"/>
          <w:lang w:val="en-US"/>
        </w:rPr>
      </w:pPr>
      <w:r w:rsidRPr="00881752">
        <w:rPr>
          <w:rFonts w:cs="Times New Roman"/>
          <w:szCs w:val="24"/>
          <w:lang w:val="en-US"/>
        </w:rPr>
        <w:t xml:space="preserve">The snarky Hipponax turns the sacred and high-resounding διογενής </w:t>
      </w:r>
      <w:r w:rsidR="00CC0615">
        <w:rPr>
          <w:rFonts w:cs="Times New Roman"/>
          <w:szCs w:val="24"/>
          <w:lang w:val="en-US"/>
        </w:rPr>
        <w:t>“</w:t>
      </w:r>
      <w:r w:rsidRPr="00881752">
        <w:rPr>
          <w:rFonts w:cs="Times New Roman"/>
          <w:szCs w:val="24"/>
          <w:lang w:val="en-US"/>
        </w:rPr>
        <w:t>sprung from Zeus</w:t>
      </w:r>
      <w:r w:rsidR="00CC0615">
        <w:rPr>
          <w:rFonts w:cs="Times New Roman"/>
          <w:szCs w:val="24"/>
          <w:lang w:val="en-US"/>
        </w:rPr>
        <w:t>”</w:t>
      </w:r>
      <w:r w:rsidRPr="00881752">
        <w:rPr>
          <w:rFonts w:cs="Times New Roman"/>
          <w:szCs w:val="24"/>
          <w:lang w:val="en-US"/>
        </w:rPr>
        <w:t xml:space="preserve"> into the offensive διοπλήξ </w:t>
      </w:r>
      <w:r w:rsidR="00CC0615">
        <w:rPr>
          <w:rFonts w:cs="Times New Roman"/>
          <w:szCs w:val="24"/>
          <w:lang w:val="en-US"/>
        </w:rPr>
        <w:t>“</w:t>
      </w:r>
      <w:r w:rsidRPr="00881752">
        <w:rPr>
          <w:rFonts w:cs="Times New Roman"/>
          <w:szCs w:val="24"/>
          <w:lang w:val="en-US"/>
        </w:rPr>
        <w:t>crack-brained</w:t>
      </w:r>
      <w:r w:rsidR="00CC0615">
        <w:rPr>
          <w:rFonts w:cs="Times New Roman"/>
          <w:szCs w:val="24"/>
          <w:lang w:val="en-US"/>
        </w:rPr>
        <w:t>”</w:t>
      </w:r>
      <w:r w:rsidRPr="00881752">
        <w:rPr>
          <w:rFonts w:cs="Times New Roman"/>
          <w:szCs w:val="24"/>
          <w:lang w:val="en-US"/>
        </w:rPr>
        <w:t xml:space="preserve"> (fr. 33.1) referred to his enemy Bupalus; and when the audience expects the high-resounding ἑπτάπυλος </w:t>
      </w:r>
      <w:r w:rsidR="00CC0615">
        <w:rPr>
          <w:rFonts w:cs="Times New Roman"/>
          <w:szCs w:val="24"/>
          <w:lang w:val="en-US"/>
        </w:rPr>
        <w:t>“</w:t>
      </w:r>
      <w:r w:rsidRPr="00881752">
        <w:rPr>
          <w:rFonts w:cs="Times New Roman"/>
          <w:szCs w:val="24"/>
          <w:lang w:val="en-US"/>
        </w:rPr>
        <w:t>with seven gates</w:t>
      </w:r>
      <w:r w:rsidR="00CC0615">
        <w:rPr>
          <w:rFonts w:cs="Times New Roman"/>
          <w:szCs w:val="24"/>
          <w:lang w:val="en-US"/>
        </w:rPr>
        <w:t>”</w:t>
      </w:r>
      <w:r w:rsidRPr="00881752">
        <w:rPr>
          <w:rFonts w:cs="Times New Roman"/>
          <w:szCs w:val="24"/>
          <w:lang w:val="en-US"/>
        </w:rPr>
        <w:t xml:space="preserve"> which in </w:t>
      </w:r>
      <w:r w:rsidRPr="00881752">
        <w:rPr>
          <w:rFonts w:cs="Times New Roman"/>
          <w:i/>
          <w:iCs/>
          <w:szCs w:val="24"/>
          <w:lang w:val="en-US"/>
        </w:rPr>
        <w:t>Il</w:t>
      </w:r>
      <w:r w:rsidRPr="00881752">
        <w:rPr>
          <w:rFonts w:cs="Times New Roman"/>
          <w:szCs w:val="24"/>
          <w:lang w:val="en-US"/>
        </w:rPr>
        <w:t xml:space="preserve">. 4.406, </w:t>
      </w:r>
      <w:r w:rsidRPr="00881752">
        <w:rPr>
          <w:rFonts w:cs="Times New Roman"/>
          <w:i/>
          <w:iCs/>
          <w:szCs w:val="24"/>
          <w:lang w:val="en-US"/>
        </w:rPr>
        <w:t>Od</w:t>
      </w:r>
      <w:r w:rsidRPr="00881752">
        <w:rPr>
          <w:rFonts w:cs="Times New Roman"/>
          <w:szCs w:val="24"/>
          <w:lang w:val="en-US"/>
        </w:rPr>
        <w:t xml:space="preserve">. 11.263 and Bacchylides 18.47, is an epithet of Boeotian Thebes, he says ἑπτάφυλλος </w:t>
      </w:r>
      <w:r w:rsidR="00CC0615">
        <w:rPr>
          <w:rFonts w:cs="Times New Roman"/>
          <w:szCs w:val="24"/>
          <w:lang w:val="en-US"/>
        </w:rPr>
        <w:t>“</w:t>
      </w:r>
      <w:r w:rsidRPr="00881752">
        <w:rPr>
          <w:rFonts w:cs="Times New Roman"/>
          <w:szCs w:val="24"/>
          <w:lang w:val="en-US"/>
        </w:rPr>
        <w:t>seven-leafed</w:t>
      </w:r>
      <w:r w:rsidR="00CC0615">
        <w:rPr>
          <w:rFonts w:cs="Times New Roman"/>
          <w:szCs w:val="24"/>
          <w:lang w:val="en-US"/>
        </w:rPr>
        <w:t>”</w:t>
      </w:r>
      <w:r w:rsidRPr="00881752">
        <w:rPr>
          <w:rFonts w:cs="Times New Roman"/>
          <w:szCs w:val="24"/>
          <w:lang w:val="en-US"/>
        </w:rPr>
        <w:t xml:space="preserve"> (fr. 107.48), referring to a cabbage. Finally, θεόσυλις </w:t>
      </w:r>
      <w:r w:rsidR="00CC0615">
        <w:rPr>
          <w:rFonts w:cs="Times New Roman"/>
          <w:szCs w:val="24"/>
          <w:lang w:val="en-US"/>
        </w:rPr>
        <w:t>“</w:t>
      </w:r>
      <w:r w:rsidRPr="00881752">
        <w:rPr>
          <w:rFonts w:cs="Times New Roman"/>
          <w:szCs w:val="24"/>
          <w:lang w:val="en-US"/>
        </w:rPr>
        <w:t>robbing god</w:t>
      </w:r>
      <w:r w:rsidR="00CC0615">
        <w:rPr>
          <w:rFonts w:cs="Times New Roman"/>
          <w:szCs w:val="24"/>
          <w:lang w:val="en-US"/>
        </w:rPr>
        <w:t>”</w:t>
      </w:r>
      <w:r w:rsidRPr="00881752">
        <w:rPr>
          <w:rFonts w:cs="Times New Roman"/>
          <w:szCs w:val="24"/>
          <w:lang w:val="en-US"/>
        </w:rPr>
        <w:t xml:space="preserve"> (fr. 129a.1) is modelled on compounds beginning with θεό-, which, however, never before had an insulting meaning. </w:t>
      </w:r>
    </w:p>
    <w:p w14:paraId="4843C0F9" w14:textId="052DAD89" w:rsidR="009C4864" w:rsidRPr="00881752" w:rsidRDefault="009C4864" w:rsidP="007D78E3">
      <w:pPr>
        <w:tabs>
          <w:tab w:val="clear" w:pos="425"/>
          <w:tab w:val="left" w:pos="426"/>
        </w:tabs>
        <w:ind w:firstLine="425"/>
        <w:rPr>
          <w:rFonts w:cs="Times New Roman"/>
          <w:szCs w:val="24"/>
          <w:lang w:val="en-US"/>
        </w:rPr>
      </w:pPr>
      <w:r w:rsidRPr="00881752">
        <w:rPr>
          <w:rFonts w:cs="Times New Roman"/>
          <w:szCs w:val="24"/>
          <w:lang w:val="en-US"/>
        </w:rPr>
        <w:t>However, Hipponax prefers to maintain the second element of a traditional compound word and replace the first. This method is never used by Callimachus, and very rarely by Archilochus. In Archilochus, there are only three instances of compound words with the first element replaced (6% of all of Archilochus</w:t>
      </w:r>
      <w:r w:rsidR="00075F5F">
        <w:rPr>
          <w:rFonts w:cs="Times New Roman"/>
          <w:szCs w:val="24"/>
          <w:lang w:val="en-US"/>
        </w:rPr>
        <w:t>’</w:t>
      </w:r>
      <w:r w:rsidRPr="00881752">
        <w:rPr>
          <w:rFonts w:cs="Times New Roman"/>
          <w:szCs w:val="24"/>
          <w:lang w:val="en-US"/>
        </w:rPr>
        <w:t xml:space="preserve"> compounds), namely: λεωργός </w:t>
      </w:r>
      <w:r w:rsidR="00CC0615">
        <w:rPr>
          <w:rFonts w:cs="Times New Roman"/>
          <w:szCs w:val="24"/>
          <w:lang w:val="en-US"/>
        </w:rPr>
        <w:t>“</w:t>
      </w:r>
      <w:r w:rsidRPr="00881752">
        <w:rPr>
          <w:rFonts w:cs="Times New Roman"/>
          <w:szCs w:val="24"/>
          <w:lang w:val="en-US"/>
        </w:rPr>
        <w:t>villainous,</w:t>
      </w:r>
      <w:r w:rsidR="00CC0615">
        <w:rPr>
          <w:rFonts w:cs="Times New Roman"/>
          <w:szCs w:val="24"/>
          <w:lang w:val="en-US"/>
        </w:rPr>
        <w:t>”</w:t>
      </w:r>
      <w:r w:rsidRPr="00881752">
        <w:rPr>
          <w:rFonts w:cs="Times New Roman"/>
          <w:szCs w:val="24"/>
          <w:lang w:val="en-US"/>
        </w:rPr>
        <w:t xml:space="preserve"> παλίνκοτος </w:t>
      </w:r>
      <w:r w:rsidR="00CC0615">
        <w:rPr>
          <w:rFonts w:cs="Times New Roman"/>
          <w:szCs w:val="24"/>
          <w:lang w:val="en-US"/>
        </w:rPr>
        <w:t>“</w:t>
      </w:r>
      <w:r w:rsidRPr="00881752">
        <w:rPr>
          <w:rFonts w:cs="Times New Roman"/>
          <w:szCs w:val="24"/>
          <w:lang w:val="en-US"/>
        </w:rPr>
        <w:t>steep,</w:t>
      </w:r>
      <w:r w:rsidR="00CC0615">
        <w:rPr>
          <w:rFonts w:cs="Times New Roman"/>
          <w:szCs w:val="24"/>
          <w:lang w:val="en-US"/>
        </w:rPr>
        <w:t>”</w:t>
      </w:r>
      <w:r w:rsidRPr="00881752">
        <w:rPr>
          <w:rFonts w:cs="Times New Roman"/>
          <w:szCs w:val="24"/>
          <w:lang w:val="en-US"/>
        </w:rPr>
        <w:t xml:space="preserve"> πύγαργος </w:t>
      </w:r>
      <w:r w:rsidR="00CC0615">
        <w:rPr>
          <w:rFonts w:cs="Times New Roman"/>
          <w:szCs w:val="24"/>
          <w:lang w:val="en-US"/>
        </w:rPr>
        <w:t>“</w:t>
      </w:r>
      <w:r w:rsidRPr="00881752">
        <w:rPr>
          <w:rFonts w:cs="Times New Roman"/>
          <w:szCs w:val="24"/>
          <w:lang w:val="en-US"/>
        </w:rPr>
        <w:t>white-rumped, coward.</w:t>
      </w:r>
      <w:r w:rsidR="00CC0615">
        <w:rPr>
          <w:rFonts w:cs="Times New Roman"/>
          <w:szCs w:val="24"/>
          <w:lang w:val="en-US"/>
        </w:rPr>
        <w:t>”</w:t>
      </w:r>
      <w:r w:rsidRPr="00881752">
        <w:rPr>
          <w:rFonts w:cs="Times New Roman"/>
          <w:szCs w:val="24"/>
          <w:lang w:val="en-US"/>
        </w:rPr>
        <w:t xml:space="preserve"> Among </w:t>
      </w:r>
      <w:r w:rsidRPr="00881752">
        <w:rPr>
          <w:rFonts w:cs="Times New Roman"/>
          <w:szCs w:val="24"/>
          <w:lang w:val="en-US"/>
        </w:rPr>
        <w:lastRenderedPageBreak/>
        <w:t xml:space="preserve">these, παλίνκοτος is a more traditional adaptation, while λεωργός and πύγαργος are clearly compounds within the iambic ironic context: λεωργός is exactly the opposite of εὐεργός, and its first member is the adverb λέως/λείως, which occurs in another Archilochus fragment (fr. 184: λείως γὰρ οὐδὲν ἐφρόνεον </w:t>
      </w:r>
      <w:r w:rsidR="00CC0615">
        <w:rPr>
          <w:rFonts w:cs="Times New Roman"/>
          <w:szCs w:val="24"/>
          <w:lang w:val="en-US"/>
        </w:rPr>
        <w:t>“</w:t>
      </w:r>
      <w:r w:rsidRPr="00881752">
        <w:rPr>
          <w:rFonts w:cs="Times New Roman"/>
          <w:szCs w:val="24"/>
          <w:lang w:val="en-US"/>
        </w:rPr>
        <w:t>for they were (I was) completely without sense</w:t>
      </w:r>
      <w:r w:rsidR="00CC0615">
        <w:rPr>
          <w:rFonts w:cs="Times New Roman"/>
          <w:szCs w:val="24"/>
          <w:lang w:val="en-US"/>
        </w:rPr>
        <w:t>”</w:t>
      </w:r>
      <w:r w:rsidRPr="00881752">
        <w:rPr>
          <w:rFonts w:cs="Times New Roman"/>
          <w:szCs w:val="24"/>
          <w:lang w:val="en-US"/>
        </w:rPr>
        <w:t>); πύγαργος may be a parody of the epic Πόδαργος, the name of one Hektor</w:t>
      </w:r>
      <w:r w:rsidR="00075F5F">
        <w:rPr>
          <w:rFonts w:cs="Times New Roman"/>
          <w:szCs w:val="24"/>
          <w:lang w:val="en-US"/>
        </w:rPr>
        <w:t>’</w:t>
      </w:r>
      <w:r w:rsidRPr="00881752">
        <w:rPr>
          <w:rFonts w:cs="Times New Roman"/>
          <w:szCs w:val="24"/>
          <w:lang w:val="en-US"/>
        </w:rPr>
        <w:t xml:space="preserve">s four horses, a name which means </w:t>
      </w:r>
      <w:r w:rsidR="00CC0615">
        <w:rPr>
          <w:rFonts w:cs="Times New Roman"/>
          <w:szCs w:val="24"/>
          <w:lang w:val="en-US"/>
        </w:rPr>
        <w:t>“</w:t>
      </w:r>
      <w:r w:rsidRPr="00881752">
        <w:rPr>
          <w:rFonts w:cs="Times New Roman"/>
          <w:szCs w:val="24"/>
          <w:lang w:val="en-US"/>
        </w:rPr>
        <w:t>with quick feet.</w:t>
      </w:r>
      <w:r w:rsidR="00CC0615">
        <w:rPr>
          <w:rFonts w:cs="Times New Roman"/>
          <w:szCs w:val="24"/>
          <w:lang w:val="en-US"/>
        </w:rPr>
        <w:t>”</w:t>
      </w:r>
      <w:r w:rsidRPr="00881752">
        <w:rPr>
          <w:rFonts w:cs="Times New Roman"/>
          <w:szCs w:val="24"/>
          <w:lang w:val="en-US"/>
        </w:rPr>
        <w:t xml:space="preserve"> Furthermore, it must be noted that πύγαργος and Πόδαργος are phonetically quite similar to ποδαρχής </w:t>
      </w:r>
      <w:r w:rsidR="00CC0615">
        <w:rPr>
          <w:rFonts w:cs="Times New Roman"/>
          <w:szCs w:val="24"/>
          <w:lang w:val="en-US"/>
        </w:rPr>
        <w:t>“</w:t>
      </w:r>
      <w:r w:rsidRPr="00881752">
        <w:rPr>
          <w:rFonts w:cs="Times New Roman"/>
          <w:szCs w:val="24"/>
          <w:lang w:val="en-US"/>
        </w:rPr>
        <w:t>with nimble feet,</w:t>
      </w:r>
      <w:r w:rsidR="00CC0615">
        <w:rPr>
          <w:rFonts w:cs="Times New Roman"/>
          <w:szCs w:val="24"/>
          <w:lang w:val="en-US"/>
        </w:rPr>
        <w:t>”</w:t>
      </w:r>
      <w:r w:rsidRPr="00881752">
        <w:rPr>
          <w:rFonts w:cs="Times New Roman"/>
          <w:szCs w:val="24"/>
          <w:lang w:val="en-US"/>
        </w:rPr>
        <w:t xml:space="preserve"> which is the epithet </w:t>
      </w:r>
      <w:r w:rsidRPr="00881752">
        <w:rPr>
          <w:rFonts w:cs="Times New Roman"/>
          <w:i/>
          <w:iCs/>
          <w:szCs w:val="24"/>
          <w:lang w:val="en-US"/>
        </w:rPr>
        <w:t>par excellence</w:t>
      </w:r>
      <w:r w:rsidRPr="00881752">
        <w:rPr>
          <w:rFonts w:cs="Times New Roman"/>
          <w:szCs w:val="24"/>
          <w:lang w:val="en-US"/>
        </w:rPr>
        <w:t xml:space="preserve"> of Achilles. </w:t>
      </w:r>
    </w:p>
    <w:p w14:paraId="6A4EF070" w14:textId="4AB0E378" w:rsidR="009C4864" w:rsidRPr="00881752" w:rsidRDefault="009C4864" w:rsidP="009E2C55">
      <w:pPr>
        <w:tabs>
          <w:tab w:val="clear" w:pos="425"/>
          <w:tab w:val="left" w:pos="426"/>
        </w:tabs>
        <w:spacing w:after="200"/>
        <w:ind w:firstLine="425"/>
        <w:rPr>
          <w:rFonts w:cs="Times New Roman"/>
          <w:szCs w:val="24"/>
          <w:lang w:val="en-US"/>
        </w:rPr>
      </w:pPr>
      <w:r w:rsidRPr="00881752">
        <w:rPr>
          <w:rFonts w:cs="Times New Roman"/>
          <w:szCs w:val="24"/>
          <w:lang w:val="en-US"/>
        </w:rPr>
        <w:t>On the other hand, a significant amount of Hipponax</w:t>
      </w:r>
      <w:r w:rsidR="00075F5F">
        <w:rPr>
          <w:rFonts w:cs="Times New Roman"/>
          <w:szCs w:val="24"/>
          <w:lang w:val="en-US"/>
        </w:rPr>
        <w:t>’</w:t>
      </w:r>
      <w:r w:rsidRPr="00881752">
        <w:rPr>
          <w:rFonts w:cs="Times New Roman"/>
          <w:szCs w:val="24"/>
          <w:lang w:val="en-US"/>
        </w:rPr>
        <w:t xml:space="preserve">s compound words are built by replacing the first element of a traditional compound: putting the new element in the first position generates an immediate burst of laughter, since it gives the whole compound a strongly iambic connotation </w:t>
      </w:r>
      <w:r w:rsidR="00075F5F">
        <w:rPr>
          <w:rFonts w:cs="Times New Roman"/>
          <w:szCs w:val="24"/>
          <w:lang w:val="en-US"/>
        </w:rPr>
        <w:t>–</w:t>
      </w:r>
      <w:r w:rsidRPr="00881752">
        <w:rPr>
          <w:rFonts w:cs="Times New Roman"/>
          <w:szCs w:val="24"/>
          <w:lang w:val="en-US"/>
        </w:rPr>
        <w:t xml:space="preserve"> that is, its meaning is often </w:t>
      </w:r>
      <w:r w:rsidR="006D6997" w:rsidRPr="00881752">
        <w:rPr>
          <w:rFonts w:cs="Times New Roman"/>
          <w:szCs w:val="24"/>
          <w:lang w:val="en-US"/>
        </w:rPr>
        <w:t>abusive</w:t>
      </w:r>
      <w:r w:rsidRPr="00881752">
        <w:rPr>
          <w:rFonts w:cs="Times New Roman"/>
          <w:szCs w:val="24"/>
          <w:lang w:val="en-US"/>
        </w:rPr>
        <w:t xml:space="preserve"> and strikes the audience who, consequently, pays less attention to the combination of the two elements. In the case of these compound words in Hipponax</w:t>
      </w:r>
      <w:r w:rsidR="00075F5F">
        <w:rPr>
          <w:rFonts w:cs="Times New Roman"/>
          <w:szCs w:val="24"/>
          <w:lang w:val="en-US"/>
        </w:rPr>
        <w:t>’</w:t>
      </w:r>
      <w:r w:rsidRPr="00881752">
        <w:rPr>
          <w:rFonts w:cs="Times New Roman"/>
          <w:szCs w:val="24"/>
          <w:lang w:val="en-US"/>
        </w:rPr>
        <w:t>s work, it is more difficult to divine a connection with an earlier compound belonging to epic or elegy. I argue that Hipponax uses this kind of compound word in particular contexts and with a specific purpose within the narration:</w:t>
      </w:r>
    </w:p>
    <w:p w14:paraId="716AECAC" w14:textId="59FAB937" w:rsidR="009C4864" w:rsidRPr="00881752" w:rsidRDefault="009C4864" w:rsidP="00881752">
      <w:pPr>
        <w:widowControl w:val="0"/>
        <w:numPr>
          <w:ilvl w:val="0"/>
          <w:numId w:val="177"/>
        </w:numPr>
        <w:tabs>
          <w:tab w:val="clear" w:pos="425"/>
          <w:tab w:val="left" w:pos="360"/>
          <w:tab w:val="left" w:pos="426"/>
          <w:tab w:val="left" w:pos="714"/>
        </w:tabs>
        <w:rPr>
          <w:rFonts w:cs="Times New Roman"/>
          <w:szCs w:val="24"/>
          <w:lang w:val="en-US"/>
        </w:rPr>
      </w:pPr>
      <w:r w:rsidRPr="00881752">
        <w:rPr>
          <w:rFonts w:cs="Times New Roman"/>
          <w:szCs w:val="24"/>
          <w:lang w:val="en-US"/>
        </w:rPr>
        <w:t xml:space="preserve">The first element of the compound is the most important and revealing word for the understanding of the whole narrative passage: for example, Hipponax creates ὀμφαλητόμος </w:t>
      </w:r>
      <w:r w:rsidR="00CC0615">
        <w:rPr>
          <w:rFonts w:cs="Times New Roman"/>
          <w:szCs w:val="24"/>
          <w:lang w:val="en-US"/>
        </w:rPr>
        <w:t>“</w:t>
      </w:r>
      <w:r w:rsidRPr="00881752">
        <w:rPr>
          <w:rFonts w:cs="Times New Roman"/>
          <w:szCs w:val="24"/>
          <w:lang w:val="en-US"/>
        </w:rPr>
        <w:t>navel-snipper</w:t>
      </w:r>
      <w:r w:rsidR="00CC0615">
        <w:rPr>
          <w:rFonts w:cs="Times New Roman"/>
          <w:szCs w:val="24"/>
          <w:lang w:val="en-US"/>
        </w:rPr>
        <w:t>”</w:t>
      </w:r>
      <w:r w:rsidRPr="00881752">
        <w:rPr>
          <w:rFonts w:cs="Times New Roman"/>
          <w:szCs w:val="24"/>
          <w:lang w:val="en-US"/>
        </w:rPr>
        <w:t xml:space="preserve"> (fr. 33.1), putting /ē/ instead of /o/</w:t>
      </w:r>
      <w:r w:rsidRPr="00881752">
        <w:rPr>
          <w:rStyle w:val="FootnoteReference"/>
          <w:rFonts w:cs="Times New Roman"/>
          <w:szCs w:val="24"/>
          <w:lang w:val="en-US"/>
        </w:rPr>
        <w:footnoteReference w:id="81"/>
      </w:r>
      <w:r w:rsidRPr="00881752">
        <w:rPr>
          <w:rFonts w:cs="Times New Roman"/>
          <w:szCs w:val="24"/>
          <w:lang w:val="en-US"/>
        </w:rPr>
        <w:t xml:space="preserve"> as the vowel of connection between the two elements of the compound: in this way, the first member clearly suggest to the audience a semantic connection to Omphale, the Greek mythological queen of Lydia. This connection colours the whole fragment, since Bupalus, the alleged recipient of the epithet ὀμφαλητόμος, could have a relationship very similar to that of Heracles and Omphale, where Heracles was completely subdued by the Lydian queen.</w:t>
      </w:r>
    </w:p>
    <w:p w14:paraId="2E068995" w14:textId="77777777" w:rsidR="009C4864" w:rsidRPr="00881752" w:rsidRDefault="009C4864" w:rsidP="00881752">
      <w:pPr>
        <w:widowControl w:val="0"/>
        <w:numPr>
          <w:ilvl w:val="0"/>
          <w:numId w:val="177"/>
        </w:numPr>
        <w:tabs>
          <w:tab w:val="clear" w:pos="425"/>
          <w:tab w:val="left" w:pos="360"/>
          <w:tab w:val="left" w:pos="426"/>
          <w:tab w:val="left" w:pos="720"/>
        </w:tabs>
        <w:rPr>
          <w:rFonts w:cs="Times New Roman"/>
          <w:szCs w:val="24"/>
          <w:lang w:val="en-US"/>
        </w:rPr>
      </w:pPr>
      <w:r w:rsidRPr="00881752">
        <w:rPr>
          <w:rFonts w:cs="Times New Roman"/>
          <w:szCs w:val="24"/>
          <w:lang w:val="en-US"/>
        </w:rPr>
        <w:t>The compound word is not the most important word for understanding the context of the line. It is not vital that the audience should focus their attention on it and grasp its intertextual network. We can see that the compound does not play the main role within the narration due to a number of factors:</w:t>
      </w:r>
    </w:p>
    <w:p w14:paraId="4BD8DFC9" w14:textId="686D5B7F" w:rsidR="009C4864" w:rsidRPr="00881752" w:rsidRDefault="009C4864" w:rsidP="00881752">
      <w:pPr>
        <w:widowControl w:val="0"/>
        <w:numPr>
          <w:ilvl w:val="0"/>
          <w:numId w:val="40"/>
        </w:numPr>
        <w:tabs>
          <w:tab w:val="clear" w:pos="425"/>
          <w:tab w:val="left" w:pos="426"/>
          <w:tab w:val="left" w:pos="1080"/>
        </w:tabs>
        <w:ind w:left="1071" w:hanging="357"/>
        <w:rPr>
          <w:rFonts w:cs="Times New Roman"/>
          <w:szCs w:val="24"/>
          <w:lang w:val="en-US"/>
        </w:rPr>
      </w:pPr>
      <w:r w:rsidRPr="00881752">
        <w:rPr>
          <w:rFonts w:cs="Times New Roman"/>
          <w:szCs w:val="24"/>
          <w:lang w:val="en-US"/>
        </w:rPr>
        <w:lastRenderedPageBreak/>
        <w:t xml:space="preserve">The context where the compound is located is already highly abusive, so that a compound with a strongly iambic first member only strengthens it, but does not characterise it: for example, αὐχηνοπλήξ </w:t>
      </w:r>
      <w:r w:rsidR="00CC0615">
        <w:rPr>
          <w:rFonts w:cs="Times New Roman"/>
          <w:szCs w:val="24"/>
          <w:lang w:val="en-US"/>
        </w:rPr>
        <w:t>“</w:t>
      </w:r>
      <w:r w:rsidRPr="00881752">
        <w:rPr>
          <w:rFonts w:cs="Times New Roman"/>
          <w:szCs w:val="24"/>
          <w:lang w:val="en-US"/>
        </w:rPr>
        <w:t>struck in the neck</w:t>
      </w:r>
      <w:r w:rsidR="00CC0615">
        <w:rPr>
          <w:rFonts w:cs="Times New Roman"/>
          <w:szCs w:val="24"/>
          <w:lang w:val="en-US"/>
        </w:rPr>
        <w:t>”</w:t>
      </w:r>
      <w:r w:rsidRPr="00881752">
        <w:rPr>
          <w:rFonts w:cs="Times New Roman"/>
          <w:szCs w:val="24"/>
          <w:lang w:val="en-US"/>
        </w:rPr>
        <w:t xml:space="preserve"> (fr. 105.6) belongs to the description of some of the labours of Heracles, and other words of the fragment (chatters, entrails of a wild sow, thief, to curse) reveal that the general tone of the fragment is abusive.</w:t>
      </w:r>
    </w:p>
    <w:p w14:paraId="5A0E06DF" w14:textId="504D20AE" w:rsidR="009C4864" w:rsidRPr="00881752" w:rsidRDefault="009C4864" w:rsidP="00881752">
      <w:pPr>
        <w:widowControl w:val="0"/>
        <w:numPr>
          <w:ilvl w:val="0"/>
          <w:numId w:val="40"/>
        </w:numPr>
        <w:tabs>
          <w:tab w:val="clear" w:pos="425"/>
          <w:tab w:val="left" w:pos="426"/>
          <w:tab w:val="left" w:pos="1080"/>
        </w:tabs>
        <w:ind w:left="1071" w:hanging="357"/>
        <w:rPr>
          <w:rFonts w:cs="Times New Roman"/>
          <w:szCs w:val="24"/>
          <w:lang w:val="en-US"/>
        </w:rPr>
      </w:pPr>
      <w:r w:rsidRPr="00881752">
        <w:rPr>
          <w:rFonts w:cs="Times New Roman"/>
          <w:szCs w:val="24"/>
          <w:lang w:val="en-US"/>
        </w:rPr>
        <w:t xml:space="preserve">The compound word does not refer to the main character of the fragment. Instead, it refers to a non-protagonist, who does not have a crucial role in the scene. For example, λοφορρώξ </w:t>
      </w:r>
      <w:r w:rsidR="00CC0615">
        <w:rPr>
          <w:rFonts w:cs="Times New Roman"/>
          <w:szCs w:val="24"/>
          <w:lang w:val="en-US"/>
        </w:rPr>
        <w:t>“</w:t>
      </w:r>
      <w:r w:rsidRPr="00881752">
        <w:rPr>
          <w:rFonts w:cs="Times New Roman"/>
          <w:szCs w:val="24"/>
          <w:lang w:val="en-US"/>
        </w:rPr>
        <w:t>broken at the neck</w:t>
      </w:r>
      <w:r w:rsidR="00CC0615">
        <w:rPr>
          <w:rFonts w:cs="Times New Roman"/>
          <w:szCs w:val="24"/>
          <w:lang w:val="en-US"/>
        </w:rPr>
        <w:t>”</w:t>
      </w:r>
      <w:r w:rsidRPr="00881752">
        <w:rPr>
          <w:rFonts w:cs="Times New Roman"/>
          <w:szCs w:val="24"/>
          <w:lang w:val="en-US"/>
        </w:rPr>
        <w:t xml:space="preserve"> (fr. 107.39) occurs in the plural, while the protagonist of the fragment seems to be an </w:t>
      </w:r>
      <w:r w:rsidR="00CC0615">
        <w:rPr>
          <w:rFonts w:cs="Times New Roman"/>
          <w:szCs w:val="24"/>
          <w:lang w:val="en-US"/>
        </w:rPr>
        <w:t>“</w:t>
      </w:r>
      <w:r w:rsidRPr="00881752">
        <w:rPr>
          <w:rFonts w:cs="Times New Roman"/>
          <w:szCs w:val="24"/>
          <w:lang w:val="en-US"/>
        </w:rPr>
        <w:t>I</w:t>
      </w:r>
      <w:r w:rsidR="00CC0615">
        <w:rPr>
          <w:rFonts w:cs="Times New Roman"/>
          <w:szCs w:val="24"/>
          <w:lang w:val="en-US"/>
        </w:rPr>
        <w:t>”</w:t>
      </w:r>
      <w:r w:rsidRPr="00881752">
        <w:rPr>
          <w:rFonts w:cs="Times New Roman"/>
          <w:szCs w:val="24"/>
          <w:lang w:val="en-US"/>
        </w:rPr>
        <w:t xml:space="preserve"> (there are four verbs at the first singular person).</w:t>
      </w:r>
      <w:r w:rsidRPr="00881752">
        <w:rPr>
          <w:rStyle w:val="FootnoteReference"/>
          <w:rFonts w:cs="Times New Roman"/>
          <w:szCs w:val="24"/>
          <w:lang w:val="en-US"/>
        </w:rPr>
        <w:footnoteReference w:id="82"/>
      </w:r>
    </w:p>
    <w:p w14:paraId="672A8595" w14:textId="41CCF27B" w:rsidR="009C4864" w:rsidRPr="00881752" w:rsidRDefault="009C4864" w:rsidP="00881752">
      <w:pPr>
        <w:widowControl w:val="0"/>
        <w:numPr>
          <w:ilvl w:val="0"/>
          <w:numId w:val="40"/>
        </w:numPr>
        <w:tabs>
          <w:tab w:val="clear" w:pos="425"/>
          <w:tab w:val="left" w:pos="426"/>
          <w:tab w:val="left" w:pos="1080"/>
        </w:tabs>
        <w:ind w:left="1071" w:hanging="357"/>
        <w:rPr>
          <w:rFonts w:cs="Times New Roman"/>
          <w:szCs w:val="24"/>
          <w:lang w:val="en-US"/>
        </w:rPr>
      </w:pPr>
      <w:r w:rsidRPr="00881752">
        <w:rPr>
          <w:rFonts w:cs="Times New Roman"/>
          <w:szCs w:val="24"/>
          <w:lang w:val="en-US"/>
        </w:rPr>
        <w:t xml:space="preserve">The compound word comprises an adjective referring to a noun which is a </w:t>
      </w:r>
      <w:r w:rsidRPr="00881752">
        <w:rPr>
          <w:rFonts w:cs="Times New Roman"/>
          <w:i/>
          <w:iCs/>
          <w:szCs w:val="24"/>
          <w:lang w:val="en-US"/>
        </w:rPr>
        <w:t>hapax legomenon</w:t>
      </w:r>
      <w:r w:rsidRPr="00881752">
        <w:rPr>
          <w:rFonts w:cs="Times New Roman"/>
          <w:szCs w:val="24"/>
          <w:lang w:val="en-US"/>
        </w:rPr>
        <w:t xml:space="preserve">. In this case, the noun captures the attention of the audience, as it is both syntactically more important and semantically more difficult to understand. For instance, πασπαληφάγος </w:t>
      </w:r>
      <w:r w:rsidR="00CC0615">
        <w:rPr>
          <w:rFonts w:cs="Times New Roman"/>
          <w:szCs w:val="24"/>
          <w:lang w:val="en-US"/>
        </w:rPr>
        <w:t>“</w:t>
      </w:r>
      <w:r w:rsidRPr="00881752">
        <w:rPr>
          <w:rFonts w:cs="Times New Roman"/>
          <w:szCs w:val="24"/>
          <w:lang w:val="en-US"/>
        </w:rPr>
        <w:t>millet-fed</w:t>
      </w:r>
      <w:r w:rsidR="00CC0615">
        <w:rPr>
          <w:rFonts w:cs="Times New Roman"/>
          <w:szCs w:val="24"/>
          <w:lang w:val="en-US"/>
        </w:rPr>
        <w:t>”</w:t>
      </w:r>
      <w:r w:rsidRPr="00881752">
        <w:rPr>
          <w:rFonts w:cs="Times New Roman"/>
          <w:szCs w:val="24"/>
          <w:lang w:val="en-US"/>
        </w:rPr>
        <w:t xml:space="preserve"> (fr. 106.11) loses its power in front of the onomatopoeic </w:t>
      </w:r>
      <w:r w:rsidRPr="00881752">
        <w:rPr>
          <w:rFonts w:cs="Times New Roman"/>
          <w:i/>
          <w:iCs/>
          <w:szCs w:val="24"/>
          <w:lang w:val="en-US"/>
        </w:rPr>
        <w:t>hapax legomenon</w:t>
      </w:r>
      <w:r w:rsidRPr="00881752">
        <w:rPr>
          <w:rFonts w:cs="Times New Roman"/>
          <w:szCs w:val="24"/>
          <w:lang w:val="en-US"/>
        </w:rPr>
        <w:t xml:space="preserve"> γρόμφις </w:t>
      </w:r>
      <w:r w:rsidR="00CC0615">
        <w:rPr>
          <w:rFonts w:cs="Times New Roman"/>
          <w:szCs w:val="24"/>
          <w:lang w:val="en-US"/>
        </w:rPr>
        <w:t>“</w:t>
      </w:r>
      <w:r w:rsidRPr="00881752">
        <w:rPr>
          <w:rFonts w:cs="Times New Roman"/>
          <w:szCs w:val="24"/>
          <w:lang w:val="en-US"/>
        </w:rPr>
        <w:t>old sow,</w:t>
      </w:r>
      <w:r w:rsidR="00CC0615">
        <w:rPr>
          <w:rFonts w:cs="Times New Roman"/>
          <w:szCs w:val="24"/>
          <w:lang w:val="en-US"/>
        </w:rPr>
        <w:t>”</w:t>
      </w:r>
      <w:r w:rsidRPr="00881752">
        <w:rPr>
          <w:rFonts w:cs="Times New Roman"/>
          <w:szCs w:val="24"/>
          <w:lang w:val="en-US"/>
        </w:rPr>
        <w:t xml:space="preserve"> which attracts both the ear and the mind of the audience.</w:t>
      </w:r>
    </w:p>
    <w:p w14:paraId="680466FA" w14:textId="2FAC6E6B" w:rsidR="00272F31" w:rsidRPr="00881752" w:rsidRDefault="009C4864" w:rsidP="006D6997">
      <w:pPr>
        <w:tabs>
          <w:tab w:val="clear" w:pos="425"/>
          <w:tab w:val="left" w:pos="426"/>
        </w:tabs>
        <w:spacing w:before="200"/>
        <w:textAlignment w:val="bottom"/>
        <w:rPr>
          <w:rFonts w:cs="Times New Roman"/>
          <w:szCs w:val="24"/>
        </w:rPr>
      </w:pPr>
      <w:r w:rsidRPr="00881752">
        <w:rPr>
          <w:rFonts w:cs="Times New Roman"/>
          <w:szCs w:val="24"/>
          <w:lang w:val="en-US"/>
        </w:rPr>
        <w:t>In conclusion, an overall examination of compound words in my iambic corpus reveals that Hipponax</w:t>
      </w:r>
      <w:r w:rsidR="00075F5F">
        <w:rPr>
          <w:rFonts w:cs="Times New Roman"/>
          <w:szCs w:val="24"/>
          <w:lang w:val="en-US"/>
        </w:rPr>
        <w:t>’</w:t>
      </w:r>
      <w:r w:rsidRPr="00881752">
        <w:rPr>
          <w:rFonts w:cs="Times New Roman"/>
          <w:szCs w:val="24"/>
          <w:lang w:val="en-US"/>
        </w:rPr>
        <w:t>s fragments have the highest frequency of compound words (6.23%) and the highest frequency of new compound words (67.86%). Callima</w:t>
      </w:r>
      <w:r w:rsidR="00075F5F">
        <w:rPr>
          <w:rFonts w:cs="Times New Roman"/>
          <w:szCs w:val="24"/>
          <w:lang w:val="en-US"/>
        </w:rPr>
        <w:t>chus’</w:t>
      </w:r>
      <w:r w:rsidRPr="00881752">
        <w:rPr>
          <w:rFonts w:cs="Times New Roman"/>
          <w:szCs w:val="24"/>
          <w:lang w:val="en-US"/>
        </w:rPr>
        <w:t xml:space="preserve"> </w:t>
      </w:r>
      <w:r w:rsidRPr="00881752">
        <w:rPr>
          <w:rFonts w:cs="Times New Roman"/>
          <w:i/>
          <w:iCs/>
          <w:szCs w:val="24"/>
          <w:lang w:val="en-US"/>
        </w:rPr>
        <w:t>Iambi</w:t>
      </w:r>
      <w:r w:rsidRPr="00881752">
        <w:rPr>
          <w:rFonts w:cs="Times New Roman"/>
          <w:szCs w:val="24"/>
          <w:lang w:val="en-US"/>
        </w:rPr>
        <w:t xml:space="preserve"> have the lowest frequency of compound words (4.31 %) and the lowest frequency of new compound words (20%). 80% of his compound words are combinations already used elsewhere at least once. This demonstrates that Callimachus is able to draw from a wider and richer literary tradition, and also that he chooses to innovate less with the language of his </w:t>
      </w:r>
      <w:r w:rsidRPr="00881752">
        <w:rPr>
          <w:rFonts w:cs="Times New Roman"/>
          <w:i/>
          <w:iCs/>
          <w:szCs w:val="24"/>
          <w:lang w:val="en-US"/>
        </w:rPr>
        <w:t>Iambi</w:t>
      </w:r>
      <w:r w:rsidRPr="00881752">
        <w:rPr>
          <w:rFonts w:cs="Times New Roman"/>
          <w:szCs w:val="24"/>
          <w:lang w:val="en-US"/>
        </w:rPr>
        <w:t>, using compound words with modalities and purposes more similar to Archilochus</w:t>
      </w:r>
      <w:r w:rsidR="00075F5F">
        <w:rPr>
          <w:rFonts w:cs="Times New Roman"/>
          <w:szCs w:val="24"/>
          <w:lang w:val="en-US"/>
        </w:rPr>
        <w:t>’</w:t>
      </w:r>
      <w:r w:rsidRPr="00881752">
        <w:rPr>
          <w:rFonts w:cs="Times New Roman"/>
          <w:szCs w:val="24"/>
          <w:lang w:val="en-US"/>
        </w:rPr>
        <w:t xml:space="preserve"> use of them rather than Hipponax</w:t>
      </w:r>
      <w:r w:rsidR="00075F5F">
        <w:rPr>
          <w:rFonts w:cs="Times New Roman"/>
          <w:szCs w:val="24"/>
          <w:lang w:val="en-US"/>
        </w:rPr>
        <w:t>’</w:t>
      </w:r>
      <w:r w:rsidRPr="00881752">
        <w:rPr>
          <w:rFonts w:cs="Times New Roman"/>
          <w:szCs w:val="24"/>
          <w:lang w:val="en-US"/>
        </w:rPr>
        <w:t>s one. The percentage of compound words in Archilochus (4.88%) is nearer to that of Callimachus than to that of Hipponax, and Archilochus</w:t>
      </w:r>
      <w:r w:rsidR="00075F5F">
        <w:rPr>
          <w:rFonts w:cs="Times New Roman"/>
          <w:szCs w:val="24"/>
          <w:lang w:val="en-US"/>
        </w:rPr>
        <w:t>’</w:t>
      </w:r>
      <w:r w:rsidRPr="00881752">
        <w:rPr>
          <w:rFonts w:cs="Times New Roman"/>
          <w:szCs w:val="24"/>
          <w:lang w:val="en-US"/>
        </w:rPr>
        <w:t xml:space="preserve"> fragments show a greater amount of traditional compound words (57.14%), rather than new compound words (42.86%). </w:t>
      </w:r>
      <w:r w:rsidR="00272F31" w:rsidRPr="00881752">
        <w:rPr>
          <w:rFonts w:cs="Times New Roman"/>
          <w:szCs w:val="24"/>
        </w:rPr>
        <w:t xml:space="preserve"> </w:t>
      </w:r>
    </w:p>
    <w:p w14:paraId="2B640E2F" w14:textId="77777777" w:rsidR="00BA1D6D" w:rsidRPr="00881752" w:rsidRDefault="00BA1D6D" w:rsidP="00BA1D6D">
      <w:pPr>
        <w:tabs>
          <w:tab w:val="clear" w:pos="425"/>
          <w:tab w:val="left" w:pos="426"/>
        </w:tabs>
        <w:spacing w:before="200"/>
        <w:textAlignment w:val="bottom"/>
        <w:rPr>
          <w:rFonts w:cs="Times New Roman"/>
          <w:szCs w:val="24"/>
        </w:rPr>
      </w:pPr>
    </w:p>
    <w:tbl>
      <w:tblPr>
        <w:tblStyle w:val="TableGrid"/>
        <w:tblW w:w="0" w:type="auto"/>
        <w:tblLook w:val="04A0" w:firstRow="1" w:lastRow="0" w:firstColumn="1" w:lastColumn="0" w:noHBand="0" w:noVBand="1"/>
      </w:tblPr>
      <w:tblGrid>
        <w:gridCol w:w="2711"/>
        <w:gridCol w:w="1905"/>
        <w:gridCol w:w="1795"/>
        <w:gridCol w:w="1795"/>
      </w:tblGrid>
      <w:tr w:rsidR="00272F31" w:rsidRPr="00881752" w14:paraId="66435E19" w14:textId="77777777" w:rsidTr="00F74824">
        <w:tc>
          <w:tcPr>
            <w:tcW w:w="0" w:type="auto"/>
          </w:tcPr>
          <w:p w14:paraId="0BEF70A5"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b/>
                <w:sz w:val="22"/>
              </w:rPr>
              <w:t>Summary</w:t>
            </w:r>
          </w:p>
        </w:tc>
        <w:tc>
          <w:tcPr>
            <w:tcW w:w="0" w:type="auto"/>
          </w:tcPr>
          <w:p w14:paraId="7BC12C06"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p>
        </w:tc>
        <w:tc>
          <w:tcPr>
            <w:tcW w:w="0" w:type="auto"/>
          </w:tcPr>
          <w:p w14:paraId="3CC2EA53"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p>
        </w:tc>
        <w:tc>
          <w:tcPr>
            <w:tcW w:w="0" w:type="auto"/>
          </w:tcPr>
          <w:p w14:paraId="1CA44DA4"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p>
        </w:tc>
      </w:tr>
      <w:tr w:rsidR="00272F31" w:rsidRPr="00881752" w14:paraId="6C5B5772" w14:textId="77777777" w:rsidTr="00F74824">
        <w:tc>
          <w:tcPr>
            <w:tcW w:w="0" w:type="auto"/>
          </w:tcPr>
          <w:p w14:paraId="417DD6E6"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 xml:space="preserve">Percentages </w:t>
            </w:r>
          </w:p>
        </w:tc>
        <w:tc>
          <w:tcPr>
            <w:tcW w:w="0" w:type="auto"/>
          </w:tcPr>
          <w:p w14:paraId="13AA0C06"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Archilochus</w:t>
            </w:r>
          </w:p>
        </w:tc>
        <w:tc>
          <w:tcPr>
            <w:tcW w:w="0" w:type="auto"/>
          </w:tcPr>
          <w:p w14:paraId="7D9C0D2E"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Hipponax</w:t>
            </w:r>
          </w:p>
        </w:tc>
        <w:tc>
          <w:tcPr>
            <w:tcW w:w="0" w:type="auto"/>
          </w:tcPr>
          <w:p w14:paraId="66B29718"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Callimachus</w:t>
            </w:r>
          </w:p>
        </w:tc>
      </w:tr>
      <w:tr w:rsidR="00272F31" w:rsidRPr="00881752" w14:paraId="1C5CE673" w14:textId="77777777" w:rsidTr="00F74824">
        <w:tc>
          <w:tcPr>
            <w:tcW w:w="0" w:type="auto"/>
          </w:tcPr>
          <w:p w14:paraId="0736A78E"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lastRenderedPageBreak/>
              <w:t>Compounds</w:t>
            </w:r>
          </w:p>
        </w:tc>
        <w:tc>
          <w:tcPr>
            <w:tcW w:w="0" w:type="auto"/>
          </w:tcPr>
          <w:p w14:paraId="56C69EDE"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49 : 1005 = 4.88 %</w:t>
            </w:r>
          </w:p>
        </w:tc>
        <w:tc>
          <w:tcPr>
            <w:tcW w:w="0" w:type="auto"/>
          </w:tcPr>
          <w:p w14:paraId="1CC991E7"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56 : 889 = 6.23 %</w:t>
            </w:r>
          </w:p>
        </w:tc>
        <w:tc>
          <w:tcPr>
            <w:tcW w:w="0" w:type="auto"/>
          </w:tcPr>
          <w:p w14:paraId="7BEF09EE"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35 : 812 = 4.31 %</w:t>
            </w:r>
          </w:p>
        </w:tc>
      </w:tr>
      <w:tr w:rsidR="00272F31" w:rsidRPr="00881752" w14:paraId="25D087E6" w14:textId="77777777" w:rsidTr="00F74824">
        <w:tc>
          <w:tcPr>
            <w:tcW w:w="0" w:type="auto"/>
          </w:tcPr>
          <w:p w14:paraId="33018E56" w14:textId="77777777" w:rsidR="00272F31" w:rsidRPr="00881752" w:rsidRDefault="00272F31" w:rsidP="00881752">
            <w:pPr>
              <w:pStyle w:val="ListParagraph"/>
              <w:numPr>
                <w:ilvl w:val="0"/>
                <w:numId w:val="1"/>
              </w:numPr>
              <w:tabs>
                <w:tab w:val="left" w:pos="142"/>
              </w:tabs>
              <w:spacing w:before="100" w:after="100" w:line="240" w:lineRule="exact"/>
              <w:ind w:hanging="720"/>
              <w:textAlignment w:val="bottom"/>
              <w:rPr>
                <w:i/>
                <w:iCs/>
                <w:color w:val="243F60" w:themeColor="accent1" w:themeShade="7F"/>
                <w:sz w:val="22"/>
              </w:rPr>
            </w:pPr>
            <w:r w:rsidRPr="00881752">
              <w:rPr>
                <w:sz w:val="22"/>
              </w:rPr>
              <w:t>Already-Used Compounds</w:t>
            </w:r>
          </w:p>
        </w:tc>
        <w:tc>
          <w:tcPr>
            <w:tcW w:w="0" w:type="auto"/>
          </w:tcPr>
          <w:p w14:paraId="5DBE5ACC"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28 : 49 = 57.14 %</w:t>
            </w:r>
          </w:p>
        </w:tc>
        <w:tc>
          <w:tcPr>
            <w:tcW w:w="0" w:type="auto"/>
          </w:tcPr>
          <w:p w14:paraId="6AAE30FA"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18 : 56 = 32.14 %</w:t>
            </w:r>
          </w:p>
        </w:tc>
        <w:tc>
          <w:tcPr>
            <w:tcW w:w="0" w:type="auto"/>
          </w:tcPr>
          <w:p w14:paraId="3799E41A"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28 : 35 = 80 %</w:t>
            </w:r>
          </w:p>
        </w:tc>
      </w:tr>
      <w:tr w:rsidR="00272F31" w:rsidRPr="00881752" w14:paraId="338431CF" w14:textId="77777777" w:rsidTr="00F74824">
        <w:tc>
          <w:tcPr>
            <w:tcW w:w="0" w:type="auto"/>
          </w:tcPr>
          <w:p w14:paraId="4BFA3CD9" w14:textId="77777777" w:rsidR="00272F31" w:rsidRPr="00881752" w:rsidRDefault="00272F31" w:rsidP="00881752">
            <w:pPr>
              <w:pStyle w:val="ListParagraph"/>
              <w:numPr>
                <w:ilvl w:val="0"/>
                <w:numId w:val="1"/>
              </w:numPr>
              <w:tabs>
                <w:tab w:val="left" w:pos="142"/>
              </w:tabs>
              <w:spacing w:before="100" w:after="100" w:line="240" w:lineRule="exact"/>
              <w:ind w:hanging="720"/>
              <w:textAlignment w:val="bottom"/>
              <w:rPr>
                <w:i/>
                <w:iCs/>
                <w:color w:val="243F60" w:themeColor="accent1" w:themeShade="7F"/>
                <w:sz w:val="22"/>
              </w:rPr>
            </w:pPr>
            <w:r w:rsidRPr="00881752">
              <w:rPr>
                <w:sz w:val="22"/>
              </w:rPr>
              <w:t>New Compounds</w:t>
            </w:r>
          </w:p>
        </w:tc>
        <w:tc>
          <w:tcPr>
            <w:tcW w:w="0" w:type="auto"/>
          </w:tcPr>
          <w:p w14:paraId="59FD36CF"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21 : 49 = 42.86 %</w:t>
            </w:r>
          </w:p>
        </w:tc>
        <w:tc>
          <w:tcPr>
            <w:tcW w:w="0" w:type="auto"/>
          </w:tcPr>
          <w:p w14:paraId="622C8534"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38 : 56 = 67.86 %</w:t>
            </w:r>
          </w:p>
        </w:tc>
        <w:tc>
          <w:tcPr>
            <w:tcW w:w="0" w:type="auto"/>
          </w:tcPr>
          <w:p w14:paraId="60FF0C35"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7 : 35 = 20 %</w:t>
            </w:r>
          </w:p>
        </w:tc>
      </w:tr>
      <w:tr w:rsidR="00272F31" w:rsidRPr="00881752" w14:paraId="36D925D8" w14:textId="77777777" w:rsidTr="00F74824">
        <w:tc>
          <w:tcPr>
            <w:tcW w:w="0" w:type="auto"/>
          </w:tcPr>
          <w:p w14:paraId="7177A2E5" w14:textId="77777777" w:rsidR="00272F31" w:rsidRPr="00881752" w:rsidRDefault="00272F31" w:rsidP="00881752">
            <w:pPr>
              <w:pStyle w:val="ListParagraph"/>
              <w:numPr>
                <w:ilvl w:val="0"/>
                <w:numId w:val="2"/>
              </w:numPr>
              <w:tabs>
                <w:tab w:val="left" w:pos="284"/>
              </w:tabs>
              <w:spacing w:before="100" w:after="100" w:line="240" w:lineRule="exact"/>
              <w:ind w:left="709" w:hanging="578"/>
              <w:textAlignment w:val="bottom"/>
              <w:rPr>
                <w:i/>
                <w:iCs/>
                <w:color w:val="243F60" w:themeColor="accent1" w:themeShade="7F"/>
                <w:sz w:val="22"/>
              </w:rPr>
            </w:pPr>
            <w:r w:rsidRPr="00881752">
              <w:rPr>
                <w:sz w:val="22"/>
              </w:rPr>
              <w:t>Partially New</w:t>
            </w:r>
          </w:p>
        </w:tc>
        <w:tc>
          <w:tcPr>
            <w:tcW w:w="0" w:type="auto"/>
          </w:tcPr>
          <w:p w14:paraId="15B11D16"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18 : 21 = 85.71 %</w:t>
            </w:r>
          </w:p>
        </w:tc>
        <w:tc>
          <w:tcPr>
            <w:tcW w:w="0" w:type="auto"/>
          </w:tcPr>
          <w:p w14:paraId="46B58C10"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28 : 38 = 73.68 %</w:t>
            </w:r>
          </w:p>
        </w:tc>
        <w:tc>
          <w:tcPr>
            <w:tcW w:w="0" w:type="auto"/>
          </w:tcPr>
          <w:p w14:paraId="3DCB2F0F"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n.a.</w:t>
            </w:r>
          </w:p>
        </w:tc>
      </w:tr>
      <w:tr w:rsidR="00272F31" w:rsidRPr="00881752" w14:paraId="32E1D3A2" w14:textId="77777777" w:rsidTr="00F74824">
        <w:tc>
          <w:tcPr>
            <w:tcW w:w="0" w:type="auto"/>
          </w:tcPr>
          <w:p w14:paraId="438DAFAD" w14:textId="77777777" w:rsidR="00272F31" w:rsidRPr="00881752" w:rsidRDefault="00272F31" w:rsidP="00881752">
            <w:pPr>
              <w:pStyle w:val="ListParagraph"/>
              <w:numPr>
                <w:ilvl w:val="0"/>
                <w:numId w:val="3"/>
              </w:numPr>
              <w:tabs>
                <w:tab w:val="clear" w:pos="425"/>
                <w:tab w:val="left" w:pos="426"/>
              </w:tabs>
              <w:spacing w:before="100" w:after="100" w:line="240" w:lineRule="exact"/>
              <w:ind w:left="567" w:hanging="283"/>
              <w:textAlignment w:val="bottom"/>
              <w:rPr>
                <w:i/>
                <w:iCs/>
                <w:color w:val="243F60" w:themeColor="accent1" w:themeShade="7F"/>
                <w:sz w:val="22"/>
              </w:rPr>
            </w:pPr>
            <w:r w:rsidRPr="00881752">
              <w:rPr>
                <w:sz w:val="22"/>
              </w:rPr>
              <w:t>1</w:t>
            </w:r>
            <w:r w:rsidRPr="00881752">
              <w:rPr>
                <w:sz w:val="22"/>
                <w:vertAlign w:val="superscript"/>
              </w:rPr>
              <w:t>st</w:t>
            </w:r>
            <w:r w:rsidRPr="00881752">
              <w:rPr>
                <w:sz w:val="22"/>
              </w:rPr>
              <w:t xml:space="preserve"> member</w:t>
            </w:r>
          </w:p>
        </w:tc>
        <w:tc>
          <w:tcPr>
            <w:tcW w:w="0" w:type="auto"/>
          </w:tcPr>
          <w:p w14:paraId="2D996261"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3 : 18 = 16.67 %</w:t>
            </w:r>
          </w:p>
        </w:tc>
        <w:tc>
          <w:tcPr>
            <w:tcW w:w="0" w:type="auto"/>
          </w:tcPr>
          <w:p w14:paraId="705FF79B"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12 : 28 = 42.86 %</w:t>
            </w:r>
          </w:p>
        </w:tc>
        <w:tc>
          <w:tcPr>
            <w:tcW w:w="0" w:type="auto"/>
          </w:tcPr>
          <w:p w14:paraId="2CAAE361"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n.a.</w:t>
            </w:r>
          </w:p>
        </w:tc>
      </w:tr>
      <w:tr w:rsidR="00272F31" w:rsidRPr="00881752" w14:paraId="4FD70F91" w14:textId="77777777" w:rsidTr="00F74824">
        <w:tc>
          <w:tcPr>
            <w:tcW w:w="0" w:type="auto"/>
          </w:tcPr>
          <w:p w14:paraId="1C80CE10" w14:textId="77777777" w:rsidR="00272F31" w:rsidRPr="00881752" w:rsidRDefault="00272F31" w:rsidP="00881752">
            <w:pPr>
              <w:pStyle w:val="ListParagraph"/>
              <w:numPr>
                <w:ilvl w:val="0"/>
                <w:numId w:val="3"/>
              </w:numPr>
              <w:tabs>
                <w:tab w:val="clear" w:pos="425"/>
                <w:tab w:val="left" w:pos="426"/>
              </w:tabs>
              <w:spacing w:before="100" w:after="100" w:line="240" w:lineRule="exact"/>
              <w:ind w:left="567" w:hanging="283"/>
              <w:textAlignment w:val="bottom"/>
              <w:rPr>
                <w:i/>
                <w:iCs/>
                <w:color w:val="243F60" w:themeColor="accent1" w:themeShade="7F"/>
                <w:sz w:val="22"/>
              </w:rPr>
            </w:pPr>
            <w:r w:rsidRPr="00881752">
              <w:rPr>
                <w:sz w:val="22"/>
              </w:rPr>
              <w:t>2</w:t>
            </w:r>
            <w:r w:rsidRPr="00881752">
              <w:rPr>
                <w:sz w:val="22"/>
                <w:vertAlign w:val="superscript"/>
              </w:rPr>
              <w:t>nd</w:t>
            </w:r>
            <w:r w:rsidRPr="00881752">
              <w:rPr>
                <w:sz w:val="22"/>
              </w:rPr>
              <w:t xml:space="preserve"> member</w:t>
            </w:r>
          </w:p>
        </w:tc>
        <w:tc>
          <w:tcPr>
            <w:tcW w:w="0" w:type="auto"/>
          </w:tcPr>
          <w:p w14:paraId="146DF7FC"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15 : 18 = 83.33 %</w:t>
            </w:r>
          </w:p>
        </w:tc>
        <w:tc>
          <w:tcPr>
            <w:tcW w:w="0" w:type="auto"/>
          </w:tcPr>
          <w:p w14:paraId="59CF2C8D"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16 : 28 = 57.14 %</w:t>
            </w:r>
          </w:p>
        </w:tc>
        <w:tc>
          <w:tcPr>
            <w:tcW w:w="0" w:type="auto"/>
          </w:tcPr>
          <w:p w14:paraId="7BED0B4A"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n.a.</w:t>
            </w:r>
          </w:p>
        </w:tc>
      </w:tr>
      <w:tr w:rsidR="00272F31" w:rsidRPr="00881752" w14:paraId="39E6D283" w14:textId="77777777" w:rsidTr="00F74824">
        <w:tc>
          <w:tcPr>
            <w:tcW w:w="0" w:type="auto"/>
          </w:tcPr>
          <w:p w14:paraId="087D06EB" w14:textId="77777777" w:rsidR="00272F31" w:rsidRPr="00881752" w:rsidRDefault="00272F31" w:rsidP="00881752">
            <w:pPr>
              <w:pStyle w:val="ListParagraph"/>
              <w:numPr>
                <w:ilvl w:val="0"/>
                <w:numId w:val="2"/>
              </w:numPr>
              <w:tabs>
                <w:tab w:val="left" w:pos="284"/>
              </w:tabs>
              <w:spacing w:before="100" w:after="100" w:line="240" w:lineRule="exact"/>
              <w:ind w:hanging="578"/>
              <w:textAlignment w:val="bottom"/>
              <w:rPr>
                <w:i/>
                <w:iCs/>
                <w:color w:val="243F60" w:themeColor="accent1" w:themeShade="7F"/>
                <w:sz w:val="22"/>
              </w:rPr>
            </w:pPr>
            <w:r w:rsidRPr="00881752">
              <w:rPr>
                <w:sz w:val="22"/>
              </w:rPr>
              <w:t>Totally New</w:t>
            </w:r>
          </w:p>
        </w:tc>
        <w:tc>
          <w:tcPr>
            <w:tcW w:w="0" w:type="auto"/>
          </w:tcPr>
          <w:p w14:paraId="3F7F25A9"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3 : 21 = 14.29 %</w:t>
            </w:r>
          </w:p>
        </w:tc>
        <w:tc>
          <w:tcPr>
            <w:tcW w:w="0" w:type="auto"/>
          </w:tcPr>
          <w:p w14:paraId="0BD49865"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10 : 38 = 26.32 %</w:t>
            </w:r>
          </w:p>
        </w:tc>
        <w:tc>
          <w:tcPr>
            <w:tcW w:w="0" w:type="auto"/>
          </w:tcPr>
          <w:p w14:paraId="75E6FF8E" w14:textId="77777777" w:rsidR="00272F31" w:rsidRPr="00881752" w:rsidRDefault="00272F31" w:rsidP="00BA1D6D">
            <w:pPr>
              <w:tabs>
                <w:tab w:val="clear" w:pos="425"/>
                <w:tab w:val="left" w:pos="426"/>
              </w:tabs>
              <w:spacing w:before="100" w:after="100" w:line="240" w:lineRule="exact"/>
              <w:textAlignment w:val="bottom"/>
              <w:rPr>
                <w:rFonts w:cs="Times New Roman"/>
                <w:sz w:val="22"/>
              </w:rPr>
            </w:pPr>
            <w:r w:rsidRPr="00881752">
              <w:rPr>
                <w:rFonts w:cs="Times New Roman"/>
                <w:sz w:val="22"/>
              </w:rPr>
              <w:t>n.a.</w:t>
            </w:r>
          </w:p>
        </w:tc>
      </w:tr>
    </w:tbl>
    <w:p w14:paraId="14514A78" w14:textId="77777777" w:rsidR="004D0056" w:rsidRPr="00881752" w:rsidRDefault="004D0056">
      <w:pPr>
        <w:spacing w:line="240" w:lineRule="auto"/>
        <w:jc w:val="left"/>
        <w:rPr>
          <w:rFonts w:eastAsia="Times New Roman" w:cs="Times New Roman"/>
          <w:b/>
          <w:bCs/>
          <w:szCs w:val="24"/>
          <w:lang w:eastAsia="it-IT"/>
        </w:rPr>
      </w:pPr>
      <w:r w:rsidRPr="00881752">
        <w:rPr>
          <w:rFonts w:cs="Times New Roman"/>
        </w:rPr>
        <w:br w:type="page"/>
      </w:r>
    </w:p>
    <w:p w14:paraId="1D4C89BE" w14:textId="2087C9B1" w:rsidR="00272F31" w:rsidRPr="00881752" w:rsidRDefault="00BA1D6D" w:rsidP="00F74824">
      <w:pPr>
        <w:pStyle w:val="Heading3"/>
      </w:pPr>
      <w:r w:rsidRPr="00881752">
        <w:lastRenderedPageBreak/>
        <w:t>1.4</w:t>
      </w:r>
      <w:r w:rsidR="00861BD6" w:rsidRPr="00881752">
        <w:t xml:space="preserve"> </w:t>
      </w:r>
      <w:r w:rsidR="00272F31" w:rsidRPr="00881752">
        <w:t>Heteroclisis</w:t>
      </w:r>
    </w:p>
    <w:p w14:paraId="4928349D" w14:textId="5D19FF7C" w:rsidR="009C4864" w:rsidRPr="00881752" w:rsidRDefault="009C4864" w:rsidP="009C4864">
      <w:pPr>
        <w:tabs>
          <w:tab w:val="clear" w:pos="425"/>
          <w:tab w:val="left" w:pos="426"/>
        </w:tabs>
        <w:rPr>
          <w:rFonts w:cs="Times New Roman"/>
          <w:szCs w:val="24"/>
          <w:lang w:val="en-US"/>
        </w:rPr>
      </w:pPr>
      <w:r w:rsidRPr="00881752">
        <w:rPr>
          <w:rFonts w:cs="Times New Roman"/>
          <w:szCs w:val="24"/>
          <w:lang w:val="en-US"/>
        </w:rPr>
        <w:t xml:space="preserve">The term heteroclisis refers to </w:t>
      </w:r>
      <w:r w:rsidR="00CC0615">
        <w:rPr>
          <w:rFonts w:cs="Times New Roman"/>
          <w:szCs w:val="24"/>
          <w:lang w:val="en-US"/>
        </w:rPr>
        <w:t>“</w:t>
      </w:r>
      <w:r w:rsidRPr="00881752">
        <w:rPr>
          <w:rFonts w:cs="Times New Roman"/>
          <w:szCs w:val="24"/>
          <w:lang w:val="en-US"/>
        </w:rPr>
        <w:t>the property of a lexeme whose inflectional paradigm contains forms built upon stems belonging to two or more distinct inflection classes.</w:t>
      </w:r>
      <w:r w:rsidR="00CC0615">
        <w:rPr>
          <w:rFonts w:cs="Times New Roman"/>
          <w:szCs w:val="24"/>
          <w:lang w:val="en-US"/>
        </w:rPr>
        <w:t>”</w:t>
      </w:r>
      <w:r w:rsidRPr="00881752">
        <w:rPr>
          <w:rStyle w:val="FootnoteReference"/>
          <w:rFonts w:cs="Times New Roman"/>
          <w:szCs w:val="24"/>
          <w:lang w:val="en-US"/>
        </w:rPr>
        <w:footnoteReference w:id="83"/>
      </w:r>
      <w:r w:rsidRPr="00881752">
        <w:rPr>
          <w:rFonts w:cs="Times New Roman"/>
          <w:szCs w:val="24"/>
          <w:lang w:val="en-US"/>
        </w:rPr>
        <w:t xml:space="preserve"> Therefore, the phenomenon of heteroclisis is a significant example of mismatch between a language</w:t>
      </w:r>
      <w:r w:rsidR="00075F5F">
        <w:rPr>
          <w:rFonts w:cs="Times New Roman"/>
          <w:szCs w:val="24"/>
          <w:lang w:val="en-US"/>
        </w:rPr>
        <w:t>’</w:t>
      </w:r>
      <w:r w:rsidRPr="00881752">
        <w:rPr>
          <w:rFonts w:cs="Times New Roman"/>
          <w:szCs w:val="24"/>
          <w:lang w:val="en-US"/>
        </w:rPr>
        <w:t xml:space="preserve">s </w:t>
      </w:r>
      <w:r w:rsidR="00CC0615">
        <w:rPr>
          <w:rFonts w:cs="Times New Roman"/>
          <w:szCs w:val="24"/>
          <w:lang w:val="en-US"/>
        </w:rPr>
        <w:t>“</w:t>
      </w:r>
      <w:r w:rsidRPr="00881752">
        <w:rPr>
          <w:rFonts w:cs="Times New Roman"/>
          <w:szCs w:val="24"/>
          <w:lang w:val="en-US"/>
        </w:rPr>
        <w:t>content paradigms</w:t>
      </w:r>
      <w:r w:rsidR="00CC0615">
        <w:rPr>
          <w:rFonts w:cs="Times New Roman"/>
          <w:szCs w:val="24"/>
          <w:lang w:val="en-US"/>
        </w:rPr>
        <w:t>”</w:t>
      </w:r>
      <w:r w:rsidRPr="00881752">
        <w:rPr>
          <w:rFonts w:cs="Times New Roman"/>
          <w:szCs w:val="24"/>
          <w:lang w:val="en-US"/>
        </w:rPr>
        <w:t xml:space="preserve"> and its </w:t>
      </w:r>
      <w:r w:rsidR="00CC0615">
        <w:rPr>
          <w:rFonts w:cs="Times New Roman"/>
          <w:szCs w:val="24"/>
          <w:lang w:val="en-US"/>
        </w:rPr>
        <w:t>“</w:t>
      </w:r>
      <w:r w:rsidRPr="00881752">
        <w:rPr>
          <w:rFonts w:cs="Times New Roman"/>
          <w:szCs w:val="24"/>
          <w:lang w:val="en-US"/>
        </w:rPr>
        <w:t>form paradigms</w:t>
      </w:r>
      <w:r w:rsidR="00CC0615">
        <w:rPr>
          <w:rFonts w:cs="Times New Roman"/>
          <w:szCs w:val="24"/>
          <w:lang w:val="en-US"/>
        </w:rPr>
        <w:t>”</w:t>
      </w:r>
      <w:r w:rsidRPr="00881752">
        <w:rPr>
          <w:rFonts w:cs="Times New Roman"/>
          <w:szCs w:val="24"/>
          <w:lang w:val="en-US"/>
        </w:rPr>
        <w:t xml:space="preserve"> which is subject to language-specific principles of linkage between them.</w:t>
      </w:r>
      <w:r w:rsidRPr="00881752">
        <w:rPr>
          <w:rStyle w:val="FootnoteReference"/>
          <w:rFonts w:cs="Times New Roman"/>
          <w:szCs w:val="24"/>
          <w:lang w:val="en-US"/>
        </w:rPr>
        <w:footnoteReference w:id="84"/>
      </w:r>
      <w:r w:rsidRPr="00881752">
        <w:rPr>
          <w:rFonts w:cs="Times New Roman"/>
          <w:szCs w:val="24"/>
          <w:lang w:val="en-US"/>
        </w:rPr>
        <w:t xml:space="preserve"> What is clear from Stump</w:t>
      </w:r>
      <w:r w:rsidR="00075F5F">
        <w:rPr>
          <w:rFonts w:cs="Times New Roman"/>
          <w:szCs w:val="24"/>
          <w:lang w:val="en-US"/>
        </w:rPr>
        <w:t>’</w:t>
      </w:r>
      <w:r w:rsidRPr="00881752">
        <w:rPr>
          <w:rFonts w:cs="Times New Roman"/>
          <w:szCs w:val="24"/>
          <w:lang w:val="en-US"/>
        </w:rPr>
        <w:t>s broad-comparative study is that heteroclisis is a morphological phenomenon. It involves not only single words, but the whole syntactic structure of the sentence.</w:t>
      </w:r>
      <w:r w:rsidRPr="00881752">
        <w:rPr>
          <w:rStyle w:val="FootnoteReference"/>
          <w:rFonts w:cs="Times New Roman"/>
          <w:szCs w:val="24"/>
          <w:lang w:val="en-US"/>
        </w:rPr>
        <w:footnoteReference w:id="85"/>
      </w:r>
      <w:r w:rsidRPr="00881752">
        <w:rPr>
          <w:rFonts w:cs="Times New Roman"/>
          <w:szCs w:val="24"/>
          <w:lang w:val="en-US"/>
        </w:rPr>
        <w:t xml:space="preserve"> This is surely important from a linguistic point of view when studying heteroclisis. However, here I analyse the phenomenon in a literary context.</w:t>
      </w:r>
    </w:p>
    <w:p w14:paraId="267742A1" w14:textId="77777777" w:rsidR="009C4864" w:rsidRPr="00881752" w:rsidRDefault="009C4864" w:rsidP="009C4864">
      <w:pPr>
        <w:tabs>
          <w:tab w:val="clear" w:pos="425"/>
          <w:tab w:val="left" w:pos="426"/>
        </w:tabs>
        <w:rPr>
          <w:rFonts w:cs="Times New Roman"/>
          <w:szCs w:val="24"/>
          <w:lang w:val="en-US"/>
        </w:rPr>
      </w:pPr>
      <w:r w:rsidRPr="00881752">
        <w:rPr>
          <w:rFonts w:cs="Times New Roman"/>
          <w:szCs w:val="24"/>
          <w:lang w:val="en-US"/>
        </w:rPr>
        <w:tab/>
        <w:t xml:space="preserve">I investigate what cases of heteroclisis occur, and where they occur within the text. I investigate, too, the rhetorical reason, if there is one, why iambographers resort to it. The cases of heteroclisis that it is possible to find in the iambic fragments could be cases of lexical heteroclisis, since iambogarphers themselves choose to change the declension of a particular word, and this word may be not subject to heteroclisis systematically within the Greek language. </w:t>
      </w:r>
    </w:p>
    <w:p w14:paraId="4843DAED" w14:textId="4984F97F" w:rsidR="009C4864" w:rsidRPr="00881752" w:rsidRDefault="009C4864" w:rsidP="009C4864">
      <w:pPr>
        <w:tabs>
          <w:tab w:val="clear" w:pos="425"/>
          <w:tab w:val="left" w:pos="426"/>
        </w:tabs>
        <w:ind w:firstLine="426"/>
        <w:rPr>
          <w:rFonts w:cs="Times New Roman"/>
          <w:szCs w:val="24"/>
          <w:lang w:val="en-US"/>
        </w:rPr>
      </w:pPr>
      <w:r w:rsidRPr="00881752">
        <w:rPr>
          <w:rFonts w:cs="Times New Roman"/>
          <w:szCs w:val="24"/>
          <w:lang w:val="en-US"/>
        </w:rPr>
        <w:t xml:space="preserve">For this reason, I suggest in my analysis that heteroclisis is predominantly a lexical phenomenon, even if the iambogarpher who operates the change of declension must follow the morpho-syntactic rules of the language. For example, Hipponax, when he transforms the first-declension feminine word διασφαγή </w:t>
      </w:r>
      <w:r w:rsidR="00CC0615">
        <w:rPr>
          <w:rFonts w:cs="Times New Roman"/>
          <w:szCs w:val="24"/>
          <w:lang w:val="en-US"/>
        </w:rPr>
        <w:t>“</w:t>
      </w:r>
      <w:r w:rsidRPr="00881752">
        <w:rPr>
          <w:rFonts w:cs="Times New Roman"/>
          <w:szCs w:val="24"/>
          <w:lang w:val="en-US"/>
        </w:rPr>
        <w:t>gorge, fissure</w:t>
      </w:r>
      <w:r w:rsidR="00CC0615">
        <w:rPr>
          <w:rFonts w:cs="Times New Roman"/>
          <w:szCs w:val="24"/>
          <w:lang w:val="en-US"/>
        </w:rPr>
        <w:t>”</w:t>
      </w:r>
      <w:r w:rsidRPr="00881752">
        <w:rPr>
          <w:rFonts w:cs="Times New Roman"/>
          <w:szCs w:val="24"/>
          <w:lang w:val="en-US"/>
        </w:rPr>
        <w:t xml:space="preserve"> into the neuter third-declension word διάσφαγμα </w:t>
      </w:r>
      <w:r w:rsidR="00CC0615">
        <w:rPr>
          <w:rFonts w:cs="Times New Roman"/>
          <w:szCs w:val="24"/>
          <w:lang w:val="en-US"/>
        </w:rPr>
        <w:t>“</w:t>
      </w:r>
      <w:r w:rsidRPr="00881752">
        <w:rPr>
          <w:rFonts w:cs="Times New Roman"/>
          <w:szCs w:val="24"/>
          <w:lang w:val="en-US"/>
        </w:rPr>
        <w:t>fissure,</w:t>
      </w:r>
      <w:r w:rsidR="00CC0615">
        <w:rPr>
          <w:rFonts w:cs="Times New Roman"/>
          <w:szCs w:val="24"/>
          <w:lang w:val="en-US"/>
        </w:rPr>
        <w:t>”</w:t>
      </w:r>
      <w:r w:rsidRPr="00881752">
        <w:rPr>
          <w:rFonts w:cs="Times New Roman"/>
          <w:szCs w:val="24"/>
          <w:lang w:val="en-US"/>
        </w:rPr>
        <w:t xml:space="preserve"> must coordinate the adjective Σινδικός with the new neuter gender, so to say Σινδικὸν διάσφαγμα (Hippon. fr. 4b). Moreover, it can happen that a word subject to heteroclisis in a literary context then acquires the new variant as intrinsic to its paradigm, since its literary use spreads the heteroclitic form so as to make it the usual one for a Greek speaker. For instance, Hipponax uses the third-declension neuter λῶπος</w:t>
      </w:r>
      <w:r w:rsidRPr="00881752">
        <w:rPr>
          <w:rStyle w:val="FootnoteReference"/>
          <w:rFonts w:cs="Times New Roman"/>
          <w:szCs w:val="24"/>
          <w:lang w:val="en-US"/>
        </w:rPr>
        <w:footnoteReference w:id="86"/>
      </w:r>
      <w:r w:rsidRPr="00881752">
        <w:rPr>
          <w:rFonts w:cs="Times New Roman"/>
          <w:szCs w:val="24"/>
          <w:lang w:val="en-US"/>
        </w:rPr>
        <w:t xml:space="preserve"> (fr. 4a) instead of the first-declension feminine word λώπη, which occurs in </w:t>
      </w:r>
      <w:r w:rsidRPr="00881752">
        <w:rPr>
          <w:rFonts w:cs="Times New Roman"/>
          <w:i/>
          <w:iCs/>
          <w:szCs w:val="24"/>
          <w:lang w:val="en-US"/>
        </w:rPr>
        <w:t>Od</w:t>
      </w:r>
      <w:r w:rsidRPr="00881752">
        <w:rPr>
          <w:rFonts w:cs="Times New Roman"/>
          <w:szCs w:val="24"/>
          <w:lang w:val="en-US"/>
        </w:rPr>
        <w:t xml:space="preserve">. 13.224. One may hypothesize that the original form is the first-declension feminine word λώπη, since this constitutes the most ancient evidence. But in later Greek the two forms, λώπη and λῶπος, compete each other: λώπη occurs in Theocr. </w:t>
      </w:r>
      <w:r w:rsidRPr="00881752">
        <w:rPr>
          <w:rFonts w:cs="Times New Roman"/>
          <w:szCs w:val="24"/>
          <w:lang w:val="en-US"/>
        </w:rPr>
        <w:lastRenderedPageBreak/>
        <w:t>25.254, and Ap. Rh. 2.32, while λῶπος appears in Anacr. 80, Herod. 8.36, and Theocr. 14.66.</w:t>
      </w:r>
    </w:p>
    <w:p w14:paraId="6E329807" w14:textId="7FE121F2" w:rsidR="009C4864" w:rsidRPr="00881752" w:rsidRDefault="009C4864" w:rsidP="009C4864">
      <w:pPr>
        <w:tabs>
          <w:tab w:val="clear" w:pos="425"/>
          <w:tab w:val="left" w:pos="426"/>
        </w:tabs>
        <w:ind w:firstLine="426"/>
        <w:rPr>
          <w:rFonts w:cs="Times New Roman"/>
          <w:szCs w:val="24"/>
          <w:lang w:val="en-US"/>
        </w:rPr>
      </w:pPr>
      <w:r w:rsidRPr="00881752">
        <w:rPr>
          <w:rFonts w:cs="Times New Roman"/>
          <w:szCs w:val="24"/>
          <w:lang w:val="en-US"/>
        </w:rPr>
        <w:t>It must be noted that the competition between the forms of the word can be real (i.e. operating in the spoken language) or only literary. That is to say, it can mirror the real interchangeability between the two forms or it can be an author</w:t>
      </w:r>
      <w:r w:rsidR="00075F5F">
        <w:rPr>
          <w:rFonts w:cs="Times New Roman"/>
          <w:szCs w:val="24"/>
          <w:lang w:val="en-US"/>
        </w:rPr>
        <w:t>’</w:t>
      </w:r>
      <w:r w:rsidRPr="00881752">
        <w:rPr>
          <w:rFonts w:cs="Times New Roman"/>
          <w:szCs w:val="24"/>
          <w:lang w:val="en-US"/>
        </w:rPr>
        <w:t>s conscious choice to follow one or another tradition (and, consequently, one or other nuance of meaning).</w:t>
      </w:r>
    </w:p>
    <w:p w14:paraId="25FF2DE5" w14:textId="48D6A932" w:rsidR="009C4864" w:rsidRPr="00881752" w:rsidRDefault="009C4864" w:rsidP="009C4864">
      <w:pPr>
        <w:tabs>
          <w:tab w:val="clear" w:pos="425"/>
          <w:tab w:val="left" w:pos="426"/>
        </w:tabs>
        <w:ind w:firstLine="426"/>
        <w:rPr>
          <w:rFonts w:cs="Times New Roman"/>
          <w:szCs w:val="24"/>
          <w:lang w:val="en-US"/>
        </w:rPr>
      </w:pPr>
      <w:r w:rsidRPr="00881752">
        <w:rPr>
          <w:rFonts w:cs="Times New Roman"/>
          <w:szCs w:val="24"/>
          <w:lang w:val="en-US"/>
        </w:rPr>
        <w:t xml:space="preserve">It is evident that this kind of heteroclisis is not like that which operates with regard to some Greek words, such as πῦρ, whose inflection is an effect of a stipulation of both lexical and morphological kind. The inflection of πῦρ as a member of the athematic declension is associated with property sets containing </w:t>
      </w:r>
      <w:r w:rsidR="00CC0615">
        <w:rPr>
          <w:rFonts w:cs="Times New Roman"/>
          <w:szCs w:val="24"/>
          <w:lang w:val="en-US"/>
        </w:rPr>
        <w:t>“</w:t>
      </w:r>
      <w:r w:rsidRPr="00881752">
        <w:rPr>
          <w:rFonts w:cs="Times New Roman"/>
          <w:szCs w:val="24"/>
          <w:lang w:val="en-US"/>
        </w:rPr>
        <w:t>singular,</w:t>
      </w:r>
      <w:r w:rsidR="00CC0615">
        <w:rPr>
          <w:rFonts w:cs="Times New Roman"/>
          <w:szCs w:val="24"/>
          <w:lang w:val="en-US"/>
        </w:rPr>
        <w:t>”</w:t>
      </w:r>
      <w:r w:rsidRPr="00881752">
        <w:rPr>
          <w:rFonts w:cs="Times New Roman"/>
          <w:szCs w:val="24"/>
          <w:lang w:val="en-US"/>
        </w:rPr>
        <w:t xml:space="preserve"> and the inflection of πῦρ as a member of the thematic ο-declension is associated with property sets containing </w:t>
      </w:r>
      <w:r w:rsidR="00CC0615">
        <w:rPr>
          <w:rFonts w:cs="Times New Roman"/>
          <w:szCs w:val="24"/>
          <w:lang w:val="en-US"/>
        </w:rPr>
        <w:t>“</w:t>
      </w:r>
      <w:r w:rsidRPr="00881752">
        <w:rPr>
          <w:rFonts w:cs="Times New Roman"/>
          <w:szCs w:val="24"/>
          <w:lang w:val="en-US"/>
        </w:rPr>
        <w:t>plural.</w:t>
      </w:r>
      <w:r w:rsidR="00CC0615">
        <w:rPr>
          <w:rFonts w:cs="Times New Roman"/>
          <w:szCs w:val="24"/>
          <w:lang w:val="en-US"/>
        </w:rPr>
        <w:t>”</w:t>
      </w:r>
    </w:p>
    <w:p w14:paraId="49906CA7" w14:textId="0E873157" w:rsidR="009C4864" w:rsidRPr="00881752" w:rsidRDefault="009C4864" w:rsidP="009C4864">
      <w:pPr>
        <w:tabs>
          <w:tab w:val="clear" w:pos="425"/>
          <w:tab w:val="left" w:pos="426"/>
        </w:tabs>
        <w:ind w:firstLine="426"/>
        <w:rPr>
          <w:rFonts w:cs="Times New Roman"/>
          <w:szCs w:val="24"/>
          <w:lang w:val="en-US"/>
        </w:rPr>
      </w:pPr>
      <w:r w:rsidRPr="00881752">
        <w:rPr>
          <w:rFonts w:cs="Times New Roman"/>
          <w:szCs w:val="24"/>
          <w:lang w:val="en-US"/>
        </w:rPr>
        <w:t>Although the cases of heteroclisis found in my iambic corpus are not cases of innate heteroclisis, they still create a kind of incongruence between form and content, since semantic structure and morphological structure do not interface univocally: in particular, the same content is carried by two different morphological forms. Hence, form-duplic</w:t>
      </w:r>
      <w:r w:rsidR="00965919" w:rsidRPr="00881752">
        <w:rPr>
          <w:rFonts w:cs="Times New Roman"/>
          <w:szCs w:val="24"/>
          <w:lang w:val="en-US"/>
        </w:rPr>
        <w:t>ation</w:t>
      </w:r>
      <w:r w:rsidRPr="00881752">
        <w:rPr>
          <w:rFonts w:cs="Times New Roman"/>
          <w:szCs w:val="24"/>
          <w:lang w:val="en-US"/>
        </w:rPr>
        <w:t xml:space="preserve"> causes content-ambiguity in the mind of the audience, since they cannot anymore recognize the univocal relationship </w:t>
      </w:r>
      <w:r w:rsidR="00CC0615">
        <w:rPr>
          <w:rFonts w:cs="Times New Roman"/>
          <w:szCs w:val="24"/>
          <w:lang w:val="en-US"/>
        </w:rPr>
        <w:t>“</w:t>
      </w:r>
      <w:r w:rsidRPr="00881752">
        <w:rPr>
          <w:rFonts w:cs="Times New Roman"/>
          <w:szCs w:val="24"/>
          <w:lang w:val="en-US"/>
        </w:rPr>
        <w:t>content-form.</w:t>
      </w:r>
      <w:r w:rsidR="00CC0615">
        <w:rPr>
          <w:rFonts w:cs="Times New Roman"/>
          <w:szCs w:val="24"/>
          <w:lang w:val="en-US"/>
        </w:rPr>
        <w:t>”</w:t>
      </w:r>
    </w:p>
    <w:p w14:paraId="673926D5" w14:textId="3638D760" w:rsidR="00272F31" w:rsidRPr="00881752" w:rsidRDefault="009C4864" w:rsidP="006D6997">
      <w:pPr>
        <w:ind w:firstLine="426"/>
        <w:textAlignment w:val="bottom"/>
        <w:rPr>
          <w:rFonts w:eastAsia="Times New Roman" w:cs="Times New Roman"/>
          <w:szCs w:val="24"/>
          <w:lang w:eastAsia="en-IE"/>
        </w:rPr>
      </w:pPr>
      <w:r w:rsidRPr="00881752">
        <w:rPr>
          <w:rFonts w:cs="Times New Roman"/>
          <w:szCs w:val="24"/>
          <w:lang w:val="en-US"/>
        </w:rPr>
        <w:t>In the iambic fragments, heteroclisis is a morphological clue of a semantic swerve: when the iambographer alters the form of a word through heteroclisis, he is giving the audience a clue for interpreting its meaning in that particular context. Heteroclisis is symptomatic of a deviation of the meaning of the word from its ordinary meaning. For instance, Archilochus uses θέμιστα</w:t>
      </w:r>
      <w:r w:rsidRPr="00881752">
        <w:rPr>
          <w:rStyle w:val="FootnoteReference"/>
          <w:rFonts w:cs="Times New Roman"/>
          <w:szCs w:val="24"/>
          <w:lang w:val="en-US"/>
        </w:rPr>
        <w:footnoteReference w:id="87"/>
      </w:r>
      <w:r w:rsidRPr="00881752">
        <w:rPr>
          <w:rFonts w:cs="Times New Roman"/>
          <w:szCs w:val="24"/>
          <w:lang w:val="en-US"/>
        </w:rPr>
        <w:t xml:space="preserve"> as a neuter plural noun (Archil fr. 174):</w:t>
      </w:r>
      <w:r w:rsidR="00272F31" w:rsidRPr="00881752">
        <w:rPr>
          <w:rFonts w:eastAsia="Times New Roman" w:cs="Times New Roman"/>
          <w:szCs w:val="24"/>
          <w:lang w:eastAsia="en-IE"/>
        </w:rPr>
        <w:t xml:space="preserve"> </w:t>
      </w:r>
    </w:p>
    <w:p w14:paraId="7743FE4F" w14:textId="77777777" w:rsidR="00F74824" w:rsidRPr="00881752" w:rsidRDefault="00F74824" w:rsidP="00F74824">
      <w:pPr>
        <w:pStyle w:val="Blockquote"/>
        <w:rPr>
          <w:lang w:eastAsia="en-IE"/>
        </w:rPr>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2"/>
        <w:gridCol w:w="3686"/>
      </w:tblGrid>
      <w:tr w:rsidR="00272F31" w:rsidRPr="00881752" w14:paraId="48BD90DF" w14:textId="77777777" w:rsidTr="0013179E">
        <w:tc>
          <w:tcPr>
            <w:tcW w:w="4252" w:type="dxa"/>
          </w:tcPr>
          <w:p w14:paraId="22067C2D" w14:textId="77777777" w:rsidR="00272F31" w:rsidRPr="00881752" w:rsidRDefault="00272F31" w:rsidP="00F74824">
            <w:pPr>
              <w:pStyle w:val="Blockquote"/>
              <w:rPr>
                <w:sz w:val="22"/>
                <w:szCs w:val="22"/>
                <w:lang w:eastAsia="en-IE"/>
              </w:rPr>
            </w:pPr>
            <w:r w:rsidRPr="00881752">
              <w:rPr>
                <w:sz w:val="22"/>
                <w:szCs w:val="22"/>
                <w:lang w:eastAsia="en-IE"/>
              </w:rPr>
              <w:t>ὦ Ζεῦ, πάτερ Ζεῦ, σὸν μὲν οὐρανοῦ κράτος,</w:t>
            </w:r>
          </w:p>
          <w:p w14:paraId="6DD68EE8" w14:textId="66102A44" w:rsidR="00272F31" w:rsidRPr="00881752" w:rsidRDefault="00272F31" w:rsidP="00F74824">
            <w:pPr>
              <w:pStyle w:val="Blockquote"/>
              <w:rPr>
                <w:sz w:val="22"/>
                <w:szCs w:val="22"/>
                <w:lang w:eastAsia="en-IE"/>
              </w:rPr>
            </w:pPr>
            <w:r w:rsidRPr="00881752">
              <w:rPr>
                <w:sz w:val="22"/>
                <w:szCs w:val="22"/>
                <w:lang w:eastAsia="en-IE"/>
              </w:rPr>
              <w:t xml:space="preserve"> σὺ δ</w:t>
            </w:r>
            <w:r w:rsidR="00075F5F">
              <w:rPr>
                <w:sz w:val="22"/>
                <w:szCs w:val="22"/>
                <w:lang w:eastAsia="en-IE"/>
              </w:rPr>
              <w:t>’</w:t>
            </w:r>
            <w:r w:rsidRPr="00881752">
              <w:rPr>
                <w:sz w:val="22"/>
                <w:szCs w:val="22"/>
                <w:lang w:eastAsia="en-IE"/>
              </w:rPr>
              <w:t xml:space="preserve"> ἔργ</w:t>
            </w:r>
            <w:r w:rsidR="00075F5F">
              <w:rPr>
                <w:sz w:val="22"/>
                <w:szCs w:val="22"/>
                <w:lang w:eastAsia="en-IE"/>
              </w:rPr>
              <w:t>’</w:t>
            </w:r>
            <w:r w:rsidRPr="00881752">
              <w:rPr>
                <w:sz w:val="22"/>
                <w:szCs w:val="22"/>
                <w:lang w:eastAsia="en-IE"/>
              </w:rPr>
              <w:t xml:space="preserve"> ἐπ</w:t>
            </w:r>
            <w:r w:rsidR="00075F5F">
              <w:rPr>
                <w:sz w:val="22"/>
                <w:szCs w:val="22"/>
                <w:lang w:eastAsia="en-IE"/>
              </w:rPr>
              <w:t>’</w:t>
            </w:r>
            <w:r w:rsidRPr="00881752">
              <w:rPr>
                <w:sz w:val="22"/>
                <w:szCs w:val="22"/>
                <w:lang w:eastAsia="en-IE"/>
              </w:rPr>
              <w:t xml:space="preserve"> ἀνθρώπων ὁρᾶις</w:t>
            </w:r>
          </w:p>
          <w:p w14:paraId="5B353BD6" w14:textId="77777777" w:rsidR="00272F31" w:rsidRPr="00881752" w:rsidRDefault="00272F31" w:rsidP="00F74824">
            <w:pPr>
              <w:pStyle w:val="Blockquote"/>
              <w:rPr>
                <w:sz w:val="22"/>
                <w:szCs w:val="22"/>
                <w:lang w:val="el-GR" w:eastAsia="en-IE"/>
              </w:rPr>
            </w:pPr>
            <w:r w:rsidRPr="00881752">
              <w:rPr>
                <w:sz w:val="22"/>
                <w:szCs w:val="22"/>
                <w:lang w:val="el-GR" w:eastAsia="en-IE"/>
              </w:rPr>
              <w:t>λεωργὰ καὶ θέμιστα, σοὶ δὲ θηρίων</w:t>
            </w:r>
          </w:p>
          <w:p w14:paraId="24456DC4" w14:textId="77777777" w:rsidR="00272F31" w:rsidRPr="00881752" w:rsidRDefault="00272F31" w:rsidP="00F74824">
            <w:pPr>
              <w:pStyle w:val="Blockquote"/>
              <w:rPr>
                <w:sz w:val="22"/>
                <w:szCs w:val="22"/>
                <w:lang w:val="el-GR" w:eastAsia="en-IE"/>
              </w:rPr>
            </w:pPr>
            <w:r w:rsidRPr="00881752">
              <w:rPr>
                <w:sz w:val="22"/>
                <w:szCs w:val="22"/>
                <w:lang w:val="el-GR" w:eastAsia="en-IE"/>
              </w:rPr>
              <w:t xml:space="preserve"> ὕβρις τε καὶ δίκη μέλει.</w:t>
            </w:r>
          </w:p>
        </w:tc>
        <w:tc>
          <w:tcPr>
            <w:tcW w:w="3686" w:type="dxa"/>
          </w:tcPr>
          <w:p w14:paraId="1690B6B2" w14:textId="489AA08B" w:rsidR="00272F31" w:rsidRPr="00881752" w:rsidRDefault="00272F31" w:rsidP="00F74824">
            <w:pPr>
              <w:pStyle w:val="Blockquote"/>
              <w:rPr>
                <w:sz w:val="22"/>
                <w:szCs w:val="22"/>
                <w:lang w:eastAsia="en-IE"/>
              </w:rPr>
            </w:pPr>
            <w:r w:rsidRPr="00881752">
              <w:rPr>
                <w:sz w:val="22"/>
                <w:szCs w:val="22"/>
                <w:lang w:eastAsia="en-IE"/>
              </w:rPr>
              <w:t>Zeus, father Zeus, yours is the rule in heaven, you oversee men</w:t>
            </w:r>
            <w:r w:rsidR="00075F5F">
              <w:rPr>
                <w:sz w:val="22"/>
                <w:szCs w:val="22"/>
                <w:lang w:eastAsia="en-IE"/>
              </w:rPr>
              <w:t>’</w:t>
            </w:r>
            <w:r w:rsidRPr="00881752">
              <w:rPr>
                <w:sz w:val="22"/>
                <w:szCs w:val="22"/>
                <w:lang w:eastAsia="en-IE"/>
              </w:rPr>
              <w:t xml:space="preserve">s deeds, wicked and lawful, and both the violence and the justice of beasts are your concern. </w:t>
            </w:r>
          </w:p>
        </w:tc>
      </w:tr>
    </w:tbl>
    <w:p w14:paraId="2B6B9C6C" w14:textId="77777777" w:rsidR="00272F31" w:rsidRPr="00881752" w:rsidRDefault="00272F31" w:rsidP="00F74824">
      <w:pPr>
        <w:pStyle w:val="Blockquote"/>
        <w:rPr>
          <w:lang w:eastAsia="en-IE"/>
        </w:rPr>
      </w:pPr>
    </w:p>
    <w:p w14:paraId="7738D018" w14:textId="77777777" w:rsidR="009C4864" w:rsidRPr="00881752" w:rsidRDefault="009C4864" w:rsidP="009C4864">
      <w:pPr>
        <w:rPr>
          <w:rFonts w:cs="Times New Roman"/>
          <w:lang w:val="en-US"/>
        </w:rPr>
      </w:pPr>
      <w:r w:rsidRPr="00881752">
        <w:rPr>
          <w:rFonts w:cs="Times New Roman"/>
          <w:lang w:val="en-US"/>
        </w:rPr>
        <w:t xml:space="preserve">θέμιστα is clearly a contamination between the third declension feminine substantive θέμις, θέμιστος and the first-class adjective θεμιστός, -ή, -όν. The result is a heteroclitic </w:t>
      </w:r>
      <w:r w:rsidRPr="00881752">
        <w:rPr>
          <w:rFonts w:cs="Times New Roman"/>
          <w:lang w:val="en-US"/>
        </w:rPr>
        <w:lastRenderedPageBreak/>
        <w:t>neuter plural θέμιστα, instead of the expected feminine plural θέμιστας (which occurs six times in Homer). In Homer, the only declension of the word seems to be:</w:t>
      </w:r>
    </w:p>
    <w:p w14:paraId="2C9F24FF" w14:textId="04B41488" w:rsidR="00272F31" w:rsidRPr="00881752" w:rsidRDefault="00272F31" w:rsidP="00695A7C">
      <w:pPr>
        <w:textAlignment w:val="bottom"/>
        <w:rPr>
          <w:rFonts w:eastAsia="Times New Roman" w:cs="Times New Roman"/>
          <w:szCs w:val="24"/>
          <w:lang w:eastAsia="en-IE"/>
        </w:rPr>
      </w:pPr>
    </w:p>
    <w:tbl>
      <w:tblPr>
        <w:tblStyle w:val="TableGrid"/>
        <w:tblW w:w="0" w:type="auto"/>
        <w:jc w:val="center"/>
        <w:tblLook w:val="04A0" w:firstRow="1" w:lastRow="0" w:firstColumn="1" w:lastColumn="0" w:noHBand="0" w:noVBand="1"/>
      </w:tblPr>
      <w:tblGrid>
        <w:gridCol w:w="750"/>
        <w:gridCol w:w="1066"/>
        <w:gridCol w:w="1118"/>
      </w:tblGrid>
      <w:tr w:rsidR="00272F31" w:rsidRPr="00881752" w14:paraId="6EB78135" w14:textId="77777777" w:rsidTr="00272F31">
        <w:trPr>
          <w:jc w:val="center"/>
        </w:trPr>
        <w:tc>
          <w:tcPr>
            <w:tcW w:w="0" w:type="auto"/>
          </w:tcPr>
          <w:p w14:paraId="705B1856" w14:textId="77777777" w:rsidR="00272F31" w:rsidRPr="00881752" w:rsidRDefault="00272F31" w:rsidP="004D0056">
            <w:pPr>
              <w:keepNext/>
              <w:spacing w:before="60" w:after="60" w:line="240" w:lineRule="auto"/>
              <w:textAlignment w:val="bottom"/>
              <w:rPr>
                <w:rFonts w:eastAsia="Times New Roman" w:cs="Times New Roman"/>
                <w:szCs w:val="24"/>
                <w:lang w:eastAsia="en-IE"/>
              </w:rPr>
            </w:pPr>
          </w:p>
        </w:tc>
        <w:tc>
          <w:tcPr>
            <w:tcW w:w="0" w:type="auto"/>
          </w:tcPr>
          <w:p w14:paraId="71C182F1" w14:textId="77777777" w:rsidR="00272F31" w:rsidRPr="00881752" w:rsidRDefault="00272F31" w:rsidP="004D0056">
            <w:pPr>
              <w:keepNext/>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 xml:space="preserve">Singular </w:t>
            </w:r>
          </w:p>
        </w:tc>
        <w:tc>
          <w:tcPr>
            <w:tcW w:w="0" w:type="auto"/>
          </w:tcPr>
          <w:p w14:paraId="27C94061" w14:textId="77777777" w:rsidR="00272F31" w:rsidRPr="00881752" w:rsidRDefault="00272F31" w:rsidP="004D0056">
            <w:pPr>
              <w:keepNext/>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Plural</w:t>
            </w:r>
          </w:p>
        </w:tc>
      </w:tr>
      <w:tr w:rsidR="00272F31" w:rsidRPr="00881752" w14:paraId="5BEE0F05" w14:textId="77777777" w:rsidTr="00272F31">
        <w:trPr>
          <w:jc w:val="center"/>
        </w:trPr>
        <w:tc>
          <w:tcPr>
            <w:tcW w:w="0" w:type="auto"/>
          </w:tcPr>
          <w:p w14:paraId="10E4C265"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N / V</w:t>
            </w:r>
          </w:p>
        </w:tc>
        <w:tc>
          <w:tcPr>
            <w:tcW w:w="0" w:type="auto"/>
          </w:tcPr>
          <w:p w14:paraId="33026526"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θέμις</w:t>
            </w:r>
          </w:p>
        </w:tc>
        <w:tc>
          <w:tcPr>
            <w:tcW w:w="0" w:type="auto"/>
          </w:tcPr>
          <w:p w14:paraId="7DEF2F14"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θέμιστες</w:t>
            </w:r>
          </w:p>
        </w:tc>
      </w:tr>
      <w:tr w:rsidR="00272F31" w:rsidRPr="00881752" w14:paraId="148547E6" w14:textId="77777777" w:rsidTr="00272F31">
        <w:trPr>
          <w:jc w:val="center"/>
        </w:trPr>
        <w:tc>
          <w:tcPr>
            <w:tcW w:w="0" w:type="auto"/>
          </w:tcPr>
          <w:p w14:paraId="56C31D4A"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G</w:t>
            </w:r>
          </w:p>
        </w:tc>
        <w:tc>
          <w:tcPr>
            <w:tcW w:w="0" w:type="auto"/>
          </w:tcPr>
          <w:p w14:paraId="16477DFF"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θέμιστος</w:t>
            </w:r>
          </w:p>
        </w:tc>
        <w:tc>
          <w:tcPr>
            <w:tcW w:w="0" w:type="auto"/>
          </w:tcPr>
          <w:p w14:paraId="4FB95882"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θεμίστων</w:t>
            </w:r>
          </w:p>
        </w:tc>
      </w:tr>
      <w:tr w:rsidR="00272F31" w:rsidRPr="00881752" w14:paraId="7C700430" w14:textId="77777777" w:rsidTr="00272F31">
        <w:trPr>
          <w:jc w:val="center"/>
        </w:trPr>
        <w:tc>
          <w:tcPr>
            <w:tcW w:w="0" w:type="auto"/>
          </w:tcPr>
          <w:p w14:paraId="5823FFC5"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D</w:t>
            </w:r>
          </w:p>
        </w:tc>
        <w:tc>
          <w:tcPr>
            <w:tcW w:w="0" w:type="auto"/>
          </w:tcPr>
          <w:p w14:paraId="781811C3"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θέμιστι</w:t>
            </w:r>
          </w:p>
        </w:tc>
        <w:tc>
          <w:tcPr>
            <w:tcW w:w="0" w:type="auto"/>
          </w:tcPr>
          <w:p w14:paraId="4E6E66F1"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θέμισι</w:t>
            </w:r>
          </w:p>
        </w:tc>
      </w:tr>
      <w:tr w:rsidR="00272F31" w:rsidRPr="00881752" w14:paraId="7AF62F15" w14:textId="77777777" w:rsidTr="00272F31">
        <w:trPr>
          <w:jc w:val="center"/>
        </w:trPr>
        <w:tc>
          <w:tcPr>
            <w:tcW w:w="0" w:type="auto"/>
          </w:tcPr>
          <w:p w14:paraId="705DA111"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A</w:t>
            </w:r>
          </w:p>
        </w:tc>
        <w:tc>
          <w:tcPr>
            <w:tcW w:w="0" w:type="auto"/>
          </w:tcPr>
          <w:p w14:paraId="52F8FE4A"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θέμιστα</w:t>
            </w:r>
          </w:p>
        </w:tc>
        <w:tc>
          <w:tcPr>
            <w:tcW w:w="0" w:type="auto"/>
          </w:tcPr>
          <w:p w14:paraId="35403320" w14:textId="77777777" w:rsidR="00272F31" w:rsidRPr="00881752" w:rsidRDefault="00272F31" w:rsidP="00F74824">
            <w:pPr>
              <w:spacing w:before="60" w:after="60" w:line="240" w:lineRule="auto"/>
              <w:textAlignment w:val="bottom"/>
              <w:rPr>
                <w:rFonts w:eastAsia="Times New Roman" w:cs="Times New Roman"/>
                <w:szCs w:val="24"/>
                <w:lang w:eastAsia="en-IE"/>
              </w:rPr>
            </w:pPr>
            <w:r w:rsidRPr="00881752">
              <w:rPr>
                <w:rFonts w:eastAsia="Times New Roman" w:cs="Times New Roman"/>
                <w:szCs w:val="24"/>
                <w:lang w:eastAsia="en-IE"/>
              </w:rPr>
              <w:t>θέμιστας</w:t>
            </w:r>
          </w:p>
        </w:tc>
      </w:tr>
    </w:tbl>
    <w:p w14:paraId="51793E60" w14:textId="77777777" w:rsidR="00272F31" w:rsidRPr="00881752" w:rsidRDefault="00272F31" w:rsidP="00695A7C">
      <w:pPr>
        <w:textAlignment w:val="bottom"/>
        <w:rPr>
          <w:rFonts w:eastAsia="Times New Roman" w:cs="Times New Roman"/>
          <w:szCs w:val="24"/>
          <w:lang w:eastAsia="en-IE"/>
        </w:rPr>
      </w:pPr>
    </w:p>
    <w:p w14:paraId="335ACB8F" w14:textId="0007C70A" w:rsidR="00272F31" w:rsidRPr="00881752" w:rsidRDefault="009C4864" w:rsidP="00665681">
      <w:pPr>
        <w:rPr>
          <w:rFonts w:cs="Times New Roman"/>
          <w:lang w:val="en-US"/>
        </w:rPr>
      </w:pPr>
      <w:r w:rsidRPr="00881752">
        <w:rPr>
          <w:rFonts w:cs="Times New Roman"/>
          <w:lang w:val="en-US"/>
        </w:rPr>
        <w:t xml:space="preserve">The accusative θέμιστα, which has the same form of the thematic-declension neuter plural (τὰ) θέμιστα, occurs only once in Homer, namely in </w:t>
      </w:r>
      <w:r w:rsidRPr="00881752">
        <w:rPr>
          <w:rFonts w:cs="Times New Roman"/>
          <w:i/>
          <w:iCs/>
          <w:lang w:val="en-US"/>
        </w:rPr>
        <w:t>Il</w:t>
      </w:r>
      <w:r w:rsidRPr="00881752">
        <w:rPr>
          <w:rFonts w:cs="Times New Roman"/>
          <w:lang w:val="en-US"/>
        </w:rPr>
        <w:t>. 5.761.</w:t>
      </w:r>
      <w:r w:rsidRPr="00881752">
        <w:rPr>
          <w:rStyle w:val="FootnoteReference"/>
          <w:rFonts w:cs="Times New Roman"/>
          <w:lang w:val="en-US"/>
        </w:rPr>
        <w:footnoteReference w:id="88"/>
      </w:r>
      <w:r w:rsidRPr="00881752">
        <w:rPr>
          <w:rFonts w:cs="Times New Roman"/>
          <w:lang w:val="en-US"/>
        </w:rPr>
        <w:t xml:space="preserve"> I think that this Homeric instance had a decisive role in creating a heteroclitic plural (τὰ) θέμιστα, since it is not possible to discern from the context if the word is a masculine accusative singular or a neuter accusative plural. The context itself is interesting, since Hera is complaining with Zeus about Ares</w:t>
      </w:r>
      <w:r w:rsidR="00075F5F">
        <w:rPr>
          <w:rFonts w:cs="Times New Roman"/>
          <w:lang w:val="en-US"/>
        </w:rPr>
        <w:t>’</w:t>
      </w:r>
      <w:r w:rsidRPr="00881752">
        <w:rPr>
          <w:rFonts w:cs="Times New Roman"/>
          <w:lang w:val="en-US"/>
        </w:rPr>
        <w:t xml:space="preserve"> joining the battlefield, asking him for justice (</w:t>
      </w:r>
      <w:r w:rsidRPr="00881752">
        <w:rPr>
          <w:rFonts w:cs="Times New Roman"/>
          <w:i/>
          <w:iCs/>
          <w:lang w:val="en-US"/>
        </w:rPr>
        <w:t>Il.</w:t>
      </w:r>
      <w:r w:rsidRPr="00881752">
        <w:rPr>
          <w:rFonts w:cs="Times New Roman"/>
          <w:lang w:val="en-US"/>
        </w:rPr>
        <w:t xml:space="preserve"> 5.757-761):</w:t>
      </w:r>
    </w:p>
    <w:p w14:paraId="23441DE1" w14:textId="77777777" w:rsidR="00F74824" w:rsidRPr="00881752" w:rsidRDefault="00F74824" w:rsidP="00F74824">
      <w:pPr>
        <w:pStyle w:val="Blockquote"/>
        <w:rPr>
          <w:lang w:eastAsia="en-IE"/>
        </w:rPr>
      </w:pPr>
    </w:p>
    <w:tbl>
      <w:tblPr>
        <w:tblStyle w:val="TableGrid"/>
        <w:tblW w:w="8221"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961"/>
        <w:gridCol w:w="3260"/>
      </w:tblGrid>
      <w:tr w:rsidR="00C95CAE" w:rsidRPr="00881752" w14:paraId="1740183E" w14:textId="77777777" w:rsidTr="0013179E">
        <w:tc>
          <w:tcPr>
            <w:tcW w:w="4961" w:type="dxa"/>
          </w:tcPr>
          <w:p w14:paraId="7A482CA3" w14:textId="77777777" w:rsidR="00272F31" w:rsidRPr="00881752" w:rsidRDefault="00272F31" w:rsidP="00F74824">
            <w:pPr>
              <w:pStyle w:val="Blockquote"/>
              <w:rPr>
                <w:sz w:val="22"/>
                <w:szCs w:val="22"/>
              </w:rPr>
            </w:pPr>
            <w:r w:rsidRPr="00881752">
              <w:rPr>
                <w:sz w:val="22"/>
                <w:szCs w:val="22"/>
              </w:rPr>
              <w:t>Ζεῦ πάτερ οὐ νεμεσίζῃ Ἄρῃ τάδε καρτερὰ ἔργα</w:t>
            </w:r>
          </w:p>
          <w:p w14:paraId="3DE57362" w14:textId="77777777" w:rsidR="00272F31" w:rsidRPr="00881752" w:rsidRDefault="00272F31" w:rsidP="00F74824">
            <w:pPr>
              <w:pStyle w:val="Blockquote"/>
              <w:rPr>
                <w:sz w:val="22"/>
                <w:szCs w:val="22"/>
              </w:rPr>
            </w:pPr>
            <w:r w:rsidRPr="00881752">
              <w:rPr>
                <w:sz w:val="22"/>
                <w:szCs w:val="22"/>
              </w:rPr>
              <w:t>ὁσσάτιόν τε καὶ οἷον ἀπώλεσε λαὸν Ἀχαιῶν</w:t>
            </w:r>
          </w:p>
          <w:p w14:paraId="26884E58" w14:textId="4678D95D" w:rsidR="00272F31" w:rsidRPr="00881752" w:rsidRDefault="00272F31" w:rsidP="00F74824">
            <w:pPr>
              <w:pStyle w:val="Blockquote"/>
              <w:rPr>
                <w:sz w:val="22"/>
                <w:szCs w:val="22"/>
              </w:rPr>
            </w:pPr>
            <w:r w:rsidRPr="00881752">
              <w:rPr>
                <w:sz w:val="22"/>
                <w:szCs w:val="22"/>
              </w:rPr>
              <w:t>μὰψ ἀτὰρ οὐ κατὰ κόσμον ἐμοὶ δ</w:t>
            </w:r>
            <w:r w:rsidR="00075F5F">
              <w:rPr>
                <w:sz w:val="22"/>
                <w:szCs w:val="22"/>
              </w:rPr>
              <w:t>’</w:t>
            </w:r>
            <w:r w:rsidRPr="00881752">
              <w:rPr>
                <w:sz w:val="22"/>
                <w:szCs w:val="22"/>
              </w:rPr>
              <w:t xml:space="preserve"> ἄχος, οἳ δὲ ἕκηλοι</w:t>
            </w:r>
            <w:r w:rsidR="00204539" w:rsidRPr="00881752">
              <w:rPr>
                <w:sz w:val="22"/>
                <w:szCs w:val="22"/>
              </w:rPr>
              <w:t xml:space="preserve"> </w:t>
            </w:r>
          </w:p>
          <w:p w14:paraId="56325458" w14:textId="77777777" w:rsidR="00272F31" w:rsidRPr="00227EE7" w:rsidRDefault="00272F31" w:rsidP="00F74824">
            <w:pPr>
              <w:pStyle w:val="Blockquote"/>
              <w:rPr>
                <w:sz w:val="22"/>
                <w:szCs w:val="22"/>
                <w:lang w:val="el-GR"/>
              </w:rPr>
            </w:pPr>
            <w:r w:rsidRPr="00227EE7">
              <w:rPr>
                <w:sz w:val="22"/>
                <w:szCs w:val="22"/>
                <w:lang w:val="el-GR"/>
              </w:rPr>
              <w:t>τέρπονται Κύπρίς τε καὶ ἀργυρότοξος Ἀπόλλων</w:t>
            </w:r>
          </w:p>
          <w:p w14:paraId="63DA8DA8" w14:textId="77777777" w:rsidR="00272F31" w:rsidRPr="00227EE7" w:rsidRDefault="00272F31" w:rsidP="00F74824">
            <w:pPr>
              <w:pStyle w:val="Blockquote"/>
              <w:rPr>
                <w:sz w:val="22"/>
                <w:szCs w:val="22"/>
                <w:lang w:val="el-GR"/>
              </w:rPr>
            </w:pPr>
            <w:r w:rsidRPr="00227EE7">
              <w:rPr>
                <w:sz w:val="22"/>
                <w:szCs w:val="22"/>
                <w:lang w:val="el-GR"/>
              </w:rPr>
              <w:t>ἄφρονα τοῦτον ἀνέντες, ὃς οὔ τινα οἶδε θέμιστα;</w:t>
            </w:r>
          </w:p>
          <w:p w14:paraId="52795021" w14:textId="77777777" w:rsidR="00272F31" w:rsidRPr="00227EE7" w:rsidRDefault="00272F31" w:rsidP="00F74824">
            <w:pPr>
              <w:pStyle w:val="Blockquote"/>
              <w:rPr>
                <w:sz w:val="22"/>
                <w:szCs w:val="22"/>
                <w:lang w:val="el-GR"/>
              </w:rPr>
            </w:pPr>
          </w:p>
        </w:tc>
        <w:tc>
          <w:tcPr>
            <w:tcW w:w="3260" w:type="dxa"/>
          </w:tcPr>
          <w:p w14:paraId="1303E39F" w14:textId="77777777" w:rsidR="00272F31" w:rsidRPr="00881752" w:rsidRDefault="00272F31" w:rsidP="00F74824">
            <w:pPr>
              <w:pStyle w:val="Blockquote"/>
              <w:rPr>
                <w:sz w:val="21"/>
                <w:szCs w:val="21"/>
              </w:rPr>
            </w:pPr>
            <w:r w:rsidRPr="00881752">
              <w:rPr>
                <w:sz w:val="21"/>
                <w:szCs w:val="21"/>
              </w:rPr>
              <w:t>Father Zeus, are you not indignant at Ares for these violent deeds, that he destroyed so great and so noble an army of the Achaeans recklessly and in no due order and to my sorrow, while at their ease Cypris and Apollo of the silver bow are pleased at having let loose this madman who regards not any law?</w:t>
            </w:r>
          </w:p>
        </w:tc>
      </w:tr>
    </w:tbl>
    <w:p w14:paraId="073B13EA" w14:textId="77777777" w:rsidR="00F74824" w:rsidRPr="00881752" w:rsidRDefault="00F74824" w:rsidP="00F74824">
      <w:pPr>
        <w:pStyle w:val="Blockquote"/>
        <w:rPr>
          <w:lang w:eastAsia="en-IE"/>
        </w:rPr>
      </w:pPr>
    </w:p>
    <w:p w14:paraId="3B2BCDA3" w14:textId="4DD5ED0E" w:rsidR="009C4864" w:rsidRPr="00881752" w:rsidRDefault="009C4864" w:rsidP="009C4864">
      <w:pPr>
        <w:rPr>
          <w:rFonts w:cs="Times New Roman"/>
          <w:lang w:val="en-US"/>
        </w:rPr>
      </w:pPr>
      <w:r w:rsidRPr="00881752">
        <w:rPr>
          <w:rFonts w:cs="Times New Roman"/>
          <w:lang w:val="en-US"/>
        </w:rPr>
        <w:t>It should be noted that Hera says τάδε καρτερὰ ἔργα to mean Ares</w:t>
      </w:r>
      <w:r w:rsidR="00075F5F">
        <w:rPr>
          <w:rFonts w:cs="Times New Roman"/>
          <w:lang w:val="en-US"/>
        </w:rPr>
        <w:t>’</w:t>
      </w:r>
      <w:r w:rsidRPr="00881752">
        <w:rPr>
          <w:rFonts w:cs="Times New Roman"/>
          <w:lang w:val="en-US"/>
        </w:rPr>
        <w:t xml:space="preserve"> violent actions, while Archilochus says ἔργ</w:t>
      </w:r>
      <w:r w:rsidR="00075F5F">
        <w:rPr>
          <w:rFonts w:cs="Times New Roman"/>
          <w:lang w:val="en-US"/>
        </w:rPr>
        <w:t>’</w:t>
      </w:r>
      <w:r w:rsidRPr="00881752">
        <w:rPr>
          <w:rFonts w:cs="Times New Roman"/>
          <w:lang w:val="en-US"/>
        </w:rPr>
        <w:t xml:space="preserve"> […] λεωργὰ καὶ θέμιστα, where ἔργα is quite distant from the adjectives λεωργὰ and θέμιστα. Therefore, I suggest that λεωργὰ καὶ θέμιστα are two nouns: λεωργά is the group of λεῖα ἔργα while θέμιστα is the group of ἔργα κατὰ θέμιστα. Archilochus uses a newly-built compound and a heteroclitic form to reveal the iambic and ironic nature of his fragments: Archilochus fr. 174 has the form of a traditional prayer to Zeus, who is called to monitor the bad and good actions of men.</w:t>
      </w:r>
    </w:p>
    <w:p w14:paraId="1A7CBFFB" w14:textId="77777777" w:rsidR="009C4864" w:rsidRPr="00881752" w:rsidRDefault="009C4864" w:rsidP="009C4864">
      <w:pPr>
        <w:rPr>
          <w:rFonts w:cs="Times New Roman"/>
          <w:sz w:val="18"/>
          <w:szCs w:val="18"/>
          <w:lang w:val="en-US"/>
        </w:rPr>
      </w:pPr>
      <w:r w:rsidRPr="00881752">
        <w:rPr>
          <w:rFonts w:cs="Times New Roman"/>
          <w:lang w:val="en-US"/>
        </w:rPr>
        <w:tab/>
        <w:t xml:space="preserve">The two unusual words λεωργὰ and θέμιστα are a clue to expect the unexpected: the abstract concepts of brutality and justice belong to the animal world, not to the human one. The speaker of the prayer is a fox, and the point of view is that of an animal. </w:t>
      </w:r>
    </w:p>
    <w:p w14:paraId="3EDDCAE3" w14:textId="0B06ABE8" w:rsidR="009C4864" w:rsidRPr="00881752" w:rsidRDefault="009C4864" w:rsidP="009C4864">
      <w:pPr>
        <w:ind w:firstLine="426"/>
        <w:rPr>
          <w:rFonts w:cs="Times New Roman"/>
          <w:lang w:val="en-US"/>
        </w:rPr>
      </w:pPr>
      <w:r w:rsidRPr="00881752">
        <w:rPr>
          <w:rFonts w:cs="Times New Roman"/>
          <w:lang w:val="en-US"/>
        </w:rPr>
        <w:lastRenderedPageBreak/>
        <w:t xml:space="preserve">Hipponax </w:t>
      </w:r>
      <w:r w:rsidR="00965919" w:rsidRPr="00881752">
        <w:rPr>
          <w:rFonts w:cs="Times New Roman"/>
          <w:lang w:val="en-US"/>
        </w:rPr>
        <w:t xml:space="preserve">increases </w:t>
      </w:r>
      <w:r w:rsidRPr="00881752">
        <w:rPr>
          <w:rFonts w:cs="Times New Roman"/>
          <w:lang w:val="en-US"/>
        </w:rPr>
        <w:t>the frequency of heteroclisis in his fragments. Hipponax uses λῶπος as belonging to the athematic declension, while the usual word is λώπη, a thematic a-declension noun. Instead of the well-established thematic a-declension noun διασφαγή, he prefers the athematic διάσφαγμα. Both the cases are representative of the semantic value which heteroclisis implies: neither λῶπος nor διάσφαγμα has the same meaning as their usual counterparts. λώπη is a Homeric word for a leather mantle, while Hipponax</w:t>
      </w:r>
      <w:r w:rsidR="00075F5F">
        <w:rPr>
          <w:rFonts w:cs="Times New Roman"/>
          <w:lang w:val="en-US"/>
        </w:rPr>
        <w:t>’</w:t>
      </w:r>
      <w:r w:rsidRPr="00881752">
        <w:rPr>
          <w:rFonts w:cs="Times New Roman"/>
          <w:lang w:val="en-US"/>
        </w:rPr>
        <w:t xml:space="preserve">s character is wearing a mantle (λῶπος) which identifies her as a prostitute; and διάσφαγμα is not a generic fissure as διασφαγή is, but is the vagina. </w:t>
      </w:r>
    </w:p>
    <w:p w14:paraId="5DBD43F9" w14:textId="30CC9F4E" w:rsidR="009C4864" w:rsidRPr="00881752" w:rsidRDefault="009C4864" w:rsidP="009C4864">
      <w:pPr>
        <w:ind w:firstLine="426"/>
        <w:rPr>
          <w:rFonts w:cs="Times New Roman"/>
          <w:lang w:val="en-US"/>
        </w:rPr>
      </w:pPr>
      <w:r w:rsidRPr="00881752">
        <w:rPr>
          <w:rFonts w:cs="Times New Roman"/>
          <w:lang w:val="en-US"/>
        </w:rPr>
        <w:t>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show only two instances of heteroclisis, which are both due to μετρικὴ ἀνάγχη, since in one case he uses the athematic noun ἐφεδρίς instead of the thematic a-declension ἐφέδρα in order to have one syllable more at the genitive singular ἐφεδρίδος (instead of ἐφέδρης). In the other case, he makes a heteroclitic plural τράχηλα from the singular τράχηλος to avoid the long final syllable of the plural masculine accusative τραχήλους: after the long syllable -χη- of τράχηλος, the meter requires a short syllable as the ending of neuter plural -λα. </w:t>
      </w:r>
    </w:p>
    <w:p w14:paraId="58C226FA" w14:textId="0A08ECA4" w:rsidR="00965919" w:rsidRPr="00881752" w:rsidRDefault="009C4864" w:rsidP="009C4864">
      <w:pPr>
        <w:ind w:firstLine="426"/>
        <w:rPr>
          <w:rFonts w:cs="Times New Roman"/>
          <w:lang w:val="en-US"/>
        </w:rPr>
      </w:pPr>
      <w:r w:rsidRPr="00881752">
        <w:rPr>
          <w:rFonts w:cs="Times New Roman"/>
          <w:lang w:val="en-US"/>
        </w:rPr>
        <w:t>It is worth noting that heteroclisis in the archaic iambic fragments generates neuter forms (διάσφαγμα, θέμιστα, λῶπος): it seems that neuter heteroclisis is a feature which is characteristic of spoken Greek in the Greek cities of Asia Minor.</w:t>
      </w:r>
      <w:r w:rsidRPr="00881752">
        <w:rPr>
          <w:rStyle w:val="FootnoteReference"/>
          <w:rFonts w:cs="Times New Roman"/>
          <w:lang w:val="en-US"/>
        </w:rPr>
        <w:footnoteReference w:id="89"/>
      </w:r>
      <w:r w:rsidRPr="00881752">
        <w:rPr>
          <w:rFonts w:cs="Times New Roman"/>
          <w:lang w:val="en-US"/>
        </w:rPr>
        <w:t xml:space="preserve"> The most significant instance is Hipponax</w:t>
      </w:r>
      <w:r w:rsidR="00075F5F">
        <w:rPr>
          <w:rFonts w:cs="Times New Roman"/>
          <w:lang w:val="en-US"/>
        </w:rPr>
        <w:t>’</w:t>
      </w:r>
      <w:r w:rsidRPr="00881752">
        <w:rPr>
          <w:rFonts w:cs="Times New Roman"/>
          <w:lang w:val="en-US"/>
        </w:rPr>
        <w:t>s διάσφαγμα: nouns in -μα are a very old nominal class typical of Ionic dialect.</w:t>
      </w:r>
      <w:r w:rsidRPr="00881752">
        <w:rPr>
          <w:rStyle w:val="FootnoteReference"/>
          <w:rFonts w:cs="Times New Roman"/>
          <w:lang w:val="en-US"/>
        </w:rPr>
        <w:footnoteReference w:id="90"/>
      </w:r>
      <w:r w:rsidRPr="00881752">
        <w:rPr>
          <w:rFonts w:cs="Times New Roman"/>
          <w:lang w:val="en-US"/>
        </w:rPr>
        <w:t xml:space="preserve"> They convey a co</w:t>
      </w:r>
      <w:r w:rsidR="00D808B7">
        <w:rPr>
          <w:rFonts w:cs="Times New Roman"/>
          <w:lang w:val="en-US"/>
        </w:rPr>
        <w:t>nversational</w:t>
      </w:r>
      <w:r w:rsidRPr="00881752">
        <w:rPr>
          <w:rFonts w:cs="Times New Roman"/>
          <w:lang w:val="en-US"/>
        </w:rPr>
        <w:t xml:space="preserve"> tone which occurs in both tragedy and comedy: in tragic poetry, nouns in</w:t>
      </w:r>
      <w:r w:rsidR="00A53A10">
        <w:rPr>
          <w:rFonts w:cs="Times New Roman"/>
          <w:lang w:val="en-US"/>
        </w:rPr>
        <w:t xml:space="preserve"> </w:t>
      </w:r>
      <w:r w:rsidR="009354D5">
        <w:rPr>
          <w:rFonts w:cs="Times New Roman"/>
          <w:lang w:val="en-US"/>
        </w:rPr>
        <w:t>-</w:t>
      </w:r>
      <w:r w:rsidRPr="00881752">
        <w:rPr>
          <w:rFonts w:cs="Times New Roman"/>
          <w:lang w:val="en-US"/>
        </w:rPr>
        <w:t>μα are frequently used to create unusual variant forms (δώρημα pro δῶρον)</w:t>
      </w:r>
      <w:r w:rsidRPr="00881752">
        <w:rPr>
          <w:rStyle w:val="FootnoteReference"/>
          <w:rFonts w:cs="Times New Roman"/>
          <w:lang w:val="en-US"/>
        </w:rPr>
        <w:footnoteReference w:id="91"/>
      </w:r>
      <w:r w:rsidRPr="00881752">
        <w:rPr>
          <w:rFonts w:cs="Times New Roman"/>
          <w:lang w:val="en-US"/>
        </w:rPr>
        <w:t xml:space="preserve"> and to reproduce the spoken colloquial language, especially by Euripides (εὔρημα, πράγμα, χρῆμα).</w:t>
      </w:r>
      <w:r w:rsidRPr="00881752">
        <w:rPr>
          <w:rStyle w:val="FootnoteReference"/>
          <w:rFonts w:cs="Times New Roman"/>
          <w:lang w:val="en-US"/>
        </w:rPr>
        <w:footnoteReference w:id="92"/>
      </w:r>
      <w:r w:rsidRPr="00881752">
        <w:rPr>
          <w:rFonts w:cs="Times New Roman"/>
          <w:lang w:val="en-US"/>
        </w:rPr>
        <w:t xml:space="preserve"> In Comedy, Aristophanes uses them to parrot the language of Sophists: it is not random that most of occurrences are in the </w:t>
      </w:r>
      <w:r w:rsidRPr="00881752">
        <w:rPr>
          <w:rFonts w:cs="Times New Roman"/>
          <w:i/>
          <w:iCs/>
          <w:lang w:val="en-US"/>
        </w:rPr>
        <w:t>Nubes</w:t>
      </w:r>
      <w:r w:rsidRPr="00881752">
        <w:rPr>
          <w:rFonts w:cs="Times New Roman"/>
          <w:lang w:val="en-US"/>
        </w:rPr>
        <w:t>, where Socrates</w:t>
      </w:r>
      <w:r w:rsidR="00075F5F">
        <w:rPr>
          <w:rFonts w:cs="Times New Roman"/>
          <w:lang w:val="en-US"/>
        </w:rPr>
        <w:t>’</w:t>
      </w:r>
      <w:r w:rsidRPr="00881752">
        <w:rPr>
          <w:rFonts w:cs="Times New Roman"/>
          <w:lang w:val="en-US"/>
        </w:rPr>
        <w:t xml:space="preserve"> student uses the </w:t>
      </w:r>
      <w:r w:rsidRPr="00881752">
        <w:rPr>
          <w:rFonts w:cs="Times New Roman"/>
          <w:i/>
          <w:iCs/>
          <w:lang w:val="en-US"/>
        </w:rPr>
        <w:t>hapax legomenon</w:t>
      </w:r>
      <w:r w:rsidRPr="00881752">
        <w:rPr>
          <w:rFonts w:cs="Times New Roman"/>
          <w:lang w:val="en-US"/>
        </w:rPr>
        <w:t xml:space="preserve"> φρόντισμα </w:t>
      </w:r>
      <w:r w:rsidR="00CC0615">
        <w:rPr>
          <w:rFonts w:cs="Times New Roman"/>
          <w:lang w:val="en-US"/>
        </w:rPr>
        <w:t>“</w:t>
      </w:r>
      <w:r w:rsidRPr="00881752">
        <w:rPr>
          <w:rFonts w:cs="Times New Roman"/>
          <w:lang w:val="en-US"/>
        </w:rPr>
        <w:t>idea</w:t>
      </w:r>
      <w:r w:rsidR="00CC0615">
        <w:rPr>
          <w:rFonts w:cs="Times New Roman"/>
          <w:lang w:val="en-US"/>
        </w:rPr>
        <w:t>”</w:t>
      </w:r>
      <w:r w:rsidRPr="00881752">
        <w:rPr>
          <w:rFonts w:cs="Times New Roman"/>
          <w:lang w:val="en-US"/>
        </w:rPr>
        <w:t xml:space="preserve"> (</w:t>
      </w:r>
      <w:r w:rsidRPr="00881752">
        <w:rPr>
          <w:rFonts w:cs="Times New Roman"/>
          <w:i/>
          <w:iCs/>
          <w:lang w:val="en-US"/>
        </w:rPr>
        <w:t>Nu</w:t>
      </w:r>
      <w:r w:rsidRPr="00881752">
        <w:rPr>
          <w:rFonts w:cs="Times New Roman"/>
          <w:lang w:val="en-US"/>
        </w:rPr>
        <w:t>. 155) to mean his teacher</w:t>
      </w:r>
      <w:r w:rsidR="00075F5F">
        <w:rPr>
          <w:rFonts w:cs="Times New Roman"/>
          <w:lang w:val="en-US"/>
        </w:rPr>
        <w:t>’</w:t>
      </w:r>
      <w:r w:rsidRPr="00881752">
        <w:rPr>
          <w:rFonts w:cs="Times New Roman"/>
          <w:lang w:val="en-US"/>
        </w:rPr>
        <w:t xml:space="preserve">s discoveries, and Socrates himself often says νόημα </w:t>
      </w:r>
      <w:r w:rsidR="00CC0615">
        <w:rPr>
          <w:rFonts w:cs="Times New Roman"/>
          <w:lang w:val="en-US"/>
        </w:rPr>
        <w:t>“</w:t>
      </w:r>
      <w:r w:rsidRPr="00881752">
        <w:rPr>
          <w:rFonts w:cs="Times New Roman"/>
          <w:lang w:val="en-US"/>
        </w:rPr>
        <w:t>idea</w:t>
      </w:r>
      <w:r w:rsidR="00CC0615">
        <w:rPr>
          <w:rFonts w:cs="Times New Roman"/>
          <w:lang w:val="en-US"/>
        </w:rPr>
        <w:t>”</w:t>
      </w:r>
      <w:r w:rsidRPr="00881752">
        <w:rPr>
          <w:rFonts w:cs="Times New Roman"/>
          <w:lang w:val="en-US"/>
        </w:rPr>
        <w:t xml:space="preserve"> (</w:t>
      </w:r>
      <w:r w:rsidRPr="00881752">
        <w:rPr>
          <w:rFonts w:cs="Times New Roman"/>
          <w:i/>
          <w:iCs/>
          <w:lang w:val="en-US"/>
        </w:rPr>
        <w:t>Nu</w:t>
      </w:r>
      <w:r w:rsidRPr="00881752">
        <w:rPr>
          <w:rFonts w:cs="Times New Roman"/>
          <w:lang w:val="en-US"/>
        </w:rPr>
        <w:t>. 229, 743), where Strepsiades has just used γνώμη (</w:t>
      </w:r>
      <w:r w:rsidRPr="00881752">
        <w:rPr>
          <w:rFonts w:cs="Times New Roman"/>
          <w:i/>
          <w:iCs/>
          <w:lang w:val="en-US"/>
        </w:rPr>
        <w:t>Nu</w:t>
      </w:r>
      <w:r w:rsidRPr="00881752">
        <w:rPr>
          <w:rFonts w:cs="Times New Roman"/>
          <w:lang w:val="en-US"/>
        </w:rPr>
        <w:t>. 230, 747)</w:t>
      </w:r>
      <w:r w:rsidR="009354D5">
        <w:rPr>
          <w:rFonts w:cs="Times New Roman"/>
          <w:lang w:val="en-US"/>
        </w:rPr>
        <w:t xml:space="preserve"> </w:t>
      </w:r>
      <w:r w:rsidRPr="00881752">
        <w:rPr>
          <w:rFonts w:cs="Times New Roman"/>
          <w:lang w:val="en-US"/>
        </w:rPr>
        <w:t>and will use it again for the same concept.</w:t>
      </w:r>
      <w:r w:rsidRPr="00881752">
        <w:rPr>
          <w:rStyle w:val="FootnoteReference"/>
          <w:rFonts w:cs="Times New Roman"/>
          <w:lang w:val="en-US"/>
        </w:rPr>
        <w:footnoteReference w:id="93"/>
      </w:r>
      <w:r w:rsidRPr="00881752">
        <w:rPr>
          <w:rFonts w:cs="Times New Roman"/>
          <w:lang w:val="en-US"/>
        </w:rPr>
        <w:t xml:space="preserve"> It is interesting that Aristophanes coins διεντέρευμα </w:t>
      </w:r>
      <w:r w:rsidR="00CC0615">
        <w:rPr>
          <w:rFonts w:cs="Times New Roman"/>
          <w:lang w:val="en-US"/>
        </w:rPr>
        <w:t>“</w:t>
      </w:r>
      <w:r w:rsidRPr="00881752">
        <w:rPr>
          <w:rFonts w:cs="Times New Roman"/>
          <w:lang w:val="en-US"/>
        </w:rPr>
        <w:t>gutology</w:t>
      </w:r>
      <w:r w:rsidR="00CC0615">
        <w:rPr>
          <w:rFonts w:cs="Times New Roman"/>
          <w:lang w:val="en-US"/>
        </w:rPr>
        <w:t>”</w:t>
      </w:r>
      <w:r w:rsidRPr="00881752">
        <w:rPr>
          <w:rFonts w:cs="Times New Roman"/>
          <w:lang w:val="en-US"/>
        </w:rPr>
        <w:t xml:space="preserve"> (</w:t>
      </w:r>
      <w:r w:rsidRPr="00881752">
        <w:rPr>
          <w:rFonts w:cs="Times New Roman"/>
          <w:i/>
          <w:iCs/>
          <w:lang w:val="en-US"/>
        </w:rPr>
        <w:t>Nu</w:t>
      </w:r>
      <w:r w:rsidRPr="00881752">
        <w:rPr>
          <w:rFonts w:cs="Times New Roman"/>
          <w:lang w:val="en-US"/>
        </w:rPr>
        <w:t>. 166), as Strepsiades praises one of Socrates</w:t>
      </w:r>
      <w:r w:rsidR="00075F5F">
        <w:rPr>
          <w:rFonts w:cs="Times New Roman"/>
          <w:lang w:val="en-US"/>
        </w:rPr>
        <w:t>’</w:t>
      </w:r>
      <w:r w:rsidRPr="00881752">
        <w:rPr>
          <w:rFonts w:cs="Times New Roman"/>
          <w:lang w:val="en-US"/>
        </w:rPr>
        <w:t xml:space="preserve"> discoveries: Dover has pointed out that formations in </w:t>
      </w:r>
      <w:r w:rsidRPr="00881752">
        <w:rPr>
          <w:rFonts w:cs="Times New Roman"/>
          <w:lang w:val="en-US"/>
        </w:rPr>
        <w:lastRenderedPageBreak/>
        <w:t>-μα with a prefix δια- are rare before the end of the fourth century</w:t>
      </w:r>
      <w:r w:rsidRPr="00881752">
        <w:rPr>
          <w:rStyle w:val="FootnoteReference"/>
          <w:rFonts w:cs="Times New Roman"/>
          <w:lang w:val="en-US"/>
        </w:rPr>
        <w:footnoteReference w:id="94"/>
      </w:r>
      <w:r w:rsidRPr="00881752">
        <w:rPr>
          <w:rFonts w:cs="Times New Roman"/>
          <w:lang w:val="en-US"/>
        </w:rPr>
        <w:t xml:space="preserve"> so that </w:t>
      </w:r>
      <w:r w:rsidR="00CC0615">
        <w:rPr>
          <w:rFonts w:cs="Times New Roman"/>
          <w:lang w:val="en-US"/>
        </w:rPr>
        <w:t>“</w:t>
      </w:r>
      <w:r w:rsidRPr="00881752">
        <w:rPr>
          <w:rFonts w:cs="Times New Roman"/>
          <w:lang w:val="en-US"/>
        </w:rPr>
        <w:t>the word must therefore lend an aura of sophistic solemnity to the rustic</w:t>
      </w:r>
      <w:r w:rsidR="00075F5F">
        <w:rPr>
          <w:rFonts w:cs="Times New Roman"/>
          <w:lang w:val="en-US"/>
        </w:rPr>
        <w:t>’</w:t>
      </w:r>
      <w:r w:rsidRPr="00881752">
        <w:rPr>
          <w:rFonts w:cs="Times New Roman"/>
          <w:lang w:val="en-US"/>
        </w:rPr>
        <w:t>s phrase.</w:t>
      </w:r>
      <w:r w:rsidR="00CC0615">
        <w:rPr>
          <w:rFonts w:cs="Times New Roman"/>
          <w:lang w:val="en-US"/>
        </w:rPr>
        <w:t>”</w:t>
      </w:r>
      <w:r w:rsidRPr="00881752">
        <w:rPr>
          <w:rStyle w:val="FootnoteReference"/>
          <w:rFonts w:cs="Times New Roman"/>
          <w:lang w:val="en-US"/>
        </w:rPr>
        <w:footnoteReference w:id="95"/>
      </w:r>
      <w:r w:rsidRPr="00881752">
        <w:rPr>
          <w:rFonts w:cs="Times New Roman"/>
          <w:lang w:val="en-US"/>
        </w:rPr>
        <w:t xml:space="preserve"> According to Dover 1976, διανόημα </w:t>
      </w:r>
      <w:r w:rsidR="00CC0615">
        <w:rPr>
          <w:rFonts w:cs="Times New Roman"/>
          <w:lang w:val="en-US"/>
        </w:rPr>
        <w:t>“</w:t>
      </w:r>
      <w:r w:rsidRPr="00881752">
        <w:rPr>
          <w:rFonts w:cs="Times New Roman"/>
          <w:lang w:val="en-US"/>
        </w:rPr>
        <w:t>thought, idea</w:t>
      </w:r>
      <w:r w:rsidR="00CC0615">
        <w:rPr>
          <w:rFonts w:cs="Times New Roman"/>
          <w:lang w:val="en-US"/>
        </w:rPr>
        <w:t>”</w:t>
      </w:r>
      <w:r w:rsidRPr="00881752">
        <w:rPr>
          <w:rFonts w:cs="Times New Roman"/>
          <w:lang w:val="en-US"/>
        </w:rPr>
        <w:t xml:space="preserve"> (cf. Xen. </w:t>
      </w:r>
      <w:r w:rsidRPr="00881752">
        <w:rPr>
          <w:rFonts w:cs="Times New Roman"/>
          <w:i/>
          <w:iCs/>
          <w:lang w:val="en-US"/>
        </w:rPr>
        <w:t>HG</w:t>
      </w:r>
      <w:r w:rsidRPr="00881752">
        <w:rPr>
          <w:rFonts w:cs="Times New Roman"/>
          <w:lang w:val="en-US"/>
        </w:rPr>
        <w:t xml:space="preserve"> 7.5.19; Isocr. 3.9; Pl. </w:t>
      </w:r>
      <w:r w:rsidRPr="00881752">
        <w:rPr>
          <w:rFonts w:cs="Times New Roman"/>
          <w:i/>
          <w:iCs/>
          <w:lang w:val="en-US"/>
        </w:rPr>
        <w:t>Symp</w:t>
      </w:r>
      <w:r w:rsidRPr="00881752">
        <w:rPr>
          <w:rFonts w:cs="Times New Roman"/>
          <w:lang w:val="en-US"/>
        </w:rPr>
        <w:t>. 210d) may have been the model of διεντέρευμα. However, Hipponax</w:t>
      </w:r>
      <w:r w:rsidR="00075F5F">
        <w:rPr>
          <w:rFonts w:cs="Times New Roman"/>
          <w:lang w:val="en-US"/>
        </w:rPr>
        <w:t>’</w:t>
      </w:r>
      <w:r w:rsidRPr="00881752">
        <w:rPr>
          <w:rFonts w:cs="Times New Roman"/>
          <w:lang w:val="en-US"/>
        </w:rPr>
        <w:t xml:space="preserve">s διάσφαγμα, with its double and ironic meaning, may have been the inspiration for Aristophanes, since both σφάξ and ἔντερον are medical terms. </w:t>
      </w:r>
    </w:p>
    <w:p w14:paraId="7501568A" w14:textId="22A4D2F6" w:rsidR="00272F31" w:rsidRPr="00881752" w:rsidRDefault="009C4864" w:rsidP="00881752">
      <w:pPr>
        <w:ind w:firstLine="426"/>
        <w:rPr>
          <w:rFonts w:eastAsia="Times New Roman" w:cs="Times New Roman"/>
          <w:szCs w:val="24"/>
          <w:lang w:eastAsia="en-IE"/>
        </w:rPr>
      </w:pPr>
      <w:r w:rsidRPr="00881752">
        <w:rPr>
          <w:rFonts w:cs="Times New Roman"/>
          <w:lang w:val="en-US"/>
        </w:rPr>
        <w:t>The inclination towards neuter nouns characterises the archaic iambic fragments: both Archilochus</w:t>
      </w:r>
      <w:r w:rsidR="00075F5F">
        <w:rPr>
          <w:rFonts w:cs="Times New Roman"/>
          <w:lang w:val="en-US"/>
        </w:rPr>
        <w:t>’</w:t>
      </w:r>
      <w:r w:rsidRPr="00881752">
        <w:rPr>
          <w:rFonts w:cs="Times New Roman"/>
          <w:lang w:val="en-US"/>
        </w:rPr>
        <w:t xml:space="preserve"> and Hipponax</w:t>
      </w:r>
      <w:r w:rsidR="00075F5F">
        <w:rPr>
          <w:rFonts w:cs="Times New Roman"/>
          <w:lang w:val="en-US"/>
        </w:rPr>
        <w:t>’</w:t>
      </w:r>
      <w:r w:rsidRPr="00881752">
        <w:rPr>
          <w:rFonts w:cs="Times New Roman"/>
          <w:lang w:val="en-US"/>
        </w:rPr>
        <w:t xml:space="preserve">s texts include several words of neuter gender, so that in archaic iambs it is possible to find in the neuter words which in epic and elegy use the masculine or feminine gender. This phenomenon goes beyond heteroclisis, since it does not imply a change of declension, but only a change of gender. For example, Archilochus says βρῦτον instead of βρῦτος, and Hipponax prefers χίμετλον rather than χιμέτλη. I argue that transforming a masculine/feminine noun into a neuter one is a mean to decrease the </w:t>
      </w:r>
      <w:r w:rsidR="00CC0615">
        <w:rPr>
          <w:rFonts w:cs="Times New Roman"/>
          <w:lang w:val="en-US"/>
        </w:rPr>
        <w:t>“</w:t>
      </w:r>
      <w:r w:rsidRPr="00881752">
        <w:rPr>
          <w:rFonts w:cs="Times New Roman"/>
          <w:lang w:val="en-US"/>
        </w:rPr>
        <w:t>status</w:t>
      </w:r>
      <w:r w:rsidR="00CC0615">
        <w:rPr>
          <w:rFonts w:cs="Times New Roman"/>
          <w:lang w:val="en-US"/>
        </w:rPr>
        <w:t>”</w:t>
      </w:r>
      <w:r w:rsidRPr="00881752">
        <w:rPr>
          <w:rFonts w:cs="Times New Roman"/>
          <w:lang w:val="en-US"/>
        </w:rPr>
        <w:t xml:space="preserve"> of the word, and consequently the </w:t>
      </w:r>
      <w:r w:rsidR="00CC0615">
        <w:rPr>
          <w:rFonts w:cs="Times New Roman"/>
          <w:lang w:val="en-US"/>
        </w:rPr>
        <w:t>“</w:t>
      </w:r>
      <w:r w:rsidRPr="00881752">
        <w:rPr>
          <w:rFonts w:cs="Times New Roman"/>
          <w:lang w:val="en-US"/>
        </w:rPr>
        <w:t>status</w:t>
      </w:r>
      <w:r w:rsidR="00CC0615">
        <w:rPr>
          <w:rFonts w:cs="Times New Roman"/>
          <w:lang w:val="en-US"/>
        </w:rPr>
        <w:t>”</w:t>
      </w:r>
      <w:r w:rsidRPr="00881752">
        <w:rPr>
          <w:rFonts w:cs="Times New Roman"/>
          <w:lang w:val="en-US"/>
        </w:rPr>
        <w:t xml:space="preserve"> of the object that the word refers to. Iambs describe a world of poor little things, without importance, and the neuter gender reflects this ontological condition. Indeed, it is deliberate that Hipponax often pairs the neuter gender with the diminutive suffix, as shown by κυπασσίσκον, σαμβαλίσκον, ἀσκερίσκον. The same phenomenon appears in Comedy and in Roman </w:t>
      </w:r>
      <w:r w:rsidR="00D808B7">
        <w:rPr>
          <w:rFonts w:cs="Times New Roman"/>
          <w:lang w:val="en-US"/>
        </w:rPr>
        <w:t xml:space="preserve">low-register </w:t>
      </w:r>
      <w:r w:rsidRPr="00881752">
        <w:rPr>
          <w:rFonts w:cs="Times New Roman"/>
          <w:lang w:val="en-US"/>
        </w:rPr>
        <w:t>genres: Aristophanes uses diminutives in -ιον, and in -ισκον (for example, ληκύθιον (</w:t>
      </w:r>
      <w:r w:rsidRPr="00881752">
        <w:rPr>
          <w:rFonts w:cs="Times New Roman"/>
          <w:i/>
          <w:iCs/>
          <w:lang w:val="en-US"/>
        </w:rPr>
        <w:t>Ra</w:t>
      </w:r>
      <w:r w:rsidRPr="00881752">
        <w:rPr>
          <w:rFonts w:cs="Times New Roman"/>
          <w:lang w:val="en-US"/>
        </w:rPr>
        <w:t>. 1200, 1246), and νεανίσκος (</w:t>
      </w:r>
      <w:r w:rsidRPr="00881752">
        <w:rPr>
          <w:rFonts w:cs="Times New Roman"/>
          <w:i/>
          <w:iCs/>
          <w:lang w:val="en-US"/>
        </w:rPr>
        <w:t>Lys</w:t>
      </w:r>
      <w:r w:rsidRPr="00881752">
        <w:rPr>
          <w:rFonts w:cs="Times New Roman"/>
          <w:lang w:val="en-US"/>
        </w:rPr>
        <w:t xml:space="preserve">. 785; </w:t>
      </w:r>
      <w:r w:rsidRPr="00881752">
        <w:rPr>
          <w:rFonts w:cs="Times New Roman"/>
          <w:i/>
          <w:iCs/>
          <w:lang w:val="en-US"/>
        </w:rPr>
        <w:t>Plut</w:t>
      </w:r>
      <w:r w:rsidRPr="00881752">
        <w:rPr>
          <w:rFonts w:cs="Times New Roman"/>
          <w:lang w:val="en-US"/>
        </w:rPr>
        <w:t>. 1016, 1201)); Terentius uses diminutives for a matter concerning a slave (</w:t>
      </w:r>
      <w:r w:rsidRPr="00881752">
        <w:rPr>
          <w:rFonts w:cs="Times New Roman"/>
          <w:i/>
          <w:iCs/>
          <w:lang w:val="en-US"/>
        </w:rPr>
        <w:t>Ph</w:t>
      </w:r>
      <w:r w:rsidRPr="00881752">
        <w:rPr>
          <w:rFonts w:cs="Times New Roman"/>
          <w:lang w:val="en-US"/>
        </w:rPr>
        <w:t xml:space="preserve">. 36: </w:t>
      </w:r>
      <w:r w:rsidRPr="00881752">
        <w:rPr>
          <w:rFonts w:cs="Times New Roman"/>
          <w:i/>
          <w:iCs/>
          <w:lang w:val="en-US"/>
        </w:rPr>
        <w:t>ratiuncula</w:t>
      </w:r>
      <w:r w:rsidRPr="00881752">
        <w:rPr>
          <w:rFonts w:cs="Times New Roman"/>
          <w:lang w:val="en-US"/>
        </w:rPr>
        <w:t xml:space="preserve">, </w:t>
      </w:r>
      <w:r w:rsidRPr="00881752">
        <w:rPr>
          <w:rFonts w:cs="Times New Roman"/>
          <w:i/>
          <w:iCs/>
          <w:lang w:val="en-US"/>
        </w:rPr>
        <w:t>pauxillulum</w:t>
      </w:r>
      <w:r w:rsidRPr="00881752">
        <w:rPr>
          <w:rFonts w:cs="Times New Roman"/>
          <w:lang w:val="en-US"/>
        </w:rPr>
        <w:t>);</w:t>
      </w:r>
      <w:r w:rsidRPr="00881752">
        <w:rPr>
          <w:rStyle w:val="FootnoteReference"/>
          <w:rFonts w:cs="Times New Roman"/>
          <w:lang w:val="en-US"/>
        </w:rPr>
        <w:footnoteReference w:id="96"/>
      </w:r>
      <w:r w:rsidRPr="00881752">
        <w:rPr>
          <w:rFonts w:cs="Times New Roman"/>
          <w:lang w:val="en-US"/>
        </w:rPr>
        <w:t xml:space="preserve"> Lucilius</w:t>
      </w:r>
      <w:r w:rsidR="00075F5F">
        <w:rPr>
          <w:rFonts w:cs="Times New Roman"/>
          <w:lang w:val="en-US"/>
        </w:rPr>
        <w:t>’</w:t>
      </w:r>
      <w:r w:rsidRPr="00881752">
        <w:rPr>
          <w:rFonts w:cs="Times New Roman"/>
          <w:lang w:val="en-US"/>
        </w:rPr>
        <w:t xml:space="preserve"> satirical fragments counts some thirty diminutives;</w:t>
      </w:r>
      <w:r w:rsidRPr="00881752">
        <w:rPr>
          <w:rStyle w:val="FootnoteReference"/>
          <w:rFonts w:cs="Times New Roman"/>
          <w:lang w:val="en-US"/>
        </w:rPr>
        <w:footnoteReference w:id="97"/>
      </w:r>
      <w:r w:rsidRPr="00881752">
        <w:rPr>
          <w:rFonts w:cs="Times New Roman"/>
          <w:lang w:val="en-US"/>
        </w:rPr>
        <w:t xml:space="preserve"> Horace uses them in context of mock-elevated scenes (</w:t>
      </w:r>
      <w:r w:rsidRPr="00881752">
        <w:rPr>
          <w:rFonts w:cs="Times New Roman"/>
          <w:i/>
          <w:iCs/>
          <w:lang w:val="en-US"/>
        </w:rPr>
        <w:t>Sat</w:t>
      </w:r>
      <w:r w:rsidRPr="00881752">
        <w:rPr>
          <w:rFonts w:cs="Times New Roman"/>
          <w:lang w:val="en-US"/>
        </w:rPr>
        <w:t xml:space="preserve">. 1.5: 36 </w:t>
      </w:r>
      <w:r w:rsidRPr="00D10A84">
        <w:rPr>
          <w:rFonts w:cs="Times New Roman"/>
          <w:i/>
          <w:lang w:val="en-US"/>
        </w:rPr>
        <w:t>vatillum</w:t>
      </w:r>
      <w:r w:rsidRPr="00881752">
        <w:rPr>
          <w:rFonts w:cs="Times New Roman"/>
          <w:lang w:val="en-US"/>
        </w:rPr>
        <w:t xml:space="preserve">, 45 </w:t>
      </w:r>
      <w:r w:rsidRPr="00D10A84">
        <w:rPr>
          <w:rFonts w:cs="Times New Roman"/>
          <w:i/>
          <w:lang w:val="en-US"/>
        </w:rPr>
        <w:t>villula</w:t>
      </w:r>
      <w:r w:rsidRPr="00881752">
        <w:rPr>
          <w:rFonts w:cs="Times New Roman"/>
          <w:lang w:val="en-US"/>
        </w:rPr>
        <w:t xml:space="preserve">, 47 </w:t>
      </w:r>
      <w:r w:rsidRPr="00D10A84">
        <w:rPr>
          <w:rFonts w:cs="Times New Roman"/>
          <w:i/>
          <w:lang w:val="en-US"/>
        </w:rPr>
        <w:t>clitellas</w:t>
      </w:r>
      <w:r w:rsidRPr="00881752">
        <w:rPr>
          <w:rFonts w:cs="Times New Roman"/>
          <w:lang w:val="en-US"/>
        </w:rPr>
        <w:t>);</w:t>
      </w:r>
      <w:r w:rsidRPr="00881752">
        <w:rPr>
          <w:rStyle w:val="FootnoteReference"/>
          <w:rFonts w:cs="Times New Roman"/>
          <w:lang w:val="en-US"/>
        </w:rPr>
        <w:footnoteReference w:id="98"/>
      </w:r>
      <w:r w:rsidRPr="00881752">
        <w:rPr>
          <w:rFonts w:cs="Times New Roman"/>
          <w:lang w:val="en-US"/>
        </w:rPr>
        <w:t xml:space="preserve"> Martial coins </w:t>
      </w:r>
      <w:r w:rsidRPr="00881752">
        <w:rPr>
          <w:rFonts w:cs="Times New Roman"/>
          <w:i/>
          <w:iCs/>
          <w:lang w:val="en-US"/>
        </w:rPr>
        <w:t>lecticariola</w:t>
      </w:r>
      <w:r w:rsidRPr="00881752">
        <w:rPr>
          <w:rFonts w:cs="Times New Roman"/>
          <w:lang w:val="en-US"/>
        </w:rPr>
        <w:t xml:space="preserve"> and </w:t>
      </w:r>
      <w:r w:rsidRPr="00881752">
        <w:rPr>
          <w:rFonts w:cs="Times New Roman"/>
          <w:i/>
          <w:iCs/>
          <w:lang w:val="en-US"/>
        </w:rPr>
        <w:t>ancillariolus</w:t>
      </w:r>
      <w:r w:rsidRPr="00881752">
        <w:rPr>
          <w:rFonts w:cs="Times New Roman"/>
          <w:lang w:val="en-US"/>
        </w:rPr>
        <w:t xml:space="preserve"> (12.58)</w:t>
      </w:r>
      <w:r w:rsidR="00D808B7">
        <w:rPr>
          <w:rFonts w:cs="Times New Roman"/>
          <w:lang w:val="en-US"/>
        </w:rPr>
        <w:t>, “where the diminutive is formed on words (-</w:t>
      </w:r>
      <w:r w:rsidR="00D808B7" w:rsidRPr="0041663F">
        <w:rPr>
          <w:rFonts w:cs="Times New Roman"/>
          <w:i/>
          <w:lang w:val="en-US"/>
        </w:rPr>
        <w:t>arius/aria</w:t>
      </w:r>
      <w:r w:rsidR="00D808B7">
        <w:rPr>
          <w:rFonts w:cs="Times New Roman"/>
          <w:lang w:val="en-US"/>
        </w:rPr>
        <w:t>) having per se a distinctly popular flavo</w:t>
      </w:r>
      <w:r w:rsidR="00F24EB5">
        <w:rPr>
          <w:rFonts w:cs="Times New Roman"/>
          <w:lang w:val="en-US"/>
        </w:rPr>
        <w:t>ur</w:t>
      </w:r>
      <w:r w:rsidR="00D808B7">
        <w:rPr>
          <w:rFonts w:cs="Times New Roman"/>
          <w:lang w:val="en-US"/>
        </w:rPr>
        <w:t>.”</w:t>
      </w:r>
      <w:r w:rsidRPr="00881752">
        <w:rPr>
          <w:rStyle w:val="FootnoteReference"/>
          <w:rFonts w:cs="Times New Roman"/>
          <w:lang w:val="en-US"/>
        </w:rPr>
        <w:footnoteReference w:id="99"/>
      </w:r>
      <w:r w:rsidRPr="00881752">
        <w:rPr>
          <w:rFonts w:cs="Times New Roman"/>
          <w:lang w:val="en-US"/>
        </w:rPr>
        <w:t xml:space="preserve"> </w:t>
      </w:r>
      <w:r w:rsidR="00204539" w:rsidRPr="00881752">
        <w:rPr>
          <w:rFonts w:eastAsia="Times New Roman" w:cs="Times New Roman"/>
          <w:szCs w:val="24"/>
          <w:lang w:eastAsia="en-IE"/>
        </w:rPr>
        <w:t xml:space="preserve"> </w:t>
      </w:r>
    </w:p>
    <w:p w14:paraId="23671F99" w14:textId="1D579863" w:rsidR="00272F31" w:rsidRPr="00881752" w:rsidRDefault="00861BD6" w:rsidP="00F74824">
      <w:pPr>
        <w:pStyle w:val="Heading3"/>
        <w:rPr>
          <w:i/>
        </w:rPr>
      </w:pPr>
      <w:r w:rsidRPr="00881752">
        <w:lastRenderedPageBreak/>
        <w:t xml:space="preserve">1.5 </w:t>
      </w:r>
      <w:r w:rsidR="00272F31" w:rsidRPr="00881752">
        <w:rPr>
          <w:i/>
        </w:rPr>
        <w:t>Hapax Legomena</w:t>
      </w:r>
    </w:p>
    <w:p w14:paraId="721C9CBE" w14:textId="78EAFADB" w:rsidR="007713D2" w:rsidRPr="00881752" w:rsidRDefault="009C4864" w:rsidP="00756BD3">
      <w:pPr>
        <w:tabs>
          <w:tab w:val="clear" w:pos="425"/>
          <w:tab w:val="left" w:pos="426"/>
        </w:tabs>
        <w:rPr>
          <w:rFonts w:cs="Times New Roman"/>
          <w:shd w:val="solid" w:color="FFFFFF" w:fill="FFFFFF"/>
          <w:lang w:val="en-US"/>
        </w:rPr>
      </w:pPr>
      <w:r w:rsidRPr="00881752">
        <w:rPr>
          <w:rFonts w:cs="Times New Roman"/>
          <w:i/>
          <w:iCs/>
          <w:shd w:val="solid" w:color="FFFFFF" w:fill="FFFFFF"/>
          <w:lang w:val="en-US"/>
        </w:rPr>
        <w:t>Hapax legomena</w:t>
      </w:r>
      <w:r w:rsidRPr="00881752">
        <w:rPr>
          <w:rFonts w:cs="Times New Roman"/>
          <w:shd w:val="solid" w:color="FFFFFF" w:fill="FFFFFF"/>
          <w:lang w:val="en-US"/>
        </w:rPr>
        <w:t xml:space="preserve"> are words which occur only once: we call them </w:t>
      </w:r>
      <w:r w:rsidR="00CC0615">
        <w:rPr>
          <w:rFonts w:cs="Times New Roman"/>
          <w:shd w:val="solid" w:color="FFFFFF" w:fill="FFFFFF"/>
          <w:lang w:val="en-US"/>
        </w:rPr>
        <w:t>“</w:t>
      </w:r>
      <w:r w:rsidRPr="00881752">
        <w:rPr>
          <w:rFonts w:cs="Times New Roman"/>
          <w:shd w:val="solid" w:color="FFFFFF" w:fill="FFFFFF"/>
          <w:lang w:val="en-US"/>
        </w:rPr>
        <w:t>absolute</w:t>
      </w:r>
      <w:r w:rsidR="00CC0615">
        <w:rPr>
          <w:rFonts w:cs="Times New Roman"/>
          <w:shd w:val="solid" w:color="FFFFFF" w:fill="FFFFFF"/>
          <w:lang w:val="en-US"/>
        </w:rPr>
        <w:t>”</w:t>
      </w:r>
      <w:r w:rsidRPr="00881752">
        <w:rPr>
          <w:rFonts w:cs="Times New Roman"/>
          <w:shd w:val="solid" w:color="FFFFFF" w:fill="FFFFFF"/>
          <w:lang w:val="en-US"/>
        </w:rPr>
        <w:t xml:space="preserve"> when they occur only once in all the Greek literature, while we call them </w:t>
      </w:r>
      <w:r w:rsidR="00CC0615">
        <w:rPr>
          <w:rFonts w:cs="Times New Roman"/>
          <w:shd w:val="solid" w:color="FFFFFF" w:fill="FFFFFF"/>
          <w:lang w:val="en-US"/>
        </w:rPr>
        <w:t>“</w:t>
      </w:r>
      <w:r w:rsidRPr="00881752">
        <w:rPr>
          <w:rFonts w:cs="Times New Roman"/>
          <w:shd w:val="solid" w:color="FFFFFF" w:fill="FFFFFF"/>
          <w:lang w:val="en-US"/>
        </w:rPr>
        <w:t>relative</w:t>
      </w:r>
      <w:r w:rsidR="00CC0615">
        <w:rPr>
          <w:rFonts w:cs="Times New Roman"/>
          <w:shd w:val="solid" w:color="FFFFFF" w:fill="FFFFFF"/>
          <w:lang w:val="en-US"/>
        </w:rPr>
        <w:t>”</w:t>
      </w:r>
      <w:r w:rsidRPr="00881752">
        <w:rPr>
          <w:rFonts w:cs="Times New Roman"/>
          <w:shd w:val="solid" w:color="FFFFFF" w:fill="FFFFFF"/>
          <w:lang w:val="en-US"/>
        </w:rPr>
        <w:t xml:space="preserve"> when they occur only once in a work or in an author. When a term is rare, it is more difficult to understand its meaning. As a consequence, the audience has </w:t>
      </w:r>
      <w:r w:rsidR="009354D5">
        <w:rPr>
          <w:rFonts w:cs="Times New Roman"/>
          <w:shd w:val="solid" w:color="FFFFFF" w:fill="FFFFFF"/>
          <w:lang w:val="en-US"/>
        </w:rPr>
        <w:t xml:space="preserve">to </w:t>
      </w:r>
      <w:r w:rsidRPr="00881752">
        <w:rPr>
          <w:rFonts w:cs="Times New Roman"/>
          <w:shd w:val="solid" w:color="FFFFFF" w:fill="FFFFFF"/>
          <w:lang w:val="en-US"/>
        </w:rPr>
        <w:t>pay more particular attention to infer that meaning on the basis of both the internal structure of the word and its relation to the context. Indeed, the Greek lexicon has a highly systematic structure that governs what words can mean: new words are often formed by analogy to existing words, using roots and morphological markers that already come with meaning. Moreover, the context can suggest the meaning of the word, or at least let the audience guess at it.</w:t>
      </w:r>
    </w:p>
    <w:p w14:paraId="3787B009" w14:textId="4E2EABC7" w:rsidR="009C4864" w:rsidRPr="00881752" w:rsidRDefault="009C4864" w:rsidP="007713D2">
      <w:pPr>
        <w:tabs>
          <w:tab w:val="clear" w:pos="425"/>
          <w:tab w:val="left" w:pos="426"/>
        </w:tabs>
        <w:ind w:firstLine="426"/>
        <w:rPr>
          <w:rFonts w:cs="Times New Roman"/>
          <w:shd w:val="solid" w:color="FFFFFF" w:fill="FFFFFF"/>
          <w:lang w:val="en-US"/>
        </w:rPr>
      </w:pPr>
      <w:r w:rsidRPr="00881752">
        <w:rPr>
          <w:rFonts w:cs="Times New Roman"/>
          <w:shd w:val="solid" w:color="FFFFFF" w:fill="FFFFFF"/>
          <w:lang w:val="en-US"/>
        </w:rPr>
        <w:t xml:space="preserve">However, neither analogy to a pre-existing word nor context can secure the exact meaning of the word. A </w:t>
      </w:r>
      <w:r w:rsidRPr="00881752">
        <w:rPr>
          <w:rFonts w:cs="Times New Roman"/>
          <w:i/>
          <w:iCs/>
          <w:shd w:val="solid" w:color="FFFFFF" w:fill="FFFFFF"/>
          <w:lang w:val="en-US"/>
        </w:rPr>
        <w:t>hapax legomen</w:t>
      </w:r>
      <w:r w:rsidR="009354D5">
        <w:rPr>
          <w:rFonts w:cs="Times New Roman"/>
          <w:i/>
          <w:iCs/>
          <w:shd w:val="solid" w:color="FFFFFF" w:fill="FFFFFF"/>
          <w:lang w:val="en-US"/>
        </w:rPr>
        <w:t>on</w:t>
      </w:r>
      <w:r w:rsidRPr="00881752">
        <w:rPr>
          <w:rFonts w:cs="Times New Roman"/>
          <w:shd w:val="solid" w:color="FFFFFF" w:fill="FFFFFF"/>
          <w:lang w:val="en-US"/>
        </w:rPr>
        <w:t xml:space="preserve"> can create a chain of allusion and metaphors, as happened to Hipponax</w:t>
      </w:r>
      <w:r w:rsidR="00075F5F">
        <w:rPr>
          <w:rFonts w:cs="Times New Roman"/>
          <w:shd w:val="solid" w:color="FFFFFF" w:fill="FFFFFF"/>
          <w:lang w:val="en-US"/>
        </w:rPr>
        <w:t>’</w:t>
      </w:r>
      <w:r w:rsidRPr="00881752">
        <w:rPr>
          <w:rFonts w:cs="Times New Roman"/>
          <w:shd w:val="solid" w:color="FFFFFF" w:fill="FFFFFF"/>
          <w:lang w:val="en-US"/>
        </w:rPr>
        <w:t xml:space="preserve">s absolute </w:t>
      </w:r>
      <w:r w:rsidRPr="00881752">
        <w:rPr>
          <w:rFonts w:cs="Times New Roman"/>
          <w:i/>
          <w:iCs/>
          <w:shd w:val="solid" w:color="FFFFFF" w:fill="FFFFFF"/>
          <w:lang w:val="en-US"/>
        </w:rPr>
        <w:t>hapax</w:t>
      </w:r>
      <w:r w:rsidRPr="00881752">
        <w:rPr>
          <w:rFonts w:cs="Times New Roman"/>
          <w:shd w:val="solid" w:color="FFFFFF" w:fill="FFFFFF"/>
          <w:lang w:val="en-US"/>
        </w:rPr>
        <w:t xml:space="preserve"> καύης. This term appears in Hippon. fr. 3, and only recently has scholarship ascertained that it means </w:t>
      </w:r>
      <w:r w:rsidR="00CC0615">
        <w:rPr>
          <w:rFonts w:cs="Times New Roman"/>
          <w:shd w:val="solid" w:color="FFFFFF" w:fill="FFFFFF"/>
          <w:lang w:val="en-US"/>
        </w:rPr>
        <w:t>“</w:t>
      </w:r>
      <w:r w:rsidRPr="00881752">
        <w:rPr>
          <w:rFonts w:cs="Times New Roman"/>
          <w:shd w:val="solid" w:color="FFFFFF" w:fill="FFFFFF"/>
          <w:lang w:val="en-US"/>
        </w:rPr>
        <w:t>priest</w:t>
      </w:r>
      <w:r w:rsidR="00CC0615">
        <w:rPr>
          <w:rFonts w:cs="Times New Roman"/>
          <w:shd w:val="solid" w:color="FFFFFF" w:fill="FFFFFF"/>
          <w:lang w:val="en-US"/>
        </w:rPr>
        <w:t>”</w:t>
      </w:r>
      <w:r w:rsidRPr="00881752">
        <w:rPr>
          <w:rFonts w:cs="Times New Roman"/>
          <w:shd w:val="solid" w:color="FFFFFF" w:fill="FFFFFF"/>
          <w:lang w:val="en-US"/>
        </w:rPr>
        <w:t xml:space="preserve">: the word is a phonological borrowing from the Lydian </w:t>
      </w:r>
      <w:r w:rsidRPr="00881752">
        <w:rPr>
          <w:rFonts w:cs="Times New Roman"/>
          <w:i/>
          <w:iCs/>
          <w:shd w:val="solid" w:color="FFFFFF" w:fill="FFFFFF"/>
          <w:lang w:val="en-US"/>
        </w:rPr>
        <w:t>kaweś</w:t>
      </w:r>
      <w:r w:rsidRPr="00881752">
        <w:rPr>
          <w:rFonts w:cs="Times New Roman"/>
          <w:shd w:val="solid" w:color="FFFFFF" w:fill="FFFFFF"/>
          <w:lang w:val="en-US"/>
        </w:rPr>
        <w:t xml:space="preserve"> </w:t>
      </w:r>
      <w:r w:rsidR="00CC0615">
        <w:rPr>
          <w:rFonts w:cs="Times New Roman"/>
          <w:shd w:val="solid" w:color="FFFFFF" w:fill="FFFFFF"/>
          <w:lang w:val="en-US"/>
        </w:rPr>
        <w:t>“</w:t>
      </w:r>
      <w:r w:rsidRPr="00881752">
        <w:rPr>
          <w:rFonts w:cs="Times New Roman"/>
          <w:shd w:val="solid" w:color="FFFFFF" w:fill="FFFFFF"/>
          <w:lang w:val="en-US"/>
        </w:rPr>
        <w:t>priest</w:t>
      </w:r>
      <w:r w:rsidR="00CC0615">
        <w:rPr>
          <w:rFonts w:cs="Times New Roman"/>
          <w:shd w:val="solid" w:color="FFFFFF" w:fill="FFFFFF"/>
          <w:lang w:val="en-US"/>
        </w:rPr>
        <w:t>”</w:t>
      </w:r>
      <w:r w:rsidRPr="00881752">
        <w:rPr>
          <w:rFonts w:cs="Times New Roman"/>
          <w:shd w:val="solid" w:color="FFFFFF" w:fill="FFFFFF"/>
          <w:lang w:val="en-US"/>
        </w:rPr>
        <w:t xml:space="preserve">; it is likely that Hipponax deliberately adapted the correspondent Greek word κόης to the Lydian vocalism in order to parrot Lydian speakers. However, ancient scholars who did not know Lydian could not understand the meaning of the word, as shown by Tzetzes who glossed the term with λάρος </w:t>
      </w:r>
      <w:r w:rsidR="00CC0615">
        <w:rPr>
          <w:rFonts w:cs="Times New Roman"/>
          <w:shd w:val="solid" w:color="FFFFFF" w:fill="FFFFFF"/>
          <w:lang w:val="en-US"/>
        </w:rPr>
        <w:t>“</w:t>
      </w:r>
      <w:r w:rsidRPr="00881752">
        <w:rPr>
          <w:rFonts w:cs="Times New Roman"/>
          <w:shd w:val="solid" w:color="FFFFFF" w:fill="FFFFFF"/>
          <w:lang w:val="en-US"/>
        </w:rPr>
        <w:t>heron.</w:t>
      </w:r>
      <w:r w:rsidR="00CC0615">
        <w:rPr>
          <w:rFonts w:cs="Times New Roman"/>
          <w:shd w:val="solid" w:color="FFFFFF" w:fill="FFFFFF"/>
          <w:lang w:val="en-US"/>
        </w:rPr>
        <w:t>”</w:t>
      </w:r>
      <w:r w:rsidRPr="00881752">
        <w:rPr>
          <w:rFonts w:cs="Times New Roman"/>
          <w:shd w:val="solid" w:color="FFFFFF" w:fill="FFFFFF"/>
          <w:lang w:val="en-US"/>
        </w:rPr>
        <w:t xml:space="preserve"> To make this meaning fit the context, ancient scholars resorted to metaphor, since Hipponax elsewhere used metaphors drawn from the world of birds to attack his targets.</w:t>
      </w:r>
      <w:r w:rsidRPr="00881752">
        <w:rPr>
          <w:rStyle w:val="FootnoteReference"/>
          <w:rFonts w:cs="Times New Roman"/>
          <w:lang w:val="en-US"/>
        </w:rPr>
        <w:footnoteReference w:id="100"/>
      </w:r>
      <w:r w:rsidRPr="00881752">
        <w:rPr>
          <w:rFonts w:cs="Times New Roman"/>
          <w:shd w:val="solid" w:color="FFFFFF" w:fill="FFFFFF"/>
          <w:lang w:val="en-US"/>
        </w:rPr>
        <w:t xml:space="preserve"> </w:t>
      </w:r>
    </w:p>
    <w:p w14:paraId="6B791D43" w14:textId="77777777" w:rsidR="009C4864" w:rsidRPr="00881752" w:rsidRDefault="009C4864" w:rsidP="009C4864">
      <w:pPr>
        <w:tabs>
          <w:tab w:val="clear" w:pos="425"/>
          <w:tab w:val="left" w:pos="426"/>
        </w:tabs>
        <w:rPr>
          <w:rFonts w:cs="Times New Roman"/>
          <w:lang w:val="en-US"/>
        </w:rPr>
      </w:pPr>
    </w:p>
    <w:p w14:paraId="206484EF" w14:textId="262274C7" w:rsidR="009C4864" w:rsidRPr="00881752" w:rsidRDefault="009C4864" w:rsidP="009C4864">
      <w:pPr>
        <w:tabs>
          <w:tab w:val="clear" w:pos="425"/>
          <w:tab w:val="left" w:pos="426"/>
        </w:tabs>
        <w:rPr>
          <w:rFonts w:cs="Times New Roman"/>
          <w:lang w:val="en-US"/>
        </w:rPr>
      </w:pPr>
      <w:r w:rsidRPr="00881752">
        <w:rPr>
          <w:rFonts w:cs="Times New Roman"/>
          <w:shd w:val="solid" w:color="FFFFFF" w:fill="FFFFFF"/>
          <w:lang w:val="en-US"/>
        </w:rPr>
        <w:t>A</w:t>
      </w:r>
      <w:r w:rsidRPr="00881752">
        <w:rPr>
          <w:rFonts w:cs="Times New Roman"/>
          <w:lang w:val="en-US"/>
        </w:rPr>
        <w:t xml:space="preserve">ccording to some calculations approximately one in three words in our Homeric lexicon is a Homeric </w:t>
      </w:r>
      <w:r w:rsidRPr="00881752">
        <w:rPr>
          <w:rFonts w:cs="Times New Roman"/>
          <w:i/>
          <w:iCs/>
          <w:lang w:val="en-US"/>
        </w:rPr>
        <w:t>hapax legomenon</w:t>
      </w:r>
      <w:r w:rsidRPr="00881752">
        <w:rPr>
          <w:rFonts w:cs="Times New Roman"/>
          <w:lang w:val="en-US"/>
        </w:rPr>
        <w:t xml:space="preserve"> (one in four words if proper names are excluded), meaning that it occurs only once in our texts of the </w:t>
      </w:r>
      <w:r w:rsidRPr="00881752">
        <w:rPr>
          <w:rFonts w:cs="Times New Roman"/>
          <w:i/>
          <w:iCs/>
          <w:lang w:val="en-US"/>
        </w:rPr>
        <w:t>Iliad</w:t>
      </w:r>
      <w:r w:rsidRPr="00881752">
        <w:rPr>
          <w:rFonts w:cs="Times New Roman"/>
          <w:lang w:val="en-US"/>
        </w:rPr>
        <w:t xml:space="preserve"> and </w:t>
      </w:r>
      <w:r w:rsidRPr="00881752">
        <w:rPr>
          <w:rFonts w:cs="Times New Roman"/>
          <w:i/>
          <w:iCs/>
          <w:lang w:val="en-US"/>
        </w:rPr>
        <w:t>Odyssey</w:t>
      </w:r>
      <w:r w:rsidRPr="00881752">
        <w:rPr>
          <w:rFonts w:cs="Times New Roman"/>
          <w:lang w:val="en-US"/>
        </w:rPr>
        <w:t>.</w:t>
      </w:r>
      <w:r w:rsidRPr="00881752">
        <w:rPr>
          <w:rStyle w:val="FootnoteReference"/>
          <w:rFonts w:cs="Times New Roman"/>
          <w:lang w:val="en-US"/>
        </w:rPr>
        <w:footnoteReference w:id="101"/>
      </w:r>
      <w:r w:rsidRPr="00881752">
        <w:rPr>
          <w:rFonts w:cs="Times New Roman"/>
          <w:lang w:val="en-US"/>
        </w:rPr>
        <w:t xml:space="preserve"> For the sake of comparison, the percentage of Homeric </w:t>
      </w:r>
      <w:r w:rsidRPr="00881752">
        <w:rPr>
          <w:rFonts w:cs="Times New Roman"/>
          <w:i/>
          <w:iCs/>
          <w:lang w:val="en-US"/>
        </w:rPr>
        <w:t>hapax</w:t>
      </w:r>
      <w:r w:rsidR="00D808B7">
        <w:rPr>
          <w:rFonts w:cs="Times New Roman"/>
          <w:i/>
          <w:iCs/>
          <w:lang w:val="en-US"/>
        </w:rPr>
        <w:t xml:space="preserve"> legomena</w:t>
      </w:r>
      <w:r w:rsidRPr="00881752">
        <w:rPr>
          <w:rFonts w:cs="Times New Roman"/>
          <w:lang w:val="en-US"/>
        </w:rPr>
        <w:t xml:space="preserve"> is roughly the same as that of Euripides (37%), and somewhere between Ovid at 20% and Shakespeare at 40%.</w:t>
      </w:r>
      <w:r w:rsidRPr="00881752">
        <w:rPr>
          <w:rStyle w:val="FootnoteReference"/>
          <w:rFonts w:cs="Times New Roman"/>
          <w:lang w:val="en-US"/>
        </w:rPr>
        <w:footnoteReference w:id="102"/>
      </w:r>
      <w:r w:rsidRPr="00881752">
        <w:rPr>
          <w:rFonts w:cs="Times New Roman"/>
          <w:lang w:val="en-US"/>
        </w:rPr>
        <w:t xml:space="preserve"> When we move to my iambic corpus the percentages increase: in Archilochus</w:t>
      </w:r>
      <w:r w:rsidR="00075F5F">
        <w:rPr>
          <w:rFonts w:cs="Times New Roman"/>
          <w:lang w:val="en-US"/>
        </w:rPr>
        <w:t>’</w:t>
      </w:r>
      <w:r w:rsidRPr="00881752">
        <w:rPr>
          <w:rFonts w:cs="Times New Roman"/>
          <w:lang w:val="en-US"/>
        </w:rPr>
        <w:t xml:space="preserve"> fragments the relative </w:t>
      </w:r>
      <w:r w:rsidRPr="00881752">
        <w:rPr>
          <w:rFonts w:cs="Times New Roman"/>
          <w:i/>
          <w:iCs/>
          <w:lang w:val="en-US"/>
        </w:rPr>
        <w:t>hapax legomena</w:t>
      </w:r>
      <w:r w:rsidRPr="00881752">
        <w:rPr>
          <w:rFonts w:cs="Times New Roman"/>
          <w:lang w:val="en-US"/>
        </w:rPr>
        <w:t xml:space="preserve"> constitute 70.95% of the whole lexicon, in Hipponax</w:t>
      </w:r>
      <w:r w:rsidR="00075F5F">
        <w:rPr>
          <w:rFonts w:cs="Times New Roman"/>
          <w:lang w:val="en-US"/>
        </w:rPr>
        <w:t>’</w:t>
      </w:r>
      <w:r w:rsidRPr="00881752">
        <w:rPr>
          <w:rFonts w:cs="Times New Roman"/>
          <w:lang w:val="en-US"/>
        </w:rPr>
        <w:t>s fragments they constitute 82.45%, and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they constitute 74.38%. I </w:t>
      </w:r>
      <w:r w:rsidRPr="00881752">
        <w:rPr>
          <w:rFonts w:cs="Times New Roman"/>
          <w:lang w:val="en-US"/>
        </w:rPr>
        <w:lastRenderedPageBreak/>
        <w:t xml:space="preserve">suggest that the smaller amount of relative </w:t>
      </w:r>
      <w:r w:rsidRPr="00881752">
        <w:rPr>
          <w:rFonts w:cs="Times New Roman"/>
          <w:i/>
          <w:iCs/>
          <w:lang w:val="en-US"/>
        </w:rPr>
        <w:t>hapax legomena</w:t>
      </w:r>
      <w:r w:rsidRPr="00881752">
        <w:rPr>
          <w:rFonts w:cs="Times New Roman"/>
          <w:lang w:val="en-US"/>
        </w:rPr>
        <w:t xml:space="preserve"> in Archilochus is due to the fact that the language of Archilochus is closer to epic. </w:t>
      </w:r>
    </w:p>
    <w:p w14:paraId="4B4C8663" w14:textId="715AB13C" w:rsidR="009C4864" w:rsidRPr="00881752" w:rsidRDefault="009C4864" w:rsidP="009C4864">
      <w:pPr>
        <w:tabs>
          <w:tab w:val="clear" w:pos="425"/>
          <w:tab w:val="left" w:pos="426"/>
        </w:tabs>
        <w:rPr>
          <w:rFonts w:cs="Times New Roman"/>
          <w:lang w:val="en-US"/>
        </w:rPr>
      </w:pPr>
      <w:r w:rsidRPr="00881752">
        <w:rPr>
          <w:rFonts w:cs="Times New Roman"/>
          <w:lang w:val="en-US"/>
        </w:rPr>
        <w:tab/>
        <w:t xml:space="preserve">Iambs show a higher-than-average percentage of relative </w:t>
      </w:r>
      <w:r w:rsidRPr="00881752">
        <w:rPr>
          <w:rFonts w:cs="Times New Roman"/>
          <w:i/>
          <w:iCs/>
          <w:lang w:val="en-US"/>
        </w:rPr>
        <w:t>hapax legomena</w:t>
      </w:r>
      <w:r w:rsidRPr="00881752">
        <w:rPr>
          <w:rFonts w:cs="Times New Roman"/>
          <w:lang w:val="en-US"/>
        </w:rPr>
        <w:t>. The reason for this is the fact that often iambographers</w:t>
      </w:r>
      <w:r w:rsidR="00075F5F">
        <w:rPr>
          <w:rFonts w:cs="Times New Roman"/>
          <w:lang w:val="en-US"/>
        </w:rPr>
        <w:t>’</w:t>
      </w:r>
      <w:r w:rsidRPr="00881752">
        <w:rPr>
          <w:rFonts w:cs="Times New Roman"/>
          <w:lang w:val="en-US"/>
        </w:rPr>
        <w:t xml:space="preserve"> fragments are quoted because of the singularity of their words (Hipponax</w:t>
      </w:r>
      <w:r w:rsidR="00075F5F">
        <w:rPr>
          <w:rFonts w:cs="Times New Roman"/>
          <w:lang w:val="en-US"/>
        </w:rPr>
        <w:t>’</w:t>
      </w:r>
      <w:r w:rsidRPr="00881752">
        <w:rPr>
          <w:rFonts w:cs="Times New Roman"/>
          <w:lang w:val="en-US"/>
        </w:rPr>
        <w:t>s fragments in particular have been preserved through grammarians</w:t>
      </w:r>
      <w:r w:rsidR="00075F5F">
        <w:rPr>
          <w:rFonts w:cs="Times New Roman"/>
          <w:lang w:val="en-US"/>
        </w:rPr>
        <w:t>’</w:t>
      </w:r>
      <w:r w:rsidRPr="00881752">
        <w:rPr>
          <w:rFonts w:cs="Times New Roman"/>
          <w:lang w:val="en-US"/>
        </w:rPr>
        <w:t xml:space="preserve"> and lexicographers</w:t>
      </w:r>
      <w:r w:rsidR="00075F5F">
        <w:rPr>
          <w:rFonts w:cs="Times New Roman"/>
          <w:lang w:val="en-US"/>
        </w:rPr>
        <w:t>’</w:t>
      </w:r>
      <w:r w:rsidRPr="00881752">
        <w:rPr>
          <w:rFonts w:cs="Times New Roman"/>
          <w:lang w:val="en-US"/>
        </w:rPr>
        <w:t xml:space="preserve"> quotations). Many of these are common words that just happen to be attested only once in the texts that were fortunate enough to survive: they are found frequently in later Greek literature and must be well understood also in the earlier Greek vernacular. </w:t>
      </w:r>
    </w:p>
    <w:p w14:paraId="51CC5B55" w14:textId="15653B9C" w:rsidR="009C4864" w:rsidRPr="00881752" w:rsidRDefault="009C4864" w:rsidP="009C4864">
      <w:pPr>
        <w:tabs>
          <w:tab w:val="clear" w:pos="425"/>
          <w:tab w:val="left" w:pos="426"/>
        </w:tabs>
        <w:ind w:firstLine="426"/>
        <w:rPr>
          <w:rFonts w:cs="Times New Roman"/>
          <w:lang w:val="en-US"/>
        </w:rPr>
      </w:pPr>
      <w:r w:rsidRPr="00881752">
        <w:rPr>
          <w:rFonts w:cs="Times New Roman"/>
          <w:lang w:val="en-US"/>
        </w:rPr>
        <w:t xml:space="preserve">The situation changes considerably when we consider the absolute </w:t>
      </w:r>
      <w:r w:rsidRPr="00881752">
        <w:rPr>
          <w:rFonts w:cs="Times New Roman"/>
          <w:i/>
          <w:iCs/>
          <w:lang w:val="en-US"/>
        </w:rPr>
        <w:t>hapax legomena</w:t>
      </w:r>
      <w:r w:rsidRPr="00881752">
        <w:rPr>
          <w:rFonts w:cs="Times New Roman"/>
          <w:lang w:val="en-US"/>
        </w:rPr>
        <w:t xml:space="preserve"> (</w:t>
      </w:r>
      <w:r w:rsidRPr="00881752">
        <w:rPr>
          <w:rFonts w:cs="Times New Roman"/>
          <w:b/>
          <w:bCs/>
          <w:lang w:val="en-US"/>
        </w:rPr>
        <w:t>1</w:t>
      </w:r>
      <w:r w:rsidRPr="00881752">
        <w:rPr>
          <w:rFonts w:cs="Times New Roman"/>
          <w:lang w:val="en-US"/>
        </w:rPr>
        <w:t xml:space="preserve"> C.1). Archilochus</w:t>
      </w:r>
      <w:r w:rsidR="00075F5F">
        <w:rPr>
          <w:rFonts w:cs="Times New Roman"/>
          <w:lang w:val="en-US"/>
        </w:rPr>
        <w:t>’</w:t>
      </w:r>
      <w:r w:rsidRPr="00881752">
        <w:rPr>
          <w:rFonts w:cs="Times New Roman"/>
          <w:lang w:val="en-US"/>
        </w:rPr>
        <w:t xml:space="preserve"> fragments and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do not include a high frequency of absolute </w:t>
      </w:r>
      <w:r w:rsidRPr="00881752">
        <w:rPr>
          <w:rFonts w:cs="Times New Roman"/>
          <w:i/>
          <w:iCs/>
          <w:lang w:val="en-US"/>
        </w:rPr>
        <w:t>hapax legomena</w:t>
      </w:r>
      <w:r w:rsidRPr="00881752">
        <w:rPr>
          <w:rFonts w:cs="Times New Roman"/>
          <w:lang w:val="en-US"/>
        </w:rPr>
        <w:t xml:space="preserve">, respectively one in every forty-two words (Archilochus) and one in every sixty-seven words (Callimachus), while in Homer roughly one out of every fifteen words is an absolute </w:t>
      </w:r>
      <w:r w:rsidRPr="00881752">
        <w:rPr>
          <w:rFonts w:cs="Times New Roman"/>
          <w:i/>
          <w:iCs/>
          <w:lang w:val="en-US"/>
        </w:rPr>
        <w:t>hapax legomenon</w:t>
      </w:r>
      <w:r w:rsidRPr="00881752">
        <w:rPr>
          <w:rFonts w:cs="Times New Roman"/>
          <w:lang w:val="en-US"/>
        </w:rPr>
        <w:t>. Hipponax</w:t>
      </w:r>
      <w:r w:rsidR="00075F5F">
        <w:rPr>
          <w:rFonts w:cs="Times New Roman"/>
          <w:lang w:val="en-US"/>
        </w:rPr>
        <w:t>’</w:t>
      </w:r>
      <w:r w:rsidRPr="00881752">
        <w:rPr>
          <w:rFonts w:cs="Times New Roman"/>
          <w:lang w:val="en-US"/>
        </w:rPr>
        <w:t xml:space="preserve">s fragments contain a greater-than-average percentage of absolute </w:t>
      </w:r>
      <w:r w:rsidRPr="00881752">
        <w:rPr>
          <w:rFonts w:cs="Times New Roman"/>
          <w:i/>
          <w:iCs/>
          <w:lang w:val="en-US"/>
        </w:rPr>
        <w:t>hapax legomena</w:t>
      </w:r>
      <w:r w:rsidRPr="00881752">
        <w:rPr>
          <w:rFonts w:cs="Times New Roman"/>
          <w:lang w:val="en-US"/>
        </w:rPr>
        <w:t xml:space="preserve">, since one in every 14 words is an absolute </w:t>
      </w:r>
      <w:r w:rsidRPr="00881752">
        <w:rPr>
          <w:rFonts w:cs="Times New Roman"/>
          <w:i/>
          <w:iCs/>
          <w:lang w:val="en-US"/>
        </w:rPr>
        <w:t>hapax legomenon</w:t>
      </w:r>
      <w:r w:rsidRPr="00881752">
        <w:rPr>
          <w:rFonts w:cs="Times New Roman"/>
          <w:lang w:val="en-US"/>
        </w:rPr>
        <w:t>.</w:t>
      </w:r>
    </w:p>
    <w:p w14:paraId="27D89DC7" w14:textId="1B7C89EB" w:rsidR="009C4864" w:rsidRPr="00881752" w:rsidRDefault="009C4864" w:rsidP="009C4864">
      <w:pPr>
        <w:tabs>
          <w:tab w:val="clear" w:pos="425"/>
          <w:tab w:val="left" w:pos="426"/>
        </w:tabs>
        <w:ind w:firstLine="426"/>
        <w:rPr>
          <w:rFonts w:cs="Times New Roman"/>
          <w:lang w:val="en-US"/>
        </w:rPr>
      </w:pPr>
      <w:r w:rsidRPr="00881752">
        <w:rPr>
          <w:rFonts w:cs="Times New Roman"/>
          <w:lang w:val="en-US"/>
        </w:rPr>
        <w:t xml:space="preserve">This phenomenon might have a double explanation. </w:t>
      </w:r>
      <w:r w:rsidR="00075F5F">
        <w:rPr>
          <w:rFonts w:cs="Times New Roman"/>
          <w:lang w:val="en-US"/>
        </w:rPr>
        <w:t xml:space="preserve">Hipponax’s </w:t>
      </w:r>
      <w:r w:rsidRPr="00881752">
        <w:rPr>
          <w:rFonts w:cs="Times New Roman"/>
          <w:lang w:val="en-US"/>
        </w:rPr>
        <w:t xml:space="preserve">corpus is very scanty, so that words can occur only once because of the paucity of evidence. In addition, </w:t>
      </w:r>
      <w:r w:rsidR="00075F5F">
        <w:rPr>
          <w:rFonts w:cs="Times New Roman"/>
          <w:lang w:val="en-US"/>
        </w:rPr>
        <w:t xml:space="preserve">Hipponax’s </w:t>
      </w:r>
      <w:r w:rsidRPr="00881752">
        <w:rPr>
          <w:rFonts w:cs="Times New Roman"/>
          <w:lang w:val="en-US"/>
        </w:rPr>
        <w:t>vocabulary is very particular and exceptional in its genre. Archilochus</w:t>
      </w:r>
      <w:r w:rsidR="00075F5F">
        <w:rPr>
          <w:rFonts w:cs="Times New Roman"/>
          <w:lang w:val="en-US"/>
        </w:rPr>
        <w:t>’</w:t>
      </w:r>
      <w:r w:rsidRPr="00881752">
        <w:rPr>
          <w:rFonts w:cs="Times New Roman"/>
          <w:lang w:val="en-US"/>
        </w:rPr>
        <w:t xml:space="preserve"> words are often </w:t>
      </w:r>
      <w:r w:rsidRPr="00881752">
        <w:rPr>
          <w:rFonts w:cs="Times New Roman"/>
          <w:i/>
          <w:iCs/>
          <w:lang w:val="en-US"/>
        </w:rPr>
        <w:t>dis legomena</w:t>
      </w:r>
      <w:r w:rsidRPr="00881752">
        <w:rPr>
          <w:rFonts w:cs="Times New Roman"/>
          <w:lang w:val="en-US"/>
        </w:rPr>
        <w:t xml:space="preserve"> or </w:t>
      </w:r>
      <w:r w:rsidRPr="00881752">
        <w:rPr>
          <w:rFonts w:cs="Times New Roman"/>
          <w:i/>
          <w:iCs/>
          <w:lang w:val="en-US"/>
        </w:rPr>
        <w:t>tris legomena</w:t>
      </w:r>
      <w:r w:rsidRPr="00881752">
        <w:rPr>
          <w:rFonts w:cs="Times New Roman"/>
          <w:lang w:val="en-US"/>
        </w:rPr>
        <w:t>, since the poets that came after him, though not necessarily iambographers, used the Archilochean word in their iambic texts: for instance Archilochus</w:t>
      </w:r>
      <w:r w:rsidR="00075F5F">
        <w:rPr>
          <w:rFonts w:cs="Times New Roman"/>
          <w:lang w:val="en-US"/>
        </w:rPr>
        <w:t>’</w:t>
      </w:r>
      <w:r w:rsidRPr="00881752">
        <w:rPr>
          <w:rFonts w:cs="Times New Roman"/>
          <w:lang w:val="en-US"/>
        </w:rPr>
        <w:t xml:space="preserve"> τρισοϊζυρός </w:t>
      </w:r>
      <w:r w:rsidR="00CC0615">
        <w:rPr>
          <w:rFonts w:cs="Times New Roman"/>
          <w:lang w:val="en-US"/>
        </w:rPr>
        <w:t>“</w:t>
      </w:r>
      <w:r w:rsidRPr="00881752">
        <w:rPr>
          <w:rFonts w:cs="Times New Roman"/>
          <w:lang w:val="en-US"/>
        </w:rPr>
        <w:t>thrice-wretched</w:t>
      </w:r>
      <w:r w:rsidR="00CC0615">
        <w:rPr>
          <w:rFonts w:cs="Times New Roman"/>
          <w:lang w:val="en-US"/>
        </w:rPr>
        <w:t>”</w:t>
      </w:r>
      <w:r w:rsidRPr="00881752">
        <w:rPr>
          <w:rFonts w:cs="Times New Roman"/>
          <w:lang w:val="en-US"/>
        </w:rPr>
        <w:t xml:space="preserve"> (fr. 157.2) echoes in Cercidas fr. 17.13 ἑαυτοῦ τὴν τρισοιζυρὴν ψυχήν </w:t>
      </w:r>
      <w:r w:rsidR="00CC0615">
        <w:rPr>
          <w:rFonts w:cs="Times New Roman"/>
          <w:lang w:val="en-US"/>
        </w:rPr>
        <w:t>“</w:t>
      </w:r>
      <w:r w:rsidRPr="00881752">
        <w:rPr>
          <w:rFonts w:cs="Times New Roman"/>
          <w:lang w:val="en-US"/>
        </w:rPr>
        <w:t>his thrice-wretched life</w:t>
      </w:r>
      <w:r w:rsidR="00CC0615">
        <w:rPr>
          <w:rFonts w:cs="Times New Roman"/>
          <w:lang w:val="en-US"/>
        </w:rPr>
        <w:t>”</w:t>
      </w:r>
      <w:r w:rsidRPr="00881752">
        <w:rPr>
          <w:rFonts w:cs="Times New Roman"/>
          <w:lang w:val="en-US"/>
        </w:rPr>
        <w:t xml:space="preserve">; or the Archilochean verb καταυαίνω </w:t>
      </w:r>
      <w:r w:rsidR="00CC0615">
        <w:rPr>
          <w:rFonts w:cs="Times New Roman"/>
          <w:lang w:val="en-US"/>
        </w:rPr>
        <w:t>“</w:t>
      </w:r>
      <w:r w:rsidRPr="00881752">
        <w:rPr>
          <w:rFonts w:cs="Times New Roman"/>
          <w:lang w:val="en-US"/>
        </w:rPr>
        <w:t>dissicate</w:t>
      </w:r>
      <w:r w:rsidR="00CC0615">
        <w:rPr>
          <w:rFonts w:cs="Times New Roman"/>
          <w:lang w:val="en-US"/>
        </w:rPr>
        <w:t>”</w:t>
      </w:r>
      <w:r w:rsidRPr="00881752">
        <w:rPr>
          <w:rFonts w:cs="Times New Roman"/>
          <w:lang w:val="en-US"/>
        </w:rPr>
        <w:t xml:space="preserve"> (fr. 101.1) is used by Lycophron ψυχρὸν δ</w:t>
      </w:r>
      <w:r w:rsidR="00075F5F">
        <w:rPr>
          <w:rFonts w:cs="Times New Roman"/>
          <w:lang w:val="en-US"/>
        </w:rPr>
        <w:t>’</w:t>
      </w:r>
      <w:r w:rsidRPr="00881752">
        <w:rPr>
          <w:rFonts w:cs="Times New Roman"/>
          <w:lang w:val="en-US"/>
        </w:rPr>
        <w:t xml:space="preserve"> ἐπ</w:t>
      </w:r>
      <w:r w:rsidR="00075F5F">
        <w:rPr>
          <w:rFonts w:cs="Times New Roman"/>
          <w:lang w:val="en-US"/>
        </w:rPr>
        <w:t>’</w:t>
      </w:r>
      <w:r w:rsidRPr="00881752">
        <w:rPr>
          <w:rFonts w:cs="Times New Roman"/>
          <w:lang w:val="en-US"/>
        </w:rPr>
        <w:t xml:space="preserve"> ἀκταῖς ἐκβεβρασμένον νέκυν</w:t>
      </w:r>
      <w:r w:rsidRPr="00881752">
        <w:rPr>
          <w:rFonts w:cs="Times New Roman"/>
          <w:sz w:val="32"/>
          <w:szCs w:val="32"/>
          <w:lang w:val="en-US"/>
        </w:rPr>
        <w:t xml:space="preserve"> / </w:t>
      </w:r>
      <w:r w:rsidRPr="00881752">
        <w:rPr>
          <w:rFonts w:cs="Times New Roman"/>
          <w:lang w:val="en-US"/>
        </w:rPr>
        <w:t xml:space="preserve">δελφῖνος ἀκτὶς Σειρία καθαυανεῖ </w:t>
      </w:r>
      <w:r w:rsidR="00CC0615">
        <w:rPr>
          <w:rFonts w:cs="Times New Roman"/>
          <w:lang w:val="en-US"/>
        </w:rPr>
        <w:t>“</w:t>
      </w:r>
      <w:r w:rsidRPr="00881752">
        <w:rPr>
          <w:rFonts w:cs="Times New Roman"/>
          <w:lang w:val="en-US"/>
        </w:rPr>
        <w:t>and the sun</w:t>
      </w:r>
      <w:r w:rsidR="00075F5F">
        <w:rPr>
          <w:rFonts w:cs="Times New Roman"/>
          <w:lang w:val="en-US"/>
        </w:rPr>
        <w:t>’</w:t>
      </w:r>
      <w:r w:rsidRPr="00881752">
        <w:rPr>
          <w:rFonts w:cs="Times New Roman"/>
          <w:lang w:val="en-US"/>
        </w:rPr>
        <w:t>s beams shall wither the cold corpse like to a dolphin</w:t>
      </w:r>
      <w:r w:rsidR="00075F5F">
        <w:rPr>
          <w:rFonts w:cs="Times New Roman"/>
          <w:lang w:val="en-US"/>
        </w:rPr>
        <w:t>’</w:t>
      </w:r>
      <w:r w:rsidRPr="00881752">
        <w:rPr>
          <w:rFonts w:cs="Times New Roman"/>
          <w:lang w:val="en-US"/>
        </w:rPr>
        <w:t>s, cast upon the beach</w:t>
      </w:r>
      <w:r w:rsidR="00CC0615">
        <w:rPr>
          <w:rFonts w:cs="Times New Roman"/>
          <w:lang w:val="en-US"/>
        </w:rPr>
        <w:t>”</w:t>
      </w:r>
      <w:r w:rsidRPr="00881752">
        <w:rPr>
          <w:rFonts w:cs="Times New Roman"/>
          <w:lang w:val="en-US"/>
        </w:rPr>
        <w:t xml:space="preserve"> (</w:t>
      </w:r>
      <w:r w:rsidRPr="00881752">
        <w:rPr>
          <w:rFonts w:cs="Times New Roman"/>
          <w:i/>
          <w:iCs/>
          <w:lang w:val="en-US"/>
        </w:rPr>
        <w:t>Alex</w:t>
      </w:r>
      <w:r w:rsidRPr="00881752">
        <w:rPr>
          <w:rFonts w:cs="Times New Roman"/>
          <w:lang w:val="en-US"/>
        </w:rPr>
        <w:t>. 396-397). On the other hand, Hipponax</w:t>
      </w:r>
      <w:r w:rsidR="00075F5F">
        <w:rPr>
          <w:rFonts w:cs="Times New Roman"/>
          <w:lang w:val="en-US"/>
        </w:rPr>
        <w:t>’</w:t>
      </w:r>
      <w:r w:rsidRPr="00881752">
        <w:rPr>
          <w:rFonts w:cs="Times New Roman"/>
          <w:lang w:val="en-US"/>
        </w:rPr>
        <w:t>s vocabulary is perceived as too characteristic and difficult to re-use by other poets. It is significant that often Hipponax</w:t>
      </w:r>
      <w:r w:rsidR="00075F5F">
        <w:rPr>
          <w:rFonts w:cs="Times New Roman"/>
          <w:lang w:val="en-US"/>
        </w:rPr>
        <w:t>’</w:t>
      </w:r>
      <w:r w:rsidRPr="00881752">
        <w:rPr>
          <w:rFonts w:cs="Times New Roman"/>
          <w:lang w:val="en-US"/>
        </w:rPr>
        <w:t xml:space="preserve">s </w:t>
      </w:r>
      <w:r w:rsidRPr="00881752">
        <w:rPr>
          <w:rFonts w:cs="Times New Roman"/>
          <w:i/>
          <w:iCs/>
          <w:lang w:val="en-US"/>
        </w:rPr>
        <w:t>dis legomena</w:t>
      </w:r>
      <w:r w:rsidRPr="00881752">
        <w:rPr>
          <w:rFonts w:cs="Times New Roman"/>
          <w:lang w:val="en-US"/>
        </w:rPr>
        <w:t xml:space="preserve"> are words which Callimachus uses in his </w:t>
      </w:r>
      <w:r w:rsidRPr="00881752">
        <w:rPr>
          <w:rFonts w:cs="Times New Roman"/>
          <w:i/>
          <w:iCs/>
          <w:lang w:val="en-US"/>
        </w:rPr>
        <w:t xml:space="preserve">Iambi </w:t>
      </w:r>
      <w:r w:rsidRPr="00881752">
        <w:rPr>
          <w:rFonts w:cs="Times New Roman"/>
          <w:lang w:val="en-US"/>
        </w:rPr>
        <w:t>only when he puts on stage the Ephesian iambographer, Hipponax himself. (As I will show in the next chapter, Callimachus</w:t>
      </w:r>
      <w:r w:rsidR="00075F5F">
        <w:rPr>
          <w:rFonts w:cs="Times New Roman"/>
          <w:lang w:val="en-US"/>
        </w:rPr>
        <w:t>’</w:t>
      </w:r>
      <w:r w:rsidRPr="00881752">
        <w:rPr>
          <w:rFonts w:cs="Times New Roman"/>
          <w:lang w:val="en-US"/>
        </w:rPr>
        <w:t xml:space="preserve"> vocabulary owes quite little to his previous iambic models: rather, it is a miscellany, where words are borrowed from previous literary works of different genres.)</w:t>
      </w:r>
    </w:p>
    <w:p w14:paraId="3C29A33A" w14:textId="3FB573FE" w:rsidR="009C4864" w:rsidRPr="00881752" w:rsidRDefault="009C4864" w:rsidP="009C4864">
      <w:pPr>
        <w:tabs>
          <w:tab w:val="clear" w:pos="425"/>
          <w:tab w:val="left" w:pos="426"/>
        </w:tabs>
        <w:ind w:firstLine="426"/>
        <w:rPr>
          <w:rFonts w:cs="Times New Roman"/>
          <w:lang w:val="en-US"/>
        </w:rPr>
      </w:pPr>
      <w:r w:rsidRPr="00881752">
        <w:rPr>
          <w:rFonts w:cs="Times New Roman"/>
          <w:lang w:val="en-US"/>
        </w:rPr>
        <w:t>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show a high amount of relative </w:t>
      </w:r>
      <w:r w:rsidRPr="00881752">
        <w:rPr>
          <w:rFonts w:cs="Times New Roman"/>
          <w:i/>
          <w:iCs/>
          <w:lang w:val="en-US"/>
        </w:rPr>
        <w:t>hapax legomena</w:t>
      </w:r>
      <w:r w:rsidRPr="00881752">
        <w:rPr>
          <w:rFonts w:cs="Times New Roman"/>
          <w:lang w:val="en-US"/>
        </w:rPr>
        <w:t xml:space="preserve">, </w:t>
      </w:r>
      <w:r w:rsidR="00075F5F">
        <w:rPr>
          <w:rFonts w:cs="Times New Roman"/>
          <w:lang w:val="en-US"/>
        </w:rPr>
        <w:t>–</w:t>
      </w:r>
      <w:r w:rsidRPr="00881752">
        <w:rPr>
          <w:rFonts w:cs="Times New Roman"/>
          <w:lang w:val="en-US"/>
        </w:rPr>
        <w:t xml:space="preserve"> words that appear only once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w:t>
      </w:r>
      <w:r w:rsidR="00075F5F">
        <w:rPr>
          <w:rFonts w:cs="Times New Roman"/>
          <w:lang w:val="en-US"/>
        </w:rPr>
        <w:t>–</w:t>
      </w:r>
      <w:r w:rsidRPr="00881752">
        <w:rPr>
          <w:rFonts w:cs="Times New Roman"/>
          <w:lang w:val="en-US"/>
        </w:rPr>
        <w:t xml:space="preserve"> and it is symptomatic of Callimachus</w:t>
      </w:r>
      <w:r w:rsidR="00075F5F">
        <w:rPr>
          <w:rFonts w:cs="Times New Roman"/>
          <w:lang w:val="en-US"/>
        </w:rPr>
        <w:t>’</w:t>
      </w:r>
      <w:r w:rsidRPr="00881752">
        <w:rPr>
          <w:rFonts w:cs="Times New Roman"/>
          <w:lang w:val="en-US"/>
        </w:rPr>
        <w:t xml:space="preserve"> </w:t>
      </w:r>
      <w:r w:rsidRPr="00881752">
        <w:rPr>
          <w:rFonts w:cs="Times New Roman"/>
          <w:lang w:val="en-US"/>
        </w:rPr>
        <w:lastRenderedPageBreak/>
        <w:t xml:space="preserve">tendency to use a very varied language throughout his work. The language of his </w:t>
      </w:r>
      <w:r w:rsidRPr="00881752">
        <w:rPr>
          <w:rFonts w:cs="Times New Roman"/>
          <w:i/>
          <w:iCs/>
          <w:lang w:val="en-US"/>
        </w:rPr>
        <w:t>Iambi</w:t>
      </w:r>
      <w:r w:rsidRPr="00881752">
        <w:rPr>
          <w:rFonts w:cs="Times New Roman"/>
          <w:lang w:val="en-US"/>
        </w:rPr>
        <w:t xml:space="preserve"> is highly uneven. But the percentage of absolute </w:t>
      </w:r>
      <w:r w:rsidRPr="00881752">
        <w:rPr>
          <w:rFonts w:cs="Times New Roman"/>
          <w:i/>
          <w:iCs/>
          <w:lang w:val="en-US"/>
        </w:rPr>
        <w:t>hapax legomena</w:t>
      </w:r>
      <w:r w:rsidRPr="00881752">
        <w:rPr>
          <w:rFonts w:cs="Times New Roman"/>
          <w:lang w:val="en-US"/>
        </w:rPr>
        <w:t xml:space="preserve"> is very low: only twelve absolute </w:t>
      </w:r>
      <w:r w:rsidRPr="00881752">
        <w:rPr>
          <w:rFonts w:cs="Times New Roman"/>
          <w:i/>
          <w:iCs/>
          <w:lang w:val="en-US"/>
        </w:rPr>
        <w:t>hapax legomena</w:t>
      </w:r>
      <w:r w:rsidRPr="00881752">
        <w:rPr>
          <w:rFonts w:cs="Times New Roman"/>
          <w:lang w:val="en-US"/>
        </w:rPr>
        <w:t>, among which two are proper names (</w:t>
      </w:r>
      <w:r w:rsidRPr="00881752">
        <w:rPr>
          <w:rFonts w:cs="Times New Roman"/>
          <w:b/>
          <w:bCs/>
          <w:lang w:val="en-US"/>
        </w:rPr>
        <w:t>1</w:t>
      </w:r>
      <w:r w:rsidRPr="00881752">
        <w:rPr>
          <w:rFonts w:cs="Times New Roman"/>
          <w:lang w:val="en-US"/>
        </w:rPr>
        <w:t xml:space="preserve"> B.2.c). </w:t>
      </w:r>
    </w:p>
    <w:p w14:paraId="2467A9EF" w14:textId="77777777" w:rsidR="009C4864" w:rsidRPr="00881752" w:rsidRDefault="009C4864" w:rsidP="009C4864">
      <w:pPr>
        <w:tabs>
          <w:tab w:val="clear" w:pos="425"/>
          <w:tab w:val="left" w:pos="426"/>
        </w:tabs>
        <w:rPr>
          <w:rFonts w:cs="Times New Roman"/>
          <w:lang w:val="en-US"/>
        </w:rPr>
      </w:pPr>
    </w:p>
    <w:p w14:paraId="37EF02B4" w14:textId="54A45596" w:rsidR="009C4864" w:rsidRPr="00881752" w:rsidRDefault="009C4864" w:rsidP="009C4864">
      <w:pPr>
        <w:tabs>
          <w:tab w:val="clear" w:pos="425"/>
          <w:tab w:val="left" w:pos="426"/>
        </w:tabs>
        <w:rPr>
          <w:rFonts w:cs="Times New Roman"/>
          <w:shd w:val="solid" w:color="FFFFFF" w:fill="FFFFFF"/>
          <w:lang w:val="en-US"/>
        </w:rPr>
      </w:pPr>
      <w:r w:rsidRPr="00881752">
        <w:rPr>
          <w:rFonts w:cs="Times New Roman"/>
          <w:lang w:val="en-US"/>
        </w:rPr>
        <w:t xml:space="preserve">In iambic texts, absolute </w:t>
      </w:r>
      <w:r w:rsidRPr="00881752">
        <w:rPr>
          <w:rFonts w:cs="Times New Roman"/>
          <w:i/>
          <w:iCs/>
          <w:lang w:val="en-US"/>
        </w:rPr>
        <w:t>hapax legomena</w:t>
      </w:r>
      <w:r w:rsidRPr="00881752">
        <w:rPr>
          <w:rFonts w:cs="Times New Roman"/>
          <w:lang w:val="en-US"/>
        </w:rPr>
        <w:t xml:space="preserve"> </w:t>
      </w:r>
      <w:r w:rsidRPr="00881752">
        <w:rPr>
          <w:rFonts w:cs="Times New Roman"/>
          <w:shd w:val="solid" w:color="FFFFFF" w:fill="FFFFFF"/>
          <w:lang w:val="en-US"/>
        </w:rPr>
        <w:t xml:space="preserve">are mostly nouns, with some verbs, but are very unlikely to be determiners or interjections. </w:t>
      </w:r>
      <w:r w:rsidRPr="00881752">
        <w:rPr>
          <w:rFonts w:cs="Times New Roman"/>
          <w:lang w:val="en-US"/>
        </w:rPr>
        <w:t xml:space="preserve">Absolute </w:t>
      </w:r>
      <w:r w:rsidRPr="00881752">
        <w:rPr>
          <w:rFonts w:cs="Times New Roman"/>
          <w:i/>
          <w:iCs/>
          <w:lang w:val="en-US"/>
        </w:rPr>
        <w:t>hapax legomena</w:t>
      </w:r>
      <w:r w:rsidRPr="00881752" w:rsidDel="00F57CDA">
        <w:rPr>
          <w:rFonts w:cs="Times New Roman"/>
          <w:shd w:val="solid" w:color="FFFFFF" w:fill="FFFFFF"/>
          <w:lang w:val="en-US"/>
        </w:rPr>
        <w:t xml:space="preserve"> </w:t>
      </w:r>
      <w:r w:rsidRPr="00881752">
        <w:rPr>
          <w:rFonts w:cs="Times New Roman"/>
          <w:shd w:val="solid" w:color="FFFFFF" w:fill="FFFFFF"/>
          <w:lang w:val="en-US"/>
        </w:rPr>
        <w:t xml:space="preserve">usually occur </w:t>
      </w:r>
      <w:r w:rsidRPr="00881752">
        <w:rPr>
          <w:rFonts w:cs="Times New Roman"/>
          <w:lang w:val="en-US"/>
        </w:rPr>
        <w:t xml:space="preserve">in similes, in speeches, and in passages with high emotional tension: </w:t>
      </w:r>
      <w:r w:rsidRPr="00881752">
        <w:rPr>
          <w:rFonts w:cs="Times New Roman"/>
          <w:shd w:val="solid" w:color="FFFFFF" w:fill="FFFFFF"/>
          <w:lang w:val="en-US"/>
        </w:rPr>
        <w:t xml:space="preserve">unknown words need great attention from the audience, as they are not immediately understood. For instance, Hipponax calls Hermes κυνάγχης </w:t>
      </w:r>
      <w:r w:rsidR="00CC0615">
        <w:rPr>
          <w:rFonts w:cs="Times New Roman"/>
          <w:shd w:val="solid" w:color="FFFFFF" w:fill="FFFFFF"/>
          <w:lang w:val="en-US"/>
        </w:rPr>
        <w:t>“</w:t>
      </w:r>
      <w:r w:rsidRPr="00881752">
        <w:rPr>
          <w:rFonts w:cs="Times New Roman"/>
          <w:shd w:val="solid" w:color="FFFFFF" w:fill="FFFFFF"/>
          <w:lang w:val="en-US"/>
        </w:rPr>
        <w:t>dog-throttler</w:t>
      </w:r>
      <w:r w:rsidR="00CC0615">
        <w:rPr>
          <w:rFonts w:cs="Times New Roman"/>
          <w:shd w:val="solid" w:color="FFFFFF" w:fill="FFFFFF"/>
          <w:lang w:val="en-US"/>
        </w:rPr>
        <w:t>”</w:t>
      </w:r>
      <w:r w:rsidRPr="00881752">
        <w:rPr>
          <w:rFonts w:cs="Times New Roman"/>
          <w:shd w:val="solid" w:color="FFFFFF" w:fill="FFFFFF"/>
          <w:lang w:val="en-US"/>
        </w:rPr>
        <w:t xml:space="preserve"> (fr. 2.1), and κυνάγχης is a </w:t>
      </w:r>
      <w:r w:rsidRPr="00881752">
        <w:rPr>
          <w:rFonts w:cs="Times New Roman"/>
          <w:i/>
          <w:iCs/>
          <w:shd w:val="solid" w:color="FFFFFF" w:fill="FFFFFF"/>
          <w:lang w:val="en-US"/>
        </w:rPr>
        <w:t>hapax legomenon</w:t>
      </w:r>
      <w:r w:rsidRPr="00881752">
        <w:rPr>
          <w:rFonts w:cs="Times New Roman"/>
          <w:shd w:val="solid" w:color="FFFFFF" w:fill="FFFFFF"/>
          <w:lang w:val="en-US"/>
        </w:rPr>
        <w:t xml:space="preserve">. In this case, the meaning is easy to infer, since it is a compound word and its elements are immediately evident, namely the noun κύων </w:t>
      </w:r>
      <w:r w:rsidR="00CC0615">
        <w:rPr>
          <w:rFonts w:cs="Times New Roman"/>
          <w:shd w:val="solid" w:color="FFFFFF" w:fill="FFFFFF"/>
          <w:lang w:val="en-US"/>
        </w:rPr>
        <w:t>“</w:t>
      </w:r>
      <w:r w:rsidRPr="00881752">
        <w:rPr>
          <w:rFonts w:cs="Times New Roman"/>
          <w:shd w:val="solid" w:color="FFFFFF" w:fill="FFFFFF"/>
          <w:lang w:val="en-US"/>
        </w:rPr>
        <w:t>dog,</w:t>
      </w:r>
      <w:r w:rsidR="00CC0615">
        <w:rPr>
          <w:rFonts w:cs="Times New Roman"/>
          <w:shd w:val="solid" w:color="FFFFFF" w:fill="FFFFFF"/>
          <w:lang w:val="en-US"/>
        </w:rPr>
        <w:t>”</w:t>
      </w:r>
      <w:r w:rsidRPr="00881752">
        <w:rPr>
          <w:rFonts w:cs="Times New Roman"/>
          <w:shd w:val="solid" w:color="FFFFFF" w:fill="FFFFFF"/>
          <w:lang w:val="en-US"/>
        </w:rPr>
        <w:t xml:space="preserve"> and the verb ἄγχω </w:t>
      </w:r>
      <w:r w:rsidR="00CC0615">
        <w:rPr>
          <w:rFonts w:cs="Times New Roman"/>
          <w:shd w:val="solid" w:color="FFFFFF" w:fill="FFFFFF"/>
          <w:lang w:val="en-US"/>
        </w:rPr>
        <w:t>“</w:t>
      </w:r>
      <w:r w:rsidRPr="00881752">
        <w:rPr>
          <w:rFonts w:cs="Times New Roman"/>
          <w:shd w:val="solid" w:color="FFFFFF" w:fill="FFFFFF"/>
          <w:lang w:val="en-US"/>
        </w:rPr>
        <w:t>throttle.</w:t>
      </w:r>
      <w:r w:rsidR="00CC0615">
        <w:rPr>
          <w:rFonts w:cs="Times New Roman"/>
          <w:shd w:val="solid" w:color="FFFFFF" w:fill="FFFFFF"/>
          <w:lang w:val="en-US"/>
        </w:rPr>
        <w:t>”</w:t>
      </w:r>
      <w:r w:rsidRPr="00881752">
        <w:rPr>
          <w:rFonts w:cs="Times New Roman"/>
          <w:shd w:val="solid" w:color="FFFFFF" w:fill="FFFFFF"/>
          <w:lang w:val="en-US"/>
        </w:rPr>
        <w:t xml:space="preserve"> But ancient listeners and readers required a lot of contextual knowledge in order to understand why the author used this word in this context for Hermes. They would have to investigate why Hermes is called </w:t>
      </w:r>
      <w:r w:rsidR="00CC0615">
        <w:rPr>
          <w:rFonts w:cs="Times New Roman"/>
          <w:shd w:val="solid" w:color="FFFFFF" w:fill="FFFFFF"/>
          <w:lang w:val="en-US"/>
        </w:rPr>
        <w:t>“</w:t>
      </w:r>
      <w:r w:rsidRPr="00881752">
        <w:rPr>
          <w:rFonts w:cs="Times New Roman"/>
          <w:shd w:val="solid" w:color="FFFFFF" w:fill="FFFFFF"/>
          <w:lang w:val="en-US"/>
        </w:rPr>
        <w:t>dog-throttler,</w:t>
      </w:r>
      <w:r w:rsidR="00CC0615">
        <w:rPr>
          <w:rFonts w:cs="Times New Roman"/>
          <w:shd w:val="solid" w:color="FFFFFF" w:fill="FFFFFF"/>
          <w:lang w:val="en-US"/>
        </w:rPr>
        <w:t>”</w:t>
      </w:r>
      <w:r w:rsidRPr="00881752">
        <w:rPr>
          <w:rFonts w:cs="Times New Roman"/>
          <w:shd w:val="solid" w:color="FFFFFF" w:fill="FFFFFF"/>
          <w:lang w:val="en-US"/>
        </w:rPr>
        <w:t xml:space="preserve"> since there was no traditional evidence for such a definition, at least not until Antoninus Liberalis</w:t>
      </w:r>
      <w:r w:rsidRPr="00881752">
        <w:rPr>
          <w:rStyle w:val="FootnoteReference"/>
          <w:rFonts w:cs="Times New Roman"/>
          <w:lang w:val="en-US"/>
        </w:rPr>
        <w:footnoteReference w:id="103"/>
      </w:r>
      <w:r w:rsidRPr="00881752">
        <w:rPr>
          <w:rFonts w:cs="Times New Roman"/>
          <w:shd w:val="solid" w:color="FFFFFF" w:fill="FFFFFF"/>
          <w:lang w:val="en-US"/>
        </w:rPr>
        <w:t xml:space="preserve"> specified that Hermes choked the guard dogs of Apollo</w:t>
      </w:r>
      <w:r w:rsidR="00075F5F">
        <w:rPr>
          <w:rFonts w:cs="Times New Roman"/>
          <w:shd w:val="solid" w:color="FFFFFF" w:fill="FFFFFF"/>
          <w:lang w:val="en-US"/>
        </w:rPr>
        <w:t>’</w:t>
      </w:r>
      <w:r w:rsidRPr="00881752">
        <w:rPr>
          <w:rFonts w:cs="Times New Roman"/>
          <w:shd w:val="solid" w:color="FFFFFF" w:fill="FFFFFF"/>
          <w:lang w:val="en-US"/>
        </w:rPr>
        <w:t>s herd.</w:t>
      </w:r>
    </w:p>
    <w:p w14:paraId="674774CD" w14:textId="62422C4F" w:rsidR="009C4864" w:rsidRPr="00881752" w:rsidRDefault="009C4864" w:rsidP="009C4864">
      <w:pPr>
        <w:tabs>
          <w:tab w:val="clear" w:pos="425"/>
          <w:tab w:val="left" w:pos="426"/>
        </w:tabs>
        <w:rPr>
          <w:rFonts w:cs="Times New Roman"/>
          <w:shd w:val="solid" w:color="FFFFFF" w:fill="FFFFFF"/>
          <w:lang w:val="en-US"/>
        </w:rPr>
      </w:pPr>
      <w:r w:rsidRPr="00881752">
        <w:rPr>
          <w:rFonts w:cs="Times New Roman"/>
          <w:shd w:val="solid" w:color="FFFFFF" w:fill="FFFFFF"/>
          <w:lang w:val="en-US"/>
        </w:rPr>
        <w:tab/>
        <w:t>Similarly, Callimachus calls Hermes Γενειόλας (</w:t>
      </w:r>
      <w:r w:rsidRPr="00881752">
        <w:rPr>
          <w:rFonts w:cs="Times New Roman"/>
          <w:i/>
          <w:iCs/>
          <w:shd w:val="solid" w:color="FFFFFF" w:fill="FFFFFF"/>
          <w:lang w:val="en-US"/>
        </w:rPr>
        <w:t>Ia</w:t>
      </w:r>
      <w:r w:rsidRPr="00881752">
        <w:rPr>
          <w:rFonts w:cs="Times New Roman"/>
          <w:shd w:val="solid" w:color="FFFFFF" w:fill="FFFFFF"/>
          <w:lang w:val="en-US"/>
        </w:rPr>
        <w:t xml:space="preserve">. 9.1), which has always been interpreted as </w:t>
      </w:r>
      <w:r w:rsidR="00CC0615">
        <w:rPr>
          <w:rFonts w:cs="Times New Roman"/>
          <w:shd w:val="solid" w:color="FFFFFF" w:fill="FFFFFF"/>
          <w:lang w:val="en-US"/>
        </w:rPr>
        <w:t>“</w:t>
      </w:r>
      <w:r w:rsidRPr="00881752">
        <w:rPr>
          <w:rFonts w:cs="Times New Roman"/>
          <w:shd w:val="solid" w:color="FFFFFF" w:fill="FFFFFF"/>
          <w:lang w:val="en-US"/>
        </w:rPr>
        <w:t>bearded,</w:t>
      </w:r>
      <w:r w:rsidR="00CC0615">
        <w:rPr>
          <w:rFonts w:cs="Times New Roman"/>
          <w:shd w:val="solid" w:color="FFFFFF" w:fill="FFFFFF"/>
          <w:lang w:val="en-US"/>
        </w:rPr>
        <w:t>”</w:t>
      </w:r>
      <w:r w:rsidRPr="00881752">
        <w:rPr>
          <w:rFonts w:cs="Times New Roman"/>
          <w:shd w:val="solid" w:color="FFFFFF" w:fill="FFFFFF"/>
          <w:lang w:val="en-US"/>
        </w:rPr>
        <w:t xml:space="preserve"> since it has been equated to γενειήτης </w:t>
      </w:r>
      <w:r w:rsidR="00CC0615">
        <w:rPr>
          <w:rFonts w:cs="Times New Roman"/>
          <w:shd w:val="solid" w:color="FFFFFF" w:fill="FFFFFF"/>
          <w:lang w:val="en-US"/>
        </w:rPr>
        <w:t>“</w:t>
      </w:r>
      <w:r w:rsidRPr="00881752">
        <w:rPr>
          <w:rFonts w:cs="Times New Roman"/>
          <w:shd w:val="solid" w:color="FFFFFF" w:fill="FFFFFF"/>
          <w:lang w:val="en-US"/>
        </w:rPr>
        <w:t>bearded,</w:t>
      </w:r>
      <w:r w:rsidR="00CC0615">
        <w:rPr>
          <w:rFonts w:cs="Times New Roman"/>
          <w:shd w:val="solid" w:color="FFFFFF" w:fill="FFFFFF"/>
          <w:lang w:val="en-US"/>
        </w:rPr>
        <w:t>”</w:t>
      </w:r>
      <w:r w:rsidRPr="00881752">
        <w:rPr>
          <w:rFonts w:cs="Times New Roman"/>
          <w:shd w:val="solid" w:color="FFFFFF" w:fill="FFFFFF"/>
          <w:lang w:val="en-US"/>
        </w:rPr>
        <w:t xml:space="preserve"> used by Theocritus (17.33) and Callimachus (</w:t>
      </w:r>
      <w:r w:rsidRPr="00881752">
        <w:rPr>
          <w:rFonts w:cs="Times New Roman"/>
          <w:i/>
          <w:iCs/>
          <w:shd w:val="solid" w:color="FFFFFF" w:fill="FFFFFF"/>
          <w:lang w:val="en-US"/>
        </w:rPr>
        <w:t>Hymn to Artemis</w:t>
      </w:r>
      <w:r w:rsidRPr="00881752">
        <w:rPr>
          <w:rFonts w:cs="Times New Roman"/>
          <w:shd w:val="solid" w:color="FFFFFF" w:fill="FFFFFF"/>
          <w:lang w:val="en-US"/>
        </w:rPr>
        <w:t xml:space="preserve"> 90)</w:t>
      </w:r>
      <w:r w:rsidR="007713D2">
        <w:rPr>
          <w:rFonts w:cs="Times New Roman"/>
          <w:shd w:val="solid" w:color="FFFFFF" w:fill="FFFFFF"/>
          <w:lang w:val="en-US"/>
        </w:rPr>
        <w:t>.</w:t>
      </w:r>
      <w:r w:rsidRPr="00881752">
        <w:rPr>
          <w:rFonts w:cs="Times New Roman"/>
          <w:shd w:val="solid" w:color="FFFFFF" w:fill="FFFFFF"/>
          <w:lang w:val="en-US"/>
        </w:rPr>
        <w:t xml:space="preserve"> Thus it would belong to the word-family of γένυς </w:t>
      </w:r>
      <w:r w:rsidR="00CC0615">
        <w:rPr>
          <w:rFonts w:cs="Times New Roman"/>
          <w:shd w:val="solid" w:color="FFFFFF" w:fill="FFFFFF"/>
          <w:lang w:val="en-US"/>
        </w:rPr>
        <w:t>“</w:t>
      </w:r>
      <w:r w:rsidRPr="00881752">
        <w:rPr>
          <w:rFonts w:cs="Times New Roman"/>
          <w:shd w:val="solid" w:color="FFFFFF" w:fill="FFFFFF"/>
          <w:lang w:val="en-US"/>
        </w:rPr>
        <w:t>cheek,</w:t>
      </w:r>
      <w:r w:rsidR="00CC0615">
        <w:rPr>
          <w:rFonts w:cs="Times New Roman"/>
          <w:shd w:val="solid" w:color="FFFFFF" w:fill="FFFFFF"/>
          <w:lang w:val="en-US"/>
        </w:rPr>
        <w:t>”</w:t>
      </w:r>
      <w:r w:rsidRPr="00881752">
        <w:rPr>
          <w:rFonts w:cs="Times New Roman"/>
          <w:shd w:val="solid" w:color="FFFFFF" w:fill="FFFFFF"/>
          <w:lang w:val="en-US"/>
        </w:rPr>
        <w:t xml:space="preserve"> γενείον </w:t>
      </w:r>
      <w:r w:rsidR="00CC0615">
        <w:rPr>
          <w:rFonts w:cs="Times New Roman"/>
          <w:shd w:val="solid" w:color="FFFFFF" w:fill="FFFFFF"/>
          <w:lang w:val="en-US"/>
        </w:rPr>
        <w:t>“</w:t>
      </w:r>
      <w:r w:rsidRPr="00881752">
        <w:rPr>
          <w:rFonts w:cs="Times New Roman"/>
          <w:shd w:val="solid" w:color="FFFFFF" w:fill="FFFFFF"/>
          <w:lang w:val="en-US"/>
        </w:rPr>
        <w:t>part covered by the beard,</w:t>
      </w:r>
      <w:r w:rsidR="00CC0615">
        <w:rPr>
          <w:rFonts w:cs="Times New Roman"/>
          <w:shd w:val="solid" w:color="FFFFFF" w:fill="FFFFFF"/>
          <w:lang w:val="en-US"/>
        </w:rPr>
        <w:t>”</w:t>
      </w:r>
      <w:r w:rsidRPr="00881752">
        <w:rPr>
          <w:rFonts w:cs="Times New Roman"/>
          <w:shd w:val="solid" w:color="FFFFFF" w:fill="FFFFFF"/>
          <w:lang w:val="en-US"/>
        </w:rPr>
        <w:t xml:space="preserve"> γενειάζω </w:t>
      </w:r>
      <w:r w:rsidR="00CC0615">
        <w:rPr>
          <w:rFonts w:cs="Times New Roman"/>
          <w:shd w:val="solid" w:color="FFFFFF" w:fill="FFFFFF"/>
          <w:lang w:val="en-US"/>
        </w:rPr>
        <w:t>“</w:t>
      </w:r>
      <w:r w:rsidRPr="00881752">
        <w:rPr>
          <w:rFonts w:cs="Times New Roman"/>
          <w:shd w:val="solid" w:color="FFFFFF" w:fill="FFFFFF"/>
          <w:lang w:val="en-US"/>
        </w:rPr>
        <w:t>get a beard.</w:t>
      </w:r>
      <w:r w:rsidR="00CC0615">
        <w:rPr>
          <w:rFonts w:cs="Times New Roman"/>
          <w:shd w:val="solid" w:color="FFFFFF" w:fill="FFFFFF"/>
          <w:lang w:val="en-US"/>
        </w:rPr>
        <w:t>”</w:t>
      </w:r>
      <w:r w:rsidRPr="00881752">
        <w:rPr>
          <w:rFonts w:cs="Times New Roman"/>
          <w:shd w:val="solid" w:color="FFFFFF" w:fill="FFFFFF"/>
          <w:lang w:val="en-US"/>
        </w:rPr>
        <w:t xml:space="preserve"> However, the context, though very limited, seems to favour the recent interpretation given by Chantraine,</w:t>
      </w:r>
      <w:r w:rsidRPr="00881752">
        <w:rPr>
          <w:rStyle w:val="FootnoteReference"/>
          <w:rFonts w:cs="Times New Roman"/>
          <w:lang w:val="en-US"/>
        </w:rPr>
        <w:footnoteReference w:id="104"/>
      </w:r>
      <w:r w:rsidRPr="00881752">
        <w:rPr>
          <w:rFonts w:cs="Times New Roman"/>
          <w:shd w:val="solid" w:color="FFFFFF" w:fill="FFFFFF"/>
          <w:lang w:val="en-US"/>
        </w:rPr>
        <w:t xml:space="preserve"> according to which the epithet is built on γένος </w:t>
      </w:r>
      <w:r w:rsidR="00CC0615">
        <w:rPr>
          <w:rFonts w:cs="Times New Roman"/>
          <w:shd w:val="solid" w:color="FFFFFF" w:fill="FFFFFF"/>
          <w:lang w:val="en-US"/>
        </w:rPr>
        <w:t>“</w:t>
      </w:r>
      <w:r w:rsidRPr="00881752">
        <w:rPr>
          <w:rFonts w:cs="Times New Roman"/>
          <w:shd w:val="solid" w:color="FFFFFF" w:fill="FFFFFF"/>
          <w:lang w:val="en-US"/>
        </w:rPr>
        <w:t>offspring</w:t>
      </w:r>
      <w:r w:rsidR="00CC0615">
        <w:rPr>
          <w:rFonts w:cs="Times New Roman"/>
          <w:shd w:val="solid" w:color="FFFFFF" w:fill="FFFFFF"/>
          <w:lang w:val="en-US"/>
        </w:rPr>
        <w:t>”</w:t>
      </w:r>
      <w:r w:rsidRPr="00881752">
        <w:rPr>
          <w:rFonts w:cs="Times New Roman"/>
          <w:shd w:val="solid" w:color="FFFFFF" w:fill="FFFFFF"/>
          <w:lang w:val="en-US"/>
        </w:rPr>
        <w:t xml:space="preserve">: in this case, the epithet would mean </w:t>
      </w:r>
      <w:r w:rsidR="00CC0615">
        <w:rPr>
          <w:rFonts w:cs="Times New Roman"/>
          <w:shd w:val="solid" w:color="FFFFFF" w:fill="FFFFFF"/>
          <w:lang w:val="en-US"/>
        </w:rPr>
        <w:t>“</w:t>
      </w:r>
      <w:r w:rsidRPr="00881752">
        <w:rPr>
          <w:rFonts w:cs="Times New Roman"/>
          <w:shd w:val="solid" w:color="FFFFFF" w:fill="FFFFFF"/>
          <w:lang w:val="en-US"/>
        </w:rPr>
        <w:t>childbearing,</w:t>
      </w:r>
      <w:r w:rsidR="00CC0615">
        <w:rPr>
          <w:rFonts w:cs="Times New Roman"/>
          <w:shd w:val="solid" w:color="FFFFFF" w:fill="FFFFFF"/>
          <w:lang w:val="en-US"/>
        </w:rPr>
        <w:t>”</w:t>
      </w:r>
      <w:r w:rsidRPr="00881752">
        <w:rPr>
          <w:rFonts w:cs="Times New Roman"/>
          <w:shd w:val="solid" w:color="FFFFFF" w:fill="FFFFFF"/>
          <w:lang w:val="en-US"/>
        </w:rPr>
        <w:t xml:space="preserve"> and this meaning fits the fact that Hermes</w:t>
      </w:r>
      <w:r w:rsidR="00075F5F">
        <w:rPr>
          <w:rFonts w:cs="Times New Roman"/>
          <w:shd w:val="solid" w:color="FFFFFF" w:fill="FFFFFF"/>
          <w:lang w:val="en-US"/>
        </w:rPr>
        <w:t>’</w:t>
      </w:r>
      <w:r w:rsidRPr="00881752">
        <w:rPr>
          <w:rFonts w:cs="Times New Roman"/>
          <w:shd w:val="solid" w:color="FFFFFF" w:fill="FFFFFF"/>
          <w:lang w:val="en-US"/>
        </w:rPr>
        <w:t xml:space="preserve"> penis has an erection.</w:t>
      </w:r>
    </w:p>
    <w:p w14:paraId="3B58CC44" w14:textId="01BEFA15" w:rsidR="009C4864" w:rsidRPr="00881752" w:rsidRDefault="009C4864" w:rsidP="009C4864">
      <w:pPr>
        <w:tabs>
          <w:tab w:val="clear" w:pos="425"/>
          <w:tab w:val="left" w:pos="426"/>
        </w:tabs>
        <w:ind w:firstLine="426"/>
        <w:rPr>
          <w:rFonts w:cs="Times New Roman"/>
          <w:lang w:val="en-US"/>
        </w:rPr>
      </w:pPr>
      <w:r w:rsidRPr="00881752">
        <w:rPr>
          <w:rFonts w:cs="Times New Roman"/>
          <w:shd w:val="solid" w:color="FFFFFF" w:fill="FFFFFF"/>
          <w:lang w:val="en-US"/>
        </w:rPr>
        <w:t xml:space="preserve">Since understanding a </w:t>
      </w:r>
      <w:r w:rsidRPr="00881752">
        <w:rPr>
          <w:rFonts w:cs="Times New Roman"/>
          <w:i/>
          <w:iCs/>
          <w:shd w:val="solid" w:color="FFFFFF" w:fill="FFFFFF"/>
          <w:lang w:val="en-US"/>
        </w:rPr>
        <w:t>hapax legomenon</w:t>
      </w:r>
      <w:r w:rsidRPr="00881752">
        <w:rPr>
          <w:rFonts w:cs="Times New Roman"/>
          <w:shd w:val="solid" w:color="FFFFFF" w:fill="FFFFFF"/>
          <w:lang w:val="en-US"/>
        </w:rPr>
        <w:t xml:space="preserve"> requires close attention from the listener,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carry a heavy semantic weight in iambic texts. Indeed, from a linguistic point of view, the lower the frequency of a word in a text, the higher its weight: often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give the main information within the context. For example, Archilochus coins the word βάβαξ </w:t>
      </w:r>
      <w:r w:rsidR="00CC0615">
        <w:rPr>
          <w:rFonts w:cs="Times New Roman"/>
          <w:shd w:val="solid" w:color="FFFFFF" w:fill="FFFFFF"/>
          <w:lang w:val="en-US"/>
        </w:rPr>
        <w:t>“</w:t>
      </w:r>
      <w:r w:rsidRPr="00881752">
        <w:rPr>
          <w:rFonts w:cs="Times New Roman"/>
          <w:shd w:val="solid" w:color="FFFFFF" w:fill="FFFFFF"/>
          <w:lang w:val="en-US"/>
        </w:rPr>
        <w:t>chatterer,</w:t>
      </w:r>
      <w:r w:rsidR="00CC0615">
        <w:rPr>
          <w:rFonts w:cs="Times New Roman"/>
          <w:shd w:val="solid" w:color="FFFFFF" w:fill="FFFFFF"/>
          <w:lang w:val="en-US"/>
        </w:rPr>
        <w:t>”</w:t>
      </w:r>
      <w:r w:rsidRPr="00881752">
        <w:rPr>
          <w:rFonts w:cs="Times New Roman"/>
          <w:shd w:val="solid" w:color="FFFFFF" w:fill="FFFFFF"/>
          <w:lang w:val="en-US"/>
        </w:rPr>
        <w:t xml:space="preserve"> which furthermore lies at the end of the line, in a strong metrical position: κατ</w:t>
      </w:r>
      <w:r w:rsidR="00075F5F">
        <w:rPr>
          <w:rFonts w:cs="Times New Roman"/>
          <w:shd w:val="solid" w:color="FFFFFF" w:fill="FFFFFF"/>
          <w:lang w:val="en-US"/>
        </w:rPr>
        <w:t>’</w:t>
      </w:r>
      <w:r w:rsidRPr="00881752">
        <w:rPr>
          <w:rFonts w:cs="Times New Roman"/>
          <w:shd w:val="solid" w:color="FFFFFF" w:fill="FFFFFF"/>
          <w:lang w:val="en-US"/>
        </w:rPr>
        <w:t xml:space="preserve"> οἶκον ἐστρωφᾶτο μισητὸς βάβαξ </w:t>
      </w:r>
      <w:r w:rsidR="00CC0615">
        <w:rPr>
          <w:rFonts w:cs="Times New Roman"/>
          <w:shd w:val="solid" w:color="FFFFFF" w:fill="FFFFFF"/>
          <w:lang w:val="en-US"/>
        </w:rPr>
        <w:t>“</w:t>
      </w:r>
      <w:r w:rsidRPr="00881752">
        <w:rPr>
          <w:rFonts w:cs="Times New Roman"/>
          <w:shd w:val="solid" w:color="FFFFFF" w:fill="FFFFFF"/>
          <w:lang w:val="en-US"/>
        </w:rPr>
        <w:t>the loathsome babbler roamed about the house</w:t>
      </w:r>
      <w:r w:rsidR="00CC0615">
        <w:rPr>
          <w:rFonts w:cs="Times New Roman"/>
          <w:shd w:val="solid" w:color="FFFFFF" w:fill="FFFFFF"/>
          <w:lang w:val="en-US"/>
        </w:rPr>
        <w:t>”</w:t>
      </w:r>
      <w:r w:rsidRPr="00881752">
        <w:rPr>
          <w:rFonts w:cs="Times New Roman"/>
          <w:shd w:val="solid" w:color="FFFFFF" w:fill="FFFFFF"/>
          <w:lang w:val="en-US"/>
        </w:rPr>
        <w:t xml:space="preserve"> (fr. 32). The </w:t>
      </w:r>
      <w:r w:rsidRPr="00881752">
        <w:rPr>
          <w:rFonts w:cs="Times New Roman"/>
          <w:i/>
          <w:iCs/>
          <w:shd w:val="solid" w:color="FFFFFF" w:fill="FFFFFF"/>
          <w:lang w:val="en-US"/>
        </w:rPr>
        <w:t>hapax</w:t>
      </w:r>
      <w:r w:rsidRPr="00881752">
        <w:rPr>
          <w:rFonts w:cs="Times New Roman"/>
          <w:shd w:val="solid" w:color="FFFFFF" w:fill="FFFFFF"/>
          <w:lang w:val="en-US"/>
        </w:rPr>
        <w:t xml:space="preserve"> conveys the key-concept of the fragment: Archilochus is rebuking his target for being a babbler. The line imitates </w:t>
      </w:r>
      <w:r w:rsidRPr="00881752">
        <w:rPr>
          <w:rFonts w:cs="Times New Roman"/>
          <w:i/>
          <w:iCs/>
          <w:shd w:val="solid" w:color="FFFFFF" w:fill="FFFFFF"/>
          <w:lang w:val="en-US"/>
        </w:rPr>
        <w:t>Il</w:t>
      </w:r>
      <w:r w:rsidRPr="00881752">
        <w:rPr>
          <w:rFonts w:cs="Times New Roman"/>
          <w:shd w:val="solid" w:color="FFFFFF" w:fill="FFFFFF"/>
          <w:lang w:val="en-US"/>
        </w:rPr>
        <w:t xml:space="preserve">. 9.463 πατρὸς χωομένοιο κατὰ μέγαρα στρωφᾶσθαι, but Archilochus makes some substantial changes, </w:t>
      </w:r>
      <w:r w:rsidRPr="00881752">
        <w:rPr>
          <w:rFonts w:cs="Times New Roman"/>
          <w:shd w:val="solid" w:color="FFFFFF" w:fill="FFFFFF"/>
          <w:lang w:val="en-US"/>
        </w:rPr>
        <w:lastRenderedPageBreak/>
        <w:t xml:space="preserve">including a change of subject: the subject is changed from an angry father, about whom Phoenix speaks with respect, to a babbler who seems to be the target of insulting words. </w:t>
      </w:r>
      <w:r w:rsidRPr="00881752">
        <w:rPr>
          <w:rFonts w:cs="Times New Roman"/>
          <w:i/>
          <w:iCs/>
          <w:lang w:val="en-US"/>
        </w:rPr>
        <w:t>Hapax legomena</w:t>
      </w:r>
      <w:r w:rsidRPr="00881752">
        <w:rPr>
          <w:rFonts w:cs="Times New Roman"/>
          <w:lang w:val="en-US"/>
        </w:rPr>
        <w:t xml:space="preserve"> in iambic texts reveal the more modern, distinct, and creative style of the individual poet set against the background of his inherited tradition.</w:t>
      </w:r>
    </w:p>
    <w:p w14:paraId="58A126D7" w14:textId="61F8E383" w:rsidR="009C4864" w:rsidRPr="00881752" w:rsidRDefault="009C4864" w:rsidP="009C4864">
      <w:pPr>
        <w:tabs>
          <w:tab w:val="clear" w:pos="425"/>
          <w:tab w:val="left" w:pos="426"/>
        </w:tabs>
        <w:ind w:firstLine="426"/>
        <w:rPr>
          <w:rFonts w:cs="Times New Roman"/>
          <w:shd w:val="solid" w:color="FFFFFF" w:fill="FFFFFF"/>
          <w:lang w:val="en-US"/>
        </w:rPr>
      </w:pPr>
      <w:r w:rsidRPr="00881752">
        <w:rPr>
          <w:rFonts w:cs="Times New Roman"/>
          <w:lang w:val="en-US"/>
        </w:rPr>
        <w:t xml:space="preserve">Archilochus begins the process of distancing the iambic language from the traditional one, creating morphological </w:t>
      </w:r>
      <w:r w:rsidRPr="00881752">
        <w:rPr>
          <w:rFonts w:cs="Times New Roman"/>
          <w:i/>
          <w:iCs/>
          <w:lang w:val="en-US"/>
        </w:rPr>
        <w:t>hapax legomena</w:t>
      </w:r>
      <w:r w:rsidRPr="00881752">
        <w:rPr>
          <w:rFonts w:cs="Times New Roman"/>
          <w:lang w:val="en-US"/>
        </w:rPr>
        <w:t xml:space="preserve"> (</w:t>
      </w:r>
      <w:r w:rsidRPr="00881752">
        <w:rPr>
          <w:rFonts w:cs="Times New Roman"/>
          <w:b/>
          <w:bCs/>
          <w:lang w:val="en-US"/>
        </w:rPr>
        <w:t>1</w:t>
      </w:r>
      <w:r w:rsidRPr="00881752">
        <w:rPr>
          <w:rFonts w:cs="Times New Roman"/>
          <w:lang w:val="en-US"/>
        </w:rPr>
        <w:t xml:space="preserve"> C.2): he modifies well-attested epic words, changing their suffix or declension, as shown by ἀμηνιτεί (fr. 99.10) </w:t>
      </w:r>
      <w:r w:rsidR="00CC0615">
        <w:rPr>
          <w:rFonts w:cs="Times New Roman"/>
          <w:lang w:val="en-US"/>
        </w:rPr>
        <w:t>“</w:t>
      </w:r>
      <w:r w:rsidRPr="00881752">
        <w:rPr>
          <w:rFonts w:cs="Times New Roman"/>
          <w:lang w:val="en-US"/>
        </w:rPr>
        <w:t>without anger,</w:t>
      </w:r>
      <w:r w:rsidR="00CC0615">
        <w:rPr>
          <w:rFonts w:cs="Times New Roman"/>
          <w:lang w:val="en-US"/>
        </w:rPr>
        <w:t>”</w:t>
      </w:r>
      <w:r w:rsidRPr="00881752">
        <w:rPr>
          <w:rFonts w:cs="Times New Roman"/>
          <w:lang w:val="en-US"/>
        </w:rPr>
        <w:t xml:space="preserve"> an adverb (derived from the adjective ἀμήνιτος) which usually has the suffix -ως. Hipponax goes beyond Archilochus, making both morphological </w:t>
      </w:r>
      <w:r w:rsidRPr="00881752">
        <w:rPr>
          <w:rFonts w:cs="Times New Roman"/>
          <w:i/>
          <w:iCs/>
          <w:lang w:val="en-US"/>
        </w:rPr>
        <w:t>hapax legomena</w:t>
      </w:r>
      <w:r w:rsidRPr="00881752">
        <w:rPr>
          <w:rFonts w:cs="Times New Roman"/>
          <w:lang w:val="en-US"/>
        </w:rPr>
        <w:t xml:space="preserve">, as σαμβαλίσκα </w:t>
      </w:r>
      <w:r w:rsidR="00CC0615">
        <w:rPr>
          <w:rFonts w:cs="Times New Roman"/>
          <w:lang w:val="en-US"/>
        </w:rPr>
        <w:t>“</w:t>
      </w:r>
      <w:r w:rsidRPr="00881752">
        <w:rPr>
          <w:rFonts w:cs="Times New Roman"/>
          <w:lang w:val="en-US"/>
        </w:rPr>
        <w:t>little sandals</w:t>
      </w:r>
      <w:r w:rsidR="00CC0615">
        <w:rPr>
          <w:rFonts w:cs="Times New Roman"/>
          <w:lang w:val="en-US"/>
        </w:rPr>
        <w:t>”</w:t>
      </w:r>
      <w:r w:rsidRPr="00881752">
        <w:rPr>
          <w:rFonts w:cs="Times New Roman"/>
          <w:lang w:val="en-US"/>
        </w:rPr>
        <w:t xml:space="preserve"> (fr. 42b.2), an isolate diminutive from σάμβαλον; and lexical </w:t>
      </w:r>
      <w:r w:rsidRPr="00881752">
        <w:rPr>
          <w:rFonts w:cs="Times New Roman"/>
          <w:i/>
          <w:iCs/>
          <w:lang w:val="en-US"/>
        </w:rPr>
        <w:t>hapax legomena</w:t>
      </w:r>
      <w:r w:rsidRPr="00881752">
        <w:rPr>
          <w:rFonts w:cs="Times New Roman"/>
          <w:lang w:val="en-US"/>
        </w:rPr>
        <w:t>, as σαρκοκύων (fr. 141), whose meaning is still unknown.</w:t>
      </w:r>
      <w:r w:rsidRPr="00881752">
        <w:rPr>
          <w:rFonts w:cs="Times New Roman"/>
          <w:shd w:val="solid" w:color="FFFFFF" w:fill="FFFFFF"/>
          <w:lang w:val="en-US"/>
        </w:rPr>
        <w:t xml:space="preserve"> It is worth noting that Archilochus prefers to make morphological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by modifying the ending of declension, while Hipponax creates morphological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through diminutive suffixes or through gender change. In Archilochus</w:t>
      </w:r>
      <w:r w:rsidR="00075F5F">
        <w:rPr>
          <w:rFonts w:cs="Times New Roman"/>
          <w:shd w:val="solid" w:color="FFFFFF" w:fill="FFFFFF"/>
          <w:lang w:val="en-US"/>
        </w:rPr>
        <w:t>’</w:t>
      </w:r>
      <w:r w:rsidRPr="00881752">
        <w:rPr>
          <w:rFonts w:cs="Times New Roman"/>
          <w:shd w:val="solid" w:color="FFFFFF" w:fill="FFFFFF"/>
          <w:lang w:val="en-US"/>
        </w:rPr>
        <w:t xml:space="preserve"> fragments lexical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are most often compound words, while in Hipponax</w:t>
      </w:r>
      <w:r w:rsidR="00075F5F">
        <w:rPr>
          <w:rFonts w:cs="Times New Roman"/>
          <w:shd w:val="solid" w:color="FFFFFF" w:fill="FFFFFF"/>
          <w:lang w:val="en-US"/>
        </w:rPr>
        <w:t>’</w:t>
      </w:r>
      <w:r w:rsidRPr="00881752">
        <w:rPr>
          <w:rFonts w:cs="Times New Roman"/>
          <w:shd w:val="solid" w:color="FFFFFF" w:fill="FFFFFF"/>
          <w:lang w:val="en-US"/>
        </w:rPr>
        <w:t>s they are either compound words and onomatopoeic words (</w:t>
      </w:r>
      <w:r w:rsidRPr="00881752">
        <w:rPr>
          <w:rFonts w:cs="Times New Roman"/>
          <w:b/>
          <w:bCs/>
          <w:shd w:val="solid" w:color="FFFFFF" w:fill="FFFFFF"/>
          <w:lang w:val="en-US"/>
        </w:rPr>
        <w:t>1</w:t>
      </w:r>
      <w:r w:rsidRPr="00881752">
        <w:rPr>
          <w:rFonts w:cs="Times New Roman"/>
          <w:shd w:val="solid" w:color="FFFFFF" w:fill="FFFFFF"/>
          <w:lang w:val="en-US"/>
        </w:rPr>
        <w:t xml:space="preserve"> B.2.d). </w:t>
      </w:r>
      <w:r w:rsidR="00965919" w:rsidRPr="00881752">
        <w:rPr>
          <w:rFonts w:cs="Times New Roman"/>
          <w:shd w:val="solid" w:color="FFFFFF" w:fill="FFFFFF"/>
          <w:lang w:val="en-US"/>
        </w:rPr>
        <w:t xml:space="preserve">Compared to the </w:t>
      </w:r>
      <w:r w:rsidR="007D78E3" w:rsidRPr="00881752">
        <w:rPr>
          <w:rFonts w:cs="Times New Roman"/>
          <w:shd w:val="solid" w:color="FFFFFF" w:fill="FFFFFF"/>
          <w:lang w:val="en-US"/>
        </w:rPr>
        <w:t>amount of hapax compound words, t</w:t>
      </w:r>
      <w:r w:rsidRPr="00881752">
        <w:rPr>
          <w:rFonts w:cs="Times New Roman"/>
          <w:shd w:val="solid" w:color="FFFFFF" w:fill="FFFFFF"/>
          <w:lang w:val="en-US"/>
        </w:rPr>
        <w:t xml:space="preserve">he absolute number of onomatopoeic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is irrelevant, since Archilochus</w:t>
      </w:r>
      <w:r w:rsidR="00075F5F">
        <w:rPr>
          <w:rFonts w:cs="Times New Roman"/>
          <w:shd w:val="solid" w:color="FFFFFF" w:fill="FFFFFF"/>
          <w:lang w:val="en-US"/>
        </w:rPr>
        <w:t>’</w:t>
      </w:r>
      <w:r w:rsidRPr="00881752">
        <w:rPr>
          <w:rFonts w:cs="Times New Roman"/>
          <w:shd w:val="solid" w:color="FFFFFF" w:fill="FFFFFF"/>
          <w:lang w:val="en-US"/>
        </w:rPr>
        <w:t xml:space="preserve"> fragments include only one example of onomatopoeic </w:t>
      </w:r>
      <w:r w:rsidRPr="00881752">
        <w:rPr>
          <w:rFonts w:cs="Times New Roman"/>
          <w:i/>
          <w:iCs/>
          <w:shd w:val="solid" w:color="FFFFFF" w:fill="FFFFFF"/>
          <w:lang w:val="en-US"/>
        </w:rPr>
        <w:t>hapax legomenon</w:t>
      </w:r>
      <w:r w:rsidRPr="00881752">
        <w:rPr>
          <w:rFonts w:cs="Times New Roman"/>
          <w:shd w:val="solid" w:color="FFFFFF" w:fill="FFFFFF"/>
          <w:lang w:val="en-US"/>
        </w:rPr>
        <w:t xml:space="preserve">, namely </w:t>
      </w:r>
      <w:r w:rsidRPr="00881752">
        <w:rPr>
          <w:rFonts w:cs="Times New Roman"/>
          <w:lang w:val="en-US"/>
        </w:rPr>
        <w:t xml:space="preserve">βάβαξ </w:t>
      </w:r>
      <w:r w:rsidR="00CC0615">
        <w:rPr>
          <w:rFonts w:cs="Times New Roman"/>
          <w:lang w:val="en-US"/>
        </w:rPr>
        <w:t>“</w:t>
      </w:r>
      <w:r w:rsidRPr="00881752">
        <w:rPr>
          <w:rFonts w:cs="Times New Roman"/>
          <w:lang w:val="en-US"/>
        </w:rPr>
        <w:t>chatterbox</w:t>
      </w:r>
      <w:r w:rsidR="00CC0615">
        <w:rPr>
          <w:rFonts w:cs="Times New Roman"/>
          <w:lang w:val="en-US"/>
        </w:rPr>
        <w:t>”</w:t>
      </w:r>
      <w:r w:rsidRPr="00881752">
        <w:rPr>
          <w:rFonts w:cs="Times New Roman"/>
          <w:lang w:val="en-US"/>
        </w:rPr>
        <w:t xml:space="preserve"> (fr. 32), and Hipponax</w:t>
      </w:r>
      <w:r w:rsidR="00075F5F">
        <w:rPr>
          <w:rFonts w:cs="Times New Roman"/>
          <w:lang w:val="en-US"/>
        </w:rPr>
        <w:t>’</w:t>
      </w:r>
      <w:r w:rsidRPr="00881752">
        <w:rPr>
          <w:rFonts w:cs="Times New Roman"/>
          <w:lang w:val="en-US"/>
        </w:rPr>
        <w:t xml:space="preserve">s fragments include four instances, namely βαμβαλύζω </w:t>
      </w:r>
      <w:r w:rsidR="00CC0615">
        <w:rPr>
          <w:rFonts w:cs="Times New Roman"/>
          <w:lang w:val="en-US"/>
        </w:rPr>
        <w:t>“</w:t>
      </w:r>
      <w:r w:rsidRPr="00881752">
        <w:rPr>
          <w:rFonts w:cs="Times New Roman"/>
          <w:lang w:val="en-US"/>
        </w:rPr>
        <w:t>shiver</w:t>
      </w:r>
      <w:r w:rsidR="00CC0615">
        <w:rPr>
          <w:rFonts w:cs="Times New Roman"/>
          <w:lang w:val="en-US"/>
        </w:rPr>
        <w:t>”</w:t>
      </w:r>
      <w:r w:rsidRPr="00881752">
        <w:rPr>
          <w:rFonts w:cs="Times New Roman"/>
          <w:lang w:val="en-US"/>
        </w:rPr>
        <w:t xml:space="preserve"> (fr. 42a.3), βεβρός </w:t>
      </w:r>
      <w:r w:rsidR="00CC0615">
        <w:rPr>
          <w:rFonts w:cs="Times New Roman"/>
          <w:lang w:val="en-US"/>
        </w:rPr>
        <w:t>“</w:t>
      </w:r>
      <w:r w:rsidRPr="00881752">
        <w:rPr>
          <w:rFonts w:cs="Times New Roman"/>
          <w:lang w:val="en-US"/>
        </w:rPr>
        <w:t>cruel</w:t>
      </w:r>
      <w:r w:rsidR="00CC0615">
        <w:rPr>
          <w:rFonts w:cs="Times New Roman"/>
          <w:lang w:val="en-US"/>
        </w:rPr>
        <w:t>”</w:t>
      </w:r>
      <w:r w:rsidRPr="00881752">
        <w:rPr>
          <w:rFonts w:cs="Times New Roman"/>
          <w:lang w:val="en-US"/>
        </w:rPr>
        <w:t xml:space="preserve"> (fr. 49.2), βορβορόπη </w:t>
      </w:r>
      <w:r w:rsidR="00CC0615">
        <w:rPr>
          <w:rFonts w:cs="Times New Roman"/>
          <w:lang w:val="en-US"/>
        </w:rPr>
        <w:t>“</w:t>
      </w:r>
      <w:r w:rsidRPr="00881752">
        <w:rPr>
          <w:rFonts w:cs="Times New Roman"/>
          <w:lang w:val="en-US"/>
        </w:rPr>
        <w:t>opening of filth</w:t>
      </w:r>
      <w:r w:rsidR="00CC0615">
        <w:rPr>
          <w:rFonts w:cs="Times New Roman"/>
          <w:lang w:val="en-US"/>
        </w:rPr>
        <w:t>”</w:t>
      </w:r>
      <w:r w:rsidRPr="00881752">
        <w:rPr>
          <w:rFonts w:cs="Times New Roman"/>
          <w:lang w:val="en-US"/>
        </w:rPr>
        <w:t xml:space="preserve"> (fr. 158), ἐμβαβάζω </w:t>
      </w:r>
      <w:r w:rsidR="00CC0615">
        <w:rPr>
          <w:rFonts w:cs="Times New Roman"/>
          <w:lang w:val="en-US"/>
        </w:rPr>
        <w:t>“</w:t>
      </w:r>
      <w:r w:rsidRPr="00881752">
        <w:rPr>
          <w:rFonts w:cs="Times New Roman"/>
          <w:lang w:val="en-US"/>
        </w:rPr>
        <w:t>yammer</w:t>
      </w:r>
      <w:r w:rsidR="00CC0615">
        <w:rPr>
          <w:rFonts w:cs="Times New Roman"/>
          <w:lang w:val="en-US"/>
        </w:rPr>
        <w:t>”</w:t>
      </w:r>
      <w:r w:rsidRPr="00881752">
        <w:rPr>
          <w:rFonts w:cs="Times New Roman"/>
          <w:lang w:val="en-US"/>
        </w:rPr>
        <w:t xml:space="preserve"> (fr. 56).)</w:t>
      </w:r>
    </w:p>
    <w:p w14:paraId="6E3D3C43" w14:textId="5E96480E" w:rsidR="00272F31" w:rsidRPr="00756BD3" w:rsidRDefault="009C4864" w:rsidP="00695A7C">
      <w:pPr>
        <w:tabs>
          <w:tab w:val="clear" w:pos="425"/>
          <w:tab w:val="left" w:pos="426"/>
        </w:tabs>
        <w:rPr>
          <w:rFonts w:cs="Times New Roman"/>
          <w:lang w:val="en-US"/>
        </w:rPr>
      </w:pPr>
      <w:r w:rsidRPr="00881752">
        <w:rPr>
          <w:rFonts w:cs="Times New Roman"/>
          <w:shd w:val="solid" w:color="FFFFFF" w:fill="FFFFFF"/>
          <w:lang w:val="en-US"/>
        </w:rPr>
        <w:tab/>
        <w:t xml:space="preserve">I suggest that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in Callimachus</w:t>
      </w:r>
      <w:r w:rsidR="00075F5F">
        <w:rPr>
          <w:rFonts w:cs="Times New Roman"/>
          <w:shd w:val="solid" w:color="FFFFFF" w:fill="FFFFFF"/>
          <w:lang w:val="en-US"/>
        </w:rPr>
        <w:t>’</w:t>
      </w:r>
      <w:r w:rsidRPr="00881752">
        <w:rPr>
          <w:rFonts w:cs="Times New Roman"/>
          <w:shd w:val="solid" w:color="FFFFFF" w:fill="FFFFFF"/>
          <w:lang w:val="en-US"/>
        </w:rPr>
        <w:t xml:space="preserve"> </w:t>
      </w:r>
      <w:r w:rsidRPr="00881752">
        <w:rPr>
          <w:rFonts w:cs="Times New Roman"/>
          <w:i/>
          <w:iCs/>
          <w:shd w:val="solid" w:color="FFFFFF" w:fill="FFFFFF"/>
          <w:lang w:val="en-US"/>
        </w:rPr>
        <w:t>Iambi</w:t>
      </w:r>
      <w:r w:rsidRPr="00881752">
        <w:rPr>
          <w:rFonts w:cs="Times New Roman"/>
          <w:shd w:val="solid" w:color="FFFFFF" w:fill="FFFFFF"/>
          <w:lang w:val="en-US"/>
        </w:rPr>
        <w:t xml:space="preserve"> occur for a different reason. They are not a matter of modifying the traditional language to create a new way of expressing new contents, but they are, for Callimachus, a feature of the iambic language. Callimachus understands the high frequency of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in the iambic texts to be a feature of the iambic genre, and for this reason, he frequently uses them in his </w:t>
      </w:r>
      <w:r w:rsidRPr="00881752">
        <w:rPr>
          <w:rFonts w:cs="Times New Roman"/>
          <w:i/>
          <w:iCs/>
          <w:shd w:val="solid" w:color="FFFFFF" w:fill="FFFFFF"/>
          <w:lang w:val="en-US"/>
        </w:rPr>
        <w:t>Iambi</w:t>
      </w:r>
      <w:r w:rsidRPr="00881752">
        <w:rPr>
          <w:rFonts w:cs="Times New Roman"/>
          <w:shd w:val="solid" w:color="FFFFFF" w:fill="FFFFFF"/>
          <w:lang w:val="en-US"/>
        </w:rPr>
        <w:t>. Callimachus</w:t>
      </w:r>
      <w:r w:rsidR="00075F5F">
        <w:rPr>
          <w:rFonts w:cs="Times New Roman"/>
          <w:shd w:val="solid" w:color="FFFFFF" w:fill="FFFFFF"/>
          <w:lang w:val="en-US"/>
        </w:rPr>
        <w:t>’</w:t>
      </w:r>
      <w:r w:rsidRPr="00881752">
        <w:rPr>
          <w:rFonts w:cs="Times New Roman"/>
          <w:shd w:val="solid" w:color="FFFFFF" w:fill="FFFFFF"/>
          <w:lang w:val="en-US"/>
        </w:rPr>
        <w:t xml:space="preserve">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are either morphological or lexical, and in both cases he seems to have in mind Archilochus</w:t>
      </w:r>
      <w:r w:rsidR="00075F5F">
        <w:rPr>
          <w:rFonts w:cs="Times New Roman"/>
          <w:shd w:val="solid" w:color="FFFFFF" w:fill="FFFFFF"/>
          <w:lang w:val="en-US"/>
        </w:rPr>
        <w:t>’</w:t>
      </w:r>
      <w:r w:rsidRPr="00881752">
        <w:rPr>
          <w:rFonts w:cs="Times New Roman"/>
          <w:shd w:val="solid" w:color="FFFFFF" w:fill="FFFFFF"/>
          <w:lang w:val="en-US"/>
        </w:rPr>
        <w:t xml:space="preserve"> methods of creating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Callimachus makes morphological </w:t>
      </w:r>
      <w:r w:rsidRPr="00881752">
        <w:rPr>
          <w:rFonts w:cs="Times New Roman"/>
          <w:i/>
          <w:iCs/>
          <w:shd w:val="solid" w:color="FFFFFF" w:fill="FFFFFF"/>
          <w:lang w:val="en-US"/>
        </w:rPr>
        <w:t>hapax legomena</w:t>
      </w:r>
      <w:r w:rsidRPr="00881752">
        <w:rPr>
          <w:rFonts w:cs="Times New Roman"/>
          <w:shd w:val="solid" w:color="FFFFFF" w:fill="FFFFFF"/>
          <w:lang w:val="en-US"/>
        </w:rPr>
        <w:t xml:space="preserve"> by changing the declension ending of a word, as shown by </w:t>
      </w:r>
      <w:r w:rsidRPr="00881752">
        <w:rPr>
          <w:rFonts w:cs="Times New Roman"/>
          <w:lang w:val="en-US"/>
        </w:rPr>
        <w:t xml:space="preserve">ἐφεδρίς </w:t>
      </w:r>
      <w:r w:rsidR="00CC0615">
        <w:rPr>
          <w:rFonts w:cs="Times New Roman"/>
          <w:lang w:val="en-US"/>
        </w:rPr>
        <w:t>“</w:t>
      </w:r>
      <w:r w:rsidRPr="00881752">
        <w:rPr>
          <w:rFonts w:cs="Times New Roman"/>
          <w:lang w:val="en-US"/>
        </w:rPr>
        <w:t>support</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6.37), instead of the usual ἐφέδρα, and by ὑποδράξ </w:t>
      </w:r>
      <w:r w:rsidR="00CC0615">
        <w:rPr>
          <w:rFonts w:cs="Times New Roman"/>
          <w:lang w:val="en-US"/>
        </w:rPr>
        <w:t>“</w:t>
      </w:r>
      <w:r w:rsidRPr="00881752">
        <w:rPr>
          <w:rFonts w:cs="Times New Roman"/>
          <w:lang w:val="en-US"/>
        </w:rPr>
        <w:t>grimly</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4.101), instead of the traditional ὑπόδρα. Lexical </w:t>
      </w:r>
      <w:r w:rsidRPr="00881752">
        <w:rPr>
          <w:rFonts w:cs="Times New Roman"/>
          <w:i/>
          <w:iCs/>
          <w:lang w:val="en-US"/>
        </w:rPr>
        <w:t>hapax legomena</w:t>
      </w:r>
      <w:r w:rsidRPr="00881752">
        <w:rPr>
          <w:rFonts w:cs="Times New Roman"/>
          <w:lang w:val="en-US"/>
        </w:rPr>
        <w:t xml:space="preserve"> in Callimachus</w:t>
      </w:r>
      <w:r w:rsidR="00075F5F">
        <w:rPr>
          <w:rFonts w:cs="Times New Roman"/>
          <w:lang w:val="en-US"/>
        </w:rPr>
        <w:t>’</w:t>
      </w:r>
      <w:r w:rsidRPr="00881752">
        <w:rPr>
          <w:rFonts w:cs="Times New Roman"/>
          <w:i/>
          <w:iCs/>
          <w:lang w:val="en-US"/>
        </w:rPr>
        <w:t>Iambi</w:t>
      </w:r>
      <w:r w:rsidRPr="00881752">
        <w:rPr>
          <w:rFonts w:cs="Times New Roman"/>
          <w:lang w:val="en-US"/>
        </w:rPr>
        <w:t xml:space="preserve"> are always and only compound words, never onomatopoeic words: οὑλαφηφόρος </w:t>
      </w:r>
      <w:r w:rsidR="00CC0615">
        <w:rPr>
          <w:rFonts w:cs="Times New Roman"/>
          <w:lang w:val="en-US"/>
        </w:rPr>
        <w:t>“</w:t>
      </w:r>
      <w:r w:rsidRPr="00881752">
        <w:rPr>
          <w:rFonts w:cs="Times New Roman"/>
          <w:lang w:val="en-US"/>
        </w:rPr>
        <w:t>corpse-carrier</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4.38), or ψιλοκόρσης </w:t>
      </w:r>
      <w:r w:rsidR="00CC0615">
        <w:rPr>
          <w:rFonts w:cs="Times New Roman"/>
          <w:lang w:val="en-US"/>
        </w:rPr>
        <w:t>“</w:t>
      </w:r>
      <w:r w:rsidRPr="00881752">
        <w:rPr>
          <w:rFonts w:cs="Times New Roman"/>
          <w:lang w:val="en-US"/>
        </w:rPr>
        <w:t>bald-headed</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1.29). </w:t>
      </w:r>
    </w:p>
    <w:p w14:paraId="49E31139" w14:textId="05AA1896" w:rsidR="00861BD6" w:rsidRPr="00881752" w:rsidRDefault="00861BD6" w:rsidP="007D414B">
      <w:pPr>
        <w:pStyle w:val="Heading3"/>
      </w:pPr>
      <w:r w:rsidRPr="00881752">
        <w:lastRenderedPageBreak/>
        <w:t xml:space="preserve">1.6 </w:t>
      </w:r>
      <w:r w:rsidR="00272F31" w:rsidRPr="00881752">
        <w:t>Word Patterns in Archilochus, Hipponax and Callimachus</w:t>
      </w:r>
      <w:r w:rsidR="00075F5F">
        <w:t>’</w:t>
      </w:r>
      <w:r w:rsidR="00272F31" w:rsidRPr="00881752">
        <w:t xml:space="preserve"> </w:t>
      </w:r>
      <w:r w:rsidR="00272F31" w:rsidRPr="00881752">
        <w:rPr>
          <w:i/>
        </w:rPr>
        <w:t>Iambi</w:t>
      </w:r>
    </w:p>
    <w:p w14:paraId="375684B2" w14:textId="77777777" w:rsidR="009C4864" w:rsidRPr="00881752" w:rsidRDefault="009C4864" w:rsidP="009C4864">
      <w:pPr>
        <w:tabs>
          <w:tab w:val="center" w:pos="5387"/>
        </w:tabs>
        <w:rPr>
          <w:rFonts w:cs="Times New Roman"/>
          <w:lang w:val="en-US"/>
        </w:rPr>
      </w:pPr>
      <w:r w:rsidRPr="00881752">
        <w:rPr>
          <w:rFonts w:cs="Times New Roman"/>
          <w:lang w:val="en-US"/>
        </w:rPr>
        <w:t>A comparative analysis of the vocabularies of the three iambographers shows lexical co-occurrence patterns (</w:t>
      </w:r>
      <w:r w:rsidRPr="00881752">
        <w:rPr>
          <w:rFonts w:cs="Times New Roman"/>
          <w:b/>
          <w:bCs/>
          <w:lang w:val="en-US"/>
        </w:rPr>
        <w:t>1</w:t>
      </w:r>
      <w:r w:rsidRPr="00881752">
        <w:rPr>
          <w:rFonts w:cs="Times New Roman"/>
          <w:lang w:val="en-US"/>
        </w:rPr>
        <w:t xml:space="preserve"> D.6) which mirror common situational frameworks that are characteristic of the iambic genre. The comparative analysis shows that iambic vocabulary focuses on three semantic nuclei:</w:t>
      </w:r>
    </w:p>
    <w:p w14:paraId="0D2D74A9" w14:textId="77777777" w:rsidR="009C4864" w:rsidRPr="00881752" w:rsidRDefault="009C4864" w:rsidP="00756BD3">
      <w:pPr>
        <w:widowControl w:val="0"/>
        <w:numPr>
          <w:ilvl w:val="0"/>
          <w:numId w:val="41"/>
        </w:numPr>
        <w:tabs>
          <w:tab w:val="left" w:pos="360"/>
          <w:tab w:val="left" w:pos="720"/>
          <w:tab w:val="center" w:pos="5387"/>
        </w:tabs>
        <w:rPr>
          <w:rFonts w:cs="Times New Roman"/>
          <w:lang w:val="en-US"/>
        </w:rPr>
      </w:pPr>
      <w:r w:rsidRPr="00881752">
        <w:rPr>
          <w:rFonts w:cs="Times New Roman"/>
          <w:lang w:val="en-US"/>
        </w:rPr>
        <w:t>words concerning the everyday life</w:t>
      </w:r>
    </w:p>
    <w:p w14:paraId="23E142A0" w14:textId="77777777" w:rsidR="009C4864" w:rsidRPr="00881752" w:rsidRDefault="009C4864" w:rsidP="00756BD3">
      <w:pPr>
        <w:widowControl w:val="0"/>
        <w:numPr>
          <w:ilvl w:val="0"/>
          <w:numId w:val="41"/>
        </w:numPr>
        <w:tabs>
          <w:tab w:val="left" w:pos="360"/>
          <w:tab w:val="left" w:pos="720"/>
          <w:tab w:val="center" w:pos="5387"/>
        </w:tabs>
        <w:rPr>
          <w:rFonts w:cs="Times New Roman"/>
          <w:lang w:val="en-US"/>
        </w:rPr>
      </w:pPr>
      <w:r w:rsidRPr="00881752">
        <w:rPr>
          <w:rFonts w:cs="Times New Roman"/>
          <w:lang w:val="en-US"/>
        </w:rPr>
        <w:t>words describing the lack of (good) sense</w:t>
      </w:r>
    </w:p>
    <w:p w14:paraId="13C5B5B1" w14:textId="77777777" w:rsidR="009C4864" w:rsidRPr="00881752" w:rsidRDefault="009C4864" w:rsidP="00756BD3">
      <w:pPr>
        <w:widowControl w:val="0"/>
        <w:numPr>
          <w:ilvl w:val="0"/>
          <w:numId w:val="41"/>
        </w:numPr>
        <w:tabs>
          <w:tab w:val="left" w:pos="360"/>
          <w:tab w:val="left" w:pos="714"/>
          <w:tab w:val="center" w:pos="5387"/>
        </w:tabs>
        <w:ind w:left="714" w:hanging="357"/>
        <w:rPr>
          <w:rFonts w:cs="Times New Roman"/>
          <w:lang w:val="en-US"/>
        </w:rPr>
      </w:pPr>
      <w:r w:rsidRPr="00881752">
        <w:rPr>
          <w:rFonts w:cs="Times New Roman"/>
          <w:lang w:val="en-US"/>
        </w:rPr>
        <w:t>colloquialisms</w:t>
      </w:r>
    </w:p>
    <w:p w14:paraId="22D7F84E" w14:textId="77777777" w:rsidR="009C4864" w:rsidRPr="00881752" w:rsidRDefault="009C4864" w:rsidP="009C4864">
      <w:pPr>
        <w:tabs>
          <w:tab w:val="center" w:pos="5387"/>
        </w:tabs>
        <w:rPr>
          <w:rFonts w:cs="Times New Roman"/>
          <w:lang w:val="en-US"/>
        </w:rPr>
      </w:pPr>
      <w:r w:rsidRPr="00881752">
        <w:rPr>
          <w:rFonts w:cs="Times New Roman"/>
          <w:lang w:val="en-US"/>
        </w:rPr>
        <w:t>In the following pages, I investigate each of these in depth.</w:t>
      </w:r>
    </w:p>
    <w:p w14:paraId="2F1406CC" w14:textId="66514C7A" w:rsidR="00272F31" w:rsidRPr="00881752" w:rsidRDefault="00861BD6" w:rsidP="00065DC4">
      <w:pPr>
        <w:pStyle w:val="Heading4"/>
        <w:rPr>
          <w:rFonts w:cs="Times New Roman"/>
        </w:rPr>
      </w:pPr>
      <w:r w:rsidRPr="00881752">
        <w:rPr>
          <w:rFonts w:cs="Times New Roman"/>
        </w:rPr>
        <w:t xml:space="preserve">1.6.1 Words </w:t>
      </w:r>
      <w:r w:rsidR="003B700F" w:rsidRPr="00881752">
        <w:rPr>
          <w:rFonts w:cs="Times New Roman"/>
        </w:rPr>
        <w:t>Concerning</w:t>
      </w:r>
      <w:r w:rsidR="00065DC4" w:rsidRPr="00881752">
        <w:rPr>
          <w:rFonts w:cs="Times New Roman"/>
        </w:rPr>
        <w:t xml:space="preserve"> </w:t>
      </w:r>
      <w:r w:rsidR="00272F31" w:rsidRPr="00881752">
        <w:rPr>
          <w:rFonts w:cs="Times New Roman"/>
        </w:rPr>
        <w:t xml:space="preserve">Everyday </w:t>
      </w:r>
      <w:r w:rsidR="003B700F" w:rsidRPr="00881752">
        <w:rPr>
          <w:rFonts w:cs="Times New Roman"/>
        </w:rPr>
        <w:t>L</w:t>
      </w:r>
      <w:r w:rsidR="00272F31" w:rsidRPr="00881752">
        <w:rPr>
          <w:rFonts w:cs="Times New Roman"/>
        </w:rPr>
        <w:t>ife</w:t>
      </w:r>
    </w:p>
    <w:p w14:paraId="2E558DD0" w14:textId="370B71FB" w:rsidR="00272F31" w:rsidRPr="00881752" w:rsidRDefault="009C4864" w:rsidP="00695A7C">
      <w:pPr>
        <w:tabs>
          <w:tab w:val="center" w:pos="5387"/>
        </w:tabs>
        <w:rPr>
          <w:rFonts w:cs="Times New Roman"/>
          <w:lang w:val="en-US"/>
        </w:rPr>
      </w:pPr>
      <w:r w:rsidRPr="00881752">
        <w:rPr>
          <w:rFonts w:cs="Times New Roman"/>
          <w:lang w:val="en-US"/>
        </w:rPr>
        <w:t>The verses of iambs are filled with words describing everyday life.</w:t>
      </w:r>
      <w:r w:rsidRPr="00881752">
        <w:rPr>
          <w:rStyle w:val="FootnoteReference"/>
          <w:rFonts w:cs="Times New Roman"/>
          <w:lang w:val="en-US"/>
        </w:rPr>
        <w:footnoteReference w:id="105"/>
      </w:r>
      <w:r w:rsidRPr="00881752">
        <w:rPr>
          <w:rFonts w:cs="Times New Roman"/>
          <w:lang w:val="en-US"/>
        </w:rPr>
        <w:t xml:space="preserve"> These comprise especially, but not exclusively, words referring to food and the culinary world. The elements of the material words which characterise my iambic corpus are the following:</w:t>
      </w:r>
    </w:p>
    <w:p w14:paraId="2B6BFC92" w14:textId="77777777" w:rsidR="00D05134" w:rsidRPr="00881752" w:rsidRDefault="00D05134" w:rsidP="00D17BFC">
      <w:pPr>
        <w:rPr>
          <w:rFonts w:cs="Times New Roman"/>
          <w:i/>
          <w:szCs w:val="24"/>
        </w:rPr>
      </w:pPr>
    </w:p>
    <w:p w14:paraId="232E25E7" w14:textId="5A786BDC" w:rsidR="00272F31" w:rsidRPr="00881752" w:rsidRDefault="00272F31" w:rsidP="00D05134">
      <w:pPr>
        <w:rPr>
          <w:rFonts w:cs="Times New Roman"/>
          <w:i/>
          <w:szCs w:val="24"/>
        </w:rPr>
      </w:pPr>
      <w:r w:rsidRPr="00881752">
        <w:rPr>
          <w:rFonts w:cs="Times New Roman"/>
          <w:i/>
          <w:szCs w:val="24"/>
        </w:rPr>
        <w:t>Food</w:t>
      </w:r>
      <w:r w:rsidR="00CC1F68" w:rsidRPr="00881752">
        <w:rPr>
          <w:rFonts w:cs="Times New Roman"/>
          <w:i/>
          <w:szCs w:val="24"/>
        </w:rPr>
        <w:t xml:space="preserve"> and Drink</w:t>
      </w:r>
    </w:p>
    <w:p w14:paraId="50CF4139" w14:textId="77777777" w:rsidR="009C4864" w:rsidRPr="00881752" w:rsidRDefault="009C4864" w:rsidP="009C4864">
      <w:pPr>
        <w:spacing w:after="200"/>
        <w:rPr>
          <w:rFonts w:cs="Times New Roman"/>
          <w:lang w:val="en-US"/>
        </w:rPr>
      </w:pPr>
      <w:r w:rsidRPr="00881752">
        <w:rPr>
          <w:rFonts w:cs="Times New Roman"/>
          <w:lang w:val="en-US"/>
        </w:rPr>
        <w:t>Archilochus, Hipponax, and Callimachus cite different kinds of food, but reference to food is a constant. There are terms for food (both for ingredients and for cooked dishes), for the pots and pans in which food was prepared and served, and for the cups and bowls that contained liquids.</w:t>
      </w:r>
      <w:r w:rsidRPr="00881752">
        <w:rPr>
          <w:rStyle w:val="FootnoteReference"/>
          <w:rFonts w:cs="Times New Roman"/>
          <w:lang w:val="en-US"/>
        </w:rPr>
        <w:footnoteReference w:id="106"/>
      </w:r>
      <w:r w:rsidRPr="00881752">
        <w:rPr>
          <w:rFonts w:cs="Times New Roman"/>
          <w:lang w:val="en-US"/>
        </w:rPr>
        <w:t xml:space="preserve"> Listed below are the foods and related objects most characteristic of the iambic world. </w:t>
      </w:r>
    </w:p>
    <w:p w14:paraId="2EFE96F5" w14:textId="11C55E78" w:rsidR="00D016D5" w:rsidRPr="00881752" w:rsidRDefault="009C4864" w:rsidP="00F56C73">
      <w:pPr>
        <w:widowControl w:val="0"/>
        <w:numPr>
          <w:ilvl w:val="0"/>
          <w:numId w:val="42"/>
        </w:numPr>
        <w:tabs>
          <w:tab w:val="clear" w:pos="424"/>
          <w:tab w:val="left" w:pos="426"/>
          <w:tab w:val="center" w:pos="5387"/>
        </w:tabs>
        <w:ind w:left="426" w:hanging="284"/>
        <w:rPr>
          <w:rFonts w:cs="Times New Roman"/>
          <w:lang w:val="en-US"/>
        </w:rPr>
      </w:pPr>
      <w:r w:rsidRPr="00881752">
        <w:rPr>
          <w:rFonts w:cs="Times New Roman"/>
          <w:lang w:val="en-US"/>
        </w:rPr>
        <w:t>Figs (σῦκον</w:t>
      </w:r>
      <w:r w:rsidRPr="00881752">
        <w:rPr>
          <w:rStyle w:val="FootnoteReference"/>
          <w:rFonts w:cs="Times New Roman"/>
          <w:lang w:val="en-US"/>
        </w:rPr>
        <w:footnoteReference w:id="107"/>
      </w:r>
      <w:r w:rsidRPr="00881752">
        <w:rPr>
          <w:rFonts w:cs="Times New Roman"/>
          <w:lang w:val="en-US"/>
        </w:rPr>
        <w:t xml:space="preserve"> </w:t>
      </w:r>
      <w:r w:rsidR="00CC0615">
        <w:rPr>
          <w:rFonts w:cs="Times New Roman"/>
          <w:lang w:val="en-US"/>
        </w:rPr>
        <w:t>“</w:t>
      </w:r>
      <w:r w:rsidRPr="00881752">
        <w:rPr>
          <w:rFonts w:cs="Times New Roman"/>
          <w:lang w:val="en-US"/>
        </w:rPr>
        <w:t>fig,</w:t>
      </w:r>
      <w:r w:rsidR="00CC0615">
        <w:rPr>
          <w:rFonts w:cs="Times New Roman"/>
          <w:lang w:val="en-US"/>
        </w:rPr>
        <w:t>”</w:t>
      </w:r>
      <w:r w:rsidRPr="00881752">
        <w:rPr>
          <w:rFonts w:cs="Times New Roman"/>
          <w:lang w:val="en-US"/>
        </w:rPr>
        <w:t xml:space="preserve"> ἰσχάς</w:t>
      </w:r>
      <w:r w:rsidRPr="00881752">
        <w:rPr>
          <w:rStyle w:val="FootnoteReference"/>
          <w:rFonts w:cs="Times New Roman"/>
          <w:lang w:val="en-US"/>
        </w:rPr>
        <w:footnoteReference w:id="108"/>
      </w:r>
      <w:r w:rsidRPr="00881752">
        <w:rPr>
          <w:rFonts w:cs="Times New Roman"/>
          <w:lang w:val="en-US"/>
        </w:rPr>
        <w:t xml:space="preserve"> </w:t>
      </w:r>
      <w:r w:rsidR="00CC0615">
        <w:rPr>
          <w:rFonts w:cs="Times New Roman"/>
          <w:lang w:val="en-US"/>
        </w:rPr>
        <w:t>“</w:t>
      </w:r>
      <w:r w:rsidRPr="00881752">
        <w:rPr>
          <w:rFonts w:cs="Times New Roman"/>
          <w:lang w:val="en-US"/>
        </w:rPr>
        <w:t>dried fig</w:t>
      </w:r>
      <w:r w:rsidR="00CC0615">
        <w:rPr>
          <w:rFonts w:cs="Times New Roman"/>
          <w:lang w:val="en-US"/>
        </w:rPr>
        <w:t>”</w:t>
      </w:r>
      <w:r w:rsidRPr="00881752">
        <w:rPr>
          <w:rFonts w:cs="Times New Roman"/>
          <w:lang w:val="en-US"/>
        </w:rPr>
        <w:t>) are the most frequently mentioned food. In general they symbolise poverty, but their semantics encompass a broad spectrum. They represent the simplicity of home for Archilochus (fr. 95):</w:t>
      </w:r>
    </w:p>
    <w:p w14:paraId="333F794F" w14:textId="650A860B" w:rsidR="00272F31" w:rsidRPr="00881752" w:rsidRDefault="00272F31" w:rsidP="00F56C73">
      <w:pPr>
        <w:widowControl w:val="0"/>
        <w:tabs>
          <w:tab w:val="clear" w:pos="425"/>
          <w:tab w:val="center" w:pos="5387"/>
        </w:tabs>
        <w:ind w:left="426"/>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83"/>
        <w:gridCol w:w="3499"/>
      </w:tblGrid>
      <w:tr w:rsidR="00272F31" w:rsidRPr="00881752" w14:paraId="4A3A7929" w14:textId="77777777" w:rsidTr="00D05134">
        <w:tc>
          <w:tcPr>
            <w:tcW w:w="3583" w:type="dxa"/>
          </w:tcPr>
          <w:p w14:paraId="53773326" w14:textId="77777777" w:rsidR="00272F31" w:rsidRPr="00881752" w:rsidRDefault="00272F31" w:rsidP="00AE0B60">
            <w:pPr>
              <w:pStyle w:val="Blockquote"/>
              <w:rPr>
                <w:sz w:val="22"/>
                <w:szCs w:val="22"/>
                <w:lang w:val="el-GR"/>
              </w:rPr>
            </w:pPr>
            <w:r w:rsidRPr="00881752">
              <w:rPr>
                <w:rFonts w:eastAsiaTheme="minorEastAsia"/>
                <w:sz w:val="22"/>
                <w:szCs w:val="22"/>
                <w:lang w:val="el-GR"/>
              </w:rPr>
              <w:t>ἔα Πάρον καὶ σῦκα κεῖνα καὶ θαλάσσιον βίον</w:t>
            </w:r>
          </w:p>
        </w:tc>
        <w:tc>
          <w:tcPr>
            <w:tcW w:w="3499" w:type="dxa"/>
          </w:tcPr>
          <w:p w14:paraId="1EF22321" w14:textId="77777777" w:rsidR="00272F31" w:rsidRPr="00881752" w:rsidRDefault="00272F31" w:rsidP="00AE0B60">
            <w:pPr>
              <w:pStyle w:val="Blockquote"/>
              <w:rPr>
                <w:sz w:val="22"/>
                <w:szCs w:val="22"/>
              </w:rPr>
            </w:pPr>
            <w:r w:rsidRPr="00881752">
              <w:rPr>
                <w:sz w:val="22"/>
                <w:szCs w:val="22"/>
              </w:rPr>
              <w:t>good-bye to Paros and those figs and life on the sea</w:t>
            </w:r>
          </w:p>
        </w:tc>
      </w:tr>
    </w:tbl>
    <w:p w14:paraId="1D531CBB" w14:textId="5FC5473C" w:rsidR="00AE0B60" w:rsidRPr="00881752" w:rsidRDefault="00AE0B60" w:rsidP="00AE0B60">
      <w:pPr>
        <w:pStyle w:val="Blockquote"/>
      </w:pPr>
    </w:p>
    <w:p w14:paraId="3030812B" w14:textId="34A623BF" w:rsidR="00D016D5" w:rsidRDefault="009C4864" w:rsidP="00F56C73">
      <w:pPr>
        <w:keepNext/>
        <w:tabs>
          <w:tab w:val="center" w:pos="5387"/>
        </w:tabs>
        <w:ind w:firstLine="425"/>
        <w:rPr>
          <w:lang w:val="en-US"/>
        </w:rPr>
      </w:pPr>
      <w:r w:rsidRPr="00881752">
        <w:rPr>
          <w:rFonts w:cs="Times New Roman"/>
          <w:lang w:val="en-US"/>
        </w:rPr>
        <w:lastRenderedPageBreak/>
        <w:t>They are the food of scapegoats in Hipponax (fr. 28):</w:t>
      </w:r>
    </w:p>
    <w:p w14:paraId="7F0C6D6E" w14:textId="6E468584" w:rsidR="00272F31" w:rsidRPr="00881752" w:rsidRDefault="00272F31" w:rsidP="00F56C73">
      <w:pPr>
        <w:keepNext/>
        <w:tabs>
          <w:tab w:val="center" w:pos="5387"/>
        </w:tabs>
        <w:ind w:firstLine="425"/>
      </w:pPr>
    </w:p>
    <w:tbl>
      <w:tblPr>
        <w:tblStyle w:val="TableGrid"/>
        <w:tblW w:w="7171" w:type="dxa"/>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41"/>
        <w:gridCol w:w="3530"/>
      </w:tblGrid>
      <w:tr w:rsidR="00272F31" w:rsidRPr="00881752" w14:paraId="531E4FC5" w14:textId="77777777" w:rsidTr="0013179E">
        <w:tc>
          <w:tcPr>
            <w:tcW w:w="3641" w:type="dxa"/>
          </w:tcPr>
          <w:p w14:paraId="46CBA4EA" w14:textId="77777777" w:rsidR="00272F31" w:rsidRPr="00881752" w:rsidRDefault="00272F31" w:rsidP="00AE0B60">
            <w:pPr>
              <w:pStyle w:val="Blockquote"/>
              <w:rPr>
                <w:sz w:val="22"/>
                <w:szCs w:val="22"/>
                <w:lang w:val="el-GR"/>
              </w:rPr>
            </w:pPr>
            <w:r w:rsidRPr="00881752">
              <w:rPr>
                <w:sz w:val="22"/>
                <w:szCs w:val="22"/>
                <w:lang w:val="el-GR"/>
              </w:rPr>
              <w:t>κἀφῆι παρέξειν ἰσχάδας τε καὶ μᾶζαν</w:t>
            </w:r>
          </w:p>
          <w:p w14:paraId="0D8281EC" w14:textId="77777777" w:rsidR="00272F31" w:rsidRPr="00881752" w:rsidRDefault="00272F31" w:rsidP="00AE0B60">
            <w:pPr>
              <w:pStyle w:val="Blockquote"/>
              <w:rPr>
                <w:sz w:val="22"/>
                <w:szCs w:val="22"/>
                <w:lang w:val="el-GR"/>
              </w:rPr>
            </w:pPr>
            <w:r w:rsidRPr="00881752">
              <w:rPr>
                <w:sz w:val="22"/>
                <w:szCs w:val="22"/>
                <w:lang w:val="el-GR"/>
              </w:rPr>
              <w:t>καὶ τυρόν, οἷον ἐσθίουσι φαρμακοί.</w:t>
            </w:r>
          </w:p>
        </w:tc>
        <w:tc>
          <w:tcPr>
            <w:tcW w:w="3530" w:type="dxa"/>
          </w:tcPr>
          <w:p w14:paraId="62BEF733" w14:textId="77777777" w:rsidR="00272F31" w:rsidRPr="00881752" w:rsidRDefault="00272F31" w:rsidP="00AE0B60">
            <w:pPr>
              <w:pStyle w:val="Blockquote"/>
              <w:rPr>
                <w:sz w:val="22"/>
                <w:szCs w:val="22"/>
              </w:rPr>
            </w:pPr>
            <w:r w:rsidRPr="00881752">
              <w:rPr>
                <w:sz w:val="22"/>
                <w:szCs w:val="22"/>
              </w:rPr>
              <w:t>and to provide within his grasp dried figs, barley cake and cheese, such as scapegoats eat</w:t>
            </w:r>
          </w:p>
        </w:tc>
      </w:tr>
    </w:tbl>
    <w:p w14:paraId="1BCDE15B" w14:textId="227D0681" w:rsidR="00AE0B60" w:rsidRPr="00881752" w:rsidRDefault="00AE0B60" w:rsidP="00AE0B60">
      <w:pPr>
        <w:pStyle w:val="Blockquote"/>
      </w:pPr>
    </w:p>
    <w:p w14:paraId="24ABCEC6" w14:textId="2002D4B7" w:rsidR="00D016D5" w:rsidRPr="00881752" w:rsidRDefault="009C4864" w:rsidP="00F56C73">
      <w:pPr>
        <w:tabs>
          <w:tab w:val="center" w:pos="5387"/>
        </w:tabs>
        <w:ind w:left="720" w:hanging="295"/>
        <w:rPr>
          <w:rFonts w:cs="Times New Roman"/>
          <w:lang w:val="en-US"/>
        </w:rPr>
      </w:pPr>
      <w:r w:rsidRPr="00881752">
        <w:rPr>
          <w:rFonts w:cs="Times New Roman"/>
          <w:lang w:val="en-US"/>
        </w:rPr>
        <w:t>and the poor but honest nourishment of Callimachus</w:t>
      </w:r>
      <w:r w:rsidR="00075F5F">
        <w:rPr>
          <w:rFonts w:cs="Times New Roman"/>
          <w:lang w:val="en-US"/>
        </w:rPr>
        <w:t>’</w:t>
      </w:r>
      <w:r w:rsidRPr="00881752">
        <w:rPr>
          <w:rFonts w:cs="Times New Roman"/>
          <w:lang w:val="en-US"/>
        </w:rPr>
        <w:t xml:space="preserve"> Muses (</w:t>
      </w:r>
      <w:r w:rsidRPr="00881752">
        <w:rPr>
          <w:rFonts w:cs="Times New Roman"/>
          <w:i/>
          <w:iCs/>
          <w:lang w:val="en-US"/>
        </w:rPr>
        <w:t>Ia</w:t>
      </w:r>
      <w:r w:rsidRPr="00881752">
        <w:rPr>
          <w:rFonts w:cs="Times New Roman"/>
          <w:lang w:val="en-US"/>
        </w:rPr>
        <w:t>. 1.92-93):</w:t>
      </w:r>
    </w:p>
    <w:p w14:paraId="5849AAFC" w14:textId="041C95E1" w:rsidR="00272F31" w:rsidRPr="00881752" w:rsidRDefault="00272F31" w:rsidP="00F56C73">
      <w:pPr>
        <w:tabs>
          <w:tab w:val="center" w:pos="5387"/>
        </w:tabs>
        <w:ind w:left="720" w:hanging="295"/>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24"/>
        <w:gridCol w:w="3158"/>
      </w:tblGrid>
      <w:tr w:rsidR="00272F31" w:rsidRPr="00881752" w14:paraId="7CA28E17" w14:textId="77777777" w:rsidTr="00825A39">
        <w:tc>
          <w:tcPr>
            <w:tcW w:w="3924" w:type="dxa"/>
          </w:tcPr>
          <w:p w14:paraId="6FADB163" w14:textId="18921413" w:rsidR="00C95CAE" w:rsidRPr="00881752" w:rsidRDefault="00272F31" w:rsidP="00AE0B60">
            <w:pPr>
              <w:pStyle w:val="Blockquote"/>
              <w:rPr>
                <w:sz w:val="22"/>
                <w:szCs w:val="22"/>
              </w:rPr>
            </w:pPr>
            <w:r w:rsidRPr="00881752">
              <w:rPr>
                <w:sz w:val="22"/>
                <w:szCs w:val="22"/>
              </w:rPr>
              <w:t xml:space="preserve">τὰς Μού̣σας  </w:t>
            </w:r>
          </w:p>
          <w:p w14:paraId="4F75709B" w14:textId="757B1155" w:rsidR="00272F31" w:rsidRPr="00881752" w:rsidRDefault="00272F31" w:rsidP="00AE0B60">
            <w:pPr>
              <w:pStyle w:val="Blockquote"/>
              <w:rPr>
                <w:sz w:val="22"/>
                <w:szCs w:val="22"/>
              </w:rPr>
            </w:pPr>
            <w:r w:rsidRPr="00881752">
              <w:rPr>
                <w:sz w:val="22"/>
                <w:szCs w:val="22"/>
              </w:rPr>
              <w:t>… χλωρὰ σῦκα̣ τρωγούσας</w:t>
            </w:r>
          </w:p>
        </w:tc>
        <w:tc>
          <w:tcPr>
            <w:tcW w:w="3158" w:type="dxa"/>
          </w:tcPr>
          <w:p w14:paraId="676DDC1F" w14:textId="32D63CF2" w:rsidR="00272F31" w:rsidRPr="00881752" w:rsidRDefault="00272F31" w:rsidP="00AE0B60">
            <w:pPr>
              <w:pStyle w:val="Blockquote"/>
              <w:rPr>
                <w:sz w:val="22"/>
                <w:szCs w:val="22"/>
              </w:rPr>
            </w:pPr>
            <w:r w:rsidRPr="00881752">
              <w:rPr>
                <w:sz w:val="22"/>
                <w:szCs w:val="22"/>
              </w:rPr>
              <w:t>the Muses … who eat green figs</w:t>
            </w:r>
          </w:p>
        </w:tc>
      </w:tr>
    </w:tbl>
    <w:p w14:paraId="0331F9BA" w14:textId="135F11D4" w:rsidR="00272F31" w:rsidRPr="00881752" w:rsidRDefault="00272F31" w:rsidP="00AE0B60">
      <w:pPr>
        <w:pStyle w:val="Blockquote"/>
      </w:pPr>
    </w:p>
    <w:p w14:paraId="22B51CF4" w14:textId="396E14E3" w:rsidR="004068A8" w:rsidRPr="00881752" w:rsidRDefault="001505BE" w:rsidP="00F56C73">
      <w:pPr>
        <w:widowControl w:val="0"/>
        <w:numPr>
          <w:ilvl w:val="0"/>
          <w:numId w:val="42"/>
        </w:numPr>
        <w:tabs>
          <w:tab w:val="clear" w:pos="424"/>
          <w:tab w:val="left" w:pos="426"/>
          <w:tab w:val="center" w:pos="5387"/>
        </w:tabs>
        <w:ind w:left="426" w:hanging="284"/>
        <w:rPr>
          <w:rFonts w:cs="Times New Roman"/>
          <w:lang w:val="en-US"/>
        </w:rPr>
      </w:pPr>
      <w:r w:rsidRPr="00881752">
        <w:rPr>
          <w:rFonts w:cs="Times New Roman"/>
          <w:lang w:val="en-US"/>
        </w:rPr>
        <w:t xml:space="preserve">Cereal products, especially barley (κριθή), are a staple in the iambic diet: Hipponax states that he will come to a bad end if he does not receive a bushel of barley (Hippon. fr. 48). </w:t>
      </w:r>
    </w:p>
    <w:p w14:paraId="2BACD1AD" w14:textId="77777777" w:rsidR="00272F31" w:rsidRPr="00D016D5" w:rsidRDefault="00272F31" w:rsidP="00F56C73">
      <w:pPr>
        <w:widowControl w:val="0"/>
        <w:tabs>
          <w:tab w:val="clear" w:pos="425"/>
          <w:tab w:val="center" w:pos="5387"/>
        </w:tabs>
        <w:ind w:left="426"/>
        <w:rPr>
          <w:rFonts w:cs="Times New Roman"/>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066"/>
        <w:gridCol w:w="3736"/>
      </w:tblGrid>
      <w:tr w:rsidR="00272F31" w:rsidRPr="00881752" w14:paraId="0B1B1C83" w14:textId="77777777" w:rsidTr="0013179E">
        <w:tc>
          <w:tcPr>
            <w:tcW w:w="4066" w:type="dxa"/>
          </w:tcPr>
          <w:p w14:paraId="13D2E0C9" w14:textId="77777777" w:rsidR="00272F31" w:rsidRPr="00881752" w:rsidRDefault="00272F31" w:rsidP="00AE0B60">
            <w:pPr>
              <w:pStyle w:val="Blockquote"/>
              <w:rPr>
                <w:rFonts w:eastAsiaTheme="minorEastAsia"/>
                <w:sz w:val="22"/>
                <w:szCs w:val="22"/>
                <w:lang w:val="el-GR"/>
              </w:rPr>
            </w:pPr>
            <w:r w:rsidRPr="00881752">
              <w:rPr>
                <w:rFonts w:eastAsiaTheme="minorEastAsia"/>
                <w:sz w:val="22"/>
                <w:szCs w:val="22"/>
                <w:lang w:val="el-GR"/>
              </w:rPr>
              <w:t>κακοῖσι δώσω τὴν πολύστονον ψυχήν,</w:t>
            </w:r>
          </w:p>
          <w:p w14:paraId="1C0649E0" w14:textId="77777777" w:rsidR="00272F31" w:rsidRPr="00881752" w:rsidRDefault="00272F31" w:rsidP="00AE0B60">
            <w:pPr>
              <w:pStyle w:val="Blockquote"/>
              <w:rPr>
                <w:rFonts w:eastAsiaTheme="minorEastAsia"/>
                <w:sz w:val="22"/>
                <w:szCs w:val="22"/>
                <w:lang w:val="el-GR"/>
              </w:rPr>
            </w:pPr>
            <w:r w:rsidRPr="00881752">
              <w:rPr>
                <w:rFonts w:eastAsiaTheme="minorEastAsia"/>
                <w:sz w:val="22"/>
                <w:szCs w:val="22"/>
                <w:lang w:val="el-GR"/>
              </w:rPr>
              <w:t>ἢν μὴ ἀποπέμψηις ὡς τάχιστά μοι κριθέων</w:t>
            </w:r>
          </w:p>
          <w:p w14:paraId="384CDB76" w14:textId="77777777" w:rsidR="00272F31" w:rsidRPr="00881752" w:rsidRDefault="00272F31" w:rsidP="00AE0B60">
            <w:pPr>
              <w:pStyle w:val="Blockquote"/>
              <w:rPr>
                <w:rFonts w:eastAsiaTheme="minorEastAsia"/>
                <w:sz w:val="22"/>
                <w:szCs w:val="22"/>
                <w:lang w:val="el-GR"/>
              </w:rPr>
            </w:pPr>
            <w:r w:rsidRPr="00881752">
              <w:rPr>
                <w:rFonts w:eastAsiaTheme="minorEastAsia"/>
                <w:sz w:val="22"/>
                <w:szCs w:val="22"/>
                <w:lang w:val="el-GR"/>
              </w:rPr>
              <w:t>μέδιμνον, ὡς ἂν ἀλφίτων ποιήσωμαι</w:t>
            </w:r>
          </w:p>
          <w:p w14:paraId="778C0379" w14:textId="77777777" w:rsidR="00272F31" w:rsidRPr="00881752" w:rsidRDefault="00272F31" w:rsidP="00AE0B60">
            <w:pPr>
              <w:pStyle w:val="Blockquote"/>
              <w:rPr>
                <w:sz w:val="22"/>
                <w:szCs w:val="22"/>
                <w:lang w:val="el-GR"/>
              </w:rPr>
            </w:pPr>
            <w:r w:rsidRPr="00881752">
              <w:rPr>
                <w:rFonts w:eastAsiaTheme="minorEastAsia"/>
                <w:sz w:val="22"/>
                <w:szCs w:val="22"/>
                <w:lang w:val="el-GR"/>
              </w:rPr>
              <w:t>κυκεῶνα πίνειν φάρμακον πονηρίης.</w:t>
            </w:r>
          </w:p>
        </w:tc>
        <w:tc>
          <w:tcPr>
            <w:tcW w:w="3736" w:type="dxa"/>
          </w:tcPr>
          <w:p w14:paraId="516E2F58" w14:textId="3718E595" w:rsidR="00272F31" w:rsidRPr="00881752" w:rsidRDefault="00272F31" w:rsidP="00AE0B60">
            <w:pPr>
              <w:pStyle w:val="Blockquote"/>
              <w:rPr>
                <w:sz w:val="22"/>
                <w:szCs w:val="22"/>
              </w:rPr>
            </w:pPr>
            <w:r w:rsidRPr="00881752">
              <w:rPr>
                <w:sz w:val="22"/>
                <w:szCs w:val="22"/>
              </w:rPr>
              <w:t>I will surrender my grieving soul to an evil end, if you do not send me a bushel of barley as quickly as you can, so that I may make a potion from the groats to drink as a cure for my suffering</w:t>
            </w:r>
          </w:p>
        </w:tc>
      </w:tr>
    </w:tbl>
    <w:p w14:paraId="2A218364" w14:textId="77777777" w:rsidR="00272F31" w:rsidRPr="00881752" w:rsidRDefault="00272F31" w:rsidP="00AE0B60">
      <w:pPr>
        <w:pStyle w:val="Blockquote"/>
      </w:pPr>
    </w:p>
    <w:p w14:paraId="4E78D27E" w14:textId="135E3ACF" w:rsidR="004068A8" w:rsidRPr="00881752" w:rsidRDefault="001505BE" w:rsidP="00F56C73">
      <w:pPr>
        <w:pStyle w:val="ListParagraph"/>
        <w:ind w:left="425"/>
      </w:pPr>
      <w:r w:rsidRPr="00881752">
        <w:rPr>
          <w:lang w:val="en-US"/>
        </w:rPr>
        <w:t>Here barley is used to prepared a potion to drink (κυκεών),</w:t>
      </w:r>
      <w:r w:rsidRPr="00881752">
        <w:rPr>
          <w:rStyle w:val="FootnoteReference"/>
          <w:lang w:val="en-US"/>
        </w:rPr>
        <w:footnoteReference w:id="109"/>
      </w:r>
      <w:r w:rsidRPr="00881752">
        <w:rPr>
          <w:lang w:val="en-US"/>
        </w:rPr>
        <w:t xml:space="preserve"> and for this reason ἄλφιτα </w:t>
      </w:r>
      <w:r w:rsidR="00CC0615">
        <w:rPr>
          <w:lang w:val="en-US"/>
        </w:rPr>
        <w:t>“</w:t>
      </w:r>
      <w:r w:rsidRPr="00881752">
        <w:rPr>
          <w:lang w:val="en-US"/>
        </w:rPr>
        <w:t>barley-groats</w:t>
      </w:r>
      <w:r w:rsidR="00CC0615">
        <w:rPr>
          <w:lang w:val="en-US"/>
        </w:rPr>
        <w:t>”</w:t>
      </w:r>
      <w:r w:rsidRPr="00881752">
        <w:rPr>
          <w:lang w:val="en-US"/>
        </w:rPr>
        <w:t xml:space="preserve"> are used. The most frequent use of barley was to make flatcakes. These seem to have been available to all: the poorest version of flatcake is the κρίθινος κόλλιξ </w:t>
      </w:r>
      <w:r w:rsidR="00CC0615">
        <w:rPr>
          <w:lang w:val="en-US"/>
        </w:rPr>
        <w:t>“</w:t>
      </w:r>
      <w:r w:rsidRPr="00881752">
        <w:rPr>
          <w:lang w:val="en-US"/>
        </w:rPr>
        <w:t>barley cake,</w:t>
      </w:r>
      <w:r w:rsidR="00CC0615">
        <w:rPr>
          <w:lang w:val="en-US"/>
        </w:rPr>
        <w:t>”</w:t>
      </w:r>
      <w:r w:rsidRPr="00881752">
        <w:rPr>
          <w:lang w:val="en-US"/>
        </w:rPr>
        <w:t xml:space="preserve"> Hipponax calls it animal feed (fr. 36.5):</w:t>
      </w:r>
    </w:p>
    <w:p w14:paraId="21A242D6" w14:textId="77777777" w:rsidR="00272F31" w:rsidRPr="00881752" w:rsidRDefault="00272F31" w:rsidP="00F56C73">
      <w:pPr>
        <w:pStyle w:val="ListParagraph"/>
        <w:ind w:left="425"/>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96"/>
        <w:gridCol w:w="3906"/>
      </w:tblGrid>
      <w:tr w:rsidR="00272F31" w:rsidRPr="00881752" w14:paraId="1E354BCB" w14:textId="77777777" w:rsidTr="00825A39">
        <w:tc>
          <w:tcPr>
            <w:tcW w:w="3896" w:type="dxa"/>
          </w:tcPr>
          <w:p w14:paraId="034EB7B3" w14:textId="77777777" w:rsidR="00272F31" w:rsidRPr="00881752" w:rsidRDefault="00272F31" w:rsidP="00AE0B60">
            <w:pPr>
              <w:pStyle w:val="Blockquote"/>
              <w:rPr>
                <w:sz w:val="22"/>
                <w:szCs w:val="22"/>
                <w:lang w:val="el-GR"/>
              </w:rPr>
            </w:pPr>
            <w:r w:rsidRPr="00881752">
              <w:rPr>
                <w:sz w:val="22"/>
                <w:szCs w:val="22"/>
                <w:lang w:val="el-GR"/>
              </w:rPr>
              <w:t>σῦκα μέτρια τρώγων</w:t>
            </w:r>
          </w:p>
          <w:p w14:paraId="7DE9F36A" w14:textId="77777777" w:rsidR="00272F31" w:rsidRPr="00881752" w:rsidRDefault="00272F31" w:rsidP="00AE0B60">
            <w:pPr>
              <w:pStyle w:val="Blockquote"/>
              <w:rPr>
                <w:sz w:val="22"/>
                <w:szCs w:val="22"/>
                <w:lang w:val="el-GR"/>
              </w:rPr>
            </w:pPr>
            <w:r w:rsidRPr="00881752">
              <w:rPr>
                <w:sz w:val="22"/>
                <w:szCs w:val="22"/>
                <w:lang w:val="el-GR"/>
              </w:rPr>
              <w:t>καὶ κρίθινον κόλλικα, δούλιον χόρτον.</w:t>
            </w:r>
          </w:p>
        </w:tc>
        <w:tc>
          <w:tcPr>
            <w:tcW w:w="3906" w:type="dxa"/>
          </w:tcPr>
          <w:p w14:paraId="132C1BDB" w14:textId="77777777" w:rsidR="00272F31" w:rsidRPr="00881752" w:rsidRDefault="00272F31" w:rsidP="00AE0B60">
            <w:pPr>
              <w:pStyle w:val="Blockquote"/>
              <w:rPr>
                <w:sz w:val="22"/>
                <w:szCs w:val="22"/>
              </w:rPr>
            </w:pPr>
            <w:r w:rsidRPr="00881752">
              <w:rPr>
                <w:sz w:val="22"/>
                <w:szCs w:val="22"/>
              </w:rPr>
              <w:t>munching on cheap figs and coarse barley bread, fodder for slaves.</w:t>
            </w:r>
          </w:p>
        </w:tc>
      </w:tr>
    </w:tbl>
    <w:p w14:paraId="7DA97D2A" w14:textId="77777777" w:rsidR="00272F31" w:rsidRPr="00881752" w:rsidRDefault="00272F31" w:rsidP="00AE0B60">
      <w:pPr>
        <w:pStyle w:val="Blockquote"/>
      </w:pPr>
      <w:r w:rsidRPr="00881752">
        <w:t xml:space="preserve"> </w:t>
      </w:r>
    </w:p>
    <w:p w14:paraId="6A33ACF7" w14:textId="4B88771B" w:rsidR="00272F31" w:rsidRPr="00881752" w:rsidRDefault="001505BE" w:rsidP="00F56C73">
      <w:pPr>
        <w:pStyle w:val="ListParagraph"/>
        <w:ind w:left="425"/>
      </w:pPr>
      <w:r w:rsidRPr="00881752">
        <w:rPr>
          <w:lang w:val="en-US"/>
        </w:rPr>
        <w:t>μᾶζα</w:t>
      </w:r>
      <w:r w:rsidR="009354D5">
        <w:rPr>
          <w:lang w:val="en-US"/>
        </w:rPr>
        <w:t xml:space="preserve"> is</w:t>
      </w:r>
      <w:r w:rsidRPr="00881752">
        <w:rPr>
          <w:lang w:val="en-US"/>
        </w:rPr>
        <w:t xml:space="preserve"> the other term which defines a barley cake</w:t>
      </w:r>
      <w:r w:rsidR="009354D5">
        <w:rPr>
          <w:lang w:val="en-US"/>
        </w:rPr>
        <w:t xml:space="preserve">, </w:t>
      </w:r>
      <w:r w:rsidRPr="00881752">
        <w:rPr>
          <w:lang w:val="en-US"/>
        </w:rPr>
        <w:t>since μᾶζα is usually made from barley. It seems to be a more refined version of barley cake, since in Hippon. fr. 28.1 it constitutes one of the dishes given to scapegoats, for whom, according to Bremmer,</w:t>
      </w:r>
      <w:r w:rsidRPr="00881752">
        <w:rPr>
          <w:rStyle w:val="FootnoteReference"/>
          <w:lang w:val="en-US"/>
        </w:rPr>
        <w:footnoteReference w:id="110"/>
      </w:r>
      <w:r w:rsidRPr="00881752">
        <w:rPr>
          <w:lang w:val="en-US"/>
        </w:rPr>
        <w:t xml:space="preserve"> special (and exquisite) food was prescribed before their sacrifice. After being selected for quality and milled to a high specification, barley could be processed into refined forms that connoted distinction and therefore featured in culinary texts lauding luxury. Archestratus praised barley bread above wheat (fr. 4.1-15), and Philoxenus referred to the whitest barley cake (</w:t>
      </w:r>
      <w:r w:rsidRPr="00881752">
        <w:rPr>
          <w:i/>
          <w:iCs/>
          <w:lang w:val="en-US"/>
        </w:rPr>
        <w:t>PMG</w:t>
      </w:r>
      <w:r w:rsidRPr="00881752">
        <w:rPr>
          <w:lang w:val="en-US"/>
        </w:rPr>
        <w:t xml:space="preserve"> 836b.6). Confections </w:t>
      </w:r>
      <w:r w:rsidRPr="00881752">
        <w:rPr>
          <w:lang w:val="en-US"/>
        </w:rPr>
        <w:lastRenderedPageBreak/>
        <w:t>based on wheat and yeast are never mentioned in iambic texts, since, because of their comparative rarity, wheat and yeast possessed a higher status in Greece.</w:t>
      </w:r>
      <w:r w:rsidRPr="00881752">
        <w:rPr>
          <w:rStyle w:val="FootnoteReference"/>
          <w:lang w:val="en-US"/>
        </w:rPr>
        <w:footnoteReference w:id="111"/>
      </w:r>
      <w:r w:rsidRPr="00881752">
        <w:rPr>
          <w:lang w:val="en-US"/>
        </w:rPr>
        <w:t xml:space="preserve"> Baked delicacies as τηγανίτη (pancake) and ἀττανίτη (waffle), mentioned in Hippon. fr. 37.2-3, seem to have been made with wheat and yeast, but they were restricted to rich people.</w:t>
      </w:r>
      <w:r w:rsidR="00272F31" w:rsidRPr="00881752">
        <w:t xml:space="preserve"> </w:t>
      </w:r>
    </w:p>
    <w:p w14:paraId="493BE5EB" w14:textId="3484C734" w:rsidR="004068A8" w:rsidRPr="00881752" w:rsidRDefault="001505BE" w:rsidP="00F56C73">
      <w:pPr>
        <w:widowControl w:val="0"/>
        <w:numPr>
          <w:ilvl w:val="0"/>
          <w:numId w:val="42"/>
        </w:numPr>
        <w:tabs>
          <w:tab w:val="clear" w:pos="424"/>
          <w:tab w:val="left" w:pos="426"/>
          <w:tab w:val="center" w:pos="5387"/>
        </w:tabs>
        <w:ind w:left="426" w:hanging="284"/>
        <w:rPr>
          <w:rFonts w:cs="Times New Roman"/>
          <w:lang w:val="en-US"/>
        </w:rPr>
      </w:pPr>
      <w:r w:rsidRPr="00881752">
        <w:rPr>
          <w:rFonts w:cs="Times New Roman"/>
          <w:lang w:val="en-US"/>
        </w:rPr>
        <w:t>Wine, essential to poetry and the symposium, features prominently in iambic poetry, especially in Archilochus:</w:t>
      </w:r>
    </w:p>
    <w:p w14:paraId="28A0F534" w14:textId="245D6406" w:rsidR="00AE0B60" w:rsidRPr="00881752" w:rsidRDefault="00AE0B60" w:rsidP="00F56C73">
      <w:pPr>
        <w:widowControl w:val="0"/>
        <w:tabs>
          <w:tab w:val="clear" w:pos="425"/>
          <w:tab w:val="center" w:pos="5387"/>
        </w:tabs>
        <w:ind w:left="426"/>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491"/>
        <w:gridCol w:w="3261"/>
      </w:tblGrid>
      <w:tr w:rsidR="00272F31" w:rsidRPr="00881752" w14:paraId="0B18BB3C" w14:textId="77777777" w:rsidTr="0013179E">
        <w:tc>
          <w:tcPr>
            <w:tcW w:w="4491" w:type="dxa"/>
          </w:tcPr>
          <w:p w14:paraId="685E4C56" w14:textId="77777777" w:rsidR="00272F31" w:rsidRPr="00881752" w:rsidRDefault="00272F31" w:rsidP="0000362C">
            <w:pPr>
              <w:pStyle w:val="Blockquote"/>
              <w:rPr>
                <w:sz w:val="22"/>
                <w:szCs w:val="22"/>
              </w:rPr>
            </w:pPr>
            <w:r w:rsidRPr="00881752">
              <w:rPr>
                <w:sz w:val="22"/>
                <w:szCs w:val="22"/>
              </w:rPr>
              <w:t>Archil. fr. 120</w:t>
            </w:r>
          </w:p>
        </w:tc>
        <w:tc>
          <w:tcPr>
            <w:tcW w:w="3261" w:type="dxa"/>
          </w:tcPr>
          <w:p w14:paraId="04A362FA" w14:textId="77777777" w:rsidR="00272F31" w:rsidRPr="00881752" w:rsidRDefault="00272F31" w:rsidP="0000362C">
            <w:pPr>
              <w:pStyle w:val="Blockquote"/>
              <w:rPr>
                <w:sz w:val="22"/>
                <w:szCs w:val="22"/>
              </w:rPr>
            </w:pPr>
          </w:p>
        </w:tc>
      </w:tr>
      <w:tr w:rsidR="00272F31" w:rsidRPr="00881752" w14:paraId="54015918" w14:textId="77777777" w:rsidTr="0013179E">
        <w:tc>
          <w:tcPr>
            <w:tcW w:w="4491" w:type="dxa"/>
          </w:tcPr>
          <w:p w14:paraId="4ED398EE" w14:textId="77777777" w:rsidR="00272F31" w:rsidRPr="00881752" w:rsidRDefault="00272F31" w:rsidP="0000362C">
            <w:pPr>
              <w:pStyle w:val="Blockquote"/>
              <w:rPr>
                <w:sz w:val="22"/>
                <w:szCs w:val="22"/>
                <w:lang w:val="el-GR"/>
              </w:rPr>
            </w:pPr>
            <w:r w:rsidRPr="00881752">
              <w:rPr>
                <w:sz w:val="22"/>
                <w:szCs w:val="22"/>
                <w:lang w:val="el-GR"/>
              </w:rPr>
              <w:t>ὡς Διωνύσου ἄνακτος καλὸν ἐξάρξαι μέλος</w:t>
            </w:r>
          </w:p>
          <w:p w14:paraId="269EBBC7" w14:textId="77777777" w:rsidR="00272F31" w:rsidRPr="00881752" w:rsidRDefault="00272F31" w:rsidP="0000362C">
            <w:pPr>
              <w:pStyle w:val="Blockquote"/>
              <w:rPr>
                <w:sz w:val="22"/>
                <w:szCs w:val="22"/>
                <w:lang w:val="el-GR"/>
              </w:rPr>
            </w:pPr>
            <w:r w:rsidRPr="00881752">
              <w:rPr>
                <w:sz w:val="22"/>
                <w:szCs w:val="22"/>
                <w:lang w:val="el-GR"/>
              </w:rPr>
              <w:t>οἶδα διθύραμβον οἴνωι συγκεραυνωθεὶς φρένας</w:t>
            </w:r>
          </w:p>
        </w:tc>
        <w:tc>
          <w:tcPr>
            <w:tcW w:w="3261" w:type="dxa"/>
          </w:tcPr>
          <w:p w14:paraId="3296888D" w14:textId="23F46FD9" w:rsidR="00272F31" w:rsidRPr="00881752" w:rsidRDefault="00272F31" w:rsidP="0000362C">
            <w:pPr>
              <w:pStyle w:val="Blockquote"/>
              <w:rPr>
                <w:sz w:val="22"/>
                <w:szCs w:val="22"/>
              </w:rPr>
            </w:pPr>
            <w:r w:rsidRPr="00881752">
              <w:rPr>
                <w:sz w:val="22"/>
                <w:szCs w:val="22"/>
              </w:rPr>
              <w:t>for</w:t>
            </w:r>
            <w:r w:rsidR="0000362C" w:rsidRPr="00881752">
              <w:rPr>
                <w:sz w:val="22"/>
                <w:szCs w:val="22"/>
              </w:rPr>
              <w:t xml:space="preserve"> I know how to take the lead in </w:t>
            </w:r>
            <w:r w:rsidRPr="00881752">
              <w:rPr>
                <w:sz w:val="22"/>
                <w:szCs w:val="22"/>
              </w:rPr>
              <w:t>the di</w:t>
            </w:r>
            <w:r w:rsidR="0000362C" w:rsidRPr="00881752">
              <w:rPr>
                <w:sz w:val="22"/>
                <w:szCs w:val="22"/>
              </w:rPr>
              <w:softHyphen/>
            </w:r>
            <w:r w:rsidRPr="00881752">
              <w:rPr>
                <w:sz w:val="22"/>
                <w:szCs w:val="22"/>
              </w:rPr>
              <w:t>thy</w:t>
            </w:r>
            <w:r w:rsidR="0000362C" w:rsidRPr="00881752">
              <w:rPr>
                <w:sz w:val="22"/>
                <w:szCs w:val="22"/>
              </w:rPr>
              <w:softHyphen/>
            </w:r>
            <w:r w:rsidRPr="00881752">
              <w:rPr>
                <w:sz w:val="22"/>
                <w:szCs w:val="22"/>
              </w:rPr>
              <w:t>ramb, the lovely song of lord Dionysus, my wits thunderstruck with wine</w:t>
            </w:r>
          </w:p>
        </w:tc>
      </w:tr>
    </w:tbl>
    <w:p w14:paraId="7F9FA029" w14:textId="77777777" w:rsidR="00D17BFC" w:rsidRPr="00881752" w:rsidRDefault="00D17BFC" w:rsidP="0000362C">
      <w:pPr>
        <w:pStyle w:val="Blockquote"/>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775"/>
        <w:gridCol w:w="2977"/>
      </w:tblGrid>
      <w:tr w:rsidR="00272F31" w:rsidRPr="00881752" w14:paraId="45FAE044" w14:textId="77777777" w:rsidTr="0013179E">
        <w:tc>
          <w:tcPr>
            <w:tcW w:w="4775" w:type="dxa"/>
          </w:tcPr>
          <w:p w14:paraId="3CC1BAAF" w14:textId="77777777" w:rsidR="00272F31" w:rsidRPr="00881752" w:rsidRDefault="00272F31" w:rsidP="0000362C">
            <w:pPr>
              <w:pStyle w:val="Blockquote"/>
              <w:rPr>
                <w:sz w:val="22"/>
                <w:szCs w:val="22"/>
              </w:rPr>
            </w:pPr>
            <w:r w:rsidRPr="00881752">
              <w:rPr>
                <w:sz w:val="22"/>
                <w:szCs w:val="22"/>
              </w:rPr>
              <w:t>Archil. fr. 4.8-9</w:t>
            </w:r>
          </w:p>
        </w:tc>
        <w:tc>
          <w:tcPr>
            <w:tcW w:w="2977" w:type="dxa"/>
          </w:tcPr>
          <w:p w14:paraId="6F23A842" w14:textId="77777777" w:rsidR="00272F31" w:rsidRPr="00881752" w:rsidRDefault="00272F31" w:rsidP="0000362C">
            <w:pPr>
              <w:pStyle w:val="Blockquote"/>
              <w:rPr>
                <w:sz w:val="22"/>
                <w:szCs w:val="22"/>
              </w:rPr>
            </w:pPr>
          </w:p>
        </w:tc>
      </w:tr>
      <w:tr w:rsidR="00272F31" w:rsidRPr="00881752" w14:paraId="060FDE96" w14:textId="77777777" w:rsidTr="0013179E">
        <w:tc>
          <w:tcPr>
            <w:tcW w:w="4775" w:type="dxa"/>
          </w:tcPr>
          <w:p w14:paraId="447A66F2" w14:textId="5226BF28" w:rsidR="00272F31" w:rsidRPr="00881752" w:rsidRDefault="00272F31" w:rsidP="0000362C">
            <w:pPr>
              <w:pStyle w:val="Blockquote"/>
              <w:rPr>
                <w:sz w:val="22"/>
                <w:szCs w:val="22"/>
              </w:rPr>
            </w:pPr>
            <w:r w:rsidRPr="00881752">
              <w:rPr>
                <w:sz w:val="22"/>
                <w:szCs w:val="22"/>
              </w:rPr>
              <w:t>ἄγρει δ</w:t>
            </w:r>
            <w:r w:rsidR="00075F5F">
              <w:rPr>
                <w:sz w:val="22"/>
                <w:szCs w:val="22"/>
              </w:rPr>
              <w:t>’</w:t>
            </w:r>
            <w:r w:rsidRPr="00881752">
              <w:rPr>
                <w:sz w:val="22"/>
                <w:szCs w:val="22"/>
              </w:rPr>
              <w:t xml:space="preserve"> οἶνον ἐρυθρὸν ἀπὸ τρυγός· οὐδὲ γὰρ ἡμεῖς</w:t>
            </w:r>
          </w:p>
          <w:p w14:paraId="26CC2E61" w14:textId="5DCB845F" w:rsidR="00272F31" w:rsidRPr="00881752" w:rsidRDefault="00272F31" w:rsidP="0000362C">
            <w:pPr>
              <w:pStyle w:val="Blockquote"/>
              <w:rPr>
                <w:sz w:val="22"/>
                <w:szCs w:val="22"/>
              </w:rPr>
            </w:pPr>
            <w:r w:rsidRPr="00881752">
              <w:rPr>
                <w:sz w:val="22"/>
                <w:szCs w:val="22"/>
              </w:rPr>
              <w:t>νηφέμεν ἐν φυλακῆι τῆιδε δυνησόμεθα.</w:t>
            </w:r>
          </w:p>
        </w:tc>
        <w:tc>
          <w:tcPr>
            <w:tcW w:w="2977" w:type="dxa"/>
          </w:tcPr>
          <w:p w14:paraId="021BF843" w14:textId="5CA89832" w:rsidR="00272F31" w:rsidRPr="00881752" w:rsidRDefault="00272F31" w:rsidP="0000362C">
            <w:pPr>
              <w:pStyle w:val="Blockquote"/>
              <w:rPr>
                <w:sz w:val="22"/>
                <w:szCs w:val="22"/>
              </w:rPr>
            </w:pPr>
            <w:r w:rsidRPr="00881752">
              <w:rPr>
                <w:sz w:val="22"/>
                <w:szCs w:val="22"/>
              </w:rPr>
              <w:t>and draw the red wine from the lees; we won</w:t>
            </w:r>
            <w:r w:rsidR="00075F5F">
              <w:rPr>
                <w:sz w:val="22"/>
                <w:szCs w:val="22"/>
              </w:rPr>
              <w:t>’</w:t>
            </w:r>
            <w:r w:rsidRPr="00881752">
              <w:rPr>
                <w:sz w:val="22"/>
                <w:szCs w:val="22"/>
              </w:rPr>
              <w:t>t be able to stay sober on this watch.</w:t>
            </w:r>
          </w:p>
        </w:tc>
      </w:tr>
    </w:tbl>
    <w:p w14:paraId="29DAD578" w14:textId="77777777" w:rsidR="00272F31" w:rsidRPr="00881752" w:rsidRDefault="00272F31" w:rsidP="0000362C">
      <w:pPr>
        <w:pStyle w:val="Blockquote"/>
      </w:pPr>
    </w:p>
    <w:p w14:paraId="79CD8286" w14:textId="5FABA6C4" w:rsidR="001505BE" w:rsidRPr="00881752" w:rsidRDefault="001505BE" w:rsidP="001505BE">
      <w:pPr>
        <w:tabs>
          <w:tab w:val="center" w:pos="5387"/>
        </w:tabs>
        <w:ind w:left="426"/>
        <w:rPr>
          <w:rFonts w:cs="Times New Roman"/>
          <w:lang w:val="en-US"/>
        </w:rPr>
      </w:pPr>
      <w:r w:rsidRPr="00881752">
        <w:rPr>
          <w:rFonts w:cs="Times New Roman"/>
          <w:lang w:val="en-US"/>
        </w:rPr>
        <w:t>References to wine reveal the extent of cultural and commercial exchange in the world of the archaic iambographers. Archilochus speaks of a wine coming from Thracian Ismaros (fr. 2.2).</w:t>
      </w:r>
      <w:r w:rsidRPr="00881752">
        <w:rPr>
          <w:rStyle w:val="FootnoteReference"/>
          <w:rFonts w:cs="Times New Roman"/>
          <w:lang w:val="en-US"/>
        </w:rPr>
        <w:footnoteReference w:id="112"/>
      </w:r>
      <w:r w:rsidRPr="00881752">
        <w:rPr>
          <w:rFonts w:cs="Times New Roman"/>
          <w:lang w:val="en-US"/>
        </w:rPr>
        <w:t xml:space="preserve"> Hipponax never refers to wine with the usual Greek term οἶνος but always uses foreign words which reveal the origin of the wine. For example, ἔρπις (Hippon. fr. 79.18) seems to have been an Egyptian wine of low quality, and χάλις (Hippon. fr. 119) is a pure wine perhaps of Thracian origins.</w:t>
      </w:r>
      <w:r w:rsidRPr="00881752">
        <w:rPr>
          <w:rStyle w:val="FootnoteReference"/>
          <w:rFonts w:cs="Times New Roman"/>
          <w:lang w:val="en-US"/>
        </w:rPr>
        <w:footnoteReference w:id="113"/>
      </w:r>
      <w:r w:rsidRPr="00881752">
        <w:rPr>
          <w:rFonts w:cs="Times New Roman"/>
          <w:lang w:val="en-US"/>
        </w:rPr>
        <w:t xml:space="preserve"> Wine had many comic uses in its sour form as vinegar, as shown by the use of word ἀλίβας in Hippon. fr. 189. In Greek, the main meaning of the term was </w:t>
      </w:r>
      <w:r w:rsidR="00D808B7">
        <w:rPr>
          <w:rFonts w:cs="Times New Roman"/>
          <w:lang w:val="en-US"/>
        </w:rPr>
        <w:t>“</w:t>
      </w:r>
      <w:r w:rsidRPr="00881752">
        <w:rPr>
          <w:rFonts w:cs="Times New Roman"/>
          <w:lang w:val="en-US"/>
        </w:rPr>
        <w:t>corpse,</w:t>
      </w:r>
      <w:r w:rsidR="00D808B7">
        <w:rPr>
          <w:rFonts w:cs="Times New Roman"/>
          <w:lang w:val="en-US"/>
        </w:rPr>
        <w:t>”</w:t>
      </w:r>
      <w:r w:rsidRPr="00881752">
        <w:rPr>
          <w:rFonts w:cs="Times New Roman"/>
          <w:lang w:val="en-US"/>
        </w:rPr>
        <w:t xml:space="preserve"> as revealed by Plato,</w:t>
      </w:r>
      <w:r w:rsidRPr="00881752">
        <w:rPr>
          <w:rStyle w:val="FootnoteReference"/>
          <w:rFonts w:cs="Times New Roman"/>
          <w:lang w:val="en-US"/>
        </w:rPr>
        <w:footnoteReference w:id="114"/>
      </w:r>
      <w:r w:rsidRPr="00881752">
        <w:rPr>
          <w:rFonts w:cs="Times New Roman"/>
          <w:lang w:val="en-US"/>
        </w:rPr>
        <w:t xml:space="preserve"> but Callimachus imitating Hipponax</w:t>
      </w:r>
      <w:r w:rsidRPr="00881752">
        <w:rPr>
          <w:rStyle w:val="FootnoteReference"/>
          <w:rFonts w:cs="Times New Roman"/>
          <w:lang w:val="en-US"/>
        </w:rPr>
        <w:footnoteReference w:id="115"/>
      </w:r>
      <w:r w:rsidRPr="00881752">
        <w:rPr>
          <w:rFonts w:cs="Times New Roman"/>
          <w:lang w:val="en-US"/>
        </w:rPr>
        <w:t xml:space="preserve"> uses it with to mean vinegar: ἔβηξαν οἶνον ἀλίβαντα πίνοντες </w:t>
      </w:r>
      <w:r w:rsidR="00CC0615">
        <w:rPr>
          <w:rFonts w:cs="Times New Roman"/>
          <w:lang w:val="en-US"/>
        </w:rPr>
        <w:t>“</w:t>
      </w:r>
      <w:r w:rsidRPr="00881752">
        <w:rPr>
          <w:rFonts w:cs="Times New Roman"/>
          <w:lang w:val="en-US"/>
        </w:rPr>
        <w:t>coughed as if they had drunk vinegar</w:t>
      </w:r>
      <w:r w:rsidR="00CC0615">
        <w:rPr>
          <w:rFonts w:cs="Times New Roman"/>
          <w:lang w:val="en-US"/>
        </w:rPr>
        <w:t>”</w:t>
      </w:r>
      <w:r w:rsidRPr="00881752">
        <w:rPr>
          <w:rFonts w:cs="Times New Roman"/>
          <w:lang w:val="en-US"/>
        </w:rPr>
        <w:t xml:space="preserve"> (Call. fr. 216), where </w:t>
      </w:r>
      <w:r w:rsidRPr="00881752">
        <w:rPr>
          <w:rFonts w:cs="Times New Roman"/>
          <w:i/>
          <w:lang w:val="en-US"/>
        </w:rPr>
        <w:t>vinum mortuum</w:t>
      </w:r>
      <w:r w:rsidRPr="00881752">
        <w:rPr>
          <w:rFonts w:cs="Times New Roman"/>
          <w:lang w:val="en-US"/>
        </w:rPr>
        <w:t xml:space="preserve"> is a periphrasis for vinegar.</w:t>
      </w:r>
      <w:r w:rsidRPr="00881752">
        <w:rPr>
          <w:rStyle w:val="FootnoteReference"/>
          <w:rFonts w:cs="Times New Roman"/>
          <w:lang w:val="en-US"/>
        </w:rPr>
        <w:footnoteReference w:id="116"/>
      </w:r>
    </w:p>
    <w:p w14:paraId="3C78A019" w14:textId="77777777" w:rsidR="00CC1F68" w:rsidRPr="00881752" w:rsidRDefault="00CC1F68" w:rsidP="00CC1F68">
      <w:pPr>
        <w:tabs>
          <w:tab w:val="center" w:pos="5387"/>
        </w:tabs>
        <w:rPr>
          <w:rFonts w:cs="Times New Roman"/>
          <w:szCs w:val="24"/>
        </w:rPr>
      </w:pPr>
    </w:p>
    <w:p w14:paraId="7BAA96F7" w14:textId="77777777" w:rsidR="00CC1F68" w:rsidRPr="00881752" w:rsidRDefault="00CC1F68" w:rsidP="00CC1F68">
      <w:pPr>
        <w:tabs>
          <w:tab w:val="center" w:pos="5387"/>
        </w:tabs>
        <w:rPr>
          <w:rFonts w:cs="Times New Roman"/>
          <w:i/>
          <w:szCs w:val="24"/>
        </w:rPr>
      </w:pPr>
      <w:r w:rsidRPr="00881752">
        <w:rPr>
          <w:rFonts w:cs="Times New Roman"/>
          <w:i/>
          <w:szCs w:val="24"/>
        </w:rPr>
        <w:t>Animals</w:t>
      </w:r>
    </w:p>
    <w:p w14:paraId="6047A0FF" w14:textId="100B43F0" w:rsidR="001505BE" w:rsidRPr="00881752" w:rsidRDefault="001505BE" w:rsidP="001505BE">
      <w:pPr>
        <w:tabs>
          <w:tab w:val="center" w:pos="5387"/>
        </w:tabs>
        <w:rPr>
          <w:rFonts w:cs="Times New Roman"/>
          <w:lang w:val="en-US"/>
        </w:rPr>
      </w:pPr>
      <w:r w:rsidRPr="00881752">
        <w:rPr>
          <w:rFonts w:cs="Times New Roman"/>
          <w:lang w:val="en-US"/>
        </w:rPr>
        <w:lastRenderedPageBreak/>
        <w:t xml:space="preserve">Iambs devoted considerable attention to the animals of the land (Hippon. fr, 37.1 λαγός </w:t>
      </w:r>
      <w:r w:rsidR="00CC0615">
        <w:rPr>
          <w:rFonts w:cs="Times New Roman"/>
          <w:lang w:val="en-US"/>
        </w:rPr>
        <w:t>“</w:t>
      </w:r>
      <w:r w:rsidRPr="00881752">
        <w:rPr>
          <w:rFonts w:cs="Times New Roman"/>
          <w:lang w:val="en-US"/>
        </w:rPr>
        <w:t>hare</w:t>
      </w:r>
      <w:r w:rsidR="00CC0615">
        <w:rPr>
          <w:rFonts w:cs="Times New Roman"/>
          <w:lang w:val="en-US"/>
        </w:rPr>
        <w:t>”</w:t>
      </w:r>
      <w:r w:rsidRPr="00881752">
        <w:rPr>
          <w:rFonts w:cs="Times New Roman"/>
          <w:lang w:val="en-US"/>
        </w:rPr>
        <w:t xml:space="preserve">), the sea (Hippon. fr. 36.2 θύννα </w:t>
      </w:r>
      <w:r w:rsidR="00CC0615">
        <w:rPr>
          <w:rFonts w:cs="Times New Roman"/>
          <w:lang w:val="en-US"/>
        </w:rPr>
        <w:t>“</w:t>
      </w:r>
      <w:r w:rsidRPr="00881752">
        <w:rPr>
          <w:rFonts w:cs="Times New Roman"/>
          <w:lang w:val="en-US"/>
        </w:rPr>
        <w:t>tuna</w:t>
      </w:r>
      <w:r w:rsidR="00CC0615">
        <w:rPr>
          <w:rFonts w:cs="Times New Roman"/>
          <w:lang w:val="en-US"/>
        </w:rPr>
        <w:t>”</w:t>
      </w:r>
      <w:r w:rsidRPr="00881752">
        <w:rPr>
          <w:rFonts w:cs="Times New Roman"/>
          <w:lang w:val="en-US"/>
        </w:rPr>
        <w:t xml:space="preserve">), and the air (Hippon. fr. 37.1 ἀτταγᾶς </w:t>
      </w:r>
      <w:r w:rsidR="00CC0615">
        <w:rPr>
          <w:rFonts w:cs="Times New Roman"/>
          <w:lang w:val="en-US"/>
        </w:rPr>
        <w:t>“</w:t>
      </w:r>
      <w:r w:rsidRPr="00881752">
        <w:rPr>
          <w:rFonts w:cs="Times New Roman"/>
          <w:lang w:val="en-US"/>
        </w:rPr>
        <w:t>partridge</w:t>
      </w:r>
      <w:r w:rsidR="00CC0615">
        <w:rPr>
          <w:rFonts w:cs="Times New Roman"/>
          <w:lang w:val="en-US"/>
        </w:rPr>
        <w:t>”</w:t>
      </w:r>
      <w:r w:rsidRPr="00881752">
        <w:rPr>
          <w:rFonts w:cs="Times New Roman"/>
          <w:lang w:val="en-US"/>
        </w:rPr>
        <w:t>). They are mentioned as delicious and precious food. It is worth noting that fish was considered a luxurious food: in Old Comedy the rich Callias and his companions in Eupolis</w:t>
      </w:r>
      <w:r w:rsidR="00075F5F">
        <w:rPr>
          <w:rFonts w:cs="Times New Roman"/>
          <w:lang w:val="en-US"/>
        </w:rPr>
        <w:t>’</w:t>
      </w:r>
      <w:r w:rsidRPr="00881752">
        <w:rPr>
          <w:rFonts w:cs="Times New Roman"/>
          <w:lang w:val="en-US"/>
        </w:rPr>
        <w:t xml:space="preserve"> </w:t>
      </w:r>
      <w:r w:rsidRPr="00881752">
        <w:rPr>
          <w:rFonts w:cs="Times New Roman"/>
          <w:i/>
          <w:iCs/>
          <w:lang w:val="en-US"/>
        </w:rPr>
        <w:t>Flatterers</w:t>
      </w:r>
      <w:r w:rsidRPr="00881752">
        <w:rPr>
          <w:rFonts w:cs="Times New Roman"/>
          <w:lang w:val="en-US"/>
        </w:rPr>
        <w:t xml:space="preserve"> (frs. 160, 174) appear to be supplied with expensive fish; Aristophanes in </w:t>
      </w:r>
      <w:r w:rsidRPr="00881752">
        <w:rPr>
          <w:rFonts w:cs="Times New Roman"/>
          <w:i/>
          <w:iCs/>
          <w:lang w:val="en-US"/>
        </w:rPr>
        <w:t>Vespae</w:t>
      </w:r>
      <w:r w:rsidRPr="00881752">
        <w:rPr>
          <w:rFonts w:cs="Times New Roman"/>
          <w:lang w:val="en-US"/>
        </w:rPr>
        <w:t xml:space="preserve"> accuses Bdelycleon of anti-democratic leanings when he buys perch instead of </w:t>
      </w:r>
      <w:r w:rsidRPr="00881752">
        <w:rPr>
          <w:rFonts w:cs="Times New Roman"/>
          <w:i/>
          <w:iCs/>
          <w:lang w:val="en-US"/>
        </w:rPr>
        <w:t>membrades</w:t>
      </w:r>
      <w:r w:rsidRPr="00881752">
        <w:rPr>
          <w:rFonts w:cs="Times New Roman"/>
          <w:lang w:val="en-US"/>
        </w:rPr>
        <w:t xml:space="preserve"> (488-499); in </w:t>
      </w:r>
      <w:r w:rsidRPr="00881752">
        <w:rPr>
          <w:rFonts w:cs="Times New Roman"/>
          <w:i/>
          <w:iCs/>
          <w:lang w:val="en-US"/>
        </w:rPr>
        <w:t>Pax</w:t>
      </w:r>
      <w:r w:rsidRPr="00881752">
        <w:rPr>
          <w:rFonts w:cs="Times New Roman"/>
          <w:lang w:val="en-US"/>
        </w:rPr>
        <w:t xml:space="preserve">, gluttons hated by the comic chorus will be elbowed away from the baskets of eels (1005-1015); in </w:t>
      </w:r>
      <w:r w:rsidRPr="00881752">
        <w:rPr>
          <w:rFonts w:cs="Times New Roman"/>
          <w:i/>
          <w:iCs/>
          <w:lang w:val="en-US"/>
        </w:rPr>
        <w:t>Ranae</w:t>
      </w:r>
      <w:r w:rsidRPr="00881752">
        <w:rPr>
          <w:rFonts w:cs="Times New Roman"/>
          <w:lang w:val="en-US"/>
        </w:rPr>
        <w:t>, a rich man in disguise betrays his status by being seen at the fish stall.</w:t>
      </w:r>
    </w:p>
    <w:p w14:paraId="7E59D732" w14:textId="651BFE68" w:rsidR="00CC1F68" w:rsidRPr="00881752" w:rsidRDefault="001505BE" w:rsidP="001505BE">
      <w:pPr>
        <w:tabs>
          <w:tab w:val="center" w:pos="5387"/>
        </w:tabs>
        <w:rPr>
          <w:rFonts w:cs="Times New Roman"/>
          <w:szCs w:val="24"/>
        </w:rPr>
      </w:pPr>
      <w:r w:rsidRPr="00881752">
        <w:rPr>
          <w:rFonts w:cs="Times New Roman"/>
          <w:lang w:val="en-US"/>
        </w:rPr>
        <w:tab/>
        <w:t>The sacrificial use of animals is less marked, but both, Hipponax</w:t>
      </w:r>
      <w:r w:rsidR="00075F5F">
        <w:rPr>
          <w:rFonts w:cs="Times New Roman"/>
          <w:lang w:val="en-US"/>
        </w:rPr>
        <w:t>’</w:t>
      </w:r>
      <w:r w:rsidRPr="00881752">
        <w:rPr>
          <w:rFonts w:cs="Times New Roman"/>
          <w:lang w:val="en-US"/>
        </w:rPr>
        <w:t>s and Callimachus</w:t>
      </w:r>
      <w:r w:rsidR="00075F5F">
        <w:rPr>
          <w:rFonts w:cs="Times New Roman"/>
          <w:lang w:val="en-US"/>
        </w:rPr>
        <w:t>’</w:t>
      </w:r>
      <w:r w:rsidRPr="00881752">
        <w:rPr>
          <w:rFonts w:cs="Times New Roman"/>
          <w:lang w:val="en-US"/>
        </w:rPr>
        <w:t xml:space="preserve"> iambs use the word σπλάγχνα </w:t>
      </w:r>
      <w:r w:rsidR="00CC0615">
        <w:rPr>
          <w:rFonts w:cs="Times New Roman"/>
          <w:lang w:val="en-US"/>
        </w:rPr>
        <w:t>“</w:t>
      </w:r>
      <w:r w:rsidRPr="00881752">
        <w:rPr>
          <w:rFonts w:cs="Times New Roman"/>
          <w:lang w:val="en-US"/>
        </w:rPr>
        <w:t>entrails.</w:t>
      </w:r>
      <w:r w:rsidR="00CC0615">
        <w:rPr>
          <w:rFonts w:cs="Times New Roman"/>
          <w:lang w:val="en-US"/>
        </w:rPr>
        <w:t>”</w:t>
      </w:r>
      <w:r w:rsidRPr="00881752">
        <w:rPr>
          <w:rFonts w:cs="Times New Roman"/>
          <w:lang w:val="en-US"/>
        </w:rPr>
        <w:t xml:space="preserve"> Hipponax is surely describing a sacrifice, since he also talks about a libation (σπονδῆι τε καὶ σπλάγχνοισιν ἀγρίης χοίρου </w:t>
      </w:r>
      <w:r w:rsidR="00CC0615">
        <w:rPr>
          <w:rFonts w:cs="Times New Roman"/>
          <w:lang w:val="en-US"/>
        </w:rPr>
        <w:t>“</w:t>
      </w:r>
      <w:r w:rsidRPr="00881752">
        <w:rPr>
          <w:rFonts w:cs="Times New Roman"/>
          <w:lang w:val="en-US"/>
        </w:rPr>
        <w:t>with a libation and entrails of a wild sow</w:t>
      </w:r>
      <w:r w:rsidR="00CC0615">
        <w:rPr>
          <w:rFonts w:cs="Times New Roman"/>
          <w:lang w:val="en-US"/>
        </w:rPr>
        <w:t>”</w:t>
      </w:r>
      <w:r w:rsidRPr="00881752">
        <w:rPr>
          <w:rFonts w:cs="Times New Roman"/>
          <w:lang w:val="en-US"/>
        </w:rPr>
        <w:t>, fr. 105.9). Callimachus is probably talking about a sacrificial ritual which seals a love oath</w:t>
      </w:r>
      <w:r w:rsidRPr="00881752">
        <w:rPr>
          <w:rStyle w:val="FootnoteReference"/>
          <w:rFonts w:cs="Times New Roman"/>
          <w:lang w:val="en-US"/>
        </w:rPr>
        <w:footnoteReference w:id="117"/>
      </w:r>
      <w:r w:rsidRPr="00881752">
        <w:rPr>
          <w:rFonts w:cs="Times New Roman"/>
          <w:lang w:val="en-US"/>
        </w:rPr>
        <w:t xml:space="preserve"> (δεξίην ἔδωκε ... σπλάγχνα </w:t>
      </w:r>
      <w:r w:rsidR="00CC0615">
        <w:rPr>
          <w:rFonts w:cs="Times New Roman"/>
          <w:lang w:val="en-US"/>
        </w:rPr>
        <w:t>“</w:t>
      </w:r>
      <w:r w:rsidRPr="00881752">
        <w:rPr>
          <w:rFonts w:cs="Times New Roman"/>
          <w:lang w:val="en-US"/>
        </w:rPr>
        <w:t>gave the right hand … entrails</w:t>
      </w:r>
      <w:r w:rsidR="00CC0615">
        <w:rPr>
          <w:rFonts w:cs="Times New Roman"/>
          <w:lang w:val="en-US"/>
        </w:rPr>
        <w:t>”</w:t>
      </w:r>
      <w:r w:rsidRPr="00881752">
        <w:rPr>
          <w:rFonts w:cs="Times New Roman"/>
          <w:lang w:val="en-US"/>
        </w:rPr>
        <w:t>,</w:t>
      </w:r>
      <w:r w:rsidRPr="00881752">
        <w:rPr>
          <w:rFonts w:cs="Times New Roman"/>
          <w:i/>
          <w:iCs/>
          <w:lang w:val="en-US"/>
        </w:rPr>
        <w:t xml:space="preserve"> Ia</w:t>
      </w:r>
      <w:r w:rsidRPr="00881752">
        <w:rPr>
          <w:rFonts w:cs="Times New Roman"/>
          <w:lang w:val="en-US"/>
        </w:rPr>
        <w:t xml:space="preserve">. 3.27). </w:t>
      </w:r>
    </w:p>
    <w:p w14:paraId="6A55219F" w14:textId="77777777" w:rsidR="00CC1F68" w:rsidRPr="00881752" w:rsidRDefault="00CC1F68" w:rsidP="00CC1F68">
      <w:pPr>
        <w:tabs>
          <w:tab w:val="center" w:pos="5387"/>
        </w:tabs>
        <w:rPr>
          <w:rFonts w:cs="Times New Roman"/>
          <w:szCs w:val="24"/>
        </w:rPr>
      </w:pPr>
    </w:p>
    <w:p w14:paraId="5EF7C499" w14:textId="5A6E7977" w:rsidR="00CC1F68" w:rsidRPr="00881752" w:rsidRDefault="00CC1F68" w:rsidP="00CC1F68">
      <w:pPr>
        <w:tabs>
          <w:tab w:val="center" w:pos="5387"/>
        </w:tabs>
        <w:rPr>
          <w:rFonts w:cs="Times New Roman"/>
          <w:i/>
          <w:szCs w:val="24"/>
        </w:rPr>
      </w:pPr>
      <w:r w:rsidRPr="00881752">
        <w:rPr>
          <w:rFonts w:cs="Times New Roman"/>
          <w:i/>
          <w:szCs w:val="24"/>
        </w:rPr>
        <w:t>Crockery</w:t>
      </w:r>
    </w:p>
    <w:p w14:paraId="48B9D8F1" w14:textId="1E470F4D" w:rsidR="00272F31" w:rsidRPr="00881752" w:rsidRDefault="001505BE" w:rsidP="00CC1F68">
      <w:pPr>
        <w:tabs>
          <w:tab w:val="center" w:pos="5387"/>
        </w:tabs>
        <w:rPr>
          <w:rFonts w:cs="Times New Roman"/>
          <w:lang w:val="en-US"/>
        </w:rPr>
      </w:pPr>
      <w:r w:rsidRPr="00881752">
        <w:rPr>
          <w:rFonts w:cs="Times New Roman"/>
          <w:lang w:val="en-US"/>
        </w:rPr>
        <w:t xml:space="preserve">Finally, the iambs feature many pots and other vessels: στάμνος </w:t>
      </w:r>
      <w:r w:rsidR="00CC0615">
        <w:rPr>
          <w:rFonts w:cs="Times New Roman"/>
          <w:lang w:val="en-US"/>
        </w:rPr>
        <w:t>“</w:t>
      </w:r>
      <w:r w:rsidRPr="00881752">
        <w:rPr>
          <w:rFonts w:cs="Times New Roman"/>
          <w:lang w:val="en-US"/>
        </w:rPr>
        <w:t>bottle, jar</w:t>
      </w:r>
      <w:r w:rsidR="00CC0615">
        <w:rPr>
          <w:rFonts w:cs="Times New Roman"/>
          <w:lang w:val="en-US"/>
        </w:rPr>
        <w:t>”</w:t>
      </w:r>
      <w:r w:rsidRPr="00881752">
        <w:rPr>
          <w:rFonts w:cs="Times New Roman"/>
          <w:lang w:val="en-US"/>
        </w:rPr>
        <w:t xml:space="preserve"> for wine and λεκανίς (dish, pot, pan) for food. Occuring as κύλιξ </w:t>
      </w:r>
      <w:r w:rsidR="00CC0615">
        <w:rPr>
          <w:rFonts w:cs="Times New Roman"/>
          <w:lang w:val="en-US"/>
        </w:rPr>
        <w:t>“</w:t>
      </w:r>
      <w:r w:rsidRPr="00881752">
        <w:rPr>
          <w:rFonts w:cs="Times New Roman"/>
          <w:lang w:val="en-US"/>
        </w:rPr>
        <w:t>wine-cup</w:t>
      </w:r>
      <w:r w:rsidR="00CC0615">
        <w:rPr>
          <w:rFonts w:cs="Times New Roman"/>
          <w:lang w:val="en-US"/>
        </w:rPr>
        <w:t>”</w:t>
      </w:r>
      <w:r w:rsidRPr="00881752">
        <w:rPr>
          <w:rFonts w:cs="Times New Roman"/>
          <w:lang w:val="en-US"/>
        </w:rPr>
        <w:t xml:space="preserve"> (Hippon. fr. 21.2), πέλλη </w:t>
      </w:r>
      <w:r w:rsidR="00CC0615">
        <w:rPr>
          <w:rFonts w:cs="Times New Roman"/>
          <w:lang w:val="en-US"/>
        </w:rPr>
        <w:t>“</w:t>
      </w:r>
      <w:r w:rsidRPr="00881752">
        <w:rPr>
          <w:rFonts w:cs="Times New Roman"/>
          <w:lang w:val="en-US"/>
        </w:rPr>
        <w:t>milk-pail</w:t>
      </w:r>
      <w:r w:rsidR="00CC0615">
        <w:rPr>
          <w:rFonts w:cs="Times New Roman"/>
          <w:lang w:val="en-US"/>
        </w:rPr>
        <w:t>”</w:t>
      </w:r>
      <w:r w:rsidRPr="00881752">
        <w:rPr>
          <w:rFonts w:cs="Times New Roman"/>
          <w:lang w:val="en-US"/>
        </w:rPr>
        <w:t xml:space="preserve"> (Hippon. fr. 22.1) and its variant πελλίς (Hippon. fr. 21.1), and ἔκπωμα </w:t>
      </w:r>
      <w:r w:rsidR="00CC0615">
        <w:rPr>
          <w:rFonts w:cs="Times New Roman"/>
          <w:lang w:val="en-US"/>
        </w:rPr>
        <w:t>“</w:t>
      </w:r>
      <w:r w:rsidRPr="00881752">
        <w:rPr>
          <w:rFonts w:cs="Times New Roman"/>
          <w:lang w:val="en-US"/>
        </w:rPr>
        <w:t>beaker</w:t>
      </w:r>
      <w:r w:rsidR="00CC0615">
        <w:rPr>
          <w:rFonts w:cs="Times New Roman"/>
          <w:lang w:val="en-US"/>
        </w:rPr>
        <w:t>”</w:t>
      </w:r>
      <w:r w:rsidRPr="00881752">
        <w:rPr>
          <w:rFonts w:cs="Times New Roman"/>
          <w:lang w:val="en-US"/>
        </w:rPr>
        <w:t xml:space="preserve"> (Call. </w:t>
      </w:r>
      <w:r w:rsidRPr="00881752">
        <w:rPr>
          <w:rFonts w:cs="Times New Roman"/>
          <w:i/>
          <w:iCs/>
          <w:lang w:val="en-US"/>
        </w:rPr>
        <w:t>Ia</w:t>
      </w:r>
      <w:r w:rsidRPr="00881752">
        <w:rPr>
          <w:rFonts w:cs="Times New Roman"/>
          <w:lang w:val="en-US"/>
        </w:rPr>
        <w:t xml:space="preserve">. 1.66), cups come in many shapes. Mixing-bowls (craters), ladles, strainers, coolers, and all the παραφερνάλια of the symposium are also mentioned in iambic fragments. Athenaeus surveyed the shapes of drinking-cups in Book 11 of his </w:t>
      </w:r>
      <w:r w:rsidRPr="00881752">
        <w:rPr>
          <w:rFonts w:cs="Times New Roman"/>
          <w:i/>
          <w:iCs/>
          <w:lang w:val="en-US"/>
        </w:rPr>
        <w:t>Deipnosophistae</w:t>
      </w:r>
      <w:r w:rsidRPr="00881752">
        <w:rPr>
          <w:rFonts w:cs="Times New Roman"/>
          <w:lang w:val="en-US"/>
        </w:rPr>
        <w:t>, with much iambic evidence.</w:t>
      </w:r>
      <w:r w:rsidRPr="00881752">
        <w:rPr>
          <w:rStyle w:val="FootnoteReference"/>
          <w:rFonts w:cs="Times New Roman"/>
          <w:lang w:val="en-US"/>
        </w:rPr>
        <w:footnoteReference w:id="118"/>
      </w:r>
      <w:r w:rsidRPr="00881752">
        <w:rPr>
          <w:rFonts w:cs="Times New Roman"/>
          <w:lang w:val="en-US"/>
        </w:rPr>
        <w:t xml:space="preserve"> The shape and dimensions of cups seem to have served as an image of a man</w:t>
      </w:r>
      <w:r w:rsidR="00075F5F">
        <w:rPr>
          <w:rFonts w:cs="Times New Roman"/>
          <w:lang w:val="en-US"/>
        </w:rPr>
        <w:t>’</w:t>
      </w:r>
      <w:r w:rsidRPr="00881752">
        <w:rPr>
          <w:rFonts w:cs="Times New Roman"/>
          <w:lang w:val="en-US"/>
        </w:rPr>
        <w:t>s nature: big milk-pails fit Hipponax</w:t>
      </w:r>
      <w:r w:rsidR="00075F5F">
        <w:rPr>
          <w:rFonts w:cs="Times New Roman"/>
          <w:lang w:val="en-US"/>
        </w:rPr>
        <w:t>’</w:t>
      </w:r>
      <w:r w:rsidRPr="00881752">
        <w:rPr>
          <w:rFonts w:cs="Times New Roman"/>
          <w:lang w:val="en-US"/>
        </w:rPr>
        <w:t xml:space="preserve">s targets Bupalus and his mother Arete, as image of their unrestrained behaviour; an elegant and wine-measured cup fits the moderate and wise Batykles. </w:t>
      </w:r>
    </w:p>
    <w:p w14:paraId="6CD29C04" w14:textId="66B82E0D" w:rsidR="00CC1F68" w:rsidRPr="00881752" w:rsidRDefault="00CC1F68" w:rsidP="00756BD3">
      <w:pPr>
        <w:keepNext/>
        <w:tabs>
          <w:tab w:val="center" w:pos="5387"/>
        </w:tabs>
        <w:spacing w:before="400"/>
        <w:rPr>
          <w:rFonts w:cs="Times New Roman"/>
          <w:i/>
          <w:szCs w:val="24"/>
        </w:rPr>
      </w:pPr>
      <w:r w:rsidRPr="00881752">
        <w:rPr>
          <w:rFonts w:cs="Times New Roman"/>
          <w:i/>
          <w:szCs w:val="24"/>
        </w:rPr>
        <w:lastRenderedPageBreak/>
        <w:t>Trades and Crafts</w:t>
      </w:r>
    </w:p>
    <w:p w14:paraId="7F12FF18" w14:textId="64DAEAA2" w:rsidR="004068A8" w:rsidRPr="00881752" w:rsidRDefault="001505BE" w:rsidP="004068A8">
      <w:pPr>
        <w:tabs>
          <w:tab w:val="center" w:pos="5387"/>
        </w:tabs>
        <w:rPr>
          <w:rFonts w:cs="Times New Roman"/>
          <w:szCs w:val="24"/>
        </w:rPr>
      </w:pPr>
      <w:r w:rsidRPr="00881752">
        <w:rPr>
          <w:rFonts w:cs="Times New Roman"/>
          <w:lang w:val="en-US"/>
        </w:rPr>
        <w:t>The activities of common people such as market traders and craftsmen are mentioned by the iambographers: Callimachus (</w:t>
      </w:r>
      <w:r w:rsidRPr="00881752">
        <w:rPr>
          <w:rFonts w:cs="Times New Roman"/>
          <w:i/>
          <w:iCs/>
          <w:lang w:val="en-US"/>
        </w:rPr>
        <w:t>Ia</w:t>
      </w:r>
      <w:r w:rsidRPr="00881752">
        <w:rPr>
          <w:rFonts w:cs="Times New Roman"/>
          <w:lang w:val="en-US"/>
        </w:rPr>
        <w:t>. 1.89) and Hipponax share the verbs καπηλεύω, which denotes petty retail trade (Hippon. fr. 79.17-18):</w:t>
      </w:r>
      <w:r w:rsidRPr="00881752">
        <w:rPr>
          <w:rStyle w:val="FootnoteReference"/>
          <w:rFonts w:cs="Times New Roman"/>
          <w:lang w:val="en-US"/>
        </w:rPr>
        <w:footnoteReference w:id="119"/>
      </w:r>
      <w:r w:rsidRPr="00881752">
        <w:rPr>
          <w:rFonts w:cs="Times New Roman"/>
          <w:lang w:val="en-US"/>
        </w:rPr>
        <w:t xml:space="preserve"> </w:t>
      </w:r>
    </w:p>
    <w:p w14:paraId="37F1F57E" w14:textId="77777777" w:rsidR="00272F31" w:rsidRPr="00881752" w:rsidRDefault="00272F31" w:rsidP="00F56C73">
      <w:pPr>
        <w:tabs>
          <w:tab w:val="center" w:pos="5387"/>
        </w:tabs>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794"/>
        <w:gridCol w:w="4144"/>
      </w:tblGrid>
      <w:tr w:rsidR="00272F31" w:rsidRPr="00881752" w14:paraId="501212C1" w14:textId="77777777" w:rsidTr="0013179E">
        <w:tc>
          <w:tcPr>
            <w:tcW w:w="3794" w:type="dxa"/>
          </w:tcPr>
          <w:p w14:paraId="0689C743" w14:textId="46487A24" w:rsidR="00272F31" w:rsidRPr="00881752" w:rsidRDefault="00272F31" w:rsidP="0000362C">
            <w:pPr>
              <w:pStyle w:val="Blockquote"/>
              <w:rPr>
                <w:rFonts w:eastAsiaTheme="minorEastAsia"/>
                <w:sz w:val="22"/>
                <w:szCs w:val="22"/>
              </w:rPr>
            </w:pPr>
            <w:r w:rsidRPr="00881752">
              <w:rPr>
                <w:rFonts w:eastAsiaTheme="minorEastAsia"/>
                <w:sz w:val="22"/>
                <w:szCs w:val="22"/>
              </w:rPr>
              <w:t>ὁ δ</w:t>
            </w:r>
            <w:r w:rsidR="00075F5F">
              <w:rPr>
                <w:rFonts w:eastAsiaTheme="minorEastAsia"/>
                <w:sz w:val="22"/>
                <w:szCs w:val="22"/>
              </w:rPr>
              <w:t>’</w:t>
            </w:r>
            <w:r w:rsidRPr="00881752">
              <w:rPr>
                <w:rFonts w:eastAsiaTheme="minorEastAsia"/>
                <w:sz w:val="22"/>
                <w:szCs w:val="22"/>
              </w:rPr>
              <w:t xml:space="preserve"> αὐτίκ</w:t>
            </w:r>
            <w:r w:rsidR="00075F5F">
              <w:rPr>
                <w:rFonts w:eastAsiaTheme="minorEastAsia"/>
                <w:sz w:val="22"/>
                <w:szCs w:val="22"/>
              </w:rPr>
              <w:t>’</w:t>
            </w:r>
            <w:r w:rsidRPr="00881752">
              <w:rPr>
                <w:rFonts w:eastAsiaTheme="minorEastAsia"/>
                <w:sz w:val="22"/>
                <w:szCs w:val="22"/>
              </w:rPr>
              <w:t xml:space="preserve"> ἐλθὼν σὺν τριοῖσι μάρτυσιν</w:t>
            </w:r>
          </w:p>
          <w:p w14:paraId="6EAE0DC2" w14:textId="77777777" w:rsidR="00272F31" w:rsidRPr="00881752" w:rsidRDefault="00272F31" w:rsidP="0000362C">
            <w:pPr>
              <w:pStyle w:val="Blockquote"/>
              <w:rPr>
                <w:sz w:val="22"/>
                <w:szCs w:val="22"/>
                <w:lang w:val="el-GR"/>
              </w:rPr>
            </w:pPr>
            <w:r w:rsidRPr="00881752">
              <w:rPr>
                <w:rFonts w:eastAsiaTheme="minorEastAsia"/>
                <w:sz w:val="22"/>
                <w:szCs w:val="22"/>
                <w:lang w:val="el-GR"/>
              </w:rPr>
              <w:t>ὅκου τὸν ἔρπιν ὁ σκότος καπηλεύει</w:t>
            </w:r>
          </w:p>
        </w:tc>
        <w:tc>
          <w:tcPr>
            <w:tcW w:w="4144" w:type="dxa"/>
          </w:tcPr>
          <w:p w14:paraId="2652C310" w14:textId="77777777" w:rsidR="00272F31" w:rsidRPr="00881752" w:rsidRDefault="00272F31" w:rsidP="0000362C">
            <w:pPr>
              <w:pStyle w:val="Blockquote"/>
              <w:rPr>
                <w:sz w:val="22"/>
                <w:szCs w:val="22"/>
              </w:rPr>
            </w:pPr>
            <w:r w:rsidRPr="00881752">
              <w:rPr>
                <w:sz w:val="22"/>
                <w:szCs w:val="22"/>
              </w:rPr>
              <w:t>with three witnesses he went at once to the place where the swindler sells wine</w:t>
            </w:r>
          </w:p>
        </w:tc>
      </w:tr>
    </w:tbl>
    <w:p w14:paraId="60665D10" w14:textId="77777777" w:rsidR="00272F31" w:rsidRPr="00881752" w:rsidRDefault="00272F31" w:rsidP="0000362C">
      <w:pPr>
        <w:pStyle w:val="Blockquote"/>
      </w:pPr>
    </w:p>
    <w:p w14:paraId="16D12B71" w14:textId="310E495C" w:rsidR="004068A8" w:rsidRPr="00881752" w:rsidRDefault="001505BE" w:rsidP="002D605D">
      <w:pPr>
        <w:tabs>
          <w:tab w:val="center" w:pos="5387"/>
        </w:tabs>
        <w:rPr>
          <w:rFonts w:cs="Times New Roman"/>
          <w:szCs w:val="24"/>
        </w:rPr>
      </w:pPr>
      <w:r w:rsidRPr="00881752">
        <w:rPr>
          <w:rFonts w:cs="Times New Roman"/>
          <w:lang w:val="en-US"/>
        </w:rPr>
        <w:t>Here καπηλεύω is used to define the sale by a poor and filthy swindler of a low-quality wine: thus, the verb is particularly appropriate to the realm of iambic verse, where there is frequent trafficking in small things.</w:t>
      </w:r>
      <w:r w:rsidRPr="00881752">
        <w:rPr>
          <w:rStyle w:val="FootnoteReference"/>
          <w:rFonts w:cs="Times New Roman"/>
          <w:lang w:val="en-US"/>
        </w:rPr>
        <w:footnoteReference w:id="120"/>
      </w:r>
      <w:r w:rsidRPr="00881752">
        <w:rPr>
          <w:rFonts w:cs="Times New Roman"/>
          <w:lang w:val="en-US"/>
        </w:rPr>
        <w:t xml:space="preserve"> Hipponax and Callimachus also share also the verb πέρνημι / πιπράσκω </w:t>
      </w:r>
      <w:r w:rsidR="00CC0615">
        <w:rPr>
          <w:rFonts w:cs="Times New Roman"/>
          <w:lang w:val="en-US"/>
        </w:rPr>
        <w:t>“</w:t>
      </w:r>
      <w:r w:rsidRPr="00881752">
        <w:rPr>
          <w:rFonts w:cs="Times New Roman"/>
          <w:lang w:val="en-US"/>
        </w:rPr>
        <w:t>sell</w:t>
      </w:r>
      <w:r w:rsidR="00CC0615">
        <w:rPr>
          <w:rFonts w:cs="Times New Roman"/>
          <w:lang w:val="en-US"/>
        </w:rPr>
        <w:t>”</w:t>
      </w:r>
      <w:r w:rsidRPr="00881752">
        <w:rPr>
          <w:rFonts w:cs="Times New Roman"/>
          <w:lang w:val="en-US"/>
        </w:rPr>
        <w:t xml:space="preserve"> (Hippon. frs. 38.1; 55; Call. </w:t>
      </w:r>
      <w:r w:rsidRPr="00881752">
        <w:rPr>
          <w:rFonts w:cs="Times New Roman"/>
          <w:i/>
          <w:iCs/>
          <w:lang w:val="en-US"/>
        </w:rPr>
        <w:t>Ia</w:t>
      </w:r>
      <w:r w:rsidRPr="00881752">
        <w:rPr>
          <w:rFonts w:cs="Times New Roman"/>
          <w:lang w:val="en-US"/>
        </w:rPr>
        <w:t xml:space="preserve">. 1.2), which in iambic texts seems to have the negative connotation of </w:t>
      </w:r>
      <w:r w:rsidR="00CC0615">
        <w:rPr>
          <w:rFonts w:cs="Times New Roman"/>
          <w:lang w:val="en-US"/>
        </w:rPr>
        <w:t>“</w:t>
      </w:r>
      <w:r w:rsidRPr="00881752">
        <w:rPr>
          <w:rFonts w:cs="Times New Roman"/>
          <w:lang w:val="en-US"/>
        </w:rPr>
        <w:t>clear / undersell</w:t>
      </w:r>
      <w:r w:rsidR="00CC0615">
        <w:rPr>
          <w:rFonts w:cs="Times New Roman"/>
          <w:lang w:val="en-US"/>
        </w:rPr>
        <w:t>”</w:t>
      </w:r>
      <w:r w:rsidRPr="00881752">
        <w:rPr>
          <w:rFonts w:cs="Times New Roman"/>
          <w:lang w:val="en-US"/>
        </w:rPr>
        <w:t>:</w:t>
      </w:r>
    </w:p>
    <w:p w14:paraId="5C5EDA51" w14:textId="77777777" w:rsidR="00272F31" w:rsidRPr="00881752" w:rsidRDefault="00272F31" w:rsidP="00F56C73">
      <w:pPr>
        <w:tabs>
          <w:tab w:val="center" w:pos="5387"/>
        </w:tabs>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789"/>
        <w:gridCol w:w="4149"/>
      </w:tblGrid>
      <w:tr w:rsidR="00272F31" w:rsidRPr="00881752" w14:paraId="088AE687" w14:textId="77777777" w:rsidTr="0013179E">
        <w:tc>
          <w:tcPr>
            <w:tcW w:w="3789" w:type="dxa"/>
          </w:tcPr>
          <w:p w14:paraId="3DEA3EDA" w14:textId="77777777" w:rsidR="00272F31" w:rsidRPr="00881752" w:rsidRDefault="00272F31" w:rsidP="00D05134">
            <w:pPr>
              <w:pStyle w:val="Blockquote"/>
              <w:rPr>
                <w:sz w:val="22"/>
                <w:szCs w:val="22"/>
              </w:rPr>
            </w:pPr>
            <w:r w:rsidRPr="00881752">
              <w:rPr>
                <w:sz w:val="22"/>
                <w:szCs w:val="22"/>
              </w:rPr>
              <w:t>Hippon. fr. 38</w:t>
            </w:r>
          </w:p>
        </w:tc>
        <w:tc>
          <w:tcPr>
            <w:tcW w:w="4149" w:type="dxa"/>
          </w:tcPr>
          <w:p w14:paraId="5E79FA79" w14:textId="77777777" w:rsidR="00272F31" w:rsidRPr="00881752" w:rsidRDefault="00272F31" w:rsidP="00D05134">
            <w:pPr>
              <w:pStyle w:val="Blockquote"/>
              <w:rPr>
                <w:sz w:val="22"/>
                <w:szCs w:val="22"/>
              </w:rPr>
            </w:pPr>
          </w:p>
        </w:tc>
      </w:tr>
      <w:tr w:rsidR="00272F31" w:rsidRPr="00881752" w14:paraId="3D490604" w14:textId="77777777" w:rsidTr="0013179E">
        <w:tc>
          <w:tcPr>
            <w:tcW w:w="3789" w:type="dxa"/>
          </w:tcPr>
          <w:p w14:paraId="53BA721A" w14:textId="77777777" w:rsidR="00272F31" w:rsidRPr="00881752" w:rsidRDefault="00272F31" w:rsidP="00D05134">
            <w:pPr>
              <w:pStyle w:val="Blockquote"/>
              <w:rPr>
                <w:rFonts w:eastAsiaTheme="minorEastAsia"/>
                <w:sz w:val="22"/>
                <w:szCs w:val="22"/>
                <w:lang w:val="el-GR"/>
              </w:rPr>
            </w:pPr>
            <w:r w:rsidRPr="00881752">
              <w:rPr>
                <w:rFonts w:eastAsiaTheme="minorEastAsia"/>
                <w:sz w:val="22"/>
                <w:szCs w:val="22"/>
                <w:lang w:val="el-GR"/>
              </w:rPr>
              <w:t>καὶ τοὺς σολοίκους ἢν λάβωσι περνᾶσι,</w:t>
            </w:r>
          </w:p>
          <w:p w14:paraId="32B83DF7" w14:textId="77777777" w:rsidR="00272F31" w:rsidRPr="00881752" w:rsidRDefault="00272F31" w:rsidP="00D05134">
            <w:pPr>
              <w:pStyle w:val="Blockquote"/>
              <w:rPr>
                <w:sz w:val="22"/>
                <w:szCs w:val="22"/>
                <w:lang w:val="el-GR"/>
              </w:rPr>
            </w:pPr>
            <w:r w:rsidRPr="00881752">
              <w:rPr>
                <w:rFonts w:eastAsiaTheme="minorEastAsia"/>
                <w:sz w:val="22"/>
                <w:szCs w:val="22"/>
                <w:lang w:val="el-GR"/>
              </w:rPr>
              <w:t>Φρύγας μὲν ἐς Μίλητον ἀλφιτεύσοντας</w:t>
            </w:r>
          </w:p>
        </w:tc>
        <w:tc>
          <w:tcPr>
            <w:tcW w:w="4149" w:type="dxa"/>
          </w:tcPr>
          <w:p w14:paraId="612E037F" w14:textId="77777777" w:rsidR="00272F31" w:rsidRPr="00881752" w:rsidRDefault="00272F31" w:rsidP="00D05134">
            <w:pPr>
              <w:pStyle w:val="Blockquote"/>
              <w:rPr>
                <w:sz w:val="22"/>
                <w:szCs w:val="22"/>
              </w:rPr>
            </w:pPr>
            <w:r w:rsidRPr="00881752">
              <w:rPr>
                <w:sz w:val="22"/>
                <w:szCs w:val="22"/>
              </w:rPr>
              <w:t>and if they catch the soloeci they sell them as slaves</w:t>
            </w:r>
            <w:r w:rsidRPr="00881752">
              <w:rPr>
                <w:rStyle w:val="FootnoteReference"/>
                <w:sz w:val="22"/>
                <w:szCs w:val="22"/>
              </w:rPr>
              <w:footnoteReference w:id="121"/>
            </w:r>
            <w:r w:rsidRPr="00881752">
              <w:rPr>
                <w:sz w:val="22"/>
                <w:szCs w:val="22"/>
              </w:rPr>
              <w:t xml:space="preserve"> to Miletus to grind barley.</w:t>
            </w:r>
          </w:p>
        </w:tc>
      </w:tr>
    </w:tbl>
    <w:p w14:paraId="678357C5" w14:textId="77777777" w:rsidR="007D78E3" w:rsidRPr="00881752" w:rsidRDefault="007D78E3" w:rsidP="00CC1F68">
      <w:pPr>
        <w:pStyle w:val="Blockquote"/>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11"/>
        <w:gridCol w:w="3827"/>
      </w:tblGrid>
      <w:tr w:rsidR="0000362C" w:rsidRPr="00881752" w14:paraId="055AB3E2" w14:textId="77777777" w:rsidTr="0013179E">
        <w:tc>
          <w:tcPr>
            <w:tcW w:w="4111" w:type="dxa"/>
          </w:tcPr>
          <w:p w14:paraId="034CF786" w14:textId="77777777" w:rsidR="0000362C" w:rsidRPr="00881752" w:rsidRDefault="0000362C" w:rsidP="00D05134">
            <w:pPr>
              <w:pStyle w:val="Blockquote"/>
              <w:rPr>
                <w:sz w:val="22"/>
                <w:szCs w:val="22"/>
              </w:rPr>
            </w:pPr>
            <w:r w:rsidRPr="00881752">
              <w:rPr>
                <w:sz w:val="22"/>
                <w:szCs w:val="22"/>
              </w:rPr>
              <w:t xml:space="preserve">Call. </w:t>
            </w:r>
            <w:r w:rsidRPr="00881752">
              <w:rPr>
                <w:i/>
                <w:sz w:val="22"/>
                <w:szCs w:val="22"/>
              </w:rPr>
              <w:t>Ia</w:t>
            </w:r>
            <w:r w:rsidRPr="00881752">
              <w:rPr>
                <w:sz w:val="22"/>
                <w:szCs w:val="22"/>
              </w:rPr>
              <w:t>. 1.2</w:t>
            </w:r>
          </w:p>
        </w:tc>
        <w:tc>
          <w:tcPr>
            <w:tcW w:w="3827" w:type="dxa"/>
          </w:tcPr>
          <w:p w14:paraId="3AC07BD0" w14:textId="77777777" w:rsidR="0000362C" w:rsidRPr="00881752" w:rsidRDefault="0000362C" w:rsidP="00D05134">
            <w:pPr>
              <w:pStyle w:val="Blockquote"/>
              <w:rPr>
                <w:sz w:val="22"/>
                <w:szCs w:val="22"/>
              </w:rPr>
            </w:pPr>
          </w:p>
        </w:tc>
      </w:tr>
      <w:tr w:rsidR="0000362C" w:rsidRPr="00881752" w14:paraId="7A23049F" w14:textId="77777777" w:rsidTr="0013179E">
        <w:tc>
          <w:tcPr>
            <w:tcW w:w="4111" w:type="dxa"/>
          </w:tcPr>
          <w:p w14:paraId="03B39D01" w14:textId="77777777" w:rsidR="0000362C" w:rsidRPr="00881752" w:rsidRDefault="0000362C" w:rsidP="00D05134">
            <w:pPr>
              <w:pStyle w:val="Blockquote"/>
              <w:rPr>
                <w:sz w:val="22"/>
                <w:szCs w:val="22"/>
                <w:lang w:val="el-GR"/>
              </w:rPr>
            </w:pPr>
            <w:r w:rsidRPr="00881752">
              <w:rPr>
                <w:rFonts w:eastAsiaTheme="minorEastAsia"/>
                <w:sz w:val="22"/>
                <w:szCs w:val="22"/>
                <w:lang w:val="el-GR"/>
              </w:rPr>
              <w:t>ἐκ τῶν ὅκου βοῦν κολλύβου πιπρήσκουσιν</w:t>
            </w:r>
          </w:p>
        </w:tc>
        <w:tc>
          <w:tcPr>
            <w:tcW w:w="3827" w:type="dxa"/>
          </w:tcPr>
          <w:p w14:paraId="1C9ACFCF" w14:textId="77777777" w:rsidR="0000362C" w:rsidRPr="00881752" w:rsidRDefault="0000362C" w:rsidP="00D05134">
            <w:pPr>
              <w:pStyle w:val="Blockquote"/>
              <w:rPr>
                <w:sz w:val="22"/>
                <w:szCs w:val="22"/>
              </w:rPr>
            </w:pPr>
            <w:r w:rsidRPr="00881752">
              <w:rPr>
                <w:sz w:val="22"/>
                <w:szCs w:val="22"/>
              </w:rPr>
              <w:t>from the place where they sell a ox for a penny</w:t>
            </w:r>
          </w:p>
        </w:tc>
      </w:tr>
    </w:tbl>
    <w:p w14:paraId="06270351" w14:textId="77777777" w:rsidR="0000362C" w:rsidRPr="00881752" w:rsidRDefault="0000362C" w:rsidP="00D05134">
      <w:pPr>
        <w:pStyle w:val="Blockquote"/>
      </w:pPr>
    </w:p>
    <w:p w14:paraId="19751183" w14:textId="77777777" w:rsidR="00081AA6" w:rsidRPr="00881752" w:rsidRDefault="00081AA6" w:rsidP="00081AA6">
      <w:pPr>
        <w:tabs>
          <w:tab w:val="center" w:pos="5387"/>
        </w:tabs>
        <w:rPr>
          <w:rFonts w:cs="Times New Roman"/>
          <w:i/>
          <w:szCs w:val="24"/>
        </w:rPr>
      </w:pPr>
      <w:r w:rsidRPr="00881752">
        <w:rPr>
          <w:rFonts w:cs="Times New Roman"/>
          <w:i/>
          <w:szCs w:val="24"/>
        </w:rPr>
        <w:t>The Body</w:t>
      </w:r>
    </w:p>
    <w:p w14:paraId="6DF77A89" w14:textId="645F255C" w:rsidR="001505BE" w:rsidRPr="00881752" w:rsidRDefault="001505BE" w:rsidP="004068A8">
      <w:pPr>
        <w:rPr>
          <w:rFonts w:cs="Times New Roman"/>
          <w:lang w:val="en-US"/>
        </w:rPr>
      </w:pPr>
      <w:r w:rsidRPr="00881752">
        <w:rPr>
          <w:rFonts w:cs="Times New Roman"/>
          <w:lang w:val="en-US"/>
        </w:rPr>
        <w:t>In the iambic poets, there is an emphasis on the body: especially bodily apertures, such as Hipponax</w:t>
      </w:r>
      <w:r w:rsidR="00075F5F">
        <w:rPr>
          <w:rFonts w:cs="Times New Roman"/>
          <w:lang w:val="en-US"/>
        </w:rPr>
        <w:t>’</w:t>
      </w:r>
      <w:r w:rsidRPr="00881752">
        <w:rPr>
          <w:rFonts w:cs="Times New Roman"/>
          <w:lang w:val="en-US"/>
        </w:rPr>
        <w:t xml:space="preserve">s διάσφαγμα </w:t>
      </w:r>
      <w:r w:rsidR="00CC0615">
        <w:rPr>
          <w:rFonts w:cs="Times New Roman"/>
          <w:lang w:val="en-US"/>
        </w:rPr>
        <w:t>“</w:t>
      </w:r>
      <w:r w:rsidRPr="00881752">
        <w:rPr>
          <w:rFonts w:cs="Times New Roman"/>
          <w:lang w:val="en-US"/>
        </w:rPr>
        <w:t>vagina</w:t>
      </w:r>
      <w:r w:rsidR="00CC0615">
        <w:rPr>
          <w:rFonts w:cs="Times New Roman"/>
          <w:lang w:val="en-US"/>
        </w:rPr>
        <w:t>”</w:t>
      </w:r>
      <w:r w:rsidRPr="00881752">
        <w:rPr>
          <w:rFonts w:cs="Times New Roman"/>
          <w:lang w:val="en-US"/>
        </w:rPr>
        <w:t xml:space="preserve"> (4b), and on the lower parts, that is, πυγή </w:t>
      </w:r>
      <w:r w:rsidR="00CC0615">
        <w:rPr>
          <w:rFonts w:cs="Times New Roman"/>
          <w:lang w:val="en-US"/>
        </w:rPr>
        <w:t>“</w:t>
      </w:r>
      <w:r w:rsidRPr="00881752">
        <w:rPr>
          <w:rFonts w:cs="Times New Roman"/>
          <w:lang w:val="en-US"/>
        </w:rPr>
        <w:t>ass</w:t>
      </w:r>
      <w:r w:rsidR="00CC0615">
        <w:rPr>
          <w:rFonts w:cs="Times New Roman"/>
          <w:lang w:val="en-US"/>
        </w:rPr>
        <w:t>”</w:t>
      </w:r>
      <w:r w:rsidRPr="00881752">
        <w:rPr>
          <w:rFonts w:cs="Times New Roman"/>
          <w:lang w:val="en-US"/>
        </w:rPr>
        <w:t xml:space="preserve"> (Archil. fr. 189; Hippon. fr. 95.2) and κυσός </w:t>
      </w:r>
      <w:r w:rsidR="00CC0615">
        <w:rPr>
          <w:rFonts w:cs="Times New Roman"/>
          <w:lang w:val="en-US"/>
        </w:rPr>
        <w:t>“</w:t>
      </w:r>
      <w:r w:rsidRPr="00881752">
        <w:rPr>
          <w:rFonts w:cs="Times New Roman"/>
          <w:lang w:val="en-US"/>
        </w:rPr>
        <w:t>ass</w:t>
      </w:r>
      <w:r w:rsidR="00CC0615">
        <w:rPr>
          <w:rFonts w:cs="Times New Roman"/>
          <w:lang w:val="en-US"/>
        </w:rPr>
        <w:t>”</w:t>
      </w:r>
      <w:r w:rsidRPr="00881752">
        <w:rPr>
          <w:rFonts w:cs="Times New Roman"/>
          <w:lang w:val="en-US"/>
        </w:rPr>
        <w:t xml:space="preserve"> (Call. </w:t>
      </w:r>
      <w:r w:rsidRPr="00881752">
        <w:rPr>
          <w:rFonts w:cs="Times New Roman"/>
          <w:i/>
          <w:iCs/>
          <w:lang w:val="en-US"/>
        </w:rPr>
        <w:t>Ia</w:t>
      </w:r>
      <w:r w:rsidRPr="00881752">
        <w:rPr>
          <w:rFonts w:cs="Times New Roman"/>
          <w:lang w:val="en-US"/>
        </w:rPr>
        <w:t>. 1.98). These constitute the most cited parts of the human body in iambs, along with the generative organs, such as Archilochus</w:t>
      </w:r>
      <w:r w:rsidR="00075F5F">
        <w:rPr>
          <w:rFonts w:cs="Times New Roman"/>
          <w:lang w:val="en-US"/>
        </w:rPr>
        <w:t>’</w:t>
      </w:r>
      <w:r w:rsidRPr="00881752">
        <w:rPr>
          <w:rFonts w:cs="Times New Roman"/>
          <w:lang w:val="en-US"/>
        </w:rPr>
        <w:t xml:space="preserve"> μέδα </w:t>
      </w:r>
      <w:r w:rsidR="00CC0615">
        <w:rPr>
          <w:rFonts w:cs="Times New Roman"/>
          <w:lang w:val="en-US"/>
        </w:rPr>
        <w:t>“</w:t>
      </w:r>
      <w:r w:rsidRPr="00881752">
        <w:rPr>
          <w:rFonts w:cs="Times New Roman"/>
          <w:lang w:val="en-US"/>
        </w:rPr>
        <w:t>genitals</w:t>
      </w:r>
      <w:r w:rsidR="00CC0615">
        <w:rPr>
          <w:rFonts w:cs="Times New Roman"/>
          <w:lang w:val="en-US"/>
        </w:rPr>
        <w:t>”</w:t>
      </w:r>
      <w:r w:rsidRPr="00881752">
        <w:rPr>
          <w:rFonts w:cs="Times New Roman"/>
          <w:lang w:val="en-US"/>
        </w:rPr>
        <w:t xml:space="preserve"> (53) or μύκης </w:t>
      </w:r>
      <w:r w:rsidR="00CC0615">
        <w:rPr>
          <w:rFonts w:cs="Times New Roman"/>
          <w:lang w:val="en-US"/>
        </w:rPr>
        <w:t>“</w:t>
      </w:r>
      <w:r w:rsidRPr="00881752">
        <w:rPr>
          <w:rFonts w:cs="Times New Roman"/>
          <w:lang w:val="en-US"/>
        </w:rPr>
        <w:t>penis</w:t>
      </w:r>
      <w:r w:rsidR="00CC0615">
        <w:rPr>
          <w:rFonts w:cs="Times New Roman"/>
          <w:lang w:val="en-US"/>
        </w:rPr>
        <w:t>”</w:t>
      </w:r>
      <w:r w:rsidRPr="00881752">
        <w:rPr>
          <w:rFonts w:cs="Times New Roman"/>
          <w:lang w:val="en-US"/>
        </w:rPr>
        <w:t xml:space="preserve"> (198.2), Hipponax</w:t>
      </w:r>
      <w:r w:rsidR="00075F5F">
        <w:rPr>
          <w:rFonts w:cs="Times New Roman"/>
          <w:lang w:val="en-US"/>
        </w:rPr>
        <w:t>’</w:t>
      </w:r>
      <w:r w:rsidRPr="00881752">
        <w:rPr>
          <w:rFonts w:cs="Times New Roman"/>
          <w:lang w:val="en-US"/>
        </w:rPr>
        <w:t xml:space="preserve">s βρύσσος </w:t>
      </w:r>
      <w:r w:rsidR="00CC0615">
        <w:rPr>
          <w:rFonts w:cs="Times New Roman"/>
          <w:lang w:val="en-US"/>
        </w:rPr>
        <w:t>“</w:t>
      </w:r>
      <w:r w:rsidRPr="00881752">
        <w:rPr>
          <w:rFonts w:cs="Times New Roman"/>
          <w:lang w:val="en-US"/>
        </w:rPr>
        <w:t>genitals</w:t>
      </w:r>
      <w:r w:rsidR="00CC0615">
        <w:rPr>
          <w:rFonts w:cs="Times New Roman"/>
          <w:lang w:val="en-US"/>
        </w:rPr>
        <w:t>”</w:t>
      </w:r>
      <w:r w:rsidRPr="00881752">
        <w:rPr>
          <w:rFonts w:cs="Times New Roman"/>
          <w:lang w:val="en-US"/>
        </w:rPr>
        <w:t xml:space="preserve"> (69.8), ὄρχις </w:t>
      </w:r>
      <w:r w:rsidR="00CC0615">
        <w:rPr>
          <w:rFonts w:cs="Times New Roman"/>
          <w:lang w:val="en-US"/>
        </w:rPr>
        <w:t>“</w:t>
      </w:r>
      <w:r w:rsidRPr="00881752">
        <w:rPr>
          <w:rFonts w:cs="Times New Roman"/>
          <w:lang w:val="en-US"/>
        </w:rPr>
        <w:t>testicle</w:t>
      </w:r>
      <w:r w:rsidR="00CC0615">
        <w:rPr>
          <w:rFonts w:cs="Times New Roman"/>
          <w:lang w:val="en-US"/>
        </w:rPr>
        <w:t>”</w:t>
      </w:r>
      <w:r w:rsidRPr="00881752">
        <w:rPr>
          <w:rFonts w:cs="Times New Roman"/>
          <w:lang w:val="en-US"/>
        </w:rPr>
        <w:t xml:space="preserve"> (95.3), and Callimachus</w:t>
      </w:r>
      <w:r w:rsidR="00075F5F">
        <w:rPr>
          <w:rFonts w:cs="Times New Roman"/>
          <w:lang w:val="en-US"/>
        </w:rPr>
        <w:t>’</w:t>
      </w:r>
      <w:r w:rsidRPr="00881752">
        <w:rPr>
          <w:rFonts w:cs="Times New Roman"/>
          <w:lang w:val="en-US"/>
        </w:rPr>
        <w:t xml:space="preserve"> νεῦρον </w:t>
      </w:r>
      <w:r w:rsidR="00CC0615">
        <w:rPr>
          <w:rFonts w:cs="Times New Roman"/>
          <w:lang w:val="en-US"/>
        </w:rPr>
        <w:t>“</w:t>
      </w:r>
      <w:r w:rsidRPr="00881752">
        <w:rPr>
          <w:rFonts w:cs="Times New Roman"/>
          <w:lang w:val="en-US"/>
        </w:rPr>
        <w:t>penis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9.1). </w:t>
      </w:r>
    </w:p>
    <w:p w14:paraId="4A24C60A" w14:textId="77777777" w:rsidR="001505BE" w:rsidRPr="00881752" w:rsidRDefault="001505BE" w:rsidP="004068A8">
      <w:pPr>
        <w:tabs>
          <w:tab w:val="center" w:pos="5387"/>
        </w:tabs>
        <w:rPr>
          <w:rFonts w:cs="Times New Roman"/>
          <w:lang w:val="en-US"/>
        </w:rPr>
      </w:pPr>
    </w:p>
    <w:p w14:paraId="7FCE599A" w14:textId="3967D997" w:rsidR="001505BE" w:rsidRPr="00881752" w:rsidRDefault="001505BE" w:rsidP="00F56C73">
      <w:pPr>
        <w:tabs>
          <w:tab w:val="center" w:pos="5387"/>
        </w:tabs>
        <w:spacing w:after="120"/>
        <w:rPr>
          <w:rFonts w:cs="Times New Roman"/>
          <w:lang w:val="en-US"/>
        </w:rPr>
      </w:pPr>
      <w:r w:rsidRPr="00881752">
        <w:rPr>
          <w:rFonts w:cs="Times New Roman"/>
          <w:lang w:val="en-US"/>
        </w:rPr>
        <w:t>I argue that iambographers are interested in things and inanimate physical objects, putting their nature under the spotlight and exploring their place in the social world.</w:t>
      </w:r>
      <w:r w:rsidRPr="00881752">
        <w:rPr>
          <w:rStyle w:val="FootnoteReference"/>
          <w:rFonts w:cs="Times New Roman"/>
          <w:lang w:val="en-US"/>
        </w:rPr>
        <w:footnoteReference w:id="122"/>
      </w:r>
      <w:r w:rsidRPr="00881752">
        <w:rPr>
          <w:rFonts w:cs="Times New Roman"/>
          <w:lang w:val="en-US"/>
        </w:rPr>
        <w:t xml:space="preserve"> For </w:t>
      </w:r>
      <w:r w:rsidRPr="00881752">
        <w:rPr>
          <w:rFonts w:cs="Times New Roman"/>
          <w:lang w:val="en-US"/>
        </w:rPr>
        <w:lastRenderedPageBreak/>
        <w:t>instance, a barley cake may be part of a poor man</w:t>
      </w:r>
      <w:r w:rsidR="00075F5F">
        <w:rPr>
          <w:rFonts w:cs="Times New Roman"/>
          <w:lang w:val="en-US"/>
        </w:rPr>
        <w:t>’</w:t>
      </w:r>
      <w:r w:rsidRPr="00881752">
        <w:rPr>
          <w:rFonts w:cs="Times New Roman"/>
          <w:lang w:val="en-US"/>
        </w:rPr>
        <w:t>s meal, or of a rich man</w:t>
      </w:r>
      <w:r w:rsidR="00075F5F">
        <w:rPr>
          <w:rFonts w:cs="Times New Roman"/>
          <w:lang w:val="en-US"/>
        </w:rPr>
        <w:t>’</w:t>
      </w:r>
      <w:r w:rsidRPr="00881752">
        <w:rPr>
          <w:rFonts w:cs="Times New Roman"/>
          <w:lang w:val="en-US"/>
        </w:rPr>
        <w:t>s meal in a different social context, or of an offering to god in yet another context. Therefore, ties between objects and their social positioning are of particular concern to the iambographers, as iambs often challenge these ties and confuse or transgress them. My analysis of the material world in iambs rests on three principal observations:</w:t>
      </w:r>
    </w:p>
    <w:p w14:paraId="2A505F55" w14:textId="77777777" w:rsidR="001505BE" w:rsidRPr="00881752" w:rsidRDefault="001505BE" w:rsidP="00F56C73">
      <w:pPr>
        <w:widowControl w:val="0"/>
        <w:numPr>
          <w:ilvl w:val="0"/>
          <w:numId w:val="43"/>
        </w:numPr>
        <w:tabs>
          <w:tab w:val="left" w:pos="360"/>
          <w:tab w:val="left" w:pos="720"/>
          <w:tab w:val="center" w:pos="5387"/>
        </w:tabs>
        <w:rPr>
          <w:rFonts w:cs="Times New Roman"/>
          <w:lang w:val="en-US"/>
        </w:rPr>
      </w:pPr>
      <w:r w:rsidRPr="00881752">
        <w:rPr>
          <w:rFonts w:cs="Times New Roman"/>
          <w:lang w:val="en-US"/>
        </w:rPr>
        <w:t>Objects of the material world fill the iambic texts, which claim the material as their own and represent it largely in verbal form.</w:t>
      </w:r>
      <w:r w:rsidRPr="00881752">
        <w:rPr>
          <w:rStyle w:val="FootnoteReference"/>
          <w:rFonts w:cs="Times New Roman"/>
          <w:lang w:val="en-US"/>
        </w:rPr>
        <w:footnoteReference w:id="123"/>
      </w:r>
      <w:r w:rsidRPr="00881752">
        <w:rPr>
          <w:rFonts w:cs="Times New Roman"/>
          <w:lang w:val="en-US"/>
        </w:rPr>
        <w:t xml:space="preserve"> It is for this reason that iambic fragments are so frequently quoted by authors such as Athenaeus</w:t>
      </w:r>
      <w:r w:rsidRPr="00881752">
        <w:rPr>
          <w:rStyle w:val="FootnoteReference"/>
          <w:rFonts w:cs="Times New Roman"/>
          <w:lang w:val="en-US"/>
        </w:rPr>
        <w:footnoteReference w:id="124"/>
      </w:r>
      <w:r w:rsidRPr="00881752">
        <w:rPr>
          <w:rFonts w:cs="Times New Roman"/>
          <w:lang w:val="en-US"/>
        </w:rPr>
        <w:t xml:space="preserve"> and Pollux, for whom the texts attest to the terms for everyday objects of earlier periods. Because iambs were performed, it is possible that verbal representations of objects were further supported by gesture and props.</w:t>
      </w:r>
      <w:r w:rsidRPr="00881752">
        <w:rPr>
          <w:rStyle w:val="FootnoteReference"/>
          <w:rFonts w:cs="Times New Roman"/>
          <w:lang w:val="en-US"/>
        </w:rPr>
        <w:footnoteReference w:id="125"/>
      </w:r>
    </w:p>
    <w:p w14:paraId="6866196B" w14:textId="77777777" w:rsidR="001505BE" w:rsidRPr="00881752" w:rsidRDefault="001505BE" w:rsidP="00F56C73">
      <w:pPr>
        <w:widowControl w:val="0"/>
        <w:numPr>
          <w:ilvl w:val="0"/>
          <w:numId w:val="43"/>
        </w:numPr>
        <w:tabs>
          <w:tab w:val="left" w:pos="360"/>
          <w:tab w:val="left" w:pos="720"/>
          <w:tab w:val="center" w:pos="5387"/>
        </w:tabs>
        <w:rPr>
          <w:rFonts w:cs="Times New Roman"/>
          <w:lang w:val="en-US"/>
        </w:rPr>
      </w:pPr>
      <w:r w:rsidRPr="00881752">
        <w:rPr>
          <w:rFonts w:cs="Times New Roman"/>
          <w:lang w:val="en-US"/>
        </w:rPr>
        <w:t>Objects are presented in their social and cultural contexts, positioning them within a hierarchy.</w:t>
      </w:r>
      <w:r w:rsidRPr="00881752">
        <w:rPr>
          <w:rStyle w:val="FootnoteReference"/>
          <w:rFonts w:cs="Times New Roman"/>
          <w:lang w:val="en-US"/>
        </w:rPr>
        <w:footnoteReference w:id="126"/>
      </w:r>
      <w:r w:rsidRPr="00881752">
        <w:rPr>
          <w:rFonts w:cs="Times New Roman"/>
          <w:lang w:val="en-US"/>
        </w:rPr>
        <w:t xml:space="preserve"> </w:t>
      </w:r>
    </w:p>
    <w:p w14:paraId="2FE9FA09" w14:textId="77777777" w:rsidR="001505BE" w:rsidRPr="00881752" w:rsidRDefault="001505BE" w:rsidP="00F56C73">
      <w:pPr>
        <w:widowControl w:val="0"/>
        <w:numPr>
          <w:ilvl w:val="0"/>
          <w:numId w:val="43"/>
        </w:numPr>
        <w:tabs>
          <w:tab w:val="left" w:pos="360"/>
          <w:tab w:val="left" w:pos="720"/>
          <w:tab w:val="center" w:pos="5387"/>
        </w:tabs>
        <w:spacing w:after="120"/>
        <w:ind w:left="714" w:hanging="357"/>
        <w:rPr>
          <w:rFonts w:cs="Times New Roman"/>
          <w:lang w:val="en-US"/>
        </w:rPr>
      </w:pPr>
      <w:r w:rsidRPr="00881752">
        <w:rPr>
          <w:rFonts w:cs="Times New Roman"/>
          <w:lang w:val="en-US"/>
        </w:rPr>
        <w:t>It is rare for material objects to be culturally neutral, since goods carry social and cultural meaning:</w:t>
      </w:r>
      <w:r w:rsidRPr="00881752">
        <w:rPr>
          <w:rStyle w:val="FootnoteReference"/>
          <w:rFonts w:cs="Times New Roman"/>
          <w:lang w:val="en-US"/>
        </w:rPr>
        <w:footnoteReference w:id="127"/>
      </w:r>
      <w:r w:rsidRPr="00881752">
        <w:rPr>
          <w:rFonts w:cs="Times New Roman"/>
          <w:lang w:val="en-US"/>
        </w:rPr>
        <w:t xml:space="preserve"> for the pleasure they bring, for their role in society, and for capacity to position the individual within social networks and groups.</w:t>
      </w:r>
      <w:r w:rsidRPr="00881752">
        <w:rPr>
          <w:rStyle w:val="FootnoteReference"/>
          <w:rFonts w:cs="Times New Roman"/>
          <w:lang w:val="en-US"/>
        </w:rPr>
        <w:footnoteReference w:id="128"/>
      </w:r>
      <w:r w:rsidRPr="00881752">
        <w:rPr>
          <w:rFonts w:cs="Times New Roman"/>
          <w:lang w:val="en-US"/>
        </w:rPr>
        <w:t xml:space="preserve"> </w:t>
      </w:r>
    </w:p>
    <w:p w14:paraId="793D7309" w14:textId="42D10E69" w:rsidR="004068A8" w:rsidRPr="00881752" w:rsidRDefault="001505BE" w:rsidP="00756BD3">
      <w:pPr>
        <w:rPr>
          <w:rFonts w:cs="Times New Roman"/>
          <w:szCs w:val="24"/>
        </w:rPr>
      </w:pPr>
      <w:r w:rsidRPr="00881752">
        <w:rPr>
          <w:rFonts w:cs="Times New Roman"/>
          <w:lang w:val="en-US"/>
        </w:rPr>
        <w:t xml:space="preserve">I have chosen this approach in order to show the social environment and the ideological inclinations of iambic poetry. Archilochus and Hipponax use the first person plural pronoun ἡμεῖς </w:t>
      </w:r>
      <w:r w:rsidR="00CC0615">
        <w:rPr>
          <w:rFonts w:cs="Times New Roman"/>
          <w:lang w:val="en-US"/>
        </w:rPr>
        <w:t>“</w:t>
      </w:r>
      <w:r w:rsidRPr="00881752">
        <w:rPr>
          <w:rFonts w:cs="Times New Roman"/>
          <w:lang w:val="en-US"/>
        </w:rPr>
        <w:t>we</w:t>
      </w:r>
      <w:r w:rsidR="00CC0615">
        <w:rPr>
          <w:rFonts w:cs="Times New Roman"/>
          <w:lang w:val="en-US"/>
        </w:rPr>
        <w:t>”</w:t>
      </w:r>
      <w:r w:rsidRPr="00881752">
        <w:rPr>
          <w:rFonts w:cs="Times New Roman"/>
          <w:lang w:val="en-US"/>
        </w:rPr>
        <w:t xml:space="preserve">, so that they identify themselves as belonging to a specific social group; Callimachus rarely refers to </w:t>
      </w:r>
      <w:r w:rsidR="00CC0615">
        <w:rPr>
          <w:rFonts w:cs="Times New Roman"/>
          <w:lang w:val="en-US"/>
        </w:rPr>
        <w:t>“</w:t>
      </w:r>
      <w:r w:rsidRPr="00881752">
        <w:rPr>
          <w:rFonts w:cs="Times New Roman"/>
          <w:lang w:val="en-US"/>
        </w:rPr>
        <w:t>us</w:t>
      </w:r>
      <w:r w:rsidR="00CC0615">
        <w:rPr>
          <w:rFonts w:cs="Times New Roman"/>
          <w:lang w:val="en-US"/>
        </w:rPr>
        <w:t>”</w:t>
      </w:r>
      <w:r w:rsidRPr="00881752">
        <w:rPr>
          <w:rFonts w:cs="Times New Roman"/>
          <w:lang w:val="en-US"/>
        </w:rPr>
        <w:t xml:space="preserve"> and he himself is never included, but he often criticises </w:t>
      </w:r>
      <w:r w:rsidR="00CC0615">
        <w:rPr>
          <w:rFonts w:cs="Times New Roman"/>
          <w:lang w:val="en-US"/>
        </w:rPr>
        <w:t>“</w:t>
      </w:r>
      <w:r w:rsidRPr="00881752">
        <w:rPr>
          <w:rFonts w:cs="Times New Roman"/>
          <w:lang w:val="en-US"/>
        </w:rPr>
        <w:t>you</w:t>
      </w:r>
      <w:r w:rsidR="00CC0615">
        <w:rPr>
          <w:rFonts w:cs="Times New Roman"/>
          <w:lang w:val="en-US"/>
        </w:rPr>
        <w:t>”</w:t>
      </w:r>
      <w:r w:rsidRPr="00881752">
        <w:rPr>
          <w:rFonts w:cs="Times New Roman"/>
          <w:lang w:val="en-US"/>
        </w:rPr>
        <w:t xml:space="preserve"> as a group of individuals who share the same social context. At a semantic level, this implies a sort of inversion of the parts involved in the narrative; while Archilochus and Hipponax speak on behalf of the community and isolate their target, branding them as outcasts, Callimachus rises alone against the multitude of others who oppose him. In this way, Archilochus and Hipponax juxtapose </w:t>
      </w:r>
      <w:r w:rsidR="00CC0615">
        <w:rPr>
          <w:rFonts w:cs="Times New Roman"/>
          <w:lang w:val="en-US"/>
        </w:rPr>
        <w:t>“</w:t>
      </w:r>
      <w:r w:rsidRPr="00881752">
        <w:rPr>
          <w:rFonts w:cs="Times New Roman"/>
          <w:lang w:val="en-US"/>
        </w:rPr>
        <w:t>us</w:t>
      </w:r>
      <w:r w:rsidR="00CC0615">
        <w:rPr>
          <w:rFonts w:cs="Times New Roman"/>
          <w:lang w:val="en-US"/>
        </w:rPr>
        <w:t>”</w:t>
      </w:r>
      <w:r w:rsidRPr="00881752">
        <w:rPr>
          <w:rFonts w:cs="Times New Roman"/>
          <w:lang w:val="en-US"/>
        </w:rPr>
        <w:t xml:space="preserve"> against </w:t>
      </w:r>
      <w:r w:rsidR="00CC0615">
        <w:rPr>
          <w:rFonts w:cs="Times New Roman"/>
          <w:lang w:val="en-US"/>
        </w:rPr>
        <w:t>“</w:t>
      </w:r>
      <w:r w:rsidRPr="00881752">
        <w:rPr>
          <w:rFonts w:cs="Times New Roman"/>
          <w:lang w:val="en-US"/>
        </w:rPr>
        <w:t>him,</w:t>
      </w:r>
      <w:r w:rsidR="00CC0615">
        <w:rPr>
          <w:rFonts w:cs="Times New Roman"/>
          <w:lang w:val="en-US"/>
        </w:rPr>
        <w:t>”</w:t>
      </w:r>
      <w:r w:rsidRPr="00881752">
        <w:rPr>
          <w:rFonts w:cs="Times New Roman"/>
          <w:lang w:val="en-US"/>
        </w:rPr>
        <w:t xml:space="preserve"> the one whom they publicly chastise; while Callimachus publicly exposes himself to those who criticise him. Meaningful in this context is Callimachus</w:t>
      </w:r>
      <w:r w:rsidR="00075F5F">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4.98-103:</w:t>
      </w:r>
      <w:r w:rsidR="00272F31" w:rsidRPr="00881752">
        <w:rPr>
          <w:rFonts w:cs="Times New Roman"/>
          <w:szCs w:val="24"/>
        </w:rPr>
        <w:t xml:space="preserve"> </w:t>
      </w:r>
    </w:p>
    <w:p w14:paraId="254C30D2" w14:textId="77777777" w:rsidR="00272F31" w:rsidRPr="00881752" w:rsidRDefault="00272F31" w:rsidP="00F56C73">
      <w:pPr>
        <w:ind w:firstLine="426"/>
      </w:pPr>
    </w:p>
    <w:tbl>
      <w:tblPr>
        <w:tblStyle w:val="TableGrid"/>
        <w:tblW w:w="4657" w:type="pct"/>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442"/>
        <w:gridCol w:w="3829"/>
      </w:tblGrid>
      <w:tr w:rsidR="00272F31" w:rsidRPr="00881752" w14:paraId="787BC6BE" w14:textId="77777777" w:rsidTr="0013179E">
        <w:tc>
          <w:tcPr>
            <w:tcW w:w="2685" w:type="pct"/>
          </w:tcPr>
          <w:p w14:paraId="0582D991" w14:textId="71E4D773" w:rsidR="00272F31" w:rsidRPr="00881752" w:rsidRDefault="00CC0615" w:rsidP="001E50E4">
            <w:pPr>
              <w:pStyle w:val="Blockquote"/>
              <w:rPr>
                <w:sz w:val="22"/>
                <w:szCs w:val="22"/>
              </w:rPr>
            </w:pPr>
            <w:r>
              <w:rPr>
                <w:sz w:val="22"/>
                <w:szCs w:val="22"/>
              </w:rPr>
              <w:t>“</w:t>
            </w:r>
            <w:r w:rsidR="00272F31" w:rsidRPr="00881752">
              <w:rPr>
                <w:sz w:val="22"/>
                <w:szCs w:val="22"/>
              </w:rPr>
              <w:t>οὐκ ὦ τάλαιναι παυσόμεσθα, μὴ χ̣α̣ρ̣τ̣αί</w:t>
            </w:r>
          </w:p>
          <w:p w14:paraId="07E14301" w14:textId="03789183" w:rsidR="00272F31" w:rsidRPr="00881752" w:rsidRDefault="00272F31" w:rsidP="001E50E4">
            <w:pPr>
              <w:pStyle w:val="Blockquote"/>
              <w:rPr>
                <w:sz w:val="22"/>
                <w:szCs w:val="22"/>
              </w:rPr>
            </w:pPr>
            <w:r w:rsidRPr="00881752">
              <w:rPr>
                <w:sz w:val="22"/>
                <w:szCs w:val="22"/>
              </w:rPr>
              <w:t>γενώμεθ</w:t>
            </w:r>
            <w:r w:rsidR="00075F5F">
              <w:rPr>
                <w:sz w:val="22"/>
                <w:szCs w:val="22"/>
              </w:rPr>
              <w:t>’</w:t>
            </w:r>
            <w:r w:rsidRPr="00881752">
              <w:rPr>
                <w:sz w:val="22"/>
                <w:szCs w:val="22"/>
              </w:rPr>
              <w:t xml:space="preserve"> ἐχθροῖς, μηδ</w:t>
            </w:r>
            <w:r w:rsidR="00075F5F">
              <w:rPr>
                <w:sz w:val="22"/>
                <w:szCs w:val="22"/>
              </w:rPr>
              <w:t>’</w:t>
            </w:r>
            <w:r w:rsidRPr="00881752">
              <w:rPr>
                <w:sz w:val="22"/>
                <w:szCs w:val="22"/>
              </w:rPr>
              <w:t xml:space="preserve"> ἐροῦμεν ἀλλήλας</w:t>
            </w:r>
          </w:p>
          <w:p w14:paraId="67D44119" w14:textId="3877A274" w:rsidR="00272F31" w:rsidRPr="00881752" w:rsidRDefault="00272F31" w:rsidP="001E50E4">
            <w:pPr>
              <w:pStyle w:val="Blockquote"/>
              <w:rPr>
                <w:sz w:val="22"/>
                <w:szCs w:val="22"/>
              </w:rPr>
            </w:pPr>
            <w:r w:rsidRPr="00881752">
              <w:rPr>
                <w:sz w:val="22"/>
                <w:szCs w:val="22"/>
              </w:rPr>
              <w:t>ἄνολβ</w:t>
            </w:r>
            <w:r w:rsidR="00075F5F">
              <w:rPr>
                <w:sz w:val="22"/>
                <w:szCs w:val="22"/>
              </w:rPr>
              <w:t>’</w:t>
            </w:r>
            <w:r w:rsidRPr="00881752">
              <w:rPr>
                <w:sz w:val="22"/>
                <w:szCs w:val="22"/>
              </w:rPr>
              <w:t xml:space="preserve"> ἀναιδέως, ἀλλὰ ταῦτά γ̣</w:t>
            </w:r>
            <w:r w:rsidR="00075F5F">
              <w:rPr>
                <w:sz w:val="22"/>
                <w:szCs w:val="22"/>
              </w:rPr>
              <w:t>’</w:t>
            </w:r>
            <w:r w:rsidRPr="00881752">
              <w:rPr>
                <w:sz w:val="22"/>
                <w:szCs w:val="22"/>
              </w:rPr>
              <w:t> </w:t>
            </w:r>
            <w:r w:rsidR="00B15395">
              <w:fldChar w:fldCharType="begin"/>
            </w:r>
            <w:r w:rsidR="00B15395">
              <w:instrText xml:space="preserve"> HYPERLINK "http://www.tlg.uci.edu.elib.tcd.ie/help/BetaManual/online/excl.html" \t "morph" </w:instrText>
            </w:r>
            <w:r w:rsidR="00B15395">
              <w:fldChar w:fldCharType="separate"/>
            </w:r>
            <w:r w:rsidRPr="00881752">
              <w:rPr>
                <w:sz w:val="22"/>
                <w:szCs w:val="22"/>
              </w:rPr>
              <w:t>.</w:t>
            </w:r>
            <w:r w:rsidR="00B15395">
              <w:rPr>
                <w:sz w:val="22"/>
                <w:szCs w:val="22"/>
              </w:rPr>
              <w:fldChar w:fldCharType="end"/>
            </w:r>
            <w:r w:rsidRPr="00881752">
              <w:rPr>
                <w:sz w:val="22"/>
                <w:szCs w:val="22"/>
              </w:rPr>
              <w:t>β̣</w:t>
            </w:r>
            <w:r w:rsidR="00B15395">
              <w:fldChar w:fldCharType="begin"/>
            </w:r>
            <w:r w:rsidR="00B15395">
              <w:instrText xml:space="preserve"> HYPERLINK "http://www.tlg.uci.edu.elib.tcd.ie/help/BetaManual/online/excl.html" \t "morph" </w:instrText>
            </w:r>
            <w:r w:rsidR="00B15395">
              <w:fldChar w:fldCharType="separate"/>
            </w:r>
            <w:r w:rsidRPr="00881752">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881752">
              <w:rPr>
                <w:sz w:val="22"/>
                <w:szCs w:val="22"/>
              </w:rPr>
              <w:t>.</w:t>
            </w:r>
            <w:r w:rsidR="00B15395">
              <w:rPr>
                <w:sz w:val="22"/>
                <w:szCs w:val="22"/>
              </w:rPr>
              <w:fldChar w:fldCharType="end"/>
            </w:r>
            <w:r w:rsidRPr="00881752">
              <w:rPr>
                <w:sz w:val="22"/>
                <w:szCs w:val="22"/>
              </w:rPr>
              <w:t>μ̣</w:t>
            </w:r>
            <w:r w:rsidR="00B15395">
              <w:fldChar w:fldCharType="begin"/>
            </w:r>
            <w:r w:rsidR="00B15395">
              <w:instrText xml:space="preserve"> HYPERLINK "http://www.tlg.uci.edu.elib.tcd.ie/help/BetaManual/online/excl.html" \t "morph" </w:instrText>
            </w:r>
            <w:r w:rsidR="00B15395">
              <w:fldChar w:fldCharType="separate"/>
            </w:r>
            <w:r w:rsidRPr="00881752">
              <w:rPr>
                <w:sz w:val="22"/>
                <w:szCs w:val="22"/>
              </w:rPr>
              <w:t>.</w:t>
            </w:r>
            <w:r w:rsidR="00B15395">
              <w:rPr>
                <w:sz w:val="22"/>
                <w:szCs w:val="22"/>
              </w:rPr>
              <w:fldChar w:fldCharType="end"/>
            </w:r>
            <w:r w:rsidR="00CC0615">
              <w:rPr>
                <w:sz w:val="22"/>
                <w:szCs w:val="22"/>
              </w:rPr>
              <w:t>“</w:t>
            </w:r>
          </w:p>
          <w:p w14:paraId="54D23DB6" w14:textId="0BA7A034" w:rsidR="00272F31" w:rsidRPr="00881752" w:rsidRDefault="00272F31" w:rsidP="001E50E4">
            <w:pPr>
              <w:pStyle w:val="Blockquote"/>
              <w:rPr>
                <w:sz w:val="22"/>
                <w:szCs w:val="22"/>
              </w:rPr>
            </w:pPr>
            <w:r w:rsidRPr="00881752">
              <w:rPr>
                <w:sz w:val="22"/>
                <w:szCs w:val="22"/>
              </w:rPr>
              <w:t>τὴν δ</w:t>
            </w:r>
            <w:r w:rsidR="00075F5F">
              <w:rPr>
                <w:sz w:val="22"/>
                <w:szCs w:val="22"/>
              </w:rPr>
              <w:t>’</w:t>
            </w:r>
            <w:r w:rsidRPr="00881752">
              <w:rPr>
                <w:sz w:val="22"/>
                <w:szCs w:val="22"/>
              </w:rPr>
              <w:t xml:space="preserve"> ἆρ</w:t>
            </w:r>
            <w:r w:rsidR="00075F5F">
              <w:rPr>
                <w:sz w:val="22"/>
                <w:szCs w:val="22"/>
              </w:rPr>
              <w:t>’</w:t>
            </w:r>
            <w:r w:rsidRPr="00881752">
              <w:rPr>
                <w:sz w:val="22"/>
                <w:szCs w:val="22"/>
              </w:rPr>
              <w:t xml:space="preserve"> ὑποδρὰξ οἷα ταῦρος ἡ δάφνη </w:t>
            </w:r>
          </w:p>
          <w:p w14:paraId="209662F5" w14:textId="78109482" w:rsidR="00272F31" w:rsidRPr="00881752" w:rsidRDefault="00272F31" w:rsidP="001E50E4">
            <w:pPr>
              <w:pStyle w:val="Blockquote"/>
              <w:rPr>
                <w:sz w:val="22"/>
                <w:szCs w:val="22"/>
              </w:rPr>
            </w:pPr>
            <w:r w:rsidRPr="00881752">
              <w:rPr>
                <w:sz w:val="22"/>
                <w:szCs w:val="22"/>
              </w:rPr>
              <w:t>ἔβλεψε καὶ τάδ</w:t>
            </w:r>
            <w:r w:rsidR="00075F5F">
              <w:rPr>
                <w:sz w:val="22"/>
                <w:szCs w:val="22"/>
              </w:rPr>
              <w:t>’</w:t>
            </w:r>
            <w:r w:rsidRPr="00881752">
              <w:rPr>
                <w:sz w:val="22"/>
                <w:szCs w:val="22"/>
              </w:rPr>
              <w:t xml:space="preserve"> εἶπεν· </w:t>
            </w:r>
            <w:r w:rsidR="00CC0615">
              <w:rPr>
                <w:sz w:val="22"/>
                <w:szCs w:val="22"/>
              </w:rPr>
              <w:t>”</w:t>
            </w:r>
            <w:r w:rsidRPr="00881752">
              <w:rPr>
                <w:sz w:val="22"/>
                <w:szCs w:val="22"/>
              </w:rPr>
              <w:t>ὦ κακὴ λώβη</w:t>
            </w:r>
          </w:p>
          <w:p w14:paraId="445F23CD" w14:textId="359F7A47" w:rsidR="00272F31" w:rsidRPr="00881752" w:rsidRDefault="00272F31" w:rsidP="001E50E4">
            <w:pPr>
              <w:pStyle w:val="Blockquote"/>
              <w:rPr>
                <w:sz w:val="22"/>
                <w:szCs w:val="22"/>
              </w:rPr>
            </w:pPr>
            <w:r w:rsidRPr="00881752">
              <w:rPr>
                <w:sz w:val="22"/>
                <w:szCs w:val="22"/>
              </w:rPr>
              <w:t>ὡς δὴ μί</w:t>
            </w:r>
            <w:r w:rsidR="00075F5F">
              <w:rPr>
                <w:sz w:val="22"/>
                <w:szCs w:val="22"/>
              </w:rPr>
              <w:t>’</w:t>
            </w:r>
            <w:r w:rsidRPr="00881752">
              <w:rPr>
                <w:sz w:val="22"/>
                <w:szCs w:val="22"/>
              </w:rPr>
              <w:t xml:space="preserve"> ἡμέων καὶ σύ</w:t>
            </w:r>
            <w:r w:rsidR="00CC0615">
              <w:rPr>
                <w:sz w:val="22"/>
                <w:szCs w:val="22"/>
              </w:rPr>
              <w:t>”</w:t>
            </w:r>
          </w:p>
        </w:tc>
        <w:tc>
          <w:tcPr>
            <w:tcW w:w="2315" w:type="pct"/>
          </w:tcPr>
          <w:p w14:paraId="10ED3E4D" w14:textId="2A9A6801" w:rsidR="00272F31" w:rsidRPr="00881752" w:rsidRDefault="00CC0615" w:rsidP="001E50E4">
            <w:pPr>
              <w:pStyle w:val="Blockquote"/>
              <w:rPr>
                <w:sz w:val="22"/>
                <w:szCs w:val="22"/>
              </w:rPr>
            </w:pPr>
            <w:r>
              <w:rPr>
                <w:rStyle w:val="txt"/>
                <w:sz w:val="22"/>
                <w:szCs w:val="22"/>
              </w:rPr>
              <w:t>“</w:t>
            </w:r>
            <w:r w:rsidR="00272F31" w:rsidRPr="00881752">
              <w:rPr>
                <w:rStyle w:val="txt"/>
                <w:sz w:val="22"/>
                <w:szCs w:val="22"/>
              </w:rPr>
              <w:t>Shouldn</w:t>
            </w:r>
            <w:r w:rsidR="00075F5F">
              <w:rPr>
                <w:rStyle w:val="txt"/>
                <w:sz w:val="22"/>
                <w:szCs w:val="22"/>
              </w:rPr>
              <w:t>’</w:t>
            </w:r>
            <w:r w:rsidR="00272F31" w:rsidRPr="00881752">
              <w:rPr>
                <w:rStyle w:val="txt"/>
                <w:sz w:val="22"/>
                <w:szCs w:val="22"/>
              </w:rPr>
              <w:t>t we stop, losers, lest we become a joy to our enemies, and not shamelessly talk trash to each other, but these things...</w:t>
            </w:r>
            <w:r>
              <w:rPr>
                <w:rStyle w:val="txt"/>
                <w:sz w:val="22"/>
                <w:szCs w:val="22"/>
              </w:rPr>
              <w:t>”</w:t>
            </w:r>
            <w:r w:rsidR="00272F31" w:rsidRPr="00881752">
              <w:rPr>
                <w:rStyle w:val="txt"/>
                <w:sz w:val="22"/>
                <w:szCs w:val="22"/>
              </w:rPr>
              <w:t xml:space="preserve"> But then the laurel, giving her an angry look, like a bull, says: </w:t>
            </w:r>
            <w:r>
              <w:rPr>
                <w:rStyle w:val="txt"/>
                <w:sz w:val="22"/>
                <w:szCs w:val="22"/>
              </w:rPr>
              <w:t>“</w:t>
            </w:r>
            <w:r w:rsidR="00272F31" w:rsidRPr="00881752">
              <w:rPr>
                <w:rStyle w:val="txt"/>
                <w:sz w:val="22"/>
                <w:szCs w:val="22"/>
              </w:rPr>
              <w:t>You lousy disgrace, so you are one of us?</w:t>
            </w:r>
            <w:r>
              <w:rPr>
                <w:rStyle w:val="txt"/>
                <w:sz w:val="22"/>
                <w:szCs w:val="22"/>
              </w:rPr>
              <w:t>”</w:t>
            </w:r>
          </w:p>
        </w:tc>
      </w:tr>
    </w:tbl>
    <w:p w14:paraId="3F845EC2" w14:textId="77777777" w:rsidR="00272F31" w:rsidRPr="00881752" w:rsidRDefault="00272F31" w:rsidP="001E50E4">
      <w:pPr>
        <w:pStyle w:val="Blockquote"/>
      </w:pPr>
    </w:p>
    <w:p w14:paraId="5737CF81" w14:textId="77777777" w:rsidR="001505BE" w:rsidRPr="00881752" w:rsidRDefault="001505BE" w:rsidP="00756BD3">
      <w:pPr>
        <w:rPr>
          <w:rFonts w:cs="Times New Roman"/>
          <w:lang w:val="en-US"/>
        </w:rPr>
      </w:pPr>
      <w:r w:rsidRPr="00881752">
        <w:rPr>
          <w:rFonts w:cs="Times New Roman"/>
          <w:lang w:val="en-US"/>
        </w:rPr>
        <w:t>Self-advancement and self-consciousness prevail over any feeling of belonging; the bramble</w:t>
      </w:r>
      <w:r w:rsidRPr="00881752">
        <w:rPr>
          <w:rStyle w:val="FootnoteReference"/>
          <w:rFonts w:cs="Times New Roman"/>
          <w:lang w:val="en-US"/>
        </w:rPr>
        <w:footnoteReference w:id="129"/>
      </w:r>
      <w:r w:rsidRPr="00881752">
        <w:rPr>
          <w:rFonts w:cs="Times New Roman"/>
          <w:lang w:val="en-US"/>
        </w:rPr>
        <w:t xml:space="preserve"> preaches solidarity and good manners to his social betters, who openly reject him. Moreover, the use of the plural ἐχθροί is interesting, if not decisive, corresponding to the idea of the others who antagonise the speaker. In Archilochus and Hipponax, instances of the word ἐχθρός are usually singular and refer to the target of the invective: the one outside the social group. In both cases, iambic poetry describes the social circumstances within which it was produced.</w:t>
      </w:r>
    </w:p>
    <w:p w14:paraId="45732019" w14:textId="084BA45B" w:rsidR="004068A8" w:rsidRPr="00881752" w:rsidRDefault="001505BE" w:rsidP="007D78E3">
      <w:pPr>
        <w:tabs>
          <w:tab w:val="center" w:pos="5387"/>
        </w:tabs>
        <w:ind w:firstLine="426"/>
        <w:rPr>
          <w:rFonts w:cs="Times New Roman"/>
          <w:szCs w:val="24"/>
        </w:rPr>
      </w:pPr>
      <w:r w:rsidRPr="00881752">
        <w:rPr>
          <w:rFonts w:cs="Times New Roman"/>
          <w:lang w:val="en-US"/>
        </w:rPr>
        <w:t>Material goods may be identified with commodities.</w:t>
      </w:r>
      <w:r w:rsidRPr="00881752">
        <w:rPr>
          <w:rStyle w:val="FootnoteReference"/>
          <w:rFonts w:cs="Times New Roman"/>
          <w:lang w:val="en-US"/>
        </w:rPr>
        <w:footnoteReference w:id="130"/>
      </w:r>
      <w:r w:rsidRPr="00881752">
        <w:rPr>
          <w:rFonts w:cs="Times New Roman"/>
          <w:lang w:val="en-US"/>
        </w:rPr>
        <w:t xml:space="preserve"> Alternatively, they may be endowed with a special cultural or social significance. In iambic texts it emerges that goods may move from the category of </w:t>
      </w:r>
      <w:r w:rsidR="00CC0615">
        <w:rPr>
          <w:rFonts w:cs="Times New Roman"/>
          <w:lang w:val="en-US"/>
        </w:rPr>
        <w:t>“</w:t>
      </w:r>
      <w:r w:rsidRPr="00881752">
        <w:rPr>
          <w:rFonts w:cs="Times New Roman"/>
          <w:lang w:val="en-US"/>
        </w:rPr>
        <w:t>commodity</w:t>
      </w:r>
      <w:r w:rsidR="00CC0615">
        <w:rPr>
          <w:rFonts w:cs="Times New Roman"/>
          <w:lang w:val="en-US"/>
        </w:rPr>
        <w:t>”</w:t>
      </w:r>
      <w:r w:rsidRPr="00881752">
        <w:rPr>
          <w:rFonts w:cs="Times New Roman"/>
          <w:lang w:val="en-US"/>
        </w:rPr>
        <w:t xml:space="preserve"> to a special category, since commodities have </w:t>
      </w:r>
      <w:r w:rsidR="00CC0615">
        <w:rPr>
          <w:rFonts w:cs="Times New Roman"/>
          <w:lang w:val="en-US"/>
        </w:rPr>
        <w:t>“</w:t>
      </w:r>
      <w:r w:rsidRPr="00881752">
        <w:rPr>
          <w:rFonts w:cs="Times New Roman"/>
          <w:lang w:val="en-US"/>
        </w:rPr>
        <w:t>use value and can be exchanged in a discrete transaction for a counterpart.</w:t>
      </w:r>
      <w:r w:rsidR="00CC0615">
        <w:rPr>
          <w:rFonts w:cs="Times New Roman"/>
          <w:lang w:val="en-US"/>
        </w:rPr>
        <w:t>”</w:t>
      </w:r>
      <w:r w:rsidRPr="00881752">
        <w:rPr>
          <w:rStyle w:val="FootnoteReference"/>
          <w:rFonts w:cs="Times New Roman"/>
          <w:lang w:val="en-US"/>
        </w:rPr>
        <w:footnoteReference w:id="131"/>
      </w:r>
      <w:r w:rsidRPr="00881752">
        <w:rPr>
          <w:rFonts w:cs="Times New Roman"/>
          <w:lang w:val="en-US"/>
        </w:rPr>
        <w:t xml:space="preserve"> Money is a sign that something is a commodity, and a commodity differs from a gift in being discrete and part of a finite transaction. Saleability implies goods in common that can be exchanged, and cultures create order by delineating differences in value and classifying areas of homogeneity and hierarchy.</w:t>
      </w:r>
      <w:r w:rsidRPr="00881752">
        <w:rPr>
          <w:rStyle w:val="FootnoteReference"/>
          <w:rFonts w:cs="Times New Roman"/>
          <w:lang w:val="en-US"/>
        </w:rPr>
        <w:footnoteReference w:id="132"/>
      </w:r>
      <w:r w:rsidRPr="00881752">
        <w:rPr>
          <w:rFonts w:cs="Times New Roman"/>
          <w:lang w:val="en-US"/>
        </w:rPr>
        <w:t xml:space="preserve"> The exchange of goods between individuals differently positioned in the hierarchy is a major preoccupation of iambographers, and that hierarchy is often challenged and reconfigured. Hipponax</w:t>
      </w:r>
      <w:r w:rsidR="00075F5F">
        <w:rPr>
          <w:rFonts w:cs="Times New Roman"/>
          <w:lang w:val="en-US"/>
        </w:rPr>
        <w:t>’</w:t>
      </w:r>
      <w:r w:rsidRPr="00881752">
        <w:rPr>
          <w:rFonts w:cs="Times New Roman"/>
          <w:lang w:val="en-US"/>
        </w:rPr>
        <w:t>s fragments 42b; 44; 47 and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include words that variously denote the selling/buying relationship as ἀνασίμωμα </w:t>
      </w:r>
      <w:r w:rsidR="00CC0615">
        <w:rPr>
          <w:rFonts w:cs="Times New Roman"/>
          <w:lang w:val="en-US"/>
        </w:rPr>
        <w:t>“</w:t>
      </w:r>
      <w:r w:rsidRPr="00881752">
        <w:rPr>
          <w:rFonts w:cs="Times New Roman"/>
          <w:lang w:val="en-US"/>
        </w:rPr>
        <w:t>expense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6.45), καπηλεύω </w:t>
      </w:r>
      <w:r w:rsidR="00CC0615">
        <w:rPr>
          <w:rFonts w:cs="Times New Roman"/>
          <w:lang w:val="en-US"/>
        </w:rPr>
        <w:t>“</w:t>
      </w:r>
      <w:r w:rsidRPr="00881752">
        <w:rPr>
          <w:rFonts w:cs="Times New Roman"/>
          <w:lang w:val="en-US"/>
        </w:rPr>
        <w:t>trade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1.89), κόλλυβος </w:t>
      </w:r>
      <w:r w:rsidR="00CC0615">
        <w:rPr>
          <w:rFonts w:cs="Times New Roman"/>
          <w:lang w:val="en-US"/>
        </w:rPr>
        <w:t>“</w:t>
      </w:r>
      <w:r w:rsidRPr="00881752">
        <w:rPr>
          <w:rFonts w:cs="Times New Roman"/>
          <w:lang w:val="en-US"/>
        </w:rPr>
        <w:t>little coin</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1.2), and πιπράσκω </w:t>
      </w:r>
      <w:r w:rsidR="00CC0615">
        <w:rPr>
          <w:rFonts w:cs="Times New Roman"/>
          <w:lang w:val="en-US"/>
        </w:rPr>
        <w:t>“</w:t>
      </w:r>
      <w:r w:rsidRPr="00881752">
        <w:rPr>
          <w:rFonts w:cs="Times New Roman"/>
          <w:lang w:val="en-US"/>
        </w:rPr>
        <w:t>sell</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1.2). Money plays a significant part in both these the iambographers, and attaching prices to goods becomes more common overall in Hellenistic iambic literature.</w:t>
      </w:r>
      <w:r w:rsidRPr="00881752">
        <w:rPr>
          <w:rStyle w:val="FootnoteReference"/>
          <w:rFonts w:cs="Times New Roman"/>
          <w:lang w:val="en-US"/>
        </w:rPr>
        <w:footnoteReference w:id="133"/>
      </w:r>
      <w:r w:rsidRPr="00881752">
        <w:rPr>
          <w:rFonts w:cs="Times New Roman"/>
          <w:lang w:val="en-US"/>
        </w:rPr>
        <w:t xml:space="preserve"> Certainly, the spectrum of </w:t>
      </w:r>
      <w:r w:rsidRPr="00881752">
        <w:rPr>
          <w:rFonts w:cs="Times New Roman"/>
          <w:lang w:val="en-US"/>
        </w:rPr>
        <w:lastRenderedPageBreak/>
        <w:t xml:space="preserve">commodity and </w:t>
      </w:r>
      <w:r w:rsidR="00CC0615">
        <w:rPr>
          <w:rFonts w:cs="Times New Roman"/>
          <w:lang w:val="en-US"/>
        </w:rPr>
        <w:t>“</w:t>
      </w:r>
      <w:r w:rsidRPr="00881752">
        <w:rPr>
          <w:rFonts w:cs="Times New Roman"/>
          <w:lang w:val="en-US"/>
        </w:rPr>
        <w:t>culture</w:t>
      </w:r>
      <w:r w:rsidR="00CC0615">
        <w:rPr>
          <w:rFonts w:cs="Times New Roman"/>
          <w:lang w:val="en-US"/>
        </w:rPr>
        <w:t>”</w:t>
      </w:r>
      <w:r w:rsidRPr="00881752">
        <w:rPr>
          <w:rFonts w:cs="Times New Roman"/>
          <w:lang w:val="en-US"/>
        </w:rPr>
        <w:t xml:space="preserve"> is at issue in the iambs, which tend to reduce everything to a monetary equivalent, as shown by Hippon. fr. 42b, where all the commodities Hipponax is asking to Hermes correspond to a monetary value of sixty gold staters:</w:t>
      </w:r>
      <w:r w:rsidRPr="00881752">
        <w:rPr>
          <w:rStyle w:val="FootnoteReference"/>
          <w:rFonts w:cs="Times New Roman"/>
          <w:lang w:val="en-US"/>
        </w:rPr>
        <w:footnoteReference w:id="134"/>
      </w:r>
    </w:p>
    <w:p w14:paraId="4ECE7AD5" w14:textId="77777777" w:rsidR="00272F31" w:rsidRPr="00881752" w:rsidRDefault="00272F31" w:rsidP="00F56C73">
      <w:pPr>
        <w:tabs>
          <w:tab w:val="center" w:pos="5387"/>
        </w:tabs>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44DE33BE" w14:textId="77777777" w:rsidTr="0013179E">
        <w:tc>
          <w:tcPr>
            <w:tcW w:w="4258" w:type="dxa"/>
          </w:tcPr>
          <w:p w14:paraId="5C51621C" w14:textId="77777777" w:rsidR="00272F31" w:rsidRPr="00881752" w:rsidRDefault="00272F31" w:rsidP="001E50E4">
            <w:pPr>
              <w:pStyle w:val="Blockquote"/>
              <w:rPr>
                <w:rFonts w:eastAsiaTheme="minorEastAsia"/>
                <w:sz w:val="22"/>
                <w:szCs w:val="22"/>
              </w:rPr>
            </w:pPr>
            <w:r w:rsidRPr="00881752">
              <w:rPr>
                <w:rFonts w:eastAsiaTheme="minorEastAsia"/>
                <w:sz w:val="22"/>
                <w:szCs w:val="22"/>
              </w:rPr>
              <w:t>δὸς χλαῖναν Ἱππώνακτι καὶ κυπασσίσκον</w:t>
            </w:r>
          </w:p>
          <w:p w14:paraId="392DB885" w14:textId="77777777" w:rsidR="00272F31" w:rsidRPr="00881752" w:rsidRDefault="00272F31" w:rsidP="001E50E4">
            <w:pPr>
              <w:pStyle w:val="Blockquote"/>
              <w:rPr>
                <w:rFonts w:eastAsiaTheme="minorEastAsia"/>
                <w:sz w:val="22"/>
                <w:szCs w:val="22"/>
              </w:rPr>
            </w:pPr>
            <w:r w:rsidRPr="00881752">
              <w:rPr>
                <w:rFonts w:eastAsiaTheme="minorEastAsia"/>
                <w:sz w:val="22"/>
                <w:szCs w:val="22"/>
              </w:rPr>
              <w:t>καὶ σαμβαλίσκα κἀσκερίσκα καὶ χρυσοῦ</w:t>
            </w:r>
            <w:r w:rsidRPr="00881752">
              <w:rPr>
                <w:rFonts w:eastAsiaTheme="minorEastAsia"/>
                <w:i/>
                <w:iCs/>
                <w:color w:val="6D6F03"/>
                <w:sz w:val="22"/>
                <w:szCs w:val="22"/>
              </w:rPr>
              <w:t xml:space="preserve"> </w:t>
            </w:r>
          </w:p>
          <w:p w14:paraId="2A0C92D2" w14:textId="77777777" w:rsidR="00272F31" w:rsidRPr="00881752" w:rsidRDefault="00272F31" w:rsidP="001E50E4">
            <w:pPr>
              <w:pStyle w:val="Blockquote"/>
              <w:rPr>
                <w:sz w:val="22"/>
                <w:szCs w:val="22"/>
              </w:rPr>
            </w:pPr>
            <w:r w:rsidRPr="00881752">
              <w:rPr>
                <w:rFonts w:eastAsiaTheme="minorEastAsia"/>
                <w:sz w:val="22"/>
                <w:szCs w:val="22"/>
              </w:rPr>
              <w:t>στατῆρας ἑξήκοντα τοὐτέρου τοίχου.</w:t>
            </w:r>
          </w:p>
        </w:tc>
        <w:tc>
          <w:tcPr>
            <w:tcW w:w="3680" w:type="dxa"/>
          </w:tcPr>
          <w:p w14:paraId="3F694739" w14:textId="77777777" w:rsidR="00272F31" w:rsidRPr="00881752" w:rsidRDefault="00272F31" w:rsidP="001E50E4">
            <w:pPr>
              <w:pStyle w:val="Blockquote"/>
              <w:rPr>
                <w:sz w:val="22"/>
                <w:szCs w:val="22"/>
              </w:rPr>
            </w:pPr>
            <w:r w:rsidRPr="00881752">
              <w:rPr>
                <w:sz w:val="22"/>
                <w:szCs w:val="22"/>
              </w:rPr>
              <w:t>give Hipponax a cloak, tunic, sandals, felt shoes which correspond to sixty gold staters on a scale.</w:t>
            </w:r>
          </w:p>
        </w:tc>
      </w:tr>
    </w:tbl>
    <w:p w14:paraId="1B73D84B" w14:textId="77777777" w:rsidR="00272F31" w:rsidRPr="00881752" w:rsidRDefault="00272F31" w:rsidP="001E50E4">
      <w:pPr>
        <w:pStyle w:val="Blockquote"/>
      </w:pPr>
    </w:p>
    <w:p w14:paraId="6CA3346C" w14:textId="763CD9DC" w:rsidR="004068A8" w:rsidRPr="00881752" w:rsidRDefault="001505BE" w:rsidP="00756BD3">
      <w:pPr>
        <w:tabs>
          <w:tab w:val="center" w:pos="5387"/>
        </w:tabs>
        <w:rPr>
          <w:rFonts w:cs="Times New Roman"/>
          <w:szCs w:val="24"/>
        </w:rPr>
      </w:pPr>
      <w:r w:rsidRPr="00881752">
        <w:rPr>
          <w:rFonts w:cs="Times New Roman"/>
          <w:lang w:val="en-US"/>
        </w:rPr>
        <w:t xml:space="preserve">Iambographers highlight special cultural features which they consider as result of trade and monetary valuation, whether as a joke or to make an ideological point. The notion of luxury is important in understanding the semantic context of the iambs. As in much of Greek literature, τρυφή </w:t>
      </w:r>
      <w:r w:rsidR="00CC0615">
        <w:rPr>
          <w:rFonts w:cs="Times New Roman"/>
          <w:lang w:val="en-US"/>
        </w:rPr>
        <w:t>“</w:t>
      </w:r>
      <w:r w:rsidRPr="00881752">
        <w:rPr>
          <w:rFonts w:cs="Times New Roman"/>
          <w:lang w:val="en-US"/>
        </w:rPr>
        <w:t>luxury</w:t>
      </w:r>
      <w:r w:rsidR="00CC0615">
        <w:rPr>
          <w:rFonts w:cs="Times New Roman"/>
          <w:lang w:val="en-US"/>
        </w:rPr>
        <w:t>”</w:t>
      </w:r>
      <w:r w:rsidRPr="00881752">
        <w:rPr>
          <w:rFonts w:cs="Times New Roman"/>
          <w:lang w:val="en-US"/>
        </w:rPr>
        <w:t xml:space="preserve"> is presented in negative terms in Greek iambs. For example, Archilochus misses the frugal life of his Paros (Archil. fr. 87):</w:t>
      </w:r>
    </w:p>
    <w:p w14:paraId="098990A9" w14:textId="77777777" w:rsidR="00272F31" w:rsidRPr="00881752" w:rsidRDefault="00272F31" w:rsidP="00F56C73">
      <w:pPr>
        <w:tabs>
          <w:tab w:val="center" w:pos="5387"/>
        </w:tabs>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688E77CE" w14:textId="77777777" w:rsidTr="0013179E">
        <w:tc>
          <w:tcPr>
            <w:tcW w:w="4258" w:type="dxa"/>
          </w:tcPr>
          <w:p w14:paraId="05E5F006" w14:textId="77777777" w:rsidR="00272F31" w:rsidRPr="00881752" w:rsidRDefault="00272F31" w:rsidP="001E50E4">
            <w:pPr>
              <w:pStyle w:val="Blockquote"/>
              <w:rPr>
                <w:sz w:val="22"/>
                <w:szCs w:val="22"/>
                <w:lang w:val="el-GR"/>
              </w:rPr>
            </w:pPr>
            <w:r w:rsidRPr="00881752">
              <w:rPr>
                <w:sz w:val="22"/>
                <w:szCs w:val="22"/>
                <w:lang w:val="el-GR"/>
              </w:rPr>
              <w:t>ἔα Πάρον καὶ σῦκα κεῖνα καὶ θαλάσσιον βίον</w:t>
            </w:r>
          </w:p>
        </w:tc>
        <w:tc>
          <w:tcPr>
            <w:tcW w:w="3680" w:type="dxa"/>
          </w:tcPr>
          <w:p w14:paraId="44E1F3A9" w14:textId="77777777" w:rsidR="00EC1B43" w:rsidRPr="00881752" w:rsidRDefault="00272F31" w:rsidP="001E50E4">
            <w:pPr>
              <w:pStyle w:val="Blockquote"/>
              <w:rPr>
                <w:sz w:val="22"/>
                <w:szCs w:val="22"/>
              </w:rPr>
            </w:pPr>
            <w:r w:rsidRPr="00881752">
              <w:rPr>
                <w:sz w:val="22"/>
                <w:szCs w:val="22"/>
              </w:rPr>
              <w:t xml:space="preserve">I left Paros and those figs and my </w:t>
            </w:r>
          </w:p>
          <w:p w14:paraId="6135D08C" w14:textId="2B4D8252" w:rsidR="00272F31" w:rsidRPr="00881752" w:rsidRDefault="00272F31" w:rsidP="001E50E4">
            <w:pPr>
              <w:pStyle w:val="Blockquote"/>
              <w:rPr>
                <w:sz w:val="22"/>
                <w:szCs w:val="22"/>
              </w:rPr>
            </w:pPr>
            <w:r w:rsidRPr="00881752">
              <w:rPr>
                <w:sz w:val="22"/>
                <w:szCs w:val="22"/>
              </w:rPr>
              <w:t>sea-life</w:t>
            </w:r>
          </w:p>
        </w:tc>
      </w:tr>
    </w:tbl>
    <w:p w14:paraId="3C96F7B9" w14:textId="77777777" w:rsidR="00272F31" w:rsidRPr="00881752" w:rsidRDefault="00272F31" w:rsidP="001E50E4">
      <w:pPr>
        <w:pStyle w:val="Blockquote"/>
      </w:pPr>
    </w:p>
    <w:p w14:paraId="4C1F0F2A" w14:textId="3509737D" w:rsidR="004068A8" w:rsidRPr="00881752" w:rsidRDefault="001505BE" w:rsidP="00695A7C">
      <w:pPr>
        <w:tabs>
          <w:tab w:val="center" w:pos="5387"/>
        </w:tabs>
        <w:rPr>
          <w:rFonts w:cs="Times New Roman"/>
          <w:szCs w:val="24"/>
        </w:rPr>
      </w:pPr>
      <w:r w:rsidRPr="00881752">
        <w:rPr>
          <w:rFonts w:cs="Times New Roman"/>
          <w:lang w:val="en-US"/>
        </w:rPr>
        <w:t>Hipponax associates luxury with the lack of morality of an Asian eunuch (fr. 36.1-4):</w:t>
      </w:r>
    </w:p>
    <w:p w14:paraId="31CF1311" w14:textId="77777777" w:rsidR="001E50E4" w:rsidRPr="00881752" w:rsidRDefault="001E50E4" w:rsidP="00F56C73">
      <w:pPr>
        <w:tabs>
          <w:tab w:val="center" w:pos="5387"/>
        </w:tabs>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340E29D2" w14:textId="77777777" w:rsidTr="0013179E">
        <w:tc>
          <w:tcPr>
            <w:tcW w:w="4258" w:type="dxa"/>
          </w:tcPr>
          <w:p w14:paraId="2236B51D" w14:textId="77777777" w:rsidR="00272F31" w:rsidRPr="00881752" w:rsidRDefault="00272F31" w:rsidP="001E50E4">
            <w:pPr>
              <w:pStyle w:val="Blockquote"/>
              <w:rPr>
                <w:sz w:val="22"/>
                <w:szCs w:val="22"/>
              </w:rPr>
            </w:pPr>
            <w:r w:rsidRPr="00881752">
              <w:rPr>
                <w:sz w:val="22"/>
                <w:szCs w:val="22"/>
              </w:rPr>
              <w:t xml:space="preserve">ὁ μὲν γὰρ αὐτῶν ἡσυχῆι τε καὶ ῥύδην </w:t>
            </w:r>
          </w:p>
          <w:p w14:paraId="27CEEC7C" w14:textId="77777777" w:rsidR="00272F31" w:rsidRPr="00881752" w:rsidRDefault="00272F31" w:rsidP="001E50E4">
            <w:pPr>
              <w:pStyle w:val="Blockquote"/>
              <w:rPr>
                <w:sz w:val="22"/>
                <w:szCs w:val="22"/>
                <w:lang w:val="el-GR"/>
              </w:rPr>
            </w:pPr>
            <w:r w:rsidRPr="00881752">
              <w:rPr>
                <w:sz w:val="22"/>
                <w:szCs w:val="22"/>
                <w:lang w:val="el-GR"/>
              </w:rPr>
              <w:t>θύννάν τε καὶ μυσσωτὸν ἡμέρας πάσας</w:t>
            </w:r>
          </w:p>
          <w:p w14:paraId="48530772" w14:textId="77777777" w:rsidR="00272F31" w:rsidRPr="00881752" w:rsidRDefault="00272F31" w:rsidP="001E50E4">
            <w:pPr>
              <w:pStyle w:val="Blockquote"/>
              <w:rPr>
                <w:sz w:val="22"/>
                <w:szCs w:val="22"/>
                <w:lang w:val="el-GR"/>
              </w:rPr>
            </w:pPr>
            <w:r w:rsidRPr="00881752">
              <w:rPr>
                <w:sz w:val="22"/>
                <w:szCs w:val="22"/>
                <w:lang w:val="el-GR"/>
              </w:rPr>
              <w:t>δαινύμενος ὥσπερ Λαμψακηνὸς εὐνοῦχος κατέφαγε δὴ τὸν κλῆρον</w:t>
            </w:r>
          </w:p>
        </w:tc>
        <w:tc>
          <w:tcPr>
            <w:tcW w:w="3680" w:type="dxa"/>
          </w:tcPr>
          <w:p w14:paraId="3451754F" w14:textId="77777777" w:rsidR="00272F31" w:rsidRPr="00881752" w:rsidRDefault="00272F31" w:rsidP="001E50E4">
            <w:pPr>
              <w:pStyle w:val="Blockquote"/>
              <w:rPr>
                <w:sz w:val="22"/>
                <w:szCs w:val="22"/>
              </w:rPr>
            </w:pPr>
            <w:r w:rsidRPr="00881752">
              <w:rPr>
                <w:sz w:val="22"/>
                <w:szCs w:val="22"/>
              </w:rPr>
              <w:t>for one of them, dining at his ease and lavishly every day on tuna and savoury sauce like a eunuch from Lampsacus, ate up his inheritance</w:t>
            </w:r>
          </w:p>
        </w:tc>
      </w:tr>
    </w:tbl>
    <w:p w14:paraId="1E673A21" w14:textId="77777777" w:rsidR="00272F31" w:rsidRPr="00881752" w:rsidRDefault="00272F31" w:rsidP="001E50E4">
      <w:pPr>
        <w:pStyle w:val="Blockquote"/>
      </w:pPr>
    </w:p>
    <w:p w14:paraId="6778B866" w14:textId="67D17EE5" w:rsidR="001505BE" w:rsidRPr="00881752" w:rsidRDefault="001505BE" w:rsidP="001505BE">
      <w:pPr>
        <w:tabs>
          <w:tab w:val="center" w:pos="5387"/>
        </w:tabs>
        <w:rPr>
          <w:rFonts w:cs="Times New Roman"/>
          <w:lang w:val="en-US"/>
        </w:rPr>
      </w:pPr>
      <w:r w:rsidRPr="00881752">
        <w:rPr>
          <w:rFonts w:cs="Times New Roman"/>
          <w:lang w:val="en-US"/>
        </w:rPr>
        <w:t>Callimachus describes an unfaithful lover looking only for wealth.</w:t>
      </w:r>
      <w:r w:rsidRPr="00881752">
        <w:rPr>
          <w:rStyle w:val="FootnoteReference"/>
          <w:rFonts w:cs="Times New Roman"/>
          <w:lang w:val="en-US"/>
        </w:rPr>
        <w:footnoteReference w:id="135"/>
      </w:r>
      <w:r w:rsidRPr="00881752">
        <w:rPr>
          <w:rFonts w:cs="Times New Roman"/>
          <w:lang w:val="en-US"/>
        </w:rPr>
        <w:t xml:space="preserve"> However, the desires of the approved individual are normally well-regarded. Hipponax himself is wholly entitled to pray to Hermes for such luxurious goods as little sandals and booties (which corresponded to sixty gold staters, thus a lot of money), or to rebuke Plutus for giving him no gold.</w:t>
      </w:r>
      <w:r w:rsidRPr="00881752">
        <w:rPr>
          <w:rStyle w:val="FootnoteReference"/>
          <w:rFonts w:cs="Times New Roman"/>
          <w:lang w:val="en-US"/>
        </w:rPr>
        <w:footnoteReference w:id="136"/>
      </w:r>
      <w:r w:rsidRPr="00881752">
        <w:rPr>
          <w:rFonts w:cs="Times New Roman"/>
          <w:lang w:val="en-US"/>
        </w:rPr>
        <w:t xml:space="preserve"> The discourse of luxury is ideological, and iambs (certainly the archaic ones, but also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often endorse the amassing of goods, luxurious or otherwise, by approved persons: usually, the iambographer or his </w:t>
      </w:r>
      <w:r w:rsidRPr="00881752">
        <w:rPr>
          <w:rFonts w:cs="Times New Roman"/>
          <w:i/>
          <w:iCs/>
          <w:lang w:val="en-US"/>
        </w:rPr>
        <w:t>persona loquens</w:t>
      </w:r>
      <w:r w:rsidRPr="00881752">
        <w:rPr>
          <w:rFonts w:cs="Times New Roman"/>
          <w:lang w:val="en-US"/>
        </w:rPr>
        <w:t xml:space="preserve">. On the contrary, the others </w:t>
      </w:r>
      <w:r w:rsidR="00075F5F">
        <w:rPr>
          <w:rFonts w:cs="Times New Roman"/>
          <w:lang w:val="en-US"/>
        </w:rPr>
        <w:t>–</w:t>
      </w:r>
      <w:r w:rsidRPr="00881752">
        <w:rPr>
          <w:rFonts w:cs="Times New Roman"/>
          <w:lang w:val="en-US"/>
        </w:rPr>
        <w:t xml:space="preserve"> that is the people who are not approved of by the iambographer </w:t>
      </w:r>
      <w:r w:rsidR="00075F5F">
        <w:rPr>
          <w:rFonts w:cs="Times New Roman"/>
          <w:lang w:val="en-US"/>
        </w:rPr>
        <w:t>–</w:t>
      </w:r>
      <w:r w:rsidRPr="00881752">
        <w:rPr>
          <w:rFonts w:cs="Times New Roman"/>
          <w:lang w:val="en-US"/>
        </w:rPr>
        <w:t xml:space="preserve">, cannot desire more than what is average: μετριότης is a key value of </w:t>
      </w:r>
      <w:r w:rsidRPr="00881752">
        <w:rPr>
          <w:rFonts w:cs="Times New Roman"/>
          <w:lang w:val="en-US"/>
        </w:rPr>
        <w:lastRenderedPageBreak/>
        <w:t xml:space="preserve">iambic poetry. Without μετριότης one is a glutton (in Hippon. fr. 126, the son of Eurymantes is a glutton since he eats οὐ κατὰ κόσμον </w:t>
      </w:r>
      <w:r w:rsidR="00CC0615">
        <w:rPr>
          <w:rFonts w:cs="Times New Roman"/>
          <w:lang w:val="en-US"/>
        </w:rPr>
        <w:t>“</w:t>
      </w:r>
      <w:r w:rsidRPr="00881752">
        <w:rPr>
          <w:rFonts w:cs="Times New Roman"/>
          <w:lang w:val="en-US"/>
        </w:rPr>
        <w:t>without measure</w:t>
      </w:r>
      <w:r w:rsidR="00CC0615">
        <w:rPr>
          <w:rFonts w:cs="Times New Roman"/>
          <w:lang w:val="en-US"/>
        </w:rPr>
        <w:t>”</w:t>
      </w:r>
      <w:r w:rsidRPr="00881752">
        <w:rPr>
          <w:rFonts w:cs="Times New Roman"/>
          <w:lang w:val="en-US"/>
        </w:rPr>
        <w:t xml:space="preserve">), or a parasite (in Archil. fr. 119, the victim drank unmixed οὔτε τῖμον εἰσενείκας </w:t>
      </w:r>
      <w:r w:rsidR="00CC0615">
        <w:rPr>
          <w:rFonts w:cs="Times New Roman"/>
          <w:lang w:val="en-US"/>
        </w:rPr>
        <w:t>“</w:t>
      </w:r>
      <w:r w:rsidRPr="00881752">
        <w:rPr>
          <w:rFonts w:cs="Times New Roman"/>
          <w:lang w:val="en-US"/>
        </w:rPr>
        <w:t>and did not pay his quote</w:t>
      </w:r>
      <w:r w:rsidR="00CC0615">
        <w:rPr>
          <w:rFonts w:cs="Times New Roman"/>
          <w:lang w:val="en-US"/>
        </w:rPr>
        <w:t>”</w:t>
      </w:r>
      <w:r w:rsidRPr="00881752">
        <w:rPr>
          <w:rFonts w:cs="Times New Roman"/>
          <w:lang w:val="en-US"/>
        </w:rPr>
        <w:t xml:space="preserve">), or a traitor (in Call. </w:t>
      </w:r>
      <w:r w:rsidRPr="00881752">
        <w:rPr>
          <w:rFonts w:cs="Times New Roman"/>
          <w:i/>
          <w:iCs/>
          <w:lang w:val="en-US"/>
        </w:rPr>
        <w:t>Ia</w:t>
      </w:r>
      <w:r w:rsidRPr="00881752">
        <w:rPr>
          <w:rFonts w:cs="Times New Roman"/>
          <w:lang w:val="en-US"/>
        </w:rPr>
        <w:t xml:space="preserve">. 3, the young Eutydemus betrays his lover for a richer man, since he was not honorably brought up). Therefore, iambographers consider luxury as an undermining of social order: Callimachus warns that through luxury life μετέστραπται </w:t>
      </w:r>
      <w:r w:rsidR="00CC0615">
        <w:rPr>
          <w:rFonts w:cs="Times New Roman"/>
          <w:lang w:val="en-US"/>
        </w:rPr>
        <w:t>“</w:t>
      </w:r>
      <w:r w:rsidRPr="00881752">
        <w:rPr>
          <w:rFonts w:cs="Times New Roman"/>
          <w:lang w:val="en-US"/>
        </w:rPr>
        <w:t>is turned around.</w:t>
      </w:r>
      <w:r w:rsidR="00CC0615">
        <w:rPr>
          <w:rFonts w:cs="Times New Roman"/>
          <w:lang w:val="en-US"/>
        </w:rPr>
        <w:t>”</w:t>
      </w:r>
    </w:p>
    <w:p w14:paraId="5E95A8E1" w14:textId="46A05701" w:rsidR="004068A8" w:rsidRPr="00881752" w:rsidRDefault="001505BE" w:rsidP="001505BE">
      <w:pPr>
        <w:tabs>
          <w:tab w:val="center" w:pos="5387"/>
        </w:tabs>
        <w:rPr>
          <w:rFonts w:cs="Times New Roman"/>
          <w:szCs w:val="24"/>
        </w:rPr>
      </w:pPr>
      <w:r w:rsidRPr="00881752">
        <w:rPr>
          <w:rFonts w:cs="Times New Roman"/>
          <w:lang w:val="en-US"/>
        </w:rPr>
        <w:tab/>
        <w:t>Archaic iambographers lived beside Lydian society, in a historic period where the aristocratic Greek elite began to be eclipsed by Lydian parvenus: the Ionian poet Xenophanes, in one of his elegies, describes the bad habits that wealth triggers in his fellow Colophonians (Xen. fr. 3 W):</w:t>
      </w:r>
    </w:p>
    <w:p w14:paraId="62DF1EB1" w14:textId="77777777" w:rsidR="001E50E4" w:rsidRPr="00881752" w:rsidRDefault="001E50E4" w:rsidP="00F56C73">
      <w:pPr>
        <w:tabs>
          <w:tab w:val="center" w:pos="5387"/>
        </w:tabs>
      </w:pPr>
    </w:p>
    <w:tbl>
      <w:tblPr>
        <w:tblStyle w:val="TableGrid"/>
        <w:tblW w:w="4657" w:type="pct"/>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75"/>
        <w:gridCol w:w="3396"/>
      </w:tblGrid>
      <w:tr w:rsidR="00EC1B43" w:rsidRPr="00881752" w14:paraId="418C4B43" w14:textId="77777777" w:rsidTr="00EC1B43">
        <w:tc>
          <w:tcPr>
            <w:tcW w:w="2947" w:type="pct"/>
          </w:tcPr>
          <w:p w14:paraId="2F6190DA" w14:textId="77777777" w:rsidR="00272F31" w:rsidRPr="00881752" w:rsidRDefault="00272F31" w:rsidP="001E50E4">
            <w:pPr>
              <w:pStyle w:val="Blockquote"/>
              <w:rPr>
                <w:sz w:val="22"/>
                <w:szCs w:val="22"/>
              </w:rPr>
            </w:pPr>
            <w:r w:rsidRPr="00881752">
              <w:rPr>
                <w:sz w:val="22"/>
                <w:szCs w:val="22"/>
              </w:rPr>
              <w:t>ἁβροσύνας δὲ μαθόντες ἀνωφελέας παρὰ Λυδῶν,</w:t>
            </w:r>
          </w:p>
          <w:p w14:paraId="4CFEBE68" w14:textId="77777777" w:rsidR="00272F31" w:rsidRPr="00881752" w:rsidRDefault="00272F31" w:rsidP="001E50E4">
            <w:pPr>
              <w:pStyle w:val="Blockquote"/>
              <w:rPr>
                <w:sz w:val="22"/>
                <w:szCs w:val="22"/>
              </w:rPr>
            </w:pPr>
            <w:r w:rsidRPr="00881752">
              <w:rPr>
                <w:sz w:val="22"/>
                <w:szCs w:val="22"/>
              </w:rPr>
              <w:t>ὄφρα τυραννίης ἦσαν ἄνευ στυγερῆς,</w:t>
            </w:r>
          </w:p>
          <w:p w14:paraId="63DB72FF" w14:textId="17A11B1E" w:rsidR="00272F31" w:rsidRPr="00881752" w:rsidRDefault="00272F31" w:rsidP="001E50E4">
            <w:pPr>
              <w:pStyle w:val="Blockquote"/>
              <w:rPr>
                <w:sz w:val="22"/>
                <w:szCs w:val="22"/>
                <w:lang w:val="el-GR"/>
              </w:rPr>
            </w:pPr>
            <w:r w:rsidRPr="00881752">
              <w:rPr>
                <w:sz w:val="22"/>
                <w:szCs w:val="22"/>
                <w:lang w:val="el-GR"/>
              </w:rPr>
              <w:t>ᾔεσαν εἰς ἀγορὴν παναλουργέα φάρε</w:t>
            </w:r>
            <w:r w:rsidR="00075F5F">
              <w:rPr>
                <w:sz w:val="22"/>
                <w:szCs w:val="22"/>
                <w:lang w:val="el-GR"/>
              </w:rPr>
              <w:t>’</w:t>
            </w:r>
            <w:r w:rsidRPr="00881752">
              <w:rPr>
                <w:sz w:val="22"/>
                <w:szCs w:val="22"/>
                <w:lang w:val="el-GR"/>
              </w:rPr>
              <w:t xml:space="preserve"> ἔχοντες,</w:t>
            </w:r>
          </w:p>
          <w:p w14:paraId="74D78AF5" w14:textId="5219FB62" w:rsidR="00272F31" w:rsidRPr="00881752" w:rsidRDefault="00272F31" w:rsidP="001E50E4">
            <w:pPr>
              <w:pStyle w:val="Blockquote"/>
              <w:rPr>
                <w:sz w:val="22"/>
                <w:szCs w:val="22"/>
                <w:lang w:val="el-GR"/>
              </w:rPr>
            </w:pPr>
            <w:r w:rsidRPr="00881752">
              <w:rPr>
                <w:sz w:val="22"/>
                <w:szCs w:val="22"/>
                <w:lang w:val="el-GR"/>
              </w:rPr>
              <w:t>οὐ μείους ὥσπερ χίλιοι, εἰς ἐπίπαν</w:t>
            </w:r>
            <w:r w:rsidR="00204539" w:rsidRPr="00881752">
              <w:rPr>
                <w:sz w:val="22"/>
                <w:szCs w:val="22"/>
                <w:lang w:val="el-GR"/>
              </w:rPr>
              <w:t xml:space="preserve"> </w:t>
            </w:r>
          </w:p>
          <w:p w14:paraId="0BFACF8B" w14:textId="77777777" w:rsidR="00272F31" w:rsidRPr="00881752" w:rsidRDefault="00272F31" w:rsidP="001E50E4">
            <w:pPr>
              <w:pStyle w:val="Blockquote"/>
              <w:rPr>
                <w:sz w:val="22"/>
                <w:szCs w:val="22"/>
                <w:lang w:val="el-GR"/>
              </w:rPr>
            </w:pPr>
            <w:r w:rsidRPr="00881752">
              <w:rPr>
                <w:sz w:val="22"/>
                <w:szCs w:val="22"/>
                <w:lang w:val="el-GR"/>
              </w:rPr>
              <w:t>αὐχαλέοι, χαίτῃσιν ἀγαλλομεν εὐπρεπέεσσιν</w:t>
            </w:r>
          </w:p>
          <w:p w14:paraId="2FF8C8C3" w14:textId="77777777" w:rsidR="00272F31" w:rsidRPr="00881752" w:rsidRDefault="00272F31" w:rsidP="001E50E4">
            <w:pPr>
              <w:pStyle w:val="Blockquote"/>
              <w:rPr>
                <w:sz w:val="22"/>
                <w:szCs w:val="22"/>
                <w:lang w:val="el-GR"/>
              </w:rPr>
            </w:pPr>
            <w:r w:rsidRPr="00881752">
              <w:rPr>
                <w:sz w:val="22"/>
                <w:szCs w:val="22"/>
                <w:lang w:val="el-GR"/>
              </w:rPr>
              <w:t>ἀσκητοῖς ὀδμὴν χρίμασι δευόμενοι.</w:t>
            </w:r>
          </w:p>
        </w:tc>
        <w:tc>
          <w:tcPr>
            <w:tcW w:w="2053" w:type="pct"/>
          </w:tcPr>
          <w:p w14:paraId="763A9C54" w14:textId="77777777" w:rsidR="00272F31" w:rsidRPr="00881752" w:rsidRDefault="00272F31" w:rsidP="001E50E4">
            <w:pPr>
              <w:pStyle w:val="Blockquote"/>
              <w:rPr>
                <w:sz w:val="21"/>
                <w:szCs w:val="21"/>
              </w:rPr>
            </w:pPr>
            <w:r w:rsidRPr="00881752">
              <w:rPr>
                <w:sz w:val="21"/>
                <w:szCs w:val="21"/>
              </w:rPr>
              <w:t>They learned useless softness from the Lydians while they were still free of hateful tyranny, and went to the central meeting-place wearing clothes of crimson, no fewer than a thousand all together, proud, taking pleasure in their handsome hair drenched in scent that was carefully prepared</w:t>
            </w:r>
          </w:p>
        </w:tc>
      </w:tr>
    </w:tbl>
    <w:p w14:paraId="3E300FD9" w14:textId="77777777" w:rsidR="00272F31" w:rsidRPr="00881752" w:rsidRDefault="00272F31" w:rsidP="001E50E4">
      <w:pPr>
        <w:pStyle w:val="Blockquote"/>
      </w:pPr>
      <w:r w:rsidRPr="00881752">
        <w:t xml:space="preserve"> </w:t>
      </w:r>
    </w:p>
    <w:p w14:paraId="468F497C" w14:textId="77777777" w:rsidR="001505BE" w:rsidRPr="00881752" w:rsidRDefault="001505BE" w:rsidP="001505BE">
      <w:pPr>
        <w:tabs>
          <w:tab w:val="center" w:pos="5387"/>
        </w:tabs>
        <w:rPr>
          <w:rFonts w:cs="Times New Roman"/>
          <w:lang w:val="en-US"/>
        </w:rPr>
      </w:pPr>
      <w:r w:rsidRPr="00881752">
        <w:rPr>
          <w:rFonts w:cs="Times New Roman"/>
          <w:lang w:val="en-US"/>
        </w:rPr>
        <w:t>In this light the bitter sarcasm of Archilochus, who sings of Glaucus with hishair arranged in horns, is perfectly understandable. The mention of objects of everyday life in iambic texts describes the social environment within which iambic poetry was born. It functions to represent a good counterpart to the examples of excessive luxury which may subvert the social order.</w:t>
      </w:r>
    </w:p>
    <w:p w14:paraId="7C9B072E" w14:textId="08FDD001" w:rsidR="00272F31" w:rsidRPr="00881752" w:rsidRDefault="00861BD6" w:rsidP="00D05134">
      <w:pPr>
        <w:pStyle w:val="Heading4"/>
        <w:rPr>
          <w:rFonts w:cs="Times New Roman"/>
        </w:rPr>
      </w:pPr>
      <w:r w:rsidRPr="00881752">
        <w:rPr>
          <w:rFonts w:cs="Times New Roman"/>
        </w:rPr>
        <w:t xml:space="preserve">1.6.2. Words Referring to </w:t>
      </w:r>
      <w:r w:rsidR="00272F31" w:rsidRPr="00881752">
        <w:rPr>
          <w:rFonts w:cs="Times New Roman"/>
        </w:rPr>
        <w:t xml:space="preserve">Lack of </w:t>
      </w:r>
      <w:r w:rsidRPr="00881752">
        <w:rPr>
          <w:rFonts w:cs="Times New Roman"/>
        </w:rPr>
        <w:t>G</w:t>
      </w:r>
      <w:r w:rsidR="00272F31" w:rsidRPr="00881752">
        <w:rPr>
          <w:rFonts w:cs="Times New Roman"/>
        </w:rPr>
        <w:t xml:space="preserve">ood </w:t>
      </w:r>
      <w:r w:rsidRPr="00881752">
        <w:rPr>
          <w:rFonts w:cs="Times New Roman"/>
        </w:rPr>
        <w:t>S</w:t>
      </w:r>
      <w:r w:rsidR="00272F31" w:rsidRPr="00881752">
        <w:rPr>
          <w:rFonts w:cs="Times New Roman"/>
        </w:rPr>
        <w:t>ense</w:t>
      </w:r>
    </w:p>
    <w:p w14:paraId="7D713053" w14:textId="669C20A6" w:rsidR="001505BE" w:rsidRPr="00881752" w:rsidRDefault="001505BE" w:rsidP="001505BE">
      <w:pPr>
        <w:tabs>
          <w:tab w:val="center" w:pos="5387"/>
        </w:tabs>
        <w:rPr>
          <w:rFonts w:cs="Times New Roman"/>
          <w:lang w:val="en-US"/>
        </w:rPr>
      </w:pPr>
      <w:r w:rsidRPr="00881752">
        <w:rPr>
          <w:rFonts w:cs="Times New Roman"/>
          <w:lang w:val="en-US"/>
        </w:rPr>
        <w:t xml:space="preserve">The fragments of Archilochus, Hipponax, and Callimachus share the use of the word φρήν and its cognate words. This family of terms provides a pattern of thematic significance for the iambs, as strongly indicated by the frequency and context of occurrence of the privative forms: ἀφραδής / ἄφρων </w:t>
      </w:r>
      <w:r w:rsidR="00CC0615">
        <w:rPr>
          <w:rFonts w:cs="Times New Roman"/>
          <w:lang w:val="en-US"/>
        </w:rPr>
        <w:t>“</w:t>
      </w:r>
      <w:r w:rsidRPr="00881752">
        <w:rPr>
          <w:rFonts w:cs="Times New Roman"/>
          <w:lang w:val="en-US"/>
        </w:rPr>
        <w:t>inconsiderate, foolish,</w:t>
      </w:r>
      <w:r w:rsidR="00CC0615">
        <w:rPr>
          <w:rFonts w:cs="Times New Roman"/>
          <w:lang w:val="en-US"/>
        </w:rPr>
        <w:t>”</w:t>
      </w:r>
      <w:r w:rsidRPr="00881752">
        <w:rPr>
          <w:rFonts w:cs="Times New Roman"/>
          <w:lang w:val="en-US"/>
        </w:rPr>
        <w:t xml:space="preserve"> ἀφραδίη </w:t>
      </w:r>
      <w:r w:rsidR="00CC0615">
        <w:rPr>
          <w:rFonts w:cs="Times New Roman"/>
          <w:lang w:val="en-US"/>
        </w:rPr>
        <w:t>“</w:t>
      </w:r>
      <w:r w:rsidRPr="00881752">
        <w:rPr>
          <w:rFonts w:cs="Times New Roman"/>
          <w:lang w:val="en-US"/>
        </w:rPr>
        <w:t>recklessness, folly.</w:t>
      </w:r>
      <w:r w:rsidR="00CC0615">
        <w:rPr>
          <w:rFonts w:cs="Times New Roman"/>
          <w:lang w:val="en-US"/>
        </w:rPr>
        <w:t>”</w:t>
      </w:r>
      <w:r w:rsidRPr="00881752">
        <w:rPr>
          <w:rFonts w:cs="Times New Roman"/>
          <w:lang w:val="en-US"/>
        </w:rPr>
        <w:t xml:space="preserve"> It is worth noting that this family of terms already plays a significant role in the semantics of the </w:t>
      </w:r>
      <w:r w:rsidRPr="00881752">
        <w:rPr>
          <w:rFonts w:cs="Times New Roman"/>
          <w:i/>
          <w:iCs/>
          <w:lang w:val="en-US"/>
        </w:rPr>
        <w:t>Odyssey</w:t>
      </w:r>
      <w:r w:rsidRPr="00881752">
        <w:rPr>
          <w:rFonts w:cs="Times New Roman"/>
          <w:lang w:val="en-US"/>
        </w:rPr>
        <w:t>;</w:t>
      </w:r>
      <w:r w:rsidRPr="00881752">
        <w:rPr>
          <w:rStyle w:val="FootnoteReference"/>
          <w:rFonts w:cs="Times New Roman"/>
          <w:lang w:val="en-US"/>
        </w:rPr>
        <w:footnoteReference w:id="137"/>
      </w:r>
      <w:r w:rsidRPr="00881752">
        <w:rPr>
          <w:rFonts w:cs="Times New Roman"/>
          <w:lang w:val="en-US"/>
        </w:rPr>
        <w:t xml:space="preserve"> from early in Book I, when Athena as Mentes assures Telemachos that Odysseus, as a man of many resources (πολυμήχανος), </w:t>
      </w:r>
      <w:r w:rsidR="00CC0615">
        <w:rPr>
          <w:rFonts w:cs="Times New Roman"/>
          <w:lang w:val="en-US"/>
        </w:rPr>
        <w:lastRenderedPageBreak/>
        <w:t>“</w:t>
      </w:r>
      <w:r w:rsidRPr="00881752">
        <w:rPr>
          <w:rFonts w:cs="Times New Roman"/>
          <w:lang w:val="en-US"/>
        </w:rPr>
        <w:t>will devise (φράσσεται) how to return,</w:t>
      </w:r>
      <w:r w:rsidR="00CC0615">
        <w:rPr>
          <w:rFonts w:cs="Times New Roman"/>
          <w:lang w:val="en-US"/>
        </w:rPr>
        <w:t>”</w:t>
      </w:r>
      <w:r w:rsidRPr="00881752">
        <w:rPr>
          <w:rFonts w:cs="Times New Roman"/>
          <w:lang w:val="en-US"/>
        </w:rPr>
        <w:t xml:space="preserve"> the verb φράσσω is used for both the plots of gods and suitors alike.</w:t>
      </w:r>
      <w:r w:rsidRPr="00881752">
        <w:rPr>
          <w:rStyle w:val="FootnoteReference"/>
          <w:rFonts w:cs="Times New Roman"/>
          <w:lang w:val="en-US"/>
        </w:rPr>
        <w:footnoteReference w:id="138"/>
      </w:r>
      <w:r w:rsidRPr="00881752">
        <w:rPr>
          <w:rFonts w:cs="Times New Roman"/>
          <w:lang w:val="en-US"/>
        </w:rPr>
        <w:t xml:space="preserve"> Penelope, too, is said to be contriving (φραζομένη) for the suitors death and black destiny.</w:t>
      </w:r>
      <w:r w:rsidRPr="00881752">
        <w:rPr>
          <w:rStyle w:val="FootnoteReference"/>
          <w:rFonts w:cs="Times New Roman"/>
          <w:lang w:val="en-US"/>
        </w:rPr>
        <w:footnoteReference w:id="139"/>
      </w:r>
      <w:r w:rsidRPr="00881752">
        <w:rPr>
          <w:rFonts w:cs="Times New Roman"/>
          <w:lang w:val="en-US"/>
        </w:rPr>
        <w:t xml:space="preserve"> The narrative of the Odyssey sets up thematic oppositions between anticipating, calculating, or reckoning, and being reckless or inconsiderate, of heeding warnings and being heedless, of recognising and ignoring the signs. The privative forms express the characteristic and fateful recklessness and heedlessness respectively of Odysseus</w:t>
      </w:r>
      <w:r w:rsidR="00075F5F">
        <w:rPr>
          <w:rFonts w:cs="Times New Roman"/>
          <w:lang w:val="en-US"/>
        </w:rPr>
        <w:t>’</w:t>
      </w:r>
      <w:r w:rsidRPr="00881752">
        <w:rPr>
          <w:rFonts w:cs="Times New Roman"/>
          <w:lang w:val="en-US"/>
        </w:rPr>
        <w:t xml:space="preserve"> men (10.27), the Cyclops (9.361), and the suitors (2.282; 17.233; 22.288).</w:t>
      </w:r>
    </w:p>
    <w:p w14:paraId="725B2C8D" w14:textId="77777777" w:rsidR="009E2C55" w:rsidRPr="00881752" w:rsidRDefault="001505BE" w:rsidP="001505BE">
      <w:pPr>
        <w:tabs>
          <w:tab w:val="center" w:pos="5387"/>
        </w:tabs>
        <w:ind w:firstLine="426"/>
        <w:rPr>
          <w:rFonts w:cs="Times New Roman"/>
          <w:lang w:val="en-US"/>
        </w:rPr>
      </w:pPr>
      <w:r w:rsidRPr="00881752">
        <w:rPr>
          <w:rFonts w:cs="Times New Roman"/>
          <w:lang w:val="en-US"/>
        </w:rPr>
        <w:t xml:space="preserve">In the iambic texts, these terms commonly refer to the targets of iambographers and occur in contexts of invective. I argue that the insistence by iambographers on the lack of φρήν of their targets is twofold: </w:t>
      </w:r>
      <w:r w:rsidRPr="00881752">
        <w:rPr>
          <w:rFonts w:cs="Times New Roman"/>
          <w:i/>
          <w:iCs/>
          <w:lang w:val="en-US"/>
        </w:rPr>
        <w:t>in primis</w:t>
      </w:r>
      <w:r w:rsidRPr="00881752">
        <w:rPr>
          <w:rFonts w:cs="Times New Roman"/>
          <w:lang w:val="en-US"/>
        </w:rPr>
        <w:t xml:space="preserve">, it constitutes an important example of an immoral behavior that has to be chastised; </w:t>
      </w:r>
      <w:r w:rsidRPr="00881752">
        <w:rPr>
          <w:rFonts w:cs="Times New Roman"/>
          <w:i/>
          <w:iCs/>
          <w:lang w:val="en-US"/>
        </w:rPr>
        <w:t>in secundis</w:t>
      </w:r>
      <w:r w:rsidRPr="00881752">
        <w:rPr>
          <w:rFonts w:cs="Times New Roman"/>
          <w:lang w:val="en-US"/>
        </w:rPr>
        <w:t>, it triggers a particular language which shows this absence of good sense by specific words or expressions.</w:t>
      </w:r>
    </w:p>
    <w:p w14:paraId="7A57CEAB" w14:textId="1E084505" w:rsidR="001505BE" w:rsidRPr="00881752" w:rsidRDefault="007D78E3" w:rsidP="001505BE">
      <w:pPr>
        <w:tabs>
          <w:tab w:val="center" w:pos="5387"/>
        </w:tabs>
        <w:ind w:firstLine="426"/>
        <w:rPr>
          <w:rFonts w:cs="Times New Roman"/>
          <w:lang w:val="en-US"/>
        </w:rPr>
      </w:pPr>
      <w:r w:rsidRPr="00881752">
        <w:rPr>
          <w:rFonts w:cs="Times New Roman"/>
          <w:lang w:val="en-US"/>
        </w:rPr>
        <w:t>Iambographers</w:t>
      </w:r>
      <w:r w:rsidR="001505BE" w:rsidRPr="00881752">
        <w:rPr>
          <w:rFonts w:cs="Times New Roman"/>
          <w:lang w:val="en-US"/>
        </w:rPr>
        <w:t xml:space="preserve"> recur especially to abusive terms which </w:t>
      </w:r>
      <w:r w:rsidRPr="00881752">
        <w:rPr>
          <w:rFonts w:cs="Times New Roman"/>
          <w:lang w:val="en-US"/>
        </w:rPr>
        <w:t xml:space="preserve">not only </w:t>
      </w:r>
      <w:r w:rsidR="001505BE" w:rsidRPr="00881752">
        <w:rPr>
          <w:rFonts w:cs="Times New Roman"/>
          <w:lang w:val="en-US"/>
        </w:rPr>
        <w:t xml:space="preserve">stigmatise the ἄφρων conveying the message of the text, </w:t>
      </w:r>
      <w:r w:rsidRPr="00881752">
        <w:rPr>
          <w:rFonts w:cs="Times New Roman"/>
          <w:lang w:val="en-US"/>
        </w:rPr>
        <w:t xml:space="preserve">but also </w:t>
      </w:r>
      <w:r w:rsidR="001505BE" w:rsidRPr="00881752">
        <w:rPr>
          <w:rFonts w:cs="Times New Roman"/>
          <w:lang w:val="en-US"/>
        </w:rPr>
        <w:t xml:space="preserve">cause laughter in the audience, becoming themselves content of the message, and not only medium of it. </w:t>
      </w:r>
    </w:p>
    <w:p w14:paraId="2E7CABC9" w14:textId="0A34E560" w:rsidR="004068A8" w:rsidRPr="00881752" w:rsidRDefault="001505BE" w:rsidP="00665681">
      <w:pPr>
        <w:tabs>
          <w:tab w:val="center" w:pos="5387"/>
        </w:tabs>
        <w:rPr>
          <w:rFonts w:cs="Times New Roman"/>
          <w:szCs w:val="24"/>
        </w:rPr>
      </w:pPr>
      <w:r w:rsidRPr="00881752">
        <w:rPr>
          <w:rFonts w:cs="Times New Roman"/>
          <w:lang w:val="en-US"/>
        </w:rPr>
        <w:t>Archilochus himself states that a man who lacks good sense becomes a cause of laughter among his fellow citizens: this is the content of Archilochus</w:t>
      </w:r>
      <w:r w:rsidR="00075F5F">
        <w:rPr>
          <w:rFonts w:cs="Times New Roman"/>
          <w:lang w:val="en-US"/>
        </w:rPr>
        <w:t>’</w:t>
      </w:r>
      <w:r w:rsidRPr="00881752">
        <w:rPr>
          <w:rFonts w:cs="Times New Roman"/>
          <w:lang w:val="en-US"/>
        </w:rPr>
        <w:t xml:space="preserve"> fragment, but one may suggest that tones and words of Archilochus actually inspire laughter in his audience, actualizing the message of his verses (Archil. fr. 166):</w:t>
      </w:r>
      <w:r w:rsidR="00272F31" w:rsidRPr="00881752">
        <w:rPr>
          <w:rFonts w:cs="Times New Roman"/>
          <w:szCs w:val="24"/>
        </w:rPr>
        <w:t xml:space="preserve"> </w:t>
      </w:r>
    </w:p>
    <w:p w14:paraId="3F1B0FC2" w14:textId="77777777" w:rsidR="00272F31" w:rsidRPr="00881752" w:rsidRDefault="00272F31" w:rsidP="00F56C73">
      <w:pPr>
        <w:tabs>
          <w:tab w:val="center" w:pos="5387"/>
        </w:tabs>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27"/>
        <w:gridCol w:w="4111"/>
      </w:tblGrid>
      <w:tr w:rsidR="00EC1B43" w:rsidRPr="00881752" w14:paraId="00030C94" w14:textId="77777777" w:rsidTr="0013179E">
        <w:tc>
          <w:tcPr>
            <w:tcW w:w="3827" w:type="dxa"/>
          </w:tcPr>
          <w:p w14:paraId="1BBCF207" w14:textId="77777777" w:rsidR="00272F31" w:rsidRPr="00881752" w:rsidRDefault="00272F31" w:rsidP="001E50E4">
            <w:pPr>
              <w:pStyle w:val="Blockquote"/>
              <w:rPr>
                <w:sz w:val="22"/>
                <w:szCs w:val="22"/>
                <w:lang w:val="el-GR"/>
              </w:rPr>
            </w:pPr>
            <w:r w:rsidRPr="00881752">
              <w:rPr>
                <w:sz w:val="22"/>
                <w:szCs w:val="22"/>
                <w:lang w:val="el-GR"/>
              </w:rPr>
              <w:t>πάτερ Λυκάμβα, ποῖον ἐφράσω τόδε;</w:t>
            </w:r>
          </w:p>
          <w:p w14:paraId="3A9DBF4D" w14:textId="77777777" w:rsidR="00272F31" w:rsidRPr="00881752" w:rsidRDefault="00272F31" w:rsidP="001E50E4">
            <w:pPr>
              <w:pStyle w:val="Blockquote"/>
              <w:rPr>
                <w:sz w:val="22"/>
                <w:szCs w:val="22"/>
                <w:lang w:val="el-GR"/>
              </w:rPr>
            </w:pPr>
            <w:r w:rsidRPr="00881752">
              <w:rPr>
                <w:sz w:val="22"/>
                <w:szCs w:val="22"/>
                <w:lang w:val="el-GR"/>
              </w:rPr>
              <w:t xml:space="preserve"> τίς σὰς παρήειρε φρένας</w:t>
            </w:r>
          </w:p>
          <w:p w14:paraId="50C0AEC2" w14:textId="77777777" w:rsidR="00272F31" w:rsidRPr="00881752" w:rsidRDefault="00272F31" w:rsidP="001E50E4">
            <w:pPr>
              <w:pStyle w:val="Blockquote"/>
              <w:rPr>
                <w:sz w:val="22"/>
                <w:szCs w:val="22"/>
                <w:lang w:val="el-GR"/>
              </w:rPr>
            </w:pPr>
            <w:r w:rsidRPr="00881752">
              <w:rPr>
                <w:sz w:val="22"/>
                <w:szCs w:val="22"/>
                <w:lang w:val="el-GR"/>
              </w:rPr>
              <w:t>ἧις τὸ πρὶν ἠρήρησθα; νῦν δὲ δὴ πολὺς</w:t>
            </w:r>
          </w:p>
          <w:p w14:paraId="0AFD34C0" w14:textId="0CB95C89" w:rsidR="00272F31" w:rsidRPr="00881752" w:rsidRDefault="00272F31" w:rsidP="001E50E4">
            <w:pPr>
              <w:pStyle w:val="Blockquote"/>
              <w:rPr>
                <w:sz w:val="22"/>
                <w:szCs w:val="22"/>
              </w:rPr>
            </w:pPr>
            <w:r w:rsidRPr="00881752">
              <w:rPr>
                <w:sz w:val="22"/>
                <w:szCs w:val="22"/>
                <w:lang w:val="el-GR"/>
              </w:rPr>
              <w:t xml:space="preserve"> </w:t>
            </w:r>
            <w:r w:rsidRPr="00881752">
              <w:rPr>
                <w:sz w:val="22"/>
                <w:szCs w:val="22"/>
              </w:rPr>
              <w:t>ἀστοῖσι φαίνεαι γέλως.</w:t>
            </w:r>
            <w:r w:rsidR="00E023A1" w:rsidRPr="00881752">
              <w:rPr>
                <w:sz w:val="22"/>
                <w:szCs w:val="22"/>
              </w:rPr>
              <w:t xml:space="preserve"> </w:t>
            </w:r>
          </w:p>
        </w:tc>
        <w:tc>
          <w:tcPr>
            <w:tcW w:w="4111" w:type="dxa"/>
          </w:tcPr>
          <w:p w14:paraId="2EDD6F49" w14:textId="77777777" w:rsidR="00272F31" w:rsidRPr="00881752" w:rsidRDefault="00272F31" w:rsidP="001E50E4">
            <w:pPr>
              <w:pStyle w:val="Blockquote"/>
              <w:rPr>
                <w:sz w:val="22"/>
                <w:szCs w:val="22"/>
              </w:rPr>
            </w:pPr>
            <w:r w:rsidRPr="00881752">
              <w:rPr>
                <w:sz w:val="22"/>
                <w:szCs w:val="22"/>
              </w:rPr>
              <w:t>Father Lycambes, what did you mean by this? Who unhinged your wits which previously were sound? Now you seem to the townspeople a source of much laugther.</w:t>
            </w:r>
          </w:p>
        </w:tc>
      </w:tr>
    </w:tbl>
    <w:p w14:paraId="10064111" w14:textId="77777777" w:rsidR="00272F31" w:rsidRPr="00881752" w:rsidRDefault="00272F31" w:rsidP="0063501C">
      <w:pPr>
        <w:pStyle w:val="Blockquote"/>
      </w:pPr>
      <w:r w:rsidRPr="00881752">
        <w:t xml:space="preserve"> </w:t>
      </w:r>
    </w:p>
    <w:p w14:paraId="6E25AECE" w14:textId="12E6BE61" w:rsidR="00D05134" w:rsidRPr="00881752" w:rsidRDefault="001505BE" w:rsidP="00D05134">
      <w:pPr>
        <w:rPr>
          <w:rFonts w:cs="Times New Roman"/>
        </w:rPr>
      </w:pPr>
      <w:r w:rsidRPr="00881752">
        <w:rPr>
          <w:rFonts w:cs="Times New Roman"/>
          <w:lang w:val="en-US"/>
        </w:rPr>
        <w:t>In the following pages, I will try to show that the use of (or sometimes the creation of) words which convey the idea of a lack of sense often constitutes by itself the content of iambic poetry: in support of this analysis, I use, as my theoretical grounds, a psycho</w:t>
      </w:r>
      <w:r w:rsidR="00D808B7">
        <w:rPr>
          <w:rFonts w:cs="Times New Roman"/>
          <w:lang w:val="en-US"/>
        </w:rPr>
        <w:t>analytical</w:t>
      </w:r>
      <w:r w:rsidRPr="00881752">
        <w:rPr>
          <w:rFonts w:cs="Times New Roman"/>
          <w:lang w:val="en-US"/>
        </w:rPr>
        <w:t xml:space="preserve"> approach to abusive language and non-sense speaking.</w:t>
      </w:r>
      <w:r w:rsidR="00272F31" w:rsidRPr="00881752">
        <w:rPr>
          <w:rFonts w:cs="Times New Roman"/>
        </w:rPr>
        <w:t xml:space="preserve"> </w:t>
      </w:r>
    </w:p>
    <w:p w14:paraId="5729961A" w14:textId="77777777" w:rsidR="00D808B7" w:rsidRDefault="00D808B7" w:rsidP="00D05134">
      <w:pPr>
        <w:rPr>
          <w:rFonts w:cs="Times New Roman"/>
          <w:i/>
        </w:rPr>
      </w:pPr>
    </w:p>
    <w:p w14:paraId="1A9BE8E6" w14:textId="77777777" w:rsidR="00272F31" w:rsidRPr="00881752" w:rsidRDefault="00272F31" w:rsidP="00D05134">
      <w:pPr>
        <w:rPr>
          <w:rFonts w:cs="Times New Roman"/>
          <w:i/>
        </w:rPr>
      </w:pPr>
      <w:r w:rsidRPr="00881752">
        <w:rPr>
          <w:rFonts w:cs="Times New Roman"/>
          <w:i/>
        </w:rPr>
        <w:t>Abusive Language</w:t>
      </w:r>
    </w:p>
    <w:p w14:paraId="56F6CB83" w14:textId="295E4EAD" w:rsidR="001505BE" w:rsidRPr="00881752" w:rsidRDefault="001505BE" w:rsidP="001505BE">
      <w:pPr>
        <w:tabs>
          <w:tab w:val="center" w:pos="5387"/>
        </w:tabs>
        <w:rPr>
          <w:rFonts w:cs="Times New Roman"/>
          <w:lang w:val="en-US"/>
        </w:rPr>
      </w:pPr>
      <w:r w:rsidRPr="00881752">
        <w:rPr>
          <w:rFonts w:cs="Times New Roman"/>
          <w:lang w:val="en-US"/>
        </w:rPr>
        <w:t xml:space="preserve">Audiences take immense delight in playful aggression. In the case of verbal forms of abuse, it would be hard to find a group of iambic lines without it, and many people </w:t>
      </w:r>
      <w:r w:rsidRPr="00881752">
        <w:rPr>
          <w:rFonts w:cs="Times New Roman"/>
          <w:lang w:val="en-US"/>
        </w:rPr>
        <w:lastRenderedPageBreak/>
        <w:t xml:space="preserve">therefore consider aggression to be an integral, if not essential, part of iambic poetry. Like the aggression of play-fighting, this aggressive humour or behaviour, where it occurs in iambic texts, often seeks to approximate as closely as possible the </w:t>
      </w:r>
      <w:r w:rsidR="00CC0615">
        <w:rPr>
          <w:rFonts w:cs="Times New Roman"/>
          <w:lang w:val="en-US"/>
        </w:rPr>
        <w:t>“</w:t>
      </w:r>
      <w:r w:rsidRPr="00881752">
        <w:rPr>
          <w:rFonts w:cs="Times New Roman"/>
          <w:lang w:val="en-US"/>
        </w:rPr>
        <w:t>real</w:t>
      </w:r>
      <w:r w:rsidR="00CC0615">
        <w:rPr>
          <w:rFonts w:cs="Times New Roman"/>
          <w:lang w:val="en-US"/>
        </w:rPr>
        <w:t>”</w:t>
      </w:r>
      <w:r w:rsidRPr="00881752">
        <w:rPr>
          <w:rFonts w:cs="Times New Roman"/>
          <w:lang w:val="en-US"/>
        </w:rPr>
        <w:t xml:space="preserve"> thing. There lies a certain thrill in pushing toward the edge, to see how close one can come to </w:t>
      </w:r>
      <w:r w:rsidR="00CC0615">
        <w:rPr>
          <w:rFonts w:cs="Times New Roman"/>
          <w:lang w:val="en-US"/>
        </w:rPr>
        <w:t>“</w:t>
      </w:r>
      <w:r w:rsidRPr="00881752">
        <w:rPr>
          <w:rFonts w:cs="Times New Roman"/>
          <w:lang w:val="en-US"/>
        </w:rPr>
        <w:t>real</w:t>
      </w:r>
      <w:r w:rsidR="00CC0615">
        <w:rPr>
          <w:rFonts w:cs="Times New Roman"/>
          <w:lang w:val="en-US"/>
        </w:rPr>
        <w:t>”</w:t>
      </w:r>
      <w:r w:rsidRPr="00881752">
        <w:rPr>
          <w:rFonts w:cs="Times New Roman"/>
          <w:lang w:val="en-US"/>
        </w:rPr>
        <w:t xml:space="preserve"> aggression without crossing the boundary. This educated ὕβρις (as Aristotle calls the right amount of play, εὐτραπελία)</w:t>
      </w:r>
      <w:r w:rsidRPr="00881752">
        <w:rPr>
          <w:rStyle w:val="FootnoteReference"/>
          <w:rFonts w:cs="Times New Roman"/>
          <w:lang w:val="en-US"/>
        </w:rPr>
        <w:footnoteReference w:id="140"/>
      </w:r>
      <w:r w:rsidRPr="00881752">
        <w:rPr>
          <w:rFonts w:cs="Times New Roman"/>
          <w:lang w:val="en-US"/>
        </w:rPr>
        <w:t xml:space="preserve"> often seems paradoxical, in that the very things that make people uncomfortable (aggression, dangerous fighting, abuse) become in iambic texts the things that thrill. </w:t>
      </w:r>
    </w:p>
    <w:p w14:paraId="7FD71502" w14:textId="6F29B91F" w:rsidR="004068A8" w:rsidRPr="00881752" w:rsidRDefault="001505BE" w:rsidP="001505BE">
      <w:pPr>
        <w:tabs>
          <w:tab w:val="center" w:pos="5387"/>
        </w:tabs>
        <w:ind w:firstLine="426"/>
        <w:rPr>
          <w:rFonts w:cs="Times New Roman"/>
          <w:lang w:val="en-US"/>
        </w:rPr>
      </w:pPr>
      <w:r w:rsidRPr="00881752">
        <w:rPr>
          <w:rFonts w:cs="Times New Roman"/>
          <w:lang w:val="en-US"/>
        </w:rPr>
        <w:t>However, Freud considers contemporarity (reference to surroundings or matters of immediate concern) and aggression (a clear purpose of the language) to be of great use in actualising iambographers</w:t>
      </w:r>
      <w:r w:rsidR="00075F5F">
        <w:rPr>
          <w:rFonts w:cs="Times New Roman"/>
          <w:lang w:val="en-US"/>
        </w:rPr>
        <w:t>’</w:t>
      </w:r>
      <w:r w:rsidRPr="00881752">
        <w:rPr>
          <w:rFonts w:cs="Times New Roman"/>
          <w:lang w:val="en-US"/>
        </w:rPr>
        <w:t xml:space="preserve"> texts. Freud discusses both contemporary relevance (</w:t>
      </w:r>
      <w:r w:rsidRPr="00881752">
        <w:rPr>
          <w:rFonts w:cs="Times New Roman"/>
          <w:i/>
          <w:iCs/>
          <w:lang w:val="en-US"/>
        </w:rPr>
        <w:t>Aktualität</w:t>
      </w:r>
      <w:r w:rsidRPr="00881752">
        <w:rPr>
          <w:rFonts w:cs="Times New Roman"/>
          <w:lang w:val="en-US"/>
        </w:rPr>
        <w:t>) and aggressive purpose (</w:t>
      </w:r>
      <w:r w:rsidRPr="00881752">
        <w:rPr>
          <w:rFonts w:cs="Times New Roman"/>
          <w:i/>
          <w:iCs/>
          <w:lang w:val="en-US"/>
        </w:rPr>
        <w:t>Tendenz</w:t>
      </w:r>
      <w:r w:rsidRPr="00881752">
        <w:rPr>
          <w:rFonts w:cs="Times New Roman"/>
          <w:lang w:val="en-US"/>
        </w:rPr>
        <w:t>) at length.</w:t>
      </w:r>
      <w:r w:rsidRPr="00881752">
        <w:rPr>
          <w:rStyle w:val="FootnoteReference"/>
          <w:rFonts w:cs="Times New Roman"/>
          <w:lang w:val="en-US"/>
        </w:rPr>
        <w:footnoteReference w:id="141"/>
      </w:r>
      <w:r w:rsidRPr="00881752">
        <w:rPr>
          <w:rFonts w:cs="Times New Roman"/>
          <w:lang w:val="en-US"/>
        </w:rPr>
        <w:t xml:space="preserve"> His ideas are based on the important observation that people often laugh more intensely at aggressive jokes than at those that are playful (which he differentiates as </w:t>
      </w:r>
      <w:r w:rsidR="00CC0615">
        <w:rPr>
          <w:rFonts w:cs="Times New Roman"/>
          <w:lang w:val="en-US"/>
        </w:rPr>
        <w:t>“</w:t>
      </w:r>
      <w:r w:rsidRPr="00881752">
        <w:rPr>
          <w:rFonts w:cs="Times New Roman"/>
          <w:lang w:val="en-US"/>
        </w:rPr>
        <w:t>jests</w:t>
      </w:r>
      <w:r w:rsidR="00CC0615">
        <w:rPr>
          <w:rFonts w:cs="Times New Roman"/>
          <w:lang w:val="en-US"/>
        </w:rPr>
        <w:t>”</w:t>
      </w:r>
      <w:r w:rsidRPr="00881752">
        <w:rPr>
          <w:rFonts w:cs="Times New Roman"/>
          <w:lang w:val="en-US"/>
        </w:rPr>
        <w:t>).</w:t>
      </w:r>
      <w:r w:rsidRPr="00881752">
        <w:rPr>
          <w:rStyle w:val="FootnoteReference"/>
          <w:rFonts w:cs="Times New Roman"/>
          <w:lang w:val="en-US"/>
        </w:rPr>
        <w:footnoteReference w:id="142"/>
      </w:r>
      <w:r w:rsidRPr="00881752">
        <w:rPr>
          <w:rFonts w:cs="Times New Roman"/>
          <w:lang w:val="en-US"/>
        </w:rPr>
        <w:t xml:space="preserve"> Thus a verbal joke containing aggression against Lycambes or Mimnes would be likely to generate more laughs than a purely verbal joke or pun.</w:t>
      </w:r>
      <w:r w:rsidRPr="00881752">
        <w:rPr>
          <w:rStyle w:val="FootnoteReference"/>
          <w:rFonts w:cs="Times New Roman"/>
          <w:lang w:val="en-US"/>
        </w:rPr>
        <w:footnoteReference w:id="143"/>
      </w:r>
      <w:r w:rsidRPr="00881752">
        <w:rPr>
          <w:rFonts w:cs="Times New Roman"/>
          <w:lang w:val="en-US"/>
        </w:rPr>
        <w:t xml:space="preserve"> According to Freud, aggression using real personal names, possibly known by the audience, increases the pleasure which audience takes from listening to, since it actualises the words and makes them closer to the world of the audience. </w:t>
      </w:r>
    </w:p>
    <w:p w14:paraId="7DE3E8C5" w14:textId="531457F2" w:rsidR="00816B4A" w:rsidRPr="00881752" w:rsidRDefault="001505BE" w:rsidP="00F56C73">
      <w:pPr>
        <w:tabs>
          <w:tab w:val="center" w:pos="5387"/>
        </w:tabs>
        <w:ind w:firstLine="426"/>
        <w:rPr>
          <w:rFonts w:cs="Times New Roman"/>
          <w:szCs w:val="24"/>
        </w:rPr>
      </w:pPr>
      <w:r w:rsidRPr="00881752">
        <w:rPr>
          <w:rFonts w:cs="Times New Roman"/>
          <w:lang w:val="en-US"/>
        </w:rPr>
        <w:t>For example, Hipponax, in his abusive lines against the painter Mimnes, calls him κατωμόχανος (39.1), νικύρτης, and σάβαννις (39.5):</w:t>
      </w:r>
    </w:p>
    <w:p w14:paraId="151B0ADD" w14:textId="77777777" w:rsidR="00272F31" w:rsidRPr="00881752" w:rsidRDefault="00272F31" w:rsidP="00FE31F1">
      <w:pPr>
        <w:tabs>
          <w:tab w:val="center" w:pos="5387"/>
        </w:tabs>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69"/>
        <w:gridCol w:w="3969"/>
      </w:tblGrid>
      <w:tr w:rsidR="00272F31" w:rsidRPr="00881752" w14:paraId="68E9E4F6" w14:textId="77777777" w:rsidTr="0013179E">
        <w:tc>
          <w:tcPr>
            <w:tcW w:w="3969" w:type="dxa"/>
          </w:tcPr>
          <w:p w14:paraId="4DDA72BD" w14:textId="77777777" w:rsidR="00272F31" w:rsidRPr="00881752" w:rsidRDefault="00272F31" w:rsidP="001E50E4">
            <w:pPr>
              <w:pStyle w:val="Blockquote"/>
              <w:rPr>
                <w:rFonts w:eastAsiaTheme="minorEastAsia"/>
                <w:sz w:val="22"/>
                <w:szCs w:val="22"/>
              </w:rPr>
            </w:pPr>
            <w:r w:rsidRPr="00881752">
              <w:rPr>
                <w:rFonts w:eastAsiaTheme="minorEastAsia"/>
                <w:sz w:val="22"/>
                <w:szCs w:val="22"/>
              </w:rPr>
              <w:t>Μιμνῆ κατωμόχανε, μηκέτι γράψηις</w:t>
            </w:r>
          </w:p>
          <w:p w14:paraId="5070AB1B" w14:textId="77777777" w:rsidR="00272F31" w:rsidRPr="00881752" w:rsidRDefault="00272F31" w:rsidP="001E50E4">
            <w:pPr>
              <w:pStyle w:val="Blockquote"/>
              <w:rPr>
                <w:rFonts w:eastAsiaTheme="minorEastAsia"/>
                <w:sz w:val="22"/>
                <w:szCs w:val="22"/>
              </w:rPr>
            </w:pPr>
            <w:r w:rsidRPr="00881752">
              <w:rPr>
                <w:rFonts w:eastAsiaTheme="minorEastAsia"/>
                <w:sz w:val="22"/>
                <w:szCs w:val="22"/>
              </w:rPr>
              <w:t>ὄπφιν τριήρεος ἐν πολυζύγωι τοίχωι</w:t>
            </w:r>
          </w:p>
          <w:p w14:paraId="0D60FA9C" w14:textId="3AA9C62F" w:rsidR="00272F31" w:rsidRPr="00881752" w:rsidRDefault="00272F31" w:rsidP="001E50E4">
            <w:pPr>
              <w:pStyle w:val="Blockquote"/>
              <w:rPr>
                <w:rFonts w:eastAsiaTheme="minorEastAsia"/>
                <w:sz w:val="22"/>
                <w:szCs w:val="22"/>
                <w:lang w:val="el-GR"/>
              </w:rPr>
            </w:pPr>
            <w:r w:rsidRPr="00881752">
              <w:rPr>
                <w:rFonts w:eastAsiaTheme="minorEastAsia"/>
                <w:sz w:val="22"/>
                <w:szCs w:val="22"/>
                <w:lang w:val="el-GR"/>
              </w:rPr>
              <w:t>ἀπ</w:t>
            </w:r>
            <w:r w:rsidR="00075F5F">
              <w:rPr>
                <w:rFonts w:eastAsiaTheme="minorEastAsia"/>
                <w:sz w:val="22"/>
                <w:szCs w:val="22"/>
                <w:lang w:val="el-GR"/>
              </w:rPr>
              <w:t>’</w:t>
            </w:r>
            <w:r w:rsidRPr="00881752">
              <w:rPr>
                <w:rFonts w:eastAsiaTheme="minorEastAsia"/>
                <w:sz w:val="22"/>
                <w:szCs w:val="22"/>
                <w:lang w:val="el-GR"/>
              </w:rPr>
              <w:t xml:space="preserve"> ἐμβόλου φεύγοντα πρὸς κυβερνήτην·</w:t>
            </w:r>
          </w:p>
          <w:p w14:paraId="5C7AF74E" w14:textId="77777777" w:rsidR="00272F31" w:rsidRPr="00881752" w:rsidRDefault="00272F31" w:rsidP="001E50E4">
            <w:pPr>
              <w:pStyle w:val="Blockquote"/>
              <w:rPr>
                <w:rFonts w:eastAsiaTheme="minorEastAsia"/>
                <w:sz w:val="22"/>
                <w:szCs w:val="22"/>
                <w:lang w:val="el-GR"/>
              </w:rPr>
            </w:pPr>
            <w:r w:rsidRPr="00881752">
              <w:rPr>
                <w:rFonts w:eastAsiaTheme="minorEastAsia"/>
                <w:sz w:val="22"/>
                <w:szCs w:val="22"/>
                <w:lang w:val="el-GR"/>
              </w:rPr>
              <w:t>αὕτη γὰρ ἔσται συμφορή τε καὶ κληδών,</w:t>
            </w:r>
          </w:p>
          <w:p w14:paraId="746E53DC" w14:textId="77777777" w:rsidR="00272F31" w:rsidRPr="00881752" w:rsidRDefault="00272F31" w:rsidP="001E50E4">
            <w:pPr>
              <w:pStyle w:val="Blockquote"/>
              <w:rPr>
                <w:rFonts w:eastAsiaTheme="minorEastAsia"/>
                <w:sz w:val="22"/>
                <w:szCs w:val="22"/>
                <w:lang w:val="el-GR"/>
              </w:rPr>
            </w:pPr>
            <w:r w:rsidRPr="00881752">
              <w:rPr>
                <w:rFonts w:eastAsiaTheme="minorEastAsia"/>
                <w:sz w:val="22"/>
                <w:szCs w:val="22"/>
                <w:lang w:val="el-GR"/>
              </w:rPr>
              <w:t>νικύρτα καὶ σάβαννι, τῶι κυβερνήτηι,</w:t>
            </w:r>
          </w:p>
          <w:p w14:paraId="479407AC" w14:textId="77777777" w:rsidR="00272F31" w:rsidRPr="00881752" w:rsidRDefault="00272F31" w:rsidP="001E50E4">
            <w:pPr>
              <w:pStyle w:val="Blockquote"/>
              <w:rPr>
                <w:sz w:val="22"/>
                <w:szCs w:val="22"/>
                <w:lang w:val="el-GR"/>
              </w:rPr>
            </w:pPr>
            <w:r w:rsidRPr="00881752">
              <w:rPr>
                <w:rFonts w:eastAsiaTheme="minorEastAsia"/>
                <w:sz w:val="22"/>
                <w:szCs w:val="22"/>
                <w:lang w:val="el-GR"/>
              </w:rPr>
              <w:t>ἢν αὐτὸν ὄπφις τὠντικνήμιον δάκηι.</w:t>
            </w:r>
          </w:p>
        </w:tc>
        <w:tc>
          <w:tcPr>
            <w:tcW w:w="3969" w:type="dxa"/>
          </w:tcPr>
          <w:p w14:paraId="14F728EE" w14:textId="32CE4DC9" w:rsidR="00272F31" w:rsidRPr="00FE31F1" w:rsidRDefault="00272F31" w:rsidP="00EC1B43">
            <w:pPr>
              <w:pStyle w:val="Blockquote"/>
              <w:rPr>
                <w:sz w:val="21"/>
                <w:szCs w:val="21"/>
              </w:rPr>
            </w:pPr>
            <w:r w:rsidRPr="00FE31F1">
              <w:rPr>
                <w:sz w:val="21"/>
                <w:szCs w:val="21"/>
              </w:rPr>
              <w:t>Mimnes, you who gape open all the way to the shoulders, don</w:t>
            </w:r>
            <w:r w:rsidR="00075F5F" w:rsidRPr="00FE31F1">
              <w:rPr>
                <w:sz w:val="21"/>
                <w:szCs w:val="21"/>
              </w:rPr>
              <w:t>’</w:t>
            </w:r>
            <w:r w:rsidRPr="00FE31F1">
              <w:rPr>
                <w:sz w:val="21"/>
                <w:szCs w:val="21"/>
              </w:rPr>
              <w:t>t paint again on a trireme</w:t>
            </w:r>
            <w:r w:rsidR="00075F5F" w:rsidRPr="00FE31F1">
              <w:rPr>
                <w:sz w:val="21"/>
                <w:szCs w:val="21"/>
              </w:rPr>
              <w:t>’</w:t>
            </w:r>
            <w:r w:rsidRPr="00FE31F1">
              <w:rPr>
                <w:sz w:val="21"/>
                <w:szCs w:val="21"/>
              </w:rPr>
              <w:t xml:space="preserve">s many-benched side a serpent that runs from the ram to the helmsman; for this is a dangerous omen for the helmsman, you slave of a slave and </w:t>
            </w:r>
            <w:r w:rsidR="00EC1B43" w:rsidRPr="00FE31F1">
              <w:rPr>
                <w:sz w:val="21"/>
                <w:szCs w:val="21"/>
              </w:rPr>
              <w:t xml:space="preserve">Sabazius, </w:t>
            </w:r>
            <w:r w:rsidRPr="00FE31F1">
              <w:rPr>
                <w:sz w:val="21"/>
                <w:szCs w:val="21"/>
              </w:rPr>
              <w:t>if the serpent bites him on the shin.</w:t>
            </w:r>
          </w:p>
        </w:tc>
      </w:tr>
    </w:tbl>
    <w:p w14:paraId="70019B8A" w14:textId="77777777" w:rsidR="00272F31" w:rsidRPr="00881752" w:rsidRDefault="00272F31" w:rsidP="001E50E4">
      <w:pPr>
        <w:pStyle w:val="Blockquote"/>
      </w:pPr>
    </w:p>
    <w:p w14:paraId="08B8E5BD" w14:textId="64B9CE40" w:rsidR="00272F31" w:rsidRPr="00881752" w:rsidRDefault="001505BE" w:rsidP="00695A7C">
      <w:pPr>
        <w:tabs>
          <w:tab w:val="center" w:pos="5387"/>
        </w:tabs>
        <w:rPr>
          <w:rFonts w:cs="Times New Roman"/>
          <w:szCs w:val="24"/>
        </w:rPr>
      </w:pPr>
      <w:r w:rsidRPr="00881752">
        <w:rPr>
          <w:rFonts w:cs="Times New Roman"/>
          <w:lang w:val="en-US"/>
        </w:rPr>
        <w:t xml:space="preserve">κατωμόχανος, νικύρτης, and σάβαννις are three terms which are difficult to understand: the first is a pun on the Homeric κακομήχανος, the third may be a pun on the name of the </w:t>
      </w:r>
      <w:r w:rsidRPr="00881752">
        <w:rPr>
          <w:rFonts w:cs="Times New Roman"/>
          <w:lang w:val="en-US"/>
        </w:rPr>
        <w:lastRenderedPageBreak/>
        <w:t xml:space="preserve">Thraco-Phrygian god Σαβάζιος, and the second is an unknown word, which in the Hesychian </w:t>
      </w:r>
      <w:r w:rsidRPr="00881752">
        <w:rPr>
          <w:rFonts w:cs="Times New Roman"/>
          <w:i/>
          <w:iCs/>
          <w:lang w:val="en-US"/>
        </w:rPr>
        <w:t>Lexicon</w:t>
      </w:r>
      <w:r w:rsidRPr="00881752">
        <w:rPr>
          <w:rFonts w:cs="Times New Roman"/>
          <w:lang w:val="en-US"/>
        </w:rPr>
        <w:t xml:space="preserve"> is gloss as δουλέκδουλος </w:t>
      </w:r>
      <w:r w:rsidR="00CC0615">
        <w:rPr>
          <w:rFonts w:cs="Times New Roman"/>
          <w:lang w:val="en-US"/>
        </w:rPr>
        <w:t>“</w:t>
      </w:r>
      <w:r w:rsidRPr="00881752">
        <w:rPr>
          <w:rFonts w:cs="Times New Roman"/>
          <w:lang w:val="en-US"/>
        </w:rPr>
        <w:t>slave (born) of a slave.</w:t>
      </w:r>
      <w:r w:rsidR="00CC0615">
        <w:rPr>
          <w:rFonts w:cs="Times New Roman"/>
          <w:lang w:val="en-US"/>
        </w:rPr>
        <w:t>”</w:t>
      </w:r>
      <w:r w:rsidRPr="00881752">
        <w:rPr>
          <w:rFonts w:cs="Times New Roman"/>
          <w:lang w:val="en-US"/>
        </w:rPr>
        <w:t xml:space="preserve"> In these cases, the mind of the audience can focus on sensible data, such as </w:t>
      </w:r>
      <w:r w:rsidR="00CC0615">
        <w:rPr>
          <w:rFonts w:cs="Times New Roman"/>
          <w:lang w:val="en-US"/>
        </w:rPr>
        <w:t>“</w:t>
      </w:r>
      <w:r w:rsidRPr="00881752">
        <w:rPr>
          <w:rFonts w:cs="Times New Roman"/>
          <w:lang w:val="en-US"/>
        </w:rPr>
        <w:t>Mimnes the painter is incapable,</w:t>
      </w:r>
      <w:r w:rsidR="00CC0615">
        <w:rPr>
          <w:rFonts w:cs="Times New Roman"/>
          <w:lang w:val="en-US"/>
        </w:rPr>
        <w:t>”</w:t>
      </w:r>
      <w:r w:rsidRPr="00881752">
        <w:rPr>
          <w:rFonts w:cs="Times New Roman"/>
          <w:lang w:val="en-US"/>
        </w:rPr>
        <w:t xml:space="preserve"> </w:t>
      </w:r>
      <w:r w:rsidR="00CC0615">
        <w:rPr>
          <w:rFonts w:cs="Times New Roman"/>
          <w:lang w:val="en-US"/>
        </w:rPr>
        <w:t>“</w:t>
      </w:r>
      <w:r w:rsidRPr="00881752">
        <w:rPr>
          <w:rFonts w:cs="Times New Roman"/>
          <w:lang w:val="en-US"/>
        </w:rPr>
        <w:t>Mimnes is a bringer of bad luck,</w:t>
      </w:r>
      <w:r w:rsidR="00CC0615">
        <w:rPr>
          <w:rFonts w:cs="Times New Roman"/>
          <w:lang w:val="en-US"/>
        </w:rPr>
        <w:t>”</w:t>
      </w:r>
      <w:r w:rsidRPr="00881752">
        <w:rPr>
          <w:rFonts w:cs="Times New Roman"/>
          <w:lang w:val="en-US"/>
        </w:rPr>
        <w:t xml:space="preserve"> and </w:t>
      </w:r>
      <w:r w:rsidR="00CC0615">
        <w:rPr>
          <w:rFonts w:cs="Times New Roman"/>
          <w:lang w:val="en-US"/>
        </w:rPr>
        <w:t>“</w:t>
      </w:r>
      <w:r w:rsidRPr="00881752">
        <w:rPr>
          <w:rFonts w:cs="Times New Roman"/>
          <w:lang w:val="en-US"/>
        </w:rPr>
        <w:t>Mimnes foolishly painted on the side of a trireme a serpent turned in the wrong direction</w:t>
      </w:r>
      <w:r w:rsidR="00CC0615">
        <w:rPr>
          <w:rFonts w:cs="Times New Roman"/>
          <w:lang w:val="en-US"/>
        </w:rPr>
        <w:t>”</w:t>
      </w:r>
      <w:r w:rsidRPr="00881752">
        <w:rPr>
          <w:rFonts w:cs="Times New Roman"/>
          <w:lang w:val="en-US"/>
        </w:rPr>
        <w:t xml:space="preserve">: the real name </w:t>
      </w:r>
      <w:r w:rsidR="00CC0615">
        <w:rPr>
          <w:rFonts w:cs="Times New Roman"/>
          <w:lang w:val="en-US"/>
        </w:rPr>
        <w:t>“</w:t>
      </w:r>
      <w:r w:rsidRPr="00881752">
        <w:rPr>
          <w:rFonts w:cs="Times New Roman"/>
          <w:lang w:val="en-US"/>
        </w:rPr>
        <w:t>Mimnes</w:t>
      </w:r>
      <w:r w:rsidR="00CC0615">
        <w:rPr>
          <w:rFonts w:cs="Times New Roman"/>
          <w:lang w:val="en-US"/>
        </w:rPr>
        <w:t>”</w:t>
      </w:r>
      <w:r w:rsidRPr="00881752">
        <w:rPr>
          <w:rFonts w:cs="Times New Roman"/>
          <w:lang w:val="en-US"/>
        </w:rPr>
        <w:t xml:space="preserve"> increases the pleasure of the abuse and also words difficult to understand (even words which can be nonsense) are intensely enjoyed. However, many of the jokes in iambic texts are not obviously aggressive but rely entirely on linguistic aberrations.</w:t>
      </w:r>
    </w:p>
    <w:p w14:paraId="6DDA6370" w14:textId="77777777" w:rsidR="00D05134" w:rsidRPr="00881752" w:rsidRDefault="00D05134" w:rsidP="00D05134">
      <w:pPr>
        <w:tabs>
          <w:tab w:val="center" w:pos="5387"/>
        </w:tabs>
        <w:rPr>
          <w:rFonts w:cs="Times New Roman"/>
          <w:szCs w:val="24"/>
          <w:u w:val="single"/>
        </w:rPr>
      </w:pPr>
    </w:p>
    <w:p w14:paraId="42A1A7D7" w14:textId="77777777" w:rsidR="00272F31" w:rsidRPr="00881752" w:rsidRDefault="00272F31" w:rsidP="00D05134">
      <w:pPr>
        <w:tabs>
          <w:tab w:val="center" w:pos="5387"/>
        </w:tabs>
        <w:rPr>
          <w:rFonts w:cs="Times New Roman"/>
          <w:i/>
          <w:szCs w:val="24"/>
        </w:rPr>
      </w:pPr>
      <w:r w:rsidRPr="00881752">
        <w:rPr>
          <w:rFonts w:cs="Times New Roman"/>
          <w:i/>
          <w:szCs w:val="24"/>
        </w:rPr>
        <w:t>Non-sense Speaking</w:t>
      </w:r>
    </w:p>
    <w:p w14:paraId="19571605" w14:textId="4B65EBFB" w:rsidR="001505BE" w:rsidRPr="00881752" w:rsidRDefault="001505BE" w:rsidP="001505BE">
      <w:pPr>
        <w:tabs>
          <w:tab w:val="center" w:pos="5387"/>
        </w:tabs>
        <w:rPr>
          <w:rFonts w:cs="Times New Roman"/>
          <w:lang w:val="en-US"/>
        </w:rPr>
      </w:pPr>
      <w:r w:rsidRPr="00881752">
        <w:rPr>
          <w:rFonts w:cs="Times New Roman"/>
          <w:lang w:val="en-US"/>
        </w:rPr>
        <w:t xml:space="preserve">Aristotle, talking about Comedy, explains that </w:t>
      </w:r>
      <w:r w:rsidR="00CC0615">
        <w:rPr>
          <w:rFonts w:cs="Times New Roman"/>
          <w:lang w:val="en-US"/>
        </w:rPr>
        <w:t>“</w:t>
      </w:r>
      <w:r w:rsidRPr="00881752">
        <w:rPr>
          <w:rFonts w:cs="Times New Roman"/>
          <w:lang w:val="en-US"/>
        </w:rPr>
        <w:t>the pleasure of a joke lies in discovering its sense, or, more precisely, in learning something.</w:t>
      </w:r>
      <w:r w:rsidR="00CC0615">
        <w:rPr>
          <w:rFonts w:cs="Times New Roman"/>
          <w:lang w:val="en-US"/>
        </w:rPr>
        <w:t>”</w:t>
      </w:r>
      <w:r w:rsidRPr="00881752">
        <w:rPr>
          <w:rStyle w:val="FootnoteReference"/>
          <w:rFonts w:cs="Times New Roman"/>
          <w:lang w:val="en-US"/>
        </w:rPr>
        <w:footnoteReference w:id="144"/>
      </w:r>
      <w:r w:rsidRPr="00881752">
        <w:rPr>
          <w:rFonts w:cs="Times New Roman"/>
          <w:lang w:val="en-US"/>
        </w:rPr>
        <w:t xml:space="preserve"> But it is not often clear what is grasped or learned when one </w:t>
      </w:r>
      <w:r w:rsidR="00CC0615">
        <w:rPr>
          <w:rFonts w:cs="Times New Roman"/>
          <w:lang w:val="en-US"/>
        </w:rPr>
        <w:t>“</w:t>
      </w:r>
      <w:r w:rsidRPr="00881752">
        <w:rPr>
          <w:rFonts w:cs="Times New Roman"/>
          <w:lang w:val="en-US"/>
        </w:rPr>
        <w:t>gets</w:t>
      </w:r>
      <w:r w:rsidR="00CC0615">
        <w:rPr>
          <w:rFonts w:cs="Times New Roman"/>
          <w:lang w:val="en-US"/>
        </w:rPr>
        <w:t>”</w:t>
      </w:r>
      <w:r w:rsidRPr="00881752">
        <w:rPr>
          <w:rFonts w:cs="Times New Roman"/>
          <w:lang w:val="en-US"/>
        </w:rPr>
        <w:t xml:space="preserve"> a joke; the alleged sense often is only a </w:t>
      </w:r>
      <w:r w:rsidR="00CC0615">
        <w:rPr>
          <w:rFonts w:cs="Times New Roman"/>
          <w:lang w:val="en-US"/>
        </w:rPr>
        <w:t>“</w:t>
      </w:r>
      <w:r w:rsidRPr="00881752">
        <w:rPr>
          <w:rFonts w:cs="Times New Roman"/>
          <w:lang w:val="en-US"/>
        </w:rPr>
        <w:t>flickering illusion of meaningful proposition.</w:t>
      </w:r>
      <w:r w:rsidR="00CC0615">
        <w:rPr>
          <w:rFonts w:cs="Times New Roman"/>
          <w:lang w:val="en-US"/>
        </w:rPr>
        <w:t>”</w:t>
      </w:r>
      <w:r w:rsidRPr="00881752">
        <w:rPr>
          <w:rStyle w:val="FootnoteReference"/>
          <w:rFonts w:cs="Times New Roman"/>
          <w:lang w:val="en-US"/>
        </w:rPr>
        <w:footnoteReference w:id="145"/>
      </w:r>
      <w:r w:rsidRPr="00881752">
        <w:rPr>
          <w:rFonts w:cs="Times New Roman"/>
          <w:lang w:val="en-US"/>
        </w:rPr>
        <w:t xml:space="preserve"> So, while Aristotle based his observations on the intuition that a joke</w:t>
      </w:r>
      <w:r w:rsidR="00075F5F">
        <w:rPr>
          <w:rFonts w:cs="Times New Roman"/>
          <w:lang w:val="en-US"/>
        </w:rPr>
        <w:t>’</w:t>
      </w:r>
      <w:r w:rsidRPr="00881752">
        <w:rPr>
          <w:rFonts w:cs="Times New Roman"/>
          <w:lang w:val="en-US"/>
        </w:rPr>
        <w:t xml:space="preserve">s pleasure resides in getting the joke, Freud acknowledges that what is </w:t>
      </w:r>
      <w:r w:rsidR="00CC0615">
        <w:rPr>
          <w:rFonts w:cs="Times New Roman"/>
          <w:lang w:val="en-US"/>
        </w:rPr>
        <w:t>“</w:t>
      </w:r>
      <w:r w:rsidRPr="00881752">
        <w:rPr>
          <w:rFonts w:cs="Times New Roman"/>
          <w:lang w:val="en-US"/>
        </w:rPr>
        <w:t>got</w:t>
      </w:r>
      <w:r w:rsidR="00CC0615">
        <w:rPr>
          <w:rFonts w:cs="Times New Roman"/>
          <w:lang w:val="en-US"/>
        </w:rPr>
        <w:t>”</w:t>
      </w:r>
      <w:r w:rsidRPr="00881752">
        <w:rPr>
          <w:rFonts w:cs="Times New Roman"/>
          <w:lang w:val="en-US"/>
        </w:rPr>
        <w:t xml:space="preserve"> is often elusive and may not be the source of pleasure at all. The true pleasure, he argues, resides not in a joke</w:t>
      </w:r>
      <w:r w:rsidR="00075F5F">
        <w:rPr>
          <w:rFonts w:cs="Times New Roman"/>
          <w:lang w:val="en-US"/>
        </w:rPr>
        <w:t>’</w:t>
      </w:r>
      <w:r w:rsidRPr="00881752">
        <w:rPr>
          <w:rFonts w:cs="Times New Roman"/>
          <w:lang w:val="en-US"/>
        </w:rPr>
        <w:t>s sense (</w:t>
      </w:r>
      <w:r w:rsidRPr="00881752">
        <w:rPr>
          <w:rFonts w:cs="Times New Roman"/>
          <w:i/>
          <w:iCs/>
          <w:lang w:val="en-US"/>
        </w:rPr>
        <w:t>Sinn</w:t>
      </w:r>
      <w:r w:rsidRPr="00881752">
        <w:rPr>
          <w:rFonts w:cs="Times New Roman"/>
          <w:lang w:val="en-US"/>
        </w:rPr>
        <w:t>) but in its nonsense (</w:t>
      </w:r>
      <w:r w:rsidRPr="00881752">
        <w:rPr>
          <w:rFonts w:cs="Times New Roman"/>
          <w:i/>
          <w:iCs/>
          <w:lang w:val="en-US"/>
        </w:rPr>
        <w:t>Unsinn</w:t>
      </w:r>
      <w:r w:rsidRPr="00881752">
        <w:rPr>
          <w:rFonts w:cs="Times New Roman"/>
          <w:lang w:val="en-US"/>
        </w:rPr>
        <w:t>).</w:t>
      </w:r>
      <w:r w:rsidRPr="00881752">
        <w:rPr>
          <w:rStyle w:val="FootnoteReference"/>
          <w:rFonts w:cs="Times New Roman"/>
          <w:lang w:val="en-US"/>
        </w:rPr>
        <w:footnoteReference w:id="146"/>
      </w:r>
      <w:r w:rsidRPr="00881752">
        <w:rPr>
          <w:rFonts w:cs="Times New Roman"/>
          <w:lang w:val="en-US"/>
        </w:rPr>
        <w:t xml:space="preserve"> Rather than creating pleasure, the sense component of a joke functions only to conceal the nonsense, which on its own would not be pleasurable.</w:t>
      </w:r>
      <w:r w:rsidRPr="00881752">
        <w:rPr>
          <w:rStyle w:val="FootnoteReference"/>
          <w:rFonts w:cs="Times New Roman"/>
          <w:lang w:val="en-US"/>
        </w:rPr>
        <w:footnoteReference w:id="147"/>
      </w:r>
      <w:r w:rsidRPr="00881752">
        <w:rPr>
          <w:rFonts w:cs="Times New Roman"/>
          <w:lang w:val="en-US"/>
        </w:rPr>
        <w:t xml:space="preserve"> According to Freud, then, the role of sense in a joke is to conceal nonsense in order to make the pleasure of nonsense enjoyable. The necessary developments of language and logic that make daily interaction and communication possible set a high standard for functional language and sharply devalue useless language that, for instance, seems not to map on the reality, as well as endlessly repeated phrases or phrases based on senseless rhyming.</w:t>
      </w:r>
      <w:r w:rsidRPr="00881752">
        <w:rPr>
          <w:rStyle w:val="FootnoteReference"/>
          <w:rFonts w:cs="Times New Roman"/>
          <w:lang w:val="en-US"/>
        </w:rPr>
        <w:footnoteReference w:id="148"/>
      </w:r>
      <w:r w:rsidRPr="00881752">
        <w:rPr>
          <w:rFonts w:cs="Times New Roman"/>
          <w:lang w:val="en-US"/>
        </w:rPr>
        <w:t xml:space="preserve"> For that reason, little enjoyment is created by such useless language alone; that childish pleasure can only be accessed by adults through sense or the illusion of sense.</w:t>
      </w:r>
    </w:p>
    <w:p w14:paraId="3CF489CB" w14:textId="6C019E95" w:rsidR="001505BE" w:rsidRPr="00881752" w:rsidRDefault="001505BE" w:rsidP="001505BE">
      <w:pPr>
        <w:tabs>
          <w:tab w:val="center" w:pos="5387"/>
        </w:tabs>
        <w:rPr>
          <w:rFonts w:cs="Times New Roman"/>
          <w:lang w:val="en-US"/>
        </w:rPr>
      </w:pPr>
      <w:r w:rsidRPr="00881752">
        <w:rPr>
          <w:rFonts w:cs="Times New Roman"/>
          <w:lang w:val="en-US"/>
        </w:rPr>
        <w:lastRenderedPageBreak/>
        <w:tab/>
        <w:t xml:space="preserve">Hipponax coins the word βρενθύομαι (fr. 156: βεβρενθυόμενον), built on βρένθος, the name of a water-singing-bird. It is probable that the word has the function of reproducing the sound of the bird, and that in this lies its comic result; however, the context of the fragment prevailed on the sound so that the word has been used after Hipponax as synonymous of ὀργίζω </w:t>
      </w:r>
      <w:r w:rsidR="00CC0615">
        <w:rPr>
          <w:rFonts w:cs="Times New Roman"/>
          <w:lang w:val="en-US"/>
        </w:rPr>
        <w:t>“</w:t>
      </w:r>
      <w:r w:rsidRPr="00881752">
        <w:rPr>
          <w:rFonts w:cs="Times New Roman"/>
          <w:lang w:val="en-US"/>
        </w:rPr>
        <w:t>swagger.</w:t>
      </w:r>
      <w:r w:rsidR="00CC0615">
        <w:rPr>
          <w:rFonts w:cs="Times New Roman"/>
          <w:lang w:val="en-US"/>
        </w:rPr>
        <w:t>”</w:t>
      </w:r>
    </w:p>
    <w:p w14:paraId="0C5711A2" w14:textId="696F6C45" w:rsidR="001505BE" w:rsidRPr="00881752" w:rsidRDefault="001505BE" w:rsidP="001505BE">
      <w:pPr>
        <w:tabs>
          <w:tab w:val="center" w:pos="5387"/>
        </w:tabs>
        <w:ind w:firstLine="567"/>
        <w:rPr>
          <w:rFonts w:cs="Times New Roman"/>
          <w:lang w:val="en-US"/>
        </w:rPr>
      </w:pPr>
      <w:r w:rsidRPr="00881752">
        <w:rPr>
          <w:rFonts w:cs="Times New Roman"/>
          <w:lang w:val="en-US"/>
        </w:rPr>
        <w:t>While Aristotle locates pleasure in the process of learning or registering a joke</w:t>
      </w:r>
      <w:r w:rsidR="00075F5F">
        <w:rPr>
          <w:rFonts w:cs="Times New Roman"/>
          <w:lang w:val="en-US"/>
        </w:rPr>
        <w:t>’</w:t>
      </w:r>
      <w:r w:rsidRPr="00881752">
        <w:rPr>
          <w:rFonts w:cs="Times New Roman"/>
          <w:lang w:val="en-US"/>
        </w:rPr>
        <w:t>s sense,</w:t>
      </w:r>
      <w:r w:rsidRPr="00881752">
        <w:rPr>
          <w:rStyle w:val="FootnoteReference"/>
          <w:rFonts w:cs="Times New Roman"/>
          <w:lang w:val="en-US"/>
        </w:rPr>
        <w:footnoteReference w:id="149"/>
      </w:r>
      <w:r w:rsidRPr="00881752">
        <w:rPr>
          <w:rFonts w:cs="Times New Roman"/>
          <w:lang w:val="en-US"/>
        </w:rPr>
        <w:t xml:space="preserve"> Freud locates pleasure in the gibberish itself, despite the negative reactions it engenders: sense, then, serves only to mediate the pleasures of such gibberish, since the negative aspects of nonsense make its perception no less than a comic goal.</w:t>
      </w:r>
      <w:r w:rsidRPr="00881752">
        <w:rPr>
          <w:rStyle w:val="FootnoteReference"/>
          <w:rFonts w:cs="Times New Roman"/>
          <w:lang w:val="en-US"/>
        </w:rPr>
        <w:footnoteReference w:id="150"/>
      </w:r>
      <w:r w:rsidRPr="00881752">
        <w:rPr>
          <w:rFonts w:cs="Times New Roman"/>
          <w:lang w:val="en-US"/>
        </w:rPr>
        <w:t xml:space="preserve"> Coupled with this important observation about nonsense is Freud</w:t>
      </w:r>
      <w:r w:rsidR="00075F5F">
        <w:rPr>
          <w:rFonts w:cs="Times New Roman"/>
          <w:lang w:val="en-US"/>
        </w:rPr>
        <w:t>’</w:t>
      </w:r>
      <w:r w:rsidRPr="00881752">
        <w:rPr>
          <w:rFonts w:cs="Times New Roman"/>
          <w:lang w:val="en-US"/>
        </w:rPr>
        <w:t xml:space="preserve">s related observation about mood: </w:t>
      </w:r>
    </w:p>
    <w:p w14:paraId="034C2203" w14:textId="77777777" w:rsidR="001505BE" w:rsidRPr="00881752" w:rsidRDefault="001505BE" w:rsidP="001505BE">
      <w:pPr>
        <w:tabs>
          <w:tab w:val="clear" w:pos="425"/>
          <w:tab w:val="left" w:pos="426"/>
        </w:tabs>
        <w:spacing w:before="200" w:after="200" w:line="300" w:lineRule="auto"/>
        <w:ind w:left="425"/>
        <w:rPr>
          <w:rFonts w:cs="Times New Roman"/>
          <w:sz w:val="22"/>
          <w:lang w:val="en-US"/>
        </w:rPr>
      </w:pPr>
      <w:r w:rsidRPr="00881752">
        <w:rPr>
          <w:rFonts w:cs="Times New Roman"/>
          <w:sz w:val="22"/>
          <w:lang w:val="en-US"/>
        </w:rPr>
        <w:t>A cheerful mood, whether it is produced endogenously or toxically, reduce the inhibiting forces, criticism among them, and makes accessible once again sources of pleasure which were under the weight of suppression. It is most instructive to observe how the standards of joking sink as spirits rise. For high spirits replace jokes, just as jokes must try to replace high spirits.</w:t>
      </w:r>
      <w:r w:rsidRPr="00881752">
        <w:rPr>
          <w:rStyle w:val="FootnoteReference"/>
          <w:rFonts w:cs="Times New Roman"/>
          <w:lang w:val="en-US"/>
        </w:rPr>
        <w:footnoteReference w:id="151"/>
      </w:r>
      <w:r w:rsidRPr="00881752">
        <w:rPr>
          <w:rFonts w:cs="Times New Roman"/>
          <w:sz w:val="22"/>
          <w:lang w:val="en-US"/>
        </w:rPr>
        <w:t xml:space="preserve"> </w:t>
      </w:r>
    </w:p>
    <w:p w14:paraId="794DE981" w14:textId="06FBC387" w:rsidR="004068A8" w:rsidRPr="00881752" w:rsidRDefault="001505BE" w:rsidP="001505BE">
      <w:pPr>
        <w:tabs>
          <w:tab w:val="center" w:pos="5387"/>
        </w:tabs>
        <w:rPr>
          <w:rFonts w:cs="Times New Roman"/>
          <w:szCs w:val="24"/>
        </w:rPr>
      </w:pPr>
      <w:r w:rsidRPr="00881752">
        <w:rPr>
          <w:rFonts w:cs="Times New Roman"/>
          <w:lang w:val="en-US"/>
        </w:rPr>
        <w:t>When one is intoxicated or in high spirits, it seems, the very jokes or puns that might cause one to recoil in a sober state become somehow funny. Rather than being triggered by some formal punchline with comic climaxes, then, laughter can arise at any point and seems almost indefinitely extendable. The comic climax can be understood as the moment when the audience</w:t>
      </w:r>
      <w:r w:rsidR="00075F5F">
        <w:rPr>
          <w:rFonts w:cs="Times New Roman"/>
          <w:lang w:val="en-US"/>
        </w:rPr>
        <w:t>’</w:t>
      </w:r>
      <w:r w:rsidRPr="00881752">
        <w:rPr>
          <w:rFonts w:cs="Times New Roman"/>
          <w:lang w:val="en-US"/>
        </w:rPr>
        <w:t xml:space="preserve">s mood is so heightened that no sense is required to provoke laughter, which is created by comic coinages alone: for example, Hipponax fr. 2 climaxes in a </w:t>
      </w:r>
      <w:r w:rsidRPr="00881752">
        <w:rPr>
          <w:rFonts w:cs="Times New Roman"/>
          <w:i/>
          <w:iCs/>
          <w:lang w:val="en-US"/>
        </w:rPr>
        <w:t>hapax legomenon</w:t>
      </w:r>
      <w:r w:rsidRPr="00881752">
        <w:rPr>
          <w:rFonts w:cs="Times New Roman"/>
          <w:lang w:val="en-US"/>
        </w:rPr>
        <w:t xml:space="preserve"> which probably parrots a Lydian word:</w:t>
      </w:r>
    </w:p>
    <w:p w14:paraId="33E6CE1E" w14:textId="77777777" w:rsidR="00272F31" w:rsidRPr="00881752" w:rsidRDefault="00272F31" w:rsidP="00F56C73">
      <w:pPr>
        <w:tabs>
          <w:tab w:val="center" w:pos="5387"/>
        </w:tabs>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69"/>
        <w:gridCol w:w="3969"/>
      </w:tblGrid>
      <w:tr w:rsidR="00EC1B43" w:rsidRPr="00881752" w14:paraId="72881A06" w14:textId="77777777" w:rsidTr="00EC1B43">
        <w:tc>
          <w:tcPr>
            <w:tcW w:w="3969" w:type="dxa"/>
          </w:tcPr>
          <w:p w14:paraId="2A50B9D4" w14:textId="77777777" w:rsidR="00272F31" w:rsidRPr="00881752" w:rsidRDefault="00272F31" w:rsidP="001E50E4">
            <w:pPr>
              <w:pStyle w:val="Blockquote"/>
              <w:rPr>
                <w:sz w:val="22"/>
                <w:szCs w:val="22"/>
              </w:rPr>
            </w:pPr>
            <w:r w:rsidRPr="00881752">
              <w:rPr>
                <w:sz w:val="22"/>
                <w:szCs w:val="22"/>
              </w:rPr>
              <w:t>Ἑρμῆ κυνάγχα, μηιονιστὶ Κανδαῦλα,</w:t>
            </w:r>
          </w:p>
          <w:p w14:paraId="75F5BE92" w14:textId="37DF7968" w:rsidR="00272F31" w:rsidRPr="00881752" w:rsidRDefault="00272F31" w:rsidP="001E50E4">
            <w:pPr>
              <w:pStyle w:val="Blockquote"/>
              <w:rPr>
                <w:sz w:val="22"/>
                <w:szCs w:val="22"/>
              </w:rPr>
            </w:pPr>
            <w:r w:rsidRPr="00881752">
              <w:rPr>
                <w:sz w:val="22"/>
                <w:szCs w:val="22"/>
                <w:lang w:val="el-GR"/>
              </w:rPr>
              <w:t>φωρῶν</w:t>
            </w:r>
            <w:r w:rsidRPr="00881752">
              <w:rPr>
                <w:sz w:val="22"/>
                <w:szCs w:val="22"/>
              </w:rPr>
              <w:t xml:space="preserve"> </w:t>
            </w:r>
            <w:r w:rsidRPr="00881752">
              <w:rPr>
                <w:sz w:val="22"/>
                <w:szCs w:val="22"/>
                <w:lang w:val="el-GR"/>
              </w:rPr>
              <w:t>ἑταῖρε</w:t>
            </w:r>
            <w:r w:rsidRPr="00881752">
              <w:rPr>
                <w:sz w:val="22"/>
                <w:szCs w:val="22"/>
              </w:rPr>
              <w:t xml:space="preserve">, </w:t>
            </w:r>
            <w:r w:rsidRPr="00881752">
              <w:rPr>
                <w:sz w:val="22"/>
                <w:szCs w:val="22"/>
                <w:lang w:val="el-GR"/>
              </w:rPr>
              <w:t>δεῦρό</w:t>
            </w:r>
            <w:r w:rsidRPr="00881752">
              <w:rPr>
                <w:sz w:val="22"/>
                <w:szCs w:val="22"/>
              </w:rPr>
              <w:t xml:space="preserve"> </w:t>
            </w:r>
            <w:r w:rsidRPr="00881752">
              <w:rPr>
                <w:sz w:val="22"/>
                <w:szCs w:val="22"/>
                <w:lang w:val="el-GR"/>
              </w:rPr>
              <w:t>μοι</w:t>
            </w:r>
            <w:r w:rsidRPr="00881752">
              <w:rPr>
                <w:sz w:val="22"/>
                <w:szCs w:val="22"/>
              </w:rPr>
              <w:t xml:space="preserve"> </w:t>
            </w:r>
            <w:r w:rsidRPr="00881752">
              <w:rPr>
                <w:sz w:val="22"/>
                <w:szCs w:val="22"/>
                <w:lang w:val="el-GR"/>
              </w:rPr>
              <w:t>σκαπαρδεῦσαι</w:t>
            </w:r>
            <w:r w:rsidRPr="00881752">
              <w:rPr>
                <w:sz w:val="22"/>
                <w:szCs w:val="22"/>
              </w:rPr>
              <w:t>.</w:t>
            </w:r>
            <w:r w:rsidR="00204539" w:rsidRPr="00881752">
              <w:rPr>
                <w:sz w:val="22"/>
                <w:szCs w:val="22"/>
              </w:rPr>
              <w:t xml:space="preserve"> </w:t>
            </w:r>
          </w:p>
        </w:tc>
        <w:tc>
          <w:tcPr>
            <w:tcW w:w="3969" w:type="dxa"/>
          </w:tcPr>
          <w:p w14:paraId="6F9CEEF5" w14:textId="77777777" w:rsidR="00272F31" w:rsidRPr="00881752" w:rsidRDefault="00272F31" w:rsidP="001E50E4">
            <w:pPr>
              <w:pStyle w:val="Blockquote"/>
              <w:rPr>
                <w:sz w:val="22"/>
                <w:szCs w:val="22"/>
              </w:rPr>
            </w:pPr>
            <w:r w:rsidRPr="00881752">
              <w:rPr>
                <w:sz w:val="22"/>
                <w:szCs w:val="22"/>
              </w:rPr>
              <w:t>Hermes, dog throttle, Candaules in Maeonian, companion of thieves, come give me a skaperda</w:t>
            </w:r>
          </w:p>
        </w:tc>
      </w:tr>
    </w:tbl>
    <w:p w14:paraId="3D03FCC3" w14:textId="77777777" w:rsidR="004068A8" w:rsidRDefault="001505BE" w:rsidP="00BC00F9">
      <w:pPr>
        <w:tabs>
          <w:tab w:val="center" w:pos="5387"/>
        </w:tabs>
        <w:spacing w:before="400"/>
        <w:rPr>
          <w:rFonts w:cs="Times New Roman"/>
          <w:lang w:val="en-US"/>
        </w:rPr>
      </w:pPr>
      <w:r w:rsidRPr="00881752">
        <w:rPr>
          <w:rFonts w:cs="Times New Roman"/>
          <w:lang w:val="en-US"/>
        </w:rPr>
        <w:t xml:space="preserve">One may safely assume that the word σκαπερδεῦσαι was difficult to understand by the audience, especially when iambic poetry had spread away from the Ionic cities of Asia Minor which were supposedly multilingual. However, the exact meaning of the verb σκαπερδεύω is not the point in the line: the fragment is a climax of abusive epithet </w:t>
      </w:r>
      <w:r w:rsidRPr="00881752">
        <w:rPr>
          <w:rFonts w:cs="Times New Roman"/>
          <w:lang w:val="en-US"/>
        </w:rPr>
        <w:lastRenderedPageBreak/>
        <w:t xml:space="preserve">referring to Hermes until the point at which the god is asked to do / give a </w:t>
      </w:r>
      <w:r w:rsidRPr="00881752">
        <w:rPr>
          <w:rFonts w:cs="Times New Roman"/>
          <w:i/>
          <w:iCs/>
          <w:lang w:val="en-US"/>
        </w:rPr>
        <w:t>skaperda</w:t>
      </w:r>
      <w:r w:rsidRPr="00881752">
        <w:rPr>
          <w:rFonts w:cs="Times New Roman"/>
          <w:lang w:val="en-US"/>
        </w:rPr>
        <w:t xml:space="preserve">. This odd word is the pinnacle of a highly ironic line, and the fact that it does not sound very well increases the comic effect: Hermes is not an Olympian messenger, but he is a dog throttler, the Lydian Kandaules, he is even a friend of thieves, and finally may also throw the </w:t>
      </w:r>
      <w:r w:rsidRPr="00881752">
        <w:rPr>
          <w:rFonts w:cs="Times New Roman"/>
          <w:i/>
          <w:iCs/>
          <w:lang w:val="en-US"/>
        </w:rPr>
        <w:t>skaperda</w:t>
      </w:r>
      <w:r w:rsidRPr="00881752">
        <w:rPr>
          <w:rFonts w:cs="Times New Roman"/>
          <w:lang w:val="en-US"/>
        </w:rPr>
        <w:t xml:space="preserve"> to whoever is invoking him.</w:t>
      </w:r>
    </w:p>
    <w:p w14:paraId="172B3529" w14:textId="4D4E2272" w:rsidR="004068A8" w:rsidRPr="00881752" w:rsidRDefault="001505BE" w:rsidP="004068A8">
      <w:pPr>
        <w:tabs>
          <w:tab w:val="center" w:pos="5387"/>
        </w:tabs>
        <w:ind w:firstLine="426"/>
        <w:rPr>
          <w:rFonts w:cs="Times New Roman"/>
          <w:szCs w:val="24"/>
        </w:rPr>
      </w:pPr>
      <w:r w:rsidRPr="00881752">
        <w:rPr>
          <w:rFonts w:cs="Times New Roman"/>
          <w:lang w:val="en-US"/>
        </w:rPr>
        <w:t>Gibberish, repetitions, rambling speech, and other such phenomena, given their ability to produce laughter, are well-worn territory in t</w:t>
      </w:r>
      <w:r w:rsidR="009354D5">
        <w:rPr>
          <w:rFonts w:cs="Times New Roman"/>
          <w:lang w:val="en-US"/>
        </w:rPr>
        <w:t xml:space="preserve">he </w:t>
      </w:r>
      <w:r w:rsidRPr="00881752">
        <w:rPr>
          <w:rFonts w:cs="Times New Roman"/>
          <w:lang w:val="en-US"/>
        </w:rPr>
        <w:t xml:space="preserve">iambic texts: for example, Callimachus uses the device of repetition twice in his </w:t>
      </w:r>
      <w:r w:rsidRPr="00881752">
        <w:rPr>
          <w:rFonts w:cs="Times New Roman"/>
          <w:i/>
          <w:iCs/>
          <w:lang w:val="en-US"/>
        </w:rPr>
        <w:t>Iambi</w:t>
      </w:r>
      <w:r w:rsidRPr="00881752">
        <w:rPr>
          <w:rFonts w:cs="Times New Roman"/>
          <w:lang w:val="en-US"/>
        </w:rPr>
        <w:t xml:space="preserve"> to increase irony. In </w:t>
      </w:r>
      <w:r w:rsidRPr="00881752">
        <w:rPr>
          <w:rFonts w:cs="Times New Roman"/>
          <w:i/>
          <w:iCs/>
          <w:lang w:val="en-US"/>
        </w:rPr>
        <w:t>Iambus</w:t>
      </w:r>
      <w:r w:rsidRPr="00881752">
        <w:rPr>
          <w:rFonts w:cs="Times New Roman"/>
          <w:lang w:val="en-US"/>
        </w:rPr>
        <w:t xml:space="preserve"> 4, the laurel tree insists in repeating the insulting expression ὤφρον ἐλαίη </w:t>
      </w:r>
      <w:r w:rsidR="00CC0615">
        <w:rPr>
          <w:rFonts w:cs="Times New Roman"/>
          <w:lang w:val="en-US"/>
        </w:rPr>
        <w:t>“</w:t>
      </w:r>
      <w:r w:rsidRPr="00881752">
        <w:rPr>
          <w:rFonts w:cs="Times New Roman"/>
          <w:lang w:val="en-US"/>
        </w:rPr>
        <w:t>foolish olive,</w:t>
      </w:r>
      <w:r w:rsidR="00CC0615">
        <w:rPr>
          <w:rFonts w:cs="Times New Roman"/>
          <w:lang w:val="en-US"/>
        </w:rPr>
        <w:t>”</w:t>
      </w:r>
      <w:r w:rsidRPr="00881752">
        <w:rPr>
          <w:rFonts w:cs="Times New Roman"/>
          <w:lang w:val="en-US"/>
        </w:rPr>
        <w:t xml:space="preserve"> which becomes a sort of refrain in his discourse; the repetition of the abuse generates by itself a comic effect, and this is strongly amplified when at the end the ὤφρον ἐλαίη is the winner of the contest. Similarly, in </w:t>
      </w:r>
      <w:r w:rsidRPr="00881752">
        <w:rPr>
          <w:rFonts w:cs="Times New Roman"/>
          <w:i/>
          <w:iCs/>
          <w:lang w:val="en-US"/>
        </w:rPr>
        <w:t>Iambus</w:t>
      </w:r>
      <w:r w:rsidRPr="00881752">
        <w:rPr>
          <w:rFonts w:cs="Times New Roman"/>
          <w:lang w:val="en-US"/>
        </w:rPr>
        <w:t xml:space="preserve"> 13, the character of Callimachus seems to parrot his enemies, repeating the most ignominious charge which they use to refer to him and his poetry (Call. </w:t>
      </w:r>
      <w:r w:rsidRPr="00881752">
        <w:rPr>
          <w:rFonts w:cs="Times New Roman"/>
          <w:i/>
          <w:iCs/>
          <w:lang w:val="en-US"/>
        </w:rPr>
        <w:t>Ia</w:t>
      </w:r>
      <w:r w:rsidRPr="00881752">
        <w:rPr>
          <w:rFonts w:cs="Times New Roman"/>
          <w:lang w:val="en-US"/>
        </w:rPr>
        <w:t>. 13.12-14 = 64-66).</w:t>
      </w:r>
      <w:r w:rsidR="00272F31" w:rsidRPr="00881752">
        <w:rPr>
          <w:rFonts w:cs="Times New Roman"/>
          <w:szCs w:val="24"/>
        </w:rPr>
        <w:t xml:space="preserve"> </w:t>
      </w:r>
    </w:p>
    <w:p w14:paraId="758CE598" w14:textId="77777777" w:rsidR="00272F31" w:rsidRPr="00881752" w:rsidRDefault="00272F31" w:rsidP="00F56C73">
      <w:pPr>
        <w:tabs>
          <w:tab w:val="center" w:pos="5387"/>
        </w:tabs>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86"/>
        <w:gridCol w:w="3952"/>
      </w:tblGrid>
      <w:tr w:rsidR="00272F31" w:rsidRPr="00881752" w14:paraId="1A4627C7" w14:textId="77777777" w:rsidTr="0013179E">
        <w:tc>
          <w:tcPr>
            <w:tcW w:w="3986" w:type="dxa"/>
          </w:tcPr>
          <w:p w14:paraId="677F8BBD" w14:textId="19C44B67" w:rsidR="00272F31" w:rsidRPr="00881752" w:rsidRDefault="00272F31" w:rsidP="001E50E4">
            <w:pPr>
              <w:pStyle w:val="Blockquote"/>
              <w:rPr>
                <w:sz w:val="22"/>
                <w:szCs w:val="22"/>
              </w:rPr>
            </w:pPr>
            <w:r w:rsidRPr="00881752">
              <w:rPr>
                <w:sz w:val="22"/>
                <w:szCs w:val="22"/>
              </w:rPr>
              <w:t>οὔτ</w:t>
            </w:r>
            <w:r w:rsidR="00075F5F">
              <w:rPr>
                <w:sz w:val="22"/>
                <w:szCs w:val="22"/>
              </w:rPr>
              <w:t>’</w:t>
            </w:r>
            <w:r w:rsidRPr="00881752">
              <w:rPr>
                <w:sz w:val="22"/>
                <w:szCs w:val="22"/>
              </w:rPr>
              <w:t xml:space="preserve"> Ἔφεσον ἐλθὼν οὔτ̣</w:t>
            </w:r>
            <w:r w:rsidR="00075F5F">
              <w:rPr>
                <w:sz w:val="22"/>
                <w:szCs w:val="22"/>
              </w:rPr>
              <w:t>’</w:t>
            </w:r>
            <w:r w:rsidRPr="00881752">
              <w:rPr>
                <w:sz w:val="22"/>
                <w:szCs w:val="22"/>
              </w:rPr>
              <w:t xml:space="preserve"> Ἴωσι συμμείξας,</w:t>
            </w:r>
          </w:p>
          <w:p w14:paraId="2320B850" w14:textId="77777777" w:rsidR="00272F31" w:rsidRPr="00881752" w:rsidRDefault="00272F31" w:rsidP="001E50E4">
            <w:pPr>
              <w:pStyle w:val="Blockquote"/>
              <w:rPr>
                <w:sz w:val="22"/>
                <w:szCs w:val="22"/>
                <w:lang w:val="el-GR"/>
              </w:rPr>
            </w:pPr>
            <w:r w:rsidRPr="00881752">
              <w:rPr>
                <w:sz w:val="22"/>
                <w:szCs w:val="22"/>
                <w:lang w:val="el-GR"/>
              </w:rPr>
              <w:t>Ἔφεσον, ὅθεν πε̣ρ οἱ τὰ μέτρα μέλλοντες</w:t>
            </w:r>
          </w:p>
          <w:p w14:paraId="394BA90F" w14:textId="5EECF2BB" w:rsidR="00272F31" w:rsidRPr="00881752" w:rsidRDefault="00272F31" w:rsidP="001E50E4">
            <w:pPr>
              <w:pStyle w:val="Blockquote"/>
              <w:rPr>
                <w:sz w:val="22"/>
                <w:szCs w:val="22"/>
                <w:lang w:val="el-GR"/>
              </w:rPr>
            </w:pPr>
            <w:r w:rsidRPr="00881752">
              <w:rPr>
                <w:sz w:val="22"/>
                <w:szCs w:val="22"/>
                <w:lang w:val="el-GR"/>
              </w:rPr>
              <w:t>τὰ χωλὰ τίκτειν μὴ ἀμαθῶς ἐναύονται</w:t>
            </w:r>
            <w:r w:rsidR="00E023A1" w:rsidRPr="00881752">
              <w:rPr>
                <w:sz w:val="22"/>
                <w:szCs w:val="22"/>
                <w:lang w:val="el-GR"/>
              </w:rPr>
              <w:t xml:space="preserve"> </w:t>
            </w:r>
          </w:p>
        </w:tc>
        <w:tc>
          <w:tcPr>
            <w:tcW w:w="3952" w:type="dxa"/>
          </w:tcPr>
          <w:p w14:paraId="26A16FAE" w14:textId="3FDB8A51" w:rsidR="00272F31" w:rsidRPr="00881752" w:rsidRDefault="00272F31" w:rsidP="001E50E4">
            <w:pPr>
              <w:pStyle w:val="Blockquote"/>
              <w:rPr>
                <w:sz w:val="22"/>
                <w:szCs w:val="22"/>
              </w:rPr>
            </w:pPr>
            <w:r w:rsidRPr="00881752">
              <w:rPr>
                <w:sz w:val="22"/>
                <w:szCs w:val="22"/>
              </w:rPr>
              <w:t>neither going to Ephesus nor associating with the Ionians, to Ephesus, whence they intending to produce the limping metra, are not unlearnedly inspired</w:t>
            </w:r>
          </w:p>
        </w:tc>
      </w:tr>
    </w:tbl>
    <w:p w14:paraId="1070AE4D" w14:textId="77777777" w:rsidR="00272F31" w:rsidRPr="00881752" w:rsidRDefault="00272F31" w:rsidP="001E50E4">
      <w:pPr>
        <w:pStyle w:val="Blockquote"/>
      </w:pPr>
    </w:p>
    <w:p w14:paraId="5169BAC2" w14:textId="4089367B" w:rsidR="001505BE" w:rsidRPr="00881752" w:rsidRDefault="001505BE" w:rsidP="001505BE">
      <w:pPr>
        <w:tabs>
          <w:tab w:val="center" w:pos="5387"/>
        </w:tabs>
        <w:rPr>
          <w:rFonts w:cs="Times New Roman"/>
          <w:lang w:val="en-US"/>
        </w:rPr>
      </w:pPr>
      <w:r w:rsidRPr="00881752">
        <w:rPr>
          <w:rFonts w:cs="Times New Roman"/>
          <w:lang w:val="en-US"/>
        </w:rPr>
        <w:t>These lines open and close the iamb: the first time Callimachus</w:t>
      </w:r>
      <w:r w:rsidR="00075F5F">
        <w:rPr>
          <w:rFonts w:cs="Times New Roman"/>
          <w:lang w:val="en-US"/>
        </w:rPr>
        <w:t>’</w:t>
      </w:r>
      <w:r w:rsidRPr="00881752">
        <w:rPr>
          <w:rFonts w:cs="Times New Roman"/>
          <w:lang w:val="en-US"/>
        </w:rPr>
        <w:t xml:space="preserve"> enemies say them, while the second time Callimachus himself claims it, and uses it as the closing argument of his self-defence. Therefore, the audience listens to the same words but receives them in a totally different light, so that if at the beginning they reveal the weakness of the poet in making iambs, at the end they make his strong point.</w:t>
      </w:r>
    </w:p>
    <w:p w14:paraId="602E7373" w14:textId="57E433FC" w:rsidR="001505BE" w:rsidRPr="00881752" w:rsidRDefault="001505BE" w:rsidP="001505BE">
      <w:pPr>
        <w:tabs>
          <w:tab w:val="center" w:pos="5387"/>
        </w:tabs>
        <w:rPr>
          <w:rFonts w:cs="Times New Roman"/>
          <w:lang w:val="en-US"/>
        </w:rPr>
      </w:pPr>
      <w:r w:rsidRPr="00881752">
        <w:rPr>
          <w:rFonts w:cs="Times New Roman"/>
          <w:lang w:val="en-US"/>
        </w:rPr>
        <w:tab/>
        <w:t xml:space="preserve">This explains why gibberish, the humorous language of foreigners, or so-called </w:t>
      </w:r>
      <w:r w:rsidR="00CC0615">
        <w:rPr>
          <w:rFonts w:cs="Times New Roman"/>
          <w:lang w:val="en-US"/>
        </w:rPr>
        <w:t>“</w:t>
      </w:r>
      <w:r w:rsidRPr="00881752">
        <w:rPr>
          <w:rFonts w:cs="Times New Roman"/>
          <w:lang w:val="en-US"/>
        </w:rPr>
        <w:t>sesquipedalian</w:t>
      </w:r>
      <w:r w:rsidR="00CC0615">
        <w:rPr>
          <w:rFonts w:cs="Times New Roman"/>
          <w:lang w:val="en-US"/>
        </w:rPr>
        <w:t>”</w:t>
      </w:r>
      <w:r w:rsidRPr="00881752">
        <w:rPr>
          <w:rFonts w:cs="Times New Roman"/>
          <w:lang w:val="en-US"/>
        </w:rPr>
        <w:t xml:space="preserve"> comic coinages are categorised as iambic devices: indeed, the so-called Lydian words of Hipponax, such as βασκεπικρολεα (fr. 95.1), βασαγίκορος (fr. 154), καμανδωλός (fr. 123), σκαπερδεύω (fr. 2.2), do not carry any meaning, but they create laughter, precisely because of their odd and unusual sound. </w:t>
      </w:r>
    </w:p>
    <w:p w14:paraId="6FA3171F" w14:textId="12DF2376" w:rsidR="004068A8" w:rsidRPr="00881752" w:rsidRDefault="001505BE" w:rsidP="001505BE">
      <w:pPr>
        <w:tabs>
          <w:tab w:val="center" w:pos="5387"/>
        </w:tabs>
        <w:ind w:firstLine="567"/>
        <w:rPr>
          <w:rFonts w:cs="Times New Roman"/>
          <w:lang w:val="en-US"/>
        </w:rPr>
      </w:pPr>
      <w:r w:rsidRPr="00881752">
        <w:rPr>
          <w:rFonts w:cs="Times New Roman"/>
          <w:lang w:val="en-US"/>
        </w:rPr>
        <w:t xml:space="preserve">The characters who lack common sense are often characterised by their chatter and blunders, and iambographers have a number of ways of describing the foolish chatterer. Archilochus and Hipponax use the verb φλύω, meaning to </w:t>
      </w:r>
      <w:r w:rsidR="00CC0615">
        <w:rPr>
          <w:rFonts w:cs="Times New Roman"/>
          <w:lang w:val="en-US"/>
        </w:rPr>
        <w:t>“</w:t>
      </w:r>
      <w:r w:rsidRPr="00881752">
        <w:rPr>
          <w:rFonts w:cs="Times New Roman"/>
          <w:lang w:val="en-US"/>
        </w:rPr>
        <w:t>babble,</w:t>
      </w:r>
      <w:r w:rsidR="00CC0615">
        <w:rPr>
          <w:rFonts w:cs="Times New Roman"/>
          <w:lang w:val="en-US"/>
        </w:rPr>
        <w:t>”</w:t>
      </w:r>
      <w:r w:rsidRPr="00881752">
        <w:rPr>
          <w:rFonts w:cs="Times New Roman"/>
          <w:lang w:val="en-US"/>
        </w:rPr>
        <w:t xml:space="preserve"> like some babbling brook or boiling pot, where words (or phonemes) flow in disorderly fashion as useless φλυαρία. Archilochus coined the noun ϕλύος (fr. 272) to denote a stupid thing to say, and </w:t>
      </w:r>
      <w:r w:rsidRPr="00881752">
        <w:rPr>
          <w:rFonts w:cs="Times New Roman"/>
          <w:lang w:val="en-US"/>
        </w:rPr>
        <w:lastRenderedPageBreak/>
        <w:t xml:space="preserve">it is curious that Hipponax calls Hermes Φλυήσιος </w:t>
      </w:r>
      <w:r w:rsidR="00CC0615">
        <w:rPr>
          <w:rFonts w:cs="Times New Roman"/>
          <w:lang w:val="en-US"/>
        </w:rPr>
        <w:t>“</w:t>
      </w:r>
      <w:r w:rsidRPr="00881752">
        <w:rPr>
          <w:rFonts w:cs="Times New Roman"/>
          <w:lang w:val="en-US"/>
        </w:rPr>
        <w:t>chatterer</w:t>
      </w:r>
      <w:r w:rsidR="00CC0615">
        <w:rPr>
          <w:rFonts w:cs="Times New Roman"/>
          <w:lang w:val="en-US"/>
        </w:rPr>
        <w:t>”</w:t>
      </w:r>
      <w:r w:rsidRPr="00881752">
        <w:rPr>
          <w:rFonts w:cs="Times New Roman"/>
          <w:lang w:val="en-US"/>
        </w:rPr>
        <w:t xml:space="preserve"> (fr. 51), when the god harshly punishes the chatterer Βάττος, transforming him into a telltale stone:</w:t>
      </w:r>
      <w:r w:rsidRPr="00881752">
        <w:rPr>
          <w:rStyle w:val="FootnoteReference"/>
          <w:rFonts w:cs="Times New Roman"/>
          <w:lang w:val="en-US"/>
        </w:rPr>
        <w:footnoteReference w:id="152"/>
      </w:r>
      <w:r w:rsidRPr="00881752">
        <w:rPr>
          <w:rFonts w:cs="Times New Roman"/>
          <w:lang w:val="en-US"/>
        </w:rPr>
        <w:t xml:space="preserve"> </w:t>
      </w:r>
    </w:p>
    <w:p w14:paraId="7BD81F6D" w14:textId="77777777" w:rsidR="00272F31" w:rsidRPr="00881752" w:rsidRDefault="00272F31" w:rsidP="00F56C73">
      <w:pPr>
        <w:tabs>
          <w:tab w:val="center" w:pos="5387"/>
        </w:tabs>
        <w:ind w:firstLine="567"/>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69"/>
        <w:gridCol w:w="3969"/>
      </w:tblGrid>
      <w:tr w:rsidR="00272F31" w:rsidRPr="00881752" w14:paraId="7C1D2616" w14:textId="77777777" w:rsidTr="0013179E">
        <w:tc>
          <w:tcPr>
            <w:tcW w:w="3969" w:type="dxa"/>
          </w:tcPr>
          <w:p w14:paraId="68C13423" w14:textId="5A8E4DF5" w:rsidR="00272F31" w:rsidRPr="00881752" w:rsidRDefault="00272F31" w:rsidP="001E50E4">
            <w:pPr>
              <w:pStyle w:val="Blockquote"/>
              <w:rPr>
                <w:rFonts w:eastAsiaTheme="minorEastAsia"/>
                <w:sz w:val="22"/>
                <w:szCs w:val="22"/>
                <w:lang w:val="el-GR"/>
              </w:rPr>
            </w:pPr>
            <w:r w:rsidRPr="00881752">
              <w:rPr>
                <w:rFonts w:eastAsiaTheme="minorEastAsia"/>
                <w:sz w:val="22"/>
                <w:szCs w:val="22"/>
                <w:lang w:val="el-GR"/>
              </w:rPr>
              <w:t>παρ</w:t>
            </w:r>
            <w:r w:rsidR="00075F5F">
              <w:rPr>
                <w:rFonts w:eastAsiaTheme="minorEastAsia"/>
                <w:sz w:val="22"/>
                <w:szCs w:val="22"/>
                <w:lang w:val="el-GR"/>
              </w:rPr>
              <w:t>’</w:t>
            </w:r>
            <w:r w:rsidRPr="00881752">
              <w:rPr>
                <w:rFonts w:eastAsiaTheme="minorEastAsia"/>
                <w:sz w:val="22"/>
                <w:szCs w:val="22"/>
                <w:lang w:val="el-GR"/>
              </w:rPr>
              <w:t xml:space="preserve"> ὧι σὺ λευκόπεπλον ἡμέρην μείνας</w:t>
            </w:r>
          </w:p>
          <w:p w14:paraId="56FA247D" w14:textId="77777777" w:rsidR="00272F31" w:rsidRPr="00881752" w:rsidRDefault="00272F31" w:rsidP="001E50E4">
            <w:pPr>
              <w:pStyle w:val="Blockquote"/>
              <w:rPr>
                <w:sz w:val="22"/>
                <w:szCs w:val="22"/>
                <w:lang w:val="el-GR"/>
              </w:rPr>
            </w:pPr>
            <w:r w:rsidRPr="00881752">
              <w:rPr>
                <w:rFonts w:eastAsiaTheme="minorEastAsia"/>
                <w:sz w:val="22"/>
                <w:szCs w:val="22"/>
                <w:lang w:val="el-GR"/>
              </w:rPr>
              <w:t>πρὸς μὲν κυνήσεις τὸν Φλυησίων Ἑρμῆν.</w:t>
            </w:r>
          </w:p>
        </w:tc>
        <w:tc>
          <w:tcPr>
            <w:tcW w:w="3969" w:type="dxa"/>
          </w:tcPr>
          <w:p w14:paraId="5556C053" w14:textId="77777777" w:rsidR="00272F31" w:rsidRPr="00881752" w:rsidRDefault="00272F31" w:rsidP="001E50E4">
            <w:pPr>
              <w:pStyle w:val="Blockquote"/>
              <w:rPr>
                <w:sz w:val="22"/>
                <w:szCs w:val="22"/>
              </w:rPr>
            </w:pPr>
            <w:r w:rsidRPr="00881752">
              <w:rPr>
                <w:sz w:val="22"/>
                <w:szCs w:val="22"/>
              </w:rPr>
              <w:t>after awaiting at his side the dawn of white-robed day you will make obeisance to Hermes the Chatterer</w:t>
            </w:r>
            <w:r w:rsidRPr="00881752">
              <w:rPr>
                <w:rStyle w:val="FootnoteReference"/>
                <w:sz w:val="22"/>
                <w:szCs w:val="22"/>
              </w:rPr>
              <w:footnoteReference w:id="153"/>
            </w:r>
          </w:p>
        </w:tc>
      </w:tr>
    </w:tbl>
    <w:p w14:paraId="054B1674" w14:textId="77777777" w:rsidR="00272F31" w:rsidRPr="00881752" w:rsidRDefault="00272F31" w:rsidP="001E50E4">
      <w:pPr>
        <w:pStyle w:val="Blockquote"/>
      </w:pPr>
    </w:p>
    <w:p w14:paraId="5EBAE710" w14:textId="3B8038A2" w:rsidR="004068A8" w:rsidRPr="00881752" w:rsidRDefault="004E24A1" w:rsidP="00695A7C">
      <w:pPr>
        <w:tabs>
          <w:tab w:val="center" w:pos="5387"/>
        </w:tabs>
        <w:rPr>
          <w:rFonts w:cs="Times New Roman"/>
          <w:szCs w:val="24"/>
        </w:rPr>
      </w:pPr>
      <w:r w:rsidRPr="00881752">
        <w:rPr>
          <w:rFonts w:cs="Times New Roman"/>
          <w:lang w:val="en-US"/>
        </w:rPr>
        <w:t>Hipponax</w:t>
      </w:r>
      <w:r w:rsidR="00075F5F">
        <w:rPr>
          <w:rFonts w:cs="Times New Roman"/>
          <w:lang w:val="en-US"/>
        </w:rPr>
        <w:t>’</w:t>
      </w:r>
      <w:r w:rsidRPr="00881752">
        <w:rPr>
          <w:rFonts w:cs="Times New Roman"/>
          <w:lang w:val="en-US"/>
        </w:rPr>
        <w:t xml:space="preserve">s fragments include the new coinage βατταρίζω </w:t>
      </w:r>
      <w:r w:rsidR="00CC0615">
        <w:rPr>
          <w:rFonts w:cs="Times New Roman"/>
          <w:lang w:val="en-US"/>
        </w:rPr>
        <w:t>“</w:t>
      </w:r>
      <w:r w:rsidRPr="00881752">
        <w:rPr>
          <w:rFonts w:cs="Times New Roman"/>
          <w:lang w:val="en-US"/>
        </w:rPr>
        <w:t>stammer</w:t>
      </w:r>
      <w:r w:rsidR="00CC0615">
        <w:rPr>
          <w:rFonts w:cs="Times New Roman"/>
          <w:lang w:val="en-US"/>
        </w:rPr>
        <w:t>”</w:t>
      </w:r>
      <w:r w:rsidRPr="00881752">
        <w:rPr>
          <w:rFonts w:cs="Times New Roman"/>
          <w:lang w:val="en-US"/>
        </w:rPr>
        <w:t xml:space="preserve"> (fr. 155), corresponding to Archilochus</w:t>
      </w:r>
      <w:r w:rsidR="00075F5F">
        <w:rPr>
          <w:rFonts w:cs="Times New Roman"/>
          <w:lang w:val="en-US"/>
        </w:rPr>
        <w:t>’</w:t>
      </w:r>
      <w:r w:rsidRPr="00881752">
        <w:rPr>
          <w:rFonts w:cs="Times New Roman"/>
          <w:lang w:val="en-US"/>
        </w:rPr>
        <w:t xml:space="preserve"> usage of βάβαξ </w:t>
      </w:r>
      <w:r w:rsidR="00CC0615">
        <w:rPr>
          <w:rFonts w:cs="Times New Roman"/>
          <w:lang w:val="en-US"/>
        </w:rPr>
        <w:t>“</w:t>
      </w:r>
      <w:r w:rsidRPr="00881752">
        <w:rPr>
          <w:rFonts w:cs="Times New Roman"/>
          <w:lang w:val="en-US"/>
        </w:rPr>
        <w:t>chatterer</w:t>
      </w:r>
      <w:r w:rsidR="00CC0615">
        <w:rPr>
          <w:rFonts w:cs="Times New Roman"/>
          <w:lang w:val="en-US"/>
        </w:rPr>
        <w:t>”</w:t>
      </w:r>
      <w:r w:rsidRPr="00881752">
        <w:rPr>
          <w:rFonts w:cs="Times New Roman"/>
          <w:lang w:val="en-US"/>
        </w:rPr>
        <w:t xml:space="preserve"> to designate a man who says stupid things (Archil. fr. 32):</w:t>
      </w:r>
    </w:p>
    <w:p w14:paraId="6BB33978" w14:textId="77777777" w:rsidR="00272F31" w:rsidRPr="00881752" w:rsidRDefault="00272F31" w:rsidP="00F56C73">
      <w:pPr>
        <w:tabs>
          <w:tab w:val="center" w:pos="5387"/>
        </w:tabs>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85"/>
        <w:gridCol w:w="4395"/>
      </w:tblGrid>
      <w:tr w:rsidR="00E82CF1" w:rsidRPr="00881752" w14:paraId="35DAE40D" w14:textId="77777777" w:rsidTr="0013179E">
        <w:tc>
          <w:tcPr>
            <w:tcW w:w="3685" w:type="dxa"/>
          </w:tcPr>
          <w:p w14:paraId="560A5C5A" w14:textId="75E41B83" w:rsidR="00272F31" w:rsidRPr="00881752" w:rsidRDefault="00272F31" w:rsidP="001E50E4">
            <w:pPr>
              <w:pStyle w:val="Blockquote"/>
              <w:rPr>
                <w:sz w:val="22"/>
                <w:szCs w:val="22"/>
                <w:lang w:val="el-GR"/>
              </w:rPr>
            </w:pPr>
            <w:r w:rsidRPr="00881752">
              <w:rPr>
                <w:rFonts w:eastAsiaTheme="minorEastAsia"/>
                <w:sz w:val="22"/>
                <w:szCs w:val="22"/>
                <w:lang w:val="el-GR"/>
              </w:rPr>
              <w:t>κατ</w:t>
            </w:r>
            <w:r w:rsidR="00075F5F">
              <w:rPr>
                <w:rFonts w:eastAsiaTheme="minorEastAsia"/>
                <w:sz w:val="22"/>
                <w:szCs w:val="22"/>
                <w:lang w:val="el-GR"/>
              </w:rPr>
              <w:t>’</w:t>
            </w:r>
            <w:r w:rsidRPr="00881752">
              <w:rPr>
                <w:rFonts w:eastAsiaTheme="minorEastAsia"/>
                <w:sz w:val="22"/>
                <w:szCs w:val="22"/>
                <w:lang w:val="el-GR"/>
              </w:rPr>
              <w:t xml:space="preserve"> οἶκον ἐστρωφᾶτο μισητὸς βάβαξ</w:t>
            </w:r>
          </w:p>
        </w:tc>
        <w:tc>
          <w:tcPr>
            <w:tcW w:w="4395" w:type="dxa"/>
          </w:tcPr>
          <w:p w14:paraId="6685CB73" w14:textId="77777777" w:rsidR="00272F31" w:rsidRPr="00881752" w:rsidRDefault="00272F31" w:rsidP="001E50E4">
            <w:pPr>
              <w:pStyle w:val="Blockquote"/>
              <w:rPr>
                <w:sz w:val="22"/>
                <w:szCs w:val="22"/>
              </w:rPr>
            </w:pPr>
            <w:r w:rsidRPr="00881752">
              <w:rPr>
                <w:sz w:val="22"/>
                <w:szCs w:val="22"/>
              </w:rPr>
              <w:t>the loathsome babbler roamed about the house</w:t>
            </w:r>
          </w:p>
        </w:tc>
      </w:tr>
    </w:tbl>
    <w:p w14:paraId="296BA86E" w14:textId="77777777" w:rsidR="00272F31" w:rsidRPr="00881752" w:rsidRDefault="00272F31" w:rsidP="001E50E4">
      <w:pPr>
        <w:pStyle w:val="Blockquote"/>
      </w:pPr>
    </w:p>
    <w:p w14:paraId="433F32BE" w14:textId="0E0B0879" w:rsidR="004068A8" w:rsidRPr="00881752" w:rsidRDefault="004E24A1" w:rsidP="00695A7C">
      <w:pPr>
        <w:tabs>
          <w:tab w:val="center" w:pos="5387"/>
        </w:tabs>
        <w:rPr>
          <w:rFonts w:cs="Times New Roman"/>
          <w:szCs w:val="24"/>
        </w:rPr>
      </w:pPr>
      <w:r w:rsidRPr="00881752">
        <w:rPr>
          <w:rFonts w:cs="Times New Roman"/>
          <w:lang w:val="en-US"/>
        </w:rPr>
        <w:t>Archilochus</w:t>
      </w:r>
      <w:r w:rsidR="00075F5F">
        <w:rPr>
          <w:rFonts w:cs="Times New Roman"/>
          <w:lang w:val="en-US"/>
        </w:rPr>
        <w:t>’</w:t>
      </w:r>
      <w:r w:rsidRPr="00881752">
        <w:rPr>
          <w:rFonts w:cs="Times New Roman"/>
          <w:lang w:val="en-US"/>
        </w:rPr>
        <w:t xml:space="preserve"> fragment conveys that a βάβαξ is someone who keeps talking. Indeed, the guilt of φλυαρία is often associated with ἀμετρία </w:t>
      </w:r>
      <w:r w:rsidR="00CC0615">
        <w:rPr>
          <w:rFonts w:cs="Times New Roman"/>
          <w:lang w:val="en-US"/>
        </w:rPr>
        <w:t>“</w:t>
      </w:r>
      <w:r w:rsidRPr="00881752">
        <w:rPr>
          <w:rFonts w:cs="Times New Roman"/>
          <w:lang w:val="en-US"/>
        </w:rPr>
        <w:t>disproportion,</w:t>
      </w:r>
      <w:r w:rsidR="00CC0615">
        <w:rPr>
          <w:rFonts w:cs="Times New Roman"/>
          <w:lang w:val="en-US"/>
        </w:rPr>
        <w:t>”</w:t>
      </w:r>
      <w:r w:rsidRPr="00881752">
        <w:rPr>
          <w:rStyle w:val="FootnoteReference"/>
          <w:rFonts w:cs="Times New Roman"/>
          <w:lang w:val="en-US"/>
        </w:rPr>
        <w:footnoteReference w:id="154"/>
      </w:r>
      <w:r w:rsidRPr="00881752">
        <w:rPr>
          <w:rFonts w:cs="Times New Roman"/>
          <w:lang w:val="en-US"/>
        </w:rPr>
        <w:t xml:space="preserve"> which relates to the repetition of the same word or idea. In a rhetorical treatise of the late second century CE,</w:t>
      </w:r>
      <w:r w:rsidRPr="00881752">
        <w:rPr>
          <w:rStyle w:val="FootnoteReference"/>
          <w:rFonts w:cs="Times New Roman"/>
          <w:lang w:val="en-US"/>
        </w:rPr>
        <w:footnoteReference w:id="155"/>
      </w:r>
      <w:r w:rsidRPr="00881752">
        <w:rPr>
          <w:rFonts w:cs="Times New Roman"/>
          <w:lang w:val="en-US"/>
        </w:rPr>
        <w:t xml:space="preserve"> a speaker who gives too many examples for one idea is considered to be guilty of φλυαρία. When a long speech becomes excessively rambling, one loses the central thread; the centre of the widening gyre cannot hold, and the utterance becomes nonsense. One prime example of this is the character of the Λάλος (</w:t>
      </w:r>
      <w:r w:rsidR="00CC0615">
        <w:rPr>
          <w:rFonts w:cs="Times New Roman"/>
          <w:lang w:val="en-US"/>
        </w:rPr>
        <w:t>“</w:t>
      </w:r>
      <w:r w:rsidRPr="00881752">
        <w:rPr>
          <w:rFonts w:cs="Times New Roman"/>
          <w:lang w:val="en-US"/>
        </w:rPr>
        <w:t>chatterbox</w:t>
      </w:r>
      <w:r w:rsidR="00CC0615">
        <w:rPr>
          <w:rFonts w:cs="Times New Roman"/>
          <w:lang w:val="en-US"/>
        </w:rPr>
        <w:t>”</w:t>
      </w:r>
      <w:r w:rsidRPr="00881752">
        <w:rPr>
          <w:rFonts w:cs="Times New Roman"/>
          <w:lang w:val="en-US"/>
        </w:rPr>
        <w:t xml:space="preserve">) of Theophrastus, who does not check to see how each instance adds to the main theme of </w:t>
      </w:r>
      <w:r w:rsidR="00CC0615">
        <w:rPr>
          <w:rFonts w:cs="Times New Roman"/>
          <w:lang w:val="en-US"/>
        </w:rPr>
        <w:t>“</w:t>
      </w:r>
      <w:r w:rsidRPr="00881752">
        <w:rPr>
          <w:rFonts w:cs="Times New Roman"/>
          <w:lang w:val="en-US"/>
        </w:rPr>
        <w:t>what happened at the assembly</w:t>
      </w:r>
      <w:r w:rsidR="00CC0615">
        <w:rPr>
          <w:rFonts w:cs="Times New Roman"/>
          <w:lang w:val="en-US"/>
        </w:rPr>
        <w:t>”</w:t>
      </w:r>
      <w:r w:rsidRPr="00881752">
        <w:rPr>
          <w:rFonts w:cs="Times New Roman"/>
          <w:lang w:val="en-US"/>
        </w:rPr>
        <w:t xml:space="preserve"> (Theophr. </w:t>
      </w:r>
      <w:r w:rsidRPr="00881752">
        <w:rPr>
          <w:rFonts w:cs="Times New Roman"/>
          <w:i/>
          <w:iCs/>
          <w:lang w:val="en-US"/>
        </w:rPr>
        <w:t>Characters</w:t>
      </w:r>
      <w:r w:rsidRPr="00881752">
        <w:rPr>
          <w:rFonts w:cs="Times New Roman"/>
          <w:lang w:val="en-US"/>
        </w:rPr>
        <w:t xml:space="preserve"> 7.1, 7):</w:t>
      </w:r>
      <w:r w:rsidRPr="00881752">
        <w:rPr>
          <w:rStyle w:val="FootnoteReference"/>
          <w:rFonts w:cs="Times New Roman"/>
          <w:lang w:val="en-US"/>
        </w:rPr>
        <w:footnoteReference w:id="156"/>
      </w:r>
      <w:r w:rsidR="00272F31" w:rsidRPr="00881752">
        <w:rPr>
          <w:rFonts w:cs="Times New Roman"/>
          <w:szCs w:val="24"/>
        </w:rPr>
        <w:t xml:space="preserve"> </w:t>
      </w:r>
    </w:p>
    <w:p w14:paraId="2BB4C3B4" w14:textId="77777777" w:rsidR="00272F31" w:rsidRPr="00881752" w:rsidRDefault="00272F31" w:rsidP="00F56C73">
      <w:pPr>
        <w:tabs>
          <w:tab w:val="center" w:pos="5387"/>
        </w:tabs>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272F31" w:rsidRPr="00881752" w14:paraId="665818E8" w14:textId="77777777" w:rsidTr="0013179E">
        <w:tc>
          <w:tcPr>
            <w:tcW w:w="4258" w:type="dxa"/>
          </w:tcPr>
          <w:p w14:paraId="17BEB626" w14:textId="1B05E5D6" w:rsidR="00272F31" w:rsidRPr="00881752" w:rsidRDefault="00272F31" w:rsidP="001E50E4">
            <w:pPr>
              <w:pStyle w:val="Blockquote"/>
              <w:rPr>
                <w:rFonts w:eastAsiaTheme="minorEastAsia"/>
                <w:sz w:val="22"/>
                <w:szCs w:val="22"/>
              </w:rPr>
            </w:pPr>
            <w:r w:rsidRPr="00881752">
              <w:rPr>
                <w:rFonts w:eastAsiaTheme="minorEastAsia"/>
                <w:sz w:val="22"/>
                <w:szCs w:val="22"/>
              </w:rPr>
              <w:t xml:space="preserve">Ἡ δὲ λαλιά, εἴ τις αὐτὴν ὁρίζεσθαι βούλοιτο, εἶναι ἂν δόξειεν ἀκρασία τοῦ λόγου, ὁ δὲ </w:t>
            </w:r>
            <w:r w:rsidRPr="00881752">
              <w:rPr>
                <w:rFonts w:eastAsiaTheme="minorEastAsia"/>
                <w:sz w:val="22"/>
                <w:szCs w:val="22"/>
              </w:rPr>
              <w:lastRenderedPageBreak/>
              <w:t>λάλος τοιοῦτός τις […]καὶ συνδικάζων δὲ κωλῦσαι κρῖναι καὶ συνθεωρῶν θεάσασθαι καὶ συνδειπνῶν φαγεῖν λέγων, ὅτι χαλεπὸν τῷ λάλῳ ἐστὶ σιωπᾶν, καὶ ὡς ἐν ὑγρῷ ἐστιν ἡ γλῶττα, καὶ ὅτι οὐκ ἂν σιωπήσειεν, οὐδ</w:t>
            </w:r>
            <w:r w:rsidR="00075F5F">
              <w:rPr>
                <w:rFonts w:eastAsiaTheme="minorEastAsia"/>
                <w:sz w:val="22"/>
                <w:szCs w:val="22"/>
              </w:rPr>
              <w:t>’</w:t>
            </w:r>
            <w:r w:rsidRPr="00881752">
              <w:rPr>
                <w:rFonts w:eastAsiaTheme="minorEastAsia"/>
                <w:sz w:val="22"/>
                <w:szCs w:val="22"/>
              </w:rPr>
              <w:t xml:space="preserve"> εἰ τῶν χελιδόνων δόξειεν εἶναι λαλίστερος</w:t>
            </w:r>
          </w:p>
        </w:tc>
        <w:tc>
          <w:tcPr>
            <w:tcW w:w="3680" w:type="dxa"/>
          </w:tcPr>
          <w:p w14:paraId="0A5E7FC3" w14:textId="4769ECCC" w:rsidR="00272F31" w:rsidRPr="00881752" w:rsidRDefault="00272F31" w:rsidP="001E50E4">
            <w:pPr>
              <w:pStyle w:val="Blockquote"/>
              <w:rPr>
                <w:sz w:val="21"/>
                <w:szCs w:val="21"/>
              </w:rPr>
            </w:pPr>
            <w:r w:rsidRPr="00881752">
              <w:rPr>
                <w:rFonts w:eastAsiaTheme="minorEastAsia"/>
                <w:color w:val="1A1A1A"/>
                <w:sz w:val="21"/>
                <w:szCs w:val="21"/>
              </w:rPr>
              <w:lastRenderedPageBreak/>
              <w:t xml:space="preserve">Chattiness, if one should wish to define it, would seem to be an incontinence of </w:t>
            </w:r>
            <w:r w:rsidRPr="00881752">
              <w:rPr>
                <w:rFonts w:eastAsiaTheme="minorEastAsia"/>
                <w:color w:val="1A1A1A"/>
                <w:sz w:val="21"/>
                <w:szCs w:val="21"/>
              </w:rPr>
              <w:lastRenderedPageBreak/>
              <w:t xml:space="preserve">talk. The Chatty Man is such one who […] Then, on a jury, he will hinder his fellows from coming to a verdict, at a theatre from seeing the play, at a dinner-party, from eating; saying that </w:t>
            </w:r>
            <w:r w:rsidR="00075F5F">
              <w:rPr>
                <w:rFonts w:eastAsiaTheme="minorEastAsia"/>
                <w:color w:val="1A1A1A"/>
                <w:sz w:val="21"/>
                <w:szCs w:val="21"/>
              </w:rPr>
              <w:t>‘</w:t>
            </w:r>
            <w:r w:rsidRPr="00881752">
              <w:rPr>
                <w:rFonts w:eastAsiaTheme="minorEastAsia"/>
                <w:color w:val="1A1A1A"/>
                <w:sz w:val="21"/>
                <w:szCs w:val="21"/>
              </w:rPr>
              <w:t>it is hard for a chatterer to be silent,</w:t>
            </w:r>
            <w:r w:rsidR="00075F5F">
              <w:rPr>
                <w:rFonts w:eastAsiaTheme="minorEastAsia"/>
                <w:color w:val="1A1A1A"/>
                <w:sz w:val="21"/>
                <w:szCs w:val="21"/>
              </w:rPr>
              <w:t>’</w:t>
            </w:r>
            <w:r w:rsidRPr="00881752">
              <w:rPr>
                <w:rFonts w:eastAsiaTheme="minorEastAsia"/>
                <w:color w:val="1A1A1A"/>
                <w:sz w:val="21"/>
                <w:szCs w:val="21"/>
              </w:rPr>
              <w:t xml:space="preserve"> and that his tongue </w:t>
            </w:r>
            <w:r w:rsidRPr="00881752">
              <w:rPr>
                <w:rFonts w:eastAsiaTheme="minorEastAsia"/>
                <w:i/>
                <w:iCs/>
                <w:color w:val="1A1A1A"/>
                <w:sz w:val="21"/>
                <w:szCs w:val="21"/>
              </w:rPr>
              <w:t>will</w:t>
            </w:r>
            <w:r w:rsidRPr="00881752">
              <w:rPr>
                <w:rFonts w:eastAsiaTheme="minorEastAsia"/>
                <w:color w:val="1A1A1A"/>
                <w:sz w:val="21"/>
                <w:szCs w:val="21"/>
              </w:rPr>
              <w:t xml:space="preserve"> run, and that he could not hold it, though he should be thought a greater chatterer than a swallow</w:t>
            </w:r>
          </w:p>
        </w:tc>
      </w:tr>
    </w:tbl>
    <w:p w14:paraId="5CC0578B" w14:textId="77777777" w:rsidR="00272F31" w:rsidRPr="00881752" w:rsidRDefault="00272F31" w:rsidP="001E50E4">
      <w:pPr>
        <w:pStyle w:val="Blockquote"/>
      </w:pPr>
    </w:p>
    <w:p w14:paraId="6A8A8C5F" w14:textId="43903A59" w:rsidR="004068A8" w:rsidRPr="00881752" w:rsidRDefault="004E24A1" w:rsidP="00695A7C">
      <w:pPr>
        <w:tabs>
          <w:tab w:val="center" w:pos="5387"/>
        </w:tabs>
        <w:rPr>
          <w:rFonts w:eastAsia="Times New Roman" w:cs="Times New Roman"/>
          <w:szCs w:val="24"/>
          <w:lang w:eastAsia="it-IT"/>
        </w:rPr>
      </w:pPr>
      <w:r w:rsidRPr="00881752">
        <w:rPr>
          <w:rFonts w:cs="Times New Roman"/>
          <w:lang w:val="en-US"/>
        </w:rPr>
        <w:t>Callimachus says that men became πολύμυθοι and λάλοι (</w:t>
      </w:r>
      <w:r w:rsidRPr="00881752">
        <w:rPr>
          <w:rFonts w:cs="Times New Roman"/>
          <w:i/>
          <w:iCs/>
          <w:lang w:val="en-US"/>
        </w:rPr>
        <w:t>Ia.</w:t>
      </w:r>
      <w:r w:rsidRPr="00881752">
        <w:rPr>
          <w:rFonts w:cs="Times New Roman"/>
          <w:lang w:val="en-US"/>
        </w:rPr>
        <w:t xml:space="preserve"> 2.14), but especially designates the chatterer as ἀλαζών, a cognate of λάλος (</w:t>
      </w:r>
      <w:r w:rsidRPr="00881752">
        <w:rPr>
          <w:rFonts w:cs="Times New Roman"/>
          <w:i/>
          <w:iCs/>
          <w:lang w:val="en-US"/>
        </w:rPr>
        <w:t>Ia.</w:t>
      </w:r>
      <w:r w:rsidRPr="00881752">
        <w:rPr>
          <w:rFonts w:cs="Times New Roman"/>
          <w:lang w:val="en-US"/>
        </w:rPr>
        <w:t xml:space="preserve"> 1.11). Philologists are uncertain of the </w:t>
      </w:r>
      <w:r w:rsidRPr="00881752">
        <w:rPr>
          <w:rFonts w:cs="Times New Roman"/>
          <w:i/>
          <w:iCs/>
          <w:lang w:val="en-US"/>
        </w:rPr>
        <w:t>lectiones</w:t>
      </w:r>
      <w:r w:rsidRPr="00881752">
        <w:rPr>
          <w:rFonts w:cs="Times New Roman"/>
          <w:lang w:val="en-US"/>
        </w:rPr>
        <w:t xml:space="preserve"> λαλάζων and ἀλαζών. Both are onomatopoetic formations, along with βαβάζω, from which the Archilochaean </w:t>
      </w:r>
      <w:r w:rsidRPr="00881752">
        <w:rPr>
          <w:rFonts w:cs="Times New Roman"/>
          <w:i/>
          <w:iCs/>
          <w:lang w:val="en-US"/>
        </w:rPr>
        <w:t>hapax</w:t>
      </w:r>
      <w:r w:rsidRPr="00881752">
        <w:rPr>
          <w:rFonts w:cs="Times New Roman"/>
          <w:lang w:val="en-US"/>
        </w:rPr>
        <w:t xml:space="preserve"> βάβαξ derives. The first is a present participle from the </w:t>
      </w:r>
      <w:r w:rsidRPr="00881752">
        <w:rPr>
          <w:rFonts w:cs="Times New Roman"/>
          <w:i/>
          <w:iCs/>
          <w:lang w:val="en-US"/>
        </w:rPr>
        <w:t>hapax</w:t>
      </w:r>
      <w:r w:rsidRPr="00881752">
        <w:rPr>
          <w:rFonts w:cs="Times New Roman"/>
          <w:lang w:val="en-US"/>
        </w:rPr>
        <w:t xml:space="preserve"> λαλάζω, used only by Anacr. 48.2 Gentili; the iterative derivative from the common λαλέω is often used by Aristophanes and Plato, two constant landmarks in Callimachus</w:t>
      </w:r>
      <w:r w:rsidR="00075F5F">
        <w:rPr>
          <w:rFonts w:cs="Times New Roman"/>
          <w:lang w:val="en-US"/>
        </w:rPr>
        <w:t>’</w:t>
      </w:r>
      <w:r w:rsidRPr="00881752">
        <w:rPr>
          <w:rFonts w:cs="Times New Roman"/>
          <w:lang w:val="en-US"/>
        </w:rPr>
        <w:t xml:space="preserve"> work. The second is a kind of technical noun designating a swindler as defined by Aristotle (</w:t>
      </w:r>
      <w:r w:rsidRPr="00881752">
        <w:rPr>
          <w:rFonts w:cs="Times New Roman"/>
          <w:i/>
          <w:iCs/>
          <w:lang w:val="en-US"/>
        </w:rPr>
        <w:t>Ethica Nicomachaea</w:t>
      </w:r>
      <w:r w:rsidRPr="00881752">
        <w:rPr>
          <w:rFonts w:cs="Times New Roman"/>
          <w:lang w:val="en-US"/>
        </w:rPr>
        <w:t xml:space="preserve"> 1127a20-22):</w:t>
      </w:r>
      <w:r w:rsidRPr="00881752">
        <w:rPr>
          <w:rStyle w:val="FootnoteReference"/>
          <w:rFonts w:cs="Times New Roman"/>
          <w:lang w:val="en-US"/>
        </w:rPr>
        <w:footnoteReference w:id="157"/>
      </w:r>
      <w:r w:rsidRPr="00881752">
        <w:rPr>
          <w:rFonts w:cs="Times New Roman"/>
          <w:lang w:val="en-US"/>
        </w:rPr>
        <w:t xml:space="preserve"> </w:t>
      </w:r>
    </w:p>
    <w:p w14:paraId="33C7EA23" w14:textId="77777777" w:rsidR="00272F31" w:rsidRPr="00881752" w:rsidRDefault="00272F31" w:rsidP="00F56C73">
      <w:pPr>
        <w:tabs>
          <w:tab w:val="center" w:pos="5387"/>
        </w:tabs>
        <w:rPr>
          <w:lang w:eastAsia="it-IT"/>
        </w:rPr>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69"/>
        <w:gridCol w:w="4111"/>
      </w:tblGrid>
      <w:tr w:rsidR="00272F31" w:rsidRPr="00881752" w14:paraId="7A9D8DF7" w14:textId="77777777" w:rsidTr="0013179E">
        <w:tc>
          <w:tcPr>
            <w:tcW w:w="3969" w:type="dxa"/>
          </w:tcPr>
          <w:p w14:paraId="1539E449" w14:textId="77777777" w:rsidR="00272F31" w:rsidRPr="00881752" w:rsidRDefault="00272F31" w:rsidP="001E50E4">
            <w:pPr>
              <w:pStyle w:val="Blockquote"/>
              <w:rPr>
                <w:sz w:val="22"/>
                <w:szCs w:val="22"/>
                <w:lang w:eastAsia="it-IT"/>
              </w:rPr>
            </w:pPr>
            <w:r w:rsidRPr="00881752">
              <w:rPr>
                <w:color w:val="000000"/>
                <w:sz w:val="22"/>
                <w:szCs w:val="22"/>
                <w:lang w:eastAsia="it-IT"/>
              </w:rPr>
              <w:t>δοκεῖ</w:t>
            </w:r>
            <w:r w:rsidRPr="00881752">
              <w:rPr>
                <w:i/>
                <w:iCs/>
                <w:color w:val="808000"/>
                <w:sz w:val="22"/>
                <w:szCs w:val="22"/>
                <w:lang w:eastAsia="it-IT"/>
              </w:rPr>
              <w:t> </w:t>
            </w:r>
            <w:r w:rsidRPr="00881752">
              <w:rPr>
                <w:color w:val="000000"/>
                <w:sz w:val="22"/>
                <w:szCs w:val="22"/>
                <w:lang w:eastAsia="it-IT"/>
              </w:rPr>
              <w:t>δὴ ὁ μὲν ἀλαζὼν προσποιητικὸς τῶν ἐνδόξων εἶναι καὶ μὴ ὑπαρχόντων καὶ μειζόνων ἢ ὑπάρχει</w:t>
            </w:r>
          </w:p>
        </w:tc>
        <w:tc>
          <w:tcPr>
            <w:tcW w:w="4111" w:type="dxa"/>
          </w:tcPr>
          <w:p w14:paraId="68F7845B" w14:textId="77777777" w:rsidR="00272F31" w:rsidRPr="00881752" w:rsidRDefault="00272F31" w:rsidP="001E50E4">
            <w:pPr>
              <w:pStyle w:val="Blockquote"/>
              <w:rPr>
                <w:sz w:val="22"/>
                <w:szCs w:val="22"/>
                <w:lang w:eastAsia="it-IT"/>
              </w:rPr>
            </w:pPr>
            <w:r w:rsidRPr="00881752">
              <w:rPr>
                <w:color w:val="000000"/>
                <w:sz w:val="22"/>
                <w:szCs w:val="22"/>
              </w:rPr>
              <w:t>As generally understood then, the boaster is a man who pretends to creditable qualities that he does not possess, or possesses in a lesser degree than he makes out</w:t>
            </w:r>
          </w:p>
        </w:tc>
      </w:tr>
    </w:tbl>
    <w:p w14:paraId="09090629" w14:textId="77777777" w:rsidR="001E50E4" w:rsidRPr="00881752" w:rsidRDefault="001E50E4" w:rsidP="001E50E4">
      <w:pPr>
        <w:pStyle w:val="Blockquote"/>
        <w:rPr>
          <w:color w:val="000000"/>
        </w:rPr>
      </w:pPr>
    </w:p>
    <w:p w14:paraId="1FF77663" w14:textId="0565EA5D" w:rsidR="004E24A1" w:rsidRPr="00881752" w:rsidRDefault="004E24A1" w:rsidP="004E24A1">
      <w:pPr>
        <w:tabs>
          <w:tab w:val="center" w:pos="5387"/>
        </w:tabs>
        <w:rPr>
          <w:rFonts w:cs="Times New Roman"/>
          <w:lang w:val="en-US"/>
        </w:rPr>
      </w:pPr>
      <w:r w:rsidRPr="00881752">
        <w:rPr>
          <w:rFonts w:cs="Times New Roman"/>
          <w:lang w:val="en-US"/>
        </w:rPr>
        <w:t xml:space="preserve">On that basis, ἀλαζών seems to me preferable to λαλάζων as </w:t>
      </w:r>
      <w:r w:rsidRPr="00881752">
        <w:rPr>
          <w:rFonts w:cs="Times New Roman"/>
          <w:i/>
          <w:iCs/>
          <w:lang w:val="en-US"/>
        </w:rPr>
        <w:t>vox propria</w:t>
      </w:r>
      <w:r w:rsidRPr="00881752">
        <w:rPr>
          <w:rFonts w:cs="Times New Roman"/>
          <w:lang w:val="en-US"/>
        </w:rPr>
        <w:t xml:space="preserve"> for </w:t>
      </w:r>
      <w:r w:rsidR="00CC0615">
        <w:rPr>
          <w:rFonts w:cs="Times New Roman"/>
          <w:lang w:val="en-US"/>
        </w:rPr>
        <w:t>“</w:t>
      </w:r>
      <w:r w:rsidRPr="00881752">
        <w:rPr>
          <w:rFonts w:cs="Times New Roman"/>
          <w:lang w:val="en-US"/>
        </w:rPr>
        <w:t>pretentious charlatan, boastful quack, swaggering sophist,</w:t>
      </w:r>
      <w:r w:rsidR="00CC0615">
        <w:rPr>
          <w:rFonts w:cs="Times New Roman"/>
          <w:lang w:val="en-US"/>
        </w:rPr>
        <w:t>”</w:t>
      </w:r>
      <w:r w:rsidRPr="00881752">
        <w:rPr>
          <w:rStyle w:val="FootnoteReference"/>
          <w:rFonts w:cs="Times New Roman"/>
          <w:lang w:val="en-US"/>
        </w:rPr>
        <w:footnoteReference w:id="158"/>
      </w:r>
      <w:r w:rsidRPr="00881752">
        <w:rPr>
          <w:rFonts w:cs="Times New Roman"/>
          <w:lang w:val="en-US"/>
        </w:rPr>
        <w:t xml:space="preserve"> constituting a more pointed insult than mere </w:t>
      </w:r>
      <w:r w:rsidR="00CC0615">
        <w:rPr>
          <w:rFonts w:cs="Times New Roman"/>
          <w:lang w:val="en-US"/>
        </w:rPr>
        <w:t>“</w:t>
      </w:r>
      <w:r w:rsidRPr="00881752">
        <w:rPr>
          <w:rFonts w:cs="Times New Roman"/>
          <w:lang w:val="en-US"/>
        </w:rPr>
        <w:t>prattling and babbling.</w:t>
      </w:r>
      <w:r w:rsidR="00CC0615">
        <w:rPr>
          <w:rFonts w:cs="Times New Roman"/>
          <w:lang w:val="en-US"/>
        </w:rPr>
        <w:t>”</w:t>
      </w:r>
      <w:r w:rsidRPr="00881752">
        <w:rPr>
          <w:rStyle w:val="FootnoteReference"/>
          <w:rFonts w:cs="Times New Roman"/>
          <w:lang w:val="en-US"/>
        </w:rPr>
        <w:footnoteReference w:id="159"/>
      </w:r>
      <w:r w:rsidRPr="00881752">
        <w:rPr>
          <w:rFonts w:cs="Times New Roman"/>
          <w:lang w:val="en-US"/>
        </w:rPr>
        <w:t xml:space="preserve"> </w:t>
      </w:r>
    </w:p>
    <w:p w14:paraId="73856485" w14:textId="61C74F04" w:rsidR="004E24A1" w:rsidRPr="00881752" w:rsidRDefault="004E24A1" w:rsidP="004E24A1">
      <w:pPr>
        <w:tabs>
          <w:tab w:val="center" w:pos="5387"/>
        </w:tabs>
        <w:ind w:firstLine="426"/>
        <w:rPr>
          <w:rFonts w:cs="Times New Roman"/>
          <w:lang w:val="en-US"/>
        </w:rPr>
      </w:pPr>
      <w:r w:rsidRPr="00881752">
        <w:rPr>
          <w:rFonts w:cs="Times New Roman"/>
          <w:lang w:val="en-US"/>
        </w:rPr>
        <w:t>It is worth noting that Callimachus</w:t>
      </w:r>
      <w:r w:rsidR="00075F5F">
        <w:rPr>
          <w:rFonts w:cs="Times New Roman"/>
          <w:lang w:val="en-US"/>
        </w:rPr>
        <w:t>’</w:t>
      </w:r>
      <w:r w:rsidRPr="00881752">
        <w:rPr>
          <w:rFonts w:cs="Times New Roman"/>
          <w:lang w:val="en-US"/>
        </w:rPr>
        <w:t xml:space="preserve"> character chatters not only about useless things but also about things that are false; the λάλος is scratching books that are unrighteous (ἄδικα βιβλία). This is a new component of the iambic chatterer.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it seems that speaking nonsense is essentially opposed to speaking true things, as a true statement accurately reflects reality while φλυαρία does not. I would argue that this shift in the semantics of the λάλος from the archaic to the Hellenistic iambs owes something to the sophists</w:t>
      </w:r>
      <w:r w:rsidR="00075F5F">
        <w:rPr>
          <w:rFonts w:cs="Times New Roman"/>
          <w:lang w:val="en-US"/>
        </w:rPr>
        <w:t>’</w:t>
      </w:r>
      <w:r w:rsidRPr="00881752">
        <w:rPr>
          <w:rFonts w:cs="Times New Roman"/>
          <w:lang w:val="en-US"/>
        </w:rPr>
        <w:t xml:space="preserve"> and Plato</w:t>
      </w:r>
      <w:r w:rsidR="00075F5F">
        <w:rPr>
          <w:rFonts w:cs="Times New Roman"/>
          <w:lang w:val="en-US"/>
        </w:rPr>
        <w:t>’</w:t>
      </w:r>
      <w:r w:rsidRPr="00881752">
        <w:rPr>
          <w:rFonts w:cs="Times New Roman"/>
          <w:lang w:val="en-US"/>
        </w:rPr>
        <w:t xml:space="preserve">s reflections on language. In </w:t>
      </w:r>
      <w:r w:rsidRPr="00881752">
        <w:rPr>
          <w:rFonts w:cs="Times New Roman"/>
          <w:i/>
          <w:iCs/>
          <w:lang w:val="en-US"/>
        </w:rPr>
        <w:t>Protagoras</w:t>
      </w:r>
      <w:r w:rsidRPr="00881752">
        <w:rPr>
          <w:rFonts w:cs="Times New Roman"/>
          <w:lang w:val="en-US"/>
        </w:rPr>
        <w:t xml:space="preserve"> (347c-d), Socrates offers </w:t>
      </w:r>
      <w:r w:rsidRPr="00881752">
        <w:rPr>
          <w:rFonts w:cs="Times New Roman"/>
          <w:lang w:val="en-US"/>
        </w:rPr>
        <w:lastRenderedPageBreak/>
        <w:t>a serious discussion of symposia that must be promoted, and of play and nonsense that must be jettisoned. He discusses the drinking parties of common folk, who need flute-girls and sympotic music to help them to converse. But gentlemen (καλοὶ κἀγαθοί) have no need of this nonsense and play, contenting themselves with orderly conversation, each in turn, no matter how much they have had to drink. The underlying assumption of the serious symposium is that good conversation should go somewhere while φλυαρία get nowhere.</w:t>
      </w:r>
    </w:p>
    <w:p w14:paraId="6038012F" w14:textId="38791F0C" w:rsidR="004068A8" w:rsidRPr="00881752" w:rsidRDefault="004E24A1" w:rsidP="004E24A1">
      <w:pPr>
        <w:tabs>
          <w:tab w:val="center" w:pos="5387"/>
        </w:tabs>
        <w:ind w:firstLine="426"/>
        <w:rPr>
          <w:rFonts w:cs="Times New Roman"/>
          <w:lang w:val="en-US"/>
        </w:rPr>
      </w:pPr>
      <w:r w:rsidRPr="00881752">
        <w:rPr>
          <w:rFonts w:cs="Times New Roman"/>
          <w:lang w:val="en-US"/>
        </w:rPr>
        <w:t xml:space="preserve">At the end of his </w:t>
      </w:r>
      <w:r w:rsidRPr="00881752">
        <w:rPr>
          <w:rFonts w:cs="Times New Roman"/>
          <w:i/>
          <w:iCs/>
          <w:lang w:val="en-US"/>
        </w:rPr>
        <w:t>Panathenaicus</w:t>
      </w:r>
      <w:r w:rsidRPr="00881752">
        <w:rPr>
          <w:rFonts w:cs="Times New Roman"/>
          <w:lang w:val="en-US"/>
        </w:rPr>
        <w:t>, Isocrates refers to φλυαρία as false speech. Praising the history of Athens and criticising Sparta</w:t>
      </w:r>
      <w:r w:rsidR="00075F5F">
        <w:rPr>
          <w:rFonts w:cs="Times New Roman"/>
          <w:lang w:val="en-US"/>
        </w:rPr>
        <w:t>’</w:t>
      </w:r>
      <w:r w:rsidRPr="00881752">
        <w:rPr>
          <w:rFonts w:cs="Times New Roman"/>
          <w:lang w:val="en-US"/>
        </w:rPr>
        <w:t>s ancestors, he addresses the opinion of a former student who depicts a reality contrary to Isocrates</w:t>
      </w:r>
      <w:r w:rsidR="00075F5F">
        <w:rPr>
          <w:rFonts w:cs="Times New Roman"/>
          <w:lang w:val="en-US"/>
        </w:rPr>
        <w:t>’</w:t>
      </w:r>
      <w:r w:rsidRPr="00881752">
        <w:rPr>
          <w:rFonts w:cs="Times New Roman"/>
          <w:lang w:val="en-US"/>
        </w:rPr>
        <w:t xml:space="preserve"> speech. The student</w:t>
      </w:r>
      <w:r w:rsidR="00075F5F">
        <w:rPr>
          <w:rFonts w:cs="Times New Roman"/>
          <w:lang w:val="en-US"/>
        </w:rPr>
        <w:t>’</w:t>
      </w:r>
      <w:r w:rsidRPr="00881752">
        <w:rPr>
          <w:rFonts w:cs="Times New Roman"/>
          <w:lang w:val="en-US"/>
        </w:rPr>
        <w:t xml:space="preserve">s opinion is that εὑρετὰς γεγενῆσθαι τῶν καλλίστων ἐπιτηδευμάτων </w:t>
      </w:r>
      <w:r w:rsidR="00CC0615">
        <w:rPr>
          <w:rFonts w:cs="Times New Roman"/>
          <w:lang w:val="en-US"/>
        </w:rPr>
        <w:t>“</w:t>
      </w:r>
      <w:r w:rsidRPr="00881752">
        <w:rPr>
          <w:rFonts w:cs="Times New Roman"/>
          <w:lang w:val="en-US"/>
        </w:rPr>
        <w:t>the Spartans discovered the best way of life</w:t>
      </w:r>
      <w:r w:rsidR="00CC0615">
        <w:rPr>
          <w:rFonts w:cs="Times New Roman"/>
          <w:lang w:val="en-US"/>
        </w:rPr>
        <w:t>”</w:t>
      </w:r>
      <w:r w:rsidRPr="00881752">
        <w:rPr>
          <w:rFonts w:cs="Times New Roman"/>
          <w:lang w:val="en-US"/>
        </w:rPr>
        <w:t xml:space="preserve"> (205.2-3). As the opposite of what he claims in his speech, Isocrates must call this proposition false, but the antithesis he constructs is as follows: εἰ μὲν τυγχάνεις ἀληθῆ λέγων, [...]; 206.1: εἰ δὲ σὺ μὲν φλυαρῶν τυγχάνεις, […] </w:t>
      </w:r>
      <w:r w:rsidR="00CC0615">
        <w:rPr>
          <w:rFonts w:cs="Times New Roman"/>
          <w:lang w:val="en-US"/>
        </w:rPr>
        <w:t>“</w:t>
      </w:r>
      <w:r w:rsidRPr="00881752">
        <w:rPr>
          <w:rFonts w:cs="Times New Roman"/>
          <w:lang w:val="en-US"/>
        </w:rPr>
        <w:t>if, on the one hand, you happen to be speaking true things, … if, on the other hand, you happen to be speaking stupid things</w:t>
      </w:r>
      <w:r w:rsidR="00CC0615">
        <w:rPr>
          <w:rFonts w:cs="Times New Roman"/>
          <w:lang w:val="en-US"/>
        </w:rPr>
        <w:t>”</w:t>
      </w:r>
      <w:r w:rsidRPr="00881752">
        <w:rPr>
          <w:rFonts w:cs="Times New Roman"/>
          <w:lang w:val="en-US"/>
        </w:rPr>
        <w:t xml:space="preserve"> (205.2). Therefore, speaking φλυαρία is opposed to speaking ἀληθῆ: there must be an aspect of φλυαρῶν that denotes the falsity of a statement. </w:t>
      </w:r>
    </w:p>
    <w:p w14:paraId="63F06A09" w14:textId="521BC6AF" w:rsidR="00272F31" w:rsidRPr="00881752" w:rsidRDefault="004E24A1" w:rsidP="00F56C73">
      <w:pPr>
        <w:tabs>
          <w:tab w:val="center" w:pos="5387"/>
        </w:tabs>
        <w:ind w:firstLine="426"/>
        <w:rPr>
          <w:rFonts w:cs="Times New Roman"/>
          <w:color w:val="000000"/>
          <w:szCs w:val="24"/>
          <w:shd w:val="clear" w:color="auto" w:fill="F4F0E5"/>
        </w:rPr>
      </w:pPr>
      <w:r w:rsidRPr="00881752">
        <w:rPr>
          <w:rFonts w:cs="Times New Roman"/>
          <w:lang w:val="en-US"/>
        </w:rPr>
        <w:t xml:space="preserve">One may argue that iambic texts also show the shift of the meaning of φλυαρεῖν from saying stupid and useless things </w:t>
      </w:r>
      <w:r w:rsidR="00075F5F">
        <w:rPr>
          <w:rFonts w:cs="Times New Roman"/>
          <w:lang w:val="en-US"/>
        </w:rPr>
        <w:t>–</w:t>
      </w:r>
      <w:r w:rsidRPr="00881752">
        <w:rPr>
          <w:rFonts w:cs="Times New Roman"/>
          <w:lang w:val="en-US"/>
        </w:rPr>
        <w:t xml:space="preserve"> babbling (as it is in Archilochus</w:t>
      </w:r>
      <w:r w:rsidR="00075F5F">
        <w:rPr>
          <w:rFonts w:cs="Times New Roman"/>
          <w:lang w:val="en-US"/>
        </w:rPr>
        <w:t>’</w:t>
      </w:r>
      <w:r w:rsidRPr="00881752">
        <w:rPr>
          <w:rFonts w:cs="Times New Roman"/>
          <w:lang w:val="en-US"/>
        </w:rPr>
        <w:t xml:space="preserve"> and Hipponax</w:t>
      </w:r>
      <w:r w:rsidR="00075F5F">
        <w:rPr>
          <w:rFonts w:cs="Times New Roman"/>
          <w:lang w:val="en-US"/>
        </w:rPr>
        <w:t>’</w:t>
      </w:r>
      <w:r w:rsidRPr="00881752">
        <w:rPr>
          <w:rFonts w:cs="Times New Roman"/>
          <w:lang w:val="en-US"/>
        </w:rPr>
        <w:t xml:space="preserve">s fragments) </w:t>
      </w:r>
      <w:r w:rsidR="00075F5F">
        <w:rPr>
          <w:rFonts w:cs="Times New Roman"/>
          <w:lang w:val="en-US"/>
        </w:rPr>
        <w:t>–</w:t>
      </w:r>
      <w:r w:rsidRPr="00881752">
        <w:rPr>
          <w:rFonts w:cs="Times New Roman"/>
          <w:lang w:val="en-US"/>
        </w:rPr>
        <w:t xml:space="preserve"> to saying false things as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w:t>
      </w:r>
      <w:r w:rsidRPr="00881752">
        <w:rPr>
          <w:rFonts w:cs="Times New Roman"/>
          <w:shd w:val="solid" w:color="F4F0E5" w:fill="F4F0E5"/>
          <w:lang w:val="en-US"/>
        </w:rPr>
        <w:t xml:space="preserve"> </w:t>
      </w:r>
    </w:p>
    <w:p w14:paraId="1C400641" w14:textId="6ACF784A" w:rsidR="00272F31" w:rsidRPr="00881752" w:rsidRDefault="00861BD6" w:rsidP="00825A39">
      <w:pPr>
        <w:pStyle w:val="Heading4"/>
        <w:rPr>
          <w:rFonts w:cs="Times New Roman"/>
        </w:rPr>
      </w:pPr>
      <w:r w:rsidRPr="00881752">
        <w:rPr>
          <w:rFonts w:cs="Times New Roman"/>
        </w:rPr>
        <w:t xml:space="preserve">1.6.3 </w:t>
      </w:r>
      <w:r w:rsidR="00272F31" w:rsidRPr="00881752">
        <w:rPr>
          <w:rFonts w:cs="Times New Roman"/>
        </w:rPr>
        <w:t>Colloquialisms</w:t>
      </w:r>
    </w:p>
    <w:p w14:paraId="060D86D4" w14:textId="78EC07DD" w:rsidR="004E24A1" w:rsidRPr="00881752" w:rsidRDefault="004E24A1" w:rsidP="009E2C55">
      <w:pPr>
        <w:tabs>
          <w:tab w:val="center" w:pos="5387"/>
        </w:tabs>
        <w:rPr>
          <w:rFonts w:cs="Times New Roman"/>
          <w:lang w:val="en-US"/>
        </w:rPr>
      </w:pPr>
      <w:r w:rsidRPr="00881752">
        <w:rPr>
          <w:rFonts w:cs="Times New Roman"/>
          <w:lang w:val="en-US"/>
        </w:rPr>
        <w:t>Iambic texts try to reproduce the language spoken by their fellow citizens in everyday life. Although a distinction between obvious or probable colloquialism and everyday, plain, or homely language remains,</w:t>
      </w:r>
      <w:r w:rsidRPr="00881752">
        <w:rPr>
          <w:rStyle w:val="FootnoteReference"/>
          <w:rFonts w:cs="Times New Roman"/>
          <w:lang w:val="en-US"/>
        </w:rPr>
        <w:footnoteReference w:id="160"/>
      </w:r>
      <w:r w:rsidRPr="00881752">
        <w:rPr>
          <w:rFonts w:cs="Times New Roman"/>
          <w:lang w:val="en-US"/>
        </w:rPr>
        <w:t xml:space="preserve"> it is possible to highlight those linguistic or rhetorical devices which reveal the iambographers</w:t>
      </w:r>
      <w:r w:rsidR="00075F5F">
        <w:rPr>
          <w:rFonts w:cs="Times New Roman"/>
          <w:lang w:val="en-US"/>
        </w:rPr>
        <w:t>’</w:t>
      </w:r>
      <w:r w:rsidRPr="00881752">
        <w:rPr>
          <w:rFonts w:cs="Times New Roman"/>
          <w:lang w:val="en-US"/>
        </w:rPr>
        <w:t xml:space="preserve"> intent in deliberately colouring a passage, or a whole text, or a speech of his stage </w:t>
      </w:r>
      <w:r w:rsidRPr="00881752">
        <w:rPr>
          <w:rFonts w:cs="Times New Roman"/>
          <w:i/>
          <w:iCs/>
          <w:lang w:val="en-US"/>
        </w:rPr>
        <w:t>personae</w:t>
      </w:r>
      <w:r w:rsidRPr="00881752">
        <w:rPr>
          <w:rFonts w:cs="Times New Roman"/>
          <w:lang w:val="en-US"/>
        </w:rPr>
        <w:t xml:space="preserve"> with clear colloquialisms or everyday expressions that are distinctive within the general tone. </w:t>
      </w:r>
    </w:p>
    <w:p w14:paraId="2C066E68" w14:textId="5D378FE5" w:rsidR="004E24A1" w:rsidRPr="00881752" w:rsidRDefault="004E24A1" w:rsidP="00695A7C">
      <w:pPr>
        <w:tabs>
          <w:tab w:val="center" w:pos="5387"/>
        </w:tabs>
        <w:rPr>
          <w:rFonts w:cs="Times New Roman"/>
          <w:lang w:val="en-US"/>
        </w:rPr>
      </w:pPr>
      <w:r w:rsidRPr="00881752">
        <w:rPr>
          <w:rFonts w:cs="Times New Roman"/>
          <w:lang w:val="en-US"/>
        </w:rPr>
        <w:tab/>
        <w:t xml:space="preserve">Since the material evidence (inscriptions) for everyday spoken language is inadequate, here the category of the </w:t>
      </w:r>
      <w:r w:rsidR="00CC0615">
        <w:rPr>
          <w:rFonts w:cs="Times New Roman"/>
          <w:lang w:val="en-US"/>
        </w:rPr>
        <w:t>“</w:t>
      </w:r>
      <w:r w:rsidRPr="00881752">
        <w:rPr>
          <w:rFonts w:cs="Times New Roman"/>
          <w:lang w:val="en-US"/>
        </w:rPr>
        <w:t>colloquial</w:t>
      </w:r>
      <w:r w:rsidR="00CC0615">
        <w:rPr>
          <w:rFonts w:cs="Times New Roman"/>
          <w:lang w:val="en-US"/>
        </w:rPr>
        <w:t>”</w:t>
      </w:r>
      <w:r w:rsidRPr="00881752">
        <w:rPr>
          <w:rFonts w:cs="Times New Roman"/>
          <w:lang w:val="en-US"/>
        </w:rPr>
        <w:t xml:space="preserve"> is intended as </w:t>
      </w:r>
      <w:r w:rsidR="00CC0615">
        <w:rPr>
          <w:rFonts w:cs="Times New Roman"/>
          <w:lang w:val="en-US"/>
        </w:rPr>
        <w:t>“</w:t>
      </w:r>
      <w:r w:rsidRPr="00881752">
        <w:rPr>
          <w:rFonts w:cs="Times New Roman"/>
          <w:lang w:val="en-US"/>
        </w:rPr>
        <w:t>words and phrases that are avoided in distinctively poetic writing and in formal prose.</w:t>
      </w:r>
      <w:r w:rsidR="00CC0615">
        <w:rPr>
          <w:rFonts w:cs="Times New Roman"/>
          <w:lang w:val="en-US"/>
        </w:rPr>
        <w:t>”</w:t>
      </w:r>
      <w:r w:rsidRPr="00881752">
        <w:rPr>
          <w:rStyle w:val="FootnoteReference"/>
          <w:rFonts w:cs="Times New Roman"/>
          <w:lang w:val="en-US"/>
        </w:rPr>
        <w:footnoteReference w:id="161"/>
      </w:r>
      <w:r w:rsidRPr="00881752">
        <w:rPr>
          <w:rFonts w:cs="Times New Roman"/>
          <w:lang w:val="en-US"/>
        </w:rPr>
        <w:t xml:space="preserve"> I do not include what may be called vulgarisms, since it is difficult to find and distinguish in literary texts (as iambs are) words of a non-literary character with exclusively low and vulgar </w:t>
      </w:r>
      <w:r w:rsidRPr="00881752">
        <w:rPr>
          <w:rFonts w:cs="Times New Roman"/>
          <w:lang w:val="en-US"/>
        </w:rPr>
        <w:lastRenderedPageBreak/>
        <w:t>associations.</w:t>
      </w:r>
      <w:r w:rsidRPr="00881752">
        <w:rPr>
          <w:rStyle w:val="FootnoteReference"/>
          <w:rFonts w:cs="Times New Roman"/>
          <w:lang w:val="en-US"/>
        </w:rPr>
        <w:footnoteReference w:id="162"/>
      </w:r>
      <w:r w:rsidRPr="00881752">
        <w:rPr>
          <w:rFonts w:cs="Times New Roman"/>
          <w:lang w:val="en-US"/>
        </w:rPr>
        <w:t xml:space="preserve"> Therefore, I will list some notable syntactic and stylistic features typical of the iambic fragments which semantically transmit the sense of colloquial language.</w:t>
      </w:r>
    </w:p>
    <w:p w14:paraId="267D9D27" w14:textId="77777777" w:rsidR="00272F31" w:rsidRPr="00881752" w:rsidRDefault="00272F31" w:rsidP="004068A8">
      <w:pPr>
        <w:tabs>
          <w:tab w:val="center" w:pos="5387"/>
        </w:tabs>
        <w:rPr>
          <w:rFonts w:cs="Times New Roman"/>
          <w:bCs/>
          <w:i/>
          <w:szCs w:val="24"/>
        </w:rPr>
      </w:pPr>
    </w:p>
    <w:p w14:paraId="20E9AD0B" w14:textId="11AA4E55" w:rsidR="003B1451" w:rsidRPr="00881752" w:rsidRDefault="00272F31" w:rsidP="004068A8">
      <w:pPr>
        <w:tabs>
          <w:tab w:val="center" w:pos="5387"/>
        </w:tabs>
        <w:rPr>
          <w:rFonts w:cs="Times New Roman"/>
          <w:bCs/>
          <w:szCs w:val="24"/>
        </w:rPr>
      </w:pPr>
      <w:r w:rsidRPr="00881752">
        <w:rPr>
          <w:rFonts w:cs="Times New Roman"/>
          <w:bCs/>
          <w:i/>
          <w:szCs w:val="24"/>
        </w:rPr>
        <w:t>Syntactic Features</w:t>
      </w:r>
    </w:p>
    <w:p w14:paraId="4DF2C2BD" w14:textId="77777777" w:rsidR="00272F31" w:rsidRPr="00881752" w:rsidRDefault="00272F31" w:rsidP="002C29A2">
      <w:pPr>
        <w:pStyle w:val="ListParagraph"/>
        <w:numPr>
          <w:ilvl w:val="0"/>
          <w:numId w:val="7"/>
        </w:numPr>
        <w:ind w:left="426" w:hanging="284"/>
        <w:rPr>
          <w:bCs/>
        </w:rPr>
      </w:pPr>
      <w:r w:rsidRPr="00881752">
        <w:rPr>
          <w:bCs/>
        </w:rPr>
        <w:t xml:space="preserve">ἄν with imperfect (more rarely aorist) indicative used as iterative: </w:t>
      </w:r>
    </w:p>
    <w:p w14:paraId="75259B7B" w14:textId="77777777" w:rsidR="00272F31" w:rsidRPr="00881752" w:rsidRDefault="00272F31" w:rsidP="00F56C73">
      <w:pPr>
        <w:pStyle w:val="ListParagraph"/>
        <w:numPr>
          <w:ilvl w:val="0"/>
          <w:numId w:val="8"/>
        </w:numPr>
        <w:tabs>
          <w:tab w:val="clear" w:pos="425"/>
          <w:tab w:val="left" w:pos="709"/>
        </w:tabs>
        <w:ind w:left="426" w:firstLine="0"/>
        <w:rPr>
          <w:bCs/>
        </w:rPr>
      </w:pPr>
      <w:r w:rsidRPr="00881752">
        <w:rPr>
          <w:bCs/>
        </w:rPr>
        <w:t>Archil. frs. 27.2; 28; 55.9</w:t>
      </w:r>
    </w:p>
    <w:p w14:paraId="3ECAC12F" w14:textId="77777777" w:rsidR="00272F31" w:rsidRPr="00881752" w:rsidRDefault="00272F31" w:rsidP="00F56C73">
      <w:pPr>
        <w:pStyle w:val="ListParagraph"/>
        <w:numPr>
          <w:ilvl w:val="0"/>
          <w:numId w:val="8"/>
        </w:numPr>
        <w:tabs>
          <w:tab w:val="clear" w:pos="425"/>
          <w:tab w:val="left" w:pos="709"/>
        </w:tabs>
        <w:ind w:left="426" w:firstLine="0"/>
        <w:rPr>
          <w:bCs/>
        </w:rPr>
      </w:pPr>
      <w:r w:rsidRPr="00881752">
        <w:rPr>
          <w:bCs/>
        </w:rPr>
        <w:t>Hippon. fr. 48.3</w:t>
      </w:r>
    </w:p>
    <w:p w14:paraId="0361F986" w14:textId="77777777" w:rsidR="00272F31" w:rsidRPr="00881752" w:rsidRDefault="00272F31" w:rsidP="00F56C73">
      <w:pPr>
        <w:pStyle w:val="ListParagraph"/>
        <w:numPr>
          <w:ilvl w:val="0"/>
          <w:numId w:val="8"/>
        </w:numPr>
        <w:tabs>
          <w:tab w:val="clear" w:pos="425"/>
          <w:tab w:val="left" w:pos="709"/>
        </w:tabs>
        <w:ind w:left="426" w:firstLine="0"/>
        <w:rPr>
          <w:bCs/>
        </w:rPr>
      </w:pPr>
      <w:r w:rsidRPr="00881752">
        <w:rPr>
          <w:bCs/>
        </w:rPr>
        <w:t xml:space="preserve">Call. </w:t>
      </w:r>
      <w:r w:rsidRPr="00881752">
        <w:rPr>
          <w:bCs/>
          <w:i/>
        </w:rPr>
        <w:t>Ia.</w:t>
      </w:r>
      <w:r w:rsidRPr="00881752">
        <w:rPr>
          <w:bCs/>
        </w:rPr>
        <w:t xml:space="preserve"> 3.34</w:t>
      </w:r>
    </w:p>
    <w:p w14:paraId="54619BC5" w14:textId="0D76574C" w:rsidR="004E24A1" w:rsidRPr="00881752" w:rsidRDefault="004E24A1">
      <w:pPr>
        <w:tabs>
          <w:tab w:val="clear" w:pos="425"/>
          <w:tab w:val="left" w:pos="426"/>
        </w:tabs>
        <w:ind w:left="426"/>
        <w:rPr>
          <w:rFonts w:cs="Times New Roman"/>
          <w:lang w:val="en-US"/>
        </w:rPr>
      </w:pPr>
      <w:r w:rsidRPr="00881752">
        <w:rPr>
          <w:rFonts w:cs="Times New Roman"/>
          <w:lang w:val="en-US"/>
        </w:rPr>
        <w:t xml:space="preserve">This construction is very common in Aristophanes (about 50 instances). In prose, Herodotus includes 14 examples, of which 5 exhibit the iterative imperfect in -σκον. Xenophon includes about 12 instances. In Archilochus (fr. 27.2), and Hipponax, this construction is inserted in a subordinate clause, but there are no certain examples in subordinate clauses of the classical period. In the </w:t>
      </w:r>
      <w:r w:rsidRPr="00881752">
        <w:rPr>
          <w:rFonts w:cs="Times New Roman"/>
          <w:i/>
          <w:iCs/>
          <w:lang w:val="en-US"/>
        </w:rPr>
        <w:t>Koiné</w:t>
      </w:r>
      <w:r w:rsidRPr="00881752">
        <w:rPr>
          <w:rFonts w:cs="Times New Roman"/>
          <w:lang w:val="en-US"/>
        </w:rPr>
        <w:t>, this construction is almost never used in principal sentences but it is common in subordinate clauses.</w:t>
      </w:r>
      <w:r w:rsidRPr="00881752">
        <w:rPr>
          <w:rStyle w:val="FootnoteReference"/>
          <w:rFonts w:cs="Times New Roman"/>
          <w:lang w:val="en-US"/>
        </w:rPr>
        <w:footnoteReference w:id="163"/>
      </w:r>
      <w:r w:rsidRPr="00881752">
        <w:rPr>
          <w:rFonts w:cs="Times New Roman"/>
          <w:lang w:val="en-US"/>
        </w:rPr>
        <w:t xml:space="preserve"> The fragmentary state of Callimachus</w:t>
      </w:r>
      <w:r w:rsidR="00075F5F">
        <w:rPr>
          <w:rFonts w:cs="Times New Roman"/>
          <w:lang w:val="en-US"/>
        </w:rPr>
        <w:t>’</w:t>
      </w:r>
      <w:r w:rsidRPr="00881752">
        <w:rPr>
          <w:rFonts w:cs="Times New Roman"/>
          <w:lang w:val="en-US"/>
        </w:rPr>
        <w:t xml:space="preserve"> text makes it impossible to be sure whether this construction</w:t>
      </w:r>
      <w:r w:rsidR="00075F5F">
        <w:rPr>
          <w:rFonts w:cs="Times New Roman"/>
          <w:lang w:val="en-US"/>
        </w:rPr>
        <w:t>’</w:t>
      </w:r>
      <w:r w:rsidRPr="00881752">
        <w:rPr>
          <w:rFonts w:cs="Times New Roman"/>
          <w:lang w:val="en-US"/>
        </w:rPr>
        <w:t>s use there is principal or subordinate. This construction is perhaps Ionic in origin, and in Attic at any rate seems to have a colloquial flavour.</w:t>
      </w:r>
      <w:r w:rsidRPr="00881752">
        <w:rPr>
          <w:rStyle w:val="FootnoteReference"/>
          <w:rFonts w:cs="Times New Roman"/>
          <w:lang w:val="en-US"/>
        </w:rPr>
        <w:footnoteReference w:id="164"/>
      </w:r>
    </w:p>
    <w:p w14:paraId="19F97BD9" w14:textId="77777777" w:rsidR="00272F31" w:rsidRPr="00881752" w:rsidRDefault="00272F31">
      <w:pPr>
        <w:pStyle w:val="ListParagraph"/>
        <w:numPr>
          <w:ilvl w:val="0"/>
          <w:numId w:val="7"/>
        </w:numPr>
        <w:ind w:left="426" w:hanging="284"/>
        <w:rPr>
          <w:bCs/>
        </w:rPr>
      </w:pPr>
      <w:r w:rsidRPr="00881752">
        <w:rPr>
          <w:bCs/>
        </w:rPr>
        <w:t>ἄν with present subjunctive referring to present time:</w:t>
      </w:r>
    </w:p>
    <w:p w14:paraId="1310FE77" w14:textId="77777777" w:rsidR="00272F31" w:rsidRPr="00881752" w:rsidRDefault="00272F31">
      <w:pPr>
        <w:pStyle w:val="ListParagraph"/>
        <w:numPr>
          <w:ilvl w:val="0"/>
          <w:numId w:val="9"/>
        </w:numPr>
        <w:ind w:left="709" w:hanging="283"/>
        <w:rPr>
          <w:bCs/>
        </w:rPr>
      </w:pPr>
      <w:r w:rsidRPr="00881752">
        <w:rPr>
          <w:bCs/>
        </w:rPr>
        <w:t>Archil. fr. 3.2</w:t>
      </w:r>
    </w:p>
    <w:p w14:paraId="0DFECB6A" w14:textId="77777777" w:rsidR="00272F31" w:rsidRPr="00881752" w:rsidRDefault="00272F31">
      <w:pPr>
        <w:pStyle w:val="ListParagraph"/>
        <w:numPr>
          <w:ilvl w:val="0"/>
          <w:numId w:val="9"/>
        </w:numPr>
        <w:ind w:left="709" w:hanging="283"/>
        <w:rPr>
          <w:bCs/>
        </w:rPr>
      </w:pPr>
      <w:r w:rsidRPr="00881752">
        <w:rPr>
          <w:bCs/>
        </w:rPr>
        <w:t>Hippon. frs. 38.1; 39.6</w:t>
      </w:r>
    </w:p>
    <w:p w14:paraId="02CE4D1F" w14:textId="77777777" w:rsidR="00272F31" w:rsidRPr="00881752" w:rsidRDefault="00272F31">
      <w:pPr>
        <w:pStyle w:val="ListParagraph"/>
        <w:numPr>
          <w:ilvl w:val="0"/>
          <w:numId w:val="9"/>
        </w:numPr>
        <w:ind w:left="709" w:hanging="283"/>
        <w:rPr>
          <w:bCs/>
        </w:rPr>
      </w:pPr>
      <w:r w:rsidRPr="00881752">
        <w:rPr>
          <w:bCs/>
        </w:rPr>
        <w:t xml:space="preserve">Call. </w:t>
      </w:r>
      <w:r w:rsidRPr="00881752">
        <w:rPr>
          <w:bCs/>
          <w:i/>
        </w:rPr>
        <w:t>Ia.</w:t>
      </w:r>
      <w:r w:rsidRPr="00881752">
        <w:rPr>
          <w:bCs/>
        </w:rPr>
        <w:t xml:space="preserve"> 1.78; 13.20</w:t>
      </w:r>
    </w:p>
    <w:p w14:paraId="3F7146CC" w14:textId="467C293D" w:rsidR="00272F31" w:rsidRPr="00881752" w:rsidRDefault="004E24A1">
      <w:pPr>
        <w:tabs>
          <w:tab w:val="center" w:pos="5387"/>
        </w:tabs>
        <w:ind w:left="426"/>
        <w:rPr>
          <w:rFonts w:cs="Times New Roman"/>
          <w:lang w:val="en-US"/>
        </w:rPr>
      </w:pPr>
      <w:r w:rsidRPr="00881752">
        <w:rPr>
          <w:rFonts w:cs="Times New Roman"/>
          <w:lang w:val="en-US"/>
        </w:rPr>
        <w:t>This use seems distinct from the Homeric optative, referring to present or past unfulfilled conditions. It appears instead to derive from the ordinary potential optative, referring to the future. To say that something would on investigation turn out to be true is equivalent to saying that it is true now or was true in the past. The use of a tentative form of expression to denote what is not considered open to doubt is characteristic of Attic meiosis, with parallels in colloquial English. The idiom was apparently introduced by the archaic iambographers, but doubt remains about how far it can be regarded as colloquial in the classical period, as it occurs twice in Sophocles where colloquial expressions would not be expected. In the fourth century, however, it certainly seems conversational in tone and is found again in papyri from Egypt.</w:t>
      </w:r>
    </w:p>
    <w:p w14:paraId="77B5E436" w14:textId="77777777" w:rsidR="00272F31" w:rsidRPr="00881752" w:rsidRDefault="00272F31">
      <w:pPr>
        <w:pStyle w:val="ListParagraph"/>
        <w:numPr>
          <w:ilvl w:val="0"/>
          <w:numId w:val="7"/>
        </w:numPr>
        <w:ind w:left="426" w:hanging="284"/>
        <w:rPr>
          <w:bCs/>
        </w:rPr>
      </w:pPr>
      <w:r w:rsidRPr="00881752">
        <w:rPr>
          <w:bCs/>
        </w:rPr>
        <w:lastRenderedPageBreak/>
        <w:t xml:space="preserve">The genitive in exclamations: </w:t>
      </w:r>
    </w:p>
    <w:p w14:paraId="1800F63D" w14:textId="77777777" w:rsidR="00272F31" w:rsidRPr="00881752" w:rsidRDefault="00272F31">
      <w:pPr>
        <w:pStyle w:val="ListParagraph"/>
        <w:numPr>
          <w:ilvl w:val="0"/>
          <w:numId w:val="10"/>
        </w:numPr>
        <w:ind w:left="709" w:hanging="283"/>
        <w:rPr>
          <w:bCs/>
        </w:rPr>
      </w:pPr>
      <w:r w:rsidRPr="00881752">
        <w:rPr>
          <w:bCs/>
        </w:rPr>
        <w:t>Hippon. frs. 43.2; 48.4; 147</w:t>
      </w:r>
    </w:p>
    <w:p w14:paraId="77F33722" w14:textId="77777777" w:rsidR="00272F31" w:rsidRPr="00881752" w:rsidRDefault="00272F31">
      <w:pPr>
        <w:pStyle w:val="ListParagraph"/>
        <w:numPr>
          <w:ilvl w:val="0"/>
          <w:numId w:val="10"/>
        </w:numPr>
        <w:ind w:left="709" w:hanging="283"/>
        <w:rPr>
          <w:bCs/>
        </w:rPr>
      </w:pPr>
      <w:r w:rsidRPr="00881752">
        <w:rPr>
          <w:bCs/>
        </w:rPr>
        <w:t xml:space="preserve">Call. </w:t>
      </w:r>
      <w:r w:rsidRPr="00881752">
        <w:rPr>
          <w:bCs/>
          <w:i/>
        </w:rPr>
        <w:t>Ia.</w:t>
      </w:r>
      <w:r w:rsidRPr="00881752">
        <w:rPr>
          <w:bCs/>
        </w:rPr>
        <w:t xml:space="preserve"> 1.35</w:t>
      </w:r>
    </w:p>
    <w:p w14:paraId="4896FD4D" w14:textId="57358289" w:rsidR="00272F31" w:rsidRPr="00881752" w:rsidRDefault="004E24A1">
      <w:pPr>
        <w:pStyle w:val="ListParagraph"/>
        <w:ind w:left="426"/>
        <w:rPr>
          <w:bCs/>
        </w:rPr>
      </w:pPr>
      <w:r w:rsidRPr="00881752">
        <w:rPr>
          <w:lang w:val="en-US"/>
        </w:rPr>
        <w:t xml:space="preserve">While the causal genitive with nouns or adjectives seems to be of Hipponactean pedigree, the genitive with exclamations is an Attic usage, appearing first in Aeschylus and found not infrequently in Sophocles, Euripides, and Aristophanes (K.-G. I p. 389). The genitive alone in exclamations, or preceded by an invocation, is confined to such works as comedy, prose dialogue, and the conversational </w:t>
      </w:r>
      <w:r w:rsidRPr="00881752">
        <w:rPr>
          <w:i/>
          <w:iCs/>
          <w:lang w:val="en-US"/>
        </w:rPr>
        <w:t>Idyll</w:t>
      </w:r>
      <w:r w:rsidRPr="00881752">
        <w:rPr>
          <w:lang w:val="en-US"/>
        </w:rPr>
        <w:t xml:space="preserve"> 15 of Theocritus.</w:t>
      </w:r>
    </w:p>
    <w:p w14:paraId="638046D1" w14:textId="77777777" w:rsidR="00272F31" w:rsidRPr="00881752" w:rsidRDefault="00272F31">
      <w:pPr>
        <w:tabs>
          <w:tab w:val="center" w:pos="5387"/>
        </w:tabs>
        <w:rPr>
          <w:rFonts w:cs="Times New Roman"/>
          <w:bCs/>
          <w:i/>
          <w:szCs w:val="24"/>
        </w:rPr>
      </w:pPr>
    </w:p>
    <w:p w14:paraId="4B29A394" w14:textId="4D8BBF63" w:rsidR="00272F31" w:rsidRPr="00881752" w:rsidRDefault="00272F31">
      <w:pPr>
        <w:tabs>
          <w:tab w:val="center" w:pos="5387"/>
        </w:tabs>
        <w:rPr>
          <w:rFonts w:cs="Times New Roman"/>
          <w:bCs/>
          <w:i/>
          <w:szCs w:val="24"/>
        </w:rPr>
      </w:pPr>
      <w:r w:rsidRPr="00881752">
        <w:rPr>
          <w:rFonts w:cs="Times New Roman"/>
          <w:bCs/>
          <w:i/>
          <w:szCs w:val="24"/>
        </w:rPr>
        <w:t>Stylistic Features</w:t>
      </w:r>
    </w:p>
    <w:p w14:paraId="177554F0" w14:textId="51508805" w:rsidR="00272F31" w:rsidRPr="00881752" w:rsidRDefault="004E24A1">
      <w:pPr>
        <w:pStyle w:val="ListParagraph"/>
        <w:numPr>
          <w:ilvl w:val="0"/>
          <w:numId w:val="7"/>
        </w:numPr>
        <w:ind w:left="426" w:hanging="284"/>
      </w:pPr>
      <w:r w:rsidRPr="00881752">
        <w:rPr>
          <w:lang w:val="en-US"/>
        </w:rPr>
        <w:t>Expressive addresses: in Greek, the basic, unmarked address is always the addressee</w:t>
      </w:r>
      <w:r w:rsidR="00075F5F">
        <w:rPr>
          <w:lang w:val="en-US"/>
        </w:rPr>
        <w:t>’</w:t>
      </w:r>
      <w:r w:rsidRPr="00881752">
        <w:rPr>
          <w:lang w:val="en-US"/>
        </w:rPr>
        <w:t>s name unless the addressee is a woman, a child, a slave, a foreigner, or a close relative of the speaker. It follows that, as long as speakers are dealing with adult male citizens unrelated to themselves (as is most often the case in extant literature), the address system is very simple, using the addressee</w:t>
      </w:r>
      <w:r w:rsidR="00075F5F">
        <w:rPr>
          <w:lang w:val="en-US"/>
        </w:rPr>
        <w:t>’</w:t>
      </w:r>
      <w:r w:rsidRPr="00881752">
        <w:rPr>
          <w:lang w:val="en-US"/>
        </w:rPr>
        <w:t>s name alone unless some particular feeling needed to be conveyed.</w:t>
      </w:r>
      <w:r w:rsidRPr="00881752">
        <w:rPr>
          <w:rStyle w:val="FootnoteReference"/>
          <w:lang w:val="en-US"/>
        </w:rPr>
        <w:footnoteReference w:id="165"/>
      </w:r>
      <w:r w:rsidRPr="00881752">
        <w:rPr>
          <w:lang w:val="en-US"/>
        </w:rPr>
        <w:t xml:space="preserve"> Any departure from this system would communicate a particular attitude or emotion; in iambs, the most obvious example of such a departure is the insult, involving terms with a specifically offensive lexical meaning.</w:t>
      </w:r>
    </w:p>
    <w:p w14:paraId="0B482B72" w14:textId="77777777" w:rsidR="00272F31" w:rsidRPr="00881752" w:rsidRDefault="00272F31">
      <w:pPr>
        <w:pStyle w:val="ListParagraph"/>
        <w:numPr>
          <w:ilvl w:val="0"/>
          <w:numId w:val="11"/>
        </w:numPr>
        <w:ind w:left="709" w:hanging="283"/>
      </w:pPr>
      <w:r w:rsidRPr="00881752">
        <w:t xml:space="preserve">Archil. fr. 166: </w:t>
      </w:r>
      <w:r w:rsidRPr="00881752">
        <w:rPr>
          <w:u w:val="single"/>
        </w:rPr>
        <w:t>πάτερ</w:t>
      </w:r>
      <w:r w:rsidRPr="00881752">
        <w:t xml:space="preserve"> Λυκάμβα</w:t>
      </w:r>
    </w:p>
    <w:p w14:paraId="6AB766FD" w14:textId="77777777" w:rsidR="00272F31" w:rsidRPr="00881752" w:rsidRDefault="00272F31">
      <w:pPr>
        <w:pStyle w:val="ListParagraph"/>
        <w:numPr>
          <w:ilvl w:val="0"/>
          <w:numId w:val="12"/>
        </w:numPr>
        <w:ind w:left="709" w:hanging="283"/>
      </w:pPr>
      <w:r w:rsidRPr="00881752">
        <w:t xml:space="preserve">Hippon. fr. 39: Μιμνῆ </w:t>
      </w:r>
      <w:r w:rsidRPr="00881752">
        <w:rPr>
          <w:u w:val="single"/>
        </w:rPr>
        <w:t>κατωμόχανε</w:t>
      </w:r>
    </w:p>
    <w:p w14:paraId="18F6E90E" w14:textId="77777777" w:rsidR="00272F31" w:rsidRPr="00881752" w:rsidRDefault="00272F31">
      <w:pPr>
        <w:pStyle w:val="ListParagraph"/>
        <w:numPr>
          <w:ilvl w:val="0"/>
          <w:numId w:val="12"/>
        </w:numPr>
        <w:ind w:left="709" w:hanging="283"/>
      </w:pPr>
      <w:r w:rsidRPr="00881752">
        <w:t xml:space="preserve">Call. </w:t>
      </w:r>
      <w:r w:rsidRPr="00881752">
        <w:rPr>
          <w:i/>
        </w:rPr>
        <w:t>Ia.</w:t>
      </w:r>
      <w:r w:rsidRPr="00881752">
        <w:t xml:space="preserve"> 4.18, 28, 40: </w:t>
      </w:r>
      <w:r w:rsidRPr="00881752">
        <w:rPr>
          <w:u w:val="single"/>
        </w:rPr>
        <w:t>ὤφρων</w:t>
      </w:r>
      <w:r w:rsidRPr="00881752">
        <w:t xml:space="preserve"> ἐλαίη</w:t>
      </w:r>
    </w:p>
    <w:p w14:paraId="5E44A09E" w14:textId="7C5F7A53" w:rsidR="00272F31" w:rsidRPr="00881752" w:rsidRDefault="004E24A1" w:rsidP="00F56C73">
      <w:pPr>
        <w:widowControl w:val="0"/>
        <w:numPr>
          <w:ilvl w:val="0"/>
          <w:numId w:val="179"/>
        </w:numPr>
        <w:tabs>
          <w:tab w:val="center" w:pos="5387"/>
        </w:tabs>
        <w:spacing w:after="120"/>
        <w:ind w:left="426" w:hanging="284"/>
        <w:rPr>
          <w:rFonts w:cs="Times New Roman"/>
          <w:lang w:val="en-US"/>
        </w:rPr>
      </w:pPr>
      <w:r w:rsidRPr="00881752">
        <w:rPr>
          <w:rFonts w:cs="Times New Roman"/>
          <w:lang w:val="en-US"/>
        </w:rPr>
        <w:t xml:space="preserve">Chiasmus: iambic texts exhibit significant incidence of </w:t>
      </w:r>
      <w:r w:rsidRPr="00881752">
        <w:rPr>
          <w:rFonts w:cs="Times New Roman"/>
          <w:i/>
          <w:iCs/>
          <w:lang w:val="en-US"/>
        </w:rPr>
        <w:t>chiasmi</w:t>
      </w:r>
      <w:r w:rsidRPr="00881752">
        <w:rPr>
          <w:rFonts w:cs="Times New Roman"/>
          <w:lang w:val="en-US"/>
        </w:rPr>
        <w:t>, especially in contexts of direct speech. Here, I refer to the two major concepts of present-day pragmatics, topic and focus. In her study of Greek word-order, Helma Dik</w:t>
      </w:r>
      <w:r w:rsidRPr="00881752">
        <w:rPr>
          <w:rStyle w:val="FootnoteReference"/>
          <w:rFonts w:cs="Times New Roman"/>
          <w:lang w:val="en-US"/>
        </w:rPr>
        <w:footnoteReference w:id="166"/>
      </w:r>
      <w:r w:rsidRPr="00881752">
        <w:rPr>
          <w:rFonts w:cs="Times New Roman"/>
          <w:lang w:val="en-US"/>
        </w:rPr>
        <w:t xml:space="preserve"> showed that the standard order of the Greek main clause is Topic-Focus-Predicate. I argue that chiasmus was perceived by the iambographers as a feature of colloquial spoken language. Slings tried to show that anaphora, chiasmus and antithesis are all features of natural language use but must sometimes be interpreted as </w:t>
      </w:r>
      <w:r w:rsidR="00CC0615">
        <w:rPr>
          <w:rFonts w:cs="Times New Roman"/>
          <w:lang w:val="en-US"/>
        </w:rPr>
        <w:t>“</w:t>
      </w:r>
      <w:r w:rsidRPr="00881752">
        <w:rPr>
          <w:rFonts w:cs="Times New Roman"/>
          <w:lang w:val="en-US"/>
        </w:rPr>
        <w:t>literary,</w:t>
      </w:r>
      <w:r w:rsidR="00CC0615">
        <w:rPr>
          <w:rFonts w:cs="Times New Roman"/>
          <w:lang w:val="en-US"/>
        </w:rPr>
        <w:t>”</w:t>
      </w:r>
      <w:r w:rsidRPr="00881752">
        <w:rPr>
          <w:rFonts w:cs="Times New Roman"/>
          <w:lang w:val="en-US"/>
        </w:rPr>
        <w:t xml:space="preserve"> where the requirements for their use in natural language are not met.</w:t>
      </w:r>
      <w:r w:rsidRPr="00881752">
        <w:rPr>
          <w:rStyle w:val="FootnoteReference"/>
          <w:rFonts w:cs="Times New Roman"/>
          <w:lang w:val="en-US"/>
        </w:rPr>
        <w:footnoteReference w:id="167"/>
      </w:r>
      <w:r w:rsidRPr="00881752">
        <w:rPr>
          <w:rFonts w:cs="Times New Roman"/>
          <w:lang w:val="en-US"/>
        </w:rPr>
        <w:t xml:space="preserve"> Moreover, while both </w:t>
      </w:r>
      <w:r w:rsidRPr="00881752">
        <w:rPr>
          <w:rFonts w:cs="Times New Roman"/>
          <w:lang w:val="en-US"/>
        </w:rPr>
        <w:lastRenderedPageBreak/>
        <w:t>chiasmus and antithesis are treated as figures of speech by modern commentators, antithesis was treated as such from the fourth century BC onwards (chiasmus hardly ever).</w:t>
      </w:r>
      <w:r w:rsidRPr="00881752">
        <w:rPr>
          <w:rStyle w:val="FootnoteReference"/>
          <w:rFonts w:cs="Times New Roman"/>
          <w:lang w:val="en-US"/>
        </w:rPr>
        <w:footnoteReference w:id="168"/>
      </w:r>
      <w:r w:rsidRPr="00881752">
        <w:rPr>
          <w:rFonts w:cs="Times New Roman"/>
          <w:lang w:val="en-US"/>
        </w:rPr>
        <w:t xml:space="preserve"> In epic and lyric poetry, antithesis is more common than chiasmus, but this is not the case in inscriptions. I therefore contend that chiasmus is considered by iambographers to belong to the spoken colloquial language, and is used to confer on their poetry a touch of everyday language. The structure of </w:t>
      </w:r>
      <w:r w:rsidRPr="00881752">
        <w:rPr>
          <w:rFonts w:cs="Times New Roman"/>
          <w:i/>
          <w:iCs/>
          <w:lang w:val="en-US"/>
        </w:rPr>
        <w:t>chiasmus</w:t>
      </w:r>
      <w:r w:rsidRPr="00881752">
        <w:rPr>
          <w:rFonts w:cs="Times New Roman"/>
          <w:lang w:val="en-US"/>
        </w:rPr>
        <w:t xml:space="preserve"> implies the sequence A-B, B</w:t>
      </w:r>
      <w:r w:rsidRPr="00881752">
        <w:rPr>
          <w:rFonts w:cs="Times New Roman"/>
          <w:vertAlign w:val="superscript"/>
          <w:lang w:val="en-US"/>
        </w:rPr>
        <w:t>1</w:t>
      </w:r>
      <w:r w:rsidRPr="00881752">
        <w:rPr>
          <w:rFonts w:cs="Times New Roman"/>
          <w:lang w:val="en-US"/>
        </w:rPr>
        <w:t>-A</w:t>
      </w:r>
      <w:r w:rsidRPr="00881752">
        <w:rPr>
          <w:rFonts w:cs="Times New Roman"/>
          <w:vertAlign w:val="superscript"/>
          <w:lang w:val="en-US"/>
        </w:rPr>
        <w:t>1</w:t>
      </w:r>
      <w:r w:rsidRPr="00881752">
        <w:rPr>
          <w:rFonts w:cs="Times New Roman"/>
          <w:lang w:val="en-US"/>
        </w:rPr>
        <w:t>, as shown by the following examples:</w:t>
      </w:r>
    </w:p>
    <w:p w14:paraId="09D2C36A" w14:textId="77777777" w:rsidR="00272F31" w:rsidRPr="004068A8" w:rsidRDefault="00272F31" w:rsidP="00F56C73">
      <w:pPr>
        <w:pStyle w:val="ListParagraph"/>
        <w:numPr>
          <w:ilvl w:val="0"/>
          <w:numId w:val="13"/>
        </w:numPr>
        <w:ind w:left="709" w:hanging="284"/>
        <w:contextualSpacing w:val="0"/>
        <w:rPr>
          <w:szCs w:val="22"/>
        </w:rPr>
      </w:pPr>
      <w:r w:rsidRPr="00881752">
        <w:t xml:space="preserve">Archil. fr. 108: </w:t>
      </w:r>
    </w:p>
    <w:p w14:paraId="1D635757" w14:textId="77777777" w:rsidR="004068A8" w:rsidRPr="00881752" w:rsidRDefault="004068A8" w:rsidP="00F56C73">
      <w:pPr>
        <w:pStyle w:val="ListParagraph"/>
        <w:ind w:left="709"/>
        <w:contextualSpacing w:val="0"/>
        <w:rPr>
          <w:rStyle w:val="primaryw"/>
          <w:szCs w:val="22"/>
        </w:rPr>
      </w:pPr>
    </w:p>
    <w:tbl>
      <w:tblPr>
        <w:tblStyle w:val="TableGrid"/>
        <w:tblW w:w="0" w:type="auto"/>
        <w:tblInd w:w="6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02"/>
        <w:gridCol w:w="3969"/>
      </w:tblGrid>
      <w:tr w:rsidR="00272F31" w:rsidRPr="00881752" w14:paraId="254EF41C" w14:textId="77777777" w:rsidTr="00D630EB">
        <w:tc>
          <w:tcPr>
            <w:tcW w:w="3402" w:type="dxa"/>
          </w:tcPr>
          <w:p w14:paraId="759F7034" w14:textId="39B14D38" w:rsidR="00272F31" w:rsidRPr="00881752" w:rsidRDefault="00272F31" w:rsidP="00D630EB">
            <w:pPr>
              <w:pStyle w:val="ListParagraph"/>
              <w:spacing w:line="280" w:lineRule="exact"/>
              <w:ind w:left="-250" w:firstLine="250"/>
              <w:rPr>
                <w:rStyle w:val="primaryw"/>
                <w:sz w:val="22"/>
                <w:szCs w:val="22"/>
              </w:rPr>
            </w:pPr>
            <w:r w:rsidRPr="00881752">
              <w:rPr>
                <w:sz w:val="22"/>
                <w:szCs w:val="22"/>
              </w:rPr>
              <w:t>φρονέουσι τοῖ</w:t>
            </w:r>
            <w:r w:rsidR="00075F5F">
              <w:rPr>
                <w:sz w:val="22"/>
                <w:szCs w:val="22"/>
              </w:rPr>
              <w:t>’</w:t>
            </w:r>
            <w:r w:rsidRPr="00881752">
              <w:rPr>
                <w:sz w:val="22"/>
                <w:szCs w:val="22"/>
              </w:rPr>
              <w:t xml:space="preserve"> ὁποίοις</w:t>
            </w:r>
            <w:r w:rsidRPr="00881752">
              <w:rPr>
                <w:rStyle w:val="apple-converted-space"/>
                <w:sz w:val="22"/>
                <w:szCs w:val="22"/>
              </w:rPr>
              <w:t> </w:t>
            </w:r>
            <w:r w:rsidRPr="00881752">
              <w:rPr>
                <w:rStyle w:val="primaryw"/>
                <w:sz w:val="22"/>
                <w:szCs w:val="22"/>
              </w:rPr>
              <w:t>ἐγκυρέωσιν</w:t>
            </w:r>
          </w:p>
        </w:tc>
        <w:tc>
          <w:tcPr>
            <w:tcW w:w="3969" w:type="dxa"/>
          </w:tcPr>
          <w:p w14:paraId="00A06BA9" w14:textId="77777777" w:rsidR="00272F31" w:rsidRPr="00881752" w:rsidRDefault="00272F31" w:rsidP="0098600F">
            <w:pPr>
              <w:pStyle w:val="ListParagraph"/>
              <w:spacing w:line="280" w:lineRule="exact"/>
              <w:rPr>
                <w:rStyle w:val="primaryw"/>
                <w:sz w:val="22"/>
                <w:szCs w:val="22"/>
              </w:rPr>
            </w:pPr>
            <w:r w:rsidRPr="00881752">
              <w:rPr>
                <w:rStyle w:val="primaryw"/>
                <w:sz w:val="22"/>
                <w:szCs w:val="22"/>
              </w:rPr>
              <w:t xml:space="preserve">and their thoughts match whatever events they encounter </w:t>
            </w:r>
          </w:p>
        </w:tc>
      </w:tr>
    </w:tbl>
    <w:p w14:paraId="60F7951C" w14:textId="77777777" w:rsidR="00272F31" w:rsidRPr="00881752" w:rsidRDefault="00272F31" w:rsidP="0080186C">
      <w:pPr>
        <w:tabs>
          <w:tab w:val="center" w:pos="5387"/>
        </w:tabs>
        <w:rPr>
          <w:rStyle w:val="primaryw"/>
          <w:rFonts w:cs="Times New Roman"/>
          <w:szCs w:val="24"/>
        </w:rPr>
      </w:pPr>
    </w:p>
    <w:tbl>
      <w:tblPr>
        <w:tblStyle w:val="TableGrid"/>
        <w:tblW w:w="0" w:type="auto"/>
        <w:tblInd w:w="717" w:type="dxa"/>
        <w:tblLook w:val="04A0" w:firstRow="1" w:lastRow="0" w:firstColumn="1" w:lastColumn="0" w:noHBand="0" w:noVBand="1"/>
      </w:tblPr>
      <w:tblGrid>
        <w:gridCol w:w="737"/>
        <w:gridCol w:w="1559"/>
        <w:gridCol w:w="1559"/>
        <w:gridCol w:w="1518"/>
        <w:gridCol w:w="1956"/>
      </w:tblGrid>
      <w:tr w:rsidR="00272F31" w:rsidRPr="00881752" w14:paraId="0B1CBAEA" w14:textId="77777777" w:rsidTr="0013179E">
        <w:tc>
          <w:tcPr>
            <w:tcW w:w="737" w:type="dxa"/>
            <w:tcBorders>
              <w:top w:val="nil"/>
              <w:left w:val="nil"/>
              <w:bottom w:val="nil"/>
            </w:tcBorders>
          </w:tcPr>
          <w:p w14:paraId="15204EB2" w14:textId="77777777" w:rsidR="00272F31" w:rsidRPr="00881752" w:rsidRDefault="00272F31" w:rsidP="00D630EB">
            <w:pPr>
              <w:spacing w:line="276" w:lineRule="auto"/>
              <w:ind w:left="-434" w:firstLine="434"/>
              <w:rPr>
                <w:rStyle w:val="primaryw"/>
                <w:rFonts w:cs="Times New Roman"/>
                <w:szCs w:val="24"/>
              </w:rPr>
            </w:pPr>
          </w:p>
        </w:tc>
        <w:tc>
          <w:tcPr>
            <w:tcW w:w="1559" w:type="dxa"/>
          </w:tcPr>
          <w:p w14:paraId="1377B3AC"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A</w:t>
            </w:r>
          </w:p>
        </w:tc>
        <w:tc>
          <w:tcPr>
            <w:tcW w:w="1559" w:type="dxa"/>
          </w:tcPr>
          <w:p w14:paraId="72347904"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B</w:t>
            </w:r>
          </w:p>
        </w:tc>
        <w:tc>
          <w:tcPr>
            <w:tcW w:w="1518" w:type="dxa"/>
          </w:tcPr>
          <w:p w14:paraId="62137CBF" w14:textId="77777777" w:rsidR="00272F31" w:rsidRPr="00881752" w:rsidRDefault="00272F31" w:rsidP="00D630EB">
            <w:pPr>
              <w:spacing w:line="276" w:lineRule="auto"/>
              <w:ind w:left="-434" w:firstLine="434"/>
              <w:rPr>
                <w:rStyle w:val="primaryw"/>
                <w:rFonts w:cs="Times New Roman"/>
                <w:szCs w:val="24"/>
                <w:vertAlign w:val="superscript"/>
              </w:rPr>
            </w:pPr>
            <w:r w:rsidRPr="00881752">
              <w:rPr>
                <w:rStyle w:val="primaryw"/>
                <w:rFonts w:cs="Times New Roman"/>
                <w:szCs w:val="24"/>
              </w:rPr>
              <w:t>B</w:t>
            </w:r>
            <w:r w:rsidRPr="00881752">
              <w:rPr>
                <w:rStyle w:val="primaryw"/>
                <w:rFonts w:cs="Times New Roman"/>
                <w:szCs w:val="24"/>
                <w:vertAlign w:val="superscript"/>
              </w:rPr>
              <w:t>1</w:t>
            </w:r>
          </w:p>
        </w:tc>
        <w:tc>
          <w:tcPr>
            <w:tcW w:w="1956" w:type="dxa"/>
          </w:tcPr>
          <w:p w14:paraId="20A5939D" w14:textId="77777777" w:rsidR="00272F31" w:rsidRPr="00881752" w:rsidRDefault="00272F31" w:rsidP="00D630EB">
            <w:pPr>
              <w:spacing w:line="276" w:lineRule="auto"/>
              <w:ind w:left="-434" w:firstLine="434"/>
              <w:rPr>
                <w:rStyle w:val="primaryw"/>
                <w:rFonts w:cs="Times New Roman"/>
                <w:szCs w:val="24"/>
                <w:vertAlign w:val="superscript"/>
              </w:rPr>
            </w:pPr>
            <w:r w:rsidRPr="00881752">
              <w:rPr>
                <w:rStyle w:val="primaryw"/>
                <w:rFonts w:cs="Times New Roman"/>
                <w:szCs w:val="24"/>
              </w:rPr>
              <w:t>A</w:t>
            </w:r>
            <w:r w:rsidRPr="00881752">
              <w:rPr>
                <w:rStyle w:val="primaryw"/>
                <w:rFonts w:cs="Times New Roman"/>
                <w:szCs w:val="24"/>
                <w:vertAlign w:val="superscript"/>
              </w:rPr>
              <w:t>1</w:t>
            </w:r>
          </w:p>
        </w:tc>
      </w:tr>
      <w:tr w:rsidR="00272F31" w:rsidRPr="00881752" w14:paraId="4E62B266" w14:textId="77777777" w:rsidTr="0013179E">
        <w:tc>
          <w:tcPr>
            <w:tcW w:w="737" w:type="dxa"/>
            <w:tcBorders>
              <w:top w:val="nil"/>
              <w:left w:val="nil"/>
            </w:tcBorders>
          </w:tcPr>
          <w:p w14:paraId="683B646B" w14:textId="77777777" w:rsidR="00272F31" w:rsidRPr="00881752" w:rsidRDefault="00272F31" w:rsidP="00D630EB">
            <w:pPr>
              <w:spacing w:line="276" w:lineRule="auto"/>
              <w:ind w:left="-434" w:firstLine="434"/>
              <w:rPr>
                <w:rFonts w:cs="Times New Roman"/>
                <w:sz w:val="20"/>
                <w:szCs w:val="24"/>
              </w:rPr>
            </w:pPr>
          </w:p>
        </w:tc>
        <w:tc>
          <w:tcPr>
            <w:tcW w:w="1559" w:type="dxa"/>
          </w:tcPr>
          <w:p w14:paraId="49884CAA" w14:textId="77777777" w:rsidR="00272F31" w:rsidRPr="00881752" w:rsidRDefault="00272F31" w:rsidP="00D630EB">
            <w:pPr>
              <w:spacing w:line="276" w:lineRule="auto"/>
              <w:ind w:left="-434" w:firstLine="434"/>
              <w:rPr>
                <w:rStyle w:val="primaryw"/>
                <w:rFonts w:cs="Times New Roman"/>
                <w:szCs w:val="24"/>
              </w:rPr>
            </w:pPr>
            <w:r w:rsidRPr="00881752">
              <w:rPr>
                <w:rFonts w:cs="Times New Roman"/>
                <w:szCs w:val="24"/>
              </w:rPr>
              <w:t>φρονέουσι</w:t>
            </w:r>
          </w:p>
        </w:tc>
        <w:tc>
          <w:tcPr>
            <w:tcW w:w="1559" w:type="dxa"/>
          </w:tcPr>
          <w:p w14:paraId="0CF1EFE6" w14:textId="3DCE9A97" w:rsidR="00272F31" w:rsidRPr="00881752" w:rsidRDefault="00272F31" w:rsidP="00D630EB">
            <w:pPr>
              <w:spacing w:line="276" w:lineRule="auto"/>
              <w:ind w:left="-434" w:firstLine="434"/>
              <w:rPr>
                <w:rStyle w:val="primaryw"/>
                <w:rFonts w:cs="Times New Roman"/>
                <w:szCs w:val="24"/>
              </w:rPr>
            </w:pPr>
            <w:r w:rsidRPr="00881752">
              <w:rPr>
                <w:rFonts w:cs="Times New Roman"/>
                <w:szCs w:val="24"/>
              </w:rPr>
              <w:t>τοῖ</w:t>
            </w:r>
            <w:r w:rsidR="00075F5F">
              <w:rPr>
                <w:rFonts w:cs="Times New Roman"/>
                <w:szCs w:val="24"/>
              </w:rPr>
              <w:t>’</w:t>
            </w:r>
          </w:p>
        </w:tc>
        <w:tc>
          <w:tcPr>
            <w:tcW w:w="1518" w:type="dxa"/>
          </w:tcPr>
          <w:p w14:paraId="388D11BD" w14:textId="77777777" w:rsidR="00272F31" w:rsidRPr="00881752" w:rsidRDefault="00272F31" w:rsidP="00D630EB">
            <w:pPr>
              <w:spacing w:line="276" w:lineRule="auto"/>
              <w:ind w:left="-434" w:firstLine="434"/>
              <w:rPr>
                <w:rStyle w:val="primaryw"/>
                <w:rFonts w:cs="Times New Roman"/>
                <w:szCs w:val="24"/>
              </w:rPr>
            </w:pPr>
            <w:r w:rsidRPr="00881752">
              <w:rPr>
                <w:rFonts w:cs="Times New Roman"/>
                <w:szCs w:val="24"/>
              </w:rPr>
              <w:t>ὁποίοις</w:t>
            </w:r>
          </w:p>
        </w:tc>
        <w:tc>
          <w:tcPr>
            <w:tcW w:w="1956" w:type="dxa"/>
          </w:tcPr>
          <w:p w14:paraId="16EE4891"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ἐγκυρέωσιν</w:t>
            </w:r>
          </w:p>
        </w:tc>
      </w:tr>
      <w:tr w:rsidR="00272F31" w:rsidRPr="00881752" w14:paraId="45455C49" w14:textId="77777777" w:rsidTr="0013179E">
        <w:tc>
          <w:tcPr>
            <w:tcW w:w="737" w:type="dxa"/>
          </w:tcPr>
          <w:p w14:paraId="3B62D716"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PL</w:t>
            </w:r>
            <w:r w:rsidRPr="00881752">
              <w:rPr>
                <w:rStyle w:val="FootnoteReference"/>
                <w:rFonts w:cs="Times New Roman"/>
                <w:szCs w:val="24"/>
              </w:rPr>
              <w:footnoteReference w:id="169"/>
            </w:r>
          </w:p>
        </w:tc>
        <w:tc>
          <w:tcPr>
            <w:tcW w:w="1559" w:type="dxa"/>
          </w:tcPr>
          <w:p w14:paraId="59E22D46"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predicate</w:t>
            </w:r>
          </w:p>
        </w:tc>
        <w:tc>
          <w:tcPr>
            <w:tcW w:w="1559" w:type="dxa"/>
          </w:tcPr>
          <w:p w14:paraId="54EFBECE"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focus</w:t>
            </w:r>
          </w:p>
        </w:tc>
        <w:tc>
          <w:tcPr>
            <w:tcW w:w="1518" w:type="dxa"/>
          </w:tcPr>
          <w:p w14:paraId="0C77BFA7"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focus</w:t>
            </w:r>
          </w:p>
        </w:tc>
        <w:tc>
          <w:tcPr>
            <w:tcW w:w="1956" w:type="dxa"/>
          </w:tcPr>
          <w:p w14:paraId="690022D6"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predicate</w:t>
            </w:r>
          </w:p>
        </w:tc>
      </w:tr>
      <w:tr w:rsidR="00272F31" w:rsidRPr="00881752" w14:paraId="48185299" w14:textId="77777777" w:rsidTr="0013179E">
        <w:tc>
          <w:tcPr>
            <w:tcW w:w="737" w:type="dxa"/>
          </w:tcPr>
          <w:p w14:paraId="10F22F9E"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SL</w:t>
            </w:r>
            <w:r w:rsidRPr="00881752">
              <w:rPr>
                <w:rStyle w:val="FootnoteReference"/>
                <w:rFonts w:cs="Times New Roman"/>
                <w:szCs w:val="24"/>
              </w:rPr>
              <w:footnoteReference w:id="170"/>
            </w:r>
          </w:p>
        </w:tc>
        <w:tc>
          <w:tcPr>
            <w:tcW w:w="1559" w:type="dxa"/>
          </w:tcPr>
          <w:p w14:paraId="361984BC"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 xml:space="preserve">verb </w:t>
            </w:r>
          </w:p>
        </w:tc>
        <w:tc>
          <w:tcPr>
            <w:tcW w:w="1559" w:type="dxa"/>
          </w:tcPr>
          <w:p w14:paraId="0C05ECF4"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noun</w:t>
            </w:r>
          </w:p>
        </w:tc>
        <w:tc>
          <w:tcPr>
            <w:tcW w:w="1518" w:type="dxa"/>
          </w:tcPr>
          <w:p w14:paraId="5A5FF926"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noun</w:t>
            </w:r>
          </w:p>
        </w:tc>
        <w:tc>
          <w:tcPr>
            <w:tcW w:w="1956" w:type="dxa"/>
          </w:tcPr>
          <w:p w14:paraId="2EE5FC99" w14:textId="77777777" w:rsidR="00272F31" w:rsidRPr="00881752" w:rsidRDefault="00272F31" w:rsidP="00D630EB">
            <w:pPr>
              <w:spacing w:line="276" w:lineRule="auto"/>
              <w:ind w:left="-434" w:firstLine="434"/>
              <w:rPr>
                <w:rStyle w:val="primaryw"/>
                <w:rFonts w:cs="Times New Roman"/>
                <w:szCs w:val="24"/>
              </w:rPr>
            </w:pPr>
            <w:r w:rsidRPr="00881752">
              <w:rPr>
                <w:rStyle w:val="primaryw"/>
                <w:rFonts w:cs="Times New Roman"/>
                <w:szCs w:val="24"/>
              </w:rPr>
              <w:t>verb</w:t>
            </w:r>
          </w:p>
        </w:tc>
      </w:tr>
    </w:tbl>
    <w:p w14:paraId="68258954" w14:textId="77777777" w:rsidR="00272F31" w:rsidRPr="00881752" w:rsidRDefault="00272F31" w:rsidP="003B1451">
      <w:pPr>
        <w:pStyle w:val="ListParagraph"/>
        <w:ind w:left="1143"/>
        <w:rPr>
          <w:rStyle w:val="primaryw"/>
        </w:rPr>
      </w:pPr>
    </w:p>
    <w:p w14:paraId="1D392D1D" w14:textId="4266476D" w:rsidR="004068A8" w:rsidRPr="00881752" w:rsidRDefault="00272F31" w:rsidP="00BC00F9">
      <w:pPr>
        <w:pStyle w:val="ListParagraph"/>
        <w:keepNext/>
        <w:numPr>
          <w:ilvl w:val="0"/>
          <w:numId w:val="14"/>
        </w:numPr>
        <w:spacing w:after="240"/>
        <w:ind w:left="709" w:hanging="284"/>
        <w:contextualSpacing w:val="0"/>
        <w:rPr>
          <w:rStyle w:val="txt"/>
        </w:rPr>
      </w:pPr>
      <w:r w:rsidRPr="00881752">
        <w:t xml:space="preserve">Hippon. fr. 43: </w:t>
      </w:r>
    </w:p>
    <w:tbl>
      <w:tblPr>
        <w:tblStyle w:val="TableGrid"/>
        <w:tblW w:w="0" w:type="auto"/>
        <w:tblInd w:w="6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83"/>
        <w:gridCol w:w="3788"/>
      </w:tblGrid>
      <w:tr w:rsidR="00272F31" w:rsidRPr="00881752" w14:paraId="51C9589D" w14:textId="77777777" w:rsidTr="0013179E">
        <w:tc>
          <w:tcPr>
            <w:tcW w:w="3583" w:type="dxa"/>
          </w:tcPr>
          <w:p w14:paraId="40579CD0" w14:textId="77777777" w:rsidR="00272F31" w:rsidRPr="00881752" w:rsidRDefault="00272F31" w:rsidP="00342BCB">
            <w:pPr>
              <w:pStyle w:val="ListParagraph"/>
              <w:autoSpaceDE w:val="0"/>
              <w:autoSpaceDN w:val="0"/>
              <w:adjustRightInd w:val="0"/>
              <w:spacing w:line="280" w:lineRule="exact"/>
              <w:ind w:left="34" w:right="-69"/>
              <w:rPr>
                <w:rFonts w:eastAsiaTheme="minorEastAsia"/>
                <w:sz w:val="22"/>
                <w:szCs w:val="22"/>
              </w:rPr>
            </w:pPr>
            <w:r w:rsidRPr="00881752">
              <w:rPr>
                <w:rFonts w:eastAsiaTheme="minorEastAsia"/>
                <w:sz w:val="22"/>
                <w:szCs w:val="22"/>
              </w:rPr>
              <w:t>ἐμοὶ γὰρ οὐκ ἔδωκας οὔτέ κω χλαῖναν</w:t>
            </w:r>
          </w:p>
          <w:p w14:paraId="7C27B718" w14:textId="77777777" w:rsidR="00272F31" w:rsidRPr="00881752" w:rsidRDefault="00272F31" w:rsidP="00342BCB">
            <w:pPr>
              <w:pStyle w:val="ListParagraph"/>
              <w:autoSpaceDE w:val="0"/>
              <w:autoSpaceDN w:val="0"/>
              <w:adjustRightInd w:val="0"/>
              <w:spacing w:line="280" w:lineRule="exact"/>
              <w:ind w:left="34" w:right="-69"/>
              <w:rPr>
                <w:rFonts w:eastAsiaTheme="minorEastAsia"/>
                <w:sz w:val="22"/>
                <w:szCs w:val="22"/>
              </w:rPr>
            </w:pPr>
            <w:r w:rsidRPr="00881752">
              <w:rPr>
                <w:rFonts w:eastAsiaTheme="minorEastAsia"/>
                <w:sz w:val="22"/>
                <w:szCs w:val="22"/>
              </w:rPr>
              <w:t>δασεῖαν ἐν χειμῶνι φάρμακον ῥίγεος,</w:t>
            </w:r>
          </w:p>
          <w:p w14:paraId="1AA80443" w14:textId="3215230F" w:rsidR="00272F31" w:rsidRPr="00881752" w:rsidRDefault="00272F31" w:rsidP="00342BCB">
            <w:pPr>
              <w:autoSpaceDE w:val="0"/>
              <w:autoSpaceDN w:val="0"/>
              <w:adjustRightInd w:val="0"/>
              <w:spacing w:line="280" w:lineRule="exact"/>
              <w:ind w:left="34" w:right="-69"/>
              <w:rPr>
                <w:rFonts w:eastAsiaTheme="minorEastAsia" w:cs="Times New Roman"/>
                <w:sz w:val="22"/>
              </w:rPr>
            </w:pPr>
            <w:r w:rsidRPr="00881752">
              <w:rPr>
                <w:rFonts w:eastAsiaTheme="minorEastAsia" w:cs="Times New Roman"/>
                <w:sz w:val="22"/>
              </w:rPr>
              <w:t>οὔτ</w:t>
            </w:r>
            <w:r w:rsidR="00075F5F">
              <w:rPr>
                <w:rFonts w:eastAsiaTheme="minorEastAsia" w:cs="Times New Roman"/>
                <w:sz w:val="22"/>
              </w:rPr>
              <w:t>’</w:t>
            </w:r>
            <w:r w:rsidRPr="00881752">
              <w:rPr>
                <w:rFonts w:eastAsiaTheme="minorEastAsia" w:cs="Times New Roman"/>
                <w:sz w:val="22"/>
              </w:rPr>
              <w:t xml:space="preserve"> ἀσκέρηισι τοὺς πόδας δασείηισι</w:t>
            </w:r>
          </w:p>
          <w:p w14:paraId="3AB85196" w14:textId="77777777" w:rsidR="00272F31" w:rsidRPr="00881752" w:rsidRDefault="00272F31" w:rsidP="00342BCB">
            <w:pPr>
              <w:tabs>
                <w:tab w:val="center" w:pos="5387"/>
              </w:tabs>
              <w:spacing w:line="280" w:lineRule="exact"/>
              <w:ind w:left="34" w:right="-68"/>
              <w:rPr>
                <w:rStyle w:val="txt"/>
                <w:rFonts w:cs="Times New Roman"/>
                <w:sz w:val="22"/>
              </w:rPr>
            </w:pPr>
            <w:r w:rsidRPr="00881752">
              <w:rPr>
                <w:rFonts w:eastAsiaTheme="minorEastAsia" w:cs="Times New Roman"/>
                <w:sz w:val="22"/>
              </w:rPr>
              <w:t>ἔκρυψας, ὥς μοι μὴ χίμετλα ῥήγνυται.</w:t>
            </w:r>
          </w:p>
        </w:tc>
        <w:tc>
          <w:tcPr>
            <w:tcW w:w="3788" w:type="dxa"/>
          </w:tcPr>
          <w:p w14:paraId="4C1EB9C3" w14:textId="35B9CF93" w:rsidR="00272F31" w:rsidRPr="00881752" w:rsidRDefault="00272F31" w:rsidP="00342BCB">
            <w:pPr>
              <w:pStyle w:val="ListParagraph"/>
              <w:spacing w:line="280" w:lineRule="exact"/>
              <w:rPr>
                <w:rStyle w:val="txt"/>
                <w:sz w:val="22"/>
                <w:szCs w:val="22"/>
              </w:rPr>
            </w:pPr>
            <w:r w:rsidRPr="00881752">
              <w:rPr>
                <w:rStyle w:val="txt"/>
                <w:sz w:val="22"/>
                <w:szCs w:val="22"/>
              </w:rPr>
              <w:t>for you haven</w:t>
            </w:r>
            <w:r w:rsidR="00075F5F">
              <w:rPr>
                <w:rStyle w:val="txt"/>
                <w:sz w:val="22"/>
                <w:szCs w:val="22"/>
              </w:rPr>
              <w:t>’</w:t>
            </w:r>
            <w:r w:rsidRPr="00881752">
              <w:rPr>
                <w:rStyle w:val="txt"/>
                <w:sz w:val="22"/>
                <w:szCs w:val="22"/>
              </w:rPr>
              <w:t>t yet given me a thick cloak as a remedy against the cold in winter nor have you covered my feet with thick felt shoes, so that my chilblains not burst.</w:t>
            </w:r>
          </w:p>
        </w:tc>
      </w:tr>
    </w:tbl>
    <w:p w14:paraId="345952A8" w14:textId="77777777" w:rsidR="00272F31" w:rsidRPr="00881752" w:rsidRDefault="00272F31" w:rsidP="003B1451">
      <w:pPr>
        <w:pStyle w:val="ListParagraph"/>
        <w:ind w:left="1344"/>
        <w:rPr>
          <w:rStyle w:val="txt"/>
        </w:rPr>
      </w:pPr>
    </w:p>
    <w:tbl>
      <w:tblPr>
        <w:tblStyle w:val="TableGrid"/>
        <w:tblW w:w="0" w:type="auto"/>
        <w:tblInd w:w="717" w:type="dxa"/>
        <w:tblLook w:val="04A0" w:firstRow="1" w:lastRow="0" w:firstColumn="1" w:lastColumn="0" w:noHBand="0" w:noVBand="1"/>
      </w:tblPr>
      <w:tblGrid>
        <w:gridCol w:w="735"/>
        <w:gridCol w:w="1275"/>
        <w:gridCol w:w="1843"/>
        <w:gridCol w:w="1641"/>
        <w:gridCol w:w="1835"/>
      </w:tblGrid>
      <w:tr w:rsidR="00272F31" w:rsidRPr="00881752" w14:paraId="2568694D" w14:textId="77777777" w:rsidTr="0013179E">
        <w:tc>
          <w:tcPr>
            <w:tcW w:w="735" w:type="dxa"/>
            <w:tcBorders>
              <w:top w:val="nil"/>
              <w:left w:val="nil"/>
              <w:bottom w:val="nil"/>
            </w:tcBorders>
          </w:tcPr>
          <w:p w14:paraId="61C4C5C7" w14:textId="77777777" w:rsidR="00272F31" w:rsidRPr="00881752" w:rsidRDefault="00272F31" w:rsidP="00D630EB">
            <w:pPr>
              <w:spacing w:line="276" w:lineRule="auto"/>
              <w:rPr>
                <w:rStyle w:val="primaryw"/>
                <w:rFonts w:cs="Times New Roman"/>
                <w:szCs w:val="24"/>
              </w:rPr>
            </w:pPr>
          </w:p>
        </w:tc>
        <w:tc>
          <w:tcPr>
            <w:tcW w:w="1275" w:type="dxa"/>
          </w:tcPr>
          <w:p w14:paraId="54E45FD3" w14:textId="77777777" w:rsidR="00272F31" w:rsidRPr="00881752" w:rsidRDefault="00272F31" w:rsidP="00D630EB">
            <w:pPr>
              <w:spacing w:line="276" w:lineRule="auto"/>
              <w:rPr>
                <w:rStyle w:val="primaryw"/>
                <w:rFonts w:cs="Times New Roman"/>
                <w:szCs w:val="24"/>
              </w:rPr>
            </w:pPr>
            <w:r w:rsidRPr="00881752">
              <w:rPr>
                <w:rStyle w:val="primaryw"/>
                <w:rFonts w:cs="Times New Roman"/>
                <w:szCs w:val="24"/>
              </w:rPr>
              <w:t>A</w:t>
            </w:r>
          </w:p>
        </w:tc>
        <w:tc>
          <w:tcPr>
            <w:tcW w:w="1843" w:type="dxa"/>
          </w:tcPr>
          <w:p w14:paraId="583CF725" w14:textId="77777777" w:rsidR="00272F31" w:rsidRPr="00881752" w:rsidRDefault="00272F31" w:rsidP="00D630EB">
            <w:pPr>
              <w:spacing w:line="276" w:lineRule="auto"/>
              <w:rPr>
                <w:rStyle w:val="primaryw"/>
                <w:rFonts w:cs="Times New Roman"/>
                <w:szCs w:val="24"/>
              </w:rPr>
            </w:pPr>
            <w:r w:rsidRPr="00881752">
              <w:rPr>
                <w:rStyle w:val="primaryw"/>
                <w:rFonts w:cs="Times New Roman"/>
                <w:szCs w:val="24"/>
              </w:rPr>
              <w:t>B</w:t>
            </w:r>
          </w:p>
        </w:tc>
        <w:tc>
          <w:tcPr>
            <w:tcW w:w="1641" w:type="dxa"/>
          </w:tcPr>
          <w:p w14:paraId="35E229F2" w14:textId="77777777" w:rsidR="00272F31" w:rsidRPr="00881752" w:rsidRDefault="00272F31" w:rsidP="00D630EB">
            <w:pPr>
              <w:spacing w:line="276" w:lineRule="auto"/>
              <w:rPr>
                <w:rStyle w:val="primaryw"/>
                <w:rFonts w:cs="Times New Roman"/>
                <w:szCs w:val="24"/>
                <w:vertAlign w:val="superscript"/>
              </w:rPr>
            </w:pPr>
            <w:r w:rsidRPr="00881752">
              <w:rPr>
                <w:rStyle w:val="primaryw"/>
                <w:rFonts w:cs="Times New Roman"/>
                <w:szCs w:val="24"/>
              </w:rPr>
              <w:t>B</w:t>
            </w:r>
            <w:r w:rsidRPr="00881752">
              <w:rPr>
                <w:rStyle w:val="primaryw"/>
                <w:rFonts w:cs="Times New Roman"/>
                <w:szCs w:val="24"/>
                <w:vertAlign w:val="superscript"/>
              </w:rPr>
              <w:t>1</w:t>
            </w:r>
          </w:p>
        </w:tc>
        <w:tc>
          <w:tcPr>
            <w:tcW w:w="1835" w:type="dxa"/>
          </w:tcPr>
          <w:p w14:paraId="40700B25" w14:textId="77777777" w:rsidR="00272F31" w:rsidRPr="00881752" w:rsidRDefault="00272F31" w:rsidP="00D630EB">
            <w:pPr>
              <w:spacing w:line="276" w:lineRule="auto"/>
              <w:rPr>
                <w:rStyle w:val="primaryw"/>
                <w:rFonts w:cs="Times New Roman"/>
                <w:szCs w:val="24"/>
                <w:vertAlign w:val="superscript"/>
              </w:rPr>
            </w:pPr>
            <w:r w:rsidRPr="00881752">
              <w:rPr>
                <w:rStyle w:val="primaryw"/>
                <w:rFonts w:cs="Times New Roman"/>
                <w:szCs w:val="24"/>
              </w:rPr>
              <w:t>A</w:t>
            </w:r>
            <w:r w:rsidRPr="00881752">
              <w:rPr>
                <w:rStyle w:val="primaryw"/>
                <w:rFonts w:cs="Times New Roman"/>
                <w:szCs w:val="24"/>
                <w:vertAlign w:val="superscript"/>
              </w:rPr>
              <w:t>1</w:t>
            </w:r>
          </w:p>
        </w:tc>
      </w:tr>
      <w:tr w:rsidR="00272F31" w:rsidRPr="00881752" w14:paraId="54559DA0" w14:textId="77777777" w:rsidTr="0013179E">
        <w:tc>
          <w:tcPr>
            <w:tcW w:w="735" w:type="dxa"/>
            <w:tcBorders>
              <w:top w:val="nil"/>
              <w:left w:val="nil"/>
            </w:tcBorders>
          </w:tcPr>
          <w:p w14:paraId="319C872A" w14:textId="77777777" w:rsidR="00272F31" w:rsidRPr="00881752" w:rsidRDefault="00272F31" w:rsidP="00D630EB">
            <w:pPr>
              <w:spacing w:line="276" w:lineRule="auto"/>
              <w:rPr>
                <w:rStyle w:val="txt"/>
                <w:rFonts w:cs="Times New Roman"/>
                <w:color w:val="000000"/>
                <w:szCs w:val="24"/>
              </w:rPr>
            </w:pPr>
          </w:p>
        </w:tc>
        <w:tc>
          <w:tcPr>
            <w:tcW w:w="1275" w:type="dxa"/>
          </w:tcPr>
          <w:p w14:paraId="5CFA2814" w14:textId="77777777" w:rsidR="00272F31" w:rsidRPr="00881752" w:rsidRDefault="00272F31" w:rsidP="00D630EB">
            <w:pPr>
              <w:spacing w:line="276" w:lineRule="auto"/>
              <w:rPr>
                <w:rStyle w:val="txt"/>
                <w:rFonts w:cs="Times New Roman"/>
                <w:szCs w:val="24"/>
              </w:rPr>
            </w:pPr>
            <w:r w:rsidRPr="00881752">
              <w:rPr>
                <w:rStyle w:val="txt"/>
                <w:rFonts w:cs="Times New Roman"/>
                <w:color w:val="000000"/>
                <w:szCs w:val="24"/>
              </w:rPr>
              <w:t>ἔδωκας</w:t>
            </w:r>
          </w:p>
        </w:tc>
        <w:tc>
          <w:tcPr>
            <w:tcW w:w="1843" w:type="dxa"/>
          </w:tcPr>
          <w:p w14:paraId="03E06E99" w14:textId="77777777" w:rsidR="00272F31" w:rsidRPr="00881752" w:rsidRDefault="00272F31" w:rsidP="00D630EB">
            <w:pPr>
              <w:spacing w:line="276" w:lineRule="auto"/>
              <w:rPr>
                <w:rStyle w:val="txt"/>
                <w:rFonts w:cs="Times New Roman"/>
                <w:szCs w:val="24"/>
              </w:rPr>
            </w:pPr>
            <w:r w:rsidRPr="00881752">
              <w:rPr>
                <w:rStyle w:val="txt"/>
                <w:rFonts w:cs="Times New Roman"/>
                <w:color w:val="000000"/>
                <w:szCs w:val="24"/>
              </w:rPr>
              <w:t>χλαῖναν δασεῖαν</w:t>
            </w:r>
          </w:p>
        </w:tc>
        <w:tc>
          <w:tcPr>
            <w:tcW w:w="1641" w:type="dxa"/>
          </w:tcPr>
          <w:p w14:paraId="53FF8333" w14:textId="77777777" w:rsidR="00272F31" w:rsidRPr="00881752" w:rsidRDefault="00272F31" w:rsidP="00D630EB">
            <w:pPr>
              <w:spacing w:line="276" w:lineRule="auto"/>
              <w:rPr>
                <w:rStyle w:val="txt"/>
                <w:rFonts w:cs="Times New Roman"/>
                <w:szCs w:val="24"/>
              </w:rPr>
            </w:pPr>
            <w:r w:rsidRPr="00881752">
              <w:rPr>
                <w:rStyle w:val="txt"/>
                <w:rFonts w:cs="Times New Roman"/>
                <w:color w:val="000000"/>
                <w:szCs w:val="24"/>
              </w:rPr>
              <w:t>τοὺς πόδας</w:t>
            </w:r>
          </w:p>
        </w:tc>
        <w:tc>
          <w:tcPr>
            <w:tcW w:w="1835" w:type="dxa"/>
          </w:tcPr>
          <w:p w14:paraId="0C592E65" w14:textId="77777777" w:rsidR="00272F31" w:rsidRPr="00881752" w:rsidRDefault="00272F31" w:rsidP="00D630EB">
            <w:pPr>
              <w:spacing w:line="276" w:lineRule="auto"/>
              <w:rPr>
                <w:rStyle w:val="txt"/>
                <w:rFonts w:cs="Times New Roman"/>
                <w:szCs w:val="24"/>
              </w:rPr>
            </w:pPr>
            <w:r w:rsidRPr="00881752">
              <w:rPr>
                <w:rStyle w:val="txt"/>
                <w:rFonts w:cs="Times New Roman"/>
                <w:color w:val="000000"/>
                <w:szCs w:val="24"/>
              </w:rPr>
              <w:t>ἔκρυψας</w:t>
            </w:r>
          </w:p>
        </w:tc>
      </w:tr>
      <w:tr w:rsidR="00272F31" w:rsidRPr="00881752" w14:paraId="7B2996BA" w14:textId="77777777" w:rsidTr="0013179E">
        <w:tc>
          <w:tcPr>
            <w:tcW w:w="735" w:type="dxa"/>
          </w:tcPr>
          <w:p w14:paraId="738CE128"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PL</w:t>
            </w:r>
          </w:p>
        </w:tc>
        <w:tc>
          <w:tcPr>
            <w:tcW w:w="1275" w:type="dxa"/>
          </w:tcPr>
          <w:p w14:paraId="7EA6BA28"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predicate</w:t>
            </w:r>
          </w:p>
        </w:tc>
        <w:tc>
          <w:tcPr>
            <w:tcW w:w="1843" w:type="dxa"/>
          </w:tcPr>
          <w:p w14:paraId="5D408FD5"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focus</w:t>
            </w:r>
          </w:p>
        </w:tc>
        <w:tc>
          <w:tcPr>
            <w:tcW w:w="1641" w:type="dxa"/>
          </w:tcPr>
          <w:p w14:paraId="10DACF99"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focus</w:t>
            </w:r>
          </w:p>
        </w:tc>
        <w:tc>
          <w:tcPr>
            <w:tcW w:w="1835" w:type="dxa"/>
          </w:tcPr>
          <w:p w14:paraId="355AE5AB"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predicate</w:t>
            </w:r>
          </w:p>
        </w:tc>
      </w:tr>
      <w:tr w:rsidR="00272F31" w:rsidRPr="00881752" w14:paraId="17B7F092" w14:textId="77777777" w:rsidTr="0013179E">
        <w:tc>
          <w:tcPr>
            <w:tcW w:w="735" w:type="dxa"/>
          </w:tcPr>
          <w:p w14:paraId="058853F6"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GL</w:t>
            </w:r>
          </w:p>
        </w:tc>
        <w:tc>
          <w:tcPr>
            <w:tcW w:w="1275" w:type="dxa"/>
          </w:tcPr>
          <w:p w14:paraId="5A09B78B"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 xml:space="preserve">verb </w:t>
            </w:r>
          </w:p>
        </w:tc>
        <w:tc>
          <w:tcPr>
            <w:tcW w:w="1843" w:type="dxa"/>
          </w:tcPr>
          <w:p w14:paraId="41D32BA8"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noun</w:t>
            </w:r>
          </w:p>
        </w:tc>
        <w:tc>
          <w:tcPr>
            <w:tcW w:w="1641" w:type="dxa"/>
          </w:tcPr>
          <w:p w14:paraId="5D3EB5E7"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noun</w:t>
            </w:r>
          </w:p>
        </w:tc>
        <w:tc>
          <w:tcPr>
            <w:tcW w:w="1835" w:type="dxa"/>
          </w:tcPr>
          <w:p w14:paraId="49D55202" w14:textId="77777777" w:rsidR="00272F31" w:rsidRPr="00881752" w:rsidRDefault="00272F31" w:rsidP="00D630EB">
            <w:pPr>
              <w:spacing w:line="276" w:lineRule="auto"/>
              <w:rPr>
                <w:rStyle w:val="txt"/>
                <w:rFonts w:cs="Times New Roman"/>
                <w:szCs w:val="24"/>
              </w:rPr>
            </w:pPr>
            <w:r w:rsidRPr="00881752">
              <w:rPr>
                <w:rStyle w:val="txt"/>
                <w:rFonts w:cs="Times New Roman"/>
                <w:szCs w:val="24"/>
              </w:rPr>
              <w:t>verb</w:t>
            </w:r>
          </w:p>
        </w:tc>
      </w:tr>
    </w:tbl>
    <w:p w14:paraId="7C3FBE91" w14:textId="77777777" w:rsidR="004068A8" w:rsidRDefault="004068A8" w:rsidP="00F56C73">
      <w:pPr>
        <w:pStyle w:val="ListParagraph"/>
        <w:ind w:left="709"/>
        <w:contextualSpacing w:val="0"/>
      </w:pPr>
    </w:p>
    <w:p w14:paraId="347EC3E0" w14:textId="3BDB37CB" w:rsidR="004068A8" w:rsidRPr="00881752" w:rsidRDefault="00272F31" w:rsidP="00BC00F9">
      <w:pPr>
        <w:pStyle w:val="ListParagraph"/>
        <w:numPr>
          <w:ilvl w:val="0"/>
          <w:numId w:val="14"/>
        </w:numPr>
        <w:spacing w:after="240"/>
        <w:ind w:left="709" w:hanging="284"/>
        <w:contextualSpacing w:val="0"/>
      </w:pPr>
      <w:r w:rsidRPr="00881752">
        <w:t xml:space="preserve">Call. </w:t>
      </w:r>
      <w:r w:rsidRPr="00881752">
        <w:rPr>
          <w:i/>
        </w:rPr>
        <w:t>Ia.</w:t>
      </w:r>
      <w:r w:rsidRPr="00881752">
        <w:t xml:space="preserve"> 1.78-9: </w:t>
      </w:r>
    </w:p>
    <w:tbl>
      <w:tblPr>
        <w:tblStyle w:val="TableGrid"/>
        <w:tblW w:w="7337" w:type="dxa"/>
        <w:tblInd w:w="709"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2"/>
        <w:gridCol w:w="2835"/>
      </w:tblGrid>
      <w:tr w:rsidR="0098600F" w:rsidRPr="00881752" w14:paraId="7127F497" w14:textId="77777777" w:rsidTr="0013179E">
        <w:tc>
          <w:tcPr>
            <w:tcW w:w="4502" w:type="dxa"/>
          </w:tcPr>
          <w:p w14:paraId="17395AB3" w14:textId="772E470D" w:rsidR="00E82CF1" w:rsidRPr="00227EE7" w:rsidRDefault="0098600F" w:rsidP="00D630EB">
            <w:pPr>
              <w:autoSpaceDE w:val="0"/>
              <w:autoSpaceDN w:val="0"/>
              <w:adjustRightInd w:val="0"/>
              <w:spacing w:line="280" w:lineRule="exact"/>
              <w:rPr>
                <w:rFonts w:cs="Times New Roman"/>
                <w:sz w:val="22"/>
                <w:lang w:val="el-GR"/>
              </w:rPr>
            </w:pPr>
            <w:r w:rsidRPr="00227EE7">
              <w:rPr>
                <w:rFonts w:cs="Times New Roman"/>
                <w:sz w:val="22"/>
                <w:lang w:val="el-GR"/>
              </w:rPr>
              <w:t>ἀλλ</w:t>
            </w:r>
            <w:r w:rsidR="00075F5F" w:rsidRPr="00227EE7">
              <w:rPr>
                <w:rFonts w:cs="Times New Roman"/>
                <w:sz w:val="22"/>
                <w:lang w:val="el-GR"/>
              </w:rPr>
              <w:t>’</w:t>
            </w:r>
            <w:r w:rsidRPr="00227EE7">
              <w:rPr>
                <w:rFonts w:cs="Times New Roman"/>
                <w:sz w:val="22"/>
                <w:lang w:val="el-GR"/>
              </w:rPr>
              <w:t xml:space="preserve"> ἢν ὁρῇ τις, </w:t>
            </w:r>
            <w:hyperlink r:id="rId15" w:history="1">
              <w:r w:rsidR="00075F5F" w:rsidRPr="00227EE7">
                <w:rPr>
                  <w:rFonts w:cs="Times New Roman"/>
                  <w:sz w:val="22"/>
                  <w:lang w:val="el-GR"/>
                </w:rPr>
                <w:t>‘</w:t>
              </w:r>
            </w:hyperlink>
            <w:r w:rsidRPr="00227EE7">
              <w:rPr>
                <w:rFonts w:cs="Times New Roman"/>
                <w:sz w:val="22"/>
                <w:lang w:val="el-GR"/>
              </w:rPr>
              <w:t>οὗτος Ἀλκμέων</w:t>
            </w:r>
            <w:hyperlink r:id="rId16" w:history="1">
              <w:r w:rsidR="00075F5F" w:rsidRPr="00227EE7">
                <w:rPr>
                  <w:rFonts w:cs="Times New Roman"/>
                  <w:sz w:val="22"/>
                  <w:lang w:val="el-GR"/>
                </w:rPr>
                <w:t>‘</w:t>
              </w:r>
            </w:hyperlink>
            <w:r w:rsidRPr="00227EE7">
              <w:rPr>
                <w:rFonts w:cs="Times New Roman"/>
                <w:sz w:val="22"/>
                <w:lang w:val="el-GR"/>
              </w:rPr>
              <w:t xml:space="preserve"> φήσει </w:t>
            </w:r>
          </w:p>
          <w:p w14:paraId="45567850" w14:textId="2838579C" w:rsidR="0098600F" w:rsidRPr="00881752" w:rsidRDefault="0098600F" w:rsidP="00D630EB">
            <w:pPr>
              <w:autoSpaceDE w:val="0"/>
              <w:autoSpaceDN w:val="0"/>
              <w:adjustRightInd w:val="0"/>
              <w:spacing w:line="280" w:lineRule="exact"/>
              <w:rPr>
                <w:rFonts w:cs="Times New Roman"/>
                <w:sz w:val="22"/>
              </w:rPr>
            </w:pPr>
            <w:r w:rsidRPr="00227EE7">
              <w:rPr>
                <w:rFonts w:cs="Times New Roman"/>
                <w:sz w:val="22"/>
                <w:lang w:val="el-GR"/>
              </w:rPr>
              <w:t xml:space="preserve">καὶ </w:t>
            </w:r>
            <w:hyperlink r:id="rId17" w:history="1">
              <w:r w:rsidR="00075F5F" w:rsidRPr="00227EE7">
                <w:rPr>
                  <w:rFonts w:cs="Times New Roman"/>
                  <w:sz w:val="22"/>
                  <w:lang w:val="el-GR"/>
                </w:rPr>
                <w:t>‘</w:t>
              </w:r>
            </w:hyperlink>
            <w:r w:rsidRPr="00227EE7">
              <w:rPr>
                <w:rFonts w:cs="Times New Roman"/>
                <w:sz w:val="22"/>
                <w:lang w:val="el-GR"/>
              </w:rPr>
              <w:t>φεῦγε· βάλλει· φεῦγ</w:t>
            </w:r>
            <w:r w:rsidR="00075F5F" w:rsidRPr="00227EE7">
              <w:rPr>
                <w:rFonts w:cs="Times New Roman"/>
                <w:sz w:val="22"/>
                <w:lang w:val="el-GR"/>
              </w:rPr>
              <w:t>’</w:t>
            </w:r>
            <w:hyperlink r:id="rId18" w:history="1">
              <w:r w:rsidR="00075F5F" w:rsidRPr="00227EE7">
                <w:rPr>
                  <w:rFonts w:cs="Times New Roman"/>
                  <w:sz w:val="22"/>
                  <w:lang w:val="el-GR"/>
                </w:rPr>
                <w:t>‘</w:t>
              </w:r>
            </w:hyperlink>
            <w:r w:rsidRPr="00227EE7">
              <w:rPr>
                <w:rFonts w:cs="Times New Roman"/>
                <w:sz w:val="22"/>
                <w:lang w:val="el-GR"/>
              </w:rPr>
              <w:t xml:space="preserve"> ἐρεῖ </w:t>
            </w:r>
            <w:hyperlink r:id="rId19" w:history="1">
              <w:r w:rsidR="00075F5F" w:rsidRPr="00227EE7">
                <w:rPr>
                  <w:rFonts w:cs="Times New Roman"/>
                  <w:sz w:val="22"/>
                  <w:lang w:val="el-GR"/>
                </w:rPr>
                <w:t>‘</w:t>
              </w:r>
            </w:hyperlink>
            <w:r w:rsidRPr="00227EE7">
              <w:rPr>
                <w:rFonts w:cs="Times New Roman"/>
                <w:sz w:val="22"/>
                <w:lang w:val="el-GR"/>
              </w:rPr>
              <w:t>τὸν ἄνθρωπον.</w:t>
            </w:r>
            <w:hyperlink r:id="rId20" w:history="1">
              <w:r w:rsidR="00075F5F">
                <w:rPr>
                  <w:rFonts w:cs="Times New Roman"/>
                  <w:sz w:val="22"/>
                </w:rPr>
                <w:t>‘</w:t>
              </w:r>
            </w:hyperlink>
          </w:p>
        </w:tc>
        <w:tc>
          <w:tcPr>
            <w:tcW w:w="2835" w:type="dxa"/>
          </w:tcPr>
          <w:p w14:paraId="21526636" w14:textId="566A653D" w:rsidR="0098600F" w:rsidRPr="00881752" w:rsidRDefault="0098600F" w:rsidP="00D630EB">
            <w:pPr>
              <w:pStyle w:val="ListParagraph"/>
              <w:spacing w:line="280" w:lineRule="exact"/>
              <w:ind w:firstLine="11"/>
              <w:rPr>
                <w:rStyle w:val="txt"/>
                <w:sz w:val="22"/>
                <w:szCs w:val="22"/>
              </w:rPr>
            </w:pPr>
            <w:r w:rsidRPr="00881752">
              <w:rPr>
                <w:rStyle w:val="txt"/>
                <w:sz w:val="22"/>
                <w:szCs w:val="22"/>
              </w:rPr>
              <w:t xml:space="preserve">but if someone sees, he will say, </w:t>
            </w:r>
            <w:r w:rsidR="00CC0615">
              <w:rPr>
                <w:rStyle w:val="txt"/>
                <w:sz w:val="22"/>
                <w:szCs w:val="22"/>
              </w:rPr>
              <w:t>“</w:t>
            </w:r>
            <w:r w:rsidRPr="00881752">
              <w:rPr>
                <w:rStyle w:val="txt"/>
                <w:sz w:val="22"/>
                <w:szCs w:val="22"/>
              </w:rPr>
              <w:t>This one is Alcmeon,</w:t>
            </w:r>
            <w:r w:rsidR="00CC0615">
              <w:rPr>
                <w:rStyle w:val="txt"/>
                <w:sz w:val="22"/>
                <w:szCs w:val="22"/>
              </w:rPr>
              <w:t>”</w:t>
            </w:r>
            <w:r w:rsidRPr="00881752">
              <w:rPr>
                <w:rStyle w:val="txt"/>
                <w:sz w:val="22"/>
                <w:szCs w:val="22"/>
              </w:rPr>
              <w:t xml:space="preserve"> and </w:t>
            </w:r>
            <w:r w:rsidR="00CC0615">
              <w:rPr>
                <w:rStyle w:val="txt"/>
                <w:sz w:val="22"/>
                <w:szCs w:val="22"/>
              </w:rPr>
              <w:t>“</w:t>
            </w:r>
            <w:r w:rsidRPr="00881752">
              <w:rPr>
                <w:rStyle w:val="txt"/>
                <w:sz w:val="22"/>
                <w:szCs w:val="22"/>
              </w:rPr>
              <w:t>flee</w:t>
            </w:r>
            <w:r w:rsidR="00A53A10">
              <w:rPr>
                <w:rStyle w:val="txt"/>
                <w:sz w:val="22"/>
                <w:szCs w:val="22"/>
              </w:rPr>
              <w:t xml:space="preserve"> – </w:t>
            </w:r>
            <w:r w:rsidRPr="00881752">
              <w:rPr>
                <w:rStyle w:val="txt"/>
                <w:sz w:val="22"/>
                <w:szCs w:val="22"/>
              </w:rPr>
              <w:t>he strikes</w:t>
            </w:r>
            <w:r w:rsidR="00A53A10">
              <w:rPr>
                <w:rStyle w:val="txt"/>
                <w:sz w:val="22"/>
                <w:szCs w:val="22"/>
              </w:rPr>
              <w:t xml:space="preserve"> – </w:t>
            </w:r>
            <w:r w:rsidRPr="00881752">
              <w:rPr>
                <w:rStyle w:val="txt"/>
                <w:sz w:val="22"/>
                <w:szCs w:val="22"/>
              </w:rPr>
              <w:t xml:space="preserve">flee </w:t>
            </w:r>
            <w:r w:rsidRPr="00881752">
              <w:rPr>
                <w:rStyle w:val="txt"/>
                <w:sz w:val="22"/>
                <w:szCs w:val="22"/>
              </w:rPr>
              <w:lastRenderedPageBreak/>
              <w:t>the man</w:t>
            </w:r>
            <w:r w:rsidR="00CC0615">
              <w:rPr>
                <w:rStyle w:val="txt"/>
                <w:sz w:val="22"/>
                <w:szCs w:val="22"/>
              </w:rPr>
              <w:t>”</w:t>
            </w:r>
            <w:r w:rsidRPr="00881752">
              <w:rPr>
                <w:rStyle w:val="txt"/>
                <w:sz w:val="22"/>
                <w:szCs w:val="22"/>
              </w:rPr>
              <w:t xml:space="preserve"> he will say</w:t>
            </w:r>
          </w:p>
        </w:tc>
      </w:tr>
    </w:tbl>
    <w:p w14:paraId="5C507A33" w14:textId="77777777" w:rsidR="00272F31" w:rsidRPr="00881752" w:rsidRDefault="00272F31" w:rsidP="00825A39">
      <w:pPr>
        <w:tabs>
          <w:tab w:val="center" w:pos="5387"/>
        </w:tabs>
        <w:spacing w:line="280" w:lineRule="exact"/>
        <w:rPr>
          <w:rStyle w:val="txt"/>
          <w:rFonts w:cs="Times New Roman"/>
          <w:sz w:val="20"/>
          <w:szCs w:val="20"/>
        </w:rPr>
      </w:pPr>
    </w:p>
    <w:tbl>
      <w:tblPr>
        <w:tblStyle w:val="TableGrid"/>
        <w:tblW w:w="0" w:type="auto"/>
        <w:tblInd w:w="675" w:type="dxa"/>
        <w:tblLook w:val="04A0" w:firstRow="1" w:lastRow="0" w:firstColumn="1" w:lastColumn="0" w:noHBand="0" w:noVBand="1"/>
      </w:tblPr>
      <w:tblGrid>
        <w:gridCol w:w="735"/>
        <w:gridCol w:w="1959"/>
        <w:gridCol w:w="1275"/>
        <w:gridCol w:w="1276"/>
        <w:gridCol w:w="2126"/>
      </w:tblGrid>
      <w:tr w:rsidR="00272F31" w:rsidRPr="00881752" w14:paraId="42ED4BFE" w14:textId="77777777" w:rsidTr="00D630EB">
        <w:tc>
          <w:tcPr>
            <w:tcW w:w="735" w:type="dxa"/>
            <w:tcBorders>
              <w:top w:val="nil"/>
              <w:left w:val="nil"/>
              <w:bottom w:val="nil"/>
            </w:tcBorders>
          </w:tcPr>
          <w:p w14:paraId="166CDE9B" w14:textId="77777777" w:rsidR="00272F31" w:rsidRPr="00881752" w:rsidRDefault="00272F31" w:rsidP="00D630EB">
            <w:pPr>
              <w:spacing w:line="276" w:lineRule="auto"/>
              <w:rPr>
                <w:rStyle w:val="primaryw"/>
                <w:rFonts w:cs="Times New Roman"/>
                <w:szCs w:val="24"/>
              </w:rPr>
            </w:pPr>
          </w:p>
        </w:tc>
        <w:tc>
          <w:tcPr>
            <w:tcW w:w="1959" w:type="dxa"/>
          </w:tcPr>
          <w:p w14:paraId="69A49F3F" w14:textId="77777777" w:rsidR="00272F31" w:rsidRPr="00881752" w:rsidRDefault="00272F31" w:rsidP="00D630EB">
            <w:pPr>
              <w:spacing w:line="276" w:lineRule="auto"/>
              <w:rPr>
                <w:rStyle w:val="primaryw"/>
                <w:rFonts w:cs="Times New Roman"/>
                <w:szCs w:val="24"/>
              </w:rPr>
            </w:pPr>
            <w:r w:rsidRPr="00881752">
              <w:rPr>
                <w:rStyle w:val="primaryw"/>
                <w:rFonts w:cs="Times New Roman"/>
                <w:szCs w:val="24"/>
              </w:rPr>
              <w:t>A</w:t>
            </w:r>
          </w:p>
        </w:tc>
        <w:tc>
          <w:tcPr>
            <w:tcW w:w="1275" w:type="dxa"/>
          </w:tcPr>
          <w:p w14:paraId="6B7E23E7" w14:textId="77777777" w:rsidR="00272F31" w:rsidRPr="00881752" w:rsidRDefault="00272F31" w:rsidP="00D630EB">
            <w:pPr>
              <w:spacing w:line="276" w:lineRule="auto"/>
              <w:rPr>
                <w:rStyle w:val="primaryw"/>
                <w:rFonts w:cs="Times New Roman"/>
                <w:szCs w:val="24"/>
              </w:rPr>
            </w:pPr>
            <w:r w:rsidRPr="00881752">
              <w:rPr>
                <w:rStyle w:val="primaryw"/>
                <w:rFonts w:cs="Times New Roman"/>
                <w:szCs w:val="24"/>
              </w:rPr>
              <w:t>B</w:t>
            </w:r>
          </w:p>
        </w:tc>
        <w:tc>
          <w:tcPr>
            <w:tcW w:w="1276" w:type="dxa"/>
          </w:tcPr>
          <w:p w14:paraId="613443F6" w14:textId="77777777" w:rsidR="00272F31" w:rsidRPr="00881752" w:rsidRDefault="00272F31" w:rsidP="00D630EB">
            <w:pPr>
              <w:spacing w:line="276" w:lineRule="auto"/>
              <w:rPr>
                <w:rStyle w:val="primaryw"/>
                <w:rFonts w:cs="Times New Roman"/>
                <w:szCs w:val="24"/>
                <w:vertAlign w:val="superscript"/>
              </w:rPr>
            </w:pPr>
            <w:r w:rsidRPr="00881752">
              <w:rPr>
                <w:rStyle w:val="primaryw"/>
                <w:rFonts w:cs="Times New Roman"/>
                <w:szCs w:val="24"/>
              </w:rPr>
              <w:t>B</w:t>
            </w:r>
            <w:r w:rsidRPr="00881752">
              <w:rPr>
                <w:rStyle w:val="primaryw"/>
                <w:rFonts w:cs="Times New Roman"/>
                <w:szCs w:val="24"/>
                <w:vertAlign w:val="superscript"/>
              </w:rPr>
              <w:t>1</w:t>
            </w:r>
          </w:p>
        </w:tc>
        <w:tc>
          <w:tcPr>
            <w:tcW w:w="2126" w:type="dxa"/>
          </w:tcPr>
          <w:p w14:paraId="2D2015B3" w14:textId="77777777" w:rsidR="00272F31" w:rsidRPr="00881752" w:rsidRDefault="00272F31" w:rsidP="00D630EB">
            <w:pPr>
              <w:spacing w:line="276" w:lineRule="auto"/>
              <w:rPr>
                <w:rStyle w:val="primaryw"/>
                <w:rFonts w:cs="Times New Roman"/>
                <w:szCs w:val="24"/>
                <w:vertAlign w:val="superscript"/>
              </w:rPr>
            </w:pPr>
            <w:r w:rsidRPr="00881752">
              <w:rPr>
                <w:rStyle w:val="primaryw"/>
                <w:rFonts w:cs="Times New Roman"/>
                <w:szCs w:val="24"/>
              </w:rPr>
              <w:t>A</w:t>
            </w:r>
            <w:r w:rsidRPr="00881752">
              <w:rPr>
                <w:rStyle w:val="primaryw"/>
                <w:rFonts w:cs="Times New Roman"/>
                <w:szCs w:val="24"/>
                <w:vertAlign w:val="superscript"/>
              </w:rPr>
              <w:t>1</w:t>
            </w:r>
          </w:p>
        </w:tc>
      </w:tr>
      <w:tr w:rsidR="00272F31" w:rsidRPr="00881752" w14:paraId="5B933F10" w14:textId="77777777" w:rsidTr="00D630EB">
        <w:tc>
          <w:tcPr>
            <w:tcW w:w="735" w:type="dxa"/>
            <w:tcBorders>
              <w:top w:val="nil"/>
              <w:left w:val="nil"/>
            </w:tcBorders>
          </w:tcPr>
          <w:p w14:paraId="2489328E" w14:textId="77777777" w:rsidR="00272F31" w:rsidRPr="00881752" w:rsidRDefault="00272F31" w:rsidP="00D630EB">
            <w:pPr>
              <w:spacing w:line="276" w:lineRule="auto"/>
              <w:rPr>
                <w:rStyle w:val="txt"/>
                <w:rFonts w:cs="Times New Roman"/>
                <w:color w:val="000000"/>
                <w:szCs w:val="24"/>
              </w:rPr>
            </w:pPr>
          </w:p>
        </w:tc>
        <w:tc>
          <w:tcPr>
            <w:tcW w:w="1959" w:type="dxa"/>
          </w:tcPr>
          <w:p w14:paraId="3E653EEA" w14:textId="77777777" w:rsidR="00272F31" w:rsidRPr="00881752" w:rsidRDefault="00272F31" w:rsidP="00D630EB">
            <w:pPr>
              <w:spacing w:line="276" w:lineRule="auto"/>
              <w:rPr>
                <w:rFonts w:cs="Times New Roman"/>
              </w:rPr>
            </w:pPr>
            <w:r w:rsidRPr="00881752">
              <w:rPr>
                <w:rStyle w:val="txt"/>
                <w:rFonts w:cs="Times New Roman"/>
                <w:color w:val="000000"/>
                <w:szCs w:val="24"/>
              </w:rPr>
              <w:t>οὗτος Ἀλκμέων</w:t>
            </w:r>
          </w:p>
        </w:tc>
        <w:tc>
          <w:tcPr>
            <w:tcW w:w="1275" w:type="dxa"/>
          </w:tcPr>
          <w:p w14:paraId="4D2B5BDE" w14:textId="77777777" w:rsidR="00272F31" w:rsidRPr="00881752" w:rsidRDefault="00272F31" w:rsidP="00D630EB">
            <w:pPr>
              <w:spacing w:line="276" w:lineRule="auto"/>
              <w:rPr>
                <w:rFonts w:cs="Times New Roman"/>
              </w:rPr>
            </w:pPr>
            <w:r w:rsidRPr="00881752">
              <w:rPr>
                <w:rStyle w:val="txt"/>
                <w:rFonts w:cs="Times New Roman"/>
                <w:color w:val="000000"/>
                <w:szCs w:val="24"/>
              </w:rPr>
              <w:t>φεῦγε</w:t>
            </w:r>
          </w:p>
        </w:tc>
        <w:tc>
          <w:tcPr>
            <w:tcW w:w="1276" w:type="dxa"/>
          </w:tcPr>
          <w:p w14:paraId="13702AB8" w14:textId="77777777" w:rsidR="00272F31" w:rsidRPr="00881752" w:rsidRDefault="00272F31" w:rsidP="00D630EB">
            <w:pPr>
              <w:spacing w:line="276" w:lineRule="auto"/>
              <w:rPr>
                <w:rFonts w:cs="Times New Roman"/>
              </w:rPr>
            </w:pPr>
            <w:r w:rsidRPr="00881752">
              <w:rPr>
                <w:rStyle w:val="txt"/>
                <w:rFonts w:cs="Times New Roman"/>
                <w:color w:val="000000"/>
                <w:szCs w:val="24"/>
              </w:rPr>
              <w:t>φεῦγε</w:t>
            </w:r>
          </w:p>
        </w:tc>
        <w:tc>
          <w:tcPr>
            <w:tcW w:w="2126" w:type="dxa"/>
          </w:tcPr>
          <w:p w14:paraId="51238ADE" w14:textId="77777777" w:rsidR="00272F31" w:rsidRPr="00881752" w:rsidRDefault="00272F31" w:rsidP="00D630EB">
            <w:pPr>
              <w:spacing w:line="276" w:lineRule="auto"/>
              <w:rPr>
                <w:rFonts w:cs="Times New Roman"/>
              </w:rPr>
            </w:pPr>
            <w:r w:rsidRPr="00881752">
              <w:rPr>
                <w:rStyle w:val="txt"/>
                <w:rFonts w:cs="Times New Roman"/>
                <w:color w:val="000000"/>
                <w:szCs w:val="24"/>
              </w:rPr>
              <w:t>τὸν ἄνθρωπον</w:t>
            </w:r>
          </w:p>
        </w:tc>
      </w:tr>
      <w:tr w:rsidR="00272F31" w:rsidRPr="00881752" w14:paraId="3C00A185" w14:textId="77777777" w:rsidTr="00D630EB">
        <w:tc>
          <w:tcPr>
            <w:tcW w:w="735" w:type="dxa"/>
          </w:tcPr>
          <w:p w14:paraId="3AE72F8A" w14:textId="77777777" w:rsidR="00272F31" w:rsidRPr="00881752" w:rsidRDefault="00272F31" w:rsidP="00D630EB">
            <w:pPr>
              <w:spacing w:line="276" w:lineRule="auto"/>
              <w:rPr>
                <w:rFonts w:cs="Times New Roman"/>
              </w:rPr>
            </w:pPr>
            <w:r w:rsidRPr="00881752">
              <w:rPr>
                <w:rFonts w:cs="Times New Roman"/>
              </w:rPr>
              <w:t>PL</w:t>
            </w:r>
          </w:p>
        </w:tc>
        <w:tc>
          <w:tcPr>
            <w:tcW w:w="1959" w:type="dxa"/>
          </w:tcPr>
          <w:p w14:paraId="52179C18" w14:textId="77777777" w:rsidR="00272F31" w:rsidRPr="00881752" w:rsidRDefault="00272F31" w:rsidP="00D630EB">
            <w:pPr>
              <w:spacing w:line="276" w:lineRule="auto"/>
              <w:rPr>
                <w:rFonts w:cs="Times New Roman"/>
              </w:rPr>
            </w:pPr>
            <w:r w:rsidRPr="00881752">
              <w:rPr>
                <w:rFonts w:cs="Times New Roman"/>
              </w:rPr>
              <w:t>focus</w:t>
            </w:r>
          </w:p>
        </w:tc>
        <w:tc>
          <w:tcPr>
            <w:tcW w:w="1275" w:type="dxa"/>
          </w:tcPr>
          <w:p w14:paraId="6ECC3230" w14:textId="77777777" w:rsidR="00272F31" w:rsidRPr="00881752" w:rsidRDefault="00272F31" w:rsidP="00D630EB">
            <w:pPr>
              <w:spacing w:line="276" w:lineRule="auto"/>
              <w:rPr>
                <w:rFonts w:cs="Times New Roman"/>
              </w:rPr>
            </w:pPr>
            <w:r w:rsidRPr="00881752">
              <w:rPr>
                <w:rFonts w:cs="Times New Roman"/>
              </w:rPr>
              <w:t>predicate</w:t>
            </w:r>
          </w:p>
        </w:tc>
        <w:tc>
          <w:tcPr>
            <w:tcW w:w="1276" w:type="dxa"/>
          </w:tcPr>
          <w:p w14:paraId="2AAE43BD" w14:textId="77777777" w:rsidR="00272F31" w:rsidRPr="00881752" w:rsidRDefault="00272F31" w:rsidP="00D630EB">
            <w:pPr>
              <w:spacing w:line="276" w:lineRule="auto"/>
              <w:rPr>
                <w:rFonts w:cs="Times New Roman"/>
              </w:rPr>
            </w:pPr>
            <w:r w:rsidRPr="00881752">
              <w:rPr>
                <w:rFonts w:cs="Times New Roman"/>
              </w:rPr>
              <w:t>predicate</w:t>
            </w:r>
          </w:p>
        </w:tc>
        <w:tc>
          <w:tcPr>
            <w:tcW w:w="2126" w:type="dxa"/>
          </w:tcPr>
          <w:p w14:paraId="7A697D80" w14:textId="77777777" w:rsidR="00272F31" w:rsidRPr="00881752" w:rsidRDefault="00272F31" w:rsidP="00D630EB">
            <w:pPr>
              <w:spacing w:line="276" w:lineRule="auto"/>
              <w:rPr>
                <w:rFonts w:cs="Times New Roman"/>
              </w:rPr>
            </w:pPr>
            <w:r w:rsidRPr="00881752">
              <w:rPr>
                <w:rFonts w:cs="Times New Roman"/>
              </w:rPr>
              <w:t>focus</w:t>
            </w:r>
          </w:p>
        </w:tc>
      </w:tr>
      <w:tr w:rsidR="00272F31" w:rsidRPr="00881752" w14:paraId="56B15317" w14:textId="77777777" w:rsidTr="00D630EB">
        <w:tc>
          <w:tcPr>
            <w:tcW w:w="735" w:type="dxa"/>
          </w:tcPr>
          <w:p w14:paraId="7F413544" w14:textId="77777777" w:rsidR="00272F31" w:rsidRPr="00881752" w:rsidRDefault="00272F31" w:rsidP="00D630EB">
            <w:pPr>
              <w:spacing w:line="276" w:lineRule="auto"/>
              <w:rPr>
                <w:rFonts w:cs="Times New Roman"/>
              </w:rPr>
            </w:pPr>
            <w:r w:rsidRPr="00881752">
              <w:rPr>
                <w:rFonts w:cs="Times New Roman"/>
              </w:rPr>
              <w:t>GL</w:t>
            </w:r>
          </w:p>
        </w:tc>
        <w:tc>
          <w:tcPr>
            <w:tcW w:w="1959" w:type="dxa"/>
          </w:tcPr>
          <w:p w14:paraId="03A57CA0" w14:textId="77777777" w:rsidR="00272F31" w:rsidRPr="00881752" w:rsidRDefault="00272F31" w:rsidP="00D630EB">
            <w:pPr>
              <w:spacing w:line="276" w:lineRule="auto"/>
              <w:rPr>
                <w:rFonts w:cs="Times New Roman"/>
              </w:rPr>
            </w:pPr>
            <w:r w:rsidRPr="00881752">
              <w:rPr>
                <w:rFonts w:cs="Times New Roman"/>
              </w:rPr>
              <w:t>noun</w:t>
            </w:r>
          </w:p>
        </w:tc>
        <w:tc>
          <w:tcPr>
            <w:tcW w:w="1275" w:type="dxa"/>
          </w:tcPr>
          <w:p w14:paraId="7EAAB09B" w14:textId="77777777" w:rsidR="00272F31" w:rsidRPr="00881752" w:rsidRDefault="00272F31" w:rsidP="00D630EB">
            <w:pPr>
              <w:spacing w:line="276" w:lineRule="auto"/>
              <w:rPr>
                <w:rFonts w:cs="Times New Roman"/>
              </w:rPr>
            </w:pPr>
            <w:r w:rsidRPr="00881752">
              <w:rPr>
                <w:rFonts w:cs="Times New Roman"/>
              </w:rPr>
              <w:t>verb</w:t>
            </w:r>
          </w:p>
        </w:tc>
        <w:tc>
          <w:tcPr>
            <w:tcW w:w="1276" w:type="dxa"/>
          </w:tcPr>
          <w:p w14:paraId="75462A22" w14:textId="77777777" w:rsidR="00272F31" w:rsidRPr="00881752" w:rsidRDefault="00272F31" w:rsidP="00D630EB">
            <w:pPr>
              <w:spacing w:line="276" w:lineRule="auto"/>
              <w:rPr>
                <w:rFonts w:cs="Times New Roman"/>
              </w:rPr>
            </w:pPr>
            <w:r w:rsidRPr="00881752">
              <w:rPr>
                <w:rFonts w:cs="Times New Roman"/>
              </w:rPr>
              <w:t>verb</w:t>
            </w:r>
          </w:p>
        </w:tc>
        <w:tc>
          <w:tcPr>
            <w:tcW w:w="2126" w:type="dxa"/>
          </w:tcPr>
          <w:p w14:paraId="1FCB560F" w14:textId="77777777" w:rsidR="00272F31" w:rsidRPr="00881752" w:rsidRDefault="00272F31" w:rsidP="00D630EB">
            <w:pPr>
              <w:spacing w:line="276" w:lineRule="auto"/>
              <w:rPr>
                <w:rFonts w:cs="Times New Roman"/>
              </w:rPr>
            </w:pPr>
            <w:r w:rsidRPr="00881752">
              <w:rPr>
                <w:rFonts w:cs="Times New Roman"/>
              </w:rPr>
              <w:t>noun</w:t>
            </w:r>
          </w:p>
        </w:tc>
      </w:tr>
    </w:tbl>
    <w:p w14:paraId="6BCD8ACB" w14:textId="77777777" w:rsidR="00272F31" w:rsidRPr="00881752" w:rsidRDefault="00272F31" w:rsidP="003B1451">
      <w:pPr>
        <w:tabs>
          <w:tab w:val="center" w:pos="5387"/>
        </w:tabs>
        <w:rPr>
          <w:rFonts w:cs="Times New Roman"/>
          <w:szCs w:val="24"/>
          <w:u w:val="single"/>
        </w:rPr>
      </w:pPr>
    </w:p>
    <w:p w14:paraId="38D90830" w14:textId="76A5CB0B" w:rsidR="0098600F" w:rsidRPr="00881752" w:rsidRDefault="004E24A1" w:rsidP="00665681">
      <w:pPr>
        <w:tabs>
          <w:tab w:val="center" w:pos="5387"/>
        </w:tabs>
        <w:ind w:left="567"/>
        <w:rPr>
          <w:rFonts w:cs="Times New Roman"/>
          <w:lang w:val="en-US"/>
        </w:rPr>
      </w:pPr>
      <w:r w:rsidRPr="00881752">
        <w:rPr>
          <w:rFonts w:cs="Times New Roman"/>
          <w:lang w:val="en-US"/>
        </w:rPr>
        <w:t xml:space="preserve">In this last example, the chiasmic structure is amplified, since it involves not only the distribution of the words of the direct speech, but also the main clause which introduces the direct speech. Therefore, the chiasmus constitutes a sort of syntactic Russian doll which corresponds </w:t>
      </w:r>
      <w:r w:rsidR="00A53A10">
        <w:rPr>
          <w:rFonts w:cs="Times New Roman"/>
          <w:lang w:val="en-US"/>
        </w:rPr>
        <w:t>to the following structure: A–C–B–</w:t>
      </w:r>
      <w:r w:rsidRPr="00881752">
        <w:rPr>
          <w:rFonts w:cs="Times New Roman"/>
          <w:lang w:val="en-US"/>
        </w:rPr>
        <w:t>B</w:t>
      </w:r>
      <w:r w:rsidRPr="00881752">
        <w:rPr>
          <w:rFonts w:cs="Times New Roman"/>
          <w:vertAlign w:val="superscript"/>
          <w:lang w:val="en-US"/>
        </w:rPr>
        <w:t>1</w:t>
      </w:r>
      <w:r w:rsidR="00A53A10">
        <w:rPr>
          <w:rFonts w:cs="Times New Roman"/>
          <w:lang w:val="en-US"/>
        </w:rPr>
        <w:t>–</w:t>
      </w:r>
      <w:r w:rsidRPr="00881752">
        <w:rPr>
          <w:rFonts w:cs="Times New Roman"/>
          <w:lang w:val="en-US"/>
        </w:rPr>
        <w:t>C</w:t>
      </w:r>
      <w:r w:rsidRPr="00881752">
        <w:rPr>
          <w:rFonts w:cs="Times New Roman"/>
          <w:vertAlign w:val="superscript"/>
          <w:lang w:val="en-US"/>
        </w:rPr>
        <w:t>1</w:t>
      </w:r>
      <w:r w:rsidR="00A53A10">
        <w:rPr>
          <w:rFonts w:cs="Times New Roman"/>
          <w:lang w:val="en-US"/>
        </w:rPr>
        <w:t>–</w:t>
      </w:r>
      <w:r w:rsidRPr="00881752">
        <w:rPr>
          <w:rFonts w:cs="Times New Roman"/>
          <w:lang w:val="en-US"/>
        </w:rPr>
        <w:t>A</w:t>
      </w:r>
      <w:r w:rsidRPr="00881752">
        <w:rPr>
          <w:rFonts w:cs="Times New Roman"/>
          <w:vertAlign w:val="superscript"/>
          <w:lang w:val="en-US"/>
        </w:rPr>
        <w:t>1</w:t>
      </w:r>
      <w:r w:rsidRPr="00881752">
        <w:rPr>
          <w:rFonts w:cs="Times New Roman"/>
          <w:lang w:val="en-US"/>
        </w:rPr>
        <w:t>, where C and C</w:t>
      </w:r>
      <w:r w:rsidRPr="00A53A10">
        <w:rPr>
          <w:rFonts w:cs="Times New Roman"/>
          <w:vertAlign w:val="superscript"/>
          <w:lang w:val="en-US"/>
        </w:rPr>
        <w:t>1</w:t>
      </w:r>
      <w:r w:rsidRPr="00881752">
        <w:rPr>
          <w:rFonts w:cs="Times New Roman"/>
          <w:lang w:val="en-US"/>
        </w:rPr>
        <w:t xml:space="preserve"> are two coordinate predicates of the main clause. </w:t>
      </w:r>
    </w:p>
    <w:p w14:paraId="452234C4" w14:textId="77777777" w:rsidR="00272F31" w:rsidRPr="00881752" w:rsidRDefault="00272F31" w:rsidP="00D630EB">
      <w:pPr>
        <w:pStyle w:val="ListParagraph"/>
        <w:ind w:left="567"/>
      </w:pPr>
    </w:p>
    <w:p w14:paraId="4C4F1B52" w14:textId="77777777" w:rsidR="00272F31" w:rsidRPr="00881752" w:rsidRDefault="00272F31" w:rsidP="0098600F">
      <w:pPr>
        <w:pStyle w:val="ListParagraph"/>
        <w:ind w:left="567"/>
        <w:rPr>
          <w:i/>
        </w:rPr>
      </w:pPr>
      <w:r w:rsidRPr="00881752">
        <w:rPr>
          <w:i/>
        </w:rPr>
        <w:t>Key:</w:t>
      </w:r>
    </w:p>
    <w:p w14:paraId="11D7E3A5" w14:textId="77777777" w:rsidR="00272F31" w:rsidRPr="00881752" w:rsidRDefault="00272F31" w:rsidP="00881752">
      <w:pPr>
        <w:pStyle w:val="ListParagraph"/>
        <w:numPr>
          <w:ilvl w:val="0"/>
          <w:numId w:val="6"/>
        </w:numPr>
        <w:ind w:left="993" w:hanging="426"/>
      </w:pPr>
      <w:r w:rsidRPr="00881752">
        <w:t>A, A</w:t>
      </w:r>
      <w:r w:rsidRPr="00881752">
        <w:rPr>
          <w:vertAlign w:val="superscript"/>
        </w:rPr>
        <w:t>1</w:t>
      </w:r>
      <w:r w:rsidRPr="00881752">
        <w:t xml:space="preserve"> = nouns (respectively subject and object) of the direct speech clause;</w:t>
      </w:r>
    </w:p>
    <w:p w14:paraId="2244F607" w14:textId="5AF051AB" w:rsidR="00272F31" w:rsidRPr="00881752" w:rsidRDefault="00272F31" w:rsidP="00881752">
      <w:pPr>
        <w:pStyle w:val="ListParagraph"/>
        <w:numPr>
          <w:ilvl w:val="0"/>
          <w:numId w:val="6"/>
        </w:numPr>
        <w:ind w:left="993" w:hanging="426"/>
      </w:pPr>
      <w:r w:rsidRPr="00881752">
        <w:t>B, B</w:t>
      </w:r>
      <w:r w:rsidRPr="00881752">
        <w:rPr>
          <w:vertAlign w:val="superscript"/>
        </w:rPr>
        <w:t>1</w:t>
      </w:r>
      <w:r w:rsidRPr="00881752">
        <w:t xml:space="preserve"> = verbs of the direct speech clause (the verb is the same, </w:t>
      </w:r>
      <w:r w:rsidR="00BC00F9">
        <w:t xml:space="preserve">that is </w:t>
      </w:r>
      <w:r w:rsidRPr="00881752">
        <w:t>φεύγω);</w:t>
      </w:r>
    </w:p>
    <w:p w14:paraId="4A9F3027" w14:textId="137858F7" w:rsidR="00272F31" w:rsidRPr="00881752" w:rsidRDefault="00272F31" w:rsidP="00881752">
      <w:pPr>
        <w:pStyle w:val="ListParagraph"/>
        <w:numPr>
          <w:ilvl w:val="0"/>
          <w:numId w:val="6"/>
        </w:numPr>
        <w:ind w:left="993" w:hanging="426"/>
      </w:pPr>
      <w:r w:rsidRPr="00881752">
        <w:t>C, C</w:t>
      </w:r>
      <w:r w:rsidRPr="00881752">
        <w:rPr>
          <w:vertAlign w:val="superscript"/>
        </w:rPr>
        <w:t>1</w:t>
      </w:r>
      <w:r w:rsidRPr="00881752">
        <w:t xml:space="preserve"> = verbs of the main clause (their meaning is the same, that is </w:t>
      </w:r>
      <w:r w:rsidR="00CC0615">
        <w:t>“</w:t>
      </w:r>
      <w:r w:rsidRPr="00881752">
        <w:t>say</w:t>
      </w:r>
      <w:r w:rsidR="005E0BC0" w:rsidRPr="00881752">
        <w:t>,</w:t>
      </w:r>
      <w:r w:rsidR="00CC0615">
        <w:t>”</w:t>
      </w:r>
      <w:r w:rsidRPr="00881752">
        <w:t xml:space="preserve"> but the </w:t>
      </w:r>
      <w:r w:rsidRPr="00881752">
        <w:rPr>
          <w:i/>
        </w:rPr>
        <w:t>lemmata</w:t>
      </w:r>
      <w:r w:rsidRPr="00881752">
        <w:t xml:space="preserve"> are two different synonymous, namely φημί and ἐρέω).</w:t>
      </w:r>
    </w:p>
    <w:p w14:paraId="58071831" w14:textId="77777777" w:rsidR="00272F31" w:rsidRPr="00881752" w:rsidRDefault="00272F31" w:rsidP="003B1451">
      <w:pPr>
        <w:pStyle w:val="ListParagraph"/>
        <w:ind w:left="1083"/>
      </w:pPr>
    </w:p>
    <w:tbl>
      <w:tblPr>
        <w:tblStyle w:val="TableGrid"/>
        <w:tblW w:w="0" w:type="auto"/>
        <w:tblInd w:w="1101" w:type="dxa"/>
        <w:tblLayout w:type="fixed"/>
        <w:tblLook w:val="04A0" w:firstRow="1" w:lastRow="0" w:firstColumn="1" w:lastColumn="0" w:noHBand="0" w:noVBand="1"/>
      </w:tblPr>
      <w:tblGrid>
        <w:gridCol w:w="1787"/>
        <w:gridCol w:w="850"/>
        <w:gridCol w:w="851"/>
        <w:gridCol w:w="835"/>
        <w:gridCol w:w="866"/>
        <w:gridCol w:w="1843"/>
      </w:tblGrid>
      <w:tr w:rsidR="00272F31" w:rsidRPr="00881752" w14:paraId="2FFF18A5" w14:textId="77777777" w:rsidTr="0013179E">
        <w:tc>
          <w:tcPr>
            <w:tcW w:w="1787" w:type="dxa"/>
          </w:tcPr>
          <w:p w14:paraId="2337E958" w14:textId="77777777" w:rsidR="00272F31" w:rsidRPr="00881752" w:rsidRDefault="00272F31" w:rsidP="00D630EB">
            <w:pPr>
              <w:spacing w:line="276" w:lineRule="auto"/>
              <w:rPr>
                <w:rFonts w:cs="Times New Roman"/>
              </w:rPr>
            </w:pPr>
            <w:r w:rsidRPr="00881752">
              <w:rPr>
                <w:rFonts w:cs="Times New Roman"/>
              </w:rPr>
              <w:t>A</w:t>
            </w:r>
          </w:p>
        </w:tc>
        <w:tc>
          <w:tcPr>
            <w:tcW w:w="850" w:type="dxa"/>
          </w:tcPr>
          <w:p w14:paraId="32FF8AC5" w14:textId="77777777" w:rsidR="00272F31" w:rsidRPr="00881752" w:rsidRDefault="00272F31" w:rsidP="00D630EB">
            <w:pPr>
              <w:spacing w:line="276" w:lineRule="auto"/>
              <w:rPr>
                <w:rFonts w:cs="Times New Roman"/>
              </w:rPr>
            </w:pPr>
            <w:r w:rsidRPr="00881752">
              <w:rPr>
                <w:rFonts w:cs="Times New Roman"/>
              </w:rPr>
              <w:t>C</w:t>
            </w:r>
          </w:p>
        </w:tc>
        <w:tc>
          <w:tcPr>
            <w:tcW w:w="851" w:type="dxa"/>
          </w:tcPr>
          <w:p w14:paraId="107B6B14" w14:textId="77777777" w:rsidR="00272F31" w:rsidRPr="00881752" w:rsidRDefault="00272F31" w:rsidP="00D630EB">
            <w:pPr>
              <w:spacing w:line="276" w:lineRule="auto"/>
              <w:rPr>
                <w:rFonts w:cs="Times New Roman"/>
              </w:rPr>
            </w:pPr>
            <w:r w:rsidRPr="00881752">
              <w:rPr>
                <w:rFonts w:cs="Times New Roman"/>
              </w:rPr>
              <w:t>B</w:t>
            </w:r>
          </w:p>
        </w:tc>
        <w:tc>
          <w:tcPr>
            <w:tcW w:w="835" w:type="dxa"/>
          </w:tcPr>
          <w:p w14:paraId="69C7AAFD" w14:textId="77777777" w:rsidR="00272F31" w:rsidRPr="00881752" w:rsidRDefault="00272F31" w:rsidP="00D630EB">
            <w:pPr>
              <w:spacing w:line="276" w:lineRule="auto"/>
              <w:rPr>
                <w:rFonts w:cs="Times New Roman"/>
              </w:rPr>
            </w:pPr>
            <w:r w:rsidRPr="00881752">
              <w:rPr>
                <w:rFonts w:cs="Times New Roman"/>
              </w:rPr>
              <w:t>B</w:t>
            </w:r>
            <w:r w:rsidRPr="00A53A10">
              <w:rPr>
                <w:rFonts w:cs="Times New Roman"/>
                <w:vertAlign w:val="superscript"/>
              </w:rPr>
              <w:t>1</w:t>
            </w:r>
          </w:p>
        </w:tc>
        <w:tc>
          <w:tcPr>
            <w:tcW w:w="866" w:type="dxa"/>
          </w:tcPr>
          <w:p w14:paraId="2BF7AC1D" w14:textId="77777777" w:rsidR="00272F31" w:rsidRPr="00881752" w:rsidRDefault="00272F31" w:rsidP="00D630EB">
            <w:pPr>
              <w:spacing w:line="276" w:lineRule="auto"/>
              <w:rPr>
                <w:rFonts w:cs="Times New Roman"/>
              </w:rPr>
            </w:pPr>
            <w:r w:rsidRPr="00881752">
              <w:rPr>
                <w:rFonts w:cs="Times New Roman"/>
              </w:rPr>
              <w:t>C</w:t>
            </w:r>
            <w:r w:rsidRPr="00A53A10">
              <w:rPr>
                <w:rFonts w:cs="Times New Roman"/>
                <w:vertAlign w:val="superscript"/>
              </w:rPr>
              <w:t>1</w:t>
            </w:r>
          </w:p>
        </w:tc>
        <w:tc>
          <w:tcPr>
            <w:tcW w:w="1843" w:type="dxa"/>
          </w:tcPr>
          <w:p w14:paraId="5792A635" w14:textId="77777777" w:rsidR="00272F31" w:rsidRPr="00881752" w:rsidRDefault="00272F31" w:rsidP="00D630EB">
            <w:pPr>
              <w:spacing w:line="276" w:lineRule="auto"/>
              <w:rPr>
                <w:rFonts w:cs="Times New Roman"/>
              </w:rPr>
            </w:pPr>
            <w:r w:rsidRPr="00881752">
              <w:rPr>
                <w:rFonts w:cs="Times New Roman"/>
              </w:rPr>
              <w:t>A</w:t>
            </w:r>
            <w:r w:rsidRPr="00A53A10">
              <w:rPr>
                <w:rFonts w:cs="Times New Roman"/>
                <w:vertAlign w:val="superscript"/>
              </w:rPr>
              <w:t>1</w:t>
            </w:r>
          </w:p>
        </w:tc>
      </w:tr>
      <w:tr w:rsidR="00272F31" w:rsidRPr="00881752" w14:paraId="2AD6373E" w14:textId="77777777" w:rsidTr="0013179E">
        <w:tc>
          <w:tcPr>
            <w:tcW w:w="1787" w:type="dxa"/>
          </w:tcPr>
          <w:p w14:paraId="6861402A" w14:textId="77777777" w:rsidR="00272F31" w:rsidRPr="00881752" w:rsidRDefault="00272F31" w:rsidP="00D630EB">
            <w:pPr>
              <w:spacing w:line="276" w:lineRule="auto"/>
              <w:rPr>
                <w:rFonts w:cs="Times New Roman"/>
              </w:rPr>
            </w:pPr>
            <w:r w:rsidRPr="00881752">
              <w:rPr>
                <w:rStyle w:val="txt"/>
                <w:rFonts w:cs="Times New Roman"/>
              </w:rPr>
              <w:t>οὗτος Ἀλκμέων</w:t>
            </w:r>
          </w:p>
        </w:tc>
        <w:tc>
          <w:tcPr>
            <w:tcW w:w="850" w:type="dxa"/>
          </w:tcPr>
          <w:p w14:paraId="75E77D5F" w14:textId="77777777" w:rsidR="00272F31" w:rsidRPr="00881752" w:rsidRDefault="00272F31" w:rsidP="00D630EB">
            <w:pPr>
              <w:spacing w:line="276" w:lineRule="auto"/>
              <w:rPr>
                <w:rFonts w:cs="Times New Roman"/>
              </w:rPr>
            </w:pPr>
            <w:r w:rsidRPr="00881752">
              <w:rPr>
                <w:rFonts w:cs="Times New Roman"/>
              </w:rPr>
              <w:t>φήσει</w:t>
            </w:r>
          </w:p>
        </w:tc>
        <w:tc>
          <w:tcPr>
            <w:tcW w:w="851" w:type="dxa"/>
          </w:tcPr>
          <w:p w14:paraId="4CC197DA" w14:textId="77777777" w:rsidR="00272F31" w:rsidRPr="00881752" w:rsidRDefault="00272F31" w:rsidP="00D630EB">
            <w:pPr>
              <w:spacing w:line="276" w:lineRule="auto"/>
              <w:rPr>
                <w:rFonts w:cs="Times New Roman"/>
              </w:rPr>
            </w:pPr>
            <w:r w:rsidRPr="00881752">
              <w:rPr>
                <w:rStyle w:val="txt"/>
                <w:rFonts w:cs="Times New Roman"/>
              </w:rPr>
              <w:t>φεῦγε</w:t>
            </w:r>
          </w:p>
        </w:tc>
        <w:tc>
          <w:tcPr>
            <w:tcW w:w="835" w:type="dxa"/>
          </w:tcPr>
          <w:p w14:paraId="39EB673A" w14:textId="77777777" w:rsidR="00272F31" w:rsidRPr="00881752" w:rsidRDefault="00272F31" w:rsidP="00D630EB">
            <w:pPr>
              <w:spacing w:line="276" w:lineRule="auto"/>
              <w:rPr>
                <w:rFonts w:cs="Times New Roman"/>
              </w:rPr>
            </w:pPr>
            <w:r w:rsidRPr="00881752">
              <w:rPr>
                <w:rStyle w:val="txt"/>
                <w:rFonts w:cs="Times New Roman"/>
              </w:rPr>
              <w:t>φεῦγε</w:t>
            </w:r>
          </w:p>
        </w:tc>
        <w:tc>
          <w:tcPr>
            <w:tcW w:w="866" w:type="dxa"/>
          </w:tcPr>
          <w:p w14:paraId="16E3FE87" w14:textId="77777777" w:rsidR="00272F31" w:rsidRPr="00881752" w:rsidRDefault="00272F31" w:rsidP="00D630EB">
            <w:pPr>
              <w:spacing w:line="276" w:lineRule="auto"/>
              <w:rPr>
                <w:rFonts w:cs="Times New Roman"/>
              </w:rPr>
            </w:pPr>
            <w:r w:rsidRPr="00881752">
              <w:rPr>
                <w:rFonts w:cs="Times New Roman"/>
              </w:rPr>
              <w:t>ἐρεῖ</w:t>
            </w:r>
          </w:p>
        </w:tc>
        <w:tc>
          <w:tcPr>
            <w:tcW w:w="1843" w:type="dxa"/>
          </w:tcPr>
          <w:p w14:paraId="43A84E72" w14:textId="77777777" w:rsidR="00272F31" w:rsidRPr="00881752" w:rsidRDefault="00272F31" w:rsidP="00D630EB">
            <w:pPr>
              <w:spacing w:line="276" w:lineRule="auto"/>
              <w:rPr>
                <w:rFonts w:cs="Times New Roman"/>
              </w:rPr>
            </w:pPr>
            <w:r w:rsidRPr="00881752">
              <w:rPr>
                <w:rStyle w:val="txt"/>
                <w:rFonts w:cs="Times New Roman"/>
              </w:rPr>
              <w:t>τὸν ἄνθρωπον</w:t>
            </w:r>
          </w:p>
        </w:tc>
      </w:tr>
    </w:tbl>
    <w:p w14:paraId="6D9DC274" w14:textId="696901C8" w:rsidR="00272F31" w:rsidRPr="00881752" w:rsidRDefault="003B1451" w:rsidP="003B1451">
      <w:pPr>
        <w:pStyle w:val="Heading3"/>
        <w:rPr>
          <w:i/>
        </w:rPr>
      </w:pPr>
      <w:r w:rsidRPr="00881752">
        <w:t>1.7</w:t>
      </w:r>
      <w:r w:rsidR="00861BD6" w:rsidRPr="00881752">
        <w:t xml:space="preserve"> The </w:t>
      </w:r>
      <w:r w:rsidR="00272F31" w:rsidRPr="00881752">
        <w:t xml:space="preserve">Lexical </w:t>
      </w:r>
      <w:r w:rsidR="00272F31" w:rsidRPr="00881752">
        <w:rPr>
          <w:i/>
        </w:rPr>
        <w:t>Poikilía</w:t>
      </w:r>
      <w:r w:rsidR="00272F31" w:rsidRPr="00881752">
        <w:t xml:space="preserve"> of Callimachus</w:t>
      </w:r>
      <w:r w:rsidR="00075F5F">
        <w:t>’</w:t>
      </w:r>
      <w:r w:rsidR="00272F31" w:rsidRPr="00881752">
        <w:t xml:space="preserve"> </w:t>
      </w:r>
      <w:r w:rsidR="00272F31" w:rsidRPr="00881752">
        <w:rPr>
          <w:i/>
        </w:rPr>
        <w:t>Iambi</w:t>
      </w:r>
    </w:p>
    <w:p w14:paraId="47CAA92E" w14:textId="5511E4B4" w:rsidR="004E24A1" w:rsidRPr="00881752" w:rsidRDefault="004E24A1" w:rsidP="004E24A1">
      <w:pPr>
        <w:rPr>
          <w:rFonts w:cs="Times New Roman"/>
          <w:lang w:val="en-US"/>
        </w:rPr>
      </w:pPr>
      <w:r w:rsidRPr="00881752">
        <w:rPr>
          <w:rFonts w:cs="Times New Roman"/>
          <w:lang w:val="en-US"/>
        </w:rPr>
        <w:t>The vocabulary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is extremely varied. Very little of it is specifically </w:t>
      </w:r>
      <w:r w:rsidR="00CC0615">
        <w:rPr>
          <w:rFonts w:cs="Times New Roman"/>
          <w:lang w:val="en-US"/>
        </w:rPr>
        <w:t>“</w:t>
      </w:r>
      <w:r w:rsidRPr="00881752">
        <w:rPr>
          <w:rFonts w:cs="Times New Roman"/>
          <w:lang w:val="en-US"/>
        </w:rPr>
        <w:t>iambic,</w:t>
      </w:r>
      <w:r w:rsidR="00CC0615">
        <w:rPr>
          <w:rFonts w:cs="Times New Roman"/>
          <w:lang w:val="en-US"/>
        </w:rPr>
        <w:t>”</w:t>
      </w:r>
      <w:r w:rsidRPr="00881752">
        <w:rPr>
          <w:rFonts w:cs="Times New Roman"/>
          <w:lang w:val="en-US"/>
        </w:rPr>
        <w:t xml:space="preserve"> since the Alexandrian poet does not owe a great debt to Archilochus and Hipponax: the lexicon of his iambic predecessors constitutes only 14.66% of the vocabulary, and this proportion becomes even smaller (11.58%) if we do not take into consideration prepositions and conjunctions (</w:t>
      </w:r>
      <w:r w:rsidRPr="00881752">
        <w:rPr>
          <w:rFonts w:cs="Times New Roman"/>
          <w:b/>
          <w:bCs/>
          <w:lang w:val="en-US"/>
        </w:rPr>
        <w:t>1</w:t>
      </w:r>
      <w:r w:rsidRPr="00881752">
        <w:rPr>
          <w:rFonts w:cs="Times New Roman"/>
          <w:lang w:val="en-US"/>
        </w:rPr>
        <w:t xml:space="preserve"> D.1). These percentages show that the lexical influence of archaic iambographers is insignificant even if we consider Callima</w:t>
      </w:r>
      <w:r w:rsidR="00075F5F">
        <w:rPr>
          <w:rFonts w:cs="Times New Roman"/>
          <w:lang w:val="en-US"/>
        </w:rPr>
        <w:t>chus’</w:t>
      </w:r>
      <w:r w:rsidRPr="00881752">
        <w:rPr>
          <w:rFonts w:cs="Times New Roman"/>
          <w:lang w:val="en-US"/>
        </w:rPr>
        <w:t xml:space="preserve"> claims at the beginning of his collection to be making iambs, and his invocation of the character of Hipponax, the iambographer </w:t>
      </w:r>
      <w:r w:rsidRPr="00881752">
        <w:rPr>
          <w:rFonts w:cs="Times New Roman"/>
          <w:i/>
          <w:iCs/>
          <w:lang w:val="en-US"/>
        </w:rPr>
        <w:t>par excellence</w:t>
      </w:r>
      <w:r w:rsidRPr="00881752">
        <w:rPr>
          <w:rFonts w:cs="Times New Roman"/>
          <w:lang w:val="en-US"/>
        </w:rPr>
        <w:t>. For the sake of comparison, in Callimachus</w:t>
      </w:r>
      <w:r w:rsidR="00075F5F">
        <w:rPr>
          <w:rFonts w:cs="Times New Roman"/>
          <w:lang w:val="en-US"/>
        </w:rPr>
        <w:t>’</w:t>
      </w:r>
      <w:r w:rsidRPr="00881752">
        <w:rPr>
          <w:rFonts w:cs="Times New Roman"/>
          <w:lang w:val="en-US"/>
        </w:rPr>
        <w:t xml:space="preserve"> </w:t>
      </w:r>
      <w:r w:rsidRPr="00881752">
        <w:rPr>
          <w:rFonts w:cs="Times New Roman"/>
          <w:i/>
          <w:iCs/>
          <w:lang w:val="en-US"/>
        </w:rPr>
        <w:t>Hymns</w:t>
      </w:r>
      <w:r w:rsidRPr="00881752">
        <w:rPr>
          <w:rFonts w:cs="Times New Roman"/>
          <w:lang w:val="en-US"/>
        </w:rPr>
        <w:t xml:space="preserve">, Homeric vocabulary contributes about 80%, informing the overall effect of the hymns, which is not compromised by the remaining </w:t>
      </w:r>
      <w:r w:rsidRPr="00881752">
        <w:rPr>
          <w:rFonts w:cs="Times New Roman"/>
          <w:lang w:val="en-US"/>
        </w:rPr>
        <w:lastRenderedPageBreak/>
        <w:t>20% deriving from lyric poetry, tragedy, and Ionian and technical prose.</w:t>
      </w:r>
      <w:r w:rsidRPr="00881752">
        <w:rPr>
          <w:rStyle w:val="FootnoteReference"/>
          <w:rFonts w:cs="Times New Roman"/>
          <w:lang w:val="en-US"/>
        </w:rPr>
        <w:footnoteReference w:id="171"/>
      </w:r>
      <w:r w:rsidRPr="00881752">
        <w:rPr>
          <w:rFonts w:cs="Times New Roman"/>
          <w:lang w:val="en-US"/>
        </w:rPr>
        <w:t xml:space="preserve"> In the </w:t>
      </w:r>
      <w:r w:rsidRPr="00881752">
        <w:rPr>
          <w:rFonts w:cs="Times New Roman"/>
          <w:i/>
          <w:iCs/>
          <w:lang w:val="en-US"/>
        </w:rPr>
        <w:t>Aetia,</w:t>
      </w:r>
      <w:r w:rsidRPr="00881752">
        <w:rPr>
          <w:rFonts w:cs="Times New Roman"/>
          <w:lang w:val="en-US"/>
        </w:rPr>
        <w:t xml:space="preserve"> the contribution of Ionic Epic Greek accounts for almost 70% of the vocabulary, and Callimachus is essentially working on traditional lines in this regard, exploring and exploiting epic idiom and enriching it with inventions of later poets, as well as his own.</w:t>
      </w:r>
      <w:r w:rsidRPr="00881752">
        <w:rPr>
          <w:rStyle w:val="FootnoteReference"/>
          <w:rFonts w:cs="Times New Roman"/>
          <w:lang w:val="en-US"/>
        </w:rPr>
        <w:footnoteReference w:id="172"/>
      </w:r>
      <w:r w:rsidRPr="00881752">
        <w:rPr>
          <w:rFonts w:cs="Times New Roman"/>
          <w:lang w:val="en-US"/>
        </w:rPr>
        <w:t xml:space="preserve"> </w:t>
      </w:r>
    </w:p>
    <w:p w14:paraId="44C925CC" w14:textId="7B77E716" w:rsidR="004E24A1" w:rsidRPr="00881752" w:rsidRDefault="004E24A1" w:rsidP="004E24A1">
      <w:pPr>
        <w:ind w:firstLine="426"/>
        <w:rPr>
          <w:rFonts w:cs="Times New Roman"/>
          <w:lang w:val="en-US"/>
        </w:rPr>
      </w:pPr>
      <w:r w:rsidRPr="00881752">
        <w:rPr>
          <w:rFonts w:cs="Times New Roman"/>
          <w:lang w:val="en-US"/>
        </w:rPr>
        <w:t>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include a higher proportion (25.86%) of Archilochus</w:t>
      </w:r>
      <w:r w:rsidR="00075F5F">
        <w:rPr>
          <w:rFonts w:cs="Times New Roman"/>
          <w:lang w:val="en-US"/>
        </w:rPr>
        <w:t>’</w:t>
      </w:r>
      <w:r w:rsidRPr="00881752">
        <w:rPr>
          <w:rFonts w:cs="Times New Roman"/>
          <w:lang w:val="en-US"/>
        </w:rPr>
        <w:t xml:space="preserve"> words (</w:t>
      </w:r>
      <w:r w:rsidRPr="00881752">
        <w:rPr>
          <w:rFonts w:cs="Times New Roman"/>
          <w:b/>
          <w:bCs/>
          <w:lang w:val="en-US"/>
        </w:rPr>
        <w:t>1</w:t>
      </w:r>
      <w:r w:rsidRPr="00881752">
        <w:rPr>
          <w:rFonts w:cs="Times New Roman"/>
          <w:lang w:val="en-US"/>
        </w:rPr>
        <w:t xml:space="preserve"> D.2) than of Hipponax</w:t>
      </w:r>
      <w:r w:rsidR="00075F5F">
        <w:rPr>
          <w:rFonts w:cs="Times New Roman"/>
          <w:lang w:val="en-US"/>
        </w:rPr>
        <w:t>’</w:t>
      </w:r>
      <w:r w:rsidR="00A53A10">
        <w:rPr>
          <w:rFonts w:cs="Times New Roman"/>
          <w:lang w:val="en-US"/>
        </w:rPr>
        <w:t xml:space="preserve">s (22.04%, </w:t>
      </w:r>
      <w:r w:rsidRPr="00881752">
        <w:rPr>
          <w:rFonts w:cs="Times New Roman"/>
          <w:b/>
          <w:bCs/>
          <w:lang w:val="en-US"/>
        </w:rPr>
        <w:t>1</w:t>
      </w:r>
      <w:r w:rsidRPr="00881752">
        <w:rPr>
          <w:rFonts w:cs="Times New Roman"/>
          <w:lang w:val="en-US"/>
        </w:rPr>
        <w:t xml:space="preserve"> D.3); however, Archilochus</w:t>
      </w:r>
      <w:r w:rsidR="00075F5F">
        <w:rPr>
          <w:rFonts w:cs="Times New Roman"/>
          <w:lang w:val="en-US"/>
        </w:rPr>
        <w:t>’</w:t>
      </w:r>
      <w:r w:rsidRPr="00881752">
        <w:rPr>
          <w:rFonts w:cs="Times New Roman"/>
          <w:lang w:val="en-US"/>
        </w:rPr>
        <w:t xml:space="preserve"> corpus is bigger than Hipponax</w:t>
      </w:r>
      <w:r w:rsidR="00075F5F">
        <w:rPr>
          <w:rFonts w:cs="Times New Roman"/>
          <w:lang w:val="en-US"/>
        </w:rPr>
        <w:t>’</w:t>
      </w:r>
      <w:r w:rsidRPr="00881752">
        <w:rPr>
          <w:rFonts w:cs="Times New Roman"/>
          <w:lang w:val="en-US"/>
        </w:rPr>
        <w:t>, and comparing both the number of words which Callimachus borrows from Archilochus</w:t>
      </w:r>
      <w:r w:rsidR="00075F5F">
        <w:rPr>
          <w:rFonts w:cs="Times New Roman"/>
          <w:lang w:val="en-US"/>
        </w:rPr>
        <w:t>’</w:t>
      </w:r>
      <w:r w:rsidRPr="00881752">
        <w:rPr>
          <w:rFonts w:cs="Times New Roman"/>
          <w:lang w:val="en-US"/>
        </w:rPr>
        <w:t xml:space="preserve"> vocabulary to the extent of Archilochus</w:t>
      </w:r>
      <w:r w:rsidR="00075F5F">
        <w:rPr>
          <w:rFonts w:cs="Times New Roman"/>
          <w:lang w:val="en-US"/>
        </w:rPr>
        <w:t>’</w:t>
      </w:r>
      <w:r w:rsidRPr="00881752">
        <w:rPr>
          <w:rFonts w:cs="Times New Roman"/>
          <w:lang w:val="en-US"/>
        </w:rPr>
        <w:t xml:space="preserve"> vocabulary and the number of words which Callimachus borrows from </w:t>
      </w:r>
      <w:r w:rsidR="00075F5F">
        <w:rPr>
          <w:rFonts w:cs="Times New Roman"/>
          <w:lang w:val="en-US"/>
        </w:rPr>
        <w:t xml:space="preserve">Hipponax’s </w:t>
      </w:r>
      <w:r w:rsidRPr="00881752">
        <w:rPr>
          <w:rFonts w:cs="Times New Roman"/>
          <w:lang w:val="en-US"/>
        </w:rPr>
        <w:t xml:space="preserve">vocabulary to the extent of </w:t>
      </w:r>
      <w:r w:rsidR="00075F5F">
        <w:rPr>
          <w:rFonts w:cs="Times New Roman"/>
          <w:lang w:val="en-US"/>
        </w:rPr>
        <w:t xml:space="preserve">Hipponax’s </w:t>
      </w:r>
      <w:r w:rsidRPr="00881752">
        <w:rPr>
          <w:rFonts w:cs="Times New Roman"/>
          <w:lang w:val="en-US"/>
        </w:rPr>
        <w:t>vocabulary show that Callimachus draws respectively a percentage of 20.89% (</w:t>
      </w:r>
      <w:r w:rsidRPr="00881752">
        <w:rPr>
          <w:rFonts w:cs="Times New Roman"/>
          <w:b/>
          <w:bCs/>
          <w:lang w:val="en-US"/>
        </w:rPr>
        <w:t>1</w:t>
      </w:r>
      <w:r w:rsidRPr="00881752">
        <w:rPr>
          <w:rFonts w:cs="Times New Roman"/>
          <w:lang w:val="en-US"/>
        </w:rPr>
        <w:t xml:space="preserve"> D.2), and one of 20.14% (</w:t>
      </w:r>
      <w:r w:rsidRPr="00881752">
        <w:rPr>
          <w:rFonts w:cs="Times New Roman"/>
          <w:b/>
          <w:bCs/>
          <w:lang w:val="en-US"/>
        </w:rPr>
        <w:t>1</w:t>
      </w:r>
      <w:r w:rsidRPr="00881752">
        <w:rPr>
          <w:rFonts w:cs="Times New Roman"/>
          <w:lang w:val="en-US"/>
        </w:rPr>
        <w:t xml:space="preserve"> D.3). Therefore, it is possible to say that Callimachus borrows from each of his archaic models a bit more than 20% of their vocabulary. This makes the traditionally iambic vocabulary a tiny component of the vocabulary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Still, I suggest that this fact is typical of iambic poetry: Hipponax</w:t>
      </w:r>
      <w:r w:rsidR="00075F5F">
        <w:rPr>
          <w:rFonts w:cs="Times New Roman"/>
          <w:lang w:val="en-US"/>
        </w:rPr>
        <w:t>’</w:t>
      </w:r>
      <w:r w:rsidRPr="00881752">
        <w:rPr>
          <w:rFonts w:cs="Times New Roman"/>
          <w:lang w:val="en-US"/>
        </w:rPr>
        <w:t>s fragments include 24.3% of Archilochus</w:t>
      </w:r>
      <w:r w:rsidR="00075F5F">
        <w:rPr>
          <w:rFonts w:cs="Times New Roman"/>
          <w:lang w:val="en-US"/>
        </w:rPr>
        <w:t>’</w:t>
      </w:r>
      <w:r w:rsidRPr="00881752">
        <w:rPr>
          <w:rFonts w:cs="Times New Roman"/>
          <w:lang w:val="en-US"/>
        </w:rPr>
        <w:t xml:space="preserve"> vocabulary (</w:t>
      </w:r>
      <w:r w:rsidRPr="00881752">
        <w:rPr>
          <w:rFonts w:cs="Times New Roman"/>
          <w:b/>
          <w:bCs/>
          <w:lang w:val="en-US"/>
        </w:rPr>
        <w:t>1</w:t>
      </w:r>
      <w:r w:rsidRPr="00881752">
        <w:rPr>
          <w:rFonts w:cs="Times New Roman"/>
          <w:lang w:val="en-US"/>
        </w:rPr>
        <w:t xml:space="preserve"> D.5), which corresponds to 21.5% of the total words in Archilochus</w:t>
      </w:r>
      <w:r w:rsidR="00075F5F">
        <w:rPr>
          <w:rFonts w:cs="Times New Roman"/>
          <w:lang w:val="en-US"/>
        </w:rPr>
        <w:t>’</w:t>
      </w:r>
      <w:r w:rsidRPr="00881752">
        <w:rPr>
          <w:rFonts w:cs="Times New Roman"/>
          <w:lang w:val="en-US"/>
        </w:rPr>
        <w:t xml:space="preserve"> corpus (</w:t>
      </w:r>
      <w:r w:rsidRPr="00881752">
        <w:rPr>
          <w:rFonts w:cs="Times New Roman"/>
          <w:b/>
          <w:bCs/>
          <w:lang w:val="en-US"/>
        </w:rPr>
        <w:t>1</w:t>
      </w:r>
      <w:r w:rsidRPr="00881752">
        <w:rPr>
          <w:rFonts w:cs="Times New Roman"/>
          <w:lang w:val="en-US"/>
        </w:rPr>
        <w:t xml:space="preserve"> D.5); it means that Hipponax draws from Archilochus</w:t>
      </w:r>
      <w:r w:rsidR="00075F5F">
        <w:rPr>
          <w:rFonts w:cs="Times New Roman"/>
          <w:lang w:val="en-US"/>
        </w:rPr>
        <w:t>’</w:t>
      </w:r>
      <w:r w:rsidRPr="00881752">
        <w:rPr>
          <w:rFonts w:cs="Times New Roman"/>
          <w:lang w:val="en-US"/>
        </w:rPr>
        <w:t xml:space="preserve"> vocabulary a very little bit more (21.5%) than Callimachus from Archilochus (20.89%) and from Hipponax (20.14%). Hence, one may suggest that lexically differentiating from other iambographers is a linguistic feature of iambic texts.</w:t>
      </w:r>
    </w:p>
    <w:p w14:paraId="73BBE603" w14:textId="0A784392" w:rsidR="004E24A1" w:rsidRPr="00881752" w:rsidRDefault="004E24A1" w:rsidP="004E24A1">
      <w:pPr>
        <w:ind w:firstLine="426"/>
        <w:rPr>
          <w:rFonts w:cs="Times New Roman"/>
          <w:lang w:val="en-US"/>
        </w:rPr>
      </w:pPr>
      <w:r w:rsidRPr="00881752">
        <w:rPr>
          <w:rFonts w:cs="Times New Roman"/>
          <w:lang w:val="en-US"/>
        </w:rPr>
        <w:t>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are lexically autonomous not only compared to iambic tradition, but also compared to the vocabulary of the whole Callimachian corpus, since more than 30% of the words in the </w:t>
      </w:r>
      <w:r w:rsidRPr="00881752">
        <w:rPr>
          <w:rFonts w:cs="Times New Roman"/>
          <w:i/>
          <w:iCs/>
          <w:lang w:val="en-US"/>
        </w:rPr>
        <w:t>Iambi</w:t>
      </w:r>
      <w:r w:rsidRPr="00881752">
        <w:rPr>
          <w:rFonts w:cs="Times New Roman"/>
          <w:lang w:val="en-US"/>
        </w:rPr>
        <w:t xml:space="preserve"> do not occur in any other work of Callimachus</w:t>
      </w:r>
      <w:r w:rsidRPr="00881752">
        <w:rPr>
          <w:rFonts w:cs="Times New Roman"/>
          <w:i/>
          <w:iCs/>
          <w:lang w:val="en-US"/>
        </w:rPr>
        <w:t xml:space="preserve"> </w:t>
      </w:r>
      <w:r w:rsidRPr="00881752">
        <w:rPr>
          <w:rFonts w:cs="Times New Roman"/>
          <w:lang w:val="en-US"/>
        </w:rPr>
        <w:t>(</w:t>
      </w:r>
      <w:r w:rsidRPr="00881752">
        <w:rPr>
          <w:rFonts w:cs="Times New Roman"/>
          <w:b/>
          <w:bCs/>
          <w:lang w:val="en-US"/>
        </w:rPr>
        <w:t>1</w:t>
      </w:r>
      <w:r w:rsidRPr="00881752">
        <w:rPr>
          <w:rFonts w:cs="Times New Roman"/>
          <w:lang w:val="en-US"/>
        </w:rPr>
        <w:t xml:space="preserve"> D.4). It is worth noting that almost 15% of these uniquely iambic words are compound verbs which correspond to the structure [preposition + verb] (</w:t>
      </w:r>
      <w:r w:rsidRPr="00881752">
        <w:rPr>
          <w:rFonts w:cs="Times New Roman"/>
          <w:b/>
          <w:bCs/>
          <w:lang w:val="en-US"/>
        </w:rPr>
        <w:t>1</w:t>
      </w:r>
      <w:r w:rsidRPr="00881752">
        <w:rPr>
          <w:rFonts w:cs="Times New Roman"/>
          <w:lang w:val="en-US"/>
        </w:rPr>
        <w:t xml:space="preserve"> D.4), and this confirms my analysis of tmesis in Callimachus.</w:t>
      </w:r>
      <w:r w:rsidRPr="00881752">
        <w:rPr>
          <w:rStyle w:val="FootnoteReference"/>
          <w:rFonts w:cs="Times New Roman"/>
          <w:lang w:val="en-US"/>
        </w:rPr>
        <w:footnoteReference w:id="173"/>
      </w:r>
      <w:r w:rsidRPr="00881752">
        <w:rPr>
          <w:rFonts w:cs="Times New Roman"/>
          <w:lang w:val="en-US"/>
        </w:rPr>
        <w:t xml:space="preserve"> </w:t>
      </w:r>
    </w:p>
    <w:p w14:paraId="7A02E0D1" w14:textId="15BA4D94" w:rsidR="00272F31" w:rsidRPr="00881752" w:rsidRDefault="004E24A1" w:rsidP="00695A7C">
      <w:pPr>
        <w:rPr>
          <w:rFonts w:cs="Times New Roman"/>
          <w:szCs w:val="24"/>
        </w:rPr>
      </w:pPr>
      <w:r w:rsidRPr="00881752">
        <w:rPr>
          <w:rFonts w:cs="Times New Roman"/>
          <w:lang w:val="en-US"/>
        </w:rPr>
        <w:tab/>
        <w:t>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have no particularly strong lexical influence from his iambic predecessors, but are </w:t>
      </w:r>
      <w:r w:rsidRPr="00881752">
        <w:rPr>
          <w:rFonts w:cs="Times New Roman"/>
          <w:i/>
          <w:iCs/>
          <w:lang w:val="en-US"/>
        </w:rPr>
        <w:t>poikíloi</w:t>
      </w:r>
      <w:r w:rsidRPr="00881752">
        <w:rPr>
          <w:rFonts w:cs="Times New Roman"/>
          <w:lang w:val="en-US"/>
        </w:rPr>
        <w:t>, since their vocabulary reveals a great deal of variation, showing strong influences of both Homeric and post-Homeric poetry and classical prose.</w:t>
      </w:r>
    </w:p>
    <w:p w14:paraId="1B553E04" w14:textId="6D211CF3" w:rsidR="00272F31" w:rsidRPr="00881752" w:rsidRDefault="00E125F9" w:rsidP="00825A39">
      <w:pPr>
        <w:pStyle w:val="Heading4"/>
        <w:rPr>
          <w:rFonts w:cs="Times New Roman"/>
        </w:rPr>
      </w:pPr>
      <w:r w:rsidRPr="00881752">
        <w:rPr>
          <w:rFonts w:cs="Times New Roman"/>
        </w:rPr>
        <w:lastRenderedPageBreak/>
        <w:t xml:space="preserve">1.7.1 </w:t>
      </w:r>
      <w:r w:rsidR="00272F31" w:rsidRPr="00881752">
        <w:rPr>
          <w:rFonts w:cs="Times New Roman"/>
        </w:rPr>
        <w:t xml:space="preserve">Evidence of </w:t>
      </w:r>
      <w:r w:rsidR="003B1451" w:rsidRPr="00881752">
        <w:rPr>
          <w:rFonts w:cs="Times New Roman"/>
        </w:rPr>
        <w:t>M</w:t>
      </w:r>
      <w:r w:rsidR="00272F31" w:rsidRPr="00881752">
        <w:rPr>
          <w:rFonts w:cs="Times New Roman"/>
        </w:rPr>
        <w:t xml:space="preserve">ultiple </w:t>
      </w:r>
      <w:r w:rsidR="003B1451" w:rsidRPr="00881752">
        <w:rPr>
          <w:rFonts w:cs="Times New Roman"/>
        </w:rPr>
        <w:t>I</w:t>
      </w:r>
      <w:r w:rsidR="00272F31" w:rsidRPr="00881752">
        <w:rPr>
          <w:rFonts w:cs="Times New Roman"/>
        </w:rPr>
        <w:t xml:space="preserve">nfluences on </w:t>
      </w:r>
      <w:r w:rsidR="003B1451" w:rsidRPr="00881752">
        <w:rPr>
          <w:rFonts w:cs="Times New Roman"/>
        </w:rPr>
        <w:t>the V</w:t>
      </w:r>
      <w:r w:rsidR="00272F31" w:rsidRPr="00881752">
        <w:rPr>
          <w:rFonts w:cs="Times New Roman"/>
        </w:rPr>
        <w:t>ocabulary</w:t>
      </w:r>
      <w:r w:rsidR="003B1451" w:rsidRPr="00881752">
        <w:rPr>
          <w:rFonts w:cs="Times New Roman"/>
        </w:rPr>
        <w:t xml:space="preserve"> of the </w:t>
      </w:r>
      <w:r w:rsidR="003B1451" w:rsidRPr="00881752">
        <w:rPr>
          <w:rFonts w:cs="Times New Roman"/>
          <w:i/>
        </w:rPr>
        <w:t>Iambi</w:t>
      </w:r>
    </w:p>
    <w:p w14:paraId="3038D28E" w14:textId="262BC7EB" w:rsidR="00272F31" w:rsidRPr="00881752" w:rsidRDefault="004E24A1" w:rsidP="00E95AF7">
      <w:pPr>
        <w:rPr>
          <w:rFonts w:cs="Times New Roman"/>
          <w:szCs w:val="24"/>
        </w:rPr>
      </w:pPr>
      <w:r w:rsidRPr="00881752">
        <w:rPr>
          <w:rFonts w:cs="Times New Roman"/>
          <w:lang w:val="en-US"/>
        </w:rPr>
        <w:t xml:space="preserve">Within the vocabulary of </w:t>
      </w:r>
      <w:r w:rsidRPr="00881752">
        <w:rPr>
          <w:rFonts w:cs="Times New Roman"/>
          <w:i/>
          <w:iCs/>
          <w:lang w:val="en-US"/>
        </w:rPr>
        <w:t>Iambi</w:t>
      </w:r>
      <w:r w:rsidRPr="00881752">
        <w:rPr>
          <w:rFonts w:cs="Times New Roman"/>
          <w:lang w:val="en-US"/>
        </w:rPr>
        <w:t xml:space="preserve">, it is possible to find both poetic and prosaic words of different origin: below I will list some examples which clarify the extent to which the Alexandrian poet uses words belonging to different literary genres which are very distinct from each other, and show how Callimachus combines them in his </w:t>
      </w:r>
      <w:r w:rsidRPr="00881752">
        <w:rPr>
          <w:rFonts w:cs="Times New Roman"/>
          <w:i/>
          <w:iCs/>
          <w:lang w:val="en-US"/>
        </w:rPr>
        <w:t>Iambi</w:t>
      </w:r>
      <w:r w:rsidRPr="00881752">
        <w:rPr>
          <w:rFonts w:cs="Times New Roman"/>
          <w:lang w:val="en-US"/>
        </w:rPr>
        <w:t xml:space="preserve">. </w:t>
      </w:r>
    </w:p>
    <w:p w14:paraId="46D173AA" w14:textId="77777777" w:rsidR="002C29A2" w:rsidRDefault="002C29A2" w:rsidP="00F56C73">
      <w:pPr>
        <w:rPr>
          <w:rFonts w:cs="Times New Roman"/>
          <w:i/>
          <w:szCs w:val="24"/>
        </w:rPr>
      </w:pPr>
    </w:p>
    <w:p w14:paraId="0EF266C8" w14:textId="06456F7D" w:rsidR="00272F31" w:rsidRPr="00881752" w:rsidRDefault="00272F31" w:rsidP="00F56C73">
      <w:pPr>
        <w:rPr>
          <w:rFonts w:cs="Times New Roman"/>
          <w:szCs w:val="24"/>
        </w:rPr>
      </w:pPr>
      <w:r w:rsidRPr="00881752">
        <w:rPr>
          <w:rFonts w:cs="Times New Roman"/>
          <w:i/>
          <w:szCs w:val="24"/>
        </w:rPr>
        <w:t>Poetic words</w:t>
      </w:r>
      <w:r w:rsidRPr="00881752">
        <w:rPr>
          <w:rFonts w:cs="Times New Roman"/>
          <w:szCs w:val="24"/>
        </w:rPr>
        <w:t xml:space="preserve"> such as:</w:t>
      </w:r>
    </w:p>
    <w:p w14:paraId="5567A94B" w14:textId="151DAC72" w:rsidR="004E24A1" w:rsidRPr="00881752" w:rsidRDefault="004E24A1" w:rsidP="00881752">
      <w:pPr>
        <w:widowControl w:val="0"/>
        <w:numPr>
          <w:ilvl w:val="0"/>
          <w:numId w:val="175"/>
        </w:numPr>
        <w:tabs>
          <w:tab w:val="clear" w:pos="425"/>
          <w:tab w:val="left" w:pos="426"/>
          <w:tab w:val="center" w:pos="5387"/>
        </w:tabs>
        <w:ind w:hanging="578"/>
        <w:rPr>
          <w:rFonts w:cs="Times New Roman"/>
          <w:lang w:val="en-US"/>
        </w:rPr>
      </w:pPr>
      <w:r w:rsidRPr="00881752">
        <w:rPr>
          <w:rFonts w:cs="Times New Roman"/>
          <w:lang w:val="en-US"/>
        </w:rPr>
        <w:t>coinages drawn from Archilochus</w:t>
      </w:r>
      <w:r w:rsidR="00075F5F">
        <w:rPr>
          <w:rFonts w:cs="Times New Roman"/>
          <w:lang w:val="en-US"/>
        </w:rPr>
        <w:t>’</w:t>
      </w:r>
      <w:r w:rsidRPr="00881752">
        <w:rPr>
          <w:rFonts w:cs="Times New Roman"/>
          <w:lang w:val="en-US"/>
        </w:rPr>
        <w:t xml:space="preserve"> and </w:t>
      </w:r>
      <w:r w:rsidR="00075F5F">
        <w:rPr>
          <w:rFonts w:cs="Times New Roman"/>
          <w:lang w:val="en-US"/>
        </w:rPr>
        <w:t xml:space="preserve">Hipponax’s </w:t>
      </w:r>
      <w:r w:rsidRPr="00881752">
        <w:rPr>
          <w:rFonts w:cs="Times New Roman"/>
          <w:lang w:val="en-US"/>
        </w:rPr>
        <w:t xml:space="preserve">iambic texts, for example: </w:t>
      </w:r>
    </w:p>
    <w:p w14:paraId="04D68814" w14:textId="7E581CDF" w:rsidR="004E24A1" w:rsidRPr="00881752" w:rsidRDefault="004E24A1" w:rsidP="00881752">
      <w:pPr>
        <w:widowControl w:val="0"/>
        <w:numPr>
          <w:ilvl w:val="0"/>
          <w:numId w:val="46"/>
        </w:numPr>
        <w:tabs>
          <w:tab w:val="left" w:pos="709"/>
          <w:tab w:val="left" w:pos="1080"/>
        </w:tabs>
        <w:ind w:left="709" w:hanging="283"/>
        <w:rPr>
          <w:rFonts w:cs="Times New Roman"/>
          <w:lang w:val="en-US"/>
        </w:rPr>
      </w:pPr>
      <w:r w:rsidRPr="00881752">
        <w:rPr>
          <w:rFonts w:cs="Times New Roman"/>
          <w:lang w:val="en-US"/>
        </w:rPr>
        <w:t xml:space="preserve">θωϊή </w:t>
      </w:r>
      <w:r w:rsidR="00CC0615">
        <w:rPr>
          <w:rFonts w:cs="Times New Roman"/>
          <w:lang w:val="en-US"/>
        </w:rPr>
        <w:t>“</w:t>
      </w:r>
      <w:r w:rsidRPr="00881752">
        <w:rPr>
          <w:rFonts w:cs="Times New Roman"/>
          <w:lang w:val="en-US"/>
        </w:rPr>
        <w:t>punishment</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5.22), borrowed from Archil. fr. 170: ὣς δ</w:t>
      </w:r>
      <w:r w:rsidR="00075F5F">
        <w:rPr>
          <w:rFonts w:cs="Times New Roman"/>
          <w:lang w:val="en-US"/>
        </w:rPr>
        <w:t>’</w:t>
      </w:r>
      <w:r w:rsidRPr="00881752">
        <w:rPr>
          <w:rFonts w:cs="Times New Roman"/>
          <w:lang w:val="en-US"/>
        </w:rPr>
        <w:t xml:space="preserve"> ἄν σε θωϊὴ λάβοι </w:t>
      </w:r>
      <w:r w:rsidR="00CC0615">
        <w:rPr>
          <w:rFonts w:cs="Times New Roman"/>
          <w:lang w:val="en-US"/>
        </w:rPr>
        <w:t>“</w:t>
      </w:r>
      <w:r w:rsidRPr="00881752">
        <w:rPr>
          <w:rFonts w:cs="Times New Roman"/>
          <w:lang w:val="en-US"/>
        </w:rPr>
        <w:t>so could punishment overtake you</w:t>
      </w:r>
      <w:r w:rsidR="00CC0615">
        <w:rPr>
          <w:rFonts w:cs="Times New Roman"/>
          <w:lang w:val="en-US"/>
        </w:rPr>
        <w:t>”</w:t>
      </w:r>
      <w:r w:rsidRPr="00881752">
        <w:rPr>
          <w:rFonts w:cs="Times New Roman"/>
          <w:lang w:val="en-US"/>
        </w:rPr>
        <w:t xml:space="preserve">; </w:t>
      </w:r>
    </w:p>
    <w:p w14:paraId="352F14F9" w14:textId="1ECB44DB" w:rsidR="004E24A1" w:rsidRPr="00881752" w:rsidRDefault="004E24A1" w:rsidP="00881752">
      <w:pPr>
        <w:widowControl w:val="0"/>
        <w:numPr>
          <w:ilvl w:val="0"/>
          <w:numId w:val="46"/>
        </w:numPr>
        <w:tabs>
          <w:tab w:val="left" w:pos="709"/>
          <w:tab w:val="left" w:pos="1080"/>
        </w:tabs>
        <w:ind w:left="709" w:hanging="283"/>
        <w:rPr>
          <w:rFonts w:cs="Times New Roman"/>
          <w:lang w:val="en-US"/>
        </w:rPr>
      </w:pPr>
      <w:r w:rsidRPr="00881752">
        <w:rPr>
          <w:rFonts w:cs="Times New Roman"/>
          <w:lang w:val="en-US"/>
        </w:rPr>
        <w:t xml:space="preserve">καπηλεύω </w:t>
      </w:r>
      <w:r w:rsidR="00CC0615">
        <w:rPr>
          <w:rFonts w:cs="Times New Roman"/>
          <w:lang w:val="en-US"/>
        </w:rPr>
        <w:t>“</w:t>
      </w:r>
      <w:r w:rsidRPr="00881752">
        <w:rPr>
          <w:rFonts w:cs="Times New Roman"/>
          <w:lang w:val="en-US"/>
        </w:rPr>
        <w:t>trade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1.89), borrowed from Hippon. fr. 79.18: ὅκου τὸν ἔρπιν ὁ σκότος καπηλεύει </w:t>
      </w:r>
      <w:r w:rsidR="00CC0615">
        <w:rPr>
          <w:rFonts w:cs="Times New Roman"/>
          <w:lang w:val="en-US"/>
        </w:rPr>
        <w:t>“</w:t>
      </w:r>
      <w:r w:rsidRPr="00881752">
        <w:rPr>
          <w:rFonts w:cs="Times New Roman"/>
          <w:lang w:val="en-US"/>
        </w:rPr>
        <w:t>where the swindler sells wine.</w:t>
      </w:r>
      <w:r w:rsidR="00CC0615">
        <w:rPr>
          <w:rFonts w:cs="Times New Roman"/>
          <w:lang w:val="en-US"/>
        </w:rPr>
        <w:t>”</w:t>
      </w:r>
    </w:p>
    <w:p w14:paraId="428D2368" w14:textId="77777777" w:rsidR="004E24A1" w:rsidRPr="00881752" w:rsidRDefault="004E24A1" w:rsidP="002C29A2">
      <w:pPr>
        <w:widowControl w:val="0"/>
        <w:numPr>
          <w:ilvl w:val="0"/>
          <w:numId w:val="175"/>
        </w:numPr>
        <w:tabs>
          <w:tab w:val="clear" w:pos="425"/>
          <w:tab w:val="left" w:pos="426"/>
          <w:tab w:val="center" w:pos="5387"/>
        </w:tabs>
        <w:ind w:hanging="578"/>
        <w:rPr>
          <w:rFonts w:cs="Times New Roman"/>
          <w:lang w:val="en-US"/>
        </w:rPr>
      </w:pPr>
      <w:r w:rsidRPr="00881752">
        <w:rPr>
          <w:rFonts w:cs="Times New Roman"/>
          <w:lang w:val="en-US"/>
        </w:rPr>
        <w:t xml:space="preserve">words drawn from comedy, for example: </w:t>
      </w:r>
    </w:p>
    <w:p w14:paraId="3B9424F9" w14:textId="50154FA4" w:rsidR="004E24A1" w:rsidRPr="00881752" w:rsidRDefault="004E24A1">
      <w:pPr>
        <w:widowControl w:val="0"/>
        <w:numPr>
          <w:ilvl w:val="0"/>
          <w:numId w:val="47"/>
        </w:numPr>
        <w:tabs>
          <w:tab w:val="left" w:pos="709"/>
          <w:tab w:val="left" w:pos="1080"/>
        </w:tabs>
        <w:ind w:left="709" w:hanging="283"/>
        <w:rPr>
          <w:rFonts w:cs="Times New Roman"/>
          <w:lang w:val="en-US"/>
        </w:rPr>
      </w:pPr>
      <w:r w:rsidRPr="00881752">
        <w:rPr>
          <w:rFonts w:cs="Times New Roman"/>
          <w:lang w:val="en-US"/>
        </w:rPr>
        <w:t xml:space="preserve">ληκάω </w:t>
      </w:r>
      <w:r w:rsidR="00CC0615">
        <w:rPr>
          <w:rFonts w:cs="Times New Roman"/>
          <w:lang w:val="en-US"/>
        </w:rPr>
        <w:t>“</w:t>
      </w:r>
      <w:r w:rsidRPr="00881752">
        <w:rPr>
          <w:rFonts w:cs="Times New Roman"/>
          <w:lang w:val="en-US"/>
        </w:rPr>
        <w:t>fornicate</w:t>
      </w:r>
      <w:r w:rsidR="00CC0615">
        <w:rPr>
          <w:rFonts w:cs="Times New Roman"/>
          <w:lang w:val="en-US"/>
        </w:rPr>
        <w:t>”</w:t>
      </w:r>
      <w:r w:rsidRPr="00881752">
        <w:rPr>
          <w:rStyle w:val="FootnoteReference"/>
          <w:rFonts w:cs="Times New Roman"/>
          <w:lang w:val="en-US"/>
        </w:rPr>
        <w:footnoteReference w:id="174"/>
      </w:r>
      <w:r w:rsidRPr="00881752">
        <w:rPr>
          <w:rFonts w:cs="Times New Roman"/>
          <w:lang w:val="en-US"/>
        </w:rPr>
        <w:t xml:space="preserve"> (</w:t>
      </w:r>
      <w:r w:rsidRPr="00881752">
        <w:rPr>
          <w:rFonts w:cs="Times New Roman"/>
          <w:i/>
          <w:iCs/>
          <w:lang w:val="en-US"/>
        </w:rPr>
        <w:t>Ia</w:t>
      </w:r>
      <w:r w:rsidRPr="00881752">
        <w:rPr>
          <w:rFonts w:cs="Times New Roman"/>
          <w:lang w:val="en-US"/>
        </w:rPr>
        <w:t>. 3.10), which is used once by Aristophanes: οὐδ</w:t>
      </w:r>
      <w:r w:rsidR="00075F5F">
        <w:rPr>
          <w:rFonts w:cs="Times New Roman"/>
          <w:lang w:val="en-US"/>
        </w:rPr>
        <w:t>’</w:t>
      </w:r>
      <w:r w:rsidRPr="00881752">
        <w:rPr>
          <w:rFonts w:cs="Times New Roman"/>
          <w:lang w:val="en-US"/>
        </w:rPr>
        <w:t xml:space="preserve"> ὡς ὅταν μάλισθ</w:t>
      </w:r>
      <w:r w:rsidR="00075F5F">
        <w:rPr>
          <w:rFonts w:cs="Times New Roman"/>
          <w:lang w:val="en-US"/>
        </w:rPr>
        <w:t>’</w:t>
      </w:r>
      <w:r w:rsidRPr="00881752">
        <w:rPr>
          <w:rFonts w:cs="Times New Roman"/>
          <w:lang w:val="en-US"/>
        </w:rPr>
        <w:t xml:space="preserve"> ὑπό του ληκώμεθα / τὴν νύχθ</w:t>
      </w:r>
      <w:r w:rsidR="00075F5F">
        <w:rPr>
          <w:rFonts w:cs="Times New Roman"/>
          <w:lang w:val="en-US"/>
        </w:rPr>
        <w:t>’</w:t>
      </w:r>
      <w:r w:rsidRPr="00881752">
        <w:rPr>
          <w:rFonts w:cs="Times New Roman"/>
          <w:lang w:val="en-US"/>
        </w:rPr>
        <w:t xml:space="preserve"> </w:t>
      </w:r>
      <w:r w:rsidR="00CC0615">
        <w:rPr>
          <w:rFonts w:cs="Times New Roman"/>
          <w:lang w:val="en-US"/>
        </w:rPr>
        <w:t>“</w:t>
      </w:r>
      <w:r w:rsidRPr="00881752">
        <w:rPr>
          <w:rFonts w:cs="Times New Roman"/>
          <w:lang w:val="en-US"/>
        </w:rPr>
        <w:t>Neither if we are banged and banged by someone for all the night</w:t>
      </w:r>
      <w:r w:rsidR="00CC0615">
        <w:rPr>
          <w:rFonts w:cs="Times New Roman"/>
          <w:lang w:val="en-US"/>
        </w:rPr>
        <w:t>”</w:t>
      </w:r>
      <w:r w:rsidRPr="00881752">
        <w:rPr>
          <w:rFonts w:cs="Times New Roman"/>
          <w:i/>
          <w:iCs/>
          <w:lang w:val="en-US"/>
        </w:rPr>
        <w:t xml:space="preserve"> </w:t>
      </w:r>
      <w:r w:rsidRPr="00881752">
        <w:rPr>
          <w:rFonts w:cs="Times New Roman"/>
          <w:lang w:val="en-US"/>
        </w:rPr>
        <w:t>(</w:t>
      </w:r>
      <w:r w:rsidRPr="00881752">
        <w:rPr>
          <w:rFonts w:cs="Times New Roman"/>
          <w:i/>
          <w:iCs/>
          <w:lang w:val="en-US"/>
        </w:rPr>
        <w:t>Thesm</w:t>
      </w:r>
      <w:r w:rsidRPr="00881752">
        <w:rPr>
          <w:rFonts w:cs="Times New Roman"/>
          <w:lang w:val="en-US"/>
        </w:rPr>
        <w:t>. 493); and once by Pherecrates: ληκούμεσθ</w:t>
      </w:r>
      <w:r w:rsidR="00075F5F">
        <w:rPr>
          <w:rFonts w:cs="Times New Roman"/>
          <w:lang w:val="en-US"/>
        </w:rPr>
        <w:t>’</w:t>
      </w:r>
      <w:r w:rsidRPr="00881752">
        <w:rPr>
          <w:rFonts w:cs="Times New Roman"/>
          <w:lang w:val="en-US"/>
        </w:rPr>
        <w:t xml:space="preserve"> ὅλην τὴν νύκτα </w:t>
      </w:r>
      <w:r w:rsidR="00CC0615">
        <w:rPr>
          <w:rFonts w:cs="Times New Roman"/>
          <w:lang w:val="en-US"/>
        </w:rPr>
        <w:t>“</w:t>
      </w:r>
      <w:r w:rsidRPr="00881752">
        <w:rPr>
          <w:rFonts w:cs="Times New Roman"/>
          <w:lang w:val="en-US"/>
        </w:rPr>
        <w:t>we are banged for the whole night</w:t>
      </w:r>
      <w:r w:rsidR="00CC0615">
        <w:rPr>
          <w:rFonts w:cs="Times New Roman"/>
          <w:lang w:val="en-US"/>
        </w:rPr>
        <w:t>”</w:t>
      </w:r>
      <w:r w:rsidRPr="00881752">
        <w:rPr>
          <w:rFonts w:cs="Times New Roman"/>
          <w:lang w:val="en-US"/>
        </w:rPr>
        <w:t xml:space="preserve"> (fr. 253 K.-A.);</w:t>
      </w:r>
    </w:p>
    <w:p w14:paraId="3D5B3647" w14:textId="37CDC6B9" w:rsidR="004E24A1" w:rsidRPr="00881752" w:rsidRDefault="004E24A1">
      <w:pPr>
        <w:widowControl w:val="0"/>
        <w:numPr>
          <w:ilvl w:val="0"/>
          <w:numId w:val="47"/>
        </w:numPr>
        <w:tabs>
          <w:tab w:val="left" w:pos="709"/>
          <w:tab w:val="left" w:pos="1080"/>
          <w:tab w:val="center" w:pos="5387"/>
        </w:tabs>
        <w:ind w:left="709" w:hanging="283"/>
        <w:rPr>
          <w:rFonts w:cs="Times New Roman"/>
          <w:lang w:val="en-US"/>
        </w:rPr>
      </w:pPr>
      <w:r w:rsidRPr="00881752">
        <w:rPr>
          <w:rFonts w:cs="Times New Roman"/>
          <w:lang w:val="en-US"/>
        </w:rPr>
        <w:t xml:space="preserve">κόνδυλος </w:t>
      </w:r>
      <w:r w:rsidR="00CC0615">
        <w:rPr>
          <w:rFonts w:cs="Times New Roman"/>
          <w:lang w:val="en-US"/>
        </w:rPr>
        <w:t>“</w:t>
      </w:r>
      <w:r w:rsidRPr="00881752">
        <w:rPr>
          <w:rFonts w:cs="Times New Roman"/>
          <w:lang w:val="en-US"/>
        </w:rPr>
        <w:t>fist</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1.89), which occurs eight times in Aristophanes,</w:t>
      </w:r>
      <w:r w:rsidRPr="00881752">
        <w:rPr>
          <w:rStyle w:val="FootnoteReference"/>
          <w:rFonts w:cs="Times New Roman"/>
          <w:lang w:val="en-US"/>
        </w:rPr>
        <w:footnoteReference w:id="175"/>
      </w:r>
      <w:r w:rsidRPr="00881752">
        <w:rPr>
          <w:rFonts w:cs="Times New Roman"/>
          <w:lang w:val="en-US"/>
        </w:rPr>
        <w:t xml:space="preserve"> once in Aristophon,</w:t>
      </w:r>
      <w:r w:rsidRPr="00881752">
        <w:rPr>
          <w:rStyle w:val="FootnoteReference"/>
          <w:rFonts w:cs="Times New Roman"/>
          <w:lang w:val="en-US"/>
        </w:rPr>
        <w:footnoteReference w:id="176"/>
      </w:r>
      <w:r w:rsidRPr="00881752">
        <w:rPr>
          <w:rFonts w:cs="Times New Roman"/>
          <w:lang w:val="en-US"/>
        </w:rPr>
        <w:t xml:space="preserve"> once in Pherectrates,</w:t>
      </w:r>
      <w:r w:rsidRPr="00881752">
        <w:rPr>
          <w:rStyle w:val="FootnoteReference"/>
          <w:rFonts w:cs="Times New Roman"/>
          <w:lang w:val="en-US"/>
        </w:rPr>
        <w:footnoteReference w:id="177"/>
      </w:r>
      <w:r w:rsidRPr="00881752">
        <w:rPr>
          <w:rFonts w:cs="Times New Roman"/>
          <w:lang w:val="en-US"/>
        </w:rPr>
        <w:t xml:space="preserve"> and once in the </w:t>
      </w:r>
      <w:r w:rsidRPr="00881752">
        <w:rPr>
          <w:rFonts w:cs="Times New Roman"/>
          <w:i/>
          <w:iCs/>
          <w:lang w:val="en-US"/>
        </w:rPr>
        <w:t>Comica Adespota</w:t>
      </w:r>
      <w:r w:rsidRPr="00881752">
        <w:rPr>
          <w:rFonts w:cs="Times New Roman"/>
          <w:lang w:val="en-US"/>
        </w:rPr>
        <w:t>;</w:t>
      </w:r>
      <w:r w:rsidRPr="00881752">
        <w:rPr>
          <w:rStyle w:val="FootnoteReference"/>
          <w:rFonts w:cs="Times New Roman"/>
          <w:lang w:val="en-US"/>
        </w:rPr>
        <w:footnoteReference w:id="178"/>
      </w:r>
    </w:p>
    <w:p w14:paraId="6F3E291E" w14:textId="7618CFA5" w:rsidR="004E24A1" w:rsidRPr="00881752" w:rsidRDefault="004E24A1">
      <w:pPr>
        <w:widowControl w:val="0"/>
        <w:numPr>
          <w:ilvl w:val="0"/>
          <w:numId w:val="47"/>
        </w:numPr>
        <w:tabs>
          <w:tab w:val="left" w:pos="709"/>
          <w:tab w:val="left" w:pos="1080"/>
          <w:tab w:val="center" w:pos="5387"/>
        </w:tabs>
        <w:ind w:left="709" w:hanging="283"/>
        <w:rPr>
          <w:rFonts w:cs="Times New Roman"/>
          <w:lang w:val="en-US"/>
        </w:rPr>
      </w:pPr>
      <w:r w:rsidRPr="00881752">
        <w:rPr>
          <w:rFonts w:cs="Times New Roman"/>
          <w:lang w:val="en-US"/>
        </w:rPr>
        <w:t xml:space="preserve">κῦσος </w:t>
      </w:r>
      <w:r w:rsidR="00CC0615">
        <w:rPr>
          <w:rFonts w:cs="Times New Roman"/>
          <w:lang w:val="en-US"/>
        </w:rPr>
        <w:t>“</w:t>
      </w:r>
      <w:r w:rsidRPr="00881752">
        <w:rPr>
          <w:rFonts w:cs="Times New Roman"/>
          <w:lang w:val="en-US"/>
        </w:rPr>
        <w:t>ass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1.98), which occurs once in Aristophanes</w:t>
      </w:r>
      <w:r w:rsidR="00075F5F">
        <w:rPr>
          <w:rFonts w:cs="Times New Roman"/>
          <w:lang w:val="en-US"/>
        </w:rPr>
        <w:t>’</w:t>
      </w:r>
      <w:r w:rsidRPr="00881752">
        <w:rPr>
          <w:rFonts w:cs="Times New Roman"/>
          <w:lang w:val="en-US"/>
        </w:rPr>
        <w:t xml:space="preserve"> </w:t>
      </w:r>
      <w:r w:rsidRPr="00881752">
        <w:rPr>
          <w:rFonts w:cs="Times New Roman"/>
          <w:i/>
          <w:iCs/>
          <w:lang w:val="en-US"/>
        </w:rPr>
        <w:t>Ranae</w:t>
      </w:r>
      <w:r w:rsidRPr="00881752">
        <w:rPr>
          <w:rFonts w:cs="Times New Roman"/>
          <w:lang w:val="en-US"/>
        </w:rPr>
        <w:t>: καὶ Καλλίαν γέ φασι / τοῦτον τὸν Ἱπποκίνου / κύσθῳ</w:t>
      </w:r>
      <w:r w:rsidRPr="00881752">
        <w:rPr>
          <w:rStyle w:val="FootnoteReference"/>
          <w:rFonts w:cs="Times New Roman"/>
          <w:lang w:val="en-US"/>
        </w:rPr>
        <w:footnoteReference w:id="179"/>
      </w:r>
      <w:r w:rsidRPr="00881752">
        <w:rPr>
          <w:rFonts w:cs="Times New Roman"/>
          <w:lang w:val="en-US"/>
        </w:rPr>
        <w:t xml:space="preserve"> λεοντῆν ναυμαχεῖν ἐνημμένον </w:t>
      </w:r>
      <w:r w:rsidR="00CC0615">
        <w:rPr>
          <w:rFonts w:cs="Times New Roman"/>
          <w:lang w:val="en-US"/>
        </w:rPr>
        <w:t>“</w:t>
      </w:r>
      <w:r w:rsidRPr="00881752">
        <w:rPr>
          <w:rFonts w:cs="Times New Roman"/>
          <w:lang w:val="en-US"/>
        </w:rPr>
        <w:t>and Callias they say the son of Horsescrew fights naval battles with a lion skin covering his crack (428-430).</w:t>
      </w:r>
      <w:r w:rsidR="00CC0615">
        <w:rPr>
          <w:rFonts w:cs="Times New Roman"/>
          <w:lang w:val="en-US"/>
        </w:rPr>
        <w:t>”</w:t>
      </w:r>
      <w:r w:rsidRPr="00881752">
        <w:rPr>
          <w:rFonts w:cs="Times New Roman"/>
          <w:lang w:val="en-US"/>
        </w:rPr>
        <w:t xml:space="preserve"> It occurs also once in the </w:t>
      </w:r>
      <w:r w:rsidRPr="00881752">
        <w:rPr>
          <w:rFonts w:cs="Times New Roman"/>
          <w:i/>
          <w:iCs/>
          <w:lang w:val="en-US"/>
        </w:rPr>
        <w:t>Iambica Adespota</w:t>
      </w:r>
      <w:r w:rsidRPr="00881752">
        <w:rPr>
          <w:rFonts w:cs="Times New Roman"/>
          <w:lang w:val="en-US"/>
        </w:rPr>
        <w:t>,</w:t>
      </w:r>
      <w:r w:rsidRPr="00881752">
        <w:rPr>
          <w:rStyle w:val="FootnoteReference"/>
          <w:rFonts w:cs="Times New Roman"/>
          <w:lang w:val="en-US"/>
        </w:rPr>
        <w:footnoteReference w:id="180"/>
      </w:r>
      <w:r w:rsidRPr="00881752">
        <w:rPr>
          <w:rFonts w:cs="Times New Roman"/>
          <w:lang w:val="en-US"/>
        </w:rPr>
        <w:t xml:space="preserve"> and once in the </w:t>
      </w:r>
      <w:r w:rsidRPr="00881752">
        <w:rPr>
          <w:rFonts w:cs="Times New Roman"/>
          <w:i/>
          <w:iCs/>
          <w:lang w:val="en-US"/>
        </w:rPr>
        <w:t>Choliambica Adespota</w:t>
      </w:r>
      <w:r w:rsidRPr="00881752">
        <w:rPr>
          <w:rFonts w:cs="Times New Roman"/>
          <w:lang w:val="en-US"/>
        </w:rPr>
        <w:t>;</w:t>
      </w:r>
      <w:r w:rsidRPr="00881752">
        <w:rPr>
          <w:rStyle w:val="FootnoteReference"/>
          <w:rFonts w:cs="Times New Roman"/>
          <w:lang w:val="en-US"/>
        </w:rPr>
        <w:footnoteReference w:id="181"/>
      </w:r>
      <w:r w:rsidRPr="00881752">
        <w:rPr>
          <w:rFonts w:cs="Times New Roman"/>
          <w:lang w:val="en-US"/>
        </w:rPr>
        <w:t xml:space="preserve"> </w:t>
      </w:r>
    </w:p>
    <w:p w14:paraId="3EBC503F" w14:textId="4B8C3BED" w:rsidR="004E24A1" w:rsidRPr="00881752" w:rsidRDefault="004E24A1">
      <w:pPr>
        <w:widowControl w:val="0"/>
        <w:numPr>
          <w:ilvl w:val="0"/>
          <w:numId w:val="47"/>
        </w:numPr>
        <w:tabs>
          <w:tab w:val="left" w:pos="709"/>
          <w:tab w:val="left" w:pos="1080"/>
          <w:tab w:val="center" w:pos="5387"/>
        </w:tabs>
        <w:ind w:left="709" w:hanging="283"/>
        <w:rPr>
          <w:rFonts w:cs="Times New Roman"/>
          <w:lang w:val="en-US"/>
        </w:rPr>
      </w:pPr>
      <w:r w:rsidRPr="00881752">
        <w:rPr>
          <w:rFonts w:cs="Times New Roman"/>
          <w:lang w:val="en-US"/>
        </w:rPr>
        <w:t xml:space="preserve">νεῦρον </w:t>
      </w:r>
      <w:r w:rsidR="00CC0615">
        <w:rPr>
          <w:rFonts w:cs="Times New Roman"/>
          <w:lang w:val="en-US"/>
        </w:rPr>
        <w:t>“</w:t>
      </w:r>
      <w:r w:rsidRPr="00881752">
        <w:rPr>
          <w:rFonts w:cs="Times New Roman"/>
          <w:lang w:val="en-US"/>
        </w:rPr>
        <w:t>prick</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9.1), which occurs once in Aristophanes.</w:t>
      </w:r>
      <w:r w:rsidRPr="00881752">
        <w:rPr>
          <w:rStyle w:val="FootnoteReference"/>
          <w:rFonts w:cs="Times New Roman"/>
          <w:lang w:val="en-US"/>
        </w:rPr>
        <w:footnoteReference w:id="182"/>
      </w:r>
      <w:r w:rsidRPr="00881752">
        <w:rPr>
          <w:rFonts w:cs="Times New Roman"/>
          <w:lang w:val="en-US"/>
        </w:rPr>
        <w:t xml:space="preserve"> </w:t>
      </w:r>
    </w:p>
    <w:p w14:paraId="595F4D8A" w14:textId="498C4EDF" w:rsidR="004E24A1" w:rsidRPr="00881752" w:rsidRDefault="004E24A1">
      <w:pPr>
        <w:tabs>
          <w:tab w:val="center" w:pos="5387"/>
        </w:tabs>
        <w:ind w:left="426"/>
        <w:rPr>
          <w:rFonts w:cs="Times New Roman"/>
          <w:lang w:val="en-US"/>
        </w:rPr>
      </w:pPr>
      <w:r w:rsidRPr="00881752">
        <w:rPr>
          <w:rFonts w:cs="Times New Roman"/>
          <w:lang w:val="en-US"/>
        </w:rPr>
        <w:lastRenderedPageBreak/>
        <w:t>Note that all these words which Callimachus uses with a comic value, which draw this comic value from their instances in Greek Comedy (especially Aristophanes), are technical terms of medicine: indeed, they all occur very frequently in Hippocratis</w:t>
      </w:r>
      <w:r w:rsidR="00075F5F">
        <w:rPr>
          <w:rFonts w:cs="Times New Roman"/>
          <w:lang w:val="en-US"/>
        </w:rPr>
        <w:t>’</w:t>
      </w:r>
      <w:r w:rsidRPr="00881752">
        <w:rPr>
          <w:rFonts w:cs="Times New Roman"/>
          <w:lang w:val="en-US"/>
        </w:rPr>
        <w:t xml:space="preserve"> texts, in the </w:t>
      </w:r>
      <w:r w:rsidRPr="00881752">
        <w:rPr>
          <w:rFonts w:cs="Times New Roman"/>
          <w:i/>
          <w:iCs/>
          <w:lang w:val="en-US"/>
        </w:rPr>
        <w:t>Corpus Hippocraticum</w:t>
      </w:r>
      <w:r w:rsidRPr="00881752">
        <w:rPr>
          <w:rFonts w:cs="Times New Roman"/>
          <w:lang w:val="en-US"/>
        </w:rPr>
        <w:t>, and in Galenus</w:t>
      </w:r>
      <w:r w:rsidR="00075F5F">
        <w:rPr>
          <w:rFonts w:cs="Times New Roman"/>
          <w:lang w:val="en-US"/>
        </w:rPr>
        <w:t>’</w:t>
      </w:r>
      <w:r w:rsidRPr="00881752">
        <w:rPr>
          <w:rFonts w:cs="Times New Roman"/>
          <w:lang w:val="en-US"/>
        </w:rPr>
        <w:t xml:space="preserve"> work. Moving medico-technical terms from their original medical context to a comic and often obscene context is a rhetorical device already used by Hipponax. For example, Hipponax says μύξα </w:t>
      </w:r>
      <w:r w:rsidR="00CC0615">
        <w:rPr>
          <w:rFonts w:cs="Times New Roman"/>
          <w:lang w:val="en-US"/>
        </w:rPr>
        <w:t>“</w:t>
      </w:r>
      <w:r w:rsidRPr="00881752">
        <w:rPr>
          <w:rFonts w:cs="Times New Roman"/>
          <w:lang w:val="en-US"/>
        </w:rPr>
        <w:t>mucus</w:t>
      </w:r>
      <w:r w:rsidR="00CC0615">
        <w:rPr>
          <w:rFonts w:cs="Times New Roman"/>
          <w:lang w:val="en-US"/>
        </w:rPr>
        <w:t>”</w:t>
      </w:r>
      <w:r w:rsidRPr="00881752">
        <w:rPr>
          <w:rFonts w:cs="Times New Roman"/>
          <w:lang w:val="en-US"/>
        </w:rPr>
        <w:t xml:space="preserve"> </w:t>
      </w:r>
      <w:r w:rsidR="00075F5F">
        <w:rPr>
          <w:rFonts w:cs="Times New Roman"/>
          <w:lang w:val="en-US"/>
        </w:rPr>
        <w:t>–</w:t>
      </w:r>
      <w:r w:rsidRPr="00881752">
        <w:rPr>
          <w:rFonts w:cs="Times New Roman"/>
          <w:lang w:val="en-US"/>
        </w:rPr>
        <w:t xml:space="preserve"> drawing the term from the medical sphere</w:t>
      </w:r>
      <w:r w:rsidRPr="00881752">
        <w:rPr>
          <w:rStyle w:val="FootnoteReference"/>
          <w:rFonts w:cs="Times New Roman"/>
          <w:lang w:val="en-US"/>
        </w:rPr>
        <w:footnoteReference w:id="183"/>
      </w:r>
      <w:r w:rsidRPr="00881752">
        <w:rPr>
          <w:rFonts w:cs="Times New Roman"/>
          <w:lang w:val="en-US"/>
        </w:rPr>
        <w:t xml:space="preserve"> </w:t>
      </w:r>
      <w:r w:rsidR="00075F5F">
        <w:rPr>
          <w:rFonts w:cs="Times New Roman"/>
          <w:lang w:val="en-US"/>
        </w:rPr>
        <w:t>–</w:t>
      </w:r>
      <w:r w:rsidRPr="00881752">
        <w:rPr>
          <w:rFonts w:cs="Times New Roman"/>
          <w:lang w:val="en-US"/>
        </w:rPr>
        <w:t xml:space="preserve"> but the word in Hipponax</w:t>
      </w:r>
      <w:r w:rsidR="00075F5F">
        <w:rPr>
          <w:rFonts w:cs="Times New Roman"/>
          <w:lang w:val="en-US"/>
        </w:rPr>
        <w:t>’</w:t>
      </w:r>
      <w:r w:rsidRPr="00881752">
        <w:rPr>
          <w:rFonts w:cs="Times New Roman"/>
          <w:lang w:val="en-US"/>
        </w:rPr>
        <w:t xml:space="preserve">s fragment 25, stands for </w:t>
      </w:r>
      <w:r w:rsidR="00CC0615">
        <w:rPr>
          <w:rFonts w:cs="Times New Roman"/>
          <w:lang w:val="en-US"/>
        </w:rPr>
        <w:t>“</w:t>
      </w:r>
      <w:r w:rsidRPr="00881752">
        <w:rPr>
          <w:rFonts w:cs="Times New Roman"/>
          <w:lang w:val="en-US"/>
        </w:rPr>
        <w:t>wick</w:t>
      </w:r>
      <w:r w:rsidR="00CC0615">
        <w:rPr>
          <w:rFonts w:cs="Times New Roman"/>
          <w:lang w:val="en-US"/>
        </w:rPr>
        <w:t>”</w:t>
      </w:r>
      <w:r w:rsidRPr="00881752">
        <w:rPr>
          <w:rFonts w:cs="Times New Roman"/>
          <w:lang w:val="en-US"/>
        </w:rPr>
        <w:t xml:space="preserve"> (τὴν ῥῖνα καὶ τὴν μύξαν ἐξαράξασα </w:t>
      </w:r>
      <w:r w:rsidR="00CC0615">
        <w:rPr>
          <w:rFonts w:cs="Times New Roman"/>
          <w:lang w:val="en-US"/>
        </w:rPr>
        <w:t>“</w:t>
      </w:r>
      <w:r w:rsidRPr="00881752">
        <w:rPr>
          <w:rFonts w:cs="Times New Roman"/>
          <w:lang w:val="en-US"/>
        </w:rPr>
        <w:t>she, bashing his nose and knocking out the mucus,</w:t>
      </w:r>
      <w:r w:rsidR="00CC0615">
        <w:rPr>
          <w:rFonts w:cs="Times New Roman"/>
          <w:lang w:val="en-US"/>
        </w:rPr>
        <w:t>”</w:t>
      </w:r>
      <w:r w:rsidRPr="00881752">
        <w:rPr>
          <w:rFonts w:cs="Times New Roman"/>
          <w:lang w:val="en-US"/>
        </w:rPr>
        <w:t xml:space="preserve"> where ῥις is a metaphor for </w:t>
      </w:r>
      <w:r w:rsidR="00CC0615">
        <w:rPr>
          <w:rFonts w:cs="Times New Roman"/>
          <w:lang w:val="en-US"/>
        </w:rPr>
        <w:t>“</w:t>
      </w:r>
      <w:r w:rsidRPr="00881752">
        <w:rPr>
          <w:rFonts w:cs="Times New Roman"/>
          <w:lang w:val="en-US"/>
        </w:rPr>
        <w:t>penis</w:t>
      </w:r>
      <w:r w:rsidR="00CC0615">
        <w:rPr>
          <w:rFonts w:cs="Times New Roman"/>
          <w:lang w:val="en-US"/>
        </w:rPr>
        <w:t>”</w:t>
      </w:r>
      <w:r w:rsidRPr="00881752">
        <w:rPr>
          <w:rFonts w:cs="Times New Roman"/>
          <w:lang w:val="en-US"/>
        </w:rPr>
        <w:t xml:space="preserve"> and μύξα is a metaphor for </w:t>
      </w:r>
      <w:r w:rsidR="00CC0615">
        <w:rPr>
          <w:rFonts w:cs="Times New Roman"/>
          <w:lang w:val="en-US"/>
        </w:rPr>
        <w:t>“</w:t>
      </w:r>
      <w:r w:rsidRPr="00881752">
        <w:rPr>
          <w:rFonts w:cs="Times New Roman"/>
          <w:lang w:val="en-US"/>
        </w:rPr>
        <w:t>wick</w:t>
      </w:r>
      <w:r w:rsidR="00CC0615">
        <w:rPr>
          <w:rFonts w:cs="Times New Roman"/>
          <w:lang w:val="en-US"/>
        </w:rPr>
        <w:t>”</w:t>
      </w:r>
      <w:r w:rsidRPr="00881752">
        <w:rPr>
          <w:rFonts w:cs="Times New Roman"/>
          <w:lang w:val="en-US"/>
        </w:rPr>
        <w:t>).</w:t>
      </w:r>
      <w:r w:rsidRPr="00881752">
        <w:rPr>
          <w:rStyle w:val="FootnoteReference"/>
          <w:rFonts w:cs="Times New Roman"/>
          <w:lang w:val="en-US"/>
        </w:rPr>
        <w:footnoteReference w:id="184"/>
      </w:r>
      <w:r w:rsidRPr="00881752">
        <w:rPr>
          <w:rFonts w:cs="Times New Roman"/>
          <w:lang w:val="en-US"/>
        </w:rPr>
        <w:t xml:space="preserve"> The same term (μύξα) is later used metaphorically by Aristophanes (</w:t>
      </w:r>
      <w:r w:rsidRPr="00881752">
        <w:rPr>
          <w:rFonts w:cs="Times New Roman"/>
          <w:i/>
          <w:iCs/>
          <w:lang w:val="en-US"/>
        </w:rPr>
        <w:t>Ranae</w:t>
      </w:r>
      <w:r w:rsidRPr="00881752">
        <w:rPr>
          <w:rFonts w:cs="Times New Roman"/>
          <w:lang w:val="en-US"/>
        </w:rPr>
        <w:t xml:space="preserve"> 820) and Callimachus (</w:t>
      </w:r>
      <w:r w:rsidRPr="00881752">
        <w:rPr>
          <w:rFonts w:cs="Times New Roman"/>
          <w:i/>
          <w:iCs/>
          <w:lang w:val="en-US"/>
        </w:rPr>
        <w:t>Ep</w:t>
      </w:r>
      <w:r w:rsidRPr="00881752">
        <w:rPr>
          <w:rFonts w:cs="Times New Roman"/>
          <w:lang w:val="en-US"/>
        </w:rPr>
        <w:t>. 55.1).</w:t>
      </w:r>
    </w:p>
    <w:p w14:paraId="0675F5F0" w14:textId="77777777" w:rsidR="001243F6" w:rsidRPr="00881752" w:rsidRDefault="001243F6">
      <w:pPr>
        <w:widowControl w:val="0"/>
        <w:numPr>
          <w:ilvl w:val="0"/>
          <w:numId w:val="175"/>
        </w:numPr>
        <w:tabs>
          <w:tab w:val="left" w:pos="720"/>
          <w:tab w:val="center" w:pos="5387"/>
        </w:tabs>
        <w:ind w:hanging="578"/>
        <w:rPr>
          <w:rFonts w:cs="Times New Roman"/>
          <w:lang w:val="en-US"/>
        </w:rPr>
      </w:pPr>
      <w:r w:rsidRPr="00881752">
        <w:rPr>
          <w:rFonts w:cs="Times New Roman"/>
          <w:lang w:val="en-US"/>
        </w:rPr>
        <w:t xml:space="preserve">words drawn from the language of epic, such as: </w:t>
      </w:r>
    </w:p>
    <w:p w14:paraId="7668B613" w14:textId="26BAAA96" w:rsidR="001243F6" w:rsidRPr="00881752" w:rsidRDefault="001243F6">
      <w:pPr>
        <w:widowControl w:val="0"/>
        <w:numPr>
          <w:ilvl w:val="0"/>
          <w:numId w:val="48"/>
        </w:numPr>
        <w:tabs>
          <w:tab w:val="left" w:pos="709"/>
          <w:tab w:val="left" w:pos="1080"/>
          <w:tab w:val="center" w:pos="5387"/>
        </w:tabs>
        <w:ind w:left="709" w:hanging="283"/>
        <w:rPr>
          <w:rFonts w:cs="Times New Roman"/>
          <w:lang w:val="en-US"/>
        </w:rPr>
      </w:pPr>
      <w:r w:rsidRPr="00881752">
        <w:rPr>
          <w:rFonts w:cs="Times New Roman"/>
          <w:lang w:val="en-US"/>
        </w:rPr>
        <w:t xml:space="preserve">λώβη </w:t>
      </w:r>
      <w:r w:rsidR="00CC0615">
        <w:rPr>
          <w:rFonts w:cs="Times New Roman"/>
          <w:lang w:val="en-US"/>
        </w:rPr>
        <w:t>“</w:t>
      </w:r>
      <w:r w:rsidRPr="00881752">
        <w:rPr>
          <w:rFonts w:cs="Times New Roman"/>
          <w:lang w:val="en-US"/>
        </w:rPr>
        <w:t>disgrace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4.102), which occurs 14 times in the Homeric texts,</w:t>
      </w:r>
      <w:r w:rsidRPr="00881752">
        <w:rPr>
          <w:rStyle w:val="FootnoteReference"/>
          <w:rFonts w:cs="Times New Roman"/>
          <w:lang w:val="en-US"/>
        </w:rPr>
        <w:footnoteReference w:id="185"/>
      </w:r>
      <w:r w:rsidRPr="00881752">
        <w:rPr>
          <w:rFonts w:cs="Times New Roman"/>
          <w:lang w:val="en-US"/>
        </w:rPr>
        <w:t xml:space="preserve"> once in the </w:t>
      </w:r>
      <w:r w:rsidRPr="00881752">
        <w:rPr>
          <w:rFonts w:cs="Times New Roman"/>
          <w:i/>
          <w:iCs/>
          <w:lang w:val="en-US"/>
        </w:rPr>
        <w:t>Sapphus vel Alcaei</w:t>
      </w:r>
      <w:r w:rsidRPr="00881752">
        <w:rPr>
          <w:rFonts w:cs="Times New Roman"/>
          <w:lang w:val="en-US"/>
        </w:rPr>
        <w:t xml:space="preserve"> </w:t>
      </w:r>
      <w:r w:rsidRPr="00881752">
        <w:rPr>
          <w:rFonts w:cs="Times New Roman"/>
          <w:i/>
          <w:iCs/>
          <w:lang w:val="en-US"/>
        </w:rPr>
        <w:t>Fragmenta Lyrica</w:t>
      </w:r>
      <w:r w:rsidRPr="00881752">
        <w:rPr>
          <w:rFonts w:cs="Times New Roman"/>
          <w:lang w:val="en-US"/>
        </w:rPr>
        <w:t>,</w:t>
      </w:r>
      <w:r w:rsidRPr="00881752">
        <w:rPr>
          <w:rStyle w:val="FootnoteReference"/>
          <w:rFonts w:cs="Times New Roman"/>
          <w:lang w:val="en-US"/>
        </w:rPr>
        <w:footnoteReference w:id="186"/>
      </w:r>
      <w:r w:rsidRPr="00881752">
        <w:rPr>
          <w:rFonts w:cs="Times New Roman"/>
          <w:lang w:val="en-US"/>
        </w:rPr>
        <w:t xml:space="preserve"> 6 times in Sophocles,</w:t>
      </w:r>
      <w:r w:rsidRPr="00881752">
        <w:rPr>
          <w:rStyle w:val="FootnoteReference"/>
          <w:rFonts w:cs="Times New Roman"/>
          <w:lang w:val="en-US"/>
        </w:rPr>
        <w:footnoteReference w:id="187"/>
      </w:r>
      <w:r w:rsidRPr="00881752">
        <w:rPr>
          <w:rFonts w:cs="Times New Roman"/>
          <w:lang w:val="en-US"/>
        </w:rPr>
        <w:t xml:space="preserve"> and 11 times in Euripides.</w:t>
      </w:r>
      <w:r w:rsidRPr="00881752">
        <w:rPr>
          <w:rStyle w:val="FootnoteReference"/>
          <w:rFonts w:cs="Times New Roman"/>
          <w:lang w:val="en-US"/>
        </w:rPr>
        <w:footnoteReference w:id="188"/>
      </w:r>
      <w:r w:rsidRPr="00881752">
        <w:rPr>
          <w:rFonts w:cs="Times New Roman"/>
          <w:lang w:val="en-US"/>
        </w:rPr>
        <w:t xml:space="preserve"> It is interesting that Callimachus uses the Ionic form in -η λώβη, which is the form found in the Homeric texts, while all the other fragments show the form in -α (λώβα) which is shared by all the dialects other than the Ionic.</w:t>
      </w:r>
    </w:p>
    <w:p w14:paraId="4D5DDF2C" w14:textId="0C2514AB" w:rsidR="002C29A2" w:rsidRPr="00881752" w:rsidRDefault="001243F6">
      <w:pPr>
        <w:widowControl w:val="0"/>
        <w:numPr>
          <w:ilvl w:val="0"/>
          <w:numId w:val="48"/>
        </w:numPr>
        <w:tabs>
          <w:tab w:val="left" w:pos="709"/>
          <w:tab w:val="left" w:pos="1080"/>
          <w:tab w:val="center" w:pos="5387"/>
        </w:tabs>
        <w:ind w:left="709" w:hanging="283"/>
        <w:rPr>
          <w:rFonts w:cs="Times New Roman"/>
          <w:lang w:val="en-US"/>
        </w:rPr>
      </w:pPr>
      <w:r w:rsidRPr="00881752">
        <w:rPr>
          <w:rFonts w:cs="Times New Roman"/>
          <w:lang w:val="en-US"/>
        </w:rPr>
        <w:t xml:space="preserve">κυβιστάω </w:t>
      </w:r>
      <w:r w:rsidR="00CC0615">
        <w:rPr>
          <w:rFonts w:cs="Times New Roman"/>
          <w:lang w:val="en-US"/>
        </w:rPr>
        <w:t>“</w:t>
      </w:r>
      <w:r w:rsidRPr="00881752">
        <w:rPr>
          <w:rFonts w:cs="Times New Roman"/>
          <w:lang w:val="en-US"/>
        </w:rPr>
        <w:t>tumble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5.29), which occurs thrice in the </w:t>
      </w:r>
      <w:r w:rsidRPr="00881752">
        <w:rPr>
          <w:rFonts w:cs="Times New Roman"/>
          <w:i/>
          <w:iCs/>
          <w:lang w:val="en-US"/>
        </w:rPr>
        <w:t>Iliad</w:t>
      </w:r>
      <w:r w:rsidRPr="00881752">
        <w:rPr>
          <w:rFonts w:cs="Times New Roman"/>
          <w:lang w:val="en-US"/>
        </w:rPr>
        <w:t>.</w:t>
      </w:r>
      <w:r w:rsidRPr="00881752">
        <w:rPr>
          <w:rStyle w:val="FootnoteReference"/>
          <w:rFonts w:cs="Times New Roman"/>
          <w:lang w:val="en-US"/>
        </w:rPr>
        <w:footnoteReference w:id="189"/>
      </w:r>
      <w:r w:rsidRPr="00881752">
        <w:rPr>
          <w:rFonts w:cs="Times New Roman"/>
          <w:lang w:val="en-US"/>
        </w:rPr>
        <w:t xml:space="preserve"> After the Homeric texts, the word occurs very rarely and only in the Classical prose, five times in Xenophon,</w:t>
      </w:r>
      <w:r w:rsidRPr="00881752">
        <w:rPr>
          <w:rStyle w:val="FootnoteReference"/>
          <w:rFonts w:cs="Times New Roman"/>
          <w:lang w:val="en-US"/>
        </w:rPr>
        <w:footnoteReference w:id="190"/>
      </w:r>
      <w:r w:rsidRPr="00881752">
        <w:rPr>
          <w:rFonts w:cs="Times New Roman"/>
          <w:lang w:val="en-US"/>
        </w:rPr>
        <w:t xml:space="preserve"> and thrice in Plato.</w:t>
      </w:r>
      <w:r w:rsidRPr="00881752">
        <w:rPr>
          <w:rStyle w:val="FootnoteReference"/>
          <w:rFonts w:cs="Times New Roman"/>
          <w:lang w:val="en-US"/>
        </w:rPr>
        <w:footnoteReference w:id="191"/>
      </w:r>
      <w:r w:rsidRPr="00881752">
        <w:rPr>
          <w:rFonts w:cs="Times New Roman"/>
          <w:lang w:val="en-US"/>
        </w:rPr>
        <w:t xml:space="preserve"> In the Hellenistic period, the verb is used only in iambic lines by Callimachus and by Cercidas in a context of warning or intimidation of his target with a somewhat abusive tone:</w:t>
      </w:r>
    </w:p>
    <w:p w14:paraId="332B0FCB" w14:textId="77777777" w:rsidR="00272F31" w:rsidRPr="00881752" w:rsidRDefault="00272F31" w:rsidP="00F56C73">
      <w:pPr>
        <w:widowControl w:val="0"/>
        <w:tabs>
          <w:tab w:val="left" w:pos="709"/>
          <w:tab w:val="center" w:pos="5387"/>
        </w:tabs>
        <w:ind w:left="709"/>
      </w:pPr>
    </w:p>
    <w:tbl>
      <w:tblPr>
        <w:tblStyle w:val="TableGrid"/>
        <w:tblW w:w="7654" w:type="dxa"/>
        <w:tblInd w:w="81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055"/>
        <w:gridCol w:w="3599"/>
      </w:tblGrid>
      <w:tr w:rsidR="00272F31" w:rsidRPr="00881752" w14:paraId="5701D48E" w14:textId="77777777" w:rsidTr="0013179E">
        <w:tc>
          <w:tcPr>
            <w:tcW w:w="4055" w:type="dxa"/>
          </w:tcPr>
          <w:p w14:paraId="1609BE22" w14:textId="77777777" w:rsidR="00272F31" w:rsidRPr="00881752" w:rsidRDefault="00272F31" w:rsidP="003B1451">
            <w:pPr>
              <w:pStyle w:val="Blockquote"/>
              <w:rPr>
                <w:sz w:val="22"/>
                <w:szCs w:val="22"/>
              </w:rPr>
            </w:pPr>
            <w:r w:rsidRPr="00881752">
              <w:rPr>
                <w:sz w:val="22"/>
                <w:szCs w:val="22"/>
              </w:rPr>
              <w:t xml:space="preserve">Call. </w:t>
            </w:r>
            <w:r w:rsidRPr="00881752">
              <w:rPr>
                <w:i/>
                <w:sz w:val="22"/>
                <w:szCs w:val="22"/>
              </w:rPr>
              <w:t>Ia</w:t>
            </w:r>
            <w:r w:rsidRPr="00881752">
              <w:rPr>
                <w:sz w:val="22"/>
                <w:szCs w:val="22"/>
              </w:rPr>
              <w:t>. 5.26-29</w:t>
            </w:r>
          </w:p>
        </w:tc>
        <w:tc>
          <w:tcPr>
            <w:tcW w:w="3599" w:type="dxa"/>
          </w:tcPr>
          <w:p w14:paraId="0ECFDA99" w14:textId="77777777" w:rsidR="00272F31" w:rsidRPr="00881752" w:rsidRDefault="00272F31" w:rsidP="003B1451">
            <w:pPr>
              <w:pStyle w:val="Blockquote"/>
              <w:rPr>
                <w:sz w:val="22"/>
                <w:szCs w:val="22"/>
              </w:rPr>
            </w:pPr>
            <w:r w:rsidRPr="00881752">
              <w:rPr>
                <w:sz w:val="22"/>
                <w:szCs w:val="22"/>
              </w:rPr>
              <w:t>Cercidas fr. 17, col. 1. line 10-13</w:t>
            </w:r>
          </w:p>
        </w:tc>
      </w:tr>
      <w:tr w:rsidR="00272F31" w:rsidRPr="00881752" w14:paraId="3B7904AA" w14:textId="77777777" w:rsidTr="0013179E">
        <w:tc>
          <w:tcPr>
            <w:tcW w:w="4055" w:type="dxa"/>
          </w:tcPr>
          <w:p w14:paraId="7C443588" w14:textId="77777777" w:rsidR="00272F31" w:rsidRPr="00881752" w:rsidRDefault="00272F31" w:rsidP="003B1451">
            <w:pPr>
              <w:pStyle w:val="Blockquote"/>
              <w:rPr>
                <w:sz w:val="22"/>
                <w:szCs w:val="22"/>
              </w:rPr>
            </w:pPr>
            <w:r w:rsidRPr="00881752">
              <w:rPr>
                <w:sz w:val="22"/>
                <w:szCs w:val="22"/>
              </w:rPr>
              <w:t>ἴσχε δὲ δρόμ</w:t>
            </w:r>
            <w:hyperlink r:id="rId21" w:history="1">
              <w:r w:rsidRPr="00881752">
                <w:rPr>
                  <w:rFonts w:ascii="Geneva" w:hAnsi="Geneva" w:cs="Geneva"/>
                  <w:sz w:val="22"/>
                  <w:szCs w:val="22"/>
                </w:rPr>
                <w:t>⸤</w:t>
              </w:r>
            </w:hyperlink>
            <w:r w:rsidRPr="00881752">
              <w:rPr>
                <w:sz w:val="22"/>
                <w:szCs w:val="22"/>
              </w:rPr>
              <w:t>ου</w:t>
            </w:r>
          </w:p>
          <w:p w14:paraId="5FC69C76" w14:textId="77777777" w:rsidR="00272F31" w:rsidRPr="00881752" w:rsidRDefault="00272F31" w:rsidP="003B1451">
            <w:pPr>
              <w:pStyle w:val="Blockquote"/>
              <w:rPr>
                <w:sz w:val="22"/>
                <w:szCs w:val="22"/>
              </w:rPr>
            </w:pPr>
            <w:r w:rsidRPr="00881752">
              <w:rPr>
                <w:sz w:val="22"/>
                <w:szCs w:val="22"/>
              </w:rPr>
              <w:t>μαργῶντας ἵππους μηδὲ δευτέρην̣ κ̣ά̣μ̣ψῃς,</w:t>
            </w:r>
          </w:p>
          <w:p w14:paraId="616D5706" w14:textId="688A45AA" w:rsidR="00272F31" w:rsidRPr="00227EE7" w:rsidRDefault="00204539" w:rsidP="003B1451">
            <w:pPr>
              <w:pStyle w:val="Blockquote"/>
              <w:rPr>
                <w:sz w:val="22"/>
                <w:szCs w:val="22"/>
                <w:lang w:val="el-GR"/>
              </w:rPr>
            </w:pPr>
            <w:r w:rsidRPr="00881752">
              <w:rPr>
                <w:sz w:val="22"/>
                <w:szCs w:val="22"/>
              </w:rPr>
              <w:t xml:space="preserve"> </w:t>
            </w:r>
            <w:r w:rsidR="00272F31" w:rsidRPr="00227EE7">
              <w:rPr>
                <w:sz w:val="22"/>
                <w:szCs w:val="22"/>
                <w:lang w:val="el-GR"/>
              </w:rPr>
              <w:t>μή τοι περὶ νύσσῃ δίφρ</w:t>
            </w:r>
            <w:hyperlink r:id="rId22" w:history="1">
              <w:r w:rsidR="00272F31" w:rsidRPr="00881752">
                <w:rPr>
                  <w:rFonts w:ascii="Geneva" w:hAnsi="Geneva" w:cs="Geneva"/>
                  <w:sz w:val="22"/>
                  <w:szCs w:val="22"/>
                </w:rPr>
                <w:t>⸤</w:t>
              </w:r>
            </w:hyperlink>
            <w:r w:rsidR="00272F31" w:rsidRPr="00227EE7">
              <w:rPr>
                <w:sz w:val="22"/>
                <w:szCs w:val="22"/>
                <w:lang w:val="el-GR"/>
              </w:rPr>
              <w:t>ον</w:t>
            </w:r>
          </w:p>
          <w:p w14:paraId="3AB05A32" w14:textId="77777777" w:rsidR="00272F31" w:rsidRPr="00881752" w:rsidRDefault="00272F31" w:rsidP="003B1451">
            <w:pPr>
              <w:pStyle w:val="Blockquote"/>
              <w:rPr>
                <w:sz w:val="22"/>
                <w:szCs w:val="22"/>
                <w:lang w:val="el-GR"/>
              </w:rPr>
            </w:pPr>
            <w:r w:rsidRPr="00227EE7">
              <w:rPr>
                <w:sz w:val="22"/>
                <w:szCs w:val="22"/>
                <w:lang w:val="el-GR"/>
              </w:rPr>
              <w:t>ἄξωσιν, ἐκ δὲ κύμβαχ</w:t>
            </w:r>
            <w:hyperlink r:id="rId23" w:history="1">
              <w:r w:rsidRPr="00881752">
                <w:rPr>
                  <w:rFonts w:ascii="Geneva" w:hAnsi="Geneva" w:cs="Geneva"/>
                  <w:sz w:val="22"/>
                  <w:szCs w:val="22"/>
                </w:rPr>
                <w:t>⸤</w:t>
              </w:r>
            </w:hyperlink>
            <w:r w:rsidRPr="00227EE7">
              <w:rPr>
                <w:sz w:val="22"/>
                <w:szCs w:val="22"/>
                <w:lang w:val="el-GR"/>
              </w:rPr>
              <w:t>ος κυβισ</w:t>
            </w:r>
            <w:hyperlink r:id="rId24" w:history="1">
              <w:r w:rsidRPr="00881752">
                <w:rPr>
                  <w:rFonts w:ascii="Geneva" w:hAnsi="Geneva" w:cs="Geneva"/>
                  <w:sz w:val="22"/>
                  <w:szCs w:val="22"/>
                </w:rPr>
                <w:t>⸥</w:t>
              </w:r>
            </w:hyperlink>
            <w:r w:rsidRPr="00227EE7">
              <w:rPr>
                <w:sz w:val="22"/>
                <w:szCs w:val="22"/>
                <w:lang w:val="el-GR"/>
              </w:rPr>
              <w:t>τήσῃς.</w:t>
            </w:r>
          </w:p>
        </w:tc>
        <w:tc>
          <w:tcPr>
            <w:tcW w:w="3599" w:type="dxa"/>
          </w:tcPr>
          <w:p w14:paraId="1A8101EA" w14:textId="77777777" w:rsidR="00272F31" w:rsidRPr="00227EE7" w:rsidRDefault="00272F31" w:rsidP="003B1451">
            <w:pPr>
              <w:pStyle w:val="Blockquote"/>
              <w:rPr>
                <w:sz w:val="22"/>
                <w:szCs w:val="22"/>
                <w:lang w:val="el-GR"/>
              </w:rPr>
            </w:pPr>
            <w:r w:rsidRPr="00227EE7">
              <w:rPr>
                <w:sz w:val="22"/>
                <w:szCs w:val="22"/>
                <w:lang w:val="el-GR"/>
              </w:rPr>
              <w:t xml:space="preserve">ἕκαστος ἔνθεν ἁρπάξῃ </w:t>
            </w:r>
          </w:p>
          <w:p w14:paraId="62332800" w14:textId="77777777" w:rsidR="00272F31" w:rsidRPr="00227EE7" w:rsidRDefault="00033A07" w:rsidP="003B1451">
            <w:pPr>
              <w:pStyle w:val="Blockquote"/>
              <w:rPr>
                <w:sz w:val="22"/>
                <w:szCs w:val="22"/>
                <w:lang w:val="el-GR"/>
              </w:rPr>
            </w:pPr>
            <w:hyperlink r:id="rId25" w:history="1">
              <w:r w:rsidR="00272F31" w:rsidRPr="00227EE7">
                <w:rPr>
                  <w:sz w:val="22"/>
                  <w:szCs w:val="22"/>
                  <w:lang w:val="el-GR"/>
                </w:rPr>
                <w:t>[</w:t>
              </w:r>
            </w:hyperlink>
            <w:hyperlink r:id="rId26" w:history="1">
              <w:r w:rsidR="00272F31" w:rsidRPr="00227EE7">
                <w:rPr>
                  <w:sz w:val="22"/>
                  <w:szCs w:val="22"/>
                  <w:lang w:val="el-GR"/>
                </w:rPr>
                <w:t>....</w:t>
              </w:r>
            </w:hyperlink>
            <w:r w:rsidR="00272F31" w:rsidRPr="00227EE7">
              <w:rPr>
                <w:sz w:val="22"/>
                <w:szCs w:val="22"/>
                <w:lang w:val="el-GR"/>
              </w:rPr>
              <w:t xml:space="preserve"> κυβιστᾷ κἠπινήχεται πᾶς τις</w:t>
            </w:r>
          </w:p>
          <w:p w14:paraId="5F927877" w14:textId="77777777" w:rsidR="00272F31" w:rsidRPr="00227EE7" w:rsidRDefault="00033A07" w:rsidP="003B1451">
            <w:pPr>
              <w:pStyle w:val="Blockquote"/>
              <w:rPr>
                <w:sz w:val="22"/>
                <w:szCs w:val="22"/>
                <w:lang w:val="el-GR"/>
              </w:rPr>
            </w:pPr>
            <w:hyperlink r:id="rId27" w:history="1">
              <w:r w:rsidR="00272F31" w:rsidRPr="00227EE7">
                <w:rPr>
                  <w:sz w:val="22"/>
                  <w:szCs w:val="22"/>
                  <w:lang w:val="el-GR"/>
                </w:rPr>
                <w:t>[</w:t>
              </w:r>
            </w:hyperlink>
            <w:hyperlink r:id="rId28" w:history="1">
              <w:r w:rsidR="00272F31" w:rsidRPr="00227EE7">
                <w:rPr>
                  <w:sz w:val="22"/>
                  <w:szCs w:val="22"/>
                  <w:lang w:val="el-GR"/>
                </w:rPr>
                <w:t>......</w:t>
              </w:r>
            </w:hyperlink>
            <w:hyperlink r:id="rId29" w:history="1">
              <w:r w:rsidR="00272F31" w:rsidRPr="00227EE7">
                <w:rPr>
                  <w:sz w:val="22"/>
                  <w:szCs w:val="22"/>
                  <w:lang w:val="el-GR"/>
                </w:rPr>
                <w:t>]</w:t>
              </w:r>
            </w:hyperlink>
            <w:r w:rsidR="00272F31" w:rsidRPr="00227EE7">
              <w:rPr>
                <w:sz w:val="22"/>
                <w:szCs w:val="22"/>
                <w:lang w:val="el-GR"/>
              </w:rPr>
              <w:t xml:space="preserve"> ἑταῖρον καὶ κ̣α̣σ̣ίγνητον κα̣ὶ ὦρα</w:t>
            </w:r>
          </w:p>
          <w:p w14:paraId="11245FB9" w14:textId="77777777" w:rsidR="00272F31" w:rsidRPr="00881752" w:rsidRDefault="00033A07" w:rsidP="00825A39">
            <w:pPr>
              <w:pStyle w:val="Blockquote"/>
              <w:keepNext/>
              <w:keepLines/>
              <w:outlineLvl w:val="6"/>
              <w:rPr>
                <w:sz w:val="22"/>
                <w:szCs w:val="22"/>
                <w:lang w:val="el-GR"/>
              </w:rPr>
            </w:pPr>
            <w:hyperlink r:id="rId30" w:history="1">
              <w:r w:rsidR="00272F31" w:rsidRPr="00227EE7">
                <w:rPr>
                  <w:sz w:val="22"/>
                  <w:szCs w:val="22"/>
                  <w:lang w:val="el-GR"/>
                </w:rPr>
                <w:t>[</w:t>
              </w:r>
            </w:hyperlink>
            <w:hyperlink r:id="rId31" w:history="1">
              <w:r w:rsidR="00272F31" w:rsidRPr="00227EE7">
                <w:rPr>
                  <w:sz w:val="22"/>
                  <w:szCs w:val="22"/>
                  <w:lang w:val="el-GR"/>
                </w:rPr>
                <w:t>.....</w:t>
              </w:r>
            </w:hyperlink>
            <w:r w:rsidR="00272F31" w:rsidRPr="00227EE7">
              <w:rPr>
                <w:sz w:val="22"/>
                <w:szCs w:val="22"/>
                <w:lang w:val="el-GR"/>
              </w:rPr>
              <w:t xml:space="preserve"> </w:t>
            </w:r>
            <w:r w:rsidR="00272F31" w:rsidRPr="00881752">
              <w:rPr>
                <w:sz w:val="22"/>
                <w:szCs w:val="22"/>
              </w:rPr>
              <w:t>ἑ</w:t>
            </w:r>
            <w:hyperlink r:id="rId32" w:history="1">
              <w:r w:rsidR="00272F31" w:rsidRPr="00881752">
                <w:rPr>
                  <w:sz w:val="22"/>
                  <w:szCs w:val="22"/>
                </w:rPr>
                <w:t>]</w:t>
              </w:r>
            </w:hyperlink>
            <w:r w:rsidR="00272F31" w:rsidRPr="00881752">
              <w:rPr>
                <w:sz w:val="22"/>
                <w:szCs w:val="22"/>
              </w:rPr>
              <w:t>α̣υ̣τ̣ο̣ῦ̣ τὴν τρισοιζυρὴν ψυχήν.</w:t>
            </w:r>
          </w:p>
        </w:tc>
      </w:tr>
      <w:tr w:rsidR="00272F31" w:rsidRPr="00881752" w14:paraId="44218BD2" w14:textId="77777777" w:rsidTr="0013179E">
        <w:tc>
          <w:tcPr>
            <w:tcW w:w="4055" w:type="dxa"/>
          </w:tcPr>
          <w:p w14:paraId="2CB4BA09" w14:textId="77777777" w:rsidR="00272F31" w:rsidRPr="00227EE7" w:rsidRDefault="00272F31" w:rsidP="003B1451">
            <w:pPr>
              <w:pStyle w:val="Blockquote"/>
              <w:ind w:left="284" w:hanging="284"/>
              <w:rPr>
                <w:sz w:val="22"/>
                <w:szCs w:val="22"/>
                <w:lang w:val="en-US"/>
              </w:rPr>
            </w:pPr>
          </w:p>
          <w:p w14:paraId="2C51C1AA" w14:textId="77777777" w:rsidR="00272F31" w:rsidRPr="00881752" w:rsidRDefault="00272F31" w:rsidP="003B1451">
            <w:pPr>
              <w:pStyle w:val="Blockquote"/>
              <w:rPr>
                <w:sz w:val="22"/>
                <w:szCs w:val="22"/>
              </w:rPr>
            </w:pPr>
            <w:r w:rsidRPr="00881752">
              <w:rPr>
                <w:sz w:val="22"/>
                <w:szCs w:val="22"/>
              </w:rPr>
              <w:t xml:space="preserve">And hold from their racing your raving </w:t>
            </w:r>
            <w:r w:rsidRPr="00881752">
              <w:rPr>
                <w:sz w:val="22"/>
                <w:szCs w:val="22"/>
              </w:rPr>
              <w:lastRenderedPageBreak/>
              <w:t>horses, nor guide them the second part, lest around the turning post they shatter your chariot and you tumble out headlong.</w:t>
            </w:r>
          </w:p>
        </w:tc>
        <w:tc>
          <w:tcPr>
            <w:tcW w:w="3599" w:type="dxa"/>
          </w:tcPr>
          <w:p w14:paraId="577F5ACB" w14:textId="77777777" w:rsidR="00272F31" w:rsidRPr="00881752" w:rsidRDefault="00272F31" w:rsidP="003B1451">
            <w:pPr>
              <w:pStyle w:val="Blockquote"/>
              <w:rPr>
                <w:sz w:val="22"/>
                <w:szCs w:val="22"/>
              </w:rPr>
            </w:pPr>
          </w:p>
          <w:p w14:paraId="4BCAF4E3" w14:textId="4EBA7E0B" w:rsidR="00272F31" w:rsidRPr="00881752" w:rsidRDefault="00272F31" w:rsidP="003B1451">
            <w:pPr>
              <w:pStyle w:val="Blockquote"/>
              <w:rPr>
                <w:sz w:val="22"/>
                <w:szCs w:val="22"/>
              </w:rPr>
            </w:pPr>
            <w:r w:rsidRPr="00881752">
              <w:rPr>
                <w:sz w:val="22"/>
                <w:szCs w:val="22"/>
              </w:rPr>
              <w:t xml:space="preserve">and each hunting for a stretch to </w:t>
            </w:r>
            <w:r w:rsidRPr="00881752">
              <w:rPr>
                <w:sz w:val="22"/>
                <w:szCs w:val="22"/>
              </w:rPr>
              <w:lastRenderedPageBreak/>
              <w:t>pillage, dives thither and swims</w:t>
            </w:r>
            <w:r w:rsidR="00204539" w:rsidRPr="00881752">
              <w:rPr>
                <w:sz w:val="22"/>
                <w:szCs w:val="22"/>
              </w:rPr>
              <w:t xml:space="preserve"> </w:t>
            </w:r>
            <w:r w:rsidRPr="00881752">
              <w:rPr>
                <w:sz w:val="22"/>
                <w:szCs w:val="22"/>
              </w:rPr>
              <w:t>to his prey, destroying comrade, brother or wife, but preserving his own thrice wretched life.</w:t>
            </w:r>
          </w:p>
        </w:tc>
      </w:tr>
    </w:tbl>
    <w:p w14:paraId="55FDCB95" w14:textId="77777777" w:rsidR="00272F31" w:rsidRPr="00881752" w:rsidRDefault="00272F31" w:rsidP="003B1451">
      <w:pPr>
        <w:pStyle w:val="Blockquote"/>
      </w:pPr>
    </w:p>
    <w:p w14:paraId="74471C15" w14:textId="38BDF0BE" w:rsidR="001243F6" w:rsidRPr="00881752" w:rsidRDefault="001243F6" w:rsidP="00881752">
      <w:pPr>
        <w:pStyle w:val="ListParagraph"/>
        <w:numPr>
          <w:ilvl w:val="0"/>
          <w:numId w:val="5"/>
        </w:numPr>
        <w:ind w:left="709" w:hanging="284"/>
      </w:pPr>
      <w:r w:rsidRPr="00881752">
        <w:rPr>
          <w:lang w:val="en-US"/>
        </w:rPr>
        <w:t xml:space="preserve">κύμβαχος </w:t>
      </w:r>
      <w:r w:rsidR="00CC0615">
        <w:rPr>
          <w:lang w:val="en-US"/>
        </w:rPr>
        <w:t>“</w:t>
      </w:r>
      <w:r w:rsidRPr="00881752">
        <w:rPr>
          <w:lang w:val="en-US"/>
        </w:rPr>
        <w:t>headlong</w:t>
      </w:r>
      <w:r w:rsidR="00CC0615">
        <w:rPr>
          <w:lang w:val="en-US"/>
        </w:rPr>
        <w:t>”</w:t>
      </w:r>
      <w:r w:rsidRPr="00881752">
        <w:rPr>
          <w:lang w:val="en-US"/>
        </w:rPr>
        <w:t xml:space="preserve"> (</w:t>
      </w:r>
      <w:r w:rsidRPr="00881752">
        <w:rPr>
          <w:i/>
          <w:iCs/>
          <w:lang w:val="en-US"/>
        </w:rPr>
        <w:t>Ia</w:t>
      </w:r>
      <w:r w:rsidRPr="00881752">
        <w:rPr>
          <w:lang w:val="en-US"/>
        </w:rPr>
        <w:t xml:space="preserve">. 5.29), which occurs only twice in the </w:t>
      </w:r>
      <w:r w:rsidRPr="00881752">
        <w:rPr>
          <w:i/>
          <w:iCs/>
          <w:lang w:val="en-US"/>
        </w:rPr>
        <w:t>Iliad</w:t>
      </w:r>
      <w:r w:rsidRPr="00881752">
        <w:rPr>
          <w:lang w:val="en-US"/>
        </w:rPr>
        <w:t>, 5.586 and 15.536. Therefore, it is possible to state that Callimachus here is alluding to a specific Homeric passage, which recounts how the son of Nestor, Antilochus, kills Mydon, charioteer of Pylaimenes and son of Atymnius (</w:t>
      </w:r>
      <w:r w:rsidRPr="00881752">
        <w:rPr>
          <w:i/>
          <w:iCs/>
          <w:lang w:val="en-US"/>
        </w:rPr>
        <w:t>Il</w:t>
      </w:r>
      <w:r w:rsidRPr="00881752">
        <w:rPr>
          <w:lang w:val="en-US"/>
        </w:rPr>
        <w:t>. 5.584-586):</w:t>
      </w:r>
    </w:p>
    <w:p w14:paraId="45A7EA3D" w14:textId="77777777" w:rsidR="00272F31" w:rsidRPr="00881752" w:rsidRDefault="00272F31" w:rsidP="00665681">
      <w:pPr>
        <w:pStyle w:val="ListParagraph"/>
        <w:ind w:left="709"/>
      </w:pPr>
    </w:p>
    <w:tbl>
      <w:tblPr>
        <w:tblStyle w:val="TableGrid"/>
        <w:tblW w:w="7654" w:type="dxa"/>
        <w:tblInd w:w="81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8"/>
        <w:gridCol w:w="2976"/>
      </w:tblGrid>
      <w:tr w:rsidR="00514654" w:rsidRPr="00881752" w14:paraId="24244603" w14:textId="77777777" w:rsidTr="00665681">
        <w:tc>
          <w:tcPr>
            <w:tcW w:w="4678" w:type="dxa"/>
          </w:tcPr>
          <w:p w14:paraId="624387E0" w14:textId="1FC8F40E" w:rsidR="00272F31" w:rsidRPr="00881752" w:rsidRDefault="00272F31" w:rsidP="00973833">
            <w:pPr>
              <w:pStyle w:val="Blockquote"/>
              <w:ind w:left="34" w:firstLine="34"/>
              <w:rPr>
                <w:rFonts w:eastAsiaTheme="minorEastAsia"/>
                <w:sz w:val="22"/>
                <w:szCs w:val="22"/>
              </w:rPr>
            </w:pPr>
            <w:r w:rsidRPr="00881752">
              <w:rPr>
                <w:rFonts w:eastAsiaTheme="minorEastAsia"/>
                <w:sz w:val="22"/>
                <w:szCs w:val="22"/>
              </w:rPr>
              <w:t>Ἀντίλοχος δ</w:t>
            </w:r>
            <w:r w:rsidR="00075F5F">
              <w:rPr>
                <w:rFonts w:eastAsiaTheme="minorEastAsia"/>
                <w:sz w:val="22"/>
                <w:szCs w:val="22"/>
              </w:rPr>
              <w:t>’</w:t>
            </w:r>
            <w:r w:rsidRPr="00881752">
              <w:rPr>
                <w:rFonts w:eastAsiaTheme="minorEastAsia"/>
                <w:sz w:val="22"/>
                <w:szCs w:val="22"/>
              </w:rPr>
              <w:t xml:space="preserve"> ἄρ</w:t>
            </w:r>
            <w:r w:rsidR="00075F5F">
              <w:rPr>
                <w:rFonts w:eastAsiaTheme="minorEastAsia"/>
                <w:sz w:val="22"/>
                <w:szCs w:val="22"/>
              </w:rPr>
              <w:t>’</w:t>
            </w:r>
            <w:r w:rsidRPr="00881752">
              <w:rPr>
                <w:rFonts w:eastAsiaTheme="minorEastAsia"/>
                <w:sz w:val="22"/>
                <w:szCs w:val="22"/>
              </w:rPr>
              <w:t xml:space="preserve"> ἐπαΐξας ξίφει ἤλασε κόρσην·</w:t>
            </w:r>
          </w:p>
          <w:p w14:paraId="53C09502" w14:textId="7E65999A" w:rsidR="00272F31" w:rsidRPr="00881752" w:rsidRDefault="00973833" w:rsidP="003B1451">
            <w:pPr>
              <w:pStyle w:val="Blockquote"/>
              <w:rPr>
                <w:rFonts w:eastAsiaTheme="minorEastAsia"/>
                <w:sz w:val="22"/>
                <w:szCs w:val="22"/>
              </w:rPr>
            </w:pPr>
            <w:r w:rsidRPr="00881752">
              <w:rPr>
                <w:rFonts w:eastAsiaTheme="minorEastAsia"/>
                <w:sz w:val="22"/>
                <w:szCs w:val="22"/>
              </w:rPr>
              <w:t xml:space="preserve"> </w:t>
            </w:r>
            <w:r w:rsidR="00272F31" w:rsidRPr="00881752">
              <w:rPr>
                <w:rFonts w:eastAsiaTheme="minorEastAsia"/>
                <w:sz w:val="22"/>
                <w:szCs w:val="22"/>
              </w:rPr>
              <w:t>αὐτὰρ ὅ γ</w:t>
            </w:r>
            <w:r w:rsidR="00075F5F">
              <w:rPr>
                <w:rFonts w:eastAsiaTheme="minorEastAsia"/>
                <w:sz w:val="22"/>
                <w:szCs w:val="22"/>
              </w:rPr>
              <w:t>’</w:t>
            </w:r>
            <w:r w:rsidR="00272F31" w:rsidRPr="00881752">
              <w:rPr>
                <w:rFonts w:eastAsiaTheme="minorEastAsia"/>
                <w:sz w:val="22"/>
                <w:szCs w:val="22"/>
              </w:rPr>
              <w:t xml:space="preserve"> ἀσθμαίνων εὐεργέος ἔκπεσε δίφρου</w:t>
            </w:r>
            <w:r w:rsidR="00272F31" w:rsidRPr="00881752">
              <w:rPr>
                <w:rFonts w:eastAsiaTheme="minorEastAsia"/>
                <w:i/>
                <w:iCs/>
                <w:color w:val="6D6F03"/>
                <w:sz w:val="22"/>
                <w:szCs w:val="22"/>
              </w:rPr>
              <w:t xml:space="preserve"> </w:t>
            </w:r>
          </w:p>
          <w:p w14:paraId="1E215880" w14:textId="1BD0E56C" w:rsidR="00272F31" w:rsidRPr="00881752" w:rsidRDefault="00973833" w:rsidP="003B1451">
            <w:pPr>
              <w:pStyle w:val="Blockquote"/>
              <w:rPr>
                <w:sz w:val="22"/>
                <w:szCs w:val="22"/>
              </w:rPr>
            </w:pPr>
            <w:r w:rsidRPr="00881752">
              <w:rPr>
                <w:rFonts w:eastAsiaTheme="minorEastAsia"/>
                <w:sz w:val="22"/>
                <w:szCs w:val="22"/>
              </w:rPr>
              <w:t xml:space="preserve"> </w:t>
            </w:r>
            <w:r w:rsidR="00272F31" w:rsidRPr="00881752">
              <w:rPr>
                <w:rFonts w:eastAsiaTheme="minorEastAsia"/>
                <w:sz w:val="22"/>
                <w:szCs w:val="22"/>
              </w:rPr>
              <w:t>κύμβαχος ἐν κονίῃσιν ἐπὶ βρεχμόν τε καὶ ὤμους.</w:t>
            </w:r>
          </w:p>
        </w:tc>
        <w:tc>
          <w:tcPr>
            <w:tcW w:w="2976" w:type="dxa"/>
          </w:tcPr>
          <w:p w14:paraId="004CFA20" w14:textId="77777777" w:rsidR="00272F31" w:rsidRPr="00881752" w:rsidRDefault="00272F31" w:rsidP="003B1451">
            <w:pPr>
              <w:pStyle w:val="Blockquote"/>
              <w:rPr>
                <w:sz w:val="22"/>
                <w:szCs w:val="22"/>
              </w:rPr>
            </w:pPr>
            <w:r w:rsidRPr="00881752">
              <w:rPr>
                <w:sz w:val="22"/>
                <w:szCs w:val="22"/>
              </w:rPr>
              <w:t>Antilochus charging drove the sword into his temple, so that gasping he dropped from the carefully wrought chariot headlong, driven deep in the dust his neck and shoulders.</w:t>
            </w:r>
          </w:p>
        </w:tc>
      </w:tr>
    </w:tbl>
    <w:p w14:paraId="1E9EB743" w14:textId="77777777" w:rsidR="00272F31" w:rsidRPr="00881752" w:rsidRDefault="00272F31" w:rsidP="003B1451">
      <w:pPr>
        <w:pStyle w:val="Blockquote"/>
      </w:pPr>
    </w:p>
    <w:p w14:paraId="0F33CC6A" w14:textId="1E2F8F32" w:rsidR="002C29A2" w:rsidRPr="00881752" w:rsidRDefault="001243F6" w:rsidP="00E95AF7">
      <w:pPr>
        <w:pStyle w:val="ListParagraph"/>
        <w:ind w:left="709"/>
      </w:pPr>
      <w:r w:rsidRPr="00881752">
        <w:rPr>
          <w:lang w:val="en-US"/>
        </w:rPr>
        <w:t>The other instance of the word is in Lycophron, and it seems to allude to another Iliadic passage:</w:t>
      </w:r>
    </w:p>
    <w:p w14:paraId="3EAEE352" w14:textId="77777777" w:rsidR="00272F31" w:rsidRPr="00881752" w:rsidRDefault="00272F31" w:rsidP="00F56C73">
      <w:pPr>
        <w:pStyle w:val="ListParagraph"/>
        <w:ind w:left="709"/>
      </w:pPr>
    </w:p>
    <w:tbl>
      <w:tblPr>
        <w:tblStyle w:val="TableGrid"/>
        <w:tblW w:w="0" w:type="auto"/>
        <w:tblInd w:w="731"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97"/>
        <w:gridCol w:w="3588"/>
      </w:tblGrid>
      <w:tr w:rsidR="00973833" w:rsidRPr="00881752" w14:paraId="09E4614E" w14:textId="77777777" w:rsidTr="0013179E">
        <w:tc>
          <w:tcPr>
            <w:tcW w:w="4197" w:type="dxa"/>
          </w:tcPr>
          <w:p w14:paraId="20A8B32B" w14:textId="70E11965" w:rsidR="00973833" w:rsidRPr="00881752" w:rsidRDefault="00973833" w:rsidP="00771DAB">
            <w:pPr>
              <w:pStyle w:val="Blockquote"/>
              <w:rPr>
                <w:rFonts w:eastAsiaTheme="minorEastAsia"/>
                <w:sz w:val="22"/>
                <w:szCs w:val="22"/>
              </w:rPr>
            </w:pPr>
            <w:r w:rsidRPr="00881752">
              <w:rPr>
                <w:i/>
                <w:sz w:val="22"/>
                <w:szCs w:val="22"/>
              </w:rPr>
              <w:t>Il</w:t>
            </w:r>
            <w:r w:rsidRPr="00881752">
              <w:rPr>
                <w:sz w:val="22"/>
                <w:szCs w:val="22"/>
              </w:rPr>
              <w:t>. 15.536</w:t>
            </w:r>
          </w:p>
        </w:tc>
        <w:tc>
          <w:tcPr>
            <w:tcW w:w="3588" w:type="dxa"/>
          </w:tcPr>
          <w:p w14:paraId="02EE4547" w14:textId="06981881" w:rsidR="00973833" w:rsidRPr="00881752" w:rsidRDefault="00973833" w:rsidP="00771DAB">
            <w:pPr>
              <w:pStyle w:val="Blockquote"/>
              <w:rPr>
                <w:rFonts w:eastAsiaTheme="minorEastAsia"/>
                <w:sz w:val="22"/>
                <w:szCs w:val="22"/>
                <w:lang w:val="el-GR"/>
              </w:rPr>
            </w:pPr>
            <w:r w:rsidRPr="00881752">
              <w:rPr>
                <w:rFonts w:eastAsiaTheme="minorEastAsia"/>
                <w:sz w:val="22"/>
                <w:szCs w:val="22"/>
                <w:lang w:val="el-GR"/>
              </w:rPr>
              <w:t xml:space="preserve">Lyc. </w:t>
            </w:r>
            <w:r w:rsidRPr="00881752">
              <w:rPr>
                <w:rFonts w:eastAsiaTheme="minorEastAsia"/>
                <w:i/>
                <w:sz w:val="22"/>
                <w:szCs w:val="22"/>
                <w:lang w:val="el-GR"/>
              </w:rPr>
              <w:t>Al.</w:t>
            </w:r>
            <w:r w:rsidRPr="00881752">
              <w:rPr>
                <w:rFonts w:eastAsiaTheme="minorEastAsia"/>
                <w:sz w:val="22"/>
                <w:szCs w:val="22"/>
                <w:lang w:val="el-GR"/>
              </w:rPr>
              <w:t xml:space="preserve"> 65-68</w:t>
            </w:r>
          </w:p>
        </w:tc>
      </w:tr>
      <w:tr w:rsidR="00973833" w:rsidRPr="00881752" w14:paraId="3B579153" w14:textId="77777777" w:rsidTr="0013179E">
        <w:tc>
          <w:tcPr>
            <w:tcW w:w="4197" w:type="dxa"/>
          </w:tcPr>
          <w:p w14:paraId="5F34F95A" w14:textId="38DFE88D" w:rsidR="00272F31" w:rsidRPr="00881752" w:rsidRDefault="00272F31" w:rsidP="00771DAB">
            <w:pPr>
              <w:pStyle w:val="Blockquote"/>
              <w:rPr>
                <w:rFonts w:eastAsiaTheme="minorEastAsia"/>
                <w:szCs w:val="20"/>
              </w:rPr>
            </w:pPr>
            <w:r w:rsidRPr="00881752">
              <w:rPr>
                <w:rFonts w:eastAsiaTheme="minorEastAsia"/>
                <w:szCs w:val="20"/>
              </w:rPr>
              <w:t>τοῦ δὲ Μέγης κόρυθος χαλκήρεος ἱπποδασείης</w:t>
            </w:r>
            <w:r w:rsidRPr="00881752">
              <w:rPr>
                <w:rFonts w:eastAsiaTheme="minorEastAsia"/>
                <w:i/>
                <w:iCs/>
                <w:color w:val="6D6F03"/>
                <w:szCs w:val="20"/>
              </w:rPr>
              <w:t xml:space="preserve"> </w:t>
            </w:r>
            <w:r w:rsidRPr="00881752">
              <w:rPr>
                <w:rFonts w:eastAsiaTheme="minorEastAsia"/>
                <w:szCs w:val="20"/>
              </w:rPr>
              <w:t>κύμβαχον ἀκρότατον νύξ</w:t>
            </w:r>
            <w:r w:rsidR="00075F5F">
              <w:rPr>
                <w:rFonts w:eastAsiaTheme="minorEastAsia"/>
                <w:szCs w:val="20"/>
              </w:rPr>
              <w:t>’</w:t>
            </w:r>
            <w:r w:rsidRPr="00881752">
              <w:rPr>
                <w:rFonts w:eastAsiaTheme="minorEastAsia"/>
                <w:szCs w:val="20"/>
              </w:rPr>
              <w:t xml:space="preserve"> ἔγχεϊ ὀξυόεντι,</w:t>
            </w:r>
          </w:p>
          <w:p w14:paraId="0E4ED940" w14:textId="3C3F580E" w:rsidR="00272F31" w:rsidRPr="00881752" w:rsidRDefault="00272F31" w:rsidP="00771DAB">
            <w:pPr>
              <w:pStyle w:val="Blockquote"/>
              <w:rPr>
                <w:rFonts w:eastAsiaTheme="minorEastAsia"/>
                <w:szCs w:val="20"/>
              </w:rPr>
            </w:pPr>
            <w:r w:rsidRPr="00881752">
              <w:rPr>
                <w:rFonts w:eastAsiaTheme="minorEastAsia"/>
                <w:szCs w:val="20"/>
              </w:rPr>
              <w:t>ῥῆξε δ</w:t>
            </w:r>
            <w:r w:rsidR="00075F5F">
              <w:rPr>
                <w:rFonts w:eastAsiaTheme="minorEastAsia"/>
                <w:szCs w:val="20"/>
              </w:rPr>
              <w:t>’</w:t>
            </w:r>
            <w:r w:rsidRPr="00881752">
              <w:rPr>
                <w:rFonts w:eastAsiaTheme="minorEastAsia"/>
                <w:szCs w:val="20"/>
              </w:rPr>
              <w:t xml:space="preserve"> ἀφ</w:t>
            </w:r>
            <w:r w:rsidR="00075F5F">
              <w:rPr>
                <w:rFonts w:eastAsiaTheme="minorEastAsia"/>
                <w:szCs w:val="20"/>
              </w:rPr>
              <w:t>’</w:t>
            </w:r>
            <w:r w:rsidRPr="00881752">
              <w:rPr>
                <w:rFonts w:eastAsiaTheme="minorEastAsia"/>
                <w:szCs w:val="20"/>
              </w:rPr>
              <w:t xml:space="preserve"> ἵππειον λόφον αὐτοῦ· πᾶς δὲ χαμᾶζε</w:t>
            </w:r>
          </w:p>
          <w:p w14:paraId="01F120C7" w14:textId="77777777" w:rsidR="00272F31" w:rsidRPr="00881752" w:rsidRDefault="00272F31" w:rsidP="00771DAB">
            <w:pPr>
              <w:pStyle w:val="Blockquote"/>
              <w:rPr>
                <w:szCs w:val="20"/>
                <w:lang w:val="el-GR"/>
              </w:rPr>
            </w:pPr>
            <w:r w:rsidRPr="00881752">
              <w:rPr>
                <w:rFonts w:eastAsiaTheme="minorEastAsia"/>
                <w:szCs w:val="20"/>
                <w:lang w:val="el-GR"/>
              </w:rPr>
              <w:t>κάππεσεν ἐν κονίῃσι νέον φοίνικι φαεινός.</w:t>
            </w:r>
          </w:p>
        </w:tc>
        <w:tc>
          <w:tcPr>
            <w:tcW w:w="3588" w:type="dxa"/>
          </w:tcPr>
          <w:p w14:paraId="1A83326F" w14:textId="616805DB" w:rsidR="00272F31" w:rsidRPr="00881752" w:rsidRDefault="00272F31" w:rsidP="00973833">
            <w:pPr>
              <w:pStyle w:val="Blockquote"/>
              <w:ind w:left="-107" w:firstLine="107"/>
              <w:rPr>
                <w:rFonts w:eastAsiaTheme="minorEastAsia"/>
                <w:szCs w:val="20"/>
                <w:lang w:val="el-GR"/>
              </w:rPr>
            </w:pPr>
            <w:r w:rsidRPr="00881752">
              <w:rPr>
                <w:rFonts w:eastAsiaTheme="minorEastAsia"/>
                <w:szCs w:val="20"/>
                <w:lang w:val="el-GR"/>
              </w:rPr>
              <w:t>πύργων ἀπ</w:t>
            </w:r>
            <w:r w:rsidR="00075F5F">
              <w:rPr>
                <w:rFonts w:eastAsiaTheme="minorEastAsia"/>
                <w:szCs w:val="20"/>
                <w:lang w:val="el-GR"/>
              </w:rPr>
              <w:t>’</w:t>
            </w:r>
            <w:r w:rsidRPr="00881752">
              <w:rPr>
                <w:rFonts w:eastAsiaTheme="minorEastAsia"/>
                <w:szCs w:val="20"/>
                <w:lang w:val="el-GR"/>
              </w:rPr>
              <w:t xml:space="preserve"> ἄκρων πρὸς νεόδμητον νέκυν</w:t>
            </w:r>
          </w:p>
          <w:p w14:paraId="36329263" w14:textId="77777777" w:rsidR="00272F31" w:rsidRPr="00881752" w:rsidRDefault="00272F31" w:rsidP="00973833">
            <w:pPr>
              <w:pStyle w:val="Blockquote"/>
              <w:ind w:left="-107" w:firstLine="107"/>
              <w:rPr>
                <w:rFonts w:eastAsiaTheme="minorEastAsia"/>
                <w:szCs w:val="20"/>
                <w:lang w:val="el-GR"/>
              </w:rPr>
            </w:pPr>
            <w:r w:rsidRPr="00881752">
              <w:rPr>
                <w:rFonts w:eastAsiaTheme="minorEastAsia"/>
                <w:szCs w:val="20"/>
                <w:lang w:val="el-GR"/>
              </w:rPr>
              <w:t>ῥοιζηδὸν ἐκβράσασα κύμβαχον δέμας·</w:t>
            </w:r>
          </w:p>
          <w:p w14:paraId="4D26A413" w14:textId="77777777" w:rsidR="00272F31" w:rsidRPr="00881752" w:rsidRDefault="00272F31" w:rsidP="00973833">
            <w:pPr>
              <w:pStyle w:val="Blockquote"/>
              <w:ind w:left="-107" w:firstLine="107"/>
              <w:rPr>
                <w:rFonts w:eastAsiaTheme="minorEastAsia"/>
                <w:szCs w:val="20"/>
                <w:lang w:val="el-GR"/>
              </w:rPr>
            </w:pPr>
            <w:r w:rsidRPr="00881752">
              <w:rPr>
                <w:rFonts w:eastAsiaTheme="minorEastAsia"/>
                <w:szCs w:val="20"/>
                <w:lang w:val="el-GR"/>
              </w:rPr>
              <w:t>πόθῳ δὲ τοῦ θανόντος ἠγκιστρωμένη</w:t>
            </w:r>
          </w:p>
          <w:p w14:paraId="5E714B03" w14:textId="77777777" w:rsidR="00272F31" w:rsidRPr="00881752" w:rsidRDefault="00272F31" w:rsidP="00973833">
            <w:pPr>
              <w:pStyle w:val="Blockquote"/>
              <w:ind w:left="-107" w:firstLine="107"/>
              <w:rPr>
                <w:szCs w:val="20"/>
              </w:rPr>
            </w:pPr>
            <w:r w:rsidRPr="00881752">
              <w:rPr>
                <w:rFonts w:eastAsiaTheme="minorEastAsia"/>
                <w:szCs w:val="20"/>
              </w:rPr>
              <w:t>ψυχὴν περισπαίροντι φυσήσει νεκρῷ</w:t>
            </w:r>
          </w:p>
        </w:tc>
      </w:tr>
      <w:tr w:rsidR="00973833" w:rsidRPr="00881752" w14:paraId="7EB2199A" w14:textId="77777777" w:rsidTr="0013179E">
        <w:tc>
          <w:tcPr>
            <w:tcW w:w="4197" w:type="dxa"/>
          </w:tcPr>
          <w:p w14:paraId="296EF1D3" w14:textId="77777777" w:rsidR="00272F31" w:rsidRPr="00881752" w:rsidRDefault="00272F31" w:rsidP="00771DAB">
            <w:pPr>
              <w:pStyle w:val="Blockquote"/>
              <w:ind w:left="284" w:hanging="284"/>
              <w:rPr>
                <w:szCs w:val="20"/>
              </w:rPr>
            </w:pPr>
          </w:p>
          <w:p w14:paraId="203FE8DF" w14:textId="77777777" w:rsidR="00272F31" w:rsidRPr="00881752" w:rsidRDefault="00272F31" w:rsidP="00771DAB">
            <w:pPr>
              <w:pStyle w:val="Blockquote"/>
              <w:rPr>
                <w:szCs w:val="20"/>
              </w:rPr>
            </w:pPr>
            <w:r w:rsidRPr="00881752">
              <w:rPr>
                <w:szCs w:val="20"/>
              </w:rPr>
              <w:t>But Meges stabbed with the sharp spear at the uttermost summit of the brazen helmet thick with horse-hair, and tore off the mane of horse-hair from the helmet, so that it toppled groundward and lay in the dust in all its new shining of purple.</w:t>
            </w:r>
          </w:p>
        </w:tc>
        <w:tc>
          <w:tcPr>
            <w:tcW w:w="3588" w:type="dxa"/>
          </w:tcPr>
          <w:p w14:paraId="4ED575D9" w14:textId="77777777" w:rsidR="00272F31" w:rsidRPr="00881752" w:rsidRDefault="00272F31" w:rsidP="00771DAB">
            <w:pPr>
              <w:pStyle w:val="Blockquote"/>
              <w:ind w:left="284" w:hanging="284"/>
              <w:rPr>
                <w:rFonts w:eastAsiaTheme="minorEastAsia"/>
                <w:szCs w:val="20"/>
              </w:rPr>
            </w:pPr>
          </w:p>
          <w:p w14:paraId="6E16E091" w14:textId="77777777" w:rsidR="00272F31" w:rsidRPr="00881752" w:rsidRDefault="00272F31" w:rsidP="00771DAB">
            <w:pPr>
              <w:pStyle w:val="Blockquote"/>
              <w:rPr>
                <w:szCs w:val="20"/>
              </w:rPr>
            </w:pPr>
            <w:r w:rsidRPr="00881752">
              <w:rPr>
                <w:rFonts w:eastAsiaTheme="minorEastAsia"/>
                <w:szCs w:val="20"/>
              </w:rPr>
              <w:t>From the topmost towers to the new slain corpse hurtling herself head foremost, and pierced by sorrow for the dead shall breathe forth her soul on the quivering body.</w:t>
            </w:r>
          </w:p>
        </w:tc>
      </w:tr>
    </w:tbl>
    <w:p w14:paraId="118D1DC3" w14:textId="77777777" w:rsidR="00272F31" w:rsidRPr="00881752" w:rsidRDefault="00272F31" w:rsidP="00771DAB">
      <w:pPr>
        <w:pStyle w:val="Blockquote"/>
      </w:pPr>
    </w:p>
    <w:p w14:paraId="6DBB7C35" w14:textId="0D0C0615" w:rsidR="00272F31" w:rsidRPr="00881752" w:rsidRDefault="001243F6" w:rsidP="002C29A2">
      <w:pPr>
        <w:pStyle w:val="ListParagraph"/>
        <w:ind w:left="709"/>
      </w:pPr>
      <w:r w:rsidRPr="00881752">
        <w:rPr>
          <w:lang w:val="en-US"/>
        </w:rPr>
        <w:t>One may suggest that the two Hellenistic poets are competing between each other in using rare Homeric terms, choosing each one of the two Homeric occurrences of the word as their own battlefield.</w:t>
      </w:r>
    </w:p>
    <w:p w14:paraId="14E6D33E" w14:textId="3828BEE9" w:rsidR="001243F6" w:rsidRPr="00881752" w:rsidRDefault="001243F6">
      <w:pPr>
        <w:widowControl w:val="0"/>
        <w:numPr>
          <w:ilvl w:val="0"/>
          <w:numId w:val="175"/>
        </w:numPr>
        <w:tabs>
          <w:tab w:val="clear" w:pos="425"/>
          <w:tab w:val="left" w:pos="426"/>
          <w:tab w:val="center" w:pos="5387"/>
        </w:tabs>
        <w:ind w:hanging="578"/>
        <w:rPr>
          <w:rFonts w:cs="Times New Roman"/>
          <w:lang w:val="en-US"/>
        </w:rPr>
      </w:pPr>
      <w:r w:rsidRPr="00881752">
        <w:rPr>
          <w:rFonts w:cs="Times New Roman"/>
          <w:lang w:val="en-US"/>
        </w:rPr>
        <w:t>words drawn from the lyric language, especially from the archaic lyric poets, such as:</w:t>
      </w:r>
    </w:p>
    <w:p w14:paraId="6F1DD293" w14:textId="4F76B60C" w:rsidR="002C29A2" w:rsidRPr="00881752" w:rsidRDefault="001243F6">
      <w:pPr>
        <w:pStyle w:val="ListParagraph"/>
        <w:numPr>
          <w:ilvl w:val="0"/>
          <w:numId w:val="5"/>
        </w:numPr>
        <w:ind w:left="709" w:hanging="283"/>
      </w:pPr>
      <w:r w:rsidRPr="00881752">
        <w:rPr>
          <w:lang w:val="en-US"/>
        </w:rPr>
        <w:t xml:space="preserve">ἀμαυρόω </w:t>
      </w:r>
      <w:r w:rsidR="00CC0615">
        <w:rPr>
          <w:lang w:val="en-US"/>
        </w:rPr>
        <w:t>“</w:t>
      </w:r>
      <w:r w:rsidRPr="00881752">
        <w:rPr>
          <w:lang w:val="en-US"/>
        </w:rPr>
        <w:t>obscure</w:t>
      </w:r>
      <w:r w:rsidR="00CC0615">
        <w:rPr>
          <w:lang w:val="en-US"/>
        </w:rPr>
        <w:t>”</w:t>
      </w:r>
      <w:r w:rsidRPr="00881752">
        <w:rPr>
          <w:lang w:val="en-US"/>
        </w:rPr>
        <w:t xml:space="preserve"> (</w:t>
      </w:r>
      <w:r w:rsidRPr="00881752">
        <w:rPr>
          <w:i/>
          <w:iCs/>
          <w:lang w:val="en-US"/>
        </w:rPr>
        <w:t>Ia</w:t>
      </w:r>
      <w:r w:rsidRPr="00881752">
        <w:rPr>
          <w:lang w:val="en-US"/>
        </w:rPr>
        <w:t>. 12.67), which as a verb is used by Solon,</w:t>
      </w:r>
      <w:r w:rsidRPr="00881752">
        <w:rPr>
          <w:rStyle w:val="FootnoteReference"/>
          <w:lang w:val="en-US"/>
        </w:rPr>
        <w:footnoteReference w:id="192"/>
      </w:r>
      <w:r w:rsidRPr="00881752">
        <w:rPr>
          <w:lang w:val="en-US"/>
        </w:rPr>
        <w:t xml:space="preserve"> Simonides and Pindar. I suggest that Callimachus is alluding to Simonides</w:t>
      </w:r>
      <w:r w:rsidR="00075F5F">
        <w:rPr>
          <w:lang w:val="en-US"/>
        </w:rPr>
        <w:t>’</w:t>
      </w:r>
      <w:r w:rsidRPr="00881752">
        <w:rPr>
          <w:lang w:val="en-US"/>
        </w:rPr>
        <w:t xml:space="preserve"> passage: Simonides states that time cannot destroy the glory which comes from fighting </w:t>
      </w:r>
      <w:r w:rsidRPr="00881752">
        <w:rPr>
          <w:lang w:val="en-US"/>
        </w:rPr>
        <w:lastRenderedPageBreak/>
        <w:t>with bravery, Callimachus says that time will destroy any material goods, but not the glory which comes from poetry.</w:t>
      </w:r>
    </w:p>
    <w:p w14:paraId="1BB36095" w14:textId="77777777" w:rsidR="00272F31" w:rsidRPr="00881752" w:rsidRDefault="00272F31" w:rsidP="00F56C73">
      <w:pPr>
        <w:pStyle w:val="ListParagraph"/>
        <w:ind w:left="709"/>
      </w:pPr>
    </w:p>
    <w:tbl>
      <w:tblPr>
        <w:tblStyle w:val="TableGrid"/>
        <w:tblW w:w="7457" w:type="dxa"/>
        <w:tblInd w:w="731"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26"/>
        <w:gridCol w:w="3931"/>
      </w:tblGrid>
      <w:tr w:rsidR="006634F3" w:rsidRPr="00881752" w14:paraId="3FDFAEBA" w14:textId="77777777" w:rsidTr="0013179E">
        <w:tc>
          <w:tcPr>
            <w:tcW w:w="3526" w:type="dxa"/>
          </w:tcPr>
          <w:p w14:paraId="74008162" w14:textId="033EDD5B" w:rsidR="006634F3" w:rsidRPr="00881752" w:rsidRDefault="006634F3" w:rsidP="00771DAB">
            <w:pPr>
              <w:pStyle w:val="Blockquote"/>
              <w:rPr>
                <w:sz w:val="22"/>
                <w:szCs w:val="22"/>
                <w:lang w:val="el-GR"/>
              </w:rPr>
            </w:pPr>
            <w:r w:rsidRPr="00881752">
              <w:rPr>
                <w:sz w:val="22"/>
                <w:szCs w:val="22"/>
                <w:lang w:val="el-GR"/>
              </w:rPr>
              <w:t xml:space="preserve">Call. </w:t>
            </w:r>
            <w:r w:rsidRPr="00881752">
              <w:rPr>
                <w:i/>
                <w:sz w:val="22"/>
                <w:szCs w:val="22"/>
                <w:lang w:val="el-GR"/>
              </w:rPr>
              <w:t>Ia</w:t>
            </w:r>
            <w:r w:rsidRPr="00881752">
              <w:rPr>
                <w:sz w:val="22"/>
                <w:szCs w:val="22"/>
                <w:lang w:val="el-GR"/>
              </w:rPr>
              <w:t>. 12.67</w:t>
            </w:r>
          </w:p>
        </w:tc>
        <w:tc>
          <w:tcPr>
            <w:tcW w:w="3931" w:type="dxa"/>
          </w:tcPr>
          <w:p w14:paraId="52707906" w14:textId="350C5BAB" w:rsidR="006634F3" w:rsidRPr="00881752" w:rsidRDefault="006634F3" w:rsidP="00771DAB">
            <w:pPr>
              <w:pStyle w:val="Blockquote"/>
              <w:rPr>
                <w:rFonts w:eastAsiaTheme="minorEastAsia"/>
                <w:sz w:val="22"/>
                <w:szCs w:val="22"/>
                <w:lang w:val="el-GR"/>
              </w:rPr>
            </w:pPr>
            <w:r w:rsidRPr="00881752">
              <w:rPr>
                <w:rFonts w:eastAsiaTheme="minorEastAsia"/>
                <w:sz w:val="22"/>
                <w:szCs w:val="22"/>
                <w:lang w:val="el-GR"/>
              </w:rPr>
              <w:t>Sim. fr. 26.4-5 Page</w:t>
            </w:r>
          </w:p>
        </w:tc>
      </w:tr>
      <w:tr w:rsidR="00272F31" w:rsidRPr="00BF5139" w14:paraId="16BACE77" w14:textId="77777777" w:rsidTr="0013179E">
        <w:tc>
          <w:tcPr>
            <w:tcW w:w="3526" w:type="dxa"/>
          </w:tcPr>
          <w:p w14:paraId="5F7376DD" w14:textId="77777777" w:rsidR="00272F31" w:rsidRPr="00881752" w:rsidRDefault="00272F31" w:rsidP="00771DAB">
            <w:pPr>
              <w:pStyle w:val="Blockquote"/>
              <w:rPr>
                <w:sz w:val="22"/>
                <w:szCs w:val="22"/>
                <w:lang w:val="el-GR"/>
              </w:rPr>
            </w:pPr>
            <w:r w:rsidRPr="00881752">
              <w:rPr>
                <w:sz w:val="22"/>
                <w:szCs w:val="22"/>
                <w:lang w:val="el-GR"/>
              </w:rPr>
              <w:t>ὁ πρόσω φοιτέων ἀμαυρώσει χρόνος</w:t>
            </w:r>
          </w:p>
        </w:tc>
        <w:tc>
          <w:tcPr>
            <w:tcW w:w="3931" w:type="dxa"/>
          </w:tcPr>
          <w:p w14:paraId="6BA3DA05" w14:textId="56D8DCDF" w:rsidR="00272F31" w:rsidRPr="00881752" w:rsidRDefault="00272F31" w:rsidP="00771DAB">
            <w:pPr>
              <w:pStyle w:val="Blockquote"/>
              <w:rPr>
                <w:rFonts w:eastAsiaTheme="minorEastAsia"/>
                <w:sz w:val="22"/>
                <w:szCs w:val="22"/>
                <w:lang w:val="el-GR"/>
              </w:rPr>
            </w:pPr>
            <w:r w:rsidRPr="00881752">
              <w:rPr>
                <w:rFonts w:eastAsiaTheme="minorEastAsia"/>
                <w:sz w:val="22"/>
                <w:szCs w:val="22"/>
                <w:lang w:val="el-GR"/>
              </w:rPr>
              <w:t>ἐντάφιον δὲ τοιοῦτον οὔτ</w:t>
            </w:r>
            <w:r w:rsidR="00075F5F">
              <w:rPr>
                <w:rFonts w:eastAsiaTheme="minorEastAsia"/>
                <w:sz w:val="22"/>
                <w:szCs w:val="22"/>
                <w:lang w:val="el-GR"/>
              </w:rPr>
              <w:t>’</w:t>
            </w:r>
            <w:r w:rsidRPr="00881752">
              <w:rPr>
                <w:rFonts w:eastAsiaTheme="minorEastAsia"/>
                <w:sz w:val="22"/>
                <w:szCs w:val="22"/>
                <w:lang w:val="el-GR"/>
              </w:rPr>
              <w:t xml:space="preserve"> εὐρὼς</w:t>
            </w:r>
          </w:p>
          <w:p w14:paraId="07EFD493" w14:textId="4B908C9E" w:rsidR="00272F31" w:rsidRPr="00881752" w:rsidRDefault="00272F31" w:rsidP="00771DAB">
            <w:pPr>
              <w:pStyle w:val="Blockquote"/>
              <w:rPr>
                <w:sz w:val="22"/>
                <w:szCs w:val="22"/>
                <w:lang w:val="el-GR"/>
              </w:rPr>
            </w:pPr>
            <w:r w:rsidRPr="00881752">
              <w:rPr>
                <w:rFonts w:eastAsiaTheme="minorEastAsia"/>
                <w:sz w:val="22"/>
                <w:szCs w:val="22"/>
                <w:lang w:val="el-GR"/>
              </w:rPr>
              <w:t>οὔθ</w:t>
            </w:r>
            <w:r w:rsidR="00075F5F">
              <w:rPr>
                <w:rFonts w:eastAsiaTheme="minorEastAsia"/>
                <w:sz w:val="22"/>
                <w:szCs w:val="22"/>
                <w:lang w:val="el-GR"/>
              </w:rPr>
              <w:t>’</w:t>
            </w:r>
            <w:r w:rsidRPr="00881752">
              <w:rPr>
                <w:rFonts w:eastAsiaTheme="minorEastAsia"/>
                <w:sz w:val="22"/>
                <w:szCs w:val="22"/>
                <w:lang w:val="el-GR"/>
              </w:rPr>
              <w:t xml:space="preserve"> ὁ πανδαμάτωρ ἀμαυρώσει χρόνος.</w:t>
            </w:r>
          </w:p>
        </w:tc>
      </w:tr>
      <w:tr w:rsidR="00272F31" w:rsidRPr="00881752" w14:paraId="3D7043D8" w14:textId="77777777" w:rsidTr="0013179E">
        <w:tc>
          <w:tcPr>
            <w:tcW w:w="3526" w:type="dxa"/>
          </w:tcPr>
          <w:p w14:paraId="178F7483" w14:textId="77777777" w:rsidR="00272F31" w:rsidRPr="00881752" w:rsidRDefault="00272F31" w:rsidP="00771DAB">
            <w:pPr>
              <w:pStyle w:val="Blockquote"/>
              <w:rPr>
                <w:sz w:val="22"/>
                <w:szCs w:val="22"/>
                <w:lang w:val="el-GR"/>
              </w:rPr>
            </w:pPr>
          </w:p>
          <w:p w14:paraId="757591CA" w14:textId="77777777" w:rsidR="00272F31" w:rsidRPr="00881752" w:rsidRDefault="00272F31" w:rsidP="00771DAB">
            <w:pPr>
              <w:pStyle w:val="Blockquote"/>
              <w:rPr>
                <w:sz w:val="22"/>
                <w:szCs w:val="22"/>
              </w:rPr>
            </w:pPr>
            <w:r w:rsidRPr="00881752">
              <w:rPr>
                <w:sz w:val="22"/>
                <w:szCs w:val="22"/>
              </w:rPr>
              <w:t>time as it goes forward will render dim</w:t>
            </w:r>
          </w:p>
        </w:tc>
        <w:tc>
          <w:tcPr>
            <w:tcW w:w="3931" w:type="dxa"/>
          </w:tcPr>
          <w:p w14:paraId="3A66E82C" w14:textId="77777777" w:rsidR="00272F31" w:rsidRPr="00881752" w:rsidRDefault="00272F31" w:rsidP="00771DAB">
            <w:pPr>
              <w:pStyle w:val="Blockquote"/>
              <w:rPr>
                <w:sz w:val="22"/>
                <w:szCs w:val="22"/>
              </w:rPr>
            </w:pPr>
          </w:p>
          <w:p w14:paraId="18E5A825" w14:textId="77777777" w:rsidR="00272F31" w:rsidRPr="00881752" w:rsidRDefault="00272F31" w:rsidP="00771DAB">
            <w:pPr>
              <w:pStyle w:val="Blockquote"/>
              <w:rPr>
                <w:sz w:val="22"/>
                <w:szCs w:val="22"/>
              </w:rPr>
            </w:pPr>
            <w:r w:rsidRPr="00881752">
              <w:rPr>
                <w:sz w:val="22"/>
                <w:szCs w:val="22"/>
              </w:rPr>
              <w:t>such a shroud neither mould nor time which all destroys will obscure</w:t>
            </w:r>
          </w:p>
        </w:tc>
      </w:tr>
    </w:tbl>
    <w:p w14:paraId="16E79C59" w14:textId="77777777" w:rsidR="00272F31" w:rsidRPr="00881752" w:rsidRDefault="00272F31" w:rsidP="00771DAB">
      <w:pPr>
        <w:pStyle w:val="Blockquote"/>
      </w:pPr>
    </w:p>
    <w:p w14:paraId="59EC7C82" w14:textId="4313F114" w:rsidR="002C29A2" w:rsidRPr="00881752" w:rsidRDefault="00355B34" w:rsidP="00881752">
      <w:pPr>
        <w:pStyle w:val="ListParagraph"/>
        <w:numPr>
          <w:ilvl w:val="0"/>
          <w:numId w:val="5"/>
        </w:numPr>
        <w:autoSpaceDE w:val="0"/>
        <w:autoSpaceDN w:val="0"/>
        <w:adjustRightInd w:val="0"/>
        <w:ind w:left="709" w:hanging="284"/>
        <w:rPr>
          <w:rFonts w:eastAsiaTheme="minorEastAsia"/>
        </w:rPr>
      </w:pPr>
      <w:r w:rsidRPr="00881752">
        <w:rPr>
          <w:lang w:val="en-US"/>
        </w:rPr>
        <w:t xml:space="preserve">εἰληδόν </w:t>
      </w:r>
      <w:r w:rsidR="00CC0615">
        <w:rPr>
          <w:lang w:val="en-US"/>
        </w:rPr>
        <w:t>“</w:t>
      </w:r>
      <w:r w:rsidRPr="00881752">
        <w:rPr>
          <w:lang w:val="en-US"/>
        </w:rPr>
        <w:t>in droves</w:t>
      </w:r>
      <w:r w:rsidR="00CC0615">
        <w:rPr>
          <w:lang w:val="en-US"/>
        </w:rPr>
        <w:t>”</w:t>
      </w:r>
      <w:r w:rsidRPr="00881752">
        <w:rPr>
          <w:lang w:val="en-US"/>
        </w:rPr>
        <w:t xml:space="preserve"> (</w:t>
      </w:r>
      <w:r w:rsidRPr="00881752">
        <w:rPr>
          <w:i/>
          <w:iCs/>
          <w:lang w:val="en-US"/>
        </w:rPr>
        <w:t>Ia</w:t>
      </w:r>
      <w:r w:rsidRPr="00881752">
        <w:rPr>
          <w:lang w:val="en-US"/>
        </w:rPr>
        <w:t>. 1.28), which is a variant of the elegiac word ἰλαδόν. It is plausible that Callimachus is borrowing the form εἰληδόν from Tirtaeus; unfortunately, the fragmentary  nature of Tirtaeus does not permit us to understand how far the similarity between the passages of Tyrtaeus and Callimachus extends. It is interesting that Tyrtaeus uses the word to describe a crowd leaving from a place: λείψουσ</w:t>
      </w:r>
      <w:r w:rsidR="00075F5F">
        <w:rPr>
          <w:lang w:val="en-US"/>
        </w:rPr>
        <w:t>’</w:t>
      </w:r>
      <w:r w:rsidRPr="00881752">
        <w:rPr>
          <w:lang w:val="en-US"/>
        </w:rPr>
        <w:t xml:space="preserve"> ἰληδ</w:t>
      </w:r>
      <w:r w:rsidR="007D453B">
        <w:rPr>
          <w:lang w:val="el-GR"/>
        </w:rPr>
        <w:t>ό</w:t>
      </w:r>
      <w:r w:rsidRPr="00881752">
        <w:rPr>
          <w:lang w:val="en-US"/>
        </w:rPr>
        <w:t xml:space="preserve">ν </w:t>
      </w:r>
      <w:r w:rsidR="00CC0615">
        <w:rPr>
          <w:lang w:val="en-US"/>
        </w:rPr>
        <w:t>“</w:t>
      </w:r>
      <w:r w:rsidRPr="00881752">
        <w:rPr>
          <w:lang w:val="en-US"/>
        </w:rPr>
        <w:t>they will leave in droves</w:t>
      </w:r>
      <w:r w:rsidR="00CC0615">
        <w:rPr>
          <w:lang w:val="en-US"/>
        </w:rPr>
        <w:t>”</w:t>
      </w:r>
      <w:r w:rsidRPr="00881752">
        <w:rPr>
          <w:lang w:val="en-US"/>
        </w:rPr>
        <w:t xml:space="preserve"> (fr. 23.13 West), while Callimachus is describing a crowd gathering in a place (</w:t>
      </w:r>
      <w:r w:rsidRPr="00881752">
        <w:rPr>
          <w:i/>
          <w:iCs/>
          <w:lang w:val="en-US"/>
        </w:rPr>
        <w:t>Ia</w:t>
      </w:r>
      <w:r w:rsidRPr="00881752">
        <w:rPr>
          <w:lang w:val="en-US"/>
        </w:rPr>
        <w:t>. 1.26-28):</w:t>
      </w:r>
    </w:p>
    <w:p w14:paraId="313E5DE1" w14:textId="77777777" w:rsidR="00272F31" w:rsidRPr="00881752" w:rsidRDefault="00272F31" w:rsidP="00F56C73">
      <w:pPr>
        <w:pStyle w:val="ListParagraph"/>
        <w:autoSpaceDE w:val="0"/>
        <w:autoSpaceDN w:val="0"/>
        <w:adjustRightInd w:val="0"/>
        <w:ind w:left="709"/>
      </w:pPr>
    </w:p>
    <w:tbl>
      <w:tblPr>
        <w:tblStyle w:val="TableGrid"/>
        <w:tblW w:w="7655" w:type="dxa"/>
        <w:tblInd w:w="675"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28"/>
        <w:gridCol w:w="3827"/>
      </w:tblGrid>
      <w:tr w:rsidR="00272F31" w:rsidRPr="00881752" w14:paraId="4373A550" w14:textId="77777777" w:rsidTr="0013179E">
        <w:tc>
          <w:tcPr>
            <w:tcW w:w="3828" w:type="dxa"/>
          </w:tcPr>
          <w:p w14:paraId="1D05D1D7" w14:textId="2F0054A9" w:rsidR="00272F31" w:rsidRPr="00881752" w:rsidRDefault="00272F31" w:rsidP="007D00D3">
            <w:pPr>
              <w:pStyle w:val="Blockquote"/>
              <w:keepNext/>
              <w:rPr>
                <w:sz w:val="22"/>
                <w:szCs w:val="22"/>
              </w:rPr>
            </w:pPr>
            <w:r w:rsidRPr="00881752">
              <w:rPr>
                <w:sz w:val="22"/>
                <w:szCs w:val="22"/>
              </w:rPr>
              <w:t>ὤπολλον, ὧνδρες, ὡς</w:t>
            </w:r>
            <w:r w:rsidR="00204539" w:rsidRPr="00881752">
              <w:rPr>
                <w:sz w:val="22"/>
                <w:szCs w:val="22"/>
              </w:rPr>
              <w:t xml:space="preserve"> </w:t>
            </w:r>
            <w:r w:rsidRPr="00881752">
              <w:rPr>
                <w:sz w:val="22"/>
                <w:szCs w:val="22"/>
              </w:rPr>
              <w:t>παρ</w:t>
            </w:r>
            <w:r w:rsidR="00075F5F">
              <w:rPr>
                <w:sz w:val="22"/>
                <w:szCs w:val="22"/>
              </w:rPr>
              <w:t>’</w:t>
            </w:r>
            <w:r w:rsidRPr="00881752">
              <w:rPr>
                <w:sz w:val="22"/>
                <w:szCs w:val="22"/>
              </w:rPr>
              <w:t xml:space="preserve"> αἰπόλῳ μυῖαι</w:t>
            </w:r>
          </w:p>
          <w:p w14:paraId="034FD883" w14:textId="184D4F4F" w:rsidR="00272F31" w:rsidRPr="00881752" w:rsidRDefault="00272F31" w:rsidP="007D00D3">
            <w:pPr>
              <w:pStyle w:val="Blockquote"/>
              <w:keepNext/>
              <w:rPr>
                <w:sz w:val="22"/>
                <w:szCs w:val="22"/>
              </w:rPr>
            </w:pPr>
            <w:r w:rsidRPr="00881752">
              <w:rPr>
                <w:sz w:val="22"/>
                <w:szCs w:val="22"/>
              </w:rPr>
              <w:t>ἢ σφῆκες</w:t>
            </w:r>
            <w:r w:rsidR="00204539" w:rsidRPr="00881752">
              <w:rPr>
                <w:sz w:val="22"/>
                <w:szCs w:val="22"/>
              </w:rPr>
              <w:t xml:space="preserve"> </w:t>
            </w:r>
            <w:r w:rsidRPr="00881752">
              <w:rPr>
                <w:sz w:val="22"/>
                <w:szCs w:val="22"/>
              </w:rPr>
              <w:t>ἐκ γῆς ἢ ἀπὸ θύματος Δελφοί,</w:t>
            </w:r>
          </w:p>
          <w:p w14:paraId="2931BDEF" w14:textId="77777777" w:rsidR="00272F31" w:rsidRPr="00881752" w:rsidRDefault="00272F31" w:rsidP="007D00D3">
            <w:pPr>
              <w:pStyle w:val="Blockquote"/>
              <w:keepNext/>
              <w:rPr>
                <w:sz w:val="22"/>
                <w:szCs w:val="22"/>
              </w:rPr>
            </w:pPr>
            <w:r w:rsidRPr="00881752">
              <w:rPr>
                <w:sz w:val="22"/>
                <w:szCs w:val="22"/>
              </w:rPr>
              <w:t>ε̣ἰ̣λ̣η̣δ̣ὸ̣ν ἑσμεύουσιν · ὦ Ἑκάτη πλήθευς.</w:t>
            </w:r>
          </w:p>
        </w:tc>
        <w:tc>
          <w:tcPr>
            <w:tcW w:w="3827" w:type="dxa"/>
          </w:tcPr>
          <w:p w14:paraId="745030F9" w14:textId="31996C59" w:rsidR="00272F31" w:rsidRPr="00881752" w:rsidRDefault="00272F31" w:rsidP="007D00D3">
            <w:pPr>
              <w:pStyle w:val="Blockquote"/>
              <w:keepNext/>
              <w:rPr>
                <w:sz w:val="22"/>
                <w:szCs w:val="22"/>
              </w:rPr>
            </w:pPr>
            <w:r w:rsidRPr="00881752">
              <w:rPr>
                <w:sz w:val="22"/>
                <w:szCs w:val="22"/>
              </w:rPr>
              <w:t>O Apollo, the men, as flies by a goatherd or wasps from the ground, or Delphians from</w:t>
            </w:r>
            <w:r w:rsidR="00204539" w:rsidRPr="00881752">
              <w:rPr>
                <w:sz w:val="22"/>
                <w:szCs w:val="22"/>
              </w:rPr>
              <w:t xml:space="preserve"> </w:t>
            </w:r>
            <w:r w:rsidRPr="00881752">
              <w:rPr>
                <w:sz w:val="22"/>
                <w:szCs w:val="22"/>
              </w:rPr>
              <w:t>a sacrifice, they swarm in droves. O Hecate, what a throng!</w:t>
            </w:r>
          </w:p>
        </w:tc>
      </w:tr>
    </w:tbl>
    <w:p w14:paraId="4699B46C" w14:textId="77777777" w:rsidR="00272F31" w:rsidRPr="00881752" w:rsidRDefault="00272F31" w:rsidP="007D00D3">
      <w:pPr>
        <w:pStyle w:val="Blockquote"/>
      </w:pPr>
    </w:p>
    <w:p w14:paraId="11AB5C38" w14:textId="70971770" w:rsidR="00272F31" w:rsidRPr="00881752" w:rsidRDefault="00355B34" w:rsidP="002C29A2">
      <w:pPr>
        <w:autoSpaceDE w:val="0"/>
        <w:autoSpaceDN w:val="0"/>
        <w:adjustRightInd w:val="0"/>
        <w:ind w:left="709"/>
        <w:rPr>
          <w:rFonts w:eastAsiaTheme="minorEastAsia" w:cs="Times New Roman"/>
          <w:szCs w:val="24"/>
        </w:rPr>
      </w:pPr>
      <w:r w:rsidRPr="00881752">
        <w:rPr>
          <w:rFonts w:cs="Times New Roman"/>
          <w:lang w:val="en-US"/>
        </w:rPr>
        <w:t xml:space="preserve">The word always describes a group of bad people or people involved in bad behaviour, since being </w:t>
      </w:r>
      <w:r w:rsidR="00CC0615">
        <w:rPr>
          <w:rFonts w:cs="Times New Roman"/>
          <w:lang w:val="en-US"/>
        </w:rPr>
        <w:t>“</w:t>
      </w:r>
      <w:r w:rsidRPr="00881752">
        <w:rPr>
          <w:rFonts w:cs="Times New Roman"/>
          <w:lang w:val="en-US"/>
        </w:rPr>
        <w:t>in droves</w:t>
      </w:r>
      <w:r w:rsidR="00CC0615">
        <w:rPr>
          <w:rFonts w:cs="Times New Roman"/>
          <w:lang w:val="en-US"/>
        </w:rPr>
        <w:t>”</w:t>
      </w:r>
      <w:r w:rsidRPr="00881752">
        <w:rPr>
          <w:rFonts w:cs="Times New Roman"/>
          <w:lang w:val="en-US"/>
        </w:rPr>
        <w:t xml:space="preserve"> is considered the easiest choice and stands for lack of personality: Hipponax faces alone this crowd of supine scholars. There is a motto in Hesiod</w:t>
      </w:r>
      <w:r w:rsidR="00075F5F">
        <w:rPr>
          <w:rFonts w:cs="Times New Roman"/>
          <w:lang w:val="en-US"/>
        </w:rPr>
        <w:t>’</w:t>
      </w:r>
      <w:r w:rsidRPr="00881752">
        <w:rPr>
          <w:rFonts w:cs="Times New Roman"/>
          <w:lang w:val="en-US"/>
        </w:rPr>
        <w:t xml:space="preserve">s </w:t>
      </w:r>
      <w:r w:rsidRPr="00881752">
        <w:rPr>
          <w:rFonts w:cs="Times New Roman"/>
          <w:i/>
          <w:iCs/>
          <w:lang w:val="en-US"/>
        </w:rPr>
        <w:t>Operae et dies</w:t>
      </w:r>
      <w:r w:rsidRPr="00881752">
        <w:rPr>
          <w:rFonts w:cs="Times New Roman"/>
          <w:lang w:val="en-US"/>
        </w:rPr>
        <w:t xml:space="preserve"> which makes clear the semantic patterns of the word ἰληδόν: τὴν μέν τοι κακότητα καὶ ἰλαδὸν ἔστιν ἑλέσθαι / ῥηιδίως· </w:t>
      </w:r>
      <w:r w:rsidR="00CC0615">
        <w:rPr>
          <w:rFonts w:cs="Times New Roman"/>
          <w:lang w:val="en-US"/>
        </w:rPr>
        <w:t>“</w:t>
      </w:r>
      <w:r w:rsidRPr="00881752">
        <w:rPr>
          <w:rFonts w:cs="Times New Roman"/>
          <w:lang w:val="en-US"/>
        </w:rPr>
        <w:t xml:space="preserve">Badness can be got easily and in </w:t>
      </w:r>
      <w:r w:rsidR="009E2C55" w:rsidRPr="00881752">
        <w:rPr>
          <w:rFonts w:cs="Times New Roman"/>
          <w:lang w:val="en-US"/>
        </w:rPr>
        <w:t>drove</w:t>
      </w:r>
      <w:r w:rsidRPr="00881752">
        <w:rPr>
          <w:rFonts w:cs="Times New Roman"/>
          <w:lang w:val="en-US"/>
        </w:rPr>
        <w:t>s</w:t>
      </w:r>
      <w:r w:rsidR="00CC0615">
        <w:rPr>
          <w:rFonts w:cs="Times New Roman"/>
          <w:lang w:val="en-US"/>
        </w:rPr>
        <w:t>”</w:t>
      </w:r>
      <w:r w:rsidRPr="00881752">
        <w:rPr>
          <w:rFonts w:cs="Times New Roman"/>
          <w:lang w:val="en-US"/>
        </w:rPr>
        <w:t xml:space="preserve"> (287-288).</w:t>
      </w:r>
    </w:p>
    <w:p w14:paraId="75FD80AB" w14:textId="7A2E3F7D" w:rsidR="00272F31" w:rsidRPr="00881752" w:rsidRDefault="00DD7B5F">
      <w:pPr>
        <w:widowControl w:val="0"/>
        <w:numPr>
          <w:ilvl w:val="0"/>
          <w:numId w:val="175"/>
        </w:numPr>
        <w:tabs>
          <w:tab w:val="center" w:pos="5387"/>
        </w:tabs>
        <w:ind w:hanging="578"/>
        <w:rPr>
          <w:rFonts w:cs="Times New Roman"/>
          <w:lang w:val="en-US"/>
        </w:rPr>
      </w:pPr>
      <w:r w:rsidRPr="00881752">
        <w:rPr>
          <w:rFonts w:cs="Times New Roman"/>
          <w:lang w:val="en-US"/>
        </w:rPr>
        <w:t xml:space="preserve">words drawn from the tragic language, especially from Aeschylus, such as: </w:t>
      </w:r>
    </w:p>
    <w:p w14:paraId="1D50F110" w14:textId="0AA3C92A" w:rsidR="002C29A2" w:rsidRPr="00881752" w:rsidRDefault="00DD7B5F">
      <w:pPr>
        <w:pStyle w:val="ListParagraph"/>
        <w:numPr>
          <w:ilvl w:val="0"/>
          <w:numId w:val="5"/>
        </w:numPr>
        <w:ind w:left="709" w:hanging="283"/>
      </w:pPr>
      <w:r w:rsidRPr="00881752">
        <w:rPr>
          <w:lang w:val="en-US"/>
        </w:rPr>
        <w:t xml:space="preserve">χρῖμα </w:t>
      </w:r>
      <w:r w:rsidR="00CC0615">
        <w:rPr>
          <w:lang w:val="en-US"/>
        </w:rPr>
        <w:t>“</w:t>
      </w:r>
      <w:r w:rsidRPr="00881752">
        <w:rPr>
          <w:lang w:val="en-US"/>
        </w:rPr>
        <w:t>unguent</w:t>
      </w:r>
      <w:r w:rsidR="00CC0615">
        <w:rPr>
          <w:lang w:val="en-US"/>
        </w:rPr>
        <w:t>”</w:t>
      </w:r>
      <w:r w:rsidRPr="00881752">
        <w:rPr>
          <w:lang w:val="en-US"/>
        </w:rPr>
        <w:t xml:space="preserve"> (</w:t>
      </w:r>
      <w:r w:rsidRPr="00881752">
        <w:rPr>
          <w:i/>
          <w:iCs/>
          <w:lang w:val="en-US"/>
        </w:rPr>
        <w:t>Ia</w:t>
      </w:r>
      <w:r w:rsidRPr="00881752">
        <w:rPr>
          <w:lang w:val="en-US"/>
        </w:rPr>
        <w:t xml:space="preserve">. 4.45,76). This is a very rare word, which in poetry is used by Xenophanes fr. 3.6 West and by Aeschylus in </w:t>
      </w:r>
      <w:r w:rsidRPr="00881752">
        <w:rPr>
          <w:i/>
          <w:iCs/>
          <w:lang w:val="en-US"/>
        </w:rPr>
        <w:t>Ag</w:t>
      </w:r>
      <w:r w:rsidRPr="00881752">
        <w:rPr>
          <w:lang w:val="en-US"/>
        </w:rPr>
        <w:t xml:space="preserve">. 94. One may observe that Xenophanes uses the term with a negative nuance, since unguents characterise the new and weak manners which the Greeks acquired from the Lydians; while Aeschylus uses the term with a favourable value, since the tragic poet defines the χρῖμα as ἁγνόν </w:t>
      </w:r>
      <w:r w:rsidR="00CC0615">
        <w:rPr>
          <w:lang w:val="en-US"/>
        </w:rPr>
        <w:t>“</w:t>
      </w:r>
      <w:r w:rsidRPr="00881752">
        <w:rPr>
          <w:lang w:val="en-US"/>
        </w:rPr>
        <w:t>holy</w:t>
      </w:r>
      <w:r w:rsidR="00CC0615">
        <w:rPr>
          <w:lang w:val="en-US"/>
        </w:rPr>
        <w:t>”</w:t>
      </w:r>
      <w:r w:rsidRPr="00881752">
        <w:rPr>
          <w:lang w:val="en-US"/>
        </w:rPr>
        <w:t xml:space="preserve"> (Aesch. </w:t>
      </w:r>
      <w:r w:rsidRPr="00881752">
        <w:rPr>
          <w:i/>
          <w:iCs/>
          <w:lang w:val="en-US"/>
        </w:rPr>
        <w:t>Ag.</w:t>
      </w:r>
      <w:r w:rsidRPr="00881752">
        <w:rPr>
          <w:lang w:val="en-US"/>
        </w:rPr>
        <w:t xml:space="preserve"> 92-96):</w:t>
      </w:r>
    </w:p>
    <w:p w14:paraId="0053B75A" w14:textId="77777777" w:rsidR="00272F31" w:rsidRPr="00881752" w:rsidRDefault="00272F31" w:rsidP="00F56C73">
      <w:pPr>
        <w:pStyle w:val="ListParagraph"/>
        <w:ind w:left="709"/>
      </w:pPr>
    </w:p>
    <w:tbl>
      <w:tblPr>
        <w:tblStyle w:val="TableGrid"/>
        <w:tblW w:w="7457" w:type="dxa"/>
        <w:tblInd w:w="731"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586"/>
        <w:gridCol w:w="3871"/>
      </w:tblGrid>
      <w:tr w:rsidR="00272F31" w:rsidRPr="00881752" w14:paraId="19692449" w14:textId="77777777" w:rsidTr="0013179E">
        <w:tc>
          <w:tcPr>
            <w:tcW w:w="3586" w:type="dxa"/>
          </w:tcPr>
          <w:p w14:paraId="5189E86F" w14:textId="0EF4EF08" w:rsidR="00272F31" w:rsidRPr="00881752" w:rsidRDefault="00272F31" w:rsidP="006E2B20">
            <w:pPr>
              <w:pStyle w:val="Blockquote"/>
              <w:rPr>
                <w:sz w:val="22"/>
                <w:szCs w:val="22"/>
              </w:rPr>
            </w:pPr>
            <w:r w:rsidRPr="00881752">
              <w:rPr>
                <w:sz w:val="22"/>
                <w:szCs w:val="22"/>
              </w:rPr>
              <w:t>ἄλλη δ</w:t>
            </w:r>
            <w:r w:rsidR="00075F5F">
              <w:rPr>
                <w:sz w:val="22"/>
                <w:szCs w:val="22"/>
              </w:rPr>
              <w:t>’</w:t>
            </w:r>
            <w:r w:rsidRPr="00881752">
              <w:rPr>
                <w:sz w:val="22"/>
                <w:szCs w:val="22"/>
              </w:rPr>
              <w:t xml:space="preserve"> ἄλλοθεν οὐρανομήκης</w:t>
            </w:r>
          </w:p>
          <w:p w14:paraId="32A6D7DF" w14:textId="77777777" w:rsidR="00272F31" w:rsidRPr="00881752" w:rsidRDefault="00272F31" w:rsidP="006E2B20">
            <w:pPr>
              <w:pStyle w:val="Blockquote"/>
              <w:rPr>
                <w:sz w:val="22"/>
                <w:szCs w:val="22"/>
              </w:rPr>
            </w:pPr>
            <w:r w:rsidRPr="00881752">
              <w:rPr>
                <w:sz w:val="22"/>
                <w:szCs w:val="22"/>
              </w:rPr>
              <w:t>λαμπὰς ἀνίσχει</w:t>
            </w:r>
          </w:p>
          <w:p w14:paraId="45B44EEB" w14:textId="77777777" w:rsidR="00272F31" w:rsidRPr="00881752" w:rsidRDefault="00272F31" w:rsidP="006E2B20">
            <w:pPr>
              <w:pStyle w:val="Blockquote"/>
              <w:rPr>
                <w:sz w:val="22"/>
                <w:szCs w:val="22"/>
              </w:rPr>
            </w:pPr>
            <w:r w:rsidRPr="00881752">
              <w:rPr>
                <w:sz w:val="22"/>
                <w:szCs w:val="22"/>
              </w:rPr>
              <w:lastRenderedPageBreak/>
              <w:t>φαρμασσομένη χρίματος ἁγνοῦ</w:t>
            </w:r>
          </w:p>
          <w:p w14:paraId="31445D19" w14:textId="77777777" w:rsidR="00272F31" w:rsidRPr="00881752" w:rsidRDefault="00272F31" w:rsidP="006E2B20">
            <w:pPr>
              <w:pStyle w:val="Blockquote"/>
              <w:rPr>
                <w:sz w:val="22"/>
                <w:szCs w:val="22"/>
              </w:rPr>
            </w:pPr>
            <w:r w:rsidRPr="00881752">
              <w:rPr>
                <w:sz w:val="22"/>
                <w:szCs w:val="22"/>
              </w:rPr>
              <w:t xml:space="preserve">μαλακαῖς ἀδόλοισι παρηγορίαις </w:t>
            </w:r>
          </w:p>
          <w:p w14:paraId="26B445C0" w14:textId="77777777" w:rsidR="00272F31" w:rsidRPr="00881752" w:rsidRDefault="00272F31" w:rsidP="006E2B20">
            <w:pPr>
              <w:pStyle w:val="Blockquote"/>
              <w:rPr>
                <w:sz w:val="22"/>
                <w:szCs w:val="22"/>
              </w:rPr>
            </w:pPr>
            <w:r w:rsidRPr="00881752">
              <w:rPr>
                <w:sz w:val="22"/>
                <w:szCs w:val="22"/>
              </w:rPr>
              <w:t>πελάνωι μυχόθεν βασιλείωι</w:t>
            </w:r>
          </w:p>
        </w:tc>
        <w:tc>
          <w:tcPr>
            <w:tcW w:w="3871" w:type="dxa"/>
          </w:tcPr>
          <w:p w14:paraId="6CE49D08" w14:textId="77777777" w:rsidR="00272F31" w:rsidRPr="00881752" w:rsidRDefault="00272F31" w:rsidP="006E2B20">
            <w:pPr>
              <w:pStyle w:val="Blockquote"/>
              <w:rPr>
                <w:sz w:val="22"/>
                <w:szCs w:val="22"/>
              </w:rPr>
            </w:pPr>
            <w:r w:rsidRPr="00881752">
              <w:rPr>
                <w:sz w:val="22"/>
                <w:szCs w:val="22"/>
              </w:rPr>
              <w:lastRenderedPageBreak/>
              <w:t xml:space="preserve">Now here, now there, the flames rise high as heaven, yielding to the soft and </w:t>
            </w:r>
            <w:r w:rsidRPr="00881752">
              <w:rPr>
                <w:sz w:val="22"/>
                <w:szCs w:val="22"/>
              </w:rPr>
              <w:lastRenderedPageBreak/>
              <w:t>guileless persuasion of holy ointment, the sacrificial oil itself brought from the inner chambers of the palace.</w:t>
            </w:r>
          </w:p>
        </w:tc>
      </w:tr>
    </w:tbl>
    <w:p w14:paraId="71A1B90B" w14:textId="77777777" w:rsidR="00272F31" w:rsidRPr="00881752" w:rsidRDefault="00272F31" w:rsidP="006E2B20">
      <w:pPr>
        <w:pStyle w:val="Blockquote"/>
      </w:pPr>
      <w:r w:rsidRPr="00881752">
        <w:lastRenderedPageBreak/>
        <w:tab/>
      </w:r>
    </w:p>
    <w:p w14:paraId="060AEB04" w14:textId="08C5DBA9" w:rsidR="00DD7B5F" w:rsidRPr="00881752" w:rsidRDefault="00DD7B5F" w:rsidP="00E95AF7">
      <w:pPr>
        <w:tabs>
          <w:tab w:val="left" w:pos="709"/>
        </w:tabs>
        <w:ind w:left="709"/>
        <w:rPr>
          <w:rFonts w:cs="Times New Roman"/>
          <w:lang w:val="en-US"/>
        </w:rPr>
      </w:pPr>
      <w:r w:rsidRPr="00881752">
        <w:rPr>
          <w:rFonts w:cs="Times New Roman"/>
          <w:lang w:val="en-US"/>
        </w:rPr>
        <w:t>Callimachus uses the word χρῖμα in the olive</w:t>
      </w:r>
      <w:r w:rsidR="00075F5F">
        <w:rPr>
          <w:rFonts w:cs="Times New Roman"/>
          <w:lang w:val="en-US"/>
        </w:rPr>
        <w:t>’</w:t>
      </w:r>
      <w:r w:rsidRPr="00881752">
        <w:rPr>
          <w:rFonts w:cs="Times New Roman"/>
          <w:lang w:val="en-US"/>
        </w:rPr>
        <w:t>s response to the laurel, saying that the olive tree produces both an oil to eat, and one to oil the body, and this is a χρῖμα. Therefore, the meaning of body oil is borrowed from Xenophanes, but Callimachus gives the word the favourable connotation which is similar to that of Aeschylus</w:t>
      </w:r>
      <w:r w:rsidR="00075F5F">
        <w:rPr>
          <w:rFonts w:cs="Times New Roman"/>
          <w:lang w:val="en-US"/>
        </w:rPr>
        <w:t>’</w:t>
      </w:r>
      <w:r w:rsidRPr="00881752">
        <w:rPr>
          <w:rFonts w:cs="Times New Roman"/>
          <w:lang w:val="en-US"/>
        </w:rPr>
        <w:t xml:space="preserve"> line. To confirm the positive sense that Callimachus gives the word, we can look at the other two instances of it in Callimachus</w:t>
      </w:r>
      <w:r w:rsidR="00075F5F">
        <w:rPr>
          <w:rFonts w:cs="Times New Roman"/>
          <w:lang w:val="en-US"/>
        </w:rPr>
        <w:t>’</w:t>
      </w:r>
      <w:r w:rsidRPr="00881752">
        <w:rPr>
          <w:rFonts w:cs="Times New Roman"/>
          <w:lang w:val="en-US"/>
        </w:rPr>
        <w:t xml:space="preserve"> corpus. The plural χρίματα occurs twice in Call. </w:t>
      </w:r>
      <w:r w:rsidRPr="00881752">
        <w:rPr>
          <w:rFonts w:cs="Times New Roman"/>
          <w:i/>
          <w:iCs/>
          <w:lang w:val="en-US"/>
        </w:rPr>
        <w:t>hymn</w:t>
      </w:r>
      <w:r w:rsidRPr="00881752">
        <w:rPr>
          <w:rFonts w:cs="Times New Roman"/>
          <w:lang w:val="en-US"/>
        </w:rPr>
        <w:t xml:space="preserve"> 5 (5.16, 26), where χρίματα are characteristic of the goddess Athena: χρίματα, τᾶς ἰδίας ἔκγονα φυταλιᾶς </w:t>
      </w:r>
      <w:r w:rsidR="00CC0615">
        <w:rPr>
          <w:rFonts w:cs="Times New Roman"/>
          <w:lang w:val="en-US"/>
        </w:rPr>
        <w:t>“</w:t>
      </w:r>
      <w:r w:rsidRPr="00881752">
        <w:rPr>
          <w:rFonts w:cs="Times New Roman"/>
          <w:lang w:val="en-US"/>
        </w:rPr>
        <w:t>unguents, the produce of her own growing</w:t>
      </w:r>
      <w:r w:rsidR="00CC0615">
        <w:rPr>
          <w:rFonts w:cs="Times New Roman"/>
          <w:lang w:val="en-US"/>
        </w:rPr>
        <w:t>”</w:t>
      </w:r>
      <w:r w:rsidRPr="00881752">
        <w:rPr>
          <w:rFonts w:cs="Times New Roman"/>
          <w:lang w:val="en-US"/>
        </w:rPr>
        <w:t xml:space="preserve"> (5.26).</w:t>
      </w:r>
    </w:p>
    <w:p w14:paraId="6BE6B152" w14:textId="41012BFD" w:rsidR="00DD7B5F" w:rsidRPr="00881752" w:rsidRDefault="00DD7B5F" w:rsidP="00881752">
      <w:pPr>
        <w:widowControl w:val="0"/>
        <w:numPr>
          <w:ilvl w:val="0"/>
          <w:numId w:val="49"/>
        </w:numPr>
        <w:tabs>
          <w:tab w:val="left" w:pos="709"/>
          <w:tab w:val="left" w:pos="1080"/>
          <w:tab w:val="center" w:pos="5387"/>
        </w:tabs>
        <w:ind w:left="709" w:hanging="283"/>
        <w:rPr>
          <w:rFonts w:cs="Times New Roman"/>
          <w:lang w:val="en-US"/>
        </w:rPr>
      </w:pPr>
      <w:r w:rsidRPr="00881752">
        <w:rPr>
          <w:rFonts w:cs="Times New Roman"/>
          <w:lang w:val="en-US"/>
        </w:rPr>
        <w:t xml:space="preserve">ἀείζωος </w:t>
      </w:r>
      <w:r w:rsidR="00CC0615">
        <w:rPr>
          <w:rFonts w:cs="Times New Roman"/>
          <w:lang w:val="en-US"/>
        </w:rPr>
        <w:t>“</w:t>
      </w:r>
      <w:r w:rsidRPr="00881752">
        <w:rPr>
          <w:rFonts w:cs="Times New Roman"/>
          <w:lang w:val="en-US"/>
        </w:rPr>
        <w:t>living forever</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4.69), occurs thrice in Aeschylus,</w:t>
      </w:r>
      <w:r w:rsidRPr="00881752">
        <w:rPr>
          <w:rStyle w:val="FootnoteReference"/>
          <w:rFonts w:cs="Times New Roman"/>
          <w:lang w:val="en-US"/>
        </w:rPr>
        <w:footnoteReference w:id="193"/>
      </w:r>
      <w:r w:rsidRPr="00881752">
        <w:rPr>
          <w:rFonts w:cs="Times New Roman"/>
          <w:lang w:val="en-US"/>
        </w:rPr>
        <w:t xml:space="preserve"> and twice in Sophocles;</w:t>
      </w:r>
      <w:r w:rsidRPr="00881752">
        <w:rPr>
          <w:rStyle w:val="FootnoteReference"/>
          <w:rFonts w:cs="Times New Roman"/>
          <w:lang w:val="en-US"/>
        </w:rPr>
        <w:footnoteReference w:id="194"/>
      </w:r>
    </w:p>
    <w:p w14:paraId="1D43A06F" w14:textId="6F627B36" w:rsidR="00665681" w:rsidRPr="00881752" w:rsidRDefault="00DD7B5F" w:rsidP="00881752">
      <w:pPr>
        <w:pStyle w:val="ListParagraph"/>
        <w:numPr>
          <w:ilvl w:val="0"/>
          <w:numId w:val="5"/>
        </w:numPr>
        <w:ind w:left="709" w:hanging="283"/>
        <w:rPr>
          <w:lang w:val="en-US"/>
        </w:rPr>
      </w:pPr>
      <w:r w:rsidRPr="00881752">
        <w:rPr>
          <w:lang w:val="en-US"/>
        </w:rPr>
        <w:t xml:space="preserve">μονώψ </w:t>
      </w:r>
      <w:r w:rsidR="00CC0615">
        <w:rPr>
          <w:lang w:val="en-US"/>
        </w:rPr>
        <w:t>“</w:t>
      </w:r>
      <w:r w:rsidRPr="00881752">
        <w:rPr>
          <w:lang w:val="en-US"/>
        </w:rPr>
        <w:t>one-eyed</w:t>
      </w:r>
      <w:r w:rsidR="00CC0615">
        <w:rPr>
          <w:lang w:val="en-US"/>
        </w:rPr>
        <w:t>”</w:t>
      </w:r>
      <w:r w:rsidRPr="00881752">
        <w:rPr>
          <w:lang w:val="en-US"/>
        </w:rPr>
        <w:t xml:space="preserve"> (</w:t>
      </w:r>
      <w:r w:rsidRPr="00881752">
        <w:rPr>
          <w:i/>
          <w:iCs/>
          <w:lang w:val="en-US"/>
        </w:rPr>
        <w:t>Ia</w:t>
      </w:r>
      <w:r w:rsidRPr="00881752">
        <w:rPr>
          <w:lang w:val="en-US"/>
        </w:rPr>
        <w:t>. 10b.2) occurs once in Aeschylus,</w:t>
      </w:r>
      <w:r w:rsidRPr="00881752">
        <w:rPr>
          <w:rStyle w:val="FootnoteReference"/>
          <w:lang w:val="en-US"/>
        </w:rPr>
        <w:footnoteReference w:id="195"/>
      </w:r>
      <w:r w:rsidRPr="00881752">
        <w:rPr>
          <w:lang w:val="en-US"/>
        </w:rPr>
        <w:t xml:space="preserve"> and twice in Euripides;</w:t>
      </w:r>
      <w:r w:rsidRPr="00881752">
        <w:rPr>
          <w:rStyle w:val="FootnoteReference"/>
          <w:lang w:val="en-US"/>
        </w:rPr>
        <w:footnoteReference w:id="196"/>
      </w:r>
      <w:r w:rsidRPr="00881752">
        <w:rPr>
          <w:lang w:val="en-US"/>
        </w:rPr>
        <w:t xml:space="preserve"> </w:t>
      </w:r>
    </w:p>
    <w:p w14:paraId="6A4E1B29" w14:textId="10C6FBB9" w:rsidR="00665681" w:rsidRPr="00881752" w:rsidRDefault="00665681" w:rsidP="00881752">
      <w:pPr>
        <w:pStyle w:val="ListParagraph"/>
        <w:numPr>
          <w:ilvl w:val="0"/>
          <w:numId w:val="5"/>
        </w:numPr>
        <w:ind w:left="709" w:hanging="283"/>
        <w:rPr>
          <w:lang w:val="en-US"/>
        </w:rPr>
      </w:pPr>
      <w:r w:rsidRPr="00881752">
        <w:rPr>
          <w:lang w:val="en-US"/>
        </w:rPr>
        <w:t xml:space="preserve">φυγαίχμης </w:t>
      </w:r>
      <w:r w:rsidR="00CC0615">
        <w:rPr>
          <w:lang w:val="en-US"/>
        </w:rPr>
        <w:t>“</w:t>
      </w:r>
      <w:r w:rsidRPr="00881752">
        <w:rPr>
          <w:lang w:val="en-US"/>
        </w:rPr>
        <w:t>coward</w:t>
      </w:r>
      <w:r w:rsidR="00CC0615">
        <w:rPr>
          <w:lang w:val="en-US"/>
        </w:rPr>
        <w:t>”</w:t>
      </w:r>
      <w:r w:rsidRPr="00881752">
        <w:rPr>
          <w:lang w:val="en-US"/>
        </w:rPr>
        <w:t xml:space="preserve"> (</w:t>
      </w:r>
      <w:r w:rsidRPr="00881752">
        <w:rPr>
          <w:i/>
          <w:iCs/>
          <w:lang w:val="en-US"/>
        </w:rPr>
        <w:t>Ia</w:t>
      </w:r>
      <w:r w:rsidRPr="00881752">
        <w:rPr>
          <w:lang w:val="en-US"/>
        </w:rPr>
        <w:t>. 7.2). This occurs previously only in Aeschylus, and it is plausible that Callimachus is alluding to Aeschylus</w:t>
      </w:r>
      <w:r w:rsidR="00075F5F">
        <w:rPr>
          <w:lang w:val="en-US"/>
        </w:rPr>
        <w:t>’</w:t>
      </w:r>
      <w:r w:rsidRPr="00881752">
        <w:rPr>
          <w:lang w:val="en-US"/>
        </w:rPr>
        <w:t xml:space="preserve"> passage. In </w:t>
      </w:r>
      <w:r w:rsidRPr="00881752">
        <w:rPr>
          <w:i/>
          <w:iCs/>
          <w:lang w:val="en-US"/>
        </w:rPr>
        <w:t>Persae</w:t>
      </w:r>
      <w:r w:rsidRPr="00881752">
        <w:rPr>
          <w:lang w:val="en-US"/>
        </w:rPr>
        <w:t xml:space="preserve"> 1025, the choir of the Persians states that the Greeks are not cowards, while Callimachus</w:t>
      </w:r>
      <w:r w:rsidR="00075F5F">
        <w:rPr>
          <w:lang w:val="en-US"/>
        </w:rPr>
        <w:t>’</w:t>
      </w:r>
      <w:r w:rsidRPr="00881752">
        <w:rPr>
          <w:lang w:val="en-US"/>
        </w:rPr>
        <w:t xml:space="preserve"> Hermes calls the Greek inventor of the Trojan horse a coward.</w:t>
      </w:r>
    </w:p>
    <w:p w14:paraId="68A4CB6C" w14:textId="7F1D0873" w:rsidR="00665681" w:rsidRPr="00881752" w:rsidRDefault="00665681" w:rsidP="00881752">
      <w:pPr>
        <w:widowControl w:val="0"/>
        <w:numPr>
          <w:ilvl w:val="0"/>
          <w:numId w:val="175"/>
        </w:numPr>
        <w:tabs>
          <w:tab w:val="center" w:pos="5387"/>
        </w:tabs>
        <w:ind w:hanging="578"/>
        <w:rPr>
          <w:rFonts w:cs="Times New Roman"/>
          <w:lang w:val="en-US"/>
        </w:rPr>
      </w:pPr>
      <w:r w:rsidRPr="00881752">
        <w:rPr>
          <w:rFonts w:cs="Times New Roman"/>
          <w:lang w:val="en-US"/>
        </w:rPr>
        <w:t>words drawn from dialectal or local elements and reformulated as poetic words, such as:</w:t>
      </w:r>
    </w:p>
    <w:p w14:paraId="7DB9025D" w14:textId="716C1662" w:rsidR="002C29A2" w:rsidRPr="00881752" w:rsidRDefault="00665681" w:rsidP="002C29A2">
      <w:pPr>
        <w:pStyle w:val="ListParagraph"/>
        <w:widowControl w:val="0"/>
        <w:numPr>
          <w:ilvl w:val="0"/>
          <w:numId w:val="50"/>
        </w:numPr>
        <w:ind w:left="709" w:hanging="283"/>
        <w:rPr>
          <w:lang w:val="en-US"/>
        </w:rPr>
      </w:pPr>
      <w:r w:rsidRPr="00881752">
        <w:rPr>
          <w:lang w:val="en-US"/>
        </w:rPr>
        <w:t xml:space="preserve">φυκίοικος </w:t>
      </w:r>
      <w:r w:rsidR="00CC0615">
        <w:rPr>
          <w:lang w:val="en-US"/>
        </w:rPr>
        <w:t>“</w:t>
      </w:r>
      <w:r w:rsidRPr="00881752">
        <w:rPr>
          <w:lang w:val="en-US"/>
        </w:rPr>
        <w:t>sea-weed dweller</w:t>
      </w:r>
      <w:r w:rsidR="00CC0615">
        <w:rPr>
          <w:lang w:val="en-US"/>
        </w:rPr>
        <w:t>”</w:t>
      </w:r>
      <w:r w:rsidRPr="00881752">
        <w:rPr>
          <w:lang w:val="en-US"/>
        </w:rPr>
        <w:t xml:space="preserve"> (</w:t>
      </w:r>
      <w:r w:rsidRPr="00881752">
        <w:rPr>
          <w:i/>
          <w:iCs/>
          <w:lang w:val="en-US"/>
        </w:rPr>
        <w:t>Ia</w:t>
      </w:r>
      <w:r w:rsidRPr="00881752">
        <w:rPr>
          <w:lang w:val="en-US"/>
        </w:rPr>
        <w:t xml:space="preserve">. 4.67), which is a </w:t>
      </w:r>
      <w:r w:rsidRPr="00881752">
        <w:rPr>
          <w:i/>
          <w:iCs/>
          <w:lang w:val="en-US"/>
        </w:rPr>
        <w:t xml:space="preserve">hapax legomenon </w:t>
      </w:r>
      <w:r w:rsidRPr="00881752">
        <w:rPr>
          <w:lang w:val="en-US"/>
        </w:rPr>
        <w:t>and a compound word whose second element -οικος is well-known, while the first element is still unknown. I assume that the first element comes from a local epithet of Poseidon, namely Φύκιος, which is attested in an inscription from Mykonos (</w:t>
      </w:r>
      <w:r w:rsidRPr="00881752">
        <w:rPr>
          <w:i/>
          <w:iCs/>
          <w:lang w:val="en-US"/>
        </w:rPr>
        <w:t>ɪ</w:t>
      </w:r>
      <w:r w:rsidRPr="00881752">
        <w:rPr>
          <w:lang w:val="en-US"/>
        </w:rPr>
        <w:t>Syll</w:t>
      </w:r>
      <w:r w:rsidRPr="00881752">
        <w:rPr>
          <w:vertAlign w:val="superscript"/>
          <w:lang w:val="en-US"/>
        </w:rPr>
        <w:t>3</w:t>
      </w:r>
      <w:r w:rsidRPr="00881752">
        <w:rPr>
          <w:lang w:val="en-US"/>
        </w:rPr>
        <w:t>. 1024.9).</w:t>
      </w:r>
      <w:r w:rsidRPr="00881752">
        <w:rPr>
          <w:rStyle w:val="FootnoteReference"/>
          <w:lang w:val="en-US"/>
        </w:rPr>
        <w:footnoteReference w:id="197"/>
      </w:r>
    </w:p>
    <w:p w14:paraId="4433A620" w14:textId="77777777" w:rsidR="00E0792A" w:rsidRPr="002C29A2" w:rsidRDefault="00E0792A" w:rsidP="00F56C73">
      <w:pPr>
        <w:pStyle w:val="ListParagraph"/>
        <w:widowControl w:val="0"/>
        <w:ind w:left="709"/>
      </w:pPr>
    </w:p>
    <w:p w14:paraId="05BA34F8" w14:textId="7246F164" w:rsidR="00272F31" w:rsidRPr="00881752" w:rsidRDefault="00272F31" w:rsidP="00F56C73">
      <w:pPr>
        <w:tabs>
          <w:tab w:val="left" w:pos="1376"/>
        </w:tabs>
        <w:autoSpaceDE w:val="0"/>
        <w:autoSpaceDN w:val="0"/>
        <w:adjustRightInd w:val="0"/>
        <w:rPr>
          <w:rFonts w:cs="Times New Roman"/>
          <w:szCs w:val="24"/>
        </w:rPr>
      </w:pPr>
      <w:r w:rsidRPr="00881752">
        <w:rPr>
          <w:rFonts w:cs="Times New Roman"/>
          <w:i/>
          <w:szCs w:val="24"/>
        </w:rPr>
        <w:t>Prosaic words</w:t>
      </w:r>
      <w:r w:rsidR="00074F99" w:rsidRPr="00881752">
        <w:rPr>
          <w:rFonts w:cs="Times New Roman"/>
          <w:szCs w:val="24"/>
        </w:rPr>
        <w:t xml:space="preserve">, </w:t>
      </w:r>
      <w:r w:rsidRPr="00881752">
        <w:rPr>
          <w:rFonts w:cs="Times New Roman"/>
          <w:szCs w:val="24"/>
        </w:rPr>
        <w:t>such as</w:t>
      </w:r>
      <w:r w:rsidR="00074F99" w:rsidRPr="00881752">
        <w:rPr>
          <w:rFonts w:cs="Times New Roman"/>
          <w:szCs w:val="24"/>
        </w:rPr>
        <w:t>:</w:t>
      </w:r>
    </w:p>
    <w:p w14:paraId="7C360D1B" w14:textId="77777777" w:rsidR="00665681" w:rsidRPr="00881752" w:rsidRDefault="00665681" w:rsidP="00881752">
      <w:pPr>
        <w:widowControl w:val="0"/>
        <w:numPr>
          <w:ilvl w:val="0"/>
          <w:numId w:val="174"/>
        </w:numPr>
        <w:tabs>
          <w:tab w:val="clear" w:pos="425"/>
          <w:tab w:val="left" w:pos="426"/>
          <w:tab w:val="center" w:pos="5387"/>
        </w:tabs>
        <w:ind w:hanging="578"/>
        <w:rPr>
          <w:rFonts w:cs="Times New Roman"/>
          <w:lang w:val="en-US"/>
        </w:rPr>
      </w:pPr>
      <w:r w:rsidRPr="00881752">
        <w:rPr>
          <w:rFonts w:cs="Times New Roman"/>
          <w:lang w:val="en-US"/>
        </w:rPr>
        <w:t>technical terms especially drawn from the scientific sphere, including:</w:t>
      </w:r>
    </w:p>
    <w:p w14:paraId="6E6E5AA5" w14:textId="43C428B7" w:rsidR="00272F31" w:rsidRDefault="00665681" w:rsidP="00881752">
      <w:pPr>
        <w:pStyle w:val="ListParagraph"/>
        <w:widowControl w:val="0"/>
        <w:numPr>
          <w:ilvl w:val="0"/>
          <w:numId w:val="50"/>
        </w:numPr>
        <w:tabs>
          <w:tab w:val="left" w:pos="360"/>
        </w:tabs>
        <w:ind w:left="709" w:hanging="283"/>
      </w:pPr>
      <w:r w:rsidRPr="00881752">
        <w:rPr>
          <w:lang w:val="en-US"/>
        </w:rPr>
        <w:t xml:space="preserve">ἐπίβαθρον </w:t>
      </w:r>
      <w:r w:rsidR="00CC0615">
        <w:rPr>
          <w:lang w:val="en-US"/>
        </w:rPr>
        <w:t>“</w:t>
      </w:r>
      <w:r w:rsidRPr="00881752">
        <w:rPr>
          <w:lang w:val="en-US"/>
        </w:rPr>
        <w:t>base</w:t>
      </w:r>
      <w:r w:rsidR="00CC0615">
        <w:rPr>
          <w:lang w:val="en-US"/>
        </w:rPr>
        <w:t>”</w:t>
      </w:r>
      <w:r w:rsidRPr="00881752">
        <w:rPr>
          <w:lang w:val="en-US"/>
        </w:rPr>
        <w:t xml:space="preserve"> (</w:t>
      </w:r>
      <w:r w:rsidRPr="00881752">
        <w:rPr>
          <w:i/>
          <w:iCs/>
          <w:lang w:val="en-US"/>
        </w:rPr>
        <w:t>Ia</w:t>
      </w:r>
      <w:r w:rsidRPr="00881752">
        <w:rPr>
          <w:lang w:val="en-US"/>
        </w:rPr>
        <w:t xml:space="preserve">. 6.23), which is misused by Callimachus. The word means </w:t>
      </w:r>
      <w:r w:rsidR="00CC0615">
        <w:rPr>
          <w:lang w:val="en-US"/>
        </w:rPr>
        <w:lastRenderedPageBreak/>
        <w:t>“</w:t>
      </w:r>
      <w:r w:rsidRPr="00881752">
        <w:rPr>
          <w:lang w:val="en-US"/>
        </w:rPr>
        <w:t>hire</w:t>
      </w:r>
      <w:r w:rsidR="00CC0615">
        <w:rPr>
          <w:lang w:val="en-US"/>
        </w:rPr>
        <w:t>”</w:t>
      </w:r>
      <w:r w:rsidRPr="00881752">
        <w:rPr>
          <w:lang w:val="en-US"/>
        </w:rPr>
        <w:t xml:space="preserve"> and it occurs in </w:t>
      </w:r>
      <w:r w:rsidRPr="00881752">
        <w:rPr>
          <w:i/>
          <w:iCs/>
          <w:lang w:val="en-US"/>
        </w:rPr>
        <w:t>Od</w:t>
      </w:r>
      <w:r w:rsidRPr="00881752">
        <w:rPr>
          <w:lang w:val="en-US"/>
        </w:rPr>
        <w:t>. 15.449:</w:t>
      </w:r>
      <w:r w:rsidRPr="00881752" w:rsidDel="00665681">
        <w:t xml:space="preserve"> </w:t>
      </w:r>
    </w:p>
    <w:p w14:paraId="3D9C9F6C" w14:textId="77777777" w:rsidR="002C29A2" w:rsidRPr="00881752" w:rsidRDefault="002C29A2" w:rsidP="00F56C73">
      <w:pPr>
        <w:pStyle w:val="ListParagraph"/>
        <w:widowControl w:val="0"/>
        <w:tabs>
          <w:tab w:val="left" w:pos="360"/>
        </w:tabs>
        <w:ind w:left="709"/>
      </w:pPr>
    </w:p>
    <w:tbl>
      <w:tblPr>
        <w:tblStyle w:val="TableGrid"/>
        <w:tblW w:w="7826" w:type="dxa"/>
        <w:tblInd w:w="78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906"/>
        <w:gridCol w:w="2920"/>
      </w:tblGrid>
      <w:tr w:rsidR="00E0792A" w:rsidRPr="00881752" w14:paraId="4DD49993" w14:textId="77777777" w:rsidTr="0013179E">
        <w:tc>
          <w:tcPr>
            <w:tcW w:w="4906" w:type="dxa"/>
          </w:tcPr>
          <w:p w14:paraId="558BBC05" w14:textId="4377A45B" w:rsidR="00272F31" w:rsidRPr="00881752" w:rsidRDefault="00272F31" w:rsidP="00327853">
            <w:pPr>
              <w:pStyle w:val="Blockquote"/>
              <w:rPr>
                <w:rFonts w:eastAsiaTheme="minorEastAsia"/>
                <w:sz w:val="22"/>
                <w:szCs w:val="22"/>
                <w:lang w:val="el-GR"/>
              </w:rPr>
            </w:pPr>
            <w:r w:rsidRPr="00881752">
              <w:rPr>
                <w:rFonts w:eastAsiaTheme="minorEastAsia"/>
                <w:sz w:val="22"/>
                <w:szCs w:val="22"/>
                <w:lang w:val="el-GR"/>
              </w:rPr>
              <w:t>ἀλλ</w:t>
            </w:r>
            <w:r w:rsidR="00075F5F">
              <w:rPr>
                <w:rFonts w:eastAsiaTheme="minorEastAsia"/>
                <w:sz w:val="22"/>
                <w:szCs w:val="22"/>
                <w:lang w:val="el-GR"/>
              </w:rPr>
              <w:t>’</w:t>
            </w:r>
            <w:r w:rsidRPr="00881752">
              <w:rPr>
                <w:rFonts w:eastAsiaTheme="minorEastAsia"/>
                <w:sz w:val="22"/>
                <w:szCs w:val="22"/>
                <w:lang w:val="el-GR"/>
              </w:rPr>
              <w:t xml:space="preserve"> ὅτε κεν δὴ νηῦς πλείη βιότοιο γένηται,</w:t>
            </w:r>
          </w:p>
          <w:p w14:paraId="6CB8E847" w14:textId="0CE665F6" w:rsidR="00272F31" w:rsidRPr="00881752" w:rsidRDefault="00272F31" w:rsidP="00327853">
            <w:pPr>
              <w:pStyle w:val="Blockquote"/>
              <w:rPr>
                <w:rFonts w:eastAsiaTheme="minorEastAsia"/>
                <w:sz w:val="22"/>
                <w:szCs w:val="22"/>
                <w:lang w:val="el-GR"/>
              </w:rPr>
            </w:pPr>
            <w:r w:rsidRPr="00881752">
              <w:rPr>
                <w:rFonts w:eastAsiaTheme="minorEastAsia"/>
                <w:sz w:val="22"/>
                <w:szCs w:val="22"/>
                <w:lang w:val="el-GR"/>
              </w:rPr>
              <w:t>ἀγγελίη μοι ἔπειτα θοῶς πρὸς δώμαθ</w:t>
            </w:r>
            <w:r w:rsidR="00075F5F">
              <w:rPr>
                <w:rFonts w:eastAsiaTheme="minorEastAsia"/>
                <w:sz w:val="22"/>
                <w:szCs w:val="22"/>
                <w:lang w:val="el-GR"/>
              </w:rPr>
              <w:t>’</w:t>
            </w:r>
            <w:r w:rsidRPr="00881752">
              <w:rPr>
                <w:rFonts w:eastAsiaTheme="minorEastAsia"/>
                <w:sz w:val="22"/>
                <w:szCs w:val="22"/>
                <w:lang w:val="el-GR"/>
              </w:rPr>
              <w:t xml:space="preserve"> ἱκέσθω·</w:t>
            </w:r>
          </w:p>
          <w:p w14:paraId="0CB3D6A5" w14:textId="6BEAEE4D" w:rsidR="00272F31" w:rsidRPr="00881752" w:rsidRDefault="00272F31" w:rsidP="00327853">
            <w:pPr>
              <w:pStyle w:val="Blockquote"/>
              <w:rPr>
                <w:rFonts w:eastAsiaTheme="minorEastAsia"/>
                <w:sz w:val="22"/>
                <w:szCs w:val="22"/>
                <w:lang w:val="el-GR"/>
              </w:rPr>
            </w:pPr>
            <w:r w:rsidRPr="00881752">
              <w:rPr>
                <w:rFonts w:eastAsiaTheme="minorEastAsia"/>
                <w:sz w:val="22"/>
                <w:szCs w:val="22"/>
                <w:lang w:val="el-GR"/>
              </w:rPr>
              <w:t>οἴσω γὰρ καὶ χρυσόν, ὅτις χ</w:t>
            </w:r>
            <w:r w:rsidR="00075F5F">
              <w:rPr>
                <w:rFonts w:eastAsiaTheme="minorEastAsia"/>
                <w:sz w:val="22"/>
                <w:szCs w:val="22"/>
                <w:lang w:val="el-GR"/>
              </w:rPr>
              <w:t>’</w:t>
            </w:r>
            <w:r w:rsidRPr="00881752">
              <w:rPr>
                <w:rFonts w:eastAsiaTheme="minorEastAsia"/>
                <w:sz w:val="22"/>
                <w:szCs w:val="22"/>
                <w:lang w:val="el-GR"/>
              </w:rPr>
              <w:t xml:space="preserve"> ὑποχείριος ἔλθῃ.</w:t>
            </w:r>
          </w:p>
          <w:p w14:paraId="6A3E2C50" w14:textId="566552F0" w:rsidR="00272F31" w:rsidRPr="00881752" w:rsidRDefault="00272F31" w:rsidP="00327853">
            <w:pPr>
              <w:pStyle w:val="Blockquote"/>
              <w:rPr>
                <w:sz w:val="22"/>
                <w:szCs w:val="22"/>
                <w:lang w:val="el-GR"/>
              </w:rPr>
            </w:pPr>
            <w:r w:rsidRPr="00881752">
              <w:rPr>
                <w:rFonts w:eastAsiaTheme="minorEastAsia"/>
                <w:sz w:val="22"/>
                <w:szCs w:val="22"/>
                <w:lang w:val="el-GR"/>
              </w:rPr>
              <w:t>καὶ δέ κεν ἄλλ</w:t>
            </w:r>
            <w:r w:rsidR="00075F5F">
              <w:rPr>
                <w:rFonts w:eastAsiaTheme="minorEastAsia"/>
                <w:sz w:val="22"/>
                <w:szCs w:val="22"/>
                <w:lang w:val="el-GR"/>
              </w:rPr>
              <w:t>’</w:t>
            </w:r>
            <w:r w:rsidRPr="00881752">
              <w:rPr>
                <w:rFonts w:eastAsiaTheme="minorEastAsia"/>
                <w:sz w:val="22"/>
                <w:szCs w:val="22"/>
                <w:lang w:val="el-GR"/>
              </w:rPr>
              <w:t xml:space="preserve"> ἐπίβαθρον ἐγὼν ἐθέλουσά γε δοίην·</w:t>
            </w:r>
          </w:p>
        </w:tc>
        <w:tc>
          <w:tcPr>
            <w:tcW w:w="2920" w:type="dxa"/>
          </w:tcPr>
          <w:p w14:paraId="6E36F7FD" w14:textId="717B11A9" w:rsidR="00272F31" w:rsidRPr="00881752" w:rsidRDefault="00272F31" w:rsidP="00327853">
            <w:pPr>
              <w:pStyle w:val="Blockquote"/>
              <w:rPr>
                <w:sz w:val="21"/>
                <w:szCs w:val="21"/>
              </w:rPr>
            </w:pPr>
            <w:r w:rsidRPr="00881752">
              <w:rPr>
                <w:rFonts w:eastAsiaTheme="minorEastAsia"/>
                <w:sz w:val="21"/>
                <w:szCs w:val="21"/>
              </w:rPr>
              <w:t>But, when your ship is laden with goods, let a message come quickly to me at the palace; for I will also bring whatever gold comes under my hand. Aye, and I would gladly give another thing for my passage.</w:t>
            </w:r>
            <w:r w:rsidR="00D808B7">
              <w:rPr>
                <w:rStyle w:val="FootnoteReference"/>
                <w:rFonts w:eastAsiaTheme="minorEastAsia"/>
                <w:sz w:val="21"/>
                <w:szCs w:val="21"/>
              </w:rPr>
              <w:footnoteReference w:id="198"/>
            </w:r>
          </w:p>
        </w:tc>
      </w:tr>
    </w:tbl>
    <w:p w14:paraId="70146F32" w14:textId="77777777" w:rsidR="00272F31" w:rsidRPr="00881752" w:rsidRDefault="00272F31" w:rsidP="00327853">
      <w:pPr>
        <w:pStyle w:val="Blockquote"/>
      </w:pPr>
    </w:p>
    <w:p w14:paraId="3C9CD2F8" w14:textId="710A2DC9" w:rsidR="002C29A2" w:rsidRPr="00881752" w:rsidRDefault="00665681" w:rsidP="00661FBC">
      <w:pPr>
        <w:tabs>
          <w:tab w:val="center" w:pos="5387"/>
        </w:tabs>
        <w:ind w:left="709"/>
        <w:rPr>
          <w:rFonts w:cs="Times New Roman"/>
          <w:lang w:val="en-US"/>
        </w:rPr>
      </w:pPr>
      <w:r w:rsidRPr="00881752">
        <w:rPr>
          <w:rFonts w:cs="Times New Roman"/>
          <w:lang w:val="en-US"/>
        </w:rPr>
        <w:t xml:space="preserve">On the basis of this passage, the word became synonymous of ναῦλος </w:t>
      </w:r>
      <w:r w:rsidR="00CC0615">
        <w:rPr>
          <w:rFonts w:cs="Times New Roman"/>
          <w:lang w:val="en-US"/>
        </w:rPr>
        <w:t>“</w:t>
      </w:r>
      <w:r w:rsidRPr="00881752">
        <w:rPr>
          <w:rFonts w:cs="Times New Roman"/>
          <w:lang w:val="en-US"/>
        </w:rPr>
        <w:t>passage-money,</w:t>
      </w:r>
      <w:r w:rsidR="00CC0615">
        <w:rPr>
          <w:rFonts w:cs="Times New Roman"/>
          <w:lang w:val="en-US"/>
        </w:rPr>
        <w:t>”</w:t>
      </w:r>
      <w:r w:rsidRPr="00881752">
        <w:rPr>
          <w:rFonts w:cs="Times New Roman"/>
          <w:lang w:val="en-US"/>
        </w:rPr>
        <w:t xml:space="preserve"> </w:t>
      </w:r>
      <w:r w:rsidR="00CC0615">
        <w:rPr>
          <w:rFonts w:cs="Times New Roman"/>
          <w:lang w:val="en-US"/>
        </w:rPr>
        <w:t>“</w:t>
      </w:r>
      <w:r w:rsidRPr="00881752">
        <w:rPr>
          <w:rFonts w:cs="Times New Roman"/>
          <w:lang w:val="en-US"/>
        </w:rPr>
        <w:t>fare,</w:t>
      </w:r>
      <w:r w:rsidR="00CC0615">
        <w:rPr>
          <w:rFonts w:cs="Times New Roman"/>
          <w:lang w:val="en-US"/>
        </w:rPr>
        <w:t>”</w:t>
      </w:r>
      <w:r w:rsidRPr="00881752">
        <w:rPr>
          <w:rFonts w:cs="Times New Roman"/>
          <w:lang w:val="en-US"/>
        </w:rPr>
        <w:t xml:space="preserve"> as shown by Hsych. ε 4621 L ἐπίβαθρον· μισθὸς τῆς βάσεως τῆς εἰς τὴν ναῦν, τουτέστιν ναῦλον  </w:t>
      </w:r>
      <w:r w:rsidR="00CC0615">
        <w:rPr>
          <w:rFonts w:cs="Times New Roman"/>
          <w:lang w:val="en-US"/>
        </w:rPr>
        <w:t>“</w:t>
      </w:r>
      <w:r w:rsidRPr="00881752">
        <w:rPr>
          <w:rFonts w:cs="Times New Roman"/>
          <w:lang w:val="en-US"/>
        </w:rPr>
        <w:t>epíbathron: fare for the passage on a ship, that is passage-money</w:t>
      </w:r>
      <w:r w:rsidR="00CC0615">
        <w:rPr>
          <w:rFonts w:cs="Times New Roman"/>
          <w:lang w:val="en-US"/>
        </w:rPr>
        <w:t>”</w:t>
      </w:r>
      <w:r w:rsidRPr="00881752">
        <w:rPr>
          <w:rFonts w:cs="Times New Roman"/>
          <w:lang w:val="en-US"/>
        </w:rPr>
        <w:t xml:space="preserve"> (cf. Hsych. </w:t>
      </w:r>
      <w:hyperlink w:history="1">
        <w:r w:rsidRPr="00881752">
          <w:rPr>
            <w:rFonts w:cs="Times New Roman"/>
            <w:lang w:val="en-US"/>
          </w:rPr>
          <w:t>ο</w:t>
        </w:r>
      </w:hyperlink>
      <w:hyperlink w:history="1">
        <w:r w:rsidRPr="00881752">
          <w:rPr>
            <w:rFonts w:cs="Times New Roman"/>
            <w:lang w:val="en-US"/>
          </w:rPr>
          <w:t xml:space="preserve"> 449</w:t>
        </w:r>
      </w:hyperlink>
      <w:r w:rsidRPr="00881752">
        <w:rPr>
          <w:rFonts w:cs="Times New Roman"/>
          <w:lang w:val="en-US"/>
        </w:rPr>
        <w:t>).</w:t>
      </w:r>
      <w:r w:rsidRPr="00881752">
        <w:rPr>
          <w:rStyle w:val="FootnoteReference"/>
          <w:rFonts w:cs="Times New Roman"/>
          <w:lang w:val="en-US"/>
        </w:rPr>
        <w:footnoteReference w:id="199"/>
      </w:r>
      <w:r w:rsidRPr="00881752">
        <w:rPr>
          <w:rFonts w:cs="Times New Roman"/>
          <w:lang w:val="en-US"/>
        </w:rPr>
        <w:t xml:space="preserve"> But Callimachus uses the word with the meaning of </w:t>
      </w:r>
      <w:r w:rsidR="00CC0615">
        <w:rPr>
          <w:rFonts w:cs="Times New Roman"/>
          <w:lang w:val="en-US"/>
        </w:rPr>
        <w:t>“</w:t>
      </w:r>
      <w:r w:rsidRPr="00881752">
        <w:rPr>
          <w:rFonts w:cs="Times New Roman"/>
          <w:lang w:val="en-US"/>
        </w:rPr>
        <w:t>base,</w:t>
      </w:r>
      <w:r w:rsidR="00CC0615">
        <w:rPr>
          <w:rFonts w:cs="Times New Roman"/>
          <w:lang w:val="en-US"/>
        </w:rPr>
        <w:t>”</w:t>
      </w:r>
      <w:r w:rsidRPr="00881752">
        <w:rPr>
          <w:rFonts w:cs="Times New Roman"/>
          <w:lang w:val="en-US"/>
        </w:rPr>
        <w:t xml:space="preserve"> which in Greek is conveyed by the word ἐπιβάθρα, -ας (ἡ) and not by ἐπίβαθρον, -ου (τό). It is interesting that Apollonius of Rhodes uses the word ἐπίβαθρον with the meaning of </w:t>
      </w:r>
      <w:r w:rsidR="00CC0615">
        <w:rPr>
          <w:rFonts w:cs="Times New Roman"/>
          <w:lang w:val="en-US"/>
        </w:rPr>
        <w:t>“</w:t>
      </w:r>
      <w:r w:rsidRPr="00881752">
        <w:rPr>
          <w:rFonts w:cs="Times New Roman"/>
          <w:lang w:val="en-US"/>
        </w:rPr>
        <w:t>fare</w:t>
      </w:r>
      <w:r w:rsidR="00CC0615">
        <w:rPr>
          <w:rFonts w:cs="Times New Roman"/>
          <w:lang w:val="en-US"/>
        </w:rPr>
        <w:t>”</w:t>
      </w:r>
      <w:r w:rsidRPr="00881752">
        <w:rPr>
          <w:rFonts w:cs="Times New Roman"/>
          <w:lang w:val="en-US"/>
        </w:rPr>
        <w:t xml:space="preserve"> at the plural, that is ἐπίβαθρα (Ap. Rh. 1.420-422):</w:t>
      </w:r>
    </w:p>
    <w:p w14:paraId="619847D4" w14:textId="77777777" w:rsidR="00272F31" w:rsidRPr="00881752" w:rsidRDefault="00272F31" w:rsidP="00F56C73">
      <w:pPr>
        <w:tabs>
          <w:tab w:val="center" w:pos="5387"/>
        </w:tabs>
        <w:ind w:left="709"/>
      </w:pPr>
    </w:p>
    <w:tbl>
      <w:tblPr>
        <w:tblStyle w:val="TableGrid"/>
        <w:tblW w:w="7655" w:type="dxa"/>
        <w:tblInd w:w="675"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402"/>
        <w:gridCol w:w="4253"/>
      </w:tblGrid>
      <w:tr w:rsidR="00272F31" w:rsidRPr="00881752" w14:paraId="74C5CC42" w14:textId="77777777" w:rsidTr="00F56C73">
        <w:tc>
          <w:tcPr>
            <w:tcW w:w="3402" w:type="dxa"/>
          </w:tcPr>
          <w:p w14:paraId="595983B8" w14:textId="4E62F7F1" w:rsidR="00272F31" w:rsidRPr="00227EE7" w:rsidRDefault="00272F31" w:rsidP="00074F99">
            <w:pPr>
              <w:pStyle w:val="Blockquote"/>
              <w:rPr>
                <w:sz w:val="22"/>
                <w:szCs w:val="22"/>
              </w:rPr>
            </w:pPr>
            <w:r w:rsidRPr="00881752">
              <w:rPr>
                <w:sz w:val="22"/>
                <w:szCs w:val="22"/>
              </w:rPr>
              <w:t>νῦν δ</w:t>
            </w:r>
            <w:r w:rsidR="00075F5F">
              <w:rPr>
                <w:sz w:val="22"/>
                <w:szCs w:val="22"/>
              </w:rPr>
              <w:t>’</w:t>
            </w:r>
            <w:r w:rsidRPr="00881752">
              <w:rPr>
                <w:sz w:val="22"/>
                <w:szCs w:val="22"/>
              </w:rPr>
              <w:t xml:space="preserve"> ἴθι, καὶ τήνδ</w:t>
            </w:r>
            <w:r w:rsidR="00075F5F">
              <w:rPr>
                <w:sz w:val="22"/>
                <w:szCs w:val="22"/>
              </w:rPr>
              <w:t>’</w:t>
            </w:r>
            <w:r w:rsidRPr="00881752">
              <w:rPr>
                <w:sz w:val="22"/>
                <w:szCs w:val="22"/>
              </w:rPr>
              <w:t xml:space="preserve"> ἧμιν, Ἑκηβόλε, δέξο θυηλήν, </w:t>
            </w:r>
            <w:r w:rsidRPr="00881752">
              <w:rPr>
                <w:sz w:val="22"/>
                <w:szCs w:val="22"/>
                <w:lang w:val="el-GR"/>
              </w:rPr>
              <w:t>ἥν</w:t>
            </w:r>
            <w:r w:rsidRPr="00227EE7">
              <w:rPr>
                <w:sz w:val="22"/>
                <w:szCs w:val="22"/>
              </w:rPr>
              <w:t xml:space="preserve"> </w:t>
            </w:r>
            <w:r w:rsidRPr="00881752">
              <w:rPr>
                <w:sz w:val="22"/>
                <w:szCs w:val="22"/>
                <w:lang w:val="el-GR"/>
              </w:rPr>
              <w:t>τοι</w:t>
            </w:r>
            <w:r w:rsidRPr="00227EE7">
              <w:rPr>
                <w:sz w:val="22"/>
                <w:szCs w:val="22"/>
              </w:rPr>
              <w:t xml:space="preserve"> </w:t>
            </w:r>
            <w:r w:rsidRPr="00881752">
              <w:rPr>
                <w:sz w:val="22"/>
                <w:szCs w:val="22"/>
                <w:lang w:val="el-GR"/>
              </w:rPr>
              <w:t>τῆσδ</w:t>
            </w:r>
            <w:r w:rsidR="00075F5F" w:rsidRPr="00227EE7">
              <w:rPr>
                <w:sz w:val="22"/>
                <w:szCs w:val="22"/>
              </w:rPr>
              <w:t>’</w:t>
            </w:r>
            <w:r w:rsidRPr="00227EE7">
              <w:rPr>
                <w:sz w:val="22"/>
                <w:szCs w:val="22"/>
              </w:rPr>
              <w:t xml:space="preserve"> </w:t>
            </w:r>
            <w:r w:rsidRPr="00881752">
              <w:rPr>
                <w:sz w:val="22"/>
                <w:szCs w:val="22"/>
                <w:lang w:val="el-GR"/>
              </w:rPr>
              <w:t>ἐπίβαθρα</w:t>
            </w:r>
            <w:r w:rsidRPr="00227EE7">
              <w:rPr>
                <w:sz w:val="22"/>
                <w:szCs w:val="22"/>
              </w:rPr>
              <w:t xml:space="preserve"> </w:t>
            </w:r>
            <w:r w:rsidRPr="00881752">
              <w:rPr>
                <w:sz w:val="22"/>
                <w:szCs w:val="22"/>
                <w:lang w:val="el-GR"/>
              </w:rPr>
              <w:t>χάριν</w:t>
            </w:r>
            <w:r w:rsidRPr="00227EE7">
              <w:rPr>
                <w:sz w:val="22"/>
                <w:szCs w:val="22"/>
              </w:rPr>
              <w:t xml:space="preserve"> </w:t>
            </w:r>
            <w:r w:rsidRPr="00881752">
              <w:rPr>
                <w:sz w:val="22"/>
                <w:szCs w:val="22"/>
                <w:lang w:val="el-GR"/>
              </w:rPr>
              <w:t>προτιθείμεθα</w:t>
            </w:r>
            <w:r w:rsidRPr="00227EE7">
              <w:rPr>
                <w:sz w:val="22"/>
                <w:szCs w:val="22"/>
              </w:rPr>
              <w:t xml:space="preserve"> </w:t>
            </w:r>
            <w:r w:rsidRPr="00881752">
              <w:rPr>
                <w:sz w:val="22"/>
                <w:szCs w:val="22"/>
                <w:lang w:val="el-GR"/>
              </w:rPr>
              <w:t>νηός</w:t>
            </w:r>
            <w:r w:rsidRPr="00227EE7">
              <w:rPr>
                <w:sz w:val="22"/>
                <w:szCs w:val="22"/>
              </w:rPr>
              <w:t xml:space="preserve"> </w:t>
            </w:r>
            <w:r w:rsidRPr="00881752">
              <w:rPr>
                <w:sz w:val="22"/>
                <w:szCs w:val="22"/>
                <w:lang w:val="el-GR"/>
              </w:rPr>
              <w:t>πρωτίστην</w:t>
            </w:r>
          </w:p>
        </w:tc>
        <w:tc>
          <w:tcPr>
            <w:tcW w:w="4253" w:type="dxa"/>
          </w:tcPr>
          <w:p w14:paraId="5A1F106B" w14:textId="782C9BDC" w:rsidR="00272F31" w:rsidRPr="00881752" w:rsidRDefault="00272F31" w:rsidP="00074F99">
            <w:pPr>
              <w:pStyle w:val="Blockquote"/>
              <w:rPr>
                <w:sz w:val="22"/>
                <w:szCs w:val="22"/>
              </w:rPr>
            </w:pPr>
            <w:r w:rsidRPr="00881752">
              <w:rPr>
                <w:sz w:val="22"/>
                <w:szCs w:val="22"/>
              </w:rPr>
              <w:t xml:space="preserve">And now, come, Far-darter, accept by us this sacrifice, which first of all we have offered to you for this ship on our </w:t>
            </w:r>
            <w:r w:rsidR="00951CB9" w:rsidRPr="00881752">
              <w:rPr>
                <w:sz w:val="22"/>
                <w:szCs w:val="22"/>
              </w:rPr>
              <w:t>embarkation</w:t>
            </w:r>
          </w:p>
        </w:tc>
      </w:tr>
    </w:tbl>
    <w:p w14:paraId="6339F5B0" w14:textId="77777777" w:rsidR="00272F31" w:rsidRPr="00881752" w:rsidRDefault="00272F31" w:rsidP="00074F99">
      <w:pPr>
        <w:pStyle w:val="Blockquote"/>
      </w:pPr>
    </w:p>
    <w:p w14:paraId="40174FD9" w14:textId="0B390C92" w:rsidR="00944EB2" w:rsidRPr="00881752" w:rsidRDefault="00944EB2" w:rsidP="00944EB2">
      <w:pPr>
        <w:ind w:left="709"/>
        <w:rPr>
          <w:rFonts w:cs="Times New Roman"/>
          <w:lang w:val="en-US"/>
        </w:rPr>
      </w:pPr>
      <w:r w:rsidRPr="00881752">
        <w:rPr>
          <w:rFonts w:cs="Times New Roman"/>
          <w:lang w:val="en-US"/>
        </w:rPr>
        <w:t xml:space="preserve">The scholia explains that ἐπίβαθρα here means </w:t>
      </w:r>
      <w:r w:rsidR="00CC0615">
        <w:rPr>
          <w:rFonts w:cs="Times New Roman"/>
          <w:lang w:val="en-US"/>
        </w:rPr>
        <w:t>“</w:t>
      </w:r>
      <w:r w:rsidRPr="00881752">
        <w:rPr>
          <w:rFonts w:cs="Times New Roman"/>
          <w:lang w:val="en-US"/>
        </w:rPr>
        <w:t>passage-money, fare; in this specific case a reward for a first successful embarkation</w:t>
      </w:r>
      <w:r w:rsidR="00CC0615">
        <w:rPr>
          <w:rFonts w:cs="Times New Roman"/>
          <w:lang w:val="en-US"/>
        </w:rPr>
        <w:t>”</w:t>
      </w:r>
      <w:r w:rsidRPr="00881752">
        <w:rPr>
          <w:rFonts w:cs="Times New Roman"/>
          <w:lang w:val="en-US"/>
        </w:rPr>
        <w:t xml:space="preserve"> (ἐπιβατήρια, μισθόν· νυνὶ δὲ τιμὴν ὑπὲρ τοῦ εὐτυχῶς ἐπιβῆναι νῦν πρῶτον τῆς νεώς, 421a). One may suggest that Callimachus was confused by this passage of Apollonius,</w:t>
      </w:r>
      <w:r w:rsidRPr="00881752">
        <w:rPr>
          <w:rStyle w:val="FootnoteReference"/>
          <w:rFonts w:cs="Times New Roman"/>
          <w:lang w:val="en-US"/>
        </w:rPr>
        <w:footnoteReference w:id="200"/>
      </w:r>
      <w:r w:rsidRPr="00881752">
        <w:rPr>
          <w:rFonts w:cs="Times New Roman"/>
          <w:lang w:val="en-US"/>
        </w:rPr>
        <w:t xml:space="preserve"> and thus considered ἐπιβάθρα, -ας (ἡ) as the term meaning </w:t>
      </w:r>
      <w:r w:rsidR="00CC0615">
        <w:rPr>
          <w:rFonts w:cs="Times New Roman"/>
          <w:lang w:val="en-US"/>
        </w:rPr>
        <w:t>“</w:t>
      </w:r>
      <w:r w:rsidRPr="00881752">
        <w:rPr>
          <w:rFonts w:cs="Times New Roman"/>
          <w:lang w:val="en-US"/>
        </w:rPr>
        <w:t>fare,</w:t>
      </w:r>
      <w:r w:rsidR="00CC0615">
        <w:rPr>
          <w:rFonts w:cs="Times New Roman"/>
          <w:lang w:val="en-US"/>
        </w:rPr>
        <w:t>”</w:t>
      </w:r>
      <w:r w:rsidRPr="00881752">
        <w:rPr>
          <w:rFonts w:cs="Times New Roman"/>
          <w:lang w:val="en-US"/>
        </w:rPr>
        <w:t xml:space="preserve"> while ἐπίβαθρον, -ου (τό) as the term meaning </w:t>
      </w:r>
      <w:r w:rsidR="00CC0615">
        <w:rPr>
          <w:rFonts w:cs="Times New Roman"/>
          <w:lang w:val="en-US"/>
        </w:rPr>
        <w:t>“</w:t>
      </w:r>
      <w:r w:rsidRPr="00881752">
        <w:rPr>
          <w:rFonts w:cs="Times New Roman"/>
          <w:lang w:val="en-US"/>
        </w:rPr>
        <w:t>base.</w:t>
      </w:r>
      <w:r w:rsidR="00CC0615">
        <w:rPr>
          <w:rFonts w:cs="Times New Roman"/>
          <w:lang w:val="en-US"/>
        </w:rPr>
        <w:t>”</w:t>
      </w:r>
      <w:r w:rsidRPr="00881752">
        <w:rPr>
          <w:rFonts w:cs="Times New Roman"/>
          <w:lang w:val="en-US"/>
        </w:rPr>
        <w:t xml:space="preserve"> Otherwise, we should think to credit Callimachus with innovation in or extension of the meaning of ἐπίβαθρον, -ου (τό). However, the context requires a technical term, and it is unconvincing to argue that Callimachus uses here a generic or even ambiguus word.</w:t>
      </w:r>
    </w:p>
    <w:p w14:paraId="595F10D8" w14:textId="487F9C1A" w:rsidR="00944EB2" w:rsidRPr="00881752" w:rsidRDefault="00944EB2" w:rsidP="00881752">
      <w:pPr>
        <w:widowControl w:val="0"/>
        <w:numPr>
          <w:ilvl w:val="0"/>
          <w:numId w:val="51"/>
        </w:numPr>
        <w:tabs>
          <w:tab w:val="left" w:pos="709"/>
          <w:tab w:val="left" w:pos="1080"/>
          <w:tab w:val="center" w:pos="5387"/>
        </w:tabs>
        <w:ind w:left="709" w:hanging="283"/>
        <w:rPr>
          <w:rFonts w:cs="Times New Roman"/>
          <w:lang w:val="en-US"/>
        </w:rPr>
      </w:pPr>
      <w:r w:rsidRPr="00881752">
        <w:rPr>
          <w:rFonts w:cs="Times New Roman"/>
          <w:lang w:val="en-US"/>
        </w:rPr>
        <w:t xml:space="preserve">μειονεκτέω </w:t>
      </w:r>
      <w:r w:rsidR="00CC0615">
        <w:rPr>
          <w:rFonts w:cs="Times New Roman"/>
          <w:lang w:val="en-US"/>
        </w:rPr>
        <w:t>“</w:t>
      </w:r>
      <w:r w:rsidRPr="00881752">
        <w:rPr>
          <w:rFonts w:cs="Times New Roman"/>
          <w:lang w:val="en-US"/>
        </w:rPr>
        <w:t>to be short</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6.44), which is a word which almost always occurs in the works of Xenophon in the Classical period, earlier than Callimachus. In Xenophon</w:t>
      </w:r>
      <w:r w:rsidR="00075F5F">
        <w:rPr>
          <w:rFonts w:cs="Times New Roman"/>
          <w:lang w:val="en-US"/>
        </w:rPr>
        <w:t>’</w:t>
      </w:r>
      <w:r w:rsidRPr="00881752">
        <w:rPr>
          <w:rFonts w:cs="Times New Roman"/>
          <w:lang w:val="en-US"/>
        </w:rPr>
        <w:t xml:space="preserve">s works, the word occurs 15 times, of which 9 are in the </w:t>
      </w:r>
      <w:r w:rsidRPr="00881752">
        <w:rPr>
          <w:rFonts w:cs="Times New Roman"/>
          <w:i/>
          <w:iCs/>
          <w:lang w:val="en-US"/>
        </w:rPr>
        <w:t>Hiero</w:t>
      </w:r>
      <w:r w:rsidRPr="00881752">
        <w:rPr>
          <w:rFonts w:cs="Times New Roman"/>
          <w:lang w:val="en-US"/>
        </w:rPr>
        <w:t xml:space="preserve">. </w:t>
      </w:r>
      <w:r w:rsidRPr="00881752">
        <w:rPr>
          <w:rFonts w:cs="Times New Roman"/>
          <w:lang w:val="en-US"/>
        </w:rPr>
        <w:lastRenderedPageBreak/>
        <w:t>Xenophon</w:t>
      </w:r>
      <w:r w:rsidR="00075F5F">
        <w:rPr>
          <w:rFonts w:cs="Times New Roman"/>
          <w:lang w:val="en-US"/>
        </w:rPr>
        <w:t>’</w:t>
      </w:r>
      <w:r w:rsidRPr="00881752">
        <w:rPr>
          <w:rFonts w:cs="Times New Roman"/>
          <w:lang w:val="en-US"/>
        </w:rPr>
        <w:t xml:space="preserve">s instances show two syntactic constructions: μειονεκτέω + genitive of things </w:t>
      </w:r>
      <w:r w:rsidR="00CC0615">
        <w:rPr>
          <w:rFonts w:cs="Times New Roman"/>
          <w:lang w:val="en-US"/>
        </w:rPr>
        <w:t>“</w:t>
      </w:r>
      <w:r w:rsidRPr="00881752">
        <w:rPr>
          <w:rFonts w:cs="Times New Roman"/>
          <w:lang w:val="en-US"/>
        </w:rPr>
        <w:t>to be short of,</w:t>
      </w:r>
      <w:r w:rsidR="00CC0615">
        <w:rPr>
          <w:rFonts w:cs="Times New Roman"/>
          <w:lang w:val="en-US"/>
        </w:rPr>
        <w:t>”</w:t>
      </w:r>
      <w:r w:rsidRPr="00881752">
        <w:rPr>
          <w:rFonts w:cs="Times New Roman"/>
          <w:lang w:val="en-US"/>
        </w:rPr>
        <w:t xml:space="preserve"> as for example ἔγωγε ὁρῶ τῶν δοκούντων ἀνδρῶν εἶναι ἑκόντας μειονεκτοῦντας καὶ σίτων καὶ ποτῶν καὶ ὄψων καὶ ἀφροδισίων γε ἀπεχομένους </w:t>
      </w:r>
      <w:r w:rsidR="00CC0615">
        <w:rPr>
          <w:rFonts w:cs="Times New Roman"/>
          <w:lang w:val="en-US"/>
        </w:rPr>
        <w:t>“</w:t>
      </w:r>
      <w:r w:rsidRPr="00881752">
        <w:rPr>
          <w:rFonts w:cs="Times New Roman"/>
          <w:lang w:val="en-US"/>
        </w:rPr>
        <w:t>for I notice that many respected men willingly are short of meat and drink and delicacies</w:t>
      </w:r>
      <w:r w:rsidR="00CC0615">
        <w:rPr>
          <w:rFonts w:cs="Times New Roman"/>
          <w:lang w:val="en-US"/>
        </w:rPr>
        <w:t>”</w:t>
      </w:r>
      <w:r w:rsidRPr="00881752">
        <w:rPr>
          <w:rFonts w:cs="Times New Roman"/>
          <w:lang w:val="en-US"/>
        </w:rPr>
        <w:t xml:space="preserve"> (</w:t>
      </w:r>
      <w:r w:rsidRPr="00881752">
        <w:rPr>
          <w:rFonts w:cs="Times New Roman"/>
          <w:i/>
          <w:iCs/>
          <w:lang w:val="en-US"/>
        </w:rPr>
        <w:t>Hiero</w:t>
      </w:r>
      <w:r w:rsidRPr="00881752">
        <w:rPr>
          <w:rFonts w:cs="Times New Roman"/>
          <w:lang w:val="en-US"/>
        </w:rPr>
        <w:t xml:space="preserve"> 2.1.3-5); μειονεκτέω + genitive of person + dative of thing </w:t>
      </w:r>
      <w:r w:rsidR="00CC0615">
        <w:rPr>
          <w:rFonts w:cs="Times New Roman"/>
          <w:lang w:val="en-US"/>
        </w:rPr>
        <w:t>“</w:t>
      </w:r>
      <w:r w:rsidRPr="00881752">
        <w:rPr>
          <w:rFonts w:cs="Times New Roman"/>
          <w:lang w:val="en-US"/>
        </w:rPr>
        <w:t>to be short of … compared to,</w:t>
      </w:r>
      <w:r w:rsidR="00CC0615">
        <w:rPr>
          <w:rFonts w:cs="Times New Roman"/>
          <w:lang w:val="en-US"/>
        </w:rPr>
        <w:t>”</w:t>
      </w:r>
      <w:r w:rsidRPr="00881752">
        <w:rPr>
          <w:rFonts w:cs="Times New Roman"/>
          <w:lang w:val="en-US"/>
        </w:rPr>
        <w:t xml:space="preserve"> as for example ὥστε ταύτῃ πρῶτον τῇ εὐφροσύνῃ τῆς ἐλπίδος μειονεκτοῦσι τῶν ἰδιωτῶν </w:t>
      </w:r>
      <w:r w:rsidR="00CC0615">
        <w:rPr>
          <w:rFonts w:cs="Times New Roman"/>
          <w:lang w:val="en-US"/>
        </w:rPr>
        <w:t>“</w:t>
      </w:r>
      <w:r w:rsidRPr="00881752">
        <w:rPr>
          <w:rFonts w:cs="Times New Roman"/>
          <w:lang w:val="en-US"/>
        </w:rPr>
        <w:t>in respect of the pleasure of anticipation they are worse off than the private citizen</w:t>
      </w:r>
      <w:r w:rsidR="00CC0615">
        <w:rPr>
          <w:rFonts w:cs="Times New Roman"/>
          <w:lang w:val="en-US"/>
        </w:rPr>
        <w:t>”</w:t>
      </w:r>
      <w:r w:rsidRPr="00881752">
        <w:rPr>
          <w:rFonts w:cs="Times New Roman"/>
          <w:lang w:val="en-US"/>
        </w:rPr>
        <w:t xml:space="preserve"> (</w:t>
      </w:r>
      <w:r w:rsidRPr="00881752">
        <w:rPr>
          <w:rFonts w:cs="Times New Roman"/>
          <w:i/>
          <w:iCs/>
          <w:lang w:val="en-US"/>
        </w:rPr>
        <w:t>Hiero</w:t>
      </w:r>
      <w:r w:rsidRPr="00881752">
        <w:rPr>
          <w:rFonts w:cs="Times New Roman"/>
          <w:lang w:val="en-US"/>
        </w:rPr>
        <w:t xml:space="preserve"> 1.18.4-5). Callimachus uses the second construction, where the genitive constitutes the comparison. It is interesting that all of Xenophon</w:t>
      </w:r>
      <w:r w:rsidR="00075F5F">
        <w:rPr>
          <w:rFonts w:cs="Times New Roman"/>
          <w:lang w:val="en-US"/>
        </w:rPr>
        <w:t>’</w:t>
      </w:r>
      <w:r w:rsidRPr="00881752">
        <w:rPr>
          <w:rFonts w:cs="Times New Roman"/>
          <w:lang w:val="en-US"/>
        </w:rPr>
        <w:t xml:space="preserve">s uses of this word convey a moral value, while Callimachus is talking about real dimensions of statues. It is, however, possible that Callimachus intends to convey a judgment of the importance of the deities involved. </w:t>
      </w:r>
    </w:p>
    <w:p w14:paraId="2F162695" w14:textId="3135B6CB" w:rsidR="00944EB2" w:rsidRPr="00881752" w:rsidRDefault="00944EB2" w:rsidP="00881752">
      <w:pPr>
        <w:widowControl w:val="0"/>
        <w:numPr>
          <w:ilvl w:val="0"/>
          <w:numId w:val="51"/>
        </w:numPr>
        <w:tabs>
          <w:tab w:val="left" w:pos="709"/>
          <w:tab w:val="left" w:pos="1080"/>
          <w:tab w:val="center" w:pos="5387"/>
        </w:tabs>
        <w:ind w:left="709" w:hanging="283"/>
        <w:rPr>
          <w:rFonts w:cs="Times New Roman"/>
          <w:lang w:val="en-US"/>
        </w:rPr>
      </w:pPr>
      <w:r w:rsidRPr="00881752">
        <w:rPr>
          <w:rFonts w:cs="Times New Roman"/>
          <w:lang w:val="en-US"/>
        </w:rPr>
        <w:t xml:space="preserve">ὀργυιαῖος </w:t>
      </w:r>
      <w:r w:rsidR="00CC0615">
        <w:rPr>
          <w:rFonts w:cs="Times New Roman"/>
          <w:lang w:val="en-US"/>
        </w:rPr>
        <w:t>“</w:t>
      </w:r>
      <w:r w:rsidRPr="00881752">
        <w:rPr>
          <w:rFonts w:cs="Times New Roman"/>
          <w:lang w:val="en-US"/>
        </w:rPr>
        <w:t>having the length of the outstretched arms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6.43) is an adjective built on the noun ὄργυια, a unit of measuring. While the noun is already present in the Homeric texts, the adjective seems to be a Hellenistic creation. In addition to the occurence in Callimachus, it occurs only once in </w:t>
      </w:r>
      <w:r w:rsidRPr="00881752">
        <w:rPr>
          <w:rFonts w:cs="Times New Roman"/>
          <w:i/>
          <w:iCs/>
          <w:lang w:val="en-US"/>
        </w:rPr>
        <w:t>AP</w:t>
      </w:r>
      <w:r w:rsidRPr="00881752">
        <w:rPr>
          <w:rFonts w:cs="Times New Roman"/>
          <w:lang w:val="en-US"/>
        </w:rPr>
        <w:t xml:space="preserve"> 6.114.1 (Samius), where another unit of measurement is also mentioned. This unit, the δῶρον, also appears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Iambus</w:t>
      </w:r>
      <w:r w:rsidRPr="00881752">
        <w:rPr>
          <w:rFonts w:cs="Times New Roman"/>
          <w:lang w:val="en-US"/>
        </w:rPr>
        <w:t xml:space="preserve"> 6. Call. </w:t>
      </w:r>
      <w:r w:rsidRPr="00881752">
        <w:rPr>
          <w:rFonts w:cs="Times New Roman"/>
          <w:i/>
          <w:iCs/>
          <w:lang w:val="en-US"/>
        </w:rPr>
        <w:t>Ia</w:t>
      </w:r>
      <w:r w:rsidRPr="00881752">
        <w:rPr>
          <w:rFonts w:cs="Times New Roman"/>
          <w:lang w:val="en-US"/>
        </w:rPr>
        <w:t xml:space="preserve">. 6.27 provides us with τετράδωρα, and </w:t>
      </w:r>
      <w:r w:rsidRPr="00881752">
        <w:rPr>
          <w:rFonts w:cs="Times New Roman"/>
          <w:i/>
          <w:iCs/>
          <w:lang w:val="en-US"/>
        </w:rPr>
        <w:t>AP</w:t>
      </w:r>
      <w:r w:rsidRPr="00881752">
        <w:rPr>
          <w:rFonts w:cs="Times New Roman"/>
          <w:lang w:val="en-US"/>
        </w:rPr>
        <w:t xml:space="preserve"> 6.114.3 has τεσσαρακαιδεκάδωρα. Lycophron</w:t>
      </w:r>
      <w:r w:rsidR="00075F5F">
        <w:rPr>
          <w:rFonts w:cs="Times New Roman"/>
          <w:lang w:val="en-US"/>
        </w:rPr>
        <w:t>’</w:t>
      </w:r>
      <w:r w:rsidRPr="00881752">
        <w:rPr>
          <w:rFonts w:cs="Times New Roman"/>
          <w:lang w:val="en-US"/>
        </w:rPr>
        <w:t xml:space="preserve">s </w:t>
      </w:r>
      <w:r w:rsidRPr="00881752">
        <w:rPr>
          <w:rFonts w:cs="Times New Roman"/>
          <w:i/>
          <w:iCs/>
          <w:lang w:val="en-US"/>
        </w:rPr>
        <w:t>Alexandra</w:t>
      </w:r>
      <w:r w:rsidRPr="00881752">
        <w:rPr>
          <w:rFonts w:cs="Times New Roman"/>
          <w:lang w:val="en-US"/>
        </w:rPr>
        <w:t xml:space="preserve"> (1077) has a perfect medio-passive participle ὠργυιωμένη which may suggest that a verb </w:t>
      </w:r>
      <w:r w:rsidR="00075F5F">
        <w:rPr>
          <w:rFonts w:cs="Times New Roman"/>
          <w:lang w:val="en-US"/>
        </w:rPr>
        <w:t>–</w:t>
      </w:r>
      <w:r w:rsidRPr="00881752">
        <w:rPr>
          <w:rFonts w:cs="Times New Roman"/>
          <w:lang w:val="en-US"/>
        </w:rPr>
        <w:t xml:space="preserve"> ὀργυιάω </w:t>
      </w:r>
      <w:r w:rsidR="00075F5F">
        <w:rPr>
          <w:rFonts w:cs="Times New Roman"/>
          <w:lang w:val="en-US"/>
        </w:rPr>
        <w:t>–</w:t>
      </w:r>
      <w:r w:rsidRPr="00881752">
        <w:rPr>
          <w:rFonts w:cs="Times New Roman"/>
          <w:lang w:val="en-US"/>
        </w:rPr>
        <w:t xml:space="preserve"> came into use during the Hellenistic period. </w:t>
      </w:r>
    </w:p>
    <w:p w14:paraId="7FD2DC1F" w14:textId="2617EEDC" w:rsidR="00944EB2" w:rsidRPr="00881752" w:rsidRDefault="00944EB2" w:rsidP="00881752">
      <w:pPr>
        <w:widowControl w:val="0"/>
        <w:numPr>
          <w:ilvl w:val="0"/>
          <w:numId w:val="51"/>
        </w:numPr>
        <w:tabs>
          <w:tab w:val="left" w:pos="709"/>
          <w:tab w:val="left" w:pos="1080"/>
          <w:tab w:val="center" w:pos="5387"/>
        </w:tabs>
        <w:ind w:left="709" w:hanging="283"/>
        <w:rPr>
          <w:rFonts w:cs="Times New Roman"/>
          <w:lang w:val="en-US"/>
        </w:rPr>
      </w:pPr>
      <w:r w:rsidRPr="00881752">
        <w:rPr>
          <w:rFonts w:cs="Times New Roman"/>
          <w:lang w:val="en-US"/>
        </w:rPr>
        <w:t xml:space="preserve">δεσμός </w:t>
      </w:r>
      <w:r w:rsidR="00CC0615">
        <w:rPr>
          <w:rFonts w:cs="Times New Roman"/>
          <w:lang w:val="en-US"/>
        </w:rPr>
        <w:t>“</w:t>
      </w:r>
      <w:r w:rsidRPr="00881752">
        <w:rPr>
          <w:rFonts w:cs="Times New Roman"/>
          <w:lang w:val="en-US"/>
        </w:rPr>
        <w:t>arthritis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1.41), which, although it had a wide use as generic word, entered the medical vocabulary as a technical term with a very specific meaning. It is used only 9 times in </w:t>
      </w:r>
      <w:r w:rsidRPr="00881752">
        <w:rPr>
          <w:rFonts w:cs="Times New Roman"/>
          <w:i/>
          <w:iCs/>
          <w:lang w:val="en-US"/>
        </w:rPr>
        <w:t>De articulis</w:t>
      </w:r>
      <w:r w:rsidRPr="00881752">
        <w:rPr>
          <w:rFonts w:cs="Times New Roman"/>
          <w:lang w:val="en-US"/>
        </w:rPr>
        <w:t xml:space="preserve"> and 3 times in </w:t>
      </w:r>
      <w:r w:rsidRPr="00881752">
        <w:rPr>
          <w:rFonts w:cs="Times New Roman"/>
          <w:i/>
          <w:iCs/>
          <w:lang w:val="en-US"/>
        </w:rPr>
        <w:t>De fracturis</w:t>
      </w:r>
      <w:r w:rsidRPr="00881752">
        <w:rPr>
          <w:rFonts w:cs="Times New Roman"/>
          <w:lang w:val="en-US"/>
        </w:rPr>
        <w:t xml:space="preserve">. </w:t>
      </w:r>
    </w:p>
    <w:p w14:paraId="575381BA" w14:textId="6670133F" w:rsidR="00944EB2" w:rsidRPr="00881752" w:rsidRDefault="00944EB2" w:rsidP="00881752">
      <w:pPr>
        <w:widowControl w:val="0"/>
        <w:numPr>
          <w:ilvl w:val="0"/>
          <w:numId w:val="173"/>
        </w:numPr>
        <w:tabs>
          <w:tab w:val="clear" w:pos="425"/>
          <w:tab w:val="left" w:pos="426"/>
          <w:tab w:val="center" w:pos="5387"/>
        </w:tabs>
        <w:ind w:hanging="578"/>
        <w:rPr>
          <w:rFonts w:cs="Times New Roman"/>
          <w:lang w:val="en-US"/>
        </w:rPr>
      </w:pPr>
      <w:r w:rsidRPr="00881752">
        <w:rPr>
          <w:rFonts w:cs="Times New Roman"/>
          <w:lang w:val="en-US"/>
        </w:rPr>
        <w:t xml:space="preserve">words drawn from historical prose, especially Herodotus, such as: </w:t>
      </w:r>
    </w:p>
    <w:p w14:paraId="39A4AF23" w14:textId="53189D8B" w:rsidR="00944EB2" w:rsidRPr="00881752" w:rsidRDefault="00944EB2" w:rsidP="00881752">
      <w:pPr>
        <w:widowControl w:val="0"/>
        <w:numPr>
          <w:ilvl w:val="0"/>
          <w:numId w:val="53"/>
        </w:numPr>
        <w:tabs>
          <w:tab w:val="left" w:pos="709"/>
          <w:tab w:val="left" w:pos="1080"/>
        </w:tabs>
        <w:ind w:left="709" w:hanging="283"/>
        <w:rPr>
          <w:rFonts w:cs="Times New Roman"/>
          <w:lang w:val="en-US"/>
        </w:rPr>
      </w:pPr>
      <w:r w:rsidRPr="00881752">
        <w:rPr>
          <w:rFonts w:cs="Times New Roman"/>
          <w:lang w:val="en-US"/>
        </w:rPr>
        <w:t xml:space="preserve">ἀναισίμωμα </w:t>
      </w:r>
      <w:r w:rsidR="00CC0615">
        <w:rPr>
          <w:rFonts w:cs="Times New Roman"/>
          <w:lang w:val="en-US"/>
        </w:rPr>
        <w:t>“</w:t>
      </w:r>
      <w:r w:rsidRPr="00881752">
        <w:rPr>
          <w:rFonts w:cs="Times New Roman"/>
          <w:lang w:val="en-US"/>
        </w:rPr>
        <w:t>expense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6.45), which occurs only once in Herodotus (5.31.7); however, the verb ἀναισιμόω occurs 14 times in Herodotus, and once in Xenophon. </w:t>
      </w:r>
    </w:p>
    <w:p w14:paraId="7DDFA123" w14:textId="77777777" w:rsidR="00944EB2" w:rsidRPr="00881752" w:rsidRDefault="00944EB2" w:rsidP="00881752">
      <w:pPr>
        <w:widowControl w:val="0"/>
        <w:numPr>
          <w:ilvl w:val="0"/>
          <w:numId w:val="53"/>
        </w:numPr>
        <w:tabs>
          <w:tab w:val="left" w:pos="709"/>
          <w:tab w:val="left" w:pos="1080"/>
        </w:tabs>
        <w:ind w:left="709" w:hanging="283"/>
        <w:rPr>
          <w:rFonts w:cs="Times New Roman"/>
          <w:lang w:val="en-US"/>
        </w:rPr>
      </w:pPr>
      <w:r w:rsidRPr="00881752">
        <w:rPr>
          <w:rFonts w:cs="Times New Roman"/>
          <w:lang w:val="en-US"/>
        </w:rPr>
        <w:t xml:space="preserve"> συμμείγνυμι (</w:t>
      </w:r>
      <w:r w:rsidRPr="00881752">
        <w:rPr>
          <w:rFonts w:cs="Times New Roman"/>
          <w:i/>
          <w:iCs/>
          <w:lang w:val="en-US"/>
        </w:rPr>
        <w:t>Ia</w:t>
      </w:r>
      <w:r w:rsidRPr="00881752">
        <w:rPr>
          <w:rFonts w:cs="Times New Roman"/>
          <w:lang w:val="en-US"/>
        </w:rPr>
        <w:t>. 13.11, 64), which occurs 51 times in Herodotus, 37 times in Xenophon, and 14 times in Thucydides;</w:t>
      </w:r>
    </w:p>
    <w:p w14:paraId="0735AA3D" w14:textId="77777777" w:rsidR="00944EB2" w:rsidRPr="00881752" w:rsidRDefault="00944EB2" w:rsidP="00881752">
      <w:pPr>
        <w:widowControl w:val="0"/>
        <w:numPr>
          <w:ilvl w:val="0"/>
          <w:numId w:val="172"/>
        </w:numPr>
        <w:tabs>
          <w:tab w:val="clear" w:pos="425"/>
          <w:tab w:val="left" w:pos="426"/>
          <w:tab w:val="center" w:pos="5387"/>
        </w:tabs>
        <w:ind w:hanging="578"/>
        <w:rPr>
          <w:rFonts w:cs="Times New Roman"/>
          <w:lang w:val="en-US"/>
        </w:rPr>
      </w:pPr>
      <w:r w:rsidRPr="00881752">
        <w:rPr>
          <w:rFonts w:cs="Times New Roman"/>
          <w:lang w:val="en-US"/>
        </w:rPr>
        <w:t>words common in oratory, for example:</w:t>
      </w:r>
    </w:p>
    <w:p w14:paraId="30D096A4" w14:textId="62F0D731" w:rsidR="00944EB2" w:rsidRPr="00881752" w:rsidRDefault="00944EB2" w:rsidP="00881752">
      <w:pPr>
        <w:widowControl w:val="0"/>
        <w:numPr>
          <w:ilvl w:val="0"/>
          <w:numId w:val="53"/>
        </w:numPr>
        <w:tabs>
          <w:tab w:val="left" w:pos="709"/>
          <w:tab w:val="left" w:pos="1080"/>
        </w:tabs>
        <w:ind w:left="709" w:hanging="283"/>
        <w:rPr>
          <w:rFonts w:cs="Times New Roman"/>
          <w:lang w:val="en-US"/>
        </w:rPr>
      </w:pPr>
      <w:r w:rsidRPr="00881752">
        <w:rPr>
          <w:rFonts w:cs="Times New Roman"/>
          <w:lang w:val="en-US"/>
        </w:rPr>
        <w:t xml:space="preserve">λογιστός </w:t>
      </w:r>
      <w:r w:rsidR="00CC0615">
        <w:rPr>
          <w:rFonts w:cs="Times New Roman"/>
          <w:lang w:val="en-US"/>
        </w:rPr>
        <w:t>“</w:t>
      </w:r>
      <w:r w:rsidRPr="00881752">
        <w:rPr>
          <w:rFonts w:cs="Times New Roman"/>
          <w:lang w:val="en-US"/>
        </w:rPr>
        <w:t>estimable</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6.47), which Aeschines uses 4 times, Demosthenes 3 times, and Dinarchus 3 times. The word was used frequently by the Athenian </w:t>
      </w:r>
      <w:r w:rsidRPr="00881752">
        <w:rPr>
          <w:rFonts w:cs="Times New Roman"/>
          <w:lang w:val="en-US"/>
        </w:rPr>
        <w:lastRenderedPageBreak/>
        <w:t>orators, who meant their audience. Sometimes they meant in particular the board which audited the accounts of magistrates going out of office (e.g. καὶ λόγον καὶ εὐθύνας ἐγγράφειν πρὸς τοὺς λογιστάς</w:t>
      </w:r>
      <w:hyperlink r:id="rId33" w:history="1">
        <w:r w:rsidRPr="00881752">
          <w:rPr>
            <w:rFonts w:cs="Times New Roman"/>
            <w:lang w:val="en-US"/>
          </w:rPr>
          <w:t>»</w:t>
        </w:r>
      </w:hyperlink>
      <w:r w:rsidRPr="00881752">
        <w:rPr>
          <w:rFonts w:cs="Times New Roman"/>
          <w:lang w:val="en-US"/>
        </w:rPr>
        <w:t xml:space="preserve">, καθάπερ καὶ τὰς ἄλλας ἀρχὰς κελεύει </w:t>
      </w:r>
      <w:r w:rsidR="00CC0615">
        <w:rPr>
          <w:rFonts w:cs="Times New Roman"/>
          <w:lang w:val="en-US"/>
        </w:rPr>
        <w:t>“</w:t>
      </w:r>
      <w:r w:rsidRPr="00881752">
        <w:rPr>
          <w:rFonts w:cs="Times New Roman"/>
          <w:lang w:val="en-US"/>
        </w:rPr>
        <w:t>and to submit their accounts before the clerk and board of auditors, precisely as other officers are required to do,</w:t>
      </w:r>
      <w:r w:rsidR="00CC0615">
        <w:rPr>
          <w:rFonts w:cs="Times New Roman"/>
          <w:lang w:val="en-US"/>
        </w:rPr>
        <w:t>”</w:t>
      </w:r>
      <w:r w:rsidRPr="00881752">
        <w:rPr>
          <w:rFonts w:cs="Times New Roman"/>
          <w:lang w:val="en-US"/>
        </w:rPr>
        <w:t xml:space="preserve"> Aesch. </w:t>
      </w:r>
      <w:r w:rsidRPr="00881752">
        <w:rPr>
          <w:rFonts w:cs="Times New Roman"/>
          <w:i/>
          <w:iCs/>
          <w:lang w:val="en-US"/>
        </w:rPr>
        <w:t>In Ctes</w:t>
      </w:r>
      <w:r w:rsidRPr="00881752">
        <w:rPr>
          <w:rFonts w:cs="Times New Roman"/>
          <w:lang w:val="en-US"/>
        </w:rPr>
        <w:t xml:space="preserve">. 15.4-5). Callimachus uses the etymological meaning of the word </w:t>
      </w:r>
      <w:r w:rsidR="00CC0615">
        <w:rPr>
          <w:rFonts w:cs="Times New Roman"/>
          <w:lang w:val="en-US"/>
        </w:rPr>
        <w:t>“</w:t>
      </w:r>
      <w:r w:rsidRPr="00881752">
        <w:rPr>
          <w:rFonts w:cs="Times New Roman"/>
          <w:lang w:val="en-US"/>
        </w:rPr>
        <w:t>which can be calculated,</w:t>
      </w:r>
      <w:r w:rsidR="00CC0615">
        <w:rPr>
          <w:rFonts w:cs="Times New Roman"/>
          <w:lang w:val="en-US"/>
        </w:rPr>
        <w:t>”</w:t>
      </w:r>
      <w:r w:rsidRPr="00881752">
        <w:rPr>
          <w:rFonts w:cs="Times New Roman"/>
          <w:lang w:val="en-US"/>
        </w:rPr>
        <w:t xml:space="preserve"> although this use of the word remains marginal in the Greek literary lexicon. </w:t>
      </w:r>
    </w:p>
    <w:p w14:paraId="4D2FD90F" w14:textId="3FE44B41" w:rsidR="00944EB2" w:rsidRPr="00881752" w:rsidRDefault="00944EB2" w:rsidP="00881752">
      <w:pPr>
        <w:widowControl w:val="0"/>
        <w:numPr>
          <w:ilvl w:val="0"/>
          <w:numId w:val="53"/>
        </w:numPr>
        <w:tabs>
          <w:tab w:val="left" w:pos="709"/>
          <w:tab w:val="left" w:pos="1080"/>
        </w:tabs>
        <w:ind w:left="709" w:hanging="283"/>
        <w:rPr>
          <w:rFonts w:cs="Times New Roman"/>
          <w:lang w:val="en-US"/>
        </w:rPr>
      </w:pPr>
      <w:r w:rsidRPr="00881752">
        <w:rPr>
          <w:rFonts w:cs="Times New Roman"/>
          <w:lang w:val="en-US"/>
        </w:rPr>
        <w:t xml:space="preserve">τομός </w:t>
      </w:r>
      <w:r w:rsidR="00CC0615">
        <w:rPr>
          <w:rFonts w:cs="Times New Roman"/>
          <w:lang w:val="en-US"/>
        </w:rPr>
        <w:t>“</w:t>
      </w:r>
      <w:r w:rsidRPr="00881752">
        <w:rPr>
          <w:rFonts w:cs="Times New Roman"/>
          <w:lang w:val="en-US"/>
        </w:rPr>
        <w:t>sharp</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4.30), which is a variant already present in Plato</w:t>
      </w:r>
      <w:r w:rsidRPr="00881752">
        <w:rPr>
          <w:rStyle w:val="FootnoteReference"/>
          <w:rFonts w:cs="Times New Roman"/>
          <w:lang w:val="en-US"/>
        </w:rPr>
        <w:footnoteReference w:id="201"/>
      </w:r>
      <w:r w:rsidRPr="00881752">
        <w:rPr>
          <w:rFonts w:cs="Times New Roman"/>
          <w:lang w:val="en-US"/>
        </w:rPr>
        <w:t xml:space="preserve"> of the prosaic τολμηρός. This is a word typical of Athenian oratory</w:t>
      </w:r>
      <w:r w:rsidRPr="00881752">
        <w:rPr>
          <w:rStyle w:val="FootnoteReference"/>
          <w:rFonts w:cs="Times New Roman"/>
          <w:lang w:val="en-US"/>
        </w:rPr>
        <w:footnoteReference w:id="202"/>
      </w:r>
      <w:r w:rsidRPr="00881752">
        <w:rPr>
          <w:rFonts w:cs="Times New Roman"/>
          <w:lang w:val="en-US"/>
        </w:rPr>
        <w:t xml:space="preserve"> which seems to have created it to distinguish a particularly oratorical use and meaning of the word </w:t>
      </w:r>
      <w:r w:rsidR="00CC0615">
        <w:rPr>
          <w:rFonts w:cs="Times New Roman"/>
          <w:lang w:val="en-US"/>
        </w:rPr>
        <w:t>“</w:t>
      </w:r>
      <w:r w:rsidRPr="00881752">
        <w:rPr>
          <w:rFonts w:cs="Times New Roman"/>
          <w:lang w:val="en-US"/>
        </w:rPr>
        <w:t>sharp</w:t>
      </w:r>
      <w:r w:rsidR="00CC0615">
        <w:rPr>
          <w:rFonts w:cs="Times New Roman"/>
          <w:lang w:val="en-US"/>
        </w:rPr>
        <w:t>”</w:t>
      </w:r>
      <w:r w:rsidRPr="00881752">
        <w:rPr>
          <w:rFonts w:cs="Times New Roman"/>
          <w:lang w:val="en-US"/>
        </w:rPr>
        <w:t xml:space="preserve"> from the poetic and generic form τολμ</w:t>
      </w:r>
      <w:r w:rsidR="007D453B">
        <w:rPr>
          <w:rFonts w:cs="Times New Roman"/>
          <w:lang w:val="el-GR"/>
        </w:rPr>
        <w:t>ήει</w:t>
      </w:r>
      <w:r w:rsidRPr="00881752">
        <w:rPr>
          <w:rFonts w:cs="Times New Roman"/>
          <w:lang w:val="en-US"/>
        </w:rPr>
        <w:t xml:space="preserve">ς </w:t>
      </w:r>
      <w:r w:rsidR="00CC0615">
        <w:rPr>
          <w:rFonts w:cs="Times New Roman"/>
          <w:lang w:val="en-US"/>
        </w:rPr>
        <w:t>“</w:t>
      </w:r>
      <w:r w:rsidRPr="00881752">
        <w:rPr>
          <w:rFonts w:cs="Times New Roman"/>
          <w:lang w:val="en-US"/>
        </w:rPr>
        <w:t>daring.</w:t>
      </w:r>
      <w:r w:rsidR="00CC0615">
        <w:rPr>
          <w:rFonts w:cs="Times New Roman"/>
          <w:lang w:val="en-US"/>
        </w:rPr>
        <w:t>”</w:t>
      </w:r>
    </w:p>
    <w:p w14:paraId="3FA6F93A" w14:textId="77777777" w:rsidR="00944EB2" w:rsidRPr="00881752" w:rsidRDefault="00944EB2" w:rsidP="00881752">
      <w:pPr>
        <w:widowControl w:val="0"/>
        <w:numPr>
          <w:ilvl w:val="0"/>
          <w:numId w:val="171"/>
        </w:numPr>
        <w:tabs>
          <w:tab w:val="clear" w:pos="425"/>
          <w:tab w:val="left" w:pos="426"/>
          <w:tab w:val="center" w:pos="5387"/>
        </w:tabs>
        <w:ind w:hanging="578"/>
        <w:rPr>
          <w:rFonts w:cs="Times New Roman"/>
          <w:lang w:val="en-US"/>
        </w:rPr>
      </w:pPr>
      <w:r w:rsidRPr="00881752">
        <w:rPr>
          <w:rFonts w:cs="Times New Roman"/>
          <w:lang w:val="en-US"/>
        </w:rPr>
        <w:t xml:space="preserve">words drawn from philosophical prose, such as: </w:t>
      </w:r>
    </w:p>
    <w:p w14:paraId="03B40BAD" w14:textId="063FE4DC" w:rsidR="00944EB2" w:rsidRPr="00881752" w:rsidRDefault="00944EB2" w:rsidP="00881752">
      <w:pPr>
        <w:widowControl w:val="0"/>
        <w:numPr>
          <w:ilvl w:val="0"/>
          <w:numId w:val="54"/>
        </w:numPr>
        <w:tabs>
          <w:tab w:val="left" w:pos="709"/>
          <w:tab w:val="left" w:pos="1080"/>
        </w:tabs>
        <w:ind w:left="709" w:hanging="283"/>
        <w:rPr>
          <w:rFonts w:cs="Times New Roman"/>
          <w:lang w:val="en-US"/>
        </w:rPr>
      </w:pPr>
      <w:r w:rsidRPr="00881752">
        <w:rPr>
          <w:rFonts w:cs="Times New Roman"/>
          <w:lang w:val="en-US"/>
        </w:rPr>
        <w:t xml:space="preserve">μεταστρέφω </w:t>
      </w:r>
      <w:r w:rsidR="00CC0615">
        <w:rPr>
          <w:rFonts w:cs="Times New Roman"/>
          <w:lang w:val="en-US"/>
        </w:rPr>
        <w:t>“</w:t>
      </w:r>
      <w:r w:rsidRPr="00881752">
        <w:rPr>
          <w:rFonts w:cs="Times New Roman"/>
          <w:lang w:val="en-US"/>
        </w:rPr>
        <w:t>overturn</w:t>
      </w:r>
      <w:r w:rsidR="00CC0615">
        <w:rPr>
          <w:rFonts w:cs="Times New Roman"/>
          <w:lang w:val="en-US"/>
        </w:rPr>
        <w:t>”</w:t>
      </w:r>
      <w:r w:rsidRPr="00881752">
        <w:rPr>
          <w:rFonts w:cs="Times New Roman"/>
          <w:lang w:val="en-US"/>
        </w:rPr>
        <w:t xml:space="preserve"> (</w:t>
      </w:r>
      <w:r w:rsidRPr="00D10A84">
        <w:rPr>
          <w:rFonts w:cs="Times New Roman"/>
          <w:i/>
          <w:lang w:val="en-US"/>
        </w:rPr>
        <w:t>Ia</w:t>
      </w:r>
      <w:r w:rsidRPr="00881752">
        <w:rPr>
          <w:rFonts w:cs="Times New Roman"/>
          <w:lang w:val="en-US"/>
        </w:rPr>
        <w:t xml:space="preserve">. 2.9), which acquires the specific meaning of </w:t>
      </w:r>
      <w:r w:rsidR="00CC0615">
        <w:rPr>
          <w:rFonts w:cs="Times New Roman"/>
          <w:lang w:val="en-US"/>
        </w:rPr>
        <w:t>“</w:t>
      </w:r>
      <w:r w:rsidRPr="00881752">
        <w:rPr>
          <w:rFonts w:cs="Times New Roman"/>
          <w:lang w:val="en-US"/>
        </w:rPr>
        <w:t xml:space="preserve">overturn a previous </w:t>
      </w:r>
      <w:r w:rsidRPr="00881752">
        <w:rPr>
          <w:rFonts w:cs="Times New Roman"/>
          <w:i/>
          <w:iCs/>
          <w:lang w:val="en-US"/>
        </w:rPr>
        <w:t>status quo</w:t>
      </w:r>
      <w:r w:rsidR="00CC0615">
        <w:rPr>
          <w:rFonts w:cs="Times New Roman"/>
          <w:lang w:val="en-US"/>
        </w:rPr>
        <w:t>”</w:t>
      </w:r>
      <w:r w:rsidRPr="00881752">
        <w:rPr>
          <w:rFonts w:cs="Times New Roman"/>
          <w:lang w:val="en-US"/>
        </w:rPr>
        <w:t xml:space="preserve"> in Plato and Aristotle. The word is already present in Homer (</w:t>
      </w:r>
      <w:r w:rsidRPr="00881752">
        <w:rPr>
          <w:rFonts w:cs="Times New Roman"/>
          <w:i/>
          <w:iCs/>
          <w:lang w:val="en-US"/>
        </w:rPr>
        <w:t>Il</w:t>
      </w:r>
      <w:r w:rsidRPr="00881752">
        <w:rPr>
          <w:rFonts w:cs="Times New Roman"/>
          <w:lang w:val="en-US"/>
        </w:rPr>
        <w:t xml:space="preserve">. 8.258, 15.52, etc.) and in Herodotus (3.121, etc.) but its meaning is generic and oscillates between </w:t>
      </w:r>
      <w:r w:rsidR="00CC0615">
        <w:rPr>
          <w:rFonts w:cs="Times New Roman"/>
          <w:lang w:val="en-US"/>
        </w:rPr>
        <w:t>“</w:t>
      </w:r>
      <w:r w:rsidRPr="00881752">
        <w:rPr>
          <w:rFonts w:cs="Times New Roman"/>
          <w:lang w:val="en-US"/>
        </w:rPr>
        <w:t>turn about</w:t>
      </w:r>
      <w:r w:rsidR="00CC0615">
        <w:rPr>
          <w:rFonts w:cs="Times New Roman"/>
          <w:lang w:val="en-US"/>
        </w:rPr>
        <w:t>”</w:t>
      </w:r>
      <w:r w:rsidRPr="00881752">
        <w:rPr>
          <w:rFonts w:cs="Times New Roman"/>
          <w:lang w:val="en-US"/>
        </w:rPr>
        <w:t xml:space="preserve"> and </w:t>
      </w:r>
      <w:r w:rsidR="00CC0615">
        <w:rPr>
          <w:rFonts w:cs="Times New Roman"/>
          <w:lang w:val="en-US"/>
        </w:rPr>
        <w:t>“</w:t>
      </w:r>
      <w:r w:rsidRPr="00881752">
        <w:rPr>
          <w:rFonts w:cs="Times New Roman"/>
          <w:lang w:val="en-US"/>
        </w:rPr>
        <w:t>turn round</w:t>
      </w:r>
      <w:r w:rsidR="00CC0615">
        <w:rPr>
          <w:rFonts w:cs="Times New Roman"/>
          <w:lang w:val="en-US"/>
        </w:rPr>
        <w:t>”</w:t>
      </w:r>
      <w:r w:rsidRPr="00881752">
        <w:rPr>
          <w:rFonts w:cs="Times New Roman"/>
          <w:lang w:val="en-US"/>
        </w:rPr>
        <w:t xml:space="preserve">. But in Plato </w:t>
      </w:r>
      <w:r w:rsidRPr="00881752">
        <w:rPr>
          <w:rFonts w:cs="Times New Roman"/>
          <w:i/>
          <w:iCs/>
          <w:lang w:val="en-US"/>
        </w:rPr>
        <w:t>Resp</w:t>
      </w:r>
      <w:r w:rsidRPr="00881752">
        <w:rPr>
          <w:rFonts w:cs="Times New Roman"/>
          <w:lang w:val="en-US"/>
        </w:rPr>
        <w:t>. 367a.7</w:t>
      </w:r>
      <w:r w:rsidRPr="00881752">
        <w:rPr>
          <w:rStyle w:val="FootnoteReference"/>
          <w:rFonts w:cs="Times New Roman"/>
          <w:lang w:val="en-US"/>
        </w:rPr>
        <w:footnoteReference w:id="203"/>
      </w:r>
      <w:r w:rsidRPr="00881752">
        <w:rPr>
          <w:rFonts w:cs="Times New Roman"/>
          <w:lang w:val="en-US"/>
        </w:rPr>
        <w:t xml:space="preserve"> it defines an overturning of the status quo. With this same meaning, μεταστρέφω occurs in Aristotle</w:t>
      </w:r>
      <w:r w:rsidR="00075F5F">
        <w:rPr>
          <w:rFonts w:cs="Times New Roman"/>
          <w:lang w:val="en-US"/>
        </w:rPr>
        <w:t>’</w:t>
      </w:r>
      <w:r w:rsidRPr="00881752">
        <w:rPr>
          <w:rFonts w:cs="Times New Roman"/>
          <w:lang w:val="en-US"/>
        </w:rPr>
        <w:t>s work.</w:t>
      </w:r>
      <w:r w:rsidRPr="00881752">
        <w:rPr>
          <w:rStyle w:val="FootnoteReference"/>
          <w:rFonts w:cs="Times New Roman"/>
          <w:lang w:val="en-US"/>
        </w:rPr>
        <w:footnoteReference w:id="204"/>
      </w:r>
      <w:r w:rsidRPr="00881752">
        <w:rPr>
          <w:rFonts w:cs="Times New Roman"/>
          <w:lang w:val="en-US"/>
        </w:rPr>
        <w:t xml:space="preserve"> </w:t>
      </w:r>
    </w:p>
    <w:p w14:paraId="2D30AB04" w14:textId="28F9F0C8" w:rsidR="00944EB2" w:rsidRPr="00881752" w:rsidRDefault="00944EB2" w:rsidP="00881752">
      <w:pPr>
        <w:widowControl w:val="0"/>
        <w:numPr>
          <w:ilvl w:val="0"/>
          <w:numId w:val="54"/>
        </w:numPr>
        <w:tabs>
          <w:tab w:val="left" w:pos="709"/>
          <w:tab w:val="left" w:pos="1080"/>
          <w:tab w:val="center" w:pos="5387"/>
        </w:tabs>
        <w:ind w:left="709" w:hanging="283"/>
        <w:rPr>
          <w:rFonts w:cs="Times New Roman"/>
          <w:lang w:val="en-US"/>
        </w:rPr>
      </w:pPr>
      <w:r w:rsidRPr="00881752">
        <w:rPr>
          <w:rFonts w:cs="Times New Roman"/>
          <w:lang w:val="en-US"/>
        </w:rPr>
        <w:t xml:space="preserve">ἀτρεμαίως </w:t>
      </w:r>
      <w:r w:rsidR="00CC0615">
        <w:rPr>
          <w:rFonts w:cs="Times New Roman"/>
          <w:lang w:val="en-US"/>
        </w:rPr>
        <w:t>“</w:t>
      </w:r>
      <w:r w:rsidRPr="00881752">
        <w:rPr>
          <w:rFonts w:cs="Times New Roman"/>
          <w:lang w:val="en-US"/>
        </w:rPr>
        <w:t>with calm</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4.45), which is a multifarious word used in poetry and prose. I suggest that here Callimachus is using it with a philosophical nuance.</w:t>
      </w:r>
      <w:r w:rsidRPr="00881752">
        <w:rPr>
          <w:rStyle w:val="FootnoteReference"/>
          <w:rFonts w:cs="Times New Roman"/>
          <w:lang w:val="en-US"/>
        </w:rPr>
        <w:footnoteReference w:id="205"/>
      </w:r>
      <w:r w:rsidRPr="00881752">
        <w:rPr>
          <w:rFonts w:cs="Times New Roman"/>
          <w:lang w:val="en-US"/>
        </w:rPr>
        <w:t xml:space="preserve"> It is used to refer to the behavior of the olive which is getting ready to rebut laurel</w:t>
      </w:r>
      <w:r w:rsidR="00075F5F">
        <w:rPr>
          <w:rFonts w:cs="Times New Roman"/>
          <w:lang w:val="en-US"/>
        </w:rPr>
        <w:t>’</w:t>
      </w:r>
      <w:r w:rsidRPr="00881752">
        <w:rPr>
          <w:rFonts w:cs="Times New Roman"/>
          <w:lang w:val="en-US"/>
        </w:rPr>
        <w:t>s offenses, and the situation reminds one of Parmenides</w:t>
      </w:r>
      <w:r w:rsidR="00075F5F">
        <w:rPr>
          <w:rFonts w:cs="Times New Roman"/>
          <w:lang w:val="en-US"/>
        </w:rPr>
        <w:t>’</w:t>
      </w:r>
      <w:r w:rsidRPr="00881752">
        <w:rPr>
          <w:rFonts w:cs="Times New Roman"/>
          <w:lang w:val="en-US"/>
        </w:rPr>
        <w:t xml:space="preserve"> fragment where the ἦτορ </w:t>
      </w:r>
      <w:r w:rsidR="00CC0615">
        <w:rPr>
          <w:rFonts w:cs="Times New Roman"/>
          <w:lang w:val="en-US"/>
        </w:rPr>
        <w:t>“</w:t>
      </w:r>
      <w:r w:rsidRPr="00881752">
        <w:rPr>
          <w:rFonts w:cs="Times New Roman"/>
          <w:lang w:val="en-US"/>
        </w:rPr>
        <w:t>heart</w:t>
      </w:r>
      <w:r w:rsidR="00CC0615">
        <w:rPr>
          <w:rFonts w:cs="Times New Roman"/>
          <w:lang w:val="en-US"/>
        </w:rPr>
        <w:t>”</w:t>
      </w:r>
      <w:r w:rsidRPr="00881752">
        <w:rPr>
          <w:rFonts w:cs="Times New Roman"/>
          <w:lang w:val="en-US"/>
        </w:rPr>
        <w:t xml:space="preserve"> is ἀτρεμές (1.17 D.-K.)</w:t>
      </w:r>
      <w:r w:rsidRPr="00881752">
        <w:rPr>
          <w:rStyle w:val="FootnoteReference"/>
          <w:rFonts w:cs="Times New Roman"/>
          <w:lang w:val="en-US"/>
        </w:rPr>
        <w:footnoteReference w:id="206"/>
      </w:r>
      <w:r w:rsidRPr="00881752">
        <w:rPr>
          <w:rFonts w:cs="Times New Roman"/>
          <w:lang w:val="en-US"/>
        </w:rPr>
        <w:t xml:space="preserve"> </w:t>
      </w:r>
    </w:p>
    <w:p w14:paraId="3F1D70A6" w14:textId="77777777" w:rsidR="00944EB2" w:rsidRPr="00881752" w:rsidRDefault="00944EB2" w:rsidP="00881752">
      <w:pPr>
        <w:widowControl w:val="0"/>
        <w:numPr>
          <w:ilvl w:val="0"/>
          <w:numId w:val="171"/>
        </w:numPr>
        <w:tabs>
          <w:tab w:val="clear" w:pos="425"/>
          <w:tab w:val="left" w:pos="426"/>
          <w:tab w:val="center" w:pos="5387"/>
        </w:tabs>
        <w:ind w:left="426" w:hanging="284"/>
        <w:rPr>
          <w:rFonts w:cs="Times New Roman"/>
          <w:lang w:val="en-US"/>
        </w:rPr>
      </w:pPr>
      <w:r w:rsidRPr="00881752">
        <w:rPr>
          <w:rFonts w:cs="Times New Roman"/>
          <w:i/>
          <w:iCs/>
          <w:lang w:val="en-US"/>
        </w:rPr>
        <w:t>koine</w:t>
      </w:r>
      <w:r w:rsidRPr="00881752">
        <w:rPr>
          <w:rFonts w:cs="Times New Roman"/>
          <w:lang w:val="en-US"/>
        </w:rPr>
        <w:t>-words,</w:t>
      </w:r>
      <w:r w:rsidRPr="00881752">
        <w:rPr>
          <w:rStyle w:val="FootnoteReference"/>
          <w:rFonts w:cs="Times New Roman"/>
          <w:lang w:val="en-US"/>
        </w:rPr>
        <w:footnoteReference w:id="207"/>
      </w:r>
      <w:r w:rsidRPr="00881752">
        <w:rPr>
          <w:rFonts w:cs="Times New Roman"/>
          <w:lang w:val="en-US"/>
        </w:rPr>
        <w:t xml:space="preserve"> including: </w:t>
      </w:r>
    </w:p>
    <w:p w14:paraId="06E01DA4" w14:textId="22986621" w:rsidR="00944EB2" w:rsidRPr="00881752" w:rsidRDefault="00944EB2" w:rsidP="00881752">
      <w:pPr>
        <w:widowControl w:val="0"/>
        <w:numPr>
          <w:ilvl w:val="0"/>
          <w:numId w:val="55"/>
        </w:numPr>
        <w:tabs>
          <w:tab w:val="left" w:pos="709"/>
          <w:tab w:val="left" w:pos="1080"/>
          <w:tab w:val="center" w:pos="5387"/>
        </w:tabs>
        <w:ind w:left="709" w:hanging="283"/>
        <w:rPr>
          <w:rFonts w:cs="Times New Roman"/>
          <w:lang w:val="en-US"/>
        </w:rPr>
      </w:pPr>
      <w:r w:rsidRPr="00881752">
        <w:rPr>
          <w:rFonts w:cs="Times New Roman"/>
          <w:lang w:val="en-US"/>
        </w:rPr>
        <w:t xml:space="preserve">πιπρήσκω </w:t>
      </w:r>
      <w:r w:rsidR="00CC0615">
        <w:rPr>
          <w:rFonts w:cs="Times New Roman"/>
          <w:lang w:val="en-US"/>
        </w:rPr>
        <w:t>“</w:t>
      </w:r>
      <w:r w:rsidRPr="00881752">
        <w:rPr>
          <w:rFonts w:cs="Times New Roman"/>
          <w:lang w:val="en-US"/>
        </w:rPr>
        <w:t>sell</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1.2), which is the Hellenistic form of πέρνημι; traces of a thematic verb were already to be found in Lysias,</w:t>
      </w:r>
      <w:r w:rsidRPr="00881752">
        <w:rPr>
          <w:rStyle w:val="FootnoteReference"/>
          <w:rFonts w:cs="Times New Roman"/>
          <w:lang w:val="en-US"/>
        </w:rPr>
        <w:footnoteReference w:id="208"/>
      </w:r>
      <w:r w:rsidRPr="00881752">
        <w:rPr>
          <w:rFonts w:cs="Times New Roman"/>
          <w:lang w:val="en-US"/>
        </w:rPr>
        <w:t xml:space="preserve"> but it seems that in the Classical Greek only the thematic medio-passive present (πιπράσκομαι) was used. The first instances of the thematic active present (πιπράσκω) are to be found in the </w:t>
      </w:r>
      <w:r w:rsidRPr="00881752">
        <w:rPr>
          <w:rFonts w:cs="Times New Roman"/>
          <w:lang w:val="en-US"/>
        </w:rPr>
        <w:lastRenderedPageBreak/>
        <w:t>Hellenistic period. Callimachus is the only Hellenistic author who uses the Ionic form πιπρήσκω instead of the Attic πιπράσκω.</w:t>
      </w:r>
    </w:p>
    <w:p w14:paraId="6246744F" w14:textId="6EB1A342" w:rsidR="002C29A2" w:rsidRPr="00881752" w:rsidRDefault="00944EB2" w:rsidP="00881752">
      <w:pPr>
        <w:widowControl w:val="0"/>
        <w:numPr>
          <w:ilvl w:val="0"/>
          <w:numId w:val="55"/>
        </w:numPr>
        <w:tabs>
          <w:tab w:val="left" w:pos="709"/>
          <w:tab w:val="left" w:pos="1080"/>
          <w:tab w:val="center" w:pos="5387"/>
        </w:tabs>
        <w:ind w:left="709" w:hanging="283"/>
        <w:rPr>
          <w:rFonts w:cs="Times New Roman"/>
        </w:rPr>
      </w:pPr>
      <w:r w:rsidRPr="00881752">
        <w:rPr>
          <w:rFonts w:cs="Times New Roman"/>
          <w:lang w:val="en-US"/>
        </w:rPr>
        <w:t xml:space="preserve">κόλλυβος </w:t>
      </w:r>
      <w:r w:rsidR="00CC0615">
        <w:rPr>
          <w:rFonts w:cs="Times New Roman"/>
          <w:lang w:val="en-US"/>
        </w:rPr>
        <w:t>“</w:t>
      </w:r>
      <w:r w:rsidRPr="00881752">
        <w:rPr>
          <w:rFonts w:cs="Times New Roman"/>
          <w:lang w:val="en-US"/>
        </w:rPr>
        <w:t>small coin</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1.2), which is a word used in Comedy.</w:t>
      </w:r>
      <w:r w:rsidRPr="00881752">
        <w:rPr>
          <w:rStyle w:val="FootnoteReference"/>
          <w:rFonts w:cs="Times New Roman"/>
          <w:lang w:val="en-US"/>
        </w:rPr>
        <w:footnoteReference w:id="209"/>
      </w:r>
      <w:r w:rsidRPr="00881752">
        <w:rPr>
          <w:rFonts w:cs="Times New Roman"/>
          <w:lang w:val="en-US"/>
        </w:rPr>
        <w:t xml:space="preserve"> However, in the Classical period, the meaning of the word oscillates between </w:t>
      </w:r>
      <w:r w:rsidR="00CC0615">
        <w:rPr>
          <w:rFonts w:cs="Times New Roman"/>
          <w:lang w:val="en-US"/>
        </w:rPr>
        <w:t>“</w:t>
      </w:r>
      <w:r w:rsidRPr="00881752">
        <w:rPr>
          <w:rFonts w:cs="Times New Roman"/>
          <w:lang w:val="en-US"/>
        </w:rPr>
        <w:t>small cake</w:t>
      </w:r>
      <w:r w:rsidR="00CC0615">
        <w:rPr>
          <w:rFonts w:cs="Times New Roman"/>
          <w:lang w:val="en-US"/>
        </w:rPr>
        <w:t>”</w:t>
      </w:r>
      <w:r w:rsidRPr="00881752">
        <w:rPr>
          <w:rFonts w:cs="Times New Roman"/>
          <w:lang w:val="en-US"/>
        </w:rPr>
        <w:t xml:space="preserve"> and </w:t>
      </w:r>
      <w:r w:rsidR="00CC0615">
        <w:rPr>
          <w:rFonts w:cs="Times New Roman"/>
          <w:lang w:val="en-US"/>
        </w:rPr>
        <w:t>“</w:t>
      </w:r>
      <w:r w:rsidRPr="00881752">
        <w:rPr>
          <w:rFonts w:cs="Times New Roman"/>
          <w:lang w:val="en-US"/>
        </w:rPr>
        <w:t>small coin,</w:t>
      </w:r>
      <w:r w:rsidR="00CC0615">
        <w:rPr>
          <w:rFonts w:cs="Times New Roman"/>
          <w:lang w:val="en-US"/>
        </w:rPr>
        <w:t>”</w:t>
      </w:r>
      <w:r w:rsidRPr="00881752">
        <w:rPr>
          <w:rFonts w:cs="Times New Roman"/>
          <w:lang w:val="en-US"/>
        </w:rPr>
        <w:t xml:space="preserve"> as shown by Aristophanes</w:t>
      </w:r>
      <w:r w:rsidR="00075F5F">
        <w:rPr>
          <w:rFonts w:cs="Times New Roman"/>
          <w:lang w:val="en-US"/>
        </w:rPr>
        <w:t>’</w:t>
      </w:r>
      <w:r w:rsidRPr="00881752">
        <w:rPr>
          <w:rFonts w:cs="Times New Roman"/>
          <w:lang w:val="en-US"/>
        </w:rPr>
        <w:t xml:space="preserve"> uses of the word:</w:t>
      </w:r>
      <w:r w:rsidR="00272F31" w:rsidRPr="00881752">
        <w:rPr>
          <w:rFonts w:cs="Times New Roman"/>
        </w:rPr>
        <w:t xml:space="preserve"> </w:t>
      </w:r>
    </w:p>
    <w:p w14:paraId="14E44FCE" w14:textId="77777777" w:rsidR="00BD2DA1" w:rsidRPr="00881752" w:rsidRDefault="00BD2DA1" w:rsidP="00F56C73">
      <w:pPr>
        <w:widowControl w:val="0"/>
        <w:tabs>
          <w:tab w:val="left" w:pos="709"/>
          <w:tab w:val="center" w:pos="5387"/>
        </w:tabs>
        <w:ind w:left="709"/>
      </w:pPr>
    </w:p>
    <w:p w14:paraId="3F637C68" w14:textId="3620AC2F" w:rsidR="00272F31" w:rsidRPr="00881752" w:rsidRDefault="00272F31" w:rsidP="00881752">
      <w:pPr>
        <w:pStyle w:val="ListParagraph"/>
        <w:numPr>
          <w:ilvl w:val="0"/>
          <w:numId w:val="6"/>
        </w:numPr>
        <w:autoSpaceDE w:val="0"/>
        <w:autoSpaceDN w:val="0"/>
        <w:adjustRightInd w:val="0"/>
        <w:ind w:left="993" w:hanging="284"/>
      </w:pPr>
      <w:r w:rsidRPr="00881752">
        <w:t xml:space="preserve">κόλλυβος </w:t>
      </w:r>
      <w:r w:rsidR="00CC0615">
        <w:t>“</w:t>
      </w:r>
      <w:r w:rsidRPr="00881752">
        <w:t>small cake</w:t>
      </w:r>
      <w:r w:rsidR="00CC0615">
        <w:t>”</w:t>
      </w:r>
    </w:p>
    <w:tbl>
      <w:tblPr>
        <w:tblStyle w:val="TableGrid"/>
        <w:tblW w:w="0" w:type="auto"/>
        <w:tblInd w:w="959"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11"/>
        <w:gridCol w:w="3402"/>
      </w:tblGrid>
      <w:tr w:rsidR="00D05BF0" w:rsidRPr="00881752" w14:paraId="7127925D" w14:textId="77777777" w:rsidTr="0013179E">
        <w:tc>
          <w:tcPr>
            <w:tcW w:w="4111" w:type="dxa"/>
          </w:tcPr>
          <w:p w14:paraId="66A87194" w14:textId="3B658FD2" w:rsidR="00272F31" w:rsidRPr="00881752" w:rsidRDefault="00272F31" w:rsidP="00771DAB">
            <w:pPr>
              <w:pStyle w:val="Blockquote"/>
              <w:rPr>
                <w:sz w:val="22"/>
                <w:szCs w:val="22"/>
              </w:rPr>
            </w:pPr>
            <w:r w:rsidRPr="00881752">
              <w:rPr>
                <w:sz w:val="22"/>
                <w:szCs w:val="22"/>
              </w:rPr>
              <w:t>Ar.</w:t>
            </w:r>
            <w:r w:rsidR="00951CB9" w:rsidRPr="00881752">
              <w:rPr>
                <w:i/>
                <w:sz w:val="22"/>
                <w:szCs w:val="22"/>
                <w:lang w:val="en-US"/>
              </w:rPr>
              <w:t xml:space="preserve"> Ranae</w:t>
            </w:r>
            <w:r w:rsidRPr="00881752">
              <w:rPr>
                <w:sz w:val="22"/>
                <w:szCs w:val="22"/>
              </w:rPr>
              <w:t xml:space="preserve"> 506-507</w:t>
            </w:r>
          </w:p>
        </w:tc>
        <w:tc>
          <w:tcPr>
            <w:tcW w:w="3402" w:type="dxa"/>
          </w:tcPr>
          <w:p w14:paraId="671A25C3" w14:textId="77777777" w:rsidR="00272F31" w:rsidRPr="00881752" w:rsidRDefault="00272F31" w:rsidP="00E125F9">
            <w:pPr>
              <w:pStyle w:val="Blockquote"/>
              <w:ind w:left="284" w:hanging="284"/>
              <w:rPr>
                <w:sz w:val="22"/>
                <w:szCs w:val="22"/>
              </w:rPr>
            </w:pPr>
          </w:p>
        </w:tc>
      </w:tr>
      <w:tr w:rsidR="00D05BF0" w:rsidRPr="00881752" w14:paraId="183BF792" w14:textId="77777777" w:rsidTr="0013179E">
        <w:tc>
          <w:tcPr>
            <w:tcW w:w="4111" w:type="dxa"/>
          </w:tcPr>
          <w:p w14:paraId="1626E28A" w14:textId="3BD8F0B2" w:rsidR="00272F31" w:rsidRPr="00881752" w:rsidRDefault="00272F31" w:rsidP="00771DAB">
            <w:pPr>
              <w:pStyle w:val="Blockquote"/>
              <w:rPr>
                <w:rFonts w:eastAsiaTheme="minorEastAsia"/>
                <w:sz w:val="22"/>
                <w:szCs w:val="22"/>
              </w:rPr>
            </w:pPr>
            <w:r w:rsidRPr="00881752">
              <w:rPr>
                <w:rFonts w:eastAsiaTheme="minorEastAsia"/>
                <w:sz w:val="22"/>
                <w:szCs w:val="22"/>
              </w:rPr>
              <w:t>ἡ γὰρ θεός σ</w:t>
            </w:r>
            <w:r w:rsidR="00075F5F">
              <w:rPr>
                <w:rFonts w:eastAsiaTheme="minorEastAsia"/>
                <w:sz w:val="22"/>
                <w:szCs w:val="22"/>
              </w:rPr>
              <w:t>’</w:t>
            </w:r>
            <w:r w:rsidRPr="00881752">
              <w:rPr>
                <w:rFonts w:eastAsiaTheme="minorEastAsia"/>
                <w:sz w:val="22"/>
                <w:szCs w:val="22"/>
              </w:rPr>
              <w:t xml:space="preserve"> ὡς ἐπύθεθ</w:t>
            </w:r>
            <w:r w:rsidR="00075F5F">
              <w:rPr>
                <w:rFonts w:eastAsiaTheme="minorEastAsia"/>
                <w:sz w:val="22"/>
                <w:szCs w:val="22"/>
              </w:rPr>
              <w:t>’</w:t>
            </w:r>
            <w:r w:rsidRPr="00881752">
              <w:rPr>
                <w:rFonts w:eastAsiaTheme="minorEastAsia"/>
                <w:sz w:val="22"/>
                <w:szCs w:val="22"/>
              </w:rPr>
              <w:t xml:space="preserve"> ἥκοντ</w:t>
            </w:r>
            <w:r w:rsidR="00075F5F">
              <w:rPr>
                <w:rFonts w:eastAsiaTheme="minorEastAsia"/>
                <w:sz w:val="22"/>
                <w:szCs w:val="22"/>
              </w:rPr>
              <w:t>’</w:t>
            </w:r>
            <w:r w:rsidRPr="00881752">
              <w:rPr>
                <w:rFonts w:eastAsiaTheme="minorEastAsia"/>
                <w:sz w:val="22"/>
                <w:szCs w:val="22"/>
              </w:rPr>
              <w:t>, εὐθέως</w:t>
            </w:r>
          </w:p>
          <w:p w14:paraId="6CCD7935" w14:textId="77777777" w:rsidR="00272F31" w:rsidRPr="00881752" w:rsidRDefault="00272F31" w:rsidP="00E125F9">
            <w:pPr>
              <w:pStyle w:val="Blockquote"/>
              <w:rPr>
                <w:rFonts w:eastAsiaTheme="minorEastAsia"/>
                <w:sz w:val="22"/>
                <w:szCs w:val="22"/>
              </w:rPr>
            </w:pPr>
            <w:r w:rsidRPr="00881752">
              <w:rPr>
                <w:rFonts w:eastAsiaTheme="minorEastAsia"/>
                <w:sz w:val="22"/>
                <w:szCs w:val="22"/>
              </w:rPr>
              <w:t>ἔπεττεν ἄρτους, ἧψε κατερικτῶν χύτρας</w:t>
            </w:r>
            <w:r w:rsidRPr="00881752">
              <w:rPr>
                <w:rFonts w:eastAsiaTheme="minorEastAsia"/>
                <w:i/>
                <w:iCs/>
                <w:color w:val="6D6F03"/>
                <w:sz w:val="22"/>
                <w:szCs w:val="22"/>
              </w:rPr>
              <w:t xml:space="preserve"> </w:t>
            </w:r>
          </w:p>
          <w:p w14:paraId="21AFE57C" w14:textId="4A25EC65" w:rsidR="00272F31" w:rsidRPr="00881752" w:rsidRDefault="00272F31" w:rsidP="00E125F9">
            <w:pPr>
              <w:pStyle w:val="Blockquote"/>
              <w:rPr>
                <w:rFonts w:eastAsiaTheme="minorEastAsia"/>
                <w:sz w:val="22"/>
                <w:szCs w:val="22"/>
              </w:rPr>
            </w:pPr>
            <w:r w:rsidRPr="00881752">
              <w:rPr>
                <w:rFonts w:eastAsiaTheme="minorEastAsia"/>
                <w:sz w:val="22"/>
                <w:szCs w:val="22"/>
              </w:rPr>
              <w:t>ἔτνους δύ</w:t>
            </w:r>
            <w:r w:rsidR="00075F5F">
              <w:rPr>
                <w:rFonts w:eastAsiaTheme="minorEastAsia"/>
                <w:sz w:val="22"/>
                <w:szCs w:val="22"/>
              </w:rPr>
              <w:t>’</w:t>
            </w:r>
            <w:r w:rsidRPr="00881752">
              <w:rPr>
                <w:rFonts w:eastAsiaTheme="minorEastAsia"/>
                <w:sz w:val="22"/>
                <w:szCs w:val="22"/>
              </w:rPr>
              <w:t xml:space="preserve"> ἢ τρεῖς, βοῦν ἀπηνθράκιζ</w:t>
            </w:r>
            <w:r w:rsidR="00075F5F">
              <w:rPr>
                <w:rFonts w:eastAsiaTheme="minorEastAsia"/>
                <w:sz w:val="22"/>
                <w:szCs w:val="22"/>
              </w:rPr>
              <w:t>’</w:t>
            </w:r>
            <w:r w:rsidRPr="00881752">
              <w:rPr>
                <w:rFonts w:eastAsiaTheme="minorEastAsia"/>
                <w:sz w:val="22"/>
                <w:szCs w:val="22"/>
              </w:rPr>
              <w:t xml:space="preserve"> ὅλον, </w:t>
            </w:r>
          </w:p>
          <w:p w14:paraId="74038A01" w14:textId="7FF4ECFB" w:rsidR="00272F31" w:rsidRPr="00881752" w:rsidRDefault="00272F31" w:rsidP="00E125F9">
            <w:pPr>
              <w:pStyle w:val="Blockquote"/>
              <w:rPr>
                <w:sz w:val="22"/>
                <w:szCs w:val="22"/>
                <w:lang w:val="el-GR"/>
              </w:rPr>
            </w:pPr>
            <w:r w:rsidRPr="00881752">
              <w:rPr>
                <w:rFonts w:eastAsiaTheme="minorEastAsia"/>
                <w:sz w:val="22"/>
                <w:szCs w:val="22"/>
                <w:lang w:val="el-GR"/>
              </w:rPr>
              <w:t>πλακοῦντας ὤπτα κολλάβους τ</w:t>
            </w:r>
            <w:r w:rsidR="00075F5F">
              <w:rPr>
                <w:rFonts w:eastAsiaTheme="minorEastAsia"/>
                <w:sz w:val="22"/>
                <w:szCs w:val="22"/>
                <w:lang w:val="el-GR"/>
              </w:rPr>
              <w:t>’</w:t>
            </w:r>
            <w:r w:rsidRPr="00881752">
              <w:rPr>
                <w:rFonts w:eastAsiaTheme="minorEastAsia"/>
                <w:sz w:val="22"/>
                <w:szCs w:val="22"/>
                <w:lang w:val="el-GR"/>
              </w:rPr>
              <w:t xml:space="preserve"> ἀλλ</w:t>
            </w:r>
            <w:r w:rsidR="00075F5F">
              <w:rPr>
                <w:rFonts w:eastAsiaTheme="minorEastAsia"/>
                <w:sz w:val="22"/>
                <w:szCs w:val="22"/>
                <w:lang w:val="el-GR"/>
              </w:rPr>
              <w:t>’</w:t>
            </w:r>
            <w:r w:rsidRPr="00881752">
              <w:rPr>
                <w:rFonts w:eastAsiaTheme="minorEastAsia"/>
                <w:sz w:val="22"/>
                <w:szCs w:val="22"/>
                <w:lang w:val="el-GR"/>
              </w:rPr>
              <w:t xml:space="preserve"> εἴσιθι.</w:t>
            </w:r>
          </w:p>
        </w:tc>
        <w:tc>
          <w:tcPr>
            <w:tcW w:w="3402" w:type="dxa"/>
          </w:tcPr>
          <w:p w14:paraId="0AC3E52F" w14:textId="5DE89630" w:rsidR="00272F31" w:rsidRPr="00881752" w:rsidRDefault="00272F31" w:rsidP="00D05BF0">
            <w:pPr>
              <w:pStyle w:val="Blockquote"/>
              <w:rPr>
                <w:rFonts w:eastAsiaTheme="minorEastAsia"/>
                <w:sz w:val="22"/>
                <w:szCs w:val="22"/>
              </w:rPr>
            </w:pPr>
            <w:r w:rsidRPr="00881752">
              <w:rPr>
                <w:rFonts w:eastAsiaTheme="minorEastAsia"/>
                <w:sz w:val="22"/>
                <w:szCs w:val="22"/>
              </w:rPr>
              <w:t>When the goddess heard you</w:t>
            </w:r>
            <w:r w:rsidR="00075F5F">
              <w:rPr>
                <w:rFonts w:eastAsiaTheme="minorEastAsia"/>
                <w:sz w:val="22"/>
                <w:szCs w:val="22"/>
              </w:rPr>
              <w:t>’</w:t>
            </w:r>
            <w:r w:rsidRPr="00881752">
              <w:rPr>
                <w:rFonts w:eastAsiaTheme="minorEastAsia"/>
                <w:sz w:val="22"/>
                <w:szCs w:val="22"/>
              </w:rPr>
              <w:t>d arrived, right off</w:t>
            </w:r>
            <w:r w:rsidR="00D05BF0" w:rsidRPr="00881752">
              <w:rPr>
                <w:rFonts w:eastAsiaTheme="minorEastAsia"/>
                <w:sz w:val="22"/>
                <w:szCs w:val="22"/>
              </w:rPr>
              <w:t xml:space="preserve"> </w:t>
            </w:r>
            <w:r w:rsidRPr="00881752">
              <w:rPr>
                <w:rFonts w:eastAsiaTheme="minorEastAsia"/>
                <w:sz w:val="22"/>
                <w:szCs w:val="22"/>
              </w:rPr>
              <w:t>she had us bake loaves of bread, and boil two or three pots of ground pea soup; and roast a whole ox; bake cakes and cookies; do come in.</w:t>
            </w:r>
          </w:p>
        </w:tc>
      </w:tr>
      <w:tr w:rsidR="00D05BF0" w:rsidRPr="00881752" w14:paraId="3BFEA04B" w14:textId="77777777" w:rsidTr="0013179E">
        <w:tc>
          <w:tcPr>
            <w:tcW w:w="4111" w:type="dxa"/>
          </w:tcPr>
          <w:p w14:paraId="2F5FFDE2" w14:textId="49AD2D5F" w:rsidR="00272F31" w:rsidRPr="00881752" w:rsidRDefault="00272F31" w:rsidP="00E125F9">
            <w:pPr>
              <w:pStyle w:val="Blockquote"/>
              <w:rPr>
                <w:sz w:val="22"/>
                <w:szCs w:val="22"/>
              </w:rPr>
            </w:pPr>
            <w:r w:rsidRPr="00881752">
              <w:rPr>
                <w:sz w:val="22"/>
                <w:szCs w:val="22"/>
              </w:rPr>
              <w:t xml:space="preserve">Ar. </w:t>
            </w:r>
            <w:r w:rsidRPr="00881752">
              <w:rPr>
                <w:i/>
                <w:sz w:val="22"/>
                <w:szCs w:val="22"/>
              </w:rPr>
              <w:t>P</w:t>
            </w:r>
            <w:r w:rsidR="00951CB9" w:rsidRPr="00881752">
              <w:rPr>
                <w:i/>
                <w:sz w:val="22"/>
                <w:szCs w:val="22"/>
              </w:rPr>
              <w:t>α</w:t>
            </w:r>
            <w:r w:rsidR="004209A0">
              <w:rPr>
                <w:i/>
                <w:sz w:val="22"/>
                <w:szCs w:val="22"/>
              </w:rPr>
              <w:t>x</w:t>
            </w:r>
            <w:r w:rsidRPr="00881752">
              <w:rPr>
                <w:sz w:val="22"/>
                <w:szCs w:val="22"/>
              </w:rPr>
              <w:t xml:space="preserve"> 1195-1196</w:t>
            </w:r>
          </w:p>
        </w:tc>
        <w:tc>
          <w:tcPr>
            <w:tcW w:w="3402" w:type="dxa"/>
          </w:tcPr>
          <w:p w14:paraId="109B970E" w14:textId="77777777" w:rsidR="00272F31" w:rsidRPr="00881752" w:rsidRDefault="00272F31" w:rsidP="00E125F9">
            <w:pPr>
              <w:pStyle w:val="Blockquote"/>
              <w:rPr>
                <w:sz w:val="22"/>
                <w:szCs w:val="22"/>
              </w:rPr>
            </w:pPr>
          </w:p>
        </w:tc>
      </w:tr>
      <w:tr w:rsidR="00D05BF0" w:rsidRPr="00881752" w14:paraId="47B4708B" w14:textId="77777777" w:rsidTr="0013179E">
        <w:tc>
          <w:tcPr>
            <w:tcW w:w="4111" w:type="dxa"/>
          </w:tcPr>
          <w:p w14:paraId="32583D88" w14:textId="4C650087" w:rsidR="00272F31" w:rsidRPr="00881752" w:rsidRDefault="00272F31" w:rsidP="00771DAB">
            <w:pPr>
              <w:pStyle w:val="Blockquote"/>
              <w:rPr>
                <w:rFonts w:eastAsiaTheme="minorEastAsia"/>
                <w:sz w:val="22"/>
                <w:szCs w:val="22"/>
              </w:rPr>
            </w:pPr>
            <w:r w:rsidRPr="00881752">
              <w:rPr>
                <w:rFonts w:eastAsiaTheme="minorEastAsia"/>
                <w:sz w:val="22"/>
                <w:szCs w:val="22"/>
              </w:rPr>
              <w:t>ἔπειτ</w:t>
            </w:r>
            <w:r w:rsidR="00075F5F">
              <w:rPr>
                <w:rFonts w:eastAsiaTheme="minorEastAsia"/>
                <w:sz w:val="22"/>
                <w:szCs w:val="22"/>
              </w:rPr>
              <w:t>’</w:t>
            </w:r>
            <w:r w:rsidRPr="00881752">
              <w:rPr>
                <w:rFonts w:eastAsiaTheme="minorEastAsia"/>
                <w:sz w:val="22"/>
                <w:szCs w:val="22"/>
              </w:rPr>
              <w:t>ἐπιφόρει τοὺς ἀμύλους καὶ τὰς κίχλας</w:t>
            </w:r>
            <w:r w:rsidRPr="00881752">
              <w:rPr>
                <w:rFonts w:eastAsiaTheme="minorEastAsia"/>
                <w:i/>
                <w:iCs/>
                <w:color w:val="6D6F03"/>
                <w:sz w:val="22"/>
                <w:szCs w:val="22"/>
              </w:rPr>
              <w:t xml:space="preserve"> </w:t>
            </w:r>
          </w:p>
          <w:p w14:paraId="7E3D4D8A" w14:textId="77777777" w:rsidR="00272F31" w:rsidRPr="00881752" w:rsidRDefault="00272F31" w:rsidP="00E125F9">
            <w:pPr>
              <w:pStyle w:val="Blockquote"/>
              <w:rPr>
                <w:sz w:val="22"/>
                <w:szCs w:val="22"/>
                <w:lang w:val="el-GR"/>
              </w:rPr>
            </w:pPr>
            <w:r w:rsidRPr="00881752">
              <w:rPr>
                <w:rFonts w:eastAsiaTheme="minorEastAsia"/>
                <w:sz w:val="22"/>
                <w:szCs w:val="22"/>
                <w:lang w:val="el-GR"/>
              </w:rPr>
              <w:t>καὶ τῶν λαγῴων πολλὰ καὶ τοὺς κολλάβους</w:t>
            </w:r>
          </w:p>
        </w:tc>
        <w:tc>
          <w:tcPr>
            <w:tcW w:w="3402" w:type="dxa"/>
          </w:tcPr>
          <w:p w14:paraId="10D49DBF" w14:textId="77777777" w:rsidR="00272F31" w:rsidRPr="00881752" w:rsidRDefault="00272F31" w:rsidP="00E125F9">
            <w:pPr>
              <w:pStyle w:val="Blockquote"/>
              <w:rPr>
                <w:sz w:val="22"/>
                <w:szCs w:val="22"/>
              </w:rPr>
            </w:pPr>
            <w:r w:rsidRPr="00881752">
              <w:rPr>
                <w:rFonts w:eastAsiaTheme="minorEastAsia"/>
                <w:sz w:val="22"/>
                <w:szCs w:val="22"/>
              </w:rPr>
              <w:t>Hey, produce the cakes, the thrushes, plenty of good jugged hare and the little loaves</w:t>
            </w:r>
          </w:p>
        </w:tc>
      </w:tr>
    </w:tbl>
    <w:p w14:paraId="704E5B43" w14:textId="0B7928DC" w:rsidR="00272F31" w:rsidRPr="00881752" w:rsidRDefault="00272F31" w:rsidP="00BD2DA1">
      <w:pPr>
        <w:pStyle w:val="Blockquote"/>
      </w:pPr>
    </w:p>
    <w:p w14:paraId="09100038" w14:textId="7EF41A45" w:rsidR="00272F31" w:rsidRPr="00881752" w:rsidRDefault="00272F31" w:rsidP="00881752">
      <w:pPr>
        <w:pStyle w:val="ListParagraph"/>
        <w:numPr>
          <w:ilvl w:val="0"/>
          <w:numId w:val="6"/>
        </w:numPr>
        <w:autoSpaceDE w:val="0"/>
        <w:autoSpaceDN w:val="0"/>
        <w:adjustRightInd w:val="0"/>
        <w:ind w:left="993" w:hanging="284"/>
      </w:pPr>
      <w:r w:rsidRPr="00881752">
        <w:t xml:space="preserve">κόλλυβος </w:t>
      </w:r>
      <w:r w:rsidR="00CC0615">
        <w:t>“</w:t>
      </w:r>
      <w:r w:rsidRPr="00881752">
        <w:t>small coin</w:t>
      </w:r>
      <w:r w:rsidR="00CC0615">
        <w:t>”</w:t>
      </w:r>
    </w:p>
    <w:tbl>
      <w:tblPr>
        <w:tblStyle w:val="TableGrid"/>
        <w:tblW w:w="0" w:type="auto"/>
        <w:tblInd w:w="959"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11"/>
        <w:gridCol w:w="3402"/>
      </w:tblGrid>
      <w:tr w:rsidR="00D05BF0" w:rsidRPr="00881752" w14:paraId="3C87D8AC" w14:textId="77777777" w:rsidTr="0013179E">
        <w:tc>
          <w:tcPr>
            <w:tcW w:w="4111" w:type="dxa"/>
          </w:tcPr>
          <w:p w14:paraId="45E526F4" w14:textId="13B26E01" w:rsidR="00272F31" w:rsidRPr="00881752" w:rsidRDefault="00272F31" w:rsidP="00771DAB">
            <w:pPr>
              <w:pStyle w:val="Blockquote"/>
              <w:rPr>
                <w:sz w:val="22"/>
                <w:szCs w:val="22"/>
              </w:rPr>
            </w:pPr>
            <w:r w:rsidRPr="00881752">
              <w:rPr>
                <w:sz w:val="22"/>
                <w:szCs w:val="22"/>
              </w:rPr>
              <w:t xml:space="preserve">Ar. </w:t>
            </w:r>
            <w:r w:rsidRPr="00881752">
              <w:rPr>
                <w:i/>
                <w:sz w:val="22"/>
                <w:szCs w:val="22"/>
              </w:rPr>
              <w:t>P</w:t>
            </w:r>
            <w:r w:rsidR="00951CB9" w:rsidRPr="00881752">
              <w:rPr>
                <w:i/>
                <w:sz w:val="22"/>
                <w:szCs w:val="22"/>
              </w:rPr>
              <w:t>α</w:t>
            </w:r>
            <w:r w:rsidR="002C29A2">
              <w:rPr>
                <w:i/>
                <w:sz w:val="22"/>
                <w:szCs w:val="22"/>
              </w:rPr>
              <w:t>x</w:t>
            </w:r>
            <w:r w:rsidRPr="00881752">
              <w:rPr>
                <w:i/>
                <w:sz w:val="22"/>
                <w:szCs w:val="22"/>
              </w:rPr>
              <w:t xml:space="preserve"> </w:t>
            </w:r>
            <w:r w:rsidRPr="00881752">
              <w:rPr>
                <w:sz w:val="22"/>
                <w:szCs w:val="22"/>
              </w:rPr>
              <w:t>1200</w:t>
            </w:r>
          </w:p>
        </w:tc>
        <w:tc>
          <w:tcPr>
            <w:tcW w:w="3402" w:type="dxa"/>
          </w:tcPr>
          <w:p w14:paraId="03144AD7" w14:textId="77777777" w:rsidR="00272F31" w:rsidRPr="00881752" w:rsidRDefault="00272F31" w:rsidP="00771DAB">
            <w:pPr>
              <w:pStyle w:val="Blockquote"/>
              <w:rPr>
                <w:sz w:val="22"/>
                <w:szCs w:val="22"/>
              </w:rPr>
            </w:pPr>
          </w:p>
        </w:tc>
      </w:tr>
      <w:tr w:rsidR="00D05BF0" w:rsidRPr="00881752" w14:paraId="76D07DD0" w14:textId="77777777" w:rsidTr="0013179E">
        <w:tc>
          <w:tcPr>
            <w:tcW w:w="4111" w:type="dxa"/>
          </w:tcPr>
          <w:p w14:paraId="42900BAA" w14:textId="6AAEBCD3" w:rsidR="00272F31" w:rsidRPr="00881752" w:rsidRDefault="00272F31" w:rsidP="00771DAB">
            <w:pPr>
              <w:pStyle w:val="Blockquote"/>
              <w:rPr>
                <w:sz w:val="22"/>
                <w:szCs w:val="22"/>
              </w:rPr>
            </w:pPr>
            <w:r w:rsidRPr="00881752">
              <w:rPr>
                <w:rFonts w:eastAsiaTheme="minorEastAsia"/>
                <w:sz w:val="22"/>
                <w:szCs w:val="22"/>
              </w:rPr>
              <w:t>οὐδεὶς ἐπρίατ</w:t>
            </w:r>
            <w:r w:rsidR="00075F5F">
              <w:rPr>
                <w:rFonts w:eastAsiaTheme="minorEastAsia"/>
                <w:sz w:val="22"/>
                <w:szCs w:val="22"/>
              </w:rPr>
              <w:t>’</w:t>
            </w:r>
            <w:r w:rsidRPr="00881752">
              <w:rPr>
                <w:rFonts w:eastAsiaTheme="minorEastAsia"/>
                <w:sz w:val="22"/>
                <w:szCs w:val="22"/>
              </w:rPr>
              <w:t xml:space="preserve"> ἂν δρέπανον οὐδὲ κολλύβου</w:t>
            </w:r>
          </w:p>
        </w:tc>
        <w:tc>
          <w:tcPr>
            <w:tcW w:w="3402" w:type="dxa"/>
          </w:tcPr>
          <w:p w14:paraId="2B1C46AF" w14:textId="751CA3CB" w:rsidR="00272F31" w:rsidRPr="00881752" w:rsidRDefault="00272F31" w:rsidP="00771DAB">
            <w:pPr>
              <w:pStyle w:val="Blockquote"/>
              <w:rPr>
                <w:sz w:val="22"/>
                <w:szCs w:val="22"/>
              </w:rPr>
            </w:pPr>
            <w:r w:rsidRPr="00881752">
              <w:rPr>
                <w:rFonts w:eastAsiaTheme="minorEastAsia"/>
                <w:sz w:val="22"/>
                <w:szCs w:val="22"/>
              </w:rPr>
              <w:t>none would have sold at an obolus a</w:t>
            </w:r>
            <w:r w:rsidR="00D05BF0" w:rsidRPr="00881752">
              <w:rPr>
                <w:rFonts w:eastAsiaTheme="minorEastAsia"/>
                <w:sz w:val="22"/>
                <w:szCs w:val="22"/>
              </w:rPr>
              <w:t xml:space="preserve"> </w:t>
            </w:r>
            <w:r w:rsidRPr="00881752">
              <w:rPr>
                <w:rFonts w:eastAsiaTheme="minorEastAsia"/>
                <w:sz w:val="22"/>
                <w:szCs w:val="22"/>
              </w:rPr>
              <w:t>piece</w:t>
            </w:r>
          </w:p>
        </w:tc>
      </w:tr>
    </w:tbl>
    <w:p w14:paraId="37779763" w14:textId="77777777" w:rsidR="00272F31" w:rsidRPr="00881752" w:rsidRDefault="00272F31" w:rsidP="00BD2DA1">
      <w:pPr>
        <w:pStyle w:val="Blockquote"/>
      </w:pPr>
    </w:p>
    <w:p w14:paraId="552B7493" w14:textId="508EACAB" w:rsidR="00944EB2" w:rsidRPr="00881752" w:rsidRDefault="00944EB2" w:rsidP="00FE2144">
      <w:pPr>
        <w:tabs>
          <w:tab w:val="center" w:pos="5387"/>
        </w:tabs>
        <w:ind w:left="709"/>
        <w:rPr>
          <w:rFonts w:cs="Times New Roman"/>
          <w:lang w:val="en-US"/>
        </w:rPr>
      </w:pPr>
      <w:r w:rsidRPr="00881752">
        <w:rPr>
          <w:rFonts w:cs="Times New Roman"/>
          <w:lang w:val="en-US"/>
        </w:rPr>
        <w:t>Some Hellenistic inscriptions</w:t>
      </w:r>
      <w:r w:rsidRPr="00881752">
        <w:rPr>
          <w:rStyle w:val="FootnoteReference"/>
          <w:rFonts w:cs="Times New Roman"/>
          <w:lang w:val="en-US"/>
        </w:rPr>
        <w:footnoteReference w:id="210"/>
      </w:r>
      <w:r w:rsidRPr="00881752">
        <w:rPr>
          <w:rFonts w:cs="Times New Roman"/>
          <w:lang w:val="en-US"/>
        </w:rPr>
        <w:t xml:space="preserve"> show the word always with the meaning of </w:t>
      </w:r>
      <w:r w:rsidR="00CC0615">
        <w:rPr>
          <w:rFonts w:cs="Times New Roman"/>
          <w:lang w:val="en-US"/>
        </w:rPr>
        <w:t>“</w:t>
      </w:r>
      <w:r w:rsidRPr="00881752">
        <w:rPr>
          <w:rFonts w:cs="Times New Roman"/>
          <w:lang w:val="en-US"/>
        </w:rPr>
        <w:t>small coin,</w:t>
      </w:r>
      <w:r w:rsidR="00CC0615">
        <w:rPr>
          <w:rFonts w:cs="Times New Roman"/>
          <w:lang w:val="en-US"/>
        </w:rPr>
        <w:t>”</w:t>
      </w:r>
      <w:r w:rsidRPr="00881752">
        <w:rPr>
          <w:rFonts w:cs="Times New Roman"/>
          <w:lang w:val="en-US"/>
        </w:rPr>
        <w:t xml:space="preserve"> and this could mean that in the Hellenistic period the word acquired a precise economic value and meaning, which could be how it is used by Callimachus. </w:t>
      </w:r>
    </w:p>
    <w:p w14:paraId="7F23FD4C" w14:textId="77777777" w:rsidR="00944EB2" w:rsidRPr="00881752" w:rsidRDefault="00944EB2" w:rsidP="00E95AF7">
      <w:pPr>
        <w:rPr>
          <w:rFonts w:cs="Times New Roman"/>
          <w:lang w:val="en-US"/>
        </w:rPr>
      </w:pPr>
    </w:p>
    <w:p w14:paraId="22B93AE8" w14:textId="13D4F6C9" w:rsidR="00944EB2" w:rsidRPr="00881752" w:rsidRDefault="00944EB2" w:rsidP="00E95AF7">
      <w:pPr>
        <w:rPr>
          <w:rFonts w:cs="Times New Roman"/>
          <w:lang w:val="en-US"/>
        </w:rPr>
      </w:pPr>
      <w:r w:rsidRPr="00881752">
        <w:rPr>
          <w:rFonts w:cs="Times New Roman"/>
          <w:lang w:val="en-US"/>
        </w:rPr>
        <w:t>It is interesting that Callimachus sometimes uses determinate literary words with a very specific meaning which recollects a particular literary source, as for example with ἀμαθρόω or μεταστρέφω. Sometimes he combines different literary uses of words, as in the case of χρῖμα; or he completely changes the context, and consequently the meaning of the word, as with λογιστός, or even uses it improperly, as with ἐπίβαθρος. Callimachus</w:t>
      </w:r>
      <w:r w:rsidR="00075F5F">
        <w:rPr>
          <w:rFonts w:cs="Times New Roman"/>
          <w:lang w:val="en-US"/>
        </w:rPr>
        <w:t>’</w:t>
      </w:r>
      <w:r w:rsidRPr="00881752">
        <w:rPr>
          <w:rFonts w:cs="Times New Roman"/>
          <w:lang w:val="en-US"/>
        </w:rPr>
        <w:t xml:space="preserve"> words in </w:t>
      </w:r>
      <w:r w:rsidRPr="00881752">
        <w:rPr>
          <w:rFonts w:cs="Times New Roman"/>
          <w:i/>
          <w:iCs/>
          <w:lang w:val="en-US"/>
        </w:rPr>
        <w:t>Iambi</w:t>
      </w:r>
      <w:r w:rsidRPr="00881752">
        <w:rPr>
          <w:rFonts w:cs="Times New Roman"/>
          <w:lang w:val="en-US"/>
        </w:rPr>
        <w:t xml:space="preserve"> have a deeper value than their mere literal meaning, since they place iambic texts in a larger literary context, and create a wide intertextual network. These </w:t>
      </w:r>
      <w:r w:rsidRPr="00881752">
        <w:rPr>
          <w:rFonts w:cs="Times New Roman"/>
          <w:lang w:val="en-US"/>
        </w:rPr>
        <w:lastRenderedPageBreak/>
        <w:t xml:space="preserve">connections challenge the audience and guide it in understanding the </w:t>
      </w:r>
      <w:r w:rsidRPr="00881752">
        <w:rPr>
          <w:rFonts w:cs="Times New Roman"/>
          <w:i/>
          <w:iCs/>
          <w:lang w:val="en-US"/>
        </w:rPr>
        <w:t>Iambi</w:t>
      </w:r>
      <w:r w:rsidRPr="00881752">
        <w:rPr>
          <w:rFonts w:cs="Times New Roman"/>
          <w:lang w:val="en-US"/>
        </w:rPr>
        <w:t xml:space="preserve">. Below I list the main effects that the variety of the </w:t>
      </w:r>
      <w:r w:rsidRPr="00881752">
        <w:rPr>
          <w:rFonts w:cs="Times New Roman"/>
          <w:i/>
          <w:iCs/>
          <w:lang w:val="en-US"/>
        </w:rPr>
        <w:t>Iambi</w:t>
      </w:r>
      <w:r w:rsidR="00075F5F">
        <w:rPr>
          <w:rFonts w:cs="Times New Roman"/>
          <w:lang w:val="en-US"/>
        </w:rPr>
        <w:t>’</w:t>
      </w:r>
      <w:r w:rsidRPr="00881752">
        <w:rPr>
          <w:rFonts w:cs="Times New Roman"/>
          <w:lang w:val="en-US"/>
        </w:rPr>
        <w:t xml:space="preserve">s vocabulary produces: </w:t>
      </w:r>
    </w:p>
    <w:p w14:paraId="37159825" w14:textId="29545954" w:rsidR="00944EB2" w:rsidRPr="00881752" w:rsidRDefault="00944EB2" w:rsidP="00881752">
      <w:pPr>
        <w:keepNext/>
        <w:widowControl w:val="0"/>
        <w:numPr>
          <w:ilvl w:val="0"/>
          <w:numId w:val="56"/>
        </w:numPr>
        <w:tabs>
          <w:tab w:val="clear" w:pos="424"/>
          <w:tab w:val="left" w:pos="425"/>
          <w:tab w:val="center" w:pos="5387"/>
        </w:tabs>
        <w:ind w:left="419" w:hanging="357"/>
        <w:rPr>
          <w:rFonts w:cs="Times New Roman"/>
          <w:lang w:val="en-US"/>
        </w:rPr>
      </w:pPr>
      <w:r w:rsidRPr="00881752">
        <w:rPr>
          <w:rFonts w:cs="Times New Roman"/>
          <w:lang w:val="en-US"/>
        </w:rPr>
        <w:t>From Callimachus</w:t>
      </w:r>
      <w:r w:rsidR="00075F5F">
        <w:rPr>
          <w:rFonts w:cs="Times New Roman"/>
          <w:lang w:val="en-US"/>
        </w:rPr>
        <w:t>’</w:t>
      </w:r>
      <w:r w:rsidRPr="00881752">
        <w:rPr>
          <w:rFonts w:cs="Times New Roman"/>
          <w:lang w:val="en-US"/>
        </w:rPr>
        <w:t xml:space="preserve"> perspective: </w:t>
      </w:r>
    </w:p>
    <w:p w14:paraId="527A9051" w14:textId="3EA1D406" w:rsidR="00944EB2" w:rsidRPr="00881752" w:rsidRDefault="00944EB2" w:rsidP="00881752">
      <w:pPr>
        <w:widowControl w:val="0"/>
        <w:numPr>
          <w:ilvl w:val="0"/>
          <w:numId w:val="171"/>
        </w:numPr>
        <w:tabs>
          <w:tab w:val="left" w:pos="360"/>
          <w:tab w:val="left" w:pos="775"/>
          <w:tab w:val="center" w:pos="5387"/>
        </w:tabs>
        <w:ind w:left="775" w:hanging="349"/>
        <w:rPr>
          <w:rFonts w:cs="Times New Roman"/>
          <w:lang w:val="en-US"/>
        </w:rPr>
      </w:pPr>
      <w:r w:rsidRPr="00881752">
        <w:rPr>
          <w:rFonts w:cs="Times New Roman"/>
          <w:lang w:val="en-US"/>
        </w:rPr>
        <w:t xml:space="preserve">he expresses his own stance about scholarly debate on words which have been the object of Homeric textual criticism, as in the case of πουλύμυθος </w:t>
      </w:r>
      <w:r w:rsidR="00CC0615">
        <w:rPr>
          <w:rFonts w:cs="Times New Roman"/>
          <w:lang w:val="en-US"/>
        </w:rPr>
        <w:t>“</w:t>
      </w:r>
      <w:r w:rsidRPr="00881752">
        <w:rPr>
          <w:rFonts w:cs="Times New Roman"/>
          <w:lang w:val="en-US"/>
        </w:rPr>
        <w:t>full of stories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2.14). This was object of discussions by ancient scholars, since Homer</w:t>
      </w:r>
      <w:r w:rsidR="00075F5F">
        <w:rPr>
          <w:rFonts w:cs="Times New Roman"/>
          <w:lang w:val="en-US"/>
        </w:rPr>
        <w:t>’</w:t>
      </w:r>
      <w:r w:rsidRPr="00881752">
        <w:rPr>
          <w:rFonts w:cs="Times New Roman"/>
          <w:lang w:val="en-US"/>
        </w:rPr>
        <w:t>s meaning is ambiguous:</w:t>
      </w:r>
      <w:r w:rsidRPr="00881752">
        <w:rPr>
          <w:rStyle w:val="FootnoteReference"/>
          <w:rFonts w:cs="Times New Roman"/>
          <w:lang w:val="en-US"/>
        </w:rPr>
        <w:footnoteReference w:id="211"/>
      </w:r>
      <w:r w:rsidRPr="00881752">
        <w:rPr>
          <w:rFonts w:cs="Times New Roman"/>
          <w:lang w:val="en-US"/>
        </w:rPr>
        <w:t xml:space="preserve"> the Homeric diction uses </w:t>
      </w:r>
      <w:r w:rsidR="007D453B">
        <w:rPr>
          <w:rFonts w:cs="Times New Roman"/>
          <w:lang w:val="en-US"/>
        </w:rPr>
        <w:t xml:space="preserve">it </w:t>
      </w:r>
      <w:r w:rsidRPr="00881752">
        <w:rPr>
          <w:rFonts w:cs="Times New Roman"/>
          <w:lang w:val="en-US"/>
        </w:rPr>
        <w:t xml:space="preserve">with an active diathesis </w:t>
      </w:r>
      <w:r w:rsidR="00CC0615">
        <w:rPr>
          <w:rFonts w:cs="Times New Roman"/>
          <w:lang w:val="en-US"/>
        </w:rPr>
        <w:t>“</w:t>
      </w:r>
      <w:r w:rsidRPr="00881752">
        <w:rPr>
          <w:rFonts w:cs="Times New Roman"/>
          <w:lang w:val="en-US"/>
        </w:rPr>
        <w:t>someone who talks a lot</w:t>
      </w:r>
      <w:r w:rsidR="00CC0615">
        <w:rPr>
          <w:rFonts w:cs="Times New Roman"/>
          <w:lang w:val="en-US"/>
        </w:rPr>
        <w:t>”</w:t>
      </w:r>
      <w:r w:rsidRPr="00881752">
        <w:rPr>
          <w:rFonts w:cs="Times New Roman"/>
          <w:lang w:val="en-US"/>
        </w:rPr>
        <w:t xml:space="preserve"> and a negative value </w:t>
      </w:r>
      <w:r w:rsidR="00CC0615">
        <w:rPr>
          <w:rFonts w:cs="Times New Roman"/>
          <w:lang w:val="en-US"/>
        </w:rPr>
        <w:t>“</w:t>
      </w:r>
      <w:r w:rsidRPr="00881752">
        <w:rPr>
          <w:rFonts w:cs="Times New Roman"/>
          <w:lang w:val="en-US"/>
        </w:rPr>
        <w:t>someone who chatters</w:t>
      </w:r>
      <w:r w:rsidR="00CC0615">
        <w:rPr>
          <w:rFonts w:cs="Times New Roman"/>
          <w:lang w:val="en-US"/>
        </w:rPr>
        <w:t>”</w:t>
      </w:r>
      <w:r w:rsidRPr="00881752">
        <w:rPr>
          <w:rFonts w:cs="Times New Roman"/>
          <w:lang w:val="en-US"/>
        </w:rPr>
        <w:t>;</w:t>
      </w:r>
      <w:r w:rsidRPr="00881752">
        <w:rPr>
          <w:rStyle w:val="FootnoteReference"/>
          <w:rFonts w:cs="Times New Roman"/>
          <w:lang w:val="en-US"/>
        </w:rPr>
        <w:footnoteReference w:id="212"/>
      </w:r>
      <w:r w:rsidRPr="00881752">
        <w:rPr>
          <w:rFonts w:cs="Times New Roman"/>
          <w:lang w:val="en-US"/>
        </w:rPr>
        <w:t xml:space="preserve"> while Pindar uses it with a passive diathesis </w:t>
      </w:r>
      <w:r w:rsidR="00CC0615">
        <w:rPr>
          <w:rFonts w:cs="Times New Roman"/>
          <w:lang w:val="en-US"/>
        </w:rPr>
        <w:t>“</w:t>
      </w:r>
      <w:r w:rsidRPr="00881752">
        <w:rPr>
          <w:rFonts w:cs="Times New Roman"/>
          <w:lang w:val="en-US"/>
        </w:rPr>
        <w:t>someone who is object of many speeches</w:t>
      </w:r>
      <w:r w:rsidR="00CC0615">
        <w:rPr>
          <w:rFonts w:cs="Times New Roman"/>
          <w:lang w:val="en-US"/>
        </w:rPr>
        <w:t>”</w:t>
      </w:r>
      <w:r w:rsidRPr="00881752">
        <w:rPr>
          <w:rFonts w:cs="Times New Roman"/>
          <w:lang w:val="en-US"/>
        </w:rPr>
        <w:t xml:space="preserve"> and a positive value </w:t>
      </w:r>
      <w:r w:rsidR="00CC0615">
        <w:rPr>
          <w:rFonts w:cs="Times New Roman"/>
          <w:lang w:val="en-US"/>
        </w:rPr>
        <w:t>“</w:t>
      </w:r>
      <w:r w:rsidRPr="00881752">
        <w:rPr>
          <w:rFonts w:cs="Times New Roman"/>
          <w:lang w:val="en-US"/>
        </w:rPr>
        <w:t>someone who is lauded.</w:t>
      </w:r>
      <w:r w:rsidR="00CC0615">
        <w:rPr>
          <w:rFonts w:cs="Times New Roman"/>
          <w:lang w:val="en-US"/>
        </w:rPr>
        <w:t>”</w:t>
      </w:r>
      <w:r w:rsidRPr="00881752">
        <w:rPr>
          <w:rStyle w:val="FootnoteReference"/>
          <w:rFonts w:cs="Times New Roman"/>
          <w:lang w:val="en-US"/>
        </w:rPr>
        <w:footnoteReference w:id="213"/>
      </w:r>
      <w:r w:rsidRPr="00881752">
        <w:rPr>
          <w:rFonts w:cs="Times New Roman"/>
          <w:lang w:val="en-US"/>
        </w:rPr>
        <w:t xml:space="preserve"> Callimachus here follows the Homeric use of the word. </w:t>
      </w:r>
    </w:p>
    <w:p w14:paraId="42FF5B34" w14:textId="5AB76C76" w:rsidR="00944EB2" w:rsidRPr="00881752" w:rsidRDefault="00944EB2" w:rsidP="004209A0">
      <w:pPr>
        <w:widowControl w:val="0"/>
        <w:numPr>
          <w:ilvl w:val="0"/>
          <w:numId w:val="171"/>
        </w:numPr>
        <w:tabs>
          <w:tab w:val="left" w:pos="360"/>
          <w:tab w:val="left" w:pos="775"/>
          <w:tab w:val="center" w:pos="5387"/>
        </w:tabs>
        <w:ind w:left="775" w:hanging="349"/>
        <w:rPr>
          <w:rFonts w:cs="Times New Roman"/>
          <w:lang w:val="en-US"/>
        </w:rPr>
      </w:pPr>
      <w:r w:rsidRPr="00881752">
        <w:rPr>
          <w:rFonts w:cs="Times New Roman"/>
          <w:lang w:val="en-US"/>
        </w:rPr>
        <w:t>he uses the ambiguity of meaning which scholarship created in their interpretation of certain words, as he does with λίπουρα (</w:t>
      </w:r>
      <w:r w:rsidRPr="00881752">
        <w:rPr>
          <w:rFonts w:cs="Times New Roman"/>
          <w:i/>
          <w:iCs/>
          <w:lang w:val="en-US"/>
        </w:rPr>
        <w:t>Ia</w:t>
      </w:r>
      <w:r w:rsidRPr="00881752">
        <w:rPr>
          <w:rFonts w:cs="Times New Roman"/>
          <w:lang w:val="en-US"/>
        </w:rPr>
        <w:t>. 10b.2), a compound word which echoes Aeschylus</w:t>
      </w:r>
      <w:r w:rsidR="00075F5F">
        <w:rPr>
          <w:rFonts w:cs="Times New Roman"/>
          <w:lang w:val="en-US"/>
        </w:rPr>
        <w:t>’</w:t>
      </w:r>
      <w:r w:rsidRPr="00881752">
        <w:rPr>
          <w:rFonts w:cs="Times New Roman"/>
          <w:lang w:val="en-US"/>
        </w:rPr>
        <w:t xml:space="preserve"> λιπόναυς (</w:t>
      </w:r>
      <w:r w:rsidRPr="00881752">
        <w:rPr>
          <w:rFonts w:cs="Times New Roman"/>
          <w:i/>
          <w:iCs/>
          <w:lang w:val="en-US"/>
        </w:rPr>
        <w:t>Ag</w:t>
      </w:r>
      <w:r w:rsidRPr="00881752">
        <w:rPr>
          <w:rFonts w:cs="Times New Roman"/>
          <w:lang w:val="en-US"/>
        </w:rPr>
        <w:t xml:space="preserve">. 212). Both words refer to Agamemnon, and ancient scholars discussed the diathesis of the word λιπόναυς, whether it was active </w:t>
      </w:r>
      <w:r w:rsidR="00CC0615">
        <w:rPr>
          <w:rFonts w:cs="Times New Roman"/>
          <w:lang w:val="en-US"/>
        </w:rPr>
        <w:t>“</w:t>
      </w:r>
      <w:r w:rsidRPr="00881752">
        <w:rPr>
          <w:rFonts w:cs="Times New Roman"/>
          <w:lang w:val="en-US"/>
        </w:rPr>
        <w:t>who lost the navy</w:t>
      </w:r>
      <w:r w:rsidR="00CC0615">
        <w:rPr>
          <w:rFonts w:cs="Times New Roman"/>
          <w:lang w:val="en-US"/>
        </w:rPr>
        <w:t>”</w:t>
      </w:r>
      <w:r w:rsidRPr="00881752">
        <w:rPr>
          <w:rFonts w:cs="Times New Roman"/>
          <w:lang w:val="en-US"/>
        </w:rPr>
        <w:t xml:space="preserve"> or passive </w:t>
      </w:r>
      <w:r w:rsidR="00CC0615">
        <w:rPr>
          <w:rFonts w:cs="Times New Roman"/>
          <w:lang w:val="en-US"/>
        </w:rPr>
        <w:t>“</w:t>
      </w:r>
      <w:r w:rsidRPr="00881752">
        <w:rPr>
          <w:rFonts w:cs="Times New Roman"/>
          <w:lang w:val="en-US"/>
        </w:rPr>
        <w:t>who was abandoned by the navy.</w:t>
      </w:r>
      <w:r w:rsidR="00CC0615">
        <w:rPr>
          <w:rFonts w:cs="Times New Roman"/>
          <w:lang w:val="en-US"/>
        </w:rPr>
        <w:t>”</w:t>
      </w:r>
      <w:r w:rsidRPr="00881752">
        <w:rPr>
          <w:rStyle w:val="FootnoteReference"/>
          <w:rFonts w:cs="Times New Roman"/>
          <w:lang w:val="en-US"/>
        </w:rPr>
        <w:footnoteReference w:id="214"/>
      </w:r>
      <w:r w:rsidRPr="00881752">
        <w:rPr>
          <w:rFonts w:cs="Times New Roman"/>
          <w:lang w:val="en-US"/>
        </w:rPr>
        <w:t xml:space="preserve"> </w:t>
      </w:r>
    </w:p>
    <w:p w14:paraId="595AA352" w14:textId="71DACFDD" w:rsidR="00944EB2" w:rsidRPr="00881752" w:rsidRDefault="00944EB2" w:rsidP="004209A0">
      <w:pPr>
        <w:widowControl w:val="0"/>
        <w:numPr>
          <w:ilvl w:val="0"/>
          <w:numId w:val="171"/>
        </w:numPr>
        <w:tabs>
          <w:tab w:val="left" w:pos="360"/>
          <w:tab w:val="left" w:pos="775"/>
          <w:tab w:val="center" w:pos="5387"/>
        </w:tabs>
        <w:ind w:left="775" w:hanging="349"/>
        <w:rPr>
          <w:rFonts w:cs="Times New Roman"/>
          <w:lang w:val="en-US"/>
        </w:rPr>
      </w:pPr>
      <w:r w:rsidRPr="00881752">
        <w:rPr>
          <w:rFonts w:cs="Times New Roman"/>
          <w:lang w:val="en-US"/>
        </w:rPr>
        <w:t>he gives the exact explanation of technical terms which point to the poet</w:t>
      </w:r>
      <w:r w:rsidR="00075F5F">
        <w:rPr>
          <w:rFonts w:cs="Times New Roman"/>
          <w:lang w:val="en-US"/>
        </w:rPr>
        <w:t>’</w:t>
      </w:r>
      <w:r w:rsidRPr="00881752">
        <w:rPr>
          <w:rFonts w:cs="Times New Roman"/>
          <w:lang w:val="en-US"/>
        </w:rPr>
        <w:t>s sources in the Library,</w:t>
      </w:r>
      <w:r w:rsidRPr="00881752">
        <w:rPr>
          <w:rStyle w:val="FootnoteReference"/>
          <w:rFonts w:cs="Times New Roman"/>
          <w:lang w:val="en-US"/>
        </w:rPr>
        <w:footnoteReference w:id="215"/>
      </w:r>
      <w:r w:rsidRPr="00881752">
        <w:rPr>
          <w:rFonts w:cs="Times New Roman"/>
          <w:lang w:val="en-US"/>
        </w:rPr>
        <w:t xml:space="preserve"> as for example the terminology concerning sculpture which is used frequently in </w:t>
      </w:r>
      <w:r w:rsidRPr="00881752">
        <w:rPr>
          <w:rFonts w:cs="Times New Roman"/>
          <w:i/>
          <w:iCs/>
          <w:lang w:val="en-US"/>
        </w:rPr>
        <w:t>Iambus</w:t>
      </w:r>
      <w:r w:rsidRPr="00881752">
        <w:rPr>
          <w:rFonts w:cs="Times New Roman"/>
          <w:lang w:val="en-US"/>
        </w:rPr>
        <w:t xml:space="preserve"> 6. </w:t>
      </w:r>
    </w:p>
    <w:p w14:paraId="05385AEF" w14:textId="26F507A3" w:rsidR="00944EB2" w:rsidRPr="00881752" w:rsidRDefault="00944EB2" w:rsidP="004209A0">
      <w:pPr>
        <w:widowControl w:val="0"/>
        <w:numPr>
          <w:ilvl w:val="0"/>
          <w:numId w:val="171"/>
        </w:numPr>
        <w:tabs>
          <w:tab w:val="left" w:pos="360"/>
          <w:tab w:val="left" w:pos="775"/>
          <w:tab w:val="center" w:pos="5387"/>
        </w:tabs>
        <w:ind w:left="775" w:hanging="349"/>
        <w:rPr>
          <w:rFonts w:cs="Times New Roman"/>
          <w:lang w:val="en-US"/>
        </w:rPr>
      </w:pPr>
      <w:r w:rsidRPr="00881752">
        <w:rPr>
          <w:rFonts w:cs="Times New Roman"/>
          <w:lang w:val="en-US"/>
        </w:rPr>
        <w:t xml:space="preserve">he gives a scholarly gloss to the irony typical of iambic texts, as shown, for example, by the adjective of origin Σαρδιήνος </w:t>
      </w:r>
      <w:r w:rsidR="00CC0615">
        <w:rPr>
          <w:rFonts w:cs="Times New Roman"/>
          <w:lang w:val="en-US"/>
        </w:rPr>
        <w:t>“</w:t>
      </w:r>
      <w:r w:rsidRPr="00881752">
        <w:rPr>
          <w:rFonts w:cs="Times New Roman"/>
          <w:lang w:val="en-US"/>
        </w:rPr>
        <w:t>from Sardis</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xml:space="preserve">. 2.16), which refers to Aesopus, and it is possible an allusion to the adage </w:t>
      </w:r>
      <w:r w:rsidR="00CC0615">
        <w:rPr>
          <w:rFonts w:cs="Times New Roman"/>
          <w:lang w:val="en-US"/>
        </w:rPr>
        <w:t>“</w:t>
      </w:r>
      <w:r w:rsidRPr="00881752">
        <w:rPr>
          <w:rFonts w:cs="Times New Roman"/>
          <w:lang w:val="en-US"/>
        </w:rPr>
        <w:t>Sardonic laughter,</w:t>
      </w:r>
      <w:r w:rsidR="00CC0615">
        <w:rPr>
          <w:rFonts w:cs="Times New Roman"/>
          <w:lang w:val="en-US"/>
        </w:rPr>
        <w:t>”</w:t>
      </w:r>
      <w:r w:rsidRPr="00881752">
        <w:rPr>
          <w:rFonts w:cs="Times New Roman"/>
          <w:lang w:val="en-US"/>
        </w:rPr>
        <w:t xml:space="preserve"> which is said of someone who laughs to his own detriment. Aesopus was stoned by the inhabitants of Delphi because he criticised their habits.</w:t>
      </w:r>
      <w:r w:rsidRPr="00881752">
        <w:rPr>
          <w:rStyle w:val="FootnoteReference"/>
          <w:rFonts w:cs="Times New Roman"/>
          <w:lang w:val="en-US"/>
        </w:rPr>
        <w:footnoteReference w:id="216"/>
      </w:r>
    </w:p>
    <w:p w14:paraId="5E0523A4" w14:textId="2FA9EB90" w:rsidR="00944EB2" w:rsidRPr="00881752" w:rsidRDefault="00944EB2" w:rsidP="00881752">
      <w:pPr>
        <w:keepNext/>
        <w:widowControl w:val="0"/>
        <w:numPr>
          <w:ilvl w:val="0"/>
          <w:numId w:val="56"/>
        </w:numPr>
        <w:tabs>
          <w:tab w:val="clear" w:pos="424"/>
          <w:tab w:val="left" w:pos="425"/>
          <w:tab w:val="center" w:pos="5387"/>
        </w:tabs>
        <w:ind w:left="419" w:hanging="357"/>
        <w:rPr>
          <w:rFonts w:cs="Times New Roman"/>
          <w:lang w:val="en-US"/>
        </w:rPr>
      </w:pPr>
      <w:r w:rsidRPr="00881752">
        <w:rPr>
          <w:rFonts w:cs="Times New Roman"/>
          <w:lang w:val="en-US"/>
        </w:rPr>
        <w:t>From the audience</w:t>
      </w:r>
      <w:r w:rsidR="00075F5F">
        <w:rPr>
          <w:rFonts w:cs="Times New Roman"/>
          <w:lang w:val="en-US"/>
        </w:rPr>
        <w:t>’</w:t>
      </w:r>
      <w:r w:rsidRPr="00881752">
        <w:rPr>
          <w:rFonts w:cs="Times New Roman"/>
          <w:lang w:val="en-US"/>
        </w:rPr>
        <w:t>s perspective:</w:t>
      </w:r>
    </w:p>
    <w:p w14:paraId="1F49DBFF" w14:textId="18BAA921" w:rsidR="002C29A2" w:rsidRPr="00881752" w:rsidRDefault="00944EB2" w:rsidP="00881752">
      <w:pPr>
        <w:pStyle w:val="ListParagraph"/>
        <w:numPr>
          <w:ilvl w:val="0"/>
          <w:numId w:val="174"/>
        </w:numPr>
        <w:ind w:hanging="294"/>
      </w:pPr>
      <w:r w:rsidRPr="00881752">
        <w:rPr>
          <w:lang w:val="en-US"/>
        </w:rPr>
        <w:t xml:space="preserve">they are reminded of earlier texts which may be relevant for the interpretation of the iambs. The adverb κρηγύως in </w:t>
      </w:r>
      <w:r w:rsidRPr="00881752">
        <w:rPr>
          <w:i/>
          <w:iCs/>
          <w:lang w:val="en-US"/>
        </w:rPr>
        <w:t>Ia.</w:t>
      </w:r>
      <w:r w:rsidRPr="00881752">
        <w:rPr>
          <w:lang w:val="en-US"/>
        </w:rPr>
        <w:t xml:space="preserve"> 3.30 recalls the meaning which Plato gives the term: </w:t>
      </w:r>
      <w:r w:rsidR="00CC0615">
        <w:rPr>
          <w:lang w:val="en-US"/>
        </w:rPr>
        <w:t>“</w:t>
      </w:r>
      <w:r w:rsidRPr="00881752">
        <w:rPr>
          <w:lang w:val="en-US"/>
        </w:rPr>
        <w:t>good</w:t>
      </w:r>
      <w:r w:rsidR="00CC0615">
        <w:rPr>
          <w:lang w:val="en-US"/>
        </w:rPr>
        <w:t>”</w:t>
      </w:r>
      <w:r w:rsidRPr="00881752">
        <w:rPr>
          <w:lang w:val="en-US"/>
        </w:rPr>
        <w:t xml:space="preserve"> as </w:t>
      </w:r>
      <w:r w:rsidR="00CC0615">
        <w:rPr>
          <w:lang w:val="en-US"/>
        </w:rPr>
        <w:t>“</w:t>
      </w:r>
      <w:r w:rsidRPr="00881752">
        <w:rPr>
          <w:lang w:val="en-US"/>
        </w:rPr>
        <w:t>true.</w:t>
      </w:r>
      <w:r w:rsidR="00CC0615">
        <w:rPr>
          <w:lang w:val="en-US"/>
        </w:rPr>
        <w:t>”</w:t>
      </w:r>
      <w:r w:rsidRPr="00881752">
        <w:rPr>
          <w:rStyle w:val="FootnoteReference"/>
          <w:lang w:val="en-US"/>
        </w:rPr>
        <w:footnoteReference w:id="217"/>
      </w:r>
      <w:r w:rsidRPr="00881752">
        <w:rPr>
          <w:lang w:val="en-US"/>
        </w:rPr>
        <w:t xml:space="preserve"> </w:t>
      </w:r>
      <w:r w:rsidRPr="00881752">
        <w:rPr>
          <w:i/>
          <w:iCs/>
          <w:lang w:val="en-US"/>
        </w:rPr>
        <w:t>Iambus</w:t>
      </w:r>
      <w:r w:rsidRPr="00881752">
        <w:rPr>
          <w:lang w:val="en-US"/>
        </w:rPr>
        <w:t xml:space="preserve"> 3 introduces the character of Euthydemus, who is also a character who gives his name to a Platonic dialogue. Within the dialogue he is one of two brothers who are adept at sophistic argument. The </w:t>
      </w:r>
      <w:r w:rsidRPr="00881752">
        <w:rPr>
          <w:lang w:val="en-US"/>
        </w:rPr>
        <w:lastRenderedPageBreak/>
        <w:t xml:space="preserve">brothers </w:t>
      </w:r>
      <w:r w:rsidR="00CC0615">
        <w:rPr>
          <w:lang w:val="en-US"/>
        </w:rPr>
        <w:t>“</w:t>
      </w:r>
      <w:r w:rsidRPr="00881752">
        <w:rPr>
          <w:lang w:val="en-US"/>
        </w:rPr>
        <w:t>prove</w:t>
      </w:r>
      <w:r w:rsidR="00CC0615">
        <w:rPr>
          <w:lang w:val="en-US"/>
        </w:rPr>
        <w:t>”</w:t>
      </w:r>
      <w:r w:rsidRPr="00881752">
        <w:rPr>
          <w:lang w:val="en-US"/>
        </w:rPr>
        <w:t xml:space="preserve"> among other things that bad is good, that gods are animals, and that money is a good thing, while more money is even better. The name then would not be inappropriate for a boy selling himself to an older man. The adverb κρηγύως is put in the mouth of Euthydemus</w:t>
      </w:r>
      <w:r w:rsidR="00075F5F">
        <w:rPr>
          <w:lang w:val="en-US"/>
        </w:rPr>
        <w:t>’</w:t>
      </w:r>
      <w:r w:rsidRPr="00881752">
        <w:rPr>
          <w:lang w:val="en-US"/>
        </w:rPr>
        <w:t xml:space="preserve"> jilted lover, who says κρηγύως ἐπαιδεύθην</w:t>
      </w:r>
      <w:r w:rsidRPr="00881752">
        <w:rPr>
          <w:i/>
          <w:iCs/>
          <w:color w:val="808000"/>
          <w:lang w:val="en-US"/>
        </w:rPr>
        <w:t xml:space="preserve"> </w:t>
      </w:r>
      <w:r w:rsidRPr="00881752">
        <w:rPr>
          <w:color w:val="808000"/>
          <w:lang w:val="en-US"/>
        </w:rPr>
        <w:t xml:space="preserve">/ </w:t>
      </w:r>
      <w:r w:rsidRPr="00881752">
        <w:rPr>
          <w:lang w:val="en-US"/>
        </w:rPr>
        <w:t xml:space="preserve">ἐφρόνησα τὠγαθὸν βλέψαι </w:t>
      </w:r>
      <w:r w:rsidR="00CC0615">
        <w:rPr>
          <w:lang w:val="en-US"/>
        </w:rPr>
        <w:t>“</w:t>
      </w:r>
      <w:r w:rsidRPr="00881752">
        <w:rPr>
          <w:lang w:val="en-US"/>
        </w:rPr>
        <w:t>I was properly educated, I thought (when I met you?) I saw the good</w:t>
      </w:r>
      <w:r w:rsidR="00CC0615">
        <w:rPr>
          <w:lang w:val="en-US"/>
        </w:rPr>
        <w:t>”</w:t>
      </w:r>
      <w:r w:rsidRPr="00881752">
        <w:rPr>
          <w:lang w:val="en-US"/>
        </w:rPr>
        <w:t xml:space="preserve"> (</w:t>
      </w:r>
      <w:r w:rsidRPr="00881752">
        <w:rPr>
          <w:i/>
          <w:iCs/>
          <w:lang w:val="en-US"/>
        </w:rPr>
        <w:t>Ia</w:t>
      </w:r>
      <w:r w:rsidRPr="00881752">
        <w:rPr>
          <w:lang w:val="en-US"/>
        </w:rPr>
        <w:t>. 3.30-31). The man who was educated κρηγύως was supposed to be able to distinguish the truth, and the good as truth. Therefore, his betrayal by Euthydemus becomes more difficult to tolerate and the love affair gains an existential dimension. The adverb κρηγύως and the adjective κρήγυος do not occur elsewhere in Callimachus, but κρήγυος occurs in three Hellenistic choliambic poets: Herodas (4.46; 6.39), Phoenix (fr. 6.4 Powell), and Cercidas (fr. 7.14 Powell). The adjective also appears in a Theocritean epigram in choliambic verse on the tomb of Hipponax (</w:t>
      </w:r>
      <w:r w:rsidRPr="00881752">
        <w:rPr>
          <w:i/>
          <w:iCs/>
          <w:lang w:val="en-US"/>
        </w:rPr>
        <w:t>Ep</w:t>
      </w:r>
      <w:r w:rsidRPr="00881752">
        <w:rPr>
          <w:lang w:val="en-US"/>
        </w:rPr>
        <w:t>. 19.3 Gow):</w:t>
      </w:r>
      <w:r w:rsidR="00272F31" w:rsidRPr="00881752">
        <w:t xml:space="preserve"> </w:t>
      </w:r>
    </w:p>
    <w:p w14:paraId="725C4F57" w14:textId="77777777" w:rsidR="00272F31" w:rsidRPr="00881752" w:rsidRDefault="00272F31" w:rsidP="00F56C73">
      <w:pPr>
        <w:pStyle w:val="ListParagraph"/>
        <w:ind w:left="720"/>
      </w:pPr>
    </w:p>
    <w:tbl>
      <w:tblPr>
        <w:tblStyle w:val="TableGrid"/>
        <w:tblW w:w="7872" w:type="dxa"/>
        <w:tblInd w:w="74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187"/>
        <w:gridCol w:w="3685"/>
      </w:tblGrid>
      <w:tr w:rsidR="00272F31" w:rsidRPr="00881752" w14:paraId="12716506" w14:textId="77777777" w:rsidTr="00FE31F1">
        <w:tc>
          <w:tcPr>
            <w:tcW w:w="4187" w:type="dxa"/>
          </w:tcPr>
          <w:p w14:paraId="30072E9F" w14:textId="55EB0441" w:rsidR="009A14E1" w:rsidRPr="00FE31F1" w:rsidRDefault="009A14E1" w:rsidP="006B396C">
            <w:pPr>
              <w:widowControl w:val="0"/>
              <w:tabs>
                <w:tab w:val="clear" w:pos="425"/>
              </w:tabs>
              <w:autoSpaceDE w:val="0"/>
              <w:autoSpaceDN w:val="0"/>
              <w:adjustRightInd w:val="0"/>
              <w:spacing w:line="276" w:lineRule="auto"/>
              <w:jc w:val="left"/>
              <w:rPr>
                <w:rFonts w:eastAsiaTheme="minorEastAsia" w:cs="Times New Roman"/>
                <w:sz w:val="22"/>
                <w:lang w:val="en-US"/>
              </w:rPr>
            </w:pPr>
            <w:r w:rsidRPr="00FE31F1">
              <w:rPr>
                <w:rFonts w:eastAsiaTheme="minorEastAsia" w:cs="Times New Roman"/>
                <w:sz w:val="22"/>
                <w:lang w:val="en-US"/>
              </w:rPr>
              <w:t>Ὁ μουσοποιὸς ἐνθάδ</w:t>
            </w:r>
            <w:r w:rsidR="00075F5F" w:rsidRPr="00FE31F1">
              <w:rPr>
                <w:rFonts w:eastAsiaTheme="minorEastAsia" w:cs="Times New Roman"/>
                <w:sz w:val="22"/>
                <w:lang w:val="en-US"/>
              </w:rPr>
              <w:t>’</w:t>
            </w:r>
            <w:r w:rsidRPr="00FE31F1">
              <w:rPr>
                <w:rFonts w:eastAsiaTheme="minorEastAsia" w:cs="Times New Roman"/>
                <w:sz w:val="22"/>
                <w:lang w:val="en-US"/>
              </w:rPr>
              <w:t xml:space="preserve"> Ἱππῶναξ κεῖται.</w:t>
            </w:r>
          </w:p>
          <w:p w14:paraId="1E9456CA" w14:textId="77777777" w:rsidR="009A14E1" w:rsidRPr="00FE31F1" w:rsidRDefault="009A14E1" w:rsidP="006B396C">
            <w:pPr>
              <w:widowControl w:val="0"/>
              <w:tabs>
                <w:tab w:val="clear" w:pos="425"/>
              </w:tabs>
              <w:autoSpaceDE w:val="0"/>
              <w:autoSpaceDN w:val="0"/>
              <w:adjustRightInd w:val="0"/>
              <w:spacing w:line="276" w:lineRule="auto"/>
              <w:jc w:val="left"/>
              <w:rPr>
                <w:rFonts w:eastAsiaTheme="minorEastAsia" w:cs="Times New Roman"/>
                <w:sz w:val="22"/>
                <w:lang w:val="en-US"/>
              </w:rPr>
            </w:pPr>
            <w:r w:rsidRPr="00FE31F1">
              <w:rPr>
                <w:rFonts w:eastAsiaTheme="minorEastAsia" w:cs="Times New Roman"/>
                <w:sz w:val="22"/>
                <w:lang w:val="en-US"/>
              </w:rPr>
              <w:t>εἰ μὲν πονηρός, μὴ προσέρχευ τῷ τύμβῳ·</w:t>
            </w:r>
          </w:p>
          <w:p w14:paraId="3BD252BC" w14:textId="060229D7" w:rsidR="009A14E1" w:rsidRPr="00FE31F1" w:rsidRDefault="009A14E1" w:rsidP="006B396C">
            <w:pPr>
              <w:widowControl w:val="0"/>
              <w:tabs>
                <w:tab w:val="clear" w:pos="425"/>
              </w:tabs>
              <w:autoSpaceDE w:val="0"/>
              <w:autoSpaceDN w:val="0"/>
              <w:adjustRightInd w:val="0"/>
              <w:spacing w:line="276" w:lineRule="auto"/>
              <w:jc w:val="left"/>
              <w:rPr>
                <w:rFonts w:eastAsiaTheme="minorEastAsia" w:cs="Times New Roman"/>
                <w:sz w:val="22"/>
                <w:lang w:val="en-US"/>
              </w:rPr>
            </w:pPr>
            <w:r w:rsidRPr="00FE31F1">
              <w:rPr>
                <w:rFonts w:eastAsiaTheme="minorEastAsia" w:cs="Times New Roman"/>
                <w:sz w:val="22"/>
                <w:lang w:val="en-US"/>
              </w:rPr>
              <w:t>εἰ δ</w:t>
            </w:r>
            <w:r w:rsidR="00075F5F" w:rsidRPr="00FE31F1">
              <w:rPr>
                <w:rFonts w:eastAsiaTheme="minorEastAsia" w:cs="Times New Roman"/>
                <w:sz w:val="22"/>
                <w:lang w:val="en-US"/>
              </w:rPr>
              <w:t>’</w:t>
            </w:r>
            <w:r w:rsidRPr="00FE31F1">
              <w:rPr>
                <w:rFonts w:eastAsiaTheme="minorEastAsia" w:cs="Times New Roman"/>
                <w:sz w:val="22"/>
                <w:lang w:val="en-US"/>
              </w:rPr>
              <w:t xml:space="preserve"> ἐσσὶ κρήγυός τε καὶ παρὰ χρηστῶν,</w:t>
            </w:r>
          </w:p>
          <w:p w14:paraId="087AD6A7" w14:textId="669805B2" w:rsidR="00272F31" w:rsidRPr="00FE31F1" w:rsidRDefault="00FE31F1" w:rsidP="006B396C">
            <w:pPr>
              <w:pStyle w:val="Blockquote"/>
              <w:spacing w:line="276" w:lineRule="auto"/>
              <w:rPr>
                <w:sz w:val="22"/>
                <w:szCs w:val="22"/>
                <w:highlight w:val="yellow"/>
                <w:lang w:val="el-GR"/>
              </w:rPr>
            </w:pPr>
            <w:r w:rsidRPr="00FE31F1">
              <w:rPr>
                <w:rFonts w:ascii="Times" w:eastAsiaTheme="minorEastAsia" w:hAnsi="Times" w:cs="Times"/>
                <w:sz w:val="22"/>
                <w:szCs w:val="22"/>
                <w:lang w:val="en-US"/>
              </w:rPr>
              <w:t>θαρσέων καθίζευ, κἢν θέλῃς ἀπόβριξον</w:t>
            </w:r>
          </w:p>
        </w:tc>
        <w:tc>
          <w:tcPr>
            <w:tcW w:w="3685" w:type="dxa"/>
          </w:tcPr>
          <w:p w14:paraId="6B896EED" w14:textId="77777777" w:rsidR="00272F31" w:rsidRPr="00881752" w:rsidRDefault="00272F31" w:rsidP="006B396C">
            <w:pPr>
              <w:pStyle w:val="Blockquote"/>
              <w:spacing w:line="276" w:lineRule="auto"/>
              <w:rPr>
                <w:sz w:val="22"/>
                <w:szCs w:val="22"/>
              </w:rPr>
            </w:pPr>
            <w:r w:rsidRPr="00881752">
              <w:rPr>
                <w:sz w:val="22"/>
                <w:szCs w:val="22"/>
              </w:rPr>
              <w:t>Here lies the poet Hipponax; so if you are a knave, do not come near the tomb. But if you are honest and come of decent folk, sit down without hesitation, and, if you like, take a nap.</w:t>
            </w:r>
          </w:p>
        </w:tc>
      </w:tr>
    </w:tbl>
    <w:p w14:paraId="233D5273" w14:textId="77777777" w:rsidR="00272F31" w:rsidRPr="00881752" w:rsidRDefault="00272F31" w:rsidP="005A4FA3">
      <w:pPr>
        <w:pStyle w:val="Blockquote"/>
      </w:pPr>
    </w:p>
    <w:p w14:paraId="297ED6B0" w14:textId="783AE583" w:rsidR="00944EB2" w:rsidRPr="00881752" w:rsidRDefault="00944EB2" w:rsidP="00FE2144">
      <w:pPr>
        <w:tabs>
          <w:tab w:val="center" w:pos="5387"/>
        </w:tabs>
        <w:ind w:left="775"/>
        <w:rPr>
          <w:rFonts w:cs="Times New Roman"/>
          <w:lang w:val="en-US"/>
        </w:rPr>
      </w:pPr>
      <w:r w:rsidRPr="00881752">
        <w:rPr>
          <w:rFonts w:cs="Times New Roman"/>
          <w:lang w:val="en-US"/>
        </w:rPr>
        <w:t>In his commentary on this epigram,</w:t>
      </w:r>
      <w:r w:rsidRPr="00881752">
        <w:rPr>
          <w:rStyle w:val="FootnoteReference"/>
          <w:rFonts w:cs="Times New Roman"/>
          <w:lang w:val="en-US"/>
        </w:rPr>
        <w:footnoteReference w:id="218"/>
      </w:r>
      <w:r w:rsidRPr="00881752">
        <w:rPr>
          <w:rFonts w:cs="Times New Roman"/>
          <w:lang w:val="en-US"/>
        </w:rPr>
        <w:t xml:space="preserve"> Gow suggests that κρήγυος may have been a Hipponactean word which Hipponax</w:t>
      </w:r>
      <w:r w:rsidR="00075F5F">
        <w:rPr>
          <w:rFonts w:cs="Times New Roman"/>
          <w:lang w:val="en-US"/>
        </w:rPr>
        <w:t>’</w:t>
      </w:r>
      <w:r w:rsidRPr="00881752">
        <w:rPr>
          <w:rFonts w:cs="Times New Roman"/>
          <w:lang w:val="en-US"/>
        </w:rPr>
        <w:t>s Hellenistic emulators used as a signet, since Hellenistic poets especially paid attention to the moralistic implications in Hipponax</w:t>
      </w:r>
      <w:r w:rsidR="00075F5F">
        <w:rPr>
          <w:rFonts w:cs="Times New Roman"/>
          <w:lang w:val="en-US"/>
        </w:rPr>
        <w:t>’</w:t>
      </w:r>
      <w:r w:rsidRPr="00881752">
        <w:rPr>
          <w:rFonts w:cs="Times New Roman"/>
          <w:lang w:val="en-US"/>
        </w:rPr>
        <w:t xml:space="preserve">s work. </w:t>
      </w:r>
    </w:p>
    <w:p w14:paraId="0905376A" w14:textId="0DBA70F0" w:rsidR="00272F31" w:rsidRPr="00881752" w:rsidRDefault="00944EB2" w:rsidP="00881752">
      <w:pPr>
        <w:widowControl w:val="0"/>
        <w:numPr>
          <w:ilvl w:val="0"/>
          <w:numId w:val="176"/>
        </w:numPr>
        <w:tabs>
          <w:tab w:val="left" w:pos="709"/>
          <w:tab w:val="center" w:pos="5387"/>
        </w:tabs>
        <w:ind w:hanging="294"/>
        <w:rPr>
          <w:rFonts w:cs="Times New Roman"/>
          <w:lang w:val="en-US"/>
        </w:rPr>
      </w:pPr>
      <w:r w:rsidRPr="00881752">
        <w:rPr>
          <w:rFonts w:cs="Times New Roman"/>
          <w:lang w:val="en-US"/>
        </w:rPr>
        <w:t>they are forced to think for themselves when the word allows two different interpretations, which may both be relevant in the context. The verb κυβιστάω</w:t>
      </w:r>
      <w:r w:rsidRPr="00881752">
        <w:rPr>
          <w:rFonts w:cs="Times New Roman"/>
          <w:sz w:val="20"/>
          <w:szCs w:val="20"/>
          <w:lang w:val="en-US"/>
        </w:rPr>
        <w:t xml:space="preserve"> </w:t>
      </w:r>
      <w:r w:rsidR="00CC0615">
        <w:rPr>
          <w:rFonts w:cs="Times New Roman"/>
          <w:lang w:val="en-US"/>
        </w:rPr>
        <w:t>“</w:t>
      </w:r>
      <w:r w:rsidRPr="00881752">
        <w:rPr>
          <w:rFonts w:cs="Times New Roman"/>
          <w:lang w:val="en-US"/>
        </w:rPr>
        <w:t>fall headlong</w:t>
      </w:r>
      <w:r w:rsidR="00CC0615">
        <w:rPr>
          <w:rFonts w:cs="Times New Roman"/>
          <w:lang w:val="en-US"/>
        </w:rPr>
        <w:t>”</w:t>
      </w:r>
      <w:r w:rsidRPr="00881752">
        <w:rPr>
          <w:rFonts w:cs="Times New Roman"/>
          <w:lang w:val="en-US"/>
        </w:rPr>
        <w:t xml:space="preserve"> (</w:t>
      </w:r>
      <w:r w:rsidRPr="00881752">
        <w:rPr>
          <w:rFonts w:cs="Times New Roman"/>
          <w:i/>
          <w:iCs/>
          <w:lang w:val="en-US"/>
        </w:rPr>
        <w:t>Ia</w:t>
      </w:r>
      <w:r w:rsidRPr="00881752">
        <w:rPr>
          <w:rFonts w:cs="Times New Roman"/>
          <w:lang w:val="en-US"/>
        </w:rPr>
        <w:t>. 5.29), for example,</w:t>
      </w:r>
      <w:r w:rsidRPr="00881752">
        <w:rPr>
          <w:rFonts w:cs="Times New Roman"/>
          <w:sz w:val="20"/>
          <w:szCs w:val="20"/>
          <w:lang w:val="en-US"/>
        </w:rPr>
        <w:t xml:space="preserve"> </w:t>
      </w:r>
      <w:r w:rsidRPr="00881752">
        <w:rPr>
          <w:rFonts w:cs="Times New Roman"/>
          <w:lang w:val="en-US"/>
        </w:rPr>
        <w:t>echoes both Homer and Plato.</w:t>
      </w:r>
      <w:r w:rsidRPr="00881752">
        <w:rPr>
          <w:rStyle w:val="FootnoteReference"/>
          <w:rFonts w:cs="Times New Roman"/>
          <w:lang w:val="en-US"/>
        </w:rPr>
        <w:footnoteReference w:id="219"/>
      </w:r>
      <w:r w:rsidRPr="00881752">
        <w:rPr>
          <w:rFonts w:cs="Times New Roman"/>
          <w:lang w:val="en-US"/>
        </w:rPr>
        <w:t xml:space="preserve"> Callimachus</w:t>
      </w:r>
      <w:r w:rsidR="00075F5F">
        <w:rPr>
          <w:rFonts w:cs="Times New Roman"/>
          <w:lang w:val="en-US"/>
        </w:rPr>
        <w:t>’</w:t>
      </w:r>
      <w:r w:rsidRPr="00881752">
        <w:rPr>
          <w:rFonts w:cs="Times New Roman"/>
          <w:lang w:val="en-US"/>
        </w:rPr>
        <w:t xml:space="preserve"> metaphor of the chariot recalls the Iliadic episode where Antilochus plunges headlong from his chariot into the dust (</w:t>
      </w:r>
      <w:r w:rsidRPr="00881752">
        <w:rPr>
          <w:rFonts w:cs="Times New Roman"/>
          <w:i/>
          <w:iCs/>
          <w:lang w:val="en-US"/>
        </w:rPr>
        <w:t>Il</w:t>
      </w:r>
      <w:r w:rsidRPr="00881752">
        <w:rPr>
          <w:rFonts w:cs="Times New Roman"/>
          <w:lang w:val="en-US"/>
        </w:rPr>
        <w:t xml:space="preserve">. 5.586). The use of the verb κυβιστάω reinforces the Homeric context, since several forms of it appear in </w:t>
      </w:r>
      <w:r w:rsidRPr="00881752">
        <w:rPr>
          <w:rFonts w:cs="Times New Roman"/>
          <w:i/>
          <w:iCs/>
          <w:lang w:val="en-US"/>
        </w:rPr>
        <w:t>Iliad</w:t>
      </w:r>
      <w:r w:rsidRPr="00881752">
        <w:rPr>
          <w:rFonts w:cs="Times New Roman"/>
          <w:lang w:val="en-US"/>
        </w:rPr>
        <w:t xml:space="preserve"> 16.745-50, when Patroclus strikes Cebriones in the head with a rock.</w:t>
      </w:r>
      <w:r w:rsidRPr="00881752">
        <w:rPr>
          <w:rStyle w:val="FootnoteReference"/>
          <w:rFonts w:cs="Times New Roman"/>
          <w:lang w:val="en-US"/>
        </w:rPr>
        <w:footnoteReference w:id="220"/>
      </w:r>
      <w:r w:rsidRPr="00881752">
        <w:rPr>
          <w:rFonts w:cs="Times New Roman"/>
          <w:lang w:val="en-US"/>
        </w:rPr>
        <w:t xml:space="preserve"> But this uncommon verb also shows up in Plato</w:t>
      </w:r>
      <w:r w:rsidR="00075F5F">
        <w:rPr>
          <w:rFonts w:cs="Times New Roman"/>
          <w:lang w:val="en-US"/>
        </w:rPr>
        <w:t>’</w:t>
      </w:r>
      <w:r w:rsidRPr="00881752">
        <w:rPr>
          <w:rFonts w:cs="Times New Roman"/>
          <w:lang w:val="en-US"/>
        </w:rPr>
        <w:t xml:space="preserve">s </w:t>
      </w:r>
      <w:r w:rsidRPr="00881752">
        <w:rPr>
          <w:rFonts w:cs="Times New Roman"/>
          <w:i/>
          <w:iCs/>
          <w:lang w:val="en-US"/>
        </w:rPr>
        <w:t>Symposium</w:t>
      </w:r>
      <w:r w:rsidRPr="00881752">
        <w:rPr>
          <w:rFonts w:cs="Times New Roman"/>
          <w:lang w:val="en-US"/>
        </w:rPr>
        <w:t xml:space="preserve">, when Aristophanes talks about Eros: Aristophanes describes humans as originally possessing four arms and four legs and being able to move hand-over-hand, just like tumblers (ὥσπερ οἱ </w:t>
      </w:r>
      <w:r w:rsidRPr="00881752">
        <w:rPr>
          <w:rFonts w:cs="Times New Roman"/>
          <w:lang w:val="en-US"/>
        </w:rPr>
        <w:lastRenderedPageBreak/>
        <w:t xml:space="preserve">κυβιστῶντες καὶ εἰς ὀρθὸν τὰ σκέλη περιφερόμενοι κυβιστῶσι κύκλῳ </w:t>
      </w:r>
      <w:r w:rsidR="00CC0615">
        <w:rPr>
          <w:rFonts w:cs="Times New Roman"/>
          <w:lang w:val="en-US"/>
        </w:rPr>
        <w:t>“</w:t>
      </w:r>
      <w:r w:rsidRPr="00881752">
        <w:rPr>
          <w:rFonts w:cs="Times New Roman"/>
          <w:lang w:val="en-US"/>
        </w:rPr>
        <w:t>it went like our acrobats, whirling over and over with legs stuck out straight</w:t>
      </w:r>
      <w:r w:rsidR="00CC0615">
        <w:rPr>
          <w:rFonts w:cs="Times New Roman"/>
          <w:lang w:val="en-US"/>
        </w:rPr>
        <w:t>”</w:t>
      </w:r>
      <w:r w:rsidRPr="00881752">
        <w:rPr>
          <w:rFonts w:cs="Times New Roman"/>
          <w:lang w:val="en-US"/>
        </w:rPr>
        <w:t xml:space="preserve"> 190a.6-7).</w:t>
      </w:r>
    </w:p>
    <w:p w14:paraId="531ABD21" w14:textId="6BD91DCA" w:rsidR="00272F31" w:rsidRPr="00881752" w:rsidRDefault="00322AEF" w:rsidP="00FE2144">
      <w:pPr>
        <w:pStyle w:val="Heading4"/>
        <w:rPr>
          <w:rFonts w:cs="Times New Roman"/>
        </w:rPr>
      </w:pPr>
      <w:r w:rsidRPr="00881752">
        <w:rPr>
          <w:rFonts w:cs="Times New Roman"/>
        </w:rPr>
        <w:t xml:space="preserve">1.7.2 </w:t>
      </w:r>
      <w:r w:rsidR="00272F31" w:rsidRPr="00881752">
        <w:rPr>
          <w:rFonts w:cs="Times New Roman"/>
        </w:rPr>
        <w:t xml:space="preserve">Theoretical </w:t>
      </w:r>
      <w:r w:rsidR="00771DAB" w:rsidRPr="00881752">
        <w:rPr>
          <w:rFonts w:cs="Times New Roman"/>
        </w:rPr>
        <w:t xml:space="preserve">Model </w:t>
      </w:r>
      <w:r w:rsidR="00272F31" w:rsidRPr="00881752">
        <w:rPr>
          <w:rFonts w:cs="Times New Roman"/>
        </w:rPr>
        <w:t>to Interpret Callimachus</w:t>
      </w:r>
      <w:r w:rsidR="00075F5F">
        <w:rPr>
          <w:rFonts w:cs="Times New Roman"/>
        </w:rPr>
        <w:t>’</w:t>
      </w:r>
      <w:r w:rsidR="00272F31" w:rsidRPr="00881752">
        <w:rPr>
          <w:rFonts w:cs="Times New Roman"/>
        </w:rPr>
        <w:t xml:space="preserve"> </w:t>
      </w:r>
      <w:r w:rsidR="00272F31" w:rsidRPr="00881752">
        <w:rPr>
          <w:rFonts w:cs="Times New Roman"/>
          <w:i/>
        </w:rPr>
        <w:t>Poikilía</w:t>
      </w:r>
    </w:p>
    <w:p w14:paraId="76B67EE4" w14:textId="3427C7EB" w:rsidR="00944EB2" w:rsidRPr="00881752" w:rsidRDefault="00944EB2" w:rsidP="00E95AF7">
      <w:pPr>
        <w:tabs>
          <w:tab w:val="center" w:pos="5387"/>
        </w:tabs>
        <w:rPr>
          <w:rFonts w:cs="Times New Roman"/>
          <w:lang w:val="en-US"/>
        </w:rPr>
      </w:pPr>
      <w:r w:rsidRPr="00881752">
        <w:rPr>
          <w:rFonts w:cs="Times New Roman"/>
          <w:lang w:val="en-US"/>
        </w:rPr>
        <w:t>In the previous paragraph I showed that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cannot be understood as purely diachronic. They are not the obvious evolution of the archaic iambs. The most surprising aspect of Callimachus</w:t>
      </w:r>
      <w:r w:rsidR="00075F5F">
        <w:rPr>
          <w:rFonts w:cs="Times New Roman"/>
          <w:lang w:val="en-US"/>
        </w:rPr>
        <w:t>’</w:t>
      </w:r>
      <w:r w:rsidRPr="00881752">
        <w:rPr>
          <w:rFonts w:cs="Times New Roman"/>
          <w:lang w:val="en-US"/>
        </w:rPr>
        <w:t xml:space="preserve"> </w:t>
      </w:r>
      <w:r w:rsidRPr="00881752">
        <w:rPr>
          <w:rFonts w:cs="Times New Roman"/>
          <w:i/>
          <w:iCs/>
          <w:lang w:val="en-US"/>
        </w:rPr>
        <w:t>poikilia</w:t>
      </w:r>
      <w:r w:rsidRPr="00881752">
        <w:rPr>
          <w:rFonts w:cs="Times New Roman"/>
          <w:lang w:val="en-US"/>
        </w:rPr>
        <w:t xml:space="preserve"> is the apparent lack of any predominating register. This contrasts with the fragments of Archilochus and Hipponax, where the register is more immediately obvious. By </w:t>
      </w:r>
      <w:r w:rsidR="00CC0615">
        <w:rPr>
          <w:rFonts w:cs="Times New Roman"/>
          <w:lang w:val="en-US"/>
        </w:rPr>
        <w:t>“</w:t>
      </w:r>
      <w:r w:rsidRPr="00881752">
        <w:rPr>
          <w:rFonts w:cs="Times New Roman"/>
          <w:lang w:val="en-US"/>
        </w:rPr>
        <w:t>register,</w:t>
      </w:r>
      <w:r w:rsidR="00CC0615">
        <w:rPr>
          <w:rFonts w:cs="Times New Roman"/>
          <w:lang w:val="en-US"/>
        </w:rPr>
        <w:t>”</w:t>
      </w:r>
      <w:r w:rsidRPr="00881752">
        <w:rPr>
          <w:rFonts w:cs="Times New Roman"/>
          <w:lang w:val="en-US"/>
        </w:rPr>
        <w:t xml:space="preserve"> I mean </w:t>
      </w:r>
      <w:r w:rsidR="00CC0615">
        <w:rPr>
          <w:rFonts w:cs="Times New Roman"/>
          <w:lang w:val="en-US"/>
        </w:rPr>
        <w:t>“</w:t>
      </w:r>
      <w:r w:rsidRPr="00881752">
        <w:rPr>
          <w:rFonts w:cs="Times New Roman"/>
          <w:lang w:val="en-US"/>
        </w:rPr>
        <w:t>the shared function and common situational framework that determines a language.</w:t>
      </w:r>
      <w:r w:rsidR="00CC0615">
        <w:rPr>
          <w:rFonts w:cs="Times New Roman"/>
          <w:lang w:val="en-US"/>
        </w:rPr>
        <w:t>”</w:t>
      </w:r>
      <w:r w:rsidRPr="00881752">
        <w:rPr>
          <w:rStyle w:val="FootnoteReference"/>
          <w:rFonts w:cs="Times New Roman"/>
          <w:lang w:val="en-US"/>
        </w:rPr>
        <w:footnoteReference w:id="221"/>
      </w:r>
      <w:r w:rsidRPr="00881752">
        <w:rPr>
          <w:rFonts w:cs="Times New Roman"/>
          <w:lang w:val="en-US"/>
        </w:rPr>
        <w:t xml:space="preserve"> </w:t>
      </w:r>
    </w:p>
    <w:p w14:paraId="72F15774" w14:textId="659F5329" w:rsidR="00881752" w:rsidRDefault="00944EB2" w:rsidP="00E95AF7">
      <w:pPr>
        <w:tabs>
          <w:tab w:val="center" w:pos="5387"/>
        </w:tabs>
        <w:rPr>
          <w:rFonts w:cs="Times New Roman"/>
          <w:lang w:val="en-US"/>
        </w:rPr>
      </w:pPr>
      <w:r w:rsidRPr="00881752">
        <w:rPr>
          <w:rFonts w:cs="Times New Roman"/>
          <w:lang w:val="en-US"/>
        </w:rPr>
        <w:tab/>
        <w:t>The peculiar style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arises precisely from the </w:t>
      </w:r>
      <w:r w:rsidRPr="00881752">
        <w:rPr>
          <w:rFonts w:cs="Times New Roman"/>
          <w:i/>
          <w:iCs/>
          <w:lang w:val="en-US"/>
        </w:rPr>
        <w:t>Iambi</w:t>
      </w:r>
      <w:r w:rsidR="00075F5F">
        <w:rPr>
          <w:rFonts w:cs="Times New Roman"/>
          <w:lang w:val="en-US"/>
        </w:rPr>
        <w:t>’</w:t>
      </w:r>
      <w:r w:rsidRPr="00881752">
        <w:rPr>
          <w:rFonts w:cs="Times New Roman"/>
          <w:lang w:val="en-US"/>
        </w:rPr>
        <w:t xml:space="preserve">s mixture of </w:t>
      </w:r>
      <w:r w:rsidR="00CC0615">
        <w:rPr>
          <w:rFonts w:cs="Times New Roman"/>
          <w:lang w:val="en-US"/>
        </w:rPr>
        <w:t>“</w:t>
      </w:r>
      <w:r w:rsidRPr="00881752">
        <w:rPr>
          <w:rFonts w:cs="Times New Roman"/>
          <w:lang w:val="en-US"/>
        </w:rPr>
        <w:t>registers</w:t>
      </w:r>
      <w:r w:rsidR="00CC0615">
        <w:rPr>
          <w:rFonts w:cs="Times New Roman"/>
          <w:lang w:val="en-US"/>
        </w:rPr>
        <w:t>”</w:t>
      </w:r>
      <w:r w:rsidRPr="00881752">
        <w:rPr>
          <w:rFonts w:cs="Times New Roman"/>
          <w:lang w:val="en-US"/>
        </w:rPr>
        <w:t xml:space="preserve"> belonging to different communicative situations.</w:t>
      </w:r>
      <w:r w:rsidRPr="00881752">
        <w:rPr>
          <w:rStyle w:val="FootnoteReference"/>
          <w:rFonts w:cs="Times New Roman"/>
          <w:lang w:val="en-US"/>
        </w:rPr>
        <w:footnoteReference w:id="222"/>
      </w:r>
      <w:r w:rsidRPr="00881752">
        <w:rPr>
          <w:rFonts w:cs="Times New Roman"/>
          <w:lang w:val="en-US"/>
        </w:rPr>
        <w:t xml:space="preserve"> Each iamb shows its distinct communicative situation. Each situation has its own characters who bring a personalised register. The poet decides on these registers and assigns them to his characters at each successive situation. </w:t>
      </w:r>
      <w:r w:rsidR="00CC0615">
        <w:rPr>
          <w:rFonts w:cs="Times New Roman"/>
          <w:lang w:val="en-US"/>
        </w:rPr>
        <w:t>“</w:t>
      </w:r>
      <w:r w:rsidRPr="00881752">
        <w:rPr>
          <w:rFonts w:cs="Times New Roman"/>
          <w:lang w:val="en-US"/>
        </w:rPr>
        <w:t xml:space="preserve">The actively literary consciousness at all times and everywhere...come upon </w:t>
      </w:r>
      <w:r w:rsidR="00075F5F">
        <w:rPr>
          <w:rFonts w:cs="Times New Roman"/>
          <w:lang w:val="en-US"/>
        </w:rPr>
        <w:t>‘</w:t>
      </w:r>
      <w:r w:rsidRPr="00881752">
        <w:rPr>
          <w:rFonts w:cs="Times New Roman"/>
          <w:lang w:val="en-US"/>
        </w:rPr>
        <w:t>languages,</w:t>
      </w:r>
      <w:r w:rsidR="00075F5F">
        <w:rPr>
          <w:rFonts w:cs="Times New Roman"/>
          <w:lang w:val="en-US"/>
        </w:rPr>
        <w:t>’</w:t>
      </w:r>
      <w:r w:rsidRPr="00881752">
        <w:rPr>
          <w:rFonts w:cs="Times New Roman"/>
          <w:lang w:val="en-US"/>
        </w:rPr>
        <w:t xml:space="preserve"> and not language. Consiousness finds itself inevitably facing the necessity of having to choose a language.</w:t>
      </w:r>
      <w:r w:rsidR="00CC0615">
        <w:rPr>
          <w:rFonts w:cs="Times New Roman"/>
          <w:lang w:val="en-US"/>
        </w:rPr>
        <w:t>”</w:t>
      </w:r>
      <w:r w:rsidRPr="00881752">
        <w:rPr>
          <w:rStyle w:val="FootnoteReference"/>
          <w:rFonts w:cs="Times New Roman"/>
          <w:lang w:val="en-US"/>
        </w:rPr>
        <w:footnoteReference w:id="223"/>
      </w:r>
      <w:r w:rsidRPr="00881752">
        <w:rPr>
          <w:rFonts w:cs="Times New Roman"/>
          <w:lang w:val="en-US"/>
        </w:rPr>
        <w:t xml:space="preserve"> It follows that, in a literary text, language is never merely the medium but always forms part of the message itself. This means that the word is both signifier and signified. Bakhtin calls this kind of word </w:t>
      </w:r>
      <w:r w:rsidR="00CC0615">
        <w:rPr>
          <w:rFonts w:cs="Times New Roman"/>
          <w:lang w:val="en-US"/>
        </w:rPr>
        <w:t>“</w:t>
      </w:r>
      <w:r w:rsidRPr="00881752">
        <w:rPr>
          <w:rFonts w:cs="Times New Roman"/>
          <w:lang w:val="en-US"/>
        </w:rPr>
        <w:t>dialogic</w:t>
      </w:r>
      <w:r w:rsidR="00A53A10">
        <w:rPr>
          <w:rFonts w:cs="Times New Roman"/>
          <w:lang w:val="en-US"/>
        </w:rPr>
        <w:t>al</w:t>
      </w:r>
      <w:r w:rsidR="00CC0615">
        <w:rPr>
          <w:rFonts w:cs="Times New Roman"/>
          <w:lang w:val="en-US"/>
        </w:rPr>
        <w:t>”</w:t>
      </w:r>
      <w:r w:rsidR="00A53A10">
        <w:rPr>
          <w:rFonts w:cs="Times New Roman"/>
          <w:lang w:val="en-US"/>
        </w:rPr>
        <w:t xml:space="preserve"> since it functions in three dimensions: subject–addressee–</w:t>
      </w:r>
      <w:r w:rsidRPr="00881752">
        <w:rPr>
          <w:rFonts w:cs="Times New Roman"/>
          <w:lang w:val="en-US"/>
        </w:rPr>
        <w:t>context.</w:t>
      </w:r>
      <w:r w:rsidRPr="00881752">
        <w:rPr>
          <w:rStyle w:val="FootnoteReference"/>
          <w:rFonts w:cs="Times New Roman"/>
          <w:lang w:val="en-US"/>
        </w:rPr>
        <w:footnoteReference w:id="224"/>
      </w:r>
      <w:r w:rsidRPr="00881752">
        <w:rPr>
          <w:rFonts w:cs="Times New Roman"/>
          <w:lang w:val="en-US"/>
        </w:rPr>
        <w:t xml:space="preserve"> </w:t>
      </w:r>
    </w:p>
    <w:p w14:paraId="522ED874" w14:textId="0F677231" w:rsidR="00944EB2" w:rsidRPr="00881752" w:rsidRDefault="00944EB2" w:rsidP="00881752">
      <w:pPr>
        <w:tabs>
          <w:tab w:val="center" w:pos="5387"/>
        </w:tabs>
        <w:ind w:firstLine="426"/>
        <w:rPr>
          <w:rFonts w:cs="Times New Roman"/>
          <w:lang w:val="en-US"/>
        </w:rPr>
      </w:pPr>
      <w:r w:rsidRPr="00881752">
        <w:rPr>
          <w:rFonts w:cs="Times New Roman"/>
          <w:lang w:val="en-US"/>
        </w:rPr>
        <w:t xml:space="preserve">One may legitimately claim that this three-polar joint is already present in the archaic iambic poetry, where sometimes it is possible to distinguish the </w:t>
      </w:r>
      <w:r w:rsidRPr="00881752">
        <w:rPr>
          <w:rFonts w:cs="Times New Roman"/>
          <w:i/>
          <w:iCs/>
          <w:lang w:val="en-US"/>
        </w:rPr>
        <w:t>persona loquens</w:t>
      </w:r>
      <w:r w:rsidRPr="00881752">
        <w:rPr>
          <w:rFonts w:cs="Times New Roman"/>
          <w:lang w:val="en-US"/>
        </w:rPr>
        <w:t xml:space="preserve"> from the poet, and it is recognised as a type (for example, as a rogue in Archilochus):</w:t>
      </w:r>
      <w:r w:rsidRPr="00881752">
        <w:rPr>
          <w:rStyle w:val="FootnoteReference"/>
          <w:rFonts w:cs="Times New Roman"/>
          <w:lang w:val="en-US"/>
        </w:rPr>
        <w:footnoteReference w:id="225"/>
      </w:r>
      <w:r w:rsidRPr="00881752">
        <w:rPr>
          <w:rFonts w:cs="Times New Roman"/>
          <w:lang w:val="en-US"/>
        </w:rPr>
        <w:t xml:space="preserve"> this is an archaic technique of orally performed poetry that allows a potential deferral of the voice of the poet or performer(s) to other, later voice(s).</w:t>
      </w:r>
      <w:r w:rsidRPr="00881752">
        <w:rPr>
          <w:rStyle w:val="FootnoteReference"/>
          <w:rFonts w:cs="Times New Roman"/>
          <w:lang w:val="en-US"/>
        </w:rPr>
        <w:footnoteReference w:id="226"/>
      </w:r>
      <w:r w:rsidRPr="00881752">
        <w:rPr>
          <w:rFonts w:cs="Times New Roman"/>
          <w:lang w:val="en-US"/>
        </w:rPr>
        <w:t xml:space="preserve"> However, the word of archaic iambic poetry remains univocal, since its meaning is objective and is not situated on the same level of the text: the word of archaic iambographers is their object, since any utterance of a subject (</w:t>
      </w:r>
      <w:r w:rsidR="00CC0615">
        <w:rPr>
          <w:rFonts w:cs="Times New Roman"/>
          <w:lang w:val="en-US"/>
        </w:rPr>
        <w:t>“</w:t>
      </w:r>
      <w:r w:rsidRPr="00881752">
        <w:rPr>
          <w:rFonts w:cs="Times New Roman"/>
          <w:lang w:val="en-US"/>
        </w:rPr>
        <w:t>I</w:t>
      </w:r>
      <w:r w:rsidR="00CC0615">
        <w:rPr>
          <w:rFonts w:cs="Times New Roman"/>
          <w:lang w:val="en-US"/>
        </w:rPr>
        <w:t>”</w:t>
      </w:r>
      <w:r w:rsidRPr="00881752">
        <w:rPr>
          <w:rFonts w:cs="Times New Roman"/>
          <w:lang w:val="en-US"/>
        </w:rPr>
        <w:t xml:space="preserve"> in Archilochus, </w:t>
      </w:r>
      <w:r w:rsidR="00CC0615">
        <w:rPr>
          <w:rFonts w:cs="Times New Roman"/>
          <w:lang w:val="en-US"/>
        </w:rPr>
        <w:t>“</w:t>
      </w:r>
      <w:r w:rsidRPr="00881752">
        <w:rPr>
          <w:rFonts w:cs="Times New Roman"/>
          <w:lang w:val="en-US"/>
        </w:rPr>
        <w:t>Hipponax</w:t>
      </w:r>
      <w:r w:rsidR="00CC0615">
        <w:rPr>
          <w:rFonts w:cs="Times New Roman"/>
          <w:lang w:val="en-US"/>
        </w:rPr>
        <w:t>”</w:t>
      </w:r>
      <w:r w:rsidRPr="00881752">
        <w:rPr>
          <w:rFonts w:cs="Times New Roman"/>
          <w:lang w:val="en-US"/>
        </w:rPr>
        <w:t xml:space="preserve"> in Hipponax) is hardly </w:t>
      </w:r>
      <w:r w:rsidRPr="00881752">
        <w:rPr>
          <w:rFonts w:cs="Times New Roman"/>
          <w:lang w:val="en-US"/>
        </w:rPr>
        <w:lastRenderedPageBreak/>
        <w:t xml:space="preserve">distinguishable from the voice of the performer, whether the author or a later performance. Furthermore, this word reflects the point of view of the performer which usually agrees with the opinion of the majority of the community. In this way, the subject becomes a carrier of a universal message, which is simultaneously individual and collective, and the addressee identifies himself in it, so that subject and addressee share the same voice. </w:t>
      </w:r>
    </w:p>
    <w:p w14:paraId="4DAB19C7" w14:textId="2C46449B" w:rsidR="00881752" w:rsidRPr="00881752" w:rsidRDefault="00944EB2" w:rsidP="00E95AF7">
      <w:pPr>
        <w:tabs>
          <w:tab w:val="center" w:pos="5387"/>
        </w:tabs>
        <w:ind w:firstLine="426"/>
        <w:rPr>
          <w:rFonts w:cs="Times New Roman"/>
          <w:lang w:val="en-US"/>
        </w:rPr>
      </w:pPr>
      <w:r w:rsidRPr="00881752">
        <w:rPr>
          <w:rFonts w:cs="Times New Roman"/>
          <w:lang w:val="en-US"/>
        </w:rPr>
        <w:t>In Callimachus</w:t>
      </w:r>
      <w:r w:rsidR="00075F5F">
        <w:rPr>
          <w:rFonts w:cs="Times New Roman"/>
          <w:lang w:val="en-US"/>
        </w:rPr>
        <w:t>’</w:t>
      </w:r>
      <w:r w:rsidRPr="00881752">
        <w:rPr>
          <w:rFonts w:cs="Times New Roman"/>
          <w:lang w:val="en-US"/>
        </w:rPr>
        <w:t xml:space="preserve"> </w:t>
      </w:r>
      <w:r w:rsidRPr="00881752">
        <w:rPr>
          <w:rFonts w:cs="Times New Roman"/>
          <w:i/>
          <w:iCs/>
          <w:lang w:val="en-US"/>
        </w:rPr>
        <w:t xml:space="preserve">Iambi, </w:t>
      </w:r>
      <w:r w:rsidRPr="00881752">
        <w:rPr>
          <w:rFonts w:cs="Times New Roman"/>
          <w:lang w:val="en-US"/>
        </w:rPr>
        <w:t>on the other hand, the author often differentiates himself from the speaker, so to split himself into the subject of enunciation and the subject of utterance. This splitting makes possible the shift from subjectivism to ambivalence.</w:t>
      </w:r>
      <w:r w:rsidRPr="00881752">
        <w:rPr>
          <w:rStyle w:val="FootnoteReference"/>
          <w:rFonts w:cs="Times New Roman"/>
          <w:lang w:val="en-US"/>
        </w:rPr>
        <w:footnoteReference w:id="227"/>
      </w:r>
      <w:r w:rsidRPr="00881752">
        <w:rPr>
          <w:rFonts w:cs="Times New Roman"/>
          <w:lang w:val="en-US"/>
        </w:rPr>
        <w:t xml:space="preserve"> As a consequence, we may consider the </w:t>
      </w:r>
      <w:r w:rsidRPr="00881752">
        <w:rPr>
          <w:rFonts w:cs="Times New Roman"/>
          <w:i/>
          <w:iCs/>
          <w:lang w:val="en-US"/>
        </w:rPr>
        <w:t>Iambi</w:t>
      </w:r>
      <w:r w:rsidRPr="00881752">
        <w:rPr>
          <w:rFonts w:cs="Times New Roman"/>
          <w:lang w:val="en-US"/>
        </w:rPr>
        <w:t xml:space="preserve"> as a dialogue between the subject of the narration and the addressee, where the writer is the subject of the narration, and the addressee is the object of writer</w:t>
      </w:r>
      <w:r w:rsidR="00075F5F">
        <w:rPr>
          <w:rFonts w:cs="Times New Roman"/>
          <w:lang w:val="en-US"/>
        </w:rPr>
        <w:t>’</w:t>
      </w:r>
      <w:r w:rsidRPr="00881752">
        <w:rPr>
          <w:rFonts w:cs="Times New Roman"/>
          <w:lang w:val="en-US"/>
        </w:rPr>
        <w:t>s narration. This addressee represents a doubly oriented entity: signifier in his relation to the text, and signified in the relation between the subject of narration and himself, since the addressee interprets the word of the subject of narration and makes it the addressee</w:t>
      </w:r>
      <w:r w:rsidR="00075F5F">
        <w:rPr>
          <w:rFonts w:cs="Times New Roman"/>
          <w:lang w:val="en-US"/>
        </w:rPr>
        <w:t>’</w:t>
      </w:r>
      <w:r w:rsidRPr="00881752">
        <w:rPr>
          <w:rFonts w:cs="Times New Roman"/>
          <w:lang w:val="en-US"/>
        </w:rPr>
        <w:t>s own.</w:t>
      </w:r>
    </w:p>
    <w:p w14:paraId="3808B31F" w14:textId="551618C5" w:rsidR="00881752" w:rsidRDefault="00944EB2" w:rsidP="00F56C73">
      <w:pPr>
        <w:tabs>
          <w:tab w:val="center" w:pos="5387"/>
        </w:tabs>
        <w:ind w:firstLine="426"/>
        <w:rPr>
          <w:rFonts w:cs="Times New Roman"/>
          <w:lang w:val="en-US"/>
        </w:rPr>
      </w:pPr>
      <w:r w:rsidRPr="00881752">
        <w:rPr>
          <w:rFonts w:cs="Times New Roman"/>
          <w:lang w:val="en-US"/>
        </w:rPr>
        <w:t>This is the theoretical basis of Callimachus</w:t>
      </w:r>
      <w:r w:rsidR="00075F5F">
        <w:rPr>
          <w:rFonts w:cs="Times New Roman"/>
          <w:lang w:val="en-US"/>
        </w:rPr>
        <w:t>’</w:t>
      </w:r>
      <w:r w:rsidRPr="00881752">
        <w:rPr>
          <w:rFonts w:cs="Times New Roman"/>
          <w:lang w:val="en-US"/>
        </w:rPr>
        <w:t xml:space="preserve"> polyphony. The subject of narration is drawn into narration as the subject of enunciation, but his voice is mediated by the character, who is the subject of the utterance. The most striking example of this narrative technique is the splitting between Callimachus and the </w:t>
      </w:r>
      <w:r w:rsidRPr="00881752">
        <w:rPr>
          <w:rFonts w:cs="Times New Roman"/>
          <w:i/>
          <w:iCs/>
          <w:lang w:val="en-US"/>
        </w:rPr>
        <w:t>persona</w:t>
      </w:r>
      <w:r w:rsidRPr="00881752">
        <w:rPr>
          <w:rFonts w:cs="Times New Roman"/>
          <w:lang w:val="en-US"/>
        </w:rPr>
        <w:t xml:space="preserve"> of Hipponax in </w:t>
      </w:r>
      <w:r w:rsidRPr="00881752">
        <w:rPr>
          <w:rFonts w:cs="Times New Roman"/>
          <w:i/>
          <w:iCs/>
          <w:lang w:val="en-US"/>
        </w:rPr>
        <w:t xml:space="preserve">Iambus </w:t>
      </w:r>
      <w:r w:rsidRPr="00881752">
        <w:rPr>
          <w:rFonts w:cs="Times New Roman"/>
          <w:lang w:val="en-US"/>
        </w:rPr>
        <w:t>1, where Callimachus puts his own words in the mouth of Hipponax, so that the audience no longer listens to the author Callimachus but to the character Hipponax. The shadow of Callimachus is always present, however, as he causes Hipponax to speak. Callimachus, then, is the subject of narration, transformed by including himself within the narrative system, and thus he is the pivot which makes possible the permutation from story to discourse, and from discourse to story.</w:t>
      </w:r>
      <w:r w:rsidRPr="00881752">
        <w:rPr>
          <w:rStyle w:val="FootnoteReference"/>
          <w:rFonts w:cs="Times New Roman"/>
          <w:lang w:val="en-US"/>
        </w:rPr>
        <w:footnoteReference w:id="228"/>
      </w:r>
      <w:r w:rsidRPr="00881752">
        <w:rPr>
          <w:rFonts w:cs="Times New Roman"/>
          <w:lang w:val="en-US"/>
        </w:rPr>
        <w:t xml:space="preserve"> He is the author at the level of the story, but he does not appear at the level of discourse, since he is replaced by the character Hipponax. </w:t>
      </w:r>
    </w:p>
    <w:p w14:paraId="764C287D" w14:textId="78FAF30B" w:rsidR="003B700F" w:rsidRDefault="00944EB2" w:rsidP="00F56C73">
      <w:pPr>
        <w:tabs>
          <w:tab w:val="center" w:pos="5387"/>
        </w:tabs>
        <w:ind w:firstLine="426"/>
        <w:rPr>
          <w:rFonts w:cs="Times New Roman"/>
          <w:lang w:val="en-US"/>
        </w:rPr>
      </w:pPr>
      <w:r w:rsidRPr="00881752">
        <w:rPr>
          <w:rFonts w:cs="Times New Roman"/>
          <w:lang w:val="en-US"/>
        </w:rPr>
        <w:t>Hipponax</w:t>
      </w:r>
      <w:r w:rsidR="00075F5F">
        <w:rPr>
          <w:rFonts w:cs="Times New Roman"/>
          <w:lang w:val="en-US"/>
        </w:rPr>
        <w:t>’</w:t>
      </w:r>
      <w:r w:rsidRPr="00881752">
        <w:rPr>
          <w:rFonts w:cs="Times New Roman"/>
          <w:lang w:val="en-US"/>
        </w:rPr>
        <w:t xml:space="preserve">s </w:t>
      </w:r>
      <w:r w:rsidRPr="00881752">
        <w:rPr>
          <w:rFonts w:cs="Times New Roman"/>
          <w:i/>
          <w:iCs/>
          <w:lang w:val="en-US"/>
        </w:rPr>
        <w:t>persona</w:t>
      </w:r>
      <w:r w:rsidRPr="00881752">
        <w:rPr>
          <w:rFonts w:cs="Times New Roman"/>
          <w:lang w:val="en-US"/>
        </w:rPr>
        <w:t xml:space="preserve"> is twofold: it is both subject and addressee, since it constitutes both the subject of narration telling the story from his point of view, and the addressee of the author, being the object of author</w:t>
      </w:r>
      <w:r w:rsidR="00075F5F">
        <w:rPr>
          <w:rFonts w:cs="Times New Roman"/>
          <w:lang w:val="en-US"/>
        </w:rPr>
        <w:t>’</w:t>
      </w:r>
      <w:r w:rsidRPr="00881752">
        <w:rPr>
          <w:rFonts w:cs="Times New Roman"/>
          <w:lang w:val="en-US"/>
        </w:rPr>
        <w:t xml:space="preserve">s story. It is at the same time representing and represented, making clear the split of author and subject: the author is structured as signifier, and the text as dialogue of two discourses, that of the author and that of the subject. Therefore, the creation by Callimachus of characters (or </w:t>
      </w:r>
      <w:r w:rsidRPr="00881752">
        <w:rPr>
          <w:rFonts w:cs="Times New Roman"/>
          <w:i/>
          <w:iCs/>
          <w:lang w:val="en-US"/>
        </w:rPr>
        <w:t>personae</w:t>
      </w:r>
      <w:r w:rsidRPr="00881752">
        <w:rPr>
          <w:rFonts w:cs="Times New Roman"/>
          <w:lang w:val="en-US"/>
        </w:rPr>
        <w:t xml:space="preserve">) enables a </w:t>
      </w:r>
      <w:r w:rsidRPr="00881752">
        <w:rPr>
          <w:rFonts w:cs="Times New Roman"/>
          <w:lang w:val="en-US"/>
        </w:rPr>
        <w:lastRenderedPageBreak/>
        <w:t>clear disjunction of subject of enunciation (author) from subject of utterance (character).</w:t>
      </w:r>
      <w:r w:rsidRPr="00881752">
        <w:rPr>
          <w:rStyle w:val="FootnoteReference"/>
          <w:rFonts w:cs="Times New Roman"/>
          <w:lang w:val="en-US"/>
        </w:rPr>
        <w:footnoteReference w:id="229"/>
      </w:r>
      <w:r w:rsidRPr="00881752">
        <w:rPr>
          <w:rFonts w:cs="Times New Roman"/>
          <w:lang w:val="en-US"/>
        </w:rPr>
        <w:t xml:space="preserve"> Diagram 1 illustrates this mutation in abstract terms:</w:t>
      </w:r>
    </w:p>
    <w:p w14:paraId="2382FB59" w14:textId="77777777" w:rsidR="00881752" w:rsidRPr="00881752" w:rsidRDefault="00881752" w:rsidP="00F56C73">
      <w:pPr>
        <w:tabs>
          <w:tab w:val="center" w:pos="5387"/>
        </w:tabs>
        <w:rPr>
          <w:rFonts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3"/>
        <w:gridCol w:w="2985"/>
        <w:gridCol w:w="1875"/>
        <w:gridCol w:w="2577"/>
      </w:tblGrid>
      <w:tr w:rsidR="00272F31" w:rsidRPr="00881752" w14:paraId="5292511D" w14:textId="77777777" w:rsidTr="004313B2">
        <w:trPr>
          <w:trHeight w:val="410"/>
        </w:trPr>
        <w:tc>
          <w:tcPr>
            <w:tcW w:w="812" w:type="pct"/>
          </w:tcPr>
          <w:p w14:paraId="5808641D" w14:textId="77777777" w:rsidR="00272F31" w:rsidRPr="00881752" w:rsidRDefault="00272F31" w:rsidP="00695A7C">
            <w:pPr>
              <w:rPr>
                <w:rFonts w:cs="Times New Roman"/>
              </w:rPr>
            </w:pPr>
          </w:p>
        </w:tc>
        <w:tc>
          <w:tcPr>
            <w:tcW w:w="1681" w:type="pct"/>
          </w:tcPr>
          <w:p w14:paraId="54F5937C" w14:textId="77777777" w:rsidR="00272F31" w:rsidRPr="00881752" w:rsidRDefault="00272F31" w:rsidP="00695A7C">
            <w:pPr>
              <w:jc w:val="center"/>
              <w:rPr>
                <w:rFonts w:cs="Times New Roman"/>
                <w:color w:val="0000FF"/>
              </w:rPr>
            </w:pPr>
            <w:r w:rsidRPr="00881752">
              <w:rPr>
                <w:rFonts w:cs="Times New Roman"/>
                <w:color w:val="0000FF"/>
              </w:rPr>
              <w:t>Behind Narration</w:t>
            </w:r>
          </w:p>
        </w:tc>
        <w:tc>
          <w:tcPr>
            <w:tcW w:w="2507" w:type="pct"/>
            <w:gridSpan w:val="2"/>
          </w:tcPr>
          <w:p w14:paraId="6C27EBEA" w14:textId="77777777" w:rsidR="00272F31" w:rsidRPr="00881752" w:rsidRDefault="00272F31" w:rsidP="00695A7C">
            <w:pPr>
              <w:jc w:val="center"/>
              <w:rPr>
                <w:rFonts w:cs="Times New Roman"/>
                <w:color w:val="0000FF"/>
              </w:rPr>
            </w:pPr>
            <w:r w:rsidRPr="00881752">
              <w:rPr>
                <w:rFonts w:cs="Times New Roman"/>
                <w:color w:val="0000FF"/>
              </w:rPr>
              <w:t>In Narration</w:t>
            </w:r>
          </w:p>
        </w:tc>
      </w:tr>
      <w:tr w:rsidR="00272F31" w:rsidRPr="00881752" w14:paraId="04B65D6C" w14:textId="77777777" w:rsidTr="004313B2">
        <w:tc>
          <w:tcPr>
            <w:tcW w:w="812" w:type="pct"/>
          </w:tcPr>
          <w:p w14:paraId="523EAEF5" w14:textId="77777777" w:rsidR="00272F31" w:rsidRPr="00881752" w:rsidRDefault="00272F31" w:rsidP="00695A7C">
            <w:pPr>
              <w:rPr>
                <w:rFonts w:cs="Times New Roman"/>
                <w:color w:val="FF0000"/>
              </w:rPr>
            </w:pPr>
            <w:r w:rsidRPr="00881752">
              <w:rPr>
                <w:rFonts w:cs="Times New Roman"/>
                <w:color w:val="FF0000"/>
              </w:rPr>
              <w:t xml:space="preserve">Story Level </w:t>
            </w:r>
          </w:p>
        </w:tc>
        <w:tc>
          <w:tcPr>
            <w:tcW w:w="1681" w:type="pct"/>
          </w:tcPr>
          <w:p w14:paraId="49CADCA6" w14:textId="77777777" w:rsidR="00272F31" w:rsidRPr="00881752" w:rsidRDefault="00272F31" w:rsidP="00695A7C">
            <w:pPr>
              <w:jc w:val="center"/>
              <w:rPr>
                <w:rFonts w:cs="Times New Roman"/>
              </w:rPr>
            </w:pPr>
            <w:r w:rsidRPr="00881752">
              <w:rPr>
                <w:rFonts w:cs="Times New Roman"/>
                <w:noProof/>
                <w:lang w:val="en-US"/>
              </w:rPr>
              <mc:AlternateContent>
                <mc:Choice Requires="wps">
                  <w:drawing>
                    <wp:anchor distT="0" distB="0" distL="114300" distR="114300" simplePos="0" relativeHeight="251661312" behindDoc="1" locked="0" layoutInCell="1" allowOverlap="1" wp14:anchorId="251301D3" wp14:editId="3FEDCEAC">
                      <wp:simplePos x="0" y="0"/>
                      <wp:positionH relativeFrom="column">
                        <wp:posOffset>1299210</wp:posOffset>
                      </wp:positionH>
                      <wp:positionV relativeFrom="paragraph">
                        <wp:posOffset>75565</wp:posOffset>
                      </wp:positionV>
                      <wp:extent cx="336550" cy="571500"/>
                      <wp:effectExtent l="50800" t="25400" r="19050" b="114300"/>
                      <wp:wrapNone/>
                      <wp:docPr id="11" name="Right Brace 11"/>
                      <wp:cNvGraphicFramePr/>
                      <a:graphic xmlns:a="http://schemas.openxmlformats.org/drawingml/2006/main">
                        <a:graphicData uri="http://schemas.microsoft.com/office/word/2010/wordprocessingShape">
                          <wps:wsp>
                            <wps:cNvSpPr/>
                            <wps:spPr>
                              <a:xfrm>
                                <a:off x="0" y="0"/>
                                <a:ext cx="336550" cy="571500"/>
                              </a:xfrm>
                              <a:prstGeom prst="rightBrace">
                                <a:avLst/>
                              </a:prstGeom>
                              <a:ln w="3175" cmpd="sng">
                                <a:solidFill>
                                  <a:srgbClr val="000000"/>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 o:spid="_x0000_s1026" type="#_x0000_t88" style="position:absolute;margin-left:102.3pt;margin-top:5.95pt;width:26.5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" adj="1060" strokeweight=".25pt">
                      <v:shadow on="t" opacity="24903f" mv:blur="40000f" origin=",.5" offset="0,20000emu"/>
                    </v:shape>
                  </w:pict>
                </mc:Fallback>
              </mc:AlternateContent>
            </w:r>
            <w:r w:rsidRPr="00881752">
              <w:rPr>
                <w:rFonts w:cs="Times New Roman"/>
              </w:rPr>
              <w:t>Subject</w:t>
            </w:r>
          </w:p>
        </w:tc>
        <w:tc>
          <w:tcPr>
            <w:tcW w:w="1056" w:type="pct"/>
          </w:tcPr>
          <w:p w14:paraId="067F9883" w14:textId="391B8ED8" w:rsidR="00272F31" w:rsidRPr="00881752" w:rsidRDefault="00204539" w:rsidP="00695A7C">
            <w:pPr>
              <w:ind w:left="-300" w:hanging="6"/>
              <w:rPr>
                <w:rFonts w:cs="Times New Roman"/>
                <w:i/>
              </w:rPr>
            </w:pPr>
            <w:r w:rsidRPr="00881752">
              <w:rPr>
                <w:rFonts w:cs="Times New Roman"/>
                <w:i/>
              </w:rPr>
              <w:t xml:space="preserve"> </w:t>
            </w:r>
            <w:r w:rsidR="00272F31" w:rsidRPr="00881752">
              <w:rPr>
                <w:rFonts w:cs="Times New Roman"/>
                <w:i/>
              </w:rPr>
              <w:t xml:space="preserve">  </w:t>
            </w:r>
          </w:p>
          <w:p w14:paraId="680A82A6" w14:textId="716D71E2" w:rsidR="00272F31" w:rsidRPr="00881752" w:rsidRDefault="00037E5C" w:rsidP="00695A7C">
            <w:pPr>
              <w:ind w:left="-303" w:hanging="3"/>
              <w:rPr>
                <w:rFonts w:cs="Times New Roman"/>
              </w:rPr>
            </w:pPr>
            <w:r w:rsidRPr="00881752">
              <w:rPr>
                <w:rFonts w:cs="Times New Roman"/>
                <w:i/>
                <w:noProof/>
                <w:lang w:val="en-US"/>
              </w:rPr>
              <mc:AlternateContent>
                <mc:Choice Requires="wps">
                  <w:drawing>
                    <wp:anchor distT="0" distB="0" distL="114300" distR="114300" simplePos="0" relativeHeight="251663360" behindDoc="0" locked="0" layoutInCell="1" allowOverlap="1" wp14:anchorId="22C06C27" wp14:editId="0ADF4543">
                      <wp:simplePos x="0" y="0"/>
                      <wp:positionH relativeFrom="column">
                        <wp:posOffset>978535</wp:posOffset>
                      </wp:positionH>
                      <wp:positionV relativeFrom="paragraph">
                        <wp:posOffset>131445</wp:posOffset>
                      </wp:positionV>
                      <wp:extent cx="323850" cy="198755"/>
                      <wp:effectExtent l="50800" t="25400" r="107950" b="106045"/>
                      <wp:wrapNone/>
                      <wp:docPr id="1" name="Straight Arrow Connector 1"/>
                      <wp:cNvGraphicFramePr/>
                      <a:graphic xmlns:a="http://schemas.openxmlformats.org/drawingml/2006/main">
                        <a:graphicData uri="http://schemas.microsoft.com/office/word/2010/wordprocessingShape">
                          <wps:wsp>
                            <wps:cNvCnPr/>
                            <wps:spPr>
                              <a:xfrm>
                                <a:off x="0" y="0"/>
                                <a:ext cx="323850" cy="198755"/>
                              </a:xfrm>
                              <a:prstGeom prst="straightConnector1">
                                <a:avLst/>
                              </a:prstGeom>
                              <a:ln w="3175" cmpd="sng">
                                <a:solidFill>
                                  <a:schemeClr val="tx1"/>
                                </a:solidFill>
                                <a:headEnd type="none"/>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32" coordsize="21600,21600" o:spt="32" o:oned="t" path="m0,0l21600,21600e" filled="f">
                      <v:path arrowok="t" fillok="f" o:connecttype="none"/>
                      <o:lock v:ext="edit" shapetype="t"/>
                    </v:shapetype>
                    <v:shape id="Straight Arrow Connector 1" o:spid="_x0000_s1026" type="#_x0000_t32" style="position:absolute;margin-left:77.05pt;margin-top:10.35pt;width:25.5pt;height:1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" strokecolor="black [3213]" strokeweight=".25pt">
                      <v:stroke endarrow="open"/>
                      <v:shadow on="t" opacity="24903f" mv:blur="40000f" origin=",.5" offset="0,20000emu"/>
                    </v:shape>
                  </w:pict>
                </mc:Fallback>
              </mc:AlternateContent>
            </w:r>
            <w:r w:rsidRPr="00881752">
              <w:rPr>
                <w:rFonts w:cs="Times New Roman"/>
                <w:noProof/>
                <w:lang w:val="en-US"/>
              </w:rPr>
              <mc:AlternateContent>
                <mc:Choice Requires="wps">
                  <w:drawing>
                    <wp:anchor distT="0" distB="0" distL="114300" distR="114300" simplePos="0" relativeHeight="251662336" behindDoc="0" locked="0" layoutInCell="1" allowOverlap="1" wp14:anchorId="745EAFDC" wp14:editId="3B641DFD">
                      <wp:simplePos x="0" y="0"/>
                      <wp:positionH relativeFrom="column">
                        <wp:posOffset>978535</wp:posOffset>
                      </wp:positionH>
                      <wp:positionV relativeFrom="paragraph">
                        <wp:posOffset>-12700</wp:posOffset>
                      </wp:positionV>
                      <wp:extent cx="323850" cy="153035"/>
                      <wp:effectExtent l="50800" t="50800" r="82550" b="100965"/>
                      <wp:wrapNone/>
                      <wp:docPr id="15" name="Straight Arrow Connector 15"/>
                      <wp:cNvGraphicFramePr/>
                      <a:graphic xmlns:a="http://schemas.openxmlformats.org/drawingml/2006/main">
                        <a:graphicData uri="http://schemas.microsoft.com/office/word/2010/wordprocessingShape">
                          <wps:wsp>
                            <wps:cNvCnPr/>
                            <wps:spPr>
                              <a:xfrm flipV="1">
                                <a:off x="0" y="0"/>
                                <a:ext cx="323850" cy="153035"/>
                              </a:xfrm>
                              <a:prstGeom prst="straightConnector1">
                                <a:avLst/>
                              </a:prstGeom>
                              <a:ln w="3175" cmpd="sng">
                                <a:solidFill>
                                  <a:schemeClr val="tx1"/>
                                </a:solidFill>
                                <a:headEnd type="none"/>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Straight Arrow Connector 15" o:spid="_x0000_s1026" type="#_x0000_t32" style="position:absolute;margin-left:77.05pt;margin-top:-.95pt;width:25.5pt;height:12.0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" strokecolor="black [3213]" strokeweight=".25pt">
                      <v:stroke endarrow="open"/>
                      <v:shadow on="t" opacity="24903f" mv:blur="40000f" origin=",.5" offset="0,20000emu"/>
                    </v:shape>
                  </w:pict>
                </mc:Fallback>
              </mc:AlternateContent>
            </w:r>
            <w:r w:rsidR="00272F31" w:rsidRPr="00881752">
              <w:rPr>
                <w:rFonts w:cs="Times New Roman"/>
                <w:i/>
              </w:rPr>
              <w:t xml:space="preserve">    Persona loquens</w:t>
            </w:r>
          </w:p>
        </w:tc>
        <w:tc>
          <w:tcPr>
            <w:tcW w:w="1451" w:type="pct"/>
          </w:tcPr>
          <w:p w14:paraId="764308D2" w14:textId="77777777" w:rsidR="00272F31" w:rsidRPr="00881752" w:rsidRDefault="00272F31" w:rsidP="00695A7C">
            <w:pPr>
              <w:rPr>
                <w:rFonts w:cs="Times New Roman"/>
              </w:rPr>
            </w:pPr>
            <w:r w:rsidRPr="00881752">
              <w:rPr>
                <w:rFonts w:cs="Times New Roman"/>
              </w:rPr>
              <w:t xml:space="preserve"> Subject of enunciation</w:t>
            </w:r>
          </w:p>
        </w:tc>
      </w:tr>
      <w:tr w:rsidR="00272F31" w:rsidRPr="00881752" w14:paraId="65A01867" w14:textId="77777777" w:rsidTr="004313B2">
        <w:tc>
          <w:tcPr>
            <w:tcW w:w="812" w:type="pct"/>
          </w:tcPr>
          <w:p w14:paraId="632AB8E5" w14:textId="77777777" w:rsidR="00272F31" w:rsidRPr="00881752" w:rsidRDefault="00272F31" w:rsidP="00695A7C">
            <w:pPr>
              <w:rPr>
                <w:rFonts w:cs="Times New Roman"/>
                <w:color w:val="FF0000"/>
              </w:rPr>
            </w:pPr>
            <w:r w:rsidRPr="00881752">
              <w:rPr>
                <w:rFonts w:cs="Times New Roman"/>
                <w:color w:val="FF0000"/>
              </w:rPr>
              <w:t xml:space="preserve">Discourse Level </w:t>
            </w:r>
          </w:p>
        </w:tc>
        <w:tc>
          <w:tcPr>
            <w:tcW w:w="1681" w:type="pct"/>
          </w:tcPr>
          <w:p w14:paraId="79042006" w14:textId="06A4888E" w:rsidR="00272F31" w:rsidRPr="00881752" w:rsidRDefault="00771DAB" w:rsidP="00695A7C">
            <w:pPr>
              <w:jc w:val="center"/>
              <w:rPr>
                <w:rFonts w:cs="Times New Roman"/>
              </w:rPr>
            </w:pPr>
            <w:r w:rsidRPr="00881752">
              <w:rPr>
                <w:rFonts w:cs="Times New Roman"/>
                <w:noProof/>
                <w:lang w:val="en-US"/>
              </w:rPr>
              <mc:AlternateContent>
                <mc:Choice Requires="wps">
                  <w:drawing>
                    <wp:anchor distT="0" distB="0" distL="114300" distR="114300" simplePos="0" relativeHeight="251659264" behindDoc="0" locked="0" layoutInCell="1" allowOverlap="1" wp14:anchorId="4E82869D" wp14:editId="142520D4">
                      <wp:simplePos x="0" y="0"/>
                      <wp:positionH relativeFrom="column">
                        <wp:posOffset>499110</wp:posOffset>
                      </wp:positionH>
                      <wp:positionV relativeFrom="paragraph">
                        <wp:posOffset>222250</wp:posOffset>
                      </wp:positionV>
                      <wp:extent cx="342900" cy="342900"/>
                      <wp:effectExtent l="76200" t="25400" r="63500" b="114300"/>
                      <wp:wrapNone/>
                      <wp:docPr id="4" name="Straight Arrow Connector 4"/>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w="3175" cmpd="sng">
                                <a:headEnd type="none"/>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5="http://schemas.microsoft.com/office/word/2012/wordml">
                  <w:pict>
                    <v:shape id="Straight Arrow Connector 4" o:spid="_x0000_s1026" type="#_x0000_t32" style="position:absolute;margin-left:39.3pt;margin-top:17.5pt;width:27pt;height:27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" strokecolor="black [3200]" strokeweight=".25pt">
                      <v:stroke endarrow="open"/>
                      <v:shadow on="t" opacity="24903f" mv:blur="40000f" origin=",.5" offset="0,20000emu"/>
                    </v:shape>
                  </w:pict>
                </mc:Fallback>
              </mc:AlternateContent>
            </w:r>
            <w:r w:rsidR="00272F31" w:rsidRPr="00881752">
              <w:rPr>
                <w:rFonts w:cs="Times New Roman"/>
                <w:noProof/>
                <w:lang w:val="en-US"/>
              </w:rPr>
              <mc:AlternateContent>
                <mc:Choice Requires="wps">
                  <w:drawing>
                    <wp:anchor distT="0" distB="0" distL="114300" distR="114300" simplePos="0" relativeHeight="251660288" behindDoc="0" locked="0" layoutInCell="1" allowOverlap="1" wp14:anchorId="1FED0440" wp14:editId="76E49CE6">
                      <wp:simplePos x="0" y="0"/>
                      <wp:positionH relativeFrom="column">
                        <wp:posOffset>842010</wp:posOffset>
                      </wp:positionH>
                      <wp:positionV relativeFrom="paragraph">
                        <wp:posOffset>222250</wp:posOffset>
                      </wp:positionV>
                      <wp:extent cx="342900" cy="342900"/>
                      <wp:effectExtent l="50800" t="25400" r="114300" b="114300"/>
                      <wp:wrapNone/>
                      <wp:docPr id="5" name="Straight Arrow Connector 5"/>
                      <wp:cNvGraphicFramePr/>
                      <a:graphic xmlns:a="http://schemas.openxmlformats.org/drawingml/2006/main">
                        <a:graphicData uri="http://schemas.microsoft.com/office/word/2010/wordprocessingShape">
                          <wps:wsp>
                            <wps:cNvCnPr/>
                            <wps:spPr>
                              <a:xfrm>
                                <a:off x="0" y="0"/>
                                <a:ext cx="342900" cy="342900"/>
                              </a:xfrm>
                              <a:prstGeom prst="straightConnector1">
                                <a:avLst/>
                              </a:prstGeom>
                              <a:ln w="3175" cmpd="sng">
                                <a:headEnd type="none"/>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xmlns:w15="http://schemas.microsoft.com/office/word/2012/wordml">
                  <w:pict>
                    <v:shape id="Straight Arrow Connector 5" o:spid="_x0000_s1026" type="#_x0000_t32" style="position:absolute;margin-left:66.3pt;margin-top:17.5pt;width:27pt;height:2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" strokecolor="black [3200]" strokeweight=".25pt">
                      <v:stroke endarrow="open"/>
                      <v:shadow on="t" opacity="24903f" mv:blur="40000f" origin=",.5" offset="0,20000emu"/>
                    </v:shape>
                  </w:pict>
                </mc:Fallback>
              </mc:AlternateContent>
            </w:r>
            <w:r w:rsidR="00272F31" w:rsidRPr="00881752">
              <w:rPr>
                <w:rFonts w:cs="Times New Roman"/>
              </w:rPr>
              <w:t>Addressee</w:t>
            </w:r>
          </w:p>
          <w:p w14:paraId="2E4D8988" w14:textId="77777777" w:rsidR="00272F31" w:rsidRPr="00881752" w:rsidRDefault="00272F31" w:rsidP="00695A7C">
            <w:pPr>
              <w:rPr>
                <w:rFonts w:cs="Times New Roman"/>
              </w:rPr>
            </w:pPr>
          </w:p>
          <w:p w14:paraId="6FA1E9EA" w14:textId="69FB1D0B" w:rsidR="00272F31" w:rsidRPr="00881752" w:rsidRDefault="00272F31" w:rsidP="00771DAB">
            <w:pPr>
              <w:rPr>
                <w:rFonts w:cs="Times New Roman"/>
              </w:rPr>
            </w:pPr>
            <w:r w:rsidRPr="00881752">
              <w:rPr>
                <w:rFonts w:cs="Times New Roman"/>
              </w:rPr>
              <w:t>Represented</w:t>
            </w:r>
            <w:r w:rsidR="00771DAB" w:rsidRPr="00881752">
              <w:rPr>
                <w:rFonts w:cs="Times New Roman"/>
              </w:rPr>
              <w:t xml:space="preserve">  </w:t>
            </w:r>
            <w:r w:rsidRPr="00881752">
              <w:rPr>
                <w:rFonts w:cs="Times New Roman"/>
              </w:rPr>
              <w:t>Representing</w:t>
            </w:r>
          </w:p>
        </w:tc>
        <w:tc>
          <w:tcPr>
            <w:tcW w:w="1056" w:type="pct"/>
          </w:tcPr>
          <w:p w14:paraId="3197A919" w14:textId="77777777" w:rsidR="00272F31" w:rsidRPr="00881752" w:rsidRDefault="00272F31" w:rsidP="00695A7C">
            <w:pPr>
              <w:rPr>
                <w:rFonts w:cs="Times New Roman"/>
              </w:rPr>
            </w:pPr>
          </w:p>
        </w:tc>
        <w:tc>
          <w:tcPr>
            <w:tcW w:w="1451" w:type="pct"/>
          </w:tcPr>
          <w:p w14:paraId="223EFDEC" w14:textId="77777777" w:rsidR="00272F31" w:rsidRPr="00881752" w:rsidRDefault="00272F31" w:rsidP="00695A7C">
            <w:pPr>
              <w:rPr>
                <w:rFonts w:cs="Times New Roman"/>
              </w:rPr>
            </w:pPr>
            <w:r w:rsidRPr="00881752">
              <w:rPr>
                <w:rFonts w:cs="Times New Roman"/>
              </w:rPr>
              <w:t xml:space="preserve">  Subject of utterance</w:t>
            </w:r>
          </w:p>
        </w:tc>
      </w:tr>
      <w:tr w:rsidR="00272F31" w:rsidRPr="00881752" w14:paraId="114C9136" w14:textId="77777777" w:rsidTr="004313B2">
        <w:tc>
          <w:tcPr>
            <w:tcW w:w="5000" w:type="pct"/>
            <w:gridSpan w:val="4"/>
          </w:tcPr>
          <w:p w14:paraId="49D5272C" w14:textId="77777777" w:rsidR="00272F31" w:rsidRPr="00881752" w:rsidRDefault="00272F31" w:rsidP="002C29A2">
            <w:pPr>
              <w:rPr>
                <w:rFonts w:cs="Times New Roman"/>
                <w:i/>
                <w:sz w:val="20"/>
                <w:szCs w:val="20"/>
              </w:rPr>
            </w:pPr>
            <w:r w:rsidRPr="00881752">
              <w:rPr>
                <w:rFonts w:cs="Times New Roman"/>
                <w:i/>
                <w:sz w:val="20"/>
                <w:szCs w:val="20"/>
              </w:rPr>
              <w:t>Diagram 1</w:t>
            </w:r>
          </w:p>
        </w:tc>
      </w:tr>
    </w:tbl>
    <w:p w14:paraId="416B905F" w14:textId="77777777" w:rsidR="00272F31" w:rsidRPr="00881752" w:rsidRDefault="00272F31" w:rsidP="00BD2DA1">
      <w:pPr>
        <w:rPr>
          <w:rFonts w:cs="Times New Roman"/>
          <w:szCs w:val="24"/>
        </w:rPr>
      </w:pPr>
    </w:p>
    <w:p w14:paraId="5B76D5C4" w14:textId="05ABB942" w:rsidR="00272F31" w:rsidRPr="00881752" w:rsidRDefault="00937994" w:rsidP="00D630EB">
      <w:pPr>
        <w:spacing w:after="240"/>
        <w:rPr>
          <w:rFonts w:cs="Times New Roman"/>
          <w:szCs w:val="24"/>
        </w:rPr>
      </w:pPr>
      <w:r w:rsidRPr="00881752">
        <w:rPr>
          <w:rFonts w:cs="Times New Roman"/>
          <w:lang w:val="en-US"/>
        </w:rPr>
        <w:t xml:space="preserve">If we read </w:t>
      </w:r>
      <w:r w:rsidRPr="00881752">
        <w:rPr>
          <w:rFonts w:cs="Times New Roman"/>
          <w:i/>
          <w:iCs/>
          <w:lang w:val="en-US"/>
        </w:rPr>
        <w:t>Iambus</w:t>
      </w:r>
      <w:r w:rsidRPr="00881752">
        <w:rPr>
          <w:rFonts w:cs="Times New Roman"/>
          <w:lang w:val="en-US"/>
        </w:rPr>
        <w:t xml:space="preserve"> 1 in light of Callimachus adopting this schema, the situation is articulated as shown in diagram 2:</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2849"/>
        <w:gridCol w:w="2209"/>
        <w:gridCol w:w="2231"/>
      </w:tblGrid>
      <w:tr w:rsidR="00272F31" w:rsidRPr="00881752" w14:paraId="45AD0A34" w14:textId="77777777" w:rsidTr="004313B2">
        <w:tc>
          <w:tcPr>
            <w:tcW w:w="896" w:type="pct"/>
          </w:tcPr>
          <w:p w14:paraId="78F395D8" w14:textId="77777777" w:rsidR="00272F31" w:rsidRPr="00881752" w:rsidRDefault="00272F31" w:rsidP="00771DAB">
            <w:pPr>
              <w:keepNext/>
              <w:spacing w:line="360" w:lineRule="auto"/>
              <w:rPr>
                <w:rFonts w:cs="Times New Roman"/>
              </w:rPr>
            </w:pPr>
          </w:p>
        </w:tc>
        <w:tc>
          <w:tcPr>
            <w:tcW w:w="1604" w:type="pct"/>
          </w:tcPr>
          <w:p w14:paraId="33C870E9" w14:textId="77777777" w:rsidR="00272F31" w:rsidRPr="00881752" w:rsidRDefault="00272F31" w:rsidP="00771DAB">
            <w:pPr>
              <w:keepNext/>
              <w:spacing w:line="360" w:lineRule="auto"/>
              <w:jc w:val="center"/>
              <w:rPr>
                <w:rFonts w:cs="Times New Roman"/>
                <w:color w:val="0000FF"/>
              </w:rPr>
            </w:pPr>
            <w:r w:rsidRPr="00881752">
              <w:rPr>
                <w:rFonts w:cs="Times New Roman"/>
                <w:color w:val="0000FF"/>
              </w:rPr>
              <w:t>Behind Narration</w:t>
            </w:r>
          </w:p>
        </w:tc>
        <w:tc>
          <w:tcPr>
            <w:tcW w:w="2500" w:type="pct"/>
            <w:gridSpan w:val="2"/>
          </w:tcPr>
          <w:p w14:paraId="2BA074C9" w14:textId="77777777" w:rsidR="00272F31" w:rsidRPr="00881752" w:rsidRDefault="00272F31" w:rsidP="00771DAB">
            <w:pPr>
              <w:keepNext/>
              <w:spacing w:line="360" w:lineRule="auto"/>
              <w:jc w:val="center"/>
              <w:rPr>
                <w:rFonts w:cs="Times New Roman"/>
                <w:color w:val="0000FF"/>
              </w:rPr>
            </w:pPr>
            <w:r w:rsidRPr="00881752">
              <w:rPr>
                <w:rFonts w:cs="Times New Roman"/>
                <w:color w:val="0000FF"/>
              </w:rPr>
              <w:t>In Narration</w:t>
            </w:r>
          </w:p>
        </w:tc>
      </w:tr>
      <w:tr w:rsidR="00272F31" w:rsidRPr="00881752" w14:paraId="384AB345" w14:textId="77777777" w:rsidTr="004313B2">
        <w:tc>
          <w:tcPr>
            <w:tcW w:w="896" w:type="pct"/>
          </w:tcPr>
          <w:p w14:paraId="1A6D35CC" w14:textId="77777777" w:rsidR="00272F31" w:rsidRPr="00881752" w:rsidRDefault="00272F31" w:rsidP="00771DAB">
            <w:pPr>
              <w:keepNext/>
              <w:spacing w:line="360" w:lineRule="auto"/>
              <w:rPr>
                <w:rFonts w:cs="Times New Roman"/>
                <w:color w:val="FF0000"/>
              </w:rPr>
            </w:pPr>
            <w:r w:rsidRPr="00881752">
              <w:rPr>
                <w:rFonts w:cs="Times New Roman"/>
                <w:color w:val="FF0000"/>
              </w:rPr>
              <w:t>Story Level</w:t>
            </w:r>
          </w:p>
        </w:tc>
        <w:tc>
          <w:tcPr>
            <w:tcW w:w="1604" w:type="pct"/>
          </w:tcPr>
          <w:p w14:paraId="6AB5A2D5" w14:textId="77777777" w:rsidR="00272F31" w:rsidRPr="00881752" w:rsidRDefault="00272F31" w:rsidP="00771DAB">
            <w:pPr>
              <w:keepNext/>
              <w:spacing w:line="360" w:lineRule="auto"/>
              <w:jc w:val="center"/>
              <w:rPr>
                <w:rFonts w:cs="Times New Roman"/>
              </w:rPr>
            </w:pPr>
            <w:r w:rsidRPr="00881752">
              <w:rPr>
                <w:rFonts w:cs="Times New Roman"/>
                <w:noProof/>
                <w:lang w:val="en-US"/>
              </w:rPr>
              <mc:AlternateContent>
                <mc:Choice Requires="wps">
                  <w:drawing>
                    <wp:anchor distT="0" distB="0" distL="114300" distR="114300" simplePos="0" relativeHeight="251665408" behindDoc="1" locked="0" layoutInCell="1" allowOverlap="1" wp14:anchorId="5C7E1179" wp14:editId="3270C05B">
                      <wp:simplePos x="0" y="0"/>
                      <wp:positionH relativeFrom="column">
                        <wp:posOffset>1202690</wp:posOffset>
                      </wp:positionH>
                      <wp:positionV relativeFrom="paragraph">
                        <wp:posOffset>106680</wp:posOffset>
                      </wp:positionV>
                      <wp:extent cx="366395" cy="479425"/>
                      <wp:effectExtent l="50800" t="25400" r="14605" b="104775"/>
                      <wp:wrapNone/>
                      <wp:docPr id="39" name="Right Brace 39"/>
                      <wp:cNvGraphicFramePr/>
                      <a:graphic xmlns:a="http://schemas.openxmlformats.org/drawingml/2006/main">
                        <a:graphicData uri="http://schemas.microsoft.com/office/word/2010/wordprocessingShape">
                          <wps:wsp>
                            <wps:cNvSpPr/>
                            <wps:spPr>
                              <a:xfrm rot="10800000" flipH="1" flipV="1">
                                <a:off x="0" y="0"/>
                                <a:ext cx="366395" cy="479425"/>
                              </a:xfrm>
                              <a:prstGeom prst="rightBrace">
                                <a:avLst/>
                              </a:prstGeom>
                              <a:ln w="3175" cmpd="sng">
                                <a:solidFill>
                                  <a:srgbClr val="000000"/>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ight Brace 39" o:spid="_x0000_s1026" type="#_x0000_t88" style="position:absolute;margin-left:94.7pt;margin-top:8.4pt;width:28.85pt;height:37.75pt;rotation:180;flip:x 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" adj="1376" strokeweight=".25pt">
                      <v:shadow on="t" opacity="24903f" mv:blur="40000f" origin=",.5" offset="0,20000emu"/>
                    </v:shape>
                  </w:pict>
                </mc:Fallback>
              </mc:AlternateContent>
            </w:r>
            <w:r w:rsidRPr="00881752">
              <w:rPr>
                <w:rFonts w:cs="Times New Roman"/>
              </w:rPr>
              <w:t>Callimachus</w:t>
            </w:r>
          </w:p>
        </w:tc>
        <w:tc>
          <w:tcPr>
            <w:tcW w:w="1244" w:type="pct"/>
          </w:tcPr>
          <w:p w14:paraId="5534A968" w14:textId="77777777" w:rsidR="00272F31" w:rsidRPr="00881752" w:rsidRDefault="00272F31" w:rsidP="00771DAB">
            <w:pPr>
              <w:keepNext/>
              <w:spacing w:line="360" w:lineRule="auto"/>
              <w:rPr>
                <w:rFonts w:cs="Times New Roman"/>
              </w:rPr>
            </w:pPr>
            <w:r w:rsidRPr="00881752">
              <w:rPr>
                <w:rFonts w:cs="Times New Roman"/>
                <w:noProof/>
                <w:lang w:val="en-US"/>
              </w:rPr>
              <mc:AlternateContent>
                <mc:Choice Requires="wps">
                  <w:drawing>
                    <wp:anchor distT="0" distB="0" distL="114300" distR="114300" simplePos="0" relativeHeight="251664384" behindDoc="0" locked="0" layoutInCell="1" allowOverlap="1" wp14:anchorId="6FE36F7C" wp14:editId="78F06712">
                      <wp:simplePos x="0" y="0"/>
                      <wp:positionH relativeFrom="column">
                        <wp:posOffset>610870</wp:posOffset>
                      </wp:positionH>
                      <wp:positionV relativeFrom="paragraph">
                        <wp:posOffset>106680</wp:posOffset>
                      </wp:positionV>
                      <wp:extent cx="685800" cy="228600"/>
                      <wp:effectExtent l="50800" t="76200" r="25400" b="101600"/>
                      <wp:wrapNone/>
                      <wp:docPr id="17" name="Straight Arrow Connector 17"/>
                      <wp:cNvGraphicFramePr/>
                      <a:graphic xmlns:a="http://schemas.openxmlformats.org/drawingml/2006/main">
                        <a:graphicData uri="http://schemas.microsoft.com/office/word/2010/wordprocessingShape">
                          <wps:wsp>
                            <wps:cNvCnPr/>
                            <wps:spPr>
                              <a:xfrm flipV="1">
                                <a:off x="0" y="0"/>
                                <a:ext cx="685800" cy="2286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17" o:spid="_x0000_s1026" type="#_x0000_t32" style="position:absolute;margin-left:48.1pt;margin-top:8.4pt;width:54pt;height:18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" strokeweight=".25pt">
                      <v:stroke endarrow="open"/>
                      <v:shadow on="t" opacity="24903f" mv:blur="40000f" origin=",.5" offset="0,20000emu"/>
                    </v:shape>
                  </w:pict>
                </mc:Fallback>
              </mc:AlternateContent>
            </w:r>
          </w:p>
          <w:p w14:paraId="6053E76D" w14:textId="77777777" w:rsidR="00272F31" w:rsidRPr="00881752" w:rsidRDefault="00272F31" w:rsidP="00771DAB">
            <w:pPr>
              <w:keepNext/>
              <w:spacing w:line="360" w:lineRule="auto"/>
              <w:rPr>
                <w:rFonts w:cs="Times New Roman"/>
              </w:rPr>
            </w:pPr>
            <w:r w:rsidRPr="00881752">
              <w:rPr>
                <w:rFonts w:cs="Times New Roman"/>
                <w:noProof/>
                <w:lang w:val="en-US"/>
              </w:rPr>
              <mc:AlternateContent>
                <mc:Choice Requires="wps">
                  <w:drawing>
                    <wp:anchor distT="0" distB="0" distL="114300" distR="114300" simplePos="0" relativeHeight="251668480" behindDoc="0" locked="0" layoutInCell="1" allowOverlap="1" wp14:anchorId="35615CF8" wp14:editId="39AF168D">
                      <wp:simplePos x="0" y="0"/>
                      <wp:positionH relativeFrom="column">
                        <wp:posOffset>610870</wp:posOffset>
                      </wp:positionH>
                      <wp:positionV relativeFrom="paragraph">
                        <wp:posOffset>72390</wp:posOffset>
                      </wp:positionV>
                      <wp:extent cx="685800" cy="228600"/>
                      <wp:effectExtent l="50800" t="25400" r="101600" b="127000"/>
                      <wp:wrapNone/>
                      <wp:docPr id="6" name="Straight Arrow Connector 6"/>
                      <wp:cNvGraphicFramePr/>
                      <a:graphic xmlns:a="http://schemas.openxmlformats.org/drawingml/2006/main">
                        <a:graphicData uri="http://schemas.microsoft.com/office/word/2010/wordprocessingShape">
                          <wps:wsp>
                            <wps:cNvCnPr/>
                            <wps:spPr>
                              <a:xfrm>
                                <a:off x="0" y="0"/>
                                <a:ext cx="685800" cy="2286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6" o:spid="_x0000_s1026" type="#_x0000_t32" style="position:absolute;margin-left:48.1pt;margin-top:5.7pt;width:54pt;height:1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" strokeweight=".25pt">
                      <v:stroke endarrow="open"/>
                      <v:shadow on="t" opacity="24903f" mv:blur="40000f" origin=",.5" offset="0,20000emu"/>
                    </v:shape>
                  </w:pict>
                </mc:Fallback>
              </mc:AlternateContent>
            </w:r>
            <w:r w:rsidRPr="00881752">
              <w:rPr>
                <w:rFonts w:cs="Times New Roman"/>
              </w:rPr>
              <w:t>Hipponax</w:t>
            </w:r>
            <w:r w:rsidRPr="00881752">
              <w:rPr>
                <w:rFonts w:cs="Times New Roman"/>
                <w:noProof/>
              </w:rPr>
              <w:t xml:space="preserve"> </w:t>
            </w:r>
          </w:p>
        </w:tc>
        <w:tc>
          <w:tcPr>
            <w:tcW w:w="1256" w:type="pct"/>
          </w:tcPr>
          <w:p w14:paraId="0DE228FA" w14:textId="2A3B8918" w:rsidR="00272F31" w:rsidRPr="00881752" w:rsidRDefault="00272F31" w:rsidP="004313B2">
            <w:pPr>
              <w:keepNext/>
              <w:spacing w:line="240" w:lineRule="auto"/>
              <w:rPr>
                <w:rFonts w:cs="Times New Roman"/>
              </w:rPr>
            </w:pPr>
            <w:r w:rsidRPr="00881752">
              <w:rPr>
                <w:rFonts w:cs="Times New Roman"/>
              </w:rPr>
              <w:t>Callimachus</w:t>
            </w:r>
            <w:r w:rsidR="00075F5F">
              <w:rPr>
                <w:rFonts w:cs="Times New Roman"/>
              </w:rPr>
              <w:t>’</w:t>
            </w:r>
            <w:r w:rsidRPr="00881752">
              <w:rPr>
                <w:rFonts w:cs="Times New Roman"/>
              </w:rPr>
              <w:t xml:space="preserve"> Hipponax</w:t>
            </w:r>
          </w:p>
        </w:tc>
      </w:tr>
      <w:tr w:rsidR="00272F31" w:rsidRPr="00881752" w14:paraId="489E7156" w14:textId="77777777" w:rsidTr="004313B2">
        <w:tc>
          <w:tcPr>
            <w:tcW w:w="896" w:type="pct"/>
          </w:tcPr>
          <w:p w14:paraId="24CC3D9A" w14:textId="77777777" w:rsidR="00272F31" w:rsidRPr="00881752" w:rsidRDefault="00272F31" w:rsidP="00771DAB">
            <w:pPr>
              <w:spacing w:line="360" w:lineRule="auto"/>
              <w:rPr>
                <w:rFonts w:cs="Times New Roman"/>
                <w:color w:val="FF0000"/>
              </w:rPr>
            </w:pPr>
            <w:r w:rsidRPr="00881752">
              <w:rPr>
                <w:rFonts w:cs="Times New Roman"/>
                <w:color w:val="FF0000"/>
              </w:rPr>
              <w:t>Discourse Level</w:t>
            </w:r>
          </w:p>
        </w:tc>
        <w:tc>
          <w:tcPr>
            <w:tcW w:w="1604" w:type="pct"/>
          </w:tcPr>
          <w:p w14:paraId="4A640720" w14:textId="77777777" w:rsidR="00272F31" w:rsidRPr="00881752" w:rsidRDefault="00272F31" w:rsidP="00771DAB">
            <w:pPr>
              <w:spacing w:line="360" w:lineRule="auto"/>
              <w:jc w:val="center"/>
              <w:rPr>
                <w:rFonts w:cs="Times New Roman"/>
              </w:rPr>
            </w:pPr>
            <w:r w:rsidRPr="00881752">
              <w:rPr>
                <w:rFonts w:cs="Times New Roman"/>
                <w:noProof/>
                <w:lang w:val="en-US"/>
              </w:rPr>
              <mc:AlternateContent>
                <mc:Choice Requires="wps">
                  <w:drawing>
                    <wp:anchor distT="0" distB="0" distL="114300" distR="114300" simplePos="0" relativeHeight="251666432" behindDoc="0" locked="0" layoutInCell="1" allowOverlap="1" wp14:anchorId="5567C0CD" wp14:editId="211E8144">
                      <wp:simplePos x="0" y="0"/>
                      <wp:positionH relativeFrom="column">
                        <wp:posOffset>402590</wp:posOffset>
                      </wp:positionH>
                      <wp:positionV relativeFrom="paragraph">
                        <wp:posOffset>146050</wp:posOffset>
                      </wp:positionV>
                      <wp:extent cx="342900" cy="408940"/>
                      <wp:effectExtent l="76200" t="25400" r="63500" b="99060"/>
                      <wp:wrapNone/>
                      <wp:docPr id="2" name="Straight Arrow Connector 2"/>
                      <wp:cNvGraphicFramePr/>
                      <a:graphic xmlns:a="http://schemas.openxmlformats.org/drawingml/2006/main">
                        <a:graphicData uri="http://schemas.microsoft.com/office/word/2010/wordprocessingShape">
                          <wps:wsp>
                            <wps:cNvCnPr/>
                            <wps:spPr>
                              <a:xfrm flipH="1">
                                <a:off x="0" y="0"/>
                                <a:ext cx="342900" cy="40894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Straight Arrow Connector 2" o:spid="_x0000_s1026" type="#_x0000_t32" style="position:absolute;margin-left:31.7pt;margin-top:11.5pt;width:27pt;height:32.2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" strokeweight=".25pt">
                      <v:stroke endarrow="open"/>
                      <v:shadow on="t" opacity="24903f" mv:blur="40000f" origin=",.5" offset="0,20000emu"/>
                    </v:shape>
                  </w:pict>
                </mc:Fallback>
              </mc:AlternateContent>
            </w:r>
            <w:r w:rsidRPr="00881752">
              <w:rPr>
                <w:rFonts w:cs="Times New Roman"/>
                <w:noProof/>
                <w:lang w:val="en-US"/>
              </w:rPr>
              <mc:AlternateContent>
                <mc:Choice Requires="wps">
                  <w:drawing>
                    <wp:anchor distT="0" distB="0" distL="114300" distR="114300" simplePos="0" relativeHeight="251667456" behindDoc="0" locked="0" layoutInCell="1" allowOverlap="1" wp14:anchorId="5C5AEFDE" wp14:editId="2A90328F">
                      <wp:simplePos x="0" y="0"/>
                      <wp:positionH relativeFrom="column">
                        <wp:posOffset>745490</wp:posOffset>
                      </wp:positionH>
                      <wp:positionV relativeFrom="paragraph">
                        <wp:posOffset>146050</wp:posOffset>
                      </wp:positionV>
                      <wp:extent cx="342900" cy="408940"/>
                      <wp:effectExtent l="50800" t="25400" r="88900" b="124460"/>
                      <wp:wrapNone/>
                      <wp:docPr id="3" name="Straight Arrow Connector 3"/>
                      <wp:cNvGraphicFramePr/>
                      <a:graphic xmlns:a="http://schemas.openxmlformats.org/drawingml/2006/main">
                        <a:graphicData uri="http://schemas.microsoft.com/office/word/2010/wordprocessingShape">
                          <wps:wsp>
                            <wps:cNvCnPr/>
                            <wps:spPr>
                              <a:xfrm>
                                <a:off x="0" y="0"/>
                                <a:ext cx="342900" cy="40894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Straight Arrow Connector 3" o:spid="_x0000_s1026" type="#_x0000_t32" style="position:absolute;margin-left:58.7pt;margin-top:11.5pt;width:27pt;height:3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" strokeweight=".25pt">
                      <v:stroke endarrow="open"/>
                      <v:shadow on="t" opacity="24903f" mv:blur="40000f" origin=",.5" offset="0,20000emu"/>
                    </v:shape>
                  </w:pict>
                </mc:Fallback>
              </mc:AlternateContent>
            </w:r>
            <w:r w:rsidRPr="00881752">
              <w:rPr>
                <w:rFonts w:cs="Times New Roman"/>
              </w:rPr>
              <w:t>Hipponax</w:t>
            </w:r>
          </w:p>
          <w:p w14:paraId="7A7229B8" w14:textId="77777777" w:rsidR="00272F31" w:rsidRPr="00881752" w:rsidRDefault="00272F31" w:rsidP="00771DAB">
            <w:pPr>
              <w:spacing w:line="360" w:lineRule="auto"/>
              <w:jc w:val="center"/>
              <w:rPr>
                <w:rFonts w:cs="Times New Roman"/>
              </w:rPr>
            </w:pPr>
          </w:p>
          <w:p w14:paraId="08B7628C" w14:textId="3441A241" w:rsidR="00272F31" w:rsidRPr="00881752" w:rsidRDefault="00272F31" w:rsidP="004313B2">
            <w:pPr>
              <w:spacing w:line="240" w:lineRule="auto"/>
              <w:jc w:val="center"/>
              <w:rPr>
                <w:rFonts w:cs="Times New Roman"/>
              </w:rPr>
            </w:pPr>
            <w:r w:rsidRPr="00881752">
              <w:rPr>
                <w:rFonts w:cs="Times New Roman"/>
              </w:rPr>
              <w:t>Hipponax    Callimachus</w:t>
            </w:r>
            <w:r w:rsidR="00075F5F">
              <w:rPr>
                <w:rFonts w:cs="Times New Roman"/>
              </w:rPr>
              <w:t>’</w:t>
            </w:r>
          </w:p>
          <w:p w14:paraId="7E4C3B25" w14:textId="77777777" w:rsidR="00272F31" w:rsidRPr="00881752" w:rsidRDefault="00272F31" w:rsidP="004313B2">
            <w:pPr>
              <w:spacing w:line="240" w:lineRule="auto"/>
              <w:jc w:val="center"/>
              <w:rPr>
                <w:rFonts w:cs="Times New Roman"/>
              </w:rPr>
            </w:pPr>
            <w:r w:rsidRPr="00881752">
              <w:rPr>
                <w:rFonts w:cs="Times New Roman"/>
              </w:rPr>
              <w:t xml:space="preserve">                    Hipponax</w:t>
            </w:r>
          </w:p>
        </w:tc>
        <w:tc>
          <w:tcPr>
            <w:tcW w:w="1244" w:type="pct"/>
          </w:tcPr>
          <w:p w14:paraId="4D85F3AD" w14:textId="77777777" w:rsidR="00272F31" w:rsidRPr="00881752" w:rsidRDefault="00272F31" w:rsidP="00771DAB">
            <w:pPr>
              <w:spacing w:line="360" w:lineRule="auto"/>
              <w:rPr>
                <w:rFonts w:cs="Times New Roman"/>
              </w:rPr>
            </w:pPr>
          </w:p>
        </w:tc>
        <w:tc>
          <w:tcPr>
            <w:tcW w:w="1256" w:type="pct"/>
          </w:tcPr>
          <w:p w14:paraId="26E209CB" w14:textId="77777777" w:rsidR="00272F31" w:rsidRPr="00881752" w:rsidRDefault="00272F31" w:rsidP="00771DAB">
            <w:pPr>
              <w:spacing w:line="360" w:lineRule="auto"/>
              <w:rPr>
                <w:rFonts w:cs="Times New Roman"/>
              </w:rPr>
            </w:pPr>
            <w:r w:rsidRPr="00881752">
              <w:rPr>
                <w:rFonts w:cs="Times New Roman"/>
              </w:rPr>
              <w:t xml:space="preserve">Hipponax </w:t>
            </w:r>
          </w:p>
        </w:tc>
      </w:tr>
      <w:tr w:rsidR="00272F31" w:rsidRPr="00881752" w14:paraId="0FD8B57F" w14:textId="77777777" w:rsidTr="004313B2">
        <w:tc>
          <w:tcPr>
            <w:tcW w:w="5000" w:type="pct"/>
            <w:gridSpan w:val="4"/>
          </w:tcPr>
          <w:p w14:paraId="016EB9C0" w14:textId="77777777" w:rsidR="00272F31" w:rsidRPr="00881752" w:rsidRDefault="00272F31" w:rsidP="00F56C73">
            <w:pPr>
              <w:rPr>
                <w:rFonts w:cs="Times New Roman"/>
                <w:i/>
                <w:iCs/>
                <w:color w:val="243F60" w:themeColor="accent1" w:themeShade="7F"/>
                <w:sz w:val="20"/>
                <w:szCs w:val="20"/>
              </w:rPr>
            </w:pPr>
            <w:r w:rsidRPr="00881752">
              <w:rPr>
                <w:rFonts w:cs="Times New Roman"/>
                <w:i/>
                <w:sz w:val="20"/>
                <w:szCs w:val="20"/>
              </w:rPr>
              <w:t>Diagram 2</w:t>
            </w:r>
          </w:p>
        </w:tc>
      </w:tr>
    </w:tbl>
    <w:p w14:paraId="5AF90B42" w14:textId="77777777" w:rsidR="00BD2DA1" w:rsidRPr="00881752" w:rsidRDefault="00BD2DA1" w:rsidP="00BD2DA1">
      <w:pPr>
        <w:tabs>
          <w:tab w:val="center" w:pos="5387"/>
        </w:tabs>
        <w:rPr>
          <w:rFonts w:cs="Times New Roman"/>
          <w:szCs w:val="24"/>
        </w:rPr>
      </w:pPr>
    </w:p>
    <w:p w14:paraId="0F72FDBC" w14:textId="443F0CE2" w:rsidR="00937994" w:rsidRPr="00881752" w:rsidRDefault="00937994" w:rsidP="00881752">
      <w:pPr>
        <w:tabs>
          <w:tab w:val="center" w:pos="5387"/>
        </w:tabs>
        <w:spacing w:after="120"/>
        <w:ind w:firstLine="425"/>
        <w:rPr>
          <w:rFonts w:cs="Times New Roman"/>
          <w:lang w:val="en-US"/>
        </w:rPr>
      </w:pPr>
      <w:r w:rsidRPr="00881752">
        <w:rPr>
          <w:rFonts w:cs="Times New Roman"/>
          <w:lang w:val="en-US"/>
        </w:rPr>
        <w:t xml:space="preserve">Callimachus is the author and he does not put himself into the narration, but he creates the </w:t>
      </w:r>
      <w:r w:rsidRPr="00881752">
        <w:rPr>
          <w:rFonts w:cs="Times New Roman"/>
          <w:i/>
          <w:iCs/>
          <w:lang w:val="en-US"/>
        </w:rPr>
        <w:t>persona</w:t>
      </w:r>
      <w:r w:rsidRPr="00881752">
        <w:rPr>
          <w:rFonts w:cs="Times New Roman"/>
          <w:lang w:val="en-US"/>
        </w:rPr>
        <w:t xml:space="preserve"> of Hipponax, who becomes the narrator of </w:t>
      </w:r>
      <w:r w:rsidRPr="00881752">
        <w:rPr>
          <w:rFonts w:cs="Times New Roman"/>
          <w:i/>
          <w:iCs/>
          <w:lang w:val="en-US"/>
        </w:rPr>
        <w:t xml:space="preserve">Iambus </w:t>
      </w:r>
      <w:r w:rsidRPr="00881752">
        <w:rPr>
          <w:rFonts w:cs="Times New Roman"/>
          <w:lang w:val="en-US"/>
        </w:rPr>
        <w:t>1. In this way, the authorship of Callimachus is mediated through his character</w:t>
      </w:r>
      <w:r w:rsidR="00075F5F">
        <w:rPr>
          <w:rFonts w:cs="Times New Roman"/>
          <w:lang w:val="en-US"/>
        </w:rPr>
        <w:t>’</w:t>
      </w:r>
      <w:r w:rsidRPr="00881752">
        <w:rPr>
          <w:rFonts w:cs="Times New Roman"/>
          <w:lang w:val="en-US"/>
        </w:rPr>
        <w:t>s authorship. His character</w:t>
      </w:r>
      <w:r w:rsidR="00075F5F">
        <w:rPr>
          <w:rFonts w:cs="Times New Roman"/>
          <w:lang w:val="en-US"/>
        </w:rPr>
        <w:t>’</w:t>
      </w:r>
      <w:r w:rsidRPr="00881752">
        <w:rPr>
          <w:rFonts w:cs="Times New Roman"/>
          <w:lang w:val="en-US"/>
        </w:rPr>
        <w:t xml:space="preserve">s authorship splits into the historic character of Hipponax, which is the object of Callimachus, and the new Hipponax, the Hipponax mediated by Callimachus, who immediately states that </w:t>
      </w:r>
      <w:r w:rsidR="00CC0615">
        <w:rPr>
          <w:rFonts w:cs="Times New Roman"/>
          <w:lang w:val="en-US"/>
        </w:rPr>
        <w:t>“</w:t>
      </w:r>
      <w:r w:rsidRPr="00881752">
        <w:rPr>
          <w:rFonts w:cs="Times New Roman"/>
          <w:lang w:val="en-US"/>
        </w:rPr>
        <w:t>he won</w:t>
      </w:r>
      <w:r w:rsidR="00075F5F">
        <w:rPr>
          <w:rFonts w:cs="Times New Roman"/>
          <w:lang w:val="en-US"/>
        </w:rPr>
        <w:t>’</w:t>
      </w:r>
      <w:r w:rsidRPr="00881752">
        <w:rPr>
          <w:rFonts w:cs="Times New Roman"/>
          <w:lang w:val="en-US"/>
        </w:rPr>
        <w:t>t sing the battle of Bupalus.</w:t>
      </w:r>
      <w:r w:rsidR="00CC0615">
        <w:rPr>
          <w:rFonts w:cs="Times New Roman"/>
          <w:lang w:val="en-US"/>
        </w:rPr>
        <w:t>”</w:t>
      </w:r>
      <w:r w:rsidRPr="00881752">
        <w:rPr>
          <w:rFonts w:cs="Times New Roman"/>
          <w:lang w:val="en-US"/>
        </w:rPr>
        <w:t xml:space="preserve"> At the level of the text, Hipponax is the narrator of the story, but his language and his object of narration (the story of Batykles</w:t>
      </w:r>
      <w:r w:rsidR="00075F5F">
        <w:rPr>
          <w:rFonts w:cs="Times New Roman"/>
          <w:lang w:val="en-US"/>
        </w:rPr>
        <w:t>’</w:t>
      </w:r>
      <w:r w:rsidRPr="00881752">
        <w:rPr>
          <w:rFonts w:cs="Times New Roman"/>
          <w:lang w:val="en-US"/>
        </w:rPr>
        <w:t xml:space="preserve"> cup) tells us that the subject of enunciation is not the real Hipponax, but Hipponax</w:t>
      </w:r>
      <w:r w:rsidR="00075F5F">
        <w:rPr>
          <w:rFonts w:cs="Times New Roman"/>
          <w:lang w:val="en-US"/>
        </w:rPr>
        <w:t>’</w:t>
      </w:r>
      <w:r w:rsidRPr="00881752">
        <w:rPr>
          <w:rFonts w:cs="Times New Roman"/>
          <w:lang w:val="en-US"/>
        </w:rPr>
        <w:t xml:space="preserve">s </w:t>
      </w:r>
      <w:r w:rsidRPr="00881752">
        <w:rPr>
          <w:rFonts w:cs="Times New Roman"/>
          <w:i/>
          <w:iCs/>
          <w:lang w:val="en-US"/>
        </w:rPr>
        <w:t>prosopopeia</w:t>
      </w:r>
      <w:r w:rsidRPr="00881752">
        <w:rPr>
          <w:rFonts w:cs="Times New Roman"/>
          <w:lang w:val="en-US"/>
        </w:rPr>
        <w:t xml:space="preserve"> as rendered by Callimachus. The subject of utterance is Hipponax himself, whom Callimachus chose as the object of his story. In relation to the subject of enunciation, the subject of utterance serves as addressee with respect to the </w:t>
      </w:r>
      <w:r w:rsidRPr="00881752">
        <w:rPr>
          <w:rFonts w:cs="Times New Roman"/>
          <w:lang w:val="en-US"/>
        </w:rPr>
        <w:lastRenderedPageBreak/>
        <w:t xml:space="preserve">subject, inserting the subject of enunciation into the narrative system through its </w:t>
      </w:r>
      <w:r w:rsidRPr="00881752">
        <w:rPr>
          <w:rFonts w:cs="Times New Roman"/>
          <w:i/>
          <w:iCs/>
          <w:lang w:val="en-US"/>
        </w:rPr>
        <w:t>persona</w:t>
      </w:r>
      <w:r w:rsidRPr="00881752">
        <w:rPr>
          <w:rFonts w:cs="Times New Roman"/>
          <w:lang w:val="en-US"/>
        </w:rPr>
        <w:t>.</w:t>
      </w:r>
      <w:r w:rsidRPr="00881752">
        <w:rPr>
          <w:rStyle w:val="FootnoteReference"/>
          <w:rFonts w:cs="Times New Roman"/>
          <w:lang w:val="en-US"/>
        </w:rPr>
        <w:footnoteReference w:id="230"/>
      </w:r>
      <w:r w:rsidRPr="00881752">
        <w:rPr>
          <w:rFonts w:cs="Times New Roman"/>
          <w:lang w:val="en-US"/>
        </w:rPr>
        <w:t xml:space="preserve"> Both representative of the subject of enunciation, and also represented as the object of the subject of enunciation, the subject of utterance is </w:t>
      </w:r>
      <w:r w:rsidR="00CC0615">
        <w:rPr>
          <w:rFonts w:cs="Times New Roman"/>
          <w:lang w:val="en-US"/>
        </w:rPr>
        <w:t>“</w:t>
      </w:r>
      <w:r w:rsidRPr="00881752">
        <w:rPr>
          <w:rFonts w:cs="Times New Roman"/>
          <w:lang w:val="en-US"/>
        </w:rPr>
        <w:t>dialogical,</w:t>
      </w:r>
      <w:r w:rsidR="00CC0615">
        <w:rPr>
          <w:rFonts w:cs="Times New Roman"/>
          <w:lang w:val="en-US"/>
        </w:rPr>
        <w:t>”</w:t>
      </w:r>
      <w:r w:rsidRPr="00881752">
        <w:rPr>
          <w:rFonts w:cs="Times New Roman"/>
          <w:lang w:val="en-US"/>
        </w:rPr>
        <w:t xml:space="preserve"> as both subject and addressee are disguised within it. Therefore, the narration is structured around the relationship between the subject of enunciation and the subject of utterance which represents the dialogue of the subject with the addressee. I argue that the close and continuous relationship between Callimachus and his </w:t>
      </w:r>
      <w:r w:rsidRPr="00881752">
        <w:rPr>
          <w:rFonts w:cs="Times New Roman"/>
          <w:i/>
          <w:iCs/>
          <w:lang w:val="en-US"/>
        </w:rPr>
        <w:t>persona loquens</w:t>
      </w:r>
      <w:r w:rsidRPr="00881752">
        <w:rPr>
          <w:rFonts w:cs="Times New Roman"/>
          <w:lang w:val="en-US"/>
        </w:rPr>
        <w:t xml:space="preserve"> implies the strong polyphony of the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Focusing on the relationship between Callimachus and his character in the narration, it is possible to distinguish two main patterns:</w:t>
      </w:r>
    </w:p>
    <w:p w14:paraId="497CCBEB" w14:textId="77777777" w:rsidR="00937994" w:rsidRPr="00881752" w:rsidRDefault="00937994" w:rsidP="00881752">
      <w:pPr>
        <w:widowControl w:val="0"/>
        <w:numPr>
          <w:ilvl w:val="0"/>
          <w:numId w:val="178"/>
        </w:numPr>
        <w:tabs>
          <w:tab w:val="left" w:pos="714"/>
          <w:tab w:val="center" w:pos="5387"/>
        </w:tabs>
        <w:rPr>
          <w:rFonts w:cs="Times New Roman"/>
          <w:lang w:val="en-US"/>
        </w:rPr>
      </w:pPr>
      <w:r w:rsidRPr="00881752">
        <w:rPr>
          <w:rFonts w:cs="Times New Roman"/>
          <w:lang w:val="en-US"/>
        </w:rPr>
        <w:t>Callimachus as subject of enunciation / Hipponax as object of enunciation</w:t>
      </w:r>
    </w:p>
    <w:p w14:paraId="53A7E02B" w14:textId="77777777" w:rsidR="00937994" w:rsidRPr="00881752" w:rsidRDefault="00937994" w:rsidP="00881752">
      <w:pPr>
        <w:widowControl w:val="0"/>
        <w:numPr>
          <w:ilvl w:val="0"/>
          <w:numId w:val="178"/>
        </w:numPr>
        <w:tabs>
          <w:tab w:val="left" w:pos="720"/>
          <w:tab w:val="center" w:pos="5387"/>
        </w:tabs>
        <w:rPr>
          <w:rFonts w:cs="Times New Roman"/>
          <w:lang w:val="en-US"/>
        </w:rPr>
      </w:pPr>
      <w:r w:rsidRPr="00881752">
        <w:rPr>
          <w:rFonts w:cs="Times New Roman"/>
          <w:lang w:val="en-US"/>
        </w:rPr>
        <w:t>Callimachus as subject of enunciation / Hipponax as subject of utterance</w:t>
      </w:r>
    </w:p>
    <w:p w14:paraId="6A4FBDBE" w14:textId="535A98BA" w:rsidR="00937994" w:rsidRPr="00881752" w:rsidRDefault="00937994" w:rsidP="00227EE7">
      <w:pPr>
        <w:spacing w:before="120"/>
        <w:rPr>
          <w:rFonts w:cs="Times New Roman"/>
          <w:lang w:val="en-US"/>
        </w:rPr>
      </w:pPr>
      <w:r w:rsidRPr="00881752">
        <w:rPr>
          <w:rFonts w:cs="Times New Roman"/>
          <w:lang w:val="en-US"/>
        </w:rPr>
        <w:t>Each of these patterns implies a different ratio of strength between Callimachus and Hipponax, and, consequentely, a different kind of language: when Callimachus is the subject of enunciation and Hipponax the object, the language follows Callimachean standards, while when Callimachus is the subject of enunciation, but Hipponax is the subject of utterance, the language is closer to Hipponax</w:t>
      </w:r>
      <w:r w:rsidR="00075F5F">
        <w:rPr>
          <w:rFonts w:cs="Times New Roman"/>
          <w:lang w:val="en-US"/>
        </w:rPr>
        <w:t>’</w:t>
      </w:r>
      <w:r w:rsidRPr="00881752">
        <w:rPr>
          <w:rFonts w:cs="Times New Roman"/>
          <w:lang w:val="en-US"/>
        </w:rPr>
        <w:t xml:space="preserve">s style. This is evident in </w:t>
      </w:r>
      <w:r w:rsidRPr="00881752">
        <w:rPr>
          <w:rFonts w:cs="Times New Roman"/>
          <w:i/>
          <w:iCs/>
          <w:lang w:val="en-US"/>
        </w:rPr>
        <w:t>Iambus</w:t>
      </w:r>
      <w:r w:rsidRPr="00881752">
        <w:rPr>
          <w:rFonts w:cs="Times New Roman"/>
          <w:lang w:val="en-US"/>
        </w:rPr>
        <w:t xml:space="preserve"> 1. When Hipponax has just appeared on stage, he is still the object of Callimachus</w:t>
      </w:r>
      <w:r w:rsidR="00075F5F">
        <w:rPr>
          <w:rFonts w:cs="Times New Roman"/>
          <w:lang w:val="en-US"/>
        </w:rPr>
        <w:t>’</w:t>
      </w:r>
      <w:r w:rsidRPr="00881752">
        <w:rPr>
          <w:rFonts w:cs="Times New Roman"/>
          <w:lang w:val="en-US"/>
        </w:rPr>
        <w:t xml:space="preserve"> enunciation, so that he speaks the language of Callimachus </w:t>
      </w:r>
      <w:r w:rsidR="00075F5F">
        <w:rPr>
          <w:rFonts w:cs="Times New Roman"/>
          <w:lang w:val="en-US"/>
        </w:rPr>
        <w:t>–</w:t>
      </w:r>
      <w:r w:rsidRPr="00881752">
        <w:rPr>
          <w:rFonts w:cs="Times New Roman"/>
          <w:lang w:val="en-US"/>
        </w:rPr>
        <w:t xml:space="preserve"> the poet who is introducing his character </w:t>
      </w:r>
      <w:r w:rsidR="00075F5F">
        <w:rPr>
          <w:rFonts w:cs="Times New Roman"/>
          <w:lang w:val="en-US"/>
        </w:rPr>
        <w:t>–</w:t>
      </w:r>
      <w:r w:rsidRPr="00881752">
        <w:rPr>
          <w:rFonts w:cs="Times New Roman"/>
          <w:lang w:val="en-US"/>
        </w:rPr>
        <w:t xml:space="preserve"> while as the narration progresses further, the language becomes closer and closer to the language of Hipponax. The character of Hipponax stands out and becomes more independent from his creator: towards the end of </w:t>
      </w:r>
      <w:r w:rsidRPr="00881752">
        <w:rPr>
          <w:rFonts w:cs="Times New Roman"/>
          <w:i/>
          <w:iCs/>
          <w:lang w:val="en-US"/>
        </w:rPr>
        <w:t>Iambus</w:t>
      </w:r>
      <w:r w:rsidRPr="00881752">
        <w:rPr>
          <w:rFonts w:cs="Times New Roman"/>
          <w:lang w:val="en-US"/>
        </w:rPr>
        <w:t xml:space="preserve"> 1 low words, ironic and abusive images, and iambic stock gather in climax: κόνδυλος </w:t>
      </w:r>
      <w:r w:rsidR="00CC0615">
        <w:rPr>
          <w:rFonts w:cs="Times New Roman"/>
          <w:lang w:val="en-US"/>
        </w:rPr>
        <w:t>“</w:t>
      </w:r>
      <w:r w:rsidRPr="00881752">
        <w:rPr>
          <w:rFonts w:cs="Times New Roman"/>
          <w:lang w:val="en-US"/>
        </w:rPr>
        <w:t>fist</w:t>
      </w:r>
      <w:r w:rsidR="00CC0615">
        <w:rPr>
          <w:rFonts w:cs="Times New Roman"/>
          <w:lang w:val="en-US"/>
        </w:rPr>
        <w:t>”</w:t>
      </w:r>
      <w:r w:rsidRPr="00881752">
        <w:rPr>
          <w:rFonts w:cs="Times New Roman"/>
          <w:lang w:val="en-US"/>
        </w:rPr>
        <w:t xml:space="preserve"> (89), καπηλεύω </w:t>
      </w:r>
      <w:r w:rsidR="00CC0615">
        <w:rPr>
          <w:rFonts w:cs="Times New Roman"/>
          <w:lang w:val="en-US"/>
        </w:rPr>
        <w:t>“</w:t>
      </w:r>
      <w:r w:rsidRPr="00881752">
        <w:rPr>
          <w:rFonts w:cs="Times New Roman"/>
          <w:lang w:val="en-US"/>
        </w:rPr>
        <w:t>wrangle</w:t>
      </w:r>
      <w:r w:rsidR="00CC0615">
        <w:rPr>
          <w:rFonts w:cs="Times New Roman"/>
          <w:lang w:val="en-US"/>
        </w:rPr>
        <w:t>”</w:t>
      </w:r>
      <w:r w:rsidRPr="00881752">
        <w:rPr>
          <w:rFonts w:cs="Times New Roman"/>
          <w:lang w:val="en-US"/>
        </w:rPr>
        <w:t xml:space="preserve"> (89), γέλως </w:t>
      </w:r>
      <w:r w:rsidR="00CC0615">
        <w:rPr>
          <w:rFonts w:cs="Times New Roman"/>
          <w:lang w:val="en-US"/>
        </w:rPr>
        <w:t>“</w:t>
      </w:r>
      <w:r w:rsidRPr="00881752">
        <w:rPr>
          <w:rFonts w:cs="Times New Roman"/>
          <w:lang w:val="en-US"/>
        </w:rPr>
        <w:t>laughter</w:t>
      </w:r>
      <w:r w:rsidR="00CC0615">
        <w:rPr>
          <w:rFonts w:cs="Times New Roman"/>
          <w:lang w:val="en-US"/>
        </w:rPr>
        <w:t>”</w:t>
      </w:r>
      <w:r w:rsidRPr="00881752">
        <w:rPr>
          <w:rFonts w:cs="Times New Roman"/>
          <w:lang w:val="en-US"/>
        </w:rPr>
        <w:t xml:space="preserve"> (94), κῦσος </w:t>
      </w:r>
      <w:r w:rsidR="00CC0615">
        <w:rPr>
          <w:rFonts w:cs="Times New Roman"/>
          <w:lang w:val="en-US"/>
        </w:rPr>
        <w:t>“</w:t>
      </w:r>
      <w:r w:rsidRPr="00881752">
        <w:rPr>
          <w:rFonts w:cs="Times New Roman"/>
          <w:lang w:val="en-US"/>
        </w:rPr>
        <w:t>ass</w:t>
      </w:r>
      <w:r w:rsidR="00CC0615">
        <w:rPr>
          <w:rFonts w:cs="Times New Roman"/>
          <w:lang w:val="en-US"/>
        </w:rPr>
        <w:t>”</w:t>
      </w:r>
      <w:r w:rsidRPr="00881752">
        <w:rPr>
          <w:rFonts w:cs="Times New Roman"/>
          <w:lang w:val="en-US"/>
        </w:rPr>
        <w:t xml:space="preserve"> (98), ὀ Κωρυκαῖος ἐγχάσκει </w:t>
      </w:r>
      <w:r w:rsidR="00CC0615">
        <w:rPr>
          <w:rFonts w:cs="Times New Roman"/>
          <w:lang w:val="en-US"/>
        </w:rPr>
        <w:t>“</w:t>
      </w:r>
      <w:r w:rsidRPr="00881752">
        <w:rPr>
          <w:rFonts w:cs="Times New Roman"/>
          <w:lang w:val="en-US"/>
        </w:rPr>
        <w:t>the Corycean gapes</w:t>
      </w:r>
      <w:r w:rsidR="00CC0615">
        <w:rPr>
          <w:rFonts w:cs="Times New Roman"/>
          <w:lang w:val="en-US"/>
        </w:rPr>
        <w:t>”</w:t>
      </w:r>
      <w:r w:rsidRPr="00881752">
        <w:rPr>
          <w:rFonts w:cs="Times New Roman"/>
          <w:lang w:val="en-US"/>
        </w:rPr>
        <w:t xml:space="preserve"> (82), τὴν γλῶσσαν ἕλκων ὡς κύων ὅταν πίνηι </w:t>
      </w:r>
      <w:r w:rsidR="00CC0615">
        <w:rPr>
          <w:rFonts w:cs="Times New Roman"/>
          <w:lang w:val="en-US"/>
        </w:rPr>
        <w:t>“</w:t>
      </w:r>
      <w:r w:rsidRPr="00881752">
        <w:rPr>
          <w:rFonts w:cs="Times New Roman"/>
          <w:lang w:val="en-US"/>
        </w:rPr>
        <w:t>dragging his tongue like a dog when it drinks</w:t>
      </w:r>
      <w:r w:rsidR="00CC0615">
        <w:rPr>
          <w:rFonts w:cs="Times New Roman"/>
          <w:lang w:val="en-US"/>
        </w:rPr>
        <w:t>”</w:t>
      </w:r>
      <w:r w:rsidRPr="00881752">
        <w:rPr>
          <w:rFonts w:cs="Times New Roman"/>
          <w:lang w:val="en-US"/>
        </w:rPr>
        <w:t xml:space="preserve"> (83), χλωρὰ σῦκα τρωγούσας </w:t>
      </w:r>
      <w:r w:rsidR="00CC0615">
        <w:rPr>
          <w:rFonts w:cs="Times New Roman"/>
          <w:lang w:val="en-US"/>
        </w:rPr>
        <w:t>“</w:t>
      </w:r>
      <w:r w:rsidRPr="00881752">
        <w:rPr>
          <w:rFonts w:cs="Times New Roman"/>
          <w:lang w:val="en-US"/>
        </w:rPr>
        <w:t>eating green figs</w:t>
      </w:r>
      <w:r w:rsidR="00CC0615">
        <w:rPr>
          <w:rFonts w:cs="Times New Roman"/>
          <w:lang w:val="en-US"/>
        </w:rPr>
        <w:t>”</w:t>
      </w:r>
      <w:r w:rsidRPr="00881752">
        <w:rPr>
          <w:rFonts w:cs="Times New Roman"/>
          <w:lang w:val="en-US"/>
        </w:rPr>
        <w:t xml:space="preserve"> (93), and this is clearly a deliberate choice.</w:t>
      </w:r>
    </w:p>
    <w:p w14:paraId="102EFFFD" w14:textId="3D80F5D0" w:rsidR="00937994" w:rsidRPr="00881752" w:rsidRDefault="00937994" w:rsidP="00E95AF7">
      <w:pPr>
        <w:rPr>
          <w:rFonts w:cs="Times New Roman"/>
          <w:lang w:val="en-US"/>
        </w:rPr>
      </w:pPr>
      <w:r w:rsidRPr="00881752">
        <w:rPr>
          <w:rFonts w:cs="Times New Roman"/>
          <w:lang w:val="en-US"/>
        </w:rPr>
        <w:tab/>
        <w:t>Every one of Callima</w:t>
      </w:r>
      <w:r w:rsidR="00075F5F">
        <w:rPr>
          <w:rFonts w:cs="Times New Roman"/>
          <w:lang w:val="en-US"/>
        </w:rPr>
        <w:t>chus’</w:t>
      </w:r>
      <w:r w:rsidRPr="00881752">
        <w:rPr>
          <w:rFonts w:cs="Times New Roman"/>
          <w:lang w:val="en-US"/>
        </w:rPr>
        <w:t xml:space="preserve"> iambs contains this dialogical relationship formed by the narrator in conjunction with his subject.</w:t>
      </w:r>
      <w:r w:rsidRPr="00881752">
        <w:rPr>
          <w:rStyle w:val="FootnoteReference"/>
          <w:rFonts w:cs="Times New Roman"/>
          <w:lang w:val="en-US"/>
        </w:rPr>
        <w:footnoteReference w:id="231"/>
      </w:r>
      <w:r w:rsidRPr="00881752">
        <w:rPr>
          <w:rFonts w:cs="Times New Roman"/>
          <w:lang w:val="en-US"/>
        </w:rPr>
        <w:t xml:space="preserve"> This dialogue is exteriorised in the actual ambivalence of word at the level of text. Indeed, Callimachus</w:t>
      </w:r>
      <w:r w:rsidR="00075F5F">
        <w:rPr>
          <w:rFonts w:cs="Times New Roman"/>
          <w:lang w:val="en-US"/>
        </w:rPr>
        <w:t>’</w:t>
      </w:r>
      <w:r w:rsidRPr="00881752">
        <w:rPr>
          <w:rFonts w:cs="Times New Roman"/>
          <w:lang w:val="en-US"/>
        </w:rPr>
        <w:t xml:space="preserve"> words have at least two </w:t>
      </w:r>
      <w:r w:rsidRPr="00881752">
        <w:rPr>
          <w:rFonts w:cs="Times New Roman"/>
          <w:lang w:val="en-US"/>
        </w:rPr>
        <w:lastRenderedPageBreak/>
        <w:t>senses, since the Alexandrian poet often uses a word</w:t>
      </w:r>
      <w:r w:rsidRPr="00881752">
        <w:rPr>
          <w:rFonts w:cs="Times New Roman"/>
        </w:rPr>
        <w:t xml:space="preserve"> from</w:t>
      </w:r>
      <w:r w:rsidRPr="00881752">
        <w:rPr>
          <w:rFonts w:cs="Times New Roman"/>
          <w:lang w:val="en-US"/>
        </w:rPr>
        <w:t xml:space="preserve"> another author, adding a new meaning to it while retaining the meaning with which it has already been used. For example, Callimachus uses twice the lexeme μαζ-: in the verb μαζάω in </w:t>
      </w:r>
      <w:r w:rsidRPr="00881752">
        <w:rPr>
          <w:rFonts w:cs="Times New Roman"/>
          <w:i/>
          <w:iCs/>
          <w:lang w:val="en-US"/>
        </w:rPr>
        <w:t>Ia</w:t>
      </w:r>
      <w:r w:rsidRPr="00881752">
        <w:rPr>
          <w:rFonts w:cs="Times New Roman"/>
          <w:lang w:val="en-US"/>
        </w:rPr>
        <w:t xml:space="preserve">. 3.39 τοίγαρ ἣν ἔμαξα δειπνήσω, </w:t>
      </w:r>
      <w:r w:rsidR="00CC0615">
        <w:rPr>
          <w:rFonts w:cs="Times New Roman"/>
          <w:lang w:val="en-US"/>
        </w:rPr>
        <w:t>“</w:t>
      </w:r>
      <w:r w:rsidRPr="00881752">
        <w:rPr>
          <w:rFonts w:cs="Times New Roman"/>
          <w:lang w:val="en-US"/>
        </w:rPr>
        <w:t>therefore, I shall dine on what I have kneaded,</w:t>
      </w:r>
      <w:r w:rsidR="00CC0615">
        <w:rPr>
          <w:rFonts w:cs="Times New Roman"/>
          <w:lang w:val="en-US"/>
        </w:rPr>
        <w:t>”</w:t>
      </w:r>
      <w:r w:rsidRPr="00881752">
        <w:rPr>
          <w:rFonts w:cs="Times New Roman"/>
          <w:lang w:val="en-US"/>
        </w:rPr>
        <w:t xml:space="preserve"> and the substantive μᾶζα </w:t>
      </w:r>
      <w:r w:rsidR="00CC0615">
        <w:rPr>
          <w:rFonts w:cs="Times New Roman"/>
          <w:lang w:val="en-US"/>
        </w:rPr>
        <w:t>“</w:t>
      </w:r>
      <w:r w:rsidRPr="00881752">
        <w:rPr>
          <w:rFonts w:cs="Times New Roman"/>
          <w:lang w:val="en-US"/>
        </w:rPr>
        <w:t>bread</w:t>
      </w:r>
      <w:r w:rsidR="00CC0615">
        <w:rPr>
          <w:rFonts w:cs="Times New Roman"/>
          <w:lang w:val="en-US"/>
        </w:rPr>
        <w:t>”</w:t>
      </w:r>
      <w:r w:rsidRPr="00881752">
        <w:rPr>
          <w:rFonts w:cs="Times New Roman"/>
          <w:lang w:val="en-US"/>
        </w:rPr>
        <w:t xml:space="preserve"> in </w:t>
      </w:r>
      <w:r w:rsidRPr="00881752">
        <w:rPr>
          <w:rFonts w:cs="Times New Roman"/>
          <w:i/>
          <w:iCs/>
          <w:lang w:val="en-US"/>
        </w:rPr>
        <w:t>Ia</w:t>
      </w:r>
      <w:r w:rsidRPr="00881752">
        <w:rPr>
          <w:rFonts w:cs="Times New Roman"/>
          <w:lang w:val="en-US"/>
        </w:rPr>
        <w:t xml:space="preserve">. 5.7. The latter word belongs to the iambic tradition, since it appears both in Archilochus, ἐν δορὶ μέν μοι μᾶζα μεμαγμένη </w:t>
      </w:r>
      <w:r w:rsidR="00CC0615">
        <w:rPr>
          <w:rFonts w:cs="Times New Roman"/>
          <w:lang w:val="en-US"/>
        </w:rPr>
        <w:t>“</w:t>
      </w:r>
      <w:r w:rsidRPr="00881752">
        <w:rPr>
          <w:rFonts w:cs="Times New Roman"/>
          <w:lang w:val="en-US"/>
        </w:rPr>
        <w:t>on my spear depends my kneaded barley bread</w:t>
      </w:r>
      <w:r w:rsidR="00CC0615">
        <w:rPr>
          <w:rFonts w:cs="Times New Roman"/>
          <w:lang w:val="en-US"/>
        </w:rPr>
        <w:t>”</w:t>
      </w:r>
      <w:r w:rsidRPr="00881752">
        <w:rPr>
          <w:rFonts w:cs="Times New Roman"/>
          <w:lang w:val="en-US"/>
        </w:rPr>
        <w:t xml:space="preserve"> (fr. 2.1), and in Hipponax, κἀφῆι παρέξειν ἰσχάδας τε καὶ μᾶζαν / καὶ τυρόν, οἷον ἐσθίουσι φαρμακοί </w:t>
      </w:r>
      <w:r w:rsidR="00CC0615">
        <w:rPr>
          <w:rFonts w:cs="Times New Roman"/>
          <w:lang w:val="en-US"/>
        </w:rPr>
        <w:t>“</w:t>
      </w:r>
      <w:r w:rsidRPr="00881752">
        <w:rPr>
          <w:rFonts w:cs="Times New Roman"/>
          <w:lang w:val="en-US"/>
        </w:rPr>
        <w:t>and to provide within his grasp dried figs, barley cake and cheese, such as scapegoats eat</w:t>
      </w:r>
      <w:r w:rsidR="00CC0615">
        <w:rPr>
          <w:rFonts w:cs="Times New Roman"/>
          <w:lang w:val="en-US"/>
        </w:rPr>
        <w:t>”</w:t>
      </w:r>
      <w:r w:rsidRPr="00881752">
        <w:rPr>
          <w:rFonts w:cs="Times New Roman"/>
          <w:lang w:val="en-US"/>
        </w:rPr>
        <w:t xml:space="preserve"> (fr. 28). It refers to food of a humble variety (and thus belongs very to the realm of traditional iambic poetry, since acute poverty is a characteristic of iambic </w:t>
      </w:r>
      <w:r w:rsidRPr="00881752">
        <w:rPr>
          <w:rFonts w:cs="Times New Roman"/>
          <w:i/>
          <w:iCs/>
          <w:lang w:val="en-US"/>
        </w:rPr>
        <w:t>personae</w:t>
      </w:r>
      <w:r w:rsidRPr="00881752">
        <w:rPr>
          <w:rFonts w:cs="Times New Roman"/>
          <w:lang w:val="en-US"/>
        </w:rPr>
        <w:t>).</w:t>
      </w:r>
      <w:r w:rsidRPr="00881752">
        <w:rPr>
          <w:rStyle w:val="FootnoteReference"/>
          <w:rFonts w:cs="Times New Roman"/>
          <w:lang w:val="en-US"/>
        </w:rPr>
        <w:footnoteReference w:id="232"/>
      </w:r>
      <w:r w:rsidRPr="00881752">
        <w:rPr>
          <w:rFonts w:cs="Times New Roman"/>
          <w:lang w:val="en-US"/>
        </w:rPr>
        <w:t xml:space="preserve"> Solon ordains that μᾶζα is provided for those eating in the prytaneion, considering this kind of meal as a model of restraint.</w:t>
      </w:r>
      <w:r w:rsidRPr="00881752">
        <w:rPr>
          <w:rStyle w:val="FootnoteReference"/>
          <w:rFonts w:cs="Times New Roman"/>
          <w:lang w:val="en-US"/>
        </w:rPr>
        <w:footnoteReference w:id="233"/>
      </w:r>
      <w:r w:rsidRPr="00881752">
        <w:rPr>
          <w:rFonts w:cs="Times New Roman"/>
          <w:lang w:val="en-US"/>
        </w:rPr>
        <w:t xml:space="preserve"> However, Callimachus</w:t>
      </w:r>
      <w:r w:rsidR="00075F5F">
        <w:rPr>
          <w:rFonts w:cs="Times New Roman"/>
          <w:lang w:val="en-US"/>
        </w:rPr>
        <w:t>’</w:t>
      </w:r>
      <w:r w:rsidRPr="00881752">
        <w:rPr>
          <w:rFonts w:cs="Times New Roman"/>
          <w:lang w:val="en-US"/>
        </w:rPr>
        <w:t xml:space="preserve"> use of the word suggests something more </w:t>
      </w:r>
      <w:r w:rsidR="00075F5F">
        <w:rPr>
          <w:rFonts w:cs="Times New Roman"/>
          <w:lang w:val="en-US"/>
        </w:rPr>
        <w:t>–</w:t>
      </w:r>
      <w:r w:rsidRPr="00881752">
        <w:rPr>
          <w:rFonts w:cs="Times New Roman"/>
          <w:lang w:val="en-US"/>
        </w:rPr>
        <w:t xml:space="preserve"> something a little different from its meaning in Archilochus and Hipponax. In </w:t>
      </w:r>
      <w:r w:rsidRPr="00881752">
        <w:rPr>
          <w:rFonts w:cs="Times New Roman"/>
          <w:i/>
          <w:iCs/>
          <w:lang w:val="en-US"/>
        </w:rPr>
        <w:t>Ia</w:t>
      </w:r>
      <w:r w:rsidRPr="00881752">
        <w:rPr>
          <w:rFonts w:cs="Times New Roman"/>
          <w:lang w:val="en-US"/>
        </w:rPr>
        <w:t xml:space="preserve">. 3.39 in particular, the lexeme conveys a hint of pride, coming from the fact that the subject kneaded the bread by himself. Therefore, the word suggests both poverty and pride, so that the generic iambic poverty, often considered an abusive and comical feature, appears in a new light. </w:t>
      </w:r>
    </w:p>
    <w:p w14:paraId="761F37D7" w14:textId="74FABBD9" w:rsidR="00937994" w:rsidRPr="00881752" w:rsidRDefault="00937994" w:rsidP="00E95AF7">
      <w:pPr>
        <w:ind w:firstLine="425"/>
        <w:rPr>
          <w:rFonts w:cs="Times New Roman"/>
          <w:lang w:val="en-US"/>
        </w:rPr>
      </w:pPr>
      <w:r w:rsidRPr="00881752">
        <w:rPr>
          <w:rFonts w:cs="Times New Roman"/>
          <w:lang w:val="en-US"/>
        </w:rPr>
        <w:t xml:space="preserve">Similarly, our evidence shows that the archaic iambographers as a rule did not employ the verb ἀείδω, which is the verb </w:t>
      </w:r>
      <w:r w:rsidRPr="00881752">
        <w:rPr>
          <w:rFonts w:cs="Times New Roman"/>
          <w:i/>
          <w:iCs/>
          <w:lang w:val="en-US"/>
        </w:rPr>
        <w:t>par excellence</w:t>
      </w:r>
      <w:r w:rsidRPr="00881752">
        <w:rPr>
          <w:rFonts w:cs="Times New Roman"/>
          <w:lang w:val="en-US"/>
        </w:rPr>
        <w:t xml:space="preserve"> of narration in epic poetry. Hipponax</w:t>
      </w:r>
      <w:r w:rsidR="00075F5F">
        <w:rPr>
          <w:rFonts w:cs="Times New Roman"/>
          <w:lang w:val="en-US"/>
        </w:rPr>
        <w:t>’</w:t>
      </w:r>
      <w:r w:rsidRPr="00881752">
        <w:rPr>
          <w:rFonts w:cs="Times New Roman"/>
          <w:lang w:val="en-US"/>
        </w:rPr>
        <w:t>s fragments offer no instances of it, while Archilochus</w:t>
      </w:r>
      <w:r w:rsidR="00075F5F">
        <w:rPr>
          <w:rFonts w:cs="Times New Roman"/>
          <w:lang w:val="en-US"/>
        </w:rPr>
        <w:t>’</w:t>
      </w:r>
      <w:r w:rsidRPr="00881752">
        <w:rPr>
          <w:rFonts w:cs="Times New Roman"/>
          <w:lang w:val="en-US"/>
        </w:rPr>
        <w:t xml:space="preserve"> fragments show only one instance which is clearly parodic. Archilochus says τὸν κεροπλάστην ἄειδε Γλαῦκον </w:t>
      </w:r>
      <w:r w:rsidR="00CC0615">
        <w:rPr>
          <w:rFonts w:cs="Times New Roman"/>
          <w:lang w:val="en-US"/>
        </w:rPr>
        <w:t>“</w:t>
      </w:r>
      <w:r w:rsidRPr="00881752">
        <w:rPr>
          <w:rFonts w:cs="Times New Roman"/>
          <w:lang w:val="en-US"/>
        </w:rPr>
        <w:t>Glaucus who arranges his hair in horns</w:t>
      </w:r>
      <w:r w:rsidR="00CC0615">
        <w:rPr>
          <w:rFonts w:cs="Times New Roman"/>
          <w:lang w:val="en-US"/>
        </w:rPr>
        <w:t>”</w:t>
      </w:r>
      <w:r w:rsidRPr="00881752">
        <w:rPr>
          <w:rFonts w:cs="Times New Roman"/>
          <w:lang w:val="en-US"/>
        </w:rPr>
        <w:t xml:space="preserve"> (fr. 95), marking Glaucus</w:t>
      </w:r>
      <w:r w:rsidR="00075F5F">
        <w:rPr>
          <w:rFonts w:cs="Times New Roman"/>
          <w:lang w:val="en-US"/>
        </w:rPr>
        <w:t>’</w:t>
      </w:r>
      <w:r w:rsidRPr="00881752">
        <w:rPr>
          <w:rFonts w:cs="Times New Roman"/>
          <w:lang w:val="en-US"/>
        </w:rPr>
        <w:t xml:space="preserve"> skills in fashion, rather than his skills as warrior. Thus, Archilochus uses a verb typical of high poetry to introduce a character whose skills are very different from those of epic characters. The verb ἀείδω occurs in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seven times.</w:t>
      </w:r>
      <w:r w:rsidRPr="00881752">
        <w:rPr>
          <w:rStyle w:val="FootnoteReference"/>
          <w:rFonts w:cs="Times New Roman"/>
          <w:lang w:val="en-US"/>
        </w:rPr>
        <w:footnoteReference w:id="234"/>
      </w:r>
      <w:r w:rsidRPr="00881752">
        <w:rPr>
          <w:rFonts w:cs="Times New Roman"/>
          <w:lang w:val="en-US"/>
        </w:rPr>
        <w:t xml:space="preserve"> From the first occurrence of this verb it is clear that Callimachus is working to restore its status in iambic poetry. At the very beginning of the </w:t>
      </w:r>
      <w:r w:rsidRPr="00881752">
        <w:rPr>
          <w:rFonts w:cs="Times New Roman"/>
          <w:i/>
          <w:iCs/>
          <w:lang w:val="en-US"/>
        </w:rPr>
        <w:t>Iambi</w:t>
      </w:r>
      <w:r w:rsidRPr="00881752">
        <w:rPr>
          <w:rFonts w:cs="Times New Roman"/>
          <w:lang w:val="en-US"/>
        </w:rPr>
        <w:t xml:space="preserve">, Callimachus puts the verb in the mouth of Hipponax, stating his purpose to be to not sing of the battle against Bupalus (φέρων ἴαμβον οὐ μάχην ἀείδοντα / τὴν Βουπάλειον </w:t>
      </w:r>
      <w:r w:rsidR="00CC0615">
        <w:rPr>
          <w:rFonts w:cs="Times New Roman"/>
          <w:lang w:val="en-US"/>
        </w:rPr>
        <w:t>“</w:t>
      </w:r>
      <w:r w:rsidRPr="00881752">
        <w:rPr>
          <w:rFonts w:cs="Times New Roman"/>
          <w:lang w:val="en-US"/>
        </w:rPr>
        <w:t>bearing an iambus which does not sing of the Boupalean battle,</w:t>
      </w:r>
      <w:r w:rsidR="00CC0615">
        <w:rPr>
          <w:rFonts w:cs="Times New Roman"/>
          <w:lang w:val="en-US"/>
        </w:rPr>
        <w:t>”</w:t>
      </w:r>
      <w:r w:rsidRPr="00881752">
        <w:rPr>
          <w:rFonts w:cs="Times New Roman"/>
          <w:i/>
          <w:iCs/>
          <w:lang w:val="en-US"/>
        </w:rPr>
        <w:t xml:space="preserve"> Ia</w:t>
      </w:r>
      <w:r w:rsidRPr="00881752">
        <w:rPr>
          <w:rFonts w:cs="Times New Roman"/>
          <w:lang w:val="en-US"/>
        </w:rPr>
        <w:t xml:space="preserve">. 1.3-4). Among all the instances of the verb, the most important belongs to </w:t>
      </w:r>
      <w:r w:rsidRPr="00881752">
        <w:rPr>
          <w:rFonts w:cs="Times New Roman"/>
          <w:i/>
          <w:iCs/>
          <w:lang w:val="en-US"/>
        </w:rPr>
        <w:t>Iambus</w:t>
      </w:r>
      <w:r w:rsidRPr="00881752">
        <w:rPr>
          <w:rFonts w:cs="Times New Roman"/>
          <w:lang w:val="en-US"/>
        </w:rPr>
        <w:t xml:space="preserve"> 12, where Callimachus states that he (or his </w:t>
      </w:r>
      <w:r w:rsidRPr="00881752">
        <w:rPr>
          <w:rFonts w:cs="Times New Roman"/>
          <w:i/>
          <w:iCs/>
          <w:lang w:val="en-US"/>
        </w:rPr>
        <w:t>persona</w:t>
      </w:r>
      <w:r w:rsidRPr="00881752">
        <w:rPr>
          <w:rFonts w:cs="Times New Roman"/>
          <w:lang w:val="en-US"/>
        </w:rPr>
        <w:t>) will sing good prayers for the feast of the seventh day of the daughter of a friend (τῆσδ</w:t>
      </w:r>
      <w:r w:rsidR="00075F5F">
        <w:rPr>
          <w:rFonts w:cs="Times New Roman"/>
          <w:lang w:val="en-US"/>
        </w:rPr>
        <w:t>’</w:t>
      </w:r>
      <w:r w:rsidRPr="00881752">
        <w:rPr>
          <w:rFonts w:cs="Times New Roman"/>
          <w:lang w:val="en-US"/>
        </w:rPr>
        <w:t xml:space="preserve"> ἐτῇς εὐχῇσι … αεισομαι </w:t>
      </w:r>
      <w:r w:rsidR="00CC0615">
        <w:rPr>
          <w:rFonts w:cs="Times New Roman"/>
          <w:lang w:val="en-US"/>
        </w:rPr>
        <w:lastRenderedPageBreak/>
        <w:t>“</w:t>
      </w:r>
      <w:r w:rsidRPr="00881752">
        <w:rPr>
          <w:rFonts w:cs="Times New Roman"/>
          <w:lang w:val="en-US"/>
        </w:rPr>
        <w:t>these true prayers … I will sing,</w:t>
      </w:r>
      <w:r w:rsidR="00CC0615">
        <w:rPr>
          <w:rFonts w:cs="Times New Roman"/>
          <w:lang w:val="en-US"/>
        </w:rPr>
        <w:t>”</w:t>
      </w:r>
      <w:r w:rsidRPr="00881752">
        <w:rPr>
          <w:rFonts w:cs="Times New Roman"/>
          <w:i/>
          <w:iCs/>
          <w:lang w:val="en-US"/>
        </w:rPr>
        <w:t xml:space="preserve"> Ia</w:t>
      </w:r>
      <w:r w:rsidRPr="00881752">
        <w:rPr>
          <w:rFonts w:cs="Times New Roman"/>
          <w:lang w:val="en-US"/>
        </w:rPr>
        <w:t>. 12.19).</w:t>
      </w:r>
      <w:r w:rsidRPr="00881752">
        <w:rPr>
          <w:rFonts w:cs="Times New Roman"/>
          <w:sz w:val="32"/>
          <w:szCs w:val="32"/>
          <w:lang w:val="en-US"/>
        </w:rPr>
        <w:t xml:space="preserve"> </w:t>
      </w:r>
      <w:r w:rsidRPr="00881752">
        <w:rPr>
          <w:rFonts w:cs="Times New Roman"/>
          <w:lang w:val="en-US"/>
        </w:rPr>
        <w:t>The narration reveals that Callimachus</w:t>
      </w:r>
      <w:r w:rsidR="00075F5F">
        <w:rPr>
          <w:rFonts w:cs="Times New Roman"/>
          <w:lang w:val="en-US"/>
        </w:rPr>
        <w:t>’</w:t>
      </w:r>
      <w:r w:rsidRPr="00881752">
        <w:rPr>
          <w:rFonts w:cs="Times New Roman"/>
          <w:lang w:val="en-US"/>
        </w:rPr>
        <w:t xml:space="preserve"> song is a gift which is comparable to the song that Apollo sang to celebrate the seventh day of Hera</w:t>
      </w:r>
      <w:r w:rsidR="00075F5F">
        <w:rPr>
          <w:rFonts w:cs="Times New Roman"/>
          <w:lang w:val="en-US"/>
        </w:rPr>
        <w:t>’</w:t>
      </w:r>
      <w:r w:rsidRPr="00881752">
        <w:rPr>
          <w:rFonts w:cs="Times New Roman"/>
          <w:lang w:val="en-US"/>
        </w:rPr>
        <w:t xml:space="preserve">s daughter. This new use of the verb ἀείδω steals it from the epic domain, achieving what Archilochus attempted. While Archilochus uses the epic verb ἀείδω in a context which seems to parody epic, Callimachus suggests that it is possible to </w:t>
      </w:r>
      <w:r w:rsidR="00CC0615">
        <w:rPr>
          <w:rFonts w:cs="Times New Roman"/>
          <w:lang w:val="en-US"/>
        </w:rPr>
        <w:t>“</w:t>
      </w:r>
      <w:r w:rsidRPr="00881752">
        <w:rPr>
          <w:rFonts w:cs="Times New Roman"/>
          <w:lang w:val="en-US"/>
        </w:rPr>
        <w:t>sing</w:t>
      </w:r>
      <w:r w:rsidR="00CC0615">
        <w:rPr>
          <w:rFonts w:cs="Times New Roman"/>
          <w:lang w:val="en-US"/>
        </w:rPr>
        <w:t>”</w:t>
      </w:r>
      <w:r w:rsidRPr="00881752">
        <w:rPr>
          <w:rFonts w:cs="Times New Roman"/>
          <w:lang w:val="en-US"/>
        </w:rPr>
        <w:t xml:space="preserve"> (ἀείδειν) and to simultaneously give iambic poetry a higher status within the hierarchy of literary genres. This combination of two sign systems relativises the text, since Callimachus</w:t>
      </w:r>
      <w:r w:rsidR="00075F5F">
        <w:rPr>
          <w:rFonts w:cs="Times New Roman"/>
          <w:lang w:val="en-US"/>
        </w:rPr>
        <w:t>’</w:t>
      </w:r>
      <w:r w:rsidRPr="00881752">
        <w:rPr>
          <w:rFonts w:cs="Times New Roman"/>
          <w:lang w:val="en-US"/>
        </w:rPr>
        <w:t xml:space="preserve"> imitation takes seriously what is imitated, claiming and appropriating it for itself. In this case, the ambivalent word is characterised by the writer</w:t>
      </w:r>
      <w:r w:rsidR="00075F5F">
        <w:rPr>
          <w:rFonts w:cs="Times New Roman"/>
          <w:lang w:val="en-US"/>
        </w:rPr>
        <w:t>’</w:t>
      </w:r>
      <w:r w:rsidRPr="00881752">
        <w:rPr>
          <w:rFonts w:cs="Times New Roman"/>
          <w:lang w:val="en-US"/>
        </w:rPr>
        <w:t>s exploitation of another</w:t>
      </w:r>
      <w:r w:rsidR="00075F5F">
        <w:rPr>
          <w:rFonts w:cs="Times New Roman"/>
          <w:lang w:val="en-US"/>
        </w:rPr>
        <w:t>’</w:t>
      </w:r>
      <w:r w:rsidRPr="00881752">
        <w:rPr>
          <w:rFonts w:cs="Times New Roman"/>
          <w:lang w:val="en-US"/>
        </w:rPr>
        <w:t xml:space="preserve">s speech for his own purposes. Without countering its thought, he follows its sense while relativising it. </w:t>
      </w:r>
    </w:p>
    <w:p w14:paraId="26AE3662" w14:textId="04589813" w:rsidR="00937994" w:rsidRPr="00881752" w:rsidRDefault="00937994" w:rsidP="00E95AF7">
      <w:pPr>
        <w:ind w:firstLine="425"/>
        <w:rPr>
          <w:rFonts w:cs="Times New Roman"/>
          <w:lang w:val="en-US"/>
        </w:rPr>
      </w:pPr>
      <w:r w:rsidRPr="00881752">
        <w:rPr>
          <w:rFonts w:cs="Times New Roman"/>
          <w:lang w:val="en-US"/>
        </w:rPr>
        <w:t>I contend that Callimachus</w:t>
      </w:r>
      <w:r w:rsidR="00075F5F">
        <w:rPr>
          <w:rFonts w:cs="Times New Roman"/>
          <w:lang w:val="en-US"/>
        </w:rPr>
        <w:t>’</w:t>
      </w:r>
      <w:r w:rsidRPr="00881752">
        <w:rPr>
          <w:rFonts w:cs="Times New Roman"/>
          <w:lang w:val="en-US"/>
        </w:rPr>
        <w:t xml:space="preserve"> ambivalent discourse owes something to Plato</w:t>
      </w:r>
      <w:r w:rsidR="00075F5F">
        <w:rPr>
          <w:rFonts w:cs="Times New Roman"/>
          <w:lang w:val="en-US"/>
        </w:rPr>
        <w:t>’</w:t>
      </w:r>
      <w:r w:rsidRPr="00881752">
        <w:rPr>
          <w:rFonts w:cs="Times New Roman"/>
          <w:lang w:val="en-US"/>
        </w:rPr>
        <w:t>s Socratic dialogues.</w:t>
      </w:r>
      <w:r w:rsidRPr="00881752">
        <w:rPr>
          <w:rStyle w:val="FootnoteReference"/>
          <w:rFonts w:cs="Times New Roman"/>
          <w:lang w:val="en-US"/>
        </w:rPr>
        <w:footnoteReference w:id="235"/>
      </w:r>
      <w:r w:rsidRPr="00881752">
        <w:rPr>
          <w:rFonts w:cs="Times New Roman"/>
          <w:lang w:val="en-US"/>
        </w:rPr>
        <w:t xml:space="preserve"> Among the numerous influences of Platonic philosophy on Callimachus</w:t>
      </w:r>
      <w:r w:rsidR="00075F5F">
        <w:rPr>
          <w:rFonts w:cs="Times New Roman"/>
          <w:lang w:val="en-US"/>
        </w:rPr>
        <w:t>’</w:t>
      </w:r>
      <w:r w:rsidRPr="00881752">
        <w:rPr>
          <w:rFonts w:cs="Times New Roman"/>
          <w:lang w:val="en-US"/>
        </w:rPr>
        <w:t xml:space="preserve"> works,</w:t>
      </w:r>
      <w:r w:rsidRPr="00881752">
        <w:rPr>
          <w:rStyle w:val="FootnoteReference"/>
          <w:rFonts w:cs="Times New Roman"/>
          <w:lang w:val="en-US"/>
        </w:rPr>
        <w:footnoteReference w:id="236"/>
      </w:r>
      <w:r w:rsidRPr="00881752">
        <w:rPr>
          <w:rFonts w:cs="Times New Roman"/>
          <w:lang w:val="en-US"/>
        </w:rPr>
        <w:t xml:space="preserve"> I argue that the structure and semantics of Socratic dialogue strongly influenced the </w:t>
      </w:r>
      <w:r w:rsidRPr="00881752">
        <w:rPr>
          <w:rFonts w:cs="Times New Roman"/>
          <w:i/>
          <w:iCs/>
          <w:lang w:val="en-US"/>
        </w:rPr>
        <w:t>Iambi</w:t>
      </w:r>
      <w:r w:rsidRPr="00881752">
        <w:rPr>
          <w:rFonts w:cs="Times New Roman"/>
          <w:lang w:val="en-US"/>
        </w:rPr>
        <w:t>. According to Bakhtin, the Socratic dialogues are characterised by opposition to any official monologism laying claim to ready-made truth. Instead, Socratic truth (</w:t>
      </w:r>
      <w:r w:rsidR="00CC0615">
        <w:rPr>
          <w:rFonts w:cs="Times New Roman"/>
          <w:lang w:val="en-US"/>
        </w:rPr>
        <w:t>“</w:t>
      </w:r>
      <w:r w:rsidRPr="00881752">
        <w:rPr>
          <w:rFonts w:cs="Times New Roman"/>
          <w:lang w:val="en-US"/>
        </w:rPr>
        <w:t>meaning</w:t>
      </w:r>
      <w:r w:rsidR="00CC0615">
        <w:rPr>
          <w:rFonts w:cs="Times New Roman"/>
          <w:lang w:val="en-US"/>
        </w:rPr>
        <w:t>”</w:t>
      </w:r>
      <w:r w:rsidRPr="00881752">
        <w:rPr>
          <w:rFonts w:cs="Times New Roman"/>
          <w:lang w:val="en-US"/>
        </w:rPr>
        <w:t>) is the product of a dialogical relationship among speakers: it is correlational, and its relativism follows from the observers</w:t>
      </w:r>
      <w:r w:rsidR="00075F5F">
        <w:rPr>
          <w:rFonts w:cs="Times New Roman"/>
          <w:lang w:val="en-US"/>
        </w:rPr>
        <w:t>’</w:t>
      </w:r>
      <w:r w:rsidRPr="00881752">
        <w:rPr>
          <w:rFonts w:cs="Times New Roman"/>
          <w:lang w:val="en-US"/>
        </w:rPr>
        <w:t xml:space="preserve"> autonomous points of view; </w:t>
      </w:r>
      <w:r w:rsidR="00CC0615">
        <w:rPr>
          <w:rFonts w:cs="Times New Roman"/>
          <w:lang w:val="en-US"/>
        </w:rPr>
        <w:t>“</w:t>
      </w:r>
      <w:r w:rsidRPr="00881752">
        <w:rPr>
          <w:rFonts w:cs="Times New Roman"/>
          <w:lang w:val="en-US"/>
        </w:rPr>
        <w:t>its art lies in the articulation of fantasy and the correlation of signs.</w:t>
      </w:r>
      <w:r w:rsidR="00CC0615">
        <w:rPr>
          <w:rFonts w:cs="Times New Roman"/>
          <w:lang w:val="en-US"/>
        </w:rPr>
        <w:t>”</w:t>
      </w:r>
      <w:r w:rsidRPr="00881752">
        <w:rPr>
          <w:rStyle w:val="FootnoteReference"/>
          <w:rFonts w:cs="Times New Roman"/>
          <w:lang w:val="en-US"/>
        </w:rPr>
        <w:footnoteReference w:id="237"/>
      </w:r>
    </w:p>
    <w:p w14:paraId="04690A13" w14:textId="2DAC4197" w:rsidR="00937994" w:rsidRPr="00881752" w:rsidRDefault="00937994" w:rsidP="00881752">
      <w:pPr>
        <w:ind w:firstLine="425"/>
        <w:rPr>
          <w:rFonts w:cs="Times New Roman"/>
          <w:lang w:val="en-US"/>
        </w:rPr>
      </w:pPr>
      <w:r w:rsidRPr="00881752">
        <w:rPr>
          <w:rFonts w:cs="Times New Roman"/>
          <w:lang w:val="en-US"/>
        </w:rPr>
        <w:t xml:space="preserve">I argue that in triggering this linguistic network, the </w:t>
      </w:r>
      <w:r w:rsidRPr="00881752">
        <w:rPr>
          <w:rFonts w:cs="Times New Roman"/>
          <w:i/>
          <w:iCs/>
          <w:lang w:val="en-US"/>
        </w:rPr>
        <w:t>Iambi</w:t>
      </w:r>
      <w:r w:rsidRPr="00881752">
        <w:rPr>
          <w:rFonts w:cs="Times New Roman"/>
          <w:lang w:val="en-US"/>
        </w:rPr>
        <w:t xml:space="preserve"> shares those devices identified by Bakhtin as typical of the Socratic dialogues: syncrisis (confronting two different discourses on the same topic) and anacrusis (one word prompting another).</w:t>
      </w:r>
      <w:r w:rsidRPr="00881752">
        <w:rPr>
          <w:rStyle w:val="FootnoteReference"/>
          <w:rFonts w:cs="Times New Roman"/>
          <w:lang w:val="en-US"/>
        </w:rPr>
        <w:footnoteReference w:id="238"/>
      </w:r>
      <w:r w:rsidRPr="00881752">
        <w:rPr>
          <w:rFonts w:cs="Times New Roman"/>
          <w:lang w:val="en-US"/>
        </w:rPr>
        <w:t xml:space="preserve"> Syncrisis underpins </w:t>
      </w:r>
      <w:r w:rsidRPr="00881752">
        <w:rPr>
          <w:rFonts w:cs="Times New Roman"/>
          <w:i/>
          <w:iCs/>
          <w:lang w:val="en-US"/>
        </w:rPr>
        <w:t>Iambus</w:t>
      </w:r>
      <w:r w:rsidRPr="00881752">
        <w:rPr>
          <w:rFonts w:cs="Times New Roman"/>
          <w:lang w:val="en-US"/>
        </w:rPr>
        <w:t xml:space="preserve"> 4, in which the olive and the laurel discuss the premiership. Anacrusis characterises the speech of Hipponax in </w:t>
      </w:r>
      <w:r w:rsidRPr="00881752">
        <w:rPr>
          <w:rFonts w:cs="Times New Roman"/>
          <w:i/>
          <w:iCs/>
          <w:lang w:val="en-US"/>
        </w:rPr>
        <w:t xml:space="preserve">Iambus </w:t>
      </w:r>
      <w:r w:rsidRPr="00881752">
        <w:rPr>
          <w:rFonts w:cs="Times New Roman"/>
          <w:lang w:val="en-US"/>
        </w:rPr>
        <w:t>1, in which Hipponax</w:t>
      </w:r>
      <w:r w:rsidR="00075F5F">
        <w:rPr>
          <w:rFonts w:cs="Times New Roman"/>
          <w:lang w:val="en-US"/>
        </w:rPr>
        <w:t>’</w:t>
      </w:r>
      <w:r w:rsidRPr="00881752">
        <w:rPr>
          <w:rFonts w:cs="Times New Roman"/>
          <w:lang w:val="en-US"/>
        </w:rPr>
        <w:t xml:space="preserve">s semantics always inform the words that Callimachus puts into the mouth of his character. In both the Socratic dialogues and the </w:t>
      </w:r>
      <w:r w:rsidRPr="00881752">
        <w:rPr>
          <w:rFonts w:cs="Times New Roman"/>
          <w:i/>
          <w:iCs/>
          <w:lang w:val="en-US"/>
        </w:rPr>
        <w:t>Iambi</w:t>
      </w:r>
      <w:r w:rsidRPr="00881752">
        <w:rPr>
          <w:rFonts w:cs="Times New Roman"/>
          <w:lang w:val="en-US"/>
        </w:rPr>
        <w:t>, the subjects of discourse are hidden by the discourse that constitutes them.</w:t>
      </w:r>
      <w:r w:rsidRPr="00881752">
        <w:rPr>
          <w:rStyle w:val="FootnoteReference"/>
          <w:rFonts w:cs="Times New Roman"/>
          <w:lang w:val="en-US"/>
        </w:rPr>
        <w:footnoteReference w:id="239"/>
      </w:r>
      <w:r w:rsidRPr="00881752">
        <w:rPr>
          <w:rFonts w:cs="Times New Roman"/>
          <w:lang w:val="en-US"/>
        </w:rPr>
        <w:t xml:space="preserve"> Bakhtin reminds us that the </w:t>
      </w:r>
      <w:r w:rsidR="00CC0615">
        <w:rPr>
          <w:rFonts w:cs="Times New Roman"/>
          <w:lang w:val="en-US"/>
        </w:rPr>
        <w:t>“</w:t>
      </w:r>
      <w:r w:rsidRPr="00881752">
        <w:rPr>
          <w:rFonts w:cs="Times New Roman"/>
          <w:lang w:val="en-US"/>
        </w:rPr>
        <w:t>event</w:t>
      </w:r>
      <w:r w:rsidR="00CC0615">
        <w:rPr>
          <w:rFonts w:cs="Times New Roman"/>
          <w:lang w:val="en-US"/>
        </w:rPr>
        <w:t>”</w:t>
      </w:r>
      <w:r w:rsidRPr="00881752">
        <w:rPr>
          <w:rFonts w:cs="Times New Roman"/>
          <w:lang w:val="en-US"/>
        </w:rPr>
        <w:t xml:space="preserve"> of Socratic dialogue is of the nature of discourse: the questioning and testing, through speech, of a </w:t>
      </w:r>
      <w:r w:rsidRPr="00881752">
        <w:rPr>
          <w:rFonts w:cs="Times New Roman"/>
          <w:lang w:val="en-US"/>
        </w:rPr>
        <w:lastRenderedPageBreak/>
        <w:t>definition. Therefore, Socratic dialogism has its origins in the exclusive position of a subject of discourse that provokes the dialogue. In Plato</w:t>
      </w:r>
      <w:r w:rsidR="00075F5F">
        <w:rPr>
          <w:rFonts w:cs="Times New Roman"/>
          <w:lang w:val="en-US"/>
        </w:rPr>
        <w:t>’</w:t>
      </w:r>
      <w:r w:rsidRPr="00881752">
        <w:rPr>
          <w:rFonts w:cs="Times New Roman"/>
          <w:lang w:val="en-US"/>
        </w:rPr>
        <w:t xml:space="preserve">s </w:t>
      </w:r>
      <w:r w:rsidRPr="00881752">
        <w:rPr>
          <w:rFonts w:cs="Times New Roman"/>
          <w:i/>
          <w:iCs/>
          <w:lang w:val="en-US"/>
        </w:rPr>
        <w:t>Apology</w:t>
      </w:r>
      <w:r w:rsidRPr="00881752">
        <w:rPr>
          <w:rFonts w:cs="Times New Roman"/>
          <w:lang w:val="en-US"/>
        </w:rPr>
        <w:t>, Socrates</w:t>
      </w:r>
      <w:r w:rsidR="00075F5F">
        <w:rPr>
          <w:rFonts w:cs="Times New Roman"/>
          <w:lang w:val="en-US"/>
        </w:rPr>
        <w:t>’</w:t>
      </w:r>
      <w:r w:rsidRPr="00881752">
        <w:rPr>
          <w:rFonts w:cs="Times New Roman"/>
          <w:lang w:val="en-US"/>
        </w:rPr>
        <w:t xml:space="preserve"> trial and the period while he is awaiting judgment determine his discourse as the confessions of a man </w:t>
      </w:r>
      <w:r w:rsidR="00CC0615">
        <w:rPr>
          <w:rFonts w:cs="Times New Roman"/>
          <w:lang w:val="en-US"/>
        </w:rPr>
        <w:t>“</w:t>
      </w:r>
      <w:r w:rsidRPr="00881752">
        <w:rPr>
          <w:rFonts w:cs="Times New Roman"/>
          <w:lang w:val="en-US"/>
        </w:rPr>
        <w:t>on the threshold.</w:t>
      </w:r>
      <w:r w:rsidR="00CC0615">
        <w:rPr>
          <w:rFonts w:cs="Times New Roman"/>
          <w:lang w:val="en-US"/>
        </w:rPr>
        <w:t>”</w:t>
      </w:r>
      <w:r w:rsidRPr="00881752">
        <w:rPr>
          <w:rFonts w:cs="Times New Roman"/>
          <w:lang w:val="en-US"/>
        </w:rPr>
        <w:t xml:space="preserve"> In his </w:t>
      </w:r>
      <w:r w:rsidRPr="00881752">
        <w:rPr>
          <w:rFonts w:cs="Times New Roman"/>
          <w:i/>
          <w:iCs/>
          <w:lang w:val="en-US"/>
        </w:rPr>
        <w:t>Iambi</w:t>
      </w:r>
      <w:r w:rsidRPr="00881752">
        <w:rPr>
          <w:rFonts w:cs="Times New Roman"/>
          <w:lang w:val="en-US"/>
        </w:rPr>
        <w:t xml:space="preserve">, Callimachus needs a narrative frame to create the occasion of dialogism, and the creation of an </w:t>
      </w:r>
      <w:r w:rsidRPr="00881752">
        <w:rPr>
          <w:rFonts w:cs="Times New Roman"/>
          <w:i/>
          <w:iCs/>
          <w:lang w:val="en-US"/>
        </w:rPr>
        <w:t>ad hoc</w:t>
      </w:r>
      <w:r w:rsidRPr="00881752">
        <w:rPr>
          <w:rFonts w:cs="Times New Roman"/>
          <w:lang w:val="en-US"/>
        </w:rPr>
        <w:t xml:space="preserve"> situation liberates the word from any univocal objectivity,</w:t>
      </w:r>
      <w:r w:rsidRPr="00881752">
        <w:rPr>
          <w:rStyle w:val="FootnoteReference"/>
          <w:rFonts w:cs="Times New Roman"/>
          <w:lang w:val="en-US"/>
        </w:rPr>
        <w:footnoteReference w:id="240"/>
      </w:r>
      <w:r w:rsidRPr="00881752">
        <w:rPr>
          <w:rFonts w:cs="Times New Roman"/>
          <w:lang w:val="en-US"/>
        </w:rPr>
        <w:t xml:space="preserve"> and puts it into a new semantic system which characterises the iambic poetry. </w:t>
      </w:r>
    </w:p>
    <w:p w14:paraId="4CB41E6B" w14:textId="77777777" w:rsidR="00937994" w:rsidRPr="00881752" w:rsidRDefault="00937994" w:rsidP="00937994">
      <w:pPr>
        <w:pStyle w:val="Heading3"/>
        <w:rPr>
          <w:lang w:val="en-US"/>
        </w:rPr>
      </w:pPr>
      <w:r w:rsidRPr="00881752">
        <w:rPr>
          <w:lang w:val="en-US"/>
        </w:rPr>
        <w:t>Summary</w:t>
      </w:r>
    </w:p>
    <w:p w14:paraId="34FFCC75" w14:textId="3D016EF9" w:rsidR="00937994" w:rsidRPr="00881752" w:rsidRDefault="00937994" w:rsidP="00937994">
      <w:pPr>
        <w:rPr>
          <w:rFonts w:cs="Times New Roman"/>
          <w:lang w:val="en-US"/>
        </w:rPr>
      </w:pPr>
      <w:r w:rsidRPr="00881752">
        <w:rPr>
          <w:rFonts w:cs="Times New Roman"/>
          <w:lang w:val="en-US"/>
        </w:rPr>
        <w:t>In this chapter I have shown that the base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differs considerably from the base language of Archilochus and Hipponax. Although at first glance Callimachus seems to use the archaic iambographers</w:t>
      </w:r>
      <w:r w:rsidR="00075F5F">
        <w:rPr>
          <w:rFonts w:cs="Times New Roman"/>
          <w:lang w:val="en-US"/>
        </w:rPr>
        <w:t>’</w:t>
      </w:r>
      <w:r w:rsidRPr="00881752">
        <w:rPr>
          <w:rFonts w:cs="Times New Roman"/>
          <w:lang w:val="en-US"/>
        </w:rPr>
        <w:t xml:space="preserve"> East Ionic dialect, the Alexandrian poet reproduces only some of its features. A similar pattern can be observed when we focus on some specific elements which are typical of the iambic language, such as compound words or </w:t>
      </w:r>
      <w:r w:rsidRPr="00881752">
        <w:rPr>
          <w:rFonts w:cs="Times New Roman"/>
          <w:i/>
          <w:iCs/>
          <w:lang w:val="en-US"/>
        </w:rPr>
        <w:t>hapax legomena</w:t>
      </w:r>
      <w:r w:rsidRPr="00881752">
        <w:rPr>
          <w:rFonts w:cs="Times New Roman"/>
          <w:lang w:val="en-US"/>
        </w:rPr>
        <w:t>. These are part of the language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but their composition is quite different from that of the archaic iambographers. Overall, the vocabulary of Callimachus</w:t>
      </w:r>
      <w:r w:rsidR="00075F5F">
        <w:rPr>
          <w:rFonts w:cs="Times New Roman"/>
          <w:lang w:val="en-US"/>
        </w:rPr>
        <w:t>’</w:t>
      </w:r>
      <w:r w:rsidRPr="00881752">
        <w:rPr>
          <w:rFonts w:cs="Times New Roman"/>
          <w:lang w:val="en-US"/>
        </w:rPr>
        <w:t xml:space="preserve"> </w:t>
      </w:r>
      <w:r w:rsidRPr="00881752">
        <w:rPr>
          <w:rFonts w:cs="Times New Roman"/>
          <w:i/>
          <w:iCs/>
          <w:lang w:val="en-US"/>
        </w:rPr>
        <w:t>Iambi</w:t>
      </w:r>
      <w:r w:rsidRPr="00881752">
        <w:rPr>
          <w:rFonts w:cs="Times New Roman"/>
          <w:lang w:val="en-US"/>
        </w:rPr>
        <w:t xml:space="preserve"> shows a significant degree of autonomy from his predecessors. Despite the fact that it is possible to find some lexical patterns shared across the iambic fragments of the three iambographers, the semantic analysis shows shifts between the meanings of archaic iambographers on the one hand and Callimachus on the other.</w:t>
      </w:r>
    </w:p>
    <w:p w14:paraId="48746399" w14:textId="77777777" w:rsidR="00B436F8" w:rsidRPr="00B436F8" w:rsidRDefault="00B436F8" w:rsidP="00695A7C">
      <w:pPr>
        <w:rPr>
          <w:rFonts w:cs="Times New Roman"/>
          <w:szCs w:val="24"/>
        </w:rPr>
        <w:sectPr w:rsidR="00B436F8" w:rsidRPr="00B436F8" w:rsidSect="00033A07">
          <w:footnotePr>
            <w:numRestart w:val="eachSect"/>
          </w:footnotePr>
          <w:pgSz w:w="11901" w:h="16817"/>
          <w:pgMar w:top="1440" w:right="1440" w:bottom="1440" w:left="1797" w:header="851" w:footer="851" w:gutter="0"/>
          <w:cols w:space="708"/>
          <w:docGrid w:linePitch="360"/>
          <w:printerSettings r:id="rId34"/>
        </w:sectPr>
      </w:pPr>
    </w:p>
    <w:p w14:paraId="36A62549" w14:textId="4832ABA5" w:rsidR="006512C4" w:rsidRPr="00BD2DA1" w:rsidRDefault="006512C4" w:rsidP="00BD2DA1">
      <w:pPr>
        <w:spacing w:before="400" w:after="800"/>
        <w:jc w:val="center"/>
        <w:rPr>
          <w:b/>
          <w:sz w:val="36"/>
          <w:szCs w:val="36"/>
        </w:rPr>
      </w:pPr>
      <w:r w:rsidRPr="00BD2DA1">
        <w:rPr>
          <w:szCs w:val="24"/>
        </w:rPr>
        <w:lastRenderedPageBreak/>
        <w:t>CHAPTER 2</w:t>
      </w:r>
      <w:r w:rsidR="00BD2DA1" w:rsidRPr="00BD2DA1">
        <w:rPr>
          <w:szCs w:val="24"/>
        </w:rPr>
        <w:br/>
      </w:r>
      <w:r w:rsidRPr="00BD2DA1">
        <w:rPr>
          <w:b/>
          <w:sz w:val="36"/>
          <w:szCs w:val="36"/>
        </w:rPr>
        <w:t>Syntax and Pragmatics</w:t>
      </w:r>
    </w:p>
    <w:p w14:paraId="0733E326" w14:textId="77777777" w:rsidR="006512C4" w:rsidRPr="00EE4147" w:rsidRDefault="006512C4" w:rsidP="00BD2DA1">
      <w:pPr>
        <w:pStyle w:val="Heading3"/>
      </w:pPr>
      <w:r>
        <w:t xml:space="preserve">2.1 </w:t>
      </w:r>
      <w:r w:rsidRPr="00EE4147">
        <w:t>Deixis</w:t>
      </w:r>
    </w:p>
    <w:p w14:paraId="732C7F4E" w14:textId="1EF932A3" w:rsidR="00937994" w:rsidRPr="00F56C73" w:rsidRDefault="00937994" w:rsidP="0097588B">
      <w:pPr>
        <w:rPr>
          <w:rFonts w:cs="Times New Roman"/>
          <w:lang w:val="en-US"/>
        </w:rPr>
      </w:pPr>
      <w:r w:rsidRPr="00F56C73">
        <w:rPr>
          <w:rFonts w:cs="Times New Roman"/>
          <w:lang w:val="en-US"/>
        </w:rPr>
        <w:t xml:space="preserve">Deixis in Greek language consists of a tripartite system of pronouns (or adjectives) and adverbs to express relative proximity to the mental or physical space of a speaker: these are, appropriately enough, referred to as proximal, medial, and distal. Deictic forms constitute the </w:t>
      </w:r>
      <w:r w:rsidR="00CC0615">
        <w:rPr>
          <w:rFonts w:cs="Times New Roman"/>
          <w:lang w:val="en-US"/>
        </w:rPr>
        <w:t>“</w:t>
      </w:r>
      <w:r w:rsidRPr="00F56C73">
        <w:rPr>
          <w:rFonts w:cs="Times New Roman"/>
          <w:lang w:val="en-US"/>
        </w:rPr>
        <w:t>formal apparatus of enunciation</w:t>
      </w:r>
      <w:r w:rsidR="00CC0615">
        <w:rPr>
          <w:rFonts w:cs="Times New Roman"/>
          <w:lang w:val="en-US"/>
        </w:rPr>
        <w:t>”</w:t>
      </w:r>
      <w:r w:rsidRPr="00F56C73">
        <w:rPr>
          <w:rStyle w:val="FootnoteReference"/>
          <w:rFonts w:cs="Times New Roman"/>
          <w:lang w:val="en-US"/>
        </w:rPr>
        <w:footnoteReference w:id="241"/>
      </w:r>
      <w:r w:rsidRPr="00F56C73">
        <w:rPr>
          <w:rFonts w:cs="Times New Roman"/>
          <w:lang w:val="en-US"/>
        </w:rPr>
        <w:t xml:space="preserve">: spatial forms of </w:t>
      </w:r>
      <w:r w:rsidR="00CC0615">
        <w:rPr>
          <w:rFonts w:cs="Times New Roman"/>
          <w:lang w:val="en-US"/>
        </w:rPr>
        <w:t>“</w:t>
      </w:r>
      <w:r w:rsidRPr="00F56C73">
        <w:rPr>
          <w:rFonts w:cs="Times New Roman"/>
          <w:lang w:val="en-US"/>
        </w:rPr>
        <w:t>here,</w:t>
      </w:r>
      <w:r w:rsidR="00CC0615">
        <w:rPr>
          <w:rFonts w:cs="Times New Roman"/>
          <w:lang w:val="en-US"/>
        </w:rPr>
        <w:t>”</w:t>
      </w:r>
      <w:r w:rsidRPr="00F56C73">
        <w:rPr>
          <w:rFonts w:cs="Times New Roman"/>
          <w:lang w:val="en-US"/>
        </w:rPr>
        <w:t xml:space="preserve"> temporal forms of </w:t>
      </w:r>
      <w:r w:rsidR="00CC0615">
        <w:rPr>
          <w:rFonts w:cs="Times New Roman"/>
          <w:lang w:val="en-US"/>
        </w:rPr>
        <w:t>“</w:t>
      </w:r>
      <w:r w:rsidRPr="00F56C73">
        <w:rPr>
          <w:rFonts w:cs="Times New Roman"/>
          <w:lang w:val="en-US"/>
        </w:rPr>
        <w:t>now,</w:t>
      </w:r>
      <w:r w:rsidR="00CC0615">
        <w:rPr>
          <w:rFonts w:cs="Times New Roman"/>
          <w:lang w:val="en-US"/>
        </w:rPr>
        <w:t>”</w:t>
      </w:r>
      <w:r w:rsidRPr="00F56C73">
        <w:rPr>
          <w:rFonts w:cs="Times New Roman"/>
          <w:lang w:val="en-US"/>
        </w:rPr>
        <w:t xml:space="preserve"> and pronominal forms of </w:t>
      </w:r>
      <w:r w:rsidR="00CC0615">
        <w:rPr>
          <w:rFonts w:cs="Times New Roman"/>
          <w:lang w:val="en-US"/>
        </w:rPr>
        <w:t>“</w:t>
      </w:r>
      <w:r w:rsidRPr="00F56C73">
        <w:rPr>
          <w:rFonts w:cs="Times New Roman"/>
          <w:lang w:val="en-US"/>
        </w:rPr>
        <w:t>I.</w:t>
      </w:r>
      <w:r w:rsidR="00CC0615">
        <w:rPr>
          <w:rFonts w:cs="Times New Roman"/>
          <w:lang w:val="en-US"/>
        </w:rPr>
        <w:t>”</w:t>
      </w:r>
      <w:r w:rsidRPr="00F56C73">
        <w:rPr>
          <w:rFonts w:cs="Times New Roman"/>
          <w:lang w:val="en-US"/>
        </w:rPr>
        <w:t xml:space="preserve"> </w:t>
      </w:r>
    </w:p>
    <w:p w14:paraId="7D4C9C84" w14:textId="3DBB3B13" w:rsidR="006512C4" w:rsidRPr="00F56C73" w:rsidRDefault="00937994" w:rsidP="0097588B">
      <w:pPr>
        <w:rPr>
          <w:rFonts w:cs="Times New Roman"/>
          <w:szCs w:val="24"/>
        </w:rPr>
      </w:pPr>
      <w:r w:rsidRPr="00F56C73">
        <w:rPr>
          <w:rFonts w:cs="Times New Roman"/>
          <w:lang w:val="en-US"/>
        </w:rPr>
        <w:t>In this chapter, I deal especially with spatial and temporal deixis. In the first section I investigate spatial deixis through the analysis of demonstrative pronouns and adjectives</w:t>
      </w:r>
      <w:r w:rsidR="00A53A10">
        <w:rPr>
          <w:rFonts w:cs="Times New Roman"/>
          <w:lang w:val="en-US"/>
        </w:rPr>
        <w:t xml:space="preserve"> – </w:t>
      </w:r>
      <w:r w:rsidRPr="00F56C73">
        <w:rPr>
          <w:rFonts w:cs="Times New Roman"/>
          <w:lang w:val="en-US"/>
        </w:rPr>
        <w:t>the iambic corpus which I am analysing lacks evidence of deictic adverbs</w:t>
      </w:r>
      <w:r w:rsidR="00A53A10">
        <w:rPr>
          <w:rFonts w:cs="Times New Roman"/>
          <w:lang w:val="en-US"/>
        </w:rPr>
        <w:t xml:space="preserve"> – </w:t>
      </w:r>
      <w:r w:rsidRPr="00F56C73">
        <w:rPr>
          <w:rFonts w:cs="Times New Roman"/>
          <w:lang w:val="en-US"/>
        </w:rPr>
        <w:t>while in the second section I investigate temporal deixis through the analysis of verbal aspect and tense.</w:t>
      </w:r>
    </w:p>
    <w:p w14:paraId="29066862" w14:textId="77777777" w:rsidR="006512C4" w:rsidRPr="00F56C73" w:rsidRDefault="006512C4" w:rsidP="00F56C73">
      <w:pPr>
        <w:pStyle w:val="Heading4"/>
        <w:rPr>
          <w:rFonts w:cs="Times New Roman"/>
        </w:rPr>
      </w:pPr>
      <w:r w:rsidRPr="00F56C73">
        <w:rPr>
          <w:rFonts w:cs="Times New Roman"/>
        </w:rPr>
        <w:t xml:space="preserve">2.1.1 Introduction </w:t>
      </w:r>
    </w:p>
    <w:p w14:paraId="0F2DDCCD" w14:textId="31817157" w:rsidR="006512C4" w:rsidRDefault="007F4100" w:rsidP="00227EE7">
      <w:pPr>
        <w:rPr>
          <w:rFonts w:cs="Times New Roman"/>
          <w:lang w:val="en-US"/>
        </w:rPr>
      </w:pPr>
      <w:r>
        <w:rPr>
          <w:rFonts w:cs="Times New Roman"/>
          <w:lang w:val="en-US"/>
        </w:rPr>
        <w:t>The G</w:t>
      </w:r>
      <w:r w:rsidR="00937994" w:rsidRPr="00F56C73">
        <w:rPr>
          <w:rFonts w:cs="Times New Roman"/>
          <w:lang w:val="en-US"/>
        </w:rPr>
        <w:t xml:space="preserve">reek demonstratives </w:t>
      </w:r>
      <w:r w:rsidR="00937994" w:rsidRPr="0097588B">
        <w:rPr>
          <w:rFonts w:cs="Times New Roman"/>
          <w:lang w:val="en-US"/>
        </w:rPr>
        <w:t>ὁ</w:t>
      </w:r>
      <w:r w:rsidR="00937994" w:rsidRPr="00F56C73">
        <w:rPr>
          <w:rFonts w:cs="Times New Roman"/>
          <w:lang w:val="en-US"/>
        </w:rPr>
        <w:t xml:space="preserve">δε, οὗτος, and ἐκεῖνος nicely coordinate with the Latin triad of demonstrative </w:t>
      </w:r>
      <w:r w:rsidR="00937994" w:rsidRPr="00F56C73">
        <w:rPr>
          <w:rFonts w:cs="Times New Roman"/>
          <w:i/>
          <w:iCs/>
          <w:lang w:val="en-US"/>
        </w:rPr>
        <w:t>hic</w:t>
      </w:r>
      <w:r w:rsidR="00937994" w:rsidRPr="00F56C73">
        <w:rPr>
          <w:rFonts w:cs="Times New Roman"/>
          <w:lang w:val="en-US"/>
        </w:rPr>
        <w:t xml:space="preserve">, </w:t>
      </w:r>
      <w:r w:rsidR="00937994" w:rsidRPr="00F56C73">
        <w:rPr>
          <w:rFonts w:cs="Times New Roman"/>
          <w:i/>
          <w:iCs/>
          <w:lang w:val="en-US"/>
        </w:rPr>
        <w:t>iste</w:t>
      </w:r>
      <w:r w:rsidR="00937994" w:rsidRPr="00F56C73">
        <w:rPr>
          <w:rFonts w:cs="Times New Roman"/>
          <w:lang w:val="en-US"/>
        </w:rPr>
        <w:t xml:space="preserve">, and </w:t>
      </w:r>
      <w:r w:rsidR="00937994" w:rsidRPr="00F56C73">
        <w:rPr>
          <w:rFonts w:cs="Times New Roman"/>
          <w:i/>
          <w:iCs/>
          <w:lang w:val="en-US"/>
        </w:rPr>
        <w:t>ille</w:t>
      </w:r>
      <w:r w:rsidR="00937994" w:rsidRPr="00F56C73">
        <w:rPr>
          <w:rFonts w:cs="Times New Roman"/>
          <w:lang w:val="en-US"/>
        </w:rPr>
        <w:t xml:space="preserve">, as shown in the table below: </w:t>
      </w:r>
    </w:p>
    <w:p w14:paraId="1BC0CB1F" w14:textId="77777777" w:rsidR="00F56C73" w:rsidRPr="00F56C73" w:rsidRDefault="00F56C73" w:rsidP="0097588B">
      <w:pPr>
        <w:rPr>
          <w:rFonts w:cs="Times New Roman"/>
          <w:szCs w:val="24"/>
        </w:rPr>
      </w:pPr>
    </w:p>
    <w:tbl>
      <w:tblPr>
        <w:tblStyle w:val="TableGrid"/>
        <w:tblW w:w="0" w:type="auto"/>
        <w:tblLook w:val="04A0" w:firstRow="1" w:lastRow="0" w:firstColumn="1" w:lastColumn="0" w:noHBand="0" w:noVBand="1"/>
      </w:tblPr>
      <w:tblGrid>
        <w:gridCol w:w="2838"/>
        <w:gridCol w:w="2839"/>
        <w:gridCol w:w="2839"/>
      </w:tblGrid>
      <w:tr w:rsidR="006512C4" w:rsidRPr="0013788D" w14:paraId="1DEE94D3" w14:textId="77777777" w:rsidTr="006512C4">
        <w:tc>
          <w:tcPr>
            <w:tcW w:w="2838" w:type="dxa"/>
          </w:tcPr>
          <w:p w14:paraId="6D7C5B8B" w14:textId="77777777" w:rsidR="006512C4" w:rsidRPr="0013788D" w:rsidRDefault="006512C4" w:rsidP="008D1580">
            <w:pPr>
              <w:spacing w:before="100" w:after="100" w:line="240" w:lineRule="auto"/>
              <w:rPr>
                <w:szCs w:val="24"/>
              </w:rPr>
            </w:pPr>
            <w:r w:rsidRPr="0013788D">
              <w:rPr>
                <w:szCs w:val="24"/>
              </w:rPr>
              <w:t xml:space="preserve">Proximal </w:t>
            </w:r>
          </w:p>
        </w:tc>
        <w:tc>
          <w:tcPr>
            <w:tcW w:w="2839" w:type="dxa"/>
          </w:tcPr>
          <w:p w14:paraId="56D0D0BE" w14:textId="77777777" w:rsidR="006512C4" w:rsidRPr="0013788D" w:rsidRDefault="006512C4" w:rsidP="008D1580">
            <w:pPr>
              <w:spacing w:before="100" w:after="100" w:line="240" w:lineRule="auto"/>
              <w:rPr>
                <w:szCs w:val="24"/>
              </w:rPr>
            </w:pPr>
            <w:r w:rsidRPr="0013788D">
              <w:rPr>
                <w:szCs w:val="24"/>
              </w:rPr>
              <w:t>Medial</w:t>
            </w:r>
          </w:p>
        </w:tc>
        <w:tc>
          <w:tcPr>
            <w:tcW w:w="2839" w:type="dxa"/>
          </w:tcPr>
          <w:p w14:paraId="23E4DC92" w14:textId="77777777" w:rsidR="006512C4" w:rsidRPr="0013788D" w:rsidRDefault="006512C4" w:rsidP="008D1580">
            <w:pPr>
              <w:spacing w:before="100" w:after="100" w:line="240" w:lineRule="auto"/>
              <w:rPr>
                <w:szCs w:val="24"/>
              </w:rPr>
            </w:pPr>
            <w:r w:rsidRPr="0013788D">
              <w:rPr>
                <w:szCs w:val="24"/>
              </w:rPr>
              <w:t>Distal</w:t>
            </w:r>
          </w:p>
        </w:tc>
      </w:tr>
      <w:tr w:rsidR="006512C4" w:rsidRPr="0013788D" w14:paraId="3C845376" w14:textId="77777777" w:rsidTr="006512C4">
        <w:tc>
          <w:tcPr>
            <w:tcW w:w="2838" w:type="dxa"/>
          </w:tcPr>
          <w:p w14:paraId="64D01693" w14:textId="77777777" w:rsidR="006512C4" w:rsidRPr="0013788D" w:rsidRDefault="006512C4" w:rsidP="008D1580">
            <w:pPr>
              <w:spacing w:before="100" w:after="100" w:line="240" w:lineRule="auto"/>
              <w:rPr>
                <w:szCs w:val="24"/>
              </w:rPr>
            </w:pPr>
            <w:r w:rsidRPr="0013788D">
              <w:rPr>
                <w:szCs w:val="24"/>
              </w:rPr>
              <w:t>ὅδε</w:t>
            </w:r>
          </w:p>
        </w:tc>
        <w:tc>
          <w:tcPr>
            <w:tcW w:w="2839" w:type="dxa"/>
          </w:tcPr>
          <w:p w14:paraId="1DFF00E3" w14:textId="77777777" w:rsidR="006512C4" w:rsidRPr="0013788D" w:rsidRDefault="006512C4" w:rsidP="008D1580">
            <w:pPr>
              <w:spacing w:before="100" w:after="100" w:line="240" w:lineRule="auto"/>
              <w:rPr>
                <w:szCs w:val="24"/>
              </w:rPr>
            </w:pPr>
            <w:r w:rsidRPr="0013788D">
              <w:rPr>
                <w:szCs w:val="24"/>
              </w:rPr>
              <w:t>οὗτος</w:t>
            </w:r>
          </w:p>
        </w:tc>
        <w:tc>
          <w:tcPr>
            <w:tcW w:w="2839" w:type="dxa"/>
          </w:tcPr>
          <w:p w14:paraId="5AD1C520" w14:textId="77777777" w:rsidR="006512C4" w:rsidRPr="0013788D" w:rsidRDefault="006512C4" w:rsidP="008D1580">
            <w:pPr>
              <w:spacing w:before="100" w:after="100" w:line="240" w:lineRule="auto"/>
              <w:rPr>
                <w:szCs w:val="24"/>
              </w:rPr>
            </w:pPr>
            <w:r w:rsidRPr="0013788D">
              <w:rPr>
                <w:szCs w:val="24"/>
              </w:rPr>
              <w:t xml:space="preserve">ἐκεῖνος </w:t>
            </w:r>
          </w:p>
        </w:tc>
      </w:tr>
      <w:tr w:rsidR="006512C4" w:rsidRPr="0013788D" w14:paraId="71B43AA6" w14:textId="77777777" w:rsidTr="006512C4">
        <w:tc>
          <w:tcPr>
            <w:tcW w:w="2838" w:type="dxa"/>
          </w:tcPr>
          <w:p w14:paraId="3B82B2DB" w14:textId="77777777" w:rsidR="006512C4" w:rsidRPr="0013788D" w:rsidRDefault="006512C4" w:rsidP="008D1580">
            <w:pPr>
              <w:spacing w:before="100" w:after="100" w:line="240" w:lineRule="auto"/>
              <w:rPr>
                <w:szCs w:val="24"/>
              </w:rPr>
            </w:pPr>
            <w:r w:rsidRPr="0013788D">
              <w:rPr>
                <w:i/>
                <w:iCs/>
                <w:szCs w:val="24"/>
              </w:rPr>
              <w:t>hic</w:t>
            </w:r>
          </w:p>
        </w:tc>
        <w:tc>
          <w:tcPr>
            <w:tcW w:w="2839" w:type="dxa"/>
          </w:tcPr>
          <w:p w14:paraId="20143EFF" w14:textId="77777777" w:rsidR="006512C4" w:rsidRPr="0013788D" w:rsidRDefault="006512C4" w:rsidP="008D1580">
            <w:pPr>
              <w:spacing w:before="100" w:after="100" w:line="240" w:lineRule="auto"/>
              <w:rPr>
                <w:szCs w:val="24"/>
              </w:rPr>
            </w:pPr>
            <w:r w:rsidRPr="0013788D">
              <w:rPr>
                <w:i/>
                <w:iCs/>
                <w:szCs w:val="24"/>
              </w:rPr>
              <w:t>iste</w:t>
            </w:r>
          </w:p>
        </w:tc>
        <w:tc>
          <w:tcPr>
            <w:tcW w:w="2839" w:type="dxa"/>
          </w:tcPr>
          <w:p w14:paraId="43C18265" w14:textId="77777777" w:rsidR="006512C4" w:rsidRPr="0013788D" w:rsidRDefault="006512C4" w:rsidP="008D1580">
            <w:pPr>
              <w:spacing w:before="100" w:after="100" w:line="240" w:lineRule="auto"/>
              <w:rPr>
                <w:szCs w:val="24"/>
              </w:rPr>
            </w:pPr>
            <w:r w:rsidRPr="0013788D">
              <w:rPr>
                <w:i/>
                <w:iCs/>
                <w:szCs w:val="24"/>
              </w:rPr>
              <w:t xml:space="preserve">ille </w:t>
            </w:r>
          </w:p>
        </w:tc>
      </w:tr>
    </w:tbl>
    <w:p w14:paraId="165D7E3E" w14:textId="77777777" w:rsidR="00F56C73" w:rsidRDefault="00F56C73" w:rsidP="0097588B">
      <w:pPr>
        <w:autoSpaceDE w:val="0"/>
        <w:autoSpaceDN w:val="0"/>
        <w:adjustRightInd w:val="0"/>
        <w:rPr>
          <w:lang w:val="en-US"/>
        </w:rPr>
      </w:pPr>
    </w:p>
    <w:p w14:paraId="312E85B8" w14:textId="2FED46CD" w:rsidR="006512C4" w:rsidRDefault="00937994" w:rsidP="0097588B">
      <w:pPr>
        <w:autoSpaceDE w:val="0"/>
        <w:autoSpaceDN w:val="0"/>
        <w:adjustRightInd w:val="0"/>
      </w:pPr>
      <w:r>
        <w:rPr>
          <w:lang w:val="en-US"/>
        </w:rPr>
        <w:t>All deictic pronouns refer to a deictic field, whose centre</w:t>
      </w:r>
      <w:r>
        <w:rPr>
          <w:rStyle w:val="FootnoteReference"/>
          <w:lang w:val="en-US"/>
        </w:rPr>
        <w:footnoteReference w:id="242"/>
      </w:r>
      <w:r>
        <w:rPr>
          <w:lang w:val="en-US"/>
        </w:rPr>
        <w:t xml:space="preserve"> is where the words </w:t>
      </w:r>
      <w:r w:rsidR="00CC0615">
        <w:rPr>
          <w:lang w:val="en-US"/>
        </w:rPr>
        <w:t>“</w:t>
      </w:r>
      <w:r>
        <w:rPr>
          <w:lang w:val="en-US"/>
        </w:rPr>
        <w:t>here,</w:t>
      </w:r>
      <w:r w:rsidR="00CC0615">
        <w:rPr>
          <w:lang w:val="en-US"/>
        </w:rPr>
        <w:t>”</w:t>
      </w:r>
      <w:r>
        <w:rPr>
          <w:lang w:val="en-US"/>
        </w:rPr>
        <w:t xml:space="preserve"> </w:t>
      </w:r>
      <w:r w:rsidR="00CC0615">
        <w:rPr>
          <w:lang w:val="en-US"/>
        </w:rPr>
        <w:t>“</w:t>
      </w:r>
      <w:r>
        <w:rPr>
          <w:lang w:val="en-US"/>
        </w:rPr>
        <w:t>now,</w:t>
      </w:r>
      <w:r w:rsidR="00CC0615">
        <w:rPr>
          <w:lang w:val="en-US"/>
        </w:rPr>
        <w:t>”</w:t>
      </w:r>
      <w:r>
        <w:rPr>
          <w:lang w:val="en-US"/>
        </w:rPr>
        <w:t xml:space="preserve"> and </w:t>
      </w:r>
      <w:r w:rsidR="00CC0615">
        <w:rPr>
          <w:lang w:val="en-US"/>
        </w:rPr>
        <w:t>“</w:t>
      </w:r>
      <w:r>
        <w:rPr>
          <w:lang w:val="en-US"/>
        </w:rPr>
        <w:t>I</w:t>
      </w:r>
      <w:r w:rsidR="00CC0615">
        <w:rPr>
          <w:lang w:val="en-US"/>
        </w:rPr>
        <w:t>”</w:t>
      </w:r>
      <w:r>
        <w:rPr>
          <w:lang w:val="en-US"/>
        </w:rPr>
        <w:t xml:space="preserve"> intersect.</w:t>
      </w:r>
      <w:r w:rsidR="00204539">
        <w:t xml:space="preserve"> </w:t>
      </w:r>
    </w:p>
    <w:p w14:paraId="5740D6D0" w14:textId="77777777" w:rsidR="008D1580" w:rsidRDefault="008D1580">
      <w:pPr>
        <w:spacing w:line="240" w:lineRule="auto"/>
        <w:jc w:val="left"/>
      </w:pPr>
      <w:r>
        <w:br w:type="page"/>
      </w:r>
    </w:p>
    <w:p w14:paraId="60CCA747" w14:textId="18E389A4" w:rsidR="006512C4" w:rsidRDefault="00682F30" w:rsidP="00695A7C">
      <w:pPr>
        <w:autoSpaceDE w:val="0"/>
        <w:autoSpaceDN w:val="0"/>
        <w:adjustRightInd w:val="0"/>
      </w:pPr>
      <w:r>
        <w:rPr>
          <w:noProof/>
          <w:lang w:val="en-US"/>
        </w:rPr>
        <w:lastRenderedPageBreak/>
        <mc:AlternateContent>
          <mc:Choice Requires="wps">
            <w:drawing>
              <wp:anchor distT="0" distB="0" distL="114300" distR="114300" simplePos="0" relativeHeight="251701248" behindDoc="0" locked="0" layoutInCell="1" allowOverlap="1" wp14:anchorId="42080A97" wp14:editId="0F87E655">
                <wp:simplePos x="0" y="0"/>
                <wp:positionH relativeFrom="column">
                  <wp:posOffset>2514600</wp:posOffset>
                </wp:positionH>
                <wp:positionV relativeFrom="paragraph">
                  <wp:posOffset>114300</wp:posOffset>
                </wp:positionV>
                <wp:extent cx="914400" cy="457200"/>
                <wp:effectExtent l="50800" t="50800" r="76200" b="101600"/>
                <wp:wrapNone/>
                <wp:docPr id="43" name="Straight Arrow Connector 43"/>
                <wp:cNvGraphicFramePr/>
                <a:graphic xmlns:a="http://schemas.openxmlformats.org/drawingml/2006/main">
                  <a:graphicData uri="http://schemas.microsoft.com/office/word/2010/wordprocessingShape">
                    <wps:wsp>
                      <wps:cNvCnPr/>
                      <wps:spPr>
                        <a:xfrm flipV="1">
                          <a:off x="0" y="0"/>
                          <a:ext cx="914400" cy="457200"/>
                        </a:xfrm>
                        <a:prstGeom prst="straightConnector1">
                          <a:avLst/>
                        </a:prstGeom>
                        <a:ln w="3175" cmpd="sng">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id="Straight Arrow Connector 43" o:spid="_x0000_s1026" type="#_x0000_t32" style="position:absolute;margin-left:198pt;margin-top:9pt;width:1in;height:36pt;flip:y;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" strokecolor="black [3213]" strokeweight=".25pt">
                <v:stroke endarrow="open"/>
                <v:shadow on="t" opacity="24903f" mv:blur="40000f" origin=",.5" offset="0,20000emu"/>
              </v:shape>
            </w:pict>
          </mc:Fallback>
        </mc:AlternateContent>
      </w:r>
      <w:r w:rsidR="008D1580">
        <w:rPr>
          <w:noProof/>
          <w:lang w:val="en-US"/>
        </w:rPr>
        <mc:AlternateContent>
          <mc:Choice Requires="wps">
            <w:drawing>
              <wp:anchor distT="0" distB="0" distL="114300" distR="114300" simplePos="0" relativeHeight="251673600" behindDoc="0" locked="0" layoutInCell="1" allowOverlap="1" wp14:anchorId="3FB18257" wp14:editId="78ECC96D">
                <wp:simplePos x="0" y="0"/>
                <wp:positionH relativeFrom="column">
                  <wp:posOffset>3429000</wp:posOffset>
                </wp:positionH>
                <wp:positionV relativeFrom="paragraph">
                  <wp:posOffset>-114300</wp:posOffset>
                </wp:positionV>
                <wp:extent cx="10287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7F325C" w14:textId="77777777" w:rsidR="00D808B7" w:rsidRDefault="00D808B7" w:rsidP="006512C4">
                            <w:r>
                              <w:t>here, now,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left:0;text-align:left;margin-left:270pt;margin-top:-8.95pt;width:81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f2uMwCAAAO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" filled="f" stroked="f">
                <v:textbox>
                  <w:txbxContent>
                    <w:p w14:paraId="5B7F325C" w14:textId="77777777" w:rsidR="00D808B7" w:rsidRDefault="00D808B7" w:rsidP="006512C4">
                      <w:r>
                        <w:t>here, now, I</w:t>
                      </w:r>
                    </w:p>
                  </w:txbxContent>
                </v:textbox>
                <w10:wrap type="square"/>
              </v:shape>
            </w:pict>
          </mc:Fallback>
        </mc:AlternateContent>
      </w:r>
      <w:r w:rsidR="008D1580">
        <w:rPr>
          <w:noProof/>
          <w:lang w:val="en-US"/>
        </w:rPr>
        <mc:AlternateContent>
          <mc:Choice Requires="wps">
            <w:drawing>
              <wp:anchor distT="0" distB="0" distL="114300" distR="114300" simplePos="0" relativeHeight="251680768" behindDoc="0" locked="0" layoutInCell="1" allowOverlap="1" wp14:anchorId="6A325E09" wp14:editId="2D530D47">
                <wp:simplePos x="0" y="0"/>
                <wp:positionH relativeFrom="column">
                  <wp:posOffset>2514600</wp:posOffset>
                </wp:positionH>
                <wp:positionV relativeFrom="paragraph">
                  <wp:posOffset>-228600</wp:posOffset>
                </wp:positionV>
                <wp:extent cx="0" cy="1485900"/>
                <wp:effectExtent l="50800" t="25400" r="76200" b="88900"/>
                <wp:wrapNone/>
                <wp:docPr id="7" name="Straight Connector 7"/>
                <wp:cNvGraphicFramePr/>
                <a:graphic xmlns:a="http://schemas.openxmlformats.org/drawingml/2006/main">
                  <a:graphicData uri="http://schemas.microsoft.com/office/word/2010/wordprocessingShape">
                    <wps:wsp>
                      <wps:cNvCnPr/>
                      <wps:spPr>
                        <a:xfrm>
                          <a:off x="0" y="0"/>
                          <a:ext cx="0" cy="14859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id="Straight Connector 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98pt,-17.95pt" to="198pt,9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" strokecolor="red" strokeweight="2pt">
                <v:shadow on="t" opacity="24903f" mv:blur="40000f" origin=",.5" offset="0,20000emu"/>
              </v:line>
            </w:pict>
          </mc:Fallback>
        </mc:AlternateContent>
      </w:r>
      <w:r w:rsidR="006512C4">
        <w:rPr>
          <w:noProof/>
          <w:lang w:val="en-US"/>
        </w:rPr>
        <mc:AlternateContent>
          <mc:Choice Requires="wps">
            <w:drawing>
              <wp:anchor distT="0" distB="0" distL="114300" distR="114300" simplePos="0" relativeHeight="251670528" behindDoc="0" locked="0" layoutInCell="1" allowOverlap="1" wp14:anchorId="06DE7DA7" wp14:editId="77CD6389">
                <wp:simplePos x="0" y="0"/>
                <wp:positionH relativeFrom="column">
                  <wp:posOffset>2057400</wp:posOffset>
                </wp:positionH>
                <wp:positionV relativeFrom="paragraph">
                  <wp:posOffset>121285</wp:posOffset>
                </wp:positionV>
                <wp:extent cx="914400" cy="914400"/>
                <wp:effectExtent l="50800" t="25400" r="76200" b="101600"/>
                <wp:wrapThrough wrapText="bothSides">
                  <wp:wrapPolygon edited="0">
                    <wp:start x="6000" y="-600"/>
                    <wp:lineTo x="-1200" y="0"/>
                    <wp:lineTo x="-1200" y="16800"/>
                    <wp:lineTo x="1200" y="19200"/>
                    <wp:lineTo x="6600" y="23400"/>
                    <wp:lineTo x="15000" y="23400"/>
                    <wp:lineTo x="20400" y="19200"/>
                    <wp:lineTo x="22800" y="10200"/>
                    <wp:lineTo x="22800" y="8400"/>
                    <wp:lineTo x="19800" y="4200"/>
                    <wp:lineTo x="15600" y="-600"/>
                    <wp:lineTo x="6000" y="-600"/>
                  </wp:wrapPolygon>
                </wp:wrapThrough>
                <wp:docPr id="10" name="Oval 10"/>
                <wp:cNvGraphicFramePr/>
                <a:graphic xmlns:a="http://schemas.openxmlformats.org/drawingml/2006/main">
                  <a:graphicData uri="http://schemas.microsoft.com/office/word/2010/wordprocessingShape">
                    <wps:wsp>
                      <wps:cNvSpPr/>
                      <wps:spPr>
                        <a:xfrm>
                          <a:off x="0" y="0"/>
                          <a:ext cx="914400" cy="914400"/>
                        </a:xfrm>
                        <a:prstGeom prst="ellipse">
                          <a:avLst/>
                        </a:prstGeom>
                        <a:solidFill>
                          <a:schemeClr val="bg1"/>
                        </a:solidFill>
                        <a:ln w="19050" cmpd="sng">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id="Oval 10" o:spid="_x0000_s1026" style="position:absolute;margin-left:162pt;margin-top:9.55pt;width:1in;height:1in;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" fillcolor="white [3212]" strokecolor="black [3213]" strokeweight="1.5pt">
                <v:shadow on="t" opacity="22937f" mv:blur="40000f" origin=",.5" offset="0,23000emu"/>
                <w10:wrap type="through"/>
              </v:oval>
            </w:pict>
          </mc:Fallback>
        </mc:AlternateContent>
      </w:r>
    </w:p>
    <w:p w14:paraId="263A3AEB" w14:textId="26D94233" w:rsidR="006512C4" w:rsidRDefault="00682F30" w:rsidP="00695A7C">
      <w:pPr>
        <w:autoSpaceDE w:val="0"/>
        <w:autoSpaceDN w:val="0"/>
        <w:adjustRightInd w:val="0"/>
      </w:pPr>
      <w:r>
        <w:rPr>
          <w:noProof/>
          <w:lang w:val="en-US"/>
        </w:rPr>
        <mc:AlternateContent>
          <mc:Choice Requires="wps">
            <w:drawing>
              <wp:anchor distT="0" distB="0" distL="114300" distR="114300" simplePos="0" relativeHeight="251671552" behindDoc="0" locked="0" layoutInCell="1" allowOverlap="1" wp14:anchorId="7984A952" wp14:editId="1D7063C6">
                <wp:simplePos x="0" y="0"/>
                <wp:positionH relativeFrom="column">
                  <wp:posOffset>1600200</wp:posOffset>
                </wp:positionH>
                <wp:positionV relativeFrom="paragraph">
                  <wp:posOffset>76200</wp:posOffset>
                </wp:positionV>
                <wp:extent cx="1943100" cy="0"/>
                <wp:effectExtent l="50800" t="25400" r="63500" b="101600"/>
                <wp:wrapNone/>
                <wp:docPr id="12" name="Straight Connector 12"/>
                <wp:cNvGraphicFramePr/>
                <a:graphic xmlns:a="http://schemas.openxmlformats.org/drawingml/2006/main">
                  <a:graphicData uri="http://schemas.microsoft.com/office/word/2010/wordprocessingShape">
                    <wps:wsp>
                      <wps:cNvCnPr/>
                      <wps:spPr>
                        <a:xfrm>
                          <a:off x="0" y="0"/>
                          <a:ext cx="19431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26pt,6pt" to="279pt,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" strokecolor="red" strokeweight="2pt">
                <v:shadow on="t" opacity="24903f" mv:blur="40000f" origin=",.5" offset="0,20000emu"/>
              </v:line>
            </w:pict>
          </mc:Fallback>
        </mc:AlternateContent>
      </w:r>
    </w:p>
    <w:p w14:paraId="4466CA22" w14:textId="3A699B8E" w:rsidR="006C0202" w:rsidRDefault="006C0202" w:rsidP="00695A7C">
      <w:pPr>
        <w:autoSpaceDE w:val="0"/>
        <w:autoSpaceDN w:val="0"/>
        <w:adjustRightInd w:val="0"/>
      </w:pPr>
    </w:p>
    <w:p w14:paraId="6EC32EC7" w14:textId="1CBBF03C" w:rsidR="001E68D5" w:rsidRDefault="001E68D5" w:rsidP="00695A7C">
      <w:pPr>
        <w:autoSpaceDE w:val="0"/>
        <w:autoSpaceDN w:val="0"/>
        <w:adjustRightInd w:val="0"/>
      </w:pPr>
    </w:p>
    <w:p w14:paraId="05779FA7" w14:textId="77777777" w:rsidR="008D1580" w:rsidRDefault="008D1580" w:rsidP="00695A7C">
      <w:pPr>
        <w:autoSpaceDE w:val="0"/>
        <w:autoSpaceDN w:val="0"/>
        <w:adjustRightInd w:val="0"/>
      </w:pPr>
    </w:p>
    <w:p w14:paraId="792A0DCA" w14:textId="24EC8A5E" w:rsidR="008D1580" w:rsidRPr="0097588B" w:rsidRDefault="00937994" w:rsidP="00BC00F9">
      <w:pPr>
        <w:autoSpaceDE w:val="0"/>
        <w:autoSpaceDN w:val="0"/>
        <w:adjustRightInd w:val="0"/>
        <w:rPr>
          <w:rFonts w:cs="Times New Roman"/>
        </w:rPr>
      </w:pPr>
      <w:r w:rsidRPr="00F56C73">
        <w:rPr>
          <w:rFonts w:cs="Times New Roman"/>
          <w:lang w:val="en-US"/>
        </w:rPr>
        <w:t xml:space="preserve">Starting from the centre of this </w:t>
      </w:r>
      <w:r w:rsidRPr="0097588B">
        <w:rPr>
          <w:rFonts w:cs="Times New Roman"/>
          <w:lang w:val="en-US"/>
        </w:rPr>
        <w:t>intersection, what is nearest or most present or vivid is signaled with ὁ</w:t>
      </w:r>
      <w:r w:rsidRPr="00F56C73">
        <w:rPr>
          <w:rFonts w:cs="Times New Roman"/>
          <w:lang w:val="en-US"/>
        </w:rPr>
        <w:t>δε, what is not as close or what is less vivid is marked with οὗτος, while ἐκεῖνος typically refers to what is not within the immediate space of the speaker</w:t>
      </w:r>
      <w:r w:rsidRPr="00F56C73">
        <w:rPr>
          <w:rStyle w:val="FootnoteReference"/>
          <w:rFonts w:cs="Times New Roman"/>
          <w:lang w:val="en-US"/>
        </w:rPr>
        <w:footnoteReference w:id="243"/>
      </w:r>
      <w:r w:rsidRPr="00F56C73">
        <w:rPr>
          <w:rFonts w:cs="Times New Roman"/>
          <w:lang w:val="en-US"/>
        </w:rPr>
        <w:t>. As a means of conceptualizing this range of meanings, we can imagine a series of three concentric circles in which the innermost circle corresponds to ὅδε, the middle circle corresponds to ο</w:t>
      </w:r>
      <w:r w:rsidRPr="008532F4">
        <w:rPr>
          <w:rFonts w:cs="Times New Roman"/>
          <w:lang w:val="en-US"/>
        </w:rPr>
        <w:t>ὗ</w:t>
      </w:r>
      <w:r w:rsidRPr="009D3F3F">
        <w:rPr>
          <w:rFonts w:cs="Times New Roman"/>
          <w:lang w:val="en-US"/>
        </w:rPr>
        <w:t xml:space="preserve">τος, and the outermost circle corresponds to </w:t>
      </w:r>
      <w:r w:rsidRPr="00592079">
        <w:rPr>
          <w:rFonts w:cs="Times New Roman"/>
          <w:lang w:val="en-US"/>
        </w:rPr>
        <w:t>ἐ</w:t>
      </w:r>
      <w:r w:rsidRPr="00FF2BA2">
        <w:rPr>
          <w:rFonts w:cs="Times New Roman"/>
          <w:lang w:val="en-US"/>
        </w:rPr>
        <w:t>κε</w:t>
      </w:r>
      <w:r w:rsidRPr="00754F18">
        <w:rPr>
          <w:rFonts w:cs="Times New Roman"/>
          <w:lang w:val="en-US"/>
        </w:rPr>
        <w:t>ῖ</w:t>
      </w:r>
      <w:r w:rsidRPr="0097588B">
        <w:rPr>
          <w:rFonts w:cs="Times New Roman"/>
          <w:lang w:val="en-US"/>
        </w:rPr>
        <w:t xml:space="preserve">νος. </w:t>
      </w:r>
    </w:p>
    <w:p w14:paraId="3D3051EF" w14:textId="77777777" w:rsidR="006512C4" w:rsidRDefault="006512C4" w:rsidP="00695A7C">
      <w:pPr>
        <w:autoSpaceDE w:val="0"/>
        <w:autoSpaceDN w:val="0"/>
        <w:adjustRightInd w:val="0"/>
      </w:pPr>
      <w:r>
        <w:rPr>
          <w:noProof/>
          <w:lang w:val="en-US"/>
        </w:rPr>
        <mc:AlternateContent>
          <mc:Choice Requires="wps">
            <w:drawing>
              <wp:anchor distT="0" distB="0" distL="114300" distR="114300" simplePos="0" relativeHeight="251674624" behindDoc="0" locked="0" layoutInCell="1" allowOverlap="1" wp14:anchorId="22E17225" wp14:editId="758A526A">
                <wp:simplePos x="0" y="0"/>
                <wp:positionH relativeFrom="column">
                  <wp:posOffset>1943100</wp:posOffset>
                </wp:positionH>
                <wp:positionV relativeFrom="paragraph">
                  <wp:posOffset>165100</wp:posOffset>
                </wp:positionV>
                <wp:extent cx="1257300" cy="1257300"/>
                <wp:effectExtent l="50800" t="25400" r="88900" b="114300"/>
                <wp:wrapThrough wrapText="bothSides">
                  <wp:wrapPolygon edited="0">
                    <wp:start x="6982" y="-436"/>
                    <wp:lineTo x="-436" y="0"/>
                    <wp:lineTo x="-873" y="16582"/>
                    <wp:lineTo x="3491" y="20945"/>
                    <wp:lineTo x="6982" y="22691"/>
                    <wp:lineTo x="7418" y="23127"/>
                    <wp:lineTo x="14400" y="23127"/>
                    <wp:lineTo x="14836" y="22691"/>
                    <wp:lineTo x="18764" y="20945"/>
                    <wp:lineTo x="22691" y="14400"/>
                    <wp:lineTo x="22691" y="13964"/>
                    <wp:lineTo x="22255" y="7418"/>
                    <wp:lineTo x="22255" y="6545"/>
                    <wp:lineTo x="16145" y="436"/>
                    <wp:lineTo x="14836" y="-436"/>
                    <wp:lineTo x="6982" y="-436"/>
                  </wp:wrapPolygon>
                </wp:wrapThrough>
                <wp:docPr id="13" name="Oval 13"/>
                <wp:cNvGraphicFramePr/>
                <a:graphic xmlns:a="http://schemas.openxmlformats.org/drawingml/2006/main">
                  <a:graphicData uri="http://schemas.microsoft.com/office/word/2010/wordprocessingShape">
                    <wps:wsp>
                      <wps:cNvSpPr/>
                      <wps:spPr>
                        <a:xfrm>
                          <a:off x="0" y="0"/>
                          <a:ext cx="1257300" cy="1257300"/>
                        </a:xfrm>
                        <a:prstGeom prst="ellipse">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id="Oval 13" o:spid="_x0000_s1026" style="position:absolute;margin-left:153pt;margin-top:13pt;width:99pt;height:9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" fillcolor="yellow" strokecolor="#4579b8 [3044]">
                <v:shadow on="t" opacity="22937f" mv:blur="40000f" origin=",.5" offset="0,23000emu"/>
                <w10:wrap type="through"/>
              </v:oval>
            </w:pict>
          </mc:Fallback>
        </mc:AlternateContent>
      </w:r>
    </w:p>
    <w:p w14:paraId="01C408FB" w14:textId="78C55A8C" w:rsidR="006512C4" w:rsidRDefault="00D47296" w:rsidP="00695A7C">
      <w:pPr>
        <w:autoSpaceDE w:val="0"/>
        <w:autoSpaceDN w:val="0"/>
        <w:adjustRightInd w:val="0"/>
      </w:pPr>
      <w:r>
        <w:rPr>
          <w:noProof/>
          <w:lang w:val="en-US"/>
        </w:rPr>
        <mc:AlternateContent>
          <mc:Choice Requires="wps">
            <w:drawing>
              <wp:anchor distT="0" distB="0" distL="114300" distR="114300" simplePos="0" relativeHeight="251676672" behindDoc="0" locked="0" layoutInCell="1" allowOverlap="1" wp14:anchorId="0D33175E" wp14:editId="2B714EC5">
                <wp:simplePos x="0" y="0"/>
                <wp:positionH relativeFrom="column">
                  <wp:posOffset>2171700</wp:posOffset>
                </wp:positionH>
                <wp:positionV relativeFrom="paragraph">
                  <wp:posOffset>139700</wp:posOffset>
                </wp:positionV>
                <wp:extent cx="800100" cy="800100"/>
                <wp:effectExtent l="50800" t="25400" r="88900" b="114300"/>
                <wp:wrapThrough wrapText="bothSides">
                  <wp:wrapPolygon edited="0">
                    <wp:start x="6171" y="-686"/>
                    <wp:lineTo x="-1371" y="0"/>
                    <wp:lineTo x="-1371" y="17143"/>
                    <wp:lineTo x="3429" y="21943"/>
                    <wp:lineTo x="6171" y="24000"/>
                    <wp:lineTo x="15771" y="24000"/>
                    <wp:lineTo x="18514" y="21943"/>
                    <wp:lineTo x="23314" y="11657"/>
                    <wp:lineTo x="23314" y="8914"/>
                    <wp:lineTo x="18514" y="2057"/>
                    <wp:lineTo x="15771" y="-686"/>
                    <wp:lineTo x="6171" y="-686"/>
                  </wp:wrapPolygon>
                </wp:wrapThrough>
                <wp:docPr id="14" name="Oval 14"/>
                <wp:cNvGraphicFramePr/>
                <a:graphic xmlns:a="http://schemas.openxmlformats.org/drawingml/2006/main">
                  <a:graphicData uri="http://schemas.microsoft.com/office/word/2010/wordprocessingShape">
                    <wps:wsp>
                      <wps:cNvSpPr/>
                      <wps:spPr>
                        <a:xfrm>
                          <a:off x="0" y="0"/>
                          <a:ext cx="800100" cy="800100"/>
                        </a:xfrm>
                        <a:prstGeom prst="ellipse">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id="Oval 14" o:spid="_x0000_s1026" style="position:absolute;margin-left:171pt;margin-top:11pt;width:63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" fillcolor="red" strokecolor="#4579b8 [3044]">
                <v:shadow on="t" opacity="22937f" mv:blur="40000f" origin=",.5" offset="0,23000emu"/>
                <w10:wrap type="through"/>
              </v:oval>
            </w:pict>
          </mc:Fallback>
        </mc:AlternateContent>
      </w:r>
      <w:r>
        <w:rPr>
          <w:noProof/>
          <w:lang w:val="en-US"/>
        </w:rPr>
        <mc:AlternateContent>
          <mc:Choice Requires="wps">
            <w:drawing>
              <wp:anchor distT="0" distB="0" distL="114300" distR="114300" simplePos="0" relativeHeight="251675648" behindDoc="0" locked="0" layoutInCell="1" allowOverlap="1" wp14:anchorId="2C40DAA0" wp14:editId="462F9B9A">
                <wp:simplePos x="0" y="0"/>
                <wp:positionH relativeFrom="column">
                  <wp:posOffset>2057400</wp:posOffset>
                </wp:positionH>
                <wp:positionV relativeFrom="paragraph">
                  <wp:posOffset>25400</wp:posOffset>
                </wp:positionV>
                <wp:extent cx="1028700" cy="1028700"/>
                <wp:effectExtent l="50800" t="25400" r="88900" b="114300"/>
                <wp:wrapThrough wrapText="bothSides">
                  <wp:wrapPolygon edited="0">
                    <wp:start x="6400" y="-533"/>
                    <wp:lineTo x="-1067" y="0"/>
                    <wp:lineTo x="-1067" y="16000"/>
                    <wp:lineTo x="-533" y="18133"/>
                    <wp:lineTo x="5333" y="22933"/>
                    <wp:lineTo x="6933" y="23467"/>
                    <wp:lineTo x="14933" y="23467"/>
                    <wp:lineTo x="15467" y="22933"/>
                    <wp:lineTo x="22400" y="17600"/>
                    <wp:lineTo x="22400" y="17067"/>
                    <wp:lineTo x="22933" y="9067"/>
                    <wp:lineTo x="22933" y="7467"/>
                    <wp:lineTo x="17600" y="1600"/>
                    <wp:lineTo x="15467" y="-533"/>
                    <wp:lineTo x="6400" y="-533"/>
                  </wp:wrapPolygon>
                </wp:wrapThrough>
                <wp:docPr id="16" name="Oval 16"/>
                <wp:cNvGraphicFramePr/>
                <a:graphic xmlns:a="http://schemas.openxmlformats.org/drawingml/2006/main">
                  <a:graphicData uri="http://schemas.microsoft.com/office/word/2010/wordprocessingShape">
                    <wps:wsp>
                      <wps:cNvSpPr/>
                      <wps:spPr>
                        <a:xfrm>
                          <a:off x="0" y="0"/>
                          <a:ext cx="1028700" cy="1028700"/>
                        </a:xfrm>
                        <a:prstGeom prst="ellipse">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id="Oval 16" o:spid="_x0000_s1026" style="position:absolute;margin-left:162pt;margin-top:2pt;width:81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" fillcolor="#548dd4 [1951]" strokecolor="#4579b8 [3044]">
                <v:shadow on="t" opacity="22937f" mv:blur="40000f" origin=",.5" offset="0,23000emu"/>
                <w10:wrap type="through"/>
              </v:oval>
            </w:pict>
          </mc:Fallback>
        </mc:AlternateContent>
      </w:r>
    </w:p>
    <w:p w14:paraId="58993FC7" w14:textId="77777777" w:rsidR="006512C4" w:rsidRDefault="006512C4" w:rsidP="00695A7C">
      <w:pPr>
        <w:autoSpaceDE w:val="0"/>
        <w:autoSpaceDN w:val="0"/>
        <w:adjustRightInd w:val="0"/>
      </w:pPr>
    </w:p>
    <w:p w14:paraId="0A3090C9" w14:textId="77777777" w:rsidR="006512C4" w:rsidRPr="008E2520" w:rsidRDefault="006512C4" w:rsidP="00695A7C">
      <w:pPr>
        <w:autoSpaceDE w:val="0"/>
        <w:autoSpaceDN w:val="0"/>
        <w:adjustRightInd w:val="0"/>
        <w:ind w:left="360"/>
      </w:pPr>
    </w:p>
    <w:p w14:paraId="217E9A76" w14:textId="77777777" w:rsidR="006512C4" w:rsidRDefault="006512C4" w:rsidP="00695A7C">
      <w:pPr>
        <w:autoSpaceDE w:val="0"/>
        <w:autoSpaceDN w:val="0"/>
        <w:adjustRightInd w:val="0"/>
      </w:pPr>
    </w:p>
    <w:p w14:paraId="10F87829" w14:textId="77777777" w:rsidR="006512C4" w:rsidRPr="00A103F2" w:rsidRDefault="006512C4" w:rsidP="00695A7C">
      <w:pPr>
        <w:autoSpaceDE w:val="0"/>
        <w:autoSpaceDN w:val="0"/>
        <w:adjustRightInd w:val="0"/>
        <w:rPr>
          <w:lang w:val="en-US"/>
        </w:rPr>
      </w:pPr>
      <w:r>
        <w:rPr>
          <w:noProof/>
          <w:lang w:val="en-US"/>
        </w:rPr>
        <mc:AlternateContent>
          <mc:Choice Requires="wps">
            <w:drawing>
              <wp:anchor distT="0" distB="0" distL="114300" distR="114300" simplePos="0" relativeHeight="251677696" behindDoc="1" locked="0" layoutInCell="1" allowOverlap="1" wp14:anchorId="33013A94" wp14:editId="51310FDD">
                <wp:simplePos x="0" y="0"/>
                <wp:positionH relativeFrom="column">
                  <wp:posOffset>0</wp:posOffset>
                </wp:positionH>
                <wp:positionV relativeFrom="paragraph">
                  <wp:posOffset>22860</wp:posOffset>
                </wp:positionV>
                <wp:extent cx="342900" cy="228600"/>
                <wp:effectExtent l="50800" t="25400" r="88900" b="101600"/>
                <wp:wrapNone/>
                <wp:docPr id="18" name="Rectangle 18"/>
                <wp:cNvGraphicFramePr/>
                <a:graphic xmlns:a="http://schemas.openxmlformats.org/drawingml/2006/main">
                  <a:graphicData uri="http://schemas.microsoft.com/office/word/2010/wordprocessingShape">
                    <wps:wsp>
                      <wps:cNvSpPr/>
                      <wps:spPr>
                        <a:xfrm>
                          <a:off x="0" y="0"/>
                          <a:ext cx="342900" cy="228600"/>
                        </a:xfrm>
                        <a:prstGeom prst="rect">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id="Rectangle 18" o:spid="_x0000_s1026" style="position:absolute;margin-left:0;margin-top:1.8pt;width:27pt;height:18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" fillcolor="red" strokecolor="#4579b8 [3044]">
                <v:shadow on="t" opacity="22937f" mv:blur="40000f" origin=",.5" offset="0,23000emu"/>
              </v:rect>
            </w:pict>
          </mc:Fallback>
        </mc:AlternateContent>
      </w:r>
      <w:r>
        <w:t xml:space="preserve">               = </w:t>
      </w:r>
      <w:r w:rsidRPr="0013788D">
        <w:rPr>
          <w:lang w:val="el-GR"/>
        </w:rPr>
        <w:t>ὅδε</w:t>
      </w:r>
      <w:r w:rsidRPr="00A103F2">
        <w:rPr>
          <w:lang w:val="en-US"/>
        </w:rPr>
        <w:t xml:space="preserve"> </w:t>
      </w:r>
    </w:p>
    <w:p w14:paraId="272687D3" w14:textId="2924EA1E" w:rsidR="006512C4" w:rsidRPr="00A103F2" w:rsidRDefault="006512C4" w:rsidP="00695A7C">
      <w:pPr>
        <w:tabs>
          <w:tab w:val="left" w:pos="971"/>
        </w:tabs>
        <w:autoSpaceDE w:val="0"/>
        <w:autoSpaceDN w:val="0"/>
        <w:adjustRightInd w:val="0"/>
        <w:rPr>
          <w:lang w:val="en-US"/>
        </w:rPr>
      </w:pPr>
      <w:r>
        <w:rPr>
          <w:noProof/>
          <w:lang w:val="en-US"/>
        </w:rPr>
        <mc:AlternateContent>
          <mc:Choice Requires="wps">
            <w:drawing>
              <wp:anchor distT="0" distB="0" distL="114300" distR="114300" simplePos="0" relativeHeight="251678720" behindDoc="1" locked="0" layoutInCell="1" allowOverlap="1" wp14:anchorId="623A71CB" wp14:editId="772C50C9">
                <wp:simplePos x="0" y="0"/>
                <wp:positionH relativeFrom="column">
                  <wp:posOffset>0</wp:posOffset>
                </wp:positionH>
                <wp:positionV relativeFrom="paragraph">
                  <wp:posOffset>45720</wp:posOffset>
                </wp:positionV>
                <wp:extent cx="342900" cy="228600"/>
                <wp:effectExtent l="50800" t="25400" r="88900" b="101600"/>
                <wp:wrapNone/>
                <wp:docPr id="19" name="Rectangle 19"/>
                <wp:cNvGraphicFramePr/>
                <a:graphic xmlns:a="http://schemas.openxmlformats.org/drawingml/2006/main">
                  <a:graphicData uri="http://schemas.microsoft.com/office/word/2010/wordprocessingShape">
                    <wps:wsp>
                      <wps:cNvSpPr/>
                      <wps:spPr>
                        <a:xfrm>
                          <a:off x="0" y="0"/>
                          <a:ext cx="342900" cy="228600"/>
                        </a:xfrm>
                        <a:prstGeom prst="rect">
                          <a:avLst/>
                        </a:prstGeom>
                        <a:solidFill>
                          <a:schemeClr val="tx2">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id="Rectangle 19" o:spid="_x0000_s1026" style="position:absolute;margin-left:0;margin-top:3.6pt;width:27pt;height:18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" fillcolor="#548dd4 [1951]" strokecolor="#4579b8 [3044]">
                <v:shadow on="t" opacity="22937f" mv:blur="40000f" origin=",.5" offset="0,23000emu"/>
              </v:rect>
            </w:pict>
          </mc:Fallback>
        </mc:AlternateContent>
      </w:r>
      <w:r w:rsidR="00204539">
        <w:rPr>
          <w:lang w:val="en-US"/>
        </w:rPr>
        <w:t xml:space="preserve">            </w:t>
      </w:r>
      <w:r w:rsidRPr="00A103F2">
        <w:rPr>
          <w:lang w:val="en-US"/>
        </w:rPr>
        <w:t xml:space="preserve"> </w:t>
      </w:r>
      <w:r w:rsidR="00204539">
        <w:rPr>
          <w:lang w:val="en-US"/>
        </w:rPr>
        <w:t xml:space="preserve"> </w:t>
      </w:r>
      <w:r w:rsidRPr="00A103F2">
        <w:rPr>
          <w:lang w:val="en-US"/>
        </w:rPr>
        <w:t xml:space="preserve"> = </w:t>
      </w:r>
      <w:r w:rsidRPr="0013788D">
        <w:rPr>
          <w:lang w:val="el-GR"/>
        </w:rPr>
        <w:t>οὗτος</w:t>
      </w:r>
    </w:p>
    <w:p w14:paraId="0C3575B5" w14:textId="77777777" w:rsidR="006512C4" w:rsidRPr="00A103F2" w:rsidRDefault="006512C4" w:rsidP="00695A7C">
      <w:pPr>
        <w:tabs>
          <w:tab w:val="left" w:pos="971"/>
        </w:tabs>
        <w:autoSpaceDE w:val="0"/>
        <w:autoSpaceDN w:val="0"/>
        <w:adjustRightInd w:val="0"/>
        <w:rPr>
          <w:lang w:val="en-US"/>
        </w:rPr>
      </w:pPr>
      <w:r>
        <w:rPr>
          <w:noProof/>
          <w:lang w:val="en-US"/>
        </w:rPr>
        <mc:AlternateContent>
          <mc:Choice Requires="wps">
            <w:drawing>
              <wp:anchor distT="0" distB="0" distL="114300" distR="114300" simplePos="0" relativeHeight="251679744" behindDoc="0" locked="0" layoutInCell="1" allowOverlap="1" wp14:anchorId="7A241944" wp14:editId="55EA356C">
                <wp:simplePos x="0" y="0"/>
                <wp:positionH relativeFrom="column">
                  <wp:posOffset>0</wp:posOffset>
                </wp:positionH>
                <wp:positionV relativeFrom="paragraph">
                  <wp:posOffset>68580</wp:posOffset>
                </wp:positionV>
                <wp:extent cx="342900" cy="228600"/>
                <wp:effectExtent l="50800" t="25400" r="88900" b="101600"/>
                <wp:wrapThrough wrapText="bothSides">
                  <wp:wrapPolygon edited="0">
                    <wp:start x="-3200" y="-2400"/>
                    <wp:lineTo x="-3200" y="28800"/>
                    <wp:lineTo x="25600" y="28800"/>
                    <wp:lineTo x="25600" y="-2400"/>
                    <wp:lineTo x="-3200" y="-2400"/>
                  </wp:wrapPolygon>
                </wp:wrapThrough>
                <wp:docPr id="20" name="Rectangle 20"/>
                <wp:cNvGraphicFramePr/>
                <a:graphic xmlns:a="http://schemas.openxmlformats.org/drawingml/2006/main">
                  <a:graphicData uri="http://schemas.microsoft.com/office/word/2010/wordprocessingShape">
                    <wps:wsp>
                      <wps:cNvSpPr/>
                      <wps:spPr>
                        <a:xfrm>
                          <a:off x="0" y="0"/>
                          <a:ext cx="342900" cy="228600"/>
                        </a:xfrm>
                        <a:prstGeom prst="rect">
                          <a:avLst/>
                        </a:prstGeom>
                        <a:solidFill>
                          <a:srgbClr val="FFFF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id="Rectangle 20" o:spid="_x0000_s1026" style="position:absolute;margin-left:0;margin-top:5.4pt;width:27pt;height:1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" fillcolor="yellow" strokecolor="#4579b8 [3044]">
                <v:shadow on="t" opacity="22937f" mv:blur="40000f" origin=",.5" offset="0,23000emu"/>
                <w10:wrap type="through"/>
              </v:rect>
            </w:pict>
          </mc:Fallback>
        </mc:AlternateContent>
      </w:r>
      <w:r w:rsidRPr="00A103F2">
        <w:rPr>
          <w:lang w:val="en-US"/>
        </w:rPr>
        <w:t xml:space="preserve"> = </w:t>
      </w:r>
      <w:r w:rsidRPr="0013788D">
        <w:rPr>
          <w:lang w:val="el-GR"/>
        </w:rPr>
        <w:t>ἐκεῖνος</w:t>
      </w:r>
    </w:p>
    <w:p w14:paraId="3C52B4EC" w14:textId="77777777" w:rsidR="006512C4" w:rsidRPr="00A103F2" w:rsidRDefault="006512C4" w:rsidP="00695A7C">
      <w:pPr>
        <w:spacing w:line="360" w:lineRule="auto"/>
        <w:rPr>
          <w:szCs w:val="24"/>
          <w:lang w:val="en-US"/>
        </w:rPr>
      </w:pPr>
    </w:p>
    <w:p w14:paraId="5D5FEBB4" w14:textId="77777777" w:rsidR="008D1580" w:rsidRPr="00A103F2" w:rsidRDefault="008D1580" w:rsidP="008D1580">
      <w:pPr>
        <w:spacing w:line="240" w:lineRule="auto"/>
        <w:rPr>
          <w:szCs w:val="24"/>
          <w:lang w:val="en-US"/>
        </w:rPr>
      </w:pPr>
    </w:p>
    <w:p w14:paraId="0AEA36E4" w14:textId="39CBEBD0" w:rsidR="00937994" w:rsidRPr="00F56C73" w:rsidRDefault="00937994" w:rsidP="0097588B">
      <w:pPr>
        <w:rPr>
          <w:szCs w:val="24"/>
          <w:lang w:val="en-US"/>
        </w:rPr>
      </w:pPr>
      <w:r w:rsidRPr="00F56C73">
        <w:rPr>
          <w:szCs w:val="24"/>
          <w:lang w:val="en-US"/>
        </w:rPr>
        <w:t xml:space="preserve">At the core of this dimensional schema usually lies the self, the </w:t>
      </w:r>
      <w:r w:rsidRPr="00F56C73">
        <w:rPr>
          <w:i/>
          <w:iCs/>
          <w:szCs w:val="24"/>
          <w:lang w:val="en-US"/>
        </w:rPr>
        <w:t>ego</w:t>
      </w:r>
      <w:r w:rsidRPr="00F56C73">
        <w:rPr>
          <w:szCs w:val="24"/>
          <w:lang w:val="en-US"/>
        </w:rPr>
        <w:t xml:space="preserve"> functioning as speaker, that is the first person (</w:t>
      </w:r>
      <w:r w:rsidR="00CC0615">
        <w:rPr>
          <w:szCs w:val="24"/>
          <w:lang w:val="en-US"/>
        </w:rPr>
        <w:t>“</w:t>
      </w:r>
      <w:r w:rsidRPr="00F56C73">
        <w:rPr>
          <w:szCs w:val="24"/>
          <w:lang w:val="en-US"/>
        </w:rPr>
        <w:t>I</w:t>
      </w:r>
      <w:r w:rsidR="00CC0615">
        <w:rPr>
          <w:szCs w:val="24"/>
          <w:lang w:val="en-US"/>
        </w:rPr>
        <w:t>”</w:t>
      </w:r>
      <w:r w:rsidRPr="00F56C73">
        <w:rPr>
          <w:szCs w:val="24"/>
          <w:lang w:val="en-US"/>
        </w:rPr>
        <w:t>)</w:t>
      </w:r>
      <w:r w:rsidR="007D453B">
        <w:rPr>
          <w:szCs w:val="24"/>
          <w:lang w:val="en-US"/>
        </w:rPr>
        <w:t>.</w:t>
      </w:r>
      <w:r w:rsidRPr="00F56C73">
        <w:rPr>
          <w:rStyle w:val="FootnoteReference"/>
          <w:szCs w:val="24"/>
          <w:lang w:val="en-US"/>
        </w:rPr>
        <w:footnoteReference w:id="244"/>
      </w:r>
      <w:r w:rsidRPr="00F56C73">
        <w:rPr>
          <w:szCs w:val="24"/>
          <w:lang w:val="en-US"/>
        </w:rPr>
        <w:t xml:space="preserve"> Yet besides pointing self-reflexively, person </w:t>
      </w:r>
      <w:r w:rsidRPr="008532F4">
        <w:rPr>
          <w:szCs w:val="24"/>
          <w:lang w:val="en-US"/>
        </w:rPr>
        <w:t>deixis may also designate the addressee, namely the second person (</w:t>
      </w:r>
      <w:r w:rsidR="00CC0615">
        <w:rPr>
          <w:szCs w:val="24"/>
          <w:lang w:val="en-US"/>
        </w:rPr>
        <w:t>“</w:t>
      </w:r>
      <w:r w:rsidRPr="008532F4">
        <w:rPr>
          <w:szCs w:val="24"/>
          <w:lang w:val="en-US"/>
        </w:rPr>
        <w:t>you</w:t>
      </w:r>
      <w:r w:rsidR="00CC0615">
        <w:rPr>
          <w:szCs w:val="24"/>
          <w:lang w:val="en-US"/>
        </w:rPr>
        <w:t>”</w:t>
      </w:r>
      <w:r w:rsidRPr="008532F4">
        <w:rPr>
          <w:szCs w:val="24"/>
          <w:lang w:val="en-US"/>
        </w:rPr>
        <w:t>), or an absent party, namely the third person (</w:t>
      </w:r>
      <w:r w:rsidR="00CC0615">
        <w:rPr>
          <w:szCs w:val="24"/>
          <w:lang w:val="en-US"/>
        </w:rPr>
        <w:t>“</w:t>
      </w:r>
      <w:r w:rsidRPr="008532F4">
        <w:rPr>
          <w:szCs w:val="24"/>
          <w:lang w:val="en-US"/>
        </w:rPr>
        <w:t>he</w:t>
      </w:r>
      <w:r w:rsidR="00CC0615">
        <w:rPr>
          <w:szCs w:val="24"/>
          <w:lang w:val="en-US"/>
        </w:rPr>
        <w:t>”</w:t>
      </w:r>
      <w:r w:rsidRPr="008532F4">
        <w:rPr>
          <w:szCs w:val="24"/>
          <w:lang w:val="en-US"/>
        </w:rPr>
        <w:t>).</w:t>
      </w:r>
      <w:r w:rsidRPr="00F56C73">
        <w:rPr>
          <w:rStyle w:val="FootnoteReference"/>
          <w:szCs w:val="24"/>
          <w:lang w:val="en-US"/>
        </w:rPr>
        <w:footnoteReference w:id="245"/>
      </w:r>
      <w:r w:rsidRPr="00F56C73">
        <w:rPr>
          <w:szCs w:val="24"/>
          <w:lang w:val="en-US"/>
        </w:rPr>
        <w:t xml:space="preserve"> Consequently, first-person deictics are proximal in that they refer to objects in the neighborhood of the speaker (</w:t>
      </w:r>
      <w:r w:rsidR="00CC0615">
        <w:rPr>
          <w:szCs w:val="24"/>
          <w:lang w:val="en-US"/>
        </w:rPr>
        <w:t>“</w:t>
      </w:r>
      <w:r w:rsidRPr="00F56C73">
        <w:rPr>
          <w:szCs w:val="24"/>
          <w:lang w:val="en-US"/>
        </w:rPr>
        <w:t>this by me</w:t>
      </w:r>
      <w:r w:rsidR="00CC0615">
        <w:rPr>
          <w:szCs w:val="24"/>
          <w:lang w:val="en-US"/>
        </w:rPr>
        <w:t>”</w:t>
      </w:r>
      <w:r w:rsidRPr="00F56C73">
        <w:rPr>
          <w:szCs w:val="24"/>
          <w:lang w:val="en-US"/>
        </w:rPr>
        <w:t>), while second-person deictics designating an addressee (</w:t>
      </w:r>
      <w:r w:rsidR="00CC0615">
        <w:rPr>
          <w:szCs w:val="24"/>
          <w:lang w:val="en-US"/>
        </w:rPr>
        <w:t>“</w:t>
      </w:r>
      <w:r w:rsidRPr="00F56C73">
        <w:rPr>
          <w:szCs w:val="24"/>
          <w:lang w:val="en-US"/>
        </w:rPr>
        <w:t>that by you</w:t>
      </w:r>
      <w:r w:rsidR="00CC0615">
        <w:rPr>
          <w:szCs w:val="24"/>
          <w:lang w:val="en-US"/>
        </w:rPr>
        <w:t>”</w:t>
      </w:r>
      <w:r w:rsidRPr="00F56C73">
        <w:rPr>
          <w:szCs w:val="24"/>
          <w:lang w:val="en-US"/>
        </w:rPr>
        <w:t>) tend to be less clearly localised. Third-person pronoun</w:t>
      </w:r>
      <w:r w:rsidRPr="008532F4">
        <w:rPr>
          <w:szCs w:val="24"/>
          <w:lang w:val="en-US"/>
        </w:rPr>
        <w:t>s may be present but not speaking, in the distance but visible, or</w:t>
      </w:r>
      <w:r w:rsidRPr="009D3F3F">
        <w:rPr>
          <w:szCs w:val="24"/>
          <w:lang w:val="en-US"/>
        </w:rPr>
        <w:t xml:space="preserve"> completely out of sight.</w:t>
      </w:r>
      <w:r w:rsidRPr="00F56C73">
        <w:rPr>
          <w:rStyle w:val="FootnoteReference"/>
          <w:szCs w:val="24"/>
          <w:lang w:val="en-US"/>
        </w:rPr>
        <w:footnoteReference w:id="246"/>
      </w:r>
      <w:r w:rsidRPr="00F56C73">
        <w:rPr>
          <w:szCs w:val="24"/>
          <w:lang w:val="en-US"/>
        </w:rPr>
        <w:t xml:space="preserve"> This three-way system implies two relationships: the first between </w:t>
      </w:r>
      <w:r w:rsidR="00CC0615">
        <w:rPr>
          <w:szCs w:val="24"/>
          <w:lang w:val="en-US"/>
        </w:rPr>
        <w:t>“</w:t>
      </w:r>
      <w:r w:rsidRPr="00F56C73">
        <w:rPr>
          <w:szCs w:val="24"/>
          <w:lang w:val="en-US"/>
        </w:rPr>
        <w:t>I</w:t>
      </w:r>
      <w:r w:rsidR="00CC0615">
        <w:rPr>
          <w:szCs w:val="24"/>
          <w:lang w:val="en-US"/>
        </w:rPr>
        <w:t>”</w:t>
      </w:r>
      <w:r w:rsidRPr="00F56C73">
        <w:rPr>
          <w:szCs w:val="24"/>
          <w:lang w:val="en-US"/>
        </w:rPr>
        <w:t xml:space="preserve"> and </w:t>
      </w:r>
      <w:r w:rsidR="00CC0615">
        <w:rPr>
          <w:szCs w:val="24"/>
          <w:lang w:val="en-US"/>
        </w:rPr>
        <w:t>“</w:t>
      </w:r>
      <w:r w:rsidRPr="00F56C73">
        <w:rPr>
          <w:szCs w:val="24"/>
          <w:lang w:val="en-US"/>
        </w:rPr>
        <w:t>you,</w:t>
      </w:r>
      <w:r w:rsidR="00CC0615">
        <w:rPr>
          <w:szCs w:val="24"/>
          <w:lang w:val="en-US"/>
        </w:rPr>
        <w:t>”</w:t>
      </w:r>
      <w:r w:rsidRPr="00F56C73">
        <w:rPr>
          <w:szCs w:val="24"/>
          <w:lang w:val="en-US"/>
        </w:rPr>
        <w:t xml:space="preserve"> which represents the opposition of speaker and addressee in a conversational speech-act; and the second between </w:t>
      </w:r>
      <w:r w:rsidR="00CC0615">
        <w:rPr>
          <w:szCs w:val="24"/>
          <w:lang w:val="en-US"/>
        </w:rPr>
        <w:t>“</w:t>
      </w:r>
      <w:r w:rsidRPr="00F56C73">
        <w:rPr>
          <w:szCs w:val="24"/>
          <w:lang w:val="en-US"/>
        </w:rPr>
        <w:t>I</w:t>
      </w:r>
      <w:r w:rsidR="00CC0615">
        <w:rPr>
          <w:szCs w:val="24"/>
          <w:lang w:val="en-US"/>
        </w:rPr>
        <w:t>”</w:t>
      </w:r>
      <w:r w:rsidRPr="00F56C73">
        <w:rPr>
          <w:szCs w:val="24"/>
          <w:lang w:val="en-US"/>
        </w:rPr>
        <w:t xml:space="preserve"> and </w:t>
      </w:r>
      <w:r w:rsidR="00CC0615">
        <w:rPr>
          <w:szCs w:val="24"/>
          <w:lang w:val="en-US"/>
        </w:rPr>
        <w:t>“</w:t>
      </w:r>
      <w:r w:rsidRPr="00F56C73">
        <w:rPr>
          <w:szCs w:val="24"/>
          <w:lang w:val="en-US"/>
        </w:rPr>
        <w:t>you</w:t>
      </w:r>
      <w:r w:rsidR="00CC0615">
        <w:rPr>
          <w:szCs w:val="24"/>
          <w:lang w:val="en-US"/>
        </w:rPr>
        <w:t>”</w:t>
      </w:r>
      <w:r w:rsidRPr="00F56C73">
        <w:rPr>
          <w:szCs w:val="24"/>
          <w:lang w:val="en-US"/>
        </w:rPr>
        <w:t xml:space="preserve"> from one side and </w:t>
      </w:r>
      <w:r w:rsidR="00CC0615">
        <w:rPr>
          <w:szCs w:val="24"/>
          <w:lang w:val="en-US"/>
        </w:rPr>
        <w:t>“</w:t>
      </w:r>
      <w:r w:rsidRPr="00F56C73">
        <w:rPr>
          <w:szCs w:val="24"/>
          <w:lang w:val="en-US"/>
        </w:rPr>
        <w:t>he</w:t>
      </w:r>
      <w:r w:rsidR="00CC0615">
        <w:rPr>
          <w:szCs w:val="24"/>
          <w:lang w:val="en-US"/>
        </w:rPr>
        <w:t>”</w:t>
      </w:r>
      <w:r w:rsidRPr="00F56C73">
        <w:rPr>
          <w:szCs w:val="24"/>
          <w:lang w:val="en-US"/>
        </w:rPr>
        <w:t xml:space="preserve"> </w:t>
      </w:r>
      <w:r w:rsidRPr="00F56C73">
        <w:rPr>
          <w:szCs w:val="24"/>
          <w:lang w:val="en-US"/>
        </w:rPr>
        <w:lastRenderedPageBreak/>
        <w:t>on the other side, which represents the opposition in a speech-act of speaker and addressee collectively to a nonparticipant, who may be physically or mentally present or absent, near or far</w:t>
      </w:r>
      <w:r w:rsidRPr="00F56C73">
        <w:rPr>
          <w:rStyle w:val="FootnoteReference"/>
          <w:szCs w:val="24"/>
          <w:lang w:val="en-US"/>
        </w:rPr>
        <w:footnoteReference w:id="247"/>
      </w:r>
      <w:r w:rsidRPr="00F56C73">
        <w:rPr>
          <w:szCs w:val="24"/>
          <w:lang w:val="en-US"/>
        </w:rPr>
        <w:t xml:space="preserve">. Therefore, </w:t>
      </w:r>
      <w:r w:rsidR="00CC0615">
        <w:rPr>
          <w:szCs w:val="24"/>
          <w:lang w:val="en-US"/>
        </w:rPr>
        <w:t>“</w:t>
      </w:r>
      <w:r w:rsidRPr="00F56C73">
        <w:rPr>
          <w:szCs w:val="24"/>
          <w:lang w:val="en-US"/>
        </w:rPr>
        <w:t>each deictic pronoun thus linked to person often receives metaphorical spatial interpretations.</w:t>
      </w:r>
      <w:r w:rsidR="00CC0615">
        <w:rPr>
          <w:szCs w:val="24"/>
          <w:lang w:val="en-US"/>
        </w:rPr>
        <w:t>”</w:t>
      </w:r>
      <w:r w:rsidRPr="00F56C73">
        <w:rPr>
          <w:rStyle w:val="FootnoteReference"/>
          <w:szCs w:val="24"/>
          <w:lang w:val="en-US"/>
        </w:rPr>
        <w:footnoteReference w:id="248"/>
      </w:r>
    </w:p>
    <w:p w14:paraId="56487B1B" w14:textId="752D91EA" w:rsidR="00937994" w:rsidRPr="00F56C73" w:rsidRDefault="00937994" w:rsidP="0097588B">
      <w:pPr>
        <w:ind w:firstLine="425"/>
        <w:rPr>
          <w:szCs w:val="24"/>
          <w:lang w:val="en-US"/>
        </w:rPr>
      </w:pPr>
      <w:r w:rsidRPr="008532F4">
        <w:rPr>
          <w:szCs w:val="24"/>
          <w:lang w:val="en-US"/>
        </w:rPr>
        <w:t>In order to understand the pragmatic value of deictic pronouns in literary texts which were performed in front of an audience, as ancient iambs were, the distinction between physical and mental space is extr</w:t>
      </w:r>
      <w:r w:rsidRPr="009D3F3F">
        <w:rPr>
          <w:szCs w:val="24"/>
          <w:lang w:val="en-US"/>
        </w:rPr>
        <w:t>emely important.</w:t>
      </w:r>
      <w:r w:rsidRPr="00F56C73">
        <w:rPr>
          <w:rStyle w:val="FootnoteReference"/>
          <w:szCs w:val="24"/>
          <w:lang w:val="en-US"/>
        </w:rPr>
        <w:footnoteReference w:id="249"/>
      </w:r>
      <w:r w:rsidRPr="00F56C73">
        <w:rPr>
          <w:szCs w:val="24"/>
          <w:lang w:val="en-US"/>
        </w:rPr>
        <w:t xml:space="preserve"> Often the relative distance from the speaker depends on his or her subjective perception: in this case, the use of a certain deictic pronoun does not correspond to the real</w:t>
      </w:r>
      <w:r w:rsidRPr="008532F4">
        <w:rPr>
          <w:szCs w:val="24"/>
          <w:lang w:val="en-US"/>
        </w:rPr>
        <w:t xml:space="preserve"> spatial or temporal distance, but reflects the way how the speake</w:t>
      </w:r>
      <w:r w:rsidRPr="009D3F3F">
        <w:rPr>
          <w:szCs w:val="24"/>
          <w:lang w:val="en-US"/>
        </w:rPr>
        <w:t>r perceives the world around him or her</w:t>
      </w:r>
      <w:r w:rsidRPr="00F56C73">
        <w:rPr>
          <w:rStyle w:val="FootnoteReference"/>
          <w:szCs w:val="24"/>
          <w:lang w:val="en-US"/>
        </w:rPr>
        <w:footnoteReference w:id="250"/>
      </w:r>
      <w:r w:rsidRPr="00F56C73">
        <w:rPr>
          <w:szCs w:val="24"/>
          <w:lang w:val="en-US"/>
        </w:rPr>
        <w:t>. For this reason, I</w:t>
      </w:r>
      <w:r w:rsidR="00F56C73">
        <w:rPr>
          <w:szCs w:val="24"/>
          <w:lang w:val="en-US"/>
        </w:rPr>
        <w:t xml:space="preserve"> use </w:t>
      </w:r>
      <w:r w:rsidRPr="00F56C73">
        <w:rPr>
          <w:szCs w:val="24"/>
          <w:lang w:val="en-US"/>
        </w:rPr>
        <w:t>my analysis of Bühler</w:t>
      </w:r>
      <w:r w:rsidR="00075F5F">
        <w:rPr>
          <w:szCs w:val="24"/>
          <w:lang w:val="en-US"/>
        </w:rPr>
        <w:t>’</w:t>
      </w:r>
      <w:r w:rsidRPr="00F56C73">
        <w:rPr>
          <w:szCs w:val="24"/>
          <w:lang w:val="en-US"/>
        </w:rPr>
        <w:t>s</w:t>
      </w:r>
      <w:r w:rsidRPr="00F56C73">
        <w:rPr>
          <w:rStyle w:val="FootnoteReference"/>
          <w:szCs w:val="24"/>
          <w:lang w:val="en-US"/>
        </w:rPr>
        <w:footnoteReference w:id="251"/>
      </w:r>
      <w:r w:rsidRPr="00F56C73">
        <w:rPr>
          <w:szCs w:val="24"/>
          <w:lang w:val="en-US"/>
        </w:rPr>
        <w:t xml:space="preserve"> distinction of deixis</w:t>
      </w:r>
      <w:r w:rsidRPr="00F56C73">
        <w:rPr>
          <w:rStyle w:val="FootnoteReference"/>
          <w:szCs w:val="24"/>
          <w:lang w:val="en-US"/>
        </w:rPr>
        <w:footnoteReference w:id="252"/>
      </w:r>
      <w:r w:rsidRPr="00F56C73">
        <w:rPr>
          <w:szCs w:val="24"/>
          <w:lang w:val="en-US"/>
        </w:rPr>
        <w:t xml:space="preserve"> into three categories: </w:t>
      </w:r>
      <w:r w:rsidRPr="00F56C73">
        <w:rPr>
          <w:i/>
          <w:iCs/>
          <w:szCs w:val="24"/>
          <w:lang w:val="en-US"/>
        </w:rPr>
        <w:t>demonstratio ad oculos</w:t>
      </w:r>
      <w:r w:rsidRPr="00F56C73">
        <w:rPr>
          <w:szCs w:val="24"/>
          <w:lang w:val="en-US"/>
        </w:rPr>
        <w:t xml:space="preserve"> (pointing at what is visually present), </w:t>
      </w:r>
      <w:r w:rsidRPr="00F56C73">
        <w:rPr>
          <w:i/>
          <w:iCs/>
          <w:szCs w:val="24"/>
          <w:lang w:val="en-US"/>
        </w:rPr>
        <w:t>Deixis am Phantasma</w:t>
      </w:r>
      <w:r w:rsidRPr="00F56C73">
        <w:rPr>
          <w:szCs w:val="24"/>
          <w:lang w:val="en-US"/>
        </w:rPr>
        <w:t xml:space="preserve"> (imagination-oriented deixis), and </w:t>
      </w:r>
      <w:r w:rsidRPr="00F56C73">
        <w:rPr>
          <w:i/>
          <w:iCs/>
          <w:szCs w:val="24"/>
          <w:lang w:val="en-US"/>
        </w:rPr>
        <w:t>anaphora</w:t>
      </w:r>
      <w:r w:rsidRPr="00F56C73">
        <w:rPr>
          <w:szCs w:val="24"/>
          <w:lang w:val="en-US"/>
        </w:rPr>
        <w:t xml:space="preserve">. </w:t>
      </w:r>
    </w:p>
    <w:p w14:paraId="35A79014" w14:textId="03B35591" w:rsidR="00937994" w:rsidRPr="0097588B" w:rsidRDefault="00937994" w:rsidP="0097588B">
      <w:pPr>
        <w:ind w:firstLine="425"/>
        <w:rPr>
          <w:i/>
          <w:iCs/>
          <w:szCs w:val="24"/>
          <w:lang w:val="en-US"/>
        </w:rPr>
      </w:pPr>
      <w:r w:rsidRPr="008532F4">
        <w:rPr>
          <w:i/>
          <w:iCs/>
          <w:szCs w:val="24"/>
          <w:lang w:val="en-US"/>
        </w:rPr>
        <w:t xml:space="preserve">Demonstratio ad oculos </w:t>
      </w:r>
      <w:r w:rsidRPr="009D3F3F">
        <w:rPr>
          <w:szCs w:val="24"/>
          <w:lang w:val="en-US"/>
        </w:rPr>
        <w:t>is a simple concept as it refers to what is visually present: people and thi</w:t>
      </w:r>
      <w:r w:rsidRPr="00592079">
        <w:rPr>
          <w:szCs w:val="24"/>
          <w:lang w:val="en-US"/>
        </w:rPr>
        <w:t>ngs are indicated</w:t>
      </w:r>
      <w:r w:rsidRPr="00FF2BA2">
        <w:rPr>
          <w:szCs w:val="24"/>
          <w:lang w:val="en-US"/>
        </w:rPr>
        <w:t xml:space="preserve"> with proximal demonstratives as </w:t>
      </w:r>
      <w:r w:rsidR="00CC0615">
        <w:rPr>
          <w:szCs w:val="24"/>
          <w:lang w:val="en-US"/>
        </w:rPr>
        <w:t>“</w:t>
      </w:r>
      <w:r w:rsidRPr="00FF2BA2">
        <w:rPr>
          <w:szCs w:val="24"/>
          <w:lang w:val="en-US"/>
        </w:rPr>
        <w:t>this,</w:t>
      </w:r>
      <w:r w:rsidR="00CC0615">
        <w:rPr>
          <w:szCs w:val="24"/>
          <w:lang w:val="en-US"/>
        </w:rPr>
        <w:t>”</w:t>
      </w:r>
      <w:r w:rsidRPr="00FF2BA2">
        <w:rPr>
          <w:szCs w:val="24"/>
          <w:lang w:val="en-US"/>
        </w:rPr>
        <w:t xml:space="preserve"> and correspond to the audience itself and the </w:t>
      </w:r>
      <w:r w:rsidR="00CC0615">
        <w:rPr>
          <w:szCs w:val="24"/>
          <w:lang w:val="en-US"/>
        </w:rPr>
        <w:t>“</w:t>
      </w:r>
      <w:r w:rsidRPr="00FF2BA2">
        <w:rPr>
          <w:szCs w:val="24"/>
          <w:lang w:val="en-US"/>
        </w:rPr>
        <w:t>real</w:t>
      </w:r>
      <w:r w:rsidR="00CC0615">
        <w:rPr>
          <w:szCs w:val="24"/>
          <w:lang w:val="en-US"/>
        </w:rPr>
        <w:t>”</w:t>
      </w:r>
      <w:r w:rsidRPr="00FF2BA2">
        <w:rPr>
          <w:szCs w:val="24"/>
          <w:lang w:val="en-US"/>
        </w:rPr>
        <w:t xml:space="preserve"> world which they c</w:t>
      </w:r>
      <w:r w:rsidRPr="00754F18">
        <w:rPr>
          <w:szCs w:val="24"/>
          <w:lang w:val="en-US"/>
        </w:rPr>
        <w:t>an see outside of the fictional(ized) construct of the performance. There is a correspondence in the mind of the audience betwe</w:t>
      </w:r>
      <w:r w:rsidRPr="0097588B">
        <w:rPr>
          <w:szCs w:val="24"/>
          <w:lang w:val="en-US"/>
        </w:rPr>
        <w:t>en what is heard and what is seen, and this implies an immediacy of understanding and a direct involvement of the audience in the scenario which the speaker is describing.</w:t>
      </w:r>
    </w:p>
    <w:p w14:paraId="784F1DDD" w14:textId="7D5AC4FB" w:rsidR="00937994" w:rsidRDefault="00937994" w:rsidP="0097588B">
      <w:pPr>
        <w:ind w:firstLine="425"/>
        <w:rPr>
          <w:lang w:val="en-US"/>
        </w:rPr>
      </w:pPr>
      <w:r>
        <w:rPr>
          <w:i/>
          <w:iCs/>
          <w:lang w:val="en-US"/>
        </w:rPr>
        <w:t xml:space="preserve">Deixis am Phantasma </w:t>
      </w:r>
      <w:r>
        <w:rPr>
          <w:lang w:val="en-US"/>
        </w:rPr>
        <w:t>is the use of pointing words, deictics, to construct an alternative space. In Bühler</w:t>
      </w:r>
      <w:r w:rsidR="00075F5F">
        <w:rPr>
          <w:lang w:val="en-US"/>
        </w:rPr>
        <w:t>’</w:t>
      </w:r>
      <w:r>
        <w:rPr>
          <w:lang w:val="en-US"/>
        </w:rPr>
        <w:t xml:space="preserve">s words, this occurs </w:t>
      </w:r>
      <w:r w:rsidR="00CC0615">
        <w:rPr>
          <w:lang w:val="en-US"/>
        </w:rPr>
        <w:t>“</w:t>
      </w:r>
      <w:r>
        <w:rPr>
          <w:lang w:val="en-US"/>
        </w:rPr>
        <w:t xml:space="preserve">when the narrator leads the hearer into the realm of what is absent and can be remembered or into the realm of constructive </w:t>
      </w:r>
      <w:r>
        <w:rPr>
          <w:lang w:val="en-US"/>
        </w:rPr>
        <w:lastRenderedPageBreak/>
        <w:t>imagination and treats him to the same deictic words as before so that he may see and hear what can be seen and heard there</w:t>
      </w:r>
      <w:r w:rsidR="00CC0615">
        <w:rPr>
          <w:lang w:val="en-US"/>
        </w:rPr>
        <w:t>”</w:t>
      </w:r>
      <w:r>
        <w:rPr>
          <w:lang w:val="en-US"/>
        </w:rPr>
        <w:t xml:space="preserve">: it creates fictional places which an audience can then interpret as a viable and believable mimesis of something absent. In this type of imaginary displacement, time and space are not to be understood concretely within the lifetime and before the eyes of the speaker/composer as in ocular deixis: displacements challenge audiences to establish, by inference, the pragmatic and/or contextual anchoring of the discourse in order to apprehend what is not self-evident. The resulting audience participation in the process of making meaning intensifies their response to what they hear, making them work harder and become all the more engaged. In this way, displaced deixis may offer, as one of its poetic consequences, ample compensation for the loss of original immediacy. </w:t>
      </w:r>
    </w:p>
    <w:p w14:paraId="0E3995E2" w14:textId="4734635A" w:rsidR="00937994" w:rsidRDefault="00937994" w:rsidP="0097588B">
      <w:pPr>
        <w:ind w:firstLine="425"/>
        <w:rPr>
          <w:lang w:val="en-US"/>
        </w:rPr>
      </w:pPr>
      <w:r>
        <w:rPr>
          <w:i/>
          <w:iCs/>
          <w:lang w:val="en-US"/>
        </w:rPr>
        <w:t>Anaphora</w:t>
      </w:r>
      <w:r>
        <w:rPr>
          <w:lang w:val="en-US"/>
        </w:rPr>
        <w:t xml:space="preserve"> refers to the process of pointing back in the discourse (or text): deictic words (</w:t>
      </w:r>
      <w:r>
        <w:rPr>
          <w:i/>
          <w:iCs/>
          <w:lang w:val="en-US"/>
        </w:rPr>
        <w:t>Zeigwörter</w:t>
      </w:r>
      <w:r>
        <w:rPr>
          <w:lang w:val="en-US"/>
        </w:rPr>
        <w:t xml:space="preserve">) which are used anaphorically presuppose that both the sender and the receiver have before them the flow of speech as a whole and can both access previously mentioned topics or ideas. While </w:t>
      </w:r>
      <w:r w:rsidR="00CC0615">
        <w:rPr>
          <w:lang w:val="en-US"/>
        </w:rPr>
        <w:t>“</w:t>
      </w:r>
      <w:r>
        <w:rPr>
          <w:lang w:val="en-US"/>
        </w:rPr>
        <w:t>real</w:t>
      </w:r>
      <w:r w:rsidR="00CC0615">
        <w:rPr>
          <w:lang w:val="en-US"/>
        </w:rPr>
        <w:t>”</w:t>
      </w:r>
      <w:r>
        <w:rPr>
          <w:lang w:val="en-US"/>
        </w:rPr>
        <w:t xml:space="preserve"> deictic pronouns refer immediately to real objects in the external world that have so far been unknown – or at least not yet introduced into discourse – anaphoric pronouns take up again objects previously mentioned in the discourse, or objects that are about to be mentioned.</w:t>
      </w:r>
      <w:r>
        <w:rPr>
          <w:rStyle w:val="FootnoteReference"/>
          <w:lang w:val="en-US"/>
        </w:rPr>
        <w:footnoteReference w:id="253"/>
      </w:r>
      <w:r>
        <w:rPr>
          <w:lang w:val="en-US"/>
        </w:rPr>
        <w:t xml:space="preserve"> From a psychological perspective, </w:t>
      </w:r>
      <w:r w:rsidR="00CC0615">
        <w:rPr>
          <w:lang w:val="en-US"/>
        </w:rPr>
        <w:t>“</w:t>
      </w:r>
      <w:r>
        <w:rPr>
          <w:i/>
          <w:iCs/>
          <w:lang w:val="en-US"/>
        </w:rPr>
        <w:t>anaphora</w:t>
      </w:r>
      <w:r>
        <w:rPr>
          <w:lang w:val="en-US"/>
        </w:rPr>
        <w:t xml:space="preserve"> presupposes that sender and receiver</w:t>
      </w:r>
      <w:r w:rsidR="00A53A10">
        <w:rPr>
          <w:lang w:val="en-US"/>
        </w:rPr>
        <w:t xml:space="preserve"> – </w:t>
      </w:r>
      <w:r>
        <w:rPr>
          <w:lang w:val="en-US"/>
        </w:rPr>
        <w:t>or speaker and addressee</w:t>
      </w:r>
      <w:r w:rsidR="00A53A10">
        <w:rPr>
          <w:lang w:val="en-US"/>
        </w:rPr>
        <w:t xml:space="preserve"> – </w:t>
      </w:r>
      <w:r>
        <w:rPr>
          <w:lang w:val="en-US"/>
        </w:rPr>
        <w:t>both have access to the discourse as a whole,</w:t>
      </w:r>
      <w:r w:rsidR="00CC0615">
        <w:rPr>
          <w:lang w:val="en-US"/>
        </w:rPr>
        <w:t>”</w:t>
      </w:r>
      <w:r>
        <w:rPr>
          <w:rStyle w:val="FootnoteReference"/>
          <w:lang w:val="en-US"/>
        </w:rPr>
        <w:footnoteReference w:id="254"/>
      </w:r>
      <w:r>
        <w:rPr>
          <w:lang w:val="en-US"/>
        </w:rPr>
        <w:t xml:space="preserve">  to such an extent that wandering is possible,</w:t>
      </w:r>
      <w:r>
        <w:rPr>
          <w:vertAlign w:val="superscript"/>
          <w:lang w:val="en-US"/>
        </w:rPr>
        <w:t xml:space="preserve"> </w:t>
      </w:r>
      <w:r w:rsidR="00CC0615">
        <w:rPr>
          <w:lang w:val="en-US"/>
        </w:rPr>
        <w:t>“</w:t>
      </w:r>
      <w:r>
        <w:rPr>
          <w:lang w:val="en-US"/>
        </w:rPr>
        <w:t>comparable to the wandering of the gaze on an optically present object.</w:t>
      </w:r>
      <w:r w:rsidR="00CC0615">
        <w:rPr>
          <w:lang w:val="en-US"/>
        </w:rPr>
        <w:t>”</w:t>
      </w:r>
      <w:r>
        <w:rPr>
          <w:vertAlign w:val="superscript"/>
          <w:lang w:val="en-US"/>
        </w:rPr>
        <w:t xml:space="preserve"> </w:t>
      </w:r>
      <w:r>
        <w:rPr>
          <w:rStyle w:val="FootnoteReference"/>
          <w:lang w:val="en-US"/>
        </w:rPr>
        <w:footnoteReference w:id="255"/>
      </w:r>
    </w:p>
    <w:p w14:paraId="5B146E8A" w14:textId="3DE6B8B9" w:rsidR="006512C4" w:rsidRPr="008D1580" w:rsidRDefault="006512C4" w:rsidP="008D1580">
      <w:pPr>
        <w:spacing w:line="360" w:lineRule="auto"/>
        <w:ind w:firstLine="425"/>
      </w:pPr>
    </w:p>
    <w:p w14:paraId="5E446642" w14:textId="77777777" w:rsidR="006512C4" w:rsidRPr="00882D7A" w:rsidRDefault="006512C4" w:rsidP="002319DF">
      <w:pPr>
        <w:pStyle w:val="Heading4"/>
      </w:pPr>
      <w:r>
        <w:t xml:space="preserve">2.1.2 </w:t>
      </w:r>
      <w:r w:rsidRPr="00882D7A">
        <w:t xml:space="preserve">Deixis in </w:t>
      </w:r>
      <w:r>
        <w:t>Archilochus, Hipponax and Callimachus</w:t>
      </w:r>
    </w:p>
    <w:p w14:paraId="5809B19A" w14:textId="1A54C794" w:rsidR="00937994" w:rsidRDefault="00937994" w:rsidP="00937994">
      <w:pPr>
        <w:rPr>
          <w:lang w:val="en-US"/>
        </w:rPr>
      </w:pPr>
      <w:r>
        <w:rPr>
          <w:lang w:val="en-US"/>
        </w:rPr>
        <w:t xml:space="preserve">In the following pages I will discuss the use of deictic pronouns and adjectives (ὅδε, οὗτος, and ἐκεῖνος) in the iambic fragments of Archilochus, Hipponax and Callimachus (Appendix </w:t>
      </w:r>
      <w:r>
        <w:rPr>
          <w:b/>
          <w:bCs/>
          <w:lang w:val="en-US"/>
        </w:rPr>
        <w:t>2</w:t>
      </w:r>
      <w:r>
        <w:rPr>
          <w:lang w:val="en-US"/>
        </w:rPr>
        <w:t xml:space="preserve"> A.1) in order to explore both</w:t>
      </w:r>
      <w:r w:rsidR="007D453B">
        <w:rPr>
          <w:lang w:val="en-US"/>
        </w:rPr>
        <w:t xml:space="preserve"> </w:t>
      </w:r>
      <w:r>
        <w:rPr>
          <w:lang w:val="en-US"/>
        </w:rPr>
        <w:t xml:space="preserve">how the three iambographers use deixis and also what kind of reality they create within their poetry. </w:t>
      </w:r>
    </w:p>
    <w:p w14:paraId="2B64A908" w14:textId="6B7B7E26" w:rsidR="002319DF" w:rsidRDefault="00937994" w:rsidP="00937994">
      <w:pPr>
        <w:autoSpaceDE w:val="0"/>
        <w:autoSpaceDN w:val="0"/>
        <w:adjustRightInd w:val="0"/>
        <w:rPr>
          <w:rFonts w:cs="Times New Roman"/>
        </w:rPr>
      </w:pPr>
      <w:r>
        <w:rPr>
          <w:lang w:val="en-US"/>
        </w:rPr>
        <w:tab/>
        <w:t xml:space="preserve">It should be noted in advance that Archilochus and Callimachus use deictics much more frequently than Hipponax. Deictic pronouns and adjectives constitute 4% of the </w:t>
      </w:r>
      <w:r>
        <w:rPr>
          <w:lang w:val="en-US"/>
        </w:rPr>
        <w:lastRenderedPageBreak/>
        <w:t xml:space="preserve">vocabulary of Archilochus and 3.2% of the vocabulary of Callimachus, but only 1.7% of that of Hipponax. I will try to demonstrate that this discrepancy is significant, and that it is due to the pragmatic use which the three iambographers make of deictic pronouns. The fragments are quite homogeneous with regard to the meaning of deictic pronouns and adjectives, but they show a huge variety of functions. For this reason, I have subdivided my analysis into two sections: the first section, which concerns the meaning of deictic particles, belongs to the semantic field, while the second section, which concerns their function, belongs to the pragmatic field. </w:t>
      </w:r>
    </w:p>
    <w:p w14:paraId="4FB55233" w14:textId="77777777" w:rsidR="002319DF" w:rsidRDefault="002319DF" w:rsidP="002319DF">
      <w:pPr>
        <w:autoSpaceDE w:val="0"/>
        <w:autoSpaceDN w:val="0"/>
        <w:adjustRightInd w:val="0"/>
        <w:rPr>
          <w:rFonts w:cs="Times New Roman"/>
        </w:rPr>
      </w:pPr>
    </w:p>
    <w:p w14:paraId="4417129D" w14:textId="237FB188" w:rsidR="002319DF" w:rsidRPr="00825A39" w:rsidRDefault="002319DF" w:rsidP="002319DF">
      <w:pPr>
        <w:autoSpaceDE w:val="0"/>
        <w:autoSpaceDN w:val="0"/>
        <w:adjustRightInd w:val="0"/>
        <w:rPr>
          <w:rFonts w:cs="Times New Roman"/>
          <w:i/>
        </w:rPr>
      </w:pPr>
      <w:r>
        <w:rPr>
          <w:rFonts w:cs="Times New Roman"/>
          <w:i/>
        </w:rPr>
        <w:t>Semantics</w:t>
      </w:r>
    </w:p>
    <w:p w14:paraId="4E0B6055" w14:textId="445EA181" w:rsidR="00937994" w:rsidRDefault="00937994" w:rsidP="00F56C73">
      <w:pPr>
        <w:rPr>
          <w:lang w:val="en-US"/>
        </w:rPr>
      </w:pPr>
      <w:r>
        <w:rPr>
          <w:lang w:val="en-US"/>
        </w:rPr>
        <w:t>Semantically, Archilochus, Hipponax and Callimachus use</w:t>
      </w:r>
      <w:r w:rsidR="007D453B">
        <w:rPr>
          <w:lang w:val="en-US"/>
        </w:rPr>
        <w:t xml:space="preserve"> </w:t>
      </w:r>
      <w:r>
        <w:rPr>
          <w:lang w:val="en-US"/>
        </w:rPr>
        <w:t>the deictic pronouns in quite similar fashions. They often use the demonstrative pronouns to express their emotional distance towards the subject of their speech. Broadly speaking, it is possible to say that in the iambs</w:t>
      </w:r>
      <w:r w:rsidR="007D453B">
        <w:rPr>
          <w:lang w:val="en-US"/>
        </w:rPr>
        <w:t xml:space="preserve"> </w:t>
      </w:r>
      <w:r>
        <w:rPr>
          <w:lang w:val="en-US"/>
        </w:rPr>
        <w:t xml:space="preserve">the greater the distance from the </w:t>
      </w:r>
      <w:r>
        <w:rPr>
          <w:i/>
          <w:iCs/>
          <w:lang w:val="en-US"/>
        </w:rPr>
        <w:t>Origo</w:t>
      </w:r>
      <w:r>
        <w:rPr>
          <w:lang w:val="en-US"/>
        </w:rPr>
        <w:t xml:space="preserve">, the greater the distance from the heart of the speaker: spatial distance perfectly corresponds to emotional distance. This semantic value is shared by all the iambographers. It becomes clear in the analys of the instances of ἐκεῖνος. ἐκεῖνος does not denote only the distant one in the sense of the non-present one, but sometimes it also denotes someone or something that is distant from the heart of the poet. The distance from the heart can be considered both as homesickness, hate, or regret, as shown respectively by Archilocus ἔα Πάρον καὶ σῦκα κεῖνα καὶ θαλάσσιον βίον </w:t>
      </w:r>
      <w:r w:rsidR="00CC0615">
        <w:rPr>
          <w:lang w:val="en-US"/>
        </w:rPr>
        <w:t>“</w:t>
      </w:r>
      <w:r>
        <w:rPr>
          <w:lang w:val="en-US"/>
        </w:rPr>
        <w:t>good-bye to Paros and those figs and life on the sea</w:t>
      </w:r>
      <w:r w:rsidR="00CC0615">
        <w:rPr>
          <w:lang w:val="en-US"/>
        </w:rPr>
        <w:t>”</w:t>
      </w:r>
      <w:r>
        <w:rPr>
          <w:lang w:val="en-US"/>
        </w:rPr>
        <w:t xml:space="preserve"> (fr. 87); by Hipponax δοκέων ἐκεῖνον τῆι βακτηρίηι κόψαι </w:t>
      </w:r>
      <w:r w:rsidR="00CC0615">
        <w:rPr>
          <w:lang w:val="en-US"/>
        </w:rPr>
        <w:t>“</w:t>
      </w:r>
      <w:r>
        <w:rPr>
          <w:lang w:val="en-US"/>
        </w:rPr>
        <w:t>thinking to whack that (man) with my stick</w:t>
      </w:r>
      <w:r w:rsidR="00CC0615">
        <w:rPr>
          <w:lang w:val="en-US"/>
        </w:rPr>
        <w:t>”</w:t>
      </w:r>
      <w:r>
        <w:rPr>
          <w:lang w:val="en-US"/>
        </w:rPr>
        <w:t xml:space="preserve"> (fr. 8); and by Callimachus ἐκεῖνος ὥνθρωπος </w:t>
      </w:r>
      <w:r w:rsidR="00CC0615">
        <w:rPr>
          <w:lang w:val="en-US"/>
        </w:rPr>
        <w:t>“</w:t>
      </w:r>
      <w:r>
        <w:rPr>
          <w:lang w:val="en-US"/>
        </w:rPr>
        <w:t>that man</w:t>
      </w:r>
      <w:r w:rsidR="00CC0615">
        <w:rPr>
          <w:lang w:val="en-US"/>
        </w:rPr>
        <w:t>”</w:t>
      </w:r>
      <w:r>
        <w:rPr>
          <w:lang w:val="en-US"/>
        </w:rPr>
        <w:t xml:space="preserve"> (</w:t>
      </w:r>
      <w:r>
        <w:rPr>
          <w:i/>
          <w:iCs/>
          <w:lang w:val="en-US"/>
        </w:rPr>
        <w:t>Ia.</w:t>
      </w:r>
      <w:r>
        <w:rPr>
          <w:lang w:val="en-US"/>
        </w:rPr>
        <w:t xml:space="preserve"> 3.12, where the poet is sadly remembering how humanity was at its dawn, before being corrupted by money). </w:t>
      </w:r>
    </w:p>
    <w:p w14:paraId="257B8DF3" w14:textId="68909625" w:rsidR="00937994" w:rsidRDefault="00937994" w:rsidP="00937994">
      <w:pPr>
        <w:ind w:firstLine="426"/>
        <w:rPr>
          <w:lang w:val="en-US"/>
        </w:rPr>
      </w:pPr>
      <w:r>
        <w:rPr>
          <w:lang w:val="en-US"/>
        </w:rPr>
        <w:t>I think that iambic use of demonstratives is very similar to the Latin deictic system, where second-person deixis (</w:t>
      </w:r>
      <w:r>
        <w:rPr>
          <w:i/>
          <w:iCs/>
          <w:lang w:val="en-US"/>
        </w:rPr>
        <w:t>iste</w:t>
      </w:r>
      <w:r>
        <w:rPr>
          <w:lang w:val="en-US"/>
        </w:rPr>
        <w:t>) may signal a pejorative disposition toward a referent. O</w:t>
      </w:r>
      <w:r>
        <w:rPr>
          <w:rFonts w:ascii="Times New Roman (Vietnamese)" w:hAnsi="Times New Roman (Vietnamese)" w:cs="Times New Roman (Vietnamese)"/>
          <w:lang w:val="en-US"/>
        </w:rPr>
        <w:t>ften the perceptual difference between the proximal ὁ</w:t>
      </w:r>
      <w:r>
        <w:rPr>
          <w:lang w:val="en-US"/>
        </w:rPr>
        <w:t>δε and the medial οὗτος is more readily apparent when the two are set against each other. H</w:t>
      </w:r>
      <w:r>
        <w:rPr>
          <w:rFonts w:ascii="Times New Roman (Vietnamese)" w:hAnsi="Times New Roman (Vietnamese)" w:cs="Times New Roman (Vietnamese)"/>
          <w:lang w:val="en-US"/>
        </w:rPr>
        <w:t>ere ὁ</w:t>
      </w:r>
      <w:r>
        <w:rPr>
          <w:lang w:val="en-US"/>
        </w:rPr>
        <w:t>δε refers to what is more important. For instance, Archilochus says λόγωι ν</w:t>
      </w:r>
      <w:r w:rsidR="00F56C73">
        <w:rPr>
          <w:lang w:val="el-GR"/>
        </w:rPr>
        <w:t>ῦ</w:t>
      </w:r>
      <w:r>
        <w:rPr>
          <w:lang w:val="en-US"/>
        </w:rPr>
        <w:t>ν τῶιδ</w:t>
      </w:r>
      <w:r w:rsidR="00075F5F">
        <w:rPr>
          <w:lang w:val="en-US"/>
        </w:rPr>
        <w:t>’</w:t>
      </w:r>
      <w:r>
        <w:rPr>
          <w:lang w:val="en-US"/>
        </w:rPr>
        <w:t xml:space="preserve"> ἀληθείη πάρα. / πόλιν δὲ ταύτην </w:t>
      </w:r>
      <w:hyperlink r:id="rId35" w:history="1">
        <w:r>
          <w:rPr>
            <w:lang w:val="en-US"/>
          </w:rPr>
          <w:t>...</w:t>
        </w:r>
      </w:hyperlink>
      <w:r>
        <w:rPr>
          <w:lang w:val="en-US"/>
        </w:rPr>
        <w:t xml:space="preserve"> ἐπιστρέφεαι</w:t>
      </w:r>
      <w:r>
        <w:rPr>
          <w:rFonts w:ascii="Times New Roman (Vietnamese)" w:hAnsi="Times New Roman (Vietnamese)" w:cs="Times New Roman (Vietnamese)"/>
          <w:lang w:val="en-US"/>
        </w:rPr>
        <w:t xml:space="preserve"> </w:t>
      </w:r>
      <w:r w:rsidR="00CC0615">
        <w:rPr>
          <w:rFonts w:ascii="Times New Roman (Vietnamese)" w:hAnsi="Times New Roman (Vietnamese)" w:cs="Times New Roman (Vietnamese)"/>
          <w:lang w:val="en-US"/>
        </w:rPr>
        <w:t>“</w:t>
      </w:r>
      <w:r>
        <w:rPr>
          <w:rFonts w:ascii="Times New Roman (Vietnamese)" w:hAnsi="Times New Roman (Vietnamese)" w:cs="Times New Roman (Vietnamese)"/>
          <w:lang w:val="en-US"/>
        </w:rPr>
        <w:t>there is truth then in this (my) speech. You move about this city</w:t>
      </w:r>
      <w:r w:rsidR="00CC0615">
        <w:rPr>
          <w:rFonts w:ascii="Times New Roman (Vietnamese)" w:hAnsi="Times New Roman (Vietnamese)" w:cs="Times New Roman (Vietnamese)"/>
          <w:lang w:val="en-US"/>
        </w:rPr>
        <w:t>”</w:t>
      </w:r>
      <w:r>
        <w:rPr>
          <w:rFonts w:ascii="Times New Roman (Vietnamese)" w:hAnsi="Times New Roman (Vietnamese)" w:cs="Times New Roman (Vietnamese)"/>
          <w:lang w:val="en-US"/>
        </w:rPr>
        <w:t xml:space="preserve"> (fr. 54.16-17). The iambographer uses </w:t>
      </w:r>
      <w:r w:rsidR="007D453B">
        <w:rPr>
          <w:rFonts w:ascii="Times New Roman (Vietnamese)" w:hAnsi="Times New Roman (Vietnamese)" w:cs="Times New Roman (Vietnamese)"/>
          <w:lang w:val="el-GR"/>
        </w:rPr>
        <w:t>ὅ</w:t>
      </w:r>
      <w:r>
        <w:rPr>
          <w:lang w:val="en-US"/>
        </w:rPr>
        <w:t xml:space="preserve">δε to refer to his speech, while οὗτος refers to his city. Although both referents are objects (the speech and the city) near to the poet, Archilochus is affirming the effectiveness of his words, and for him, they are more important than his city. Archilochus in his speech is stating his opinion against how his </w:t>
      </w:r>
      <w:r>
        <w:rPr>
          <w:lang w:val="en-US"/>
        </w:rPr>
        <w:lastRenderedPageBreak/>
        <w:t>city is being ruled. He is giving more importance to his words rather than to his city. In this case οὗτος, referring to the city, is justified also by the aversion which Archilochus feels towards the actual conditions in his city. Archilochus is clearly attached to the city about which he is talking, but it has been captured by an enemy of the poet, a man whom Archilochus does not appreciate. Thus we can also imagine that the city, once loved, is now far from the heart of the poet, and could be one of the reasons why Archilochus prefers ταύτην to τήνδε here.</w:t>
      </w:r>
    </w:p>
    <w:p w14:paraId="10015A6E" w14:textId="11788501" w:rsidR="00937994" w:rsidRDefault="00937994" w:rsidP="00937994">
      <w:pPr>
        <w:ind w:firstLine="426"/>
        <w:rPr>
          <w:lang w:val="en-US"/>
        </w:rPr>
      </w:pPr>
      <w:r>
        <w:rPr>
          <w:lang w:val="en-US"/>
        </w:rPr>
        <w:t>Effectively, οὗτος is not only the other who is not the speaker, but it is the other who is the speaker</w:t>
      </w:r>
      <w:r w:rsidR="00075F5F">
        <w:rPr>
          <w:lang w:val="en-US"/>
        </w:rPr>
        <w:t>’</w:t>
      </w:r>
      <w:r>
        <w:rPr>
          <w:lang w:val="en-US"/>
        </w:rPr>
        <w:t>s target. The speaker uses οὗτος in order to refer to his enemy. This semantic value is slightly visible in Archilochus</w:t>
      </w:r>
      <w:r w:rsidR="00075F5F">
        <w:rPr>
          <w:lang w:val="en-US"/>
        </w:rPr>
        <w:t>’</w:t>
      </w:r>
      <w:r>
        <w:rPr>
          <w:lang w:val="en-US"/>
        </w:rPr>
        <w:t xml:space="preserve"> fragments: in addition to the line 17 of fragment 54 which I have just shown, another example is in his fr. S478a.16 W (μὴ τοῦτ</w:t>
      </w:r>
      <w:r w:rsidR="00075F5F">
        <w:rPr>
          <w:lang w:val="en-US"/>
        </w:rPr>
        <w:t>’</w:t>
      </w:r>
      <w:r>
        <w:rPr>
          <w:lang w:val="en-US"/>
        </w:rPr>
        <w:t xml:space="preserve"> </w:t>
      </w:r>
      <w:r w:rsidRPr="00661FBC">
        <w:t>ἐφοῖτ</w:t>
      </w:r>
      <w:r w:rsidR="00075F5F">
        <w:t>’</w:t>
      </w:r>
      <w:r>
        <w:rPr>
          <w:rFonts w:ascii="Times New Roman (Vietnamese)" w:hAnsi="Times New Roman (Vietnamese)" w:cs="Times New Roman (Vietnamese)"/>
          <w:lang w:val="en-US"/>
        </w:rPr>
        <w:t xml:space="preserve"> / ὅ</w:t>
      </w:r>
      <w:r>
        <w:rPr>
          <w:lang w:val="en-US"/>
        </w:rPr>
        <w:t>πως ἐγὼ γυναῖκα τοιαύτην ἔχων / γείτοσι χάρμ</w:t>
      </w:r>
      <w:r w:rsidR="00075F5F">
        <w:rPr>
          <w:lang w:val="en-US"/>
        </w:rPr>
        <w:t>’</w:t>
      </w:r>
      <w:r>
        <w:rPr>
          <w:lang w:val="en-US"/>
        </w:rPr>
        <w:t xml:space="preserve"> ἔσομαι </w:t>
      </w:r>
      <w:r w:rsidR="00CC0615">
        <w:rPr>
          <w:lang w:val="en-US"/>
        </w:rPr>
        <w:t>“</w:t>
      </w:r>
      <w:r>
        <w:rPr>
          <w:lang w:val="en-US"/>
        </w:rPr>
        <w:t xml:space="preserve">[she: </w:t>
      </w:r>
      <w:r>
        <w:rPr>
          <w:i/>
          <w:iCs/>
          <w:lang w:val="en-US"/>
        </w:rPr>
        <w:t>viz.</w:t>
      </w:r>
      <w:r>
        <w:rPr>
          <w:lang w:val="en-US"/>
        </w:rPr>
        <w:t xml:space="preserve"> Neobule] did not have sex with </w:t>
      </w:r>
      <w:r w:rsidRPr="009877AA">
        <w:rPr>
          <w:i/>
          <w:iCs/>
          <w:lang w:val="en-US"/>
        </w:rPr>
        <w:t>this</w:t>
      </w:r>
      <w:r>
        <w:rPr>
          <w:lang w:val="en-US"/>
        </w:rPr>
        <w:t>, so that I with such a woman will be source of laughter for all the neighbors</w:t>
      </w:r>
      <w:r w:rsidR="00CC0615">
        <w:rPr>
          <w:lang w:val="en-US"/>
        </w:rPr>
        <w:t>”</w:t>
      </w:r>
      <w:r>
        <w:rPr>
          <w:lang w:val="en-US"/>
        </w:rPr>
        <w:t>) where τοῦτ</w:t>
      </w:r>
      <w:r w:rsidR="00075F5F">
        <w:rPr>
          <w:lang w:val="en-US"/>
        </w:rPr>
        <w:t>’</w:t>
      </w:r>
      <w:r>
        <w:rPr>
          <w:lang w:val="en-US"/>
        </w:rPr>
        <w:t xml:space="preserve"> refers to the other man of Neobule, the direct rival of Archilochus. But this semantic use of οὗτος becomes much clearer in Hipponax, where οὗτος often denotes the target, the outcast whom the poet considers to stand outside the circle of his friends, as shown by Hippon. fr. 69.7 τὸν θεοῖσιν ἐχθρὸν τοῦτον, ὃς κατευδούσης / τῆς μητρὸς ἐσκύλευε τὸν βρύσσον </w:t>
      </w:r>
      <w:r w:rsidR="00CC0615">
        <w:rPr>
          <w:lang w:val="en-US"/>
        </w:rPr>
        <w:t>“</w:t>
      </w:r>
      <w:r>
        <w:rPr>
          <w:lang w:val="en-US"/>
        </w:rPr>
        <w:t>this godforsaken fellow who used to despoil his sleeping mother</w:t>
      </w:r>
      <w:r w:rsidR="00075F5F">
        <w:rPr>
          <w:lang w:val="en-US"/>
        </w:rPr>
        <w:t>’</w:t>
      </w:r>
      <w:r>
        <w:rPr>
          <w:lang w:val="en-US"/>
        </w:rPr>
        <w:t>s sea urchin.</w:t>
      </w:r>
      <w:r w:rsidR="00CC0615">
        <w:rPr>
          <w:lang w:val="en-US"/>
        </w:rPr>
        <w:t>”</w:t>
      </w:r>
      <w:r>
        <w:rPr>
          <w:lang w:val="en-US"/>
        </w:rPr>
        <w:t xml:space="preserve"> The rate o occurence of οὗτος is much higher in Hipponax</w:t>
      </w:r>
      <w:r w:rsidR="00075F5F">
        <w:rPr>
          <w:lang w:val="en-US"/>
        </w:rPr>
        <w:t>’</w:t>
      </w:r>
      <w:r>
        <w:rPr>
          <w:lang w:val="en-US"/>
        </w:rPr>
        <w:t>s lines than in Archilochus</w:t>
      </w:r>
      <w:r w:rsidR="00075F5F">
        <w:rPr>
          <w:lang w:val="en-US"/>
        </w:rPr>
        <w:t>’</w:t>
      </w:r>
      <w:r>
        <w:rPr>
          <w:lang w:val="en-US"/>
        </w:rPr>
        <w:t xml:space="preserve"> ones, and this is deliberate: </w:t>
      </w:r>
      <w:r w:rsidR="00075F5F">
        <w:rPr>
          <w:lang w:val="en-US"/>
        </w:rPr>
        <w:t xml:space="preserve">Hipponax’s </w:t>
      </w:r>
      <w:r>
        <w:rPr>
          <w:lang w:val="en-US"/>
        </w:rPr>
        <w:t>lines are more virulent and aggressive towards the poet</w:t>
      </w:r>
      <w:r w:rsidR="00075F5F">
        <w:rPr>
          <w:lang w:val="en-US"/>
        </w:rPr>
        <w:t>’</w:t>
      </w:r>
      <w:r>
        <w:rPr>
          <w:lang w:val="en-US"/>
        </w:rPr>
        <w:t>s targets when compared to Archilochus</w:t>
      </w:r>
      <w:r w:rsidR="00075F5F">
        <w:rPr>
          <w:lang w:val="en-US"/>
        </w:rPr>
        <w:t>’</w:t>
      </w:r>
      <w:r>
        <w:rPr>
          <w:lang w:val="en-US"/>
        </w:rPr>
        <w:t>. In Hipponax</w:t>
      </w:r>
      <w:r w:rsidR="00075F5F">
        <w:rPr>
          <w:lang w:val="en-US"/>
        </w:rPr>
        <w:t>’</w:t>
      </w:r>
      <w:r>
        <w:rPr>
          <w:lang w:val="en-US"/>
        </w:rPr>
        <w:t xml:space="preserve">s fragments, οὗτος often accompanies nouns which have themselves a negative meaning: for instance, τῆς ἀνοιΐης ταύτης </w:t>
      </w:r>
      <w:r w:rsidR="00CC0615">
        <w:rPr>
          <w:lang w:val="en-US"/>
        </w:rPr>
        <w:t>“</w:t>
      </w:r>
      <w:r>
        <w:rPr>
          <w:lang w:val="en-US"/>
        </w:rPr>
        <w:t>this foolishness</w:t>
      </w:r>
      <w:r w:rsidR="00CC0615">
        <w:rPr>
          <w:lang w:val="en-US"/>
        </w:rPr>
        <w:t>”</w:t>
      </w:r>
      <w:r>
        <w:rPr>
          <w:lang w:val="en-US"/>
        </w:rPr>
        <w:t xml:space="preserve"> (fr. 79.3), ἐχθρὸν τοῦτον </w:t>
      </w:r>
      <w:r w:rsidR="00CC0615">
        <w:rPr>
          <w:lang w:val="en-US"/>
        </w:rPr>
        <w:t>“</w:t>
      </w:r>
      <w:r>
        <w:rPr>
          <w:lang w:val="en-US"/>
        </w:rPr>
        <w:t>this enemy</w:t>
      </w:r>
      <w:r w:rsidR="00CC0615">
        <w:rPr>
          <w:lang w:val="en-US"/>
        </w:rPr>
        <w:t>”</w:t>
      </w:r>
      <w:r>
        <w:rPr>
          <w:lang w:val="en-US"/>
        </w:rPr>
        <w:t xml:space="preserve"> (fr. 69.7),  and τοῦτον / τὸν ἑπτάδουλον </w:t>
      </w:r>
      <w:r w:rsidR="00CC0615">
        <w:rPr>
          <w:lang w:val="en-US"/>
        </w:rPr>
        <w:t>“</w:t>
      </w:r>
      <w:r>
        <w:rPr>
          <w:lang w:val="en-US"/>
        </w:rPr>
        <w:t>this sevenfold slave</w:t>
      </w:r>
      <w:r w:rsidR="00CC0615">
        <w:rPr>
          <w:lang w:val="en-US"/>
        </w:rPr>
        <w:t>”</w:t>
      </w:r>
      <w:r>
        <w:rPr>
          <w:lang w:val="en-US"/>
        </w:rPr>
        <w:t xml:space="preserve"> (fr. 147).</w:t>
      </w:r>
    </w:p>
    <w:p w14:paraId="1EF6D573" w14:textId="573895D4" w:rsidR="00937994" w:rsidRDefault="00937994" w:rsidP="00937994">
      <w:pPr>
        <w:ind w:firstLine="426"/>
        <w:rPr>
          <w:lang w:val="en-US"/>
        </w:rPr>
      </w:pPr>
      <w:r>
        <w:rPr>
          <w:lang w:val="en-US"/>
        </w:rPr>
        <w:t xml:space="preserve">Callimachus, too, adopts the semantics of deictic pronouns of Archilochus and, especially, Hipponax: in </w:t>
      </w:r>
      <w:r>
        <w:rPr>
          <w:i/>
          <w:iCs/>
          <w:lang w:val="en-US"/>
        </w:rPr>
        <w:t>Ia.</w:t>
      </w:r>
      <w:r>
        <w:rPr>
          <w:lang w:val="en-US"/>
        </w:rPr>
        <w:t xml:space="preserve"> 1.78 says οὗτος Ἀλκμέων </w:t>
      </w:r>
      <w:r w:rsidR="00CC0615">
        <w:rPr>
          <w:lang w:val="en-US"/>
        </w:rPr>
        <w:t>“</w:t>
      </w:r>
      <w:r>
        <w:rPr>
          <w:lang w:val="en-US"/>
        </w:rPr>
        <w:t>this Alcmeon</w:t>
      </w:r>
      <w:r w:rsidR="00CC0615">
        <w:rPr>
          <w:lang w:val="en-US"/>
        </w:rPr>
        <w:t>”</w:t>
      </w:r>
      <w:r>
        <w:rPr>
          <w:lang w:val="en-US"/>
        </w:rPr>
        <w:t>; these words open lines of invective, even mutual insult: the matricide Alcmeon is a proverbial example, as is Orestes, of violent insanity throughout Greek poetic history.</w:t>
      </w:r>
      <w:r>
        <w:rPr>
          <w:rStyle w:val="FootnoteReference"/>
          <w:lang w:val="en-US"/>
        </w:rPr>
        <w:footnoteReference w:id="256"/>
      </w:r>
      <w:r>
        <w:rPr>
          <w:lang w:val="en-US"/>
        </w:rPr>
        <w:t xml:space="preserve"> This meaning of οὗτος is a deliberate choice in Call. </w:t>
      </w:r>
      <w:r>
        <w:rPr>
          <w:i/>
          <w:iCs/>
          <w:lang w:val="en-US"/>
        </w:rPr>
        <w:t>Ia.</w:t>
      </w:r>
      <w:r>
        <w:rPr>
          <w:lang w:val="en-US"/>
        </w:rPr>
        <w:t xml:space="preserve"> 1 which puts the character of Hipponax on stage. Again, Callimachus uses οὗτος in his </w:t>
      </w:r>
      <w:r>
        <w:rPr>
          <w:i/>
          <w:iCs/>
          <w:lang w:val="en-US"/>
        </w:rPr>
        <w:t>Iamb</w:t>
      </w:r>
      <w:r w:rsidR="008532F4">
        <w:rPr>
          <w:i/>
          <w:iCs/>
          <w:lang w:val="en-US"/>
        </w:rPr>
        <w:t>us</w:t>
      </w:r>
      <w:r>
        <w:rPr>
          <w:lang w:val="en-US"/>
        </w:rPr>
        <w:t xml:space="preserve"> 13, reporting the accusations which his enemies </w:t>
      </w:r>
      <w:r>
        <w:rPr>
          <w:lang w:val="en-US"/>
        </w:rPr>
        <w:lastRenderedPageBreak/>
        <w:t xml:space="preserve">level against his poetry. The rule which they invoke is indicated by Callimachus as οὗτος: ὁ τεθμὸς οὗτος </w:t>
      </w:r>
      <w:r w:rsidR="00CC0615">
        <w:rPr>
          <w:lang w:val="en-US"/>
        </w:rPr>
        <w:t>“</w:t>
      </w:r>
      <w:r>
        <w:rPr>
          <w:lang w:val="en-US"/>
        </w:rPr>
        <w:t>this rule</w:t>
      </w:r>
      <w:r w:rsidR="00CC0615">
        <w:rPr>
          <w:lang w:val="en-US"/>
        </w:rPr>
        <w:t>”</w:t>
      </w:r>
      <w:r>
        <w:rPr>
          <w:lang w:val="en-US"/>
        </w:rPr>
        <w:t xml:space="preserve"> (</w:t>
      </w:r>
      <w:r>
        <w:rPr>
          <w:i/>
          <w:iCs/>
          <w:lang w:val="en-US"/>
        </w:rPr>
        <w:t>Ia</w:t>
      </w:r>
      <w:r>
        <w:rPr>
          <w:lang w:val="en-US"/>
        </w:rPr>
        <w:t>. 13.41), conveying the idea that Callimachus considers this rule absolutely of no importance for his poetry. Callimachus, following Hipponax</w:t>
      </w:r>
      <w:r w:rsidR="00075F5F">
        <w:rPr>
          <w:lang w:val="en-US"/>
        </w:rPr>
        <w:t>’</w:t>
      </w:r>
      <w:r>
        <w:rPr>
          <w:lang w:val="en-US"/>
        </w:rPr>
        <w:t>s example, uses οὗτος to give his audience a clue of what he really thinks about the rule and those who rebuke him for not following it.</w:t>
      </w:r>
    </w:p>
    <w:p w14:paraId="62D9D3DA" w14:textId="77777777" w:rsidR="006512C4" w:rsidRDefault="006512C4" w:rsidP="00695A7C">
      <w:pPr>
        <w:autoSpaceDE w:val="0"/>
        <w:autoSpaceDN w:val="0"/>
        <w:adjustRightInd w:val="0"/>
        <w:rPr>
          <w:rFonts w:cs="Times New Roman"/>
        </w:rPr>
      </w:pPr>
    </w:p>
    <w:p w14:paraId="75303965" w14:textId="5616DEB6" w:rsidR="002319DF" w:rsidRPr="00130A1C" w:rsidRDefault="002319DF" w:rsidP="00B9119A">
      <w:pPr>
        <w:rPr>
          <w:i/>
          <w:szCs w:val="24"/>
        </w:rPr>
      </w:pPr>
      <w:r w:rsidRPr="00130A1C">
        <w:rPr>
          <w:i/>
          <w:szCs w:val="24"/>
        </w:rPr>
        <w:t>Pragmatics</w:t>
      </w:r>
    </w:p>
    <w:p w14:paraId="59A14FDA" w14:textId="28620E08" w:rsidR="006512C4" w:rsidRDefault="00937994" w:rsidP="0097588B">
      <w:pPr>
        <w:rPr>
          <w:szCs w:val="24"/>
        </w:rPr>
      </w:pPr>
      <w:r>
        <w:rPr>
          <w:lang w:val="en-US"/>
        </w:rPr>
        <w:t>Because iambs were performed, deictic pronouns, adverbs and adjectives have a strong pragmatic use. Holger Diessel</w:t>
      </w:r>
      <w:r>
        <w:rPr>
          <w:rStyle w:val="FootnoteReference"/>
          <w:lang w:val="en-US"/>
        </w:rPr>
        <w:footnoteReference w:id="257"/>
      </w:r>
      <w:r>
        <w:rPr>
          <w:lang w:val="en-US"/>
        </w:rPr>
        <w:t xml:space="preserve"> schematizes the pragmatic uses of demonstratives with the following diagram:</w:t>
      </w:r>
      <w:r w:rsidR="006512C4" w:rsidRPr="0013788D">
        <w:rPr>
          <w:szCs w:val="24"/>
        </w:rPr>
        <w:t xml:space="preserve"> </w:t>
      </w:r>
    </w:p>
    <w:p w14:paraId="1C814021" w14:textId="77777777" w:rsidR="006512C4" w:rsidRDefault="006512C4" w:rsidP="00695A7C">
      <w:pPr>
        <w:spacing w:line="360" w:lineRule="auto"/>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1"/>
        <w:gridCol w:w="1581"/>
        <w:gridCol w:w="1581"/>
        <w:gridCol w:w="1581"/>
        <w:gridCol w:w="1582"/>
      </w:tblGrid>
      <w:tr w:rsidR="006512C4" w14:paraId="1065AB3C" w14:textId="77777777" w:rsidTr="006512C4">
        <w:tc>
          <w:tcPr>
            <w:tcW w:w="1581" w:type="dxa"/>
          </w:tcPr>
          <w:p w14:paraId="2585F4FA" w14:textId="77777777" w:rsidR="006512C4" w:rsidRDefault="006512C4" w:rsidP="00695A7C">
            <w:pPr>
              <w:spacing w:line="360" w:lineRule="auto"/>
              <w:rPr>
                <w:szCs w:val="24"/>
              </w:rPr>
            </w:pPr>
            <w:r>
              <w:rPr>
                <w:noProof/>
                <w:szCs w:val="24"/>
                <w:lang w:val="en-US"/>
              </w:rPr>
              <mc:AlternateContent>
                <mc:Choice Requires="wps">
                  <w:drawing>
                    <wp:anchor distT="0" distB="0" distL="114300" distR="114300" simplePos="0" relativeHeight="251681792" behindDoc="0" locked="0" layoutInCell="1" allowOverlap="1" wp14:anchorId="1510437C" wp14:editId="348FC5F5">
                      <wp:simplePos x="0" y="0"/>
                      <wp:positionH relativeFrom="column">
                        <wp:posOffset>685800</wp:posOffset>
                      </wp:positionH>
                      <wp:positionV relativeFrom="paragraph">
                        <wp:posOffset>205740</wp:posOffset>
                      </wp:positionV>
                      <wp:extent cx="1257300" cy="342900"/>
                      <wp:effectExtent l="50800" t="25400" r="63500" b="88900"/>
                      <wp:wrapNone/>
                      <wp:docPr id="21" name="Straight Connector 21"/>
                      <wp:cNvGraphicFramePr/>
                      <a:graphic xmlns:a="http://schemas.openxmlformats.org/drawingml/2006/main">
                        <a:graphicData uri="http://schemas.microsoft.com/office/word/2010/wordprocessingShape">
                          <wps:wsp>
                            <wps:cNvCnPr/>
                            <wps:spPr>
                              <a:xfrm flipH="1">
                                <a:off x="0" y="0"/>
                                <a:ext cx="1257300" cy="342900"/>
                              </a:xfrm>
                              <a:prstGeom prst="line">
                                <a:avLst/>
                              </a:prstGeom>
                              <a:ln w="3175"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id="Straight Connector 21"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54pt,16.2pt" to="153pt,4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" strokecolor="black [3213]" strokeweight=".25pt">
                      <v:shadow on="t" opacity="24903f" mv:blur="40000f" origin=",.5" offset="0,20000emu"/>
                    </v:line>
                  </w:pict>
                </mc:Fallback>
              </mc:AlternateContent>
            </w:r>
          </w:p>
        </w:tc>
        <w:tc>
          <w:tcPr>
            <w:tcW w:w="3162" w:type="dxa"/>
            <w:gridSpan w:val="2"/>
          </w:tcPr>
          <w:p w14:paraId="1F13DD22" w14:textId="77777777" w:rsidR="006512C4" w:rsidRDefault="006512C4" w:rsidP="00695A7C">
            <w:pPr>
              <w:spacing w:line="360" w:lineRule="auto"/>
              <w:jc w:val="center"/>
              <w:rPr>
                <w:szCs w:val="24"/>
              </w:rPr>
            </w:pPr>
            <w:r>
              <w:rPr>
                <w:noProof/>
                <w:szCs w:val="24"/>
                <w:lang w:val="en-US"/>
              </w:rPr>
              <mc:AlternateContent>
                <mc:Choice Requires="wps">
                  <w:drawing>
                    <wp:anchor distT="0" distB="0" distL="114300" distR="114300" simplePos="0" relativeHeight="251682816" behindDoc="0" locked="0" layoutInCell="1" allowOverlap="1" wp14:anchorId="2147566A" wp14:editId="1B86E630">
                      <wp:simplePos x="0" y="0"/>
                      <wp:positionH relativeFrom="column">
                        <wp:posOffset>939165</wp:posOffset>
                      </wp:positionH>
                      <wp:positionV relativeFrom="paragraph">
                        <wp:posOffset>205740</wp:posOffset>
                      </wp:positionV>
                      <wp:extent cx="1371600" cy="342900"/>
                      <wp:effectExtent l="50800" t="25400" r="76200" b="88900"/>
                      <wp:wrapNone/>
                      <wp:docPr id="22" name="Straight Connector 22"/>
                      <wp:cNvGraphicFramePr/>
                      <a:graphic xmlns:a="http://schemas.openxmlformats.org/drawingml/2006/main">
                        <a:graphicData uri="http://schemas.microsoft.com/office/word/2010/wordprocessingShape">
                          <wps:wsp>
                            <wps:cNvCnPr/>
                            <wps:spPr>
                              <a:xfrm>
                                <a:off x="0" y="0"/>
                                <a:ext cx="1371600" cy="342900"/>
                              </a:xfrm>
                              <a:prstGeom prst="line">
                                <a:avLst/>
                              </a:prstGeom>
                              <a:ln w="3175"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line id="Straight Connector 2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73.95pt,16.2pt" to="181.95pt,4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" strokecolor="black [3213]" strokeweight=".25pt">
                      <v:shadow on="t" opacity="24903f" mv:blur="40000f" origin=",.5" offset="0,20000emu"/>
                    </v:line>
                  </w:pict>
                </mc:Fallback>
              </mc:AlternateContent>
            </w:r>
            <w:r>
              <w:rPr>
                <w:szCs w:val="24"/>
              </w:rPr>
              <w:t>Pragmatic use</w:t>
            </w:r>
          </w:p>
        </w:tc>
        <w:tc>
          <w:tcPr>
            <w:tcW w:w="1581" w:type="dxa"/>
          </w:tcPr>
          <w:p w14:paraId="581731AC" w14:textId="77777777" w:rsidR="006512C4" w:rsidRDefault="006512C4" w:rsidP="00695A7C">
            <w:pPr>
              <w:spacing w:line="360" w:lineRule="auto"/>
              <w:rPr>
                <w:szCs w:val="24"/>
              </w:rPr>
            </w:pPr>
          </w:p>
        </w:tc>
        <w:tc>
          <w:tcPr>
            <w:tcW w:w="1582" w:type="dxa"/>
          </w:tcPr>
          <w:p w14:paraId="0CD988E7" w14:textId="77777777" w:rsidR="006512C4" w:rsidRDefault="006512C4" w:rsidP="00695A7C">
            <w:pPr>
              <w:spacing w:line="360" w:lineRule="auto"/>
              <w:rPr>
                <w:szCs w:val="24"/>
              </w:rPr>
            </w:pPr>
          </w:p>
        </w:tc>
      </w:tr>
      <w:tr w:rsidR="006512C4" w14:paraId="5B8B55EA" w14:textId="77777777" w:rsidTr="006512C4">
        <w:tc>
          <w:tcPr>
            <w:tcW w:w="1581" w:type="dxa"/>
          </w:tcPr>
          <w:p w14:paraId="2766E1CF" w14:textId="77777777" w:rsidR="006512C4" w:rsidRDefault="006512C4" w:rsidP="00695A7C">
            <w:pPr>
              <w:spacing w:line="360" w:lineRule="auto"/>
              <w:rPr>
                <w:szCs w:val="24"/>
              </w:rPr>
            </w:pPr>
          </w:p>
        </w:tc>
        <w:tc>
          <w:tcPr>
            <w:tcW w:w="1581" w:type="dxa"/>
          </w:tcPr>
          <w:p w14:paraId="30F180D7" w14:textId="77777777" w:rsidR="006512C4" w:rsidRDefault="006512C4" w:rsidP="00695A7C">
            <w:pPr>
              <w:spacing w:line="360" w:lineRule="auto"/>
              <w:rPr>
                <w:szCs w:val="24"/>
              </w:rPr>
            </w:pPr>
          </w:p>
        </w:tc>
        <w:tc>
          <w:tcPr>
            <w:tcW w:w="1581" w:type="dxa"/>
          </w:tcPr>
          <w:p w14:paraId="3BE88C40" w14:textId="77777777" w:rsidR="006512C4" w:rsidRDefault="006512C4" w:rsidP="00695A7C">
            <w:pPr>
              <w:spacing w:line="360" w:lineRule="auto"/>
              <w:rPr>
                <w:szCs w:val="24"/>
              </w:rPr>
            </w:pPr>
          </w:p>
        </w:tc>
        <w:tc>
          <w:tcPr>
            <w:tcW w:w="1581" w:type="dxa"/>
          </w:tcPr>
          <w:p w14:paraId="63594C6A" w14:textId="77777777" w:rsidR="006512C4" w:rsidRDefault="006512C4" w:rsidP="00695A7C">
            <w:pPr>
              <w:spacing w:line="360" w:lineRule="auto"/>
              <w:rPr>
                <w:szCs w:val="24"/>
              </w:rPr>
            </w:pPr>
          </w:p>
        </w:tc>
        <w:tc>
          <w:tcPr>
            <w:tcW w:w="1582" w:type="dxa"/>
          </w:tcPr>
          <w:p w14:paraId="73D55E30" w14:textId="77777777" w:rsidR="006512C4" w:rsidRDefault="006512C4" w:rsidP="00695A7C">
            <w:pPr>
              <w:spacing w:line="360" w:lineRule="auto"/>
              <w:rPr>
                <w:szCs w:val="24"/>
              </w:rPr>
            </w:pPr>
          </w:p>
        </w:tc>
      </w:tr>
      <w:tr w:rsidR="006512C4" w14:paraId="7CFA93C8" w14:textId="77777777" w:rsidTr="006512C4">
        <w:tc>
          <w:tcPr>
            <w:tcW w:w="1581" w:type="dxa"/>
          </w:tcPr>
          <w:p w14:paraId="0B6BE33A" w14:textId="77777777" w:rsidR="006512C4" w:rsidRDefault="006512C4" w:rsidP="00695A7C">
            <w:pPr>
              <w:spacing w:line="360" w:lineRule="auto"/>
              <w:jc w:val="center"/>
              <w:rPr>
                <w:szCs w:val="24"/>
              </w:rPr>
            </w:pPr>
            <w:r>
              <w:rPr>
                <w:szCs w:val="24"/>
              </w:rPr>
              <w:t>exophoric</w:t>
            </w:r>
          </w:p>
        </w:tc>
        <w:tc>
          <w:tcPr>
            <w:tcW w:w="1581" w:type="dxa"/>
          </w:tcPr>
          <w:p w14:paraId="44F8ED27" w14:textId="77777777" w:rsidR="006512C4" w:rsidRDefault="006512C4" w:rsidP="00695A7C">
            <w:pPr>
              <w:spacing w:line="360" w:lineRule="auto"/>
              <w:rPr>
                <w:szCs w:val="24"/>
              </w:rPr>
            </w:pPr>
          </w:p>
        </w:tc>
        <w:tc>
          <w:tcPr>
            <w:tcW w:w="1581" w:type="dxa"/>
          </w:tcPr>
          <w:p w14:paraId="1CAEDD24" w14:textId="77777777" w:rsidR="006512C4" w:rsidRDefault="006512C4" w:rsidP="00695A7C">
            <w:pPr>
              <w:spacing w:line="360" w:lineRule="auto"/>
              <w:rPr>
                <w:szCs w:val="24"/>
              </w:rPr>
            </w:pPr>
            <w:r>
              <w:rPr>
                <w:noProof/>
                <w:szCs w:val="24"/>
                <w:lang w:val="en-US"/>
              </w:rPr>
              <mc:AlternateContent>
                <mc:Choice Requires="wps">
                  <w:drawing>
                    <wp:anchor distT="0" distB="0" distL="114300" distR="114300" simplePos="0" relativeHeight="251683840" behindDoc="0" locked="0" layoutInCell="1" allowOverlap="1" wp14:anchorId="2D0464BD" wp14:editId="09EA2DBF">
                      <wp:simplePos x="0" y="0"/>
                      <wp:positionH relativeFrom="column">
                        <wp:posOffset>735330</wp:posOffset>
                      </wp:positionH>
                      <wp:positionV relativeFrom="paragraph">
                        <wp:posOffset>252095</wp:posOffset>
                      </wp:positionV>
                      <wp:extent cx="685800" cy="342900"/>
                      <wp:effectExtent l="50800" t="25400" r="76200" b="88900"/>
                      <wp:wrapNone/>
                      <wp:docPr id="23" name="Straight Connector 23"/>
                      <wp:cNvGraphicFramePr/>
                      <a:graphic xmlns:a="http://schemas.openxmlformats.org/drawingml/2006/main">
                        <a:graphicData uri="http://schemas.microsoft.com/office/word/2010/wordprocessingShape">
                          <wps:wsp>
                            <wps:cNvCnPr/>
                            <wps:spPr>
                              <a:xfrm flipH="1">
                                <a:off x="0" y="0"/>
                                <a:ext cx="685800" cy="342900"/>
                              </a:xfrm>
                              <a:prstGeom prst="line">
                                <a:avLst/>
                              </a:prstGeom>
                              <a:ln w="3175"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id="Straight Connector 23" o:spid="_x0000_s1026" style="position:absolute;flip:x;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pt,19.85pt" to="111.9pt,46.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" strokecolor="black [3213]" strokeweight=".25pt">
                      <v:shadow on="t" opacity="24903f" mv:blur="40000f" origin=",.5" offset="0,20000emu"/>
                    </v:line>
                  </w:pict>
                </mc:Fallback>
              </mc:AlternateContent>
            </w:r>
          </w:p>
        </w:tc>
        <w:tc>
          <w:tcPr>
            <w:tcW w:w="1581" w:type="dxa"/>
          </w:tcPr>
          <w:p w14:paraId="7B667E19" w14:textId="77777777" w:rsidR="006512C4" w:rsidRDefault="006512C4" w:rsidP="00695A7C">
            <w:pPr>
              <w:spacing w:line="360" w:lineRule="auto"/>
              <w:jc w:val="center"/>
              <w:rPr>
                <w:szCs w:val="24"/>
              </w:rPr>
            </w:pPr>
            <w:r>
              <w:rPr>
                <w:noProof/>
                <w:szCs w:val="24"/>
                <w:lang w:val="en-US"/>
              </w:rPr>
              <mc:AlternateContent>
                <mc:Choice Requires="wps">
                  <w:drawing>
                    <wp:anchor distT="0" distB="0" distL="114300" distR="114300" simplePos="0" relativeHeight="251684864" behindDoc="0" locked="0" layoutInCell="1" allowOverlap="1" wp14:anchorId="4756A682" wp14:editId="7C51B057">
                      <wp:simplePos x="0" y="0"/>
                      <wp:positionH relativeFrom="column">
                        <wp:posOffset>417195</wp:posOffset>
                      </wp:positionH>
                      <wp:positionV relativeFrom="paragraph">
                        <wp:posOffset>252095</wp:posOffset>
                      </wp:positionV>
                      <wp:extent cx="800100" cy="342900"/>
                      <wp:effectExtent l="50800" t="25400" r="63500" b="88900"/>
                      <wp:wrapNone/>
                      <wp:docPr id="31" name="Straight Connector 31"/>
                      <wp:cNvGraphicFramePr/>
                      <a:graphic xmlns:a="http://schemas.openxmlformats.org/drawingml/2006/main">
                        <a:graphicData uri="http://schemas.microsoft.com/office/word/2010/wordprocessingShape">
                          <wps:wsp>
                            <wps:cNvCnPr/>
                            <wps:spPr>
                              <a:xfrm>
                                <a:off x="0" y="0"/>
                                <a:ext cx="800100" cy="342900"/>
                              </a:xfrm>
                              <a:prstGeom prst="line">
                                <a:avLst/>
                              </a:prstGeom>
                              <a:ln w="3175"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id="Straight Connector 31"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9.85pt" to="95.85pt,46.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" strokecolor="black [3213]" strokeweight=".25pt">
                      <v:shadow on="t" opacity="24903f" mv:blur="40000f" origin=",.5" offset="0,20000emu"/>
                    </v:line>
                  </w:pict>
                </mc:Fallback>
              </mc:AlternateContent>
            </w:r>
            <w:r>
              <w:rPr>
                <w:noProof/>
                <w:szCs w:val="24"/>
                <w:lang w:val="en-US"/>
              </w:rPr>
              <mc:AlternateContent>
                <mc:Choice Requires="wps">
                  <w:drawing>
                    <wp:anchor distT="0" distB="0" distL="114300" distR="114300" simplePos="0" relativeHeight="251685888" behindDoc="0" locked="0" layoutInCell="1" allowOverlap="1" wp14:anchorId="1975642B" wp14:editId="09C0C6C7">
                      <wp:simplePos x="0" y="0"/>
                      <wp:positionH relativeFrom="column">
                        <wp:posOffset>417195</wp:posOffset>
                      </wp:positionH>
                      <wp:positionV relativeFrom="paragraph">
                        <wp:posOffset>252095</wp:posOffset>
                      </wp:positionV>
                      <wp:extent cx="0" cy="571500"/>
                      <wp:effectExtent l="50800" t="25400" r="76200" b="88900"/>
                      <wp:wrapNone/>
                      <wp:docPr id="32" name="Straight Connector 32"/>
                      <wp:cNvGraphicFramePr/>
                      <a:graphic xmlns:a="http://schemas.openxmlformats.org/drawingml/2006/main">
                        <a:graphicData uri="http://schemas.microsoft.com/office/word/2010/wordprocessingShape">
                          <wps:wsp>
                            <wps:cNvCnPr/>
                            <wps:spPr>
                              <a:xfrm>
                                <a:off x="0" y="0"/>
                                <a:ext cx="0" cy="571500"/>
                              </a:xfrm>
                              <a:prstGeom prst="line">
                                <a:avLst/>
                              </a:prstGeom>
                              <a:ln w="3175" cmpd="sng">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line id="Straight Connector 32"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85pt,19.85pt" to="32.85pt,64.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" strokecolor="black [3213]" strokeweight=".25pt">
                      <v:shadow on="t" opacity="24903f" mv:blur="40000f" origin=",.5" offset="0,20000emu"/>
                    </v:line>
                  </w:pict>
                </mc:Fallback>
              </mc:AlternateContent>
            </w:r>
            <w:r>
              <w:rPr>
                <w:szCs w:val="24"/>
              </w:rPr>
              <w:t>endophoric</w:t>
            </w:r>
          </w:p>
        </w:tc>
        <w:tc>
          <w:tcPr>
            <w:tcW w:w="1582" w:type="dxa"/>
          </w:tcPr>
          <w:p w14:paraId="260084FD" w14:textId="77777777" w:rsidR="006512C4" w:rsidRDefault="006512C4" w:rsidP="00695A7C">
            <w:pPr>
              <w:spacing w:line="360" w:lineRule="auto"/>
              <w:rPr>
                <w:szCs w:val="24"/>
              </w:rPr>
            </w:pPr>
          </w:p>
        </w:tc>
      </w:tr>
      <w:tr w:rsidR="006512C4" w14:paraId="52B73E77" w14:textId="77777777" w:rsidTr="006512C4">
        <w:tc>
          <w:tcPr>
            <w:tcW w:w="1581" w:type="dxa"/>
          </w:tcPr>
          <w:p w14:paraId="34045080" w14:textId="77777777" w:rsidR="006512C4" w:rsidRDefault="006512C4" w:rsidP="00695A7C">
            <w:pPr>
              <w:spacing w:line="360" w:lineRule="auto"/>
              <w:rPr>
                <w:szCs w:val="24"/>
              </w:rPr>
            </w:pPr>
          </w:p>
        </w:tc>
        <w:tc>
          <w:tcPr>
            <w:tcW w:w="1581" w:type="dxa"/>
          </w:tcPr>
          <w:p w14:paraId="24910742" w14:textId="77777777" w:rsidR="006512C4" w:rsidRDefault="006512C4" w:rsidP="00695A7C">
            <w:pPr>
              <w:spacing w:line="360" w:lineRule="auto"/>
              <w:rPr>
                <w:szCs w:val="24"/>
              </w:rPr>
            </w:pPr>
          </w:p>
        </w:tc>
        <w:tc>
          <w:tcPr>
            <w:tcW w:w="1581" w:type="dxa"/>
          </w:tcPr>
          <w:p w14:paraId="6AD030C3" w14:textId="77777777" w:rsidR="006512C4" w:rsidRDefault="006512C4" w:rsidP="00695A7C">
            <w:pPr>
              <w:spacing w:line="360" w:lineRule="auto"/>
              <w:rPr>
                <w:szCs w:val="24"/>
              </w:rPr>
            </w:pPr>
          </w:p>
        </w:tc>
        <w:tc>
          <w:tcPr>
            <w:tcW w:w="1581" w:type="dxa"/>
          </w:tcPr>
          <w:p w14:paraId="4FEB951C" w14:textId="77777777" w:rsidR="006512C4" w:rsidRDefault="006512C4" w:rsidP="00695A7C">
            <w:pPr>
              <w:spacing w:line="360" w:lineRule="auto"/>
              <w:rPr>
                <w:szCs w:val="24"/>
              </w:rPr>
            </w:pPr>
          </w:p>
        </w:tc>
        <w:tc>
          <w:tcPr>
            <w:tcW w:w="1582" w:type="dxa"/>
          </w:tcPr>
          <w:p w14:paraId="1BC43F25" w14:textId="77777777" w:rsidR="006512C4" w:rsidRDefault="006512C4" w:rsidP="00695A7C">
            <w:pPr>
              <w:spacing w:line="360" w:lineRule="auto"/>
              <w:rPr>
                <w:szCs w:val="24"/>
              </w:rPr>
            </w:pPr>
          </w:p>
        </w:tc>
      </w:tr>
      <w:tr w:rsidR="006512C4" w14:paraId="0A83ACF0" w14:textId="77777777" w:rsidTr="006512C4">
        <w:tc>
          <w:tcPr>
            <w:tcW w:w="1581" w:type="dxa"/>
          </w:tcPr>
          <w:p w14:paraId="5AE434C5" w14:textId="77777777" w:rsidR="006512C4" w:rsidRDefault="006512C4" w:rsidP="00695A7C">
            <w:pPr>
              <w:spacing w:line="360" w:lineRule="auto"/>
              <w:rPr>
                <w:szCs w:val="24"/>
              </w:rPr>
            </w:pPr>
          </w:p>
        </w:tc>
        <w:tc>
          <w:tcPr>
            <w:tcW w:w="1581" w:type="dxa"/>
          </w:tcPr>
          <w:p w14:paraId="7FC945BA" w14:textId="77777777" w:rsidR="006512C4" w:rsidRDefault="006512C4" w:rsidP="00695A7C">
            <w:pPr>
              <w:spacing w:line="360" w:lineRule="auto"/>
              <w:rPr>
                <w:szCs w:val="24"/>
              </w:rPr>
            </w:pPr>
          </w:p>
        </w:tc>
        <w:tc>
          <w:tcPr>
            <w:tcW w:w="1581" w:type="dxa"/>
          </w:tcPr>
          <w:p w14:paraId="6784DA71" w14:textId="77777777" w:rsidR="006512C4" w:rsidRDefault="006512C4" w:rsidP="004313B2">
            <w:pPr>
              <w:spacing w:before="120" w:line="360" w:lineRule="auto"/>
              <w:rPr>
                <w:szCs w:val="24"/>
              </w:rPr>
            </w:pPr>
            <w:r>
              <w:rPr>
                <w:szCs w:val="24"/>
              </w:rPr>
              <w:t>recognitional</w:t>
            </w:r>
          </w:p>
        </w:tc>
        <w:tc>
          <w:tcPr>
            <w:tcW w:w="1581" w:type="dxa"/>
          </w:tcPr>
          <w:p w14:paraId="6EBD1437" w14:textId="77777777" w:rsidR="006512C4" w:rsidRDefault="006512C4" w:rsidP="00695A7C">
            <w:pPr>
              <w:spacing w:line="360" w:lineRule="auto"/>
              <w:rPr>
                <w:szCs w:val="24"/>
              </w:rPr>
            </w:pPr>
          </w:p>
        </w:tc>
        <w:tc>
          <w:tcPr>
            <w:tcW w:w="1582" w:type="dxa"/>
          </w:tcPr>
          <w:p w14:paraId="66BD62C9" w14:textId="77777777" w:rsidR="006512C4" w:rsidRDefault="006512C4" w:rsidP="004313B2">
            <w:pPr>
              <w:spacing w:before="120" w:line="360" w:lineRule="auto"/>
              <w:jc w:val="center"/>
              <w:rPr>
                <w:szCs w:val="24"/>
              </w:rPr>
            </w:pPr>
            <w:r>
              <w:rPr>
                <w:szCs w:val="24"/>
              </w:rPr>
              <w:t>anaphoric</w:t>
            </w:r>
          </w:p>
        </w:tc>
      </w:tr>
      <w:tr w:rsidR="006512C4" w14:paraId="0B85E1D6" w14:textId="77777777" w:rsidTr="006512C4">
        <w:tc>
          <w:tcPr>
            <w:tcW w:w="1581" w:type="dxa"/>
          </w:tcPr>
          <w:p w14:paraId="788E2696" w14:textId="77777777" w:rsidR="006512C4" w:rsidRDefault="006512C4" w:rsidP="00695A7C">
            <w:pPr>
              <w:spacing w:line="360" w:lineRule="auto"/>
              <w:rPr>
                <w:szCs w:val="24"/>
              </w:rPr>
            </w:pPr>
          </w:p>
        </w:tc>
        <w:tc>
          <w:tcPr>
            <w:tcW w:w="1581" w:type="dxa"/>
          </w:tcPr>
          <w:p w14:paraId="006B3990" w14:textId="77777777" w:rsidR="006512C4" w:rsidRDefault="006512C4" w:rsidP="00695A7C">
            <w:pPr>
              <w:spacing w:line="360" w:lineRule="auto"/>
              <w:rPr>
                <w:szCs w:val="24"/>
              </w:rPr>
            </w:pPr>
          </w:p>
        </w:tc>
        <w:tc>
          <w:tcPr>
            <w:tcW w:w="1581" w:type="dxa"/>
          </w:tcPr>
          <w:p w14:paraId="2C8C0089" w14:textId="77777777" w:rsidR="006512C4" w:rsidRDefault="006512C4" w:rsidP="00695A7C">
            <w:pPr>
              <w:spacing w:line="360" w:lineRule="auto"/>
              <w:rPr>
                <w:szCs w:val="24"/>
              </w:rPr>
            </w:pPr>
          </w:p>
        </w:tc>
        <w:tc>
          <w:tcPr>
            <w:tcW w:w="1581" w:type="dxa"/>
          </w:tcPr>
          <w:p w14:paraId="11FD5C98" w14:textId="77777777" w:rsidR="006512C4" w:rsidRDefault="006512C4" w:rsidP="004313B2">
            <w:pPr>
              <w:spacing w:line="240" w:lineRule="auto"/>
              <w:jc w:val="center"/>
              <w:rPr>
                <w:szCs w:val="24"/>
              </w:rPr>
            </w:pPr>
            <w:r>
              <w:rPr>
                <w:szCs w:val="24"/>
              </w:rPr>
              <w:t>discourse deixis</w:t>
            </w:r>
          </w:p>
        </w:tc>
        <w:tc>
          <w:tcPr>
            <w:tcW w:w="1582" w:type="dxa"/>
          </w:tcPr>
          <w:p w14:paraId="3FD5E383" w14:textId="77777777" w:rsidR="006512C4" w:rsidRDefault="006512C4" w:rsidP="00695A7C">
            <w:pPr>
              <w:spacing w:line="360" w:lineRule="auto"/>
              <w:rPr>
                <w:szCs w:val="24"/>
              </w:rPr>
            </w:pPr>
          </w:p>
        </w:tc>
      </w:tr>
    </w:tbl>
    <w:p w14:paraId="621F0C86" w14:textId="77777777" w:rsidR="006512C4" w:rsidRPr="0013788D" w:rsidRDefault="006512C4" w:rsidP="00695A7C">
      <w:pPr>
        <w:spacing w:line="360" w:lineRule="auto"/>
        <w:rPr>
          <w:szCs w:val="24"/>
        </w:rPr>
      </w:pPr>
    </w:p>
    <w:p w14:paraId="7DFD58FB" w14:textId="0D968761" w:rsidR="00937994" w:rsidRDefault="00937994" w:rsidP="00B9119A">
      <w:pPr>
        <w:rPr>
          <w:lang w:val="en-US"/>
        </w:rPr>
      </w:pPr>
      <w:r>
        <w:rPr>
          <w:lang w:val="en-US"/>
        </w:rPr>
        <w:t>All demonstratives are either exophoric or endophoric. Exophoric demonstratives refer to non-linguistic entities which can be located within the surrounding speech situation (people, objects, locations); they are used to orient the hearer.</w:t>
      </w:r>
      <w:r>
        <w:rPr>
          <w:rStyle w:val="FootnoteReference"/>
          <w:lang w:val="en-US"/>
        </w:rPr>
        <w:footnoteReference w:id="258"/>
      </w:r>
      <w:r>
        <w:rPr>
          <w:lang w:val="en-US"/>
        </w:rPr>
        <w:t xml:space="preserve"> Endophoric demonstratives, on the other hand, refer to everything else. These can be subdivided into three categories: anaphora, discourse deixis, and recognitional deixis. Diessel defines anaphoric demonstratives as </w:t>
      </w:r>
      <w:r w:rsidR="00CC0615">
        <w:rPr>
          <w:lang w:val="en-US"/>
        </w:rPr>
        <w:t>“</w:t>
      </w:r>
      <w:r>
        <w:rPr>
          <w:lang w:val="en-US"/>
        </w:rPr>
        <w:t>coreferential with a noun phrase in the preceding discourse</w:t>
      </w:r>
      <w:r w:rsidR="00CC0615">
        <w:rPr>
          <w:lang w:val="en-US"/>
        </w:rPr>
        <w:t>”</w:t>
      </w:r>
      <w:r>
        <w:rPr>
          <w:lang w:val="en-US"/>
        </w:rPr>
        <w:t xml:space="preserve"> and discourse deictic demonstratives as referring </w:t>
      </w:r>
      <w:r w:rsidR="00CC0615">
        <w:rPr>
          <w:lang w:val="en-US"/>
        </w:rPr>
        <w:t>“</w:t>
      </w:r>
      <w:r>
        <w:rPr>
          <w:lang w:val="en-US"/>
        </w:rPr>
        <w:t>to a chunk of the surrounding discourse; they express an overt link between two propositions.</w:t>
      </w:r>
      <w:r w:rsidR="00CC0615">
        <w:rPr>
          <w:lang w:val="en-US"/>
        </w:rPr>
        <w:t>”</w:t>
      </w:r>
      <w:r>
        <w:rPr>
          <w:rStyle w:val="FootnoteReference"/>
          <w:lang w:val="en-US"/>
        </w:rPr>
        <w:footnoteReference w:id="259"/>
      </w:r>
      <w:r>
        <w:rPr>
          <w:lang w:val="en-US"/>
        </w:rPr>
        <w:t xml:space="preserve"> Recognitional demonstratives refer to demonstratives which indicate that the speaker and the hearer are familiar with the referent without it having been previously expressed.</w:t>
      </w:r>
      <w:r>
        <w:rPr>
          <w:rStyle w:val="FootnoteReference"/>
          <w:lang w:val="en-US"/>
        </w:rPr>
        <w:footnoteReference w:id="260"/>
      </w:r>
    </w:p>
    <w:p w14:paraId="7B4B8DE4" w14:textId="7BDCBCC1" w:rsidR="00937994" w:rsidRDefault="00937994" w:rsidP="0097588B">
      <w:pPr>
        <w:ind w:firstLine="425"/>
        <w:rPr>
          <w:lang w:val="en-US"/>
        </w:rPr>
      </w:pPr>
      <w:r>
        <w:rPr>
          <w:lang w:val="en-US"/>
        </w:rPr>
        <w:lastRenderedPageBreak/>
        <w:t>All three iambographers show instances of both exophoric and endophoric uses of demonstratives, but they differ in the kind of deixis that these uses create. Comparing the pragmatic uses of demonstratives to Bühler</w:t>
      </w:r>
      <w:r w:rsidR="00075F5F">
        <w:rPr>
          <w:lang w:val="en-US"/>
        </w:rPr>
        <w:t>’</w:t>
      </w:r>
      <w:r>
        <w:rPr>
          <w:lang w:val="en-US"/>
        </w:rPr>
        <w:t xml:space="preserve">s categories of deixis, it is possible to say that </w:t>
      </w:r>
      <w:r>
        <w:rPr>
          <w:i/>
          <w:iCs/>
          <w:lang w:val="en-US"/>
        </w:rPr>
        <w:t>demonstratio ad oculos</w:t>
      </w:r>
      <w:r>
        <w:rPr>
          <w:lang w:val="en-US"/>
        </w:rPr>
        <w:t xml:space="preserve"> and </w:t>
      </w:r>
      <w:r>
        <w:rPr>
          <w:i/>
          <w:iCs/>
          <w:lang w:val="en-US"/>
        </w:rPr>
        <w:t>Deixis am Phantasma</w:t>
      </w:r>
      <w:r>
        <w:rPr>
          <w:lang w:val="en-US"/>
        </w:rPr>
        <w:t xml:space="preserve"> imply an exophoric use of demonstratives, while </w:t>
      </w:r>
      <w:r w:rsidR="00CB1276" w:rsidRPr="00D10A84">
        <w:rPr>
          <w:i/>
          <w:lang w:val="en-US"/>
        </w:rPr>
        <w:t>Α</w:t>
      </w:r>
      <w:r w:rsidRPr="00CB1276">
        <w:rPr>
          <w:i/>
          <w:iCs/>
          <w:lang w:val="en-US"/>
        </w:rPr>
        <w:t>naphora</w:t>
      </w:r>
      <w:r>
        <w:rPr>
          <w:lang w:val="en-US"/>
        </w:rPr>
        <w:t xml:space="preserve"> clearly corresponds to an endophoric use of demonstratives. Moreover, within Bühler</w:t>
      </w:r>
      <w:r w:rsidR="00075F5F">
        <w:rPr>
          <w:lang w:val="en-US"/>
        </w:rPr>
        <w:t>’</w:t>
      </w:r>
      <w:r>
        <w:rPr>
          <w:lang w:val="en-US"/>
        </w:rPr>
        <w:t xml:space="preserve">s category of </w:t>
      </w:r>
      <w:r w:rsidRPr="009877AA">
        <w:rPr>
          <w:i/>
          <w:iCs/>
          <w:lang w:val="en-US"/>
        </w:rPr>
        <w:t>Anaphora</w:t>
      </w:r>
      <w:r>
        <w:rPr>
          <w:lang w:val="en-US"/>
        </w:rPr>
        <w:t xml:space="preserve">, we can distinguish when </w:t>
      </w:r>
      <w:r>
        <w:rPr>
          <w:i/>
          <w:iCs/>
          <w:lang w:val="en-US"/>
        </w:rPr>
        <w:t>Anaphora</w:t>
      </w:r>
      <w:r>
        <w:rPr>
          <w:lang w:val="en-US"/>
        </w:rPr>
        <w:t xml:space="preserve"> refers to something shared by both the speaker and the hearer without need of being previously said (recognitional); or to a chunk of discourse (discourse deixis); or to a noun phrase (anaphoric). </w:t>
      </w:r>
    </w:p>
    <w:p w14:paraId="1C8F55A6" w14:textId="28FC9AF9" w:rsidR="00937994" w:rsidRDefault="00937994" w:rsidP="00937994">
      <w:pPr>
        <w:ind w:firstLine="426"/>
        <w:rPr>
          <w:lang w:val="en-US"/>
        </w:rPr>
      </w:pPr>
      <w:r>
        <w:rPr>
          <w:lang w:val="en-US"/>
        </w:rPr>
        <w:t>Archilo</w:t>
      </w:r>
      <w:r w:rsidR="00075F5F">
        <w:rPr>
          <w:lang w:val="en-US"/>
        </w:rPr>
        <w:t>chus’</w:t>
      </w:r>
      <w:r>
        <w:rPr>
          <w:lang w:val="en-US"/>
        </w:rPr>
        <w:t xml:space="preserve"> fragments have two kinds of deixis: </w:t>
      </w:r>
      <w:r>
        <w:rPr>
          <w:i/>
          <w:iCs/>
          <w:lang w:val="en-US"/>
        </w:rPr>
        <w:t>demonstratio ad oculos</w:t>
      </w:r>
      <w:r>
        <w:rPr>
          <w:lang w:val="en-US"/>
        </w:rPr>
        <w:t xml:space="preserve"> and </w:t>
      </w:r>
      <w:r>
        <w:rPr>
          <w:i/>
          <w:iCs/>
          <w:lang w:val="en-US"/>
        </w:rPr>
        <w:t>Anaphora</w:t>
      </w:r>
      <w:r>
        <w:rPr>
          <w:lang w:val="en-US"/>
        </w:rPr>
        <w:t>. The first category is expressed through exophoric uses of demonstratives, while the second is expressed through endophoric uses of demonstratives, which are often recognitional or anaphoric.</w:t>
      </w:r>
    </w:p>
    <w:p w14:paraId="41D5717C" w14:textId="6B56136E" w:rsidR="00937994" w:rsidRDefault="00937994" w:rsidP="00937994">
      <w:pPr>
        <w:ind w:firstLine="426"/>
        <w:rPr>
          <w:lang w:val="en-US"/>
        </w:rPr>
      </w:pPr>
      <w:r>
        <w:rPr>
          <w:lang w:val="en-US"/>
        </w:rPr>
        <w:t>Hipponax</w:t>
      </w:r>
      <w:r w:rsidR="00075F5F">
        <w:rPr>
          <w:lang w:val="en-US"/>
        </w:rPr>
        <w:t>’</w:t>
      </w:r>
      <w:r>
        <w:rPr>
          <w:lang w:val="en-US"/>
        </w:rPr>
        <w:t xml:space="preserve">s fragments usually use exophoric demonstratives to create </w:t>
      </w:r>
      <w:r>
        <w:rPr>
          <w:i/>
          <w:iCs/>
          <w:lang w:val="en-US"/>
        </w:rPr>
        <w:t>demonstratio ad oculos</w:t>
      </w:r>
      <w:r>
        <w:rPr>
          <w:lang w:val="en-US"/>
        </w:rPr>
        <w:t xml:space="preserve">, even if there are few instances of </w:t>
      </w:r>
      <w:r>
        <w:rPr>
          <w:i/>
          <w:iCs/>
          <w:lang w:val="en-US"/>
        </w:rPr>
        <w:t>Deixis am Phantasma</w:t>
      </w:r>
      <w:r>
        <w:rPr>
          <w:lang w:val="en-US"/>
        </w:rPr>
        <w:t xml:space="preserve">; while he uses endophoric demonstratives to create </w:t>
      </w:r>
      <w:r>
        <w:rPr>
          <w:i/>
          <w:iCs/>
          <w:lang w:val="en-US"/>
        </w:rPr>
        <w:t>Anaphora</w:t>
      </w:r>
      <w:r>
        <w:rPr>
          <w:lang w:val="en-US"/>
        </w:rPr>
        <w:t>, which is, as in Archilochus</w:t>
      </w:r>
      <w:r w:rsidR="00075F5F">
        <w:rPr>
          <w:lang w:val="en-US"/>
        </w:rPr>
        <w:t>’</w:t>
      </w:r>
      <w:r>
        <w:rPr>
          <w:lang w:val="en-US"/>
        </w:rPr>
        <w:t xml:space="preserve"> fragments, either recognitional or anaphoric.</w:t>
      </w:r>
    </w:p>
    <w:p w14:paraId="346F7405" w14:textId="77777777" w:rsidR="00937994" w:rsidRDefault="00937994" w:rsidP="00937994">
      <w:pPr>
        <w:ind w:firstLine="426"/>
        <w:rPr>
          <w:lang w:val="en-US"/>
        </w:rPr>
      </w:pPr>
      <w:r>
        <w:rPr>
          <w:lang w:val="en-US"/>
        </w:rPr>
        <w:t xml:space="preserve">Finally, Callimachus uses exophoric demonstratives to create </w:t>
      </w:r>
      <w:r>
        <w:rPr>
          <w:i/>
          <w:iCs/>
          <w:lang w:val="en-US"/>
        </w:rPr>
        <w:t>Deixis am Phantasma</w:t>
      </w:r>
      <w:r>
        <w:rPr>
          <w:lang w:val="en-US"/>
        </w:rPr>
        <w:t xml:space="preserve">, and he uses endophoric demonstratives to convey especially discourse and anaphoric deixis. </w:t>
      </w:r>
    </w:p>
    <w:p w14:paraId="4428FC2B" w14:textId="5D918017" w:rsidR="006512C4" w:rsidRDefault="00937994" w:rsidP="008532F4">
      <w:pPr>
        <w:autoSpaceDE w:val="0"/>
        <w:autoSpaceDN w:val="0"/>
        <w:adjustRightInd w:val="0"/>
        <w:ind w:firstLine="426"/>
        <w:rPr>
          <w:rFonts w:cs="Times New Roman"/>
        </w:rPr>
      </w:pPr>
      <w:r>
        <w:rPr>
          <w:lang w:val="en-US"/>
        </w:rPr>
        <w:t xml:space="preserve">Broadly speaking, all the endophoric uses of deictic pronouns convey the deictic category of </w:t>
      </w:r>
      <w:r w:rsidRPr="00D10A84">
        <w:rPr>
          <w:i/>
          <w:lang w:val="en-US"/>
        </w:rPr>
        <w:t>Anaphora</w:t>
      </w:r>
      <w:r>
        <w:rPr>
          <w:lang w:val="en-US"/>
        </w:rPr>
        <w:t>. I assume that Archilochus</w:t>
      </w:r>
      <w:r w:rsidR="00075F5F">
        <w:rPr>
          <w:lang w:val="en-US"/>
        </w:rPr>
        <w:t>’</w:t>
      </w:r>
      <w:r>
        <w:rPr>
          <w:lang w:val="en-US"/>
        </w:rPr>
        <w:t xml:space="preserve"> and Hipponax</w:t>
      </w:r>
      <w:r w:rsidR="00075F5F">
        <w:rPr>
          <w:lang w:val="en-US"/>
        </w:rPr>
        <w:t>’</w:t>
      </w:r>
      <w:r>
        <w:rPr>
          <w:lang w:val="en-US"/>
        </w:rPr>
        <w:t xml:space="preserve">s </w:t>
      </w:r>
      <w:r w:rsidRPr="00D10A84">
        <w:rPr>
          <w:i/>
          <w:lang w:val="en-US"/>
        </w:rPr>
        <w:t xml:space="preserve">Anaphora </w:t>
      </w:r>
      <w:r>
        <w:rPr>
          <w:lang w:val="en-US"/>
        </w:rPr>
        <w:t>might be recognitional or anaphoric, while Callimachus</w:t>
      </w:r>
      <w:r w:rsidR="00075F5F">
        <w:rPr>
          <w:lang w:val="en-US"/>
        </w:rPr>
        <w:t>’</w:t>
      </w:r>
      <w:r>
        <w:rPr>
          <w:lang w:val="en-US"/>
        </w:rPr>
        <w:t xml:space="preserve"> </w:t>
      </w:r>
      <w:r w:rsidRPr="00D10A84">
        <w:rPr>
          <w:i/>
          <w:lang w:val="en-US"/>
        </w:rPr>
        <w:t>Anaphora</w:t>
      </w:r>
      <w:r>
        <w:rPr>
          <w:lang w:val="en-US"/>
        </w:rPr>
        <w:t xml:space="preserve"> is discourse deixis and anaphoric. On the one hand, archaic iambographers, particularly Archilochus, often speak with the first plural person (we), implying a shared background knowledge between them and their audience: thus, I suppose that often </w:t>
      </w:r>
      <w:r w:rsidRPr="00D10A84">
        <w:rPr>
          <w:i/>
          <w:lang w:val="en-US"/>
        </w:rPr>
        <w:t>Anaphora</w:t>
      </w:r>
      <w:r>
        <w:rPr>
          <w:lang w:val="en-US"/>
        </w:rPr>
        <w:t xml:space="preserve"> is recognitional. On the other hand, Callimachus composes his </w:t>
      </w:r>
      <w:r>
        <w:rPr>
          <w:i/>
          <w:iCs/>
          <w:lang w:val="en-US"/>
        </w:rPr>
        <w:t>Iambi</w:t>
      </w:r>
      <w:r>
        <w:rPr>
          <w:lang w:val="en-US"/>
        </w:rPr>
        <w:t xml:space="preserve"> through the medium of writing and, above all, is aware that his audience will eventually be able to read them. Thus he can use discourse deixis, where deictic pronouns refer to entire (and long) chunks of discourse. Therefore the pragmatic use of demonstratives in Archilochus</w:t>
      </w:r>
      <w:r w:rsidR="00075F5F">
        <w:rPr>
          <w:lang w:val="en-US"/>
        </w:rPr>
        <w:t>’</w:t>
      </w:r>
      <w:r>
        <w:rPr>
          <w:lang w:val="en-US"/>
        </w:rPr>
        <w:t>, Hipponax</w:t>
      </w:r>
      <w:r w:rsidR="00075F5F">
        <w:rPr>
          <w:lang w:val="en-US"/>
        </w:rPr>
        <w:t>’</w:t>
      </w:r>
      <w:r>
        <w:rPr>
          <w:lang w:val="en-US"/>
        </w:rPr>
        <w:t>, and Callimachus</w:t>
      </w:r>
      <w:r w:rsidR="00075F5F">
        <w:rPr>
          <w:lang w:val="en-US"/>
        </w:rPr>
        <w:t>’</w:t>
      </w:r>
      <w:r>
        <w:rPr>
          <w:lang w:val="en-US"/>
        </w:rPr>
        <w:t xml:space="preserve"> fragments can be summed up in the following table:</w:t>
      </w:r>
    </w:p>
    <w:p w14:paraId="735EDD60" w14:textId="77777777" w:rsidR="006512C4" w:rsidRDefault="006512C4" w:rsidP="00695A7C">
      <w:pPr>
        <w:autoSpaceDE w:val="0"/>
        <w:autoSpaceDN w:val="0"/>
        <w:adjustRightInd w:val="0"/>
        <w:ind w:firstLine="426"/>
        <w:rPr>
          <w:rFonts w:cs="Times New Roman"/>
        </w:rPr>
      </w:pPr>
    </w:p>
    <w:tbl>
      <w:tblPr>
        <w:tblStyle w:val="TableGrid"/>
        <w:tblW w:w="4576" w:type="pct"/>
        <w:tblInd w:w="675" w:type="dxa"/>
        <w:tblLook w:val="04A0" w:firstRow="1" w:lastRow="0" w:firstColumn="1" w:lastColumn="0" w:noHBand="0" w:noVBand="1"/>
      </w:tblPr>
      <w:tblGrid>
        <w:gridCol w:w="1479"/>
        <w:gridCol w:w="2856"/>
        <w:gridCol w:w="3792"/>
      </w:tblGrid>
      <w:tr w:rsidR="00F8468B" w14:paraId="522D40CB" w14:textId="77777777" w:rsidTr="00B9119A">
        <w:tc>
          <w:tcPr>
            <w:tcW w:w="910" w:type="pct"/>
            <w:vMerge w:val="restart"/>
          </w:tcPr>
          <w:p w14:paraId="195FB153" w14:textId="77777777" w:rsidR="006512C4" w:rsidRDefault="006512C4" w:rsidP="008532F4">
            <w:pPr>
              <w:autoSpaceDE w:val="0"/>
              <w:autoSpaceDN w:val="0"/>
              <w:adjustRightInd w:val="0"/>
              <w:spacing w:before="100" w:after="100" w:line="240" w:lineRule="auto"/>
              <w:rPr>
                <w:rFonts w:cs="Times New Roman"/>
              </w:rPr>
            </w:pPr>
          </w:p>
        </w:tc>
        <w:tc>
          <w:tcPr>
            <w:tcW w:w="4090" w:type="pct"/>
            <w:gridSpan w:val="2"/>
          </w:tcPr>
          <w:p w14:paraId="072283F7" w14:textId="77777777" w:rsidR="006512C4" w:rsidRDefault="006512C4" w:rsidP="009D3F3F">
            <w:pPr>
              <w:autoSpaceDE w:val="0"/>
              <w:autoSpaceDN w:val="0"/>
              <w:adjustRightInd w:val="0"/>
              <w:spacing w:before="100" w:after="100" w:line="240" w:lineRule="auto"/>
              <w:jc w:val="center"/>
              <w:rPr>
                <w:rFonts w:cs="Times New Roman"/>
              </w:rPr>
            </w:pPr>
            <w:r>
              <w:rPr>
                <w:rFonts w:cs="Times New Roman"/>
              </w:rPr>
              <w:t>Pragmatic uses of demonstratives</w:t>
            </w:r>
          </w:p>
        </w:tc>
      </w:tr>
      <w:tr w:rsidR="00F8468B" w14:paraId="2871E3EB" w14:textId="77777777" w:rsidTr="00B9119A">
        <w:tc>
          <w:tcPr>
            <w:tcW w:w="910" w:type="pct"/>
            <w:vMerge/>
          </w:tcPr>
          <w:p w14:paraId="2D1B9014" w14:textId="77777777" w:rsidR="006512C4" w:rsidRDefault="006512C4">
            <w:pPr>
              <w:autoSpaceDE w:val="0"/>
              <w:autoSpaceDN w:val="0"/>
              <w:adjustRightInd w:val="0"/>
              <w:spacing w:before="100" w:after="100" w:line="240" w:lineRule="auto"/>
              <w:rPr>
                <w:rFonts w:cs="Times New Roman"/>
              </w:rPr>
            </w:pPr>
          </w:p>
        </w:tc>
        <w:tc>
          <w:tcPr>
            <w:tcW w:w="1757" w:type="pct"/>
          </w:tcPr>
          <w:p w14:paraId="15730B10" w14:textId="77777777" w:rsidR="006512C4" w:rsidRDefault="006512C4" w:rsidP="0097588B">
            <w:pPr>
              <w:autoSpaceDE w:val="0"/>
              <w:autoSpaceDN w:val="0"/>
              <w:adjustRightInd w:val="0"/>
              <w:spacing w:before="100" w:after="100" w:line="240" w:lineRule="auto"/>
              <w:jc w:val="center"/>
              <w:rPr>
                <w:rFonts w:cs="Times New Roman"/>
                <w:i/>
                <w:iCs/>
                <w:color w:val="243F60" w:themeColor="accent1" w:themeShade="7F"/>
              </w:rPr>
            </w:pPr>
            <w:r>
              <w:rPr>
                <w:rFonts w:cs="Times New Roman"/>
              </w:rPr>
              <w:t>exophoric</w:t>
            </w:r>
          </w:p>
        </w:tc>
        <w:tc>
          <w:tcPr>
            <w:tcW w:w="2333" w:type="pct"/>
          </w:tcPr>
          <w:p w14:paraId="797C1656" w14:textId="77777777" w:rsidR="006512C4" w:rsidRDefault="006512C4" w:rsidP="0097588B">
            <w:pPr>
              <w:autoSpaceDE w:val="0"/>
              <w:autoSpaceDN w:val="0"/>
              <w:adjustRightInd w:val="0"/>
              <w:spacing w:before="100" w:after="100" w:line="240" w:lineRule="auto"/>
              <w:jc w:val="center"/>
              <w:rPr>
                <w:rFonts w:cs="Times New Roman"/>
                <w:i/>
                <w:iCs/>
                <w:color w:val="243F60" w:themeColor="accent1" w:themeShade="7F"/>
              </w:rPr>
            </w:pPr>
            <w:r>
              <w:rPr>
                <w:rFonts w:cs="Times New Roman"/>
              </w:rPr>
              <w:t>endophoric</w:t>
            </w:r>
          </w:p>
        </w:tc>
      </w:tr>
      <w:tr w:rsidR="00F8468B" w14:paraId="68FDFDF1" w14:textId="77777777" w:rsidTr="00B9119A">
        <w:tc>
          <w:tcPr>
            <w:tcW w:w="910" w:type="pct"/>
          </w:tcPr>
          <w:p w14:paraId="34417FD2" w14:textId="77777777" w:rsidR="006512C4" w:rsidRDefault="006512C4" w:rsidP="008532F4">
            <w:pPr>
              <w:autoSpaceDE w:val="0"/>
              <w:autoSpaceDN w:val="0"/>
              <w:adjustRightInd w:val="0"/>
              <w:spacing w:before="100" w:after="100" w:line="240" w:lineRule="auto"/>
              <w:rPr>
                <w:rFonts w:cs="Times New Roman"/>
              </w:rPr>
            </w:pPr>
            <w:r>
              <w:rPr>
                <w:rFonts w:cs="Times New Roman"/>
              </w:rPr>
              <w:lastRenderedPageBreak/>
              <w:t>Archilochus</w:t>
            </w:r>
          </w:p>
        </w:tc>
        <w:tc>
          <w:tcPr>
            <w:tcW w:w="1757" w:type="pct"/>
          </w:tcPr>
          <w:p w14:paraId="4FD15FC6" w14:textId="77777777" w:rsidR="006512C4" w:rsidRPr="00BC5C32" w:rsidRDefault="006512C4" w:rsidP="009D3F3F">
            <w:pPr>
              <w:autoSpaceDE w:val="0"/>
              <w:autoSpaceDN w:val="0"/>
              <w:adjustRightInd w:val="0"/>
              <w:spacing w:before="100" w:after="100" w:line="240" w:lineRule="auto"/>
              <w:jc w:val="left"/>
              <w:rPr>
                <w:rFonts w:cs="Times New Roman"/>
                <w:i/>
              </w:rPr>
            </w:pPr>
            <w:r w:rsidRPr="00BC5C32">
              <w:rPr>
                <w:rFonts w:cs="Times New Roman"/>
                <w:i/>
              </w:rPr>
              <w:t>demonstratio ad oculos</w:t>
            </w:r>
          </w:p>
        </w:tc>
        <w:tc>
          <w:tcPr>
            <w:tcW w:w="2333" w:type="pct"/>
          </w:tcPr>
          <w:p w14:paraId="2E540985" w14:textId="1C2A2993" w:rsidR="006512C4" w:rsidRDefault="006512C4" w:rsidP="0097588B">
            <w:pPr>
              <w:autoSpaceDE w:val="0"/>
              <w:autoSpaceDN w:val="0"/>
              <w:adjustRightInd w:val="0"/>
              <w:spacing w:before="100" w:after="100" w:line="240" w:lineRule="auto"/>
              <w:jc w:val="left"/>
              <w:rPr>
                <w:rFonts w:cs="Times New Roman"/>
                <w:i/>
                <w:iCs/>
                <w:color w:val="243F60" w:themeColor="accent1" w:themeShade="7F"/>
              </w:rPr>
            </w:pPr>
            <w:r w:rsidRPr="00BC5C32">
              <w:rPr>
                <w:rFonts w:cs="Times New Roman"/>
                <w:i/>
              </w:rPr>
              <w:t>Anaphora</w:t>
            </w:r>
            <w:r>
              <w:rPr>
                <w:rFonts w:cs="Times New Roman"/>
                <w:i/>
              </w:rPr>
              <w:t xml:space="preserve">: </w:t>
            </w:r>
            <w:r w:rsidR="00A1447B">
              <w:rPr>
                <w:rFonts w:cs="Times New Roman"/>
                <w:i/>
              </w:rPr>
              <w:br/>
            </w:r>
            <w:r w:rsidRPr="00D968CD">
              <w:rPr>
                <w:rFonts w:cs="Times New Roman"/>
              </w:rPr>
              <w:t>recognitional and anaphoric</w:t>
            </w:r>
          </w:p>
        </w:tc>
      </w:tr>
      <w:tr w:rsidR="00F8468B" w14:paraId="46831C44" w14:textId="77777777" w:rsidTr="00B9119A">
        <w:tc>
          <w:tcPr>
            <w:tcW w:w="910" w:type="pct"/>
          </w:tcPr>
          <w:p w14:paraId="73040374" w14:textId="77777777" w:rsidR="006512C4" w:rsidRDefault="006512C4" w:rsidP="008532F4">
            <w:pPr>
              <w:autoSpaceDE w:val="0"/>
              <w:autoSpaceDN w:val="0"/>
              <w:adjustRightInd w:val="0"/>
              <w:spacing w:before="100" w:after="100" w:line="240" w:lineRule="auto"/>
              <w:rPr>
                <w:rFonts w:cs="Times New Roman"/>
              </w:rPr>
            </w:pPr>
            <w:r>
              <w:rPr>
                <w:rFonts w:cs="Times New Roman"/>
              </w:rPr>
              <w:t>Hipponax</w:t>
            </w:r>
          </w:p>
        </w:tc>
        <w:tc>
          <w:tcPr>
            <w:tcW w:w="1757" w:type="pct"/>
          </w:tcPr>
          <w:p w14:paraId="7C057179" w14:textId="2068AD14" w:rsidR="006512C4" w:rsidRDefault="006512C4" w:rsidP="009D3F3F">
            <w:pPr>
              <w:autoSpaceDE w:val="0"/>
              <w:autoSpaceDN w:val="0"/>
              <w:adjustRightInd w:val="0"/>
              <w:spacing w:before="100" w:after="100" w:line="240" w:lineRule="auto"/>
              <w:jc w:val="left"/>
              <w:rPr>
                <w:rFonts w:cs="Times New Roman"/>
              </w:rPr>
            </w:pPr>
            <w:r>
              <w:rPr>
                <w:rFonts w:cs="Times New Roman"/>
                <w:i/>
              </w:rPr>
              <w:t>demonstratio</w:t>
            </w:r>
            <w:r w:rsidRPr="00BC5C32">
              <w:rPr>
                <w:rFonts w:cs="Times New Roman"/>
                <w:i/>
              </w:rPr>
              <w:t xml:space="preserve"> ad oculos</w:t>
            </w:r>
            <w:r w:rsidR="002319DF">
              <w:rPr>
                <w:rFonts w:cs="Times New Roman"/>
              </w:rPr>
              <w:br/>
            </w:r>
            <w:r>
              <w:rPr>
                <w:rFonts w:cs="Times New Roman"/>
              </w:rPr>
              <w:t>(</w:t>
            </w:r>
            <w:r w:rsidRPr="00BC5C32">
              <w:rPr>
                <w:rFonts w:cs="Times New Roman"/>
                <w:i/>
              </w:rPr>
              <w:t>Deixis am Phanstasma</w:t>
            </w:r>
            <w:r>
              <w:rPr>
                <w:rFonts w:cs="Times New Roman"/>
              </w:rPr>
              <w:t>)</w:t>
            </w:r>
          </w:p>
        </w:tc>
        <w:tc>
          <w:tcPr>
            <w:tcW w:w="2333" w:type="pct"/>
          </w:tcPr>
          <w:p w14:paraId="77DF245E" w14:textId="3FB4F50F" w:rsidR="006512C4" w:rsidRDefault="006512C4" w:rsidP="0097588B">
            <w:pPr>
              <w:autoSpaceDE w:val="0"/>
              <w:autoSpaceDN w:val="0"/>
              <w:adjustRightInd w:val="0"/>
              <w:spacing w:before="100" w:after="100" w:line="240" w:lineRule="auto"/>
              <w:jc w:val="left"/>
              <w:rPr>
                <w:rFonts w:cs="Times New Roman"/>
                <w:i/>
                <w:iCs/>
                <w:color w:val="243F60" w:themeColor="accent1" w:themeShade="7F"/>
              </w:rPr>
            </w:pPr>
            <w:r w:rsidRPr="00BC5C32">
              <w:rPr>
                <w:rFonts w:cs="Times New Roman"/>
                <w:i/>
              </w:rPr>
              <w:t>Anaphora</w:t>
            </w:r>
            <w:r>
              <w:rPr>
                <w:rFonts w:cs="Times New Roman"/>
                <w:i/>
              </w:rPr>
              <w:t xml:space="preserve">: </w:t>
            </w:r>
            <w:r w:rsidR="00A1447B">
              <w:rPr>
                <w:rFonts w:cs="Times New Roman"/>
                <w:i/>
              </w:rPr>
              <w:br/>
            </w:r>
            <w:r w:rsidRPr="00D968CD">
              <w:rPr>
                <w:rFonts w:cs="Times New Roman"/>
              </w:rPr>
              <w:t>recognitional and anaphoric</w:t>
            </w:r>
          </w:p>
        </w:tc>
      </w:tr>
      <w:tr w:rsidR="00F8468B" w14:paraId="7697F748" w14:textId="77777777" w:rsidTr="00B9119A">
        <w:tc>
          <w:tcPr>
            <w:tcW w:w="910" w:type="pct"/>
          </w:tcPr>
          <w:p w14:paraId="2EE028C2" w14:textId="77777777" w:rsidR="006512C4" w:rsidRDefault="006512C4" w:rsidP="008532F4">
            <w:pPr>
              <w:autoSpaceDE w:val="0"/>
              <w:autoSpaceDN w:val="0"/>
              <w:adjustRightInd w:val="0"/>
              <w:spacing w:before="100" w:after="100" w:line="240" w:lineRule="auto"/>
              <w:rPr>
                <w:rFonts w:cs="Times New Roman"/>
              </w:rPr>
            </w:pPr>
            <w:r>
              <w:rPr>
                <w:rFonts w:cs="Times New Roman"/>
              </w:rPr>
              <w:t>Callimachus</w:t>
            </w:r>
          </w:p>
        </w:tc>
        <w:tc>
          <w:tcPr>
            <w:tcW w:w="1757" w:type="pct"/>
          </w:tcPr>
          <w:p w14:paraId="523CE321" w14:textId="33516FB5" w:rsidR="006512C4" w:rsidRPr="00BC5C32" w:rsidRDefault="006512C4" w:rsidP="009D3F3F">
            <w:pPr>
              <w:autoSpaceDE w:val="0"/>
              <w:autoSpaceDN w:val="0"/>
              <w:adjustRightInd w:val="0"/>
              <w:spacing w:before="100" w:after="100" w:line="240" w:lineRule="auto"/>
              <w:jc w:val="left"/>
              <w:rPr>
                <w:rFonts w:cs="Times New Roman"/>
                <w:i/>
              </w:rPr>
            </w:pPr>
            <w:r>
              <w:rPr>
                <w:rFonts w:cs="Times New Roman"/>
                <w:i/>
              </w:rPr>
              <w:t>(demonstratio ad oculos)</w:t>
            </w:r>
            <w:r w:rsidR="002319DF">
              <w:rPr>
                <w:rFonts w:cs="Times New Roman"/>
                <w:i/>
              </w:rPr>
              <w:br/>
            </w:r>
            <w:r w:rsidRPr="00BC5C32">
              <w:rPr>
                <w:rFonts w:cs="Times New Roman"/>
                <w:i/>
              </w:rPr>
              <w:t>Deixis am Phantasma</w:t>
            </w:r>
          </w:p>
        </w:tc>
        <w:tc>
          <w:tcPr>
            <w:tcW w:w="2333" w:type="pct"/>
          </w:tcPr>
          <w:p w14:paraId="04E23F03" w14:textId="3C7DF306" w:rsidR="006512C4" w:rsidRDefault="006512C4" w:rsidP="0097588B">
            <w:pPr>
              <w:autoSpaceDE w:val="0"/>
              <w:autoSpaceDN w:val="0"/>
              <w:adjustRightInd w:val="0"/>
              <w:spacing w:before="100" w:after="100" w:line="240" w:lineRule="auto"/>
              <w:jc w:val="left"/>
              <w:rPr>
                <w:rFonts w:cs="Times New Roman"/>
                <w:i/>
                <w:iCs/>
                <w:color w:val="243F60" w:themeColor="accent1" w:themeShade="7F"/>
              </w:rPr>
            </w:pPr>
            <w:r w:rsidRPr="00BC5C32">
              <w:rPr>
                <w:rFonts w:cs="Times New Roman"/>
                <w:i/>
              </w:rPr>
              <w:t>Anaphora</w:t>
            </w:r>
            <w:r>
              <w:rPr>
                <w:rFonts w:cs="Times New Roman"/>
                <w:i/>
              </w:rPr>
              <w:t xml:space="preserve">: </w:t>
            </w:r>
            <w:r w:rsidR="00A1447B">
              <w:rPr>
                <w:rFonts w:cs="Times New Roman"/>
                <w:i/>
              </w:rPr>
              <w:br/>
            </w:r>
            <w:r w:rsidRPr="00D968CD">
              <w:rPr>
                <w:rFonts w:cs="Times New Roman"/>
              </w:rPr>
              <w:t>discourse deixis and anaphoric</w:t>
            </w:r>
          </w:p>
        </w:tc>
      </w:tr>
    </w:tbl>
    <w:p w14:paraId="3EF670E7" w14:textId="77777777" w:rsidR="006512C4" w:rsidRDefault="006512C4" w:rsidP="0097588B">
      <w:pPr>
        <w:autoSpaceDE w:val="0"/>
        <w:autoSpaceDN w:val="0"/>
        <w:adjustRightInd w:val="0"/>
        <w:spacing w:line="240" w:lineRule="auto"/>
        <w:rPr>
          <w:rFonts w:cs="Times New Roman"/>
        </w:rPr>
      </w:pPr>
    </w:p>
    <w:p w14:paraId="2464B85C" w14:textId="6941E23F" w:rsidR="00937994" w:rsidRPr="0097588B" w:rsidRDefault="00937994" w:rsidP="00B9119A">
      <w:pPr>
        <w:rPr>
          <w:szCs w:val="24"/>
          <w:lang w:val="en-US"/>
        </w:rPr>
      </w:pPr>
      <w:r w:rsidRPr="008532F4">
        <w:rPr>
          <w:szCs w:val="24"/>
          <w:lang w:val="en-US"/>
        </w:rPr>
        <w:t>With regard to the medium through which iambic texts express deixis, all the three iambographers use the whole range of demonstratives</w:t>
      </w:r>
      <w:r w:rsidRPr="009D3F3F">
        <w:rPr>
          <w:szCs w:val="24"/>
          <w:lang w:val="en-US"/>
        </w:rPr>
        <w:t>, namely</w:t>
      </w:r>
      <w:r w:rsidRPr="00592079">
        <w:rPr>
          <w:szCs w:val="24"/>
          <w:lang w:val="en-US"/>
        </w:rPr>
        <w:t xml:space="preserve"> </w:t>
      </w:r>
      <w:r w:rsidRPr="00FF2BA2">
        <w:rPr>
          <w:szCs w:val="24"/>
          <w:lang w:val="en-US"/>
        </w:rPr>
        <w:t>ὅ</w:t>
      </w:r>
      <w:r w:rsidRPr="00754F18">
        <w:rPr>
          <w:szCs w:val="24"/>
          <w:lang w:val="en-US"/>
        </w:rPr>
        <w:t>δε, ο</w:t>
      </w:r>
      <w:r w:rsidRPr="0097588B">
        <w:rPr>
          <w:szCs w:val="24"/>
          <w:lang w:val="en-US"/>
        </w:rPr>
        <w:t xml:space="preserve">ὗτος, and ἐκεῖνος. However, the distribution of these pronouns/adjectives in the texts depends on which category of deixis each iambographer prefers, since different kinds of deixis imply different demonstratives. </w:t>
      </w:r>
      <w:r w:rsidRPr="0097588B">
        <w:rPr>
          <w:i/>
          <w:iCs/>
          <w:szCs w:val="24"/>
          <w:lang w:val="en-US"/>
        </w:rPr>
        <w:t>Demonstratio ad oculos</w:t>
      </w:r>
      <w:r w:rsidRPr="0097588B">
        <w:rPr>
          <w:szCs w:val="24"/>
          <w:lang w:val="en-US"/>
        </w:rPr>
        <w:t xml:space="preserve"> can be conveyed by all the demonstratives (ὅδε, οὗτος, and ἐκεῖνος), but especially by ὅδε and οὗτος, since they denote something which is within the sight both of the speaker and the listener. For this reason, in Archilochus</w:t>
      </w:r>
      <w:r w:rsidR="00075F5F">
        <w:rPr>
          <w:szCs w:val="24"/>
          <w:lang w:val="en-US"/>
        </w:rPr>
        <w:t>’</w:t>
      </w:r>
      <w:r w:rsidRPr="0097588B">
        <w:rPr>
          <w:szCs w:val="24"/>
          <w:lang w:val="en-US"/>
        </w:rPr>
        <w:t xml:space="preserve"> and Hipponax</w:t>
      </w:r>
      <w:r w:rsidR="00075F5F">
        <w:rPr>
          <w:szCs w:val="24"/>
          <w:lang w:val="en-US"/>
        </w:rPr>
        <w:t>’</w:t>
      </w:r>
      <w:r w:rsidRPr="0097588B">
        <w:rPr>
          <w:szCs w:val="24"/>
          <w:lang w:val="en-US"/>
        </w:rPr>
        <w:t xml:space="preserve">s fragments, where deixis is most often </w:t>
      </w:r>
      <w:r w:rsidRPr="0097588B">
        <w:rPr>
          <w:i/>
          <w:iCs/>
          <w:szCs w:val="24"/>
          <w:lang w:val="en-US"/>
        </w:rPr>
        <w:t>demonstratio ad oculos</w:t>
      </w:r>
      <w:r w:rsidRPr="0097588B">
        <w:rPr>
          <w:szCs w:val="24"/>
          <w:lang w:val="en-US"/>
        </w:rPr>
        <w:t xml:space="preserve">, ὅδε and οὗτος occur more often, while there are very few occurrences of ἐκεῖνος. Archilochus uses ὅδε and οὗτος practically interchangeably, while Hipponax clearly prefers οὗτος (likely for its semantic value), rather than ὅδε. </w:t>
      </w:r>
      <w:r w:rsidRPr="0097588B">
        <w:rPr>
          <w:szCs w:val="24"/>
          <w:lang w:val="en-US"/>
        </w:rPr>
        <w:tab/>
      </w:r>
      <w:r w:rsidRPr="0097588B">
        <w:rPr>
          <w:i/>
          <w:iCs/>
          <w:szCs w:val="24"/>
          <w:lang w:val="en-US"/>
        </w:rPr>
        <w:t>Deixis am Phantasma</w:t>
      </w:r>
      <w:r w:rsidRPr="0097588B">
        <w:rPr>
          <w:szCs w:val="24"/>
          <w:lang w:val="en-US"/>
        </w:rPr>
        <w:t xml:space="preserve"> can be implied by the whole range of demonstratives. This is why in Callimachus</w:t>
      </w:r>
      <w:r w:rsidR="00075F5F">
        <w:rPr>
          <w:szCs w:val="24"/>
          <w:lang w:val="en-US"/>
        </w:rPr>
        <w:t>’</w:t>
      </w:r>
      <w:r w:rsidRPr="0097588B">
        <w:rPr>
          <w:szCs w:val="24"/>
          <w:lang w:val="en-US"/>
        </w:rPr>
        <w:t xml:space="preserve"> </w:t>
      </w:r>
      <w:r w:rsidRPr="0097588B">
        <w:rPr>
          <w:i/>
          <w:iCs/>
          <w:szCs w:val="24"/>
          <w:lang w:val="en-US"/>
        </w:rPr>
        <w:t>Iambi</w:t>
      </w:r>
      <w:r w:rsidRPr="0097588B">
        <w:rPr>
          <w:szCs w:val="24"/>
          <w:lang w:val="en-US"/>
        </w:rPr>
        <w:t xml:space="preserve"> the rate at which ἐκεῖνος occurs is not too far off the rate of occurence of ὅδε and οὗτος.</w:t>
      </w:r>
    </w:p>
    <w:p w14:paraId="0F562F8E" w14:textId="35E3D954" w:rsidR="006512C4" w:rsidRPr="00FF2BA2" w:rsidRDefault="00937994" w:rsidP="00661FBC">
      <w:pPr>
        <w:rPr>
          <w:szCs w:val="24"/>
          <w:lang w:val="en-US"/>
        </w:rPr>
      </w:pPr>
      <w:r w:rsidRPr="0097588B">
        <w:rPr>
          <w:szCs w:val="24"/>
          <w:lang w:val="en-US"/>
        </w:rPr>
        <w:tab/>
        <w:t xml:space="preserve">Finally, </w:t>
      </w:r>
      <w:r w:rsidRPr="0097588B">
        <w:rPr>
          <w:i/>
          <w:iCs/>
          <w:szCs w:val="24"/>
          <w:lang w:val="en-US"/>
        </w:rPr>
        <w:t>Anaphora</w:t>
      </w:r>
      <w:r w:rsidRPr="0097588B">
        <w:rPr>
          <w:szCs w:val="24"/>
          <w:lang w:val="en-US"/>
        </w:rPr>
        <w:t xml:space="preserve"> is conveyed solely through the use of ὅδε and οὗτος. This is the case not just for the iambic texts, but across the Greek language. The deictic pronouns mostly employed in </w:t>
      </w:r>
      <w:r w:rsidRPr="0097588B">
        <w:rPr>
          <w:i/>
          <w:iCs/>
          <w:szCs w:val="24"/>
          <w:lang w:val="en-US"/>
        </w:rPr>
        <w:t>demonstratio ad oculos</w:t>
      </w:r>
      <w:r w:rsidRPr="0097588B">
        <w:rPr>
          <w:szCs w:val="24"/>
          <w:lang w:val="en-US"/>
        </w:rPr>
        <w:t xml:space="preserve"> are generally those used to refer to what has already been mentioned within a discourse: </w:t>
      </w:r>
      <w:r w:rsidR="00CC0615">
        <w:rPr>
          <w:szCs w:val="24"/>
          <w:lang w:val="en-US"/>
        </w:rPr>
        <w:t>“</w:t>
      </w:r>
      <w:r w:rsidRPr="0097588B">
        <w:rPr>
          <w:szCs w:val="24"/>
          <w:lang w:val="en-US"/>
        </w:rPr>
        <w:t>Ich kann ad oculos demonstrieren und in der situationsfernen Rede dieselben Zeigwörter anaphorisch gebrauchen.</w:t>
      </w:r>
      <w:r w:rsidR="00CC0615">
        <w:rPr>
          <w:szCs w:val="24"/>
          <w:lang w:val="en-US"/>
        </w:rPr>
        <w:t>”</w:t>
      </w:r>
      <w:r w:rsidRPr="008532F4">
        <w:rPr>
          <w:rStyle w:val="FootnoteReference"/>
          <w:szCs w:val="24"/>
          <w:lang w:val="en-US"/>
        </w:rPr>
        <w:footnoteReference w:id="261"/>
      </w:r>
      <w:r w:rsidRPr="008532F4">
        <w:rPr>
          <w:szCs w:val="24"/>
          <w:lang w:val="en-US"/>
        </w:rPr>
        <w:t xml:space="preserve"> These functions between category of deixis and demonstratives explain the different distribution of demonstratives in the iambic texts, where the instances of ὅδε and οὗτος are overall more copious than those of ἐκεῖνος. The deixis-demonstrative relationship can be summarised as in the following table, where I put the rarer form in brackets (</w:t>
      </w:r>
      <w:r w:rsidRPr="009D3F3F">
        <w:rPr>
          <w:b/>
          <w:bCs/>
          <w:szCs w:val="24"/>
          <w:lang w:val="en-US"/>
        </w:rPr>
        <w:t>2</w:t>
      </w:r>
      <w:r w:rsidRPr="00592079">
        <w:rPr>
          <w:szCs w:val="24"/>
          <w:lang w:val="en-US"/>
        </w:rPr>
        <w:t xml:space="preserve"> A.2):</w:t>
      </w:r>
    </w:p>
    <w:p w14:paraId="786B01B2" w14:textId="77777777" w:rsidR="006512C4" w:rsidRPr="00A103F2" w:rsidRDefault="006512C4" w:rsidP="00695A7C">
      <w:pPr>
        <w:autoSpaceDE w:val="0"/>
        <w:autoSpaceDN w:val="0"/>
        <w:adjustRightInd w:val="0"/>
        <w:rPr>
          <w:rFonts w:cs="Times New Roman"/>
          <w:lang w:val="en-US"/>
        </w:rPr>
      </w:pPr>
    </w:p>
    <w:tbl>
      <w:tblPr>
        <w:tblStyle w:val="TableGrid"/>
        <w:tblW w:w="5000" w:type="pct"/>
        <w:tblLook w:val="04A0" w:firstRow="1" w:lastRow="0" w:firstColumn="1" w:lastColumn="0" w:noHBand="0" w:noVBand="1"/>
      </w:tblPr>
      <w:tblGrid>
        <w:gridCol w:w="1678"/>
        <w:gridCol w:w="3000"/>
        <w:gridCol w:w="2755"/>
        <w:gridCol w:w="1447"/>
      </w:tblGrid>
      <w:tr w:rsidR="006512C4" w14:paraId="6F0EEA74" w14:textId="77777777" w:rsidTr="00F4130F">
        <w:tc>
          <w:tcPr>
            <w:tcW w:w="945" w:type="pct"/>
          </w:tcPr>
          <w:p w14:paraId="3C2D02D3" w14:textId="77777777" w:rsidR="006512C4" w:rsidRPr="00A103F2" w:rsidRDefault="006512C4" w:rsidP="008532F4">
            <w:pPr>
              <w:autoSpaceDE w:val="0"/>
              <w:autoSpaceDN w:val="0"/>
              <w:adjustRightInd w:val="0"/>
              <w:spacing w:before="100" w:after="100" w:line="240" w:lineRule="auto"/>
              <w:rPr>
                <w:rFonts w:cs="Times New Roman"/>
                <w:lang w:val="en-US"/>
              </w:rPr>
            </w:pPr>
          </w:p>
        </w:tc>
        <w:tc>
          <w:tcPr>
            <w:tcW w:w="1689" w:type="pct"/>
          </w:tcPr>
          <w:p w14:paraId="25D2278E" w14:textId="47FEA0A4" w:rsidR="006512C4" w:rsidRPr="0039425B" w:rsidRDefault="006512C4" w:rsidP="009D3F3F">
            <w:pPr>
              <w:autoSpaceDE w:val="0"/>
              <w:autoSpaceDN w:val="0"/>
              <w:adjustRightInd w:val="0"/>
              <w:spacing w:before="100" w:after="100" w:line="240" w:lineRule="auto"/>
              <w:jc w:val="center"/>
              <w:rPr>
                <w:rFonts w:cs="Times New Roman"/>
                <w:i/>
                <w:lang w:val="el-GR"/>
              </w:rPr>
            </w:pPr>
            <w:r w:rsidRPr="0039425B">
              <w:rPr>
                <w:rFonts w:cs="Times New Roman"/>
                <w:i/>
                <w:lang w:val="el-GR"/>
              </w:rPr>
              <w:t>Demonstratio ad oculos</w:t>
            </w:r>
          </w:p>
        </w:tc>
        <w:tc>
          <w:tcPr>
            <w:tcW w:w="1551" w:type="pct"/>
          </w:tcPr>
          <w:p w14:paraId="0A443055" w14:textId="77777777" w:rsidR="006512C4" w:rsidRPr="0039425B" w:rsidRDefault="006512C4" w:rsidP="0097588B">
            <w:pPr>
              <w:autoSpaceDE w:val="0"/>
              <w:autoSpaceDN w:val="0"/>
              <w:adjustRightInd w:val="0"/>
              <w:spacing w:before="100" w:after="100" w:line="240" w:lineRule="auto"/>
              <w:jc w:val="center"/>
              <w:rPr>
                <w:rFonts w:cs="Times New Roman"/>
                <w:i/>
                <w:iCs/>
                <w:color w:val="243F60" w:themeColor="accent1" w:themeShade="7F"/>
                <w:lang w:val="el-GR"/>
              </w:rPr>
            </w:pPr>
            <w:r w:rsidRPr="0039425B">
              <w:rPr>
                <w:rFonts w:cs="Times New Roman"/>
                <w:i/>
                <w:lang w:val="el-GR"/>
              </w:rPr>
              <w:t>Deixis am Phantasma</w:t>
            </w:r>
          </w:p>
        </w:tc>
        <w:tc>
          <w:tcPr>
            <w:tcW w:w="815" w:type="pct"/>
          </w:tcPr>
          <w:p w14:paraId="74FED3C4" w14:textId="77777777" w:rsidR="006512C4" w:rsidRPr="0039425B" w:rsidRDefault="006512C4" w:rsidP="0097588B">
            <w:pPr>
              <w:autoSpaceDE w:val="0"/>
              <w:autoSpaceDN w:val="0"/>
              <w:adjustRightInd w:val="0"/>
              <w:spacing w:before="100" w:after="100" w:line="240" w:lineRule="auto"/>
              <w:jc w:val="center"/>
              <w:rPr>
                <w:rFonts w:cs="Times New Roman"/>
                <w:i/>
                <w:iCs/>
                <w:color w:val="243F60" w:themeColor="accent1" w:themeShade="7F"/>
                <w:lang w:val="el-GR"/>
              </w:rPr>
            </w:pPr>
            <w:r w:rsidRPr="0039425B">
              <w:rPr>
                <w:rFonts w:cs="Times New Roman"/>
                <w:i/>
                <w:lang w:val="el-GR"/>
              </w:rPr>
              <w:t>Anaphora</w:t>
            </w:r>
          </w:p>
        </w:tc>
      </w:tr>
      <w:tr w:rsidR="006512C4" w14:paraId="0D37C634" w14:textId="77777777" w:rsidTr="00F4130F">
        <w:tc>
          <w:tcPr>
            <w:tcW w:w="945" w:type="pct"/>
          </w:tcPr>
          <w:p w14:paraId="2A4565D8" w14:textId="77777777" w:rsidR="006512C4" w:rsidRDefault="006512C4" w:rsidP="008532F4">
            <w:pPr>
              <w:autoSpaceDE w:val="0"/>
              <w:autoSpaceDN w:val="0"/>
              <w:adjustRightInd w:val="0"/>
              <w:spacing w:before="100" w:after="100" w:line="240" w:lineRule="auto"/>
              <w:rPr>
                <w:rFonts w:cs="Times New Roman"/>
                <w:lang w:val="el-GR"/>
              </w:rPr>
            </w:pPr>
            <w:r>
              <w:rPr>
                <w:rFonts w:cs="Times New Roman"/>
                <w:lang w:val="el-GR"/>
              </w:rPr>
              <w:t>Archilochus</w:t>
            </w:r>
          </w:p>
        </w:tc>
        <w:tc>
          <w:tcPr>
            <w:tcW w:w="1689" w:type="pct"/>
          </w:tcPr>
          <w:p w14:paraId="4360D321" w14:textId="77777777" w:rsidR="006512C4" w:rsidRDefault="006512C4" w:rsidP="009D3F3F">
            <w:pPr>
              <w:autoSpaceDE w:val="0"/>
              <w:autoSpaceDN w:val="0"/>
              <w:adjustRightInd w:val="0"/>
              <w:spacing w:before="100" w:after="100" w:line="240" w:lineRule="auto"/>
              <w:jc w:val="left"/>
              <w:rPr>
                <w:rFonts w:cs="Times New Roman"/>
                <w:lang w:val="el-GR"/>
              </w:rPr>
            </w:pPr>
            <w:r w:rsidRPr="00F12AF0">
              <w:rPr>
                <w:rFonts w:cs="Times New Roman"/>
                <w:lang w:val="el-GR"/>
              </w:rPr>
              <w:t>ὅ</w:t>
            </w:r>
            <w:r>
              <w:rPr>
                <w:rFonts w:cs="Times New Roman"/>
                <w:lang w:val="el-GR"/>
              </w:rPr>
              <w:t xml:space="preserve">δε, </w:t>
            </w:r>
            <w:r w:rsidRPr="00F12AF0">
              <w:rPr>
                <w:rFonts w:cs="Times New Roman"/>
                <w:lang w:val="el-GR"/>
              </w:rPr>
              <w:t>οὗτος</w:t>
            </w:r>
            <w:r>
              <w:rPr>
                <w:rFonts w:cs="Times New Roman"/>
                <w:lang w:val="el-GR"/>
              </w:rPr>
              <w:t>, (ἐκεῖνος)</w:t>
            </w:r>
          </w:p>
        </w:tc>
        <w:tc>
          <w:tcPr>
            <w:tcW w:w="1551" w:type="pct"/>
          </w:tcPr>
          <w:p w14:paraId="749073A6"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Pr>
                <w:rFonts w:cs="Times New Roman"/>
                <w:lang w:val="el-GR"/>
              </w:rPr>
              <w:t>/</w:t>
            </w:r>
          </w:p>
        </w:tc>
        <w:tc>
          <w:tcPr>
            <w:tcW w:w="815" w:type="pct"/>
          </w:tcPr>
          <w:p w14:paraId="64B19F43"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sidRPr="00F12AF0">
              <w:rPr>
                <w:rFonts w:cs="Times New Roman"/>
                <w:lang w:val="el-GR"/>
              </w:rPr>
              <w:t>ὅ</w:t>
            </w:r>
            <w:r>
              <w:rPr>
                <w:rFonts w:cs="Times New Roman"/>
                <w:lang w:val="el-GR"/>
              </w:rPr>
              <w:t xml:space="preserve">δε, </w:t>
            </w:r>
            <w:r w:rsidRPr="00F12AF0">
              <w:rPr>
                <w:rFonts w:cs="Times New Roman"/>
                <w:lang w:val="el-GR"/>
              </w:rPr>
              <w:t>οὗτος</w:t>
            </w:r>
          </w:p>
        </w:tc>
      </w:tr>
      <w:tr w:rsidR="006512C4" w14:paraId="5D4BB5DB" w14:textId="77777777" w:rsidTr="00F4130F">
        <w:tc>
          <w:tcPr>
            <w:tcW w:w="945" w:type="pct"/>
          </w:tcPr>
          <w:p w14:paraId="2FBB6BD8" w14:textId="77777777" w:rsidR="006512C4" w:rsidRDefault="006512C4" w:rsidP="008532F4">
            <w:pPr>
              <w:autoSpaceDE w:val="0"/>
              <w:autoSpaceDN w:val="0"/>
              <w:adjustRightInd w:val="0"/>
              <w:spacing w:before="100" w:after="100" w:line="240" w:lineRule="auto"/>
              <w:rPr>
                <w:rFonts w:cs="Times New Roman"/>
                <w:lang w:val="el-GR"/>
              </w:rPr>
            </w:pPr>
            <w:r>
              <w:rPr>
                <w:rFonts w:cs="Times New Roman"/>
                <w:lang w:val="el-GR"/>
              </w:rPr>
              <w:t>Hipponax</w:t>
            </w:r>
          </w:p>
        </w:tc>
        <w:tc>
          <w:tcPr>
            <w:tcW w:w="1689" w:type="pct"/>
          </w:tcPr>
          <w:p w14:paraId="442504BA" w14:textId="77777777" w:rsidR="006512C4" w:rsidRDefault="006512C4" w:rsidP="009D3F3F">
            <w:pPr>
              <w:autoSpaceDE w:val="0"/>
              <w:autoSpaceDN w:val="0"/>
              <w:adjustRightInd w:val="0"/>
              <w:spacing w:before="100" w:after="100" w:line="240" w:lineRule="auto"/>
              <w:jc w:val="left"/>
              <w:rPr>
                <w:rFonts w:cs="Times New Roman"/>
                <w:lang w:val="el-GR"/>
              </w:rPr>
            </w:pPr>
            <w:r w:rsidRPr="00F12AF0">
              <w:rPr>
                <w:rFonts w:cs="Times New Roman"/>
                <w:lang w:val="el-GR"/>
              </w:rPr>
              <w:t>οὗτος</w:t>
            </w:r>
            <w:r>
              <w:rPr>
                <w:rFonts w:cs="Times New Roman"/>
                <w:lang w:val="el-GR"/>
              </w:rPr>
              <w:t>, (ἐκεῖνος)</w:t>
            </w:r>
          </w:p>
        </w:tc>
        <w:tc>
          <w:tcPr>
            <w:tcW w:w="1551" w:type="pct"/>
          </w:tcPr>
          <w:p w14:paraId="5B332371"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Pr>
                <w:rFonts w:cs="Times New Roman"/>
                <w:lang w:val="el-GR"/>
              </w:rPr>
              <w:t>(</w:t>
            </w:r>
            <w:r w:rsidRPr="00F12AF0">
              <w:rPr>
                <w:rFonts w:cs="Times New Roman"/>
                <w:lang w:val="el-GR"/>
              </w:rPr>
              <w:t>ὅ</w:t>
            </w:r>
            <w:r>
              <w:rPr>
                <w:rFonts w:cs="Times New Roman"/>
                <w:lang w:val="el-GR"/>
              </w:rPr>
              <w:t>δε)?</w:t>
            </w:r>
          </w:p>
        </w:tc>
        <w:tc>
          <w:tcPr>
            <w:tcW w:w="815" w:type="pct"/>
          </w:tcPr>
          <w:p w14:paraId="53E39804"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sidRPr="00F12AF0">
              <w:rPr>
                <w:rFonts w:cs="Times New Roman"/>
                <w:lang w:val="el-GR"/>
              </w:rPr>
              <w:t>ὅ</w:t>
            </w:r>
            <w:r>
              <w:rPr>
                <w:rFonts w:cs="Times New Roman"/>
                <w:lang w:val="el-GR"/>
              </w:rPr>
              <w:t xml:space="preserve">δε, </w:t>
            </w:r>
            <w:r w:rsidRPr="00F12AF0">
              <w:rPr>
                <w:rFonts w:cs="Times New Roman"/>
                <w:lang w:val="el-GR"/>
              </w:rPr>
              <w:t>οὗτος</w:t>
            </w:r>
          </w:p>
        </w:tc>
      </w:tr>
      <w:tr w:rsidR="006512C4" w14:paraId="2684571E" w14:textId="77777777" w:rsidTr="00F4130F">
        <w:tc>
          <w:tcPr>
            <w:tcW w:w="945" w:type="pct"/>
          </w:tcPr>
          <w:p w14:paraId="3C8C7BAF" w14:textId="77777777" w:rsidR="006512C4" w:rsidRDefault="006512C4" w:rsidP="008532F4">
            <w:pPr>
              <w:autoSpaceDE w:val="0"/>
              <w:autoSpaceDN w:val="0"/>
              <w:adjustRightInd w:val="0"/>
              <w:spacing w:before="100" w:after="100" w:line="240" w:lineRule="auto"/>
              <w:rPr>
                <w:rFonts w:cs="Times New Roman"/>
                <w:lang w:val="el-GR"/>
              </w:rPr>
            </w:pPr>
            <w:r>
              <w:rPr>
                <w:rFonts w:cs="Times New Roman"/>
                <w:lang w:val="el-GR"/>
              </w:rPr>
              <w:t>Callimachus</w:t>
            </w:r>
          </w:p>
        </w:tc>
        <w:tc>
          <w:tcPr>
            <w:tcW w:w="1689" w:type="pct"/>
          </w:tcPr>
          <w:p w14:paraId="7471BC57" w14:textId="77777777" w:rsidR="006512C4" w:rsidRDefault="006512C4" w:rsidP="009D3F3F">
            <w:pPr>
              <w:autoSpaceDE w:val="0"/>
              <w:autoSpaceDN w:val="0"/>
              <w:adjustRightInd w:val="0"/>
              <w:spacing w:before="100" w:after="100" w:line="240" w:lineRule="auto"/>
              <w:jc w:val="left"/>
              <w:rPr>
                <w:rFonts w:cs="Times New Roman"/>
                <w:lang w:val="el-GR"/>
              </w:rPr>
            </w:pPr>
            <w:r>
              <w:rPr>
                <w:rFonts w:cs="Times New Roman"/>
                <w:lang w:val="el-GR"/>
              </w:rPr>
              <w:t>(</w:t>
            </w:r>
            <w:r w:rsidRPr="00F12AF0">
              <w:rPr>
                <w:rFonts w:cs="Times New Roman"/>
                <w:lang w:val="el-GR"/>
              </w:rPr>
              <w:t>ὅ</w:t>
            </w:r>
            <w:r>
              <w:rPr>
                <w:rFonts w:cs="Times New Roman"/>
                <w:lang w:val="el-GR"/>
              </w:rPr>
              <w:t>δε), (</w:t>
            </w:r>
            <w:r w:rsidRPr="00F12AF0">
              <w:rPr>
                <w:rFonts w:cs="Times New Roman"/>
                <w:lang w:val="el-GR"/>
              </w:rPr>
              <w:t>οὗτος</w:t>
            </w:r>
            <w:r>
              <w:rPr>
                <w:rFonts w:cs="Times New Roman"/>
                <w:lang w:val="el-GR"/>
              </w:rPr>
              <w:t>), (ἐκεῖνος)</w:t>
            </w:r>
          </w:p>
        </w:tc>
        <w:tc>
          <w:tcPr>
            <w:tcW w:w="1551" w:type="pct"/>
          </w:tcPr>
          <w:p w14:paraId="4A5358A8"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sidRPr="00F12AF0">
              <w:rPr>
                <w:rFonts w:cs="Times New Roman"/>
                <w:lang w:val="el-GR"/>
              </w:rPr>
              <w:t>ὅ</w:t>
            </w:r>
            <w:r>
              <w:rPr>
                <w:rFonts w:cs="Times New Roman"/>
                <w:lang w:val="el-GR"/>
              </w:rPr>
              <w:t xml:space="preserve">δε, </w:t>
            </w:r>
            <w:r w:rsidRPr="00F12AF0">
              <w:rPr>
                <w:rFonts w:cs="Times New Roman"/>
                <w:lang w:val="el-GR"/>
              </w:rPr>
              <w:t>οὗτος</w:t>
            </w:r>
            <w:r>
              <w:rPr>
                <w:rFonts w:cs="Times New Roman"/>
                <w:lang w:val="el-GR"/>
              </w:rPr>
              <w:t>, ἐκεῖνος</w:t>
            </w:r>
          </w:p>
        </w:tc>
        <w:tc>
          <w:tcPr>
            <w:tcW w:w="815" w:type="pct"/>
          </w:tcPr>
          <w:p w14:paraId="7A7CF307" w14:textId="77777777" w:rsidR="006512C4" w:rsidRDefault="006512C4" w:rsidP="0097588B">
            <w:pPr>
              <w:autoSpaceDE w:val="0"/>
              <w:autoSpaceDN w:val="0"/>
              <w:adjustRightInd w:val="0"/>
              <w:spacing w:before="100" w:after="100" w:line="240" w:lineRule="auto"/>
              <w:jc w:val="left"/>
              <w:rPr>
                <w:rFonts w:cs="Times New Roman"/>
                <w:i/>
                <w:iCs/>
                <w:color w:val="243F60" w:themeColor="accent1" w:themeShade="7F"/>
                <w:lang w:val="el-GR"/>
              </w:rPr>
            </w:pPr>
            <w:r w:rsidRPr="00F12AF0">
              <w:rPr>
                <w:rFonts w:cs="Times New Roman"/>
                <w:lang w:val="el-GR"/>
              </w:rPr>
              <w:t>ὅ</w:t>
            </w:r>
            <w:r>
              <w:rPr>
                <w:rFonts w:cs="Times New Roman"/>
                <w:lang w:val="el-GR"/>
              </w:rPr>
              <w:t xml:space="preserve">δε, </w:t>
            </w:r>
            <w:r w:rsidRPr="00F12AF0">
              <w:rPr>
                <w:rFonts w:cs="Times New Roman"/>
                <w:lang w:val="el-GR"/>
              </w:rPr>
              <w:t>οὗτος</w:t>
            </w:r>
          </w:p>
        </w:tc>
      </w:tr>
    </w:tbl>
    <w:p w14:paraId="39B4623D" w14:textId="3A265756" w:rsidR="006512C4" w:rsidRPr="00F4130F" w:rsidRDefault="006512C4" w:rsidP="00A1447B">
      <w:pPr>
        <w:pStyle w:val="Heading4"/>
        <w:rPr>
          <w:b w:val="0"/>
        </w:rPr>
      </w:pPr>
      <w:r w:rsidRPr="00825A39">
        <w:rPr>
          <w:b w:val="0"/>
          <w:i/>
        </w:rPr>
        <w:t>Archilochus</w:t>
      </w:r>
      <w:r w:rsidR="00F4130F" w:rsidRPr="00F4130F">
        <w:rPr>
          <w:b w:val="0"/>
        </w:rPr>
        <w:t xml:space="preserve"> (</w:t>
      </w:r>
      <w:r w:rsidR="00F5650B">
        <w:t>2</w:t>
      </w:r>
      <w:r w:rsidR="00F4130F" w:rsidRPr="00F4130F">
        <w:rPr>
          <w:b w:val="0"/>
        </w:rPr>
        <w:t xml:space="preserve"> A.1)</w:t>
      </w:r>
    </w:p>
    <w:p w14:paraId="24CE1FF0" w14:textId="16101F18" w:rsidR="00937994" w:rsidRPr="008532F4" w:rsidRDefault="00937994" w:rsidP="008532F4">
      <w:pPr>
        <w:rPr>
          <w:rFonts w:cs="Times New Roman"/>
          <w:szCs w:val="24"/>
          <w:lang w:val="en-US"/>
        </w:rPr>
      </w:pPr>
      <w:r w:rsidRPr="008532F4">
        <w:rPr>
          <w:rFonts w:cs="Times New Roman"/>
          <w:szCs w:val="24"/>
          <w:lang w:val="en-US"/>
        </w:rPr>
        <w:t>Archilochus</w:t>
      </w:r>
      <w:r w:rsidR="00075F5F">
        <w:rPr>
          <w:rFonts w:cs="Times New Roman"/>
          <w:szCs w:val="24"/>
          <w:lang w:val="en-US"/>
        </w:rPr>
        <w:t>’</w:t>
      </w:r>
      <w:r w:rsidRPr="008532F4">
        <w:rPr>
          <w:rFonts w:cs="Times New Roman"/>
          <w:szCs w:val="24"/>
          <w:lang w:val="en-US"/>
        </w:rPr>
        <w:t xml:space="preserve"> fragments mostly show </w:t>
      </w:r>
      <w:r w:rsidRPr="008532F4">
        <w:rPr>
          <w:rFonts w:cs="Times New Roman"/>
          <w:i/>
          <w:iCs/>
          <w:szCs w:val="24"/>
          <w:lang w:val="en-US"/>
        </w:rPr>
        <w:t>demonstratio ad oculos</w:t>
      </w:r>
      <w:r w:rsidRPr="0097588B">
        <w:rPr>
          <w:rFonts w:cs="Times New Roman"/>
          <w:szCs w:val="24"/>
          <w:lang w:val="en-US"/>
        </w:rPr>
        <w:t xml:space="preserve">. The demonstratives </w:t>
      </w:r>
      <w:r w:rsidR="00CB1276">
        <w:rPr>
          <w:rFonts w:cs="Times New Roman"/>
          <w:szCs w:val="24"/>
          <w:lang w:val="en-US"/>
        </w:rPr>
        <w:t>ὅ</w:t>
      </w:r>
      <w:r w:rsidRPr="008532F4">
        <w:rPr>
          <w:rFonts w:cs="Times New Roman"/>
          <w:szCs w:val="24"/>
          <w:lang w:val="en-US"/>
        </w:rPr>
        <w:t xml:space="preserve">δε and οὗτος exhibit great flexibility and overlap in their uses, even if usually the proximal demonstrative </w:t>
      </w:r>
      <w:r w:rsidR="00CB1276">
        <w:rPr>
          <w:rFonts w:cs="Times New Roman"/>
          <w:szCs w:val="24"/>
          <w:lang w:val="en-US"/>
        </w:rPr>
        <w:t>ὅ</w:t>
      </w:r>
      <w:r w:rsidRPr="008532F4">
        <w:rPr>
          <w:rFonts w:cs="Times New Roman"/>
          <w:szCs w:val="24"/>
          <w:lang w:val="en-US"/>
        </w:rPr>
        <w:t>δε is used primarily to point (deictically) at someone/something or to point (cataphorically) forward toward an ensuing linguistic entity, while the medial demonstrative οὗτος is most frequently anaphoric. A</w:t>
      </w:r>
      <w:r w:rsidRPr="0097588B">
        <w:rPr>
          <w:rFonts w:cs="Times New Roman"/>
          <w:szCs w:val="24"/>
          <w:lang w:val="en-US"/>
        </w:rPr>
        <w:t xml:space="preserve">mong the Archilochean instances with a clear interpretation, </w:t>
      </w:r>
      <w:r w:rsidR="00CB1276">
        <w:rPr>
          <w:rFonts w:cs="Times New Roman"/>
          <w:szCs w:val="24"/>
          <w:lang w:val="en-US"/>
        </w:rPr>
        <w:t>ὅ</w:t>
      </w:r>
      <w:r w:rsidRPr="008532F4">
        <w:rPr>
          <w:rFonts w:cs="Times New Roman"/>
          <w:szCs w:val="24"/>
          <w:lang w:val="en-US"/>
        </w:rPr>
        <w:t>δε is used 8 times</w:t>
      </w:r>
      <w:r w:rsidRPr="008532F4">
        <w:rPr>
          <w:rStyle w:val="FootnoteReference"/>
          <w:rFonts w:cs="Times New Roman"/>
          <w:szCs w:val="24"/>
          <w:lang w:val="en-US"/>
        </w:rPr>
        <w:footnoteReference w:id="262"/>
      </w:r>
      <w:r w:rsidRPr="008532F4">
        <w:rPr>
          <w:rFonts w:cs="Times New Roman"/>
          <w:szCs w:val="24"/>
          <w:lang w:val="en-US"/>
        </w:rPr>
        <w:t xml:space="preserve"> to create </w:t>
      </w:r>
      <w:r w:rsidRPr="008532F4">
        <w:rPr>
          <w:rFonts w:cs="Times New Roman"/>
          <w:i/>
          <w:iCs/>
          <w:szCs w:val="24"/>
          <w:lang w:val="en-US"/>
        </w:rPr>
        <w:t>demonstratio ad oculos</w:t>
      </w:r>
      <w:r w:rsidRPr="008532F4">
        <w:rPr>
          <w:rFonts w:cs="Times New Roman"/>
          <w:szCs w:val="24"/>
          <w:lang w:val="en-US"/>
        </w:rPr>
        <w:t>, and and it is used 5 times</w:t>
      </w:r>
      <w:r w:rsidRPr="008532F4">
        <w:rPr>
          <w:rStyle w:val="FootnoteReference"/>
          <w:rFonts w:cs="Times New Roman"/>
          <w:szCs w:val="24"/>
          <w:lang w:val="en-US"/>
        </w:rPr>
        <w:footnoteReference w:id="263"/>
      </w:r>
      <w:r w:rsidRPr="008532F4">
        <w:rPr>
          <w:rFonts w:cs="Times New Roman"/>
          <w:szCs w:val="24"/>
          <w:lang w:val="en-US"/>
        </w:rPr>
        <w:t xml:space="preserve"> as anaphora; οὗτος is used 3 times</w:t>
      </w:r>
      <w:r w:rsidRPr="008532F4">
        <w:rPr>
          <w:rStyle w:val="FootnoteReference"/>
          <w:rFonts w:cs="Times New Roman"/>
          <w:szCs w:val="24"/>
          <w:lang w:val="en-US"/>
        </w:rPr>
        <w:footnoteReference w:id="264"/>
      </w:r>
      <w:r w:rsidRPr="008532F4">
        <w:rPr>
          <w:rFonts w:cs="Times New Roman"/>
          <w:szCs w:val="24"/>
          <w:lang w:val="en-US"/>
        </w:rPr>
        <w:t xml:space="preserve"> to create </w:t>
      </w:r>
      <w:r w:rsidRPr="008532F4">
        <w:rPr>
          <w:rFonts w:cs="Times New Roman"/>
          <w:i/>
          <w:iCs/>
          <w:szCs w:val="24"/>
          <w:lang w:val="en-US"/>
        </w:rPr>
        <w:t>demonstratio ad oculos</w:t>
      </w:r>
      <w:r w:rsidRPr="008532F4">
        <w:rPr>
          <w:rFonts w:cs="Times New Roman"/>
          <w:szCs w:val="24"/>
          <w:lang w:val="en-US"/>
        </w:rPr>
        <w:t>, while it is used 6 times</w:t>
      </w:r>
      <w:r w:rsidRPr="008532F4">
        <w:rPr>
          <w:rStyle w:val="FootnoteReference"/>
          <w:rFonts w:cs="Times New Roman"/>
          <w:szCs w:val="24"/>
          <w:lang w:val="en-US"/>
        </w:rPr>
        <w:footnoteReference w:id="265"/>
      </w:r>
      <w:r w:rsidRPr="008532F4">
        <w:rPr>
          <w:rFonts w:cs="Times New Roman"/>
          <w:szCs w:val="24"/>
          <w:lang w:val="en-US"/>
        </w:rPr>
        <w:t xml:space="preserve"> as anaphora. </w:t>
      </w:r>
    </w:p>
    <w:p w14:paraId="12AC0B7D" w14:textId="77777777" w:rsidR="00937994" w:rsidRPr="008532F4" w:rsidRDefault="00937994" w:rsidP="0097588B">
      <w:pPr>
        <w:spacing w:after="120"/>
        <w:ind w:firstLine="425"/>
        <w:rPr>
          <w:rFonts w:cs="Times New Roman"/>
          <w:szCs w:val="24"/>
          <w:lang w:val="en-US"/>
        </w:rPr>
      </w:pPr>
      <w:r w:rsidRPr="008532F4">
        <w:rPr>
          <w:rFonts w:cs="Times New Roman"/>
          <w:szCs w:val="24"/>
          <w:lang w:val="en-US"/>
        </w:rPr>
        <w:t xml:space="preserve">Archilochus uses </w:t>
      </w:r>
      <w:r w:rsidRPr="008532F4">
        <w:rPr>
          <w:rFonts w:cs="Times New Roman"/>
          <w:i/>
          <w:iCs/>
          <w:szCs w:val="24"/>
          <w:lang w:val="en-US"/>
        </w:rPr>
        <w:t>demonstratio ad oculos</w:t>
      </w:r>
      <w:r w:rsidRPr="008532F4">
        <w:rPr>
          <w:rFonts w:cs="Times New Roman"/>
          <w:szCs w:val="24"/>
          <w:lang w:val="en-US"/>
        </w:rPr>
        <w:t xml:space="preserve"> in order to:</w:t>
      </w:r>
    </w:p>
    <w:p w14:paraId="6D4170F5" w14:textId="77777777" w:rsidR="00937994" w:rsidRPr="008532F4" w:rsidRDefault="00937994" w:rsidP="0097588B">
      <w:pPr>
        <w:widowControl w:val="0"/>
        <w:numPr>
          <w:ilvl w:val="0"/>
          <w:numId w:val="59"/>
        </w:numPr>
        <w:tabs>
          <w:tab w:val="left" w:pos="360"/>
          <w:tab w:val="left" w:pos="720"/>
          <w:tab w:val="center" w:pos="5387"/>
        </w:tabs>
        <w:rPr>
          <w:rFonts w:cs="Times New Roman"/>
          <w:szCs w:val="24"/>
          <w:lang w:val="en-US"/>
        </w:rPr>
      </w:pPr>
      <w:r w:rsidRPr="008532F4">
        <w:rPr>
          <w:rFonts w:cs="Times New Roman"/>
          <w:szCs w:val="24"/>
          <w:lang w:val="en-US"/>
        </w:rPr>
        <w:t xml:space="preserve">point out objects, individuals, or ideas and to anchor them to the </w:t>
      </w:r>
      <w:r w:rsidRPr="008532F4">
        <w:rPr>
          <w:rFonts w:cs="Times New Roman"/>
          <w:i/>
          <w:iCs/>
          <w:szCs w:val="24"/>
          <w:lang w:val="en-US"/>
        </w:rPr>
        <w:t>hic et nunc</w:t>
      </w:r>
      <w:r w:rsidRPr="008532F4">
        <w:rPr>
          <w:rFonts w:cs="Times New Roman"/>
          <w:szCs w:val="24"/>
          <w:lang w:val="en-US"/>
        </w:rPr>
        <w:t xml:space="preserve"> of the speaker, as shown by:</w:t>
      </w:r>
    </w:p>
    <w:p w14:paraId="029749D7" w14:textId="19E0A4D5" w:rsidR="00937994" w:rsidRPr="0097588B" w:rsidRDefault="00937994" w:rsidP="00750FF6">
      <w:pPr>
        <w:numPr>
          <w:ilvl w:val="0"/>
          <w:numId w:val="60"/>
        </w:numPr>
        <w:tabs>
          <w:tab w:val="left" w:pos="1080"/>
          <w:tab w:val="center" w:pos="5387"/>
        </w:tabs>
        <w:ind w:left="1077" w:hanging="357"/>
        <w:rPr>
          <w:rFonts w:cs="Times New Roman"/>
          <w:szCs w:val="24"/>
          <w:lang w:val="en-US"/>
        </w:rPr>
      </w:pPr>
      <w:r w:rsidRPr="009D3F3F">
        <w:rPr>
          <w:rFonts w:cs="Times New Roman"/>
          <w:szCs w:val="24"/>
          <w:lang w:val="en-US"/>
        </w:rPr>
        <w:t>Archil. fr. 17.1</w:t>
      </w:r>
      <w:r w:rsidRPr="00592079">
        <w:rPr>
          <w:rFonts w:cs="Times New Roman"/>
          <w:szCs w:val="24"/>
          <w:lang w:val="en-US"/>
        </w:rPr>
        <w:t xml:space="preserve"> </w:t>
      </w:r>
      <w:r w:rsidRPr="00FF2BA2">
        <w:rPr>
          <w:rFonts w:cs="Times New Roman"/>
          <w:szCs w:val="24"/>
          <w:lang w:val="en-US"/>
        </w:rPr>
        <w:t>ἥ</w:t>
      </w:r>
      <w:r w:rsidRPr="00754F18">
        <w:rPr>
          <w:rFonts w:cs="Times New Roman"/>
          <w:szCs w:val="24"/>
          <w:lang w:val="en-US"/>
        </w:rPr>
        <w:t>δε δ</w:t>
      </w:r>
      <w:r w:rsidR="00075F5F">
        <w:rPr>
          <w:rFonts w:cs="Times New Roman"/>
          <w:szCs w:val="24"/>
          <w:lang w:val="en-US"/>
        </w:rPr>
        <w:t>’</w:t>
      </w:r>
      <w:r w:rsidRPr="00754F18">
        <w:rPr>
          <w:rFonts w:cs="Times New Roman"/>
          <w:szCs w:val="24"/>
          <w:lang w:val="en-US"/>
        </w:rPr>
        <w:t xml:space="preserve"> </w:t>
      </w:r>
      <w:r w:rsidRPr="0097588B">
        <w:rPr>
          <w:rFonts w:cs="Times New Roman"/>
          <w:szCs w:val="24"/>
          <w:lang w:val="en-US"/>
        </w:rPr>
        <w:t>ὥστ</w:t>
      </w:r>
      <w:r w:rsidR="00075F5F">
        <w:rPr>
          <w:rFonts w:cs="Times New Roman"/>
          <w:szCs w:val="24"/>
          <w:lang w:val="en-US"/>
        </w:rPr>
        <w:t>’</w:t>
      </w:r>
      <w:r w:rsidRPr="0097588B">
        <w:rPr>
          <w:rFonts w:cs="Times New Roman"/>
          <w:szCs w:val="24"/>
          <w:lang w:val="en-US"/>
        </w:rPr>
        <w:t xml:space="preserve"> ὄνου ῥάχις / ἕστηκεν ὕλης ἀγρίης ἐπιστεφής </w:t>
      </w:r>
      <w:r w:rsidR="00CC0615">
        <w:rPr>
          <w:rFonts w:cs="Times New Roman"/>
          <w:szCs w:val="24"/>
          <w:lang w:val="en-US"/>
        </w:rPr>
        <w:t>“</w:t>
      </w:r>
      <w:r w:rsidRPr="0097588B">
        <w:rPr>
          <w:rFonts w:cs="Times New Roman"/>
          <w:szCs w:val="24"/>
          <w:lang w:val="en-US"/>
        </w:rPr>
        <w:t>this (island) stands like the blackbone of an ass, coverted with a wild forest,</w:t>
      </w:r>
      <w:r w:rsidR="00CC0615">
        <w:rPr>
          <w:rFonts w:cs="Times New Roman"/>
          <w:szCs w:val="24"/>
          <w:lang w:val="en-US"/>
        </w:rPr>
        <w:t>”</w:t>
      </w:r>
      <w:r w:rsidRPr="0097588B">
        <w:rPr>
          <w:rFonts w:cs="Times New Roman"/>
          <w:szCs w:val="24"/>
          <w:lang w:val="en-US"/>
        </w:rPr>
        <w:t xml:space="preserve"> where ἥδε makes the island about which Archilochus is talking present to the mind of the listeners; </w:t>
      </w:r>
    </w:p>
    <w:p w14:paraId="00F860B3" w14:textId="269B16A0" w:rsidR="00937994" w:rsidRPr="00754F18" w:rsidRDefault="00937994" w:rsidP="0009750B">
      <w:pPr>
        <w:numPr>
          <w:ilvl w:val="0"/>
          <w:numId w:val="60"/>
        </w:numPr>
        <w:tabs>
          <w:tab w:val="left" w:pos="1080"/>
          <w:tab w:val="center" w:pos="5387"/>
        </w:tabs>
        <w:ind w:left="1077" w:hanging="357"/>
        <w:rPr>
          <w:rFonts w:cs="Times New Roman"/>
          <w:szCs w:val="24"/>
          <w:lang w:val="en-US"/>
        </w:rPr>
      </w:pPr>
      <w:r w:rsidRPr="0097588B">
        <w:rPr>
          <w:rFonts w:cs="Times New Roman"/>
          <w:szCs w:val="24"/>
          <w:lang w:val="en-US"/>
        </w:rPr>
        <w:t>Archil. fr. 113 ἤμβλακον. καί πού τιν</w:t>
      </w:r>
      <w:r w:rsidR="00075F5F">
        <w:rPr>
          <w:rFonts w:cs="Times New Roman"/>
          <w:szCs w:val="24"/>
          <w:lang w:val="en-US"/>
        </w:rPr>
        <w:t>’</w:t>
      </w:r>
      <w:r w:rsidRPr="0097588B">
        <w:rPr>
          <w:rFonts w:cs="Times New Roman"/>
          <w:szCs w:val="24"/>
          <w:lang w:val="en-US"/>
        </w:rPr>
        <w:t xml:space="preserve"> ἄλλον ἥδ</w:t>
      </w:r>
      <w:r w:rsidR="00075F5F">
        <w:rPr>
          <w:rFonts w:cs="Times New Roman"/>
          <w:szCs w:val="24"/>
          <w:lang w:val="en-US"/>
        </w:rPr>
        <w:t>’</w:t>
      </w:r>
      <w:r w:rsidRPr="0097588B">
        <w:rPr>
          <w:rFonts w:cs="Times New Roman"/>
          <w:szCs w:val="24"/>
          <w:lang w:val="en-US"/>
        </w:rPr>
        <w:t xml:space="preserve"> </w:t>
      </w:r>
      <w:hyperlink r:id="rId36" w:history="1">
        <w:r w:rsidRPr="008532F4">
          <w:rPr>
            <w:rFonts w:cs="Times New Roman"/>
            <w:szCs w:val="24"/>
            <w:lang w:val="en-US"/>
          </w:rPr>
          <w:t>†</w:t>
        </w:r>
      </w:hyperlink>
      <w:r w:rsidRPr="008532F4">
        <w:rPr>
          <w:rFonts w:cs="Times New Roman"/>
          <w:szCs w:val="24"/>
          <w:lang w:val="en-US"/>
        </w:rPr>
        <w:t xml:space="preserve">ἄτη </w:t>
      </w:r>
      <w:r w:rsidR="00075F5F">
        <w:rPr>
          <w:rFonts w:cs="Times New Roman"/>
          <w:szCs w:val="24"/>
          <w:lang w:val="en-US"/>
        </w:rPr>
        <w:t>‘</w:t>
      </w:r>
      <w:r w:rsidRPr="008532F4">
        <w:rPr>
          <w:rFonts w:cs="Times New Roman"/>
          <w:szCs w:val="24"/>
          <w:lang w:val="en-US"/>
        </w:rPr>
        <w:t xml:space="preserve">κιχήσατο </w:t>
      </w:r>
      <w:r w:rsidR="00CC0615">
        <w:rPr>
          <w:rFonts w:cs="Times New Roman"/>
          <w:szCs w:val="24"/>
          <w:lang w:val="en-US"/>
        </w:rPr>
        <w:t>“</w:t>
      </w:r>
      <w:r w:rsidRPr="008532F4">
        <w:rPr>
          <w:rFonts w:cs="Times New Roman"/>
          <w:szCs w:val="24"/>
          <w:lang w:val="en-US"/>
        </w:rPr>
        <w:t>I erred, and perhaps this infatuation has come upon another,</w:t>
      </w:r>
      <w:r w:rsidR="00CC0615">
        <w:rPr>
          <w:rFonts w:cs="Times New Roman"/>
          <w:szCs w:val="24"/>
          <w:lang w:val="en-US"/>
        </w:rPr>
        <w:t>”</w:t>
      </w:r>
      <w:r w:rsidRPr="008532F4">
        <w:rPr>
          <w:rFonts w:cs="Times New Roman"/>
          <w:szCs w:val="24"/>
          <w:lang w:val="en-US"/>
        </w:rPr>
        <w:t xml:space="preserve"> where the poet wants to make concrete the abstract conce</w:t>
      </w:r>
      <w:r w:rsidRPr="009D3F3F">
        <w:rPr>
          <w:rFonts w:cs="Times New Roman"/>
          <w:szCs w:val="24"/>
          <w:lang w:val="en-US"/>
        </w:rPr>
        <w:t xml:space="preserve">pt of </w:t>
      </w:r>
      <w:r w:rsidR="00CC0615">
        <w:rPr>
          <w:rFonts w:cs="Times New Roman"/>
          <w:szCs w:val="24"/>
          <w:lang w:val="en-US"/>
        </w:rPr>
        <w:t>“</w:t>
      </w:r>
      <w:r w:rsidRPr="009D3F3F">
        <w:rPr>
          <w:rFonts w:cs="Times New Roman"/>
          <w:szCs w:val="24"/>
          <w:lang w:val="en-US"/>
        </w:rPr>
        <w:t>in</w:t>
      </w:r>
      <w:r w:rsidRPr="00592079">
        <w:rPr>
          <w:rFonts w:cs="Times New Roman"/>
          <w:szCs w:val="24"/>
          <w:lang w:val="en-US"/>
        </w:rPr>
        <w:t>fatuation,</w:t>
      </w:r>
      <w:r w:rsidR="00CC0615">
        <w:rPr>
          <w:rFonts w:cs="Times New Roman"/>
          <w:szCs w:val="24"/>
          <w:lang w:val="en-US"/>
        </w:rPr>
        <w:t>”</w:t>
      </w:r>
      <w:r w:rsidRPr="00592079">
        <w:rPr>
          <w:rFonts w:cs="Times New Roman"/>
          <w:szCs w:val="24"/>
          <w:lang w:val="en-US"/>
        </w:rPr>
        <w:t xml:space="preserve"> accompanying the noun ἄτη </w:t>
      </w:r>
      <w:r w:rsidR="00CC0615">
        <w:rPr>
          <w:rFonts w:cs="Times New Roman"/>
          <w:szCs w:val="24"/>
          <w:lang w:val="en-US"/>
        </w:rPr>
        <w:t>“</w:t>
      </w:r>
      <w:r w:rsidRPr="00592079">
        <w:rPr>
          <w:rFonts w:cs="Times New Roman"/>
          <w:szCs w:val="24"/>
          <w:lang w:val="en-US"/>
        </w:rPr>
        <w:t>infatuation</w:t>
      </w:r>
      <w:r w:rsidR="00CC0615">
        <w:rPr>
          <w:rFonts w:cs="Times New Roman"/>
          <w:szCs w:val="24"/>
          <w:lang w:val="en-US"/>
        </w:rPr>
        <w:t>”</w:t>
      </w:r>
      <w:r w:rsidRPr="00592079">
        <w:rPr>
          <w:rFonts w:cs="Times New Roman"/>
          <w:szCs w:val="24"/>
          <w:lang w:val="en-US"/>
        </w:rPr>
        <w:t xml:space="preserve"> with the demonstrative adjective </w:t>
      </w:r>
      <w:r w:rsidRPr="00FF2BA2">
        <w:rPr>
          <w:rFonts w:cs="Times New Roman"/>
          <w:szCs w:val="24"/>
          <w:lang w:val="en-US"/>
        </w:rPr>
        <w:t>ἥ</w:t>
      </w:r>
      <w:r w:rsidRPr="00754F18">
        <w:rPr>
          <w:rFonts w:cs="Times New Roman"/>
          <w:szCs w:val="24"/>
          <w:lang w:val="en-US"/>
        </w:rPr>
        <w:t xml:space="preserve">δε. </w:t>
      </w:r>
    </w:p>
    <w:p w14:paraId="53A27138" w14:textId="231B5654" w:rsidR="00937994" w:rsidRPr="008532F4" w:rsidRDefault="00937994" w:rsidP="0009750B">
      <w:pPr>
        <w:numPr>
          <w:ilvl w:val="0"/>
          <w:numId w:val="59"/>
        </w:numPr>
        <w:tabs>
          <w:tab w:val="left" w:pos="360"/>
          <w:tab w:val="left" w:pos="720"/>
          <w:tab w:val="center" w:pos="5387"/>
        </w:tabs>
        <w:rPr>
          <w:rFonts w:cs="Times New Roman"/>
          <w:szCs w:val="24"/>
          <w:lang w:val="en-US"/>
        </w:rPr>
      </w:pPr>
      <w:r w:rsidRPr="0097588B">
        <w:rPr>
          <w:rFonts w:cs="Times New Roman"/>
          <w:szCs w:val="24"/>
          <w:lang w:val="en-US"/>
        </w:rPr>
        <w:t>foc</w:t>
      </w:r>
      <w:r w:rsidR="008532F4">
        <w:rPr>
          <w:rFonts w:cs="Times New Roman"/>
          <w:szCs w:val="24"/>
          <w:lang w:val="en-US"/>
        </w:rPr>
        <w:t xml:space="preserve">us </w:t>
      </w:r>
      <w:r w:rsidRPr="008532F4">
        <w:rPr>
          <w:rFonts w:cs="Times New Roman"/>
          <w:szCs w:val="24"/>
          <w:lang w:val="en-US"/>
        </w:rPr>
        <w:t xml:space="preserve">on the </w:t>
      </w:r>
      <w:r w:rsidR="00CC0615">
        <w:rPr>
          <w:rFonts w:cs="Times New Roman"/>
          <w:szCs w:val="24"/>
          <w:lang w:val="en-US"/>
        </w:rPr>
        <w:t>“</w:t>
      </w:r>
      <w:r w:rsidRPr="008532F4">
        <w:rPr>
          <w:rFonts w:cs="Times New Roman"/>
          <w:szCs w:val="24"/>
          <w:lang w:val="en-US"/>
        </w:rPr>
        <w:t>I</w:t>
      </w:r>
      <w:r w:rsidR="00CC0615">
        <w:rPr>
          <w:rFonts w:cs="Times New Roman"/>
          <w:szCs w:val="24"/>
          <w:lang w:val="en-US"/>
        </w:rPr>
        <w:t>”</w:t>
      </w:r>
      <w:r w:rsidRPr="008532F4">
        <w:rPr>
          <w:rFonts w:cs="Times New Roman"/>
          <w:szCs w:val="24"/>
          <w:lang w:val="en-US"/>
        </w:rPr>
        <w:t xml:space="preserve"> of the speaker, as shown by:</w:t>
      </w:r>
    </w:p>
    <w:p w14:paraId="19DE590B" w14:textId="583CB200" w:rsidR="00937994" w:rsidRPr="0097588B" w:rsidRDefault="00937994" w:rsidP="0009750B">
      <w:pPr>
        <w:numPr>
          <w:ilvl w:val="0"/>
          <w:numId w:val="61"/>
        </w:numPr>
        <w:tabs>
          <w:tab w:val="left" w:pos="1080"/>
          <w:tab w:val="center" w:pos="5387"/>
        </w:tabs>
        <w:ind w:left="1077" w:hanging="357"/>
        <w:rPr>
          <w:rFonts w:cs="Times New Roman"/>
          <w:szCs w:val="24"/>
          <w:lang w:val="en-US"/>
        </w:rPr>
      </w:pPr>
      <w:r w:rsidRPr="008532F4">
        <w:rPr>
          <w:rFonts w:cs="Times New Roman"/>
          <w:szCs w:val="24"/>
          <w:lang w:val="en-US"/>
        </w:rPr>
        <w:t>Archil. fr. 54.16 λόγωι ν</w:t>
      </w:r>
      <w:r w:rsidR="00F676EB" w:rsidRPr="008532F4">
        <w:rPr>
          <w:rFonts w:cs="Times New Roman"/>
          <w:szCs w:val="24"/>
          <w:lang w:val="el-GR"/>
        </w:rPr>
        <w:t>ῦ</w:t>
      </w:r>
      <w:r w:rsidRPr="008532F4">
        <w:rPr>
          <w:rFonts w:cs="Times New Roman"/>
          <w:szCs w:val="24"/>
          <w:lang w:val="en-US"/>
        </w:rPr>
        <w:t>ν τῶιδ</w:t>
      </w:r>
      <w:r w:rsidR="00075F5F">
        <w:rPr>
          <w:rFonts w:cs="Times New Roman"/>
          <w:szCs w:val="24"/>
          <w:lang w:val="en-US"/>
        </w:rPr>
        <w:t>’</w:t>
      </w:r>
      <w:r w:rsidRPr="008532F4">
        <w:rPr>
          <w:rFonts w:cs="Times New Roman"/>
          <w:szCs w:val="24"/>
          <w:lang w:val="en-US"/>
        </w:rPr>
        <w:t xml:space="preserve"> ἀληθείη πάρα </w:t>
      </w:r>
      <w:r w:rsidR="00CC0615">
        <w:rPr>
          <w:rFonts w:cs="Times New Roman"/>
          <w:szCs w:val="24"/>
          <w:lang w:val="en-US"/>
        </w:rPr>
        <w:t>“</w:t>
      </w:r>
      <w:r w:rsidRPr="008532F4">
        <w:rPr>
          <w:rFonts w:cs="Times New Roman"/>
          <w:szCs w:val="24"/>
          <w:lang w:val="en-US"/>
        </w:rPr>
        <w:t>there is truth then in this my speech.</w:t>
      </w:r>
      <w:r w:rsidR="00CC0615">
        <w:rPr>
          <w:rFonts w:cs="Times New Roman"/>
          <w:szCs w:val="24"/>
          <w:lang w:val="en-US"/>
        </w:rPr>
        <w:t>”</w:t>
      </w:r>
      <w:r w:rsidRPr="008532F4">
        <w:rPr>
          <w:rFonts w:cs="Times New Roman"/>
          <w:szCs w:val="24"/>
          <w:lang w:val="en-US"/>
        </w:rPr>
        <w:t xml:space="preserve"> The example of </w:t>
      </w:r>
      <w:r w:rsidRPr="009D3F3F">
        <w:rPr>
          <w:rFonts w:cs="Times New Roman"/>
          <w:szCs w:val="24"/>
          <w:lang w:val="en-US"/>
        </w:rPr>
        <w:t>ὅδε as pro</w:t>
      </w:r>
      <w:r w:rsidRPr="00592079">
        <w:rPr>
          <w:rFonts w:cs="Times New Roman"/>
          <w:szCs w:val="24"/>
          <w:lang w:val="en-US"/>
        </w:rPr>
        <w:t xml:space="preserve">noun of auto-refentiality is quite </w:t>
      </w:r>
      <w:r w:rsidRPr="00FF2BA2">
        <w:rPr>
          <w:rFonts w:cs="Times New Roman"/>
          <w:i/>
          <w:iCs/>
          <w:szCs w:val="24"/>
          <w:lang w:val="en-US"/>
        </w:rPr>
        <w:t>sui generis</w:t>
      </w:r>
      <w:r w:rsidRPr="00754F18">
        <w:rPr>
          <w:rFonts w:cs="Times New Roman"/>
          <w:szCs w:val="24"/>
          <w:lang w:val="en-US"/>
        </w:rPr>
        <w:t xml:space="preserve">, since there is no reference to the poetic </w:t>
      </w:r>
      <w:r w:rsidR="00CC0615">
        <w:rPr>
          <w:rFonts w:cs="Times New Roman"/>
          <w:szCs w:val="24"/>
          <w:lang w:val="en-US"/>
        </w:rPr>
        <w:t>“</w:t>
      </w:r>
      <w:r w:rsidRPr="00754F18">
        <w:rPr>
          <w:rFonts w:cs="Times New Roman"/>
          <w:szCs w:val="24"/>
          <w:lang w:val="en-US"/>
        </w:rPr>
        <w:t>I.</w:t>
      </w:r>
      <w:r w:rsidR="00CC0615">
        <w:rPr>
          <w:rFonts w:cs="Times New Roman"/>
          <w:szCs w:val="24"/>
          <w:lang w:val="en-US"/>
        </w:rPr>
        <w:t>”</w:t>
      </w:r>
      <w:r w:rsidRPr="00754F18">
        <w:rPr>
          <w:rFonts w:cs="Times New Roman"/>
          <w:szCs w:val="24"/>
          <w:lang w:val="en-US"/>
        </w:rPr>
        <w:t xml:space="preserve"> But it is the very presence of the demonstrative τ</w:t>
      </w:r>
      <w:r w:rsidRPr="0097588B">
        <w:rPr>
          <w:rFonts w:cs="Times New Roman"/>
          <w:szCs w:val="24"/>
          <w:lang w:val="en-US"/>
        </w:rPr>
        <w:t xml:space="preserve">ῶιδε which makes clear that the poet is referring to his </w:t>
      </w:r>
      <w:r w:rsidRPr="0097588B">
        <w:rPr>
          <w:rFonts w:cs="Times New Roman"/>
          <w:szCs w:val="24"/>
          <w:lang w:val="en-US"/>
        </w:rPr>
        <w:lastRenderedPageBreak/>
        <w:t>speeech and, ultimetely, to himself. A few lines later, the self-reference becomes clear through the use of the personal pronoun ἐγώ. Indeed, Archilochus often refers to himself as ἐγώ, in the first person: there are 32 instances of the first personal pronoun in Archilochus</w:t>
      </w:r>
      <w:r w:rsidR="00075F5F">
        <w:rPr>
          <w:rFonts w:cs="Times New Roman"/>
          <w:szCs w:val="24"/>
          <w:lang w:val="en-US"/>
        </w:rPr>
        <w:t>’</w:t>
      </w:r>
      <w:r w:rsidRPr="0097588B">
        <w:rPr>
          <w:rFonts w:cs="Times New Roman"/>
          <w:szCs w:val="24"/>
          <w:lang w:val="en-US"/>
        </w:rPr>
        <w:t xml:space="preserve"> </w:t>
      </w:r>
      <w:r w:rsidRPr="0097588B">
        <w:rPr>
          <w:rFonts w:cs="Times New Roman"/>
          <w:i/>
          <w:iCs/>
          <w:szCs w:val="24"/>
          <w:lang w:val="en-US"/>
        </w:rPr>
        <w:t>corpus</w:t>
      </w:r>
      <w:r w:rsidRPr="0097588B">
        <w:rPr>
          <w:rFonts w:cs="Times New Roman"/>
          <w:szCs w:val="24"/>
          <w:lang w:val="en-US"/>
        </w:rPr>
        <w:t>.</w:t>
      </w:r>
    </w:p>
    <w:p w14:paraId="020AAA5B" w14:textId="3715345A" w:rsidR="00937994" w:rsidRPr="0097588B" w:rsidRDefault="00937994" w:rsidP="0097588B">
      <w:pPr>
        <w:spacing w:before="120"/>
        <w:rPr>
          <w:rFonts w:cs="Times New Roman"/>
          <w:szCs w:val="24"/>
          <w:lang w:val="en-US"/>
        </w:rPr>
      </w:pPr>
      <w:r w:rsidRPr="0097588B">
        <w:rPr>
          <w:rFonts w:cs="Times New Roman"/>
          <w:szCs w:val="24"/>
          <w:lang w:val="en-US"/>
        </w:rPr>
        <w:t xml:space="preserve">Archilochus uses </w:t>
      </w:r>
      <w:r w:rsidR="00CC0615">
        <w:rPr>
          <w:rFonts w:cs="Times New Roman"/>
          <w:szCs w:val="24"/>
          <w:lang w:val="en-US"/>
        </w:rPr>
        <w:t>“</w:t>
      </w:r>
      <w:r w:rsidRPr="0097588B">
        <w:rPr>
          <w:rFonts w:cs="Times New Roman"/>
          <w:szCs w:val="24"/>
          <w:lang w:val="en-US"/>
        </w:rPr>
        <w:t>I</w:t>
      </w:r>
      <w:r w:rsidR="00CC0615">
        <w:rPr>
          <w:rFonts w:cs="Times New Roman"/>
          <w:szCs w:val="24"/>
          <w:lang w:val="en-US"/>
        </w:rPr>
        <w:t>”</w:t>
      </w:r>
      <w:r w:rsidRPr="0097588B">
        <w:rPr>
          <w:rFonts w:cs="Times New Roman"/>
          <w:szCs w:val="24"/>
          <w:lang w:val="en-US"/>
        </w:rPr>
        <w:t xml:space="preserve"> and ὅδε in order to build a fictional reality which is consistent with the </w:t>
      </w:r>
      <w:r w:rsidRPr="0097588B">
        <w:rPr>
          <w:rFonts w:cs="Times New Roman"/>
          <w:i/>
          <w:iCs/>
          <w:szCs w:val="24"/>
          <w:lang w:val="en-US"/>
        </w:rPr>
        <w:t>hic et nunc</w:t>
      </w:r>
      <w:r w:rsidRPr="0097588B">
        <w:rPr>
          <w:rFonts w:cs="Times New Roman"/>
          <w:szCs w:val="24"/>
          <w:lang w:val="en-US"/>
        </w:rPr>
        <w:t xml:space="preserve"> of his audience, as shown by his fragment 7.8-9 οὐδὲ γὰρ ἡμεῖς / νηφέμεν ἐν φυλακῆι τῆιδε δυνησόμεθα </w:t>
      </w:r>
      <w:r w:rsidR="00CC0615">
        <w:rPr>
          <w:rFonts w:cs="Times New Roman"/>
          <w:szCs w:val="24"/>
          <w:lang w:val="en-US"/>
        </w:rPr>
        <w:t>“</w:t>
      </w:r>
      <w:r w:rsidRPr="0097588B">
        <w:rPr>
          <w:rFonts w:cs="Times New Roman"/>
          <w:szCs w:val="24"/>
          <w:lang w:val="en-US"/>
        </w:rPr>
        <w:t>we won</w:t>
      </w:r>
      <w:r w:rsidR="00075F5F">
        <w:rPr>
          <w:rFonts w:cs="Times New Roman"/>
          <w:szCs w:val="24"/>
          <w:lang w:val="en-US"/>
        </w:rPr>
        <w:t>’</w:t>
      </w:r>
      <w:r w:rsidRPr="0097588B">
        <w:rPr>
          <w:rFonts w:cs="Times New Roman"/>
          <w:szCs w:val="24"/>
          <w:lang w:val="en-US"/>
        </w:rPr>
        <w:t>t be able to stay sober on this watch.</w:t>
      </w:r>
      <w:r w:rsidR="00CC0615">
        <w:rPr>
          <w:rFonts w:cs="Times New Roman"/>
          <w:szCs w:val="24"/>
          <w:lang w:val="en-US"/>
        </w:rPr>
        <w:t>”</w:t>
      </w:r>
      <w:r w:rsidRPr="0097588B">
        <w:rPr>
          <w:rFonts w:cs="Times New Roman"/>
          <w:szCs w:val="24"/>
          <w:lang w:val="en-US"/>
        </w:rPr>
        <w:t xml:space="preserve"> Archilochus is speaking to a group of his friends and he is also referring to him and them together. The deictic points out both the situation which Archilochus is creating towards his words and the act of drinking which he is encouraging. Therefore, Archilochus</w:t>
      </w:r>
      <w:r w:rsidR="00075F5F">
        <w:rPr>
          <w:rFonts w:cs="Times New Roman"/>
          <w:szCs w:val="24"/>
          <w:lang w:val="en-US"/>
        </w:rPr>
        <w:t>’</w:t>
      </w:r>
      <w:r w:rsidRPr="0097588B">
        <w:rPr>
          <w:rFonts w:cs="Times New Roman"/>
          <w:szCs w:val="24"/>
          <w:lang w:val="en-US"/>
        </w:rPr>
        <w:t xml:space="preserve"> fictional reality is consistent with and supported by </w:t>
      </w:r>
      <w:r w:rsidRPr="0097588B">
        <w:rPr>
          <w:rFonts w:cs="Times New Roman"/>
          <w:i/>
          <w:iCs/>
          <w:szCs w:val="24"/>
          <w:lang w:val="en-US"/>
        </w:rPr>
        <w:t>demonstratio ad oculos</w:t>
      </w:r>
      <w:r w:rsidRPr="0097588B">
        <w:rPr>
          <w:rFonts w:cs="Times New Roman"/>
          <w:szCs w:val="24"/>
          <w:lang w:val="en-US"/>
        </w:rPr>
        <w:t xml:space="preserve">. Furthermore, even while pointing to what is external to the discourse, the process of </w:t>
      </w:r>
      <w:r w:rsidRPr="0097588B">
        <w:rPr>
          <w:rFonts w:cs="Times New Roman"/>
          <w:i/>
          <w:iCs/>
          <w:szCs w:val="24"/>
          <w:lang w:val="en-US"/>
        </w:rPr>
        <w:t>demonstratio ad oculos</w:t>
      </w:r>
      <w:r w:rsidRPr="0097588B">
        <w:rPr>
          <w:rFonts w:cs="Times New Roman"/>
          <w:szCs w:val="24"/>
          <w:lang w:val="en-US"/>
        </w:rPr>
        <w:t xml:space="preserve"> can also refer both to what precedes it in the discourse itself as well as to what follows, that is, to what has been constructed within the text, thanks to</w:t>
      </w:r>
      <w:r w:rsidR="00CB1276">
        <w:rPr>
          <w:rFonts w:cs="Times New Roman"/>
          <w:szCs w:val="24"/>
          <w:lang w:val="en-US"/>
        </w:rPr>
        <w:t xml:space="preserve"> </w:t>
      </w:r>
      <w:r w:rsidR="00CB1276" w:rsidRPr="00D10A84">
        <w:rPr>
          <w:rFonts w:cs="Times New Roman"/>
          <w:i/>
          <w:szCs w:val="24"/>
          <w:lang w:val="en-US"/>
        </w:rPr>
        <w:t>Anaphora</w:t>
      </w:r>
      <w:r w:rsidRPr="0097588B">
        <w:rPr>
          <w:rFonts w:cs="Times New Roman"/>
          <w:szCs w:val="24"/>
          <w:lang w:val="en-US"/>
        </w:rPr>
        <w:t xml:space="preserve">. </w:t>
      </w:r>
    </w:p>
    <w:p w14:paraId="6660E22D" w14:textId="0362A1B5" w:rsidR="006512C4" w:rsidRPr="0097588B" w:rsidRDefault="00937994" w:rsidP="008532F4">
      <w:pPr>
        <w:autoSpaceDE w:val="0"/>
        <w:autoSpaceDN w:val="0"/>
        <w:adjustRightInd w:val="0"/>
        <w:ind w:firstLine="426"/>
        <w:rPr>
          <w:rFonts w:cs="Times New Roman"/>
          <w:szCs w:val="24"/>
        </w:rPr>
      </w:pPr>
      <w:r w:rsidRPr="0097588B">
        <w:rPr>
          <w:rFonts w:cs="Times New Roman"/>
          <w:szCs w:val="24"/>
          <w:lang w:val="en-US"/>
        </w:rPr>
        <w:t>Archilochus</w:t>
      </w:r>
      <w:r w:rsidR="00075F5F">
        <w:rPr>
          <w:rFonts w:cs="Times New Roman"/>
          <w:szCs w:val="24"/>
          <w:lang w:val="en-US"/>
        </w:rPr>
        <w:t>’</w:t>
      </w:r>
      <w:r w:rsidRPr="0097588B">
        <w:rPr>
          <w:rFonts w:cs="Times New Roman"/>
          <w:szCs w:val="24"/>
          <w:lang w:val="en-US"/>
        </w:rPr>
        <w:t xml:space="preserve"> fragments, by means of a deictic marker such as ὅδε in Greek (which simultaneously embraces contextual proximity and situational reference), acquire a double referential function. For example, Archilocus</w:t>
      </w:r>
      <w:r w:rsidR="00075F5F">
        <w:rPr>
          <w:rFonts w:cs="Times New Roman"/>
          <w:szCs w:val="24"/>
          <w:lang w:val="en-US"/>
        </w:rPr>
        <w:t>’</w:t>
      </w:r>
      <w:r w:rsidRPr="0097588B">
        <w:rPr>
          <w:rFonts w:cs="Times New Roman"/>
          <w:szCs w:val="24"/>
          <w:lang w:val="en-US"/>
        </w:rPr>
        <w:t>s fr. 54.25 says καὶ τόδ</w:t>
      </w:r>
      <w:r w:rsidR="00075F5F">
        <w:rPr>
          <w:rFonts w:cs="Times New Roman"/>
          <w:szCs w:val="24"/>
          <w:lang w:val="en-US"/>
        </w:rPr>
        <w:t>’</w:t>
      </w:r>
      <w:r w:rsidRPr="0097588B">
        <w:rPr>
          <w:rFonts w:cs="Times New Roman"/>
          <w:szCs w:val="24"/>
          <w:lang w:val="en-US"/>
        </w:rPr>
        <w:t xml:space="preserve"> ἁρπαλίζομαι </w:t>
      </w:r>
      <w:r w:rsidR="00CC0615">
        <w:rPr>
          <w:rFonts w:cs="Times New Roman"/>
          <w:szCs w:val="24"/>
          <w:lang w:val="en-US"/>
        </w:rPr>
        <w:t>“</w:t>
      </w:r>
      <w:r w:rsidRPr="0097588B">
        <w:rPr>
          <w:rFonts w:cs="Times New Roman"/>
          <w:szCs w:val="24"/>
          <w:lang w:val="en-US"/>
        </w:rPr>
        <w:t>I am glad of this,</w:t>
      </w:r>
      <w:r w:rsidR="00CC0615">
        <w:rPr>
          <w:rFonts w:cs="Times New Roman"/>
          <w:szCs w:val="24"/>
          <w:lang w:val="en-US"/>
        </w:rPr>
        <w:t>”</w:t>
      </w:r>
      <w:r w:rsidRPr="0097588B">
        <w:rPr>
          <w:rFonts w:cs="Times New Roman"/>
          <w:szCs w:val="24"/>
          <w:lang w:val="en-US"/>
        </w:rPr>
        <w:t xml:space="preserve"> where τόδε means both something near in the context of Archilochus</w:t>
      </w:r>
      <w:r w:rsidR="00075F5F">
        <w:rPr>
          <w:rFonts w:cs="Times New Roman"/>
          <w:szCs w:val="24"/>
          <w:lang w:val="en-US"/>
        </w:rPr>
        <w:t>’</w:t>
      </w:r>
      <w:r w:rsidRPr="0097588B">
        <w:rPr>
          <w:rFonts w:cs="Times New Roman"/>
          <w:szCs w:val="24"/>
          <w:lang w:val="en-US"/>
        </w:rPr>
        <w:t xml:space="preserve"> speech – he is about to say what he is glad for -, and also means something near to the poet – this meaning is additionally strengthened by the verb, which is both in the first person singular and in the present, so that it contributes to portraying the situation as nearer to the speaker</w:t>
      </w:r>
      <w:r w:rsidR="00075F5F">
        <w:rPr>
          <w:rFonts w:cs="Times New Roman"/>
          <w:szCs w:val="24"/>
          <w:lang w:val="en-US"/>
        </w:rPr>
        <w:t>’</w:t>
      </w:r>
      <w:r w:rsidRPr="0097588B">
        <w:rPr>
          <w:rFonts w:cs="Times New Roman"/>
          <w:szCs w:val="24"/>
          <w:lang w:val="en-US"/>
        </w:rPr>
        <w:t xml:space="preserve">s space and time. </w:t>
      </w:r>
    </w:p>
    <w:p w14:paraId="07C9A3C4" w14:textId="569CB7D8" w:rsidR="00F4130F" w:rsidRPr="00F4130F" w:rsidRDefault="00F4130F" w:rsidP="00F4130F">
      <w:pPr>
        <w:pStyle w:val="Heading4"/>
        <w:rPr>
          <w:b w:val="0"/>
        </w:rPr>
      </w:pPr>
      <w:r w:rsidRPr="002F2AE0">
        <w:rPr>
          <w:b w:val="0"/>
          <w:i/>
        </w:rPr>
        <w:t>Hipponax</w:t>
      </w:r>
      <w:r w:rsidRPr="00F4130F">
        <w:rPr>
          <w:b w:val="0"/>
        </w:rPr>
        <w:t xml:space="preserve"> (</w:t>
      </w:r>
      <w:r w:rsidR="00F5650B">
        <w:t>2</w:t>
      </w:r>
      <w:r w:rsidRPr="00F4130F">
        <w:rPr>
          <w:b w:val="0"/>
        </w:rPr>
        <w:t xml:space="preserve"> A.1)</w:t>
      </w:r>
    </w:p>
    <w:p w14:paraId="17DF8D61" w14:textId="7B8D8AEB" w:rsidR="00F676EB" w:rsidRPr="008532F4" w:rsidRDefault="00F676EB" w:rsidP="0097588B">
      <w:pPr>
        <w:spacing w:after="120"/>
        <w:rPr>
          <w:szCs w:val="24"/>
          <w:lang w:val="en-US"/>
        </w:rPr>
      </w:pPr>
      <w:r w:rsidRPr="008532F4">
        <w:rPr>
          <w:szCs w:val="24"/>
          <w:lang w:val="en-US"/>
        </w:rPr>
        <w:t>Hipponax</w:t>
      </w:r>
      <w:r w:rsidR="00075F5F">
        <w:rPr>
          <w:szCs w:val="24"/>
          <w:lang w:val="en-US"/>
        </w:rPr>
        <w:t>’</w:t>
      </w:r>
      <w:r w:rsidRPr="008532F4">
        <w:rPr>
          <w:szCs w:val="24"/>
          <w:lang w:val="en-US"/>
        </w:rPr>
        <w:t xml:space="preserve">s fragments show some instances of </w:t>
      </w:r>
      <w:r w:rsidRPr="008532F4">
        <w:rPr>
          <w:i/>
          <w:iCs/>
          <w:szCs w:val="24"/>
          <w:lang w:val="en-US"/>
        </w:rPr>
        <w:t>demonstratio ad oculos</w:t>
      </w:r>
      <w:r w:rsidRPr="008532F4">
        <w:rPr>
          <w:szCs w:val="24"/>
          <w:lang w:val="en-US"/>
        </w:rPr>
        <w:t xml:space="preserve">, which has the function of holding up individuals and put them under the judging eyes of the audience. These are always individuals other than the speaker, since Hipponax most often refers to himself as </w:t>
      </w:r>
      <w:r w:rsidR="00CC0615">
        <w:rPr>
          <w:szCs w:val="24"/>
          <w:lang w:val="en-US"/>
        </w:rPr>
        <w:t>“</w:t>
      </w:r>
      <w:r w:rsidRPr="008532F4">
        <w:rPr>
          <w:szCs w:val="24"/>
          <w:lang w:val="en-US"/>
        </w:rPr>
        <w:t>Hipponax</w:t>
      </w:r>
      <w:r w:rsidR="00CC0615">
        <w:rPr>
          <w:szCs w:val="24"/>
          <w:lang w:val="en-US"/>
        </w:rPr>
        <w:t>”</w:t>
      </w:r>
      <w:r w:rsidRPr="008532F4">
        <w:rPr>
          <w:szCs w:val="24"/>
          <w:lang w:val="en-US"/>
        </w:rPr>
        <w:t xml:space="preserve"> rather than as </w:t>
      </w:r>
      <w:r w:rsidR="00CC0615">
        <w:rPr>
          <w:szCs w:val="24"/>
          <w:lang w:val="en-US"/>
        </w:rPr>
        <w:t>“</w:t>
      </w:r>
      <w:r w:rsidRPr="008532F4">
        <w:rPr>
          <w:szCs w:val="24"/>
          <w:lang w:val="en-US"/>
        </w:rPr>
        <w:t>I</w:t>
      </w:r>
      <w:r w:rsidR="00CC0615">
        <w:rPr>
          <w:szCs w:val="24"/>
          <w:lang w:val="en-US"/>
        </w:rPr>
        <w:t>”</w:t>
      </w:r>
      <w:r w:rsidRPr="008532F4">
        <w:rPr>
          <w:szCs w:val="24"/>
          <w:lang w:val="en-US"/>
        </w:rPr>
        <w:t xml:space="preserve">. In this way, Hipponax as author distances himself from the speaker and from the audience. Furthermore, these individuals are often the targets of the speaker. For these reasons, the demonstrative pronoun which usually conveys </w:t>
      </w:r>
      <w:r w:rsidRPr="008532F4">
        <w:rPr>
          <w:i/>
          <w:iCs/>
          <w:szCs w:val="24"/>
          <w:lang w:val="en-US"/>
        </w:rPr>
        <w:t>demonstratio ad oculos</w:t>
      </w:r>
      <w:r w:rsidRPr="008532F4">
        <w:rPr>
          <w:szCs w:val="24"/>
          <w:lang w:val="en-US"/>
        </w:rPr>
        <w:t xml:space="preserve"> is οὗτος</w:t>
      </w:r>
      <w:r w:rsidRPr="008532F4">
        <w:rPr>
          <w:rStyle w:val="FootnoteReference"/>
          <w:szCs w:val="24"/>
          <w:lang w:val="en-US"/>
        </w:rPr>
        <w:footnoteReference w:id="266"/>
      </w:r>
      <w:r w:rsidRPr="008532F4">
        <w:rPr>
          <w:szCs w:val="24"/>
          <w:lang w:val="en-US"/>
        </w:rPr>
        <w:t>, as shown by:</w:t>
      </w:r>
    </w:p>
    <w:p w14:paraId="763F799B" w14:textId="2219DC99" w:rsidR="00F676EB" w:rsidRPr="009D3F3F" w:rsidRDefault="00F676EB" w:rsidP="0097588B">
      <w:pPr>
        <w:widowControl w:val="0"/>
        <w:numPr>
          <w:ilvl w:val="0"/>
          <w:numId w:val="62"/>
        </w:numPr>
        <w:tabs>
          <w:tab w:val="left" w:pos="851"/>
          <w:tab w:val="left" w:pos="1080"/>
          <w:tab w:val="center" w:pos="5387"/>
        </w:tabs>
        <w:ind w:left="851" w:hanging="425"/>
        <w:rPr>
          <w:szCs w:val="24"/>
          <w:lang w:val="en-US"/>
        </w:rPr>
      </w:pPr>
      <w:r w:rsidRPr="008532F4">
        <w:rPr>
          <w:szCs w:val="24"/>
          <w:lang w:val="en-US"/>
        </w:rPr>
        <w:t>Hippon. fr. 69.7-8 τὸν θεοῖσιν ἐ</w:t>
      </w:r>
      <w:r w:rsidRPr="009D3F3F">
        <w:rPr>
          <w:szCs w:val="24"/>
          <w:lang w:val="en-US"/>
        </w:rPr>
        <w:t xml:space="preserve">χθρὸν τοῦτον, </w:t>
      </w:r>
      <w:r w:rsidRPr="00592079">
        <w:rPr>
          <w:szCs w:val="24"/>
          <w:lang w:val="en-US"/>
        </w:rPr>
        <w:t>ὃς κατευδούσης / τ</w:t>
      </w:r>
      <w:r w:rsidRPr="00FF2BA2">
        <w:rPr>
          <w:szCs w:val="24"/>
          <w:lang w:val="en-US"/>
        </w:rPr>
        <w:t>ῆ</w:t>
      </w:r>
      <w:r w:rsidRPr="00754F18">
        <w:rPr>
          <w:szCs w:val="24"/>
          <w:lang w:val="en-US"/>
        </w:rPr>
        <w:t>ς μητρ</w:t>
      </w:r>
      <w:r w:rsidRPr="0097588B">
        <w:rPr>
          <w:szCs w:val="24"/>
          <w:lang w:val="en-US"/>
        </w:rPr>
        <w:t xml:space="preserve">ὸς </w:t>
      </w:r>
      <w:r w:rsidRPr="0097588B">
        <w:rPr>
          <w:szCs w:val="24"/>
          <w:lang w:val="en-US"/>
        </w:rPr>
        <w:lastRenderedPageBreak/>
        <w:t>ἐσκύλευε τὸν βρύσσον</w:t>
      </w:r>
      <w:r w:rsidRPr="008532F4">
        <w:rPr>
          <w:rStyle w:val="FootnoteReference"/>
          <w:szCs w:val="24"/>
          <w:lang w:val="en-US"/>
        </w:rPr>
        <w:footnoteReference w:id="267"/>
      </w:r>
      <w:r w:rsidRPr="008532F4">
        <w:rPr>
          <w:szCs w:val="24"/>
          <w:lang w:val="en-US"/>
        </w:rPr>
        <w:t xml:space="preserve"> </w:t>
      </w:r>
      <w:r w:rsidR="00CC0615">
        <w:rPr>
          <w:szCs w:val="24"/>
          <w:lang w:val="en-US"/>
        </w:rPr>
        <w:t>“</w:t>
      </w:r>
      <w:r w:rsidRPr="008532F4">
        <w:rPr>
          <w:szCs w:val="24"/>
          <w:lang w:val="en-US"/>
        </w:rPr>
        <w:t>this godforsaken fellow, who used to despoil his sleeping mother</w:t>
      </w:r>
      <w:r w:rsidR="00075F5F">
        <w:rPr>
          <w:szCs w:val="24"/>
          <w:lang w:val="en-US"/>
        </w:rPr>
        <w:t>’</w:t>
      </w:r>
      <w:r w:rsidRPr="008532F4">
        <w:rPr>
          <w:szCs w:val="24"/>
          <w:lang w:val="en-US"/>
        </w:rPr>
        <w:t>s sea urchin,</w:t>
      </w:r>
      <w:r w:rsidR="00CC0615">
        <w:rPr>
          <w:szCs w:val="24"/>
          <w:lang w:val="en-US"/>
        </w:rPr>
        <w:t>”</w:t>
      </w:r>
      <w:r w:rsidRPr="008532F4">
        <w:rPr>
          <w:szCs w:val="24"/>
          <w:lang w:val="en-US"/>
        </w:rPr>
        <w:t xml:space="preserve"> where ο</w:t>
      </w:r>
      <w:r w:rsidRPr="009D3F3F">
        <w:rPr>
          <w:szCs w:val="24"/>
          <w:lang w:val="en-US"/>
        </w:rPr>
        <w:t>ὗτος indicates that very man who was ditched by gods, since he despoiled her sea urchin, while his mother slept.</w:t>
      </w:r>
    </w:p>
    <w:p w14:paraId="7C29386D" w14:textId="2CD3F0E0" w:rsidR="00F676EB" w:rsidRPr="0097588B" w:rsidRDefault="00F676EB" w:rsidP="0097588B">
      <w:pPr>
        <w:widowControl w:val="0"/>
        <w:numPr>
          <w:ilvl w:val="0"/>
          <w:numId w:val="62"/>
        </w:numPr>
        <w:tabs>
          <w:tab w:val="left" w:pos="851"/>
          <w:tab w:val="left" w:pos="1080"/>
          <w:tab w:val="center" w:pos="5387"/>
        </w:tabs>
        <w:ind w:left="851" w:hanging="425"/>
        <w:rPr>
          <w:szCs w:val="24"/>
          <w:lang w:val="en-US"/>
        </w:rPr>
      </w:pPr>
      <w:r w:rsidRPr="00592079">
        <w:rPr>
          <w:szCs w:val="24"/>
          <w:lang w:val="en-US"/>
        </w:rPr>
        <w:t>Hippon. fr. 190 ἀ</w:t>
      </w:r>
      <w:r w:rsidRPr="00FF2BA2">
        <w:rPr>
          <w:szCs w:val="24"/>
          <w:lang w:val="en-US"/>
        </w:rPr>
        <w:t>φέω το</w:t>
      </w:r>
      <w:r w:rsidRPr="00754F18">
        <w:rPr>
          <w:szCs w:val="24"/>
          <w:lang w:val="en-US"/>
        </w:rPr>
        <w:t>ῦ</w:t>
      </w:r>
      <w:r w:rsidRPr="0097588B">
        <w:rPr>
          <w:szCs w:val="24"/>
          <w:lang w:val="en-US"/>
        </w:rPr>
        <w:t xml:space="preserve">τον / τὸν ἑπτάδουλον; </w:t>
      </w:r>
      <w:r w:rsidR="00CC0615">
        <w:rPr>
          <w:szCs w:val="24"/>
          <w:lang w:val="en-US"/>
        </w:rPr>
        <w:t>“</w:t>
      </w:r>
      <w:r w:rsidRPr="0097588B">
        <w:rPr>
          <w:szCs w:val="24"/>
          <w:lang w:val="en-US"/>
        </w:rPr>
        <w:t>Am I to excuse this sevenfold slave?,</w:t>
      </w:r>
      <w:r w:rsidR="00CC0615">
        <w:rPr>
          <w:szCs w:val="24"/>
          <w:lang w:val="en-US"/>
        </w:rPr>
        <w:t>”</w:t>
      </w:r>
      <w:r w:rsidRPr="0097588B">
        <w:rPr>
          <w:szCs w:val="24"/>
          <w:lang w:val="en-US"/>
        </w:rPr>
        <w:t xml:space="preserve"> where οὗτος points out the man against whom the iambographer is speaking. </w:t>
      </w:r>
    </w:p>
    <w:p w14:paraId="54669705" w14:textId="438638E3" w:rsidR="00F676EB" w:rsidRPr="00592079" w:rsidRDefault="00F676EB" w:rsidP="0097588B">
      <w:pPr>
        <w:spacing w:before="120"/>
        <w:rPr>
          <w:szCs w:val="24"/>
          <w:lang w:val="en-US"/>
        </w:rPr>
      </w:pPr>
      <w:r w:rsidRPr="0097588B">
        <w:rPr>
          <w:szCs w:val="24"/>
          <w:lang w:val="en-US"/>
        </w:rPr>
        <w:t>The only extant instance of ὅδε in Hipponax</w:t>
      </w:r>
      <w:r w:rsidR="00075F5F">
        <w:rPr>
          <w:szCs w:val="24"/>
          <w:lang w:val="en-US"/>
        </w:rPr>
        <w:t>’</w:t>
      </w:r>
      <w:r w:rsidRPr="0097588B">
        <w:rPr>
          <w:szCs w:val="24"/>
          <w:lang w:val="en-US"/>
        </w:rPr>
        <w:t xml:space="preserve">s </w:t>
      </w:r>
      <w:r w:rsidRPr="0097588B">
        <w:rPr>
          <w:i/>
          <w:iCs/>
          <w:szCs w:val="24"/>
          <w:lang w:val="en-US"/>
        </w:rPr>
        <w:t>corpus</w:t>
      </w:r>
      <w:r w:rsidRPr="0097588B">
        <w:rPr>
          <w:szCs w:val="24"/>
          <w:lang w:val="en-US"/>
        </w:rPr>
        <w:t xml:space="preserve"> (fr. 78.14 καὶ τῶι κιμαίωι τόνδε ῥῖνα φοινίξας </w:t>
      </w:r>
      <w:r w:rsidR="00CC0615">
        <w:rPr>
          <w:szCs w:val="24"/>
          <w:lang w:val="en-US"/>
        </w:rPr>
        <w:t>“</w:t>
      </w:r>
      <w:r w:rsidRPr="0097588B">
        <w:rPr>
          <w:szCs w:val="24"/>
          <w:lang w:val="en-US"/>
        </w:rPr>
        <w:t>and dyeing this red at the nose with the juice</w:t>
      </w:r>
      <w:r w:rsidR="00CC0615">
        <w:rPr>
          <w:szCs w:val="24"/>
          <w:lang w:val="en-US"/>
        </w:rPr>
        <w:t>”</w:t>
      </w:r>
      <w:r w:rsidRPr="0097588B">
        <w:rPr>
          <w:szCs w:val="24"/>
          <w:lang w:val="en-US"/>
        </w:rPr>
        <w:t xml:space="preserve">) marks a discrepancy between the fictional reality he is describing with his words and the </w:t>
      </w:r>
      <w:r w:rsidRPr="0097588B">
        <w:rPr>
          <w:i/>
          <w:iCs/>
          <w:szCs w:val="24"/>
          <w:lang w:val="en-US"/>
        </w:rPr>
        <w:t>hic et nunc</w:t>
      </w:r>
      <w:r w:rsidRPr="0097588B">
        <w:rPr>
          <w:szCs w:val="24"/>
          <w:lang w:val="en-US"/>
        </w:rPr>
        <w:t xml:space="preserve"> of the performance in front of his audience</w:t>
      </w:r>
      <w:r w:rsidR="00075F5F">
        <w:rPr>
          <w:szCs w:val="24"/>
          <w:lang w:val="en-US"/>
        </w:rPr>
        <w:t>’</w:t>
      </w:r>
      <w:r w:rsidRPr="0097588B">
        <w:rPr>
          <w:szCs w:val="24"/>
          <w:lang w:val="en-US"/>
        </w:rPr>
        <w:t xml:space="preserve">s eyes. τόνδε corresponds to the gesture to point out the nose in the </w:t>
      </w:r>
      <w:r w:rsidRPr="0097588B">
        <w:rPr>
          <w:i/>
          <w:iCs/>
          <w:szCs w:val="24"/>
          <w:lang w:val="en-US"/>
        </w:rPr>
        <w:t>hic et nunc</w:t>
      </w:r>
      <w:r w:rsidRPr="0097588B">
        <w:rPr>
          <w:szCs w:val="24"/>
          <w:lang w:val="en-US"/>
        </w:rPr>
        <w:t xml:space="preserve"> of the performance, but audience</w:t>
      </w:r>
      <w:r w:rsidR="00075F5F">
        <w:rPr>
          <w:szCs w:val="24"/>
          <w:lang w:val="en-US"/>
        </w:rPr>
        <w:t>’</w:t>
      </w:r>
      <w:r w:rsidRPr="0097588B">
        <w:rPr>
          <w:szCs w:val="24"/>
          <w:lang w:val="en-US"/>
        </w:rPr>
        <w:t xml:space="preserve"> minds see that the word ῥῖς hints the tip of the penis.</w:t>
      </w:r>
      <w:r w:rsidRPr="008532F4">
        <w:rPr>
          <w:rStyle w:val="FootnoteReference"/>
          <w:szCs w:val="24"/>
          <w:lang w:val="en-US"/>
        </w:rPr>
        <w:footnoteReference w:id="268"/>
      </w:r>
      <w:r w:rsidRPr="008532F4">
        <w:rPr>
          <w:szCs w:val="24"/>
          <w:lang w:val="en-US"/>
        </w:rPr>
        <w:t xml:space="preserve"> Hipponax creates a </w:t>
      </w:r>
      <w:r w:rsidRPr="008532F4">
        <w:rPr>
          <w:i/>
          <w:iCs/>
          <w:szCs w:val="24"/>
          <w:lang w:val="en-US"/>
        </w:rPr>
        <w:t>Deixis am Phantasma</w:t>
      </w:r>
      <w:r w:rsidRPr="008532F4">
        <w:rPr>
          <w:szCs w:val="24"/>
          <w:lang w:val="en-US"/>
        </w:rPr>
        <w:t xml:space="preserve"> which not only does not need </w:t>
      </w:r>
      <w:r w:rsidRPr="008532F4">
        <w:rPr>
          <w:i/>
          <w:iCs/>
          <w:szCs w:val="24"/>
          <w:lang w:val="en-US"/>
        </w:rPr>
        <w:t>demonstratio ad oculos</w:t>
      </w:r>
      <w:r w:rsidRPr="008532F4">
        <w:rPr>
          <w:szCs w:val="24"/>
          <w:lang w:val="en-US"/>
        </w:rPr>
        <w:t>, but which is also distant from it. Hipponax seems to introdu</w:t>
      </w:r>
      <w:r w:rsidRPr="009D3F3F">
        <w:rPr>
          <w:szCs w:val="24"/>
          <w:lang w:val="en-US"/>
        </w:rPr>
        <w:t xml:space="preserve">ce the narrative framing device which Callimachus almost always uses in his </w:t>
      </w:r>
      <w:r w:rsidRPr="00592079">
        <w:rPr>
          <w:i/>
          <w:iCs/>
          <w:szCs w:val="24"/>
          <w:lang w:val="en-US"/>
        </w:rPr>
        <w:t>Iambi</w:t>
      </w:r>
      <w:r w:rsidRPr="00592079">
        <w:rPr>
          <w:szCs w:val="24"/>
          <w:lang w:val="en-US"/>
        </w:rPr>
        <w:t>: the frame has makes clear the fictionality of the words of the speaker and forces the audience to resort to their imagin</w:t>
      </w:r>
      <w:r w:rsidRPr="00FF2BA2">
        <w:rPr>
          <w:szCs w:val="24"/>
          <w:lang w:val="en-US"/>
        </w:rPr>
        <w:t xml:space="preserve">ations. Thus Hippon. </w:t>
      </w:r>
      <w:r w:rsidR="008532F4">
        <w:rPr>
          <w:szCs w:val="24"/>
          <w:lang w:val="en-US"/>
        </w:rPr>
        <w:t xml:space="preserve">fr. </w:t>
      </w:r>
      <w:r w:rsidRPr="008532F4">
        <w:rPr>
          <w:szCs w:val="24"/>
          <w:lang w:val="en-US"/>
        </w:rPr>
        <w:t>95.1 ηὔδα δὲ</w:t>
      </w:r>
      <w:r w:rsidRPr="009D3F3F">
        <w:rPr>
          <w:szCs w:val="24"/>
          <w:lang w:val="en-US"/>
        </w:rPr>
        <w:t xml:space="preserve"> λυδίζουσα· </w:t>
      </w:r>
      <w:r w:rsidR="00CC0615">
        <w:rPr>
          <w:szCs w:val="24"/>
          <w:lang w:val="en-US"/>
        </w:rPr>
        <w:t>“</w:t>
      </w:r>
      <w:r w:rsidRPr="009D3F3F">
        <w:rPr>
          <w:szCs w:val="24"/>
          <w:lang w:val="en-US"/>
        </w:rPr>
        <w:t>she spoke in Lydian</w:t>
      </w:r>
      <w:r w:rsidR="00CC0615">
        <w:rPr>
          <w:szCs w:val="24"/>
          <w:lang w:val="en-US"/>
        </w:rPr>
        <w:t>”</w:t>
      </w:r>
      <w:r w:rsidRPr="009D3F3F">
        <w:rPr>
          <w:szCs w:val="24"/>
          <w:lang w:val="en-US"/>
        </w:rPr>
        <w:t xml:space="preserve"> may imply </w:t>
      </w:r>
      <w:r w:rsidRPr="009D3F3F">
        <w:rPr>
          <w:i/>
          <w:iCs/>
          <w:szCs w:val="24"/>
          <w:lang w:val="en-US"/>
        </w:rPr>
        <w:t>Deixis am Phantasma</w:t>
      </w:r>
      <w:r w:rsidRPr="00592079">
        <w:rPr>
          <w:szCs w:val="24"/>
          <w:lang w:val="en-US"/>
        </w:rPr>
        <w:t xml:space="preserve">. </w:t>
      </w:r>
    </w:p>
    <w:p w14:paraId="7EBC8A88" w14:textId="7F47F323" w:rsidR="00F676EB" w:rsidRPr="008532F4" w:rsidRDefault="00F676EB" w:rsidP="008532F4">
      <w:pPr>
        <w:ind w:firstLine="425"/>
        <w:rPr>
          <w:szCs w:val="24"/>
          <w:lang w:val="en-US"/>
        </w:rPr>
      </w:pPr>
      <w:r w:rsidRPr="00FF2BA2">
        <w:rPr>
          <w:szCs w:val="24"/>
          <w:lang w:val="en-US"/>
        </w:rPr>
        <w:t>I argue that the author</w:t>
      </w:r>
      <w:r w:rsidR="00075F5F">
        <w:rPr>
          <w:szCs w:val="24"/>
          <w:lang w:val="en-US"/>
        </w:rPr>
        <w:t>’</w:t>
      </w:r>
      <w:r w:rsidRPr="00FF2BA2">
        <w:rPr>
          <w:szCs w:val="24"/>
          <w:lang w:val="en-US"/>
        </w:rPr>
        <w:t>s decision to refer to himself in the third person and the infrequent use of deictic pronouns and adjectives are clues to the introduction in Hipponax</w:t>
      </w:r>
      <w:r w:rsidR="00075F5F">
        <w:rPr>
          <w:szCs w:val="24"/>
          <w:lang w:val="en-US"/>
        </w:rPr>
        <w:t>’</w:t>
      </w:r>
      <w:r w:rsidRPr="00FF2BA2">
        <w:rPr>
          <w:szCs w:val="24"/>
          <w:lang w:val="en-US"/>
        </w:rPr>
        <w:t>s t</w:t>
      </w:r>
      <w:r w:rsidRPr="00754F18">
        <w:rPr>
          <w:szCs w:val="24"/>
          <w:lang w:val="en-US"/>
        </w:rPr>
        <w:t>ime of the medium of writing as a means through which iambic poetry may be communicated. This introduction changes both Hipponax</w:t>
      </w:r>
      <w:r w:rsidR="00075F5F">
        <w:rPr>
          <w:szCs w:val="24"/>
          <w:lang w:val="en-US"/>
        </w:rPr>
        <w:t>’</w:t>
      </w:r>
      <w:r w:rsidRPr="00754F18">
        <w:rPr>
          <w:szCs w:val="24"/>
          <w:lang w:val="en-US"/>
        </w:rPr>
        <w:t>s attitude towards his audience, and the audience</w:t>
      </w:r>
      <w:r w:rsidR="00075F5F">
        <w:rPr>
          <w:szCs w:val="24"/>
          <w:lang w:val="en-US"/>
        </w:rPr>
        <w:t>’</w:t>
      </w:r>
      <w:r w:rsidRPr="00754F18">
        <w:rPr>
          <w:szCs w:val="24"/>
          <w:lang w:val="en-US"/>
        </w:rPr>
        <w:t>s perception of Hipponax</w:t>
      </w:r>
      <w:r w:rsidR="00075F5F">
        <w:rPr>
          <w:szCs w:val="24"/>
          <w:lang w:val="en-US"/>
        </w:rPr>
        <w:t>’</w:t>
      </w:r>
      <w:r w:rsidRPr="00754F18">
        <w:rPr>
          <w:szCs w:val="24"/>
          <w:lang w:val="en-US"/>
        </w:rPr>
        <w:t>s words. Writing limits Hipponax in using the deicti</w:t>
      </w:r>
      <w:r w:rsidRPr="0097588B">
        <w:rPr>
          <w:szCs w:val="24"/>
          <w:lang w:val="en-US"/>
        </w:rPr>
        <w:t xml:space="preserve">c pronouns in order to point out the object to which he is referring, since he is describing something which is not necessarily </w:t>
      </w:r>
      <w:r w:rsidRPr="0097588B">
        <w:rPr>
          <w:i/>
          <w:iCs/>
          <w:szCs w:val="24"/>
          <w:lang w:val="en-US"/>
        </w:rPr>
        <w:t>hic et nunc</w:t>
      </w:r>
      <w:r w:rsidRPr="0097588B">
        <w:rPr>
          <w:szCs w:val="24"/>
          <w:lang w:val="en-US"/>
        </w:rPr>
        <w:t>; and his audience listen</w:t>
      </w:r>
      <w:r w:rsidR="009D3F3F">
        <w:rPr>
          <w:szCs w:val="24"/>
          <w:lang w:val="en-US"/>
        </w:rPr>
        <w:t>s</w:t>
      </w:r>
      <w:r w:rsidRPr="009D3F3F">
        <w:rPr>
          <w:szCs w:val="24"/>
          <w:lang w:val="en-US"/>
        </w:rPr>
        <w:t xml:space="preserve"> to Hipponax</w:t>
      </w:r>
      <w:r w:rsidR="00075F5F">
        <w:rPr>
          <w:szCs w:val="24"/>
          <w:lang w:val="en-US"/>
        </w:rPr>
        <w:t>’</w:t>
      </w:r>
      <w:r w:rsidRPr="009D3F3F">
        <w:rPr>
          <w:szCs w:val="24"/>
          <w:lang w:val="en-US"/>
        </w:rPr>
        <w:t xml:space="preserve">s words enacting them time by time with regard to their actual </w:t>
      </w:r>
      <w:r w:rsidRPr="009D3F3F">
        <w:rPr>
          <w:i/>
          <w:iCs/>
          <w:szCs w:val="24"/>
          <w:lang w:val="en-US"/>
        </w:rPr>
        <w:t>hic et nunc</w:t>
      </w:r>
      <w:r w:rsidRPr="009D3F3F">
        <w:rPr>
          <w:szCs w:val="24"/>
          <w:lang w:val="en-US"/>
        </w:rPr>
        <w:t xml:space="preserve">. </w:t>
      </w:r>
    </w:p>
    <w:p w14:paraId="08294DDE" w14:textId="236A99C2" w:rsidR="006512C4" w:rsidRPr="0097588B" w:rsidRDefault="00F676EB" w:rsidP="009D3F3F">
      <w:pPr>
        <w:autoSpaceDE w:val="0"/>
        <w:autoSpaceDN w:val="0"/>
        <w:adjustRightInd w:val="0"/>
        <w:spacing w:after="200"/>
        <w:ind w:firstLine="426"/>
        <w:rPr>
          <w:rFonts w:cs="Times New Roman"/>
          <w:szCs w:val="24"/>
        </w:rPr>
      </w:pPr>
      <w:r w:rsidRPr="009D3F3F">
        <w:rPr>
          <w:szCs w:val="24"/>
          <w:lang w:val="en-US"/>
        </w:rPr>
        <w:t xml:space="preserve">Finally, Hipponax uses the demonstrative οὗτος also to convey </w:t>
      </w:r>
      <w:r w:rsidRPr="009D3F3F">
        <w:rPr>
          <w:i/>
          <w:iCs/>
          <w:szCs w:val="24"/>
          <w:lang w:val="en-US"/>
        </w:rPr>
        <w:t>Anaphora</w:t>
      </w:r>
      <w:r w:rsidRPr="009D3F3F">
        <w:rPr>
          <w:szCs w:val="24"/>
          <w:lang w:val="en-US"/>
        </w:rPr>
        <w:t>, as shown by Hippon. fr. 39.4 α</w:t>
      </w:r>
      <w:r w:rsidRPr="00592079">
        <w:rPr>
          <w:szCs w:val="24"/>
          <w:lang w:val="en-US"/>
        </w:rPr>
        <w:t xml:space="preserve">ὕτη γὰρ </w:t>
      </w:r>
      <w:r w:rsidRPr="00FF2BA2">
        <w:rPr>
          <w:szCs w:val="24"/>
          <w:lang w:val="en-US"/>
        </w:rPr>
        <w:t>ἔ</w:t>
      </w:r>
      <w:r w:rsidRPr="00754F18">
        <w:rPr>
          <w:szCs w:val="24"/>
          <w:lang w:val="en-US"/>
        </w:rPr>
        <w:t>σται συμφορή τε κα</w:t>
      </w:r>
      <w:r w:rsidRPr="0097588B">
        <w:rPr>
          <w:szCs w:val="24"/>
          <w:lang w:val="en-US"/>
        </w:rPr>
        <w:t xml:space="preserve">ὶ κληδών </w:t>
      </w:r>
      <w:r w:rsidR="00CC0615">
        <w:rPr>
          <w:szCs w:val="24"/>
          <w:lang w:val="en-US"/>
        </w:rPr>
        <w:t>“</w:t>
      </w:r>
      <w:r w:rsidRPr="0097588B">
        <w:rPr>
          <w:szCs w:val="24"/>
          <w:lang w:val="en-US"/>
        </w:rPr>
        <w:t>this is a dangerous omen.</w:t>
      </w:r>
      <w:r w:rsidR="00CC0615">
        <w:rPr>
          <w:szCs w:val="24"/>
          <w:lang w:val="en-US"/>
        </w:rPr>
        <w:t>”</w:t>
      </w:r>
      <w:r w:rsidRPr="0097588B">
        <w:rPr>
          <w:szCs w:val="24"/>
          <w:lang w:val="en-US"/>
        </w:rPr>
        <w:t xml:space="preserve"> Here, αὕτη is justified by the fact that Hipponax is anaphorically referring to something which he said just prior. </w:t>
      </w:r>
    </w:p>
    <w:p w14:paraId="4131AC28" w14:textId="6E9DA820" w:rsidR="00F4130F" w:rsidRPr="00F4130F" w:rsidRDefault="00F4130F" w:rsidP="00F4130F">
      <w:pPr>
        <w:pStyle w:val="Heading4"/>
        <w:rPr>
          <w:b w:val="0"/>
        </w:rPr>
      </w:pPr>
      <w:r w:rsidRPr="00825A39">
        <w:rPr>
          <w:b w:val="0"/>
          <w:i/>
        </w:rPr>
        <w:lastRenderedPageBreak/>
        <w:t>Callimachus</w:t>
      </w:r>
      <w:r w:rsidRPr="00F4130F">
        <w:rPr>
          <w:b w:val="0"/>
        </w:rPr>
        <w:t xml:space="preserve"> (</w:t>
      </w:r>
      <w:r w:rsidR="00F5650B">
        <w:t>2</w:t>
      </w:r>
      <w:r w:rsidRPr="00F4130F">
        <w:rPr>
          <w:b w:val="0"/>
        </w:rPr>
        <w:t xml:space="preserve"> A.1)</w:t>
      </w:r>
    </w:p>
    <w:p w14:paraId="17E5AC15" w14:textId="02310B61" w:rsidR="00F676EB" w:rsidRPr="00754F18" w:rsidRDefault="00F676EB" w:rsidP="007F4100">
      <w:pPr>
        <w:rPr>
          <w:rFonts w:cs="Times New Roman"/>
          <w:szCs w:val="24"/>
          <w:lang w:val="en-US"/>
        </w:rPr>
      </w:pPr>
      <w:r w:rsidRPr="009D3F3F">
        <w:rPr>
          <w:rFonts w:cs="Times New Roman"/>
          <w:szCs w:val="24"/>
          <w:lang w:val="en-US"/>
        </w:rPr>
        <w:t>The use of deictic pronouns in Callimachus</w:t>
      </w:r>
      <w:r w:rsidR="00075F5F">
        <w:rPr>
          <w:rFonts w:cs="Times New Roman"/>
          <w:szCs w:val="24"/>
          <w:lang w:val="en-US"/>
        </w:rPr>
        <w:t>’</w:t>
      </w:r>
      <w:r w:rsidRPr="009D3F3F">
        <w:rPr>
          <w:rFonts w:cs="Times New Roman"/>
          <w:szCs w:val="24"/>
          <w:lang w:val="en-US"/>
        </w:rPr>
        <w:t xml:space="preserve"> </w:t>
      </w:r>
      <w:r w:rsidRPr="009D3F3F">
        <w:rPr>
          <w:rFonts w:cs="Times New Roman"/>
          <w:i/>
          <w:iCs/>
          <w:szCs w:val="24"/>
          <w:lang w:val="en-US"/>
        </w:rPr>
        <w:t>Iambi</w:t>
      </w:r>
      <w:r w:rsidRPr="009D3F3F">
        <w:rPr>
          <w:rFonts w:cs="Times New Roman"/>
          <w:szCs w:val="24"/>
          <w:lang w:val="en-US"/>
        </w:rPr>
        <w:t xml:space="preserve"> demonstrates that they are literary productions, constituted by </w:t>
      </w:r>
      <w:r w:rsidRPr="00592079">
        <w:rPr>
          <w:rFonts w:cs="Times New Roman"/>
          <w:i/>
          <w:iCs/>
          <w:szCs w:val="24"/>
          <w:lang w:val="en-US"/>
        </w:rPr>
        <w:t>Deixis am Phantasma</w:t>
      </w:r>
      <w:r w:rsidRPr="00592079">
        <w:rPr>
          <w:rFonts w:cs="Times New Roman"/>
          <w:szCs w:val="24"/>
          <w:lang w:val="en-US"/>
        </w:rPr>
        <w:t xml:space="preserve"> even in their deployment of the strategies of </w:t>
      </w:r>
      <w:r w:rsidRPr="00FF2BA2">
        <w:rPr>
          <w:rFonts w:cs="Times New Roman"/>
          <w:i/>
          <w:iCs/>
          <w:szCs w:val="24"/>
          <w:lang w:val="en-US"/>
        </w:rPr>
        <w:t>demonstratio ad oculos</w:t>
      </w:r>
      <w:r w:rsidRPr="00754F18">
        <w:rPr>
          <w:rFonts w:cs="Times New Roman"/>
          <w:szCs w:val="24"/>
          <w:lang w:val="en-US"/>
        </w:rPr>
        <w:t>.</w:t>
      </w:r>
    </w:p>
    <w:p w14:paraId="610750E8" w14:textId="7A3A98B4" w:rsidR="00F676EB" w:rsidRPr="00FF2BA2" w:rsidRDefault="00F676EB" w:rsidP="00F676EB">
      <w:pPr>
        <w:rPr>
          <w:rFonts w:cs="Times New Roman"/>
          <w:szCs w:val="24"/>
          <w:lang w:val="en-US"/>
        </w:rPr>
      </w:pPr>
      <w:r w:rsidRPr="0097588B">
        <w:rPr>
          <w:rFonts w:cs="Times New Roman"/>
          <w:szCs w:val="24"/>
          <w:lang w:val="en-US"/>
        </w:rPr>
        <w:tab/>
        <w:t xml:space="preserve">The clearest example of this is the use of ὅδε across </w:t>
      </w:r>
      <w:r w:rsidRPr="0097588B">
        <w:rPr>
          <w:rFonts w:cs="Times New Roman"/>
          <w:i/>
          <w:iCs/>
          <w:szCs w:val="24"/>
          <w:lang w:val="en-US"/>
        </w:rPr>
        <w:t>Iambus</w:t>
      </w:r>
      <w:r w:rsidRPr="0097588B">
        <w:rPr>
          <w:rFonts w:cs="Times New Roman"/>
          <w:szCs w:val="24"/>
          <w:lang w:val="en-US"/>
        </w:rPr>
        <w:t xml:space="preserve"> 12, where the use of the demonstrative concerns the performativity of programmatic deixis: the function of ὅδε is more complex than it appears at first sight.</w:t>
      </w:r>
      <w:r w:rsidRPr="009D3F3F">
        <w:rPr>
          <w:rStyle w:val="FootnoteReference"/>
          <w:rFonts w:cs="Times New Roman"/>
          <w:szCs w:val="24"/>
          <w:lang w:val="en-US"/>
        </w:rPr>
        <w:footnoteReference w:id="269"/>
      </w:r>
      <w:r w:rsidRPr="009D3F3F">
        <w:rPr>
          <w:rFonts w:cs="Times New Roman"/>
          <w:szCs w:val="24"/>
          <w:lang w:val="en-US"/>
        </w:rPr>
        <w:t xml:space="preserve"> In the beginning of his </w:t>
      </w:r>
      <w:r w:rsidRPr="009D3F3F">
        <w:rPr>
          <w:rFonts w:cs="Times New Roman"/>
          <w:i/>
          <w:iCs/>
          <w:szCs w:val="24"/>
          <w:lang w:val="en-US"/>
        </w:rPr>
        <w:t>Iambus</w:t>
      </w:r>
      <w:r w:rsidRPr="009D3F3F">
        <w:rPr>
          <w:rFonts w:cs="Times New Roman"/>
          <w:szCs w:val="24"/>
          <w:lang w:val="en-US"/>
        </w:rPr>
        <w:t xml:space="preserve"> 12, the narrator</w:t>
      </w:r>
      <w:r w:rsidR="009D3F3F">
        <w:rPr>
          <w:rFonts w:cs="Times New Roman"/>
          <w:szCs w:val="24"/>
          <w:lang w:val="en-US"/>
        </w:rPr>
        <w:t>-</w:t>
      </w:r>
      <w:r w:rsidRPr="009D3F3F">
        <w:rPr>
          <w:rFonts w:cs="Times New Roman"/>
          <w:szCs w:val="24"/>
          <w:lang w:val="en-US"/>
        </w:rPr>
        <w:t>speaker of the poem places the words he addresses to the daughter of Callimachus</w:t>
      </w:r>
      <w:r w:rsidR="00075F5F">
        <w:rPr>
          <w:rFonts w:cs="Times New Roman"/>
          <w:szCs w:val="24"/>
          <w:lang w:val="en-US"/>
        </w:rPr>
        <w:t>’</w:t>
      </w:r>
      <w:r w:rsidRPr="009D3F3F">
        <w:rPr>
          <w:rFonts w:cs="Times New Roman"/>
          <w:szCs w:val="24"/>
          <w:lang w:val="en-US"/>
        </w:rPr>
        <w:t xml:space="preserve"> friend Leo under the patronage of the Muses and the straightening of crooked poetic judgments under the control of Artemis. He calls on these divinities in the second person: τοὔνεκ</w:t>
      </w:r>
      <w:r w:rsidR="00075F5F">
        <w:rPr>
          <w:rFonts w:cs="Times New Roman"/>
          <w:szCs w:val="24"/>
          <w:lang w:val="en-US"/>
        </w:rPr>
        <w:t>’</w:t>
      </w:r>
      <w:r w:rsidRPr="009D3F3F">
        <w:rPr>
          <w:rFonts w:cs="Times New Roman"/>
          <w:szCs w:val="24"/>
          <w:lang w:val="en-US"/>
        </w:rPr>
        <w:t xml:space="preserve"> ἀντήσαιτε πρηε</w:t>
      </w:r>
      <w:r w:rsidRPr="0097588B">
        <w:rPr>
          <w:rFonts w:cs="Times New Roman"/>
          <w:szCs w:val="24"/>
          <w:lang w:val="en-US"/>
        </w:rPr>
        <w:t>ῖ</w:t>
      </w:r>
      <w:r w:rsidRPr="009D3F3F">
        <w:rPr>
          <w:rFonts w:cs="Times New Roman"/>
          <w:szCs w:val="24"/>
          <w:lang w:val="en-US"/>
        </w:rPr>
        <w:t>αι, θεαί, / τῆσδ</w:t>
      </w:r>
      <w:r w:rsidR="00075F5F">
        <w:rPr>
          <w:rFonts w:cs="Times New Roman"/>
          <w:szCs w:val="24"/>
          <w:lang w:val="en-US"/>
        </w:rPr>
        <w:t>’</w:t>
      </w:r>
      <w:r w:rsidRPr="009D3F3F">
        <w:rPr>
          <w:rFonts w:cs="Times New Roman"/>
          <w:szCs w:val="24"/>
          <w:lang w:val="en-US"/>
        </w:rPr>
        <w:t xml:space="preserve"> ἐτῇς εὐχῇσι</w:t>
      </w:r>
      <w:hyperlink r:id="rId37" w:history="1">
        <w:r w:rsidRPr="009D3F3F">
          <w:rPr>
            <w:rFonts w:cs="Times New Roman"/>
            <w:szCs w:val="24"/>
            <w:lang w:val="en-US"/>
          </w:rPr>
          <w:t>...</w:t>
        </w:r>
      </w:hyperlink>
      <w:r w:rsidRPr="009D3F3F">
        <w:rPr>
          <w:rFonts w:cs="Times New Roman"/>
          <w:szCs w:val="24"/>
          <w:lang w:val="en-US"/>
        </w:rPr>
        <w:t xml:space="preserve">αεισομαι </w:t>
      </w:r>
      <w:r w:rsidR="00CC0615">
        <w:rPr>
          <w:rFonts w:cs="Times New Roman"/>
          <w:szCs w:val="24"/>
          <w:lang w:val="en-US"/>
        </w:rPr>
        <w:t>“</w:t>
      </w:r>
      <w:r w:rsidRPr="009D3F3F">
        <w:rPr>
          <w:rFonts w:cs="Times New Roman"/>
          <w:szCs w:val="24"/>
          <w:lang w:val="en-US"/>
        </w:rPr>
        <w:t>therefore may you gently receive, goddesses, these true prayers … I will sing</w:t>
      </w:r>
      <w:r w:rsidR="00CC0615">
        <w:rPr>
          <w:rFonts w:cs="Times New Roman"/>
          <w:szCs w:val="24"/>
          <w:lang w:val="en-US"/>
        </w:rPr>
        <w:t>”</w:t>
      </w:r>
      <w:r w:rsidRPr="009D3F3F">
        <w:rPr>
          <w:rFonts w:cs="Times New Roman"/>
          <w:szCs w:val="24"/>
          <w:lang w:val="en-US"/>
        </w:rPr>
        <w:t xml:space="preserve"> (18-19).  Here Cal</w:t>
      </w:r>
      <w:r w:rsidRPr="00592079">
        <w:rPr>
          <w:rFonts w:cs="Times New Roman"/>
          <w:szCs w:val="24"/>
          <w:lang w:val="en-US"/>
        </w:rPr>
        <w:t xml:space="preserve">limachus uses ὅδε to mark the auto-reference, just as Archilochus did in fr. 54.16, discussed above. It is interesting that in both cases the auto-reference is </w:t>
      </w:r>
      <w:r w:rsidRPr="00FF2BA2">
        <w:rPr>
          <w:rFonts w:cs="Times New Roman"/>
          <w:szCs w:val="24"/>
          <w:lang w:val="en-US"/>
        </w:rPr>
        <w:t xml:space="preserve">strengthened by the fact that the words of the poet are true. </w:t>
      </w:r>
    </w:p>
    <w:p w14:paraId="70B7C5B8" w14:textId="714560B3" w:rsidR="00F676EB" w:rsidRPr="009D3F3F" w:rsidRDefault="00F676EB" w:rsidP="00F676EB">
      <w:pPr>
        <w:ind w:firstLine="426"/>
        <w:rPr>
          <w:rFonts w:cs="Times New Roman"/>
          <w:szCs w:val="24"/>
          <w:lang w:val="en-US"/>
        </w:rPr>
      </w:pPr>
      <w:r w:rsidRPr="00754F18">
        <w:rPr>
          <w:rFonts w:cs="Times New Roman"/>
          <w:szCs w:val="24"/>
          <w:lang w:val="en-US"/>
        </w:rPr>
        <w:t>However, Callimachus then abando</w:t>
      </w:r>
      <w:r w:rsidRPr="0097588B">
        <w:rPr>
          <w:rFonts w:cs="Times New Roman"/>
          <w:szCs w:val="24"/>
          <w:lang w:val="en-US"/>
        </w:rPr>
        <w:t xml:space="preserve">ns the mode of what Benveniste calls </w:t>
      </w:r>
      <w:r w:rsidRPr="0097588B">
        <w:rPr>
          <w:rFonts w:cs="Times New Roman"/>
          <w:i/>
          <w:iCs/>
          <w:szCs w:val="24"/>
          <w:lang w:val="en-US"/>
        </w:rPr>
        <w:t>discours</w:t>
      </w:r>
      <w:r w:rsidRPr="0097588B">
        <w:rPr>
          <w:rFonts w:cs="Times New Roman"/>
          <w:szCs w:val="24"/>
          <w:lang w:val="en-US"/>
        </w:rPr>
        <w:t xml:space="preserve"> (where such addresses are required) and adopts the mode of </w:t>
      </w:r>
      <w:r w:rsidRPr="0097588B">
        <w:rPr>
          <w:rFonts w:cs="Times New Roman"/>
          <w:i/>
          <w:iCs/>
          <w:szCs w:val="24"/>
          <w:lang w:val="en-US"/>
        </w:rPr>
        <w:t>récit</w:t>
      </w:r>
      <w:r w:rsidRPr="0097588B">
        <w:rPr>
          <w:rFonts w:cs="Times New Roman"/>
          <w:szCs w:val="24"/>
          <w:lang w:val="en-US"/>
        </w:rPr>
        <w:t xml:space="preserve">. In this descriptive mode, he evokes the </w:t>
      </w:r>
      <w:r w:rsidRPr="009D3F3F">
        <w:rPr>
          <w:rFonts w:cs="Times New Roman"/>
          <w:szCs w:val="24"/>
          <w:lang w:val="en-US"/>
        </w:rPr>
        <w:t>gods engaged in a positive rivalry, but when he begins to talk about the gift made by Apollo, he introduces a contrary verbal movement: from an assertion in the third person within a descriptive-narrative mode, to a direct address in an enunciative mode</w:t>
      </w:r>
      <w:r w:rsidRPr="00592079">
        <w:rPr>
          <w:rFonts w:cs="Times New Roman"/>
          <w:szCs w:val="24"/>
          <w:lang w:val="en-US"/>
        </w:rPr>
        <w:t xml:space="preserve"> to the addressee Apollo: Δήλι</w:t>
      </w:r>
      <w:r w:rsidR="00075F5F">
        <w:rPr>
          <w:rFonts w:cs="Times New Roman"/>
          <w:szCs w:val="24"/>
          <w:lang w:val="en-US"/>
        </w:rPr>
        <w:t>’</w:t>
      </w:r>
      <w:r w:rsidRPr="00592079">
        <w:rPr>
          <w:rFonts w:cs="Times New Roman"/>
          <w:szCs w:val="24"/>
          <w:lang w:val="en-US"/>
        </w:rPr>
        <w:t xml:space="preserve"> ὤπολλον, σ</w:t>
      </w:r>
      <w:r w:rsidRPr="00FF2BA2">
        <w:rPr>
          <w:rFonts w:cs="Times New Roman"/>
          <w:szCs w:val="24"/>
          <w:lang w:val="en-US"/>
        </w:rPr>
        <w:t>ὺ</w:t>
      </w:r>
      <w:r w:rsidRPr="00754F18">
        <w:rPr>
          <w:rFonts w:cs="Times New Roman"/>
          <w:szCs w:val="24"/>
          <w:lang w:val="en-US"/>
        </w:rPr>
        <w:t xml:space="preserve"> δ</w:t>
      </w:r>
      <w:r w:rsidR="00075F5F">
        <w:rPr>
          <w:rFonts w:cs="Times New Roman"/>
          <w:szCs w:val="24"/>
          <w:lang w:val="en-US"/>
        </w:rPr>
        <w:t>’</w:t>
      </w:r>
      <w:r w:rsidRPr="00754F18">
        <w:rPr>
          <w:rFonts w:cs="Times New Roman"/>
          <w:szCs w:val="24"/>
          <w:lang w:val="en-US"/>
        </w:rPr>
        <w:t xml:space="preserve">… / … </w:t>
      </w:r>
      <w:r w:rsidRPr="0097588B">
        <w:rPr>
          <w:rFonts w:cs="Times New Roman"/>
          <w:szCs w:val="24"/>
          <w:lang w:val="en-US"/>
        </w:rPr>
        <w:t xml:space="preserve">ἐφθέγξω τάδε </w:t>
      </w:r>
      <w:r w:rsidR="00CC0615">
        <w:rPr>
          <w:rFonts w:cs="Times New Roman"/>
          <w:szCs w:val="24"/>
          <w:lang w:val="en-US"/>
        </w:rPr>
        <w:t>“</w:t>
      </w:r>
      <w:r w:rsidRPr="0097588B">
        <w:rPr>
          <w:rFonts w:cs="Times New Roman"/>
          <w:szCs w:val="24"/>
          <w:lang w:val="en-US"/>
        </w:rPr>
        <w:t>But you, Delian Apollo … you uttered the following…</w:t>
      </w:r>
      <w:r w:rsidR="00CC0615">
        <w:rPr>
          <w:rFonts w:cs="Times New Roman"/>
          <w:szCs w:val="24"/>
          <w:lang w:val="en-US"/>
        </w:rPr>
        <w:t>”</w:t>
      </w:r>
      <w:r w:rsidRPr="0097588B">
        <w:rPr>
          <w:rFonts w:cs="Times New Roman"/>
          <w:szCs w:val="24"/>
          <w:lang w:val="en-US"/>
        </w:rPr>
        <w:t xml:space="preserve"> (47, 53).  Directly praising Apollo, Callimachus uses τάδε: the anaphoric value is clear and unambiguous. It is interesting that τάδε refers to the words sung by Apollo as well as the ones Callimachus is singing. In this way Callimachus is not only anchoring the narration in his space and time, but he is also equating his words to those of Apollo. Therefore, it seems that this use of ὅδε is the same as Archilo</w:t>
      </w:r>
      <w:r w:rsidR="00075F5F">
        <w:rPr>
          <w:rFonts w:cs="Times New Roman"/>
          <w:szCs w:val="24"/>
          <w:lang w:val="en-US"/>
        </w:rPr>
        <w:t>chus’</w:t>
      </w:r>
      <w:r w:rsidRPr="0097588B">
        <w:rPr>
          <w:rFonts w:cs="Times New Roman"/>
          <w:szCs w:val="24"/>
          <w:lang w:val="en-US"/>
        </w:rPr>
        <w:t xml:space="preserve">, but here the double (intra- and extra-discoursive) reference to what has been constructed within the poetic discourse and to the actual circumstances of communication is self-enclosed in the narrative structure of </w:t>
      </w:r>
      <w:r w:rsidRPr="0097588B">
        <w:rPr>
          <w:rFonts w:cs="Times New Roman"/>
          <w:i/>
          <w:iCs/>
          <w:szCs w:val="24"/>
          <w:lang w:val="en-US"/>
        </w:rPr>
        <w:t>Iambus</w:t>
      </w:r>
      <w:r w:rsidRPr="0097588B">
        <w:rPr>
          <w:rFonts w:cs="Times New Roman"/>
          <w:szCs w:val="24"/>
          <w:lang w:val="en-US"/>
        </w:rPr>
        <w:t xml:space="preserve"> 12. Through the medium of poetry, the speech-act possesses a content: poetic speech is itself the gift which Callimachus is giving to the baby, specifically within the exact circumstances under which it is formulated</w:t>
      </w:r>
      <w:r w:rsidRPr="009D3F3F">
        <w:rPr>
          <w:rFonts w:cs="Times New Roman"/>
          <w:szCs w:val="24"/>
          <w:lang w:val="en-US"/>
        </w:rPr>
        <w:t>.</w:t>
      </w:r>
    </w:p>
    <w:p w14:paraId="55292432" w14:textId="6996ECC4" w:rsidR="00F676EB" w:rsidRPr="00FF2BA2" w:rsidRDefault="00F676EB" w:rsidP="00F676EB">
      <w:pPr>
        <w:ind w:firstLine="426"/>
        <w:rPr>
          <w:rFonts w:cs="Times New Roman"/>
          <w:szCs w:val="24"/>
          <w:lang w:val="en-US"/>
        </w:rPr>
      </w:pPr>
      <w:r w:rsidRPr="009D3F3F">
        <w:rPr>
          <w:rFonts w:cs="Times New Roman"/>
          <w:szCs w:val="24"/>
          <w:lang w:val="en-US"/>
        </w:rPr>
        <w:lastRenderedPageBreak/>
        <w:t>In Callimachus</w:t>
      </w:r>
      <w:r w:rsidR="00075F5F">
        <w:rPr>
          <w:rFonts w:cs="Times New Roman"/>
          <w:szCs w:val="24"/>
          <w:lang w:val="en-US"/>
        </w:rPr>
        <w:t>’</w:t>
      </w:r>
      <w:r w:rsidRPr="009D3F3F">
        <w:rPr>
          <w:rFonts w:cs="Times New Roman"/>
          <w:szCs w:val="24"/>
          <w:lang w:val="en-US"/>
        </w:rPr>
        <w:t xml:space="preserve"> </w:t>
      </w:r>
      <w:r w:rsidRPr="009D3F3F">
        <w:rPr>
          <w:rFonts w:cs="Times New Roman"/>
          <w:i/>
          <w:iCs/>
          <w:szCs w:val="24"/>
          <w:lang w:val="en-US"/>
        </w:rPr>
        <w:t>Iambi</w:t>
      </w:r>
      <w:r w:rsidRPr="009D3F3F">
        <w:rPr>
          <w:rFonts w:cs="Times New Roman"/>
          <w:szCs w:val="24"/>
          <w:lang w:val="en-US"/>
        </w:rPr>
        <w:t xml:space="preserve">, the distinction between </w:t>
      </w:r>
      <w:r w:rsidRPr="009D3F3F">
        <w:rPr>
          <w:rFonts w:cs="Times New Roman"/>
          <w:i/>
          <w:iCs/>
          <w:szCs w:val="24"/>
          <w:lang w:val="en-US"/>
        </w:rPr>
        <w:t>demonstratio ad oculos</w:t>
      </w:r>
      <w:r w:rsidRPr="009D3F3F">
        <w:rPr>
          <w:rFonts w:cs="Times New Roman"/>
          <w:szCs w:val="24"/>
          <w:lang w:val="en-US"/>
        </w:rPr>
        <w:t xml:space="preserve"> and </w:t>
      </w:r>
      <w:r w:rsidRPr="00592079">
        <w:rPr>
          <w:rFonts w:cs="Times New Roman"/>
          <w:i/>
          <w:iCs/>
          <w:szCs w:val="24"/>
          <w:lang w:val="en-US"/>
        </w:rPr>
        <w:t>Deixis am Phantasma</w:t>
      </w:r>
      <w:r w:rsidRPr="00592079">
        <w:rPr>
          <w:rFonts w:cs="Times New Roman"/>
          <w:szCs w:val="24"/>
          <w:lang w:val="en-US"/>
        </w:rPr>
        <w:t xml:space="preserve"> is very porous, because of such programmatic and self-referential deixis between intra- and extra-discursive levels. </w:t>
      </w:r>
    </w:p>
    <w:p w14:paraId="265E71D9" w14:textId="2CF83467" w:rsidR="00F676EB" w:rsidRPr="009D3F3F" w:rsidRDefault="00F676EB" w:rsidP="00F676EB">
      <w:pPr>
        <w:ind w:firstLine="426"/>
        <w:rPr>
          <w:rFonts w:cs="Times New Roman"/>
          <w:szCs w:val="24"/>
          <w:lang w:val="en-US"/>
        </w:rPr>
      </w:pPr>
      <w:r w:rsidRPr="00754F18">
        <w:rPr>
          <w:rFonts w:cs="Times New Roman"/>
          <w:szCs w:val="24"/>
          <w:lang w:val="en-US"/>
        </w:rPr>
        <w:t xml:space="preserve">Callimachus uses </w:t>
      </w:r>
      <w:r w:rsidRPr="0097588B">
        <w:rPr>
          <w:rFonts w:cs="Times New Roman"/>
          <w:szCs w:val="24"/>
          <w:lang w:val="en-US"/>
        </w:rPr>
        <w:t xml:space="preserve">ὅδε only anaphorically: there are no other instances of ὅδε with a deictic value. The same is true for the other deictic pronoun used in </w:t>
      </w:r>
      <w:r w:rsidRPr="0097588B">
        <w:rPr>
          <w:rFonts w:cs="Times New Roman"/>
          <w:i/>
          <w:iCs/>
          <w:szCs w:val="24"/>
          <w:lang w:val="en-US"/>
        </w:rPr>
        <w:t>demonstratio ad oculos</w:t>
      </w:r>
      <w:r w:rsidRPr="0097588B">
        <w:rPr>
          <w:rFonts w:cs="Times New Roman"/>
          <w:szCs w:val="24"/>
          <w:lang w:val="en-US"/>
        </w:rPr>
        <w:t xml:space="preserve">: οὗτος is used almost exclusively anaphorically. The only instances of a deictic function of οὗτος are put in the mouth of Hipponax, as shown by </w:t>
      </w:r>
      <w:r w:rsidRPr="0097588B">
        <w:rPr>
          <w:rFonts w:cs="Times New Roman"/>
          <w:i/>
          <w:iCs/>
          <w:szCs w:val="24"/>
          <w:lang w:val="en-US"/>
        </w:rPr>
        <w:t>Ia.</w:t>
      </w:r>
      <w:r w:rsidRPr="0097588B">
        <w:rPr>
          <w:rFonts w:cs="Times New Roman"/>
          <w:szCs w:val="24"/>
          <w:lang w:val="en-US"/>
        </w:rPr>
        <w:t xml:space="preserve"> 1.66 οὑμὸς πατὴρ ἐφεῖτο τοῦτο τοὔκπωμα </w:t>
      </w:r>
      <w:r w:rsidR="00CC0615">
        <w:rPr>
          <w:rFonts w:cs="Times New Roman"/>
          <w:szCs w:val="24"/>
          <w:lang w:val="en-US"/>
        </w:rPr>
        <w:t>“</w:t>
      </w:r>
      <w:r w:rsidRPr="0097588B">
        <w:rPr>
          <w:rFonts w:cs="Times New Roman"/>
          <w:szCs w:val="24"/>
          <w:lang w:val="en-US"/>
        </w:rPr>
        <w:t>My father enjoined me to bestow this cup.</w:t>
      </w:r>
      <w:r w:rsidR="00CC0615">
        <w:rPr>
          <w:rFonts w:cs="Times New Roman"/>
          <w:szCs w:val="24"/>
          <w:lang w:val="en-US"/>
        </w:rPr>
        <w:t>”</w:t>
      </w:r>
      <w:r w:rsidRPr="0097588B">
        <w:rPr>
          <w:rFonts w:cs="Times New Roman"/>
          <w:szCs w:val="24"/>
          <w:lang w:val="en-US"/>
        </w:rPr>
        <w:t xml:space="preserve"> Here it is plausible that τοῦτο deictically </w:t>
      </w:r>
      <w:r w:rsidR="009D3F3F">
        <w:rPr>
          <w:rFonts w:cs="Times New Roman"/>
          <w:szCs w:val="24"/>
          <w:lang w:val="en-US"/>
        </w:rPr>
        <w:t>indicates</w:t>
      </w:r>
      <w:r w:rsidRPr="009D3F3F">
        <w:rPr>
          <w:rFonts w:cs="Times New Roman"/>
          <w:szCs w:val="24"/>
          <w:lang w:val="en-US"/>
        </w:rPr>
        <w:t xml:space="preserve"> the cup. However, it is worth noting that this sentence does not belong the external level of narration, but it belongs to the most internal one: here the son of Batykles is speaking; but his narration is inside the narration of the episode of Batykles</w:t>
      </w:r>
      <w:r w:rsidR="00075F5F">
        <w:rPr>
          <w:rFonts w:cs="Times New Roman"/>
          <w:szCs w:val="24"/>
          <w:lang w:val="en-US"/>
        </w:rPr>
        <w:t>’</w:t>
      </w:r>
      <w:r w:rsidRPr="009D3F3F">
        <w:rPr>
          <w:rFonts w:cs="Times New Roman"/>
          <w:szCs w:val="24"/>
          <w:lang w:val="en-US"/>
        </w:rPr>
        <w:t xml:space="preserve"> cup as told by Hipponax, who is the main speaking voice of </w:t>
      </w:r>
      <w:r w:rsidRPr="009D3F3F">
        <w:rPr>
          <w:rFonts w:cs="Times New Roman"/>
          <w:i/>
          <w:iCs/>
          <w:szCs w:val="24"/>
          <w:lang w:val="en-US"/>
        </w:rPr>
        <w:t>Iambus</w:t>
      </w:r>
      <w:r w:rsidRPr="009D3F3F">
        <w:rPr>
          <w:rFonts w:cs="Times New Roman"/>
          <w:szCs w:val="24"/>
          <w:lang w:val="en-US"/>
        </w:rPr>
        <w:t xml:space="preserve"> 1. Therefore, ὅδε and οὗτος are especially anaphoric and, in particular, they represent a discourse deixis. The fact that in Callimachus the deixis becomes more frequently endophoric is proved also by the fact that these pronouns are part of adverbial expression, which have only a linguistic value, as shown by </w:t>
      </w:r>
      <w:r w:rsidRPr="009D3F3F">
        <w:rPr>
          <w:rFonts w:cs="Times New Roman"/>
          <w:i/>
          <w:iCs/>
          <w:szCs w:val="24"/>
          <w:lang w:val="en-US"/>
        </w:rPr>
        <w:t>Ia.</w:t>
      </w:r>
      <w:r w:rsidRPr="00592079">
        <w:rPr>
          <w:rFonts w:cs="Times New Roman"/>
          <w:szCs w:val="24"/>
          <w:lang w:val="en-US"/>
        </w:rPr>
        <w:t xml:space="preserve"> 13.60 το</w:t>
      </w:r>
      <w:r w:rsidRPr="00FF2BA2">
        <w:rPr>
          <w:rFonts w:cs="Times New Roman"/>
          <w:szCs w:val="24"/>
          <w:lang w:val="en-US"/>
        </w:rPr>
        <w:t>ῦ</w:t>
      </w:r>
      <w:r w:rsidRPr="00754F18">
        <w:rPr>
          <w:rFonts w:cs="Times New Roman"/>
          <w:szCs w:val="24"/>
          <w:lang w:val="en-US"/>
        </w:rPr>
        <w:t>δ</w:t>
      </w:r>
      <w:r w:rsidR="00075F5F">
        <w:rPr>
          <w:rFonts w:cs="Times New Roman"/>
          <w:szCs w:val="24"/>
          <w:lang w:val="en-US"/>
        </w:rPr>
        <w:t>’</w:t>
      </w:r>
      <w:r w:rsidRPr="00754F18">
        <w:rPr>
          <w:rFonts w:cs="Times New Roman"/>
          <w:szCs w:val="24"/>
          <w:lang w:val="en-US"/>
        </w:rPr>
        <w:t xml:space="preserve"> ο</w:t>
      </w:r>
      <w:r w:rsidRPr="0097588B">
        <w:rPr>
          <w:rFonts w:cs="Times New Roman"/>
          <w:szCs w:val="24"/>
          <w:lang w:val="en-US"/>
        </w:rPr>
        <w:t>ὕνεκ</w:t>
      </w:r>
      <w:r w:rsidR="00075F5F">
        <w:rPr>
          <w:rFonts w:cs="Times New Roman"/>
          <w:szCs w:val="24"/>
          <w:lang w:val="en-US"/>
        </w:rPr>
        <w:t>’</w:t>
      </w:r>
      <w:r w:rsidRPr="0097588B">
        <w:rPr>
          <w:rFonts w:cs="Times New Roman"/>
          <w:szCs w:val="24"/>
          <w:lang w:val="en-US"/>
        </w:rPr>
        <w:t xml:space="preserve"> </w:t>
      </w:r>
      <w:r w:rsidR="00CC0615">
        <w:rPr>
          <w:rFonts w:cs="Times New Roman"/>
          <w:szCs w:val="24"/>
          <w:lang w:val="en-US"/>
        </w:rPr>
        <w:t>“</w:t>
      </w:r>
      <w:r w:rsidRPr="0097588B">
        <w:rPr>
          <w:rFonts w:cs="Times New Roman"/>
          <w:szCs w:val="24"/>
          <w:lang w:val="en-US"/>
        </w:rPr>
        <w:t>therefore</w:t>
      </w:r>
      <w:r w:rsidR="00CC0615">
        <w:rPr>
          <w:rFonts w:cs="Times New Roman"/>
          <w:szCs w:val="24"/>
          <w:lang w:val="en-US"/>
        </w:rPr>
        <w:t>”</w:t>
      </w:r>
      <w:r w:rsidRPr="009D3F3F">
        <w:rPr>
          <w:rFonts w:cs="Times New Roman"/>
          <w:szCs w:val="24"/>
          <w:lang w:val="en-US"/>
        </w:rPr>
        <w:t>. This never occurs in Archilochus</w:t>
      </w:r>
      <w:r w:rsidR="00075F5F">
        <w:rPr>
          <w:rFonts w:cs="Times New Roman"/>
          <w:szCs w:val="24"/>
          <w:lang w:val="en-US"/>
        </w:rPr>
        <w:t>’</w:t>
      </w:r>
      <w:r w:rsidRPr="009D3F3F">
        <w:rPr>
          <w:rFonts w:cs="Times New Roman"/>
          <w:szCs w:val="24"/>
          <w:lang w:val="en-US"/>
        </w:rPr>
        <w:t xml:space="preserve"> and Hipponax</w:t>
      </w:r>
      <w:r w:rsidR="00075F5F">
        <w:rPr>
          <w:rFonts w:cs="Times New Roman"/>
          <w:szCs w:val="24"/>
          <w:lang w:val="en-US"/>
        </w:rPr>
        <w:t>’</w:t>
      </w:r>
      <w:r w:rsidRPr="009D3F3F">
        <w:rPr>
          <w:rFonts w:cs="Times New Roman"/>
          <w:szCs w:val="24"/>
          <w:lang w:val="en-US"/>
        </w:rPr>
        <w:t>s iambs.</w:t>
      </w:r>
    </w:p>
    <w:p w14:paraId="6343252C" w14:textId="0F412E4A" w:rsidR="009D3F3F" w:rsidRPr="009D3F3F" w:rsidRDefault="00F676EB" w:rsidP="00F676EB">
      <w:pPr>
        <w:ind w:firstLine="426"/>
        <w:rPr>
          <w:rFonts w:cs="Times New Roman"/>
          <w:szCs w:val="24"/>
          <w:lang w:val="en-US"/>
        </w:rPr>
      </w:pPr>
      <w:r w:rsidRPr="009D3F3F">
        <w:rPr>
          <w:rFonts w:cs="Times New Roman"/>
          <w:szCs w:val="24"/>
          <w:lang w:val="en-US"/>
        </w:rPr>
        <w:t>In Callimachus</w:t>
      </w:r>
      <w:r w:rsidR="00075F5F">
        <w:rPr>
          <w:rFonts w:cs="Times New Roman"/>
          <w:szCs w:val="24"/>
          <w:lang w:val="en-US"/>
        </w:rPr>
        <w:t>’</w:t>
      </w:r>
      <w:r w:rsidRPr="009D3F3F">
        <w:rPr>
          <w:rFonts w:cs="Times New Roman"/>
          <w:szCs w:val="24"/>
          <w:lang w:val="en-US"/>
        </w:rPr>
        <w:t xml:space="preserve"> </w:t>
      </w:r>
      <w:r w:rsidRPr="009D3F3F">
        <w:rPr>
          <w:rFonts w:cs="Times New Roman"/>
          <w:i/>
          <w:iCs/>
          <w:szCs w:val="24"/>
          <w:lang w:val="en-US"/>
        </w:rPr>
        <w:t>Iambi</w:t>
      </w:r>
      <w:r w:rsidRPr="009D3F3F">
        <w:rPr>
          <w:rFonts w:cs="Times New Roman"/>
          <w:szCs w:val="24"/>
          <w:lang w:val="en-US"/>
        </w:rPr>
        <w:t xml:space="preserve"> the deictic pronouns are used according to the levels of the narration. In the most external level of narration Callimachus uses ὅδε, as shown by </w:t>
      </w:r>
      <w:r w:rsidRPr="00592079">
        <w:rPr>
          <w:rFonts w:cs="Times New Roman"/>
          <w:i/>
          <w:iCs/>
          <w:szCs w:val="24"/>
          <w:lang w:val="en-US"/>
        </w:rPr>
        <w:t>Ia</w:t>
      </w:r>
      <w:r w:rsidRPr="00592079">
        <w:rPr>
          <w:rFonts w:cs="Times New Roman"/>
          <w:szCs w:val="24"/>
          <w:lang w:val="en-US"/>
        </w:rPr>
        <w:t>. 4.44 ἡ μὲν τάδ</w:t>
      </w:r>
      <w:r w:rsidR="00075F5F">
        <w:rPr>
          <w:rFonts w:cs="Times New Roman"/>
          <w:szCs w:val="24"/>
          <w:lang w:val="en-US"/>
        </w:rPr>
        <w:t>’</w:t>
      </w:r>
      <w:r w:rsidRPr="00592079">
        <w:rPr>
          <w:rFonts w:cs="Times New Roman"/>
          <w:szCs w:val="24"/>
          <w:lang w:val="en-US"/>
        </w:rPr>
        <w:t xml:space="preserve">, </w:t>
      </w:r>
      <w:r w:rsidRPr="009D3F3F">
        <w:rPr>
          <w:rFonts w:cs="Times New Roman"/>
          <w:szCs w:val="24"/>
          <w:lang w:val="en-US"/>
        </w:rPr>
        <w:t>ο</w:t>
      </w:r>
      <w:r w:rsidRPr="0097588B">
        <w:rPr>
          <w:rFonts w:cs="Times New Roman"/>
          <w:szCs w:val="24"/>
          <w:lang w:val="en-US"/>
        </w:rPr>
        <w:t>ὐ</w:t>
      </w:r>
      <w:r w:rsidRPr="009D3F3F">
        <w:rPr>
          <w:rFonts w:cs="Times New Roman"/>
          <w:szCs w:val="24"/>
          <w:lang w:val="en-US"/>
        </w:rPr>
        <w:t>κέτ</w:t>
      </w:r>
      <w:r w:rsidR="00075F5F">
        <w:rPr>
          <w:rFonts w:cs="Times New Roman"/>
          <w:szCs w:val="24"/>
          <w:lang w:val="en-US"/>
        </w:rPr>
        <w:t>’</w:t>
      </w:r>
      <w:r w:rsidRPr="0097588B">
        <w:rPr>
          <w:rFonts w:cs="Times New Roman"/>
          <w:szCs w:val="24"/>
          <w:lang w:val="en-US"/>
        </w:rPr>
        <w:t xml:space="preserve"> ἄ</w:t>
      </w:r>
      <w:r w:rsidRPr="009D3F3F">
        <w:rPr>
          <w:rFonts w:cs="Times New Roman"/>
          <w:szCs w:val="24"/>
          <w:lang w:val="en-US"/>
        </w:rPr>
        <w:t xml:space="preserve">λλα </w:t>
      </w:r>
      <w:r w:rsidR="00CC0615">
        <w:rPr>
          <w:rFonts w:cs="Times New Roman"/>
          <w:szCs w:val="24"/>
          <w:lang w:val="en-US"/>
        </w:rPr>
        <w:t>“</w:t>
      </w:r>
      <w:r w:rsidRPr="009D3F3F">
        <w:rPr>
          <w:rFonts w:cs="Times New Roman"/>
          <w:szCs w:val="24"/>
          <w:lang w:val="en-US"/>
        </w:rPr>
        <w:t>these things he said and nothing more.</w:t>
      </w:r>
      <w:r w:rsidR="00CC0615">
        <w:rPr>
          <w:rFonts w:cs="Times New Roman"/>
          <w:szCs w:val="24"/>
          <w:lang w:val="en-US"/>
        </w:rPr>
        <w:t>”</w:t>
      </w:r>
      <w:r w:rsidRPr="009D3F3F">
        <w:rPr>
          <w:rFonts w:cs="Times New Roman"/>
          <w:szCs w:val="24"/>
          <w:lang w:val="en-US"/>
        </w:rPr>
        <w:t xml:space="preserve"> This is the frame of the fable. When Callimachus is operating within the second level of the narration, he tends to use οὗτος, as shown by </w:t>
      </w:r>
      <w:r w:rsidRPr="009D3F3F">
        <w:rPr>
          <w:rFonts w:cs="Times New Roman"/>
          <w:i/>
          <w:iCs/>
          <w:szCs w:val="24"/>
          <w:lang w:val="en-US"/>
        </w:rPr>
        <w:t>Ia.</w:t>
      </w:r>
      <w:r w:rsidRPr="009D3F3F">
        <w:rPr>
          <w:rFonts w:cs="Times New Roman"/>
          <w:szCs w:val="24"/>
          <w:lang w:val="en-US"/>
        </w:rPr>
        <w:t xml:space="preserve"> 4.57 ἀλλ</w:t>
      </w:r>
      <w:r w:rsidR="00075F5F">
        <w:rPr>
          <w:rFonts w:cs="Times New Roman"/>
          <w:szCs w:val="24"/>
          <w:lang w:val="en-US"/>
        </w:rPr>
        <w:t>’</w:t>
      </w:r>
      <w:r w:rsidRPr="009D3F3F">
        <w:rPr>
          <w:rFonts w:cs="Times New Roman"/>
          <w:szCs w:val="24"/>
          <w:lang w:val="en-US"/>
        </w:rPr>
        <w:t xml:space="preserve"> ἐπε</w:t>
      </w:r>
      <w:r w:rsidRPr="0097588B">
        <w:rPr>
          <w:rFonts w:cs="Times New Roman"/>
          <w:szCs w:val="24"/>
          <w:lang w:val="en-US"/>
        </w:rPr>
        <w:t xml:space="preserve">ὶ </w:t>
      </w:r>
      <w:r w:rsidRPr="009D3F3F">
        <w:rPr>
          <w:rFonts w:cs="Times New Roman"/>
          <w:szCs w:val="24"/>
          <w:lang w:val="en-US"/>
        </w:rPr>
        <w:t xml:space="preserve">γὰρ ἐμνήσθης / καὶ τοῦτο </w:t>
      </w:r>
      <w:r w:rsidR="00CC0615">
        <w:rPr>
          <w:rFonts w:cs="Times New Roman"/>
          <w:szCs w:val="24"/>
          <w:lang w:val="en-US"/>
        </w:rPr>
        <w:t>“</w:t>
      </w:r>
      <w:r w:rsidRPr="009D3F3F">
        <w:rPr>
          <w:rFonts w:cs="Times New Roman"/>
          <w:szCs w:val="24"/>
          <w:lang w:val="en-US"/>
        </w:rPr>
        <w:t>but since you mentioned this as well</w:t>
      </w:r>
      <w:r w:rsidR="00CC0615">
        <w:rPr>
          <w:rFonts w:cs="Times New Roman"/>
          <w:szCs w:val="24"/>
          <w:lang w:val="en-US"/>
        </w:rPr>
        <w:t>”</w:t>
      </w:r>
      <w:r w:rsidRPr="009D3F3F">
        <w:rPr>
          <w:rFonts w:cs="Times New Roman"/>
          <w:szCs w:val="24"/>
          <w:lang w:val="en-US"/>
        </w:rPr>
        <w:t xml:space="preserve">: here one of the characters of the fable is speaking, since it is the second level of narration. Finally, </w:t>
      </w:r>
      <w:r w:rsidRPr="00592079">
        <w:rPr>
          <w:rFonts w:cs="Times New Roman"/>
          <w:szCs w:val="24"/>
          <w:lang w:val="en-US"/>
        </w:rPr>
        <w:t xml:space="preserve">ἐκεῖνος appears only in the inner level of narration: for example, in </w:t>
      </w:r>
      <w:r w:rsidRPr="00FF2BA2">
        <w:rPr>
          <w:rFonts w:cs="Times New Roman"/>
          <w:i/>
          <w:iCs/>
          <w:szCs w:val="24"/>
          <w:lang w:val="en-US"/>
        </w:rPr>
        <w:t>Ia.</w:t>
      </w:r>
      <w:r w:rsidRPr="00754F18">
        <w:rPr>
          <w:rFonts w:cs="Times New Roman"/>
          <w:szCs w:val="24"/>
          <w:lang w:val="en-US"/>
        </w:rPr>
        <w:t xml:space="preserve"> 1.65, Hipponax refers to the cup of </w:t>
      </w:r>
      <w:r w:rsidRPr="0097588B">
        <w:rPr>
          <w:rFonts w:cs="Times New Roman"/>
          <w:szCs w:val="24"/>
          <w:lang w:val="en-US"/>
        </w:rPr>
        <w:t xml:space="preserve">Batikles as ἐκεῖνο (ἐκεῖνο τοὐλόχρυσον ἐξελὼν πήρης </w:t>
      </w:r>
      <w:r w:rsidR="00CC0615">
        <w:rPr>
          <w:rFonts w:cs="Times New Roman"/>
          <w:szCs w:val="24"/>
          <w:lang w:val="en-US"/>
        </w:rPr>
        <w:t>“</w:t>
      </w:r>
      <w:r w:rsidRPr="0097588B">
        <w:rPr>
          <w:rFonts w:cs="Times New Roman"/>
          <w:szCs w:val="24"/>
          <w:lang w:val="en-US"/>
        </w:rPr>
        <w:t>having taken that golden goblet from his satchel</w:t>
      </w:r>
      <w:r w:rsidR="00CC0615">
        <w:rPr>
          <w:rFonts w:cs="Times New Roman"/>
          <w:szCs w:val="24"/>
          <w:lang w:val="en-US"/>
        </w:rPr>
        <w:t>”</w:t>
      </w:r>
      <w:r w:rsidRPr="0097588B">
        <w:rPr>
          <w:rFonts w:cs="Times New Roman"/>
          <w:szCs w:val="24"/>
          <w:lang w:val="en-US"/>
        </w:rPr>
        <w:t xml:space="preserve">). Here, Hipponax is introducing the most inner level of narration, namely the story of the cup of Batykles told not through his eyes, but through the eyes of the son of Batykles, the main character of the episode which Hipponax is recounting. Thus from the perspective of Hipponax the cup is very distant in time and space, and for this reason he says ἐκεῖνο. </w:t>
      </w:r>
    </w:p>
    <w:p w14:paraId="55758E24" w14:textId="65F1C015" w:rsidR="007147E5" w:rsidRPr="0097588B" w:rsidRDefault="00F676EB" w:rsidP="0097588B">
      <w:pPr>
        <w:ind w:firstLine="426"/>
        <w:rPr>
          <w:rFonts w:cs="Times New Roman"/>
          <w:szCs w:val="24"/>
        </w:rPr>
      </w:pPr>
      <w:r w:rsidRPr="009D3F3F">
        <w:rPr>
          <w:rFonts w:cs="Times New Roman"/>
          <w:szCs w:val="24"/>
          <w:lang w:val="en-US"/>
        </w:rPr>
        <w:t>From the perspective of deixis and the use of deict</w:t>
      </w:r>
      <w:r w:rsidRPr="00592079">
        <w:rPr>
          <w:rFonts w:cs="Times New Roman"/>
          <w:szCs w:val="24"/>
          <w:lang w:val="en-US"/>
        </w:rPr>
        <w:t>ic markers, the distinction between reference to the situation of enunciation and reference to the internal context becomes essential.</w:t>
      </w:r>
      <w:r w:rsidR="009D3F3F">
        <w:rPr>
          <w:rFonts w:cs="Times New Roman"/>
          <w:szCs w:val="24"/>
          <w:lang w:val="en-US"/>
        </w:rPr>
        <w:t xml:space="preserve"> </w:t>
      </w:r>
      <w:r w:rsidRPr="009D3F3F">
        <w:rPr>
          <w:rFonts w:cs="Times New Roman"/>
          <w:szCs w:val="24"/>
          <w:lang w:val="en-US"/>
        </w:rPr>
        <w:t xml:space="preserve">The first involves a link to the extra-discursive situation of the communicative discourse, while the other offers the possibility of intra-discursive reference to the </w:t>
      </w:r>
      <w:r w:rsidRPr="009D3F3F">
        <w:rPr>
          <w:rFonts w:cs="Times New Roman"/>
          <w:szCs w:val="24"/>
          <w:lang w:val="en-US"/>
        </w:rPr>
        <w:lastRenderedPageBreak/>
        <w:t>features presented within the utterance itself. The anaphoric use of certain deictic forms situates the enunciation at the intersection of these two referential dimensions of discourse, between reference to t</w:t>
      </w:r>
      <w:r w:rsidRPr="00592079">
        <w:rPr>
          <w:rFonts w:cs="Times New Roman"/>
          <w:szCs w:val="24"/>
          <w:lang w:val="en-US"/>
        </w:rPr>
        <w:t>he linguistic context (usually anterior) and reference to the present situation of enunciation.</w:t>
      </w:r>
      <w:r w:rsidRPr="009D3F3F">
        <w:rPr>
          <w:rStyle w:val="FootnoteReference"/>
          <w:rFonts w:cs="Times New Roman"/>
          <w:szCs w:val="24"/>
          <w:lang w:val="en-US"/>
        </w:rPr>
        <w:footnoteReference w:id="270"/>
      </w:r>
      <w:r w:rsidRPr="009D3F3F">
        <w:rPr>
          <w:rFonts w:cs="Times New Roman"/>
          <w:szCs w:val="24"/>
          <w:lang w:val="en-US"/>
        </w:rPr>
        <w:t xml:space="preserve"> But in the movement from </w:t>
      </w:r>
      <w:r w:rsidR="00CC0615">
        <w:rPr>
          <w:rFonts w:cs="Times New Roman"/>
          <w:szCs w:val="24"/>
          <w:lang w:val="en-US"/>
        </w:rPr>
        <w:t>“</w:t>
      </w:r>
      <w:r w:rsidRPr="009D3F3F">
        <w:rPr>
          <w:rFonts w:cs="Times New Roman"/>
          <w:szCs w:val="24"/>
          <w:lang w:val="en-US"/>
        </w:rPr>
        <w:t>here</w:t>
      </w:r>
      <w:r w:rsidR="00CC0615">
        <w:rPr>
          <w:rFonts w:cs="Times New Roman"/>
          <w:szCs w:val="24"/>
          <w:lang w:val="en-US"/>
        </w:rPr>
        <w:t>”</w:t>
      </w:r>
      <w:r w:rsidRPr="009D3F3F">
        <w:rPr>
          <w:rFonts w:cs="Times New Roman"/>
          <w:szCs w:val="24"/>
          <w:lang w:val="en-US"/>
        </w:rPr>
        <w:t xml:space="preserve"> to </w:t>
      </w:r>
      <w:r w:rsidR="00CC0615">
        <w:rPr>
          <w:rFonts w:cs="Times New Roman"/>
          <w:szCs w:val="24"/>
          <w:lang w:val="en-US"/>
        </w:rPr>
        <w:t>“</w:t>
      </w:r>
      <w:r w:rsidRPr="009D3F3F">
        <w:rPr>
          <w:rFonts w:cs="Times New Roman"/>
          <w:szCs w:val="24"/>
          <w:lang w:val="en-US"/>
        </w:rPr>
        <w:t>there</w:t>
      </w:r>
      <w:r w:rsidR="00CC0615">
        <w:rPr>
          <w:rFonts w:cs="Times New Roman"/>
          <w:szCs w:val="24"/>
          <w:lang w:val="en-US"/>
        </w:rPr>
        <w:t>”</w:t>
      </w:r>
      <w:r w:rsidRPr="009D3F3F">
        <w:rPr>
          <w:rFonts w:cs="Times New Roman"/>
          <w:szCs w:val="24"/>
          <w:lang w:val="en-US"/>
        </w:rPr>
        <w:t xml:space="preserve"> (from ὅδε to ἐκεῖνος), the deictic marker can not only slide from a proximal extra-discoursive situation to a situation distant from the </w:t>
      </w:r>
      <w:r w:rsidRPr="009D3F3F">
        <w:rPr>
          <w:rFonts w:cs="Times New Roman"/>
          <w:i/>
          <w:iCs/>
          <w:szCs w:val="24"/>
          <w:lang w:val="en-US"/>
        </w:rPr>
        <w:t>hic et nunc</w:t>
      </w:r>
      <w:r w:rsidRPr="009D3F3F">
        <w:rPr>
          <w:rFonts w:cs="Times New Roman"/>
          <w:szCs w:val="24"/>
          <w:lang w:val="en-US"/>
        </w:rPr>
        <w:t xml:space="preserve"> of the communication, but through its anaphoric force, deixis can also facilitate the transition between the universe constructed within the text (the level of </w:t>
      </w:r>
      <w:r w:rsidRPr="00592079">
        <w:rPr>
          <w:rFonts w:cs="Times New Roman"/>
          <w:i/>
          <w:iCs/>
          <w:szCs w:val="24"/>
          <w:lang w:val="en-US"/>
        </w:rPr>
        <w:t>récit</w:t>
      </w:r>
      <w:r w:rsidRPr="00592079">
        <w:rPr>
          <w:rFonts w:cs="Times New Roman"/>
          <w:szCs w:val="24"/>
          <w:lang w:val="en-US"/>
        </w:rPr>
        <w:t xml:space="preserve">) and the universe of enunciation (the level of </w:t>
      </w:r>
      <w:r w:rsidRPr="00592079">
        <w:rPr>
          <w:rFonts w:cs="Times New Roman"/>
          <w:i/>
          <w:iCs/>
          <w:szCs w:val="24"/>
          <w:lang w:val="en-US"/>
        </w:rPr>
        <w:t>discours</w:t>
      </w:r>
      <w:r w:rsidRPr="00592079">
        <w:rPr>
          <w:rFonts w:cs="Times New Roman"/>
          <w:szCs w:val="24"/>
          <w:lang w:val="en-US"/>
        </w:rPr>
        <w:t xml:space="preserve">) referring to the extra-discursive and historical circumstances of the communication. The poetic shift toward a self-enclosed fictional construct through the </w:t>
      </w:r>
      <w:r w:rsidRPr="00FF2BA2">
        <w:rPr>
          <w:rFonts w:cs="Times New Roman"/>
          <w:szCs w:val="24"/>
          <w:lang w:val="en-US"/>
        </w:rPr>
        <w:t>dramatic creation within the discourse itself of its own conditions of enunciation is accompl</w:t>
      </w:r>
      <w:r w:rsidRPr="00754F18">
        <w:rPr>
          <w:rFonts w:cs="Times New Roman"/>
          <w:szCs w:val="24"/>
          <w:lang w:val="en-US"/>
        </w:rPr>
        <w:t>ished in Callimachus</w:t>
      </w:r>
      <w:r w:rsidR="00075F5F">
        <w:rPr>
          <w:rFonts w:cs="Times New Roman"/>
          <w:szCs w:val="24"/>
          <w:lang w:val="en-US"/>
        </w:rPr>
        <w:t>’</w:t>
      </w:r>
      <w:r w:rsidRPr="00754F18">
        <w:rPr>
          <w:rFonts w:cs="Times New Roman"/>
          <w:szCs w:val="24"/>
          <w:lang w:val="en-US"/>
        </w:rPr>
        <w:t xml:space="preserve"> </w:t>
      </w:r>
      <w:r w:rsidRPr="0097588B">
        <w:rPr>
          <w:rFonts w:cs="Times New Roman"/>
          <w:i/>
          <w:iCs/>
          <w:szCs w:val="24"/>
          <w:lang w:val="en-US"/>
        </w:rPr>
        <w:t>Iambi</w:t>
      </w:r>
      <w:r w:rsidRPr="0097588B">
        <w:rPr>
          <w:rFonts w:cs="Times New Roman"/>
          <w:szCs w:val="24"/>
          <w:lang w:val="en-US"/>
        </w:rPr>
        <w:t xml:space="preserve"> where the voice of the bard appears to sing in a polyphony adopted successively by different speakers, all of them choral in character. Such subtle enunciative games involve the construction through poetic mimesis of a complex communicative situation which is at once both completely representional and fictive. Therefore, while Archilochus and Hipponax use deictic pronouns according to the perception of proximity and distance in the spatial and temporal dimensions of their reality, Callimachus uses them in order to create spatial and temporal dimensions within his narrations.</w:t>
      </w:r>
      <w:r w:rsidR="006512C4" w:rsidRPr="0097588B">
        <w:rPr>
          <w:rFonts w:cs="Times New Roman"/>
          <w:szCs w:val="24"/>
        </w:rPr>
        <w:t xml:space="preserve"> </w:t>
      </w:r>
    </w:p>
    <w:p w14:paraId="19DAD957" w14:textId="7BD0A569" w:rsidR="007147E5" w:rsidRPr="00F76EA9" w:rsidRDefault="006512C4" w:rsidP="007147E5">
      <w:pPr>
        <w:pStyle w:val="Heading4"/>
      </w:pPr>
      <w:r w:rsidRPr="00F76EA9">
        <w:t>2.1.3 The Speaker-Audience Relationship in Light of Spatial Deixis</w:t>
      </w:r>
    </w:p>
    <w:p w14:paraId="71F549C9" w14:textId="26AC9E56" w:rsidR="006512C4" w:rsidRPr="00F676EB" w:rsidRDefault="00F676EB" w:rsidP="0097588B">
      <w:pPr>
        <w:spacing w:after="120"/>
        <w:rPr>
          <w:lang w:val="en-US"/>
        </w:rPr>
      </w:pPr>
      <w:r>
        <w:rPr>
          <w:lang w:val="en-US"/>
        </w:rPr>
        <w:t>Concluding this discussion on spatial deixis, I would like to draw attention to the fact that the use of demonstrative pronouns gives insight into the constructed relationships between each iambographer and his audience. Here below I will try to sketch them: the boxes represent spatial and temporal dimensions, the red arrow indicates a direct relationship (sender</w:t>
      </w:r>
      <w:r w:rsidR="00A53A10">
        <w:rPr>
          <w:lang w:val="en-US"/>
        </w:rPr>
        <w:t>–</w:t>
      </w:r>
      <w:r>
        <w:rPr>
          <w:lang w:val="en-US"/>
        </w:rPr>
        <w:t xml:space="preserve">receiver/addressee), while the </w:t>
      </w:r>
      <w:r w:rsidR="00CB1276">
        <w:rPr>
          <w:lang w:val="en-US"/>
        </w:rPr>
        <w:t>blue</w:t>
      </w:r>
      <w:r>
        <w:rPr>
          <w:lang w:val="en-US"/>
        </w:rPr>
        <w:t xml:space="preserve"> </w:t>
      </w:r>
      <w:r w:rsidR="00D808B7">
        <w:rPr>
          <w:lang w:val="en-US"/>
        </w:rPr>
        <w:t xml:space="preserve">dotted line </w:t>
      </w:r>
      <w:r>
        <w:rPr>
          <w:lang w:val="en-US"/>
        </w:rPr>
        <w:t xml:space="preserve">arrow indicates an </w:t>
      </w:r>
      <w:r w:rsidR="00A53A10">
        <w:rPr>
          <w:lang w:val="en-US"/>
        </w:rPr>
        <w:t>indirect relationship (sender–</w:t>
      </w:r>
      <w:r>
        <w:rPr>
          <w:lang w:val="en-US"/>
        </w:rPr>
        <w:t>receiver).</w:t>
      </w:r>
    </w:p>
    <w:p w14:paraId="69FF5627" w14:textId="0434A7F9" w:rsidR="00F676EB" w:rsidRPr="00A72386" w:rsidRDefault="00F676EB" w:rsidP="0097588B">
      <w:pPr>
        <w:numPr>
          <w:ilvl w:val="0"/>
          <w:numId w:val="15"/>
        </w:numPr>
      </w:pPr>
      <w:r>
        <w:rPr>
          <w:lang w:val="en-US"/>
        </w:rPr>
        <w:t xml:space="preserve">Archilochus is the speaker and, often, also the main character of his speech: he refers to himself as </w:t>
      </w:r>
      <w:r w:rsidR="00CC0615">
        <w:rPr>
          <w:lang w:val="en-US"/>
        </w:rPr>
        <w:t>“</w:t>
      </w:r>
      <w:r>
        <w:rPr>
          <w:lang w:val="en-US"/>
        </w:rPr>
        <w:t>I.</w:t>
      </w:r>
      <w:r w:rsidR="00CC0615">
        <w:rPr>
          <w:lang w:val="en-US"/>
        </w:rPr>
        <w:t>”</w:t>
      </w:r>
      <w:r>
        <w:rPr>
          <w:lang w:val="en-US"/>
        </w:rPr>
        <w:t xml:space="preserve"> He speaks as one who is part of a group of friends who share his ideas and his judgments against his enemy. His speech is located in the </w:t>
      </w:r>
      <w:r>
        <w:rPr>
          <w:i/>
          <w:iCs/>
          <w:lang w:val="en-US"/>
        </w:rPr>
        <w:t>hic et nunc</w:t>
      </w:r>
      <w:r>
        <w:rPr>
          <w:lang w:val="en-US"/>
        </w:rPr>
        <w:t xml:space="preserve"> of the performance. Therefore, Archilochus directly addresses his audience, since he is in the same spatio-temporal dimension as his audience both </w:t>
      </w:r>
      <w:r>
        <w:rPr>
          <w:lang w:val="en-US"/>
        </w:rPr>
        <w:lastRenderedPageBreak/>
        <w:t>as author and as character. It is worth noting that ἐκεῖνος means someone or something who/which is outside of the sight of the speaker, but who/which shares his spatio-temporal dimension.</w:t>
      </w:r>
    </w:p>
    <w:p w14:paraId="65680C63" w14:textId="77777777" w:rsidR="006512C4" w:rsidRPr="009A3640" w:rsidRDefault="006512C4" w:rsidP="00695A7C">
      <w:pPr>
        <w:spacing w:line="360" w:lineRule="auto"/>
        <w:ind w:left="720"/>
      </w:pPr>
    </w:p>
    <w:tbl>
      <w:tblPr>
        <w:tblStyle w:val="TableGrid"/>
        <w:tblW w:w="4551" w:type="pc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3"/>
        <w:gridCol w:w="2958"/>
        <w:gridCol w:w="1922"/>
      </w:tblGrid>
      <w:tr w:rsidR="006512C4" w14:paraId="40BA9B7D" w14:textId="77777777" w:rsidTr="00797969">
        <w:tc>
          <w:tcPr>
            <w:tcW w:w="3811" w:type="pct"/>
            <w:gridSpan w:val="2"/>
          </w:tcPr>
          <w:p w14:paraId="63B01A1D" w14:textId="1137AF0D" w:rsidR="006512C4" w:rsidRPr="00A103F2" w:rsidRDefault="00F80101" w:rsidP="00695A7C">
            <w:pPr>
              <w:spacing w:line="360" w:lineRule="auto"/>
              <w:jc w:val="center"/>
              <w:rPr>
                <w:szCs w:val="24"/>
                <w:lang w:val="en-US"/>
              </w:rPr>
            </w:pPr>
            <w:r>
              <w:rPr>
                <w:noProof/>
                <w:szCs w:val="24"/>
                <w:lang w:val="en-US"/>
              </w:rPr>
              <mc:AlternateContent>
                <mc:Choice Requires="wps">
                  <w:drawing>
                    <wp:anchor distT="0" distB="0" distL="114300" distR="114300" simplePos="0" relativeHeight="251693056" behindDoc="0" locked="0" layoutInCell="1" allowOverlap="1" wp14:anchorId="0D431D18" wp14:editId="20432F3C">
                      <wp:simplePos x="0" y="0"/>
                      <wp:positionH relativeFrom="column">
                        <wp:posOffset>1714500</wp:posOffset>
                      </wp:positionH>
                      <wp:positionV relativeFrom="paragraph">
                        <wp:posOffset>175895</wp:posOffset>
                      </wp:positionV>
                      <wp:extent cx="2628900" cy="1348740"/>
                      <wp:effectExtent l="50800" t="25400" r="88900" b="124460"/>
                      <wp:wrapNone/>
                      <wp:docPr id="24" name="Straight Arrow Connector 24"/>
                      <wp:cNvGraphicFramePr/>
                      <a:graphic xmlns:a="http://schemas.openxmlformats.org/drawingml/2006/main">
                        <a:graphicData uri="http://schemas.microsoft.com/office/word/2010/wordprocessingShape">
                          <wps:wsp>
                            <wps:cNvCnPr/>
                            <wps:spPr>
                              <a:xfrm>
                                <a:off x="0" y="0"/>
                                <a:ext cx="2628900" cy="1348740"/>
                              </a:xfrm>
                              <a:prstGeom prst="straightConnector1">
                                <a:avLst/>
                              </a:prstGeom>
                              <a:ln w="19050" cmpd="sng">
                                <a:solidFill>
                                  <a:srgbClr val="0000FF"/>
                                </a:solidFill>
                                <a:prstDash val="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32" coordsize="21600,21600" o:spt="32" o:oned="t" path="m0,0l21600,21600e" filled="f">
                      <v:path arrowok="t" fillok="f" o:connecttype="none"/>
                      <o:lock v:ext="edit" shapetype="t"/>
                    </v:shapetype>
                    <v:shape id="Straight Arrow Connector 24" o:spid="_x0000_s1026" type="#_x0000_t32" style="position:absolute;margin-left:135pt;margin-top:13.85pt;width:207pt;height:10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" strokecolor="blue" strokeweight="1.5pt">
                      <v:stroke dashstyle="dash" endarrow="open"/>
                      <v:shadow on="t" opacity="24903f" mv:blur="40000f" origin=",.5" offset="0,20000emu"/>
                    </v:shape>
                  </w:pict>
                </mc:Fallback>
              </mc:AlternateContent>
            </w:r>
            <w:r w:rsidR="006512C4">
              <w:rPr>
                <w:noProof/>
                <w:szCs w:val="24"/>
                <w:lang w:val="en-US"/>
              </w:rPr>
              <mc:AlternateContent>
                <mc:Choice Requires="wps">
                  <w:drawing>
                    <wp:anchor distT="0" distB="0" distL="114300" distR="114300" simplePos="0" relativeHeight="251689984" behindDoc="0" locked="0" layoutInCell="1" allowOverlap="1" wp14:anchorId="732F1EAC" wp14:editId="47FDEF9E">
                      <wp:simplePos x="0" y="0"/>
                      <wp:positionH relativeFrom="column">
                        <wp:posOffset>1714500</wp:posOffset>
                      </wp:positionH>
                      <wp:positionV relativeFrom="paragraph">
                        <wp:posOffset>185420</wp:posOffset>
                      </wp:positionV>
                      <wp:extent cx="0" cy="571500"/>
                      <wp:effectExtent l="127000" t="25400" r="101600" b="114300"/>
                      <wp:wrapNone/>
                      <wp:docPr id="25" name="Straight Arrow Connector 25"/>
                      <wp:cNvGraphicFramePr/>
                      <a:graphic xmlns:a="http://schemas.openxmlformats.org/drawingml/2006/main">
                        <a:graphicData uri="http://schemas.microsoft.com/office/word/2010/wordprocessingShape">
                          <wps:wsp>
                            <wps:cNvCnPr/>
                            <wps:spPr>
                              <a:xfrm>
                                <a:off x="0" y="0"/>
                                <a:ext cx="0" cy="571500"/>
                              </a:xfrm>
                              <a:prstGeom prst="straightConnector1">
                                <a:avLst/>
                              </a:prstGeom>
                              <a:ln w="19050" cmpd="sng">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id="Straight Arrow Connector 25" o:spid="_x0000_s1026" type="#_x0000_t32" style="position:absolute;margin-left:135pt;margin-top:14.6pt;width:0;height:4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" strokecolor="red" strokeweight="1.5pt">
                      <v:stroke endarrow="open"/>
                      <v:shadow on="t" opacity="24903f" mv:blur="40000f" origin=",.5" offset="0,20000emu"/>
                    </v:shape>
                  </w:pict>
                </mc:Fallback>
              </mc:AlternateContent>
            </w:r>
            <w:r w:rsidR="006512C4" w:rsidRPr="00A72386">
              <w:rPr>
                <w:szCs w:val="24"/>
              </w:rPr>
              <w:t>Archilochus = speaker (</w:t>
            </w:r>
            <w:r w:rsidR="006512C4" w:rsidRPr="00A72386">
              <w:rPr>
                <w:szCs w:val="24"/>
                <w:lang w:val="el-GR"/>
              </w:rPr>
              <w:t>ἐγώ</w:t>
            </w:r>
            <w:r w:rsidR="006512C4" w:rsidRPr="00A103F2">
              <w:rPr>
                <w:szCs w:val="24"/>
                <w:lang w:val="en-US"/>
              </w:rPr>
              <w:t xml:space="preserve">, </w:t>
            </w:r>
            <w:r w:rsidR="006512C4" w:rsidRPr="00A72386">
              <w:rPr>
                <w:szCs w:val="24"/>
                <w:lang w:val="el-GR"/>
              </w:rPr>
              <w:t>ὅδε</w:t>
            </w:r>
            <w:r w:rsidR="006512C4" w:rsidRPr="00A103F2">
              <w:rPr>
                <w:szCs w:val="24"/>
                <w:lang w:val="en-US"/>
              </w:rPr>
              <w:t>)</w:t>
            </w:r>
          </w:p>
          <w:p w14:paraId="75E6B6CE" w14:textId="57B33651" w:rsidR="006512C4" w:rsidRPr="00A103F2" w:rsidRDefault="006512C4" w:rsidP="00695A7C">
            <w:pPr>
              <w:spacing w:line="360" w:lineRule="auto"/>
              <w:jc w:val="center"/>
              <w:rPr>
                <w:szCs w:val="24"/>
                <w:lang w:val="en-US"/>
              </w:rPr>
            </w:pPr>
          </w:p>
          <w:p w14:paraId="2EFFE8BC" w14:textId="77777777" w:rsidR="006512C4" w:rsidRDefault="006512C4" w:rsidP="00695A7C">
            <w:pPr>
              <w:spacing w:line="360" w:lineRule="auto"/>
              <w:jc w:val="center"/>
              <w:rPr>
                <w:szCs w:val="24"/>
                <w:lang w:val="en-US"/>
              </w:rPr>
            </w:pPr>
          </w:p>
          <w:p w14:paraId="2A903D5B" w14:textId="23091BD5" w:rsidR="006512C4" w:rsidRPr="00A72386" w:rsidRDefault="00F80101" w:rsidP="00695A7C">
            <w:pPr>
              <w:spacing w:line="360" w:lineRule="auto"/>
              <w:jc w:val="center"/>
              <w:rPr>
                <w:szCs w:val="24"/>
                <w:lang w:val="en-US"/>
              </w:rPr>
            </w:pPr>
            <w:r>
              <w:rPr>
                <w:noProof/>
                <w:szCs w:val="24"/>
                <w:lang w:val="en-US"/>
              </w:rPr>
              <mc:AlternateContent>
                <mc:Choice Requires="wps">
                  <w:drawing>
                    <wp:anchor distT="0" distB="0" distL="114300" distR="114300" simplePos="0" relativeHeight="251692032" behindDoc="0" locked="0" layoutInCell="1" allowOverlap="1" wp14:anchorId="51CBF008" wp14:editId="2F7D7340">
                      <wp:simplePos x="0" y="0"/>
                      <wp:positionH relativeFrom="column">
                        <wp:posOffset>1714500</wp:posOffset>
                      </wp:positionH>
                      <wp:positionV relativeFrom="paragraph">
                        <wp:posOffset>187325</wp:posOffset>
                      </wp:positionV>
                      <wp:extent cx="685800" cy="571500"/>
                      <wp:effectExtent l="50800" t="25400" r="101600" b="114300"/>
                      <wp:wrapNone/>
                      <wp:docPr id="26" name="Straight Arrow Connector 26"/>
                      <wp:cNvGraphicFramePr/>
                      <a:graphic xmlns:a="http://schemas.openxmlformats.org/drawingml/2006/main">
                        <a:graphicData uri="http://schemas.microsoft.com/office/word/2010/wordprocessingShape">
                          <wps:wsp>
                            <wps:cNvCnPr/>
                            <wps:spPr>
                              <a:xfrm>
                                <a:off x="0" y="0"/>
                                <a:ext cx="685800" cy="571500"/>
                              </a:xfrm>
                              <a:prstGeom prst="straightConnector1">
                                <a:avLst/>
                              </a:prstGeom>
                              <a:ln w="19050" cmpd="sng">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26" o:spid="_x0000_s1026" type="#_x0000_t32" style="position:absolute;margin-left:135pt;margin-top:14.75pt;width:54pt;height: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" strokecolor="red" strokeweight="1.5pt">
                      <v:stroke endarrow="open"/>
                      <v:shadow on="t" opacity="24903f" mv:blur="40000f" origin=",.5" offset="0,20000emu"/>
                    </v:shape>
                  </w:pict>
                </mc:Fallback>
              </mc:AlternateContent>
            </w:r>
            <w:r w:rsidR="006512C4">
              <w:rPr>
                <w:noProof/>
                <w:szCs w:val="24"/>
                <w:lang w:val="en-US"/>
              </w:rPr>
              <mc:AlternateContent>
                <mc:Choice Requires="wps">
                  <w:drawing>
                    <wp:anchor distT="0" distB="0" distL="114300" distR="114300" simplePos="0" relativeHeight="251691008" behindDoc="0" locked="0" layoutInCell="1" allowOverlap="1" wp14:anchorId="5D52C8F4" wp14:editId="0C213BE8">
                      <wp:simplePos x="0" y="0"/>
                      <wp:positionH relativeFrom="column">
                        <wp:posOffset>1143000</wp:posOffset>
                      </wp:positionH>
                      <wp:positionV relativeFrom="paragraph">
                        <wp:posOffset>196850</wp:posOffset>
                      </wp:positionV>
                      <wp:extent cx="571500" cy="571500"/>
                      <wp:effectExtent l="76200" t="25400" r="63500" b="114300"/>
                      <wp:wrapNone/>
                      <wp:docPr id="27" name="Straight Arrow Connector 27"/>
                      <wp:cNvGraphicFramePr/>
                      <a:graphic xmlns:a="http://schemas.openxmlformats.org/drawingml/2006/main">
                        <a:graphicData uri="http://schemas.microsoft.com/office/word/2010/wordprocessingShape">
                          <wps:wsp>
                            <wps:cNvCnPr/>
                            <wps:spPr>
                              <a:xfrm flipH="1">
                                <a:off x="0" y="0"/>
                                <a:ext cx="571500" cy="571500"/>
                              </a:xfrm>
                              <a:prstGeom prst="straightConnector1">
                                <a:avLst/>
                              </a:prstGeom>
                              <a:ln w="19050" cmpd="sng">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27" o:spid="_x0000_s1026" type="#_x0000_t32" style="position:absolute;margin-left:90pt;margin-top:15.5pt;width:45pt;height:45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" strokecolor="red" strokeweight="1.5pt">
                      <v:stroke endarrow="open"/>
                      <v:shadow on="t" opacity="24903f" mv:blur="40000f" origin=",.5" offset="0,20000emu"/>
                    </v:shape>
                  </w:pict>
                </mc:Fallback>
              </mc:AlternateContent>
            </w:r>
            <w:r w:rsidR="006512C4" w:rsidRPr="00A72386">
              <w:rPr>
                <w:szCs w:val="24"/>
                <w:lang w:val="en-US"/>
              </w:rPr>
              <w:t>his audience</w:t>
            </w:r>
          </w:p>
          <w:p w14:paraId="7A8E835A" w14:textId="4C66E918" w:rsidR="006512C4" w:rsidRPr="00A72386" w:rsidRDefault="006512C4" w:rsidP="00695A7C">
            <w:pPr>
              <w:spacing w:line="360" w:lineRule="auto"/>
              <w:jc w:val="center"/>
              <w:rPr>
                <w:szCs w:val="24"/>
                <w:lang w:val="en-US"/>
              </w:rPr>
            </w:pPr>
          </w:p>
          <w:p w14:paraId="485215D8" w14:textId="77777777" w:rsidR="006512C4" w:rsidRPr="00A72386" w:rsidRDefault="006512C4" w:rsidP="00695A7C">
            <w:pPr>
              <w:spacing w:line="360" w:lineRule="auto"/>
              <w:jc w:val="center"/>
              <w:rPr>
                <w:szCs w:val="24"/>
                <w:lang w:val="en-US"/>
              </w:rPr>
            </w:pPr>
          </w:p>
        </w:tc>
        <w:tc>
          <w:tcPr>
            <w:tcW w:w="1189" w:type="pct"/>
          </w:tcPr>
          <w:p w14:paraId="101CECF1" w14:textId="77777777" w:rsidR="006512C4" w:rsidRPr="00A72386" w:rsidRDefault="006512C4" w:rsidP="00695A7C">
            <w:pPr>
              <w:spacing w:line="360" w:lineRule="auto"/>
              <w:rPr>
                <w:szCs w:val="24"/>
              </w:rPr>
            </w:pPr>
          </w:p>
        </w:tc>
      </w:tr>
      <w:tr w:rsidR="006512C4" w14:paraId="5301A0A1" w14:textId="77777777" w:rsidTr="00797969">
        <w:tc>
          <w:tcPr>
            <w:tcW w:w="1981" w:type="pct"/>
          </w:tcPr>
          <w:p w14:paraId="51EBDE41" w14:textId="77777777" w:rsidR="006512C4" w:rsidRPr="00A103F2" w:rsidRDefault="006512C4" w:rsidP="00695A7C">
            <w:pPr>
              <w:spacing w:line="360" w:lineRule="auto"/>
              <w:jc w:val="center"/>
              <w:rPr>
                <w:szCs w:val="24"/>
                <w:lang w:val="en-US"/>
              </w:rPr>
            </w:pPr>
            <w:r w:rsidRPr="00A72386">
              <w:rPr>
                <w:szCs w:val="24"/>
              </w:rPr>
              <w:t>group of friends (</w:t>
            </w:r>
            <w:r w:rsidRPr="00A72386">
              <w:rPr>
                <w:szCs w:val="24"/>
                <w:lang w:val="el-GR"/>
              </w:rPr>
              <w:t>ἡμεῖς</w:t>
            </w:r>
            <w:r w:rsidRPr="00A103F2">
              <w:rPr>
                <w:szCs w:val="24"/>
                <w:lang w:val="en-US"/>
              </w:rPr>
              <w:t xml:space="preserve">, </w:t>
            </w:r>
            <w:r w:rsidRPr="00A72386">
              <w:rPr>
                <w:szCs w:val="24"/>
                <w:lang w:val="el-GR"/>
              </w:rPr>
              <w:t>ὅδε</w:t>
            </w:r>
            <w:r w:rsidRPr="00A103F2">
              <w:rPr>
                <w:szCs w:val="24"/>
                <w:lang w:val="en-US"/>
              </w:rPr>
              <w:t>)</w:t>
            </w:r>
          </w:p>
        </w:tc>
        <w:tc>
          <w:tcPr>
            <w:tcW w:w="1830" w:type="pct"/>
          </w:tcPr>
          <w:p w14:paraId="60BA4744" w14:textId="77777777" w:rsidR="006512C4" w:rsidRPr="00A72386" w:rsidRDefault="006512C4" w:rsidP="00695A7C">
            <w:pPr>
              <w:spacing w:line="360" w:lineRule="auto"/>
              <w:jc w:val="center"/>
              <w:rPr>
                <w:szCs w:val="24"/>
                <w:lang w:val="el-GR"/>
              </w:rPr>
            </w:pPr>
            <w:r w:rsidRPr="00A72386">
              <w:rPr>
                <w:szCs w:val="24"/>
                <w:lang w:val="en-US"/>
              </w:rPr>
              <w:t>his enemies (</w:t>
            </w:r>
            <w:r w:rsidRPr="00A72386">
              <w:rPr>
                <w:szCs w:val="24"/>
                <w:lang w:val="el-GR"/>
              </w:rPr>
              <w:t>οὗτος)</w:t>
            </w:r>
          </w:p>
        </w:tc>
        <w:tc>
          <w:tcPr>
            <w:tcW w:w="1189" w:type="pct"/>
          </w:tcPr>
          <w:p w14:paraId="654CEBDE" w14:textId="77777777" w:rsidR="006512C4" w:rsidRPr="00A72386" w:rsidRDefault="006512C4" w:rsidP="00695A7C">
            <w:pPr>
              <w:spacing w:line="360" w:lineRule="auto"/>
              <w:jc w:val="center"/>
              <w:rPr>
                <w:szCs w:val="24"/>
              </w:rPr>
            </w:pPr>
            <w:r w:rsidRPr="00A72386">
              <w:rPr>
                <w:szCs w:val="24"/>
              </w:rPr>
              <w:t>ἐκεῖνος</w:t>
            </w:r>
          </w:p>
        </w:tc>
      </w:tr>
    </w:tbl>
    <w:p w14:paraId="007C196F" w14:textId="77777777" w:rsidR="006512C4" w:rsidRDefault="006512C4" w:rsidP="00695A7C">
      <w:pPr>
        <w:spacing w:line="360" w:lineRule="auto"/>
        <w:ind w:left="720"/>
      </w:pPr>
    </w:p>
    <w:p w14:paraId="0FD9F86C" w14:textId="46E7ADCF" w:rsidR="00F676EB" w:rsidRDefault="00F676EB" w:rsidP="0097588B">
      <w:pPr>
        <w:widowControl w:val="0"/>
        <w:numPr>
          <w:ilvl w:val="0"/>
          <w:numId w:val="182"/>
        </w:numPr>
        <w:tabs>
          <w:tab w:val="left" w:pos="720"/>
        </w:tabs>
        <w:rPr>
          <w:lang w:val="en-US"/>
        </w:rPr>
      </w:pPr>
      <w:r>
        <w:rPr>
          <w:lang w:val="en-US"/>
        </w:rPr>
        <w:t>Hipponax is the main character of his speech, rather than the speaker, since he often speaks of himself in the third person singular. This implies that while he speaks to an audience, it is one to which he does not necessarily feel he belongs. As a character, he mostly directly addresses his target. Therefore, Hipponax as the author may have a different spatio-temporal dimension from his audience, but, he shares his audience</w:t>
      </w:r>
      <w:r w:rsidR="00075F5F">
        <w:rPr>
          <w:lang w:val="en-US"/>
        </w:rPr>
        <w:t>’</w:t>
      </w:r>
      <w:r>
        <w:rPr>
          <w:lang w:val="en-US"/>
        </w:rPr>
        <w:t xml:space="preserve">s dimension through his </w:t>
      </w:r>
      <w:r w:rsidRPr="009877AA">
        <w:rPr>
          <w:i/>
          <w:iCs/>
          <w:lang w:val="en-US"/>
        </w:rPr>
        <w:t>character</w:t>
      </w:r>
      <w:r>
        <w:rPr>
          <w:lang w:val="en-US"/>
        </w:rPr>
        <w:t xml:space="preserve"> of Hipponax. Just as in Archilochus</w:t>
      </w:r>
      <w:r w:rsidR="00075F5F">
        <w:rPr>
          <w:lang w:val="en-US"/>
        </w:rPr>
        <w:t>’</w:t>
      </w:r>
      <w:r>
        <w:rPr>
          <w:lang w:val="en-US"/>
        </w:rPr>
        <w:t xml:space="preserve"> fragments, ἐκεῖνος means someone or something out of sight of the character of Hipponax, but sharing his spatio-temporal dimension.</w:t>
      </w:r>
    </w:p>
    <w:p w14:paraId="70B34D41" w14:textId="77777777" w:rsidR="00651D1F" w:rsidRDefault="00651D1F" w:rsidP="00A1447B">
      <w:pPr>
        <w:keepLines/>
        <w:spacing w:line="360" w:lineRule="auto"/>
        <w:rPr>
          <w:szCs w:val="24"/>
        </w:rPr>
      </w:pPr>
    </w:p>
    <w:tbl>
      <w:tblPr>
        <w:tblStyle w:val="TableGrid"/>
        <w:tblW w:w="7717"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2"/>
        <w:gridCol w:w="3394"/>
        <w:gridCol w:w="2161"/>
      </w:tblGrid>
      <w:tr w:rsidR="008F5B8B" w:rsidRPr="004313B2" w14:paraId="29276940" w14:textId="77777777" w:rsidTr="004313B2">
        <w:tc>
          <w:tcPr>
            <w:tcW w:w="2162" w:type="dxa"/>
            <w:shd w:val="clear" w:color="auto" w:fill="FFFFFF"/>
          </w:tcPr>
          <w:p w14:paraId="041F6C8A" w14:textId="67E383D0" w:rsidR="00E64AB0" w:rsidRPr="004313B2" w:rsidRDefault="00CB1276" w:rsidP="00A1447B">
            <w:pPr>
              <w:keepNext/>
              <w:keepLines/>
              <w:spacing w:line="360" w:lineRule="auto"/>
              <w:jc w:val="center"/>
              <w:rPr>
                <w:szCs w:val="24"/>
              </w:rPr>
            </w:pPr>
            <w:r w:rsidRPr="004313B2">
              <w:rPr>
                <w:noProof/>
                <w:szCs w:val="24"/>
                <w:lang w:val="en-US"/>
              </w:rPr>
              <w:lastRenderedPageBreak/>
              <mc:AlternateContent>
                <mc:Choice Requires="wps">
                  <w:drawing>
                    <wp:anchor distT="0" distB="0" distL="114300" distR="114300" simplePos="0" relativeHeight="251715584" behindDoc="0" locked="0" layoutInCell="1" allowOverlap="1" wp14:anchorId="0F8F96AA" wp14:editId="7C767B26">
                      <wp:simplePos x="0" y="0"/>
                      <wp:positionH relativeFrom="column">
                        <wp:posOffset>548005</wp:posOffset>
                      </wp:positionH>
                      <wp:positionV relativeFrom="paragraph">
                        <wp:posOffset>228600</wp:posOffset>
                      </wp:positionV>
                      <wp:extent cx="3619500" cy="1143000"/>
                      <wp:effectExtent l="50800" t="25400" r="114300" b="127000"/>
                      <wp:wrapNone/>
                      <wp:docPr id="46" name="Straight Arrow Connector 46"/>
                      <wp:cNvGraphicFramePr/>
                      <a:graphic xmlns:a="http://schemas.openxmlformats.org/drawingml/2006/main">
                        <a:graphicData uri="http://schemas.microsoft.com/office/word/2010/wordprocessingShape">
                          <wps:wsp>
                            <wps:cNvCnPr/>
                            <wps:spPr>
                              <a:xfrm>
                                <a:off x="0" y="0"/>
                                <a:ext cx="3619500" cy="1143000"/>
                              </a:xfrm>
                              <a:prstGeom prst="straightConnector1">
                                <a:avLst/>
                              </a:prstGeom>
                              <a:ln w="19050" cmpd="sng">
                                <a:solidFill>
                                  <a:srgbClr val="0000FF"/>
                                </a:solidFill>
                                <a:prstDash val="solid"/>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46" o:spid="_x0000_s1026" type="#_x0000_t32" style="position:absolute;margin-left:43.15pt;margin-top:18pt;width:285pt;height:90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" strokecolor="blue" strokeweight="1.5pt">
                      <v:stroke endarrow="open"/>
                      <v:shadow on="t" opacity="24903f" mv:blur="40000f" origin=",.5" offset="0,20000emu"/>
                    </v:shape>
                  </w:pict>
                </mc:Fallback>
              </mc:AlternateContent>
            </w:r>
            <w:r>
              <w:rPr>
                <w:noProof/>
                <w:szCs w:val="24"/>
                <w:lang w:val="en-US"/>
              </w:rPr>
              <mc:AlternateContent>
                <mc:Choice Requires="wps">
                  <w:drawing>
                    <wp:anchor distT="0" distB="0" distL="114300" distR="114300" simplePos="0" relativeHeight="251721728" behindDoc="0" locked="0" layoutInCell="1" allowOverlap="1" wp14:anchorId="1CCB0BB6" wp14:editId="5576F71C">
                      <wp:simplePos x="0" y="0"/>
                      <wp:positionH relativeFrom="column">
                        <wp:posOffset>548005</wp:posOffset>
                      </wp:positionH>
                      <wp:positionV relativeFrom="paragraph">
                        <wp:posOffset>228600</wp:posOffset>
                      </wp:positionV>
                      <wp:extent cx="0" cy="1028700"/>
                      <wp:effectExtent l="127000" t="25400" r="101600" b="114300"/>
                      <wp:wrapNone/>
                      <wp:docPr id="41" name="Straight Arrow Connector 41"/>
                      <wp:cNvGraphicFramePr/>
                      <a:graphic xmlns:a="http://schemas.openxmlformats.org/drawingml/2006/main">
                        <a:graphicData uri="http://schemas.microsoft.com/office/word/2010/wordprocessingShape">
                          <wps:wsp>
                            <wps:cNvCnPr/>
                            <wps:spPr>
                              <a:xfrm>
                                <a:off x="0" y="0"/>
                                <a:ext cx="0" cy="1028700"/>
                              </a:xfrm>
                              <a:prstGeom prst="straightConnector1">
                                <a:avLst/>
                              </a:prstGeom>
                              <a:ln>
                                <a:solidFill>
                                  <a:srgbClr val="FF0000"/>
                                </a:solidFill>
                                <a:prstDash val="dash"/>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41" o:spid="_x0000_s1026" type="#_x0000_t32" style="position:absolute;margin-left:43.15pt;margin-top:18pt;width:0;height:81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" strokecolor="red" strokeweight="2pt">
                      <v:stroke dashstyle="dash" endarrow="open"/>
                      <v:shadow on="t" opacity="24903f" mv:blur="40000f" origin=",.5" offset="0,20000emu"/>
                    </v:shape>
                  </w:pict>
                </mc:Fallback>
              </mc:AlternateContent>
            </w:r>
            <w:r w:rsidR="00E64AB0" w:rsidRPr="004313B2">
              <w:rPr>
                <w:szCs w:val="24"/>
              </w:rPr>
              <w:t>Hipponax = author</w:t>
            </w:r>
          </w:p>
        </w:tc>
        <w:tc>
          <w:tcPr>
            <w:tcW w:w="3394" w:type="dxa"/>
            <w:shd w:val="clear" w:color="auto" w:fill="FFFFFF"/>
          </w:tcPr>
          <w:p w14:paraId="449398E3" w14:textId="1E44B56E" w:rsidR="00E64AB0" w:rsidRPr="004313B2" w:rsidRDefault="00CB1276" w:rsidP="00A1447B">
            <w:pPr>
              <w:keepNext/>
              <w:keepLines/>
              <w:spacing w:line="360" w:lineRule="auto"/>
              <w:jc w:val="center"/>
              <w:rPr>
                <w:szCs w:val="24"/>
              </w:rPr>
            </w:pPr>
            <w:r w:rsidRPr="004313B2">
              <w:rPr>
                <w:noProof/>
                <w:szCs w:val="24"/>
                <w:lang w:val="en-US"/>
              </w:rPr>
              <mc:AlternateContent>
                <mc:Choice Requires="wps">
                  <w:drawing>
                    <wp:anchor distT="0" distB="0" distL="114300" distR="114300" simplePos="0" relativeHeight="251716608" behindDoc="0" locked="0" layoutInCell="1" allowOverlap="1" wp14:anchorId="073B25DF" wp14:editId="34B23C22">
                      <wp:simplePos x="0" y="0"/>
                      <wp:positionH relativeFrom="column">
                        <wp:posOffset>927735</wp:posOffset>
                      </wp:positionH>
                      <wp:positionV relativeFrom="paragraph">
                        <wp:posOffset>228600</wp:posOffset>
                      </wp:positionV>
                      <wp:extent cx="2019935" cy="1028700"/>
                      <wp:effectExtent l="50800" t="25400" r="88265" b="114300"/>
                      <wp:wrapNone/>
                      <wp:docPr id="47" name="Straight Arrow Connector 47"/>
                      <wp:cNvGraphicFramePr/>
                      <a:graphic xmlns:a="http://schemas.openxmlformats.org/drawingml/2006/main">
                        <a:graphicData uri="http://schemas.microsoft.com/office/word/2010/wordprocessingShape">
                          <wps:wsp>
                            <wps:cNvCnPr/>
                            <wps:spPr>
                              <a:xfrm>
                                <a:off x="0" y="0"/>
                                <a:ext cx="2019935" cy="1028700"/>
                              </a:xfrm>
                              <a:prstGeom prst="straightConnector1">
                                <a:avLst/>
                              </a:prstGeom>
                              <a:ln w="19050" cmpd="sng">
                                <a:solidFill>
                                  <a:srgbClr val="0000FF"/>
                                </a:solidFill>
                                <a:prstDash val="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47" o:spid="_x0000_s1026" type="#_x0000_t32" style="position:absolute;margin-left:73.05pt;margin-top:18pt;width:159.05pt;height:81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" strokecolor="blue" strokeweight="1.5pt">
                      <v:stroke dashstyle="dash" endarrow="open"/>
                      <v:shadow on="t" opacity="24903f" mv:blur="40000f" origin=",.5" offset="0,20000emu"/>
                    </v:shape>
                  </w:pict>
                </mc:Fallback>
              </mc:AlternateContent>
            </w:r>
            <w:r>
              <w:rPr>
                <w:noProof/>
                <w:szCs w:val="24"/>
                <w:lang w:val="en-US"/>
              </w:rPr>
              <mc:AlternateContent>
                <mc:Choice Requires="wps">
                  <w:drawing>
                    <wp:anchor distT="0" distB="0" distL="114300" distR="114300" simplePos="0" relativeHeight="251720704" behindDoc="0" locked="0" layoutInCell="1" allowOverlap="1" wp14:anchorId="5A7FF275" wp14:editId="5EE6C095">
                      <wp:simplePos x="0" y="0"/>
                      <wp:positionH relativeFrom="column">
                        <wp:posOffset>927735</wp:posOffset>
                      </wp:positionH>
                      <wp:positionV relativeFrom="paragraph">
                        <wp:posOffset>228600</wp:posOffset>
                      </wp:positionV>
                      <wp:extent cx="0" cy="1028700"/>
                      <wp:effectExtent l="127000" t="25400" r="101600" b="114300"/>
                      <wp:wrapNone/>
                      <wp:docPr id="33" name="Straight Arrow Connector 33"/>
                      <wp:cNvGraphicFramePr/>
                      <a:graphic xmlns:a="http://schemas.openxmlformats.org/drawingml/2006/main">
                        <a:graphicData uri="http://schemas.microsoft.com/office/word/2010/wordprocessingShape">
                          <wps:wsp>
                            <wps:cNvCnPr/>
                            <wps:spPr>
                              <a:xfrm>
                                <a:off x="0" y="0"/>
                                <a:ext cx="0" cy="1028700"/>
                              </a:xfrm>
                              <a:prstGeom prst="straightConnector1">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3" o:spid="_x0000_s1026" type="#_x0000_t32" style="position:absolute;margin-left:73.05pt;margin-top:18pt;width:0;height:81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" strokecolor="red" strokeweight="2pt">
                      <v:stroke endarrow="open"/>
                      <v:shadow on="t" opacity="24903f" mv:blur="40000f" origin=",.5" offset="0,20000emu"/>
                    </v:shape>
                  </w:pict>
                </mc:Fallback>
              </mc:AlternateContent>
            </w:r>
            <w:r w:rsidR="00E64AB0" w:rsidRPr="004313B2">
              <w:rPr>
                <w:szCs w:val="24"/>
              </w:rPr>
              <w:t xml:space="preserve">Hipponax = main character </w:t>
            </w:r>
          </w:p>
        </w:tc>
        <w:tc>
          <w:tcPr>
            <w:tcW w:w="2161" w:type="dxa"/>
            <w:shd w:val="clear" w:color="auto" w:fill="FFFFFF"/>
          </w:tcPr>
          <w:p w14:paraId="6D5D237D" w14:textId="77777777" w:rsidR="00E64AB0" w:rsidRPr="004313B2" w:rsidRDefault="00E64AB0" w:rsidP="00A1447B">
            <w:pPr>
              <w:keepNext/>
              <w:keepLines/>
              <w:spacing w:line="360" w:lineRule="auto"/>
              <w:rPr>
                <w:szCs w:val="24"/>
              </w:rPr>
            </w:pPr>
          </w:p>
        </w:tc>
      </w:tr>
      <w:tr w:rsidR="008F5B8B" w:rsidRPr="004313B2" w14:paraId="3CD58328" w14:textId="77777777" w:rsidTr="004313B2">
        <w:tc>
          <w:tcPr>
            <w:tcW w:w="2162" w:type="dxa"/>
            <w:shd w:val="clear" w:color="auto" w:fill="auto"/>
          </w:tcPr>
          <w:p w14:paraId="647127E5" w14:textId="318BE817" w:rsidR="008F5B8B" w:rsidRPr="004313B2" w:rsidRDefault="008F5B8B" w:rsidP="00A1447B">
            <w:pPr>
              <w:keepNext/>
              <w:keepLines/>
              <w:spacing w:line="360" w:lineRule="auto"/>
              <w:jc w:val="center"/>
              <w:rPr>
                <w:szCs w:val="24"/>
              </w:rPr>
            </w:pPr>
          </w:p>
          <w:p w14:paraId="5F7CBEB6" w14:textId="5177480E" w:rsidR="008F5B8B" w:rsidRPr="004313B2" w:rsidRDefault="008F5B8B" w:rsidP="00A1447B">
            <w:pPr>
              <w:keepNext/>
              <w:keepLines/>
              <w:spacing w:line="360" w:lineRule="auto"/>
              <w:jc w:val="center"/>
              <w:rPr>
                <w:szCs w:val="24"/>
              </w:rPr>
            </w:pPr>
          </w:p>
          <w:p w14:paraId="047F5049" w14:textId="5CC43B70" w:rsidR="008F5B8B" w:rsidRPr="004313B2" w:rsidRDefault="008F5B8B" w:rsidP="00A1447B">
            <w:pPr>
              <w:keepNext/>
              <w:keepLines/>
              <w:spacing w:line="360" w:lineRule="auto"/>
              <w:jc w:val="center"/>
              <w:rPr>
                <w:szCs w:val="24"/>
              </w:rPr>
            </w:pPr>
          </w:p>
          <w:p w14:paraId="67FD7305" w14:textId="4CF101E5" w:rsidR="00E64AB0" w:rsidRPr="004313B2" w:rsidRDefault="00E64AB0" w:rsidP="00A1447B">
            <w:pPr>
              <w:keepNext/>
              <w:keepLines/>
              <w:spacing w:line="360" w:lineRule="auto"/>
              <w:jc w:val="center"/>
              <w:rPr>
                <w:szCs w:val="24"/>
              </w:rPr>
            </w:pPr>
          </w:p>
        </w:tc>
        <w:tc>
          <w:tcPr>
            <w:tcW w:w="3394" w:type="dxa"/>
            <w:shd w:val="clear" w:color="auto" w:fill="auto"/>
          </w:tcPr>
          <w:p w14:paraId="4C5A2EDF" w14:textId="77777777" w:rsidR="008F5B8B" w:rsidRPr="004313B2" w:rsidRDefault="008F5B8B" w:rsidP="00A1447B">
            <w:pPr>
              <w:keepNext/>
              <w:keepLines/>
              <w:spacing w:line="360" w:lineRule="auto"/>
              <w:jc w:val="center"/>
              <w:rPr>
                <w:szCs w:val="24"/>
                <w:lang w:val="en-US"/>
              </w:rPr>
            </w:pPr>
          </w:p>
          <w:p w14:paraId="3AC4EDAA" w14:textId="77777777" w:rsidR="008F5B8B" w:rsidRPr="004313B2" w:rsidRDefault="008F5B8B" w:rsidP="00A1447B">
            <w:pPr>
              <w:keepNext/>
              <w:keepLines/>
              <w:spacing w:line="360" w:lineRule="auto"/>
              <w:jc w:val="center"/>
              <w:rPr>
                <w:szCs w:val="24"/>
                <w:lang w:val="en-US"/>
              </w:rPr>
            </w:pPr>
          </w:p>
          <w:p w14:paraId="71988DA8" w14:textId="77777777" w:rsidR="008F5B8B" w:rsidRPr="004313B2" w:rsidRDefault="008F5B8B" w:rsidP="00A1447B">
            <w:pPr>
              <w:keepNext/>
              <w:keepLines/>
              <w:spacing w:line="360" w:lineRule="auto"/>
              <w:jc w:val="center"/>
              <w:rPr>
                <w:szCs w:val="24"/>
                <w:lang w:val="en-US"/>
              </w:rPr>
            </w:pPr>
          </w:p>
          <w:p w14:paraId="01327E8E" w14:textId="3029AF1D" w:rsidR="00E64AB0" w:rsidRPr="004313B2" w:rsidRDefault="00E64AB0" w:rsidP="00A1447B">
            <w:pPr>
              <w:keepNext/>
              <w:keepLines/>
              <w:spacing w:line="360" w:lineRule="auto"/>
              <w:jc w:val="center"/>
              <w:rPr>
                <w:szCs w:val="24"/>
              </w:rPr>
            </w:pPr>
          </w:p>
        </w:tc>
        <w:tc>
          <w:tcPr>
            <w:tcW w:w="2161" w:type="dxa"/>
            <w:shd w:val="clear" w:color="auto" w:fill="auto"/>
          </w:tcPr>
          <w:p w14:paraId="092DCB1B" w14:textId="77777777" w:rsidR="00E64AB0" w:rsidRPr="004313B2" w:rsidRDefault="00E64AB0" w:rsidP="00A1447B">
            <w:pPr>
              <w:keepNext/>
              <w:keepLines/>
              <w:spacing w:line="360" w:lineRule="auto"/>
              <w:rPr>
                <w:szCs w:val="24"/>
              </w:rPr>
            </w:pPr>
          </w:p>
        </w:tc>
      </w:tr>
      <w:tr w:rsidR="008F5B8B" w:rsidRPr="004313B2" w14:paraId="421B48CA" w14:textId="77777777" w:rsidTr="003002D4">
        <w:trPr>
          <w:trHeight w:val="213"/>
        </w:trPr>
        <w:tc>
          <w:tcPr>
            <w:tcW w:w="2162" w:type="dxa"/>
            <w:shd w:val="clear" w:color="auto" w:fill="auto"/>
          </w:tcPr>
          <w:p w14:paraId="2A9EF725" w14:textId="684F5E18" w:rsidR="008F5B8B" w:rsidRPr="004313B2" w:rsidRDefault="00CB1276" w:rsidP="00A1447B">
            <w:pPr>
              <w:keepNext/>
              <w:keepLines/>
              <w:spacing w:line="360" w:lineRule="auto"/>
              <w:jc w:val="center"/>
              <w:rPr>
                <w:szCs w:val="24"/>
              </w:rPr>
            </w:pPr>
            <w:r w:rsidRPr="004313B2">
              <w:rPr>
                <w:szCs w:val="24"/>
              </w:rPr>
              <w:t>his audience</w:t>
            </w:r>
          </w:p>
        </w:tc>
        <w:tc>
          <w:tcPr>
            <w:tcW w:w="3394" w:type="dxa"/>
            <w:shd w:val="clear" w:color="auto" w:fill="auto"/>
          </w:tcPr>
          <w:p w14:paraId="2F7C145E" w14:textId="593AEB57" w:rsidR="008F5B8B" w:rsidRPr="004313B2" w:rsidRDefault="00CB1276" w:rsidP="00D10A84">
            <w:pPr>
              <w:keepNext/>
              <w:keepLines/>
              <w:spacing w:line="360" w:lineRule="auto"/>
              <w:jc w:val="center"/>
              <w:rPr>
                <w:szCs w:val="24"/>
                <w:lang w:val="en-US"/>
              </w:rPr>
            </w:pPr>
            <w:r w:rsidRPr="004313B2">
              <w:rPr>
                <w:szCs w:val="24"/>
                <w:lang w:val="en-US"/>
              </w:rPr>
              <w:t>his targets (</w:t>
            </w:r>
            <w:r w:rsidRPr="004313B2">
              <w:rPr>
                <w:szCs w:val="24"/>
                <w:lang w:val="el-GR"/>
              </w:rPr>
              <w:t>οὗτος)</w:t>
            </w:r>
          </w:p>
        </w:tc>
        <w:tc>
          <w:tcPr>
            <w:tcW w:w="2161" w:type="dxa"/>
            <w:shd w:val="clear" w:color="auto" w:fill="auto"/>
          </w:tcPr>
          <w:p w14:paraId="46263064" w14:textId="1BB177DB" w:rsidR="008F5B8B" w:rsidRPr="004313B2" w:rsidRDefault="008F5B8B" w:rsidP="00A1447B">
            <w:pPr>
              <w:keepNext/>
              <w:keepLines/>
              <w:spacing w:line="360" w:lineRule="auto"/>
              <w:jc w:val="right"/>
              <w:rPr>
                <w:szCs w:val="24"/>
                <w:lang w:val="en-US"/>
              </w:rPr>
            </w:pPr>
            <w:r w:rsidRPr="004313B2">
              <w:rPr>
                <w:szCs w:val="24"/>
                <w:lang w:val="el-GR"/>
              </w:rPr>
              <w:t>ἐκεῖνος</w:t>
            </w:r>
          </w:p>
        </w:tc>
      </w:tr>
    </w:tbl>
    <w:p w14:paraId="2AA20B2F" w14:textId="77777777" w:rsidR="006512C4" w:rsidRDefault="006512C4" w:rsidP="003002D4">
      <w:pPr>
        <w:keepNext/>
        <w:keepLines/>
        <w:spacing w:line="360" w:lineRule="auto"/>
        <w:rPr>
          <w:szCs w:val="24"/>
        </w:rPr>
      </w:pPr>
    </w:p>
    <w:p w14:paraId="2593D767" w14:textId="0D7BB9F9" w:rsidR="006512C4" w:rsidRPr="00661FBC" w:rsidRDefault="00F676EB" w:rsidP="00A1447B">
      <w:pPr>
        <w:keepNext/>
        <w:keepLines/>
        <w:widowControl w:val="0"/>
        <w:numPr>
          <w:ilvl w:val="0"/>
          <w:numId w:val="182"/>
        </w:numPr>
        <w:tabs>
          <w:tab w:val="left" w:pos="720"/>
        </w:tabs>
        <w:ind w:left="714" w:hanging="357"/>
        <w:rPr>
          <w:lang w:val="en-US"/>
        </w:rPr>
      </w:pPr>
      <w:r>
        <w:rPr>
          <w:lang w:val="en-US"/>
        </w:rPr>
        <w:t xml:space="preserve">Callimachus is neither the speaker nor the main character of his </w:t>
      </w:r>
      <w:r>
        <w:rPr>
          <w:i/>
          <w:iCs/>
          <w:lang w:val="en-US"/>
        </w:rPr>
        <w:t>Iambi</w:t>
      </w:r>
      <w:r>
        <w:rPr>
          <w:lang w:val="en-US"/>
        </w:rPr>
        <w:t>. He is an author who addresses an audience whom often he considers as disapproving (οὗτος). He creates the spatial and temporal dimensions of his narrations through the use of deictic pronouns:</w:t>
      </w:r>
      <w:r w:rsidR="00592079">
        <w:rPr>
          <w:lang w:val="en-US"/>
        </w:rPr>
        <w:t xml:space="preserve"> </w:t>
      </w:r>
      <w:r>
        <w:rPr>
          <w:lang w:val="en-US"/>
        </w:rPr>
        <w:t xml:space="preserve">proximity </w:t>
      </w:r>
      <w:r w:rsidR="00592079">
        <w:rPr>
          <w:lang w:val="en-US"/>
        </w:rPr>
        <w:t xml:space="preserve">and distance are meant from the narrator point of view, and go from </w:t>
      </w:r>
      <w:r>
        <w:rPr>
          <w:lang w:val="en-US"/>
        </w:rPr>
        <w:t xml:space="preserve">the </w:t>
      </w:r>
      <w:r w:rsidR="00592079">
        <w:rPr>
          <w:lang w:val="en-US"/>
        </w:rPr>
        <w:t xml:space="preserve">more </w:t>
      </w:r>
      <w:r>
        <w:rPr>
          <w:lang w:val="en-US"/>
        </w:rPr>
        <w:t xml:space="preserve">external level of narration, </w:t>
      </w:r>
      <w:r w:rsidR="00592079">
        <w:rPr>
          <w:lang w:val="en-US"/>
        </w:rPr>
        <w:t xml:space="preserve">to </w:t>
      </w:r>
      <w:r>
        <w:rPr>
          <w:lang w:val="en-US"/>
        </w:rPr>
        <w:t>the inner level of narration. In this case, both author and audience are outside of the narrative dimension. Therefore, the author Callimachus, his narration, and his audience can have three different spatio-temporal dimensions.</w:t>
      </w:r>
    </w:p>
    <w:p w14:paraId="33BB4F47" w14:textId="025AB617" w:rsidR="006512C4" w:rsidRPr="00195BDE" w:rsidRDefault="006512C4" w:rsidP="00695A7C">
      <w:pPr>
        <w:spacing w:line="360" w:lineRule="auto"/>
        <w:ind w:left="720"/>
        <w:rPr>
          <w:szCs w:val="24"/>
        </w:rPr>
      </w:pPr>
    </w:p>
    <w:tbl>
      <w:tblPr>
        <w:tblStyle w:val="TableGrid"/>
        <w:tblW w:w="4584" w:type="pct"/>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141"/>
      </w:tblGrid>
      <w:tr w:rsidR="006512C4" w14:paraId="5E18081D" w14:textId="77777777" w:rsidTr="004313B2">
        <w:tc>
          <w:tcPr>
            <w:tcW w:w="5000" w:type="pct"/>
          </w:tcPr>
          <w:p w14:paraId="33DD2DDC" w14:textId="6D085463" w:rsidR="006512C4" w:rsidRDefault="004313B2" w:rsidP="00695A7C">
            <w:pPr>
              <w:spacing w:line="360" w:lineRule="auto"/>
              <w:rPr>
                <w:szCs w:val="24"/>
              </w:rPr>
            </w:pPr>
            <w:r>
              <w:rPr>
                <w:noProof/>
                <w:szCs w:val="24"/>
                <w:lang w:val="en-US"/>
              </w:rPr>
              <mc:AlternateContent>
                <mc:Choice Requires="wps">
                  <w:drawing>
                    <wp:anchor distT="0" distB="0" distL="114300" distR="114300" simplePos="0" relativeHeight="251686912" behindDoc="1" locked="0" layoutInCell="1" allowOverlap="1" wp14:anchorId="46EF3EE9" wp14:editId="1CE8D943">
                      <wp:simplePos x="0" y="0"/>
                      <wp:positionH relativeFrom="column">
                        <wp:posOffset>1257300</wp:posOffset>
                      </wp:positionH>
                      <wp:positionV relativeFrom="paragraph">
                        <wp:posOffset>206375</wp:posOffset>
                      </wp:positionV>
                      <wp:extent cx="3429000" cy="1257300"/>
                      <wp:effectExtent l="50800" t="25400" r="76200" b="139700"/>
                      <wp:wrapNone/>
                      <wp:docPr id="30" name="Straight Arrow Connector 30"/>
                      <wp:cNvGraphicFramePr/>
                      <a:graphic xmlns:a="http://schemas.openxmlformats.org/drawingml/2006/main">
                        <a:graphicData uri="http://schemas.microsoft.com/office/word/2010/wordprocessingShape">
                          <wps:wsp>
                            <wps:cNvCnPr/>
                            <wps:spPr>
                              <a:xfrm>
                                <a:off x="0" y="0"/>
                                <a:ext cx="3429000" cy="1257300"/>
                              </a:xfrm>
                              <a:prstGeom prst="straightConnector1">
                                <a:avLst/>
                              </a:prstGeom>
                              <a:ln w="19050" cmpd="sng">
                                <a:solidFill>
                                  <a:srgbClr val="FF0000"/>
                                </a:solidFill>
                                <a:prstDash val="dash"/>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id="Straight Arrow Connector 30" o:spid="_x0000_s1026" type="#_x0000_t32" style="position:absolute;margin-left:99pt;margin-top:16.25pt;width:270pt;height:99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" strokecolor="red" strokeweight="1.5pt">
                      <v:stroke dashstyle="dash" endarrow="open"/>
                      <v:shadow on="t" opacity="24903f" mv:blur="40000f" origin=",.5" offset="0,20000emu"/>
                    </v:shape>
                  </w:pict>
                </mc:Fallback>
              </mc:AlternateContent>
            </w:r>
            <w:r w:rsidR="006512C4">
              <w:rPr>
                <w:szCs w:val="24"/>
              </w:rPr>
              <w:t>Callimachus = author</w:t>
            </w:r>
          </w:p>
          <w:p w14:paraId="47352D4F" w14:textId="77777777" w:rsidR="006512C4" w:rsidRDefault="006512C4" w:rsidP="00695A7C">
            <w:pPr>
              <w:spacing w:line="360" w:lineRule="auto"/>
              <w:jc w:val="center"/>
              <w:rPr>
                <w:szCs w:val="24"/>
              </w:rPr>
            </w:pPr>
          </w:p>
        </w:tc>
      </w:tr>
      <w:tr w:rsidR="006512C4" w14:paraId="061AA25B" w14:textId="77777777" w:rsidTr="004313B2">
        <w:tc>
          <w:tcPr>
            <w:tcW w:w="5000" w:type="pct"/>
          </w:tcPr>
          <w:p w14:paraId="1CE7D217" w14:textId="77777777" w:rsidR="002F2AE0" w:rsidRDefault="002F2AE0" w:rsidP="00695A7C">
            <w:pPr>
              <w:spacing w:line="360" w:lineRule="auto"/>
              <w:jc w:val="center"/>
              <w:rPr>
                <w:szCs w:val="24"/>
              </w:rPr>
            </w:pPr>
          </w:p>
          <w:p w14:paraId="5AFC2743" w14:textId="77777777" w:rsidR="006512C4" w:rsidRDefault="006512C4" w:rsidP="00695A7C">
            <w:pPr>
              <w:spacing w:line="360" w:lineRule="auto"/>
              <w:jc w:val="center"/>
              <w:rPr>
                <w:szCs w:val="24"/>
              </w:rPr>
            </w:pPr>
            <w:r>
              <w:rPr>
                <w:szCs w:val="24"/>
              </w:rPr>
              <w:t>Narration:</w:t>
            </w:r>
          </w:p>
          <w:p w14:paraId="167B104E" w14:textId="77777777" w:rsidR="006512C4" w:rsidRPr="00757866" w:rsidRDefault="006512C4" w:rsidP="00695A7C">
            <w:pPr>
              <w:spacing w:line="360" w:lineRule="auto"/>
              <w:jc w:val="center"/>
              <w:rPr>
                <w:szCs w:val="24"/>
                <w:lang w:val="en-US"/>
              </w:rPr>
            </w:pPr>
            <w:r>
              <w:rPr>
                <w:szCs w:val="24"/>
              </w:rPr>
              <w:t>{</w:t>
            </w:r>
            <w:r>
              <w:rPr>
                <w:szCs w:val="24"/>
                <w:lang w:val="el-GR"/>
              </w:rPr>
              <w:t>ὅδε {οὗτος {ἐκεῖνος</w:t>
            </w:r>
            <w:r>
              <w:rPr>
                <w:szCs w:val="24"/>
                <w:lang w:val="en-US"/>
              </w:rPr>
              <w:t>}}}</w:t>
            </w:r>
          </w:p>
          <w:p w14:paraId="0A2D4772" w14:textId="77777777" w:rsidR="006512C4" w:rsidRDefault="006512C4" w:rsidP="00695A7C">
            <w:pPr>
              <w:spacing w:line="360" w:lineRule="auto"/>
              <w:rPr>
                <w:szCs w:val="24"/>
              </w:rPr>
            </w:pPr>
          </w:p>
        </w:tc>
      </w:tr>
      <w:tr w:rsidR="006512C4" w14:paraId="2E13D3CA" w14:textId="77777777" w:rsidTr="004313B2">
        <w:tc>
          <w:tcPr>
            <w:tcW w:w="5000" w:type="pct"/>
          </w:tcPr>
          <w:p w14:paraId="46D32A8A" w14:textId="77777777" w:rsidR="006512C4" w:rsidRDefault="006512C4" w:rsidP="00695A7C">
            <w:pPr>
              <w:spacing w:line="360" w:lineRule="auto"/>
              <w:jc w:val="right"/>
              <w:rPr>
                <w:szCs w:val="24"/>
              </w:rPr>
            </w:pPr>
            <w:r>
              <w:rPr>
                <w:szCs w:val="24"/>
              </w:rPr>
              <w:t>Audience</w:t>
            </w:r>
          </w:p>
        </w:tc>
      </w:tr>
    </w:tbl>
    <w:p w14:paraId="7D99B92E" w14:textId="77777777" w:rsidR="00A1447B" w:rsidRDefault="00A1447B" w:rsidP="00256C66">
      <w:pPr>
        <w:pStyle w:val="Heading3"/>
      </w:pPr>
    </w:p>
    <w:p w14:paraId="0812F18D" w14:textId="77777777" w:rsidR="00A1447B" w:rsidRDefault="00A1447B">
      <w:pPr>
        <w:tabs>
          <w:tab w:val="clear" w:pos="425"/>
        </w:tabs>
        <w:spacing w:line="240" w:lineRule="auto"/>
        <w:jc w:val="left"/>
        <w:rPr>
          <w:rFonts w:eastAsia="Times New Roman" w:cs="Times New Roman"/>
          <w:b/>
          <w:bCs/>
          <w:szCs w:val="24"/>
          <w:lang w:eastAsia="it-IT"/>
        </w:rPr>
      </w:pPr>
      <w:r>
        <w:br w:type="page"/>
      </w:r>
    </w:p>
    <w:p w14:paraId="60A06D89" w14:textId="0D621D83" w:rsidR="006512C4" w:rsidRPr="00F76EA9" w:rsidRDefault="006512C4" w:rsidP="00256C66">
      <w:pPr>
        <w:pStyle w:val="Heading3"/>
      </w:pPr>
      <w:r w:rsidRPr="00F76EA9">
        <w:lastRenderedPageBreak/>
        <w:t>2.2</w:t>
      </w:r>
      <w:r w:rsidR="006C0202">
        <w:t>.</w:t>
      </w:r>
      <w:r w:rsidRPr="00F76EA9">
        <w:t xml:space="preserve"> Verbal Tense and Aspect</w:t>
      </w:r>
    </w:p>
    <w:p w14:paraId="6B74B557" w14:textId="5DAC1335" w:rsidR="00256C66" w:rsidRPr="00484EC8" w:rsidRDefault="006512C4" w:rsidP="00484EC8">
      <w:pPr>
        <w:pStyle w:val="Heading4"/>
      </w:pPr>
      <w:r w:rsidRPr="00F76EA9">
        <w:rPr>
          <w:lang w:val="en-US"/>
        </w:rPr>
        <w:t>2.2.1 Introduction</w:t>
      </w:r>
    </w:p>
    <w:p w14:paraId="27D886E0" w14:textId="74B8C6CB" w:rsidR="00EB0BB8" w:rsidRPr="00592079" w:rsidRDefault="00EB0BB8" w:rsidP="0097588B">
      <w:pPr>
        <w:spacing w:after="120"/>
        <w:rPr>
          <w:szCs w:val="24"/>
          <w:lang w:val="en-US"/>
        </w:rPr>
      </w:pPr>
      <w:r w:rsidRPr="00592079">
        <w:rPr>
          <w:szCs w:val="24"/>
          <w:lang w:val="en-US"/>
        </w:rPr>
        <w:t xml:space="preserve">In modern linguistics it is usual practice to conceive of tense </w:t>
      </w:r>
      <w:r w:rsidR="00CC0615">
        <w:rPr>
          <w:szCs w:val="24"/>
          <w:lang w:val="en-US"/>
        </w:rPr>
        <w:t>“</w:t>
      </w:r>
      <w:r w:rsidRPr="00592079">
        <w:rPr>
          <w:szCs w:val="24"/>
          <w:lang w:val="en-US"/>
        </w:rPr>
        <w:t>as the grammaticalised expression of the location of an event in time.</w:t>
      </w:r>
      <w:r w:rsidR="00CC0615">
        <w:rPr>
          <w:szCs w:val="24"/>
          <w:lang w:val="en-US"/>
        </w:rPr>
        <w:t>”</w:t>
      </w:r>
      <w:r w:rsidRPr="00592079">
        <w:rPr>
          <w:rStyle w:val="FootnoteReference"/>
          <w:szCs w:val="24"/>
          <w:lang w:val="en-US"/>
        </w:rPr>
        <w:footnoteReference w:id="271"/>
      </w:r>
      <w:r w:rsidRPr="00592079">
        <w:rPr>
          <w:szCs w:val="24"/>
          <w:lang w:val="en-US"/>
        </w:rPr>
        <w:t xml:space="preserve"> A given tense may have a foregrounding or a backgrounding function, but it is a tense in its temporal relation to a given event or state, so that tense can be seen as a matter of reference. Here I will focus on time deixis, which is either geared to the </w:t>
      </w:r>
      <w:r w:rsidRPr="00592079">
        <w:rPr>
          <w:i/>
          <w:iCs/>
          <w:szCs w:val="24"/>
          <w:lang w:val="en-US"/>
        </w:rPr>
        <w:t>origo</w:t>
      </w:r>
      <w:r w:rsidRPr="00592079">
        <w:rPr>
          <w:szCs w:val="24"/>
          <w:lang w:val="en-US"/>
        </w:rPr>
        <w:t xml:space="preserve"> of the speaking </w:t>
      </w:r>
      <w:r w:rsidR="00CC0615">
        <w:rPr>
          <w:szCs w:val="24"/>
          <w:lang w:val="en-US"/>
        </w:rPr>
        <w:t>“</w:t>
      </w:r>
      <w:r w:rsidRPr="00592079">
        <w:rPr>
          <w:szCs w:val="24"/>
          <w:lang w:val="en-US"/>
        </w:rPr>
        <w:t>I,</w:t>
      </w:r>
      <w:r w:rsidR="00CC0615">
        <w:rPr>
          <w:szCs w:val="24"/>
          <w:lang w:val="en-US"/>
        </w:rPr>
        <w:t>”</w:t>
      </w:r>
      <w:r w:rsidRPr="00592079">
        <w:rPr>
          <w:szCs w:val="24"/>
          <w:lang w:val="en-US"/>
        </w:rPr>
        <w:t xml:space="preserve"> or projected onto the listening </w:t>
      </w:r>
      <w:r w:rsidR="00CC0615">
        <w:rPr>
          <w:szCs w:val="24"/>
          <w:lang w:val="en-US"/>
        </w:rPr>
        <w:t>“</w:t>
      </w:r>
      <w:r w:rsidRPr="00592079">
        <w:rPr>
          <w:szCs w:val="24"/>
          <w:lang w:val="en-US"/>
        </w:rPr>
        <w:t>you.</w:t>
      </w:r>
      <w:r w:rsidR="00CC0615">
        <w:rPr>
          <w:szCs w:val="24"/>
          <w:lang w:val="en-US"/>
        </w:rPr>
        <w:t>”</w:t>
      </w:r>
      <w:r w:rsidRPr="00592079">
        <w:rPr>
          <w:szCs w:val="24"/>
          <w:lang w:val="en-US"/>
        </w:rPr>
        <w:t xml:space="preserve"> I will analyse temporal deixis in iambic texts on the basis of two backgrounding paradigms:</w:t>
      </w:r>
    </w:p>
    <w:p w14:paraId="38BB0A4E" w14:textId="247C85BE" w:rsidR="00EB0BB8" w:rsidRPr="00592079" w:rsidRDefault="00EB0BB8" w:rsidP="00A1447B">
      <w:pPr>
        <w:keepNext/>
        <w:widowControl w:val="0"/>
        <w:numPr>
          <w:ilvl w:val="0"/>
          <w:numId w:val="64"/>
        </w:numPr>
        <w:tabs>
          <w:tab w:val="clear" w:pos="360"/>
          <w:tab w:val="clear" w:pos="425"/>
        </w:tabs>
        <w:spacing w:before="200"/>
        <w:ind w:left="426" w:hanging="284"/>
        <w:rPr>
          <w:szCs w:val="24"/>
          <w:lang w:val="en-US"/>
        </w:rPr>
      </w:pPr>
      <w:r w:rsidRPr="00592079">
        <w:rPr>
          <w:szCs w:val="24"/>
          <w:lang w:val="en-US"/>
        </w:rPr>
        <w:t>Bakker</w:t>
      </w:r>
      <w:r w:rsidR="00075F5F">
        <w:rPr>
          <w:szCs w:val="24"/>
          <w:lang w:val="en-US"/>
        </w:rPr>
        <w:t>’</w:t>
      </w:r>
      <w:r w:rsidRPr="00592079">
        <w:rPr>
          <w:szCs w:val="24"/>
          <w:lang w:val="en-US"/>
        </w:rPr>
        <w:t xml:space="preserve">s distinction between </w:t>
      </w:r>
      <w:r w:rsidR="00CC0615">
        <w:rPr>
          <w:szCs w:val="24"/>
          <w:lang w:val="en-US"/>
        </w:rPr>
        <w:t>“</w:t>
      </w:r>
      <w:r w:rsidRPr="00592079">
        <w:rPr>
          <w:szCs w:val="24"/>
          <w:lang w:val="en-US"/>
        </w:rPr>
        <w:t>discourse of the observer</w:t>
      </w:r>
      <w:r w:rsidR="00CC0615">
        <w:rPr>
          <w:szCs w:val="24"/>
          <w:lang w:val="en-US"/>
        </w:rPr>
        <w:t>”</w:t>
      </w:r>
      <w:r w:rsidRPr="00592079">
        <w:rPr>
          <w:szCs w:val="24"/>
          <w:lang w:val="en-US"/>
        </w:rPr>
        <w:t xml:space="preserve"> and </w:t>
      </w:r>
      <w:r w:rsidR="00CC0615">
        <w:rPr>
          <w:szCs w:val="24"/>
          <w:lang w:val="en-US"/>
        </w:rPr>
        <w:t>“</w:t>
      </w:r>
      <w:r w:rsidRPr="00592079">
        <w:rPr>
          <w:szCs w:val="24"/>
          <w:lang w:val="en-US"/>
        </w:rPr>
        <w:t>discourse of the knower,</w:t>
      </w:r>
      <w:r w:rsidR="00CC0615">
        <w:rPr>
          <w:szCs w:val="24"/>
          <w:lang w:val="en-US"/>
        </w:rPr>
        <w:t>”</w:t>
      </w:r>
      <w:r w:rsidRPr="00592079">
        <w:rPr>
          <w:rStyle w:val="FootnoteReference"/>
          <w:szCs w:val="24"/>
          <w:lang w:val="en-US"/>
        </w:rPr>
        <w:footnoteReference w:id="272"/>
      </w:r>
      <w:r w:rsidRPr="00592079">
        <w:rPr>
          <w:szCs w:val="24"/>
          <w:lang w:val="en-US"/>
        </w:rPr>
        <w:t xml:space="preserve"> which in my iambic corpus I interpret as depending on the relationship between speaker and listener.</w:t>
      </w:r>
      <w:r w:rsidRPr="00592079">
        <w:rPr>
          <w:rStyle w:val="FootnoteReference"/>
          <w:szCs w:val="24"/>
          <w:lang w:val="en-US"/>
        </w:rPr>
        <w:footnoteReference w:id="273"/>
      </w:r>
      <w:r w:rsidRPr="00592079">
        <w:rPr>
          <w:szCs w:val="24"/>
          <w:lang w:val="en-US"/>
        </w:rPr>
        <w:t xml:space="preserve"> </w:t>
      </w:r>
    </w:p>
    <w:p w14:paraId="7A871E63" w14:textId="08B5A753" w:rsidR="00EB0BB8" w:rsidRPr="00592079" w:rsidRDefault="00EB0BB8" w:rsidP="0097588B">
      <w:pPr>
        <w:widowControl w:val="0"/>
        <w:numPr>
          <w:ilvl w:val="0"/>
          <w:numId w:val="182"/>
        </w:numPr>
        <w:tabs>
          <w:tab w:val="left" w:pos="993"/>
        </w:tabs>
        <w:ind w:left="709" w:hanging="283"/>
        <w:rPr>
          <w:szCs w:val="24"/>
          <w:lang w:val="en-US"/>
        </w:rPr>
      </w:pPr>
      <w:r w:rsidRPr="00592079">
        <w:rPr>
          <w:szCs w:val="24"/>
          <w:lang w:val="en-US"/>
        </w:rPr>
        <w:t xml:space="preserve">Discourse of the observer: in case of deictic simultaneity in the </w:t>
      </w:r>
      <w:r w:rsidR="00CC0615">
        <w:rPr>
          <w:szCs w:val="24"/>
          <w:lang w:val="en-US"/>
        </w:rPr>
        <w:t>“</w:t>
      </w:r>
      <w:r w:rsidRPr="00592079">
        <w:rPr>
          <w:szCs w:val="24"/>
          <w:lang w:val="en-US"/>
        </w:rPr>
        <w:t>now,</w:t>
      </w:r>
      <w:r w:rsidR="00CC0615">
        <w:rPr>
          <w:szCs w:val="24"/>
          <w:lang w:val="en-US"/>
        </w:rPr>
        <w:t>”</w:t>
      </w:r>
      <w:r w:rsidRPr="00592079">
        <w:rPr>
          <w:szCs w:val="24"/>
          <w:lang w:val="en-US"/>
        </w:rPr>
        <w:t xml:space="preserve"> speaker and listener share the same timeframe. In consequence, they are paired interlocutors: they observe and experience what happens around them, and react in words to it;</w:t>
      </w:r>
      <w:r w:rsidRPr="00592079">
        <w:rPr>
          <w:rStyle w:val="FootnoteReference"/>
          <w:szCs w:val="24"/>
          <w:lang w:val="en-US"/>
        </w:rPr>
        <w:footnoteReference w:id="274"/>
      </w:r>
      <w:r w:rsidRPr="00592079">
        <w:rPr>
          <w:szCs w:val="24"/>
          <w:lang w:val="en-US"/>
        </w:rPr>
        <w:t xml:space="preserve"> or they can remember situations and events, as they observed those situations and events.</w:t>
      </w:r>
      <w:r w:rsidRPr="00592079">
        <w:rPr>
          <w:szCs w:val="24"/>
          <w:vertAlign w:val="superscript"/>
          <w:lang w:val="en-US"/>
        </w:rPr>
        <w:t xml:space="preserve"> </w:t>
      </w:r>
      <w:r w:rsidRPr="00592079">
        <w:rPr>
          <w:rStyle w:val="FootnoteReference"/>
          <w:szCs w:val="24"/>
          <w:lang w:val="en-US"/>
        </w:rPr>
        <w:footnoteReference w:id="275"/>
      </w:r>
      <w:r w:rsidRPr="00592079">
        <w:rPr>
          <w:szCs w:val="24"/>
          <w:lang w:val="en-US"/>
        </w:rPr>
        <w:t xml:space="preserve"> </w:t>
      </w:r>
    </w:p>
    <w:p w14:paraId="2CA5A3D1" w14:textId="22C8672C" w:rsidR="00EB0BB8" w:rsidRPr="00592079" w:rsidRDefault="00EB0BB8" w:rsidP="0097588B">
      <w:pPr>
        <w:widowControl w:val="0"/>
        <w:numPr>
          <w:ilvl w:val="0"/>
          <w:numId w:val="182"/>
        </w:numPr>
        <w:tabs>
          <w:tab w:val="left" w:pos="993"/>
        </w:tabs>
        <w:ind w:hanging="294"/>
        <w:rPr>
          <w:szCs w:val="24"/>
          <w:lang w:val="en-US"/>
        </w:rPr>
      </w:pPr>
      <w:r w:rsidRPr="00592079">
        <w:rPr>
          <w:szCs w:val="24"/>
          <w:lang w:val="en-US"/>
        </w:rPr>
        <w:t>Discourse of the knower: the speaker</w:t>
      </w:r>
      <w:r w:rsidR="00075F5F">
        <w:rPr>
          <w:szCs w:val="24"/>
          <w:lang w:val="en-US"/>
        </w:rPr>
        <w:t>’</w:t>
      </w:r>
      <w:r w:rsidRPr="00592079">
        <w:rPr>
          <w:szCs w:val="24"/>
          <w:lang w:val="en-US"/>
        </w:rPr>
        <w:t>s encoding time and the listener</w:t>
      </w:r>
      <w:r w:rsidR="00075F5F">
        <w:rPr>
          <w:szCs w:val="24"/>
          <w:lang w:val="en-US"/>
        </w:rPr>
        <w:t>’</w:t>
      </w:r>
      <w:r w:rsidRPr="00592079">
        <w:rPr>
          <w:szCs w:val="24"/>
          <w:lang w:val="en-US"/>
        </w:rPr>
        <w:t>s decoding time are distinct so that time references can oscillate between them, since the discourse is not situated (it does not occur in a concrete situation, and has often nothing to do with the actual experience of the speaker). Consequently, verbal tenses are defined relative to the deictic center in play.</w:t>
      </w:r>
      <w:r w:rsidRPr="00592079">
        <w:rPr>
          <w:rStyle w:val="FootnoteReference"/>
          <w:szCs w:val="24"/>
          <w:lang w:val="en-US"/>
        </w:rPr>
        <w:footnoteReference w:id="276"/>
      </w:r>
      <w:r w:rsidRPr="00592079">
        <w:rPr>
          <w:szCs w:val="24"/>
          <w:lang w:val="en-US"/>
        </w:rPr>
        <w:t xml:space="preserve"> The speaker asserts the occurrence or existence of events or facts, expresses opinions or beliefs about them, and locates them in time. These facts can be established, evaluated, doubted, or denied by the listener</w:t>
      </w:r>
      <w:r w:rsidR="00CB1276">
        <w:rPr>
          <w:szCs w:val="24"/>
          <w:lang w:val="en-US"/>
        </w:rPr>
        <w:t>,</w:t>
      </w:r>
      <w:r w:rsidRPr="00592079">
        <w:rPr>
          <w:szCs w:val="24"/>
          <w:lang w:val="en-US"/>
        </w:rPr>
        <w:t xml:space="preserve"> </w:t>
      </w:r>
      <w:r w:rsidR="00CB1276">
        <w:rPr>
          <w:szCs w:val="24"/>
          <w:lang w:val="en-US"/>
        </w:rPr>
        <w:t>t</w:t>
      </w:r>
      <w:r w:rsidRPr="00592079">
        <w:rPr>
          <w:szCs w:val="24"/>
          <w:lang w:val="en-US"/>
        </w:rPr>
        <w:t xml:space="preserve">herefore the speaker is the knower who </w:t>
      </w:r>
      <w:r w:rsidRPr="00592079">
        <w:rPr>
          <w:szCs w:val="24"/>
          <w:lang w:val="en-US"/>
        </w:rPr>
        <w:lastRenderedPageBreak/>
        <w:t>imparts knowledge to the listener.</w:t>
      </w:r>
      <w:r w:rsidRPr="00592079">
        <w:rPr>
          <w:rStyle w:val="FootnoteReference"/>
          <w:szCs w:val="24"/>
          <w:lang w:val="en-US"/>
        </w:rPr>
        <w:footnoteReference w:id="277"/>
      </w:r>
    </w:p>
    <w:p w14:paraId="78878252" w14:textId="3981C4D8" w:rsidR="00EB0BB8" w:rsidRPr="0097588B" w:rsidRDefault="00EB0BB8" w:rsidP="00D10A84">
      <w:pPr>
        <w:tabs>
          <w:tab w:val="left" w:pos="993"/>
        </w:tabs>
        <w:ind w:left="426"/>
        <w:rPr>
          <w:szCs w:val="24"/>
          <w:lang w:val="en-US"/>
        </w:rPr>
      </w:pPr>
      <w:r w:rsidRPr="00FF2BA2">
        <w:rPr>
          <w:szCs w:val="24"/>
          <w:lang w:val="en-US"/>
        </w:rPr>
        <w:t>Through Bakker</w:t>
      </w:r>
      <w:r w:rsidR="00075F5F">
        <w:rPr>
          <w:szCs w:val="24"/>
          <w:lang w:val="en-US"/>
        </w:rPr>
        <w:t>’</w:t>
      </w:r>
      <w:r w:rsidRPr="00FF2BA2">
        <w:rPr>
          <w:szCs w:val="24"/>
          <w:lang w:val="en-US"/>
        </w:rPr>
        <w:t xml:space="preserve">s distinction, tenses are defined on the basis of knowledge and reference. There is not any </w:t>
      </w:r>
      <w:r w:rsidRPr="00754F18">
        <w:rPr>
          <w:i/>
          <w:iCs/>
          <w:szCs w:val="24"/>
          <w:lang w:val="en-US"/>
        </w:rPr>
        <w:t>a priori</w:t>
      </w:r>
      <w:r w:rsidRPr="0097588B">
        <w:rPr>
          <w:szCs w:val="24"/>
          <w:lang w:val="en-US"/>
        </w:rPr>
        <w:t xml:space="preserve"> difference between present and past, since knowledge and reference are strictly connected to the context within which verbal tenses are used. </w:t>
      </w:r>
    </w:p>
    <w:p w14:paraId="019F705D" w14:textId="351F37FB" w:rsidR="00EB0BB8" w:rsidRPr="00592079" w:rsidRDefault="00EB0BB8" w:rsidP="0097588B">
      <w:pPr>
        <w:widowControl w:val="0"/>
        <w:numPr>
          <w:ilvl w:val="0"/>
          <w:numId w:val="64"/>
        </w:numPr>
        <w:tabs>
          <w:tab w:val="clear" w:pos="360"/>
          <w:tab w:val="clear" w:pos="425"/>
          <w:tab w:val="left" w:pos="426"/>
        </w:tabs>
        <w:ind w:left="426" w:hanging="284"/>
        <w:rPr>
          <w:szCs w:val="24"/>
          <w:lang w:val="en-US"/>
        </w:rPr>
      </w:pPr>
      <w:r w:rsidRPr="0097588B">
        <w:rPr>
          <w:szCs w:val="24"/>
          <w:lang w:val="en-US"/>
        </w:rPr>
        <w:t>Chafe</w:t>
      </w:r>
      <w:r w:rsidR="00075F5F">
        <w:rPr>
          <w:szCs w:val="24"/>
          <w:lang w:val="en-US"/>
        </w:rPr>
        <w:t>’</w:t>
      </w:r>
      <w:r w:rsidRPr="0097588B">
        <w:rPr>
          <w:szCs w:val="24"/>
          <w:lang w:val="en-US"/>
        </w:rPr>
        <w:t>s distinction between the speaker</w:t>
      </w:r>
      <w:r w:rsidR="00075F5F">
        <w:rPr>
          <w:szCs w:val="24"/>
          <w:lang w:val="en-US"/>
        </w:rPr>
        <w:t>’</w:t>
      </w:r>
      <w:r w:rsidRPr="0097588B">
        <w:rPr>
          <w:szCs w:val="24"/>
          <w:lang w:val="en-US"/>
        </w:rPr>
        <w:t>s immediate consciousness and the speaker</w:t>
      </w:r>
      <w:r w:rsidR="00075F5F">
        <w:rPr>
          <w:szCs w:val="24"/>
          <w:lang w:val="en-US"/>
        </w:rPr>
        <w:t>’</w:t>
      </w:r>
      <w:r w:rsidRPr="0097588B">
        <w:rPr>
          <w:szCs w:val="24"/>
          <w:lang w:val="en-US"/>
        </w:rPr>
        <w:t>s displaced consciousness,</w:t>
      </w:r>
      <w:r w:rsidRPr="00592079">
        <w:rPr>
          <w:rStyle w:val="FootnoteReference"/>
          <w:szCs w:val="24"/>
          <w:lang w:val="en-US"/>
        </w:rPr>
        <w:footnoteReference w:id="278"/>
      </w:r>
      <w:r w:rsidRPr="00592079">
        <w:rPr>
          <w:szCs w:val="24"/>
          <w:lang w:val="en-US"/>
        </w:rPr>
        <w:t xml:space="preserve"> which depends on the mode of the consciousness of the speaker at the time of his speaking. </w:t>
      </w:r>
    </w:p>
    <w:p w14:paraId="5CA65AE7" w14:textId="77777777" w:rsidR="00EB0BB8" w:rsidRPr="00592079" w:rsidRDefault="00EB0BB8" w:rsidP="0097588B">
      <w:pPr>
        <w:widowControl w:val="0"/>
        <w:numPr>
          <w:ilvl w:val="0"/>
          <w:numId w:val="183"/>
        </w:numPr>
        <w:tabs>
          <w:tab w:val="left" w:pos="1134"/>
        </w:tabs>
        <w:ind w:hanging="294"/>
        <w:rPr>
          <w:szCs w:val="24"/>
          <w:lang w:val="en-US"/>
        </w:rPr>
      </w:pPr>
      <w:r w:rsidRPr="00592079">
        <w:rPr>
          <w:szCs w:val="24"/>
          <w:lang w:val="en-US"/>
        </w:rPr>
        <w:t xml:space="preserve">Immediate mode of consciousness: a consciousness receives its primary input from its immediate environment, mostly by way of perception. </w:t>
      </w:r>
    </w:p>
    <w:p w14:paraId="3DEF9FCB" w14:textId="5AEBE894" w:rsidR="00EB0BB8" w:rsidRPr="00FF2BA2" w:rsidRDefault="00EB0BB8" w:rsidP="0097588B">
      <w:pPr>
        <w:widowControl w:val="0"/>
        <w:numPr>
          <w:ilvl w:val="0"/>
          <w:numId w:val="183"/>
        </w:numPr>
        <w:tabs>
          <w:tab w:val="left" w:pos="1134"/>
        </w:tabs>
        <w:ind w:hanging="294"/>
        <w:rPr>
          <w:szCs w:val="24"/>
          <w:lang w:val="en-US"/>
        </w:rPr>
      </w:pPr>
      <w:r w:rsidRPr="00592079">
        <w:rPr>
          <w:szCs w:val="24"/>
          <w:lang w:val="en-US"/>
        </w:rPr>
        <w:t>Displaced mode of consciousness: the consciousness that perceives and evaluates is in the past. The past consciousness provides the input for a consciousness in the present that verbalizes what it remembers. It is important to stress that the displaced mode of consciousness presupposes two consciousnesses. The first consciousness is one</w:t>
      </w:r>
      <w:r w:rsidRPr="00FF2BA2">
        <w:rPr>
          <w:szCs w:val="24"/>
          <w:lang w:val="en-US"/>
        </w:rPr>
        <w:t xml:space="preserve"> which speaks and remembers, and is external to the events narrated. From the standpoint of the act of communication </w:t>
      </w:r>
      <w:r w:rsidR="00CC0615">
        <w:rPr>
          <w:szCs w:val="24"/>
          <w:lang w:val="en-US"/>
        </w:rPr>
        <w:t>“</w:t>
      </w:r>
      <w:r w:rsidRPr="00FF2BA2">
        <w:rPr>
          <w:szCs w:val="24"/>
          <w:lang w:val="en-US"/>
        </w:rPr>
        <w:t>here and now,</w:t>
      </w:r>
      <w:r w:rsidR="00CC0615">
        <w:rPr>
          <w:szCs w:val="24"/>
          <w:lang w:val="en-US"/>
        </w:rPr>
        <w:t>”</w:t>
      </w:r>
      <w:r w:rsidRPr="00FF2BA2">
        <w:rPr>
          <w:szCs w:val="24"/>
          <w:lang w:val="en-US"/>
        </w:rPr>
        <w:t xml:space="preserve"> we might say that it is </w:t>
      </w:r>
      <w:r w:rsidR="00CC0615">
        <w:rPr>
          <w:szCs w:val="24"/>
          <w:lang w:val="en-US"/>
        </w:rPr>
        <w:t>“</w:t>
      </w:r>
      <w:r w:rsidRPr="00FF2BA2">
        <w:rPr>
          <w:szCs w:val="24"/>
          <w:lang w:val="en-US"/>
        </w:rPr>
        <w:t>near.</w:t>
      </w:r>
      <w:r w:rsidR="00CC0615">
        <w:rPr>
          <w:szCs w:val="24"/>
          <w:lang w:val="en-US"/>
        </w:rPr>
        <w:t>”</w:t>
      </w:r>
      <w:r w:rsidRPr="00FF2BA2">
        <w:rPr>
          <w:szCs w:val="24"/>
          <w:lang w:val="en-US"/>
        </w:rPr>
        <w:t xml:space="preserve"> The other consciousness sees and observes, and it is internal; it was </w:t>
      </w:r>
      <w:r w:rsidR="00CC0615">
        <w:rPr>
          <w:szCs w:val="24"/>
          <w:lang w:val="en-US"/>
        </w:rPr>
        <w:t>“</w:t>
      </w:r>
      <w:r w:rsidRPr="00FF2BA2">
        <w:rPr>
          <w:szCs w:val="24"/>
          <w:lang w:val="en-US"/>
        </w:rPr>
        <w:t>there and then,</w:t>
      </w:r>
      <w:r w:rsidR="00CC0615">
        <w:rPr>
          <w:szCs w:val="24"/>
          <w:lang w:val="en-US"/>
        </w:rPr>
        <w:t>”</w:t>
      </w:r>
      <w:r w:rsidRPr="00FF2BA2">
        <w:rPr>
          <w:szCs w:val="24"/>
          <w:lang w:val="en-US"/>
        </w:rPr>
        <w:t xml:space="preserve"> and so we might call it </w:t>
      </w:r>
      <w:r w:rsidR="00CC0615">
        <w:rPr>
          <w:szCs w:val="24"/>
          <w:lang w:val="en-US"/>
        </w:rPr>
        <w:t>“</w:t>
      </w:r>
      <w:r w:rsidRPr="00FF2BA2">
        <w:rPr>
          <w:szCs w:val="24"/>
          <w:lang w:val="en-US"/>
        </w:rPr>
        <w:t>far.</w:t>
      </w:r>
      <w:r w:rsidR="00CC0615">
        <w:rPr>
          <w:szCs w:val="24"/>
          <w:lang w:val="en-US"/>
        </w:rPr>
        <w:t>”</w:t>
      </w:r>
    </w:p>
    <w:p w14:paraId="165E6FC8" w14:textId="0C58670E" w:rsidR="00FF2BA2" w:rsidRPr="00592079" w:rsidRDefault="00EB0BB8" w:rsidP="0097588B">
      <w:pPr>
        <w:spacing w:after="120"/>
        <w:ind w:left="425"/>
        <w:rPr>
          <w:szCs w:val="24"/>
          <w:lang w:val="en-US"/>
        </w:rPr>
      </w:pPr>
      <w:r w:rsidRPr="00FF2BA2">
        <w:rPr>
          <w:szCs w:val="24"/>
          <w:lang w:val="en-US"/>
        </w:rPr>
        <w:t>In Chafe</w:t>
      </w:r>
      <w:r w:rsidR="00075F5F">
        <w:rPr>
          <w:szCs w:val="24"/>
          <w:lang w:val="en-US"/>
        </w:rPr>
        <w:t>’</w:t>
      </w:r>
      <w:r w:rsidRPr="00FF2BA2">
        <w:rPr>
          <w:szCs w:val="24"/>
          <w:lang w:val="en-US"/>
        </w:rPr>
        <w:t>s distinction between consciousnesses, verbal tenses are defined in terms of the speaker</w:t>
      </w:r>
      <w:r w:rsidR="00075F5F">
        <w:rPr>
          <w:szCs w:val="24"/>
          <w:lang w:val="en-US"/>
        </w:rPr>
        <w:t>’</w:t>
      </w:r>
      <w:r w:rsidRPr="00FF2BA2">
        <w:rPr>
          <w:szCs w:val="24"/>
          <w:lang w:val="en-US"/>
        </w:rPr>
        <w:t>s perception and observation. There is no need to resort to the context. Present tense expresses immediacy and perception in the here and now; past tense, on the other hand, is a matter of displacement.</w:t>
      </w:r>
      <w:r w:rsidRPr="00592079">
        <w:rPr>
          <w:rStyle w:val="FootnoteReference"/>
          <w:szCs w:val="24"/>
          <w:lang w:val="en-US"/>
        </w:rPr>
        <w:footnoteReference w:id="279"/>
      </w:r>
      <w:r w:rsidRPr="00592079">
        <w:rPr>
          <w:szCs w:val="24"/>
          <w:lang w:val="en-US"/>
        </w:rPr>
        <w:t xml:space="preserve"> It is possible to establish a modal difference between the aorist and the imperfect: the former presents an event as relevant from the point of view of the speaker</w:t>
      </w:r>
      <w:r w:rsidR="00075F5F">
        <w:rPr>
          <w:szCs w:val="24"/>
          <w:lang w:val="en-US"/>
        </w:rPr>
        <w:t>’</w:t>
      </w:r>
      <w:r w:rsidRPr="00592079">
        <w:rPr>
          <w:szCs w:val="24"/>
          <w:lang w:val="en-US"/>
        </w:rPr>
        <w:t xml:space="preserve">s </w:t>
      </w:r>
      <w:r w:rsidR="00CC0615">
        <w:rPr>
          <w:szCs w:val="24"/>
          <w:lang w:val="en-US"/>
        </w:rPr>
        <w:t>“</w:t>
      </w:r>
      <w:r w:rsidRPr="00592079">
        <w:rPr>
          <w:szCs w:val="24"/>
          <w:lang w:val="en-US"/>
        </w:rPr>
        <w:t>now,</w:t>
      </w:r>
      <w:r w:rsidR="00CC0615">
        <w:rPr>
          <w:szCs w:val="24"/>
          <w:lang w:val="en-US"/>
        </w:rPr>
        <w:t>”</w:t>
      </w:r>
      <w:r w:rsidRPr="00592079">
        <w:rPr>
          <w:szCs w:val="24"/>
          <w:lang w:val="en-US"/>
        </w:rPr>
        <w:t xml:space="preserve"> while the latter locates an event in the past. This means that </w:t>
      </w:r>
      <w:r w:rsidR="00CC0615">
        <w:rPr>
          <w:szCs w:val="24"/>
          <w:lang w:val="en-US"/>
        </w:rPr>
        <w:t>“</w:t>
      </w:r>
      <w:r w:rsidRPr="00592079">
        <w:rPr>
          <w:szCs w:val="24"/>
          <w:lang w:val="en-US"/>
        </w:rPr>
        <w:t>imperfect verbs locate a chain of events in the past, while an aorist may have the effect of taking the speaker and the listener out of that chain,</w:t>
      </w:r>
      <w:r w:rsidR="00CC0615">
        <w:rPr>
          <w:szCs w:val="24"/>
          <w:lang w:val="en-US"/>
        </w:rPr>
        <w:t>”</w:t>
      </w:r>
      <w:r w:rsidRPr="00592079">
        <w:rPr>
          <w:rStyle w:val="FootnoteReference"/>
          <w:szCs w:val="24"/>
          <w:lang w:val="en-US"/>
        </w:rPr>
        <w:footnoteReference w:id="280"/>
      </w:r>
      <w:r w:rsidRPr="00592079">
        <w:rPr>
          <w:szCs w:val="24"/>
          <w:lang w:val="en-US"/>
        </w:rPr>
        <w:t xml:space="preserve"> into the present of communication. </w:t>
      </w:r>
    </w:p>
    <w:p w14:paraId="3460D583" w14:textId="3B0B6016" w:rsidR="00EB0BB8" w:rsidRPr="00FF2BA2" w:rsidRDefault="00EB0BB8" w:rsidP="00A1447B">
      <w:pPr>
        <w:tabs>
          <w:tab w:val="clear" w:pos="425"/>
          <w:tab w:val="left" w:pos="0"/>
        </w:tabs>
        <w:rPr>
          <w:szCs w:val="24"/>
          <w:lang w:val="en-US"/>
        </w:rPr>
      </w:pPr>
      <w:r w:rsidRPr="00592079">
        <w:rPr>
          <w:szCs w:val="24"/>
          <w:lang w:val="en-US"/>
        </w:rPr>
        <w:t>To these two main paradigms, I would like to add a third one, namely Chafe</w:t>
      </w:r>
      <w:r w:rsidR="00075F5F">
        <w:rPr>
          <w:szCs w:val="24"/>
          <w:lang w:val="en-US"/>
        </w:rPr>
        <w:t>’</w:t>
      </w:r>
      <w:r w:rsidRPr="00592079">
        <w:rPr>
          <w:szCs w:val="24"/>
          <w:lang w:val="en-US"/>
        </w:rPr>
        <w:t xml:space="preserve">s distinction between conversational and literary narrative. Conversational narrative implies a context shared by both the speaker and the hearer in their </w:t>
      </w:r>
      <w:r w:rsidRPr="00FF2BA2">
        <w:rPr>
          <w:i/>
          <w:iCs/>
          <w:szCs w:val="24"/>
          <w:lang w:val="en-US"/>
        </w:rPr>
        <w:t>hic et nunc</w:t>
      </w:r>
      <w:r w:rsidRPr="00FF2BA2">
        <w:rPr>
          <w:szCs w:val="24"/>
          <w:lang w:val="en-US"/>
        </w:rPr>
        <w:t xml:space="preserve">, while literary narrative </w:t>
      </w:r>
      <w:r w:rsidRPr="00FF2BA2">
        <w:rPr>
          <w:szCs w:val="24"/>
          <w:lang w:val="en-US"/>
        </w:rPr>
        <w:lastRenderedPageBreak/>
        <w:t xml:space="preserve">consists of actions, thoughts and characters which the author displaces to a specific </w:t>
      </w:r>
      <w:r w:rsidR="00CC0615">
        <w:rPr>
          <w:szCs w:val="24"/>
          <w:lang w:val="en-US"/>
        </w:rPr>
        <w:t>“</w:t>
      </w:r>
      <w:r w:rsidRPr="00FF2BA2">
        <w:rPr>
          <w:szCs w:val="24"/>
          <w:lang w:val="en-US"/>
        </w:rPr>
        <w:t>then and there.</w:t>
      </w:r>
      <w:r w:rsidR="00CC0615">
        <w:rPr>
          <w:szCs w:val="24"/>
          <w:lang w:val="en-US"/>
        </w:rPr>
        <w:t>”</w:t>
      </w:r>
      <w:r w:rsidR="00FF2BA2">
        <w:rPr>
          <w:szCs w:val="24"/>
          <w:lang w:val="en-US"/>
        </w:rPr>
        <w:t xml:space="preserve"> </w:t>
      </w:r>
      <w:r w:rsidRPr="00FF2BA2">
        <w:rPr>
          <w:szCs w:val="24"/>
          <w:lang w:val="en-US"/>
        </w:rPr>
        <w:t>I have not in this thesis systematically distinguished oral poetry from written poetry. There is insufficient evidence to distinguish oral poetry from written poetry within the iambic texts. In the previous pages, however, I suggested that the use of deictic pronouns may show signs of a difference between poetry composed for oral performance and poetry composed for the written word.</w:t>
      </w:r>
    </w:p>
    <w:p w14:paraId="01EBE101" w14:textId="1922DF82" w:rsidR="00EB0BB8" w:rsidRPr="00FF2BA2" w:rsidRDefault="00EB0BB8" w:rsidP="0097588B">
      <w:pPr>
        <w:rPr>
          <w:szCs w:val="24"/>
          <w:lang w:val="en-US"/>
        </w:rPr>
      </w:pPr>
      <w:r w:rsidRPr="00FF2BA2">
        <w:rPr>
          <w:szCs w:val="24"/>
          <w:lang w:val="en-US"/>
        </w:rPr>
        <w:tab/>
        <w:t xml:space="preserve">I think that the analysis of the use of verbal tenses in terms of temporal deixis </w:t>
      </w:r>
      <w:r w:rsidR="00FF2BA2">
        <w:rPr>
          <w:szCs w:val="24"/>
          <w:lang w:val="en-US"/>
        </w:rPr>
        <w:t>favors</w:t>
      </w:r>
      <w:r w:rsidRPr="00FF2BA2">
        <w:rPr>
          <w:szCs w:val="24"/>
          <w:lang w:val="en-US"/>
        </w:rPr>
        <w:t xml:space="preserve"> the perception of a difference between oral and written poetry</w:t>
      </w:r>
      <w:r w:rsidRPr="00592079">
        <w:rPr>
          <w:szCs w:val="24"/>
          <w:lang w:val="en-US"/>
        </w:rPr>
        <w:t>. But it is essential to limit this difference to the point of view of the poet: I can argue that the deictic use of verbal tenses shows signs that the poet is employing a written medium. There is, however, no evidence that the medium for which the poet composed influenced how the poet</w:t>
      </w:r>
      <w:r w:rsidR="00075F5F">
        <w:rPr>
          <w:szCs w:val="24"/>
          <w:lang w:val="en-US"/>
        </w:rPr>
        <w:t>’</w:t>
      </w:r>
      <w:r w:rsidRPr="00592079">
        <w:rPr>
          <w:szCs w:val="24"/>
          <w:lang w:val="en-US"/>
        </w:rPr>
        <w:t>s audience received iambic poetry. For this reason, I do not want to use this distinction</w:t>
      </w:r>
      <w:r w:rsidRPr="00FF2BA2">
        <w:rPr>
          <w:szCs w:val="24"/>
          <w:lang w:val="en-US"/>
        </w:rPr>
        <w:t xml:space="preserve"> as paradigmatic, but only in an impromptu manner.</w:t>
      </w:r>
    </w:p>
    <w:p w14:paraId="022C64C2" w14:textId="0A9E7692" w:rsidR="00FF2BA2" w:rsidRPr="00FF2BA2" w:rsidRDefault="00EB0BB8" w:rsidP="0097588B">
      <w:pPr>
        <w:ind w:firstLine="426"/>
        <w:rPr>
          <w:szCs w:val="24"/>
          <w:lang w:val="en-US"/>
        </w:rPr>
      </w:pPr>
      <w:r w:rsidRPr="00754F18">
        <w:rPr>
          <w:szCs w:val="24"/>
          <w:lang w:val="en-US"/>
        </w:rPr>
        <w:t>In the following pages, I will take advantage of these backgrounding concepts (discourse of the knower vs. discourse of the observer, immediacy vs. displacement) to sketch out how the three iambographe</w:t>
      </w:r>
      <w:r w:rsidRPr="0097588B">
        <w:rPr>
          <w:szCs w:val="24"/>
          <w:lang w:val="en-US"/>
        </w:rPr>
        <w:t xml:space="preserve">rs use verbal tenses. Since I consider tense a matter of deixis (reference), I intend to match these concepts with the types of deixis </w:t>
      </w:r>
      <w:r w:rsidR="00FF2BA2">
        <w:rPr>
          <w:szCs w:val="24"/>
          <w:lang w:val="en-US"/>
        </w:rPr>
        <w:t xml:space="preserve">distinguished </w:t>
      </w:r>
      <w:r w:rsidRPr="00592079">
        <w:rPr>
          <w:szCs w:val="24"/>
          <w:lang w:val="en-US"/>
        </w:rPr>
        <w:t>by Bühler to which I am referring in this chapter. The categories do not always perfectly correspond, but it is worth noting the use of verbal aspects in comparison with the typology of deixis which each iambographer prefers.</w:t>
      </w:r>
    </w:p>
    <w:p w14:paraId="018CD64C" w14:textId="4327E050" w:rsidR="006512C4" w:rsidRPr="00FF2BA2" w:rsidRDefault="00EB0BB8" w:rsidP="0097588B">
      <w:pPr>
        <w:ind w:firstLine="426"/>
        <w:rPr>
          <w:szCs w:val="24"/>
          <w:lang w:val="en-US"/>
        </w:rPr>
      </w:pPr>
      <w:r w:rsidRPr="00FF2BA2">
        <w:rPr>
          <w:szCs w:val="24"/>
          <w:lang w:val="en-US"/>
        </w:rPr>
        <w:t>Generally, I argue that Bühler</w:t>
      </w:r>
      <w:r w:rsidR="00075F5F">
        <w:rPr>
          <w:szCs w:val="24"/>
          <w:lang w:val="en-US"/>
        </w:rPr>
        <w:t>’</w:t>
      </w:r>
      <w:r w:rsidRPr="00FF2BA2">
        <w:rPr>
          <w:szCs w:val="24"/>
          <w:lang w:val="en-US"/>
        </w:rPr>
        <w:t xml:space="preserve">s </w:t>
      </w:r>
      <w:r w:rsidRPr="00FF2BA2">
        <w:rPr>
          <w:i/>
          <w:iCs/>
          <w:szCs w:val="24"/>
          <w:lang w:val="en-US"/>
        </w:rPr>
        <w:t>demonstratio ad oculos</w:t>
      </w:r>
      <w:r w:rsidRPr="00FF2BA2">
        <w:rPr>
          <w:szCs w:val="24"/>
          <w:lang w:val="en-US"/>
        </w:rPr>
        <w:t xml:space="preserve"> implies immediacy and is part of a conversational </w:t>
      </w:r>
      <w:r w:rsidR="00D10A84">
        <w:rPr>
          <w:szCs w:val="24"/>
          <w:lang w:val="en-US"/>
        </w:rPr>
        <w:t>narrative</w:t>
      </w:r>
      <w:r w:rsidRPr="00FF2BA2">
        <w:rPr>
          <w:szCs w:val="24"/>
          <w:lang w:val="en-US"/>
        </w:rPr>
        <w:t xml:space="preserve">; </w:t>
      </w:r>
      <w:r w:rsidRPr="00FF2BA2">
        <w:rPr>
          <w:i/>
          <w:iCs/>
          <w:szCs w:val="24"/>
          <w:lang w:val="en-US"/>
        </w:rPr>
        <w:t>Anaphora</w:t>
      </w:r>
      <w:r w:rsidRPr="00FF2BA2">
        <w:rPr>
          <w:szCs w:val="24"/>
          <w:lang w:val="en-US"/>
        </w:rPr>
        <w:t xml:space="preserve"> implies a displacement in space and time which is different from the </w:t>
      </w:r>
      <w:r w:rsidRPr="00FF2BA2">
        <w:rPr>
          <w:i/>
          <w:iCs/>
          <w:szCs w:val="24"/>
          <w:lang w:val="en-US"/>
        </w:rPr>
        <w:t>hic et nunc</w:t>
      </w:r>
      <w:r w:rsidRPr="00FF2BA2">
        <w:rPr>
          <w:szCs w:val="24"/>
          <w:lang w:val="en-US"/>
        </w:rPr>
        <w:t xml:space="preserve"> of the speaker and the hearer; however, it might be part both of a conversational or a literary narrative; finally, </w:t>
      </w:r>
      <w:r w:rsidRPr="00754F18">
        <w:rPr>
          <w:i/>
          <w:iCs/>
          <w:szCs w:val="24"/>
          <w:lang w:val="en-US"/>
        </w:rPr>
        <w:t>Deixis am Phantasma</w:t>
      </w:r>
      <w:r w:rsidRPr="0097588B">
        <w:rPr>
          <w:szCs w:val="24"/>
          <w:lang w:val="en-US"/>
        </w:rPr>
        <w:t xml:space="preserve"> puts before the audience a </w:t>
      </w:r>
      <w:r w:rsidRPr="0097588B">
        <w:rPr>
          <w:i/>
          <w:iCs/>
          <w:szCs w:val="24"/>
          <w:lang w:val="en-US"/>
        </w:rPr>
        <w:t>pretended</w:t>
      </w:r>
      <w:r w:rsidRPr="0097588B">
        <w:rPr>
          <w:szCs w:val="24"/>
          <w:lang w:val="en-US"/>
        </w:rPr>
        <w:t xml:space="preserve"> immediacy or a displacement into a particular time and space</w:t>
      </w:r>
      <w:r w:rsidR="00FF2BA2">
        <w:rPr>
          <w:szCs w:val="24"/>
          <w:lang w:val="en-US"/>
        </w:rPr>
        <w:t xml:space="preserve">, </w:t>
      </w:r>
      <w:r w:rsidR="00FF2BA2" w:rsidRPr="00FF2BA2">
        <w:rPr>
          <w:szCs w:val="24"/>
          <w:lang w:val="en-US"/>
        </w:rPr>
        <w:t>being likeliness</w:t>
      </w:r>
      <w:r w:rsidR="00FF2BA2">
        <w:rPr>
          <w:szCs w:val="24"/>
          <w:lang w:val="en-US"/>
        </w:rPr>
        <w:t xml:space="preserve"> </w:t>
      </w:r>
      <w:r w:rsidRPr="00FF2BA2">
        <w:rPr>
          <w:szCs w:val="24"/>
          <w:lang w:val="en-US"/>
        </w:rPr>
        <w:t>the only necessary condition</w:t>
      </w:r>
      <w:r w:rsidRPr="00592079">
        <w:rPr>
          <w:szCs w:val="24"/>
          <w:lang w:val="en-US"/>
        </w:rPr>
        <w:t xml:space="preserve">. Since </w:t>
      </w:r>
      <w:r w:rsidRPr="00FF2BA2">
        <w:rPr>
          <w:i/>
          <w:iCs/>
          <w:szCs w:val="24"/>
          <w:lang w:val="en-US"/>
        </w:rPr>
        <w:t>Deixis am Phantasma</w:t>
      </w:r>
      <w:r w:rsidRPr="00FF2BA2">
        <w:rPr>
          <w:szCs w:val="24"/>
          <w:lang w:val="en-US"/>
        </w:rPr>
        <w:t xml:space="preserve"> is an illusive reality, I consider it literary narrative. </w:t>
      </w:r>
    </w:p>
    <w:p w14:paraId="672EE141" w14:textId="0C846C5C" w:rsidR="00484EC8" w:rsidRPr="00484EC8" w:rsidRDefault="006512C4" w:rsidP="00484EC8">
      <w:pPr>
        <w:pStyle w:val="Heading4"/>
      </w:pPr>
      <w:r w:rsidRPr="00484EC8">
        <w:t>2.2.2 Verbal Tense and Aspect in Archilochus, Hipponax and Callimachus</w:t>
      </w:r>
    </w:p>
    <w:p w14:paraId="4CB7E7EC" w14:textId="77777777" w:rsidR="00EB0BB8" w:rsidRDefault="00EB0BB8" w:rsidP="00FF2BA2">
      <w:pPr>
        <w:rPr>
          <w:lang w:val="en-US"/>
        </w:rPr>
      </w:pPr>
      <w:r>
        <w:rPr>
          <w:lang w:val="en-US"/>
        </w:rPr>
        <w:t>Most of the verbs found in the archaic iambic fragments occur in the present stem, and at the present tense. Instances of aorist also occur, but there are much fewer instances of the imperfect tense. The later iambographer Callimachus, on the other hand, mainly uses the imperfect and the aorist, and uses the present tense a little less. Callimachus resorts to all the three tenses with the same frequency.</w:t>
      </w:r>
    </w:p>
    <w:p w14:paraId="46492D23" w14:textId="7B6B9385" w:rsidR="00EB0BB8" w:rsidRDefault="00EB0BB8" w:rsidP="00754F18">
      <w:pPr>
        <w:rPr>
          <w:lang w:val="en-US"/>
        </w:rPr>
      </w:pPr>
      <w:r>
        <w:rPr>
          <w:lang w:val="en-US"/>
        </w:rPr>
        <w:lastRenderedPageBreak/>
        <w:tab/>
        <w:t>In the previous part of the chapter, I claimed that Archilochus</w:t>
      </w:r>
      <w:r w:rsidR="00075F5F">
        <w:rPr>
          <w:lang w:val="en-US"/>
        </w:rPr>
        <w:t>’</w:t>
      </w:r>
      <w:r>
        <w:rPr>
          <w:lang w:val="en-US"/>
        </w:rPr>
        <w:t xml:space="preserve"> and Hipponax</w:t>
      </w:r>
      <w:r w:rsidR="00075F5F">
        <w:rPr>
          <w:lang w:val="en-US"/>
        </w:rPr>
        <w:t>’</w:t>
      </w:r>
      <w:r>
        <w:rPr>
          <w:lang w:val="en-US"/>
        </w:rPr>
        <w:t xml:space="preserve">s fragments show cases of </w:t>
      </w:r>
      <w:r>
        <w:rPr>
          <w:i/>
          <w:iCs/>
          <w:lang w:val="en-US"/>
        </w:rPr>
        <w:t>demonstratio ad oculos</w:t>
      </w:r>
      <w:r>
        <w:rPr>
          <w:lang w:val="en-US"/>
        </w:rPr>
        <w:t xml:space="preserve">. There are only few instances of </w:t>
      </w:r>
      <w:r>
        <w:rPr>
          <w:i/>
          <w:iCs/>
          <w:lang w:val="en-US"/>
        </w:rPr>
        <w:t>Deixis am Phantasma</w:t>
      </w:r>
      <w:r>
        <w:rPr>
          <w:lang w:val="en-US"/>
        </w:rPr>
        <w:t xml:space="preserve"> in Hipponax</w:t>
      </w:r>
      <w:r w:rsidR="00075F5F">
        <w:rPr>
          <w:lang w:val="en-US"/>
        </w:rPr>
        <w:t>’</w:t>
      </w:r>
      <w:r>
        <w:rPr>
          <w:lang w:val="en-US"/>
        </w:rPr>
        <w:t>s fragments, all of which seem to imply a pretended immediacy, not a displacement in time or to a space far away from the speaker and the audience. (I will deal in detail with these few cases of Hipponax</w:t>
      </w:r>
      <w:r w:rsidR="00075F5F">
        <w:rPr>
          <w:lang w:val="en-US"/>
        </w:rPr>
        <w:t>’</w:t>
      </w:r>
      <w:r>
        <w:rPr>
          <w:lang w:val="en-US"/>
        </w:rPr>
        <w:t xml:space="preserve">s </w:t>
      </w:r>
      <w:r>
        <w:rPr>
          <w:i/>
          <w:iCs/>
          <w:lang w:val="en-US"/>
        </w:rPr>
        <w:t>Deixis am Phantasma</w:t>
      </w:r>
      <w:r>
        <w:rPr>
          <w:lang w:val="en-US"/>
        </w:rPr>
        <w:t xml:space="preserve"> later in the chapter.) </w:t>
      </w:r>
    </w:p>
    <w:p w14:paraId="005580D8" w14:textId="58A529DB" w:rsidR="00EB0BB8" w:rsidRDefault="00EB0BB8" w:rsidP="0097588B">
      <w:pPr>
        <w:ind w:firstLine="426"/>
        <w:rPr>
          <w:lang w:val="en-US"/>
        </w:rPr>
      </w:pPr>
      <w:r>
        <w:rPr>
          <w:lang w:val="en-US"/>
        </w:rPr>
        <w:t>Archaic iambographers generally use the verbal aspects of an immediate consciousness, namely present and aorist. The imperfect verbs are usually examples of knower</w:t>
      </w:r>
      <w:r w:rsidR="00075F5F">
        <w:rPr>
          <w:lang w:val="en-US"/>
        </w:rPr>
        <w:t>’</w:t>
      </w:r>
      <w:r>
        <w:rPr>
          <w:lang w:val="en-US"/>
        </w:rPr>
        <w:t xml:space="preserve">s discourse, since the iambographers are conveying some information which they and their audience have already experienced. Callimachus, on the other hand, swings between </w:t>
      </w:r>
      <w:r>
        <w:rPr>
          <w:i/>
          <w:iCs/>
          <w:lang w:val="en-US"/>
        </w:rPr>
        <w:t>Anaphora</w:t>
      </w:r>
      <w:r>
        <w:rPr>
          <w:lang w:val="en-US"/>
        </w:rPr>
        <w:t xml:space="preserve"> and </w:t>
      </w:r>
      <w:r>
        <w:rPr>
          <w:i/>
          <w:iCs/>
          <w:lang w:val="en-US"/>
        </w:rPr>
        <w:t>Deixis am Phantasma</w:t>
      </w:r>
      <w:r>
        <w:rPr>
          <w:lang w:val="en-US"/>
        </w:rPr>
        <w:t xml:space="preserve">: both of these imply a displacement in time and space which is sometimes near to the author, and sometimes far from him. Callimachus uses the verbal aspects of a displaced consciousness, namely imperfect and aorist. The instances of the present tense are due to the </w:t>
      </w:r>
      <w:r>
        <w:rPr>
          <w:i/>
          <w:iCs/>
          <w:lang w:val="en-US"/>
        </w:rPr>
        <w:t>consecutio temporum</w:t>
      </w:r>
      <w:r>
        <w:rPr>
          <w:lang w:val="en-US"/>
        </w:rPr>
        <w:t xml:space="preserve"> within the narrative frame.</w:t>
      </w:r>
    </w:p>
    <w:p w14:paraId="6371A6F6" w14:textId="555BED92" w:rsidR="006512C4" w:rsidRDefault="00EB0BB8" w:rsidP="0097588B">
      <w:pPr>
        <w:spacing w:after="120"/>
        <w:ind w:firstLine="426"/>
        <w:rPr>
          <w:szCs w:val="24"/>
          <w:lang w:val="en-US"/>
        </w:rPr>
      </w:pPr>
      <w:r>
        <w:rPr>
          <w:lang w:val="en-US"/>
        </w:rPr>
        <w:t>I argue that the proportion</w:t>
      </w:r>
      <w:r w:rsidR="00FF2BA2">
        <w:rPr>
          <w:lang w:val="en-US"/>
        </w:rPr>
        <w:t xml:space="preserve"> </w:t>
      </w:r>
      <w:r>
        <w:rPr>
          <w:lang w:val="en-US"/>
        </w:rPr>
        <w:t>of present and past tenses in Archilochus</w:t>
      </w:r>
      <w:r w:rsidR="00075F5F">
        <w:rPr>
          <w:lang w:val="en-US"/>
        </w:rPr>
        <w:t>’</w:t>
      </w:r>
      <w:r>
        <w:rPr>
          <w:lang w:val="en-US"/>
        </w:rPr>
        <w:t>, Hipponax</w:t>
      </w:r>
      <w:r w:rsidR="00075F5F">
        <w:rPr>
          <w:lang w:val="en-US"/>
        </w:rPr>
        <w:t>’</w:t>
      </w:r>
      <w:r>
        <w:rPr>
          <w:lang w:val="en-US"/>
        </w:rPr>
        <w:t>s, and Callimachus</w:t>
      </w:r>
      <w:r w:rsidR="00075F5F">
        <w:rPr>
          <w:lang w:val="en-US"/>
        </w:rPr>
        <w:t>’</w:t>
      </w:r>
      <w:r>
        <w:rPr>
          <w:lang w:val="en-US"/>
        </w:rPr>
        <w:t xml:space="preserve"> texts depends on the main narrative technique through which each iambographer prefers to shape his own ἰαμβίζειν:</w:t>
      </w:r>
    </w:p>
    <w:p w14:paraId="0BF3E9B8" w14:textId="5437F44A" w:rsidR="00FF2BA2" w:rsidRPr="00FF2BA2" w:rsidRDefault="00EB0BB8" w:rsidP="0097588B">
      <w:pPr>
        <w:widowControl w:val="0"/>
        <w:numPr>
          <w:ilvl w:val="0"/>
          <w:numId w:val="184"/>
        </w:numPr>
        <w:tabs>
          <w:tab w:val="left" w:pos="714"/>
        </w:tabs>
        <w:spacing w:after="120"/>
        <w:ind w:left="714" w:hanging="357"/>
        <w:rPr>
          <w:lang w:val="en-US"/>
        </w:rPr>
      </w:pPr>
      <w:r>
        <w:rPr>
          <w:lang w:val="en-US"/>
        </w:rPr>
        <w:t>Archilochus</w:t>
      </w:r>
      <w:r w:rsidR="00075F5F">
        <w:rPr>
          <w:lang w:val="en-US"/>
        </w:rPr>
        <w:t>’</w:t>
      </w:r>
      <w:r>
        <w:rPr>
          <w:lang w:val="en-US"/>
        </w:rPr>
        <w:t xml:space="preserve"> iambs seem mostly to reproduce light conversation with some friends. The immediate impression is that he is informing the audience about his own opinions: he is like a counselor who gives the right advice.</w:t>
      </w:r>
    </w:p>
    <w:tbl>
      <w:tblPr>
        <w:tblStyle w:val="TableGrid"/>
        <w:tblW w:w="4520" w:type="pct"/>
        <w:tblInd w:w="720" w:type="dxa"/>
        <w:tblLook w:val="04A0" w:firstRow="1" w:lastRow="0" w:firstColumn="1" w:lastColumn="0" w:noHBand="0" w:noVBand="1"/>
      </w:tblPr>
      <w:tblGrid>
        <w:gridCol w:w="1199"/>
        <w:gridCol w:w="2201"/>
        <w:gridCol w:w="2941"/>
        <w:gridCol w:w="1687"/>
      </w:tblGrid>
      <w:tr w:rsidR="006512C4" w:rsidRPr="001112B1" w14:paraId="21128AFF" w14:textId="77777777" w:rsidTr="00975FE0">
        <w:tc>
          <w:tcPr>
            <w:tcW w:w="746" w:type="pct"/>
          </w:tcPr>
          <w:p w14:paraId="150488FE" w14:textId="77777777" w:rsidR="006512C4" w:rsidRPr="001112B1" w:rsidRDefault="006512C4" w:rsidP="00FF2BA2">
            <w:pPr>
              <w:spacing w:before="60" w:after="60" w:line="240" w:lineRule="auto"/>
              <w:rPr>
                <w:rFonts w:cs="Times New Roman"/>
              </w:rPr>
            </w:pPr>
            <w:r w:rsidRPr="001112B1">
              <w:rPr>
                <w:rFonts w:cs="Times New Roman"/>
              </w:rPr>
              <w:t>Tense</w:t>
            </w:r>
          </w:p>
        </w:tc>
        <w:tc>
          <w:tcPr>
            <w:tcW w:w="1371" w:type="pct"/>
          </w:tcPr>
          <w:p w14:paraId="6A08278D" w14:textId="77777777" w:rsidR="006512C4" w:rsidRPr="001112B1" w:rsidRDefault="006512C4" w:rsidP="00FF2BA2">
            <w:pPr>
              <w:spacing w:before="60" w:after="60" w:line="240" w:lineRule="auto"/>
              <w:rPr>
                <w:rFonts w:cs="Times New Roman"/>
              </w:rPr>
            </w:pPr>
            <w:r w:rsidRPr="001112B1">
              <w:rPr>
                <w:rFonts w:cs="Times New Roman"/>
              </w:rPr>
              <w:t>Deixis</w:t>
            </w:r>
          </w:p>
        </w:tc>
        <w:tc>
          <w:tcPr>
            <w:tcW w:w="1832" w:type="pct"/>
          </w:tcPr>
          <w:p w14:paraId="55E23DAA" w14:textId="77777777" w:rsidR="006512C4" w:rsidRPr="001112B1" w:rsidRDefault="006512C4" w:rsidP="00754F18">
            <w:pPr>
              <w:spacing w:before="60" w:after="60" w:line="240" w:lineRule="auto"/>
              <w:rPr>
                <w:rFonts w:cs="Times New Roman"/>
              </w:rPr>
            </w:pPr>
            <w:r w:rsidRPr="001112B1">
              <w:rPr>
                <w:rFonts w:cs="Times New Roman"/>
              </w:rPr>
              <w:t xml:space="preserve">Perspective </w:t>
            </w:r>
          </w:p>
        </w:tc>
        <w:tc>
          <w:tcPr>
            <w:tcW w:w="1051" w:type="pct"/>
          </w:tcPr>
          <w:p w14:paraId="63647CBF" w14:textId="77777777" w:rsidR="006512C4" w:rsidRPr="001112B1" w:rsidRDefault="006512C4" w:rsidP="0097588B">
            <w:pPr>
              <w:spacing w:before="60" w:after="60" w:line="240" w:lineRule="auto"/>
              <w:rPr>
                <w:rFonts w:cs="Times New Roman"/>
              </w:rPr>
            </w:pPr>
            <w:r w:rsidRPr="001112B1">
              <w:rPr>
                <w:rFonts w:cs="Times New Roman"/>
              </w:rPr>
              <w:t>Narrative</w:t>
            </w:r>
          </w:p>
        </w:tc>
      </w:tr>
      <w:tr w:rsidR="006512C4" w:rsidRPr="001112B1" w14:paraId="06349C56" w14:textId="77777777" w:rsidTr="00975FE0">
        <w:tc>
          <w:tcPr>
            <w:tcW w:w="746" w:type="pct"/>
          </w:tcPr>
          <w:p w14:paraId="5F6B29C8" w14:textId="77777777" w:rsidR="006512C4" w:rsidRPr="001112B1" w:rsidRDefault="006512C4" w:rsidP="00FF2BA2">
            <w:pPr>
              <w:spacing w:before="60" w:after="60" w:line="240" w:lineRule="auto"/>
              <w:rPr>
                <w:rFonts w:cs="Times New Roman"/>
              </w:rPr>
            </w:pPr>
            <w:r w:rsidRPr="001112B1">
              <w:rPr>
                <w:rFonts w:cs="Times New Roman"/>
              </w:rPr>
              <w:t>Present</w:t>
            </w:r>
          </w:p>
        </w:tc>
        <w:tc>
          <w:tcPr>
            <w:tcW w:w="1371" w:type="pct"/>
          </w:tcPr>
          <w:p w14:paraId="78614558" w14:textId="2DBCDCC4" w:rsidR="006512C4" w:rsidRPr="001112B1" w:rsidRDefault="006512C4" w:rsidP="00FF2BA2">
            <w:pPr>
              <w:spacing w:before="60" w:after="60" w:line="240" w:lineRule="auto"/>
              <w:jc w:val="left"/>
              <w:rPr>
                <w:rFonts w:cs="Times New Roman"/>
                <w:i/>
              </w:rPr>
            </w:pPr>
            <w:r w:rsidRPr="001112B1">
              <w:rPr>
                <w:rFonts w:cs="Times New Roman"/>
                <w:i/>
              </w:rPr>
              <w:t>Demonstratio ad oculos</w:t>
            </w:r>
          </w:p>
        </w:tc>
        <w:tc>
          <w:tcPr>
            <w:tcW w:w="1832" w:type="pct"/>
          </w:tcPr>
          <w:p w14:paraId="46AE3076" w14:textId="77777777" w:rsidR="006512C4" w:rsidRPr="001112B1" w:rsidRDefault="006512C4" w:rsidP="00754F18">
            <w:pPr>
              <w:spacing w:before="60" w:after="60" w:line="240" w:lineRule="auto"/>
              <w:rPr>
                <w:rFonts w:cs="Times New Roman"/>
              </w:rPr>
            </w:pPr>
            <w:r w:rsidRPr="001112B1">
              <w:rPr>
                <w:rFonts w:cs="Times New Roman"/>
              </w:rPr>
              <w:t>- discourse of the knower</w:t>
            </w:r>
          </w:p>
          <w:p w14:paraId="6740F6CD" w14:textId="57E313DC" w:rsidR="006512C4" w:rsidRPr="001112B1" w:rsidRDefault="006512C4" w:rsidP="0097588B">
            <w:pPr>
              <w:spacing w:before="60" w:after="60" w:line="240" w:lineRule="auto"/>
              <w:rPr>
                <w:rFonts w:cs="Times New Roman"/>
              </w:rPr>
            </w:pPr>
            <w:r w:rsidRPr="001112B1">
              <w:rPr>
                <w:rFonts w:cs="Times New Roman"/>
              </w:rPr>
              <w:t>- immediate mood</w:t>
            </w:r>
          </w:p>
        </w:tc>
        <w:tc>
          <w:tcPr>
            <w:tcW w:w="1051" w:type="pct"/>
          </w:tcPr>
          <w:p w14:paraId="4249043E" w14:textId="77777777" w:rsidR="006512C4" w:rsidRPr="001112B1" w:rsidRDefault="006512C4" w:rsidP="0097588B">
            <w:pPr>
              <w:spacing w:before="60" w:after="60" w:line="240" w:lineRule="auto"/>
              <w:rPr>
                <w:rFonts w:cs="Times New Roman"/>
              </w:rPr>
            </w:pPr>
            <w:r w:rsidRPr="001112B1">
              <w:rPr>
                <w:rFonts w:cs="Times New Roman"/>
              </w:rPr>
              <w:t>conversational</w:t>
            </w:r>
          </w:p>
        </w:tc>
      </w:tr>
      <w:tr w:rsidR="006512C4" w:rsidRPr="001112B1" w14:paraId="7C3DA232" w14:textId="77777777" w:rsidTr="00975FE0">
        <w:tc>
          <w:tcPr>
            <w:tcW w:w="746" w:type="pct"/>
          </w:tcPr>
          <w:p w14:paraId="2B5E529B" w14:textId="77777777" w:rsidR="006512C4" w:rsidRPr="001112B1" w:rsidRDefault="006512C4" w:rsidP="00FF2BA2">
            <w:pPr>
              <w:spacing w:before="60" w:after="60" w:line="240" w:lineRule="auto"/>
              <w:rPr>
                <w:rFonts w:cs="Times New Roman"/>
              </w:rPr>
            </w:pPr>
            <w:r w:rsidRPr="001112B1">
              <w:rPr>
                <w:rFonts w:cs="Times New Roman"/>
              </w:rPr>
              <w:t>Aorist</w:t>
            </w:r>
          </w:p>
        </w:tc>
        <w:tc>
          <w:tcPr>
            <w:tcW w:w="1371" w:type="pct"/>
          </w:tcPr>
          <w:p w14:paraId="2BB0782A" w14:textId="1B9BBD36" w:rsidR="006512C4" w:rsidRPr="001112B1" w:rsidRDefault="006512C4" w:rsidP="00FF2BA2">
            <w:pPr>
              <w:spacing w:before="60" w:after="60" w:line="240" w:lineRule="auto"/>
              <w:jc w:val="left"/>
              <w:rPr>
                <w:rFonts w:cs="Times New Roman"/>
                <w:i/>
              </w:rPr>
            </w:pPr>
            <w:r w:rsidRPr="001112B1">
              <w:rPr>
                <w:rFonts w:cs="Times New Roman"/>
                <w:i/>
              </w:rPr>
              <w:t>Demonstratio ad oculos</w:t>
            </w:r>
          </w:p>
        </w:tc>
        <w:tc>
          <w:tcPr>
            <w:tcW w:w="1832" w:type="pct"/>
          </w:tcPr>
          <w:p w14:paraId="2BFEB42F" w14:textId="77777777" w:rsidR="006512C4" w:rsidRPr="001112B1" w:rsidRDefault="006512C4" w:rsidP="00754F18">
            <w:pPr>
              <w:spacing w:before="60" w:after="60" w:line="240" w:lineRule="auto"/>
              <w:rPr>
                <w:rFonts w:cs="Times New Roman"/>
              </w:rPr>
            </w:pPr>
            <w:r w:rsidRPr="001112B1">
              <w:rPr>
                <w:rFonts w:cs="Times New Roman"/>
              </w:rPr>
              <w:t>- discourse of the observer</w:t>
            </w:r>
          </w:p>
          <w:p w14:paraId="425E4184" w14:textId="3D7DBBD5" w:rsidR="006512C4" w:rsidRPr="001112B1" w:rsidRDefault="006512C4" w:rsidP="0097588B">
            <w:pPr>
              <w:spacing w:before="60" w:after="60" w:line="240" w:lineRule="auto"/>
              <w:rPr>
                <w:rFonts w:cs="Times New Roman"/>
              </w:rPr>
            </w:pPr>
            <w:r w:rsidRPr="001112B1">
              <w:rPr>
                <w:rFonts w:cs="Times New Roman"/>
              </w:rPr>
              <w:t>- immediate mood</w:t>
            </w:r>
          </w:p>
        </w:tc>
        <w:tc>
          <w:tcPr>
            <w:tcW w:w="1051" w:type="pct"/>
          </w:tcPr>
          <w:p w14:paraId="35042CF6" w14:textId="77777777" w:rsidR="006512C4" w:rsidRPr="001112B1" w:rsidRDefault="006512C4" w:rsidP="0097588B">
            <w:pPr>
              <w:spacing w:before="60" w:after="60" w:line="240" w:lineRule="auto"/>
              <w:rPr>
                <w:rFonts w:cs="Times New Roman"/>
              </w:rPr>
            </w:pPr>
            <w:r w:rsidRPr="001112B1">
              <w:rPr>
                <w:rFonts w:cs="Times New Roman"/>
              </w:rPr>
              <w:t>conversational</w:t>
            </w:r>
          </w:p>
        </w:tc>
      </w:tr>
      <w:tr w:rsidR="006512C4" w:rsidRPr="001112B1" w14:paraId="392F2CCE" w14:textId="77777777" w:rsidTr="00975FE0">
        <w:tc>
          <w:tcPr>
            <w:tcW w:w="746" w:type="pct"/>
          </w:tcPr>
          <w:p w14:paraId="63844748" w14:textId="77777777" w:rsidR="006512C4" w:rsidRPr="001112B1" w:rsidRDefault="006512C4" w:rsidP="00FF2BA2">
            <w:pPr>
              <w:spacing w:before="60" w:after="60" w:line="240" w:lineRule="auto"/>
              <w:rPr>
                <w:rFonts w:cs="Times New Roman"/>
              </w:rPr>
            </w:pPr>
            <w:r w:rsidRPr="001112B1">
              <w:rPr>
                <w:rFonts w:cs="Times New Roman"/>
              </w:rPr>
              <w:t>Imperfect</w:t>
            </w:r>
          </w:p>
        </w:tc>
        <w:tc>
          <w:tcPr>
            <w:tcW w:w="1371" w:type="pct"/>
          </w:tcPr>
          <w:p w14:paraId="64AF7D61" w14:textId="77777777" w:rsidR="006512C4" w:rsidRPr="001112B1" w:rsidRDefault="006512C4" w:rsidP="00FF2BA2">
            <w:pPr>
              <w:spacing w:before="60" w:after="60" w:line="240" w:lineRule="auto"/>
              <w:rPr>
                <w:rFonts w:cs="Times New Roman"/>
                <w:i/>
              </w:rPr>
            </w:pPr>
            <w:r w:rsidRPr="001112B1">
              <w:rPr>
                <w:rFonts w:cs="Times New Roman"/>
                <w:i/>
              </w:rPr>
              <w:t>Anaphora</w:t>
            </w:r>
          </w:p>
          <w:p w14:paraId="3B69E57B" w14:textId="77777777" w:rsidR="006512C4" w:rsidRPr="001112B1" w:rsidRDefault="006512C4" w:rsidP="00754F18">
            <w:pPr>
              <w:spacing w:before="60" w:after="60" w:line="240" w:lineRule="auto"/>
              <w:rPr>
                <w:rFonts w:cs="Times New Roman"/>
                <w:i/>
              </w:rPr>
            </w:pPr>
          </w:p>
        </w:tc>
        <w:tc>
          <w:tcPr>
            <w:tcW w:w="1832" w:type="pct"/>
          </w:tcPr>
          <w:p w14:paraId="68956118" w14:textId="77777777" w:rsidR="006512C4" w:rsidRPr="001112B1" w:rsidRDefault="006512C4" w:rsidP="0097588B">
            <w:pPr>
              <w:spacing w:before="60" w:after="60" w:line="240" w:lineRule="auto"/>
              <w:rPr>
                <w:rFonts w:cs="Times New Roman"/>
              </w:rPr>
            </w:pPr>
            <w:r w:rsidRPr="001112B1">
              <w:rPr>
                <w:rFonts w:cs="Times New Roman"/>
              </w:rPr>
              <w:t>- discourse of the knower</w:t>
            </w:r>
          </w:p>
          <w:p w14:paraId="29380CBB" w14:textId="428C8F72" w:rsidR="006512C4" w:rsidRPr="001112B1" w:rsidRDefault="006512C4" w:rsidP="0097588B">
            <w:pPr>
              <w:spacing w:before="60" w:after="60" w:line="240" w:lineRule="auto"/>
              <w:rPr>
                <w:rFonts w:cs="Times New Roman"/>
              </w:rPr>
            </w:pPr>
            <w:r w:rsidRPr="001112B1">
              <w:rPr>
                <w:rFonts w:cs="Times New Roman"/>
              </w:rPr>
              <w:t>- immediate mood</w:t>
            </w:r>
          </w:p>
        </w:tc>
        <w:tc>
          <w:tcPr>
            <w:tcW w:w="1051" w:type="pct"/>
          </w:tcPr>
          <w:p w14:paraId="664D291D" w14:textId="77777777" w:rsidR="006512C4" w:rsidRPr="001112B1" w:rsidRDefault="006512C4" w:rsidP="0097588B">
            <w:pPr>
              <w:spacing w:before="60" w:after="60" w:line="240" w:lineRule="auto"/>
              <w:rPr>
                <w:rFonts w:cs="Times New Roman"/>
              </w:rPr>
            </w:pPr>
            <w:r w:rsidRPr="001112B1">
              <w:rPr>
                <w:rFonts w:cs="Times New Roman"/>
              </w:rPr>
              <w:t>conversational</w:t>
            </w:r>
          </w:p>
        </w:tc>
      </w:tr>
    </w:tbl>
    <w:p w14:paraId="3FF03719" w14:textId="77777777" w:rsidR="00FF2BA2" w:rsidRDefault="00FF2BA2" w:rsidP="0097588B">
      <w:pPr>
        <w:widowControl w:val="0"/>
        <w:tabs>
          <w:tab w:val="left" w:pos="714"/>
          <w:tab w:val="center" w:pos="5387"/>
        </w:tabs>
        <w:spacing w:line="400" w:lineRule="auto"/>
        <w:ind w:left="720"/>
        <w:rPr>
          <w:lang w:val="en-US"/>
        </w:rPr>
      </w:pPr>
    </w:p>
    <w:p w14:paraId="4FA1F733" w14:textId="7CC3C0E9" w:rsidR="00975FE0" w:rsidRPr="00EB0BB8" w:rsidRDefault="00EB0BB8" w:rsidP="0097588B">
      <w:pPr>
        <w:widowControl w:val="0"/>
        <w:numPr>
          <w:ilvl w:val="0"/>
          <w:numId w:val="184"/>
        </w:numPr>
        <w:tabs>
          <w:tab w:val="left" w:pos="714"/>
          <w:tab w:val="center" w:pos="5387"/>
        </w:tabs>
        <w:spacing w:after="120"/>
        <w:ind w:left="714" w:hanging="357"/>
        <w:rPr>
          <w:lang w:val="en-US"/>
        </w:rPr>
      </w:pPr>
      <w:r>
        <w:rPr>
          <w:lang w:val="en-US"/>
        </w:rPr>
        <w:t>Hipponax</w:t>
      </w:r>
      <w:r w:rsidR="00075F5F">
        <w:rPr>
          <w:lang w:val="en-US"/>
        </w:rPr>
        <w:t>’</w:t>
      </w:r>
      <w:r>
        <w:rPr>
          <w:lang w:val="en-US"/>
        </w:rPr>
        <w:t>s iambs are short acts of comedy whose main character is Hipponax, so that the most immediate impression is that the poet is entertaining his audience: he is like an actor performing a scene.</w:t>
      </w:r>
    </w:p>
    <w:tbl>
      <w:tblPr>
        <w:tblStyle w:val="TableGrid"/>
        <w:tblW w:w="4520" w:type="pct"/>
        <w:tblInd w:w="817" w:type="dxa"/>
        <w:tblLook w:val="04A0" w:firstRow="1" w:lastRow="0" w:firstColumn="1" w:lastColumn="0" w:noHBand="0" w:noVBand="1"/>
      </w:tblPr>
      <w:tblGrid>
        <w:gridCol w:w="1199"/>
        <w:gridCol w:w="2201"/>
        <w:gridCol w:w="2941"/>
        <w:gridCol w:w="1687"/>
      </w:tblGrid>
      <w:tr w:rsidR="006512C4" w14:paraId="508450D7" w14:textId="77777777" w:rsidTr="006512C4">
        <w:tc>
          <w:tcPr>
            <w:tcW w:w="746" w:type="pct"/>
          </w:tcPr>
          <w:p w14:paraId="2A78FCCC" w14:textId="77777777" w:rsidR="006512C4" w:rsidRPr="00B937BB" w:rsidRDefault="006512C4" w:rsidP="0097588B">
            <w:pPr>
              <w:spacing w:before="60" w:after="120" w:line="240" w:lineRule="auto"/>
              <w:rPr>
                <w:rFonts w:cs="Times New Roman"/>
              </w:rPr>
            </w:pPr>
            <w:r w:rsidRPr="00B937BB">
              <w:rPr>
                <w:rFonts w:cs="Times New Roman"/>
              </w:rPr>
              <w:t>Tense</w:t>
            </w:r>
          </w:p>
        </w:tc>
        <w:tc>
          <w:tcPr>
            <w:tcW w:w="1371" w:type="pct"/>
          </w:tcPr>
          <w:p w14:paraId="7E86E849" w14:textId="77777777" w:rsidR="006512C4" w:rsidRPr="00B937BB" w:rsidRDefault="006512C4" w:rsidP="00FF2BA2">
            <w:pPr>
              <w:spacing w:before="60" w:after="60" w:line="240" w:lineRule="auto"/>
              <w:jc w:val="left"/>
              <w:rPr>
                <w:rFonts w:cs="Times New Roman"/>
                <w:i/>
                <w:iCs/>
                <w:color w:val="404040" w:themeColor="text1" w:themeTint="BF"/>
              </w:rPr>
            </w:pPr>
            <w:r w:rsidRPr="00B937BB">
              <w:rPr>
                <w:rFonts w:cs="Times New Roman"/>
              </w:rPr>
              <w:t>Deixis</w:t>
            </w:r>
          </w:p>
        </w:tc>
        <w:tc>
          <w:tcPr>
            <w:tcW w:w="1832" w:type="pct"/>
          </w:tcPr>
          <w:p w14:paraId="188A31FB" w14:textId="77777777" w:rsidR="006512C4" w:rsidRPr="00B937BB" w:rsidRDefault="006512C4" w:rsidP="00754F18">
            <w:pPr>
              <w:spacing w:before="60" w:after="60" w:line="240" w:lineRule="auto"/>
              <w:rPr>
                <w:rFonts w:cs="Times New Roman"/>
              </w:rPr>
            </w:pPr>
            <w:r w:rsidRPr="00B937BB">
              <w:rPr>
                <w:rFonts w:cs="Times New Roman"/>
              </w:rPr>
              <w:t>Perspective</w:t>
            </w:r>
          </w:p>
        </w:tc>
        <w:tc>
          <w:tcPr>
            <w:tcW w:w="1051" w:type="pct"/>
          </w:tcPr>
          <w:p w14:paraId="08AC2E99" w14:textId="77777777" w:rsidR="006512C4" w:rsidRPr="00B937BB" w:rsidRDefault="006512C4" w:rsidP="0097588B">
            <w:pPr>
              <w:spacing w:before="60" w:after="60" w:line="240" w:lineRule="auto"/>
              <w:rPr>
                <w:rFonts w:cs="Times New Roman"/>
              </w:rPr>
            </w:pPr>
            <w:r w:rsidRPr="00B937BB">
              <w:rPr>
                <w:rFonts w:cs="Times New Roman"/>
              </w:rPr>
              <w:t>Narrative</w:t>
            </w:r>
          </w:p>
        </w:tc>
      </w:tr>
      <w:tr w:rsidR="006512C4" w14:paraId="7A9F3173" w14:textId="77777777" w:rsidTr="006512C4">
        <w:tc>
          <w:tcPr>
            <w:tcW w:w="746" w:type="pct"/>
          </w:tcPr>
          <w:p w14:paraId="7F1E16DA" w14:textId="77777777" w:rsidR="006512C4" w:rsidRPr="00B937BB" w:rsidRDefault="006512C4" w:rsidP="00FF2BA2">
            <w:pPr>
              <w:spacing w:before="60" w:after="60" w:line="240" w:lineRule="auto"/>
              <w:rPr>
                <w:rFonts w:cs="Times New Roman"/>
              </w:rPr>
            </w:pPr>
            <w:r w:rsidRPr="00B937BB">
              <w:rPr>
                <w:rFonts w:cs="Times New Roman"/>
              </w:rPr>
              <w:lastRenderedPageBreak/>
              <w:t>Present</w:t>
            </w:r>
          </w:p>
        </w:tc>
        <w:tc>
          <w:tcPr>
            <w:tcW w:w="1371" w:type="pct"/>
          </w:tcPr>
          <w:p w14:paraId="3065A637" w14:textId="7DAE9EE1" w:rsidR="006512C4" w:rsidRPr="00C6744E" w:rsidRDefault="006512C4" w:rsidP="00754F18">
            <w:pPr>
              <w:spacing w:before="60" w:after="60" w:line="240" w:lineRule="auto"/>
              <w:jc w:val="left"/>
              <w:rPr>
                <w:rFonts w:cs="Times New Roman"/>
                <w:i/>
              </w:rPr>
            </w:pPr>
            <w:r w:rsidRPr="00B937BB">
              <w:rPr>
                <w:rFonts w:cs="Times New Roman"/>
                <w:i/>
              </w:rPr>
              <w:t>Demonstratio ad oculos</w:t>
            </w:r>
          </w:p>
        </w:tc>
        <w:tc>
          <w:tcPr>
            <w:tcW w:w="1832" w:type="pct"/>
          </w:tcPr>
          <w:p w14:paraId="46A6570F" w14:textId="77777777" w:rsidR="006512C4" w:rsidRPr="00B937BB" w:rsidRDefault="006512C4" w:rsidP="0097588B">
            <w:pPr>
              <w:spacing w:before="60" w:after="60" w:line="240" w:lineRule="auto"/>
              <w:rPr>
                <w:rFonts w:cs="Times New Roman"/>
              </w:rPr>
            </w:pPr>
            <w:r w:rsidRPr="00B937BB">
              <w:rPr>
                <w:rFonts w:cs="Times New Roman"/>
              </w:rPr>
              <w:t>- discourse of the knower</w:t>
            </w:r>
          </w:p>
          <w:p w14:paraId="5D250C4B" w14:textId="1CF3BC27" w:rsidR="006512C4" w:rsidRPr="00B937BB" w:rsidRDefault="006512C4" w:rsidP="0097588B">
            <w:pPr>
              <w:spacing w:before="60" w:after="60" w:line="240" w:lineRule="auto"/>
              <w:rPr>
                <w:rFonts w:cs="Times New Roman"/>
              </w:rPr>
            </w:pPr>
            <w:r w:rsidRPr="00B937BB">
              <w:rPr>
                <w:rFonts w:cs="Times New Roman"/>
              </w:rPr>
              <w:t>- immediate mood</w:t>
            </w:r>
          </w:p>
        </w:tc>
        <w:tc>
          <w:tcPr>
            <w:tcW w:w="1051" w:type="pct"/>
          </w:tcPr>
          <w:p w14:paraId="715590C1" w14:textId="77777777" w:rsidR="006512C4" w:rsidRPr="00B937BB" w:rsidRDefault="006512C4" w:rsidP="0097588B">
            <w:pPr>
              <w:spacing w:before="60" w:after="60" w:line="240" w:lineRule="auto"/>
              <w:rPr>
                <w:rFonts w:cs="Times New Roman"/>
              </w:rPr>
            </w:pPr>
            <w:r w:rsidRPr="00B937BB">
              <w:rPr>
                <w:rFonts w:cs="Times New Roman"/>
              </w:rPr>
              <w:t>conversational</w:t>
            </w:r>
          </w:p>
        </w:tc>
      </w:tr>
      <w:tr w:rsidR="006512C4" w14:paraId="72D5DC8D" w14:textId="77777777" w:rsidTr="006512C4">
        <w:tc>
          <w:tcPr>
            <w:tcW w:w="746" w:type="pct"/>
          </w:tcPr>
          <w:p w14:paraId="4838F400" w14:textId="77777777" w:rsidR="006512C4" w:rsidRPr="00B937BB" w:rsidRDefault="006512C4" w:rsidP="00FF2BA2">
            <w:pPr>
              <w:spacing w:before="60" w:after="60" w:line="240" w:lineRule="auto"/>
              <w:rPr>
                <w:rFonts w:cs="Times New Roman"/>
              </w:rPr>
            </w:pPr>
            <w:r w:rsidRPr="00B937BB">
              <w:rPr>
                <w:rFonts w:cs="Times New Roman"/>
              </w:rPr>
              <w:t>Aorist</w:t>
            </w:r>
          </w:p>
        </w:tc>
        <w:tc>
          <w:tcPr>
            <w:tcW w:w="1371" w:type="pct"/>
          </w:tcPr>
          <w:p w14:paraId="2381F76F" w14:textId="38C5CD6E" w:rsidR="006512C4" w:rsidRPr="00C6744E" w:rsidRDefault="006512C4" w:rsidP="00754F18">
            <w:pPr>
              <w:spacing w:before="60" w:after="60" w:line="240" w:lineRule="auto"/>
              <w:jc w:val="left"/>
              <w:rPr>
                <w:rFonts w:cs="Times New Roman"/>
                <w:i/>
              </w:rPr>
            </w:pPr>
            <w:r w:rsidRPr="00B937BB">
              <w:rPr>
                <w:rFonts w:cs="Times New Roman"/>
                <w:i/>
              </w:rPr>
              <w:t>Demonstratio ad oculos</w:t>
            </w:r>
          </w:p>
        </w:tc>
        <w:tc>
          <w:tcPr>
            <w:tcW w:w="1832" w:type="pct"/>
          </w:tcPr>
          <w:p w14:paraId="4BFE319E" w14:textId="77777777" w:rsidR="006512C4" w:rsidRPr="00B937BB" w:rsidRDefault="006512C4" w:rsidP="0097588B">
            <w:pPr>
              <w:spacing w:before="60" w:after="60" w:line="240" w:lineRule="auto"/>
              <w:rPr>
                <w:rFonts w:cs="Times New Roman"/>
              </w:rPr>
            </w:pPr>
            <w:r w:rsidRPr="00B937BB">
              <w:rPr>
                <w:rFonts w:cs="Times New Roman"/>
              </w:rPr>
              <w:t>- discourse of the observer</w:t>
            </w:r>
          </w:p>
          <w:p w14:paraId="492342F1" w14:textId="376FA63E" w:rsidR="006512C4" w:rsidRPr="00B937BB" w:rsidRDefault="006512C4" w:rsidP="0097588B">
            <w:pPr>
              <w:spacing w:before="60" w:after="60" w:line="240" w:lineRule="auto"/>
              <w:rPr>
                <w:rFonts w:cs="Times New Roman"/>
              </w:rPr>
            </w:pPr>
            <w:r w:rsidRPr="00B937BB">
              <w:rPr>
                <w:rFonts w:cs="Times New Roman"/>
              </w:rPr>
              <w:t>- immediate mood</w:t>
            </w:r>
          </w:p>
        </w:tc>
        <w:tc>
          <w:tcPr>
            <w:tcW w:w="1051" w:type="pct"/>
          </w:tcPr>
          <w:p w14:paraId="68CBF07D" w14:textId="77777777" w:rsidR="006512C4" w:rsidRPr="00B937BB" w:rsidRDefault="006512C4" w:rsidP="0097588B">
            <w:pPr>
              <w:spacing w:before="60" w:after="60" w:line="240" w:lineRule="auto"/>
              <w:rPr>
                <w:rFonts w:cs="Times New Roman"/>
              </w:rPr>
            </w:pPr>
            <w:r w:rsidRPr="00B937BB">
              <w:rPr>
                <w:rFonts w:cs="Times New Roman"/>
              </w:rPr>
              <w:t>conversational</w:t>
            </w:r>
          </w:p>
        </w:tc>
      </w:tr>
      <w:tr w:rsidR="006512C4" w14:paraId="6C1C9CD2" w14:textId="77777777" w:rsidTr="006512C4">
        <w:tc>
          <w:tcPr>
            <w:tcW w:w="746" w:type="pct"/>
            <w:vMerge w:val="restart"/>
          </w:tcPr>
          <w:p w14:paraId="117AF1B4" w14:textId="77777777" w:rsidR="006512C4" w:rsidRPr="00B937BB" w:rsidRDefault="006512C4" w:rsidP="00FF2BA2">
            <w:pPr>
              <w:spacing w:before="60" w:after="60" w:line="240" w:lineRule="auto"/>
              <w:rPr>
                <w:rFonts w:cs="Times New Roman"/>
              </w:rPr>
            </w:pPr>
            <w:r w:rsidRPr="00B937BB">
              <w:rPr>
                <w:rFonts w:cs="Times New Roman"/>
              </w:rPr>
              <w:t>Imperfect</w:t>
            </w:r>
          </w:p>
        </w:tc>
        <w:tc>
          <w:tcPr>
            <w:tcW w:w="1371" w:type="pct"/>
          </w:tcPr>
          <w:p w14:paraId="34975032" w14:textId="77777777" w:rsidR="006512C4" w:rsidRPr="00B937BB" w:rsidRDefault="006512C4" w:rsidP="00754F18">
            <w:pPr>
              <w:spacing w:before="60" w:after="60" w:line="240" w:lineRule="auto"/>
              <w:jc w:val="left"/>
              <w:rPr>
                <w:rFonts w:cs="Times New Roman"/>
                <w:i/>
              </w:rPr>
            </w:pPr>
            <w:r w:rsidRPr="00B937BB">
              <w:rPr>
                <w:rFonts w:cs="Times New Roman"/>
                <w:i/>
              </w:rPr>
              <w:t>Anaphora</w:t>
            </w:r>
          </w:p>
          <w:p w14:paraId="2BEC64C8" w14:textId="77777777" w:rsidR="006512C4" w:rsidRPr="00B937BB" w:rsidRDefault="006512C4" w:rsidP="0097588B">
            <w:pPr>
              <w:spacing w:before="60" w:after="60" w:line="240" w:lineRule="auto"/>
              <w:jc w:val="left"/>
              <w:rPr>
                <w:rFonts w:cs="Times New Roman"/>
              </w:rPr>
            </w:pPr>
          </w:p>
        </w:tc>
        <w:tc>
          <w:tcPr>
            <w:tcW w:w="1832" w:type="pct"/>
          </w:tcPr>
          <w:p w14:paraId="26E32599" w14:textId="77777777" w:rsidR="006512C4" w:rsidRPr="00B937BB" w:rsidRDefault="006512C4" w:rsidP="0097588B">
            <w:pPr>
              <w:spacing w:before="60" w:after="60" w:line="240" w:lineRule="auto"/>
              <w:rPr>
                <w:rFonts w:cs="Times New Roman"/>
              </w:rPr>
            </w:pPr>
            <w:r w:rsidRPr="00B937BB">
              <w:rPr>
                <w:rFonts w:cs="Times New Roman"/>
              </w:rPr>
              <w:t>- discourse of the knower</w:t>
            </w:r>
          </w:p>
          <w:p w14:paraId="1A0D92E7" w14:textId="1DAEDF7A" w:rsidR="006512C4" w:rsidRPr="00B937BB" w:rsidRDefault="006512C4" w:rsidP="0097588B">
            <w:pPr>
              <w:spacing w:before="60" w:after="60" w:line="240" w:lineRule="auto"/>
              <w:rPr>
                <w:rFonts w:cs="Times New Roman"/>
              </w:rPr>
            </w:pPr>
            <w:r w:rsidRPr="00B937BB">
              <w:rPr>
                <w:rFonts w:cs="Times New Roman"/>
              </w:rPr>
              <w:t>- immediate mood</w:t>
            </w:r>
          </w:p>
        </w:tc>
        <w:tc>
          <w:tcPr>
            <w:tcW w:w="1051" w:type="pct"/>
          </w:tcPr>
          <w:p w14:paraId="15C971BA" w14:textId="77777777" w:rsidR="006512C4" w:rsidRPr="00B937BB" w:rsidRDefault="006512C4" w:rsidP="0097588B">
            <w:pPr>
              <w:spacing w:before="60" w:after="60" w:line="240" w:lineRule="auto"/>
              <w:rPr>
                <w:rFonts w:cs="Times New Roman"/>
              </w:rPr>
            </w:pPr>
            <w:r w:rsidRPr="00B937BB">
              <w:rPr>
                <w:rFonts w:cs="Times New Roman"/>
              </w:rPr>
              <w:t>conversational</w:t>
            </w:r>
          </w:p>
        </w:tc>
      </w:tr>
      <w:tr w:rsidR="006512C4" w14:paraId="3309DA03" w14:textId="77777777" w:rsidTr="006512C4">
        <w:tc>
          <w:tcPr>
            <w:tcW w:w="746" w:type="pct"/>
            <w:vMerge/>
          </w:tcPr>
          <w:p w14:paraId="20B92398" w14:textId="77777777" w:rsidR="006512C4" w:rsidRPr="00B937BB" w:rsidRDefault="006512C4" w:rsidP="0097588B">
            <w:pPr>
              <w:spacing w:before="60" w:after="60" w:line="240" w:lineRule="auto"/>
              <w:rPr>
                <w:rFonts w:cs="Times New Roman"/>
              </w:rPr>
            </w:pPr>
          </w:p>
        </w:tc>
        <w:tc>
          <w:tcPr>
            <w:tcW w:w="1371" w:type="pct"/>
          </w:tcPr>
          <w:p w14:paraId="79974912" w14:textId="77777777" w:rsidR="006512C4" w:rsidRPr="00B937BB" w:rsidRDefault="006512C4" w:rsidP="0097588B">
            <w:pPr>
              <w:spacing w:before="60" w:after="60" w:line="240" w:lineRule="auto"/>
              <w:jc w:val="left"/>
              <w:rPr>
                <w:rFonts w:cs="Times New Roman"/>
                <w:i/>
              </w:rPr>
            </w:pPr>
            <w:r w:rsidRPr="00B937BB">
              <w:rPr>
                <w:rFonts w:cs="Times New Roman"/>
                <w:i/>
              </w:rPr>
              <w:t>Deixis am Phantasma</w:t>
            </w:r>
          </w:p>
        </w:tc>
        <w:tc>
          <w:tcPr>
            <w:tcW w:w="1832" w:type="pct"/>
          </w:tcPr>
          <w:p w14:paraId="3BDB22FD" w14:textId="77777777" w:rsidR="006512C4" w:rsidRPr="00B937BB" w:rsidRDefault="006512C4" w:rsidP="0097588B">
            <w:pPr>
              <w:spacing w:before="60" w:after="60" w:line="240" w:lineRule="auto"/>
              <w:rPr>
                <w:rFonts w:cs="Times New Roman"/>
              </w:rPr>
            </w:pPr>
            <w:r w:rsidRPr="00B937BB">
              <w:rPr>
                <w:rFonts w:cs="Times New Roman"/>
              </w:rPr>
              <w:t>- discourse of the observer</w:t>
            </w:r>
          </w:p>
          <w:p w14:paraId="27B1C315" w14:textId="004A6EE2" w:rsidR="006512C4" w:rsidRPr="00B937BB" w:rsidRDefault="006512C4" w:rsidP="0097588B">
            <w:pPr>
              <w:spacing w:before="60" w:after="60" w:line="240" w:lineRule="auto"/>
              <w:rPr>
                <w:rFonts w:cs="Times New Roman"/>
              </w:rPr>
            </w:pPr>
            <w:r w:rsidRPr="00B937BB">
              <w:rPr>
                <w:rFonts w:cs="Times New Roman"/>
              </w:rPr>
              <w:t>- displaced mood</w:t>
            </w:r>
          </w:p>
        </w:tc>
        <w:tc>
          <w:tcPr>
            <w:tcW w:w="1051" w:type="pct"/>
          </w:tcPr>
          <w:p w14:paraId="6995CDED" w14:textId="77777777" w:rsidR="006512C4" w:rsidRPr="00B937BB" w:rsidRDefault="006512C4" w:rsidP="0097588B">
            <w:pPr>
              <w:spacing w:before="60" w:after="60" w:line="240" w:lineRule="auto"/>
              <w:rPr>
                <w:rFonts w:cs="Times New Roman"/>
              </w:rPr>
            </w:pPr>
            <w:r w:rsidRPr="00B937BB">
              <w:rPr>
                <w:rFonts w:cs="Times New Roman"/>
              </w:rPr>
              <w:t>literary</w:t>
            </w:r>
          </w:p>
        </w:tc>
      </w:tr>
    </w:tbl>
    <w:p w14:paraId="1BFD618F" w14:textId="77777777" w:rsidR="006512C4" w:rsidRDefault="006512C4" w:rsidP="00695A7C">
      <w:pPr>
        <w:spacing w:line="360" w:lineRule="auto"/>
        <w:ind w:left="720"/>
        <w:rPr>
          <w:szCs w:val="24"/>
          <w:lang w:val="en-US"/>
        </w:rPr>
      </w:pPr>
    </w:p>
    <w:p w14:paraId="7452C699" w14:textId="4F3C8CBA" w:rsidR="006512C4" w:rsidRPr="00FF2BA2" w:rsidRDefault="00EB0BB8" w:rsidP="0097588B">
      <w:pPr>
        <w:widowControl w:val="0"/>
        <w:numPr>
          <w:ilvl w:val="0"/>
          <w:numId w:val="184"/>
        </w:numPr>
        <w:tabs>
          <w:tab w:val="left" w:pos="720"/>
        </w:tabs>
        <w:spacing w:after="120"/>
        <w:ind w:left="714" w:hanging="357"/>
        <w:rPr>
          <w:szCs w:val="24"/>
          <w:lang w:val="en-US"/>
        </w:rPr>
      </w:pPr>
      <w:r>
        <w:rPr>
          <w:lang w:val="en-US"/>
        </w:rPr>
        <w:t>Callimachus</w:t>
      </w:r>
      <w:r w:rsidR="00075F5F">
        <w:rPr>
          <w:lang w:val="en-US"/>
        </w:rPr>
        <w:t>’</w:t>
      </w:r>
      <w:r>
        <w:rPr>
          <w:lang w:val="en-US"/>
        </w:rPr>
        <w:t xml:space="preserve"> </w:t>
      </w:r>
      <w:r>
        <w:rPr>
          <w:i/>
          <w:iCs/>
          <w:lang w:val="en-US"/>
        </w:rPr>
        <w:t>iambi</w:t>
      </w:r>
      <w:r>
        <w:rPr>
          <w:lang w:val="en-US"/>
        </w:rPr>
        <w:t xml:space="preserve"> are narratives, and the most immediate impression is that the audience is listening to fictional accounts: the poet is a narrator who likes storytelling.</w:t>
      </w:r>
    </w:p>
    <w:tbl>
      <w:tblPr>
        <w:tblStyle w:val="TableGrid"/>
        <w:tblW w:w="4519" w:type="pct"/>
        <w:tblInd w:w="817" w:type="dxa"/>
        <w:tblLook w:val="04A0" w:firstRow="1" w:lastRow="0" w:firstColumn="1" w:lastColumn="0" w:noHBand="0" w:noVBand="1"/>
      </w:tblPr>
      <w:tblGrid>
        <w:gridCol w:w="1197"/>
        <w:gridCol w:w="2498"/>
        <w:gridCol w:w="3007"/>
        <w:gridCol w:w="1324"/>
      </w:tblGrid>
      <w:tr w:rsidR="006512C4" w14:paraId="1F04306E" w14:textId="77777777" w:rsidTr="006512C4">
        <w:tc>
          <w:tcPr>
            <w:tcW w:w="746" w:type="pct"/>
          </w:tcPr>
          <w:p w14:paraId="476ECC04" w14:textId="77777777" w:rsidR="006512C4" w:rsidRPr="000837D9" w:rsidRDefault="006512C4" w:rsidP="00FF2BA2">
            <w:pPr>
              <w:spacing w:before="60" w:after="60" w:line="240" w:lineRule="auto"/>
              <w:rPr>
                <w:rFonts w:cs="Times New Roman"/>
              </w:rPr>
            </w:pPr>
            <w:r w:rsidRPr="000837D9">
              <w:rPr>
                <w:rFonts w:cs="Times New Roman"/>
              </w:rPr>
              <w:t>Tense</w:t>
            </w:r>
          </w:p>
        </w:tc>
        <w:tc>
          <w:tcPr>
            <w:tcW w:w="1556" w:type="pct"/>
          </w:tcPr>
          <w:p w14:paraId="00959118" w14:textId="77777777" w:rsidR="006512C4" w:rsidRPr="000837D9" w:rsidRDefault="006512C4" w:rsidP="00754F18">
            <w:pPr>
              <w:spacing w:before="60" w:after="60" w:line="240" w:lineRule="auto"/>
              <w:rPr>
                <w:rFonts w:cs="Times New Roman"/>
              </w:rPr>
            </w:pPr>
            <w:r w:rsidRPr="000837D9">
              <w:rPr>
                <w:rFonts w:cs="Times New Roman"/>
              </w:rPr>
              <w:t>Deixis</w:t>
            </w:r>
          </w:p>
        </w:tc>
        <w:tc>
          <w:tcPr>
            <w:tcW w:w="1873" w:type="pct"/>
          </w:tcPr>
          <w:p w14:paraId="04EBFED1" w14:textId="77777777" w:rsidR="006512C4" w:rsidRPr="000837D9" w:rsidRDefault="006512C4" w:rsidP="0097588B">
            <w:pPr>
              <w:spacing w:before="60" w:after="60" w:line="240" w:lineRule="auto"/>
              <w:rPr>
                <w:rFonts w:cs="Times New Roman"/>
              </w:rPr>
            </w:pPr>
            <w:r w:rsidRPr="000837D9">
              <w:rPr>
                <w:rFonts w:cs="Times New Roman"/>
              </w:rPr>
              <w:t>Perspective</w:t>
            </w:r>
          </w:p>
        </w:tc>
        <w:tc>
          <w:tcPr>
            <w:tcW w:w="825" w:type="pct"/>
          </w:tcPr>
          <w:p w14:paraId="6C9B5B23" w14:textId="77777777" w:rsidR="006512C4" w:rsidRPr="000837D9" w:rsidRDefault="006512C4" w:rsidP="0097588B">
            <w:pPr>
              <w:spacing w:before="60" w:after="60" w:line="240" w:lineRule="auto"/>
              <w:rPr>
                <w:rFonts w:cs="Times New Roman"/>
              </w:rPr>
            </w:pPr>
            <w:r w:rsidRPr="000837D9">
              <w:rPr>
                <w:rFonts w:cs="Times New Roman"/>
              </w:rPr>
              <w:t>Narrative</w:t>
            </w:r>
          </w:p>
        </w:tc>
      </w:tr>
      <w:tr w:rsidR="006512C4" w14:paraId="17901E77" w14:textId="77777777" w:rsidTr="006512C4">
        <w:tc>
          <w:tcPr>
            <w:tcW w:w="746" w:type="pct"/>
          </w:tcPr>
          <w:p w14:paraId="7EC2B6F6" w14:textId="77777777" w:rsidR="006512C4" w:rsidRPr="000837D9" w:rsidRDefault="006512C4" w:rsidP="00FF2BA2">
            <w:pPr>
              <w:spacing w:before="60" w:after="60" w:line="240" w:lineRule="auto"/>
              <w:rPr>
                <w:rFonts w:cs="Times New Roman"/>
              </w:rPr>
            </w:pPr>
            <w:r w:rsidRPr="000837D9">
              <w:rPr>
                <w:rFonts w:cs="Times New Roman"/>
              </w:rPr>
              <w:t xml:space="preserve">Present </w:t>
            </w:r>
          </w:p>
        </w:tc>
        <w:tc>
          <w:tcPr>
            <w:tcW w:w="1556" w:type="pct"/>
          </w:tcPr>
          <w:p w14:paraId="0EF1F4C1" w14:textId="77777777" w:rsidR="006512C4" w:rsidRPr="000837D9" w:rsidRDefault="006512C4" w:rsidP="00754F18">
            <w:pPr>
              <w:spacing w:before="60" w:after="60" w:line="240" w:lineRule="auto"/>
              <w:rPr>
                <w:rFonts w:cs="Times New Roman"/>
                <w:i/>
              </w:rPr>
            </w:pPr>
            <w:r w:rsidRPr="000837D9">
              <w:rPr>
                <w:rFonts w:cs="Times New Roman"/>
                <w:i/>
              </w:rPr>
              <w:t>Deixis am Phantasma</w:t>
            </w:r>
          </w:p>
        </w:tc>
        <w:tc>
          <w:tcPr>
            <w:tcW w:w="1873" w:type="pct"/>
          </w:tcPr>
          <w:p w14:paraId="73474D7A" w14:textId="77777777" w:rsidR="006512C4" w:rsidRPr="000837D9" w:rsidRDefault="006512C4" w:rsidP="0097588B">
            <w:pPr>
              <w:spacing w:before="60" w:after="60" w:line="240" w:lineRule="auto"/>
              <w:rPr>
                <w:rFonts w:cs="Times New Roman"/>
              </w:rPr>
            </w:pPr>
            <w:r w:rsidRPr="000837D9">
              <w:rPr>
                <w:rFonts w:cs="Times New Roman"/>
              </w:rPr>
              <w:t>- discourse of the knower</w:t>
            </w:r>
          </w:p>
          <w:p w14:paraId="32A6B327" w14:textId="12CB8163" w:rsidR="006512C4" w:rsidRPr="000837D9" w:rsidRDefault="006512C4" w:rsidP="0097588B">
            <w:pPr>
              <w:spacing w:before="60" w:after="60" w:line="240" w:lineRule="auto"/>
              <w:rPr>
                <w:rFonts w:cs="Times New Roman"/>
              </w:rPr>
            </w:pPr>
            <w:r w:rsidRPr="000837D9">
              <w:rPr>
                <w:rFonts w:cs="Times New Roman"/>
              </w:rPr>
              <w:t>- displaced mood</w:t>
            </w:r>
          </w:p>
        </w:tc>
        <w:tc>
          <w:tcPr>
            <w:tcW w:w="825" w:type="pct"/>
          </w:tcPr>
          <w:p w14:paraId="4033A00E" w14:textId="77777777" w:rsidR="006512C4" w:rsidRPr="000837D9" w:rsidRDefault="006512C4" w:rsidP="0097588B">
            <w:pPr>
              <w:spacing w:before="60" w:after="60" w:line="240" w:lineRule="auto"/>
              <w:rPr>
                <w:rFonts w:cs="Times New Roman"/>
              </w:rPr>
            </w:pPr>
            <w:r w:rsidRPr="000837D9">
              <w:rPr>
                <w:rFonts w:cs="Times New Roman"/>
              </w:rPr>
              <w:t>literary</w:t>
            </w:r>
          </w:p>
        </w:tc>
      </w:tr>
      <w:tr w:rsidR="006512C4" w14:paraId="13DC4B9D" w14:textId="77777777" w:rsidTr="006512C4">
        <w:tc>
          <w:tcPr>
            <w:tcW w:w="746" w:type="pct"/>
            <w:vMerge w:val="restart"/>
          </w:tcPr>
          <w:p w14:paraId="0EED8BDB" w14:textId="77777777" w:rsidR="006512C4" w:rsidRPr="000837D9" w:rsidRDefault="006512C4" w:rsidP="00FF2BA2">
            <w:pPr>
              <w:spacing w:before="60" w:after="60" w:line="240" w:lineRule="auto"/>
              <w:rPr>
                <w:rFonts w:cs="Times New Roman"/>
              </w:rPr>
            </w:pPr>
            <w:r w:rsidRPr="000837D9">
              <w:rPr>
                <w:rFonts w:cs="Times New Roman"/>
              </w:rPr>
              <w:t>Aorist</w:t>
            </w:r>
          </w:p>
          <w:p w14:paraId="4A1B151E" w14:textId="77777777" w:rsidR="006512C4" w:rsidRPr="000837D9" w:rsidRDefault="006512C4" w:rsidP="00754F18">
            <w:pPr>
              <w:spacing w:before="60" w:after="60" w:line="240" w:lineRule="auto"/>
              <w:rPr>
                <w:rFonts w:cs="Times New Roman"/>
              </w:rPr>
            </w:pPr>
            <w:r w:rsidRPr="000837D9">
              <w:rPr>
                <w:rFonts w:cs="Times New Roman"/>
              </w:rPr>
              <w:t>Imperfect</w:t>
            </w:r>
          </w:p>
        </w:tc>
        <w:tc>
          <w:tcPr>
            <w:tcW w:w="1556" w:type="pct"/>
          </w:tcPr>
          <w:p w14:paraId="0C060175" w14:textId="77777777" w:rsidR="006512C4" w:rsidRPr="000837D9" w:rsidRDefault="006512C4" w:rsidP="0097588B">
            <w:pPr>
              <w:spacing w:before="60" w:after="60" w:line="240" w:lineRule="auto"/>
              <w:rPr>
                <w:rFonts w:cs="Times New Roman"/>
                <w:i/>
              </w:rPr>
            </w:pPr>
            <w:r w:rsidRPr="000837D9">
              <w:rPr>
                <w:rFonts w:cs="Times New Roman"/>
                <w:i/>
              </w:rPr>
              <w:t>Anaphora</w:t>
            </w:r>
          </w:p>
          <w:p w14:paraId="5D72AC03" w14:textId="77777777" w:rsidR="006512C4" w:rsidRPr="000837D9" w:rsidRDefault="006512C4" w:rsidP="0097588B">
            <w:pPr>
              <w:spacing w:before="60" w:after="60" w:line="240" w:lineRule="auto"/>
              <w:rPr>
                <w:rFonts w:cs="Times New Roman"/>
              </w:rPr>
            </w:pPr>
          </w:p>
        </w:tc>
        <w:tc>
          <w:tcPr>
            <w:tcW w:w="1873" w:type="pct"/>
          </w:tcPr>
          <w:p w14:paraId="133DC602" w14:textId="77777777" w:rsidR="006512C4" w:rsidRPr="000837D9" w:rsidRDefault="006512C4" w:rsidP="0097588B">
            <w:pPr>
              <w:spacing w:before="60" w:after="60" w:line="240" w:lineRule="auto"/>
              <w:rPr>
                <w:rFonts w:cs="Times New Roman"/>
              </w:rPr>
            </w:pPr>
            <w:r w:rsidRPr="000837D9">
              <w:rPr>
                <w:rFonts w:cs="Times New Roman"/>
              </w:rPr>
              <w:t>- discourse of the knower</w:t>
            </w:r>
          </w:p>
          <w:p w14:paraId="5186E401" w14:textId="719D2004" w:rsidR="006512C4" w:rsidRPr="000837D9" w:rsidRDefault="006512C4" w:rsidP="0097588B">
            <w:pPr>
              <w:spacing w:before="60" w:after="60" w:line="240" w:lineRule="auto"/>
              <w:rPr>
                <w:rFonts w:cs="Times New Roman"/>
              </w:rPr>
            </w:pPr>
            <w:r w:rsidRPr="000837D9">
              <w:rPr>
                <w:rFonts w:cs="Times New Roman"/>
              </w:rPr>
              <w:t>- displaced mood</w:t>
            </w:r>
          </w:p>
        </w:tc>
        <w:tc>
          <w:tcPr>
            <w:tcW w:w="825" w:type="pct"/>
          </w:tcPr>
          <w:p w14:paraId="3EE5E057" w14:textId="77777777" w:rsidR="006512C4" w:rsidRPr="000837D9" w:rsidRDefault="006512C4" w:rsidP="0097588B">
            <w:pPr>
              <w:spacing w:before="60" w:after="60" w:line="240" w:lineRule="auto"/>
              <w:rPr>
                <w:rFonts w:cs="Times New Roman"/>
              </w:rPr>
            </w:pPr>
            <w:r w:rsidRPr="000837D9">
              <w:rPr>
                <w:rFonts w:cs="Times New Roman"/>
              </w:rPr>
              <w:t>literary</w:t>
            </w:r>
          </w:p>
        </w:tc>
      </w:tr>
      <w:tr w:rsidR="006512C4" w14:paraId="647E8460" w14:textId="77777777" w:rsidTr="006512C4">
        <w:tc>
          <w:tcPr>
            <w:tcW w:w="746" w:type="pct"/>
            <w:vMerge/>
          </w:tcPr>
          <w:p w14:paraId="054D8FFE" w14:textId="77777777" w:rsidR="006512C4" w:rsidRPr="000837D9" w:rsidRDefault="006512C4" w:rsidP="0097588B">
            <w:pPr>
              <w:spacing w:before="60" w:after="60" w:line="240" w:lineRule="auto"/>
              <w:rPr>
                <w:rFonts w:cs="Times New Roman"/>
                <w:sz w:val="20"/>
              </w:rPr>
            </w:pPr>
          </w:p>
        </w:tc>
        <w:tc>
          <w:tcPr>
            <w:tcW w:w="1556" w:type="pct"/>
          </w:tcPr>
          <w:p w14:paraId="0B99C178" w14:textId="77777777" w:rsidR="006512C4" w:rsidRPr="000837D9" w:rsidRDefault="006512C4" w:rsidP="0097588B">
            <w:pPr>
              <w:spacing w:before="60" w:after="60" w:line="240" w:lineRule="auto"/>
              <w:rPr>
                <w:rFonts w:cs="Times New Roman"/>
                <w:i/>
                <w:iCs/>
                <w:color w:val="404040" w:themeColor="text1" w:themeTint="BF"/>
                <w:sz w:val="20"/>
              </w:rPr>
            </w:pPr>
            <w:r w:rsidRPr="000837D9">
              <w:rPr>
                <w:rFonts w:cs="Times New Roman"/>
                <w:i/>
              </w:rPr>
              <w:t>Deixis am Phantasma</w:t>
            </w:r>
          </w:p>
        </w:tc>
        <w:tc>
          <w:tcPr>
            <w:tcW w:w="1873" w:type="pct"/>
          </w:tcPr>
          <w:p w14:paraId="249FC2EE" w14:textId="77777777" w:rsidR="006512C4" w:rsidRPr="000837D9" w:rsidRDefault="006512C4" w:rsidP="0097588B">
            <w:pPr>
              <w:spacing w:before="60" w:after="60" w:line="240" w:lineRule="auto"/>
              <w:rPr>
                <w:rFonts w:cs="Times New Roman"/>
                <w:i/>
                <w:iCs/>
                <w:color w:val="404040" w:themeColor="text1" w:themeTint="BF"/>
                <w:sz w:val="20"/>
              </w:rPr>
            </w:pPr>
            <w:r w:rsidRPr="000837D9">
              <w:rPr>
                <w:rFonts w:cs="Times New Roman"/>
              </w:rPr>
              <w:t>- discourse of the observer</w:t>
            </w:r>
          </w:p>
          <w:p w14:paraId="1ED49A59" w14:textId="0282DE77" w:rsidR="006512C4" w:rsidRPr="000837D9" w:rsidRDefault="006512C4" w:rsidP="0097588B">
            <w:pPr>
              <w:spacing w:before="60" w:after="60" w:line="240" w:lineRule="auto"/>
              <w:rPr>
                <w:rFonts w:cs="Times New Roman"/>
                <w:i/>
                <w:iCs/>
                <w:color w:val="404040" w:themeColor="text1" w:themeTint="BF"/>
                <w:sz w:val="20"/>
              </w:rPr>
            </w:pPr>
            <w:r w:rsidRPr="000837D9">
              <w:rPr>
                <w:rFonts w:cs="Times New Roman"/>
              </w:rPr>
              <w:t>- displaced mood</w:t>
            </w:r>
          </w:p>
        </w:tc>
        <w:tc>
          <w:tcPr>
            <w:tcW w:w="825" w:type="pct"/>
          </w:tcPr>
          <w:p w14:paraId="5D320F36" w14:textId="77777777" w:rsidR="006512C4" w:rsidRPr="000837D9" w:rsidRDefault="006512C4" w:rsidP="0097588B">
            <w:pPr>
              <w:spacing w:before="60" w:after="60" w:line="240" w:lineRule="auto"/>
              <w:rPr>
                <w:rFonts w:cs="Times New Roman"/>
                <w:i/>
                <w:iCs/>
                <w:color w:val="404040" w:themeColor="text1" w:themeTint="BF"/>
                <w:sz w:val="20"/>
              </w:rPr>
            </w:pPr>
            <w:r w:rsidRPr="000837D9">
              <w:rPr>
                <w:rFonts w:cs="Times New Roman"/>
              </w:rPr>
              <w:t>literary</w:t>
            </w:r>
          </w:p>
        </w:tc>
      </w:tr>
    </w:tbl>
    <w:p w14:paraId="4AB30329" w14:textId="77777777" w:rsidR="006512C4" w:rsidRDefault="006512C4" w:rsidP="00695A7C">
      <w:pPr>
        <w:spacing w:line="360" w:lineRule="auto"/>
        <w:rPr>
          <w:szCs w:val="24"/>
          <w:lang w:val="en-US"/>
        </w:rPr>
      </w:pPr>
    </w:p>
    <w:p w14:paraId="508D1043" w14:textId="3B716BA8" w:rsidR="006512C4" w:rsidRPr="00B63B5D" w:rsidRDefault="00EB0BB8" w:rsidP="00FF2BA2">
      <w:pPr>
        <w:rPr>
          <w:lang w:val="en-US"/>
        </w:rPr>
      </w:pPr>
      <w:r>
        <w:rPr>
          <w:lang w:val="en-US"/>
        </w:rPr>
        <w:t xml:space="preserve">In the following section, I will produce evidence for each iambographer which corroborates what I have just argued above. I will show in detail how they use verbal tenses in the different contexts created within their narratives, since I think that a case by case evaluation gives a more accurate analysis and a better understanding of the implications of verbal tenses in Greek iambic texts. </w:t>
      </w:r>
    </w:p>
    <w:p w14:paraId="50C9AA94" w14:textId="77777777" w:rsidR="00975FE0" w:rsidRDefault="00975FE0">
      <w:pPr>
        <w:spacing w:line="240" w:lineRule="auto"/>
        <w:jc w:val="left"/>
        <w:rPr>
          <w:i/>
          <w:szCs w:val="24"/>
          <w:highlight w:val="yellow"/>
          <w:lang w:val="en-US"/>
        </w:rPr>
      </w:pPr>
      <w:r>
        <w:rPr>
          <w:i/>
          <w:szCs w:val="24"/>
          <w:highlight w:val="yellow"/>
          <w:lang w:val="en-US"/>
        </w:rPr>
        <w:br w:type="page"/>
      </w:r>
    </w:p>
    <w:p w14:paraId="6B1AA978" w14:textId="414DD67E" w:rsidR="006512C4" w:rsidRPr="00975FE0" w:rsidRDefault="006512C4" w:rsidP="00975FE0">
      <w:pPr>
        <w:rPr>
          <w:i/>
        </w:rPr>
      </w:pPr>
      <w:r w:rsidRPr="00975FE0">
        <w:rPr>
          <w:i/>
        </w:rPr>
        <w:lastRenderedPageBreak/>
        <w:t>Archilochus</w:t>
      </w:r>
    </w:p>
    <w:p w14:paraId="508CF930" w14:textId="47D1A60D" w:rsidR="00754F18" w:rsidRDefault="00EB0BB8" w:rsidP="00754F18">
      <w:r>
        <w:rPr>
          <w:lang w:val="en-US"/>
        </w:rPr>
        <w:t>Archilochus</w:t>
      </w:r>
      <w:r w:rsidR="00075F5F">
        <w:rPr>
          <w:lang w:val="en-US"/>
        </w:rPr>
        <w:t>’</w:t>
      </w:r>
      <w:r>
        <w:rPr>
          <w:lang w:val="en-US"/>
        </w:rPr>
        <w:t xml:space="preserve"> fragments include many present stem verbs, especially in the present tense but also in the imperfect. I argue that this is because the main purpose of Archilochus</w:t>
      </w:r>
      <w:r w:rsidR="00075F5F">
        <w:rPr>
          <w:lang w:val="en-US"/>
        </w:rPr>
        <w:t>’</w:t>
      </w:r>
      <w:r>
        <w:rPr>
          <w:lang w:val="en-US"/>
        </w:rPr>
        <w:t xml:space="preserve"> fragments is to inform the audience about certain truths or about the author</w:t>
      </w:r>
      <w:r w:rsidR="00075F5F">
        <w:rPr>
          <w:lang w:val="en-US"/>
        </w:rPr>
        <w:t>’</w:t>
      </w:r>
      <w:r>
        <w:rPr>
          <w:lang w:val="en-US"/>
        </w:rPr>
        <w:t>s opinions. Archilochus</w:t>
      </w:r>
      <w:r w:rsidR="00075F5F">
        <w:rPr>
          <w:lang w:val="en-US"/>
        </w:rPr>
        <w:t>’</w:t>
      </w:r>
      <w:r>
        <w:rPr>
          <w:lang w:val="en-US"/>
        </w:rPr>
        <w:t xml:space="preserve"> poetry often assumes features of the </w:t>
      </w:r>
      <w:r w:rsidR="00CC0615">
        <w:rPr>
          <w:lang w:val="en-US"/>
        </w:rPr>
        <w:t>“</w:t>
      </w:r>
      <w:r>
        <w:rPr>
          <w:lang w:val="en-US"/>
        </w:rPr>
        <w:t>discourse of the knower</w:t>
      </w:r>
      <w:r w:rsidR="00CC0615">
        <w:rPr>
          <w:lang w:val="en-US"/>
        </w:rPr>
        <w:t>”</w:t>
      </w:r>
      <w:r>
        <w:rPr>
          <w:lang w:val="en-US"/>
        </w:rPr>
        <w:t xml:space="preserve"> (here, the poet), who wishes to give his audience a lesson about life. To accomplish this, Archilochus speaks in the present when delivering statements that are always valid and true, as in Archil. fr. 54.14-15: </w:t>
      </w:r>
    </w:p>
    <w:p w14:paraId="2D09DC26" w14:textId="77777777" w:rsidR="006512C4" w:rsidRDefault="006512C4" w:rsidP="0097588B"/>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3ECDFA43" w14:textId="77777777" w:rsidTr="00890EB4">
        <w:tc>
          <w:tcPr>
            <w:tcW w:w="4258" w:type="dxa"/>
          </w:tcPr>
          <w:p w14:paraId="078E84A1" w14:textId="77777777" w:rsidR="006512C4" w:rsidRPr="00D630EB" w:rsidRDefault="006512C4" w:rsidP="00975FE0">
            <w:pPr>
              <w:pStyle w:val="Blockquote"/>
              <w:rPr>
                <w:sz w:val="22"/>
                <w:szCs w:val="22"/>
              </w:rPr>
            </w:pPr>
            <w:r w:rsidRPr="00D630EB">
              <w:rPr>
                <w:sz w:val="22"/>
                <w:szCs w:val="22"/>
              </w:rPr>
              <w:t xml:space="preserve">ἐπίστα̣μαί τοι τὸν φιλέον̣τα μὲν φιλ̣εῖν̣, </w:t>
            </w:r>
          </w:p>
          <w:p w14:paraId="0182C858" w14:textId="28208299" w:rsidR="006512C4" w:rsidRPr="00D630EB" w:rsidRDefault="006512C4" w:rsidP="00975FE0">
            <w:pPr>
              <w:pStyle w:val="Blockquote"/>
              <w:rPr>
                <w:sz w:val="22"/>
                <w:szCs w:val="22"/>
              </w:rPr>
            </w:pPr>
            <w:r w:rsidRPr="00D630EB">
              <w:rPr>
                <w:sz w:val="22"/>
                <w:szCs w:val="22"/>
              </w:rPr>
              <w:t>τὸν̣ δ̣</w:t>
            </w:r>
            <w:r w:rsidR="00075F5F">
              <w:rPr>
                <w:sz w:val="22"/>
                <w:szCs w:val="22"/>
              </w:rPr>
              <w:t>’</w:t>
            </w:r>
            <w:r w:rsidRPr="00D630EB">
              <w:rPr>
                <w:sz w:val="22"/>
                <w:szCs w:val="22"/>
              </w:rPr>
              <w:t xml:space="preserve"> ἐχθρὸν ἐχθ̣αί̣ρ̣ειν̣ τ̣ε̣ καὶ κακο̣</w:t>
            </w:r>
          </w:p>
        </w:tc>
        <w:tc>
          <w:tcPr>
            <w:tcW w:w="3680" w:type="dxa"/>
          </w:tcPr>
          <w:p w14:paraId="114C7FC2" w14:textId="77777777" w:rsidR="006512C4" w:rsidRPr="00D630EB" w:rsidRDefault="006512C4" w:rsidP="00975FE0">
            <w:pPr>
              <w:pStyle w:val="Blockquote"/>
              <w:rPr>
                <w:sz w:val="22"/>
                <w:szCs w:val="22"/>
              </w:rPr>
            </w:pPr>
            <w:r w:rsidRPr="00D630EB">
              <w:rPr>
                <w:sz w:val="22"/>
                <w:szCs w:val="22"/>
              </w:rPr>
              <w:t>Indeed I know how to replay love with love and hatred with hate and…</w:t>
            </w:r>
          </w:p>
        </w:tc>
      </w:tr>
    </w:tbl>
    <w:p w14:paraId="7F06B7F0" w14:textId="77777777" w:rsidR="006512C4" w:rsidRDefault="006512C4" w:rsidP="00975FE0">
      <w:pPr>
        <w:pStyle w:val="Blockquote"/>
      </w:pPr>
    </w:p>
    <w:p w14:paraId="4EA5BCED" w14:textId="77777777" w:rsidR="00EB0BB8" w:rsidRDefault="00EB0BB8" w:rsidP="00A1447B">
      <w:pPr>
        <w:rPr>
          <w:lang w:val="en-US"/>
        </w:rPr>
      </w:pPr>
      <w:r>
        <w:rPr>
          <w:lang w:val="en-US"/>
        </w:rPr>
        <w:t xml:space="preserve">Here, the poet is affirming a model of behaviour that is valid for all intents and purposes. </w:t>
      </w:r>
    </w:p>
    <w:p w14:paraId="10D38637" w14:textId="362B83BD" w:rsidR="00754F18" w:rsidRDefault="00EB0BB8" w:rsidP="0097588B">
      <w:pPr>
        <w:ind w:firstLine="425"/>
        <w:rPr>
          <w:szCs w:val="24"/>
        </w:rPr>
      </w:pPr>
      <w:r>
        <w:rPr>
          <w:lang w:val="en-US"/>
        </w:rPr>
        <w:t xml:space="preserve">Furthermore, in affirming a common truth – not just a personal statement but a shared cultural belief – he also favours the present stem, as in Archil. fr. 174.1-3: </w:t>
      </w:r>
    </w:p>
    <w:p w14:paraId="24314C36" w14:textId="77777777" w:rsidR="006512C4" w:rsidRDefault="006512C4" w:rsidP="0097588B">
      <w:pPr>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5FA18F4D" w14:textId="77777777" w:rsidTr="00890EB4">
        <w:tc>
          <w:tcPr>
            <w:tcW w:w="4258" w:type="dxa"/>
          </w:tcPr>
          <w:p w14:paraId="34C8B15B" w14:textId="77777777" w:rsidR="006512C4" w:rsidRPr="00D630EB" w:rsidRDefault="006512C4" w:rsidP="009F617D">
            <w:pPr>
              <w:pStyle w:val="Blockquote"/>
              <w:rPr>
                <w:sz w:val="22"/>
                <w:szCs w:val="22"/>
              </w:rPr>
            </w:pPr>
            <w:r w:rsidRPr="00D630EB">
              <w:rPr>
                <w:sz w:val="22"/>
                <w:szCs w:val="22"/>
              </w:rPr>
              <w:t xml:space="preserve">ὦ Ζεῦ, πάτερ Ζεῦ, σὸν μὲν οὐρανοῦ κράτος, </w:t>
            </w:r>
          </w:p>
          <w:p w14:paraId="1248C4CE" w14:textId="5070DC6D" w:rsidR="006512C4" w:rsidRPr="00D630EB" w:rsidRDefault="006512C4" w:rsidP="009F617D">
            <w:pPr>
              <w:pStyle w:val="Blockquote"/>
              <w:rPr>
                <w:sz w:val="22"/>
                <w:szCs w:val="22"/>
              </w:rPr>
            </w:pPr>
            <w:r w:rsidRPr="00D630EB">
              <w:rPr>
                <w:sz w:val="22"/>
                <w:szCs w:val="22"/>
              </w:rPr>
              <w:t xml:space="preserve">  σὺ δ</w:t>
            </w:r>
            <w:r w:rsidR="00075F5F">
              <w:rPr>
                <w:sz w:val="22"/>
                <w:szCs w:val="22"/>
              </w:rPr>
              <w:t>’</w:t>
            </w:r>
            <w:r w:rsidRPr="00D630EB">
              <w:rPr>
                <w:sz w:val="22"/>
                <w:szCs w:val="22"/>
              </w:rPr>
              <w:t xml:space="preserve"> ἔργ</w:t>
            </w:r>
            <w:r w:rsidR="00075F5F">
              <w:rPr>
                <w:sz w:val="22"/>
                <w:szCs w:val="22"/>
              </w:rPr>
              <w:t>’</w:t>
            </w:r>
            <w:r w:rsidRPr="00D630EB">
              <w:rPr>
                <w:sz w:val="22"/>
                <w:szCs w:val="22"/>
              </w:rPr>
              <w:t xml:space="preserve"> ἐπ</w:t>
            </w:r>
            <w:r w:rsidR="00075F5F">
              <w:rPr>
                <w:sz w:val="22"/>
                <w:szCs w:val="22"/>
              </w:rPr>
              <w:t>’</w:t>
            </w:r>
            <w:r w:rsidRPr="00D630EB">
              <w:rPr>
                <w:sz w:val="22"/>
                <w:szCs w:val="22"/>
              </w:rPr>
              <w:t xml:space="preserve"> ἀνθρώπων ὁρᾶις  </w:t>
            </w:r>
          </w:p>
          <w:p w14:paraId="0CB2D706" w14:textId="77777777" w:rsidR="006512C4" w:rsidRPr="00D630EB" w:rsidRDefault="006512C4" w:rsidP="009F617D">
            <w:pPr>
              <w:pStyle w:val="Blockquote"/>
              <w:rPr>
                <w:sz w:val="22"/>
                <w:szCs w:val="22"/>
              </w:rPr>
            </w:pPr>
            <w:r w:rsidRPr="00D630EB">
              <w:rPr>
                <w:sz w:val="22"/>
                <w:szCs w:val="22"/>
              </w:rPr>
              <w:t>λεωργὰ καὶ θεμιστά</w:t>
            </w:r>
          </w:p>
        </w:tc>
        <w:tc>
          <w:tcPr>
            <w:tcW w:w="3680" w:type="dxa"/>
          </w:tcPr>
          <w:p w14:paraId="43EFBFE5" w14:textId="66F9FD88" w:rsidR="006512C4" w:rsidRPr="00D630EB" w:rsidRDefault="006512C4" w:rsidP="009F617D">
            <w:pPr>
              <w:pStyle w:val="Blockquote"/>
              <w:rPr>
                <w:sz w:val="22"/>
                <w:szCs w:val="22"/>
              </w:rPr>
            </w:pPr>
            <w:r w:rsidRPr="00D630EB">
              <w:rPr>
                <w:sz w:val="22"/>
                <w:szCs w:val="22"/>
              </w:rPr>
              <w:t>Zeus, father Zeus, yours is the rule in the heaven, you oversee men</w:t>
            </w:r>
            <w:r w:rsidR="00075F5F">
              <w:rPr>
                <w:sz w:val="22"/>
                <w:szCs w:val="22"/>
              </w:rPr>
              <w:t>’</w:t>
            </w:r>
            <w:r w:rsidRPr="00D630EB">
              <w:rPr>
                <w:sz w:val="22"/>
                <w:szCs w:val="22"/>
              </w:rPr>
              <w:t>s deeds, wicked and lawful</w:t>
            </w:r>
          </w:p>
        </w:tc>
      </w:tr>
    </w:tbl>
    <w:p w14:paraId="54037861" w14:textId="77777777" w:rsidR="006512C4" w:rsidRDefault="006512C4" w:rsidP="009F617D">
      <w:pPr>
        <w:pStyle w:val="Blockquote"/>
      </w:pPr>
    </w:p>
    <w:p w14:paraId="33CCD07E" w14:textId="4C0B5D55" w:rsidR="00EB0BB8" w:rsidRDefault="00EB0BB8" w:rsidP="00A1447B">
      <w:pPr>
        <w:rPr>
          <w:lang w:val="en-US"/>
        </w:rPr>
      </w:pPr>
      <w:r>
        <w:rPr>
          <w:lang w:val="en-US"/>
        </w:rPr>
        <w:t>As the power of Zeus is timeless, we might also expect an aorist here, as in the prayers of Hipponax or Callimachus. In this case, the aorist would assert and perform Zeus</w:t>
      </w:r>
      <w:r w:rsidR="00075F5F">
        <w:rPr>
          <w:lang w:val="en-US"/>
        </w:rPr>
        <w:t>’</w:t>
      </w:r>
      <w:r>
        <w:rPr>
          <w:lang w:val="en-US"/>
        </w:rPr>
        <w:t xml:space="preserve"> power now, locating that particular present in the infinite series of presents in which it is appropriate for a human to assert Zeus</w:t>
      </w:r>
      <w:r w:rsidR="00075F5F">
        <w:rPr>
          <w:lang w:val="en-US"/>
        </w:rPr>
        <w:t>’</w:t>
      </w:r>
      <w:r>
        <w:rPr>
          <w:lang w:val="en-US"/>
        </w:rPr>
        <w:t xml:space="preserve"> power. But Archilochus</w:t>
      </w:r>
      <w:r w:rsidR="00075F5F">
        <w:rPr>
          <w:lang w:val="en-US"/>
        </w:rPr>
        <w:t>’</w:t>
      </w:r>
      <w:r>
        <w:rPr>
          <w:lang w:val="en-US"/>
        </w:rPr>
        <w:t xml:space="preserve"> main purpose is not the performance but the information. He is not hymning the power of Zeus, but he is </w:t>
      </w:r>
      <w:r w:rsidRPr="009877AA">
        <w:rPr>
          <w:i/>
          <w:iCs/>
          <w:lang w:val="en-US"/>
        </w:rPr>
        <w:t>affirming</w:t>
      </w:r>
      <w:r>
        <w:rPr>
          <w:lang w:val="en-US"/>
        </w:rPr>
        <w:t xml:space="preserve"> it. The present tense does precisely this by establishing a state of affairs that is so now and that will never change. </w:t>
      </w:r>
    </w:p>
    <w:p w14:paraId="34D3A469" w14:textId="3E69C54C" w:rsidR="00754F18" w:rsidRPr="0081232B" w:rsidRDefault="00EB0BB8" w:rsidP="0097588B">
      <w:pPr>
        <w:ind w:firstLine="425"/>
        <w:rPr>
          <w:szCs w:val="24"/>
        </w:rPr>
      </w:pPr>
      <w:r>
        <w:rPr>
          <w:lang w:val="en-US"/>
        </w:rPr>
        <w:t xml:space="preserve">When the statement expresses knowledge that Archilochus and his audience already possess, the poet uses the imperfect, as in Archil. fr. 29: </w:t>
      </w:r>
    </w:p>
    <w:p w14:paraId="290CC881" w14:textId="77777777" w:rsidR="006512C4" w:rsidRDefault="006512C4" w:rsidP="0097588B">
      <w:pPr>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52C518E6" w14:textId="77777777" w:rsidTr="00890EB4">
        <w:tc>
          <w:tcPr>
            <w:tcW w:w="4258" w:type="dxa"/>
          </w:tcPr>
          <w:p w14:paraId="596F1A04" w14:textId="77777777" w:rsidR="006512C4" w:rsidRPr="00D630EB" w:rsidRDefault="006512C4" w:rsidP="009F617D">
            <w:pPr>
              <w:pStyle w:val="Blockquote"/>
              <w:rPr>
                <w:sz w:val="22"/>
                <w:szCs w:val="22"/>
              </w:rPr>
            </w:pPr>
            <w:r w:rsidRPr="00D630EB">
              <w:rPr>
                <w:sz w:val="22"/>
                <w:szCs w:val="22"/>
              </w:rPr>
              <w:t xml:space="preserve">ὥσπερ αὐλῶι βρῦτον ἢ Θρέϊξ ἀνὴρ </w:t>
            </w:r>
          </w:p>
          <w:p w14:paraId="164602AB" w14:textId="77777777" w:rsidR="006512C4" w:rsidRPr="00D630EB" w:rsidRDefault="006512C4" w:rsidP="009F617D">
            <w:pPr>
              <w:pStyle w:val="Blockquote"/>
              <w:rPr>
                <w:sz w:val="22"/>
                <w:szCs w:val="22"/>
              </w:rPr>
            </w:pPr>
            <w:r w:rsidRPr="00D630EB">
              <w:rPr>
                <w:sz w:val="22"/>
                <w:szCs w:val="22"/>
              </w:rPr>
              <w:t>ἢ Φρὺξ ἔ</w:t>
            </w:r>
            <w:r w:rsidRPr="00D630EB">
              <w:rPr>
                <w:sz w:val="22"/>
                <w:szCs w:val="22"/>
                <w:lang w:val="el-GR"/>
              </w:rPr>
              <w:t>βρ</w:t>
            </w:r>
            <w:r w:rsidRPr="00D630EB">
              <w:rPr>
                <w:sz w:val="22"/>
                <w:szCs w:val="22"/>
              </w:rPr>
              <w:t>υζε·</w:t>
            </w:r>
          </w:p>
        </w:tc>
        <w:tc>
          <w:tcPr>
            <w:tcW w:w="3680" w:type="dxa"/>
          </w:tcPr>
          <w:p w14:paraId="16E10D3A" w14:textId="77777777" w:rsidR="006512C4" w:rsidRPr="00D630EB" w:rsidRDefault="006512C4" w:rsidP="009F617D">
            <w:pPr>
              <w:pStyle w:val="Blockquote"/>
              <w:rPr>
                <w:sz w:val="22"/>
                <w:szCs w:val="22"/>
              </w:rPr>
            </w:pPr>
            <w:r w:rsidRPr="00D630EB">
              <w:rPr>
                <w:sz w:val="22"/>
                <w:szCs w:val="22"/>
              </w:rPr>
              <w:t>she was sucking like a Thracian or Phrygian sucking beer through a tube</w:t>
            </w:r>
          </w:p>
        </w:tc>
      </w:tr>
    </w:tbl>
    <w:p w14:paraId="6E591D8C" w14:textId="77777777" w:rsidR="006512C4" w:rsidRDefault="006512C4" w:rsidP="009F617D">
      <w:pPr>
        <w:pStyle w:val="Blockquote"/>
      </w:pPr>
    </w:p>
    <w:p w14:paraId="60CF712E" w14:textId="5F01C473" w:rsidR="00EB0BB8" w:rsidRDefault="00EB0BB8" w:rsidP="00A1447B">
      <w:pPr>
        <w:rPr>
          <w:lang w:val="en-US"/>
        </w:rPr>
      </w:pPr>
      <w:r>
        <w:rPr>
          <w:lang w:val="en-US"/>
        </w:rPr>
        <w:t>Here, the poet is conveying information through a simile of something for which his audience has previous knowledge, as the tendency of Thracian or Phrygian people to binge-drink beer was commonly accepted. Likewise in fr. 32, when Archilochus says κατ</w:t>
      </w:r>
      <w:r w:rsidR="00075F5F">
        <w:rPr>
          <w:lang w:val="en-US"/>
        </w:rPr>
        <w:t>’</w:t>
      </w:r>
      <w:r>
        <w:rPr>
          <w:lang w:val="en-US"/>
        </w:rPr>
        <w:t xml:space="preserve"> οἶκον ἐστρωφᾶτο μισητὸς βάβαξ </w:t>
      </w:r>
      <w:r w:rsidR="00CC0615">
        <w:rPr>
          <w:lang w:val="en-US"/>
        </w:rPr>
        <w:t>“</w:t>
      </w:r>
      <w:r>
        <w:rPr>
          <w:lang w:val="en-US"/>
        </w:rPr>
        <w:t>the loathsome babbler roamed about the house,</w:t>
      </w:r>
      <w:r w:rsidR="00CC0615">
        <w:rPr>
          <w:lang w:val="en-US"/>
        </w:rPr>
        <w:t>”</w:t>
      </w:r>
      <w:r>
        <w:rPr>
          <w:lang w:val="en-US"/>
        </w:rPr>
        <w:t xml:space="preserve"> </w:t>
      </w:r>
      <w:r>
        <w:rPr>
          <w:lang w:val="en-US"/>
        </w:rPr>
        <w:lastRenderedPageBreak/>
        <w:t>he is modifying a Homeric scene to communicate his judgment of a man. The information delivered here is that Archilochus considers this man a babbler. However, his audience already knows the context and circumstance that is described because Archilochus is revisiting a Homeric passage (</w:t>
      </w:r>
      <w:r>
        <w:rPr>
          <w:i/>
          <w:iCs/>
          <w:lang w:val="en-US"/>
        </w:rPr>
        <w:t>Il.</w:t>
      </w:r>
      <w:r>
        <w:rPr>
          <w:lang w:val="en-US"/>
        </w:rPr>
        <w:t xml:space="preserve"> 9. 463): πατρὸς χωομένοιο κατὰ μέγαρα στρωφᾶσθαι </w:t>
      </w:r>
      <w:r w:rsidR="00CC0615">
        <w:rPr>
          <w:lang w:val="en-US"/>
        </w:rPr>
        <w:t>“</w:t>
      </w:r>
      <w:r>
        <w:rPr>
          <w:lang w:val="en-US"/>
        </w:rPr>
        <w:t>to linger in the halls of my angered father.</w:t>
      </w:r>
      <w:r w:rsidR="00CC0615">
        <w:rPr>
          <w:lang w:val="en-US"/>
        </w:rPr>
        <w:t>”</w:t>
      </w:r>
      <w:r>
        <w:rPr>
          <w:lang w:val="en-US"/>
        </w:rPr>
        <w:t xml:space="preserve"> On that basis, the audience knows the situation before Archilochus mentions it: an old angry man who is lingering in his house. Archilochus is reusing this context to convey his judgment that a certain man is a babbler. This is Archilochus</w:t>
      </w:r>
      <w:r w:rsidR="00075F5F">
        <w:rPr>
          <w:lang w:val="en-US"/>
        </w:rPr>
        <w:t>’</w:t>
      </w:r>
      <w:r>
        <w:rPr>
          <w:lang w:val="en-US"/>
        </w:rPr>
        <w:t xml:space="preserve"> own judgment, and it concerns a man who belongs to the present of Archilochus and his audience. However, the iambographer delivers this information through a well-known cultural context, recalling it for his audience, and so uses the imperfect tense. </w:t>
      </w:r>
    </w:p>
    <w:p w14:paraId="1EF71998" w14:textId="03FEBE52" w:rsidR="00754F18" w:rsidRDefault="00EB0BB8" w:rsidP="0097588B">
      <w:pPr>
        <w:autoSpaceDE w:val="0"/>
        <w:autoSpaceDN w:val="0"/>
        <w:adjustRightInd w:val="0"/>
        <w:ind w:firstLine="425"/>
        <w:rPr>
          <w:rFonts w:cs="Times New Roman"/>
        </w:rPr>
      </w:pPr>
      <w:r>
        <w:rPr>
          <w:lang w:val="en-US"/>
        </w:rPr>
        <w:t>Performing is only the secondary purpose of Archilochus</w:t>
      </w:r>
      <w:r w:rsidR="00075F5F">
        <w:rPr>
          <w:lang w:val="en-US"/>
        </w:rPr>
        <w:t>’</w:t>
      </w:r>
      <w:r>
        <w:rPr>
          <w:lang w:val="en-US"/>
        </w:rPr>
        <w:t xml:space="preserve"> poetry. It is uncontroversial to say that when one uses the present tense, the action in question is thought to continue beyond the moment of speaking, and often to have started before, as in Archil. fr. 43: </w:t>
      </w:r>
    </w:p>
    <w:p w14:paraId="7EB3790F" w14:textId="77777777" w:rsidR="006512C4" w:rsidRDefault="006512C4" w:rsidP="0097588B">
      <w:pPr>
        <w:autoSpaceDE w:val="0"/>
        <w:autoSpaceDN w:val="0"/>
        <w:adjustRightInd w:val="0"/>
        <w:ind w:firstLine="425"/>
      </w:pPr>
    </w:p>
    <w:tbl>
      <w:tblPr>
        <w:tblStyle w:val="TableGrid"/>
        <w:tblW w:w="7796"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538"/>
      </w:tblGrid>
      <w:tr w:rsidR="006512C4" w:rsidRPr="00D630EB" w14:paraId="3B2BAE7A" w14:textId="77777777" w:rsidTr="00890EB4">
        <w:tc>
          <w:tcPr>
            <w:tcW w:w="4258" w:type="dxa"/>
          </w:tcPr>
          <w:p w14:paraId="4BB0C036" w14:textId="77777777" w:rsidR="006512C4" w:rsidRPr="00D630EB" w:rsidRDefault="006512C4" w:rsidP="009F617D">
            <w:pPr>
              <w:pStyle w:val="Blockquote"/>
              <w:rPr>
                <w:sz w:val="22"/>
                <w:szCs w:val="22"/>
              </w:rPr>
            </w:pPr>
            <w:r w:rsidRPr="00D630EB">
              <w:rPr>
                <w:sz w:val="22"/>
                <w:szCs w:val="22"/>
              </w:rPr>
              <w:t>βοῦς ἐστιν ἥμιν ἐργάτης ἐν οἰκίηι, κορωνός, ἔργων ἴδρις, οὐδαρ</w:t>
            </w:r>
          </w:p>
        </w:tc>
        <w:tc>
          <w:tcPr>
            <w:tcW w:w="3538" w:type="dxa"/>
          </w:tcPr>
          <w:p w14:paraId="56CABFC4" w14:textId="77777777" w:rsidR="006512C4" w:rsidRPr="00D630EB" w:rsidRDefault="006512C4" w:rsidP="009F617D">
            <w:pPr>
              <w:pStyle w:val="Blockquote"/>
              <w:rPr>
                <w:sz w:val="22"/>
                <w:szCs w:val="22"/>
              </w:rPr>
            </w:pPr>
            <w:r w:rsidRPr="00D630EB">
              <w:rPr>
                <w:sz w:val="22"/>
                <w:szCs w:val="22"/>
              </w:rPr>
              <w:t>we have in the stable</w:t>
            </w:r>
            <w:r w:rsidRPr="00D630EB">
              <w:rPr>
                <w:rStyle w:val="FootnoteReference"/>
                <w:sz w:val="22"/>
                <w:szCs w:val="22"/>
              </w:rPr>
              <w:footnoteReference w:id="281"/>
            </w:r>
            <w:r w:rsidRPr="00D630EB">
              <w:rPr>
                <w:sz w:val="22"/>
                <w:szCs w:val="22"/>
              </w:rPr>
              <w:t xml:space="preserve"> a work-ox, proud, a skilled worker, and not…</w:t>
            </w:r>
          </w:p>
        </w:tc>
      </w:tr>
    </w:tbl>
    <w:p w14:paraId="15D143DB" w14:textId="77777777" w:rsidR="006512C4" w:rsidRDefault="006512C4" w:rsidP="009F617D">
      <w:pPr>
        <w:pStyle w:val="Blockquote"/>
      </w:pPr>
    </w:p>
    <w:p w14:paraId="7DFCE35E" w14:textId="4392A2A5" w:rsidR="00EB0BB8" w:rsidRDefault="00EB0BB8" w:rsidP="00A1447B">
      <w:pPr>
        <w:rPr>
          <w:lang w:val="en-US"/>
        </w:rPr>
      </w:pPr>
      <w:r>
        <w:rPr>
          <w:lang w:val="en-US"/>
        </w:rPr>
        <w:t xml:space="preserve">Here, the ox has been in the stable since before the time at which the speaker affirms that the ox is in the stable, and will remain in the stable until later. In this case, the present tense is the present of an observer. Clearly, the action described by the observer lasts beyond the duration of the moment of speaking, but as the verbalized event is actually perceived by the speaker, the consciousness verbalizing the event is in what Chafe calls the </w:t>
      </w:r>
      <w:r>
        <w:rPr>
          <w:i/>
          <w:iCs/>
          <w:lang w:val="en-US"/>
        </w:rPr>
        <w:t>immediate</w:t>
      </w:r>
      <w:r>
        <w:rPr>
          <w:lang w:val="en-US"/>
        </w:rPr>
        <w:t xml:space="preserve"> mode</w:t>
      </w:r>
      <w:r>
        <w:rPr>
          <w:rStyle w:val="FootnoteReference"/>
          <w:lang w:val="en-US"/>
        </w:rPr>
        <w:footnoteReference w:id="282"/>
      </w:r>
      <w:r>
        <w:rPr>
          <w:lang w:val="en-US"/>
        </w:rPr>
        <w:t xml:space="preserve">. Indeed, </w:t>
      </w:r>
      <w:r w:rsidR="00CC0615">
        <w:rPr>
          <w:lang w:val="en-US"/>
        </w:rPr>
        <w:t>“</w:t>
      </w:r>
      <w:r>
        <w:rPr>
          <w:lang w:val="en-US"/>
        </w:rPr>
        <w:t>the verbalization of events occurring in a speaker</w:t>
      </w:r>
      <w:r w:rsidR="00075F5F">
        <w:rPr>
          <w:lang w:val="en-US"/>
        </w:rPr>
        <w:t>’</w:t>
      </w:r>
      <w:r>
        <w:rPr>
          <w:lang w:val="en-US"/>
        </w:rPr>
        <w:t>s here and now may well have been the primary function of the present tense in Greek and Indo-European languages.</w:t>
      </w:r>
      <w:r w:rsidR="00CC0615">
        <w:rPr>
          <w:lang w:val="en-US"/>
        </w:rPr>
        <w:t>”</w:t>
      </w:r>
      <w:r>
        <w:rPr>
          <w:rStyle w:val="FootnoteReference"/>
          <w:lang w:val="en-US"/>
        </w:rPr>
        <w:footnoteReference w:id="283"/>
      </w:r>
      <w:r>
        <w:rPr>
          <w:lang w:val="en-US"/>
        </w:rPr>
        <w:t xml:space="preserve"> Besides present temporal reference, then, immediacy is an important semantic feature of the present tense. Archilochus is describing a scene that his audience too can see and understand, and he is sharing it with his audience through the process of </w:t>
      </w:r>
      <w:r>
        <w:rPr>
          <w:i/>
          <w:iCs/>
          <w:lang w:val="en-US"/>
        </w:rPr>
        <w:t>demonstratio ad oculos</w:t>
      </w:r>
      <w:r>
        <w:rPr>
          <w:lang w:val="en-US"/>
        </w:rPr>
        <w:t xml:space="preserve">, as the present tense confirms. </w:t>
      </w:r>
    </w:p>
    <w:p w14:paraId="69AB7E37" w14:textId="08216C0E" w:rsidR="00EB0BB8" w:rsidRDefault="00EB0BB8" w:rsidP="0097588B">
      <w:pPr>
        <w:ind w:firstLine="425"/>
        <w:rPr>
          <w:lang w:val="en-US"/>
        </w:rPr>
      </w:pPr>
      <w:r>
        <w:rPr>
          <w:lang w:val="en-US"/>
        </w:rPr>
        <w:lastRenderedPageBreak/>
        <w:t xml:space="preserve">In some cases, </w:t>
      </w:r>
      <w:r>
        <w:rPr>
          <w:i/>
          <w:iCs/>
          <w:lang w:val="en-US"/>
        </w:rPr>
        <w:t>demonstratio ad oculos</w:t>
      </w:r>
      <w:r>
        <w:rPr>
          <w:lang w:val="en-US"/>
        </w:rPr>
        <w:t xml:space="preserve"> is brought before audience by the aorist, since aorist verbs may feature in the discourse of speakers who act and perceive in a concrete situation, and whose consciousness is therefore in immediate mode. For example, in his fr. 10.7-8, Archilochus says νῦν μὲν ἐς ἡμέας / ἐτράπεθ</w:t>
      </w:r>
      <w:r w:rsidR="00075F5F">
        <w:rPr>
          <w:lang w:val="en-US"/>
        </w:rPr>
        <w:t>’</w:t>
      </w:r>
      <w:r>
        <w:rPr>
          <w:lang w:val="en-US"/>
        </w:rPr>
        <w:t>, αἱματόεν δ</w:t>
      </w:r>
      <w:r w:rsidR="00075F5F">
        <w:rPr>
          <w:lang w:val="en-US"/>
        </w:rPr>
        <w:t>’</w:t>
      </w:r>
      <w:r>
        <w:rPr>
          <w:lang w:val="en-US"/>
        </w:rPr>
        <w:t xml:space="preserve"> ἕλκος ἀναστένομεν </w:t>
      </w:r>
      <w:r w:rsidR="00CC0615">
        <w:rPr>
          <w:lang w:val="en-US"/>
        </w:rPr>
        <w:t>“</w:t>
      </w:r>
      <w:r>
        <w:rPr>
          <w:lang w:val="en-US"/>
        </w:rPr>
        <w:t>Now it (the woe) has turned upon us, and we bewail a bloody wound.</w:t>
      </w:r>
      <w:r w:rsidR="00CC0615">
        <w:rPr>
          <w:lang w:val="en-US"/>
        </w:rPr>
        <w:t>”</w:t>
      </w:r>
      <w:r>
        <w:rPr>
          <w:lang w:val="en-US"/>
        </w:rPr>
        <w:t xml:space="preserve"> The aorist ἐτράπετο is </w:t>
      </w:r>
      <w:r w:rsidR="00CC0615">
        <w:rPr>
          <w:lang w:val="en-US"/>
        </w:rPr>
        <w:t>“</w:t>
      </w:r>
      <w:r>
        <w:rPr>
          <w:lang w:val="en-US"/>
        </w:rPr>
        <w:t>past tense,</w:t>
      </w:r>
      <w:r w:rsidR="00CC0615">
        <w:rPr>
          <w:lang w:val="en-US"/>
        </w:rPr>
        <w:t>”</w:t>
      </w:r>
      <w:r>
        <w:rPr>
          <w:lang w:val="en-US"/>
        </w:rPr>
        <w:t xml:space="preserve"> in that it denotes an event that (</w:t>
      </w:r>
      <w:r>
        <w:rPr>
          <w:i/>
          <w:iCs/>
          <w:lang w:val="en-US"/>
        </w:rPr>
        <w:t>qua</w:t>
      </w:r>
      <w:r>
        <w:rPr>
          <w:lang w:val="en-US"/>
        </w:rPr>
        <w:t xml:space="preserve"> event) has already occurred at the moment of speech, and that precedes in time the act of crying. But ἐτράπετο also represents an event that (</w:t>
      </w:r>
      <w:r>
        <w:rPr>
          <w:i/>
          <w:iCs/>
          <w:lang w:val="en-US"/>
        </w:rPr>
        <w:t>qua</w:t>
      </w:r>
      <w:r>
        <w:rPr>
          <w:lang w:val="en-US"/>
        </w:rPr>
        <w:t xml:space="preserve"> utterance) is just as present as those verbs marked as present tense; </w:t>
      </w:r>
      <w:r w:rsidR="00CC0615">
        <w:rPr>
          <w:lang w:val="en-US"/>
        </w:rPr>
        <w:t>“</w:t>
      </w:r>
      <w:r>
        <w:rPr>
          <w:lang w:val="en-US"/>
        </w:rPr>
        <w:t>past</w:t>
      </w:r>
      <w:r w:rsidR="00CC0615">
        <w:rPr>
          <w:lang w:val="en-US"/>
        </w:rPr>
        <w:t>”</w:t>
      </w:r>
      <w:r>
        <w:rPr>
          <w:lang w:val="en-US"/>
        </w:rPr>
        <w:t xml:space="preserve"> events constitute the very essence of the speech situation. The aorist is the medium which makes present again a past event, since either a past event becomes knowledge when asserted in the present, or a past event comes to constitute the present of the utterance itself.</w:t>
      </w:r>
      <w:r>
        <w:rPr>
          <w:rStyle w:val="FootnoteReference"/>
          <w:lang w:val="en-US"/>
        </w:rPr>
        <w:footnoteReference w:id="284"/>
      </w:r>
      <w:r>
        <w:rPr>
          <w:lang w:val="en-US"/>
        </w:rPr>
        <w:t xml:space="preserve"> </w:t>
      </w:r>
    </w:p>
    <w:p w14:paraId="7315E190" w14:textId="03166344" w:rsidR="00EB0BB8" w:rsidRDefault="00EB0BB8" w:rsidP="0097588B">
      <w:pPr>
        <w:ind w:firstLine="425"/>
        <w:rPr>
          <w:lang w:val="en-US"/>
        </w:rPr>
      </w:pPr>
      <w:r>
        <w:rPr>
          <w:lang w:val="en-US"/>
        </w:rPr>
        <w:t>The presence of the adverb νῦν confirms this, as the aorist can be used with the adverb νῦν, while the imperfect cannot:</w:t>
      </w:r>
      <w:r>
        <w:rPr>
          <w:rStyle w:val="FootnoteReference"/>
          <w:lang w:val="en-US"/>
        </w:rPr>
        <w:footnoteReference w:id="285"/>
      </w:r>
      <w:r>
        <w:rPr>
          <w:lang w:val="en-US"/>
        </w:rPr>
        <w:t xml:space="preserve"> νῦν is the adverb</w:t>
      </w:r>
      <w:r w:rsidR="00075F5F">
        <w:rPr>
          <w:lang w:val="en-US"/>
        </w:rPr>
        <w:t>’</w:t>
      </w:r>
      <w:r>
        <w:rPr>
          <w:lang w:val="en-US"/>
        </w:rPr>
        <w:t>s immediate temporal deixis and is incompatible with the displaced immediacy of the imperfect. Modified by νῦν, the aorist does not mark the past, nor a present that has become the past, but a past that has become present,</w:t>
      </w:r>
      <w:r>
        <w:rPr>
          <w:rStyle w:val="FootnoteReference"/>
          <w:lang w:val="en-US"/>
        </w:rPr>
        <w:footnoteReference w:id="286"/>
      </w:r>
      <w:r>
        <w:rPr>
          <w:lang w:val="en-US"/>
        </w:rPr>
        <w:t xml:space="preserve"> since the deictic adverb νῦν modifies not the event but its utterance. The </w:t>
      </w:r>
      <w:r w:rsidR="00CC0615">
        <w:rPr>
          <w:lang w:val="en-US"/>
        </w:rPr>
        <w:t>“</w:t>
      </w:r>
      <w:r>
        <w:rPr>
          <w:lang w:val="en-US"/>
        </w:rPr>
        <w:t>now</w:t>
      </w:r>
      <w:r w:rsidR="00CC0615">
        <w:rPr>
          <w:lang w:val="en-US"/>
        </w:rPr>
        <w:t>”</w:t>
      </w:r>
      <w:r>
        <w:rPr>
          <w:lang w:val="en-US"/>
        </w:rPr>
        <w:t xml:space="preserve"> of the event is the </w:t>
      </w:r>
      <w:r w:rsidR="00CC0615">
        <w:rPr>
          <w:lang w:val="en-US"/>
        </w:rPr>
        <w:t>“</w:t>
      </w:r>
      <w:r>
        <w:rPr>
          <w:lang w:val="en-US"/>
        </w:rPr>
        <w:t>now</w:t>
      </w:r>
      <w:r w:rsidR="00CC0615">
        <w:rPr>
          <w:lang w:val="en-US"/>
        </w:rPr>
        <w:t>”</w:t>
      </w:r>
      <w:r>
        <w:rPr>
          <w:lang w:val="en-US"/>
        </w:rPr>
        <w:t xml:space="preserve"> of the speaker, who considers the past event important enough to become a speech act.</w:t>
      </w:r>
    </w:p>
    <w:p w14:paraId="297B4C7F" w14:textId="0401D17B" w:rsidR="00EB0BB8" w:rsidRDefault="00EB0BB8" w:rsidP="0097588B">
      <w:pPr>
        <w:ind w:firstLine="425"/>
        <w:rPr>
          <w:lang w:val="en-US"/>
        </w:rPr>
      </w:pPr>
      <w:r>
        <w:rPr>
          <w:lang w:val="en-US"/>
        </w:rPr>
        <w:t>It is not an accident that Archilochus</w:t>
      </w:r>
      <w:r w:rsidR="00075F5F">
        <w:rPr>
          <w:lang w:val="en-US"/>
        </w:rPr>
        <w:t>’</w:t>
      </w:r>
      <w:r>
        <w:rPr>
          <w:lang w:val="en-US"/>
        </w:rPr>
        <w:t xml:space="preserve"> fragments show a higher percentage of νῦν (0.55%, corresponding to 16 instances overall) compared to Hipponax (0.11%) and Callimachus (0.12%) (</w:t>
      </w:r>
      <w:r>
        <w:rPr>
          <w:b/>
          <w:bCs/>
          <w:lang w:val="en-US"/>
        </w:rPr>
        <w:t>2</w:t>
      </w:r>
      <w:r>
        <w:rPr>
          <w:lang w:val="en-US"/>
        </w:rPr>
        <w:t xml:space="preserve"> B.1), since νῦν is the adverb which materialises the </w:t>
      </w:r>
      <w:r>
        <w:rPr>
          <w:i/>
          <w:iCs/>
          <w:lang w:val="en-US"/>
        </w:rPr>
        <w:t>demonstratio ad oculos</w:t>
      </w:r>
      <w:r>
        <w:rPr>
          <w:lang w:val="en-US"/>
        </w:rPr>
        <w:t xml:space="preserve">, and actualises the performance. In many cases, νῦν accompanies the aorist which enacts the performance, making it clear that the aorist has no past meaning. In the previous example, Archilochus is not describing the pain that he and his audience felt in the past, but he is </w:t>
      </w:r>
      <w:r w:rsidRPr="009877AA">
        <w:rPr>
          <w:i/>
          <w:iCs/>
          <w:lang w:val="en-US"/>
        </w:rPr>
        <w:t>performing</w:t>
      </w:r>
      <w:r>
        <w:rPr>
          <w:lang w:val="en-US"/>
        </w:rPr>
        <w:t xml:space="preserve"> that pain in his present, his audience</w:t>
      </w:r>
      <w:r w:rsidR="00075F5F">
        <w:rPr>
          <w:lang w:val="en-US"/>
        </w:rPr>
        <w:t>’</w:t>
      </w:r>
      <w:r>
        <w:rPr>
          <w:lang w:val="en-US"/>
        </w:rPr>
        <w:t xml:space="preserve">s </w:t>
      </w:r>
      <w:r w:rsidR="00CC0615">
        <w:rPr>
          <w:lang w:val="en-US"/>
        </w:rPr>
        <w:t>“</w:t>
      </w:r>
      <w:r>
        <w:rPr>
          <w:lang w:val="en-US"/>
        </w:rPr>
        <w:t>now.</w:t>
      </w:r>
      <w:r w:rsidR="00CC0615">
        <w:rPr>
          <w:lang w:val="en-US"/>
        </w:rPr>
        <w:t>”</w:t>
      </w:r>
      <w:r>
        <w:rPr>
          <w:lang w:val="en-US"/>
        </w:rPr>
        <w:t xml:space="preserve"> In this case, then, the aorist is concerned with the </w:t>
      </w:r>
      <w:r w:rsidR="00CC0615">
        <w:rPr>
          <w:lang w:val="en-US"/>
        </w:rPr>
        <w:t>“</w:t>
      </w:r>
      <w:r>
        <w:rPr>
          <w:lang w:val="en-US"/>
        </w:rPr>
        <w:t>near</w:t>
      </w:r>
      <w:r w:rsidR="00CC0615">
        <w:rPr>
          <w:lang w:val="en-US"/>
        </w:rPr>
        <w:t>”</w:t>
      </w:r>
      <w:r>
        <w:rPr>
          <w:lang w:val="en-US"/>
        </w:rPr>
        <w:t xml:space="preserve"> or the immediately present situation: it gives voice now to an event that has already happened, but there is no memory or displaced consciousness involved, since the utterance of the event happens now and is produced by the speaker</w:t>
      </w:r>
      <w:r w:rsidR="00075F5F">
        <w:rPr>
          <w:lang w:val="en-US"/>
        </w:rPr>
        <w:t>’</w:t>
      </w:r>
      <w:r>
        <w:rPr>
          <w:lang w:val="en-US"/>
        </w:rPr>
        <w:t xml:space="preserve">s consciousness in the present. Therefore this aorist is </w:t>
      </w:r>
      <w:r w:rsidR="00CC0615">
        <w:rPr>
          <w:lang w:val="en-US"/>
        </w:rPr>
        <w:t>“</w:t>
      </w:r>
      <w:r>
        <w:rPr>
          <w:lang w:val="en-US"/>
        </w:rPr>
        <w:t xml:space="preserve">an expression of the </w:t>
      </w:r>
      <w:r>
        <w:rPr>
          <w:lang w:val="en-US"/>
        </w:rPr>
        <w:lastRenderedPageBreak/>
        <w:t>speaker</w:t>
      </w:r>
      <w:r w:rsidR="00075F5F">
        <w:rPr>
          <w:lang w:val="en-US"/>
        </w:rPr>
        <w:t>’</w:t>
      </w:r>
      <w:r>
        <w:rPr>
          <w:lang w:val="en-US"/>
        </w:rPr>
        <w:t>s immediate reaction to a given situation.</w:t>
      </w:r>
      <w:r w:rsidR="00CC0615">
        <w:rPr>
          <w:lang w:val="en-US"/>
        </w:rPr>
        <w:t>”</w:t>
      </w:r>
      <w:r>
        <w:rPr>
          <w:rStyle w:val="FootnoteReference"/>
          <w:lang w:val="en-US"/>
        </w:rPr>
        <w:footnoteReference w:id="287"/>
      </w:r>
      <w:r>
        <w:rPr>
          <w:lang w:val="en-US"/>
        </w:rPr>
        <w:t xml:space="preserve"> As expressed by an aorist, then, the past is not past </w:t>
      </w:r>
      <w:r>
        <w:rPr>
          <w:i/>
          <w:iCs/>
          <w:lang w:val="en-US"/>
        </w:rPr>
        <w:t>stricto sensu</w:t>
      </w:r>
      <w:r>
        <w:rPr>
          <w:lang w:val="en-US"/>
        </w:rPr>
        <w:t>: the event belongs to the past until when the speaker performs the aorist, actualising the past in the present.</w:t>
      </w:r>
      <w:r>
        <w:rPr>
          <w:rStyle w:val="FootnoteReference"/>
          <w:lang w:val="en-US"/>
        </w:rPr>
        <w:footnoteReference w:id="288"/>
      </w:r>
    </w:p>
    <w:p w14:paraId="67055E8F" w14:textId="1F4E79C1" w:rsidR="00754F18" w:rsidRDefault="00EB0BB8" w:rsidP="0097588B">
      <w:pPr>
        <w:autoSpaceDE w:val="0"/>
        <w:autoSpaceDN w:val="0"/>
        <w:adjustRightInd w:val="0"/>
        <w:ind w:firstLine="425"/>
      </w:pPr>
      <w:r>
        <w:rPr>
          <w:lang w:val="en-US"/>
        </w:rPr>
        <w:t xml:space="preserve">This movement of the past into the present becomes even more real when a series of aorists culminates in a present, as in Archil. fr. 166: </w:t>
      </w:r>
    </w:p>
    <w:p w14:paraId="7D85DB50" w14:textId="77777777" w:rsidR="006512C4" w:rsidRDefault="006512C4" w:rsidP="0097588B">
      <w:pPr>
        <w:autoSpaceDE w:val="0"/>
        <w:autoSpaceDN w:val="0"/>
        <w:adjustRightInd w:val="0"/>
        <w:ind w:firstLine="425"/>
      </w:pPr>
    </w:p>
    <w:tbl>
      <w:tblPr>
        <w:tblStyle w:val="TableGrid"/>
        <w:tblW w:w="7796"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538"/>
      </w:tblGrid>
      <w:tr w:rsidR="006512C4" w:rsidRPr="00D630EB" w14:paraId="0A54C9E8" w14:textId="77777777" w:rsidTr="00890EB4">
        <w:tc>
          <w:tcPr>
            <w:tcW w:w="4258" w:type="dxa"/>
          </w:tcPr>
          <w:p w14:paraId="121117CB" w14:textId="77777777" w:rsidR="006512C4" w:rsidRPr="00D630EB" w:rsidRDefault="006512C4" w:rsidP="009F617D">
            <w:pPr>
              <w:pStyle w:val="Blockquote"/>
              <w:rPr>
                <w:sz w:val="22"/>
                <w:szCs w:val="22"/>
                <w:lang w:val="el-GR"/>
              </w:rPr>
            </w:pPr>
            <w:r w:rsidRPr="00D630EB">
              <w:rPr>
                <w:sz w:val="22"/>
                <w:szCs w:val="22"/>
                <w:lang w:val="el-GR"/>
              </w:rPr>
              <w:t xml:space="preserve">πάτερ Λυκάμβα, ποῖον ἐφράσω τόδε; </w:t>
            </w:r>
          </w:p>
          <w:p w14:paraId="34CA8623" w14:textId="77777777" w:rsidR="006512C4" w:rsidRPr="00D630EB" w:rsidRDefault="006512C4" w:rsidP="009F617D">
            <w:pPr>
              <w:pStyle w:val="Blockquote"/>
              <w:rPr>
                <w:sz w:val="22"/>
                <w:szCs w:val="22"/>
                <w:lang w:val="el-GR"/>
              </w:rPr>
            </w:pPr>
            <w:r w:rsidRPr="00D630EB">
              <w:rPr>
                <w:sz w:val="22"/>
                <w:szCs w:val="22"/>
                <w:lang w:val="el-GR"/>
              </w:rPr>
              <w:t xml:space="preserve">  τίς σὰς παρήειρε φρένας </w:t>
            </w:r>
          </w:p>
          <w:p w14:paraId="5888B9D1" w14:textId="77777777" w:rsidR="006512C4" w:rsidRPr="00D630EB" w:rsidRDefault="006512C4" w:rsidP="009F617D">
            <w:pPr>
              <w:pStyle w:val="Blockquote"/>
              <w:rPr>
                <w:sz w:val="22"/>
                <w:szCs w:val="22"/>
                <w:lang w:val="el-GR"/>
              </w:rPr>
            </w:pPr>
            <w:r w:rsidRPr="00D630EB">
              <w:rPr>
                <w:sz w:val="22"/>
                <w:szCs w:val="22"/>
                <w:lang w:val="el-GR"/>
              </w:rPr>
              <w:t xml:space="preserve">ἧις τὸ πρὶν ἠρήρησθα; νῦν δὲ δὴ </w:t>
            </w:r>
          </w:p>
          <w:p w14:paraId="104D5D3F" w14:textId="77777777" w:rsidR="006512C4" w:rsidRPr="00D630EB" w:rsidRDefault="006512C4" w:rsidP="009F617D">
            <w:pPr>
              <w:pStyle w:val="Blockquote"/>
              <w:rPr>
                <w:sz w:val="22"/>
                <w:szCs w:val="22"/>
              </w:rPr>
            </w:pPr>
            <w:r w:rsidRPr="00D630EB">
              <w:rPr>
                <w:sz w:val="22"/>
                <w:szCs w:val="22"/>
                <w:lang w:val="el-GR"/>
              </w:rPr>
              <w:t xml:space="preserve">  </w:t>
            </w:r>
            <w:r w:rsidRPr="00D630EB">
              <w:rPr>
                <w:sz w:val="22"/>
                <w:szCs w:val="22"/>
              </w:rPr>
              <w:t>πολὺς ἀστοῖσι φαίνεαι γέλως.</w:t>
            </w:r>
          </w:p>
        </w:tc>
        <w:tc>
          <w:tcPr>
            <w:tcW w:w="3538" w:type="dxa"/>
          </w:tcPr>
          <w:p w14:paraId="02FEF6F5" w14:textId="77777777" w:rsidR="006512C4" w:rsidRPr="00D630EB" w:rsidRDefault="006512C4" w:rsidP="009F617D">
            <w:pPr>
              <w:pStyle w:val="Blockquote"/>
              <w:rPr>
                <w:sz w:val="22"/>
                <w:szCs w:val="22"/>
              </w:rPr>
            </w:pPr>
            <w:r w:rsidRPr="00D630EB">
              <w:rPr>
                <w:sz w:val="22"/>
                <w:szCs w:val="22"/>
              </w:rPr>
              <w:t>Father Lycambes, what did you mean by this? Who unhinged your wits which previously were sound? Now you seem to the townspeople a source of much laughter</w:t>
            </w:r>
          </w:p>
        </w:tc>
      </w:tr>
    </w:tbl>
    <w:p w14:paraId="71D285E6" w14:textId="77777777" w:rsidR="006512C4" w:rsidRDefault="006512C4" w:rsidP="009F617D">
      <w:pPr>
        <w:pStyle w:val="Blockquote"/>
      </w:pPr>
    </w:p>
    <w:p w14:paraId="1E8F5DCD" w14:textId="55F06541" w:rsidR="00B057DE" w:rsidRDefault="00B057DE" w:rsidP="00A1447B">
      <w:pPr>
        <w:rPr>
          <w:lang w:val="en-US"/>
        </w:rPr>
      </w:pPr>
      <w:r>
        <w:rPr>
          <w:lang w:val="en-US"/>
        </w:rPr>
        <w:t>Here, νῦν becomes Archilochus</w:t>
      </w:r>
      <w:r w:rsidR="00075F5F">
        <w:rPr>
          <w:lang w:val="en-US"/>
        </w:rPr>
        <w:t>’</w:t>
      </w:r>
      <w:r>
        <w:rPr>
          <w:lang w:val="en-US"/>
        </w:rPr>
        <w:t xml:space="preserve"> </w:t>
      </w:r>
      <w:r>
        <w:rPr>
          <w:i/>
          <w:iCs/>
          <w:lang w:val="en-US"/>
        </w:rPr>
        <w:t>hic et nunc</w:t>
      </w:r>
      <w:r>
        <w:rPr>
          <w:lang w:val="en-US"/>
        </w:rPr>
        <w:t xml:space="preserve">, since the statement about Lycambes is valid </w:t>
      </w:r>
      <w:r w:rsidR="00CC0615">
        <w:rPr>
          <w:lang w:val="en-US"/>
        </w:rPr>
        <w:t>“</w:t>
      </w:r>
      <w:r>
        <w:rPr>
          <w:lang w:val="en-US"/>
        </w:rPr>
        <w:t>here and now,</w:t>
      </w:r>
      <w:r w:rsidR="00CC0615">
        <w:rPr>
          <w:lang w:val="en-US"/>
        </w:rPr>
        <w:t>”</w:t>
      </w:r>
      <w:r>
        <w:rPr>
          <w:lang w:val="en-US"/>
        </w:rPr>
        <w:t xml:space="preserve"> not in the past. The aorist does not represent Lycambes</w:t>
      </w:r>
      <w:r w:rsidR="00075F5F">
        <w:rPr>
          <w:lang w:val="en-US"/>
        </w:rPr>
        <w:t>’</w:t>
      </w:r>
      <w:r>
        <w:rPr>
          <w:lang w:val="en-US"/>
        </w:rPr>
        <w:t xml:space="preserve"> becoming but states the results of Lycambes</w:t>
      </w:r>
      <w:r w:rsidR="00075F5F">
        <w:rPr>
          <w:lang w:val="en-US"/>
        </w:rPr>
        <w:t>’</w:t>
      </w:r>
      <w:r>
        <w:rPr>
          <w:lang w:val="en-US"/>
        </w:rPr>
        <w:t xml:space="preserve"> swing. The aorists denotes the actual behaviour of Lycambes, once the change has already been completely accomplished, while when or how he changed is less important. Although the punctual aspect of the aorist could reveal the exact moment at which his change was </w:t>
      </w:r>
      <w:r w:rsidR="00CC0615">
        <w:rPr>
          <w:lang w:val="en-US"/>
        </w:rPr>
        <w:t>“</w:t>
      </w:r>
      <w:r>
        <w:rPr>
          <w:lang w:val="en-US"/>
        </w:rPr>
        <w:t>completed</w:t>
      </w:r>
      <w:r w:rsidR="00CC0615">
        <w:rPr>
          <w:lang w:val="en-US"/>
        </w:rPr>
        <w:t>”</w:t>
      </w:r>
      <w:r>
        <w:rPr>
          <w:lang w:val="en-US"/>
        </w:rPr>
        <w:t xml:space="preserve"> in the past, what counts here and what the aorists convey is that Lycambes</w:t>
      </w:r>
      <w:r w:rsidR="00075F5F">
        <w:rPr>
          <w:lang w:val="en-US"/>
        </w:rPr>
        <w:t>’</w:t>
      </w:r>
      <w:r>
        <w:rPr>
          <w:lang w:val="en-US"/>
        </w:rPr>
        <w:t xml:space="preserve"> past actions have created conditions that make Archilochus</w:t>
      </w:r>
      <w:r w:rsidR="00075F5F">
        <w:rPr>
          <w:lang w:val="en-US"/>
        </w:rPr>
        <w:t>’</w:t>
      </w:r>
      <w:r>
        <w:rPr>
          <w:lang w:val="en-US"/>
        </w:rPr>
        <w:t xml:space="preserve"> utterance in the present the most meaningful thing. In this scenario, the target of Archilochus</w:t>
      </w:r>
      <w:r w:rsidR="00075F5F">
        <w:rPr>
          <w:lang w:val="en-US"/>
        </w:rPr>
        <w:t>’</w:t>
      </w:r>
      <w:r>
        <w:rPr>
          <w:lang w:val="en-US"/>
        </w:rPr>
        <w:t xml:space="preserve"> utterance is also its main addressee. It is as if Lycambes himself is part of Archilochus</w:t>
      </w:r>
      <w:r w:rsidR="00075F5F">
        <w:rPr>
          <w:lang w:val="en-US"/>
        </w:rPr>
        <w:t>’</w:t>
      </w:r>
      <w:r>
        <w:rPr>
          <w:lang w:val="en-US"/>
        </w:rPr>
        <w:t xml:space="preserve"> audience, since the use of the aorists shows that Archilochus</w:t>
      </w:r>
      <w:r w:rsidR="00075F5F">
        <w:rPr>
          <w:lang w:val="en-US"/>
        </w:rPr>
        <w:t>’</w:t>
      </w:r>
      <w:r>
        <w:rPr>
          <w:lang w:val="en-US"/>
        </w:rPr>
        <w:t xml:space="preserve"> address to Lycambes takes place </w:t>
      </w:r>
      <w:r w:rsidRPr="009877AA">
        <w:rPr>
          <w:i/>
          <w:iCs/>
          <w:lang w:val="en-US"/>
        </w:rPr>
        <w:t>not</w:t>
      </w:r>
      <w:r>
        <w:rPr>
          <w:lang w:val="en-US"/>
        </w:rPr>
        <w:t xml:space="preserve"> when Lycambes changed in the past, but at the time of Archilochus</w:t>
      </w:r>
      <w:r w:rsidR="00075F5F">
        <w:rPr>
          <w:lang w:val="en-US"/>
        </w:rPr>
        <w:t>’</w:t>
      </w:r>
      <w:r>
        <w:rPr>
          <w:lang w:val="en-US"/>
        </w:rPr>
        <w:t xml:space="preserve"> performance. This indicates that Archilochus has not gone to Lycambes, but that Lycambes has come to Archilochus. It is possible either that Lycambes was present when Archilochus had performed this iamb at the symposium, or that Archilochus</w:t>
      </w:r>
      <w:r w:rsidR="00075F5F">
        <w:rPr>
          <w:lang w:val="en-US"/>
        </w:rPr>
        <w:t>’</w:t>
      </w:r>
      <w:r>
        <w:rPr>
          <w:lang w:val="en-US"/>
        </w:rPr>
        <w:t xml:space="preserve"> words created the illusion of Lycambes</w:t>
      </w:r>
      <w:r w:rsidR="00075F5F">
        <w:rPr>
          <w:lang w:val="en-US"/>
        </w:rPr>
        <w:t>’</w:t>
      </w:r>
      <w:r>
        <w:rPr>
          <w:lang w:val="en-US"/>
        </w:rPr>
        <w:t xml:space="preserve"> presence. In both cases, this is an example of Archilochus</w:t>
      </w:r>
      <w:r w:rsidR="00075F5F">
        <w:rPr>
          <w:lang w:val="en-US"/>
        </w:rPr>
        <w:t>’</w:t>
      </w:r>
      <w:r>
        <w:rPr>
          <w:lang w:val="en-US"/>
        </w:rPr>
        <w:t xml:space="preserve"> use of </w:t>
      </w:r>
      <w:r>
        <w:rPr>
          <w:i/>
          <w:iCs/>
          <w:lang w:val="en-US"/>
        </w:rPr>
        <w:t>demonstratio ad oculos</w:t>
      </w:r>
      <w:r>
        <w:rPr>
          <w:lang w:val="en-US"/>
        </w:rPr>
        <w:t xml:space="preserve">, since Archilochus as performer imagines Lycambes close to him. </w:t>
      </w:r>
    </w:p>
    <w:p w14:paraId="09F24E38" w14:textId="0E0F51BF" w:rsidR="006512C4" w:rsidRPr="00A103F2" w:rsidRDefault="00B057DE" w:rsidP="0097588B">
      <w:pPr>
        <w:autoSpaceDE w:val="0"/>
        <w:autoSpaceDN w:val="0"/>
        <w:adjustRightInd w:val="0"/>
        <w:ind w:firstLine="425"/>
        <w:rPr>
          <w:lang w:val="en-US"/>
        </w:rPr>
      </w:pPr>
      <w:r>
        <w:rPr>
          <w:lang w:val="en-US"/>
        </w:rPr>
        <w:t xml:space="preserve">Finally, as I said before, in this fragment, the aorists literally actualise the scene in the present, since in the final line Archilochus shifts from the aorist to the present. This shift is due to the fact that that the last sentence is a statement: as long as Lycambes is how he is, he is source of laughter in his co-citizens, and the </w:t>
      </w:r>
      <w:r w:rsidR="00CC0615">
        <w:rPr>
          <w:lang w:val="en-US"/>
        </w:rPr>
        <w:t>“</w:t>
      </w:r>
      <w:r>
        <w:rPr>
          <w:lang w:val="en-US"/>
        </w:rPr>
        <w:t>truth value</w:t>
      </w:r>
      <w:r w:rsidR="00CC0615">
        <w:rPr>
          <w:lang w:val="en-US"/>
        </w:rPr>
        <w:t>”</w:t>
      </w:r>
      <w:r>
        <w:rPr>
          <w:lang w:val="en-US"/>
        </w:rPr>
        <w:t xml:space="preserve"> of this </w:t>
      </w:r>
      <w:r>
        <w:rPr>
          <w:lang w:val="en-US"/>
        </w:rPr>
        <w:lastRenderedPageBreak/>
        <w:t xml:space="preserve">statement does not change over the course of time, accounting for the present tense as used by Archilochus for unchangeable statements. </w:t>
      </w:r>
    </w:p>
    <w:p w14:paraId="04FF607D" w14:textId="77777777" w:rsidR="00975FE0" w:rsidRDefault="00975FE0" w:rsidP="00975FE0">
      <w:pPr>
        <w:rPr>
          <w:i/>
        </w:rPr>
      </w:pPr>
    </w:p>
    <w:p w14:paraId="6DE1A838" w14:textId="3384BB25" w:rsidR="00975FE0" w:rsidRPr="00975FE0" w:rsidRDefault="00243569" w:rsidP="00975FE0">
      <w:pPr>
        <w:rPr>
          <w:i/>
        </w:rPr>
      </w:pPr>
      <w:r>
        <w:rPr>
          <w:i/>
        </w:rPr>
        <w:t>Hipponax</w:t>
      </w:r>
    </w:p>
    <w:p w14:paraId="58512136" w14:textId="67A70430" w:rsidR="00B057DE" w:rsidRDefault="00B057DE" w:rsidP="00754F18">
      <w:pPr>
        <w:rPr>
          <w:lang w:val="en-US"/>
        </w:rPr>
      </w:pPr>
      <w:r>
        <w:rPr>
          <w:lang w:val="en-US"/>
        </w:rPr>
        <w:t>Hipponax</w:t>
      </w:r>
      <w:r w:rsidR="00075F5F">
        <w:rPr>
          <w:lang w:val="en-US"/>
        </w:rPr>
        <w:t>’</w:t>
      </w:r>
      <w:r>
        <w:rPr>
          <w:lang w:val="en-US"/>
        </w:rPr>
        <w:t xml:space="preserve">s iambs exhibit a consistent number of aorist stems, as well as frequent instances of present verbs which have both diegetic and deictic functions. </w:t>
      </w:r>
    </w:p>
    <w:p w14:paraId="788E59EE" w14:textId="1D08340E" w:rsidR="00754F18" w:rsidRPr="00243569" w:rsidRDefault="00B057DE" w:rsidP="0097588B">
      <w:pPr>
        <w:ind w:firstLine="425"/>
        <w:rPr>
          <w:lang w:val="en-US"/>
        </w:rPr>
      </w:pPr>
      <w:r>
        <w:rPr>
          <w:lang w:val="en-US"/>
        </w:rPr>
        <w:t xml:space="preserve">Hipponax tends to create the illusion of reality in the </w:t>
      </w:r>
      <w:r>
        <w:rPr>
          <w:i/>
          <w:iCs/>
          <w:lang w:val="en-US"/>
        </w:rPr>
        <w:t>hic et nunc</w:t>
      </w:r>
      <w:r>
        <w:rPr>
          <w:lang w:val="en-US"/>
        </w:rPr>
        <w:t xml:space="preserve"> of his audience through the rhetorical device of </w:t>
      </w:r>
      <w:r>
        <w:rPr>
          <w:i/>
          <w:iCs/>
          <w:lang w:val="en-US"/>
        </w:rPr>
        <w:t>enargeia</w:t>
      </w:r>
      <w:r>
        <w:rPr>
          <w:lang w:val="en-US"/>
        </w:rPr>
        <w:t>,</w:t>
      </w:r>
      <w:r>
        <w:rPr>
          <w:rStyle w:val="FootnoteReference"/>
          <w:lang w:val="en-US"/>
        </w:rPr>
        <w:footnoteReference w:id="289"/>
      </w:r>
      <w:r>
        <w:rPr>
          <w:lang w:val="en-US"/>
        </w:rPr>
        <w:t xml:space="preserve"> which the iambographer uses as a medium of representation, in which the distinction between hearing and seeing, between word and object, and between the present and the past disappears.</w:t>
      </w:r>
      <w:r>
        <w:rPr>
          <w:rStyle w:val="FootnoteReference"/>
          <w:lang w:val="en-US"/>
        </w:rPr>
        <w:footnoteReference w:id="290"/>
      </w:r>
      <w:r>
        <w:rPr>
          <w:lang w:val="en-US"/>
        </w:rPr>
        <w:t xml:space="preserve"> For instance, Hipponax</w:t>
      </w:r>
      <w:r w:rsidR="00075F5F">
        <w:rPr>
          <w:lang w:val="en-US"/>
        </w:rPr>
        <w:t>’</w:t>
      </w:r>
      <w:r>
        <w:rPr>
          <w:lang w:val="en-US"/>
        </w:rPr>
        <w:t>s moving closer to Arete in his fr. 23:</w:t>
      </w:r>
    </w:p>
    <w:p w14:paraId="2DBDCFCB" w14:textId="77777777" w:rsidR="006512C4" w:rsidRPr="00A103F2" w:rsidRDefault="006512C4" w:rsidP="0097588B">
      <w:pPr>
        <w:ind w:firstLine="425"/>
        <w:rPr>
          <w:lang w:val="en-US"/>
        </w:rPr>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243E8580" w14:textId="77777777" w:rsidTr="00890EB4">
        <w:tc>
          <w:tcPr>
            <w:tcW w:w="4258" w:type="dxa"/>
          </w:tcPr>
          <w:p w14:paraId="315FD031" w14:textId="488DEB40" w:rsidR="006512C4" w:rsidRPr="00D630EB" w:rsidRDefault="006512C4" w:rsidP="009F617D">
            <w:pPr>
              <w:pStyle w:val="Blockquote"/>
              <w:spacing w:line="300" w:lineRule="exact"/>
              <w:rPr>
                <w:sz w:val="22"/>
                <w:szCs w:val="22"/>
              </w:rPr>
            </w:pPr>
            <w:r w:rsidRPr="00D630EB">
              <w:rPr>
                <w:sz w:val="22"/>
                <w:szCs w:val="22"/>
              </w:rPr>
              <w:t>ἐγὼ δὲ δεξιῶι παρ</w:t>
            </w:r>
            <w:r w:rsidR="00075F5F">
              <w:rPr>
                <w:sz w:val="22"/>
                <w:szCs w:val="22"/>
              </w:rPr>
              <w:t>’</w:t>
            </w:r>
            <w:r w:rsidRPr="00D630EB">
              <w:rPr>
                <w:sz w:val="22"/>
                <w:szCs w:val="22"/>
              </w:rPr>
              <w:t xml:space="preserve"> Ἀρήτην </w:t>
            </w:r>
          </w:p>
          <w:p w14:paraId="43C2A445" w14:textId="5A542F3E" w:rsidR="006512C4" w:rsidRPr="00D630EB" w:rsidRDefault="006512C4" w:rsidP="009F617D">
            <w:pPr>
              <w:pStyle w:val="Blockquote"/>
              <w:spacing w:line="300" w:lineRule="exact"/>
              <w:rPr>
                <w:sz w:val="22"/>
                <w:szCs w:val="22"/>
                <w:lang w:val="en-US"/>
              </w:rPr>
            </w:pPr>
            <w:r w:rsidRPr="00D630EB">
              <w:rPr>
                <w:sz w:val="22"/>
                <w:szCs w:val="22"/>
              </w:rPr>
              <w:t xml:space="preserve">κνεφαῖος ἐλθὼν </w:t>
            </w:r>
            <w:r w:rsidR="00075F5F">
              <w:rPr>
                <w:sz w:val="22"/>
                <w:szCs w:val="22"/>
              </w:rPr>
              <w:t>‘</w:t>
            </w:r>
            <w:r w:rsidRPr="00D630EB">
              <w:rPr>
                <w:sz w:val="22"/>
                <w:szCs w:val="22"/>
              </w:rPr>
              <w:t>ρωιδιῶι κατηυλίσθην</w:t>
            </w:r>
          </w:p>
        </w:tc>
        <w:tc>
          <w:tcPr>
            <w:tcW w:w="3680" w:type="dxa"/>
          </w:tcPr>
          <w:p w14:paraId="1D24B4F3" w14:textId="77777777" w:rsidR="006512C4" w:rsidRPr="00D630EB" w:rsidRDefault="006512C4" w:rsidP="009F617D">
            <w:pPr>
              <w:pStyle w:val="Blockquote"/>
              <w:spacing w:line="300" w:lineRule="exact"/>
              <w:rPr>
                <w:sz w:val="22"/>
                <w:szCs w:val="22"/>
                <w:lang w:val="en-US"/>
              </w:rPr>
            </w:pPr>
            <w:r w:rsidRPr="00D630EB">
              <w:rPr>
                <w:sz w:val="22"/>
                <w:szCs w:val="22"/>
              </w:rPr>
              <w:t>With a heron on the right</w:t>
            </w:r>
            <w:r w:rsidRPr="00D630EB">
              <w:rPr>
                <w:rStyle w:val="FootnoteReference"/>
                <w:sz w:val="22"/>
                <w:szCs w:val="22"/>
              </w:rPr>
              <w:footnoteReference w:id="291"/>
            </w:r>
            <w:r w:rsidRPr="00D630EB">
              <w:rPr>
                <w:sz w:val="22"/>
                <w:szCs w:val="22"/>
              </w:rPr>
              <w:t xml:space="preserve"> I went to Arete in the dark and took up lodging</w:t>
            </w:r>
          </w:p>
        </w:tc>
      </w:tr>
    </w:tbl>
    <w:p w14:paraId="0D945452" w14:textId="77777777" w:rsidR="006512C4" w:rsidRPr="00A103F2" w:rsidRDefault="006512C4" w:rsidP="009F617D">
      <w:pPr>
        <w:pStyle w:val="Blockquote"/>
        <w:spacing w:line="300" w:lineRule="exact"/>
        <w:rPr>
          <w:lang w:val="en-US"/>
        </w:rPr>
      </w:pPr>
    </w:p>
    <w:p w14:paraId="0E7398F2" w14:textId="3E90BE7B" w:rsidR="006512C4" w:rsidRDefault="00B057DE" w:rsidP="00A1447B">
      <w:pPr>
        <w:autoSpaceDE w:val="0"/>
        <w:autoSpaceDN w:val="0"/>
        <w:adjustRightInd w:val="0"/>
        <w:rPr>
          <w:rFonts w:cs="Times New Roman"/>
        </w:rPr>
      </w:pPr>
      <w:r>
        <w:rPr>
          <w:lang w:val="en-US"/>
        </w:rPr>
        <w:t xml:space="preserve">It is worth noting that the sentence echoes the Homeric passage </w:t>
      </w:r>
      <w:r>
        <w:rPr>
          <w:i/>
          <w:iCs/>
          <w:lang w:val="en-US"/>
        </w:rPr>
        <w:t>Il</w:t>
      </w:r>
      <w:r>
        <w:rPr>
          <w:lang w:val="en-US"/>
        </w:rPr>
        <w:t xml:space="preserve">. 10.274-76: </w:t>
      </w:r>
    </w:p>
    <w:p w14:paraId="03BF3683" w14:textId="77777777" w:rsidR="006512C4" w:rsidRDefault="006512C4" w:rsidP="009F617D">
      <w:pPr>
        <w:pStyle w:val="Blockquote"/>
        <w:spacing w:line="300" w:lineRule="exact"/>
      </w:pPr>
    </w:p>
    <w:tbl>
      <w:tblPr>
        <w:tblStyle w:val="TableGrid"/>
        <w:tblW w:w="8080"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822"/>
      </w:tblGrid>
      <w:tr w:rsidR="006512C4" w:rsidRPr="00D630EB" w14:paraId="5BA737AF" w14:textId="77777777" w:rsidTr="00890EB4">
        <w:tc>
          <w:tcPr>
            <w:tcW w:w="4258" w:type="dxa"/>
          </w:tcPr>
          <w:p w14:paraId="5F7BD1E1" w14:textId="77777777" w:rsidR="00452D45" w:rsidRPr="00D630EB" w:rsidRDefault="006512C4" w:rsidP="009F617D">
            <w:pPr>
              <w:pStyle w:val="Blockquote"/>
              <w:spacing w:line="300" w:lineRule="exact"/>
              <w:rPr>
                <w:sz w:val="22"/>
                <w:szCs w:val="22"/>
              </w:rPr>
            </w:pPr>
            <w:r w:rsidRPr="00D630EB">
              <w:rPr>
                <w:sz w:val="22"/>
                <w:szCs w:val="22"/>
              </w:rPr>
              <w:t xml:space="preserve">τοῖσι δὲ δεξιὸν ἧκεν ἐρωδιὸν ἐγγὺς ὁδοῖο </w:t>
            </w:r>
          </w:p>
          <w:p w14:paraId="0FAB2765" w14:textId="2C2F9595" w:rsidR="006512C4" w:rsidRPr="00D630EB" w:rsidRDefault="006512C4" w:rsidP="009F617D">
            <w:pPr>
              <w:pStyle w:val="Blockquote"/>
              <w:spacing w:line="300" w:lineRule="exact"/>
              <w:rPr>
                <w:sz w:val="22"/>
                <w:szCs w:val="22"/>
              </w:rPr>
            </w:pPr>
            <w:r w:rsidRPr="00D630EB">
              <w:rPr>
                <w:sz w:val="22"/>
                <w:szCs w:val="22"/>
              </w:rPr>
              <w:t>Παλλὰς Ἀθηναίη</w:t>
            </w:r>
          </w:p>
        </w:tc>
        <w:tc>
          <w:tcPr>
            <w:tcW w:w="3822" w:type="dxa"/>
          </w:tcPr>
          <w:p w14:paraId="341318B2" w14:textId="77777777" w:rsidR="006512C4" w:rsidRPr="00D630EB" w:rsidRDefault="006512C4" w:rsidP="009F617D">
            <w:pPr>
              <w:pStyle w:val="Blockquote"/>
              <w:spacing w:line="300" w:lineRule="exact"/>
              <w:rPr>
                <w:sz w:val="22"/>
                <w:szCs w:val="22"/>
              </w:rPr>
            </w:pPr>
            <w:r w:rsidRPr="00D630EB">
              <w:rPr>
                <w:sz w:val="22"/>
                <w:szCs w:val="22"/>
              </w:rPr>
              <w:t>And for them Pallas Athene sent forth on their right a heron, hard by the way</w:t>
            </w:r>
          </w:p>
        </w:tc>
      </w:tr>
    </w:tbl>
    <w:p w14:paraId="3910184E" w14:textId="77777777" w:rsidR="006512C4" w:rsidRDefault="006512C4" w:rsidP="009F617D">
      <w:pPr>
        <w:pStyle w:val="Blockquote"/>
        <w:spacing w:line="300" w:lineRule="exact"/>
      </w:pPr>
    </w:p>
    <w:p w14:paraId="6BC2D129" w14:textId="09B6320C" w:rsidR="00B057DE" w:rsidRDefault="00B057DE" w:rsidP="00A1447B">
      <w:pPr>
        <w:rPr>
          <w:lang w:val="en-US"/>
        </w:rPr>
      </w:pPr>
      <w:r>
        <w:rPr>
          <w:lang w:val="en-US"/>
        </w:rPr>
        <w:t>Here, the god Athena manifests herself through an omen: hence, Hipponax is using ἐνάργεια as a rhetorical device, parodying a Homeric passage that denotes an episode of real ἐνάργεια.</w:t>
      </w:r>
      <w:r>
        <w:rPr>
          <w:rStyle w:val="FootnoteReference"/>
          <w:lang w:val="en-US"/>
        </w:rPr>
        <w:footnoteReference w:id="292"/>
      </w:r>
      <w:r>
        <w:rPr>
          <w:lang w:val="en-US"/>
        </w:rPr>
        <w:t xml:space="preserve"> The listeners become spectators, or something more, since they are involved in the narrated episode as if they are acting. The verb καταυλίζομαι</w:t>
      </w:r>
      <w:r>
        <w:rPr>
          <w:rStyle w:val="FootnoteReference"/>
          <w:lang w:val="en-US"/>
        </w:rPr>
        <w:footnoteReference w:id="293"/>
      </w:r>
      <w:r>
        <w:rPr>
          <w:lang w:val="en-US"/>
        </w:rPr>
        <w:t xml:space="preserve"> </w:t>
      </w:r>
      <w:r w:rsidR="00CC0615">
        <w:rPr>
          <w:lang w:val="en-US"/>
        </w:rPr>
        <w:t>“</w:t>
      </w:r>
      <w:r>
        <w:rPr>
          <w:lang w:val="en-US"/>
        </w:rPr>
        <w:t xml:space="preserve">to be </w:t>
      </w:r>
      <w:r>
        <w:rPr>
          <w:lang w:val="en-US"/>
        </w:rPr>
        <w:lastRenderedPageBreak/>
        <w:t>under shelter of a hall</w:t>
      </w:r>
      <w:r w:rsidR="00CC0615">
        <w:rPr>
          <w:lang w:val="en-US"/>
        </w:rPr>
        <w:t>”</w:t>
      </w:r>
      <w:r>
        <w:rPr>
          <w:lang w:val="en-US"/>
        </w:rPr>
        <w:t xml:space="preserve"> is used with particular reference to the army, and implies a collective or community, so that this helps to draw the listener into the narration through </w:t>
      </w:r>
      <w:r w:rsidR="00075F5F">
        <w:rPr>
          <w:lang w:val="en-US"/>
        </w:rPr>
        <w:t xml:space="preserve">Hipponax’s </w:t>
      </w:r>
      <w:r>
        <w:rPr>
          <w:lang w:val="en-US"/>
        </w:rPr>
        <w:t>phantas</w:t>
      </w:r>
      <w:r w:rsidR="00075F5F">
        <w:rPr>
          <w:lang w:val="en-US"/>
        </w:rPr>
        <w:t>y</w:t>
      </w:r>
      <w:r>
        <w:rPr>
          <w:lang w:val="en-US"/>
        </w:rPr>
        <w:t>,</w:t>
      </w:r>
      <w:r>
        <w:rPr>
          <w:rStyle w:val="FootnoteReference"/>
          <w:lang w:val="en-US"/>
        </w:rPr>
        <w:footnoteReference w:id="294"/>
      </w:r>
      <w:r>
        <w:rPr>
          <w:lang w:val="en-US"/>
        </w:rPr>
        <w:t xml:space="preserve"> which references human activity to create a lifelike picture of reality. </w:t>
      </w:r>
    </w:p>
    <w:p w14:paraId="126EDFAB" w14:textId="3681257F" w:rsidR="00754F18" w:rsidRDefault="00B057DE" w:rsidP="0097588B">
      <w:pPr>
        <w:autoSpaceDE w:val="0"/>
        <w:autoSpaceDN w:val="0"/>
        <w:adjustRightInd w:val="0"/>
        <w:ind w:firstLine="425"/>
        <w:rPr>
          <w:rFonts w:cs="Times New Roman"/>
        </w:rPr>
      </w:pPr>
      <w:r>
        <w:rPr>
          <w:lang w:val="en-US"/>
        </w:rPr>
        <w:t>This means that the aorist can not only be used in situations of immediate deixis (Bühler</w:t>
      </w:r>
      <w:r w:rsidR="00075F5F">
        <w:rPr>
          <w:lang w:val="en-US"/>
        </w:rPr>
        <w:t>’</w:t>
      </w:r>
      <w:r>
        <w:rPr>
          <w:lang w:val="en-US"/>
        </w:rPr>
        <w:t xml:space="preserve">s </w:t>
      </w:r>
      <w:r>
        <w:rPr>
          <w:i/>
          <w:iCs/>
          <w:lang w:val="en-US"/>
        </w:rPr>
        <w:t>demonstratio ad oculos</w:t>
      </w:r>
      <w:r>
        <w:rPr>
          <w:lang w:val="en-US"/>
        </w:rPr>
        <w:t>) but can also perform Bühler</w:t>
      </w:r>
      <w:r w:rsidR="00075F5F">
        <w:rPr>
          <w:lang w:val="en-US"/>
        </w:rPr>
        <w:t>’</w:t>
      </w:r>
      <w:r>
        <w:rPr>
          <w:lang w:val="en-US"/>
        </w:rPr>
        <w:t>s</w:t>
      </w:r>
      <w:r>
        <w:rPr>
          <w:i/>
          <w:iCs/>
          <w:lang w:val="en-US"/>
        </w:rPr>
        <w:t xml:space="preserve"> Deixis am Phantasma</w:t>
      </w:r>
      <w:r>
        <w:rPr>
          <w:lang w:val="en-US"/>
        </w:rPr>
        <w:t xml:space="preserve"> when applied to what is not immediately present. Hipponax often uses the aorist to put on stage characters who seem really present and before his audience</w:t>
      </w:r>
      <w:r w:rsidR="00075F5F">
        <w:rPr>
          <w:lang w:val="en-US"/>
        </w:rPr>
        <w:t>’</w:t>
      </w:r>
      <w:r>
        <w:rPr>
          <w:lang w:val="en-US"/>
        </w:rPr>
        <w:t>s eyes, even if they are not necessarily there, as the glutton of fr. 36:</w:t>
      </w:r>
    </w:p>
    <w:p w14:paraId="0B77AE70" w14:textId="77777777" w:rsidR="006512C4" w:rsidRDefault="006512C4" w:rsidP="0097588B">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0D51B721" w14:textId="77777777" w:rsidTr="00890EB4">
        <w:tc>
          <w:tcPr>
            <w:tcW w:w="4258" w:type="dxa"/>
          </w:tcPr>
          <w:p w14:paraId="5FC93BF3" w14:textId="77777777" w:rsidR="006512C4" w:rsidRPr="00D630EB" w:rsidRDefault="006512C4" w:rsidP="00243569">
            <w:pPr>
              <w:pStyle w:val="Blockquote"/>
              <w:rPr>
                <w:sz w:val="22"/>
                <w:szCs w:val="22"/>
              </w:rPr>
            </w:pPr>
            <w:r w:rsidRPr="00D630EB">
              <w:rPr>
                <w:sz w:val="22"/>
                <w:szCs w:val="22"/>
              </w:rPr>
              <w:t xml:space="preserve">ὁ μὲν γὰρ αὐτῶν ἡσυχῆι τε καὶ ῥύδην  </w:t>
            </w:r>
          </w:p>
          <w:p w14:paraId="460DC267" w14:textId="77777777" w:rsidR="006512C4" w:rsidRPr="00D630EB" w:rsidRDefault="006512C4" w:rsidP="00243569">
            <w:pPr>
              <w:pStyle w:val="Blockquote"/>
              <w:rPr>
                <w:sz w:val="22"/>
                <w:szCs w:val="22"/>
              </w:rPr>
            </w:pPr>
            <w:r w:rsidRPr="00D630EB">
              <w:rPr>
                <w:sz w:val="22"/>
                <w:szCs w:val="22"/>
              </w:rPr>
              <w:t>θύννάν τε καὶ μυσσωτὸν ἡμέρας πάσας δαινύμενος ὥσπερ Λαμψακηνὸς εὐνοῦχος κατέφαγε δὴ τὸν κλῆρον·</w:t>
            </w:r>
          </w:p>
        </w:tc>
        <w:tc>
          <w:tcPr>
            <w:tcW w:w="3680" w:type="dxa"/>
          </w:tcPr>
          <w:p w14:paraId="18E7BD31" w14:textId="77777777" w:rsidR="006512C4" w:rsidRPr="00D630EB" w:rsidRDefault="006512C4" w:rsidP="00243569">
            <w:pPr>
              <w:pStyle w:val="Blockquote"/>
              <w:rPr>
                <w:sz w:val="22"/>
                <w:szCs w:val="22"/>
              </w:rPr>
            </w:pPr>
            <w:r w:rsidRPr="00D630EB">
              <w:rPr>
                <w:sz w:val="22"/>
                <w:szCs w:val="22"/>
              </w:rPr>
              <w:t>For one of them, dining at his ease and lavishly every day on tuna and savoury sauce like and eunuch from Lampsacus, ate up his inheritance</w:t>
            </w:r>
          </w:p>
        </w:tc>
      </w:tr>
    </w:tbl>
    <w:p w14:paraId="12EB148E" w14:textId="77777777" w:rsidR="006512C4" w:rsidRDefault="006512C4" w:rsidP="00243569">
      <w:pPr>
        <w:pStyle w:val="Blockquote"/>
      </w:pPr>
    </w:p>
    <w:p w14:paraId="3CD7B4D8" w14:textId="76F3B5A7" w:rsidR="00B057DE" w:rsidRDefault="00B057DE" w:rsidP="00A1447B">
      <w:pPr>
        <w:rPr>
          <w:lang w:val="en-US"/>
        </w:rPr>
      </w:pPr>
      <w:r>
        <w:rPr>
          <w:lang w:val="en-US"/>
        </w:rPr>
        <w:t>This performance of the past in the present is an important aspect of the aorist; and I argue that in Hipponax</w:t>
      </w:r>
      <w:r w:rsidR="00075F5F">
        <w:rPr>
          <w:lang w:val="en-US"/>
        </w:rPr>
        <w:t>’</w:t>
      </w:r>
      <w:r>
        <w:rPr>
          <w:lang w:val="en-US"/>
        </w:rPr>
        <w:t xml:space="preserve">s fragments this plays the same role as the use of the third person: the </w:t>
      </w:r>
      <w:r w:rsidR="00CC0615">
        <w:rPr>
          <w:lang w:val="en-US"/>
        </w:rPr>
        <w:t>“</w:t>
      </w:r>
      <w:r>
        <w:rPr>
          <w:lang w:val="en-US"/>
        </w:rPr>
        <w:t>he</w:t>
      </w:r>
      <w:r w:rsidR="00CC0615">
        <w:rPr>
          <w:lang w:val="en-US"/>
        </w:rPr>
        <w:t>”</w:t>
      </w:r>
      <w:r>
        <w:rPr>
          <w:lang w:val="en-US"/>
        </w:rPr>
        <w:t xml:space="preserve"> (ὁ μὲν) who is typically not present in the speech-event between the </w:t>
      </w:r>
      <w:r w:rsidR="00CC0615">
        <w:rPr>
          <w:lang w:val="en-US"/>
        </w:rPr>
        <w:t>“</w:t>
      </w:r>
      <w:r>
        <w:rPr>
          <w:lang w:val="en-US"/>
        </w:rPr>
        <w:t>me</w:t>
      </w:r>
      <w:r w:rsidR="00CC0615">
        <w:rPr>
          <w:lang w:val="en-US"/>
        </w:rPr>
        <w:t>”</w:t>
      </w:r>
      <w:r>
        <w:rPr>
          <w:lang w:val="en-US"/>
        </w:rPr>
        <w:t xml:space="preserve"> and the </w:t>
      </w:r>
      <w:r w:rsidR="00CC0615">
        <w:rPr>
          <w:lang w:val="en-US"/>
        </w:rPr>
        <w:t>“</w:t>
      </w:r>
      <w:r>
        <w:rPr>
          <w:lang w:val="en-US"/>
        </w:rPr>
        <w:t>you,</w:t>
      </w:r>
      <w:r w:rsidR="00CC0615">
        <w:rPr>
          <w:lang w:val="en-US"/>
        </w:rPr>
        <w:t>”</w:t>
      </w:r>
      <w:r>
        <w:rPr>
          <w:lang w:val="en-US"/>
        </w:rPr>
        <w:t xml:space="preserve"> and seems at first sight to signal distance or even absence. An accomplishment from the past enters the present in the form of a speech-act that names the event, thus reenacting in front of the audience </w:t>
      </w:r>
      <w:r>
        <w:rPr>
          <w:i/>
          <w:iCs/>
          <w:lang w:val="en-US"/>
        </w:rPr>
        <w:t>hic et nunc</w:t>
      </w:r>
      <w:r>
        <w:rPr>
          <w:lang w:val="en-US"/>
        </w:rPr>
        <w:t xml:space="preserve"> its accomplishment by the acting agent who seems really to share audience</w:t>
      </w:r>
      <w:r w:rsidR="00075F5F">
        <w:rPr>
          <w:lang w:val="en-US"/>
        </w:rPr>
        <w:t>’</w:t>
      </w:r>
      <w:r>
        <w:rPr>
          <w:lang w:val="en-US"/>
        </w:rPr>
        <w:t>s spatial and temporal dimension. The agent is named Hipponax and thus speaker and character overlap.</w:t>
      </w:r>
    </w:p>
    <w:p w14:paraId="4B26FC8D" w14:textId="6C0DA44C" w:rsidR="00754F18" w:rsidRDefault="00B057DE" w:rsidP="0097588B">
      <w:pPr>
        <w:autoSpaceDE w:val="0"/>
        <w:autoSpaceDN w:val="0"/>
        <w:adjustRightInd w:val="0"/>
        <w:ind w:firstLine="425"/>
        <w:rPr>
          <w:rFonts w:cs="Times New Roman"/>
        </w:rPr>
      </w:pPr>
      <w:r>
        <w:rPr>
          <w:lang w:val="en-US"/>
        </w:rPr>
        <w:t>Moreover, aorists can enact and reenact the lasting consequences of an act in any concrete present, each time anew, as shown by Hippon. fr. 43:</w:t>
      </w:r>
      <w:r w:rsidR="006512C4" w:rsidRPr="00282AF3">
        <w:rPr>
          <w:rFonts w:cs="Times New Roman"/>
        </w:rPr>
        <w:t xml:space="preserve"> </w:t>
      </w:r>
    </w:p>
    <w:p w14:paraId="2FD105B0" w14:textId="77777777" w:rsidR="006512C4" w:rsidRDefault="006512C4" w:rsidP="0097588B">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66222076" w14:textId="77777777" w:rsidTr="00890EB4">
        <w:tc>
          <w:tcPr>
            <w:tcW w:w="4258" w:type="dxa"/>
          </w:tcPr>
          <w:p w14:paraId="186230C2" w14:textId="773125B2" w:rsidR="00ED5701" w:rsidRPr="00D630EB" w:rsidRDefault="006512C4" w:rsidP="00ED5701">
            <w:pPr>
              <w:pStyle w:val="Blockquote"/>
              <w:rPr>
                <w:sz w:val="22"/>
                <w:szCs w:val="22"/>
              </w:rPr>
            </w:pPr>
            <w:r w:rsidRPr="00D630EB">
              <w:rPr>
                <w:sz w:val="22"/>
                <w:szCs w:val="22"/>
              </w:rPr>
              <w:t xml:space="preserve">ἐμοὶ γὰρ οὐκ ἔδωκας οὔτέ κω χλαῖναν  </w:t>
            </w:r>
          </w:p>
          <w:p w14:paraId="1E7CEAD1" w14:textId="77777777" w:rsidR="00ED5701" w:rsidRPr="00D630EB" w:rsidRDefault="006512C4" w:rsidP="00ED5701">
            <w:pPr>
              <w:pStyle w:val="Blockquote"/>
              <w:rPr>
                <w:sz w:val="22"/>
                <w:szCs w:val="22"/>
              </w:rPr>
            </w:pPr>
            <w:r w:rsidRPr="00D630EB">
              <w:rPr>
                <w:sz w:val="22"/>
                <w:szCs w:val="22"/>
              </w:rPr>
              <w:t>δασεῖαν ἐν χειμῶνι φάρμακον ῥίγεος,</w:t>
            </w:r>
          </w:p>
          <w:p w14:paraId="2A7575B3" w14:textId="3A32A734" w:rsidR="00ED5701" w:rsidRPr="00D630EB" w:rsidRDefault="006512C4" w:rsidP="00ED5701">
            <w:pPr>
              <w:pStyle w:val="Blockquote"/>
              <w:rPr>
                <w:sz w:val="22"/>
                <w:szCs w:val="22"/>
              </w:rPr>
            </w:pPr>
            <w:r w:rsidRPr="00D630EB">
              <w:rPr>
                <w:sz w:val="22"/>
                <w:szCs w:val="22"/>
                <w:lang w:val="el-GR"/>
              </w:rPr>
              <w:t>οὔτ</w:t>
            </w:r>
            <w:r w:rsidR="00075F5F">
              <w:rPr>
                <w:sz w:val="22"/>
                <w:szCs w:val="22"/>
              </w:rPr>
              <w:t>’</w:t>
            </w:r>
            <w:r w:rsidRPr="00D630EB">
              <w:rPr>
                <w:sz w:val="22"/>
                <w:szCs w:val="22"/>
              </w:rPr>
              <w:t xml:space="preserve"> </w:t>
            </w:r>
            <w:r w:rsidRPr="00D630EB">
              <w:rPr>
                <w:sz w:val="22"/>
                <w:szCs w:val="22"/>
                <w:lang w:val="el-GR"/>
              </w:rPr>
              <w:t>ἀσκέρηισι</w:t>
            </w:r>
            <w:r w:rsidRPr="00D630EB">
              <w:rPr>
                <w:sz w:val="22"/>
                <w:szCs w:val="22"/>
              </w:rPr>
              <w:t xml:space="preserve"> </w:t>
            </w:r>
            <w:r w:rsidRPr="00D630EB">
              <w:rPr>
                <w:sz w:val="22"/>
                <w:szCs w:val="22"/>
                <w:lang w:val="el-GR"/>
              </w:rPr>
              <w:t>τοὺ</w:t>
            </w:r>
            <w:r w:rsidR="00ED5701" w:rsidRPr="00D630EB">
              <w:rPr>
                <w:sz w:val="22"/>
                <w:szCs w:val="22"/>
                <w:lang w:val="el-GR"/>
              </w:rPr>
              <w:t>ς</w:t>
            </w:r>
            <w:r w:rsidR="00ED5701" w:rsidRPr="00D630EB">
              <w:rPr>
                <w:sz w:val="22"/>
                <w:szCs w:val="22"/>
              </w:rPr>
              <w:t xml:space="preserve"> </w:t>
            </w:r>
            <w:r w:rsidR="00ED5701" w:rsidRPr="00D630EB">
              <w:rPr>
                <w:sz w:val="22"/>
                <w:szCs w:val="22"/>
                <w:lang w:val="el-GR"/>
              </w:rPr>
              <w:t>πόδας</w:t>
            </w:r>
            <w:r w:rsidR="00ED5701" w:rsidRPr="00D630EB">
              <w:rPr>
                <w:sz w:val="22"/>
                <w:szCs w:val="22"/>
              </w:rPr>
              <w:t xml:space="preserve"> </w:t>
            </w:r>
            <w:r w:rsidR="00ED5701" w:rsidRPr="00D630EB">
              <w:rPr>
                <w:sz w:val="22"/>
                <w:szCs w:val="22"/>
                <w:lang w:val="el-GR"/>
              </w:rPr>
              <w:t>δασείηισι</w:t>
            </w:r>
          </w:p>
          <w:p w14:paraId="220234DC" w14:textId="5E06158C" w:rsidR="006512C4" w:rsidRPr="00D630EB" w:rsidRDefault="006512C4" w:rsidP="00243569">
            <w:pPr>
              <w:pStyle w:val="Blockquote"/>
              <w:rPr>
                <w:sz w:val="22"/>
                <w:szCs w:val="22"/>
              </w:rPr>
            </w:pPr>
            <w:r w:rsidRPr="00D630EB">
              <w:rPr>
                <w:sz w:val="22"/>
                <w:szCs w:val="22"/>
              </w:rPr>
              <w:lastRenderedPageBreak/>
              <w:t>ἔκρυψας, ὥς μοι μὴ χίμετλα ῥήγνυται</w:t>
            </w:r>
          </w:p>
        </w:tc>
        <w:tc>
          <w:tcPr>
            <w:tcW w:w="3680" w:type="dxa"/>
          </w:tcPr>
          <w:p w14:paraId="49B2A99F" w14:textId="312A94F4" w:rsidR="006512C4" w:rsidRPr="00D630EB" w:rsidRDefault="006512C4" w:rsidP="00243569">
            <w:pPr>
              <w:pStyle w:val="Blockquote"/>
              <w:rPr>
                <w:sz w:val="22"/>
                <w:szCs w:val="22"/>
              </w:rPr>
            </w:pPr>
            <w:r w:rsidRPr="00D630EB">
              <w:rPr>
                <w:sz w:val="22"/>
                <w:szCs w:val="22"/>
              </w:rPr>
              <w:lastRenderedPageBreak/>
              <w:t>For you haven</w:t>
            </w:r>
            <w:r w:rsidR="00075F5F">
              <w:rPr>
                <w:sz w:val="22"/>
                <w:szCs w:val="22"/>
              </w:rPr>
              <w:t>’</w:t>
            </w:r>
            <w:r w:rsidRPr="00D630EB">
              <w:rPr>
                <w:sz w:val="22"/>
                <w:szCs w:val="22"/>
              </w:rPr>
              <w:t xml:space="preserve">t yet given me a thick cloak as a remedy against the cold in winter nor have you covered my feet </w:t>
            </w:r>
            <w:r w:rsidRPr="00D630EB">
              <w:rPr>
                <w:sz w:val="22"/>
                <w:szCs w:val="22"/>
              </w:rPr>
              <w:lastRenderedPageBreak/>
              <w:t>with thick felt shoes, so that my chilblains not burst</w:t>
            </w:r>
          </w:p>
        </w:tc>
      </w:tr>
    </w:tbl>
    <w:p w14:paraId="464437B1" w14:textId="77777777" w:rsidR="006512C4" w:rsidRDefault="006512C4" w:rsidP="00243569">
      <w:pPr>
        <w:pStyle w:val="Blockquote"/>
      </w:pPr>
    </w:p>
    <w:p w14:paraId="6E3891C4" w14:textId="149922E8" w:rsidR="00B057DE" w:rsidRPr="0097588B" w:rsidRDefault="00A1447B" w:rsidP="00A1447B">
      <w:pPr>
        <w:rPr>
          <w:szCs w:val="24"/>
          <w:lang w:val="en-US"/>
        </w:rPr>
      </w:pPr>
      <w:r>
        <w:rPr>
          <w:szCs w:val="24"/>
          <w:lang w:val="en-US"/>
        </w:rPr>
        <w:t>In these lines</w:t>
      </w:r>
      <w:r w:rsidR="00B057DE" w:rsidRPr="00754F18">
        <w:rPr>
          <w:szCs w:val="24"/>
          <w:lang w:val="en-US"/>
        </w:rPr>
        <w:t xml:space="preserve">, the aorists convey a subtle irony; as tenses, they inform us that the god has not yet given these things to the poet, but as a reenactment, they designate what was, what is, and what will be: </w:t>
      </w:r>
      <w:r w:rsidR="00CC0615">
        <w:rPr>
          <w:szCs w:val="24"/>
          <w:lang w:val="en-US"/>
        </w:rPr>
        <w:t>“</w:t>
      </w:r>
      <w:r w:rsidR="00B057DE" w:rsidRPr="00754F18">
        <w:rPr>
          <w:szCs w:val="24"/>
          <w:lang w:val="en-US"/>
        </w:rPr>
        <w:t>the aorist opens the present to the past, allowing for the possibility that the conditions for its utterance may continue to obtain.</w:t>
      </w:r>
      <w:r w:rsidR="00CC0615">
        <w:rPr>
          <w:szCs w:val="24"/>
          <w:lang w:val="en-US"/>
        </w:rPr>
        <w:t>”</w:t>
      </w:r>
      <w:r w:rsidR="00B057DE" w:rsidRPr="00754F18">
        <w:rPr>
          <w:rStyle w:val="FootnoteReference"/>
          <w:szCs w:val="24"/>
          <w:lang w:val="en-US"/>
        </w:rPr>
        <w:footnoteReference w:id="295"/>
      </w:r>
      <w:r w:rsidR="00B057DE" w:rsidRPr="00754F18">
        <w:rPr>
          <w:szCs w:val="24"/>
          <w:lang w:val="en-US"/>
        </w:rPr>
        <w:t xml:space="preserve"> In this case, the aorist verbs tell us that Hipponax will never receive these things. The fact that the aorist can be oriented also towards the future</w:t>
      </w:r>
      <w:r w:rsidR="00B057DE" w:rsidRPr="00754F18">
        <w:rPr>
          <w:rStyle w:val="FootnoteReference"/>
          <w:szCs w:val="24"/>
          <w:lang w:val="en-US"/>
        </w:rPr>
        <w:footnoteReference w:id="296"/>
      </w:r>
      <w:r w:rsidR="00B057DE" w:rsidRPr="00754F18">
        <w:rPr>
          <w:szCs w:val="24"/>
          <w:lang w:val="en-US"/>
        </w:rPr>
        <w:t xml:space="preserve"> is made explicit through the final sentence, which really refers to the future (</w:t>
      </w:r>
      <w:r w:rsidR="00B057DE" w:rsidRPr="0097588B">
        <w:rPr>
          <w:szCs w:val="24"/>
          <w:lang w:val="en-US"/>
        </w:rPr>
        <w:t xml:space="preserve">ὥς μοι μὴ χίμετλα ῥήγνυται). It should be noted that as Hipponax is only narrating a story without remarking on it, the aorist verbs do not displace any point of view into the past. The event comes from the past into the present and also spills into the future because, as an assertion or a performance, the aorist is repeatable. The facts themselves attest to the situation, and herein lies the irony of the fragment, as each new utterance is a sign that the past continues to feed the present rather than another reference to the same past event. </w:t>
      </w:r>
    </w:p>
    <w:p w14:paraId="0B3D0631" w14:textId="77D2C754" w:rsidR="00B057DE" w:rsidRPr="00754F18" w:rsidRDefault="00B057DE" w:rsidP="0097588B">
      <w:pPr>
        <w:ind w:firstLine="425"/>
        <w:rPr>
          <w:szCs w:val="24"/>
          <w:lang w:val="en-US"/>
        </w:rPr>
      </w:pPr>
      <w:r w:rsidRPr="0097588B">
        <w:rPr>
          <w:szCs w:val="24"/>
          <w:lang w:val="en-US"/>
        </w:rPr>
        <w:t xml:space="preserve">The sense of repeatability becomes even stronger when no specific past event is involved, as in fr. 1 ἔβωσε Μαίης παῖδα, Κυλλήνης πάλμυν </w:t>
      </w:r>
      <w:r w:rsidR="00CC0615">
        <w:rPr>
          <w:szCs w:val="24"/>
          <w:lang w:val="en-US"/>
        </w:rPr>
        <w:t>“</w:t>
      </w:r>
      <w:r w:rsidRPr="0097588B">
        <w:rPr>
          <w:szCs w:val="24"/>
          <w:lang w:val="en-US"/>
        </w:rPr>
        <w:t>he called upon Maia</w:t>
      </w:r>
      <w:r w:rsidR="00075F5F">
        <w:rPr>
          <w:szCs w:val="24"/>
          <w:lang w:val="en-US"/>
        </w:rPr>
        <w:t>’</w:t>
      </w:r>
      <w:r w:rsidRPr="0097588B">
        <w:rPr>
          <w:szCs w:val="24"/>
          <w:lang w:val="en-US"/>
        </w:rPr>
        <w:t>s son, sultan of Cyllene,</w:t>
      </w:r>
      <w:r w:rsidR="00CC0615">
        <w:rPr>
          <w:szCs w:val="24"/>
          <w:lang w:val="en-US"/>
        </w:rPr>
        <w:t>”</w:t>
      </w:r>
      <w:r w:rsidRPr="0097588B">
        <w:rPr>
          <w:szCs w:val="24"/>
          <w:lang w:val="en-US"/>
        </w:rPr>
        <w:t xml:space="preserve"> where he speaks of Hermes</w:t>
      </w:r>
      <w:r w:rsidR="00075F5F">
        <w:rPr>
          <w:szCs w:val="24"/>
          <w:lang w:val="en-US"/>
        </w:rPr>
        <w:t>’</w:t>
      </w:r>
      <w:r w:rsidRPr="0097588B">
        <w:rPr>
          <w:szCs w:val="24"/>
          <w:lang w:val="en-US"/>
        </w:rPr>
        <w:t>s timeless power and dominion. But it must be noted that in expressing this timeless power, the aorist is not timeless, since it is uttered in a precise, concrete context and it will be eventually uttered subsequently in another concrete context. The aorist asserts or performs Hermes</w:t>
      </w:r>
      <w:r w:rsidR="00075F5F">
        <w:rPr>
          <w:szCs w:val="24"/>
          <w:lang w:val="en-US"/>
        </w:rPr>
        <w:t>’</w:t>
      </w:r>
      <w:r w:rsidRPr="0097588B">
        <w:rPr>
          <w:szCs w:val="24"/>
          <w:lang w:val="en-US"/>
        </w:rPr>
        <w:t xml:space="preserve"> power now in Hipponax</w:t>
      </w:r>
      <w:r w:rsidR="00075F5F">
        <w:rPr>
          <w:szCs w:val="24"/>
          <w:lang w:val="en-US"/>
        </w:rPr>
        <w:t>’</w:t>
      </w:r>
      <w:r w:rsidRPr="0097588B">
        <w:rPr>
          <w:szCs w:val="24"/>
          <w:lang w:val="en-US"/>
        </w:rPr>
        <w:t>s audience</w:t>
      </w:r>
      <w:r w:rsidR="00075F5F">
        <w:rPr>
          <w:szCs w:val="24"/>
          <w:lang w:val="en-US"/>
        </w:rPr>
        <w:t>’</w:t>
      </w:r>
      <w:r w:rsidRPr="0097588B">
        <w:rPr>
          <w:szCs w:val="24"/>
          <w:lang w:val="en-US"/>
        </w:rPr>
        <w:t xml:space="preserve">s </w:t>
      </w:r>
      <w:r w:rsidRPr="0097588B">
        <w:rPr>
          <w:i/>
          <w:iCs/>
          <w:szCs w:val="24"/>
          <w:lang w:val="en-US"/>
        </w:rPr>
        <w:t>hic et nunc</w:t>
      </w:r>
      <w:r w:rsidRPr="0097588B">
        <w:rPr>
          <w:szCs w:val="24"/>
          <w:lang w:val="en-US"/>
        </w:rPr>
        <w:t>, but this aorist is located in a precise present which is only one in the infinite series of presents in which it is appropriate for a human to assert Hermes</w:t>
      </w:r>
      <w:r w:rsidR="00075F5F">
        <w:rPr>
          <w:szCs w:val="24"/>
          <w:lang w:val="en-US"/>
        </w:rPr>
        <w:t>’</w:t>
      </w:r>
      <w:r w:rsidRPr="0097588B">
        <w:rPr>
          <w:szCs w:val="24"/>
          <w:lang w:val="en-US"/>
        </w:rPr>
        <w:t xml:space="preserve"> power. Also in this case, the verb is in the third person, and the shortness of the fragment does not give the identity of this character; therefore, Svenbro accordingly writes: </w:t>
      </w:r>
      <w:r w:rsidR="00CC0615">
        <w:rPr>
          <w:szCs w:val="24"/>
          <w:lang w:val="en-US"/>
        </w:rPr>
        <w:t>“</w:t>
      </w:r>
      <w:r w:rsidRPr="0097588B">
        <w:rPr>
          <w:szCs w:val="24"/>
          <w:lang w:val="en-US"/>
        </w:rPr>
        <w:t>Soon the speaker would no longer be there; he became the third person by virtue of the fact that he spoke.</w:t>
      </w:r>
      <w:r w:rsidR="00CC0615">
        <w:rPr>
          <w:szCs w:val="24"/>
          <w:lang w:val="en-US"/>
        </w:rPr>
        <w:t>”</w:t>
      </w:r>
      <w:r w:rsidRPr="00754F18">
        <w:rPr>
          <w:rStyle w:val="FootnoteReference"/>
          <w:szCs w:val="24"/>
          <w:lang w:val="en-US"/>
        </w:rPr>
        <w:footnoteReference w:id="297"/>
      </w:r>
      <w:r w:rsidRPr="00754F18">
        <w:rPr>
          <w:szCs w:val="24"/>
          <w:lang w:val="en-US"/>
        </w:rPr>
        <w:t xml:space="preserve"> In uttering an aorist, Hipponax does not refer to an event but performs the event at the time and space of the utterance. </w:t>
      </w:r>
    </w:p>
    <w:p w14:paraId="3F232E30" w14:textId="7B00F72C" w:rsidR="00B057DE" w:rsidRPr="00754F18" w:rsidRDefault="00B057DE" w:rsidP="0097588B">
      <w:pPr>
        <w:ind w:firstLine="425"/>
        <w:rPr>
          <w:szCs w:val="24"/>
          <w:lang w:val="en-US"/>
        </w:rPr>
      </w:pPr>
      <w:r w:rsidRPr="0097588B">
        <w:rPr>
          <w:szCs w:val="24"/>
          <w:lang w:val="en-US"/>
        </w:rPr>
        <w:t xml:space="preserve">Yet when the subject of the verb also becomes generic, and the assertion is called a proverb, we find that Hipponax shifts from the aorist to the present, with no trace of any </w:t>
      </w:r>
      <w:r w:rsidR="00CC0615">
        <w:rPr>
          <w:szCs w:val="24"/>
          <w:lang w:val="en-US"/>
        </w:rPr>
        <w:t>“</w:t>
      </w:r>
      <w:r w:rsidRPr="0097588B">
        <w:rPr>
          <w:szCs w:val="24"/>
          <w:lang w:val="en-US"/>
        </w:rPr>
        <w:t>gnomic</w:t>
      </w:r>
      <w:r w:rsidR="00CC0615">
        <w:rPr>
          <w:szCs w:val="24"/>
          <w:lang w:val="en-US"/>
        </w:rPr>
        <w:t>”</w:t>
      </w:r>
      <w:r w:rsidRPr="0097588B">
        <w:rPr>
          <w:szCs w:val="24"/>
          <w:lang w:val="en-US"/>
        </w:rPr>
        <w:t xml:space="preserve"> use of the aorist.</w:t>
      </w:r>
      <w:r w:rsidRPr="00754F18">
        <w:rPr>
          <w:rStyle w:val="FootnoteReference"/>
          <w:szCs w:val="24"/>
          <w:lang w:val="en-US"/>
        </w:rPr>
        <w:footnoteReference w:id="298"/>
      </w:r>
      <w:r w:rsidRPr="00754F18">
        <w:rPr>
          <w:szCs w:val="24"/>
          <w:lang w:val="en-US"/>
        </w:rPr>
        <w:t xml:space="preserve"> Proverbs are not references to specific events but </w:t>
      </w:r>
      <w:r w:rsidR="00CC0615">
        <w:rPr>
          <w:szCs w:val="24"/>
          <w:lang w:val="en-US"/>
        </w:rPr>
        <w:t>“</w:t>
      </w:r>
      <w:r w:rsidRPr="00754F18">
        <w:rPr>
          <w:szCs w:val="24"/>
          <w:lang w:val="en-US"/>
        </w:rPr>
        <w:t xml:space="preserve">captions </w:t>
      </w:r>
      <w:r w:rsidRPr="00754F18">
        <w:rPr>
          <w:szCs w:val="24"/>
          <w:lang w:val="en-US"/>
        </w:rPr>
        <w:lastRenderedPageBreak/>
        <w:t>that capture the common denominator across a whole range of events.</w:t>
      </w:r>
      <w:r w:rsidR="00CC0615">
        <w:rPr>
          <w:szCs w:val="24"/>
          <w:lang w:val="en-US"/>
        </w:rPr>
        <w:t>”</w:t>
      </w:r>
      <w:r w:rsidRPr="00754F18">
        <w:rPr>
          <w:rStyle w:val="FootnoteReference"/>
          <w:szCs w:val="24"/>
          <w:lang w:val="en-US"/>
        </w:rPr>
        <w:footnoteReference w:id="299"/>
      </w:r>
      <w:r w:rsidRPr="00754F18">
        <w:rPr>
          <w:szCs w:val="24"/>
          <w:lang w:val="en-US"/>
        </w:rPr>
        <w:t xml:space="preserve"> Most often, in Greek literary texts, their essence is not their propositional content but their utterance in a specific situation as the speaker thinks warranted.</w:t>
      </w:r>
      <w:r w:rsidRPr="00754F18">
        <w:rPr>
          <w:rStyle w:val="FootnoteReference"/>
          <w:szCs w:val="24"/>
          <w:lang w:val="en-US"/>
        </w:rPr>
        <w:footnoteReference w:id="300"/>
      </w:r>
      <w:r w:rsidRPr="00754F18">
        <w:rPr>
          <w:szCs w:val="24"/>
          <w:lang w:val="en-US"/>
        </w:rPr>
        <w:t xml:space="preserve"> </w:t>
      </w:r>
    </w:p>
    <w:p w14:paraId="43AFBD9B" w14:textId="094A2ABD" w:rsidR="00B057DE" w:rsidRPr="00754F18" w:rsidRDefault="00B057DE" w:rsidP="0097588B">
      <w:pPr>
        <w:ind w:firstLine="425"/>
        <w:rPr>
          <w:szCs w:val="24"/>
          <w:lang w:val="en-US"/>
        </w:rPr>
      </w:pPr>
      <w:r w:rsidRPr="0097588B">
        <w:rPr>
          <w:szCs w:val="24"/>
          <w:lang w:val="en-US"/>
        </w:rPr>
        <w:t>Hipponax</w:t>
      </w:r>
      <w:r w:rsidR="00075F5F">
        <w:rPr>
          <w:szCs w:val="24"/>
          <w:lang w:val="en-US"/>
        </w:rPr>
        <w:t>’</w:t>
      </w:r>
      <w:r w:rsidRPr="0097588B">
        <w:rPr>
          <w:szCs w:val="24"/>
          <w:lang w:val="en-US"/>
        </w:rPr>
        <w:t xml:space="preserve">s use of proverbs differs: for example in fr. 153, the iambographer says κάκιον ἢ Βάβυς αὐλεῖ </w:t>
      </w:r>
      <w:r w:rsidR="00CC0615">
        <w:rPr>
          <w:szCs w:val="24"/>
          <w:lang w:val="en-US"/>
        </w:rPr>
        <w:t>“</w:t>
      </w:r>
      <w:r w:rsidRPr="0097588B">
        <w:rPr>
          <w:szCs w:val="24"/>
          <w:lang w:val="en-US"/>
        </w:rPr>
        <w:t>playing the flute worse than Babus.</w:t>
      </w:r>
      <w:r w:rsidR="00CC0615">
        <w:rPr>
          <w:szCs w:val="24"/>
          <w:lang w:val="en-US"/>
        </w:rPr>
        <w:t>”</w:t>
      </w:r>
      <w:r w:rsidRPr="0097588B">
        <w:rPr>
          <w:szCs w:val="24"/>
          <w:lang w:val="en-US"/>
        </w:rPr>
        <w:t xml:space="preserve"> I would argue that the present is used here and in other proverbs in Hipponax because in such cases Hipponax is informing or educating his audience about something, and feels the informative function to predominate over the entertainment function. Like Archilochus, then, he asserts truth through the present tense, as in Hippon. fr. 119 ὀλίγα φρονέουσιν οἱ χάλιν πεπωκότες </w:t>
      </w:r>
      <w:r w:rsidR="00CC0615">
        <w:rPr>
          <w:szCs w:val="24"/>
          <w:lang w:val="en-US"/>
        </w:rPr>
        <w:t>“</w:t>
      </w:r>
      <w:r w:rsidRPr="0097588B">
        <w:rPr>
          <w:szCs w:val="24"/>
          <w:lang w:val="en-US"/>
        </w:rPr>
        <w:t>Those who drink wine have few wits about them.</w:t>
      </w:r>
      <w:r w:rsidR="00CC0615">
        <w:rPr>
          <w:szCs w:val="24"/>
          <w:lang w:val="en-US"/>
        </w:rPr>
        <w:t>”</w:t>
      </w:r>
      <w:r w:rsidRPr="0097588B">
        <w:rPr>
          <w:szCs w:val="24"/>
          <w:lang w:val="en-US"/>
        </w:rPr>
        <w:t xml:space="preserve"> The statement conveys common knowledge previously accumulated, but it is not important when this knowledge was grasped. Indeed, it is timeless, in the sense that it has no temporal reference. Hipponax is not interested in the performative dimension of the </w:t>
      </w:r>
      <w:r w:rsidRPr="0097588B">
        <w:rPr>
          <w:i/>
          <w:iCs/>
          <w:szCs w:val="24"/>
          <w:lang w:val="en-US"/>
        </w:rPr>
        <w:t>gnome</w:t>
      </w:r>
      <w:r w:rsidRPr="0097588B">
        <w:rPr>
          <w:szCs w:val="24"/>
          <w:lang w:val="en-US"/>
        </w:rPr>
        <w:t xml:space="preserve"> – that is, in the kind of </w:t>
      </w:r>
      <w:r w:rsidR="00CC0615">
        <w:rPr>
          <w:szCs w:val="24"/>
          <w:lang w:val="en-US"/>
        </w:rPr>
        <w:t>“</w:t>
      </w:r>
      <w:r w:rsidRPr="0097588B">
        <w:rPr>
          <w:szCs w:val="24"/>
          <w:lang w:val="en-US"/>
        </w:rPr>
        <w:t>now</w:t>
      </w:r>
      <w:r w:rsidR="00CC0615">
        <w:rPr>
          <w:szCs w:val="24"/>
          <w:lang w:val="en-US"/>
        </w:rPr>
        <w:t>”</w:t>
      </w:r>
      <w:r w:rsidRPr="0097588B">
        <w:rPr>
          <w:szCs w:val="24"/>
          <w:lang w:val="en-US"/>
        </w:rPr>
        <w:t xml:space="preserve"> into which the past intrudes, as does the future, because the same situation is doomed to recur. On the contrary, he is interested in the timeless validity of the </w:t>
      </w:r>
      <w:r w:rsidRPr="0097588B">
        <w:rPr>
          <w:i/>
          <w:iCs/>
          <w:szCs w:val="24"/>
          <w:lang w:val="en-US"/>
        </w:rPr>
        <w:t>gnome</w:t>
      </w:r>
      <w:r w:rsidR="00754F18">
        <w:rPr>
          <w:iCs/>
          <w:szCs w:val="24"/>
          <w:lang w:val="en-US"/>
        </w:rPr>
        <w:t xml:space="preserve">. </w:t>
      </w:r>
      <w:r w:rsidRPr="00754F18">
        <w:rPr>
          <w:szCs w:val="24"/>
          <w:lang w:val="en-US"/>
        </w:rPr>
        <w:t xml:space="preserve">Therefore, I claim that, for Hipponax, a proverb is more a matter of content than performance, as he wishes to teach his audience through proverbs. </w:t>
      </w:r>
    </w:p>
    <w:p w14:paraId="50DB3467" w14:textId="34DDC710" w:rsidR="00754F18" w:rsidRPr="0097588B" w:rsidRDefault="00B057DE" w:rsidP="0097588B">
      <w:pPr>
        <w:autoSpaceDE w:val="0"/>
        <w:autoSpaceDN w:val="0"/>
        <w:adjustRightInd w:val="0"/>
        <w:ind w:firstLine="425"/>
        <w:rPr>
          <w:rFonts w:cs="Times New Roman"/>
          <w:szCs w:val="24"/>
        </w:rPr>
      </w:pPr>
      <w:r w:rsidRPr="0097588B">
        <w:rPr>
          <w:szCs w:val="24"/>
          <w:lang w:val="en-US"/>
        </w:rPr>
        <w:t>For the same reason, Hipponax always use the present tense when referring to the condition of the φαρμακοί, as in fr. 6:</w:t>
      </w:r>
    </w:p>
    <w:p w14:paraId="26989469" w14:textId="77777777" w:rsidR="00243569" w:rsidRDefault="00243569" w:rsidP="0097588B">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rsidRPr="00D630EB" w14:paraId="27D9A735" w14:textId="77777777" w:rsidTr="00890EB4">
        <w:tc>
          <w:tcPr>
            <w:tcW w:w="4258" w:type="dxa"/>
          </w:tcPr>
          <w:p w14:paraId="3D7ADA02" w14:textId="2005E976" w:rsidR="006512C4" w:rsidRPr="00D630EB" w:rsidRDefault="006512C4" w:rsidP="00243569">
            <w:pPr>
              <w:pStyle w:val="Blockquote"/>
              <w:rPr>
                <w:sz w:val="22"/>
                <w:szCs w:val="22"/>
                <w:lang w:val="el-GR"/>
              </w:rPr>
            </w:pPr>
            <w:r w:rsidRPr="00D630EB">
              <w:rPr>
                <w:sz w:val="22"/>
                <w:szCs w:val="22"/>
                <w:lang w:val="el-GR"/>
              </w:rPr>
              <w:t>βάλλοντες ἐν χειμῶνι καὶ ῥαπίζοντες</w:t>
            </w:r>
            <w:r w:rsidR="00ED5701" w:rsidRPr="00D630EB">
              <w:rPr>
                <w:sz w:val="22"/>
                <w:szCs w:val="22"/>
                <w:lang w:val="el-GR"/>
              </w:rPr>
              <w:t xml:space="preserve"> </w:t>
            </w:r>
          </w:p>
          <w:p w14:paraId="2D0A5A4A" w14:textId="77777777" w:rsidR="006512C4" w:rsidRPr="00D630EB" w:rsidRDefault="006512C4" w:rsidP="00243569">
            <w:pPr>
              <w:pStyle w:val="Blockquote"/>
              <w:rPr>
                <w:sz w:val="22"/>
                <w:szCs w:val="22"/>
                <w:lang w:val="el-GR"/>
              </w:rPr>
            </w:pPr>
            <w:r w:rsidRPr="00D630EB">
              <w:rPr>
                <w:sz w:val="22"/>
                <w:szCs w:val="22"/>
                <w:lang w:val="el-GR"/>
              </w:rPr>
              <w:t>κράδηισι καὶ σκίλληισιν ὥσπερ φαρμακόν</w:t>
            </w:r>
          </w:p>
        </w:tc>
        <w:tc>
          <w:tcPr>
            <w:tcW w:w="3680" w:type="dxa"/>
          </w:tcPr>
          <w:p w14:paraId="0136A161" w14:textId="77777777" w:rsidR="006512C4" w:rsidRPr="00D630EB" w:rsidRDefault="006512C4" w:rsidP="00243569">
            <w:pPr>
              <w:pStyle w:val="Blockquote"/>
              <w:rPr>
                <w:sz w:val="22"/>
                <w:szCs w:val="22"/>
              </w:rPr>
            </w:pPr>
            <w:r w:rsidRPr="00D630EB">
              <w:rPr>
                <w:sz w:val="22"/>
                <w:szCs w:val="22"/>
              </w:rPr>
              <w:t>In winter striking and flogging him with fig branches and squills as though a scapegoat</w:t>
            </w:r>
          </w:p>
        </w:tc>
      </w:tr>
    </w:tbl>
    <w:p w14:paraId="63F07318" w14:textId="77777777" w:rsidR="006512C4" w:rsidRDefault="006512C4" w:rsidP="00243569">
      <w:pPr>
        <w:pStyle w:val="Blockquote"/>
      </w:pPr>
    </w:p>
    <w:p w14:paraId="15B548A1" w14:textId="4A88DB79" w:rsidR="00B057DE" w:rsidRDefault="00B057DE" w:rsidP="00A1447B">
      <w:pPr>
        <w:rPr>
          <w:lang w:val="en-US"/>
        </w:rPr>
      </w:pPr>
      <w:r>
        <w:rPr>
          <w:lang w:val="en-US"/>
        </w:rPr>
        <w:t xml:space="preserve">Here, the iambographer is describing a well-known ritual, using it as simile to make it easier for his audience to visualize and imagine what he is saying. When Hipponax adverts to common knowledge to make himself better understood, he always speaks in the present because he is saying something that is valid for all of his audience, as in fr. 55 καὶ μὴν καλύπτεαι· μῶν χαραδριὸν περνάς; </w:t>
      </w:r>
      <w:r w:rsidR="00CC0615">
        <w:rPr>
          <w:lang w:val="en-US"/>
        </w:rPr>
        <w:t>“</w:t>
      </w:r>
      <w:r>
        <w:rPr>
          <w:lang w:val="en-US"/>
        </w:rPr>
        <w:t>And he keeps it covered; not selling a plover, is he?</w:t>
      </w:r>
      <w:r w:rsidR="00CC0615">
        <w:rPr>
          <w:lang w:val="en-US"/>
        </w:rPr>
        <w:t>”</w:t>
      </w:r>
      <w:r>
        <w:rPr>
          <w:lang w:val="en-US"/>
        </w:rPr>
        <w:t xml:space="preserve"> This reference to the χαραδριός is owing to the fact that those who sold this bird kept it covered, ensuring that those who suffered from jaundice and needed to buy it would not derive any benefit free of charge.</w:t>
      </w:r>
      <w:r>
        <w:rPr>
          <w:rStyle w:val="FootnoteReference"/>
          <w:lang w:val="en-US"/>
        </w:rPr>
        <w:footnoteReference w:id="301"/>
      </w:r>
      <w:r>
        <w:rPr>
          <w:lang w:val="en-US"/>
        </w:rPr>
        <w:t xml:space="preserve"> There was a general belief in ancient </w:t>
      </w:r>
      <w:r>
        <w:rPr>
          <w:lang w:val="en-US"/>
        </w:rPr>
        <w:lastRenderedPageBreak/>
        <w:t>Greece</w:t>
      </w:r>
      <w:r>
        <w:rPr>
          <w:rStyle w:val="FootnoteReference"/>
          <w:lang w:val="en-US"/>
        </w:rPr>
        <w:footnoteReference w:id="302"/>
      </w:r>
      <w:r>
        <w:rPr>
          <w:lang w:val="en-US"/>
        </w:rPr>
        <w:t xml:space="preserve"> that if a person suffering from jaundice looked a χαραδριός in the eye, he would be cured, transferring his disease to the bird.</w:t>
      </w:r>
      <w:r>
        <w:rPr>
          <w:rStyle w:val="FootnoteReference"/>
          <w:lang w:val="en-US"/>
        </w:rPr>
        <w:footnoteReference w:id="303"/>
      </w:r>
      <w:r>
        <w:rPr>
          <w:lang w:val="en-US"/>
        </w:rPr>
        <w:t xml:space="preserve"> Here, Hipponax is using the present tense to refer to common knowledge shared with his audience, even if the context is highly performative (as indicated by the direct question).</w:t>
      </w:r>
    </w:p>
    <w:p w14:paraId="1B92159E" w14:textId="3B2A72AD" w:rsidR="00754F18" w:rsidRDefault="00B057DE" w:rsidP="0097588B">
      <w:pPr>
        <w:autoSpaceDE w:val="0"/>
        <w:autoSpaceDN w:val="0"/>
        <w:adjustRightInd w:val="0"/>
        <w:ind w:firstLine="425"/>
        <w:rPr>
          <w:rFonts w:cs="Times New Roman"/>
        </w:rPr>
      </w:pPr>
      <w:r>
        <w:rPr>
          <w:lang w:val="en-US"/>
        </w:rPr>
        <w:t>Finally, I would like to highlight a case of the imperfect in Hipponax. Imperfect verbs are quite rare in his fragments, but as one notable instance, Hippon. fr. 95</w:t>
      </w:r>
      <w:r>
        <w:rPr>
          <w:rStyle w:val="FootnoteReference"/>
          <w:lang w:val="en-US"/>
        </w:rPr>
        <w:footnoteReference w:id="304"/>
      </w:r>
      <w:r>
        <w:rPr>
          <w:lang w:val="en-US"/>
        </w:rPr>
        <w:t xml:space="preserve"> begins (1-3):</w:t>
      </w:r>
    </w:p>
    <w:p w14:paraId="3734D03E" w14:textId="77777777" w:rsidR="006512C4" w:rsidRDefault="006512C4" w:rsidP="0097588B">
      <w:pPr>
        <w:autoSpaceDE w:val="0"/>
        <w:autoSpaceDN w:val="0"/>
        <w:adjustRightInd w:val="0"/>
        <w:ind w:firstLine="425"/>
      </w:pPr>
    </w:p>
    <w:tbl>
      <w:tblPr>
        <w:tblStyle w:val="TableGrid"/>
        <w:tblW w:w="8221"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61"/>
        <w:gridCol w:w="3860"/>
      </w:tblGrid>
      <w:tr w:rsidR="006512C4" w:rsidRPr="00D630EB" w14:paraId="5C35D355" w14:textId="77777777" w:rsidTr="00890EB4">
        <w:tc>
          <w:tcPr>
            <w:tcW w:w="4361" w:type="dxa"/>
          </w:tcPr>
          <w:p w14:paraId="1FF55A81" w14:textId="0F154282" w:rsidR="00651D1F" w:rsidRDefault="006512C4" w:rsidP="00243569">
            <w:pPr>
              <w:pStyle w:val="Blockquote"/>
              <w:rPr>
                <w:sz w:val="22"/>
                <w:szCs w:val="22"/>
                <w:lang w:val="el-GR"/>
              </w:rPr>
            </w:pPr>
            <w:r w:rsidRPr="00D630EB">
              <w:rPr>
                <w:sz w:val="22"/>
                <w:szCs w:val="22"/>
                <w:lang w:val="el-GR"/>
              </w:rPr>
              <w:t xml:space="preserve">ηὔδα δὲ λυδίζουσα· </w:t>
            </w:r>
            <w:hyperlink r:id="rId38" w:history="1">
              <w:r w:rsidR="00CC0615">
                <w:rPr>
                  <w:color w:val="0F7001"/>
                  <w:sz w:val="22"/>
                  <w:szCs w:val="22"/>
                  <w:lang w:val="el-GR"/>
                </w:rPr>
                <w:t>“</w:t>
              </w:r>
            </w:hyperlink>
            <w:r w:rsidRPr="00D630EB">
              <w:rPr>
                <w:sz w:val="22"/>
                <w:szCs w:val="22"/>
                <w:lang w:val="el-GR"/>
              </w:rPr>
              <w:t>βασ̣κ̣</w:t>
            </w:r>
            <w:hyperlink r:id="rId39" w:history="1">
              <w:r w:rsidRPr="00D630EB">
                <w:rPr>
                  <w:color w:val="0F7001"/>
                  <w:sz w:val="22"/>
                  <w:szCs w:val="22"/>
                  <w:lang w:val="el-GR"/>
                </w:rPr>
                <w:t>...</w:t>
              </w:r>
            </w:hyperlink>
            <w:r w:rsidRPr="00D630EB">
              <w:rPr>
                <w:sz w:val="22"/>
                <w:szCs w:val="22"/>
                <w:lang w:val="el-GR"/>
              </w:rPr>
              <w:t>κρολεα</w:t>
            </w:r>
            <w:r w:rsidR="005E0BC0" w:rsidRPr="00227EE7">
              <w:rPr>
                <w:sz w:val="22"/>
                <w:szCs w:val="22"/>
                <w:lang w:val="el-GR"/>
              </w:rPr>
              <w:t>.</w:t>
            </w:r>
            <w:r w:rsidR="00CC0615" w:rsidRPr="00227EE7">
              <w:rPr>
                <w:sz w:val="22"/>
                <w:szCs w:val="22"/>
                <w:lang w:val="el-GR"/>
              </w:rPr>
              <w:t>”</w:t>
            </w:r>
            <w:r w:rsidRPr="00D630EB">
              <w:rPr>
                <w:sz w:val="22"/>
                <w:szCs w:val="22"/>
                <w:lang w:val="el-GR"/>
              </w:rPr>
              <w:t xml:space="preserve">  </w:t>
            </w:r>
          </w:p>
          <w:p w14:paraId="13666518" w14:textId="4469E183" w:rsidR="006512C4" w:rsidRPr="00D630EB" w:rsidRDefault="006512C4" w:rsidP="00243569">
            <w:pPr>
              <w:pStyle w:val="Blockquote"/>
              <w:rPr>
                <w:sz w:val="22"/>
                <w:szCs w:val="22"/>
                <w:lang w:val="el-GR"/>
              </w:rPr>
            </w:pPr>
            <w:r w:rsidRPr="00D630EB">
              <w:rPr>
                <w:sz w:val="22"/>
                <w:szCs w:val="22"/>
                <w:lang w:val="el-GR"/>
              </w:rPr>
              <w:t xml:space="preserve">πυγιστί· </w:t>
            </w:r>
            <w:hyperlink r:id="rId40" w:history="1">
              <w:r w:rsidR="00CC0615">
                <w:rPr>
                  <w:color w:val="0F7001"/>
                  <w:sz w:val="22"/>
                  <w:szCs w:val="22"/>
                  <w:lang w:val="el-GR"/>
                </w:rPr>
                <w:t>“</w:t>
              </w:r>
            </w:hyperlink>
            <w:r w:rsidRPr="00D630EB">
              <w:rPr>
                <w:sz w:val="22"/>
                <w:szCs w:val="22"/>
                <w:lang w:val="el-GR"/>
              </w:rPr>
              <w:t>τὸν πυγεῶνα παρ</w:t>
            </w:r>
            <w:r w:rsidRPr="00D630EB">
              <w:rPr>
                <w:sz w:val="22"/>
                <w:szCs w:val="22"/>
              </w:rPr>
              <w:t>      </w:t>
            </w:r>
            <w:r w:rsidR="005E0BC0" w:rsidRPr="00227EE7">
              <w:rPr>
                <w:sz w:val="22"/>
                <w:szCs w:val="22"/>
                <w:lang w:val="el-GR"/>
              </w:rPr>
              <w:t>.</w:t>
            </w:r>
            <w:r w:rsidR="00CC0615" w:rsidRPr="00227EE7">
              <w:rPr>
                <w:sz w:val="22"/>
                <w:szCs w:val="22"/>
                <w:lang w:val="el-GR"/>
              </w:rPr>
              <w:t>”</w:t>
            </w:r>
            <w:r w:rsidRPr="00D630EB">
              <w:rPr>
                <w:sz w:val="22"/>
                <w:szCs w:val="22"/>
                <w:lang w:val="el-GR"/>
              </w:rPr>
              <w:t xml:space="preserve">  </w:t>
            </w:r>
          </w:p>
          <w:p w14:paraId="5A411878" w14:textId="77777777" w:rsidR="006512C4" w:rsidRPr="00D630EB" w:rsidRDefault="006512C4" w:rsidP="00243569">
            <w:pPr>
              <w:pStyle w:val="Blockquote"/>
              <w:rPr>
                <w:sz w:val="22"/>
                <w:szCs w:val="22"/>
                <w:lang w:val="el-GR"/>
              </w:rPr>
            </w:pPr>
            <w:r w:rsidRPr="00D630EB">
              <w:rPr>
                <w:sz w:val="22"/>
                <w:szCs w:val="22"/>
                <w:lang w:val="el-GR"/>
              </w:rPr>
              <w:t>καί μοι τὸν ὄρχιν τῆς φαλκρ̣άδηι συνηλοίησεν</w:t>
            </w:r>
          </w:p>
        </w:tc>
        <w:tc>
          <w:tcPr>
            <w:tcW w:w="3860" w:type="dxa"/>
          </w:tcPr>
          <w:p w14:paraId="0E5489C4" w14:textId="09F01D90" w:rsidR="006512C4" w:rsidRPr="00D630EB" w:rsidRDefault="006512C4" w:rsidP="00243569">
            <w:pPr>
              <w:pStyle w:val="Blockquote"/>
              <w:rPr>
                <w:sz w:val="22"/>
                <w:szCs w:val="22"/>
              </w:rPr>
            </w:pPr>
            <w:r w:rsidRPr="00D630EB">
              <w:rPr>
                <w:sz w:val="22"/>
                <w:szCs w:val="22"/>
              </w:rPr>
              <w:t xml:space="preserve">She spoke in Lydian: </w:t>
            </w:r>
            <w:r w:rsidR="00CC0615">
              <w:rPr>
                <w:sz w:val="22"/>
                <w:szCs w:val="22"/>
              </w:rPr>
              <w:t>“</w:t>
            </w:r>
            <w:r w:rsidRPr="00D630EB">
              <w:rPr>
                <w:i/>
                <w:sz w:val="22"/>
                <w:szCs w:val="22"/>
              </w:rPr>
              <w:t>Faskati krolel</w:t>
            </w:r>
            <w:r w:rsidRPr="00D630EB">
              <w:rPr>
                <w:sz w:val="22"/>
                <w:szCs w:val="22"/>
              </w:rPr>
              <w:t>,</w:t>
            </w:r>
            <w:r w:rsidR="00CC0615">
              <w:rPr>
                <w:sz w:val="22"/>
                <w:szCs w:val="22"/>
              </w:rPr>
              <w:t>”</w:t>
            </w:r>
            <w:r w:rsidRPr="00D630EB">
              <w:rPr>
                <w:rStyle w:val="FootnoteReference"/>
                <w:sz w:val="22"/>
                <w:szCs w:val="22"/>
              </w:rPr>
              <w:footnoteReference w:id="305"/>
            </w:r>
            <w:r w:rsidRPr="00D630EB">
              <w:rPr>
                <w:sz w:val="22"/>
                <w:szCs w:val="22"/>
              </w:rPr>
              <w:t xml:space="preserve"> in Arsish,</w:t>
            </w:r>
            <w:r w:rsidRPr="00D630EB">
              <w:rPr>
                <w:rStyle w:val="FootnoteReference"/>
                <w:sz w:val="22"/>
                <w:szCs w:val="22"/>
              </w:rPr>
              <w:footnoteReference w:id="306"/>
            </w:r>
            <w:r w:rsidRPr="00D630EB">
              <w:rPr>
                <w:sz w:val="22"/>
                <w:szCs w:val="22"/>
              </w:rPr>
              <w:t xml:space="preserve"> </w:t>
            </w:r>
            <w:r w:rsidR="00CC0615">
              <w:rPr>
                <w:sz w:val="22"/>
                <w:szCs w:val="22"/>
              </w:rPr>
              <w:t>“</w:t>
            </w:r>
            <w:r w:rsidRPr="00D630EB">
              <w:rPr>
                <w:sz w:val="22"/>
                <w:szCs w:val="22"/>
              </w:rPr>
              <w:t>your arse…and my balls…she thrashed with a fig branch</w:t>
            </w:r>
          </w:p>
        </w:tc>
      </w:tr>
    </w:tbl>
    <w:p w14:paraId="17F94763" w14:textId="77777777" w:rsidR="006512C4" w:rsidRDefault="006512C4" w:rsidP="00243569">
      <w:pPr>
        <w:pStyle w:val="Blockquote"/>
      </w:pPr>
      <w:r w:rsidRPr="00282AF3">
        <w:t xml:space="preserve"> </w:t>
      </w:r>
    </w:p>
    <w:p w14:paraId="51345CD5" w14:textId="44FAE94C" w:rsidR="006512C4" w:rsidRPr="0097588B" w:rsidRDefault="00B057DE" w:rsidP="00754F18">
      <w:pPr>
        <w:autoSpaceDE w:val="0"/>
        <w:autoSpaceDN w:val="0"/>
        <w:adjustRightInd w:val="0"/>
        <w:rPr>
          <w:rFonts w:cs="Times New Roman"/>
          <w:szCs w:val="24"/>
        </w:rPr>
      </w:pPr>
      <w:r w:rsidRPr="00754F18">
        <w:rPr>
          <w:szCs w:val="24"/>
          <w:lang w:val="en-US"/>
        </w:rPr>
        <w:t>While the imperfect ηὔδα provides a frame for the narration of the facts, the facts themselves are presented as aorist verbs (συνηλοίησεν). This is a new use of the imperfect, one not seen in Archilochus</w:t>
      </w:r>
      <w:r w:rsidR="00075F5F">
        <w:rPr>
          <w:szCs w:val="24"/>
          <w:lang w:val="en-US"/>
        </w:rPr>
        <w:t>’</w:t>
      </w:r>
      <w:r w:rsidRPr="00754F18">
        <w:rPr>
          <w:szCs w:val="24"/>
          <w:lang w:val="en-US"/>
        </w:rPr>
        <w:t xml:space="preserve"> fragments, </w:t>
      </w:r>
      <w:r w:rsidR="00754F18">
        <w:rPr>
          <w:szCs w:val="24"/>
          <w:lang w:val="en-US"/>
        </w:rPr>
        <w:t xml:space="preserve">since </w:t>
      </w:r>
      <w:r w:rsidRPr="00754F18">
        <w:rPr>
          <w:szCs w:val="24"/>
          <w:lang w:val="en-US"/>
        </w:rPr>
        <w:t xml:space="preserve">the imperfect serves to inform rather than narrate, conveying the discourse of the knower rather than of the observer. The imperfect here provides a frame and introduces another scenario. Hipponax is using </w:t>
      </w:r>
      <w:r w:rsidRPr="00754F18">
        <w:rPr>
          <w:i/>
          <w:iCs/>
          <w:szCs w:val="24"/>
          <w:lang w:val="en-US"/>
        </w:rPr>
        <w:t>Deixis am Phantasma</w:t>
      </w:r>
      <w:r w:rsidRPr="00754F18">
        <w:rPr>
          <w:szCs w:val="24"/>
          <w:lang w:val="en-US"/>
        </w:rPr>
        <w:t xml:space="preserve"> to recount an episode that the audience understands to be neither present in time nor in space. Ar</w:t>
      </w:r>
      <w:r w:rsidRPr="0097588B">
        <w:rPr>
          <w:szCs w:val="24"/>
          <w:lang w:val="en-US"/>
        </w:rPr>
        <w:t xml:space="preserve">chilochus (and, for much of the time, Hipponax) uses </w:t>
      </w:r>
      <w:r w:rsidRPr="0097588B">
        <w:rPr>
          <w:i/>
          <w:iCs/>
          <w:szCs w:val="24"/>
          <w:lang w:val="en-US"/>
        </w:rPr>
        <w:t>Deixis am Phantasma</w:t>
      </w:r>
      <w:r w:rsidRPr="0097588B">
        <w:rPr>
          <w:szCs w:val="24"/>
          <w:lang w:val="en-US"/>
        </w:rPr>
        <w:t xml:space="preserve"> to bring to the </w:t>
      </w:r>
      <w:r w:rsidRPr="0097588B">
        <w:rPr>
          <w:i/>
          <w:iCs/>
          <w:szCs w:val="24"/>
          <w:lang w:val="en-US"/>
        </w:rPr>
        <w:t>hic et nunc</w:t>
      </w:r>
      <w:r w:rsidRPr="0097588B">
        <w:rPr>
          <w:szCs w:val="24"/>
          <w:lang w:val="en-US"/>
        </w:rPr>
        <w:t xml:space="preserve"> (both their own and their audience</w:t>
      </w:r>
      <w:r w:rsidR="00075F5F">
        <w:rPr>
          <w:szCs w:val="24"/>
          <w:lang w:val="en-US"/>
        </w:rPr>
        <w:t>’</w:t>
      </w:r>
      <w:r w:rsidRPr="0097588B">
        <w:rPr>
          <w:szCs w:val="24"/>
          <w:lang w:val="en-US"/>
        </w:rPr>
        <w:t xml:space="preserve">s) a faraway reality. In contrast here Hipponax is using </w:t>
      </w:r>
      <w:r w:rsidRPr="0097588B">
        <w:rPr>
          <w:i/>
          <w:iCs/>
          <w:szCs w:val="24"/>
          <w:lang w:val="en-US"/>
        </w:rPr>
        <w:t>Deixis am Phantasma</w:t>
      </w:r>
      <w:r w:rsidRPr="0097588B">
        <w:rPr>
          <w:szCs w:val="24"/>
          <w:lang w:val="en-US"/>
        </w:rPr>
        <w:t xml:space="preserve"> to bring his </w:t>
      </w:r>
      <w:r w:rsidRPr="0097588B">
        <w:rPr>
          <w:szCs w:val="24"/>
          <w:lang w:val="en-US"/>
        </w:rPr>
        <w:lastRenderedPageBreak/>
        <w:t xml:space="preserve">audience to the </w:t>
      </w:r>
      <w:r w:rsidR="00CC0615">
        <w:rPr>
          <w:szCs w:val="24"/>
          <w:lang w:val="en-US"/>
        </w:rPr>
        <w:t>“</w:t>
      </w:r>
      <w:r w:rsidRPr="0097588B">
        <w:rPr>
          <w:szCs w:val="24"/>
          <w:lang w:val="en-US"/>
        </w:rPr>
        <w:t>there and then</w:t>
      </w:r>
      <w:r w:rsidR="00CC0615">
        <w:rPr>
          <w:szCs w:val="24"/>
          <w:lang w:val="en-US"/>
        </w:rPr>
        <w:t>”</w:t>
      </w:r>
      <w:r w:rsidRPr="0097588B">
        <w:rPr>
          <w:szCs w:val="24"/>
          <w:lang w:val="en-US"/>
        </w:rPr>
        <w:t xml:space="preserve"> where the episode is set. This use of the imperfect is usually adopted by Callimachus in his </w:t>
      </w:r>
      <w:r w:rsidRPr="0097588B">
        <w:rPr>
          <w:i/>
          <w:iCs/>
          <w:szCs w:val="24"/>
          <w:lang w:val="en-US"/>
        </w:rPr>
        <w:t>Iambi</w:t>
      </w:r>
      <w:r w:rsidRPr="0097588B">
        <w:rPr>
          <w:szCs w:val="24"/>
          <w:lang w:val="en-US"/>
        </w:rPr>
        <w:t xml:space="preserve">. </w:t>
      </w:r>
    </w:p>
    <w:p w14:paraId="60DA363D" w14:textId="77777777" w:rsidR="006512C4" w:rsidRDefault="006512C4" w:rsidP="00695A7C">
      <w:pPr>
        <w:autoSpaceDE w:val="0"/>
        <w:autoSpaceDN w:val="0"/>
        <w:adjustRightInd w:val="0"/>
        <w:rPr>
          <w:rFonts w:cs="Times New Roman"/>
        </w:rPr>
      </w:pPr>
    </w:p>
    <w:p w14:paraId="2E5F9A5A" w14:textId="71D6ADAF" w:rsidR="006512C4" w:rsidRPr="00243569" w:rsidRDefault="006512C4" w:rsidP="00243569">
      <w:pPr>
        <w:textAlignment w:val="bottom"/>
        <w:rPr>
          <w:rFonts w:cs="Times New Roman"/>
          <w:i/>
        </w:rPr>
      </w:pPr>
      <w:r w:rsidRPr="00243569">
        <w:rPr>
          <w:rFonts w:cs="Times New Roman"/>
          <w:i/>
        </w:rPr>
        <w:t>Callimachus</w:t>
      </w:r>
    </w:p>
    <w:p w14:paraId="7167EB70" w14:textId="7E13DCC4" w:rsidR="00B057DE" w:rsidRDefault="00B057DE" w:rsidP="00754F18">
      <w:pPr>
        <w:rPr>
          <w:lang w:val="en-US"/>
        </w:rPr>
      </w:pPr>
      <w:r>
        <w:rPr>
          <w:lang w:val="en-US"/>
        </w:rPr>
        <w:t xml:space="preserve">Callimachus widely extends the functions of verbal tenses and aspects in his </w:t>
      </w:r>
      <w:r>
        <w:rPr>
          <w:i/>
          <w:iCs/>
          <w:lang w:val="en-US"/>
        </w:rPr>
        <w:t>Iambi</w:t>
      </w:r>
      <w:r>
        <w:rPr>
          <w:lang w:val="en-US"/>
        </w:rPr>
        <w:t>, playing particularly with the fluctuation between aorist and imperfect verbs. This operates on two levels: on the level of the author Callimachus</w:t>
      </w:r>
      <w:r w:rsidR="00075F5F">
        <w:rPr>
          <w:lang w:val="en-US"/>
        </w:rPr>
        <w:t>’</w:t>
      </w:r>
      <w:r>
        <w:rPr>
          <w:lang w:val="en-US"/>
        </w:rPr>
        <w:t xml:space="preserve"> perspective, and on the level of the speaker, who varies.</w:t>
      </w:r>
    </w:p>
    <w:p w14:paraId="1D3D1F84" w14:textId="1064D219" w:rsidR="00754F18" w:rsidRPr="00A103F2" w:rsidRDefault="00B057DE" w:rsidP="0097588B">
      <w:pPr>
        <w:textAlignment w:val="bottom"/>
        <w:rPr>
          <w:rFonts w:cs="Times New Roman"/>
          <w:lang w:val="en-US"/>
        </w:rPr>
      </w:pPr>
      <w:r>
        <w:rPr>
          <w:lang w:val="en-US"/>
        </w:rPr>
        <w:tab/>
        <w:t>Callimachus</w:t>
      </w:r>
      <w:r w:rsidR="00075F5F">
        <w:rPr>
          <w:lang w:val="en-US"/>
        </w:rPr>
        <w:t>’</w:t>
      </w:r>
      <w:r>
        <w:rPr>
          <w:lang w:val="en-US"/>
        </w:rPr>
        <w:t xml:space="preserve"> </w:t>
      </w:r>
      <w:r>
        <w:rPr>
          <w:i/>
          <w:iCs/>
          <w:lang w:val="en-US"/>
        </w:rPr>
        <w:t>Iambi</w:t>
      </w:r>
      <w:r>
        <w:rPr>
          <w:lang w:val="en-US"/>
        </w:rPr>
        <w:t xml:space="preserve"> never feature </w:t>
      </w:r>
      <w:r>
        <w:rPr>
          <w:i/>
          <w:iCs/>
          <w:lang w:val="en-US"/>
        </w:rPr>
        <w:t>demonstratio ad oculos</w:t>
      </w:r>
      <w:r>
        <w:rPr>
          <w:lang w:val="en-US"/>
        </w:rPr>
        <w:t xml:space="preserve"> because, as noted earlier, cases of </w:t>
      </w:r>
      <w:r>
        <w:rPr>
          <w:i/>
          <w:iCs/>
          <w:lang w:val="en-US"/>
        </w:rPr>
        <w:t>demonstratio ad oculos</w:t>
      </w:r>
      <w:r>
        <w:rPr>
          <w:lang w:val="en-US"/>
        </w:rPr>
        <w:t xml:space="preserve"> are only illusory. There is no immediate consciousness from the point of view of Callimachus but only from the perspective of his characters. The most evident example is at the beginning of </w:t>
      </w:r>
      <w:r>
        <w:rPr>
          <w:i/>
          <w:iCs/>
          <w:lang w:val="en-US"/>
        </w:rPr>
        <w:t>Iambus</w:t>
      </w:r>
      <w:r>
        <w:rPr>
          <w:lang w:val="en-US"/>
        </w:rPr>
        <w:t xml:space="preserve"> </w:t>
      </w:r>
      <w:r w:rsidRPr="0097588B">
        <w:rPr>
          <w:iCs/>
          <w:lang w:val="en-US"/>
        </w:rPr>
        <w:t>1</w:t>
      </w:r>
      <w:r>
        <w:rPr>
          <w:lang w:val="en-US"/>
        </w:rPr>
        <w:t xml:space="preserve">, when Hipponax introduces himself through the imperative aorist ἀκούσατε (Call. </w:t>
      </w:r>
      <w:r>
        <w:rPr>
          <w:i/>
          <w:iCs/>
          <w:lang w:val="en-US"/>
        </w:rPr>
        <w:t>Ia</w:t>
      </w:r>
      <w:r>
        <w:rPr>
          <w:lang w:val="en-US"/>
        </w:rPr>
        <w:t>. 1.1-4):</w:t>
      </w:r>
      <w:r w:rsidR="006512C4" w:rsidRPr="00A103F2">
        <w:rPr>
          <w:rFonts w:cs="Times New Roman"/>
          <w:lang w:val="en-US"/>
        </w:rPr>
        <w:t xml:space="preserve"> </w:t>
      </w:r>
    </w:p>
    <w:p w14:paraId="3F04EF48" w14:textId="77777777" w:rsidR="006512C4" w:rsidRPr="00A103F2" w:rsidRDefault="006512C4" w:rsidP="0097588B">
      <w:pPr>
        <w:textAlignment w:val="bottom"/>
        <w:rPr>
          <w:lang w:val="en-US"/>
        </w:rPr>
      </w:pPr>
    </w:p>
    <w:tbl>
      <w:tblPr>
        <w:tblStyle w:val="TableGrid"/>
        <w:tblW w:w="8080"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822"/>
      </w:tblGrid>
      <w:tr w:rsidR="006512C4" w:rsidRPr="00D630EB" w14:paraId="4F15E25F" w14:textId="77777777" w:rsidTr="00890EB4">
        <w:tc>
          <w:tcPr>
            <w:tcW w:w="4258" w:type="dxa"/>
          </w:tcPr>
          <w:p w14:paraId="5A20C0D9" w14:textId="56C546DF" w:rsidR="006512C4" w:rsidRPr="00D630EB" w:rsidRDefault="006512C4" w:rsidP="00A803AE">
            <w:pPr>
              <w:pStyle w:val="Blockquote"/>
              <w:rPr>
                <w:sz w:val="22"/>
                <w:szCs w:val="22"/>
              </w:rPr>
            </w:pPr>
            <w:r w:rsidRPr="00D630EB">
              <w:rPr>
                <w:sz w:val="22"/>
                <w:szCs w:val="22"/>
              </w:rPr>
              <w:t>Ἀκούσαθ</w:t>
            </w:r>
            <w:r w:rsidR="00075F5F">
              <w:rPr>
                <w:sz w:val="22"/>
                <w:szCs w:val="22"/>
              </w:rPr>
              <w:t>’</w:t>
            </w:r>
            <w:r w:rsidRPr="00D630EB">
              <w:rPr>
                <w:sz w:val="22"/>
                <w:szCs w:val="22"/>
              </w:rPr>
              <w:t xml:space="preserve"> Ἱππώνακτος· οὐ γὰρ ἀλλ</w:t>
            </w:r>
            <w:r w:rsidR="00075F5F">
              <w:rPr>
                <w:sz w:val="22"/>
                <w:szCs w:val="22"/>
              </w:rPr>
              <w:t>’</w:t>
            </w:r>
            <w:r w:rsidRPr="00D630EB">
              <w:rPr>
                <w:sz w:val="22"/>
                <w:szCs w:val="22"/>
              </w:rPr>
              <w:t xml:space="preserve"> ἥκω </w:t>
            </w:r>
          </w:p>
          <w:p w14:paraId="35931D19" w14:textId="77777777" w:rsidR="006512C4" w:rsidRPr="00D630EB" w:rsidRDefault="006512C4" w:rsidP="00A803AE">
            <w:pPr>
              <w:pStyle w:val="Blockquote"/>
              <w:rPr>
                <w:sz w:val="22"/>
                <w:szCs w:val="22"/>
                <w:lang w:val="el-GR"/>
              </w:rPr>
            </w:pPr>
            <w:r w:rsidRPr="00D630EB">
              <w:rPr>
                <w:sz w:val="22"/>
                <w:szCs w:val="22"/>
                <w:lang w:val="el-GR"/>
              </w:rPr>
              <w:t xml:space="preserve">ἐκ τῶν ὅκου βοῦν κολλύβου πιπρήσκουσιν,  </w:t>
            </w:r>
          </w:p>
          <w:p w14:paraId="67D020DF" w14:textId="77777777" w:rsidR="006512C4" w:rsidRPr="00D630EB" w:rsidRDefault="006512C4" w:rsidP="00A803AE">
            <w:pPr>
              <w:pStyle w:val="Blockquote"/>
              <w:rPr>
                <w:sz w:val="22"/>
                <w:szCs w:val="22"/>
                <w:lang w:val="el-GR"/>
              </w:rPr>
            </w:pPr>
            <w:r w:rsidRPr="00D630EB">
              <w:rPr>
                <w:sz w:val="22"/>
                <w:szCs w:val="22"/>
                <w:lang w:val="el-GR"/>
              </w:rPr>
              <w:t xml:space="preserve">φέρων ἴαμβον οὐ μάχην ἀείδοντα  </w:t>
            </w:r>
          </w:p>
          <w:p w14:paraId="3689EE38" w14:textId="77777777" w:rsidR="006512C4" w:rsidRPr="00D630EB" w:rsidRDefault="006512C4" w:rsidP="00A803AE">
            <w:pPr>
              <w:pStyle w:val="Blockquote"/>
              <w:rPr>
                <w:sz w:val="22"/>
                <w:szCs w:val="22"/>
                <w:lang w:val="el-GR"/>
              </w:rPr>
            </w:pPr>
            <w:r w:rsidRPr="00D630EB">
              <w:rPr>
                <w:sz w:val="22"/>
                <w:szCs w:val="22"/>
                <w:lang w:val="el-GR"/>
              </w:rPr>
              <w:t>τὴν Βου̣π̣άλε̣ι̣ο̣ν̣</w:t>
            </w:r>
          </w:p>
        </w:tc>
        <w:tc>
          <w:tcPr>
            <w:tcW w:w="3822" w:type="dxa"/>
          </w:tcPr>
          <w:p w14:paraId="6484A0B3" w14:textId="77777777" w:rsidR="006512C4" w:rsidRPr="00D630EB" w:rsidRDefault="006512C4" w:rsidP="00A803AE">
            <w:pPr>
              <w:pStyle w:val="Blockquote"/>
              <w:rPr>
                <w:sz w:val="22"/>
                <w:szCs w:val="22"/>
                <w:lang w:val="en-US"/>
              </w:rPr>
            </w:pPr>
            <w:r w:rsidRPr="00D630EB">
              <w:rPr>
                <w:sz w:val="22"/>
                <w:szCs w:val="22"/>
              </w:rPr>
              <w:t xml:space="preserve">Listen to Hipponax. For indeed I have come from the place where they sell an ox for a penny, bearing an </w:t>
            </w:r>
            <w:r w:rsidRPr="00D630EB">
              <w:rPr>
                <w:i/>
                <w:sz w:val="22"/>
                <w:szCs w:val="22"/>
              </w:rPr>
              <w:t>iambus</w:t>
            </w:r>
            <w:r w:rsidRPr="00D630EB">
              <w:rPr>
                <w:sz w:val="22"/>
                <w:szCs w:val="22"/>
              </w:rPr>
              <w:t xml:space="preserve"> which does not sing of the Bupalean battle</w:t>
            </w:r>
          </w:p>
        </w:tc>
      </w:tr>
    </w:tbl>
    <w:p w14:paraId="159A2D35" w14:textId="77777777" w:rsidR="006512C4" w:rsidRPr="00A103F2" w:rsidRDefault="006512C4" w:rsidP="00A803AE">
      <w:pPr>
        <w:pStyle w:val="Blockquote"/>
        <w:rPr>
          <w:lang w:val="en-US"/>
        </w:rPr>
      </w:pPr>
    </w:p>
    <w:p w14:paraId="76E6EE69" w14:textId="5AB9EEF1" w:rsidR="00B057DE" w:rsidRPr="00754F18" w:rsidRDefault="00B057DE" w:rsidP="004F1F0B">
      <w:pPr>
        <w:spacing w:after="120"/>
        <w:rPr>
          <w:szCs w:val="24"/>
          <w:lang w:val="en-US"/>
        </w:rPr>
      </w:pPr>
      <w:r w:rsidRPr="00754F18">
        <w:rPr>
          <w:szCs w:val="24"/>
          <w:lang w:val="en-US"/>
        </w:rPr>
        <w:t>Here, Callimachus brings before his audience</w:t>
      </w:r>
      <w:r w:rsidR="00075F5F">
        <w:rPr>
          <w:szCs w:val="24"/>
          <w:lang w:val="en-US"/>
        </w:rPr>
        <w:t>’</w:t>
      </w:r>
      <w:r w:rsidRPr="00754F18">
        <w:rPr>
          <w:szCs w:val="24"/>
          <w:lang w:val="en-US"/>
        </w:rPr>
        <w:t xml:space="preserve">s eyes the character of Hipponax, who is the speaker of </w:t>
      </w:r>
      <w:r w:rsidRPr="00754F18">
        <w:rPr>
          <w:i/>
          <w:iCs/>
          <w:szCs w:val="24"/>
          <w:lang w:val="en-US"/>
        </w:rPr>
        <w:t>Iambus</w:t>
      </w:r>
      <w:r w:rsidRPr="00754F18">
        <w:rPr>
          <w:szCs w:val="24"/>
          <w:lang w:val="en-US"/>
        </w:rPr>
        <w:t xml:space="preserve"> </w:t>
      </w:r>
      <w:r w:rsidRPr="0097588B">
        <w:rPr>
          <w:iCs/>
          <w:szCs w:val="24"/>
          <w:lang w:val="en-US"/>
        </w:rPr>
        <w:t>1</w:t>
      </w:r>
      <w:r w:rsidRPr="00754F18">
        <w:rPr>
          <w:szCs w:val="24"/>
          <w:lang w:val="en-US"/>
        </w:rPr>
        <w:t xml:space="preserve">. The scene is introduced by the aorist, the tense of the utterance. Hipponax accomplished a real ἀνάβασις from the underworld, which is uncommon for a human being: usually, the dead appear through dreams or apparitions to those who are alive, and he comes to them as flesh and blood. As the character has already entered </w:t>
      </w:r>
      <w:r w:rsidRPr="0097588B">
        <w:rPr>
          <w:szCs w:val="24"/>
          <w:lang w:val="en-US"/>
        </w:rPr>
        <w:t xml:space="preserve">the scene and established contact with his audience, the narration invokes the present. This use of the present may also have another, subtler explanation: Callimachus is using the present of the knower because both ἥκω and πιπράσκω recall well-known literary contexts that help the audience to understand the situation. In what follows, I will show that, at the beginning of his </w:t>
      </w:r>
      <w:r w:rsidRPr="0097588B">
        <w:rPr>
          <w:i/>
          <w:iCs/>
          <w:szCs w:val="24"/>
          <w:lang w:val="en-US"/>
        </w:rPr>
        <w:t>Iambus</w:t>
      </w:r>
      <w:r w:rsidRPr="0097588B">
        <w:rPr>
          <w:szCs w:val="24"/>
          <w:lang w:val="en-US"/>
        </w:rPr>
        <w:t xml:space="preserve"> </w:t>
      </w:r>
      <w:r w:rsidRPr="0097588B">
        <w:rPr>
          <w:iCs/>
          <w:szCs w:val="24"/>
          <w:lang w:val="en-US"/>
        </w:rPr>
        <w:t>1</w:t>
      </w:r>
      <w:r w:rsidRPr="00754F18">
        <w:rPr>
          <w:szCs w:val="24"/>
          <w:lang w:val="en-US"/>
        </w:rPr>
        <w:t xml:space="preserve">, the Alexandrian poet is hinting at specific passages from Greek literary tradition that his audience would be expected to know and recognize. </w:t>
      </w:r>
    </w:p>
    <w:p w14:paraId="14551C19" w14:textId="79FC75D6" w:rsidR="00B057DE" w:rsidRPr="0097588B" w:rsidRDefault="00B057DE" w:rsidP="00E436AA">
      <w:pPr>
        <w:widowControl w:val="0"/>
        <w:numPr>
          <w:ilvl w:val="0"/>
          <w:numId w:val="185"/>
        </w:numPr>
        <w:tabs>
          <w:tab w:val="clear" w:pos="425"/>
          <w:tab w:val="left" w:pos="426"/>
          <w:tab w:val="center" w:pos="5387"/>
        </w:tabs>
        <w:ind w:left="426" w:hanging="284"/>
        <w:rPr>
          <w:szCs w:val="24"/>
          <w:lang w:val="en-US"/>
        </w:rPr>
      </w:pPr>
      <w:r w:rsidRPr="00754F18">
        <w:rPr>
          <w:szCs w:val="24"/>
          <w:lang w:val="en-US"/>
        </w:rPr>
        <w:t>The use of ἥ</w:t>
      </w:r>
      <w:r w:rsidRPr="0097588B">
        <w:rPr>
          <w:szCs w:val="24"/>
          <w:lang w:val="en-US"/>
        </w:rPr>
        <w:t>κω + ἐκ + genitive (to stress the direction from which Hipponax arrives) is simultaneously unusual and highly specific. Generally, ἥκω is accompanied by the complement of motion towards rather than from somewhere</w:t>
      </w:r>
      <w:r w:rsidRPr="00754F18">
        <w:rPr>
          <w:szCs w:val="24"/>
          <w:lang w:val="en-US"/>
        </w:rPr>
        <w:t xml:space="preserve">. The importance of the destination is increased by the fact that ἥκω means </w:t>
      </w:r>
      <w:r w:rsidR="00CC0615">
        <w:rPr>
          <w:szCs w:val="24"/>
          <w:lang w:val="en-US"/>
        </w:rPr>
        <w:t>“</w:t>
      </w:r>
      <w:r w:rsidRPr="00754F18">
        <w:rPr>
          <w:szCs w:val="24"/>
          <w:lang w:val="en-US"/>
        </w:rPr>
        <w:t>to have already arrived</w:t>
      </w:r>
      <w:r w:rsidR="00CC0615">
        <w:rPr>
          <w:szCs w:val="24"/>
          <w:lang w:val="en-US"/>
        </w:rPr>
        <w:t>”</w:t>
      </w:r>
      <w:r w:rsidRPr="00754F18">
        <w:rPr>
          <w:szCs w:val="24"/>
          <w:lang w:val="en-US"/>
        </w:rPr>
        <w:t xml:space="preserve"> in the place towards which you moved. Instead, Callimachus completely inverts the expected situation, using ἥκω to recall Euripides</w:t>
      </w:r>
      <w:r w:rsidR="00075F5F">
        <w:rPr>
          <w:szCs w:val="24"/>
          <w:lang w:val="en-US"/>
        </w:rPr>
        <w:t>’</w:t>
      </w:r>
      <w:r w:rsidRPr="00754F18">
        <w:rPr>
          <w:szCs w:val="24"/>
          <w:lang w:val="en-US"/>
        </w:rPr>
        <w:t xml:space="preserve"> </w:t>
      </w:r>
      <w:r w:rsidRPr="00754F18">
        <w:rPr>
          <w:i/>
          <w:iCs/>
          <w:szCs w:val="24"/>
          <w:lang w:val="en-US"/>
        </w:rPr>
        <w:t>Hecuba</w:t>
      </w:r>
      <w:r w:rsidRPr="0097588B">
        <w:rPr>
          <w:szCs w:val="24"/>
          <w:lang w:val="en-US"/>
        </w:rPr>
        <w:t xml:space="preserve">, when the spectre of </w:t>
      </w:r>
      <w:r w:rsidRPr="0097588B">
        <w:rPr>
          <w:szCs w:val="24"/>
          <w:lang w:val="en-US"/>
        </w:rPr>
        <w:lastRenderedPageBreak/>
        <w:t xml:space="preserve">Polydorus appears to his mother: Ἥκω […] Πολύδωρος, Ἑκάβης παῖς </w:t>
      </w:r>
      <w:r w:rsidR="00CC0615">
        <w:rPr>
          <w:szCs w:val="24"/>
          <w:lang w:val="en-US"/>
        </w:rPr>
        <w:t>“</w:t>
      </w:r>
      <w:r w:rsidRPr="0097588B">
        <w:rPr>
          <w:szCs w:val="24"/>
          <w:lang w:val="en-US"/>
        </w:rPr>
        <w:t>I have come […] I Polydorus, a son of Hecuba</w:t>
      </w:r>
      <w:r w:rsidR="00CC0615">
        <w:rPr>
          <w:szCs w:val="24"/>
          <w:lang w:val="en-US"/>
        </w:rPr>
        <w:t>”</w:t>
      </w:r>
      <w:r w:rsidRPr="0097588B">
        <w:rPr>
          <w:szCs w:val="24"/>
          <w:lang w:val="en-US"/>
        </w:rPr>
        <w:t xml:space="preserve"> (1, 3) . This use of ἥκω is a clue to what is going on – that Hipponax is returning from Hades. </w:t>
      </w:r>
    </w:p>
    <w:p w14:paraId="52D11C4A" w14:textId="19F7FA85" w:rsidR="00E436AA" w:rsidRPr="0097588B" w:rsidRDefault="00B057DE" w:rsidP="00754F18">
      <w:pPr>
        <w:pStyle w:val="ListParagraph"/>
        <w:numPr>
          <w:ilvl w:val="0"/>
          <w:numId w:val="21"/>
        </w:numPr>
        <w:ind w:left="426" w:hanging="284"/>
        <w:textAlignment w:val="bottom"/>
        <w:rPr>
          <w:rFonts w:eastAsia="Times New Roman"/>
          <w:lang w:eastAsia="it-IT"/>
        </w:rPr>
      </w:pPr>
      <w:r w:rsidRPr="0097588B">
        <w:rPr>
          <w:lang w:val="en-US"/>
        </w:rPr>
        <w:t>Hades is described by means of an odd metaphor, as the place where they sell a cow for only a chunk of bread. The line opens with the relative indefinite adverb ὅκου, the Ionic form of ὅπου. It is significant that in all of Hipponax</w:t>
      </w:r>
      <w:r w:rsidR="00075F5F">
        <w:rPr>
          <w:lang w:val="en-US"/>
        </w:rPr>
        <w:t>’</w:t>
      </w:r>
      <w:r w:rsidRPr="0097588B">
        <w:rPr>
          <w:lang w:val="en-US"/>
        </w:rPr>
        <w:t>s corpus, this Ionic word appears only once (fr. 79.18) to indicate where Hipponax is going. In fr. 79.17-20, Hipponax tells us about his visit to a rundown country pub, where the innkeeper sells cheap low-quality wine:</w:t>
      </w:r>
    </w:p>
    <w:p w14:paraId="5E86A8AD" w14:textId="77777777" w:rsidR="006512C4" w:rsidRDefault="006512C4" w:rsidP="00D238A0">
      <w:pPr>
        <w:pStyle w:val="ListParagraph"/>
        <w:ind w:left="426"/>
        <w:textAlignment w:val="bottom"/>
        <w:rPr>
          <w:lang w:eastAsia="it-IT"/>
        </w:rPr>
      </w:pPr>
    </w:p>
    <w:tbl>
      <w:tblPr>
        <w:tblStyle w:val="TableGrid"/>
        <w:tblW w:w="4584" w:type="pct"/>
        <w:tblInd w:w="53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82"/>
        <w:gridCol w:w="3859"/>
      </w:tblGrid>
      <w:tr w:rsidR="006512C4" w:rsidRPr="00D630EB" w14:paraId="14BF5997" w14:textId="77777777" w:rsidTr="00A53A10">
        <w:tc>
          <w:tcPr>
            <w:tcW w:w="2630" w:type="pct"/>
          </w:tcPr>
          <w:p w14:paraId="52DE4963" w14:textId="64F42D46" w:rsidR="006512C4" w:rsidRPr="00D630EB" w:rsidRDefault="006512C4" w:rsidP="00A803AE">
            <w:pPr>
              <w:pStyle w:val="Blockquote"/>
              <w:rPr>
                <w:sz w:val="22"/>
                <w:szCs w:val="22"/>
              </w:rPr>
            </w:pPr>
            <w:r w:rsidRPr="00D630EB">
              <w:rPr>
                <w:rStyle w:val="txt"/>
                <w:sz w:val="22"/>
                <w:szCs w:val="22"/>
              </w:rPr>
              <w:t>ὁ δ</w:t>
            </w:r>
            <w:r w:rsidR="00075F5F">
              <w:rPr>
                <w:rStyle w:val="txt"/>
                <w:sz w:val="22"/>
                <w:szCs w:val="22"/>
              </w:rPr>
              <w:t>’</w:t>
            </w:r>
            <w:r w:rsidRPr="00D630EB">
              <w:rPr>
                <w:rStyle w:val="txt"/>
                <w:sz w:val="22"/>
                <w:szCs w:val="22"/>
              </w:rPr>
              <w:t xml:space="preserve"> αὐτίκ</w:t>
            </w:r>
            <w:r w:rsidR="00075F5F">
              <w:rPr>
                <w:rStyle w:val="txt"/>
                <w:sz w:val="22"/>
                <w:szCs w:val="22"/>
              </w:rPr>
              <w:t>’</w:t>
            </w:r>
            <w:r w:rsidRPr="00D630EB">
              <w:rPr>
                <w:rStyle w:val="txt"/>
                <w:sz w:val="22"/>
                <w:szCs w:val="22"/>
              </w:rPr>
              <w:t xml:space="preserve"> ἐλθὼν σὺν τριοῖσι μάρτυσιν</w:t>
            </w:r>
          </w:p>
          <w:p w14:paraId="34B23EB2" w14:textId="77777777" w:rsidR="006512C4" w:rsidRPr="00D630EB" w:rsidRDefault="006512C4" w:rsidP="00A803AE">
            <w:pPr>
              <w:pStyle w:val="Blockquote"/>
              <w:rPr>
                <w:sz w:val="22"/>
                <w:szCs w:val="22"/>
                <w:lang w:val="el-GR"/>
              </w:rPr>
            </w:pPr>
            <w:r w:rsidRPr="00D630EB">
              <w:rPr>
                <w:rStyle w:val="txt"/>
                <w:sz w:val="22"/>
                <w:szCs w:val="22"/>
                <w:lang w:val="el-GR"/>
              </w:rPr>
              <w:t>ὅκου τὸν ἔρπιν ὁ σκότος καπηλεύει,</w:t>
            </w:r>
            <w:r w:rsidRPr="00D630EB">
              <w:rPr>
                <w:sz w:val="22"/>
                <w:szCs w:val="22"/>
                <w:lang w:val="el-GR"/>
              </w:rPr>
              <w:t xml:space="preserve">  </w:t>
            </w:r>
          </w:p>
          <w:p w14:paraId="351C0370" w14:textId="77777777" w:rsidR="006512C4" w:rsidRPr="00D630EB" w:rsidRDefault="006512C4" w:rsidP="00A803AE">
            <w:pPr>
              <w:pStyle w:val="Blockquote"/>
              <w:rPr>
                <w:rStyle w:val="txt"/>
                <w:sz w:val="22"/>
                <w:szCs w:val="22"/>
                <w:lang w:val="el-GR"/>
              </w:rPr>
            </w:pPr>
            <w:r w:rsidRPr="00D630EB">
              <w:rPr>
                <w:rStyle w:val="txt"/>
                <w:sz w:val="22"/>
                <w:szCs w:val="22"/>
                <w:lang w:val="el-GR"/>
              </w:rPr>
              <w:t>ἄνθρωπον εὗρε τὴν στέγην ὀφέλλοντα</w:t>
            </w:r>
          </w:p>
          <w:p w14:paraId="0EBCB230" w14:textId="18DD7B6C" w:rsidR="006512C4" w:rsidRPr="00D630EB" w:rsidRDefault="00A53A10" w:rsidP="00A803AE">
            <w:pPr>
              <w:pStyle w:val="Blockquote"/>
              <w:rPr>
                <w:sz w:val="22"/>
                <w:szCs w:val="22"/>
                <w:lang w:val="el-GR"/>
              </w:rPr>
            </w:pPr>
            <w:r>
              <w:rPr>
                <w:sz w:val="22"/>
                <w:szCs w:val="22"/>
                <w:lang w:val="el-GR"/>
              </w:rPr>
              <w:t>–</w:t>
            </w:r>
            <w:r w:rsidR="006512C4" w:rsidRPr="00D630EB">
              <w:rPr>
                <w:sz w:val="22"/>
                <w:szCs w:val="22"/>
                <w:lang w:val="el-GR"/>
              </w:rPr>
              <w:t xml:space="preserve"> </w:t>
            </w:r>
            <w:r w:rsidR="006512C4" w:rsidRPr="00D630EB">
              <w:rPr>
                <w:rStyle w:val="txt"/>
                <w:sz w:val="22"/>
                <w:szCs w:val="22"/>
                <w:lang w:val="el-GR"/>
              </w:rPr>
              <w:t>οὐ γὰρ παρῆν ὄφελμ</w:t>
            </w:r>
            <w:r>
              <w:rPr>
                <w:rStyle w:val="txt"/>
                <w:sz w:val="22"/>
                <w:szCs w:val="22"/>
                <w:lang w:val="el-GR"/>
              </w:rPr>
              <w:t>α –</w:t>
            </w:r>
            <w:r w:rsidR="006512C4" w:rsidRPr="00D630EB">
              <w:rPr>
                <w:rStyle w:val="txt"/>
                <w:sz w:val="22"/>
                <w:szCs w:val="22"/>
                <w:lang w:val="el-GR"/>
              </w:rPr>
              <w:t xml:space="preserve"> πυθμένι στοιβῆς</w:t>
            </w:r>
          </w:p>
        </w:tc>
        <w:tc>
          <w:tcPr>
            <w:tcW w:w="2370" w:type="pct"/>
          </w:tcPr>
          <w:p w14:paraId="780C8E63" w14:textId="77777777" w:rsidR="006512C4" w:rsidRPr="00D630EB" w:rsidRDefault="006512C4" w:rsidP="00A803AE">
            <w:pPr>
              <w:pStyle w:val="Blockquote"/>
              <w:rPr>
                <w:sz w:val="22"/>
                <w:szCs w:val="22"/>
                <w:lang w:eastAsia="it-IT"/>
              </w:rPr>
            </w:pPr>
            <w:r w:rsidRPr="00D630EB">
              <w:rPr>
                <w:rStyle w:val="txt"/>
                <w:sz w:val="22"/>
                <w:szCs w:val="22"/>
              </w:rPr>
              <w:t>With the three witnesses he went at once to the place where the swindler sells wine and found a fellow sweeping the room with stock of thorn, since no broom was at hand</w:t>
            </w:r>
          </w:p>
        </w:tc>
      </w:tr>
    </w:tbl>
    <w:p w14:paraId="0BDC9F72" w14:textId="77777777" w:rsidR="006512C4" w:rsidRPr="001E4426" w:rsidRDefault="006512C4" w:rsidP="00A803AE">
      <w:pPr>
        <w:pStyle w:val="Blockquote"/>
        <w:rPr>
          <w:lang w:eastAsia="it-IT"/>
        </w:rPr>
      </w:pPr>
    </w:p>
    <w:p w14:paraId="0999A35F" w14:textId="6BD53C85" w:rsidR="00D10A84" w:rsidRDefault="00B057DE" w:rsidP="00B057DE">
      <w:pPr>
        <w:tabs>
          <w:tab w:val="center" w:pos="5387"/>
        </w:tabs>
        <w:ind w:left="426"/>
        <w:rPr>
          <w:lang w:val="en-US"/>
        </w:rPr>
      </w:pPr>
      <w:r>
        <w:rPr>
          <w:lang w:val="en-US"/>
        </w:rPr>
        <w:t>The idea that Callimachus may have been hinting at this fragment of Hipponax</w:t>
      </w:r>
      <w:r w:rsidR="00075F5F">
        <w:rPr>
          <w:lang w:val="en-US"/>
        </w:rPr>
        <w:t>’</w:t>
      </w:r>
      <w:r>
        <w:rPr>
          <w:lang w:val="en-US"/>
        </w:rPr>
        <w:t>s is plausible, as if Callimachus is telling us of the return to light (ἀνάβασις) after Hipponax</w:t>
      </w:r>
      <w:r w:rsidR="00075F5F">
        <w:rPr>
          <w:lang w:val="en-US"/>
        </w:rPr>
        <w:t>’</w:t>
      </w:r>
      <w:r>
        <w:rPr>
          <w:lang w:val="en-US"/>
        </w:rPr>
        <w:t>s descent (κατάβασις) into a sort of hell. There is no shortage of clues to this literary evocation, and Callimachus</w:t>
      </w:r>
      <w:r w:rsidR="00075F5F">
        <w:rPr>
          <w:lang w:val="en-US"/>
        </w:rPr>
        <w:t>’</w:t>
      </w:r>
      <w:r>
        <w:rPr>
          <w:lang w:val="en-US"/>
        </w:rPr>
        <w:t xml:space="preserve"> audience would have been able to grasp them: </w:t>
      </w:r>
    </w:p>
    <w:p w14:paraId="1D5396AA" w14:textId="6E7FA3E3" w:rsidR="00D10A84" w:rsidRDefault="00B057DE" w:rsidP="00D10A84">
      <w:pPr>
        <w:pStyle w:val="ListParagraph"/>
        <w:numPr>
          <w:ilvl w:val="0"/>
          <w:numId w:val="204"/>
        </w:numPr>
        <w:tabs>
          <w:tab w:val="clear" w:pos="425"/>
          <w:tab w:val="left" w:pos="426"/>
        </w:tabs>
        <w:ind w:left="709" w:hanging="283"/>
        <w:rPr>
          <w:lang w:val="en-US"/>
        </w:rPr>
      </w:pPr>
      <w:r w:rsidRPr="00D10A84">
        <w:rPr>
          <w:lang w:val="en-US"/>
        </w:rPr>
        <w:t xml:space="preserve">Hipponax calls the innkeeper σκότος, an adjective used as a nickname, which in Eur. </w:t>
      </w:r>
      <w:r w:rsidRPr="00D10A84">
        <w:rPr>
          <w:i/>
          <w:iCs/>
          <w:lang w:val="en-US"/>
        </w:rPr>
        <w:t>Hec</w:t>
      </w:r>
      <w:r w:rsidRPr="00D10A84">
        <w:rPr>
          <w:lang w:val="en-US"/>
        </w:rPr>
        <w:t xml:space="preserve">. 1 means </w:t>
      </w:r>
      <w:r w:rsidR="00CC0615" w:rsidRPr="00D10A84">
        <w:rPr>
          <w:lang w:val="en-US"/>
        </w:rPr>
        <w:t>“</w:t>
      </w:r>
      <w:r w:rsidRPr="00D10A84">
        <w:rPr>
          <w:lang w:val="en-US"/>
        </w:rPr>
        <w:t>hell</w:t>
      </w:r>
      <w:r w:rsidR="00CC0615" w:rsidRPr="00D10A84">
        <w:rPr>
          <w:lang w:val="en-US"/>
        </w:rPr>
        <w:t>”</w:t>
      </w:r>
      <w:r w:rsidRPr="00D10A84">
        <w:rPr>
          <w:lang w:val="en-US"/>
        </w:rPr>
        <w:t xml:space="preserve"> (Ἥκω νεκρῶν κευθμῶνα καὶ σκότου πύλας </w:t>
      </w:r>
      <w:r w:rsidR="00CC0615" w:rsidRPr="00D10A84">
        <w:rPr>
          <w:lang w:val="en-US"/>
        </w:rPr>
        <w:t>“</w:t>
      </w:r>
      <w:r w:rsidRPr="00D10A84">
        <w:rPr>
          <w:lang w:val="en-US"/>
        </w:rPr>
        <w:t>I have come from out of the charnel-house and gates of gloom</w:t>
      </w:r>
      <w:r w:rsidR="00CC0615" w:rsidRPr="00D10A84">
        <w:rPr>
          <w:lang w:val="en-US"/>
        </w:rPr>
        <w:t>”</w:t>
      </w:r>
      <w:r w:rsidRPr="00D10A84">
        <w:rPr>
          <w:lang w:val="en-US"/>
        </w:rPr>
        <w:t>).</w:t>
      </w:r>
    </w:p>
    <w:p w14:paraId="61E1D3AE" w14:textId="31BF391F" w:rsidR="00D10A84" w:rsidRPr="00D10A84" w:rsidRDefault="00B057DE" w:rsidP="00D10A84">
      <w:pPr>
        <w:pStyle w:val="ListParagraph"/>
        <w:numPr>
          <w:ilvl w:val="0"/>
          <w:numId w:val="204"/>
        </w:numPr>
        <w:tabs>
          <w:tab w:val="clear" w:pos="425"/>
          <w:tab w:val="left" w:pos="426"/>
        </w:tabs>
        <w:ind w:left="709" w:hanging="283"/>
        <w:rPr>
          <w:lang w:val="en-US"/>
        </w:rPr>
      </w:pPr>
      <w:r w:rsidRPr="00D10A84">
        <w:rPr>
          <w:lang w:val="en-US"/>
        </w:rPr>
        <w:t>The pub described by Hipponax is a sort of terrestrial hell defined by the word πυθμήν, which in Hipponax</w:t>
      </w:r>
      <w:r w:rsidR="00075F5F" w:rsidRPr="00D10A84">
        <w:rPr>
          <w:lang w:val="en-US"/>
        </w:rPr>
        <w:t>’</w:t>
      </w:r>
      <w:r w:rsidRPr="00D10A84">
        <w:rPr>
          <w:lang w:val="en-US"/>
        </w:rPr>
        <w:t xml:space="preserve">s fragment literally means the </w:t>
      </w:r>
      <w:r w:rsidR="00CC0615" w:rsidRPr="00D10A84">
        <w:rPr>
          <w:lang w:val="en-US"/>
        </w:rPr>
        <w:t>“</w:t>
      </w:r>
      <w:r w:rsidRPr="00D10A84">
        <w:rPr>
          <w:lang w:val="en-US"/>
        </w:rPr>
        <w:t>bristles</w:t>
      </w:r>
      <w:r w:rsidR="00CC0615" w:rsidRPr="00D10A84">
        <w:rPr>
          <w:lang w:val="en-US"/>
        </w:rPr>
        <w:t>”</w:t>
      </w:r>
      <w:r w:rsidRPr="00D10A84">
        <w:rPr>
          <w:lang w:val="en-US"/>
        </w:rPr>
        <w:t xml:space="preserve"> of a missing broom but in Pindar means the </w:t>
      </w:r>
      <w:r w:rsidR="00CC0615" w:rsidRPr="00D10A84">
        <w:rPr>
          <w:lang w:val="en-US"/>
        </w:rPr>
        <w:t>“</w:t>
      </w:r>
      <w:r w:rsidRPr="00D10A84">
        <w:rPr>
          <w:lang w:val="en-US"/>
        </w:rPr>
        <w:t>bottom</w:t>
      </w:r>
      <w:r w:rsidR="00CC0615" w:rsidRPr="00D10A84">
        <w:rPr>
          <w:lang w:val="en-US"/>
        </w:rPr>
        <w:t>”</w:t>
      </w:r>
      <w:r w:rsidRPr="00D10A84">
        <w:rPr>
          <w:lang w:val="en-US"/>
        </w:rPr>
        <w:t xml:space="preserve"> of Hades (Ταρτάρου πυθμένα, fr. 207). </w:t>
      </w:r>
    </w:p>
    <w:p w14:paraId="5DB379BE" w14:textId="0FFF2545" w:rsidR="00D10A84" w:rsidRPr="00D10A84" w:rsidRDefault="00B057DE" w:rsidP="00D10A84">
      <w:pPr>
        <w:pStyle w:val="ListParagraph"/>
        <w:numPr>
          <w:ilvl w:val="0"/>
          <w:numId w:val="204"/>
        </w:numPr>
        <w:tabs>
          <w:tab w:val="clear" w:pos="425"/>
          <w:tab w:val="left" w:pos="426"/>
        </w:tabs>
        <w:ind w:left="709" w:hanging="283"/>
        <w:rPr>
          <w:lang w:val="en-US"/>
        </w:rPr>
      </w:pPr>
      <w:r w:rsidRPr="00D10A84">
        <w:rPr>
          <w:lang w:val="en-US"/>
        </w:rPr>
        <w:t>Callimachus</w:t>
      </w:r>
      <w:r w:rsidR="00075F5F" w:rsidRPr="00D10A84">
        <w:rPr>
          <w:lang w:val="en-US"/>
        </w:rPr>
        <w:t>’</w:t>
      </w:r>
      <w:r w:rsidRPr="00D10A84">
        <w:rPr>
          <w:lang w:val="en-US"/>
        </w:rPr>
        <w:t xml:space="preserve"> Hades was a place of poor retail trade, and Hipponax paints a similar description, as the wine ἔρπις, from Egypt, is of low quality and so is worth very little money (cf. Hippon. 79.16 παῦνι </w:t>
      </w:r>
      <w:r w:rsidR="00CC0615" w:rsidRPr="00D10A84">
        <w:rPr>
          <w:lang w:val="en-US"/>
        </w:rPr>
        <w:t>“</w:t>
      </w:r>
      <w:r w:rsidRPr="00D10A84">
        <w:rPr>
          <w:lang w:val="en-US"/>
        </w:rPr>
        <w:t>little</w:t>
      </w:r>
      <w:r w:rsidR="00CC0615" w:rsidRPr="00D10A84">
        <w:rPr>
          <w:lang w:val="en-US"/>
        </w:rPr>
        <w:t>”</w:t>
      </w:r>
      <w:r>
        <w:rPr>
          <w:rStyle w:val="FootnoteReference"/>
          <w:lang w:val="en-US"/>
        </w:rPr>
        <w:footnoteReference w:id="307"/>
      </w:r>
      <w:r w:rsidRPr="00D10A84">
        <w:rPr>
          <w:lang w:val="en-US"/>
        </w:rPr>
        <w:t xml:space="preserve">, μυῖαν </w:t>
      </w:r>
      <w:r w:rsidR="00CC0615" w:rsidRPr="00D10A84">
        <w:rPr>
          <w:lang w:val="en-US"/>
        </w:rPr>
        <w:t>“</w:t>
      </w:r>
      <w:r w:rsidRPr="00D10A84">
        <w:rPr>
          <w:lang w:val="en-US"/>
        </w:rPr>
        <w:t>fly</w:t>
      </w:r>
      <w:r w:rsidR="00CC0615" w:rsidRPr="00D10A84">
        <w:rPr>
          <w:lang w:val="en-US"/>
        </w:rPr>
        <w:t>”</w:t>
      </w:r>
      <w:r>
        <w:rPr>
          <w:rStyle w:val="FootnoteReference"/>
          <w:lang w:val="en-US"/>
        </w:rPr>
        <w:footnoteReference w:id="308"/>
      </w:r>
      <w:r w:rsidRPr="00D10A84">
        <w:rPr>
          <w:lang w:val="en-US"/>
        </w:rPr>
        <w:t xml:space="preserve">). As shown by the verb καπηλεύω </w:t>
      </w:r>
      <w:r w:rsidR="00CC0615" w:rsidRPr="00D10A84">
        <w:rPr>
          <w:lang w:val="en-US"/>
        </w:rPr>
        <w:t>“</w:t>
      </w:r>
      <w:r w:rsidRPr="00D10A84">
        <w:rPr>
          <w:lang w:val="en-US"/>
        </w:rPr>
        <w:t>sell at a retail market,</w:t>
      </w:r>
      <w:r w:rsidR="00CC0615" w:rsidRPr="00D10A84">
        <w:rPr>
          <w:lang w:val="en-US"/>
        </w:rPr>
        <w:t>”</w:t>
      </w:r>
      <w:r w:rsidRPr="00D10A84">
        <w:rPr>
          <w:lang w:val="en-US"/>
        </w:rPr>
        <w:t xml:space="preserve"> the transaction is retail. Callimachus himself uses this same verb in this </w:t>
      </w:r>
      <w:r w:rsidRPr="00D10A84">
        <w:rPr>
          <w:i/>
          <w:iCs/>
          <w:lang w:val="en-US"/>
        </w:rPr>
        <w:t xml:space="preserve">Ia. </w:t>
      </w:r>
      <w:r w:rsidRPr="00D10A84">
        <w:rPr>
          <w:lang w:val="en-US"/>
        </w:rPr>
        <w:t xml:space="preserve">l.89, perhaps returning to the initial point in a ring composition. In these opening lines, Callimachus prefers to </w:t>
      </w:r>
      <w:r w:rsidRPr="00D10A84">
        <w:rPr>
          <w:lang w:val="en-US"/>
        </w:rPr>
        <w:lastRenderedPageBreak/>
        <w:t xml:space="preserve">express </w:t>
      </w:r>
      <w:r w:rsidR="00CC0615" w:rsidRPr="00D10A84">
        <w:rPr>
          <w:lang w:val="en-US"/>
        </w:rPr>
        <w:t>“</w:t>
      </w:r>
      <w:r w:rsidRPr="00D10A84">
        <w:rPr>
          <w:lang w:val="en-US"/>
        </w:rPr>
        <w:t>sell</w:t>
      </w:r>
      <w:r w:rsidR="00CC0615" w:rsidRPr="00D10A84">
        <w:rPr>
          <w:lang w:val="en-US"/>
        </w:rPr>
        <w:t>”</w:t>
      </w:r>
      <w:r w:rsidRPr="00D10A84">
        <w:rPr>
          <w:lang w:val="en-US"/>
        </w:rPr>
        <w:t xml:space="preserve"> using the verb πιπρήσκω, the Ionic form of πιπράσκω, which is a thematic derivative from πέρνημι. πιπράσκω is used mainly in prose and commonly has the negative connotation of </w:t>
      </w:r>
      <w:r w:rsidR="00CC0615" w:rsidRPr="00D10A84">
        <w:rPr>
          <w:lang w:val="en-US"/>
        </w:rPr>
        <w:t>“</w:t>
      </w:r>
      <w:r w:rsidRPr="00D10A84">
        <w:rPr>
          <w:lang w:val="en-US"/>
        </w:rPr>
        <w:t>sell dishonestly.</w:t>
      </w:r>
      <w:r w:rsidR="00CC0615" w:rsidRPr="00D10A84">
        <w:rPr>
          <w:lang w:val="en-US"/>
        </w:rPr>
        <w:t>”</w:t>
      </w:r>
      <w:r w:rsidRPr="00D10A84">
        <w:rPr>
          <w:lang w:val="en-US"/>
        </w:rPr>
        <w:t xml:space="preserve"> Callimachus elsewhere underlines this undertone, πιπρήσκει δ</w:t>
      </w:r>
      <w:r w:rsidR="00075F5F" w:rsidRPr="00D10A84">
        <w:rPr>
          <w:lang w:val="en-US"/>
        </w:rPr>
        <w:t>’</w:t>
      </w:r>
      <w:r w:rsidRPr="00D10A84">
        <w:rPr>
          <w:lang w:val="en-US"/>
        </w:rPr>
        <w:t xml:space="preserve"> ὁ καλὸς πάντα πρὸς ἀργύριον </w:t>
      </w:r>
      <w:r w:rsidR="00CC0615" w:rsidRPr="00D10A84">
        <w:rPr>
          <w:lang w:val="en-US"/>
        </w:rPr>
        <w:t>“</w:t>
      </w:r>
      <w:r w:rsidRPr="00D10A84">
        <w:rPr>
          <w:lang w:val="en-US"/>
        </w:rPr>
        <w:t>the beautiful guy sells everything for money</w:t>
      </w:r>
      <w:r w:rsidR="00CC0615" w:rsidRPr="00D10A84">
        <w:rPr>
          <w:lang w:val="en-US"/>
        </w:rPr>
        <w:t>”</w:t>
      </w:r>
      <w:r w:rsidRPr="00D10A84">
        <w:rPr>
          <w:lang w:val="en-US"/>
        </w:rPr>
        <w:t xml:space="preserve"> (fr. 695 Pf).</w:t>
      </w:r>
      <w:r>
        <w:rPr>
          <w:rStyle w:val="FootnoteReference"/>
          <w:lang w:val="en-US"/>
        </w:rPr>
        <w:footnoteReference w:id="309"/>
      </w:r>
      <w:r w:rsidRPr="00D10A84">
        <w:rPr>
          <w:lang w:val="en-US"/>
        </w:rPr>
        <w:t xml:space="preserve"> The genitive of prize κολλύβου makes it clear that the trade in this case is also of poor quality. Indeed, κόλλυβος, cognate of κολλάω </w:t>
      </w:r>
      <w:r w:rsidR="00CC0615" w:rsidRPr="00D10A84">
        <w:rPr>
          <w:lang w:val="en-US"/>
        </w:rPr>
        <w:t>“</w:t>
      </w:r>
      <w:r w:rsidRPr="00D10A84">
        <w:rPr>
          <w:lang w:val="en-US"/>
        </w:rPr>
        <w:t>knead</w:t>
      </w:r>
      <w:r w:rsidR="00CC0615" w:rsidRPr="00D10A84">
        <w:rPr>
          <w:lang w:val="en-US"/>
        </w:rPr>
        <w:t>”</w:t>
      </w:r>
      <w:r w:rsidRPr="00D10A84">
        <w:rPr>
          <w:lang w:val="en-US"/>
        </w:rPr>
        <w:t xml:space="preserve"> and κόλλιξ </w:t>
      </w:r>
      <w:r w:rsidR="00CC0615" w:rsidRPr="00D10A84">
        <w:rPr>
          <w:lang w:val="en-US"/>
        </w:rPr>
        <w:t>“</w:t>
      </w:r>
      <w:r w:rsidRPr="00D10A84">
        <w:rPr>
          <w:lang w:val="en-US"/>
        </w:rPr>
        <w:t>bread,</w:t>
      </w:r>
      <w:r w:rsidR="00CC0615" w:rsidRPr="00D10A84">
        <w:rPr>
          <w:lang w:val="en-US"/>
        </w:rPr>
        <w:t>”</w:t>
      </w:r>
      <w:r w:rsidRPr="00D10A84">
        <w:rPr>
          <w:lang w:val="en-US"/>
        </w:rPr>
        <w:t xml:space="preserve"> is a rare word, which Hipponax glosses as δούλιον κόρτον (fr. 36.6). κόλλυβος occurs twice in Aristophanes</w:t>
      </w:r>
      <w:r w:rsidR="00075F5F" w:rsidRPr="00D10A84">
        <w:rPr>
          <w:lang w:val="en-US"/>
        </w:rPr>
        <w:t>’</w:t>
      </w:r>
      <w:r w:rsidRPr="00D10A84">
        <w:rPr>
          <w:lang w:val="en-US"/>
        </w:rPr>
        <w:t xml:space="preserve"> </w:t>
      </w:r>
      <w:r w:rsidRPr="00D10A84">
        <w:rPr>
          <w:i/>
          <w:iCs/>
          <w:lang w:val="en-US"/>
        </w:rPr>
        <w:t>Pax</w:t>
      </w:r>
      <w:r w:rsidRPr="00D10A84">
        <w:rPr>
          <w:lang w:val="en-US"/>
        </w:rPr>
        <w:t xml:space="preserve"> (1196, 1200),</w:t>
      </w:r>
      <w:r>
        <w:rPr>
          <w:rStyle w:val="FootnoteReference"/>
          <w:lang w:val="en-US"/>
        </w:rPr>
        <w:footnoteReference w:id="310"/>
      </w:r>
      <w:r w:rsidRPr="00D10A84">
        <w:rPr>
          <w:lang w:val="en-US"/>
        </w:rPr>
        <w:t xml:space="preserve"> where its meaning at first sight seems to fluctuate between </w:t>
      </w:r>
      <w:r w:rsidR="00CC0615" w:rsidRPr="00D10A84">
        <w:rPr>
          <w:lang w:val="en-US"/>
        </w:rPr>
        <w:t>“</w:t>
      </w:r>
      <w:r w:rsidRPr="00D10A84">
        <w:rPr>
          <w:lang w:val="en-US"/>
        </w:rPr>
        <w:t>flat bread</w:t>
      </w:r>
      <w:r w:rsidR="00CC0615" w:rsidRPr="00D10A84">
        <w:rPr>
          <w:lang w:val="en-US"/>
        </w:rPr>
        <w:t>”</w:t>
      </w:r>
      <w:r w:rsidRPr="00D10A84">
        <w:rPr>
          <w:lang w:val="en-US"/>
        </w:rPr>
        <w:t xml:space="preserve"> and </w:t>
      </w:r>
      <w:r w:rsidR="00CC0615" w:rsidRPr="00D10A84">
        <w:rPr>
          <w:lang w:val="en-US"/>
        </w:rPr>
        <w:t>“</w:t>
      </w:r>
      <w:r w:rsidRPr="00D10A84">
        <w:rPr>
          <w:lang w:val="en-US"/>
        </w:rPr>
        <w:t>coin.</w:t>
      </w:r>
      <w:r w:rsidR="00CC0615" w:rsidRPr="00D10A84">
        <w:rPr>
          <w:lang w:val="en-US"/>
        </w:rPr>
        <w:t>”</w:t>
      </w:r>
      <w:r w:rsidRPr="00D10A84">
        <w:rPr>
          <w:lang w:val="en-US"/>
        </w:rPr>
        <w:t xml:space="preserve"> However, I would argue here that the meaning of </w:t>
      </w:r>
      <w:r w:rsidR="00CC0615" w:rsidRPr="00D10A84">
        <w:rPr>
          <w:lang w:val="en-US"/>
        </w:rPr>
        <w:t>“</w:t>
      </w:r>
      <w:r w:rsidRPr="00D10A84">
        <w:rPr>
          <w:lang w:val="en-US"/>
        </w:rPr>
        <w:t>coin</w:t>
      </w:r>
      <w:r w:rsidR="00CC0615" w:rsidRPr="00D10A84">
        <w:rPr>
          <w:lang w:val="en-US"/>
        </w:rPr>
        <w:t>”</w:t>
      </w:r>
      <w:r w:rsidRPr="00D10A84">
        <w:rPr>
          <w:lang w:val="en-US"/>
        </w:rPr>
        <w:t xml:space="preserve"> is not literal, since it is a metaphorical value established after reading of Ar. </w:t>
      </w:r>
      <w:r w:rsidRPr="00D10A84">
        <w:rPr>
          <w:i/>
          <w:iCs/>
          <w:lang w:val="en-US"/>
        </w:rPr>
        <w:t>Pax</w:t>
      </w:r>
      <w:r w:rsidRPr="00D10A84">
        <w:rPr>
          <w:lang w:val="en-US"/>
        </w:rPr>
        <w:t xml:space="preserve"> 1200 οὐδεὶς ἐπρίατ</w:t>
      </w:r>
      <w:r w:rsidR="00075F5F" w:rsidRPr="00D10A84">
        <w:rPr>
          <w:lang w:val="en-US"/>
        </w:rPr>
        <w:t>’</w:t>
      </w:r>
      <w:r w:rsidRPr="00D10A84">
        <w:rPr>
          <w:lang w:val="en-US"/>
        </w:rPr>
        <w:t xml:space="preserve"> ἂν δρέπανον οὐδὲ κολλύβου. It is said that nobody would ever have bought a sickle, not even for a κόλλυβος </w:t>
      </w:r>
      <w:r w:rsidR="00075F5F" w:rsidRPr="00D10A84">
        <w:rPr>
          <w:lang w:val="en-US"/>
        </w:rPr>
        <w:t>–</w:t>
      </w:r>
      <w:r w:rsidRPr="00D10A84">
        <w:rPr>
          <w:lang w:val="en-US"/>
        </w:rPr>
        <w:t xml:space="preserve"> that is, a chunk of bread. The repetition by Aristophanes of the same word with two different meanings within five lines is explicable as Aristophanes</w:t>
      </w:r>
      <w:r w:rsidR="00075F5F" w:rsidRPr="00D10A84">
        <w:rPr>
          <w:lang w:val="en-US"/>
        </w:rPr>
        <w:t>’</w:t>
      </w:r>
      <w:r w:rsidRPr="00D10A84">
        <w:rPr>
          <w:lang w:val="en-US"/>
        </w:rPr>
        <w:t xml:space="preserve"> pun on words: on the table, a κόλλυβος could even be a delicacy,</w:t>
      </w:r>
      <w:r>
        <w:rPr>
          <w:rStyle w:val="FootnoteReference"/>
          <w:lang w:val="en-US"/>
        </w:rPr>
        <w:footnoteReference w:id="311"/>
      </w:r>
      <w:r w:rsidRPr="00D10A84">
        <w:rPr>
          <w:lang w:val="en-US"/>
        </w:rPr>
        <w:t xml:space="preserve"> but its commercial value is the same as nothing because it consists only of flour kneaded with water. The proof of this interpretation is that, after a few lines, Aristophanes combines another similar metaphor; like the flat bread, the dried figs also cost nothing: they have no monetary value. It is worth noting that Aristophanes is describing poverty using the same elements drawn from everyday life as the archaic iambographers do, but in the context of the monetary system. It follows that these lines from Callimachus (</w:t>
      </w:r>
      <w:r w:rsidRPr="00D10A84">
        <w:rPr>
          <w:i/>
          <w:iCs/>
          <w:lang w:val="en-US"/>
        </w:rPr>
        <w:t>Ia.</w:t>
      </w:r>
      <w:r w:rsidRPr="00D10A84">
        <w:rPr>
          <w:lang w:val="en-US"/>
        </w:rPr>
        <w:t xml:space="preserve"> 1.1-4) serve to establish the context of </w:t>
      </w:r>
      <w:r w:rsidRPr="00D10A84">
        <w:rPr>
          <w:i/>
          <w:iCs/>
          <w:lang w:val="en-US"/>
        </w:rPr>
        <w:t>Iambus 1</w:t>
      </w:r>
      <w:r w:rsidRPr="00D10A84">
        <w:rPr>
          <w:lang w:val="en-US"/>
        </w:rPr>
        <w:t xml:space="preserve"> (Hipponax</w:t>
      </w:r>
      <w:r w:rsidR="00075F5F" w:rsidRPr="00D10A84">
        <w:rPr>
          <w:lang w:val="en-US"/>
        </w:rPr>
        <w:t>’</w:t>
      </w:r>
      <w:r w:rsidRPr="00D10A84">
        <w:rPr>
          <w:lang w:val="en-US"/>
        </w:rPr>
        <w:t xml:space="preserve">s ἀνάβασις from Hades) employing metaphors that should have been well-known to his audience: therefore the present tenses ἥκω and πιπράσκω attest to the prevailing state of affairs. </w:t>
      </w:r>
    </w:p>
    <w:p w14:paraId="47BA7433" w14:textId="45C75CEF" w:rsidR="00B057DE" w:rsidRPr="00D10A84" w:rsidRDefault="00B057DE" w:rsidP="00D10A84">
      <w:pPr>
        <w:pStyle w:val="ListParagraph"/>
        <w:numPr>
          <w:ilvl w:val="0"/>
          <w:numId w:val="204"/>
        </w:numPr>
        <w:ind w:left="709" w:hanging="283"/>
        <w:rPr>
          <w:lang w:val="en-US"/>
        </w:rPr>
      </w:pPr>
      <w:r w:rsidRPr="00D10A84">
        <w:rPr>
          <w:lang w:val="en-US"/>
        </w:rPr>
        <w:lastRenderedPageBreak/>
        <w:t>Furthermore, Hipponax</w:t>
      </w:r>
      <w:r w:rsidR="00075F5F" w:rsidRPr="00D10A84">
        <w:rPr>
          <w:lang w:val="en-US"/>
        </w:rPr>
        <w:t>’</w:t>
      </w:r>
      <w:r w:rsidRPr="00D10A84">
        <w:rPr>
          <w:lang w:val="en-US"/>
        </w:rPr>
        <w:t>s fr. 79, which is the apparent reference point for the beginning of Callimachus</w:t>
      </w:r>
      <w:r w:rsidR="00075F5F" w:rsidRPr="00D10A84">
        <w:rPr>
          <w:lang w:val="en-US"/>
        </w:rPr>
        <w:t>’</w:t>
      </w:r>
      <w:r w:rsidRPr="00D10A84">
        <w:rPr>
          <w:lang w:val="en-US"/>
        </w:rPr>
        <w:t xml:space="preserve"> </w:t>
      </w:r>
      <w:r w:rsidRPr="00D10A84">
        <w:rPr>
          <w:i/>
          <w:iCs/>
          <w:lang w:val="en-US"/>
        </w:rPr>
        <w:t>Iambus</w:t>
      </w:r>
      <w:r w:rsidRPr="00D10A84">
        <w:rPr>
          <w:lang w:val="en-US"/>
        </w:rPr>
        <w:t xml:space="preserve"> 1,</w:t>
      </w:r>
      <w:r>
        <w:rPr>
          <w:rStyle w:val="FootnoteReference"/>
          <w:lang w:val="en-US"/>
        </w:rPr>
        <w:footnoteReference w:id="312"/>
      </w:r>
      <w:r w:rsidRPr="00D10A84">
        <w:rPr>
          <w:lang w:val="en-US"/>
        </w:rPr>
        <w:t xml:space="preserve"> is also in the present tense ὅκου τὸν ἔρπιν ὁ σκότος καπηλεύει (fr.79.18). It seems likely, then, that Callimachus uses the present tense to more strictly recall his landmark, contributing to the creation of a sort of temporal continuum – between Hipponax and Callimachus as iambographers, and between Hipponax as character of his fragment 79 and as character of Callimachus</w:t>
      </w:r>
      <w:r w:rsidR="00075F5F" w:rsidRPr="00D10A84">
        <w:rPr>
          <w:lang w:val="en-US"/>
        </w:rPr>
        <w:t>’</w:t>
      </w:r>
      <w:r w:rsidRPr="00D10A84">
        <w:rPr>
          <w:lang w:val="en-US"/>
        </w:rPr>
        <w:t xml:space="preserve"> </w:t>
      </w:r>
      <w:r w:rsidRPr="00D10A84">
        <w:rPr>
          <w:i/>
          <w:iCs/>
          <w:lang w:val="en-US"/>
        </w:rPr>
        <w:t>Iambus</w:t>
      </w:r>
      <w:r w:rsidRPr="00D10A84">
        <w:rPr>
          <w:lang w:val="en-US"/>
        </w:rPr>
        <w:t xml:space="preserve"> 1 – so that Hipponax</w:t>
      </w:r>
      <w:r w:rsidR="00075F5F" w:rsidRPr="00D10A84">
        <w:rPr>
          <w:lang w:val="en-US"/>
        </w:rPr>
        <w:t>’</w:t>
      </w:r>
      <w:r w:rsidRPr="00D10A84">
        <w:rPr>
          <w:lang w:val="en-US"/>
        </w:rPr>
        <w:t>s fr. 79 would be seen as the prequel of Callimachus</w:t>
      </w:r>
      <w:r w:rsidR="00075F5F" w:rsidRPr="00D10A84">
        <w:rPr>
          <w:lang w:val="en-US"/>
        </w:rPr>
        <w:t>’</w:t>
      </w:r>
      <w:r w:rsidRPr="00D10A84">
        <w:rPr>
          <w:lang w:val="en-US"/>
        </w:rPr>
        <w:t xml:space="preserve"> </w:t>
      </w:r>
      <w:r w:rsidRPr="00D10A84">
        <w:rPr>
          <w:i/>
          <w:iCs/>
          <w:lang w:val="en-US"/>
        </w:rPr>
        <w:t>Iambus</w:t>
      </w:r>
      <w:r w:rsidRPr="00D10A84">
        <w:rPr>
          <w:lang w:val="en-US"/>
        </w:rPr>
        <w:t xml:space="preserve"> 1. </w:t>
      </w:r>
    </w:p>
    <w:p w14:paraId="7EE2C383" w14:textId="7E93CDB5" w:rsidR="00E436AA" w:rsidRDefault="00B057DE" w:rsidP="004F1F0B">
      <w:pPr>
        <w:textAlignment w:val="bottom"/>
      </w:pPr>
      <w:r w:rsidRPr="00E436AA">
        <w:rPr>
          <w:lang w:val="en-US"/>
        </w:rPr>
        <w:t xml:space="preserve">The present is also the main tense of </w:t>
      </w:r>
      <w:r w:rsidRPr="00E436AA">
        <w:rPr>
          <w:i/>
          <w:iCs/>
          <w:lang w:val="en-US"/>
        </w:rPr>
        <w:t>Iambus</w:t>
      </w:r>
      <w:r w:rsidRPr="00E436AA">
        <w:rPr>
          <w:lang w:val="en-US"/>
        </w:rPr>
        <w:t xml:space="preserve"> 4, where the laurel and the olive tree argue. Here, the present represents the immediate consciousness of the two characters, as they are actually arguing in their </w:t>
      </w:r>
      <w:r w:rsidRPr="00E436AA">
        <w:rPr>
          <w:i/>
          <w:iCs/>
          <w:lang w:val="en-US"/>
        </w:rPr>
        <w:t>hic et nunc</w:t>
      </w:r>
      <w:r w:rsidRPr="00E436AA">
        <w:rPr>
          <w:lang w:val="en-US"/>
        </w:rPr>
        <w:t xml:space="preserve">, which is not the </w:t>
      </w:r>
      <w:r w:rsidRPr="00E436AA">
        <w:rPr>
          <w:i/>
          <w:iCs/>
          <w:lang w:val="en-US"/>
        </w:rPr>
        <w:t>hic et nunc</w:t>
      </w:r>
      <w:r w:rsidRPr="00E436AA">
        <w:rPr>
          <w:lang w:val="en-US"/>
        </w:rPr>
        <w:t xml:space="preserve"> of Callimachus and his audience. Indeed, the α</w:t>
      </w:r>
      <w:r w:rsidRPr="00E23BA0">
        <w:rPr>
          <w:lang w:val="en-US"/>
        </w:rPr>
        <w:t>ἴ</w:t>
      </w:r>
      <w:r w:rsidRPr="003A53D6">
        <w:rPr>
          <w:lang w:val="en-US"/>
        </w:rPr>
        <w:t xml:space="preserve">νος is framed through the past infinitive θέσθαι (Call. </w:t>
      </w:r>
      <w:r w:rsidRPr="00125415">
        <w:rPr>
          <w:i/>
          <w:iCs/>
          <w:lang w:val="en-US"/>
        </w:rPr>
        <w:t>Ia</w:t>
      </w:r>
      <w:r w:rsidRPr="00125415">
        <w:rPr>
          <w:lang w:val="en-US"/>
        </w:rPr>
        <w:t xml:space="preserve">. 4.6-8): </w:t>
      </w:r>
    </w:p>
    <w:p w14:paraId="7EBBE244" w14:textId="77777777" w:rsidR="006512C4" w:rsidRDefault="006512C4" w:rsidP="00D238A0">
      <w:pPr>
        <w:ind w:firstLine="426"/>
        <w:textAlignment w:val="bottom"/>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2"/>
        <w:gridCol w:w="3676"/>
      </w:tblGrid>
      <w:tr w:rsidR="006512C4" w:rsidRPr="00D630EB" w14:paraId="5620C1FA" w14:textId="77777777" w:rsidTr="00890EB4">
        <w:tc>
          <w:tcPr>
            <w:tcW w:w="4262" w:type="dxa"/>
          </w:tcPr>
          <w:p w14:paraId="04494D77" w14:textId="77777777" w:rsidR="006512C4" w:rsidRPr="00D630EB" w:rsidRDefault="006512C4" w:rsidP="00A803AE">
            <w:pPr>
              <w:pStyle w:val="Blockquote"/>
              <w:rPr>
                <w:sz w:val="22"/>
                <w:szCs w:val="22"/>
              </w:rPr>
            </w:pPr>
            <w:r w:rsidRPr="00D630EB">
              <w:rPr>
                <w:sz w:val="22"/>
                <w:szCs w:val="22"/>
              </w:rPr>
              <w:t xml:space="preserve">ἄκουε δὴ τὸν αἶνον·ἔν κοτε Τμώλῳ </w:t>
            </w:r>
          </w:p>
          <w:p w14:paraId="0B2D780B" w14:textId="43A8D505" w:rsidR="006512C4" w:rsidRPr="00D630EB" w:rsidRDefault="006512C4" w:rsidP="00A803AE">
            <w:pPr>
              <w:pStyle w:val="Blockquote"/>
              <w:rPr>
                <w:sz w:val="22"/>
                <w:szCs w:val="22"/>
              </w:rPr>
            </w:pPr>
            <w:r w:rsidRPr="00D630EB">
              <w:rPr>
                <w:sz w:val="22"/>
                <w:szCs w:val="22"/>
              </w:rPr>
              <w:t>δάφνην ἐλαίῃ νεῖκος οἱ πάλαι Λυδοί</w:t>
            </w:r>
            <w:r w:rsidR="00ED5701" w:rsidRPr="00D630EB">
              <w:rPr>
                <w:sz w:val="22"/>
                <w:szCs w:val="22"/>
              </w:rPr>
              <w:t xml:space="preserve"> </w:t>
            </w:r>
          </w:p>
          <w:p w14:paraId="6A62FF1B" w14:textId="77777777" w:rsidR="006512C4" w:rsidRPr="00D630EB" w:rsidRDefault="006512C4" w:rsidP="00A803AE">
            <w:pPr>
              <w:pStyle w:val="Blockquote"/>
              <w:rPr>
                <w:sz w:val="22"/>
                <w:szCs w:val="22"/>
              </w:rPr>
            </w:pPr>
            <w:r w:rsidRPr="00D630EB">
              <w:rPr>
                <w:sz w:val="22"/>
                <w:szCs w:val="22"/>
              </w:rPr>
              <w:t>λέγουσι θέσθαι</w:t>
            </w:r>
          </w:p>
        </w:tc>
        <w:tc>
          <w:tcPr>
            <w:tcW w:w="3676" w:type="dxa"/>
          </w:tcPr>
          <w:p w14:paraId="72E1A917" w14:textId="77777777" w:rsidR="006512C4" w:rsidRPr="00D630EB" w:rsidRDefault="006512C4" w:rsidP="00A803AE">
            <w:pPr>
              <w:pStyle w:val="Blockquote"/>
              <w:rPr>
                <w:sz w:val="22"/>
                <w:szCs w:val="22"/>
              </w:rPr>
            </w:pPr>
            <w:r w:rsidRPr="00D630EB">
              <w:rPr>
                <w:sz w:val="22"/>
                <w:szCs w:val="22"/>
              </w:rPr>
              <w:t>Listen to the fable. The Lydians of old say that once on Tmolus the laurel took up a quarrel with the olive</w:t>
            </w:r>
          </w:p>
        </w:tc>
      </w:tr>
    </w:tbl>
    <w:p w14:paraId="41BE7FF1" w14:textId="77777777" w:rsidR="006512C4" w:rsidRDefault="006512C4" w:rsidP="00A803AE">
      <w:pPr>
        <w:pStyle w:val="Blockquote"/>
      </w:pPr>
    </w:p>
    <w:p w14:paraId="6165E134" w14:textId="4A0E8BA2" w:rsidR="00B057DE" w:rsidRDefault="00B057DE" w:rsidP="004F1F0B">
      <w:pPr>
        <w:rPr>
          <w:lang w:val="en-US"/>
        </w:rPr>
      </w:pPr>
      <w:r>
        <w:rPr>
          <w:lang w:val="en-US"/>
        </w:rPr>
        <w:t xml:space="preserve">Again, the present λέγουσι is used to state something well-known, namely that the tradition of the fable comes from the Lydians. One might doubt that λέγουσι has in this case a temporal function because of the temporal adverb πάλαι referring to the subject οἱ Λυδοί (the Lydians). This adverb establishes that the setting of the αἴνος is in a </w:t>
      </w:r>
      <w:r w:rsidR="00CC0615">
        <w:rPr>
          <w:lang w:val="en-US"/>
        </w:rPr>
        <w:t>“</w:t>
      </w:r>
      <w:r>
        <w:rPr>
          <w:lang w:val="en-US"/>
        </w:rPr>
        <w:t>there and then</w:t>
      </w:r>
      <w:r w:rsidR="00CC0615">
        <w:rPr>
          <w:lang w:val="en-US"/>
        </w:rPr>
        <w:t>”</w:t>
      </w:r>
      <w:r>
        <w:rPr>
          <w:lang w:val="en-US"/>
        </w:rPr>
        <w:t xml:space="preserve"> far from both Callimachus as author and Callimachus as the character who introduces the fable.</w:t>
      </w:r>
    </w:p>
    <w:p w14:paraId="1C7D7823" w14:textId="0F243E8B" w:rsidR="00B057DE" w:rsidRDefault="00B057DE" w:rsidP="00D238A0">
      <w:pPr>
        <w:ind w:firstLine="425"/>
        <w:rPr>
          <w:lang w:val="en-US"/>
        </w:rPr>
      </w:pPr>
      <w:r>
        <w:rPr>
          <w:lang w:val="en-US"/>
        </w:rPr>
        <w:t>As noted above, only Callimachus</w:t>
      </w:r>
      <w:r w:rsidR="00075F5F">
        <w:rPr>
          <w:lang w:val="en-US"/>
        </w:rPr>
        <w:t>’</w:t>
      </w:r>
      <w:r>
        <w:rPr>
          <w:lang w:val="en-US"/>
        </w:rPr>
        <w:t xml:space="preserve"> characters exhibit an immediate consciousness. As a sometime character of his </w:t>
      </w:r>
      <w:r>
        <w:rPr>
          <w:i/>
          <w:iCs/>
          <w:lang w:val="en-US"/>
        </w:rPr>
        <w:t>Iambi</w:t>
      </w:r>
      <w:r>
        <w:rPr>
          <w:lang w:val="en-US"/>
        </w:rPr>
        <w:t xml:space="preserve">, Callimachus may have an immediate consciousness, as shown at the beginning of </w:t>
      </w:r>
      <w:r>
        <w:rPr>
          <w:i/>
          <w:iCs/>
          <w:lang w:val="en-US"/>
        </w:rPr>
        <w:t xml:space="preserve">Iambus </w:t>
      </w:r>
      <w:r>
        <w:rPr>
          <w:lang w:val="en-US"/>
        </w:rPr>
        <w:t>4, where Callimachus as character urges the son of Charitades to attend to the fable he is about to tell him. Here, Callimachus is both narrator and character, as he is among the people who will listen to the fable.</w:t>
      </w:r>
      <w:r>
        <w:rPr>
          <w:rStyle w:val="FootnoteReference"/>
          <w:lang w:val="en-US"/>
        </w:rPr>
        <w:footnoteReference w:id="313"/>
      </w:r>
      <w:r>
        <w:rPr>
          <w:lang w:val="en-US"/>
        </w:rPr>
        <w:t xml:space="preserve"> Indeed, he speaks of </w:t>
      </w:r>
      <w:r w:rsidR="00CC0615">
        <w:rPr>
          <w:lang w:val="en-US"/>
        </w:rPr>
        <w:t>“</w:t>
      </w:r>
      <w:r>
        <w:rPr>
          <w:lang w:val="en-US"/>
        </w:rPr>
        <w:t>we</w:t>
      </w:r>
      <w:r w:rsidR="00CC0615">
        <w:rPr>
          <w:lang w:val="en-US"/>
        </w:rPr>
        <w:t>”</w:t>
      </w:r>
      <w:r>
        <w:rPr>
          <w:lang w:val="en-US"/>
        </w:rPr>
        <w:t xml:space="preserve"> when in the first line he says: εἷς – οὐ γάρ; – ἡμέων, παῖ Χαριτάδεω, καὶ σύ […] ἄκουε δὴ τὸν αἶνον </w:t>
      </w:r>
      <w:r w:rsidR="00CC0615">
        <w:rPr>
          <w:lang w:val="en-US"/>
        </w:rPr>
        <w:t>“</w:t>
      </w:r>
      <w:r>
        <w:rPr>
          <w:lang w:val="en-US"/>
        </w:rPr>
        <w:t>οne – surely not? – of us, son of Charitades, even you … Indeed hear the fable</w:t>
      </w:r>
      <w:r w:rsidR="00CC0615">
        <w:rPr>
          <w:lang w:val="en-US"/>
        </w:rPr>
        <w:t>”</w:t>
      </w:r>
      <w:r>
        <w:rPr>
          <w:lang w:val="en-US"/>
        </w:rPr>
        <w:t xml:space="preserve"> (Call. </w:t>
      </w:r>
      <w:r>
        <w:rPr>
          <w:i/>
          <w:iCs/>
          <w:lang w:val="en-US"/>
        </w:rPr>
        <w:t>Ia</w:t>
      </w:r>
      <w:r>
        <w:rPr>
          <w:lang w:val="en-US"/>
        </w:rPr>
        <w:t xml:space="preserve">. 4.1, 6). </w:t>
      </w:r>
    </w:p>
    <w:p w14:paraId="3635A963" w14:textId="4A457585" w:rsidR="00E436AA" w:rsidRDefault="00B057DE" w:rsidP="00D238A0">
      <w:pPr>
        <w:ind w:firstLine="425"/>
        <w:textAlignment w:val="bottom"/>
        <w:rPr>
          <w:rFonts w:cs="Times New Roman"/>
        </w:rPr>
      </w:pPr>
      <w:r>
        <w:rPr>
          <w:lang w:val="en-US"/>
        </w:rPr>
        <w:t xml:space="preserve">But the strongest instance of the immediate mode of consciousness of Callimachus as character is surely in </w:t>
      </w:r>
      <w:r>
        <w:rPr>
          <w:i/>
          <w:iCs/>
          <w:lang w:val="en-US"/>
        </w:rPr>
        <w:t>Iambus</w:t>
      </w:r>
      <w:r>
        <w:rPr>
          <w:lang w:val="en-US"/>
        </w:rPr>
        <w:t xml:space="preserve"> 13. Here, present tense verbs express Callimachus</w:t>
      </w:r>
      <w:r w:rsidR="00075F5F">
        <w:rPr>
          <w:lang w:val="en-US"/>
        </w:rPr>
        <w:t>’</w:t>
      </w:r>
      <w:r>
        <w:rPr>
          <w:lang w:val="en-US"/>
        </w:rPr>
        <w:t xml:space="preserve"> way of </w:t>
      </w:r>
      <w:r>
        <w:rPr>
          <w:lang w:val="en-US"/>
        </w:rPr>
        <w:lastRenderedPageBreak/>
        <w:t>thinking while the aorist verbs are assigned to Callimachus</w:t>
      </w:r>
      <w:r w:rsidR="00075F5F">
        <w:rPr>
          <w:lang w:val="en-US"/>
        </w:rPr>
        <w:t>’</w:t>
      </w:r>
      <w:r>
        <w:rPr>
          <w:lang w:val="en-US"/>
        </w:rPr>
        <w:t xml:space="preserve"> critics. The iamb</w:t>
      </w:r>
      <w:r>
        <w:rPr>
          <w:i/>
          <w:iCs/>
          <w:lang w:val="en-US"/>
        </w:rPr>
        <w:t xml:space="preserve"> </w:t>
      </w:r>
      <w:r>
        <w:rPr>
          <w:lang w:val="en-US"/>
        </w:rPr>
        <w:t xml:space="preserve">starts in the present, with the address of the poet to the Muses and to Apollo: Μοῦσαι καλαὶ κἄπολλον, οἷς ἐγὼ σπένδω </w:t>
      </w:r>
      <w:r w:rsidR="00CC0615">
        <w:rPr>
          <w:lang w:val="en-US"/>
        </w:rPr>
        <w:t>“</w:t>
      </w:r>
      <w:r>
        <w:rPr>
          <w:lang w:val="en-US"/>
        </w:rPr>
        <w:t>fair Muses and Apollo, to whom I make my libation.</w:t>
      </w:r>
      <w:r w:rsidR="00CC0615">
        <w:rPr>
          <w:lang w:val="en-US"/>
        </w:rPr>
        <w:t>”</w:t>
      </w:r>
      <w:r>
        <w:rPr>
          <w:lang w:val="en-US"/>
        </w:rPr>
        <w:t xml:space="preserve"> The verb σπένδω implies an action that the character Callimachus is performing before the eyes of his audience in their </w:t>
      </w:r>
      <w:r>
        <w:rPr>
          <w:i/>
          <w:iCs/>
          <w:lang w:val="en-US"/>
        </w:rPr>
        <w:t>hic et nunc</w:t>
      </w:r>
      <w:r>
        <w:rPr>
          <w:lang w:val="en-US"/>
        </w:rPr>
        <w:t xml:space="preserve">. And the present tense returns at the end, when Callimachus answers the accusations advanced by his critics against his iambic poetry (Call. </w:t>
      </w:r>
      <w:r>
        <w:rPr>
          <w:i/>
          <w:iCs/>
          <w:lang w:val="en-US"/>
        </w:rPr>
        <w:t>Ia</w:t>
      </w:r>
      <w:r>
        <w:rPr>
          <w:lang w:val="en-US"/>
        </w:rPr>
        <w:t xml:space="preserve">. 13.60-62): </w:t>
      </w:r>
    </w:p>
    <w:p w14:paraId="5798D960" w14:textId="77777777" w:rsidR="006512C4" w:rsidRDefault="006512C4" w:rsidP="00D238A0">
      <w:pPr>
        <w:ind w:firstLine="425"/>
        <w:textAlignment w:val="bottom"/>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2"/>
        <w:gridCol w:w="3676"/>
      </w:tblGrid>
      <w:tr w:rsidR="006512C4" w:rsidRPr="00D630EB" w14:paraId="42409315" w14:textId="77777777" w:rsidTr="00890EB4">
        <w:tc>
          <w:tcPr>
            <w:tcW w:w="4262" w:type="dxa"/>
          </w:tcPr>
          <w:p w14:paraId="72D72481" w14:textId="58063935" w:rsidR="006512C4" w:rsidRPr="00D630EB" w:rsidRDefault="006512C4" w:rsidP="00A803AE">
            <w:pPr>
              <w:pStyle w:val="Blockquote"/>
              <w:rPr>
                <w:sz w:val="22"/>
                <w:szCs w:val="22"/>
              </w:rPr>
            </w:pPr>
            <w:r w:rsidRPr="00D630EB">
              <w:rPr>
                <w:sz w:val="22"/>
                <w:szCs w:val="22"/>
              </w:rPr>
              <w:t>τοῦδ</w:t>
            </w:r>
            <w:r w:rsidR="00075F5F">
              <w:rPr>
                <w:sz w:val="22"/>
                <w:szCs w:val="22"/>
              </w:rPr>
              <w:t>’</w:t>
            </w:r>
            <w:r w:rsidRPr="00D630EB">
              <w:rPr>
                <w:sz w:val="22"/>
                <w:szCs w:val="22"/>
              </w:rPr>
              <w:t xml:space="preserve"> οὕνεκ</w:t>
            </w:r>
            <w:r w:rsidR="00075F5F">
              <w:rPr>
                <w:sz w:val="22"/>
                <w:szCs w:val="22"/>
              </w:rPr>
              <w:t>’</w:t>
            </w:r>
            <w:r w:rsidRPr="00D630EB">
              <w:rPr>
                <w:sz w:val="22"/>
                <w:szCs w:val="22"/>
              </w:rPr>
              <w:t xml:space="preserve"> οὐδὲν πῖον, ἀλλὰ λιμηρά̣</w:t>
            </w:r>
          </w:p>
          <w:p w14:paraId="42A05A61" w14:textId="77777777" w:rsidR="006512C4" w:rsidRPr="00D630EB" w:rsidRDefault="006512C4" w:rsidP="00A803AE">
            <w:pPr>
              <w:pStyle w:val="Blockquote"/>
              <w:rPr>
                <w:sz w:val="22"/>
                <w:szCs w:val="22"/>
              </w:rPr>
            </w:pPr>
            <w:r w:rsidRPr="00D630EB">
              <w:rPr>
                <w:sz w:val="22"/>
                <w:szCs w:val="22"/>
              </w:rPr>
              <w:t>ἕκαστος ἄκροις δακτύλοις ἀ̣π̣ο̣κνίζει,</w:t>
            </w:r>
          </w:p>
          <w:p w14:paraId="1CB81C46" w14:textId="77777777" w:rsidR="006512C4" w:rsidRPr="00D630EB" w:rsidRDefault="006512C4" w:rsidP="00A803AE">
            <w:pPr>
              <w:pStyle w:val="Blockquote"/>
              <w:rPr>
                <w:sz w:val="22"/>
                <w:szCs w:val="22"/>
              </w:rPr>
            </w:pPr>
            <w:r w:rsidRPr="00D630EB">
              <w:rPr>
                <w:sz w:val="22"/>
                <w:szCs w:val="22"/>
              </w:rPr>
              <w:t>ὡς τῆς ἐλαίης</w:t>
            </w:r>
          </w:p>
        </w:tc>
        <w:tc>
          <w:tcPr>
            <w:tcW w:w="3676" w:type="dxa"/>
          </w:tcPr>
          <w:p w14:paraId="5E216585" w14:textId="77777777" w:rsidR="006512C4" w:rsidRPr="00D630EB" w:rsidRDefault="006512C4" w:rsidP="00A803AE">
            <w:pPr>
              <w:pStyle w:val="Blockquote"/>
              <w:rPr>
                <w:sz w:val="22"/>
                <w:szCs w:val="22"/>
              </w:rPr>
            </w:pPr>
            <w:r w:rsidRPr="00D630EB">
              <w:rPr>
                <w:sz w:val="22"/>
                <w:szCs w:val="22"/>
              </w:rPr>
              <w:t>For which reason nothing fat, but famine-causing bits each one scrapes off with his fingertips as though from the olive tree</w:t>
            </w:r>
          </w:p>
        </w:tc>
      </w:tr>
    </w:tbl>
    <w:p w14:paraId="42575875" w14:textId="77777777" w:rsidR="006512C4" w:rsidRDefault="006512C4" w:rsidP="00A803AE">
      <w:pPr>
        <w:pStyle w:val="Blockquote"/>
      </w:pPr>
    </w:p>
    <w:p w14:paraId="2DC92D20" w14:textId="604DE620" w:rsidR="00E436AA" w:rsidRDefault="006F6315" w:rsidP="004F1F0B">
      <w:pPr>
        <w:autoSpaceDE w:val="0"/>
        <w:autoSpaceDN w:val="0"/>
        <w:adjustRightInd w:val="0"/>
        <w:rPr>
          <w:rFonts w:cs="Times New Roman"/>
        </w:rPr>
      </w:pPr>
      <w:r>
        <w:rPr>
          <w:lang w:val="en-US"/>
        </w:rPr>
        <w:t xml:space="preserve">Callimachus is declaring his idea of poetry, and in so doing, he speaks in the present, since he is making a statement, and iambographers use the present to state their ideas (as shown previously in the cases of Archilochus and Hipponax). The contrast with his critics and their idea of poetry becomes clearer when the poet affirms the legitimacy of his poetry, confirming that he sings even if he did not go to Ephesus (Call. </w:t>
      </w:r>
      <w:r>
        <w:rPr>
          <w:i/>
          <w:iCs/>
          <w:lang w:val="en-US"/>
        </w:rPr>
        <w:t>Ia.</w:t>
      </w:r>
      <w:r>
        <w:rPr>
          <w:lang w:val="en-US"/>
        </w:rPr>
        <w:t xml:space="preserve"> 13.63-66): </w:t>
      </w:r>
    </w:p>
    <w:p w14:paraId="31333F8A" w14:textId="77777777" w:rsidR="006512C4" w:rsidRDefault="006512C4" w:rsidP="00D238A0">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0"/>
        <w:gridCol w:w="3678"/>
      </w:tblGrid>
      <w:tr w:rsidR="006512C4" w:rsidRPr="00D630EB" w14:paraId="55E6E45D" w14:textId="77777777" w:rsidTr="00890EB4">
        <w:tc>
          <w:tcPr>
            <w:tcW w:w="4260" w:type="dxa"/>
          </w:tcPr>
          <w:p w14:paraId="1DCD2D15" w14:textId="77777777" w:rsidR="006512C4" w:rsidRPr="00D630EB" w:rsidRDefault="006512C4" w:rsidP="00A803AE">
            <w:pPr>
              <w:pStyle w:val="Blockquote"/>
              <w:rPr>
                <w:sz w:val="22"/>
                <w:szCs w:val="22"/>
              </w:rPr>
            </w:pPr>
            <w:r w:rsidRPr="00D630EB">
              <w:rPr>
                <w:sz w:val="22"/>
                <w:szCs w:val="22"/>
              </w:rPr>
              <w:t xml:space="preserve">                                                       ἀ̣είδω</w:t>
            </w:r>
          </w:p>
          <w:p w14:paraId="63474CA1" w14:textId="7DB9FFB7" w:rsidR="006512C4" w:rsidRPr="00D630EB" w:rsidRDefault="006512C4" w:rsidP="00A803AE">
            <w:pPr>
              <w:pStyle w:val="Blockquote"/>
              <w:rPr>
                <w:sz w:val="22"/>
                <w:szCs w:val="22"/>
              </w:rPr>
            </w:pPr>
            <w:r w:rsidRPr="00D630EB">
              <w:rPr>
                <w:sz w:val="22"/>
                <w:szCs w:val="22"/>
              </w:rPr>
              <w:t>οὔτ</w:t>
            </w:r>
            <w:r w:rsidR="00075F5F">
              <w:rPr>
                <w:sz w:val="22"/>
                <w:szCs w:val="22"/>
              </w:rPr>
              <w:t>’</w:t>
            </w:r>
            <w:r w:rsidRPr="00D630EB">
              <w:rPr>
                <w:sz w:val="22"/>
                <w:szCs w:val="22"/>
              </w:rPr>
              <w:t xml:space="preserve"> Ἔφεσον ἐλθὼν οὔτ̣</w:t>
            </w:r>
            <w:r w:rsidR="00075F5F">
              <w:rPr>
                <w:sz w:val="22"/>
                <w:szCs w:val="22"/>
              </w:rPr>
              <w:t>’</w:t>
            </w:r>
            <w:r w:rsidRPr="00D630EB">
              <w:rPr>
                <w:sz w:val="22"/>
                <w:szCs w:val="22"/>
              </w:rPr>
              <w:t xml:space="preserve"> Ἴωσι συμμείξας,</w:t>
            </w:r>
          </w:p>
          <w:p w14:paraId="415399B3" w14:textId="77777777" w:rsidR="006512C4" w:rsidRPr="00D630EB" w:rsidRDefault="006512C4" w:rsidP="00A803AE">
            <w:pPr>
              <w:pStyle w:val="Blockquote"/>
              <w:rPr>
                <w:sz w:val="22"/>
                <w:szCs w:val="22"/>
                <w:lang w:val="el-GR"/>
              </w:rPr>
            </w:pPr>
            <w:r w:rsidRPr="00D630EB">
              <w:rPr>
                <w:sz w:val="22"/>
                <w:szCs w:val="22"/>
                <w:lang w:val="el-GR"/>
              </w:rPr>
              <w:t>Ἔφεσον, ὅθεν πε̣ρ οἱ τὰ μέτρα μέλλοντες</w:t>
            </w:r>
          </w:p>
          <w:p w14:paraId="3F3C405E" w14:textId="77777777" w:rsidR="006512C4" w:rsidRPr="00D630EB" w:rsidRDefault="006512C4" w:rsidP="00A803AE">
            <w:pPr>
              <w:pStyle w:val="Blockquote"/>
              <w:rPr>
                <w:sz w:val="22"/>
                <w:szCs w:val="22"/>
                <w:lang w:val="el-GR"/>
              </w:rPr>
            </w:pPr>
            <w:r w:rsidRPr="00D630EB">
              <w:rPr>
                <w:sz w:val="22"/>
                <w:szCs w:val="22"/>
                <w:lang w:val="el-GR"/>
              </w:rPr>
              <w:t>τὰ χωλὰ τίκτειν μὴ ἀμαθῶς ἐναύονται</w:t>
            </w:r>
          </w:p>
        </w:tc>
        <w:tc>
          <w:tcPr>
            <w:tcW w:w="3678" w:type="dxa"/>
          </w:tcPr>
          <w:p w14:paraId="057E35E9" w14:textId="77777777" w:rsidR="006512C4" w:rsidRPr="00D630EB" w:rsidRDefault="006512C4" w:rsidP="00A803AE">
            <w:pPr>
              <w:pStyle w:val="Blockquote"/>
              <w:rPr>
                <w:sz w:val="22"/>
                <w:szCs w:val="22"/>
              </w:rPr>
            </w:pPr>
            <w:r w:rsidRPr="00D630EB">
              <w:rPr>
                <w:sz w:val="22"/>
                <w:szCs w:val="22"/>
              </w:rPr>
              <w:t>I sing neither going to Ephesus nor associating with the Ionians, to Ephesus, whence they intending to produce the linping metra, are not unlearnedly inspired</w:t>
            </w:r>
          </w:p>
        </w:tc>
      </w:tr>
    </w:tbl>
    <w:p w14:paraId="15D3B0E2" w14:textId="77777777" w:rsidR="006512C4" w:rsidRDefault="006512C4" w:rsidP="00A803AE">
      <w:pPr>
        <w:pStyle w:val="Blockquote"/>
      </w:pPr>
    </w:p>
    <w:p w14:paraId="12A2C31A" w14:textId="406CF24B" w:rsidR="006F6315" w:rsidRPr="00E436AA" w:rsidRDefault="006F6315" w:rsidP="004F1F0B">
      <w:pPr>
        <w:rPr>
          <w:rFonts w:cs="Times New Roman"/>
          <w:szCs w:val="24"/>
          <w:lang w:val="en-US"/>
        </w:rPr>
      </w:pPr>
      <w:r w:rsidRPr="00D238A0">
        <w:rPr>
          <w:rFonts w:cs="Times New Roman"/>
          <w:szCs w:val="24"/>
          <w:lang w:val="en-US"/>
        </w:rPr>
        <w:t>The present ἀ</w:t>
      </w:r>
      <w:r w:rsidRPr="00E436AA">
        <w:rPr>
          <w:rFonts w:cs="Times New Roman"/>
          <w:szCs w:val="24"/>
          <w:lang w:val="en-US"/>
        </w:rPr>
        <w:t>είδω is the immediate consciousness of Callimachus as character, defending his poetry and his claim to write iambs. While the aorist participles ἐλθών and συμμε</w:t>
      </w:r>
      <w:r w:rsidRPr="00E23BA0">
        <w:rPr>
          <w:rFonts w:cs="Times New Roman"/>
          <w:szCs w:val="24"/>
          <w:lang w:val="en-US"/>
        </w:rPr>
        <w:t>ίξας represent the</w:t>
      </w:r>
      <w:r w:rsidRPr="003A53D6">
        <w:rPr>
          <w:rFonts w:cs="Times New Roman"/>
          <w:szCs w:val="24"/>
          <w:lang w:val="en-US"/>
        </w:rPr>
        <w:t xml:space="preserve"> opinion of Callimachus</w:t>
      </w:r>
      <w:r w:rsidR="00075F5F">
        <w:rPr>
          <w:rFonts w:cs="Times New Roman"/>
          <w:szCs w:val="24"/>
          <w:lang w:val="en-US"/>
        </w:rPr>
        <w:t>’</w:t>
      </w:r>
      <w:r w:rsidRPr="003A53D6">
        <w:rPr>
          <w:rFonts w:cs="Times New Roman"/>
          <w:szCs w:val="24"/>
          <w:lang w:val="en-US"/>
        </w:rPr>
        <w:t xml:space="preserve"> adversaries, the final present verbs μέλλοντες and </w:t>
      </w:r>
      <w:r w:rsidRPr="00125415">
        <w:rPr>
          <w:rFonts w:cs="Times New Roman"/>
          <w:szCs w:val="24"/>
          <w:lang w:val="en-US"/>
        </w:rPr>
        <w:t>ἐναύονται are a statement: Callimachus is paying tribute to Hipponax, who was from Ephesus, and saying that it is true that iambic poetry comes from there. Simultaneously, he is ad</w:t>
      </w:r>
      <w:r w:rsidRPr="009F59C0">
        <w:rPr>
          <w:rFonts w:cs="Times New Roman"/>
          <w:szCs w:val="24"/>
          <w:lang w:val="en-US"/>
        </w:rPr>
        <w:t>mitting the mastery of Hipponax in making iambs and also claiming his autonomy from this master:</w:t>
      </w:r>
      <w:r w:rsidRPr="00E436AA">
        <w:rPr>
          <w:rStyle w:val="FootnoteReference"/>
          <w:rFonts w:cs="Times New Roman"/>
          <w:szCs w:val="24"/>
          <w:lang w:val="en-US"/>
        </w:rPr>
        <w:footnoteReference w:id="314"/>
      </w:r>
      <w:r w:rsidRPr="00E436AA">
        <w:rPr>
          <w:rFonts w:cs="Times New Roman"/>
          <w:szCs w:val="24"/>
          <w:lang w:val="en-US"/>
        </w:rPr>
        <w:t xml:space="preserve"> on this basis, the final present verbs can be read both as a state of affairs and as a stance taken by Callimachus. </w:t>
      </w:r>
    </w:p>
    <w:p w14:paraId="092382F5" w14:textId="2DAAA21E" w:rsidR="006F6315" w:rsidRPr="00D238A0" w:rsidRDefault="006F6315" w:rsidP="00E436AA">
      <w:pPr>
        <w:ind w:firstLine="426"/>
        <w:rPr>
          <w:rFonts w:cs="Times New Roman"/>
          <w:szCs w:val="24"/>
          <w:lang w:val="en-US"/>
        </w:rPr>
      </w:pPr>
      <w:r w:rsidRPr="00E436AA">
        <w:rPr>
          <w:rFonts w:cs="Times New Roman"/>
          <w:szCs w:val="24"/>
          <w:lang w:val="en-US"/>
        </w:rPr>
        <w:t xml:space="preserve">In contrast, the aorist verbs represent the opinions of those other than Callimachus or, more generally, of opponents of the main character. This is evident especially in </w:t>
      </w:r>
      <w:r w:rsidRPr="00E23BA0">
        <w:rPr>
          <w:rFonts w:cs="Times New Roman"/>
          <w:i/>
          <w:iCs/>
          <w:szCs w:val="24"/>
          <w:lang w:val="en-US"/>
        </w:rPr>
        <w:t>Iambus</w:t>
      </w:r>
      <w:r w:rsidRPr="003A53D6">
        <w:rPr>
          <w:rFonts w:cs="Times New Roman"/>
          <w:szCs w:val="24"/>
          <w:lang w:val="en-US"/>
        </w:rPr>
        <w:t xml:space="preserve"> 5, where the aorist verbs denote the actions and thoughts of Apollonius, the schoolteacher </w:t>
      </w:r>
      <w:r w:rsidRPr="003A53D6">
        <w:rPr>
          <w:rFonts w:cs="Times New Roman"/>
          <w:szCs w:val="24"/>
          <w:lang w:val="en-US"/>
        </w:rPr>
        <w:lastRenderedPageBreak/>
        <w:t>who took sexual adva</w:t>
      </w:r>
      <w:r w:rsidRPr="00125415">
        <w:rPr>
          <w:rFonts w:cs="Times New Roman"/>
          <w:szCs w:val="24"/>
          <w:lang w:val="en-US"/>
        </w:rPr>
        <w:t>ntage of his pupils, and against whom Callimachus inveighs ἀ</w:t>
      </w:r>
      <w:r w:rsidRPr="009F59C0">
        <w:rPr>
          <w:rFonts w:cs="Times New Roman"/>
          <w:szCs w:val="24"/>
          <w:lang w:val="en-US"/>
        </w:rPr>
        <w:t>λλ</w:t>
      </w:r>
      <w:r w:rsidR="00075F5F">
        <w:rPr>
          <w:rFonts w:cs="Times New Roman"/>
          <w:szCs w:val="24"/>
          <w:lang w:val="en-US"/>
        </w:rPr>
        <w:t>’</w:t>
      </w:r>
      <w:r w:rsidRPr="009F59C0">
        <w:rPr>
          <w:rFonts w:cs="Times New Roman"/>
          <w:szCs w:val="24"/>
          <w:lang w:val="en-US"/>
        </w:rPr>
        <w:t xml:space="preserve"> ο</w:t>
      </w:r>
      <w:r w:rsidRPr="001C5EA4">
        <w:rPr>
          <w:rFonts w:cs="Times New Roman"/>
          <w:szCs w:val="24"/>
          <w:lang w:val="en-US"/>
        </w:rPr>
        <w:t>ἷ</w:t>
      </w:r>
      <w:r w:rsidRPr="004E03FF">
        <w:rPr>
          <w:rFonts w:cs="Times New Roman"/>
          <w:szCs w:val="24"/>
          <w:lang w:val="en-US"/>
        </w:rPr>
        <w:t xml:space="preserve">ον </w:t>
      </w:r>
      <w:r w:rsidRPr="00D238A0">
        <w:rPr>
          <w:rFonts w:cs="Times New Roman"/>
          <w:szCs w:val="24"/>
          <w:lang w:val="en-US"/>
        </w:rPr>
        <w:t>ἄνδρα συ ... ἔ</w:t>
      </w:r>
      <w:r w:rsidRPr="00E436AA">
        <w:rPr>
          <w:rFonts w:cs="Times New Roman"/>
          <w:szCs w:val="24"/>
          <w:lang w:val="en-US"/>
        </w:rPr>
        <w:t>δωκε … τὸ πῦρ δὲ τὠ</w:t>
      </w:r>
      <w:r w:rsidRPr="00E23BA0">
        <w:rPr>
          <w:rFonts w:cs="Times New Roman"/>
          <w:szCs w:val="24"/>
          <w:lang w:val="en-US"/>
        </w:rPr>
        <w:t xml:space="preserve">νέκαυσας, </w:t>
      </w:r>
      <w:r w:rsidRPr="003A53D6">
        <w:rPr>
          <w:rFonts w:cs="Times New Roman"/>
          <w:szCs w:val="24"/>
          <w:lang w:val="en-US"/>
        </w:rPr>
        <w:t>ἄ</w:t>
      </w:r>
      <w:r w:rsidRPr="00125415">
        <w:rPr>
          <w:rFonts w:cs="Times New Roman"/>
          <w:szCs w:val="24"/>
          <w:lang w:val="en-US"/>
        </w:rPr>
        <w:t>χρις ο</w:t>
      </w:r>
      <w:r w:rsidRPr="00D238A0">
        <w:rPr>
          <w:rFonts w:cs="Times New Roman"/>
          <w:szCs w:val="24"/>
          <w:lang w:val="en-US"/>
        </w:rPr>
        <w:t xml:space="preserve">ὐ </w:t>
      </w:r>
      <w:r w:rsidRPr="00E436AA">
        <w:rPr>
          <w:rFonts w:cs="Times New Roman"/>
          <w:szCs w:val="24"/>
          <w:lang w:val="en-US"/>
        </w:rPr>
        <w:t xml:space="preserve">πολλῇ </w:t>
      </w:r>
      <w:r w:rsidR="00CC0615">
        <w:rPr>
          <w:rFonts w:cs="Times New Roman"/>
          <w:szCs w:val="24"/>
          <w:lang w:val="en-US"/>
        </w:rPr>
        <w:t>“</w:t>
      </w:r>
      <w:r w:rsidRPr="00E436AA">
        <w:rPr>
          <w:rFonts w:cs="Times New Roman"/>
          <w:szCs w:val="24"/>
          <w:lang w:val="en-US"/>
        </w:rPr>
        <w:t>but as a man … granted … But the fire which you have set alight</w:t>
      </w:r>
      <w:r w:rsidR="00CC0615">
        <w:rPr>
          <w:rFonts w:cs="Times New Roman"/>
          <w:szCs w:val="24"/>
          <w:lang w:val="en-US"/>
        </w:rPr>
        <w:t>”</w:t>
      </w:r>
      <w:r w:rsidRPr="00E436AA">
        <w:rPr>
          <w:rFonts w:cs="Times New Roman"/>
          <w:szCs w:val="24"/>
          <w:lang w:val="en-US"/>
        </w:rPr>
        <w:t xml:space="preserve"> (</w:t>
      </w:r>
      <w:r w:rsidRPr="00E436AA">
        <w:rPr>
          <w:rFonts w:cs="Times New Roman"/>
          <w:i/>
          <w:iCs/>
          <w:szCs w:val="24"/>
          <w:lang w:val="en-US"/>
        </w:rPr>
        <w:t>Ia</w:t>
      </w:r>
      <w:r w:rsidRPr="00E436AA">
        <w:rPr>
          <w:rFonts w:cs="Times New Roman"/>
          <w:szCs w:val="24"/>
          <w:lang w:val="en-US"/>
        </w:rPr>
        <w:t>. 5.5, 7, 23). While the aorist verbs mark</w:t>
      </w:r>
      <w:r w:rsidRPr="00E23BA0">
        <w:rPr>
          <w:rFonts w:cs="Times New Roman"/>
          <w:szCs w:val="24"/>
          <w:lang w:val="en-US"/>
        </w:rPr>
        <w:t xml:space="preserve"> the actions of th</w:t>
      </w:r>
      <w:r w:rsidRPr="003A53D6">
        <w:rPr>
          <w:rFonts w:cs="Times New Roman"/>
          <w:szCs w:val="24"/>
          <w:lang w:val="en-US"/>
        </w:rPr>
        <w:t xml:space="preserve">e teacher, the admonitions directed </w:t>
      </w:r>
      <w:r w:rsidR="004F1F0B">
        <w:rPr>
          <w:rFonts w:cs="Times New Roman"/>
          <w:szCs w:val="24"/>
          <w:lang w:val="en-US"/>
        </w:rPr>
        <w:t>at</w:t>
      </w:r>
      <w:r w:rsidR="004F1F0B" w:rsidRPr="003A53D6">
        <w:rPr>
          <w:rFonts w:cs="Times New Roman"/>
          <w:szCs w:val="24"/>
          <w:lang w:val="en-US"/>
        </w:rPr>
        <w:t xml:space="preserve"> </w:t>
      </w:r>
      <w:r w:rsidRPr="003A53D6">
        <w:rPr>
          <w:rFonts w:cs="Times New Roman"/>
          <w:szCs w:val="24"/>
          <w:lang w:val="en-US"/>
        </w:rPr>
        <w:t xml:space="preserve">him are in the present tense: </w:t>
      </w:r>
      <w:r w:rsidRPr="00125415">
        <w:rPr>
          <w:rFonts w:cs="Times New Roman"/>
          <w:szCs w:val="24"/>
          <w:lang w:val="en-US"/>
        </w:rPr>
        <w:t>ὦ ξε</w:t>
      </w:r>
      <w:r w:rsidRPr="009F59C0">
        <w:rPr>
          <w:rFonts w:cs="Times New Roman"/>
          <w:szCs w:val="24"/>
          <w:lang w:val="en-US"/>
        </w:rPr>
        <w:t>ῖ</w:t>
      </w:r>
      <w:r w:rsidRPr="001C5EA4">
        <w:rPr>
          <w:rFonts w:cs="Times New Roman"/>
          <w:szCs w:val="24"/>
          <w:lang w:val="en-US"/>
        </w:rPr>
        <w:t xml:space="preserve">νε … / </w:t>
      </w:r>
      <w:r w:rsidRPr="004E03FF">
        <w:rPr>
          <w:rFonts w:cs="Times New Roman"/>
          <w:szCs w:val="24"/>
          <w:lang w:val="en-US"/>
        </w:rPr>
        <w:t>ἄ</w:t>
      </w:r>
      <w:r w:rsidRPr="00D238A0">
        <w:rPr>
          <w:rFonts w:cs="Times New Roman"/>
          <w:szCs w:val="24"/>
          <w:lang w:val="en-US"/>
        </w:rPr>
        <w:t xml:space="preserve">κουε τἀπὸ καρδίης … ἅσσα τοι λέγω </w:t>
      </w:r>
      <w:r w:rsidR="00CC0615">
        <w:rPr>
          <w:rFonts w:cs="Times New Roman"/>
          <w:szCs w:val="24"/>
          <w:lang w:val="en-US"/>
        </w:rPr>
        <w:t>“</w:t>
      </w:r>
      <w:r w:rsidRPr="00D238A0">
        <w:rPr>
          <w:rFonts w:cs="Times New Roman"/>
          <w:szCs w:val="24"/>
          <w:lang w:val="en-US"/>
        </w:rPr>
        <w:t>o friend … hear that from my heart … whatever I tell you</w:t>
      </w:r>
      <w:r w:rsidR="00CC0615">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w:t>
      </w:r>
      <w:r w:rsidRPr="00D238A0">
        <w:rPr>
          <w:rFonts w:cs="Times New Roman"/>
          <w:szCs w:val="24"/>
          <w:lang w:val="en-US"/>
        </w:rPr>
        <w:t>. 5.1, 2, 18).</w:t>
      </w:r>
    </w:p>
    <w:p w14:paraId="3263A18F" w14:textId="6CA719B4" w:rsidR="006F6315" w:rsidRPr="00E436AA" w:rsidRDefault="006F6315" w:rsidP="00E23BA0">
      <w:pPr>
        <w:ind w:firstLine="426"/>
        <w:rPr>
          <w:rFonts w:cs="Times New Roman"/>
          <w:szCs w:val="24"/>
          <w:lang w:val="en-US"/>
        </w:rPr>
      </w:pPr>
      <w:r w:rsidRPr="00D238A0">
        <w:rPr>
          <w:rFonts w:cs="Times New Roman"/>
          <w:szCs w:val="24"/>
          <w:lang w:val="en-US"/>
        </w:rPr>
        <w:t>I believe it can be argued that aorist participles in particular are used by Callimachus in personalising causes and their effects, as shown by the aorist participle ἐλθών and συμμείξας (</w:t>
      </w:r>
      <w:r w:rsidRPr="00D238A0">
        <w:rPr>
          <w:rFonts w:cs="Times New Roman"/>
          <w:i/>
          <w:iCs/>
          <w:szCs w:val="24"/>
          <w:lang w:val="en-US"/>
        </w:rPr>
        <w:t>Ia</w:t>
      </w:r>
      <w:r w:rsidRPr="00D238A0">
        <w:rPr>
          <w:rFonts w:cs="Times New Roman"/>
          <w:szCs w:val="24"/>
          <w:lang w:val="en-US"/>
        </w:rPr>
        <w:t>. 13. 64) which represent the opinion of Callimachus</w:t>
      </w:r>
      <w:r w:rsidR="00075F5F">
        <w:rPr>
          <w:rFonts w:cs="Times New Roman"/>
          <w:szCs w:val="24"/>
          <w:lang w:val="en-US"/>
        </w:rPr>
        <w:t>’</w:t>
      </w:r>
      <w:r w:rsidRPr="00D238A0">
        <w:rPr>
          <w:rFonts w:cs="Times New Roman"/>
          <w:szCs w:val="24"/>
          <w:lang w:val="en-US"/>
        </w:rPr>
        <w:t xml:space="preserve"> adversaries. To that extent, they are a means of situating events psychologically, both in their context and with respect to each other. Through the aorist participial clauses  οὔτ</w:t>
      </w:r>
      <w:r w:rsidR="00075F5F">
        <w:rPr>
          <w:rFonts w:cs="Times New Roman"/>
          <w:szCs w:val="24"/>
          <w:lang w:val="en-US"/>
        </w:rPr>
        <w:t>’</w:t>
      </w:r>
      <w:r w:rsidRPr="00D238A0">
        <w:rPr>
          <w:rFonts w:cs="Times New Roman"/>
          <w:szCs w:val="24"/>
          <w:lang w:val="en-US"/>
        </w:rPr>
        <w:t xml:space="preserve"> Ἔφεσον ἐλθὼν οὔτ</w:t>
      </w:r>
      <w:r w:rsidR="00075F5F">
        <w:rPr>
          <w:rFonts w:cs="Times New Roman"/>
          <w:szCs w:val="24"/>
          <w:lang w:val="en-US"/>
        </w:rPr>
        <w:t>’</w:t>
      </w:r>
      <w:r w:rsidRPr="00D238A0">
        <w:rPr>
          <w:rFonts w:cs="Times New Roman"/>
          <w:szCs w:val="24"/>
          <w:lang w:val="en-US"/>
        </w:rPr>
        <w:t xml:space="preserve"> Ἴ</w:t>
      </w:r>
      <w:r w:rsidRPr="00E436AA">
        <w:rPr>
          <w:rFonts w:cs="Times New Roman"/>
          <w:szCs w:val="24"/>
          <w:lang w:val="en-US"/>
        </w:rPr>
        <w:t>ωσι συμμείξας</w:t>
      </w:r>
      <w:r w:rsidRPr="00E436AA">
        <w:rPr>
          <w:rFonts w:cs="Times New Roman"/>
          <w:i/>
          <w:iCs/>
          <w:szCs w:val="24"/>
          <w:lang w:val="en-US"/>
        </w:rPr>
        <w:t xml:space="preserve"> </w:t>
      </w:r>
      <w:r w:rsidRPr="00E436AA">
        <w:rPr>
          <w:rFonts w:cs="Times New Roman"/>
          <w:szCs w:val="24"/>
          <w:lang w:val="en-US"/>
        </w:rPr>
        <w:t>(</w:t>
      </w:r>
      <w:r w:rsidRPr="00E436AA">
        <w:rPr>
          <w:rFonts w:cs="Times New Roman"/>
          <w:i/>
          <w:iCs/>
          <w:szCs w:val="24"/>
          <w:lang w:val="en-US"/>
        </w:rPr>
        <w:t>Ia</w:t>
      </w:r>
      <w:r w:rsidRPr="00E436AA">
        <w:rPr>
          <w:rFonts w:cs="Times New Roman"/>
          <w:szCs w:val="24"/>
          <w:lang w:val="en-US"/>
        </w:rPr>
        <w:t>. 13.64</w:t>
      </w:r>
      <w:r w:rsidRPr="00D238A0">
        <w:rPr>
          <w:rFonts w:cs="Times New Roman"/>
          <w:szCs w:val="24"/>
          <w:lang w:val="en-US"/>
        </w:rPr>
        <w:t>)</w:t>
      </w:r>
      <w:r w:rsidRPr="00E436AA">
        <w:rPr>
          <w:rFonts w:cs="Times New Roman"/>
          <w:szCs w:val="24"/>
          <w:lang w:val="en-US"/>
        </w:rPr>
        <w:t>, Callimachus marks the subjectivity of his adversaries</w:t>
      </w:r>
      <w:r w:rsidR="00075F5F">
        <w:rPr>
          <w:rFonts w:cs="Times New Roman"/>
          <w:szCs w:val="24"/>
          <w:lang w:val="en-US"/>
        </w:rPr>
        <w:t>’</w:t>
      </w:r>
      <w:r w:rsidRPr="00E436AA">
        <w:rPr>
          <w:rFonts w:cs="Times New Roman"/>
          <w:szCs w:val="24"/>
          <w:lang w:val="en-US"/>
        </w:rPr>
        <w:t xml:space="preserve"> accusations, and at the same time he reveals his judgement about their accusations. Indeed, at the end of </w:t>
      </w:r>
      <w:r w:rsidRPr="00E23BA0">
        <w:rPr>
          <w:rFonts w:cs="Times New Roman"/>
          <w:i/>
          <w:iCs/>
          <w:szCs w:val="24"/>
          <w:lang w:val="en-US"/>
        </w:rPr>
        <w:t>Iambus</w:t>
      </w:r>
      <w:r w:rsidRPr="003A53D6">
        <w:rPr>
          <w:rFonts w:cs="Times New Roman"/>
          <w:szCs w:val="24"/>
          <w:lang w:val="en-US"/>
        </w:rPr>
        <w:t xml:space="preserve"> 13, the adversaries</w:t>
      </w:r>
      <w:r w:rsidR="00075F5F">
        <w:rPr>
          <w:rFonts w:cs="Times New Roman"/>
          <w:szCs w:val="24"/>
          <w:lang w:val="en-US"/>
        </w:rPr>
        <w:t>’</w:t>
      </w:r>
      <w:r w:rsidRPr="003A53D6">
        <w:rPr>
          <w:rFonts w:cs="Times New Roman"/>
          <w:szCs w:val="24"/>
          <w:lang w:val="en-US"/>
        </w:rPr>
        <w:t xml:space="preserve"> opinions appear as wrong miscalculations, so that the repetition of them by their same target (Callimachus) creates great irony.</w:t>
      </w:r>
      <w:r w:rsidRPr="00E436AA">
        <w:rPr>
          <w:rStyle w:val="FootnoteReference"/>
          <w:rFonts w:cs="Times New Roman"/>
          <w:szCs w:val="24"/>
          <w:lang w:val="en-US"/>
        </w:rPr>
        <w:footnoteReference w:id="315"/>
      </w:r>
    </w:p>
    <w:p w14:paraId="77E41F36" w14:textId="058E44B8" w:rsidR="00E436AA" w:rsidRDefault="006F6315" w:rsidP="00D238A0">
      <w:pPr>
        <w:autoSpaceDE w:val="0"/>
        <w:autoSpaceDN w:val="0"/>
        <w:adjustRightInd w:val="0"/>
        <w:ind w:firstLine="425"/>
        <w:rPr>
          <w:rFonts w:cs="Times New Roman"/>
          <w:szCs w:val="24"/>
          <w:lang w:val="en-US"/>
        </w:rPr>
      </w:pPr>
      <w:r w:rsidRPr="00E436AA">
        <w:rPr>
          <w:rFonts w:cs="Times New Roman"/>
          <w:szCs w:val="24"/>
          <w:lang w:val="en-US"/>
        </w:rPr>
        <w:t>Finally, Callimachus uses the imperfect tense to express things known (as do Archilochus and Hipponax) and things observed. These two perspectives correspond with two modes of discourse which, borrowing Platonic terminology for the presence or absence of a narrator in poetry, we can distinguish as the diegetic and the mimetic mode.</w:t>
      </w:r>
      <w:r w:rsidRPr="00E436AA">
        <w:rPr>
          <w:rStyle w:val="FootnoteReference"/>
          <w:rFonts w:cs="Times New Roman"/>
          <w:szCs w:val="24"/>
          <w:lang w:val="en-US"/>
        </w:rPr>
        <w:footnoteReference w:id="316"/>
      </w:r>
      <w:r w:rsidRPr="00E436AA">
        <w:rPr>
          <w:rFonts w:cs="Times New Roman"/>
          <w:szCs w:val="24"/>
          <w:lang w:val="en-US"/>
        </w:rPr>
        <w:t xml:space="preserve"> The former is necessarily associated with the discourse of the knower, capturing a presentation of the facts in which the narrative is overtly mediated by the narrator in the role of evaluator, as in </w:t>
      </w:r>
      <w:r w:rsidRPr="00E436AA">
        <w:rPr>
          <w:rFonts w:cs="Times New Roman"/>
          <w:i/>
          <w:iCs/>
          <w:szCs w:val="24"/>
          <w:lang w:val="en-US"/>
        </w:rPr>
        <w:t>Iambus</w:t>
      </w:r>
      <w:r w:rsidRPr="00E436AA">
        <w:rPr>
          <w:rFonts w:cs="Times New Roman"/>
          <w:szCs w:val="24"/>
          <w:lang w:val="en-US"/>
        </w:rPr>
        <w:t xml:space="preserve"> 2.1-3: </w:t>
      </w:r>
    </w:p>
    <w:p w14:paraId="3DEF021D" w14:textId="77777777" w:rsidR="00E436AA" w:rsidRPr="00D238A0" w:rsidRDefault="00E436AA" w:rsidP="00D238A0">
      <w:pPr>
        <w:autoSpaceDE w:val="0"/>
        <w:autoSpaceDN w:val="0"/>
        <w:adjustRightInd w:val="0"/>
        <w:ind w:firstLine="425"/>
        <w:rPr>
          <w:rFonts w:cs="Times New Roman"/>
          <w:szCs w:val="24"/>
          <w:lang w:val="en-US"/>
        </w:rPr>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1"/>
        <w:gridCol w:w="3677"/>
      </w:tblGrid>
      <w:tr w:rsidR="006512C4" w:rsidRPr="00D630EB" w14:paraId="6652299B" w14:textId="77777777" w:rsidTr="00890EB4">
        <w:tc>
          <w:tcPr>
            <w:tcW w:w="4261" w:type="dxa"/>
          </w:tcPr>
          <w:p w14:paraId="67CF1DE7" w14:textId="77777777" w:rsidR="006512C4" w:rsidRPr="00D630EB" w:rsidRDefault="006512C4" w:rsidP="00A803AE">
            <w:pPr>
              <w:pStyle w:val="Blockquote"/>
              <w:rPr>
                <w:sz w:val="22"/>
                <w:szCs w:val="22"/>
                <w:lang w:val="el-GR"/>
              </w:rPr>
            </w:pPr>
            <w:r w:rsidRPr="00D630EB">
              <w:rPr>
                <w:sz w:val="22"/>
                <w:szCs w:val="22"/>
                <w:lang w:val="el-GR"/>
              </w:rPr>
              <w:t xml:space="preserve">Ἦν κεῖνος οὑνιαυτός, ᾧ τό τε πτηνόν </w:t>
            </w:r>
          </w:p>
          <w:p w14:paraId="0FBB124B" w14:textId="3A5539D4" w:rsidR="006512C4" w:rsidRPr="00D630EB" w:rsidRDefault="006512C4" w:rsidP="00A803AE">
            <w:pPr>
              <w:pStyle w:val="Blockquote"/>
              <w:rPr>
                <w:sz w:val="22"/>
                <w:szCs w:val="22"/>
                <w:lang w:val="el-GR"/>
              </w:rPr>
            </w:pPr>
            <w:r w:rsidRPr="00D630EB">
              <w:rPr>
                <w:sz w:val="22"/>
                <w:szCs w:val="22"/>
                <w:lang w:val="el-GR"/>
              </w:rPr>
              <w:t>καὶ τοὐν θαλάσσῃ καὶ τὸ τετράπουν αὔτως ἐφθέγγεθ</w:t>
            </w:r>
            <w:r w:rsidR="00075F5F">
              <w:rPr>
                <w:sz w:val="22"/>
                <w:szCs w:val="22"/>
                <w:lang w:val="el-GR"/>
              </w:rPr>
              <w:t>’</w:t>
            </w:r>
            <w:r w:rsidRPr="00D630EB">
              <w:rPr>
                <w:sz w:val="22"/>
                <w:szCs w:val="22"/>
                <w:lang w:val="el-GR"/>
              </w:rPr>
              <w:t xml:space="preserve"> ὡς ὁ πηλὸς ὁ Προμήθειος</w:t>
            </w:r>
          </w:p>
        </w:tc>
        <w:tc>
          <w:tcPr>
            <w:tcW w:w="3677" w:type="dxa"/>
          </w:tcPr>
          <w:p w14:paraId="16B985E4" w14:textId="57DA8F4D" w:rsidR="006512C4" w:rsidRPr="00D630EB" w:rsidRDefault="00452D45" w:rsidP="00452D45">
            <w:pPr>
              <w:pStyle w:val="Blockquote"/>
              <w:rPr>
                <w:sz w:val="22"/>
                <w:szCs w:val="22"/>
              </w:rPr>
            </w:pPr>
            <w:r w:rsidRPr="00D630EB">
              <w:rPr>
                <w:sz w:val="22"/>
                <w:szCs w:val="22"/>
              </w:rPr>
              <w:t>It was in that time</w:t>
            </w:r>
            <w:r w:rsidR="006512C4" w:rsidRPr="00D630EB">
              <w:rPr>
                <w:sz w:val="22"/>
                <w:szCs w:val="22"/>
              </w:rPr>
              <w:t xml:space="preserve"> when the winged and that which dwells in the sea, and likewise the four-footed used to </w:t>
            </w:r>
            <w:r w:rsidRPr="00D630EB">
              <w:rPr>
                <w:sz w:val="22"/>
                <w:szCs w:val="22"/>
              </w:rPr>
              <w:t>speak</w:t>
            </w:r>
            <w:r w:rsidR="006512C4" w:rsidRPr="00D630EB">
              <w:rPr>
                <w:sz w:val="22"/>
                <w:szCs w:val="22"/>
              </w:rPr>
              <w:t xml:space="preserve"> as does the Promethean clay</w:t>
            </w:r>
          </w:p>
        </w:tc>
      </w:tr>
    </w:tbl>
    <w:p w14:paraId="79131ED5" w14:textId="77777777" w:rsidR="006512C4" w:rsidRDefault="006512C4" w:rsidP="00A803AE">
      <w:pPr>
        <w:pStyle w:val="Blockquote"/>
      </w:pPr>
    </w:p>
    <w:p w14:paraId="5762174B" w14:textId="6BB1C31E" w:rsidR="00E436AA" w:rsidRDefault="006F6315" w:rsidP="004F1F0B">
      <w:pPr>
        <w:autoSpaceDE w:val="0"/>
        <w:autoSpaceDN w:val="0"/>
        <w:adjustRightInd w:val="0"/>
        <w:rPr>
          <w:rFonts w:cs="Times New Roman"/>
        </w:rPr>
      </w:pPr>
      <w:r>
        <w:rPr>
          <w:lang w:val="en-US"/>
        </w:rPr>
        <w:t>The imperfect verbs in Callimachus</w:t>
      </w:r>
      <w:r w:rsidR="00075F5F">
        <w:rPr>
          <w:lang w:val="en-US"/>
        </w:rPr>
        <w:t>’</w:t>
      </w:r>
      <w:r>
        <w:rPr>
          <w:lang w:val="en-US"/>
        </w:rPr>
        <w:t xml:space="preserve"> diegetic mode of presentation have a backgrounding function. They provide information on which Callimachus grounds his facts or they serve as a frame for the recording of those facts, as shown by the only line of </w:t>
      </w:r>
      <w:r>
        <w:rPr>
          <w:i/>
          <w:iCs/>
          <w:lang w:val="en-US"/>
        </w:rPr>
        <w:t xml:space="preserve">Ia. </w:t>
      </w:r>
      <w:r>
        <w:rPr>
          <w:lang w:val="en-US"/>
        </w:rPr>
        <w:t>8 Ἀργώ κοτ</w:t>
      </w:r>
      <w:r w:rsidR="00075F5F">
        <w:rPr>
          <w:lang w:val="en-US"/>
        </w:rPr>
        <w:t>’</w:t>
      </w:r>
      <w:r>
        <w:rPr>
          <w:lang w:val="en-US"/>
        </w:rPr>
        <w:t xml:space="preserve"> ἐμπνέοντος ἤκαλον νότου </w:t>
      </w:r>
      <w:r w:rsidR="00CC0615">
        <w:rPr>
          <w:lang w:val="en-US"/>
        </w:rPr>
        <w:t>“</w:t>
      </w:r>
      <w:r>
        <w:rPr>
          <w:lang w:val="en-US"/>
        </w:rPr>
        <w:t>Once Argo, while unraffled Libeccio blowed.</w:t>
      </w:r>
      <w:r w:rsidR="00CC0615">
        <w:rPr>
          <w:lang w:val="en-US"/>
        </w:rPr>
        <w:t>”</w:t>
      </w:r>
      <w:r>
        <w:rPr>
          <w:lang w:val="en-US"/>
        </w:rPr>
        <w:t xml:space="preserve"> It should be </w:t>
      </w:r>
      <w:r>
        <w:rPr>
          <w:lang w:val="en-US"/>
        </w:rPr>
        <w:lastRenderedPageBreak/>
        <w:t xml:space="preserve">noted that the historical/narrative facts themselves are then presented as aorist verbs, as shown by </w:t>
      </w:r>
      <w:r>
        <w:rPr>
          <w:i/>
          <w:iCs/>
          <w:lang w:val="en-US"/>
        </w:rPr>
        <w:t xml:space="preserve">Iambus </w:t>
      </w:r>
      <w:r>
        <w:rPr>
          <w:lang w:val="en-US"/>
        </w:rPr>
        <w:t xml:space="preserve">2.6-7: </w:t>
      </w:r>
    </w:p>
    <w:p w14:paraId="355F48CA" w14:textId="77777777" w:rsidR="006512C4" w:rsidRDefault="006512C4" w:rsidP="00D238A0">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7"/>
        <w:gridCol w:w="3671"/>
      </w:tblGrid>
      <w:tr w:rsidR="006512C4" w:rsidRPr="00D630EB" w14:paraId="6F6A0CB1" w14:textId="77777777" w:rsidTr="00890EB4">
        <w:tc>
          <w:tcPr>
            <w:tcW w:w="4267" w:type="dxa"/>
          </w:tcPr>
          <w:p w14:paraId="018CF239" w14:textId="6EA89AB0" w:rsidR="006512C4" w:rsidRPr="00D630EB" w:rsidRDefault="006512C4" w:rsidP="00A803AE">
            <w:pPr>
              <w:pStyle w:val="Blockquote"/>
              <w:rPr>
                <w:sz w:val="22"/>
                <w:szCs w:val="22"/>
              </w:rPr>
            </w:pPr>
            <w:r w:rsidRPr="00D630EB">
              <w:rPr>
                <w:sz w:val="22"/>
                <w:szCs w:val="22"/>
              </w:rPr>
              <w:t>δίκαιος ὁ Ζεύς, οὐ δίκαια δ̣</w:t>
            </w:r>
            <w:r w:rsidR="00075F5F">
              <w:rPr>
                <w:sz w:val="22"/>
                <w:szCs w:val="22"/>
              </w:rPr>
              <w:t>’</w:t>
            </w:r>
            <w:r w:rsidRPr="00D630EB">
              <w:rPr>
                <w:sz w:val="22"/>
                <w:szCs w:val="22"/>
              </w:rPr>
              <w:t xml:space="preserve"> αἰσυμνέ̣ω̣ν  </w:t>
            </w:r>
            <w:r w:rsidR="000023B6" w:rsidRPr="00D630EB">
              <w:rPr>
                <w:sz w:val="22"/>
                <w:szCs w:val="22"/>
              </w:rPr>
              <w:br/>
            </w:r>
            <w:r w:rsidRPr="00D630EB">
              <w:rPr>
                <w:sz w:val="22"/>
                <w:szCs w:val="22"/>
              </w:rPr>
              <w:t>τῶν ἑρπετῶν̣ μὲν ἐξέκοψε τὸ φθέ̣γμα</w:t>
            </w:r>
          </w:p>
        </w:tc>
        <w:tc>
          <w:tcPr>
            <w:tcW w:w="3671" w:type="dxa"/>
          </w:tcPr>
          <w:p w14:paraId="1735361F" w14:textId="77777777" w:rsidR="006512C4" w:rsidRPr="00D630EB" w:rsidRDefault="006512C4" w:rsidP="00A803AE">
            <w:pPr>
              <w:pStyle w:val="Blockquote"/>
              <w:rPr>
                <w:sz w:val="22"/>
                <w:szCs w:val="22"/>
              </w:rPr>
            </w:pPr>
            <w:r w:rsidRPr="00D630EB">
              <w:rPr>
                <w:sz w:val="22"/>
                <w:szCs w:val="22"/>
              </w:rPr>
              <w:t>Just is Zeus, but not justly ruling, he cut off the voice of those which crawl</w:t>
            </w:r>
          </w:p>
        </w:tc>
      </w:tr>
    </w:tbl>
    <w:p w14:paraId="5275C7F1" w14:textId="77777777" w:rsidR="006512C4" w:rsidRDefault="006512C4" w:rsidP="00A803AE">
      <w:pPr>
        <w:pStyle w:val="Blockquote"/>
      </w:pPr>
    </w:p>
    <w:p w14:paraId="7E6F7659" w14:textId="4A4574B9" w:rsidR="00E436AA" w:rsidRDefault="006F6315" w:rsidP="004F1F0B">
      <w:pPr>
        <w:autoSpaceDE w:val="0"/>
        <w:autoSpaceDN w:val="0"/>
        <w:adjustRightInd w:val="0"/>
        <w:rPr>
          <w:rFonts w:cs="Times New Roman"/>
        </w:rPr>
      </w:pPr>
      <w:r>
        <w:rPr>
          <w:lang w:val="en-US"/>
        </w:rPr>
        <w:t>This mode can be opposed to those portions of the text in which Callimachus withdraws in favor of a remote observer on the spot, and this mimetic mode must be associated with the discourse of the observer. Here, I have equated the mimetic mode with the characters</w:t>
      </w:r>
      <w:r w:rsidR="00075F5F">
        <w:rPr>
          <w:lang w:val="en-US"/>
        </w:rPr>
        <w:t>’</w:t>
      </w:r>
      <w:r>
        <w:rPr>
          <w:lang w:val="en-US"/>
        </w:rPr>
        <w:t xml:space="preserve"> point of view,</w:t>
      </w:r>
      <w:r>
        <w:rPr>
          <w:rStyle w:val="FootnoteReference"/>
          <w:lang w:val="en-US"/>
        </w:rPr>
        <w:footnoteReference w:id="317"/>
      </w:r>
      <w:r>
        <w:rPr>
          <w:lang w:val="en-US"/>
        </w:rPr>
        <w:t xml:space="preserve"> as events related in this mode are very often </w:t>
      </w:r>
      <w:r w:rsidR="00CC0615">
        <w:rPr>
          <w:lang w:val="en-US"/>
        </w:rPr>
        <w:t>“</w:t>
      </w:r>
      <w:r>
        <w:rPr>
          <w:lang w:val="en-US"/>
        </w:rPr>
        <w:t>focalized</w:t>
      </w:r>
      <w:r w:rsidR="00CC0615">
        <w:rPr>
          <w:lang w:val="en-US"/>
        </w:rPr>
        <w:t>”</w:t>
      </w:r>
      <w:r>
        <w:rPr>
          <w:lang w:val="en-US"/>
        </w:rPr>
        <w:t xml:space="preserve"> by characters, as in </w:t>
      </w:r>
      <w:r>
        <w:rPr>
          <w:i/>
          <w:iCs/>
          <w:lang w:val="en-US"/>
        </w:rPr>
        <w:t>Ia.</w:t>
      </w:r>
      <w:r>
        <w:rPr>
          <w:lang w:val="en-US"/>
        </w:rPr>
        <w:t xml:space="preserve"> 1.36 τῶν πάλαι τις εὐδαίμων / ἐγένετο, πάντα δ</w:t>
      </w:r>
      <w:r w:rsidR="00075F5F">
        <w:rPr>
          <w:lang w:val="en-US"/>
        </w:rPr>
        <w:t>’</w:t>
      </w:r>
      <w:r>
        <w:rPr>
          <w:lang w:val="en-US"/>
        </w:rPr>
        <w:t xml:space="preserve"> εἶχεν </w:t>
      </w:r>
      <w:r w:rsidR="00CC0615">
        <w:rPr>
          <w:lang w:val="en-US"/>
        </w:rPr>
        <w:t>“</w:t>
      </w:r>
      <w:r>
        <w:rPr>
          <w:lang w:val="en-US"/>
        </w:rPr>
        <w:t>was one of the blessed of old, and he had everything,</w:t>
      </w:r>
      <w:r w:rsidR="00CC0615">
        <w:rPr>
          <w:lang w:val="en-US"/>
        </w:rPr>
        <w:t>”</w:t>
      </w:r>
      <w:r>
        <w:rPr>
          <w:lang w:val="en-US"/>
        </w:rPr>
        <w:t xml:space="preserve"> where Hipponax is describing the last moments of Batykles</w:t>
      </w:r>
      <w:r w:rsidR="00075F5F">
        <w:rPr>
          <w:lang w:val="en-US"/>
        </w:rPr>
        <w:t>’</w:t>
      </w:r>
      <w:r>
        <w:rPr>
          <w:lang w:val="en-US"/>
        </w:rPr>
        <w:t xml:space="preserve"> life as he looked at him. Sometimes, the </w:t>
      </w:r>
      <w:r w:rsidR="00CC0615">
        <w:rPr>
          <w:lang w:val="en-US"/>
        </w:rPr>
        <w:t>“</w:t>
      </w:r>
      <w:r>
        <w:rPr>
          <w:lang w:val="en-US"/>
        </w:rPr>
        <w:t>focalizer</w:t>
      </w:r>
      <w:r w:rsidR="00CC0615">
        <w:rPr>
          <w:lang w:val="en-US"/>
        </w:rPr>
        <w:t>”</w:t>
      </w:r>
      <w:r>
        <w:rPr>
          <w:lang w:val="en-US"/>
        </w:rPr>
        <w:t xml:space="preserve"> is the </w:t>
      </w:r>
      <w:r>
        <w:rPr>
          <w:i/>
          <w:iCs/>
          <w:lang w:val="en-US"/>
        </w:rPr>
        <w:t>persona</w:t>
      </w:r>
      <w:r>
        <w:rPr>
          <w:lang w:val="en-US"/>
        </w:rPr>
        <w:t xml:space="preserve"> of Callimachus himself</w:t>
      </w:r>
      <w:r w:rsidR="00D10A84">
        <w:rPr>
          <w:lang w:val="en-US"/>
        </w:rPr>
        <w:t xml:space="preserve"> - </w:t>
      </w:r>
      <w:r>
        <w:rPr>
          <w:lang w:val="en-US"/>
        </w:rPr>
        <w:t xml:space="preserve">not as knower of facts but as an observing consciousness on the spot, as in </w:t>
      </w:r>
      <w:r>
        <w:rPr>
          <w:i/>
          <w:iCs/>
          <w:lang w:val="en-US"/>
        </w:rPr>
        <w:t>Ia.</w:t>
      </w:r>
      <w:r>
        <w:rPr>
          <w:lang w:val="en-US"/>
        </w:rPr>
        <w:t xml:space="preserve"> 12.45-46: </w:t>
      </w:r>
    </w:p>
    <w:p w14:paraId="6B5E4EB9" w14:textId="77777777" w:rsidR="006512C4" w:rsidRDefault="006512C4" w:rsidP="00D238A0">
      <w:pPr>
        <w:autoSpaceDE w:val="0"/>
        <w:autoSpaceDN w:val="0"/>
        <w:adjustRightInd w:val="0"/>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2"/>
        <w:gridCol w:w="3676"/>
      </w:tblGrid>
      <w:tr w:rsidR="006512C4" w:rsidRPr="00D630EB" w14:paraId="4A887ACF" w14:textId="77777777" w:rsidTr="00890EB4">
        <w:tc>
          <w:tcPr>
            <w:tcW w:w="4262" w:type="dxa"/>
          </w:tcPr>
          <w:p w14:paraId="6507AE56" w14:textId="281CEF5E" w:rsidR="006512C4" w:rsidRPr="00D630EB" w:rsidRDefault="006512C4" w:rsidP="00A803AE">
            <w:pPr>
              <w:pStyle w:val="Blockquote"/>
              <w:rPr>
                <w:sz w:val="22"/>
                <w:szCs w:val="22"/>
              </w:rPr>
            </w:pPr>
            <w:r w:rsidRPr="00D630EB">
              <w:rPr>
                <w:sz w:val="22"/>
                <w:szCs w:val="22"/>
              </w:rPr>
              <w:t>οἱ δ</w:t>
            </w:r>
            <w:r w:rsidR="00075F5F">
              <w:rPr>
                <w:sz w:val="22"/>
                <w:szCs w:val="22"/>
              </w:rPr>
              <w:t>’</w:t>
            </w:r>
            <w:r w:rsidR="00DD0553" w:rsidRPr="00D630EB">
              <w:rPr>
                <w:sz w:val="22"/>
                <w:szCs w:val="22"/>
              </w:rPr>
              <w:t xml:space="preserve">[...] </w:t>
            </w:r>
            <w:r w:rsidRPr="00D630EB">
              <w:rPr>
                <w:sz w:val="22"/>
                <w:szCs w:val="22"/>
              </w:rPr>
              <w:t xml:space="preserve">γλυκεῖαν̣ ἀλλήλοις ἔριν </w:t>
            </w:r>
          </w:p>
          <w:p w14:paraId="72B80C2E" w14:textId="77777777" w:rsidR="006512C4" w:rsidRPr="00D630EB" w:rsidRDefault="006512C4" w:rsidP="00A803AE">
            <w:pPr>
              <w:pStyle w:val="Blockquote"/>
              <w:rPr>
                <w:sz w:val="22"/>
                <w:szCs w:val="22"/>
              </w:rPr>
            </w:pPr>
            <w:r w:rsidRPr="00D630EB">
              <w:rPr>
                <w:sz w:val="22"/>
                <w:szCs w:val="22"/>
              </w:rPr>
              <w:t>θέντες ἡμιλλῶντ̣ο δωτίνης πέρι</w:t>
            </w:r>
          </w:p>
        </w:tc>
        <w:tc>
          <w:tcPr>
            <w:tcW w:w="3676" w:type="dxa"/>
          </w:tcPr>
          <w:p w14:paraId="19B832FB" w14:textId="77777777" w:rsidR="006512C4" w:rsidRPr="00D630EB" w:rsidRDefault="006512C4" w:rsidP="00A803AE">
            <w:pPr>
              <w:pStyle w:val="Blockquote"/>
              <w:rPr>
                <w:sz w:val="22"/>
                <w:szCs w:val="22"/>
              </w:rPr>
            </w:pPr>
            <w:r w:rsidRPr="00D630EB">
              <w:rPr>
                <w:sz w:val="22"/>
                <w:szCs w:val="22"/>
              </w:rPr>
              <w:t>and they contended with one another making sweet strife of the gift-giving</w:t>
            </w:r>
          </w:p>
        </w:tc>
      </w:tr>
    </w:tbl>
    <w:p w14:paraId="70DC36CE" w14:textId="77777777" w:rsidR="006512C4" w:rsidRDefault="006512C4" w:rsidP="00A803AE">
      <w:pPr>
        <w:pStyle w:val="Blockquote"/>
      </w:pPr>
    </w:p>
    <w:p w14:paraId="2897756D" w14:textId="72DBF7E5" w:rsidR="006F6315" w:rsidRDefault="006F6315" w:rsidP="004F1F0B">
      <w:pPr>
        <w:rPr>
          <w:lang w:val="en-US"/>
        </w:rPr>
      </w:pPr>
      <w:r>
        <w:rPr>
          <w:lang w:val="en-US"/>
        </w:rPr>
        <w:t xml:space="preserve">In this case, the narrator has two narrative functions, or consciousnesses: one </w:t>
      </w:r>
      <w:r w:rsidR="00CC0615">
        <w:rPr>
          <w:lang w:val="en-US"/>
        </w:rPr>
        <w:t>“</w:t>
      </w:r>
      <w:r>
        <w:rPr>
          <w:lang w:val="en-US"/>
        </w:rPr>
        <w:t>near,</w:t>
      </w:r>
      <w:r w:rsidR="00CC0615">
        <w:rPr>
          <w:lang w:val="en-US"/>
        </w:rPr>
        <w:t>”</w:t>
      </w:r>
      <w:r>
        <w:rPr>
          <w:lang w:val="en-US"/>
        </w:rPr>
        <w:t xml:space="preserve"> as Callimachus is describing the competition between the gods as if he were there, and the other </w:t>
      </w:r>
      <w:r w:rsidR="00CC0615">
        <w:rPr>
          <w:lang w:val="en-US"/>
        </w:rPr>
        <w:t>“</w:t>
      </w:r>
      <w:r>
        <w:rPr>
          <w:lang w:val="en-US"/>
        </w:rPr>
        <w:t>far,</w:t>
      </w:r>
      <w:r w:rsidR="00CC0615">
        <w:rPr>
          <w:lang w:val="en-US"/>
        </w:rPr>
        <w:t>”</w:t>
      </w:r>
      <w:r>
        <w:rPr>
          <w:lang w:val="en-US"/>
        </w:rPr>
        <w:t xml:space="preserve"> as the imperfect tense relegates the competition to the past, separate from the time of Callimachus as author. </w:t>
      </w:r>
    </w:p>
    <w:p w14:paraId="5580AC64" w14:textId="20B6F290" w:rsidR="006F6315" w:rsidRDefault="006F6315" w:rsidP="00E23BA0">
      <w:pPr>
        <w:ind w:firstLine="426"/>
        <w:rPr>
          <w:lang w:val="en-US"/>
        </w:rPr>
      </w:pPr>
      <w:r>
        <w:rPr>
          <w:lang w:val="en-US"/>
        </w:rPr>
        <w:t>This use of the imperfect is less a reference to an event than a displacement of its observation into the past. Chafe</w:t>
      </w:r>
      <w:r>
        <w:rPr>
          <w:rStyle w:val="FootnoteReference"/>
          <w:lang w:val="en-US"/>
        </w:rPr>
        <w:footnoteReference w:id="318"/>
      </w:r>
      <w:r>
        <w:rPr>
          <w:lang w:val="en-US"/>
        </w:rPr>
        <w:t xml:space="preserve"> speaks of this narrative situation as </w:t>
      </w:r>
      <w:r w:rsidR="00CC0615">
        <w:rPr>
          <w:lang w:val="en-US"/>
        </w:rPr>
        <w:t>“</w:t>
      </w:r>
      <w:r>
        <w:rPr>
          <w:lang w:val="en-US"/>
        </w:rPr>
        <w:t>displaced immediacy,</w:t>
      </w:r>
      <w:r w:rsidR="00CC0615">
        <w:rPr>
          <w:lang w:val="en-US"/>
        </w:rPr>
        <w:t>”</w:t>
      </w:r>
      <w:r>
        <w:rPr>
          <w:lang w:val="en-US"/>
        </w:rPr>
        <w:t xml:space="preserve"> which is typical of written fiction. In Greek, we may note that the use of imperfect for a displaced immediacy does not occur among archaic iambographers. This seems understandable, given that oral poetry is more a matter of remembering in a firmly established speaker-now than of pretended observation in the past. </w:t>
      </w:r>
    </w:p>
    <w:p w14:paraId="768F4961" w14:textId="2BE46B7D" w:rsidR="006512C4" w:rsidRDefault="006F6315" w:rsidP="003A53D6">
      <w:pPr>
        <w:autoSpaceDE w:val="0"/>
        <w:autoSpaceDN w:val="0"/>
        <w:adjustRightInd w:val="0"/>
      </w:pPr>
      <w:r>
        <w:rPr>
          <w:lang w:val="en-US"/>
        </w:rPr>
        <w:t>Callimachus</w:t>
      </w:r>
      <w:r w:rsidR="00075F5F">
        <w:rPr>
          <w:lang w:val="en-US"/>
        </w:rPr>
        <w:t>’</w:t>
      </w:r>
      <w:r>
        <w:rPr>
          <w:lang w:val="en-US"/>
        </w:rPr>
        <w:t xml:space="preserve"> use of the </w:t>
      </w:r>
      <w:r w:rsidR="00CC0615">
        <w:rPr>
          <w:lang w:val="en-US"/>
        </w:rPr>
        <w:t>“</w:t>
      </w:r>
      <w:r>
        <w:rPr>
          <w:lang w:val="en-US"/>
        </w:rPr>
        <w:t>fictional</w:t>
      </w:r>
      <w:r w:rsidR="00CC0615">
        <w:rPr>
          <w:lang w:val="en-US"/>
        </w:rPr>
        <w:t>”</w:t>
      </w:r>
      <w:r>
        <w:rPr>
          <w:lang w:val="en-US"/>
        </w:rPr>
        <w:t xml:space="preserve"> potential of the imperfect may be explained on the basis of the possibilities for displacement offered by writing, and this difference between Callimachus and the archaic iambographers may reflect Chafe</w:t>
      </w:r>
      <w:r w:rsidR="00075F5F">
        <w:rPr>
          <w:lang w:val="en-US"/>
        </w:rPr>
        <w:t>’</w:t>
      </w:r>
      <w:r>
        <w:rPr>
          <w:lang w:val="en-US"/>
        </w:rPr>
        <w:t>s distinction between conversational and literary narrative.</w:t>
      </w:r>
      <w:r>
        <w:rPr>
          <w:rStyle w:val="FootnoteReference"/>
          <w:lang w:val="en-US"/>
        </w:rPr>
        <w:footnoteReference w:id="319"/>
      </w:r>
      <w:r>
        <w:rPr>
          <w:lang w:val="en-US"/>
        </w:rPr>
        <w:t xml:space="preserve"> The result is a mimetic discourse presented from the internal standpoint of the observer, in which the observing consciousness focuses on </w:t>
      </w:r>
      <w:r>
        <w:rPr>
          <w:lang w:val="en-US"/>
        </w:rPr>
        <w:lastRenderedPageBreak/>
        <w:t>what is most typical and therefore most salient for its description. The narrative is so internal that the distinction between the displaced observing consciousness and the experience of the actual participants tends to disappear, and the deictic center, which is usually the speaker</w:t>
      </w:r>
      <w:r w:rsidR="00075F5F">
        <w:rPr>
          <w:lang w:val="en-US"/>
        </w:rPr>
        <w:t>’</w:t>
      </w:r>
      <w:r>
        <w:rPr>
          <w:lang w:val="en-US"/>
        </w:rPr>
        <w:t xml:space="preserve">s actual present, is displaced to the past. In this way, imperfect verbs present the action as experienced, as in </w:t>
      </w:r>
      <w:r>
        <w:rPr>
          <w:i/>
          <w:iCs/>
          <w:lang w:val="en-US"/>
        </w:rPr>
        <w:t>Ia.</w:t>
      </w:r>
      <w:r>
        <w:rPr>
          <w:lang w:val="en-US"/>
        </w:rPr>
        <w:t xml:space="preserve"> 1.41 εἶχε γὰρ δεσμός </w:t>
      </w:r>
      <w:r w:rsidR="00CC0615">
        <w:rPr>
          <w:lang w:val="en-US"/>
        </w:rPr>
        <w:t>“</w:t>
      </w:r>
      <w:r>
        <w:rPr>
          <w:lang w:val="en-US"/>
        </w:rPr>
        <w:t>he suffered from arthritis</w:t>
      </w:r>
      <w:r w:rsidR="00CC0615">
        <w:rPr>
          <w:lang w:val="en-US"/>
        </w:rPr>
        <w:t>”</w:t>
      </w:r>
      <w:r>
        <w:rPr>
          <w:lang w:val="en-US"/>
        </w:rPr>
        <w:t>, where Hipponax himself feels sorry for and sympathises with Batykles</w:t>
      </w:r>
      <w:r w:rsidR="00075F5F">
        <w:rPr>
          <w:lang w:val="en-US"/>
        </w:rPr>
        <w:t>’</w:t>
      </w:r>
      <w:r>
        <w:rPr>
          <w:lang w:val="en-US"/>
        </w:rPr>
        <w:t xml:space="preserve"> pain, even if he is not present at Batykles</w:t>
      </w:r>
      <w:r w:rsidR="00075F5F">
        <w:rPr>
          <w:lang w:val="en-US"/>
        </w:rPr>
        <w:t>’</w:t>
      </w:r>
      <w:r>
        <w:rPr>
          <w:lang w:val="en-US"/>
        </w:rPr>
        <w:t xml:space="preserve"> deathbed.</w:t>
      </w:r>
    </w:p>
    <w:p w14:paraId="5EBA8F50" w14:textId="77777777" w:rsidR="006512C4" w:rsidRPr="00F76EA9" w:rsidRDefault="006512C4" w:rsidP="009A5D6A">
      <w:pPr>
        <w:pStyle w:val="Heading4"/>
      </w:pPr>
      <w:r w:rsidRPr="00F76EA9">
        <w:t xml:space="preserve">2.2.3 The speaker-Audience Relationship in Light of Temporal Deixis </w:t>
      </w:r>
    </w:p>
    <w:p w14:paraId="51EED098" w14:textId="01AB965C" w:rsidR="006F6315" w:rsidRDefault="006F6315" w:rsidP="00E436AA">
      <w:pPr>
        <w:rPr>
          <w:lang w:val="en-US"/>
        </w:rPr>
      </w:pPr>
      <w:r>
        <w:rPr>
          <w:lang w:val="en-US"/>
        </w:rPr>
        <w:t>In conclusion, temporal deixis says something more about the relationship between each iambographer and his audience, and these new pieces of information agree with the data gathered in the analysis of spatial deixis. In particular, Archilochus as speaker shares the time of his audience and sets his iambs in the same time, so that audience</w:t>
      </w:r>
      <w:r w:rsidR="00075F5F">
        <w:rPr>
          <w:lang w:val="en-US"/>
        </w:rPr>
        <w:t>’</w:t>
      </w:r>
      <w:r>
        <w:rPr>
          <w:lang w:val="en-US"/>
        </w:rPr>
        <w:t xml:space="preserve">s </w:t>
      </w:r>
      <w:r w:rsidR="00CC0615">
        <w:rPr>
          <w:lang w:val="en-US"/>
        </w:rPr>
        <w:t>“</w:t>
      </w:r>
      <w:r>
        <w:rPr>
          <w:lang w:val="en-US"/>
        </w:rPr>
        <w:t>now</w:t>
      </w:r>
      <w:r w:rsidR="00CC0615">
        <w:rPr>
          <w:lang w:val="en-US"/>
        </w:rPr>
        <w:t>”</w:t>
      </w:r>
      <w:r>
        <w:rPr>
          <w:lang w:val="en-US"/>
        </w:rPr>
        <w:t xml:space="preserve"> is also Archilochus</w:t>
      </w:r>
      <w:r w:rsidR="00075F5F">
        <w:rPr>
          <w:lang w:val="en-US"/>
        </w:rPr>
        <w:t>’</w:t>
      </w:r>
      <w:r>
        <w:rPr>
          <w:lang w:val="en-US"/>
        </w:rPr>
        <w:t xml:space="preserve"> </w:t>
      </w:r>
      <w:r w:rsidR="00CC0615">
        <w:rPr>
          <w:lang w:val="en-US"/>
        </w:rPr>
        <w:t>“</w:t>
      </w:r>
      <w:r>
        <w:rPr>
          <w:lang w:val="en-US"/>
        </w:rPr>
        <w:t>now</w:t>
      </w:r>
      <w:r w:rsidR="00CC0615">
        <w:rPr>
          <w:lang w:val="en-US"/>
        </w:rPr>
        <w:t>”</w:t>
      </w:r>
      <w:r>
        <w:rPr>
          <w:lang w:val="en-US"/>
        </w:rPr>
        <w:t xml:space="preserve"> and his narrative</w:t>
      </w:r>
      <w:r w:rsidR="00075F5F">
        <w:rPr>
          <w:lang w:val="en-US"/>
        </w:rPr>
        <w:t>’</w:t>
      </w:r>
      <w:r>
        <w:rPr>
          <w:lang w:val="en-US"/>
        </w:rPr>
        <w:t xml:space="preserve">s </w:t>
      </w:r>
      <w:r w:rsidR="00CC0615">
        <w:rPr>
          <w:lang w:val="en-US"/>
        </w:rPr>
        <w:t>“</w:t>
      </w:r>
      <w:r>
        <w:rPr>
          <w:lang w:val="en-US"/>
        </w:rPr>
        <w:t>now.</w:t>
      </w:r>
      <w:r w:rsidR="00CC0615">
        <w:rPr>
          <w:lang w:val="en-US"/>
        </w:rPr>
        <w:t>”</w:t>
      </w:r>
    </w:p>
    <w:p w14:paraId="51C5424A" w14:textId="50F2B7CA" w:rsidR="006F6315" w:rsidRDefault="006F6315" w:rsidP="00E23BA0">
      <w:pPr>
        <w:rPr>
          <w:lang w:val="en-US"/>
        </w:rPr>
      </w:pPr>
      <w:r>
        <w:rPr>
          <w:lang w:val="en-US"/>
        </w:rPr>
        <w:tab/>
        <w:t xml:space="preserve">Hipponax as a speaker shares the temporal dimension of his audience, but sometimes Hipponax as a character seems faraway from the </w:t>
      </w:r>
      <w:r w:rsidR="00CC0615">
        <w:rPr>
          <w:lang w:val="en-US"/>
        </w:rPr>
        <w:t>“</w:t>
      </w:r>
      <w:r>
        <w:rPr>
          <w:lang w:val="en-US"/>
        </w:rPr>
        <w:t>now</w:t>
      </w:r>
      <w:r w:rsidR="00CC0615">
        <w:rPr>
          <w:lang w:val="en-US"/>
        </w:rPr>
        <w:t>”</w:t>
      </w:r>
      <w:r>
        <w:rPr>
          <w:lang w:val="en-US"/>
        </w:rPr>
        <w:t xml:space="preserve"> of the audience; however, through the use of the aorist, Hipponax leads his characters back in front of the audience. </w:t>
      </w:r>
    </w:p>
    <w:p w14:paraId="178D0061" w14:textId="58A3EA66" w:rsidR="006F6315" w:rsidRDefault="006F6315" w:rsidP="00E23BA0">
      <w:pPr>
        <w:rPr>
          <w:lang w:val="en-US"/>
        </w:rPr>
      </w:pPr>
      <w:r>
        <w:rPr>
          <w:lang w:val="en-US"/>
        </w:rPr>
        <w:tab/>
        <w:t xml:space="preserve">Callimachus, although sharing as speaker the </w:t>
      </w:r>
      <w:r w:rsidR="00CC0615">
        <w:rPr>
          <w:lang w:val="en-US"/>
        </w:rPr>
        <w:t>“</w:t>
      </w:r>
      <w:r>
        <w:rPr>
          <w:lang w:val="en-US"/>
        </w:rPr>
        <w:t>now</w:t>
      </w:r>
      <w:r w:rsidR="00CC0615">
        <w:rPr>
          <w:lang w:val="en-US"/>
        </w:rPr>
        <w:t>”</w:t>
      </w:r>
      <w:r>
        <w:rPr>
          <w:lang w:val="en-US"/>
        </w:rPr>
        <w:t xml:space="preserve"> of his audience, creates a spatial and temporal dimension completely distant from his </w:t>
      </w:r>
      <w:r>
        <w:rPr>
          <w:i/>
          <w:iCs/>
          <w:lang w:val="en-US"/>
        </w:rPr>
        <w:t>hic et nunc</w:t>
      </w:r>
      <w:r>
        <w:rPr>
          <w:lang w:val="en-US"/>
        </w:rPr>
        <w:t>, and brings his audience to that dimension with or without using himself as character.</w:t>
      </w:r>
    </w:p>
    <w:p w14:paraId="73CC4922" w14:textId="3A9CBF37" w:rsidR="006512C4" w:rsidRDefault="006F6315" w:rsidP="003A53D6">
      <w:pPr>
        <w:autoSpaceDE w:val="0"/>
        <w:autoSpaceDN w:val="0"/>
        <w:adjustRightInd w:val="0"/>
      </w:pPr>
      <w:r>
        <w:rPr>
          <w:lang w:val="en-US"/>
        </w:rPr>
        <w:t xml:space="preserve">The table below shows the relationship between time of the audience (x) and the time of the narrative (y) for each iambographer, and locates their speakers and characters within this temporal frame. </w:t>
      </w:r>
    </w:p>
    <w:p w14:paraId="4F4AA137" w14:textId="590F221C" w:rsidR="006512C4" w:rsidRDefault="006512C4" w:rsidP="003002D4">
      <w:pPr>
        <w:autoSpaceDE w:val="0"/>
        <w:autoSpaceDN w:val="0"/>
        <w:adjustRightInd w:val="0"/>
        <w:spacing w:before="240"/>
      </w:pPr>
      <w:r>
        <w:t>Key:</w:t>
      </w:r>
    </w:p>
    <w:p w14:paraId="7D179E2F" w14:textId="3F548DFD" w:rsidR="006512C4" w:rsidRDefault="007C4D44" w:rsidP="00695A7C">
      <w:pPr>
        <w:autoSpaceDE w:val="0"/>
        <w:autoSpaceDN w:val="0"/>
        <w:adjustRightInd w:val="0"/>
      </w:pPr>
      <w:r>
        <w:rPr>
          <w:rFonts w:cs="Times New Roman"/>
          <w:noProof/>
          <w:lang w:val="en-US"/>
        </w:rPr>
        <mc:AlternateContent>
          <mc:Choice Requires="wps">
            <w:drawing>
              <wp:anchor distT="0" distB="0" distL="114300" distR="114300" simplePos="0" relativeHeight="251718656" behindDoc="0" locked="0" layoutInCell="1" allowOverlap="1" wp14:anchorId="2682003E" wp14:editId="265A87C7">
                <wp:simplePos x="0" y="0"/>
                <wp:positionH relativeFrom="column">
                  <wp:posOffset>0</wp:posOffset>
                </wp:positionH>
                <wp:positionV relativeFrom="paragraph">
                  <wp:posOffset>63500</wp:posOffset>
                </wp:positionV>
                <wp:extent cx="228600" cy="228600"/>
                <wp:effectExtent l="25400" t="0" r="25400" b="76200"/>
                <wp:wrapNone/>
                <wp:docPr id="9" name="Plus 9"/>
                <wp:cNvGraphicFramePr/>
                <a:graphic xmlns:a="http://schemas.openxmlformats.org/drawingml/2006/main">
                  <a:graphicData uri="http://schemas.microsoft.com/office/word/2010/wordprocessingShape">
                    <wps:wsp>
                      <wps:cNvSpPr/>
                      <wps:spPr>
                        <a:xfrm>
                          <a:off x="0" y="0"/>
                          <a:ext cx="228600" cy="228600"/>
                        </a:xfrm>
                        <a:prstGeom prst="mathPlus">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id="Plus 9" o:spid="_x0000_s1026" style="position:absolute;margin-left:0;margin-top:5pt;width:18pt;height:18pt;z-index:251718656;visibility:visible;mso-wrap-style:square;mso-wrap-distance-left:9pt;mso-wrap-distance-top:0;mso-wrap-distance-right:9pt;mso-wrap-distance-bottom:0;mso-position-horizontal:absolute;mso-position-horizontal-relative:text;mso-position-vertical:absolute;mso-position-vertical-relative:text;v-text-anchor:middle" coordsize="2286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" path="m30301,87417l87417,87417,87417,30301,141183,30301,141183,87417,198299,87417,198299,141183,141183,141183,141183,198299,87417,198299,87417,141183,30301,141183,30301,87417xe" fillcolor="red" strokecolor="red">
                <v:shadow on="t" opacity="22937f" mv:blur="40000f" origin=",.5" offset="0,23000emu"/>
                <v:path arrowok="t" o:connecttype="custom" o:connectlocs="30301,87417;87417,87417;87417,30301;141183,30301;141183,87417;198299,87417;198299,141183;141183,141183;141183,198299;87417,198299;87417,141183;30301,141183;30301,87417" o:connectangles="0,0,0,0,0,0,0,0,0,0,0,0,0"/>
              </v:shape>
            </w:pict>
          </mc:Fallback>
        </mc:AlternateContent>
      </w:r>
      <w:r w:rsidR="006512C4">
        <w:t xml:space="preserve">     </w:t>
      </w:r>
      <w:r>
        <w:t xml:space="preserve">  </w:t>
      </w:r>
      <w:r w:rsidR="006512C4">
        <w:t>= time position perceived by the audience during the reception of iambs;</w:t>
      </w:r>
    </w:p>
    <w:p w14:paraId="0E1C5DCC" w14:textId="77777777" w:rsidR="006512C4" w:rsidRPr="005D5092" w:rsidRDefault="006512C4" w:rsidP="00695A7C">
      <w:pPr>
        <w:autoSpaceDE w:val="0"/>
        <w:autoSpaceDN w:val="0"/>
        <w:adjustRightInd w:val="0"/>
      </w:pPr>
      <w:r>
        <w:rPr>
          <w:noProof/>
          <w:lang w:val="en-US"/>
        </w:rPr>
        <mc:AlternateContent>
          <mc:Choice Requires="wps">
            <w:drawing>
              <wp:anchor distT="0" distB="0" distL="114300" distR="114300" simplePos="0" relativeHeight="251700224" behindDoc="0" locked="0" layoutInCell="1" allowOverlap="1" wp14:anchorId="7CCF423B" wp14:editId="73326824">
                <wp:simplePos x="0" y="0"/>
                <wp:positionH relativeFrom="column">
                  <wp:posOffset>0</wp:posOffset>
                </wp:positionH>
                <wp:positionV relativeFrom="paragraph">
                  <wp:posOffset>152400</wp:posOffset>
                </wp:positionV>
                <wp:extent cx="228600" cy="0"/>
                <wp:effectExtent l="0" t="101600" r="25400" b="177800"/>
                <wp:wrapNone/>
                <wp:docPr id="34" name="Straight Arrow Connector 34"/>
                <wp:cNvGraphicFramePr/>
                <a:graphic xmlns:a="http://schemas.openxmlformats.org/drawingml/2006/main">
                  <a:graphicData uri="http://schemas.microsoft.com/office/word/2010/wordprocessingShape">
                    <wps:wsp>
                      <wps:cNvCnPr/>
                      <wps:spPr>
                        <a:xfrm>
                          <a:off x="0" y="0"/>
                          <a:ext cx="228600" cy="0"/>
                        </a:xfrm>
                        <a:prstGeom prst="straightConnector1">
                          <a:avLst/>
                        </a:prstGeom>
                        <a:ln w="3175" cmpd="sng">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type id="_x0000_t32" coordsize="21600,21600" o:spt="32" o:oned="t" path="m0,0l21600,21600e" filled="f">
                <v:path arrowok="t" fillok="f" o:connecttype="none"/>
                <o:lock v:ext="edit" shapetype="t"/>
              </v:shapetype>
              <v:shape id="Straight Arrow Connector 34" o:spid="_x0000_s1026" type="#_x0000_t32" style="position:absolute;margin-left:0;margin-top:12pt;width:18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" strokecolor="black [3213]" strokeweight=".25pt">
                <v:stroke endarrow="open"/>
                <v:shadow on="t" opacity="24903f" mv:blur="40000f" origin=",.5" offset="0,20000emu"/>
              </v:shape>
            </w:pict>
          </mc:Fallback>
        </mc:AlternateContent>
      </w:r>
      <w:r>
        <w:t xml:space="preserve">       = temporal direction towards which the audience is moved.</w:t>
      </w:r>
    </w:p>
    <w:p w14:paraId="71472429" w14:textId="77777777" w:rsidR="006512C4" w:rsidRDefault="006512C4" w:rsidP="00695A7C">
      <w:pPr>
        <w:autoSpaceDE w:val="0"/>
        <w:autoSpaceDN w:val="0"/>
        <w:adjustRightInd w:val="0"/>
      </w:pPr>
    </w:p>
    <w:tbl>
      <w:tblPr>
        <w:tblStyle w:val="TableGrid"/>
        <w:tblW w:w="5000" w:type="pct"/>
        <w:tblLook w:val="04A0" w:firstRow="1" w:lastRow="0" w:firstColumn="1" w:lastColumn="0" w:noHBand="0" w:noVBand="1"/>
      </w:tblPr>
      <w:tblGrid>
        <w:gridCol w:w="889"/>
        <w:gridCol w:w="889"/>
        <w:gridCol w:w="888"/>
        <w:gridCol w:w="888"/>
        <w:gridCol w:w="890"/>
        <w:gridCol w:w="888"/>
        <w:gridCol w:w="888"/>
        <w:gridCol w:w="888"/>
        <w:gridCol w:w="888"/>
        <w:gridCol w:w="884"/>
      </w:tblGrid>
      <w:tr w:rsidR="006512C4" w14:paraId="65B3B960" w14:textId="77777777" w:rsidTr="006512C4">
        <w:tc>
          <w:tcPr>
            <w:tcW w:w="2501" w:type="pct"/>
            <w:gridSpan w:val="5"/>
            <w:tcBorders>
              <w:top w:val="nil"/>
              <w:bottom w:val="nil"/>
              <w:right w:val="nil"/>
            </w:tcBorders>
          </w:tcPr>
          <w:p w14:paraId="51433CEB" w14:textId="77777777" w:rsidR="006512C4" w:rsidRPr="00F20954" w:rsidRDefault="006512C4" w:rsidP="00825A39">
            <w:pPr>
              <w:autoSpaceDE w:val="0"/>
              <w:autoSpaceDN w:val="0"/>
              <w:adjustRightInd w:val="0"/>
              <w:spacing w:line="360" w:lineRule="auto"/>
              <w:rPr>
                <w:rFonts w:cs="Times New Roman"/>
                <w:i/>
                <w:iCs/>
                <w:color w:val="404040" w:themeColor="text1" w:themeTint="BF"/>
                <w:sz w:val="20"/>
                <w:szCs w:val="20"/>
              </w:rPr>
            </w:pPr>
            <w:r w:rsidRPr="00F20954">
              <w:rPr>
                <w:rFonts w:cs="Times New Roman"/>
                <w:sz w:val="20"/>
                <w:szCs w:val="20"/>
              </w:rPr>
              <w:t>time of narrative</w:t>
            </w:r>
          </w:p>
        </w:tc>
        <w:tc>
          <w:tcPr>
            <w:tcW w:w="500" w:type="pct"/>
            <w:tcBorders>
              <w:top w:val="nil"/>
              <w:left w:val="nil"/>
              <w:bottom w:val="nil"/>
              <w:right w:val="nil"/>
            </w:tcBorders>
          </w:tcPr>
          <w:p w14:paraId="1B84DF50" w14:textId="77777777" w:rsidR="006512C4" w:rsidRDefault="006512C4" w:rsidP="00825A39">
            <w:pPr>
              <w:autoSpaceDE w:val="0"/>
              <w:autoSpaceDN w:val="0"/>
              <w:adjustRightInd w:val="0"/>
              <w:spacing w:line="360" w:lineRule="auto"/>
              <w:rPr>
                <w:rFonts w:cs="Times New Roman"/>
                <w:sz w:val="20"/>
              </w:rPr>
            </w:pPr>
          </w:p>
        </w:tc>
        <w:tc>
          <w:tcPr>
            <w:tcW w:w="500" w:type="pct"/>
            <w:tcBorders>
              <w:top w:val="nil"/>
              <w:left w:val="nil"/>
              <w:bottom w:val="nil"/>
              <w:right w:val="nil"/>
            </w:tcBorders>
          </w:tcPr>
          <w:p w14:paraId="5377AEAB" w14:textId="77777777" w:rsidR="006512C4" w:rsidRDefault="006512C4" w:rsidP="007476CC">
            <w:pPr>
              <w:autoSpaceDE w:val="0"/>
              <w:autoSpaceDN w:val="0"/>
              <w:adjustRightInd w:val="0"/>
              <w:spacing w:line="360" w:lineRule="auto"/>
              <w:rPr>
                <w:rFonts w:cs="Times New Roman"/>
                <w:i/>
                <w:iCs/>
                <w:color w:val="404040" w:themeColor="text1" w:themeTint="BF"/>
              </w:rPr>
            </w:pPr>
            <w:r>
              <w:rPr>
                <w:rFonts w:cs="Times New Roman"/>
                <w:noProof/>
                <w:lang w:val="en-US"/>
              </w:rPr>
              <mc:AlternateContent>
                <mc:Choice Requires="wps">
                  <w:drawing>
                    <wp:anchor distT="0" distB="0" distL="114300" distR="114300" simplePos="0" relativeHeight="251698176" behindDoc="0" locked="0" layoutInCell="1" allowOverlap="1" wp14:anchorId="6FBB343C" wp14:editId="01B04AAA">
                      <wp:simplePos x="0" y="0"/>
                      <wp:positionH relativeFrom="column">
                        <wp:posOffset>297180</wp:posOffset>
                      </wp:positionH>
                      <wp:positionV relativeFrom="paragraph">
                        <wp:posOffset>23495</wp:posOffset>
                      </wp:positionV>
                      <wp:extent cx="228600" cy="228600"/>
                      <wp:effectExtent l="25400" t="0" r="25400" b="76200"/>
                      <wp:wrapNone/>
                      <wp:docPr id="35" name="Plus 35"/>
                      <wp:cNvGraphicFramePr/>
                      <a:graphic xmlns:a="http://schemas.openxmlformats.org/drawingml/2006/main">
                        <a:graphicData uri="http://schemas.microsoft.com/office/word/2010/wordprocessingShape">
                          <wps:wsp>
                            <wps:cNvSpPr/>
                            <wps:spPr>
                              <a:xfrm>
                                <a:off x="0" y="0"/>
                                <a:ext cx="228600" cy="228600"/>
                              </a:xfrm>
                              <a:prstGeom prst="mathPlus">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id="Plus 35" o:spid="_x0000_s1026" style="position:absolute;margin-left:23.4pt;margin-top:1.85pt;width:18pt;height:18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2286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" path="m30301,87417l87417,87417,87417,30301,141183,30301,141183,87417,198299,87417,198299,141183,141183,141183,141183,198299,87417,198299,87417,141183,30301,141183,30301,87417xe" fillcolor="red" strokecolor="red">
                      <v:shadow on="t" opacity="22937f" mv:blur="40000f" origin=",.5" offset="0,23000emu"/>
                      <v:path arrowok="t" o:connecttype="custom" o:connectlocs="30301,87417;87417,87417;87417,30301;141183,30301;141183,87417;198299,87417;198299,141183;141183,141183;141183,198299;87417,198299;87417,141183;30301,141183;30301,87417" o:connectangles="0,0,0,0,0,0,0,0,0,0,0,0,0"/>
                    </v:shape>
                  </w:pict>
                </mc:Fallback>
              </mc:AlternateContent>
            </w:r>
          </w:p>
        </w:tc>
        <w:tc>
          <w:tcPr>
            <w:tcW w:w="500" w:type="pct"/>
            <w:tcBorders>
              <w:top w:val="nil"/>
              <w:left w:val="nil"/>
              <w:bottom w:val="nil"/>
              <w:right w:val="nil"/>
            </w:tcBorders>
          </w:tcPr>
          <w:p w14:paraId="3174AF36"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64728355" w14:textId="77777777" w:rsidR="006512C4" w:rsidRDefault="006512C4" w:rsidP="007476CC">
            <w:pPr>
              <w:autoSpaceDE w:val="0"/>
              <w:autoSpaceDN w:val="0"/>
              <w:adjustRightInd w:val="0"/>
              <w:spacing w:line="360" w:lineRule="auto"/>
              <w:rPr>
                <w:rFonts w:cs="Times New Roman"/>
              </w:rPr>
            </w:pPr>
          </w:p>
        </w:tc>
        <w:tc>
          <w:tcPr>
            <w:tcW w:w="498" w:type="pct"/>
            <w:tcBorders>
              <w:top w:val="nil"/>
              <w:left w:val="nil"/>
              <w:bottom w:val="nil"/>
              <w:right w:val="nil"/>
            </w:tcBorders>
          </w:tcPr>
          <w:p w14:paraId="1825301E" w14:textId="77777777" w:rsidR="006512C4" w:rsidRDefault="006512C4" w:rsidP="007476CC">
            <w:pPr>
              <w:autoSpaceDE w:val="0"/>
              <w:autoSpaceDN w:val="0"/>
              <w:adjustRightInd w:val="0"/>
              <w:spacing w:line="360" w:lineRule="auto"/>
              <w:rPr>
                <w:rFonts w:cs="Times New Roman"/>
              </w:rPr>
            </w:pPr>
          </w:p>
        </w:tc>
      </w:tr>
      <w:tr w:rsidR="006512C4" w14:paraId="0BC25606" w14:textId="77777777" w:rsidTr="006512C4">
        <w:tc>
          <w:tcPr>
            <w:tcW w:w="500" w:type="pct"/>
            <w:tcBorders>
              <w:top w:val="nil"/>
              <w:bottom w:val="nil"/>
              <w:right w:val="nil"/>
            </w:tcBorders>
          </w:tcPr>
          <w:p w14:paraId="3ADB86D8"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12D0E6AF"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732E95B9" w14:textId="77777777" w:rsidR="006512C4" w:rsidRDefault="006512C4" w:rsidP="007476CC">
            <w:pPr>
              <w:autoSpaceDE w:val="0"/>
              <w:autoSpaceDN w:val="0"/>
              <w:adjustRightInd w:val="0"/>
              <w:spacing w:line="360" w:lineRule="auto"/>
              <w:rPr>
                <w:rFonts w:cs="Times New Roman"/>
              </w:rPr>
            </w:pPr>
          </w:p>
        </w:tc>
        <w:tc>
          <w:tcPr>
            <w:tcW w:w="1001" w:type="pct"/>
            <w:gridSpan w:val="2"/>
            <w:vMerge w:val="restart"/>
            <w:tcBorders>
              <w:top w:val="nil"/>
              <w:left w:val="nil"/>
              <w:bottom w:val="nil"/>
              <w:right w:val="nil"/>
            </w:tcBorders>
          </w:tcPr>
          <w:p w14:paraId="5D32C55A" w14:textId="22F59564" w:rsidR="006512C4" w:rsidRDefault="006512C4" w:rsidP="007476CC">
            <w:pPr>
              <w:autoSpaceDE w:val="0"/>
              <w:autoSpaceDN w:val="0"/>
              <w:adjustRightInd w:val="0"/>
              <w:spacing w:line="240" w:lineRule="auto"/>
              <w:jc w:val="center"/>
              <w:rPr>
                <w:rFonts w:cs="Times New Roman"/>
                <w:i/>
                <w:iCs/>
                <w:color w:val="404040" w:themeColor="text1" w:themeTint="BF"/>
              </w:rPr>
            </w:pPr>
            <w:r>
              <w:rPr>
                <w:rFonts w:cs="Times New Roman"/>
                <w:noProof/>
                <w:lang w:val="en-US"/>
              </w:rPr>
              <mc:AlternateContent>
                <mc:Choice Requires="wps">
                  <w:drawing>
                    <wp:anchor distT="0" distB="0" distL="114300" distR="114300" simplePos="0" relativeHeight="251694080" behindDoc="0" locked="0" layoutInCell="1" allowOverlap="1" wp14:anchorId="716008D8" wp14:editId="786CF189">
                      <wp:simplePos x="0" y="0"/>
                      <wp:positionH relativeFrom="column">
                        <wp:posOffset>434975</wp:posOffset>
                      </wp:positionH>
                      <wp:positionV relativeFrom="paragraph">
                        <wp:posOffset>332105</wp:posOffset>
                      </wp:positionV>
                      <wp:extent cx="0" cy="685800"/>
                      <wp:effectExtent l="127000" t="25400" r="101600" b="101600"/>
                      <wp:wrapNone/>
                      <wp:docPr id="36" name="Straight Arrow Connector 36"/>
                      <wp:cNvGraphicFramePr/>
                      <a:graphic xmlns:a="http://schemas.openxmlformats.org/drawingml/2006/main">
                        <a:graphicData uri="http://schemas.microsoft.com/office/word/2010/wordprocessingShape">
                          <wps:wsp>
                            <wps:cNvCnPr/>
                            <wps:spPr>
                              <a:xfrm>
                                <a:off x="0" y="0"/>
                                <a:ext cx="0" cy="685800"/>
                              </a:xfrm>
                              <a:prstGeom prst="straightConnector1">
                                <a:avLst/>
                              </a:prstGeom>
                              <a:ln w="3175" cmpd="sng">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36" o:spid="_x0000_s1026" type="#_x0000_t32" style="position:absolute;margin-left:34.25pt;margin-top:26.15pt;width:0;height:54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" strokecolor="black [3213]" strokeweight=".25pt">
                      <v:stroke endarrow="open"/>
                      <v:shadow on="t" opacity="24903f" mv:blur="40000f" origin=",.5" offset="0,20000emu"/>
                    </v:shape>
                  </w:pict>
                </mc:Fallback>
              </mc:AlternateContent>
            </w:r>
            <w:r>
              <w:rPr>
                <w:rFonts w:cs="Times New Roman"/>
              </w:rPr>
              <w:t>Hipponax</w:t>
            </w:r>
            <w:r w:rsidR="00075F5F">
              <w:rPr>
                <w:rFonts w:cs="Times New Roman"/>
              </w:rPr>
              <w:t>’</w:t>
            </w:r>
            <w:r>
              <w:rPr>
                <w:rFonts w:cs="Times New Roman"/>
              </w:rPr>
              <w:t>s character</w:t>
            </w:r>
          </w:p>
        </w:tc>
        <w:tc>
          <w:tcPr>
            <w:tcW w:w="500" w:type="pct"/>
            <w:tcBorders>
              <w:top w:val="nil"/>
              <w:left w:val="nil"/>
              <w:bottom w:val="nil"/>
              <w:right w:val="nil"/>
            </w:tcBorders>
          </w:tcPr>
          <w:p w14:paraId="7FCA044E" w14:textId="77777777" w:rsidR="006512C4" w:rsidRDefault="006512C4" w:rsidP="007476CC">
            <w:pPr>
              <w:autoSpaceDE w:val="0"/>
              <w:autoSpaceDN w:val="0"/>
              <w:adjustRightInd w:val="0"/>
              <w:spacing w:line="360" w:lineRule="auto"/>
              <w:rPr>
                <w:rFonts w:cs="Times New Roman"/>
              </w:rPr>
            </w:pPr>
          </w:p>
        </w:tc>
        <w:tc>
          <w:tcPr>
            <w:tcW w:w="1000" w:type="pct"/>
            <w:gridSpan w:val="2"/>
            <w:vMerge w:val="restart"/>
            <w:tcBorders>
              <w:top w:val="nil"/>
              <w:left w:val="nil"/>
              <w:bottom w:val="nil"/>
              <w:right w:val="nil"/>
            </w:tcBorders>
          </w:tcPr>
          <w:p w14:paraId="041412C9" w14:textId="7E99AE66" w:rsidR="006512C4" w:rsidRDefault="006512C4" w:rsidP="007476CC">
            <w:pPr>
              <w:autoSpaceDE w:val="0"/>
              <w:autoSpaceDN w:val="0"/>
              <w:adjustRightInd w:val="0"/>
              <w:spacing w:line="240" w:lineRule="auto"/>
              <w:jc w:val="center"/>
              <w:rPr>
                <w:rFonts w:cs="Times New Roman"/>
                <w:i/>
                <w:iCs/>
                <w:color w:val="404040" w:themeColor="text1" w:themeTint="BF"/>
              </w:rPr>
            </w:pPr>
            <w:r>
              <w:rPr>
                <w:rFonts w:cs="Times New Roman"/>
                <w:noProof/>
                <w:lang w:val="en-US"/>
              </w:rPr>
              <mc:AlternateContent>
                <mc:Choice Requires="wps">
                  <w:drawing>
                    <wp:anchor distT="0" distB="0" distL="114300" distR="114300" simplePos="0" relativeHeight="251695104" behindDoc="0" locked="0" layoutInCell="1" allowOverlap="1" wp14:anchorId="18378DFE" wp14:editId="067B1547">
                      <wp:simplePos x="0" y="0"/>
                      <wp:positionH relativeFrom="column">
                        <wp:posOffset>411480</wp:posOffset>
                      </wp:positionH>
                      <wp:positionV relativeFrom="paragraph">
                        <wp:posOffset>332105</wp:posOffset>
                      </wp:positionV>
                      <wp:extent cx="0" cy="685800"/>
                      <wp:effectExtent l="127000" t="50800" r="101600" b="76200"/>
                      <wp:wrapNone/>
                      <wp:docPr id="37" name="Straight Arrow Connector 37"/>
                      <wp:cNvGraphicFramePr/>
                      <a:graphic xmlns:a="http://schemas.openxmlformats.org/drawingml/2006/main">
                        <a:graphicData uri="http://schemas.microsoft.com/office/word/2010/wordprocessingShape">
                          <wps:wsp>
                            <wps:cNvCnPr/>
                            <wps:spPr>
                              <a:xfrm flipV="1">
                                <a:off x="0" y="0"/>
                                <a:ext cx="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id="Straight Arrow Connector 37" o:spid="_x0000_s1026" type="#_x0000_t32" style="position:absolute;margin-left:32.4pt;margin-top:26.15pt;width:0;height:54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" strokeweight=".25pt">
                      <v:stroke endarrow="open"/>
                      <v:shadow on="t" opacity="24903f" mv:blur="40000f" origin=",.5" offset="0,20000emu"/>
                    </v:shape>
                  </w:pict>
                </mc:Fallback>
              </mc:AlternateContent>
            </w:r>
            <w:r>
              <w:rPr>
                <w:rFonts w:cs="Times New Roman"/>
              </w:rPr>
              <w:t>Callimachus</w:t>
            </w:r>
            <w:r w:rsidR="00075F5F">
              <w:rPr>
                <w:rFonts w:cs="Times New Roman"/>
              </w:rPr>
              <w:t>’</w:t>
            </w:r>
            <w:r>
              <w:rPr>
                <w:rFonts w:cs="Times New Roman"/>
              </w:rPr>
              <w:t xml:space="preserve"> characters</w:t>
            </w:r>
          </w:p>
        </w:tc>
        <w:tc>
          <w:tcPr>
            <w:tcW w:w="500" w:type="pct"/>
            <w:tcBorders>
              <w:top w:val="nil"/>
              <w:left w:val="nil"/>
              <w:bottom w:val="nil"/>
              <w:right w:val="nil"/>
            </w:tcBorders>
          </w:tcPr>
          <w:p w14:paraId="1121529C" w14:textId="77777777" w:rsidR="006512C4" w:rsidRDefault="006512C4" w:rsidP="007476CC">
            <w:pPr>
              <w:autoSpaceDE w:val="0"/>
              <w:autoSpaceDN w:val="0"/>
              <w:adjustRightInd w:val="0"/>
              <w:spacing w:line="360" w:lineRule="auto"/>
              <w:rPr>
                <w:rFonts w:cs="Times New Roman"/>
              </w:rPr>
            </w:pPr>
          </w:p>
        </w:tc>
        <w:tc>
          <w:tcPr>
            <w:tcW w:w="498" w:type="pct"/>
            <w:tcBorders>
              <w:top w:val="nil"/>
              <w:left w:val="nil"/>
              <w:bottom w:val="nil"/>
              <w:right w:val="nil"/>
            </w:tcBorders>
          </w:tcPr>
          <w:p w14:paraId="466AD6E1" w14:textId="77777777" w:rsidR="006512C4" w:rsidRDefault="006512C4" w:rsidP="007476CC">
            <w:pPr>
              <w:autoSpaceDE w:val="0"/>
              <w:autoSpaceDN w:val="0"/>
              <w:adjustRightInd w:val="0"/>
              <w:spacing w:line="360" w:lineRule="auto"/>
              <w:rPr>
                <w:rFonts w:cs="Times New Roman"/>
              </w:rPr>
            </w:pPr>
          </w:p>
        </w:tc>
      </w:tr>
      <w:tr w:rsidR="006512C4" w14:paraId="3682C2DC" w14:textId="77777777" w:rsidTr="006512C4">
        <w:tc>
          <w:tcPr>
            <w:tcW w:w="500" w:type="pct"/>
            <w:tcBorders>
              <w:top w:val="nil"/>
              <w:bottom w:val="nil"/>
              <w:right w:val="nil"/>
            </w:tcBorders>
          </w:tcPr>
          <w:p w14:paraId="396AE751"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5538DEAC"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01C35AEF" w14:textId="77777777" w:rsidR="006512C4" w:rsidRDefault="006512C4" w:rsidP="007476CC">
            <w:pPr>
              <w:autoSpaceDE w:val="0"/>
              <w:autoSpaceDN w:val="0"/>
              <w:adjustRightInd w:val="0"/>
              <w:spacing w:line="360" w:lineRule="auto"/>
              <w:rPr>
                <w:rFonts w:cs="Times New Roman"/>
              </w:rPr>
            </w:pPr>
          </w:p>
        </w:tc>
        <w:tc>
          <w:tcPr>
            <w:tcW w:w="1001" w:type="pct"/>
            <w:gridSpan w:val="2"/>
            <w:vMerge/>
            <w:tcBorders>
              <w:top w:val="nil"/>
              <w:left w:val="nil"/>
              <w:bottom w:val="nil"/>
              <w:right w:val="nil"/>
            </w:tcBorders>
          </w:tcPr>
          <w:p w14:paraId="3E842C43"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6FA2CAF9" w14:textId="77777777" w:rsidR="006512C4" w:rsidRDefault="006512C4" w:rsidP="007476CC">
            <w:pPr>
              <w:autoSpaceDE w:val="0"/>
              <w:autoSpaceDN w:val="0"/>
              <w:adjustRightInd w:val="0"/>
              <w:spacing w:line="360" w:lineRule="auto"/>
              <w:rPr>
                <w:rFonts w:cs="Times New Roman"/>
              </w:rPr>
            </w:pPr>
          </w:p>
        </w:tc>
        <w:tc>
          <w:tcPr>
            <w:tcW w:w="1000" w:type="pct"/>
            <w:gridSpan w:val="2"/>
            <w:vMerge/>
            <w:tcBorders>
              <w:top w:val="nil"/>
              <w:left w:val="nil"/>
              <w:bottom w:val="nil"/>
              <w:right w:val="nil"/>
            </w:tcBorders>
          </w:tcPr>
          <w:p w14:paraId="5351B1FC"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0025F062" w14:textId="77777777" w:rsidR="006512C4" w:rsidRDefault="006512C4" w:rsidP="007476CC">
            <w:pPr>
              <w:autoSpaceDE w:val="0"/>
              <w:autoSpaceDN w:val="0"/>
              <w:adjustRightInd w:val="0"/>
              <w:spacing w:line="360" w:lineRule="auto"/>
              <w:rPr>
                <w:rFonts w:cs="Times New Roman"/>
              </w:rPr>
            </w:pPr>
          </w:p>
        </w:tc>
        <w:tc>
          <w:tcPr>
            <w:tcW w:w="498" w:type="pct"/>
            <w:tcBorders>
              <w:top w:val="nil"/>
              <w:left w:val="nil"/>
              <w:bottom w:val="nil"/>
              <w:right w:val="nil"/>
            </w:tcBorders>
          </w:tcPr>
          <w:p w14:paraId="4A839F4A" w14:textId="77777777" w:rsidR="006512C4" w:rsidRDefault="006512C4" w:rsidP="007476CC">
            <w:pPr>
              <w:autoSpaceDE w:val="0"/>
              <w:autoSpaceDN w:val="0"/>
              <w:adjustRightInd w:val="0"/>
              <w:spacing w:line="360" w:lineRule="auto"/>
              <w:rPr>
                <w:rFonts w:cs="Times New Roman"/>
              </w:rPr>
            </w:pPr>
          </w:p>
        </w:tc>
      </w:tr>
      <w:tr w:rsidR="006512C4" w14:paraId="4273635B" w14:textId="77777777" w:rsidTr="006512C4">
        <w:trPr>
          <w:trHeight w:val="321"/>
        </w:trPr>
        <w:tc>
          <w:tcPr>
            <w:tcW w:w="500" w:type="pct"/>
            <w:tcBorders>
              <w:top w:val="nil"/>
              <w:bottom w:val="nil"/>
              <w:right w:val="nil"/>
            </w:tcBorders>
          </w:tcPr>
          <w:p w14:paraId="517A4624"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5AE1B336"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1FA4FA2F"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171E8F34" w14:textId="77777777" w:rsidR="006512C4" w:rsidRDefault="006512C4" w:rsidP="007476CC">
            <w:pPr>
              <w:autoSpaceDE w:val="0"/>
              <w:autoSpaceDN w:val="0"/>
              <w:adjustRightInd w:val="0"/>
              <w:spacing w:line="360" w:lineRule="auto"/>
              <w:jc w:val="right"/>
              <w:rPr>
                <w:rFonts w:cs="Times New Roman"/>
              </w:rPr>
            </w:pPr>
          </w:p>
        </w:tc>
        <w:tc>
          <w:tcPr>
            <w:tcW w:w="501" w:type="pct"/>
            <w:tcBorders>
              <w:top w:val="nil"/>
              <w:left w:val="nil"/>
              <w:bottom w:val="nil"/>
              <w:right w:val="nil"/>
            </w:tcBorders>
          </w:tcPr>
          <w:p w14:paraId="0A68853A"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66CBB28C"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2F8D92B5"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6541E82B"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2C749F3A" w14:textId="77777777" w:rsidR="006512C4" w:rsidRDefault="006512C4" w:rsidP="007476CC">
            <w:pPr>
              <w:autoSpaceDE w:val="0"/>
              <w:autoSpaceDN w:val="0"/>
              <w:adjustRightInd w:val="0"/>
              <w:spacing w:line="360" w:lineRule="auto"/>
              <w:jc w:val="right"/>
              <w:rPr>
                <w:rFonts w:cs="Times New Roman"/>
              </w:rPr>
            </w:pPr>
          </w:p>
        </w:tc>
        <w:tc>
          <w:tcPr>
            <w:tcW w:w="498" w:type="pct"/>
            <w:tcBorders>
              <w:top w:val="nil"/>
              <w:left w:val="nil"/>
              <w:bottom w:val="nil"/>
              <w:right w:val="nil"/>
            </w:tcBorders>
          </w:tcPr>
          <w:p w14:paraId="110D333D" w14:textId="77777777" w:rsidR="006512C4" w:rsidRDefault="006512C4" w:rsidP="007476CC">
            <w:pPr>
              <w:autoSpaceDE w:val="0"/>
              <w:autoSpaceDN w:val="0"/>
              <w:adjustRightInd w:val="0"/>
              <w:spacing w:line="360" w:lineRule="auto"/>
              <w:jc w:val="right"/>
              <w:rPr>
                <w:rFonts w:cs="Times New Roman"/>
              </w:rPr>
            </w:pPr>
          </w:p>
        </w:tc>
      </w:tr>
      <w:tr w:rsidR="006512C4" w14:paraId="0E202CE7" w14:textId="77777777" w:rsidTr="006512C4">
        <w:trPr>
          <w:trHeight w:val="321"/>
        </w:trPr>
        <w:tc>
          <w:tcPr>
            <w:tcW w:w="500" w:type="pct"/>
            <w:tcBorders>
              <w:top w:val="nil"/>
              <w:bottom w:val="nil"/>
              <w:right w:val="nil"/>
            </w:tcBorders>
          </w:tcPr>
          <w:p w14:paraId="5FB77CBD"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1D3940F8"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387E298F" w14:textId="77777777" w:rsidR="006512C4" w:rsidRDefault="006512C4" w:rsidP="007476CC">
            <w:pPr>
              <w:autoSpaceDE w:val="0"/>
              <w:autoSpaceDN w:val="0"/>
              <w:adjustRightInd w:val="0"/>
              <w:spacing w:line="360" w:lineRule="auto"/>
              <w:rPr>
                <w:rFonts w:cs="Times New Roman"/>
              </w:rPr>
            </w:pPr>
          </w:p>
        </w:tc>
        <w:tc>
          <w:tcPr>
            <w:tcW w:w="500" w:type="pct"/>
            <w:tcBorders>
              <w:top w:val="nil"/>
              <w:left w:val="nil"/>
              <w:bottom w:val="nil"/>
              <w:right w:val="nil"/>
            </w:tcBorders>
          </w:tcPr>
          <w:p w14:paraId="5B0D2704" w14:textId="77777777" w:rsidR="006512C4" w:rsidRDefault="006512C4" w:rsidP="007476CC">
            <w:pPr>
              <w:autoSpaceDE w:val="0"/>
              <w:autoSpaceDN w:val="0"/>
              <w:adjustRightInd w:val="0"/>
              <w:spacing w:line="360" w:lineRule="auto"/>
              <w:jc w:val="right"/>
              <w:rPr>
                <w:rFonts w:cs="Times New Roman"/>
              </w:rPr>
            </w:pPr>
          </w:p>
        </w:tc>
        <w:tc>
          <w:tcPr>
            <w:tcW w:w="501" w:type="pct"/>
            <w:tcBorders>
              <w:top w:val="nil"/>
              <w:left w:val="nil"/>
              <w:bottom w:val="nil"/>
              <w:right w:val="nil"/>
            </w:tcBorders>
          </w:tcPr>
          <w:p w14:paraId="229EBD04"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3EC5FFE5"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4CF6CBEF"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32FA5E33" w14:textId="77777777" w:rsidR="006512C4" w:rsidRDefault="006512C4" w:rsidP="007476CC">
            <w:pPr>
              <w:autoSpaceDE w:val="0"/>
              <w:autoSpaceDN w:val="0"/>
              <w:adjustRightInd w:val="0"/>
              <w:spacing w:line="360" w:lineRule="auto"/>
              <w:jc w:val="right"/>
              <w:rPr>
                <w:rFonts w:cs="Times New Roman"/>
              </w:rPr>
            </w:pPr>
          </w:p>
        </w:tc>
        <w:tc>
          <w:tcPr>
            <w:tcW w:w="500" w:type="pct"/>
            <w:tcBorders>
              <w:top w:val="nil"/>
              <w:left w:val="nil"/>
              <w:bottom w:val="nil"/>
              <w:right w:val="nil"/>
            </w:tcBorders>
          </w:tcPr>
          <w:p w14:paraId="49FCA437" w14:textId="77777777" w:rsidR="006512C4" w:rsidRDefault="006512C4" w:rsidP="007476CC">
            <w:pPr>
              <w:autoSpaceDE w:val="0"/>
              <w:autoSpaceDN w:val="0"/>
              <w:adjustRightInd w:val="0"/>
              <w:spacing w:line="360" w:lineRule="auto"/>
              <w:jc w:val="right"/>
              <w:rPr>
                <w:rFonts w:cs="Times New Roman"/>
              </w:rPr>
            </w:pPr>
          </w:p>
        </w:tc>
        <w:tc>
          <w:tcPr>
            <w:tcW w:w="498" w:type="pct"/>
            <w:tcBorders>
              <w:top w:val="nil"/>
              <w:left w:val="nil"/>
              <w:bottom w:val="nil"/>
              <w:right w:val="nil"/>
            </w:tcBorders>
          </w:tcPr>
          <w:p w14:paraId="7C34BC13" w14:textId="77777777" w:rsidR="006512C4" w:rsidRDefault="006512C4" w:rsidP="007476CC">
            <w:pPr>
              <w:autoSpaceDE w:val="0"/>
              <w:autoSpaceDN w:val="0"/>
              <w:adjustRightInd w:val="0"/>
              <w:spacing w:line="360" w:lineRule="auto"/>
              <w:jc w:val="right"/>
              <w:rPr>
                <w:rFonts w:cs="Times New Roman"/>
              </w:rPr>
            </w:pPr>
          </w:p>
        </w:tc>
      </w:tr>
      <w:tr w:rsidR="006512C4" w14:paraId="4BC0EA4D" w14:textId="77777777" w:rsidTr="006512C4">
        <w:trPr>
          <w:trHeight w:val="321"/>
        </w:trPr>
        <w:tc>
          <w:tcPr>
            <w:tcW w:w="1000" w:type="pct"/>
            <w:gridSpan w:val="2"/>
            <w:tcBorders>
              <w:top w:val="nil"/>
              <w:bottom w:val="single" w:sz="4" w:space="0" w:color="auto"/>
              <w:right w:val="nil"/>
            </w:tcBorders>
          </w:tcPr>
          <w:p w14:paraId="0367411C" w14:textId="77777777" w:rsidR="006512C4" w:rsidRDefault="006512C4" w:rsidP="007476CC">
            <w:pPr>
              <w:autoSpaceDE w:val="0"/>
              <w:autoSpaceDN w:val="0"/>
              <w:adjustRightInd w:val="0"/>
              <w:spacing w:line="360" w:lineRule="auto"/>
              <w:jc w:val="center"/>
              <w:rPr>
                <w:rFonts w:cs="Times New Roman"/>
                <w:i/>
                <w:iCs/>
                <w:color w:val="404040" w:themeColor="text1" w:themeTint="BF"/>
              </w:rPr>
            </w:pPr>
            <w:r>
              <w:rPr>
                <w:rFonts w:cs="Times New Roman"/>
                <w:noProof/>
                <w:lang w:val="en-US"/>
              </w:rPr>
              <mc:AlternateContent>
                <mc:Choice Requires="wps">
                  <w:drawing>
                    <wp:anchor distT="0" distB="0" distL="114300" distR="114300" simplePos="0" relativeHeight="251696128" behindDoc="0" locked="0" layoutInCell="1" allowOverlap="1" wp14:anchorId="42CC9AAF" wp14:editId="06D760D1">
                      <wp:simplePos x="0" y="0"/>
                      <wp:positionH relativeFrom="column">
                        <wp:posOffset>342900</wp:posOffset>
                      </wp:positionH>
                      <wp:positionV relativeFrom="paragraph">
                        <wp:posOffset>198755</wp:posOffset>
                      </wp:positionV>
                      <wp:extent cx="228600" cy="228600"/>
                      <wp:effectExtent l="25400" t="0" r="25400" b="76200"/>
                      <wp:wrapNone/>
                      <wp:docPr id="38" name="Plus 38"/>
                      <wp:cNvGraphicFramePr/>
                      <a:graphic xmlns:a="http://schemas.openxmlformats.org/drawingml/2006/main">
                        <a:graphicData uri="http://schemas.microsoft.com/office/word/2010/wordprocessingShape">
                          <wps:wsp>
                            <wps:cNvSpPr/>
                            <wps:spPr>
                              <a:xfrm>
                                <a:off x="0" y="0"/>
                                <a:ext cx="228600" cy="228600"/>
                              </a:xfrm>
                              <a:prstGeom prst="mathPlus">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id="Plus 38" o:spid="_x0000_s1026" style="position:absolute;margin-left:27pt;margin-top:15.65pt;width:18pt;height:18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2286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" path="m30301,87417l87417,87417,87417,30301,141183,30301,141183,87417,198299,87417,198299,141183,141183,141183,141183,198299,87417,198299,87417,141183,30301,141183,30301,87417xe" fillcolor="red" strokecolor="red">
                      <v:shadow on="t" opacity="22937f" mv:blur="40000f" origin=",.5" offset="0,23000emu"/>
                      <v:path arrowok="t" o:connecttype="custom" o:connectlocs="30301,87417;87417,87417;87417,30301;141183,30301;141183,87417;198299,87417;198299,141183;141183,141183;141183,198299;87417,198299;87417,141183;30301,141183;30301,87417" o:connectangles="0,0,0,0,0,0,0,0,0,0,0,0,0"/>
                    </v:shape>
                  </w:pict>
                </mc:Fallback>
              </mc:AlternateContent>
            </w:r>
            <w:r>
              <w:rPr>
                <w:rFonts w:cs="Times New Roman"/>
              </w:rPr>
              <w:t>Archilochus</w:t>
            </w:r>
          </w:p>
        </w:tc>
        <w:tc>
          <w:tcPr>
            <w:tcW w:w="500" w:type="pct"/>
            <w:tcBorders>
              <w:top w:val="nil"/>
              <w:left w:val="nil"/>
              <w:bottom w:val="single" w:sz="4" w:space="0" w:color="auto"/>
              <w:right w:val="nil"/>
            </w:tcBorders>
          </w:tcPr>
          <w:p w14:paraId="2B398293" w14:textId="77777777" w:rsidR="006512C4" w:rsidRDefault="006512C4" w:rsidP="007476CC">
            <w:pPr>
              <w:autoSpaceDE w:val="0"/>
              <w:autoSpaceDN w:val="0"/>
              <w:adjustRightInd w:val="0"/>
              <w:spacing w:line="360" w:lineRule="auto"/>
              <w:rPr>
                <w:rFonts w:cs="Times New Roman"/>
              </w:rPr>
            </w:pPr>
          </w:p>
        </w:tc>
        <w:tc>
          <w:tcPr>
            <w:tcW w:w="1001" w:type="pct"/>
            <w:gridSpan w:val="2"/>
            <w:tcBorders>
              <w:top w:val="nil"/>
              <w:left w:val="nil"/>
              <w:bottom w:val="single" w:sz="4" w:space="0" w:color="auto"/>
              <w:right w:val="nil"/>
            </w:tcBorders>
          </w:tcPr>
          <w:p w14:paraId="58530C1B" w14:textId="77777777" w:rsidR="006512C4" w:rsidRDefault="006512C4" w:rsidP="007476CC">
            <w:pPr>
              <w:tabs>
                <w:tab w:val="left" w:pos="210"/>
                <w:tab w:val="center" w:pos="744"/>
              </w:tabs>
              <w:autoSpaceDE w:val="0"/>
              <w:autoSpaceDN w:val="0"/>
              <w:adjustRightInd w:val="0"/>
              <w:spacing w:line="360" w:lineRule="auto"/>
              <w:rPr>
                <w:rFonts w:cs="Times New Roman"/>
                <w:i/>
                <w:iCs/>
                <w:color w:val="404040" w:themeColor="text1" w:themeTint="BF"/>
              </w:rPr>
            </w:pPr>
            <w:r>
              <w:rPr>
                <w:rFonts w:cs="Times New Roman"/>
                <w:noProof/>
                <w:lang w:val="en-US"/>
              </w:rPr>
              <mc:AlternateContent>
                <mc:Choice Requires="wps">
                  <w:drawing>
                    <wp:anchor distT="0" distB="0" distL="114300" distR="114300" simplePos="0" relativeHeight="251697152" behindDoc="0" locked="0" layoutInCell="1" allowOverlap="1" wp14:anchorId="2C54DB39" wp14:editId="0FA9D72B">
                      <wp:simplePos x="0" y="0"/>
                      <wp:positionH relativeFrom="column">
                        <wp:posOffset>320675</wp:posOffset>
                      </wp:positionH>
                      <wp:positionV relativeFrom="paragraph">
                        <wp:posOffset>198755</wp:posOffset>
                      </wp:positionV>
                      <wp:extent cx="228600" cy="228600"/>
                      <wp:effectExtent l="25400" t="0" r="25400" b="76200"/>
                      <wp:wrapNone/>
                      <wp:docPr id="40" name="Plus 40"/>
                      <wp:cNvGraphicFramePr/>
                      <a:graphic xmlns:a="http://schemas.openxmlformats.org/drawingml/2006/main">
                        <a:graphicData uri="http://schemas.microsoft.com/office/word/2010/wordprocessingShape">
                          <wps:wsp>
                            <wps:cNvSpPr/>
                            <wps:spPr>
                              <a:xfrm>
                                <a:off x="0" y="0"/>
                                <a:ext cx="228600" cy="228600"/>
                              </a:xfrm>
                              <a:prstGeom prst="mathPlus">
                                <a:avLst/>
                              </a:prstGeom>
                              <a:solidFill>
                                <a:srgbClr val="FF0000"/>
                              </a:solidFill>
                              <a:ln>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id="Plus 40" o:spid="_x0000_s1026" style="position:absolute;margin-left:25.25pt;margin-top:15.65pt;width:18pt;height:18pt;z-index:251697152;visibility:visible;mso-wrap-style:square;mso-wrap-distance-left:9pt;mso-wrap-distance-top:0;mso-wrap-distance-right:9pt;mso-wrap-distance-bottom:0;mso-position-horizontal:absolute;mso-position-horizontal-relative:text;mso-position-vertical:absolute;mso-position-vertical-relative:text;v-text-anchor:middle" coordsize="228600,228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" path="m30301,87417l87417,87417,87417,30301,141183,30301,141183,87417,198299,87417,198299,141183,141183,141183,141183,198299,87417,198299,87417,141183,30301,141183,30301,87417xe" fillcolor="red" strokecolor="red">
                      <v:shadow on="t" opacity="22937f" mv:blur="40000f" origin=",.5" offset="0,23000emu"/>
                      <v:path arrowok="t" o:connecttype="custom" o:connectlocs="30301,87417;87417,87417;87417,30301;141183,30301;141183,87417;198299,87417;198299,141183;141183,141183;141183,198299;87417,198299;87417,141183;30301,141183;30301,87417" o:connectangles="0,0,0,0,0,0,0,0,0,0,0,0,0"/>
                    </v:shape>
                  </w:pict>
                </mc:Fallback>
              </mc:AlternateContent>
            </w:r>
            <w:r>
              <w:rPr>
                <w:rFonts w:cs="Times New Roman"/>
              </w:rPr>
              <w:tab/>
            </w:r>
            <w:r>
              <w:rPr>
                <w:rFonts w:cs="Times New Roman"/>
              </w:rPr>
              <w:tab/>
              <w:t>Hipponax</w:t>
            </w:r>
          </w:p>
        </w:tc>
        <w:tc>
          <w:tcPr>
            <w:tcW w:w="500" w:type="pct"/>
            <w:tcBorders>
              <w:top w:val="nil"/>
              <w:left w:val="nil"/>
              <w:bottom w:val="single" w:sz="4" w:space="0" w:color="auto"/>
              <w:right w:val="nil"/>
            </w:tcBorders>
          </w:tcPr>
          <w:p w14:paraId="05044553" w14:textId="77777777" w:rsidR="006512C4" w:rsidRDefault="006512C4" w:rsidP="007476CC">
            <w:pPr>
              <w:autoSpaceDE w:val="0"/>
              <w:autoSpaceDN w:val="0"/>
              <w:adjustRightInd w:val="0"/>
              <w:spacing w:line="360" w:lineRule="auto"/>
              <w:jc w:val="right"/>
              <w:rPr>
                <w:rFonts w:cs="Times New Roman"/>
              </w:rPr>
            </w:pPr>
          </w:p>
        </w:tc>
        <w:tc>
          <w:tcPr>
            <w:tcW w:w="1000" w:type="pct"/>
            <w:gridSpan w:val="2"/>
            <w:tcBorders>
              <w:top w:val="nil"/>
              <w:left w:val="nil"/>
              <w:bottom w:val="single" w:sz="4" w:space="0" w:color="auto"/>
              <w:right w:val="nil"/>
            </w:tcBorders>
          </w:tcPr>
          <w:p w14:paraId="0FE428A5" w14:textId="77777777" w:rsidR="006512C4" w:rsidRDefault="006512C4" w:rsidP="007476CC">
            <w:pPr>
              <w:autoSpaceDE w:val="0"/>
              <w:autoSpaceDN w:val="0"/>
              <w:adjustRightInd w:val="0"/>
              <w:spacing w:line="360" w:lineRule="auto"/>
              <w:jc w:val="center"/>
              <w:rPr>
                <w:rFonts w:cs="Times New Roman"/>
                <w:i/>
                <w:iCs/>
                <w:color w:val="404040" w:themeColor="text1" w:themeTint="BF"/>
              </w:rPr>
            </w:pPr>
            <w:r>
              <w:rPr>
                <w:rFonts w:cs="Times New Roman"/>
              </w:rPr>
              <w:t>Callimachus</w:t>
            </w:r>
          </w:p>
          <w:p w14:paraId="3EF7EADA" w14:textId="77777777" w:rsidR="006512C4" w:rsidRDefault="006512C4" w:rsidP="007476CC">
            <w:pPr>
              <w:autoSpaceDE w:val="0"/>
              <w:autoSpaceDN w:val="0"/>
              <w:adjustRightInd w:val="0"/>
              <w:spacing w:line="360" w:lineRule="auto"/>
              <w:jc w:val="center"/>
              <w:rPr>
                <w:rFonts w:cs="Times New Roman"/>
              </w:rPr>
            </w:pPr>
          </w:p>
        </w:tc>
        <w:tc>
          <w:tcPr>
            <w:tcW w:w="998" w:type="pct"/>
            <w:gridSpan w:val="2"/>
            <w:tcBorders>
              <w:top w:val="nil"/>
              <w:left w:val="nil"/>
              <w:bottom w:val="single" w:sz="4" w:space="0" w:color="auto"/>
              <w:right w:val="nil"/>
            </w:tcBorders>
          </w:tcPr>
          <w:p w14:paraId="47F98DC7" w14:textId="77777777" w:rsidR="006512C4" w:rsidRDefault="006512C4" w:rsidP="007476CC">
            <w:pPr>
              <w:autoSpaceDE w:val="0"/>
              <w:autoSpaceDN w:val="0"/>
              <w:adjustRightInd w:val="0"/>
              <w:spacing w:line="360" w:lineRule="auto"/>
              <w:jc w:val="right"/>
              <w:rPr>
                <w:rFonts w:cs="Times New Roman"/>
              </w:rPr>
            </w:pPr>
          </w:p>
        </w:tc>
      </w:tr>
      <w:tr w:rsidR="006512C4" w14:paraId="09E11607" w14:textId="77777777" w:rsidTr="006512C4">
        <w:trPr>
          <w:trHeight w:val="321"/>
        </w:trPr>
        <w:tc>
          <w:tcPr>
            <w:tcW w:w="1000" w:type="pct"/>
            <w:gridSpan w:val="2"/>
            <w:tcBorders>
              <w:left w:val="nil"/>
              <w:bottom w:val="nil"/>
              <w:right w:val="nil"/>
            </w:tcBorders>
          </w:tcPr>
          <w:p w14:paraId="42E9721A" w14:textId="77777777" w:rsidR="006512C4" w:rsidRDefault="006512C4" w:rsidP="00695A7C">
            <w:pPr>
              <w:autoSpaceDE w:val="0"/>
              <w:autoSpaceDN w:val="0"/>
              <w:adjustRightInd w:val="0"/>
              <w:jc w:val="center"/>
              <w:rPr>
                <w:rFonts w:cs="Times New Roman"/>
              </w:rPr>
            </w:pPr>
          </w:p>
        </w:tc>
        <w:tc>
          <w:tcPr>
            <w:tcW w:w="1000" w:type="pct"/>
            <w:gridSpan w:val="2"/>
            <w:tcBorders>
              <w:left w:val="nil"/>
              <w:bottom w:val="nil"/>
              <w:right w:val="nil"/>
            </w:tcBorders>
          </w:tcPr>
          <w:p w14:paraId="10CB1907" w14:textId="77777777" w:rsidR="006512C4" w:rsidRDefault="006512C4" w:rsidP="00695A7C">
            <w:pPr>
              <w:autoSpaceDE w:val="0"/>
              <w:autoSpaceDN w:val="0"/>
              <w:adjustRightInd w:val="0"/>
              <w:jc w:val="center"/>
              <w:rPr>
                <w:rFonts w:cs="Times New Roman"/>
              </w:rPr>
            </w:pPr>
          </w:p>
        </w:tc>
        <w:tc>
          <w:tcPr>
            <w:tcW w:w="1501" w:type="pct"/>
            <w:gridSpan w:val="3"/>
            <w:tcBorders>
              <w:left w:val="nil"/>
              <w:bottom w:val="nil"/>
              <w:right w:val="nil"/>
            </w:tcBorders>
          </w:tcPr>
          <w:p w14:paraId="5A8BE341" w14:textId="77777777" w:rsidR="006512C4" w:rsidRDefault="006512C4" w:rsidP="00695A7C">
            <w:pPr>
              <w:autoSpaceDE w:val="0"/>
              <w:autoSpaceDN w:val="0"/>
              <w:adjustRightInd w:val="0"/>
              <w:jc w:val="right"/>
              <w:rPr>
                <w:rFonts w:cs="Times New Roman"/>
              </w:rPr>
            </w:pPr>
          </w:p>
        </w:tc>
        <w:tc>
          <w:tcPr>
            <w:tcW w:w="1498" w:type="pct"/>
            <w:gridSpan w:val="3"/>
            <w:tcBorders>
              <w:left w:val="nil"/>
              <w:bottom w:val="nil"/>
              <w:right w:val="nil"/>
            </w:tcBorders>
          </w:tcPr>
          <w:p w14:paraId="439A19EB" w14:textId="77777777" w:rsidR="006512C4" w:rsidRPr="00F20954" w:rsidRDefault="006512C4" w:rsidP="00695A7C">
            <w:pPr>
              <w:autoSpaceDE w:val="0"/>
              <w:autoSpaceDN w:val="0"/>
              <w:adjustRightInd w:val="0"/>
              <w:jc w:val="right"/>
              <w:rPr>
                <w:rFonts w:cs="Times New Roman"/>
                <w:sz w:val="20"/>
                <w:szCs w:val="20"/>
              </w:rPr>
            </w:pPr>
            <w:r w:rsidRPr="00F20954">
              <w:rPr>
                <w:rFonts w:cs="Times New Roman"/>
                <w:sz w:val="20"/>
                <w:szCs w:val="20"/>
              </w:rPr>
              <w:t>time of audience</w:t>
            </w:r>
          </w:p>
        </w:tc>
      </w:tr>
    </w:tbl>
    <w:p w14:paraId="2B8B7EDC" w14:textId="77777777" w:rsidR="006512C4" w:rsidRPr="00F76EA9" w:rsidRDefault="006512C4" w:rsidP="009A5D6A">
      <w:pPr>
        <w:pStyle w:val="Heading4"/>
        <w:rPr>
          <w:lang w:val="en-US"/>
        </w:rPr>
      </w:pPr>
      <w:r w:rsidRPr="00F76EA9">
        <w:rPr>
          <w:lang w:val="en-US"/>
        </w:rPr>
        <w:t>2.2.4 Present versus Aorist in the Imperative Mood</w:t>
      </w:r>
    </w:p>
    <w:p w14:paraId="51719C89" w14:textId="0D704D8D" w:rsidR="006F6315" w:rsidRDefault="006F6315" w:rsidP="00E436AA">
      <w:pPr>
        <w:rPr>
          <w:lang w:val="en-US"/>
        </w:rPr>
      </w:pPr>
      <w:r>
        <w:rPr>
          <w:lang w:val="en-US"/>
        </w:rPr>
        <w:t xml:space="preserve">At this point, a brief digression to consider the verbal aspect of the imperative mood seems useful. The imperative has the focusing function of informing the person addressed about what is expected of him / her. While still delivering the content of the appeal to the person addressed, it reflects the urgency of this appeal. In the case of general precepts, admonitions, and so on, whether in the imperative or in an infinite </w:t>
      </w:r>
      <w:r w:rsidR="00CC0615">
        <w:rPr>
          <w:lang w:val="en-US"/>
        </w:rPr>
        <w:t>“</w:t>
      </w:r>
      <w:r>
        <w:rPr>
          <w:lang w:val="en-US"/>
        </w:rPr>
        <w:t>pro imperative,</w:t>
      </w:r>
      <w:r w:rsidR="00CC0615">
        <w:rPr>
          <w:lang w:val="en-US"/>
        </w:rPr>
        <w:t>”</w:t>
      </w:r>
      <w:r>
        <w:rPr>
          <w:lang w:val="en-US"/>
        </w:rPr>
        <w:t xml:space="preserve"> the present is more frequently used than the aorist, although the latter is by no means excluded.</w:t>
      </w:r>
      <w:r>
        <w:rPr>
          <w:rStyle w:val="FootnoteReference"/>
          <w:lang w:val="en-US"/>
        </w:rPr>
        <w:footnoteReference w:id="320"/>
      </w:r>
      <w:r>
        <w:rPr>
          <w:lang w:val="en-US"/>
        </w:rPr>
        <w:t xml:space="preserve"> </w:t>
      </w:r>
    </w:p>
    <w:p w14:paraId="0E8F04C5" w14:textId="061A35BD" w:rsidR="006F6315" w:rsidRDefault="006F6315" w:rsidP="00E23BA0">
      <w:pPr>
        <w:ind w:firstLine="426"/>
        <w:rPr>
          <w:lang w:val="en-US"/>
        </w:rPr>
      </w:pPr>
      <w:r>
        <w:rPr>
          <w:lang w:val="en-US"/>
        </w:rPr>
        <w:t>It is noteworthy that both Archilochus</w:t>
      </w:r>
      <w:r w:rsidR="00075F5F">
        <w:rPr>
          <w:lang w:val="en-US"/>
        </w:rPr>
        <w:t>’</w:t>
      </w:r>
      <w:r>
        <w:rPr>
          <w:lang w:val="en-US"/>
        </w:rPr>
        <w:t xml:space="preserve"> and Hipponax</w:t>
      </w:r>
      <w:r w:rsidR="00075F5F">
        <w:rPr>
          <w:lang w:val="en-US"/>
        </w:rPr>
        <w:t>’</w:t>
      </w:r>
      <w:r>
        <w:rPr>
          <w:lang w:val="en-US"/>
        </w:rPr>
        <w:t>s fragments exhibit more imperatives featuring the present stem than the aorist. In contrast, Callimachus</w:t>
      </w:r>
      <w:r w:rsidR="00075F5F">
        <w:rPr>
          <w:lang w:val="en-US"/>
        </w:rPr>
        <w:t>’</w:t>
      </w:r>
      <w:r>
        <w:rPr>
          <w:lang w:val="en-US"/>
        </w:rPr>
        <w:t xml:space="preserve"> </w:t>
      </w:r>
      <w:r>
        <w:rPr>
          <w:i/>
          <w:iCs/>
          <w:lang w:val="en-US"/>
        </w:rPr>
        <w:t>Iambi</w:t>
      </w:r>
      <w:r>
        <w:rPr>
          <w:lang w:val="en-US"/>
        </w:rPr>
        <w:t xml:space="preserve"> contain a larger percentage of aorist stem imperatives. While both the archaic iambographers use three times more present stem imperatives than aorist imperatives, the ratio in Callimachus is even. Generally speaking, present stem imperatives denote actions that the person addressed is supposed to be taking; aorist stem imperatives, on the other hand, denote terminative actions whose completion is not, strictly speaking, under the control of the person addressed as witness.</w:t>
      </w:r>
      <w:r>
        <w:rPr>
          <w:rStyle w:val="FootnoteReference"/>
          <w:lang w:val="en-US"/>
        </w:rPr>
        <w:footnoteReference w:id="321"/>
      </w:r>
      <w:r>
        <w:rPr>
          <w:lang w:val="en-US"/>
        </w:rPr>
        <w:t xml:space="preserve"> The distribution of imperative stems in the iambs tells us about their character, supporting the general impression that Archilochus</w:t>
      </w:r>
      <w:r w:rsidR="00075F5F">
        <w:rPr>
          <w:lang w:val="en-US"/>
        </w:rPr>
        <w:t>’</w:t>
      </w:r>
      <w:r>
        <w:rPr>
          <w:lang w:val="en-US"/>
        </w:rPr>
        <w:t xml:space="preserve"> and Hipponax</w:t>
      </w:r>
      <w:r w:rsidR="00075F5F">
        <w:rPr>
          <w:lang w:val="en-US"/>
        </w:rPr>
        <w:t>’</w:t>
      </w:r>
      <w:r>
        <w:rPr>
          <w:lang w:val="en-US"/>
        </w:rPr>
        <w:t>s fragments are more direct and more prescriptive than Callimachus</w:t>
      </w:r>
      <w:r w:rsidR="00075F5F">
        <w:rPr>
          <w:lang w:val="en-US"/>
        </w:rPr>
        <w:t>’</w:t>
      </w:r>
      <w:r>
        <w:rPr>
          <w:lang w:val="en-US"/>
        </w:rPr>
        <w:t xml:space="preserve"> </w:t>
      </w:r>
      <w:r>
        <w:rPr>
          <w:i/>
          <w:iCs/>
          <w:lang w:val="en-US"/>
        </w:rPr>
        <w:t>Iambi</w:t>
      </w:r>
      <w:r>
        <w:rPr>
          <w:lang w:val="en-US"/>
        </w:rPr>
        <w:t xml:space="preserve">. </w:t>
      </w:r>
    </w:p>
    <w:p w14:paraId="1A678229" w14:textId="150FBAF4" w:rsidR="006512C4" w:rsidRDefault="006F6315" w:rsidP="00D238A0">
      <w:pPr>
        <w:spacing w:after="120"/>
        <w:ind w:firstLine="425"/>
        <w:rPr>
          <w:rFonts w:cs="Times New Roman"/>
        </w:rPr>
      </w:pPr>
      <w:r>
        <w:rPr>
          <w:lang w:val="en-US"/>
        </w:rPr>
        <w:t>The iambic instances of present stem imperatives denote actions that the person addressed is supposed to be taking:</w:t>
      </w:r>
    </w:p>
    <w:p w14:paraId="767EACF6" w14:textId="659BC0EF" w:rsidR="00E436AA" w:rsidRPr="009A5D6A" w:rsidRDefault="006F6315" w:rsidP="00D10A84">
      <w:pPr>
        <w:keepNext/>
        <w:widowControl w:val="0"/>
        <w:numPr>
          <w:ilvl w:val="0"/>
          <w:numId w:val="186"/>
        </w:numPr>
        <w:tabs>
          <w:tab w:val="clear" w:pos="425"/>
          <w:tab w:val="left" w:pos="567"/>
          <w:tab w:val="center" w:pos="5387"/>
        </w:tabs>
        <w:spacing w:after="120"/>
        <w:ind w:left="568" w:hanging="284"/>
      </w:pPr>
      <w:r>
        <w:rPr>
          <w:lang w:val="en-US"/>
        </w:rPr>
        <w:t xml:space="preserve">either because this action has been mentioned or implied earlier, as in Archil. fr. 7.6-8: </w:t>
      </w:r>
    </w:p>
    <w:tbl>
      <w:tblPr>
        <w:tblStyle w:val="TableGrid"/>
        <w:tblW w:w="0" w:type="auto"/>
        <w:tblInd w:w="53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07"/>
        <w:gridCol w:w="3697"/>
      </w:tblGrid>
      <w:tr w:rsidR="006512C4" w:rsidRPr="00D630EB" w14:paraId="35F045C4" w14:textId="77777777" w:rsidTr="00890EB4">
        <w:tc>
          <w:tcPr>
            <w:tcW w:w="4207" w:type="dxa"/>
          </w:tcPr>
          <w:p w14:paraId="51B235FE" w14:textId="6D2C4FA2" w:rsidR="006512C4" w:rsidRPr="00D630EB" w:rsidRDefault="006512C4" w:rsidP="002E3ED7">
            <w:pPr>
              <w:pStyle w:val="Blockquote"/>
              <w:rPr>
                <w:sz w:val="22"/>
                <w:szCs w:val="22"/>
              </w:rPr>
            </w:pPr>
            <w:r w:rsidRPr="00D630EB">
              <w:rPr>
                <w:sz w:val="22"/>
                <w:szCs w:val="22"/>
              </w:rPr>
              <w:t>ἀλλ</w:t>
            </w:r>
            <w:r w:rsidR="00075F5F">
              <w:rPr>
                <w:sz w:val="22"/>
                <w:szCs w:val="22"/>
              </w:rPr>
              <w:t>’</w:t>
            </w:r>
            <w:r w:rsidRPr="00D630EB">
              <w:rPr>
                <w:sz w:val="22"/>
                <w:szCs w:val="22"/>
              </w:rPr>
              <w:t xml:space="preserve"> ἄγε σὺν κώθωνι θοῆς διὰ σέλματα νηὸς </w:t>
            </w:r>
          </w:p>
          <w:p w14:paraId="3CCE40C4" w14:textId="5C0D81C4" w:rsidR="006512C4" w:rsidRPr="00D630EB" w:rsidRDefault="006512C4" w:rsidP="002E3ED7">
            <w:pPr>
              <w:pStyle w:val="Blockquote"/>
              <w:rPr>
                <w:sz w:val="22"/>
                <w:szCs w:val="22"/>
                <w:lang w:val="el-GR"/>
              </w:rPr>
            </w:pPr>
            <w:r w:rsidRPr="00D630EB">
              <w:rPr>
                <w:sz w:val="22"/>
                <w:szCs w:val="22"/>
                <w:lang w:val="el-GR"/>
              </w:rPr>
              <w:t>φοίτα καὶ κοίλων πώματ</w:t>
            </w:r>
            <w:r w:rsidR="00075F5F">
              <w:rPr>
                <w:sz w:val="22"/>
                <w:szCs w:val="22"/>
                <w:lang w:val="el-GR"/>
              </w:rPr>
              <w:t>’</w:t>
            </w:r>
            <w:r w:rsidRPr="00D630EB">
              <w:rPr>
                <w:sz w:val="22"/>
                <w:szCs w:val="22"/>
                <w:lang w:val="el-GR"/>
              </w:rPr>
              <w:t xml:space="preserve"> ἄφελκε κάδων</w:t>
            </w:r>
            <w:r w:rsidR="00EF23E3" w:rsidRPr="00D630EB">
              <w:rPr>
                <w:sz w:val="22"/>
                <w:szCs w:val="22"/>
                <w:lang w:val="el-GR"/>
              </w:rPr>
              <w:t xml:space="preserve"> </w:t>
            </w:r>
          </w:p>
          <w:p w14:paraId="4F9783D5" w14:textId="3B8197DE" w:rsidR="006512C4" w:rsidRPr="00D630EB" w:rsidRDefault="006512C4" w:rsidP="002E3ED7">
            <w:pPr>
              <w:pStyle w:val="Blockquote"/>
              <w:rPr>
                <w:sz w:val="22"/>
                <w:szCs w:val="22"/>
                <w:lang w:val="el-GR"/>
              </w:rPr>
            </w:pPr>
            <w:r w:rsidRPr="00D630EB">
              <w:rPr>
                <w:sz w:val="22"/>
                <w:szCs w:val="22"/>
                <w:lang w:val="el-GR"/>
              </w:rPr>
              <w:t>ἄγρει δ</w:t>
            </w:r>
            <w:r w:rsidR="00075F5F">
              <w:rPr>
                <w:sz w:val="22"/>
                <w:szCs w:val="22"/>
                <w:lang w:val="el-GR"/>
              </w:rPr>
              <w:t>’</w:t>
            </w:r>
            <w:r w:rsidRPr="00D630EB">
              <w:rPr>
                <w:sz w:val="22"/>
                <w:szCs w:val="22"/>
                <w:lang w:val="el-GR"/>
              </w:rPr>
              <w:t xml:space="preserve"> οἶνον ἐρυθρὸν ἀπὸ τρυγός</w:t>
            </w:r>
          </w:p>
        </w:tc>
        <w:tc>
          <w:tcPr>
            <w:tcW w:w="3697" w:type="dxa"/>
          </w:tcPr>
          <w:p w14:paraId="02A95A0D" w14:textId="77777777" w:rsidR="006512C4" w:rsidRPr="00D630EB" w:rsidRDefault="006512C4" w:rsidP="002E3ED7">
            <w:pPr>
              <w:pStyle w:val="Blockquote"/>
              <w:rPr>
                <w:sz w:val="22"/>
                <w:szCs w:val="22"/>
              </w:rPr>
            </w:pPr>
            <w:r w:rsidRPr="00D630EB">
              <w:rPr>
                <w:sz w:val="22"/>
                <w:szCs w:val="22"/>
              </w:rPr>
              <w:t>But come, make many a trip with a cup through the thwarts of the swift ship, pull of the covers of the hollow casks, and draw the red wine from the lees</w:t>
            </w:r>
          </w:p>
        </w:tc>
      </w:tr>
    </w:tbl>
    <w:p w14:paraId="5DB14E04" w14:textId="77777777" w:rsidR="006512C4" w:rsidRPr="009A5D6A" w:rsidRDefault="006512C4" w:rsidP="002E3ED7">
      <w:pPr>
        <w:pStyle w:val="Blockquote"/>
      </w:pPr>
    </w:p>
    <w:p w14:paraId="49DEBC08" w14:textId="52FAB06D" w:rsidR="006F6315" w:rsidRPr="00E23BA0" w:rsidRDefault="006F6315" w:rsidP="00D238A0">
      <w:pPr>
        <w:widowControl w:val="0"/>
        <w:numPr>
          <w:ilvl w:val="0"/>
          <w:numId w:val="186"/>
        </w:numPr>
        <w:tabs>
          <w:tab w:val="clear" w:pos="425"/>
          <w:tab w:val="left" w:pos="567"/>
          <w:tab w:val="center" w:pos="5387"/>
        </w:tabs>
        <w:spacing w:after="120"/>
        <w:ind w:left="568" w:hanging="284"/>
        <w:rPr>
          <w:lang w:val="en-US"/>
        </w:rPr>
      </w:pPr>
      <w:r>
        <w:rPr>
          <w:lang w:val="en-US"/>
        </w:rPr>
        <w:t xml:space="preserve">or because they are already performing it, as in Hippon. fr. 7.2 ἴθι δι̯ὰ Λυδῶν παρὰ τὸν Ἀττάλεω τύμβον </w:t>
      </w:r>
      <w:r w:rsidR="00CC0615">
        <w:rPr>
          <w:lang w:val="en-US"/>
        </w:rPr>
        <w:t>“</w:t>
      </w:r>
      <w:r>
        <w:rPr>
          <w:lang w:val="en-US"/>
        </w:rPr>
        <w:t>go through Lydia past the tomb of Attalus</w:t>
      </w:r>
      <w:r w:rsidR="00CC0615">
        <w:rPr>
          <w:lang w:val="en-US"/>
        </w:rPr>
        <w:t>”</w:t>
      </w:r>
      <w:r>
        <w:rPr>
          <w:lang w:val="en-US"/>
        </w:rPr>
        <w:t xml:space="preserve">, where the person is already walking towards Smyrna, and the imperative serves to ask them either to </w:t>
      </w:r>
      <w:r>
        <w:rPr>
          <w:lang w:val="en-US"/>
        </w:rPr>
        <w:lastRenderedPageBreak/>
        <w:t xml:space="preserve">continue doing so or to stop. </w:t>
      </w:r>
    </w:p>
    <w:p w14:paraId="3A298404" w14:textId="607DEE5E" w:rsidR="006F6315" w:rsidRPr="00D238A0" w:rsidRDefault="006F6315" w:rsidP="00D238A0">
      <w:pPr>
        <w:spacing w:after="120"/>
        <w:ind w:firstLine="425"/>
        <w:rPr>
          <w:rFonts w:cs="Times New Roman"/>
          <w:lang w:val="en-US"/>
        </w:rPr>
      </w:pPr>
      <w:r w:rsidRPr="00E23BA0">
        <w:rPr>
          <w:rFonts w:cs="Times New Roman"/>
          <w:lang w:val="en-US"/>
        </w:rPr>
        <w:t xml:space="preserve">On the other hand, the aorist stem imperative is more like advice which the speaker is not sure his addressee will follow, as in Call. </w:t>
      </w:r>
      <w:r w:rsidRPr="00E23BA0">
        <w:rPr>
          <w:rFonts w:cs="Times New Roman"/>
          <w:i/>
          <w:iCs/>
          <w:lang w:val="en-US"/>
        </w:rPr>
        <w:t>Ia.</w:t>
      </w:r>
      <w:r w:rsidRPr="00E23BA0">
        <w:rPr>
          <w:rFonts w:cs="Times New Roman"/>
          <w:lang w:val="en-US"/>
        </w:rPr>
        <w:t xml:space="preserve"> 1.1</w:t>
      </w:r>
      <w:r w:rsidR="007F4100">
        <w:rPr>
          <w:rFonts w:cs="Times New Roman"/>
          <w:lang w:val="en-US"/>
        </w:rPr>
        <w:t xml:space="preserve"> ἀ</w:t>
      </w:r>
      <w:r w:rsidRPr="00125415">
        <w:rPr>
          <w:rFonts w:cs="Times New Roman"/>
          <w:lang w:val="en-US"/>
        </w:rPr>
        <w:t>κούσαθ</w:t>
      </w:r>
      <w:r w:rsidR="00075F5F">
        <w:rPr>
          <w:rFonts w:cs="Times New Roman"/>
          <w:lang w:val="en-US"/>
        </w:rPr>
        <w:t>’</w:t>
      </w:r>
      <w:r w:rsidRPr="00125415">
        <w:rPr>
          <w:rFonts w:cs="Times New Roman"/>
          <w:lang w:val="en-US"/>
        </w:rPr>
        <w:t xml:space="preserve"> Ἱ</w:t>
      </w:r>
      <w:r w:rsidRPr="009F59C0">
        <w:rPr>
          <w:rFonts w:cs="Times New Roman"/>
          <w:lang w:val="en-US"/>
        </w:rPr>
        <w:t>ππώνακτος, where the strength of the order is mitigated by the succeeding explanation and facts. As Hipponax subsequently has to ask for silence (</w:t>
      </w:r>
      <w:r w:rsidRPr="001C5EA4">
        <w:rPr>
          <w:rFonts w:cs="Times New Roman"/>
          <w:i/>
          <w:iCs/>
          <w:lang w:val="en-US"/>
        </w:rPr>
        <w:t>Ia.</w:t>
      </w:r>
      <w:r w:rsidRPr="004E03FF">
        <w:rPr>
          <w:rFonts w:cs="Times New Roman"/>
          <w:lang w:val="en-US"/>
        </w:rPr>
        <w:t xml:space="preserve"> 1.31), aori</w:t>
      </w:r>
      <w:r w:rsidRPr="00D238A0">
        <w:rPr>
          <w:rFonts w:cs="Times New Roman"/>
          <w:lang w:val="en-US"/>
        </w:rPr>
        <w:t xml:space="preserve">st stem imperatives seem softer than those of the present stem. For these reasons, all the iambographers use aorist stem imperatives when addressing a god, as in the following examples: </w:t>
      </w:r>
    </w:p>
    <w:p w14:paraId="65BA5F93" w14:textId="5DBAC2EB" w:rsidR="006F6315" w:rsidRPr="00D238A0" w:rsidRDefault="006F6315" w:rsidP="00D238A0">
      <w:pPr>
        <w:widowControl w:val="0"/>
        <w:numPr>
          <w:ilvl w:val="0"/>
          <w:numId w:val="69"/>
        </w:numPr>
        <w:tabs>
          <w:tab w:val="clear" w:pos="425"/>
          <w:tab w:val="left" w:pos="426"/>
          <w:tab w:val="left" w:pos="786"/>
          <w:tab w:val="center" w:pos="5387"/>
        </w:tabs>
        <w:ind w:left="426" w:hanging="284"/>
        <w:rPr>
          <w:rFonts w:cs="Times New Roman"/>
          <w:lang w:val="en-US"/>
        </w:rPr>
      </w:pPr>
      <w:r w:rsidRPr="00D238A0">
        <w:rPr>
          <w:rFonts w:cs="Times New Roman"/>
          <w:lang w:val="en-US"/>
        </w:rPr>
        <w:t>Archil. fr. 115.1-2 κλῦθ</w:t>
      </w:r>
      <w:r w:rsidR="00075F5F">
        <w:rPr>
          <w:rFonts w:cs="Times New Roman"/>
          <w:lang w:val="en-US"/>
        </w:rPr>
        <w:t>’</w:t>
      </w:r>
      <w:r w:rsidRPr="00D238A0">
        <w:rPr>
          <w:rFonts w:cs="Times New Roman"/>
          <w:lang w:val="en-US"/>
        </w:rPr>
        <w:t xml:space="preserve"> ἄναξ Ἥφαιστε, καί μοι σύμμαχος γουνουμένωι / ἵλαος γενέο </w:t>
      </w:r>
      <w:r w:rsidR="00CC0615">
        <w:rPr>
          <w:rFonts w:cs="Times New Roman"/>
          <w:lang w:val="en-US"/>
        </w:rPr>
        <w:t>“</w:t>
      </w:r>
      <w:r w:rsidRPr="00D238A0">
        <w:rPr>
          <w:rFonts w:cs="Times New Roman"/>
          <w:lang w:val="en-US"/>
        </w:rPr>
        <w:t>lord Hephaestus, give ear to my entreaty, be my propitious ally</w:t>
      </w:r>
      <w:r w:rsidR="00CC0615">
        <w:rPr>
          <w:rFonts w:cs="Times New Roman"/>
          <w:lang w:val="en-US"/>
        </w:rPr>
        <w:t>”</w:t>
      </w:r>
      <w:r w:rsidRPr="00D238A0">
        <w:rPr>
          <w:rFonts w:cs="Times New Roman"/>
          <w:lang w:val="en-US"/>
        </w:rPr>
        <w:t xml:space="preserve">; </w:t>
      </w:r>
    </w:p>
    <w:p w14:paraId="6626511F" w14:textId="234587F6" w:rsidR="00D10A84" w:rsidRPr="00D238A0" w:rsidRDefault="006F6315" w:rsidP="00D238A0">
      <w:pPr>
        <w:widowControl w:val="0"/>
        <w:numPr>
          <w:ilvl w:val="0"/>
          <w:numId w:val="69"/>
        </w:numPr>
        <w:tabs>
          <w:tab w:val="clear" w:pos="425"/>
          <w:tab w:val="left" w:pos="426"/>
          <w:tab w:val="left" w:pos="786"/>
          <w:tab w:val="center" w:pos="5387"/>
        </w:tabs>
        <w:ind w:left="426" w:hanging="284"/>
        <w:rPr>
          <w:rFonts w:cs="Times New Roman"/>
          <w:lang w:val="en-US"/>
        </w:rPr>
      </w:pPr>
      <w:r w:rsidRPr="00D238A0">
        <w:rPr>
          <w:rFonts w:cs="Times New Roman"/>
          <w:lang w:val="en-US"/>
        </w:rPr>
        <w:t>Hippon. fr. 42a.1-42b.1 Ἑρμῆ, φίλ</w:t>
      </w:r>
      <w:r w:rsidR="00075F5F">
        <w:rPr>
          <w:rFonts w:cs="Times New Roman"/>
          <w:lang w:val="en-US"/>
        </w:rPr>
        <w:t>’</w:t>
      </w:r>
      <w:r w:rsidRPr="00D238A0">
        <w:rPr>
          <w:rFonts w:cs="Times New Roman"/>
          <w:lang w:val="en-US"/>
        </w:rPr>
        <w:t xml:space="preserve"> Ἑρμῆ, Μαιαδεῦ, Κυλλήνιε δὸς χλαῖναν Ἱππώνακτι </w:t>
      </w:r>
      <w:r w:rsidR="00CC0615">
        <w:rPr>
          <w:rFonts w:cs="Times New Roman"/>
          <w:lang w:val="en-US"/>
        </w:rPr>
        <w:t>“</w:t>
      </w:r>
      <w:r w:rsidRPr="00D238A0">
        <w:rPr>
          <w:rFonts w:cs="Times New Roman"/>
          <w:lang w:val="en-US"/>
        </w:rPr>
        <w:t>Hermes, dear Hermes, son of Maia, Cyllenian … Give Hipponax</w:t>
      </w:r>
      <w:r w:rsidR="00CC0615">
        <w:rPr>
          <w:rFonts w:cs="Times New Roman"/>
          <w:lang w:val="en-US"/>
        </w:rPr>
        <w:t>”</w:t>
      </w:r>
      <w:r w:rsidRPr="00D238A0">
        <w:rPr>
          <w:rFonts w:cs="Times New Roman"/>
          <w:lang w:val="en-US"/>
        </w:rPr>
        <w:t>;</w:t>
      </w:r>
    </w:p>
    <w:p w14:paraId="6702FD08" w14:textId="77777777" w:rsidR="00D10A84" w:rsidRPr="00D10A84" w:rsidRDefault="006F6315" w:rsidP="00D10A84">
      <w:pPr>
        <w:widowControl w:val="0"/>
        <w:numPr>
          <w:ilvl w:val="0"/>
          <w:numId w:val="69"/>
        </w:numPr>
        <w:tabs>
          <w:tab w:val="left" w:pos="786"/>
          <w:tab w:val="center" w:pos="5387"/>
        </w:tabs>
        <w:ind w:left="426" w:hanging="284"/>
        <w:rPr>
          <w:lang w:val="en-US"/>
        </w:rPr>
      </w:pPr>
      <w:r w:rsidRPr="00D10A84">
        <w:rPr>
          <w:rFonts w:cs="Times New Roman"/>
          <w:lang w:val="en-US"/>
        </w:rPr>
        <w:t xml:space="preserve">Call. </w:t>
      </w:r>
      <w:r w:rsidRPr="00D10A84">
        <w:rPr>
          <w:rFonts w:cs="Times New Roman"/>
          <w:i/>
          <w:iCs/>
          <w:lang w:val="en-US"/>
        </w:rPr>
        <w:t>Ia.</w:t>
      </w:r>
      <w:r w:rsidRPr="00D10A84">
        <w:rPr>
          <w:rFonts w:cs="Times New Roman"/>
          <w:lang w:val="en-US"/>
        </w:rPr>
        <w:t xml:space="preserve"> 12.18 τοὔνεκ</w:t>
      </w:r>
      <w:r w:rsidR="00075F5F" w:rsidRPr="00D10A84">
        <w:rPr>
          <w:rFonts w:cs="Times New Roman"/>
          <w:lang w:val="en-US"/>
        </w:rPr>
        <w:t>’</w:t>
      </w:r>
      <w:r w:rsidRPr="00D10A84">
        <w:rPr>
          <w:rFonts w:cs="Times New Roman"/>
          <w:lang w:val="en-US"/>
        </w:rPr>
        <w:t xml:space="preserve"> ἀντήσαιτε πρηεῖαι, θεαί </w:t>
      </w:r>
      <w:r w:rsidR="00CC0615" w:rsidRPr="00D10A84">
        <w:rPr>
          <w:rFonts w:cs="Times New Roman"/>
          <w:lang w:val="en-US"/>
        </w:rPr>
        <w:t>“</w:t>
      </w:r>
      <w:r w:rsidRPr="00D10A84">
        <w:rPr>
          <w:rFonts w:cs="Times New Roman"/>
          <w:lang w:val="en-US"/>
        </w:rPr>
        <w:t>therefore may you gently receive, goddesses.</w:t>
      </w:r>
      <w:r w:rsidR="00CC0615" w:rsidRPr="00D10A84">
        <w:rPr>
          <w:rFonts w:cs="Times New Roman"/>
          <w:lang w:val="en-US"/>
        </w:rPr>
        <w:t>”</w:t>
      </w:r>
      <w:r w:rsidRPr="00D10A84">
        <w:rPr>
          <w:rFonts w:cs="Times New Roman"/>
          <w:lang w:val="en-US"/>
        </w:rPr>
        <w:t xml:space="preserve"> </w:t>
      </w:r>
    </w:p>
    <w:p w14:paraId="01C53EAF" w14:textId="6D71AD6C" w:rsidR="00D10A84" w:rsidRPr="00D10A84" w:rsidRDefault="00D10A84" w:rsidP="00D10A84">
      <w:pPr>
        <w:widowControl w:val="0"/>
        <w:tabs>
          <w:tab w:val="center" w:pos="5387"/>
        </w:tabs>
        <w:rPr>
          <w:lang w:val="en-US"/>
        </w:rPr>
      </w:pPr>
      <w:r w:rsidRPr="00D10A84">
        <w:rPr>
          <w:lang w:val="en-US"/>
        </w:rPr>
        <w:t xml:space="preserve">Usage of the </w:t>
      </w:r>
      <w:r>
        <w:rPr>
          <w:lang w:val="en-US"/>
        </w:rPr>
        <w:t xml:space="preserve">aorist </w:t>
      </w:r>
      <w:r w:rsidRPr="00D10A84">
        <w:rPr>
          <w:lang w:val="en-US"/>
        </w:rPr>
        <w:t xml:space="preserve">imperative may sometimes be of the kind termed “concessive,” as used ironically in the infinite “pro imperative” of Hippon. fr. 2.2 δεῦρό μοι σκαπαρδεῦσαι “come on, throw me the </w:t>
      </w:r>
      <w:r w:rsidRPr="00D10A84">
        <w:rPr>
          <w:i/>
          <w:iCs/>
          <w:lang w:val="en-US"/>
        </w:rPr>
        <w:t>skaperda</w:t>
      </w:r>
      <w:r w:rsidRPr="00D10A84">
        <w:rPr>
          <w:lang w:val="en-US"/>
        </w:rPr>
        <w:t xml:space="preserve">,” where the speaker conveys that he has no objections to certain actions contemplated by his interlocutor and known to him. </w:t>
      </w:r>
    </w:p>
    <w:p w14:paraId="169BF37C" w14:textId="01C59B80" w:rsidR="003D78A9" w:rsidRPr="00E23BA0" w:rsidRDefault="003D78A9" w:rsidP="003002D4">
      <w:pPr>
        <w:widowControl w:val="0"/>
        <w:tabs>
          <w:tab w:val="center" w:pos="5387"/>
        </w:tabs>
        <w:ind w:left="426"/>
        <w:rPr>
          <w:rFonts w:cs="Times New Roman"/>
          <w:lang w:val="en-US"/>
        </w:rPr>
      </w:pPr>
    </w:p>
    <w:p w14:paraId="42387BD5" w14:textId="5E2B103F" w:rsidR="006512C4" w:rsidRPr="005A192C" w:rsidRDefault="006512C4" w:rsidP="009A5D6A">
      <w:pPr>
        <w:pStyle w:val="Heading3"/>
        <w:rPr>
          <w:u w:val="single"/>
          <w:lang w:val="en-US"/>
        </w:rPr>
      </w:pPr>
      <w:r>
        <w:rPr>
          <w:lang w:val="en-US"/>
        </w:rPr>
        <w:t xml:space="preserve">2.3 </w:t>
      </w:r>
      <w:r w:rsidRPr="005F6146">
        <w:rPr>
          <w:lang w:val="en-US"/>
        </w:rPr>
        <w:t xml:space="preserve">Particles </w:t>
      </w:r>
      <w:r w:rsidRPr="009A5D6A">
        <w:rPr>
          <w:b w:val="0"/>
          <w:lang w:val="en-US"/>
        </w:rPr>
        <w:t>(</w:t>
      </w:r>
      <w:r w:rsidR="00F5650B">
        <w:rPr>
          <w:lang w:val="en-US"/>
        </w:rPr>
        <w:t>2</w:t>
      </w:r>
      <w:r w:rsidRPr="005F6146">
        <w:rPr>
          <w:lang w:val="en-US"/>
        </w:rPr>
        <w:t xml:space="preserve"> </w:t>
      </w:r>
      <w:r w:rsidRPr="009A5D6A">
        <w:rPr>
          <w:b w:val="0"/>
          <w:lang w:val="en-US"/>
        </w:rPr>
        <w:t>C.1)</w:t>
      </w:r>
    </w:p>
    <w:p w14:paraId="0BF36D41" w14:textId="1D61275C" w:rsidR="006512C4" w:rsidRPr="00E23BA0" w:rsidRDefault="006F6315" w:rsidP="00E23BA0">
      <w:pPr>
        <w:rPr>
          <w:szCs w:val="24"/>
          <w:lang w:val="en-US"/>
        </w:rPr>
      </w:pPr>
      <w:r w:rsidRPr="00E23BA0">
        <w:rPr>
          <w:szCs w:val="24"/>
          <w:lang w:val="en-US"/>
        </w:rPr>
        <w:t xml:space="preserve">In this part of the chapter, I deal with the Greek particles. As shown in Appendix </w:t>
      </w:r>
      <w:r w:rsidRPr="00E23BA0">
        <w:rPr>
          <w:b/>
          <w:bCs/>
          <w:szCs w:val="24"/>
          <w:lang w:val="en-US"/>
        </w:rPr>
        <w:t>4</w:t>
      </w:r>
      <w:r w:rsidRPr="00E23BA0">
        <w:rPr>
          <w:szCs w:val="24"/>
          <w:lang w:val="en-US"/>
        </w:rPr>
        <w:t xml:space="preserve"> B, iambic texts have a quite varying range of particles, but their weight (in terms</w:t>
      </w:r>
      <w:r w:rsidRPr="003A53D6">
        <w:rPr>
          <w:szCs w:val="24"/>
          <w:lang w:val="en-US"/>
        </w:rPr>
        <w:t xml:space="preserve"> of percentage) in the texts is nearly irrelevant, since they constitute only the 8.29% of the total words in the iambic corpus which I am analysing. I distinguish between connective particles and interactional</w:t>
      </w:r>
      <w:r w:rsidRPr="00E23BA0">
        <w:rPr>
          <w:rStyle w:val="FootnoteReference"/>
          <w:szCs w:val="24"/>
          <w:lang w:val="en-US"/>
        </w:rPr>
        <w:footnoteReference w:id="322"/>
      </w:r>
      <w:r w:rsidRPr="00E23BA0">
        <w:rPr>
          <w:szCs w:val="24"/>
          <w:lang w:val="en-US"/>
        </w:rPr>
        <w:t xml:space="preserve"> particles, where the first have a clear semantic meaning which conveys the logical articulation of the sentence, while the second </w:t>
      </w:r>
      <w:r w:rsidR="00CC0615">
        <w:rPr>
          <w:szCs w:val="24"/>
          <w:lang w:val="en-US"/>
        </w:rPr>
        <w:t>“</w:t>
      </w:r>
      <w:r w:rsidRPr="00E23BA0">
        <w:rPr>
          <w:szCs w:val="24"/>
          <w:lang w:val="en-US"/>
        </w:rPr>
        <w:t xml:space="preserve">have no clear semantic meaning and can only be satisfactorily described in terms of pragmatic or conversational primitives, such as </w:t>
      </w:r>
      <w:r w:rsidR="00D10A84">
        <w:rPr>
          <w:szCs w:val="24"/>
          <w:lang w:val="en-US"/>
        </w:rPr>
        <w:t>‘</w:t>
      </w:r>
      <w:r w:rsidRPr="00E23BA0">
        <w:rPr>
          <w:szCs w:val="24"/>
          <w:lang w:val="en-US"/>
        </w:rPr>
        <w:t>calling for special attention,</w:t>
      </w:r>
      <w:r w:rsidR="00D10A84">
        <w:rPr>
          <w:szCs w:val="24"/>
          <w:lang w:val="en-US"/>
        </w:rPr>
        <w:t>’</w:t>
      </w:r>
      <w:r w:rsidRPr="00E23BA0">
        <w:rPr>
          <w:szCs w:val="24"/>
          <w:lang w:val="en-US"/>
        </w:rPr>
        <w:t xml:space="preserve"> </w:t>
      </w:r>
      <w:r w:rsidR="00D10A84">
        <w:rPr>
          <w:szCs w:val="24"/>
          <w:lang w:val="en-US"/>
        </w:rPr>
        <w:t>‘</w:t>
      </w:r>
      <w:r w:rsidRPr="00E23BA0">
        <w:rPr>
          <w:szCs w:val="24"/>
          <w:lang w:val="en-US"/>
        </w:rPr>
        <w:t>expressing commitment,</w:t>
      </w:r>
      <w:r w:rsidR="00D10A84">
        <w:rPr>
          <w:szCs w:val="24"/>
          <w:lang w:val="en-US"/>
        </w:rPr>
        <w:t>’</w:t>
      </w:r>
      <w:r w:rsidRPr="00E23BA0">
        <w:rPr>
          <w:szCs w:val="24"/>
          <w:lang w:val="en-US"/>
        </w:rPr>
        <w:t xml:space="preserve"> </w:t>
      </w:r>
      <w:r w:rsidR="00D10A84">
        <w:rPr>
          <w:szCs w:val="24"/>
          <w:lang w:val="en-US"/>
        </w:rPr>
        <w:t>‘</w:t>
      </w:r>
      <w:r w:rsidRPr="00E23BA0">
        <w:rPr>
          <w:szCs w:val="24"/>
          <w:lang w:val="en-US"/>
        </w:rPr>
        <w:t>assuming common ground,</w:t>
      </w:r>
      <w:r w:rsidR="00D10A84">
        <w:rPr>
          <w:szCs w:val="24"/>
          <w:lang w:val="en-US"/>
        </w:rPr>
        <w:t>’</w:t>
      </w:r>
      <w:r w:rsidRPr="00E23BA0">
        <w:rPr>
          <w:szCs w:val="24"/>
          <w:lang w:val="en-US"/>
        </w:rPr>
        <w:t xml:space="preserve"> or </w:t>
      </w:r>
      <w:r w:rsidR="00D10A84">
        <w:rPr>
          <w:szCs w:val="24"/>
          <w:lang w:val="en-US"/>
        </w:rPr>
        <w:t>‘</w:t>
      </w:r>
      <w:r w:rsidRPr="00E23BA0">
        <w:rPr>
          <w:szCs w:val="24"/>
          <w:lang w:val="en-US"/>
        </w:rPr>
        <w:t>anticipating disbelief</w:t>
      </w:r>
      <w:r w:rsidR="00D10A84">
        <w:rPr>
          <w:szCs w:val="24"/>
          <w:lang w:val="en-US"/>
        </w:rPr>
        <w:t>’</w:t>
      </w:r>
      <w:r w:rsidRPr="00E23BA0">
        <w:rPr>
          <w:szCs w:val="24"/>
          <w:lang w:val="en-US"/>
        </w:rPr>
        <w:t>.</w:t>
      </w:r>
      <w:r w:rsidR="00CC0615">
        <w:rPr>
          <w:szCs w:val="24"/>
          <w:lang w:val="en-US"/>
        </w:rPr>
        <w:t>”</w:t>
      </w:r>
      <w:r w:rsidRPr="00E23BA0">
        <w:rPr>
          <w:rStyle w:val="FootnoteReference"/>
          <w:szCs w:val="24"/>
          <w:lang w:val="en-US"/>
        </w:rPr>
        <w:footnoteReference w:id="323"/>
      </w:r>
      <w:r w:rsidRPr="00E23BA0">
        <w:rPr>
          <w:szCs w:val="24"/>
          <w:lang w:val="en-US"/>
        </w:rPr>
        <w:t xml:space="preserve"> I deal with the connective particles in order to give an overview of the syntax of iambs, while I analyse </w:t>
      </w:r>
      <w:r w:rsidRPr="00E23BA0">
        <w:rPr>
          <w:szCs w:val="24"/>
          <w:lang w:val="en-US"/>
        </w:rPr>
        <w:lastRenderedPageBreak/>
        <w:t xml:space="preserve">the interactional ones with the purpose of investigating what kind of </w:t>
      </w:r>
      <w:r w:rsidR="00E23BA0">
        <w:rPr>
          <w:szCs w:val="24"/>
          <w:lang w:val="en-US"/>
        </w:rPr>
        <w:t>discourse iambs convey</w:t>
      </w:r>
      <w:r w:rsidRPr="00E23BA0">
        <w:rPr>
          <w:szCs w:val="24"/>
          <w:lang w:val="en-US"/>
        </w:rPr>
        <w:t>.</w:t>
      </w:r>
    </w:p>
    <w:p w14:paraId="32FBAD03" w14:textId="351B3434" w:rsidR="006512C4" w:rsidRPr="00825A39" w:rsidRDefault="006512C4" w:rsidP="00825A39">
      <w:pPr>
        <w:pStyle w:val="Heading4"/>
        <w:rPr>
          <w:b w:val="0"/>
          <w:lang w:val="en-US"/>
        </w:rPr>
      </w:pPr>
      <w:r w:rsidRPr="00F76EA9">
        <w:rPr>
          <w:lang w:val="en-US"/>
        </w:rPr>
        <w:t>2.3.1 Connective Particles</w:t>
      </w:r>
      <w:r>
        <w:rPr>
          <w:lang w:val="en-US"/>
        </w:rPr>
        <w:t xml:space="preserve"> </w:t>
      </w:r>
      <w:r w:rsidRPr="00825A39">
        <w:rPr>
          <w:b w:val="0"/>
          <w:lang w:val="en-US"/>
        </w:rPr>
        <w:t>(</w:t>
      </w:r>
      <w:r w:rsidR="00F5650B">
        <w:rPr>
          <w:lang w:val="en-US"/>
        </w:rPr>
        <w:t>2</w:t>
      </w:r>
      <w:r w:rsidRPr="005F6146">
        <w:rPr>
          <w:lang w:val="en-US"/>
        </w:rPr>
        <w:t xml:space="preserve"> </w:t>
      </w:r>
      <w:r w:rsidRPr="00825A39">
        <w:rPr>
          <w:b w:val="0"/>
          <w:lang w:val="en-US"/>
        </w:rPr>
        <w:t>C.2)</w:t>
      </w:r>
    </w:p>
    <w:p w14:paraId="19D12E72" w14:textId="77777777" w:rsidR="006F6315" w:rsidRPr="00D238A0" w:rsidRDefault="006F6315" w:rsidP="00E23BA0">
      <w:pPr>
        <w:rPr>
          <w:rFonts w:cs="Times New Roman"/>
          <w:szCs w:val="24"/>
          <w:lang w:val="en-US"/>
        </w:rPr>
      </w:pPr>
      <w:r w:rsidRPr="00E23BA0">
        <w:rPr>
          <w:rFonts w:cs="Times New Roman"/>
          <w:szCs w:val="24"/>
          <w:lang w:val="en-US"/>
        </w:rPr>
        <w:t>It is evident that iambic texts prefer coordination rather than subordination, since occurrences of subordinating syntactical conjunctions (</w:t>
      </w:r>
      <w:r w:rsidRPr="003A53D6">
        <w:rPr>
          <w:rFonts w:cs="Times New Roman"/>
          <w:szCs w:val="24"/>
          <w:lang w:val="en-US"/>
        </w:rPr>
        <w:t>ἐ</w:t>
      </w:r>
      <w:r w:rsidRPr="00125415">
        <w:rPr>
          <w:rFonts w:cs="Times New Roman"/>
          <w:szCs w:val="24"/>
          <w:lang w:val="en-US"/>
        </w:rPr>
        <w:t>πεί, ἐ</w:t>
      </w:r>
      <w:r w:rsidRPr="009F59C0">
        <w:rPr>
          <w:rFonts w:cs="Times New Roman"/>
          <w:szCs w:val="24"/>
          <w:lang w:val="en-US"/>
        </w:rPr>
        <w:t xml:space="preserve">πειδή, </w:t>
      </w:r>
      <w:r w:rsidRPr="001C5EA4">
        <w:rPr>
          <w:rFonts w:cs="Times New Roman"/>
          <w:szCs w:val="24"/>
          <w:lang w:val="en-US"/>
        </w:rPr>
        <w:t>ὅ</w:t>
      </w:r>
      <w:r w:rsidRPr="004E03FF">
        <w:rPr>
          <w:rFonts w:cs="Times New Roman"/>
          <w:szCs w:val="24"/>
          <w:lang w:val="en-US"/>
        </w:rPr>
        <w:t xml:space="preserve">τι, </w:t>
      </w:r>
      <w:r w:rsidRPr="00D238A0">
        <w:rPr>
          <w:rFonts w:cs="Times New Roman"/>
          <w:szCs w:val="24"/>
          <w:lang w:val="en-US"/>
        </w:rPr>
        <w:t>ὠς) are very scarce. But the amount of coordinators (ἀλλά, δέ, ἤ, καί) is significant. I will therefore focus on them.</w:t>
      </w:r>
    </w:p>
    <w:p w14:paraId="08EF7860" w14:textId="0EA170E0" w:rsidR="006F6315" w:rsidRPr="00D238A0" w:rsidRDefault="006F6315" w:rsidP="003A53D6">
      <w:pPr>
        <w:rPr>
          <w:rFonts w:cs="Times New Roman"/>
          <w:szCs w:val="24"/>
          <w:lang w:val="en-US"/>
        </w:rPr>
      </w:pPr>
      <w:r w:rsidRPr="00D238A0">
        <w:rPr>
          <w:rFonts w:cs="Times New Roman"/>
          <w:szCs w:val="24"/>
          <w:lang w:val="en-US"/>
        </w:rPr>
        <w:tab/>
        <w:t>Iambic texts prefer a paratattical structure, where clauses are very evident since they are articulated through coordinators. It seems that over time iambs see a decrease in the amount of coordinators, especially the copulative ones: Archilochus and Hipponax tend to a polysyndetic parataxis, while Callimachus shows more examples of asyndetic parataxis. Moreover, iambs use basically three kinds of coordinators: adversative (ἀλλά, μέν</w:t>
      </w:r>
      <w:r w:rsidR="00A53A10">
        <w:rPr>
          <w:rFonts w:cs="Times New Roman"/>
          <w:szCs w:val="24"/>
          <w:lang w:val="en-US"/>
        </w:rPr>
        <w:t>–</w:t>
      </w:r>
      <w:r w:rsidRPr="00D238A0">
        <w:rPr>
          <w:rFonts w:cs="Times New Roman"/>
          <w:szCs w:val="24"/>
          <w:lang w:val="en-US"/>
        </w:rPr>
        <w:t xml:space="preserve">δέ, very rarely δέ alone); disjunctive (ἤ); and copulative (δέ, καί). Among them, the most common kind of coordinator is the copulative. </w:t>
      </w:r>
    </w:p>
    <w:p w14:paraId="50BB8567" w14:textId="7420FE0A" w:rsidR="006F6315" w:rsidRPr="00E23BA0" w:rsidRDefault="006F6315" w:rsidP="00D238A0">
      <w:pPr>
        <w:spacing w:after="120"/>
        <w:ind w:firstLine="357"/>
        <w:rPr>
          <w:rFonts w:cs="Times New Roman"/>
          <w:szCs w:val="24"/>
          <w:lang w:val="en-US"/>
        </w:rPr>
      </w:pPr>
      <w:r w:rsidRPr="00D238A0">
        <w:rPr>
          <w:rFonts w:cs="Times New Roman"/>
          <w:szCs w:val="24"/>
          <w:lang w:val="en-US"/>
        </w:rPr>
        <w:t xml:space="preserve">This is a remarkable </w:t>
      </w:r>
      <w:r w:rsidRPr="00D238A0">
        <w:rPr>
          <w:rFonts w:cs="Times New Roman"/>
          <w:i/>
          <w:iCs/>
          <w:szCs w:val="24"/>
          <w:lang w:val="en-US"/>
        </w:rPr>
        <w:t>datum</w:t>
      </w:r>
      <w:r w:rsidRPr="00D238A0">
        <w:rPr>
          <w:rFonts w:cs="Times New Roman"/>
          <w:szCs w:val="24"/>
          <w:lang w:val="en-US"/>
        </w:rPr>
        <w:t>, since iambic texts have always been classified as opposing literature. Thus one may expect quite a significant presence of adversative clauses, in order to create an opposition between the speaker and his target. On the contrary, the instances of ἀλλά, which usually represents a genuine or strong opposition, are practically non-existent, since they constitute 0.51% of Archilochus</w:t>
      </w:r>
      <w:r w:rsidR="00075F5F">
        <w:rPr>
          <w:rFonts w:cs="Times New Roman"/>
          <w:szCs w:val="24"/>
          <w:lang w:val="en-US"/>
        </w:rPr>
        <w:t>’</w:t>
      </w:r>
      <w:r w:rsidRPr="00D238A0">
        <w:rPr>
          <w:rFonts w:cs="Times New Roman"/>
          <w:szCs w:val="24"/>
          <w:lang w:val="en-US"/>
        </w:rPr>
        <w:t xml:space="preserve"> lexicon, the 0.06% of Hipponax</w:t>
      </w:r>
      <w:r w:rsidR="00075F5F">
        <w:rPr>
          <w:rFonts w:cs="Times New Roman"/>
          <w:szCs w:val="24"/>
          <w:lang w:val="en-US"/>
        </w:rPr>
        <w:t>’</w:t>
      </w:r>
      <w:r w:rsidRPr="00D238A0">
        <w:rPr>
          <w:rFonts w:cs="Times New Roman"/>
          <w:szCs w:val="24"/>
          <w:lang w:val="en-US"/>
        </w:rPr>
        <w:t>s one, and 0.65% of Callimachus</w:t>
      </w:r>
      <w:r w:rsidR="00075F5F">
        <w:rPr>
          <w:rFonts w:cs="Times New Roman"/>
          <w:szCs w:val="24"/>
          <w:lang w:val="en-US"/>
        </w:rPr>
        <w:t>’</w:t>
      </w:r>
      <w:r w:rsidRPr="00D238A0">
        <w:rPr>
          <w:rFonts w:cs="Times New Roman"/>
          <w:szCs w:val="24"/>
          <w:lang w:val="en-US"/>
        </w:rPr>
        <w:t>.</w:t>
      </w:r>
      <w:r w:rsidR="00E23BA0">
        <w:rPr>
          <w:rFonts w:cs="Times New Roman"/>
          <w:szCs w:val="24"/>
          <w:lang w:val="en-US"/>
        </w:rPr>
        <w:t xml:space="preserve"> Furthermore, </w:t>
      </w:r>
      <w:r w:rsidRPr="00E23BA0">
        <w:rPr>
          <w:rFonts w:cs="Times New Roman"/>
          <w:szCs w:val="24"/>
          <w:lang w:val="en-US"/>
        </w:rPr>
        <w:t xml:space="preserve">Hipponax, who is considered as the most aggressive of the three iambographers, almost never uses ἀλλά. Furthermore, through the following examples, I suggest that the particle </w:t>
      </w:r>
      <w:r w:rsidR="00E23BA0" w:rsidRPr="00E23BA0">
        <w:rPr>
          <w:rFonts w:cs="Times New Roman"/>
          <w:szCs w:val="24"/>
          <w:lang w:val="en-US"/>
        </w:rPr>
        <w:t xml:space="preserve">ἀλλά </w:t>
      </w:r>
      <w:r w:rsidRPr="00E23BA0">
        <w:rPr>
          <w:rFonts w:cs="Times New Roman"/>
          <w:szCs w:val="24"/>
          <w:lang w:val="en-US"/>
        </w:rPr>
        <w:t>in the iambs indicates a substitution rather than an opposition:</w:t>
      </w:r>
      <w:r w:rsidRPr="00E23BA0">
        <w:rPr>
          <w:rStyle w:val="FootnoteReference"/>
          <w:rFonts w:cs="Times New Roman"/>
          <w:szCs w:val="24"/>
          <w:lang w:val="en-US"/>
        </w:rPr>
        <w:footnoteReference w:id="324"/>
      </w:r>
    </w:p>
    <w:p w14:paraId="44F9946A" w14:textId="091FB055" w:rsidR="006F6315" w:rsidRPr="00E23BA0" w:rsidRDefault="006F6315" w:rsidP="00D238A0">
      <w:pPr>
        <w:widowControl w:val="0"/>
        <w:numPr>
          <w:ilvl w:val="0"/>
          <w:numId w:val="70"/>
        </w:numPr>
        <w:tabs>
          <w:tab w:val="left" w:pos="709"/>
          <w:tab w:val="left" w:pos="786"/>
        </w:tabs>
        <w:ind w:left="709" w:hanging="283"/>
        <w:rPr>
          <w:rFonts w:cs="Times New Roman"/>
          <w:szCs w:val="24"/>
          <w:lang w:val="en-US"/>
        </w:rPr>
      </w:pPr>
      <w:r w:rsidRPr="00E23BA0">
        <w:rPr>
          <w:rFonts w:cs="Times New Roman"/>
          <w:szCs w:val="24"/>
          <w:lang w:val="en-US"/>
        </w:rPr>
        <w:t>Archil. fr. 94 ἀλλ</w:t>
      </w:r>
      <w:r w:rsidR="00075F5F">
        <w:rPr>
          <w:rFonts w:cs="Times New Roman"/>
          <w:szCs w:val="24"/>
          <w:lang w:val="en-US"/>
        </w:rPr>
        <w:t>’</w:t>
      </w:r>
      <w:r w:rsidRPr="00E23BA0">
        <w:rPr>
          <w:rFonts w:cs="Times New Roman"/>
          <w:szCs w:val="24"/>
          <w:lang w:val="en-US"/>
        </w:rPr>
        <w:t xml:space="preserve"> ἄλλος ἄλλωι καρδίην ἰαίνεται </w:t>
      </w:r>
      <w:r w:rsidR="00CC0615">
        <w:rPr>
          <w:rFonts w:cs="Times New Roman"/>
          <w:szCs w:val="24"/>
          <w:lang w:val="en-US"/>
        </w:rPr>
        <w:t>“</w:t>
      </w:r>
      <w:r w:rsidRPr="00E23BA0">
        <w:rPr>
          <w:rFonts w:cs="Times New Roman"/>
          <w:szCs w:val="24"/>
          <w:lang w:val="en-US"/>
        </w:rPr>
        <w:t>but different people are warmed at heart by different things.</w:t>
      </w:r>
      <w:r w:rsidR="00CC0615">
        <w:rPr>
          <w:rFonts w:cs="Times New Roman"/>
          <w:szCs w:val="24"/>
          <w:lang w:val="en-US"/>
        </w:rPr>
        <w:t>”</w:t>
      </w:r>
    </w:p>
    <w:p w14:paraId="35BF71BD" w14:textId="4B36AD44" w:rsidR="006F6315" w:rsidRPr="00E23BA0" w:rsidRDefault="006F6315" w:rsidP="00D238A0">
      <w:pPr>
        <w:widowControl w:val="0"/>
        <w:numPr>
          <w:ilvl w:val="0"/>
          <w:numId w:val="70"/>
        </w:numPr>
        <w:tabs>
          <w:tab w:val="left" w:pos="709"/>
          <w:tab w:val="left" w:pos="786"/>
        </w:tabs>
        <w:ind w:left="709" w:hanging="283"/>
        <w:rPr>
          <w:rFonts w:cs="Times New Roman"/>
          <w:szCs w:val="24"/>
          <w:lang w:val="en-US"/>
        </w:rPr>
      </w:pPr>
      <w:r w:rsidRPr="00E23BA0">
        <w:rPr>
          <w:rFonts w:cs="Times New Roman"/>
          <w:szCs w:val="24"/>
          <w:lang w:val="en-US"/>
        </w:rPr>
        <w:t>Hippon. fr. 55 ἀλλ</w:t>
      </w:r>
      <w:r w:rsidR="00075F5F">
        <w:rPr>
          <w:rFonts w:cs="Times New Roman"/>
          <w:szCs w:val="24"/>
          <w:lang w:val="en-US"/>
        </w:rPr>
        <w:t>’</w:t>
      </w:r>
      <w:r w:rsidRPr="00E23BA0">
        <w:rPr>
          <w:rFonts w:cs="Times New Roman"/>
          <w:szCs w:val="24"/>
          <w:lang w:val="en-US"/>
        </w:rPr>
        <w:t xml:space="preserve"> αὐτίκ</w:t>
      </w:r>
      <w:r w:rsidR="00075F5F">
        <w:rPr>
          <w:rFonts w:cs="Times New Roman"/>
          <w:szCs w:val="24"/>
          <w:lang w:val="en-US"/>
        </w:rPr>
        <w:t>’</w:t>
      </w:r>
      <w:r w:rsidRPr="00E23BA0">
        <w:rPr>
          <w:rFonts w:cs="Times New Roman"/>
          <w:szCs w:val="24"/>
          <w:lang w:val="en-US"/>
        </w:rPr>
        <w:t xml:space="preserve"> ἀλλήλοισιν ἐμβαβάξαντες </w:t>
      </w:r>
      <w:r w:rsidR="00CC0615">
        <w:rPr>
          <w:rFonts w:cs="Times New Roman"/>
          <w:szCs w:val="24"/>
          <w:lang w:val="en-US"/>
        </w:rPr>
        <w:t>“</w:t>
      </w:r>
      <w:r w:rsidRPr="00E23BA0">
        <w:rPr>
          <w:rFonts w:cs="Times New Roman"/>
          <w:szCs w:val="24"/>
          <w:lang w:val="en-US"/>
        </w:rPr>
        <w:t>but straightway yammering at one another</w:t>
      </w:r>
      <w:r w:rsidR="00CC0615">
        <w:rPr>
          <w:rFonts w:cs="Times New Roman"/>
          <w:szCs w:val="24"/>
          <w:lang w:val="en-US"/>
        </w:rPr>
        <w:t>”</w:t>
      </w:r>
    </w:p>
    <w:p w14:paraId="0C7B213A" w14:textId="1C2D24F3" w:rsidR="006F6315" w:rsidRPr="00E23BA0" w:rsidRDefault="006F6315" w:rsidP="00D238A0">
      <w:pPr>
        <w:widowControl w:val="0"/>
        <w:numPr>
          <w:ilvl w:val="0"/>
          <w:numId w:val="70"/>
        </w:numPr>
        <w:tabs>
          <w:tab w:val="left" w:pos="709"/>
          <w:tab w:val="left" w:pos="786"/>
        </w:tabs>
        <w:ind w:left="709" w:hanging="283"/>
        <w:rPr>
          <w:rFonts w:cs="Times New Roman"/>
          <w:szCs w:val="24"/>
          <w:lang w:val="en-US"/>
        </w:rPr>
      </w:pPr>
      <w:r w:rsidRPr="00E23BA0">
        <w:rPr>
          <w:rFonts w:cs="Times New Roman"/>
          <w:szCs w:val="24"/>
          <w:lang w:val="en-US"/>
        </w:rPr>
        <w:t xml:space="preserve">Call. </w:t>
      </w:r>
      <w:r w:rsidRPr="00E23BA0">
        <w:rPr>
          <w:rFonts w:cs="Times New Roman"/>
          <w:i/>
          <w:iCs/>
          <w:szCs w:val="24"/>
          <w:lang w:val="en-US"/>
        </w:rPr>
        <w:t>Ia.</w:t>
      </w:r>
      <w:r w:rsidRPr="00E23BA0">
        <w:rPr>
          <w:rFonts w:cs="Times New Roman"/>
          <w:szCs w:val="24"/>
          <w:lang w:val="en-US"/>
        </w:rPr>
        <w:t xml:space="preserve"> 4. 56-7 ἀλλ</w:t>
      </w:r>
      <w:r w:rsidR="00075F5F">
        <w:rPr>
          <w:rFonts w:cs="Times New Roman"/>
          <w:szCs w:val="24"/>
          <w:lang w:val="en-US"/>
        </w:rPr>
        <w:t>’</w:t>
      </w:r>
      <w:r w:rsidRPr="00E23BA0">
        <w:rPr>
          <w:rFonts w:cs="Times New Roman"/>
          <w:szCs w:val="24"/>
          <w:lang w:val="en-US"/>
        </w:rPr>
        <w:t xml:space="preserve"> </w:t>
      </w:r>
      <w:r w:rsidRPr="003A53D6">
        <w:rPr>
          <w:rFonts w:cs="Times New Roman"/>
          <w:szCs w:val="24"/>
          <w:lang w:val="en-US"/>
        </w:rPr>
        <w:t>ἐπε</w:t>
      </w:r>
      <w:r w:rsidRPr="00D238A0">
        <w:rPr>
          <w:rFonts w:cs="Times New Roman"/>
          <w:szCs w:val="24"/>
          <w:lang w:val="en-US"/>
        </w:rPr>
        <w:t xml:space="preserve">ὶ </w:t>
      </w:r>
      <w:r w:rsidRPr="00E23BA0">
        <w:rPr>
          <w:rFonts w:cs="Times New Roman"/>
          <w:szCs w:val="24"/>
          <w:lang w:val="en-US"/>
        </w:rPr>
        <w:t xml:space="preserve">γὰρ ἐμνήσθης / καὶ τοῦτο </w:t>
      </w:r>
      <w:r w:rsidR="00CC0615">
        <w:rPr>
          <w:rFonts w:cs="Times New Roman"/>
          <w:szCs w:val="24"/>
          <w:lang w:val="en-US"/>
        </w:rPr>
        <w:t>“</w:t>
      </w:r>
      <w:r w:rsidRPr="00E23BA0">
        <w:rPr>
          <w:rFonts w:cs="Times New Roman"/>
          <w:szCs w:val="24"/>
          <w:lang w:val="en-US"/>
        </w:rPr>
        <w:t>but since you mentioned this as well.</w:t>
      </w:r>
      <w:r w:rsidR="00CC0615">
        <w:rPr>
          <w:rFonts w:cs="Times New Roman"/>
          <w:szCs w:val="24"/>
          <w:lang w:val="en-US"/>
        </w:rPr>
        <w:t>”</w:t>
      </w:r>
    </w:p>
    <w:p w14:paraId="716A2DCC" w14:textId="5A6AC6B3" w:rsidR="006F6315" w:rsidRPr="00E23BA0" w:rsidRDefault="006F6315" w:rsidP="007F4100">
      <w:pPr>
        <w:spacing w:before="120"/>
        <w:rPr>
          <w:rFonts w:cs="Times New Roman"/>
          <w:szCs w:val="24"/>
          <w:lang w:val="en-US"/>
        </w:rPr>
      </w:pPr>
      <w:r w:rsidRPr="00E23BA0">
        <w:rPr>
          <w:rFonts w:cs="Times New Roman"/>
          <w:szCs w:val="24"/>
          <w:lang w:val="en-US"/>
        </w:rPr>
        <w:t xml:space="preserve">In all these cases, there is no evidence of a negation of what precedes. Instead, ἀλλά is used to indicate a preference which the speaker hopes will be accepted by his audience. </w:t>
      </w:r>
      <w:r w:rsidRPr="00E23BA0">
        <w:rPr>
          <w:rFonts w:cs="Times New Roman"/>
          <w:szCs w:val="24"/>
          <w:lang w:val="en-US"/>
        </w:rPr>
        <w:lastRenderedPageBreak/>
        <w:t xml:space="preserve">There are rare cases where ἀλλά marks an opposition of the type </w:t>
      </w:r>
      <w:r w:rsidR="00CC0615">
        <w:rPr>
          <w:rFonts w:cs="Times New Roman"/>
          <w:szCs w:val="24"/>
          <w:lang w:val="en-US"/>
        </w:rPr>
        <w:t>“</w:t>
      </w:r>
      <w:r w:rsidRPr="00E23BA0">
        <w:rPr>
          <w:rFonts w:cs="Times New Roman"/>
          <w:szCs w:val="24"/>
          <w:lang w:val="en-US"/>
        </w:rPr>
        <w:t>not A but -A,</w:t>
      </w:r>
      <w:r w:rsidR="00CC0615">
        <w:rPr>
          <w:rFonts w:cs="Times New Roman"/>
          <w:szCs w:val="24"/>
          <w:lang w:val="en-US"/>
        </w:rPr>
        <w:t>”</w:t>
      </w:r>
      <w:r w:rsidRPr="00E23BA0">
        <w:rPr>
          <w:rFonts w:cs="Times New Roman"/>
          <w:szCs w:val="24"/>
          <w:lang w:val="en-US"/>
        </w:rPr>
        <w:t xml:space="preserve"> but I would define them as in some ways conditional. Indeed, only once do we find a stronger opposition in Archilochus, in fr. 96.1, 3 οὐ φιλέω μέγαν στρατηγὸν…, / ἀ</w:t>
      </w:r>
      <w:r w:rsidRPr="003A53D6">
        <w:rPr>
          <w:rFonts w:cs="Times New Roman"/>
          <w:szCs w:val="24"/>
          <w:lang w:val="en-US"/>
        </w:rPr>
        <w:t>λλά μοι σμικρός τις εἴ</w:t>
      </w:r>
      <w:r w:rsidRPr="00125415">
        <w:rPr>
          <w:rFonts w:cs="Times New Roman"/>
          <w:szCs w:val="24"/>
          <w:lang w:val="en-US"/>
        </w:rPr>
        <w:t xml:space="preserve">η… </w:t>
      </w:r>
      <w:r w:rsidR="00CC0615">
        <w:rPr>
          <w:rFonts w:cs="Times New Roman"/>
          <w:szCs w:val="24"/>
          <w:lang w:val="en-US"/>
        </w:rPr>
        <w:t>“</w:t>
      </w:r>
      <w:r w:rsidRPr="00125415">
        <w:rPr>
          <w:rFonts w:cs="Times New Roman"/>
          <w:szCs w:val="24"/>
          <w:lang w:val="en-US"/>
        </w:rPr>
        <w:t>I have no liking for the general who is tall…, but let mine be one who is short,</w:t>
      </w:r>
      <w:r w:rsidR="00CC0615">
        <w:rPr>
          <w:rFonts w:cs="Times New Roman"/>
          <w:szCs w:val="24"/>
          <w:lang w:val="en-US"/>
        </w:rPr>
        <w:t>”</w:t>
      </w:r>
      <w:r w:rsidRPr="00125415">
        <w:rPr>
          <w:rFonts w:cs="Times New Roman"/>
          <w:szCs w:val="24"/>
          <w:lang w:val="en-US"/>
        </w:rPr>
        <w:t xml:space="preserve"> but here the use of the conditional (ε</w:t>
      </w:r>
      <w:r w:rsidRPr="009F59C0">
        <w:rPr>
          <w:rFonts w:cs="Times New Roman"/>
          <w:szCs w:val="24"/>
          <w:lang w:val="en-US"/>
        </w:rPr>
        <w:t>ἴ</w:t>
      </w:r>
      <w:r w:rsidRPr="001C5EA4">
        <w:rPr>
          <w:rFonts w:cs="Times New Roman"/>
          <w:szCs w:val="24"/>
          <w:lang w:val="en-US"/>
        </w:rPr>
        <w:t xml:space="preserve">η) softens the opposition. It is interesting to note that all the instances of </w:t>
      </w:r>
      <w:r w:rsidRPr="004E03FF">
        <w:rPr>
          <w:rFonts w:cs="Times New Roman"/>
          <w:szCs w:val="24"/>
          <w:lang w:val="en-US"/>
        </w:rPr>
        <w:t>ἀ</w:t>
      </w:r>
      <w:r w:rsidRPr="00D238A0">
        <w:rPr>
          <w:rFonts w:cs="Times New Roman"/>
          <w:szCs w:val="24"/>
          <w:lang w:val="en-US"/>
        </w:rPr>
        <w:t>λλά as a particle of opposition in Callimachus</w:t>
      </w:r>
      <w:r w:rsidR="00075F5F">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Iambi</w:t>
      </w:r>
      <w:r w:rsidRPr="00D238A0">
        <w:rPr>
          <w:rFonts w:cs="Times New Roman"/>
          <w:szCs w:val="24"/>
          <w:lang w:val="en-US"/>
        </w:rPr>
        <w:t xml:space="preserve"> belong to </w:t>
      </w:r>
      <w:r w:rsidRPr="00D238A0">
        <w:rPr>
          <w:rFonts w:cs="Times New Roman"/>
          <w:i/>
          <w:iCs/>
          <w:szCs w:val="24"/>
          <w:lang w:val="en-US"/>
        </w:rPr>
        <w:t>Iambus</w:t>
      </w:r>
      <w:r w:rsidRPr="00D238A0">
        <w:rPr>
          <w:rFonts w:cs="Times New Roman"/>
          <w:szCs w:val="24"/>
          <w:lang w:val="en-US"/>
        </w:rPr>
        <w:t xml:space="preserve"> 1 and are put in the mouth of Hipponax by the author, as shown at line 63 οὐ πάντες, ἀλλ</w:t>
      </w:r>
      <w:r w:rsidR="00075F5F">
        <w:rPr>
          <w:rFonts w:cs="Times New Roman"/>
          <w:szCs w:val="24"/>
          <w:lang w:val="en-US"/>
        </w:rPr>
        <w:t>’</w:t>
      </w:r>
      <w:r w:rsidRPr="00D238A0">
        <w:rPr>
          <w:rFonts w:cs="Times New Roman"/>
          <w:szCs w:val="24"/>
          <w:lang w:val="en-US"/>
        </w:rPr>
        <w:t xml:space="preserve"> οὓς εἶχεν οὕτερος δαίμων </w:t>
      </w:r>
      <w:r w:rsidR="00CC0615">
        <w:rPr>
          <w:rFonts w:cs="Times New Roman"/>
          <w:szCs w:val="24"/>
          <w:lang w:val="en-US"/>
        </w:rPr>
        <w:t>“</w:t>
      </w:r>
      <w:r w:rsidRPr="00D238A0">
        <w:rPr>
          <w:rFonts w:cs="Times New Roman"/>
          <w:szCs w:val="24"/>
          <w:lang w:val="en-US"/>
        </w:rPr>
        <w:t>not all, but those whom the other spirit constrained,</w:t>
      </w:r>
      <w:r w:rsidR="00CC0615">
        <w:rPr>
          <w:rFonts w:cs="Times New Roman"/>
          <w:szCs w:val="24"/>
          <w:lang w:val="en-US"/>
        </w:rPr>
        <w:t>”</w:t>
      </w:r>
      <w:r w:rsidRPr="00D238A0">
        <w:rPr>
          <w:rFonts w:cs="Times New Roman"/>
          <w:szCs w:val="24"/>
          <w:lang w:val="en-US"/>
        </w:rPr>
        <w:t xml:space="preserve"> where the structure of the sentence perfectly mirrors the opposition structure </w:t>
      </w:r>
      <w:r w:rsidR="00CC0615">
        <w:rPr>
          <w:rFonts w:cs="Times New Roman"/>
          <w:szCs w:val="24"/>
          <w:lang w:val="en-US"/>
        </w:rPr>
        <w:t>“</w:t>
      </w:r>
      <w:r w:rsidRPr="00D238A0">
        <w:rPr>
          <w:rFonts w:cs="Times New Roman"/>
          <w:szCs w:val="24"/>
          <w:lang w:val="en-US"/>
        </w:rPr>
        <w:t>not A, but -A.</w:t>
      </w:r>
      <w:r w:rsidR="00CC0615">
        <w:rPr>
          <w:rFonts w:cs="Times New Roman"/>
          <w:szCs w:val="24"/>
          <w:lang w:val="en-US"/>
        </w:rPr>
        <w:t>”</w:t>
      </w:r>
      <w:r w:rsidRPr="00D238A0">
        <w:rPr>
          <w:rFonts w:cs="Times New Roman"/>
          <w:szCs w:val="24"/>
          <w:lang w:val="en-US"/>
        </w:rPr>
        <w:t xml:space="preserve"> Again, Callimachus depicts for the audience a Hipponax who does not correspond to the textual evidence we have for Hipponax. In his surviving fragments, Hipponax very rarely uses ἀλλά and never uses it to mean a strong opposition. However, at the very beginning of </w:t>
      </w:r>
      <w:r w:rsidRPr="00D238A0">
        <w:rPr>
          <w:rFonts w:cs="Times New Roman"/>
          <w:i/>
          <w:iCs/>
          <w:szCs w:val="24"/>
          <w:lang w:val="en-US"/>
        </w:rPr>
        <w:t>Iambus</w:t>
      </w:r>
      <w:r w:rsidRPr="00D238A0">
        <w:rPr>
          <w:rFonts w:cs="Times New Roman"/>
          <w:szCs w:val="24"/>
          <w:lang w:val="en-US"/>
        </w:rPr>
        <w:t xml:space="preserve"> 1, when Hipponax introduces himself, he specifies: ἀκούσαθ</w:t>
      </w:r>
      <w:r w:rsidR="00075F5F">
        <w:rPr>
          <w:rFonts w:cs="Times New Roman"/>
          <w:szCs w:val="24"/>
          <w:lang w:val="en-US"/>
        </w:rPr>
        <w:t>’</w:t>
      </w:r>
      <w:r w:rsidRPr="00D238A0">
        <w:rPr>
          <w:rFonts w:cs="Times New Roman"/>
          <w:szCs w:val="24"/>
          <w:lang w:val="en-US"/>
        </w:rPr>
        <w:t xml:space="preserve"> Ἱππώνακτος· οὐ γὰρ ἀλλ</w:t>
      </w:r>
      <w:r w:rsidR="00075F5F">
        <w:rPr>
          <w:rFonts w:cs="Times New Roman"/>
          <w:szCs w:val="24"/>
          <w:lang w:val="en-US"/>
        </w:rPr>
        <w:t>’</w:t>
      </w:r>
      <w:r w:rsidRPr="00D238A0">
        <w:rPr>
          <w:rFonts w:cs="Times New Roman"/>
          <w:szCs w:val="24"/>
          <w:lang w:val="en-US"/>
        </w:rPr>
        <w:t xml:space="preserve"> ἥκω / … / φέρων ἴαμβον οὐ μάχην ἀείδοντα / τὴν Βουπάλει</w:t>
      </w:r>
      <w:r w:rsidR="00661FBC" w:rsidRPr="00D238A0">
        <w:rPr>
          <w:rFonts w:cs="Times New Roman"/>
          <w:szCs w:val="24"/>
          <w:lang w:val="el-GR"/>
        </w:rPr>
        <w:t>ο</w:t>
      </w:r>
      <w:r w:rsidRPr="00E23BA0">
        <w:rPr>
          <w:rFonts w:cs="Times New Roman"/>
          <w:szCs w:val="24"/>
          <w:lang w:val="en-US"/>
        </w:rPr>
        <w:t>ν</w:t>
      </w:r>
      <w:r w:rsidR="00661FBC" w:rsidRPr="00D238A0">
        <w:rPr>
          <w:rFonts w:cs="Times New Roman"/>
          <w:szCs w:val="24"/>
          <w:lang w:val="en-US"/>
        </w:rPr>
        <w:t xml:space="preserve"> </w:t>
      </w:r>
      <w:r w:rsidR="00CC0615">
        <w:rPr>
          <w:rFonts w:cs="Times New Roman"/>
          <w:szCs w:val="24"/>
          <w:lang w:val="en-US"/>
        </w:rPr>
        <w:t>“</w:t>
      </w:r>
      <w:r w:rsidRPr="00D238A0">
        <w:rPr>
          <w:rFonts w:cs="Times New Roman"/>
          <w:szCs w:val="24"/>
          <w:lang w:val="en-US"/>
        </w:rPr>
        <w:t xml:space="preserve">listen </w:t>
      </w:r>
      <w:r w:rsidR="00661FBC" w:rsidRPr="00D238A0">
        <w:rPr>
          <w:rFonts w:cs="Times New Roman"/>
          <w:szCs w:val="24"/>
          <w:lang w:val="en-US"/>
        </w:rPr>
        <w:t>to Hipponax; but indeed I come ...</w:t>
      </w:r>
      <w:r w:rsidRPr="00D238A0">
        <w:rPr>
          <w:rFonts w:cs="Times New Roman"/>
          <w:szCs w:val="24"/>
          <w:lang w:val="en-US"/>
        </w:rPr>
        <w:t xml:space="preserve"> bearing an </w:t>
      </w:r>
      <w:r w:rsidRPr="00E23BA0">
        <w:rPr>
          <w:rFonts w:cs="Times New Roman"/>
          <w:i/>
          <w:iCs/>
          <w:szCs w:val="24"/>
          <w:lang w:val="en-US"/>
        </w:rPr>
        <w:t>iambus</w:t>
      </w:r>
      <w:r w:rsidRPr="00E23BA0">
        <w:rPr>
          <w:rFonts w:cs="Times New Roman"/>
          <w:szCs w:val="24"/>
          <w:lang w:val="en-US"/>
        </w:rPr>
        <w:t xml:space="preserve"> which does not sing of the Boupalean battle</w:t>
      </w:r>
      <w:r w:rsidR="00CC0615">
        <w:rPr>
          <w:rFonts w:cs="Times New Roman"/>
          <w:szCs w:val="24"/>
          <w:lang w:val="en-US"/>
        </w:rPr>
        <w:t>”</w:t>
      </w:r>
      <w:r w:rsidRPr="00E23BA0">
        <w:rPr>
          <w:rFonts w:cs="Times New Roman"/>
          <w:szCs w:val="24"/>
          <w:lang w:val="en-US"/>
        </w:rPr>
        <w:t xml:space="preserve"> (</w:t>
      </w:r>
      <w:r w:rsidRPr="00E23BA0">
        <w:rPr>
          <w:rFonts w:cs="Times New Roman"/>
          <w:i/>
          <w:iCs/>
          <w:szCs w:val="24"/>
          <w:lang w:val="en-US"/>
        </w:rPr>
        <w:t>Ia</w:t>
      </w:r>
      <w:r w:rsidRPr="00E23BA0">
        <w:rPr>
          <w:rFonts w:cs="Times New Roman"/>
          <w:szCs w:val="24"/>
          <w:lang w:val="en-US"/>
        </w:rPr>
        <w:t>. 1.1, 3-4).</w:t>
      </w:r>
      <w:r w:rsidR="00E23BA0">
        <w:rPr>
          <w:rFonts w:cs="Times New Roman"/>
          <w:szCs w:val="24"/>
          <w:lang w:val="en-US"/>
        </w:rPr>
        <w:t xml:space="preserve"> </w:t>
      </w:r>
      <w:r w:rsidRPr="00E23BA0">
        <w:rPr>
          <w:rFonts w:cs="Times New Roman"/>
          <w:szCs w:val="24"/>
          <w:lang w:val="en-US"/>
        </w:rPr>
        <w:t>Callimachus</w:t>
      </w:r>
      <w:r w:rsidR="00075F5F">
        <w:rPr>
          <w:rFonts w:cs="Times New Roman"/>
          <w:szCs w:val="24"/>
          <w:lang w:val="en-US"/>
        </w:rPr>
        <w:t>’</w:t>
      </w:r>
      <w:r w:rsidRPr="00E23BA0">
        <w:rPr>
          <w:rFonts w:cs="Times New Roman"/>
          <w:szCs w:val="24"/>
          <w:lang w:val="en-US"/>
        </w:rPr>
        <w:t xml:space="preserve"> Hipponax is not Hipponax, and Callimachus is warning his audience of this through the use of ἀλλά, creating a strong opposition (which is a feature not used by the real Hipponax) between the real Hipponax and his Hipponax, namely </w:t>
      </w:r>
      <w:r w:rsidR="00CC0615">
        <w:rPr>
          <w:rFonts w:cs="Times New Roman"/>
          <w:szCs w:val="24"/>
          <w:lang w:val="en-US"/>
        </w:rPr>
        <w:t>“</w:t>
      </w:r>
      <w:r w:rsidRPr="00E23BA0">
        <w:rPr>
          <w:rFonts w:cs="Times New Roman"/>
          <w:szCs w:val="24"/>
          <w:lang w:val="en-US"/>
        </w:rPr>
        <w:t>not Hipponax, but Callimachus</w:t>
      </w:r>
      <w:r w:rsidR="00075F5F">
        <w:rPr>
          <w:rFonts w:cs="Times New Roman"/>
          <w:szCs w:val="24"/>
          <w:lang w:val="en-US"/>
        </w:rPr>
        <w:t>’</w:t>
      </w:r>
      <w:r w:rsidRPr="00E23BA0">
        <w:rPr>
          <w:rFonts w:cs="Times New Roman"/>
          <w:szCs w:val="24"/>
          <w:lang w:val="en-US"/>
        </w:rPr>
        <w:t xml:space="preserve"> Hipponax.</w:t>
      </w:r>
      <w:r w:rsidR="00CC0615">
        <w:rPr>
          <w:rFonts w:cs="Times New Roman"/>
          <w:szCs w:val="24"/>
          <w:lang w:val="en-US"/>
        </w:rPr>
        <w:t>”</w:t>
      </w:r>
      <w:r w:rsidRPr="00E23BA0">
        <w:rPr>
          <w:rFonts w:cs="Times New Roman"/>
          <w:szCs w:val="24"/>
          <w:lang w:val="en-US"/>
        </w:rPr>
        <w:t xml:space="preserve"> </w:t>
      </w:r>
    </w:p>
    <w:p w14:paraId="116BD968" w14:textId="332FB623" w:rsidR="006F6315" w:rsidRPr="00E23BA0" w:rsidRDefault="006F6315" w:rsidP="00E23BA0">
      <w:pPr>
        <w:ind w:firstLine="426"/>
        <w:rPr>
          <w:rFonts w:cs="Times New Roman"/>
          <w:szCs w:val="24"/>
          <w:lang w:val="en-US"/>
        </w:rPr>
      </w:pPr>
      <w:r w:rsidRPr="00E23BA0">
        <w:rPr>
          <w:rFonts w:cs="Times New Roman"/>
          <w:szCs w:val="24"/>
          <w:lang w:val="en-US"/>
        </w:rPr>
        <w:t>Iambs use two other ways to express opposition. These other ways, μέν</w:t>
      </w:r>
      <w:r w:rsidR="00731814">
        <w:rPr>
          <w:rFonts w:cs="Times New Roman"/>
          <w:szCs w:val="24"/>
          <w:lang w:val="en-US"/>
        </w:rPr>
        <w:t>–</w:t>
      </w:r>
      <w:r w:rsidRPr="00E23BA0">
        <w:rPr>
          <w:rFonts w:cs="Times New Roman"/>
          <w:szCs w:val="24"/>
          <w:lang w:val="en-US"/>
        </w:rPr>
        <w:t>δέ, and δέ on its own, i</w:t>
      </w:r>
      <w:r w:rsidRPr="003A53D6">
        <w:rPr>
          <w:rFonts w:cs="Times New Roman"/>
          <w:szCs w:val="24"/>
          <w:lang w:val="en-US"/>
        </w:rPr>
        <w:t>ndicate opposition less strongly than ἀ</w:t>
      </w:r>
      <w:r w:rsidR="00731814">
        <w:rPr>
          <w:rFonts w:cs="Times New Roman"/>
          <w:szCs w:val="24"/>
          <w:lang w:val="en-US"/>
        </w:rPr>
        <w:t>λλά. Where μέν–</w:t>
      </w:r>
      <w:r w:rsidRPr="00125415">
        <w:rPr>
          <w:rFonts w:cs="Times New Roman"/>
          <w:szCs w:val="24"/>
          <w:lang w:val="en-US"/>
        </w:rPr>
        <w:t>δέ is concerned, only Archilochus</w:t>
      </w:r>
      <w:r w:rsidR="00075F5F">
        <w:rPr>
          <w:rFonts w:cs="Times New Roman"/>
          <w:szCs w:val="24"/>
          <w:lang w:val="en-US"/>
        </w:rPr>
        <w:t>’</w:t>
      </w:r>
      <w:r w:rsidRPr="00125415">
        <w:rPr>
          <w:rFonts w:cs="Times New Roman"/>
          <w:szCs w:val="24"/>
          <w:lang w:val="en-US"/>
        </w:rPr>
        <w:t xml:space="preserve"> fragments show a significant percentage of occurences where they introduce an opposition: the opposition is usually built between the other (μέν) and the speaker (δέ), as shown by Archil. fr. 8.1-3 </w:t>
      </w:r>
      <w:r w:rsidRPr="009F59C0">
        <w:rPr>
          <w:rFonts w:cs="Times New Roman"/>
          <w:szCs w:val="24"/>
          <w:lang w:val="en-US"/>
        </w:rPr>
        <w:t>ἀ</w:t>
      </w:r>
      <w:r w:rsidRPr="001C5EA4">
        <w:rPr>
          <w:rFonts w:cs="Times New Roman"/>
          <w:szCs w:val="24"/>
          <w:lang w:val="en-US"/>
        </w:rPr>
        <w:t>σπίδι μ</w:t>
      </w:r>
      <w:r w:rsidRPr="004E03FF">
        <w:rPr>
          <w:rFonts w:cs="Times New Roman"/>
          <w:szCs w:val="24"/>
          <w:lang w:val="en-US"/>
        </w:rPr>
        <w:t>ὲ</w:t>
      </w:r>
      <w:r w:rsidRPr="00D238A0">
        <w:rPr>
          <w:rFonts w:cs="Times New Roman"/>
          <w:szCs w:val="24"/>
          <w:lang w:val="en-US"/>
        </w:rPr>
        <w:t>ν Σαΐων τις ἀγάλλεται … αὐτὸν δ</w:t>
      </w:r>
      <w:r w:rsidR="00075F5F">
        <w:rPr>
          <w:rFonts w:cs="Times New Roman"/>
          <w:szCs w:val="24"/>
          <w:lang w:val="en-US"/>
        </w:rPr>
        <w:t>’</w:t>
      </w:r>
      <w:r w:rsidRPr="00D238A0">
        <w:rPr>
          <w:rFonts w:cs="Times New Roman"/>
          <w:szCs w:val="24"/>
          <w:lang w:val="en-US"/>
        </w:rPr>
        <w:t xml:space="preserve"> ἐξεσάωσα </w:t>
      </w:r>
      <w:r w:rsidR="00CC0615">
        <w:rPr>
          <w:rFonts w:cs="Times New Roman"/>
          <w:szCs w:val="24"/>
          <w:lang w:val="en-US"/>
        </w:rPr>
        <w:t>“</w:t>
      </w:r>
      <w:r w:rsidRPr="00D238A0">
        <w:rPr>
          <w:rFonts w:cs="Times New Roman"/>
          <w:szCs w:val="24"/>
          <w:lang w:val="en-US"/>
        </w:rPr>
        <w:t>some Saian exults in my shield … but I saved myself</w:t>
      </w:r>
      <w:r w:rsidR="00CC0615">
        <w:rPr>
          <w:rFonts w:cs="Times New Roman"/>
          <w:szCs w:val="24"/>
          <w:lang w:val="en-US"/>
        </w:rPr>
        <w:t>”</w:t>
      </w:r>
      <w:r w:rsidRPr="00D238A0">
        <w:rPr>
          <w:rFonts w:cs="Times New Roman"/>
          <w:szCs w:val="24"/>
          <w:lang w:val="en-US"/>
        </w:rPr>
        <w:t>, and by Archil. fr. 55.8-10 φάτιν μὲν τὴν πρὸ</w:t>
      </w:r>
      <w:r w:rsidRPr="00E23BA0">
        <w:rPr>
          <w:rFonts w:cs="Times New Roman"/>
          <w:szCs w:val="24"/>
          <w:lang w:val="en-US"/>
        </w:rPr>
        <w:t>ς ἀνθρώπων κακὴν / μὴ τετραμήνηις μηδέν· ἀμφὶ δ</w:t>
      </w:r>
      <w:r w:rsidR="00075F5F">
        <w:rPr>
          <w:rFonts w:cs="Times New Roman"/>
          <w:szCs w:val="24"/>
          <w:lang w:val="en-US"/>
        </w:rPr>
        <w:t>’</w:t>
      </w:r>
      <w:r w:rsidRPr="00E23BA0">
        <w:rPr>
          <w:rFonts w:cs="Times New Roman"/>
          <w:szCs w:val="24"/>
          <w:lang w:val="en-US"/>
        </w:rPr>
        <w:t xml:space="preserve"> εὐφρόνηι, / ἐμοὶ μελήσει· </w:t>
      </w:r>
      <w:r w:rsidR="00CC0615">
        <w:rPr>
          <w:rFonts w:cs="Times New Roman"/>
          <w:szCs w:val="24"/>
          <w:lang w:val="en-US"/>
        </w:rPr>
        <w:t>“</w:t>
      </w:r>
      <w:r w:rsidRPr="00E23BA0">
        <w:rPr>
          <w:rFonts w:cs="Times New Roman"/>
          <w:szCs w:val="24"/>
          <w:lang w:val="en-US"/>
        </w:rPr>
        <w:t>have no fear of the evil rumour that people spread; as for kindly report, that will be my concern</w:t>
      </w:r>
      <w:r w:rsidR="00CC0615">
        <w:rPr>
          <w:rFonts w:cs="Times New Roman"/>
          <w:szCs w:val="24"/>
          <w:lang w:val="en-US"/>
        </w:rPr>
        <w:t>”</w:t>
      </w:r>
      <w:r w:rsidRPr="00E23BA0">
        <w:rPr>
          <w:rFonts w:cs="Times New Roman"/>
          <w:szCs w:val="24"/>
          <w:lang w:val="en-US"/>
        </w:rPr>
        <w:t>.</w:t>
      </w:r>
    </w:p>
    <w:p w14:paraId="71802CA4" w14:textId="15C2ADCE" w:rsidR="006F6315" w:rsidRPr="00D238A0" w:rsidRDefault="006F6315" w:rsidP="00E23BA0">
      <w:pPr>
        <w:ind w:firstLine="426"/>
        <w:rPr>
          <w:rFonts w:cs="Times New Roman"/>
          <w:szCs w:val="24"/>
          <w:lang w:val="en-US"/>
        </w:rPr>
      </w:pPr>
      <w:r w:rsidRPr="00E23BA0">
        <w:rPr>
          <w:rFonts w:cs="Times New Roman"/>
          <w:szCs w:val="24"/>
          <w:lang w:val="en-US"/>
        </w:rPr>
        <w:t>Otherwise,</w:t>
      </w:r>
      <w:r w:rsidR="00731814">
        <w:rPr>
          <w:rFonts w:cs="Times New Roman"/>
          <w:szCs w:val="24"/>
          <w:lang w:val="en-US"/>
        </w:rPr>
        <w:t xml:space="preserve"> most of the instances of μέν–</w:t>
      </w:r>
      <w:r w:rsidRPr="00E23BA0">
        <w:rPr>
          <w:rFonts w:cs="Times New Roman"/>
          <w:szCs w:val="24"/>
          <w:lang w:val="en-US"/>
        </w:rPr>
        <w:t xml:space="preserve">δέ in the iambs introduce a continuity of different actions, or actions performed by different groups of people, which are not necessarily in opposition to each other, as shown by Hippon. fr. 95.12-14 τῶν οἱ μὲν </w:t>
      </w:r>
      <w:r w:rsidRPr="003A53D6">
        <w:rPr>
          <w:rFonts w:cs="Times New Roman"/>
          <w:szCs w:val="24"/>
          <w:lang w:val="en-US"/>
        </w:rPr>
        <w:t>ἐμπίπτοντες / κατέβαλον, … / ο</w:t>
      </w:r>
      <w:r w:rsidRPr="00125415">
        <w:rPr>
          <w:rFonts w:cs="Times New Roman"/>
          <w:szCs w:val="24"/>
          <w:lang w:val="en-US"/>
        </w:rPr>
        <w:t>ἱ δ</w:t>
      </w:r>
      <w:r w:rsidR="00075F5F">
        <w:rPr>
          <w:rFonts w:cs="Times New Roman"/>
          <w:szCs w:val="24"/>
          <w:lang w:val="en-US"/>
        </w:rPr>
        <w:t>’</w:t>
      </w:r>
      <w:r w:rsidRPr="00125415">
        <w:rPr>
          <w:rFonts w:cs="Times New Roman"/>
          <w:szCs w:val="24"/>
          <w:lang w:val="en-US"/>
        </w:rPr>
        <w:t xml:space="preserve"> </w:t>
      </w:r>
      <w:r w:rsidRPr="009F59C0">
        <w:rPr>
          <w:rFonts w:cs="Times New Roman"/>
          <w:szCs w:val="24"/>
          <w:lang w:val="en-US"/>
        </w:rPr>
        <w:t>ἐ</w:t>
      </w:r>
      <w:r w:rsidRPr="001C5EA4">
        <w:rPr>
          <w:rFonts w:cs="Times New Roman"/>
          <w:szCs w:val="24"/>
          <w:lang w:val="en-US"/>
        </w:rPr>
        <w:t>μπεσόντες τ</w:t>
      </w:r>
      <w:r w:rsidRPr="004E03FF">
        <w:rPr>
          <w:rFonts w:cs="Times New Roman"/>
          <w:szCs w:val="24"/>
          <w:lang w:val="en-US"/>
        </w:rPr>
        <w:t>ὰ</w:t>
      </w:r>
      <w:r w:rsidRPr="00D238A0">
        <w:rPr>
          <w:rFonts w:cs="Times New Roman"/>
          <w:szCs w:val="24"/>
          <w:lang w:val="en-US"/>
        </w:rPr>
        <w:t xml:space="preserve">ς θύρας </w:t>
      </w:r>
      <w:r w:rsidR="00CC0615">
        <w:rPr>
          <w:rFonts w:cs="Times New Roman"/>
          <w:szCs w:val="24"/>
          <w:lang w:val="en-US"/>
        </w:rPr>
        <w:t>“</w:t>
      </w:r>
      <w:r w:rsidRPr="00D238A0">
        <w:rPr>
          <w:rFonts w:cs="Times New Roman"/>
          <w:szCs w:val="24"/>
          <w:lang w:val="en-US"/>
        </w:rPr>
        <w:t>some attacked and struck down, … and others falling upon the doors</w:t>
      </w:r>
      <w:r w:rsidR="00CC0615">
        <w:rPr>
          <w:rFonts w:cs="Times New Roman"/>
          <w:szCs w:val="24"/>
          <w:lang w:val="en-US"/>
        </w:rPr>
        <w:t>”</w:t>
      </w:r>
      <w:r w:rsidRPr="00D238A0">
        <w:rPr>
          <w:rFonts w:cs="Times New Roman"/>
          <w:szCs w:val="24"/>
          <w:lang w:val="en-US"/>
        </w:rPr>
        <w:t>.</w:t>
      </w:r>
    </w:p>
    <w:p w14:paraId="5D3D82D1" w14:textId="328D3FE8" w:rsidR="006F6315" w:rsidRPr="00E23BA0" w:rsidRDefault="006F6315" w:rsidP="00E23BA0">
      <w:pPr>
        <w:ind w:firstLine="426"/>
        <w:rPr>
          <w:rFonts w:cs="Times New Roman"/>
          <w:szCs w:val="24"/>
          <w:lang w:val="en-US"/>
        </w:rPr>
      </w:pPr>
      <w:r w:rsidRPr="00D238A0">
        <w:rPr>
          <w:rFonts w:cs="Times New Roman"/>
          <w:szCs w:val="24"/>
          <w:lang w:val="en-US"/>
        </w:rPr>
        <w:lastRenderedPageBreak/>
        <w:t xml:space="preserve">With regard to the slightly adversative δέ, only Callimachus appears to use this particle with this meaning (and again he does it when Hipponax is speaking), as shown by Call. </w:t>
      </w:r>
      <w:r w:rsidRPr="00D238A0">
        <w:rPr>
          <w:rFonts w:cs="Times New Roman"/>
          <w:i/>
          <w:iCs/>
          <w:szCs w:val="24"/>
          <w:lang w:val="en-US"/>
        </w:rPr>
        <w:t>Ia.</w:t>
      </w:r>
      <w:r w:rsidRPr="00D238A0">
        <w:rPr>
          <w:rFonts w:cs="Times New Roman"/>
          <w:szCs w:val="24"/>
          <w:lang w:val="en-US"/>
        </w:rPr>
        <w:t xml:space="preserve"> 1.72 σὺ δ</w:t>
      </w:r>
      <w:r w:rsidR="00075F5F">
        <w:rPr>
          <w:rFonts w:cs="Times New Roman"/>
          <w:szCs w:val="24"/>
          <w:lang w:val="en-US"/>
        </w:rPr>
        <w:t>’</w:t>
      </w:r>
      <w:r w:rsidRPr="00D238A0">
        <w:rPr>
          <w:rFonts w:cs="Times New Roman"/>
          <w:szCs w:val="24"/>
          <w:lang w:val="en-US"/>
        </w:rPr>
        <w:t xml:space="preserve"> εἰ </w:t>
      </w:r>
      <w:r w:rsidRPr="00E23BA0">
        <w:rPr>
          <w:rFonts w:cs="Times New Roman"/>
          <w:szCs w:val="24"/>
          <w:lang w:val="en-US"/>
        </w:rPr>
        <w:t xml:space="preserve">τοκεῶνος μὴ λόγοις ἀπειθήσεις </w:t>
      </w:r>
      <w:r w:rsidR="00CC0615">
        <w:rPr>
          <w:rFonts w:cs="Times New Roman"/>
          <w:szCs w:val="24"/>
          <w:lang w:val="en-US"/>
        </w:rPr>
        <w:t>“</w:t>
      </w:r>
      <w:r w:rsidRPr="00E23BA0">
        <w:rPr>
          <w:rFonts w:cs="Times New Roman"/>
          <w:szCs w:val="24"/>
          <w:lang w:val="en-US"/>
        </w:rPr>
        <w:t>but if you will not disobey his words.</w:t>
      </w:r>
      <w:r w:rsidR="00CC0615">
        <w:rPr>
          <w:rFonts w:cs="Times New Roman"/>
          <w:szCs w:val="24"/>
          <w:lang w:val="en-US"/>
        </w:rPr>
        <w:t>”</w:t>
      </w:r>
      <w:r w:rsidRPr="00E23BA0">
        <w:rPr>
          <w:rFonts w:cs="Times New Roman"/>
          <w:szCs w:val="24"/>
          <w:lang w:val="en-US"/>
        </w:rPr>
        <w:t xml:space="preserve"> The use of δέ as an adversative particle is rare in the archaic iambographers, since both Archilochus and Hipponax prefer to use δέ as a linking particle. </w:t>
      </w:r>
    </w:p>
    <w:p w14:paraId="1BD073DB" w14:textId="77777777" w:rsidR="006F6315" w:rsidRPr="009F59C0" w:rsidRDefault="006F6315" w:rsidP="00E23BA0">
      <w:pPr>
        <w:ind w:firstLine="426"/>
        <w:rPr>
          <w:rFonts w:cs="Times New Roman"/>
          <w:szCs w:val="24"/>
          <w:lang w:val="en-US"/>
        </w:rPr>
      </w:pPr>
      <w:r w:rsidRPr="00E23BA0">
        <w:rPr>
          <w:rFonts w:cs="Times New Roman"/>
          <w:szCs w:val="24"/>
          <w:lang w:val="en-US"/>
        </w:rPr>
        <w:t>In order to express the copulation, iambs resort to both δέ and καί, whose distribution in the texts is worthy of notic</w:t>
      </w:r>
      <w:r w:rsidRPr="003A53D6">
        <w:rPr>
          <w:rFonts w:cs="Times New Roman"/>
          <w:szCs w:val="24"/>
          <w:lang w:val="en-US"/>
        </w:rPr>
        <w:t>e. The rate at which  καί occurs is significantly greater than the rate at which δέ appears, since the</w:t>
      </w:r>
      <w:r w:rsidRPr="00125415">
        <w:rPr>
          <w:rFonts w:cs="Times New Roman"/>
          <w:szCs w:val="24"/>
          <w:lang w:val="en-US"/>
        </w:rPr>
        <w:t xml:space="preserve"> ratio καί: δέ is 2:1 in each iambographer. But καί encompasses many more functions than δέ, since it is used not only to connect two clauses, but also to connect two nouns within the same clause (in this case iambic texts use the combination τε καί), and as</w:t>
      </w:r>
      <w:r w:rsidRPr="009F59C0">
        <w:rPr>
          <w:rFonts w:cs="Times New Roman"/>
          <w:szCs w:val="24"/>
          <w:lang w:val="en-US"/>
        </w:rPr>
        <w:t xml:space="preserve"> adverb. Archilochus and Hipponax often use (τε) καί to connect two nouns within the same clause, and Callimachus develops the use of καί as adverb. Excluding the instances where καί is an adverb and connects two nouns within the same clause, the ratio καί: δέ is 1:2 for Archilochus and 1:1 for Hipponax and Callimachus.</w:t>
      </w:r>
    </w:p>
    <w:p w14:paraId="26F94990" w14:textId="76DED9BE" w:rsidR="006F6315" w:rsidRPr="00E23BA0" w:rsidRDefault="006F6315" w:rsidP="00E23BA0">
      <w:pPr>
        <w:ind w:firstLine="426"/>
        <w:rPr>
          <w:rFonts w:cs="Times New Roman"/>
          <w:szCs w:val="24"/>
          <w:lang w:val="en-US"/>
        </w:rPr>
      </w:pPr>
      <w:r w:rsidRPr="001C5EA4">
        <w:rPr>
          <w:rFonts w:cs="Times New Roman"/>
          <w:szCs w:val="24"/>
          <w:lang w:val="en-US"/>
        </w:rPr>
        <w:t>The greater proportion of coordinative δέ in the fragments of Archilochus as compared with Hipponax and Callimachus can be explained by the fact that Archilochus uses coordinative δέ in case</w:t>
      </w:r>
      <w:r w:rsidRPr="004E03FF">
        <w:rPr>
          <w:rFonts w:cs="Times New Roman"/>
          <w:szCs w:val="24"/>
          <w:lang w:val="en-US"/>
        </w:rPr>
        <w:t>s where Hipponax and Callimachus prefer an asyndetic coordination. According to Ruijgh,</w:t>
      </w:r>
      <w:r w:rsidRPr="00E23BA0">
        <w:rPr>
          <w:rStyle w:val="FootnoteReference"/>
          <w:rFonts w:cs="Times New Roman"/>
          <w:szCs w:val="24"/>
          <w:lang w:val="en-US"/>
        </w:rPr>
        <w:footnoteReference w:id="325"/>
      </w:r>
      <w:r w:rsidRPr="00E23BA0">
        <w:rPr>
          <w:rFonts w:cs="Times New Roman"/>
          <w:szCs w:val="24"/>
          <w:lang w:val="en-US"/>
        </w:rPr>
        <w:t xml:space="preserve"> δέ is </w:t>
      </w:r>
      <w:r w:rsidR="00CC0615">
        <w:rPr>
          <w:rFonts w:cs="Times New Roman"/>
          <w:szCs w:val="24"/>
          <w:lang w:val="en-US"/>
        </w:rPr>
        <w:t>“</w:t>
      </w:r>
      <w:r w:rsidRPr="00E23BA0">
        <w:rPr>
          <w:rFonts w:cs="Times New Roman"/>
          <w:szCs w:val="24"/>
          <w:lang w:val="en-US"/>
        </w:rPr>
        <w:t>l</w:t>
      </w:r>
      <w:r w:rsidR="00075F5F">
        <w:rPr>
          <w:rFonts w:cs="Times New Roman"/>
          <w:szCs w:val="24"/>
          <w:lang w:val="en-US"/>
        </w:rPr>
        <w:t>’</w:t>
      </w:r>
      <w:r w:rsidRPr="00E23BA0">
        <w:rPr>
          <w:rFonts w:cs="Times New Roman"/>
          <w:szCs w:val="24"/>
          <w:lang w:val="en-US"/>
        </w:rPr>
        <w:t>outil banal de la coordination des phrases indépendantes qui se succèdent à l</w:t>
      </w:r>
      <w:r w:rsidR="00075F5F">
        <w:rPr>
          <w:rFonts w:cs="Times New Roman"/>
          <w:szCs w:val="24"/>
          <w:lang w:val="en-US"/>
        </w:rPr>
        <w:t>’</w:t>
      </w:r>
      <w:r w:rsidRPr="00E23BA0">
        <w:rPr>
          <w:rFonts w:cs="Times New Roman"/>
          <w:szCs w:val="24"/>
          <w:lang w:val="en-US"/>
        </w:rPr>
        <w:t>intérieur d</w:t>
      </w:r>
      <w:r w:rsidR="00075F5F">
        <w:rPr>
          <w:rFonts w:cs="Times New Roman"/>
          <w:szCs w:val="24"/>
          <w:lang w:val="en-US"/>
        </w:rPr>
        <w:t>’</w:t>
      </w:r>
      <w:r w:rsidRPr="00E23BA0">
        <w:rPr>
          <w:rFonts w:cs="Times New Roman"/>
          <w:szCs w:val="24"/>
          <w:lang w:val="en-US"/>
        </w:rPr>
        <w:t>un récit,</w:t>
      </w:r>
      <w:r w:rsidR="00CC0615">
        <w:rPr>
          <w:rFonts w:cs="Times New Roman"/>
          <w:szCs w:val="24"/>
          <w:lang w:val="en-US"/>
        </w:rPr>
        <w:t>”</w:t>
      </w:r>
      <w:r w:rsidRPr="00E23BA0">
        <w:rPr>
          <w:rFonts w:cs="Times New Roman"/>
          <w:szCs w:val="24"/>
          <w:lang w:val="en-US"/>
        </w:rPr>
        <w:t xml:space="preserve"> corresponding to what he calls </w:t>
      </w:r>
      <w:r w:rsidR="00CC0615">
        <w:rPr>
          <w:rFonts w:cs="Times New Roman"/>
          <w:szCs w:val="24"/>
          <w:lang w:val="en-US"/>
        </w:rPr>
        <w:t>“</w:t>
      </w:r>
      <w:r w:rsidRPr="00E23BA0">
        <w:rPr>
          <w:rFonts w:cs="Times New Roman"/>
          <w:szCs w:val="24"/>
          <w:lang w:val="en-US"/>
        </w:rPr>
        <w:t>asyndetic coordination</w:t>
      </w:r>
      <w:r w:rsidR="00CC0615">
        <w:rPr>
          <w:rFonts w:cs="Times New Roman"/>
          <w:szCs w:val="24"/>
          <w:lang w:val="en-US"/>
        </w:rPr>
        <w:t>”</w:t>
      </w:r>
      <w:r w:rsidRPr="00E23BA0">
        <w:rPr>
          <w:rFonts w:cs="Times New Roman"/>
          <w:szCs w:val="24"/>
          <w:lang w:val="en-US"/>
        </w:rPr>
        <w:t xml:space="preserve"> in languages like Latin and French.</w:t>
      </w:r>
      <w:r w:rsidRPr="00E23BA0">
        <w:rPr>
          <w:rStyle w:val="FootnoteReference"/>
          <w:rFonts w:cs="Times New Roman"/>
          <w:szCs w:val="24"/>
          <w:lang w:val="en-US"/>
        </w:rPr>
        <w:footnoteReference w:id="326"/>
      </w:r>
      <w:r w:rsidRPr="00E23BA0">
        <w:rPr>
          <w:rFonts w:cs="Times New Roman"/>
          <w:szCs w:val="24"/>
          <w:lang w:val="en-US"/>
        </w:rPr>
        <w:t xml:space="preserve"> Moreover, it marks the </w:t>
      </w:r>
      <w:r w:rsidR="00CC0615">
        <w:rPr>
          <w:rFonts w:cs="Times New Roman"/>
          <w:szCs w:val="24"/>
          <w:lang w:val="en-US"/>
        </w:rPr>
        <w:t>“</w:t>
      </w:r>
      <w:r w:rsidRPr="00E23BA0">
        <w:rPr>
          <w:rFonts w:cs="Times New Roman"/>
          <w:szCs w:val="24"/>
          <w:lang w:val="en-US"/>
        </w:rPr>
        <w:t>transition à un fait nouveau,</w:t>
      </w:r>
      <w:r w:rsidR="00CC0615">
        <w:rPr>
          <w:rFonts w:cs="Times New Roman"/>
          <w:szCs w:val="24"/>
          <w:lang w:val="en-US"/>
        </w:rPr>
        <w:t>”</w:t>
      </w:r>
      <w:r w:rsidRPr="00E23BA0">
        <w:rPr>
          <w:rFonts w:cs="Times New Roman"/>
          <w:szCs w:val="24"/>
          <w:lang w:val="en-US"/>
        </w:rPr>
        <w:t xml:space="preserve"> whereas items linked by καί together make up </w:t>
      </w:r>
      <w:r w:rsidR="00CC0615">
        <w:rPr>
          <w:rFonts w:cs="Times New Roman"/>
          <w:szCs w:val="24"/>
          <w:lang w:val="en-US"/>
        </w:rPr>
        <w:t>“</w:t>
      </w:r>
      <w:r w:rsidRPr="00E23BA0">
        <w:rPr>
          <w:rFonts w:cs="Times New Roman"/>
          <w:szCs w:val="24"/>
          <w:lang w:val="en-US"/>
        </w:rPr>
        <w:t>un seul membre de la série.</w:t>
      </w:r>
      <w:r w:rsidR="00CC0615">
        <w:rPr>
          <w:rFonts w:cs="Times New Roman"/>
          <w:szCs w:val="24"/>
          <w:lang w:val="en-US"/>
        </w:rPr>
        <w:t>”</w:t>
      </w:r>
    </w:p>
    <w:p w14:paraId="4487EB36" w14:textId="03B88B9E" w:rsidR="006F6315" w:rsidRPr="00D238A0" w:rsidRDefault="006F6315" w:rsidP="003A53D6">
      <w:pPr>
        <w:ind w:firstLine="426"/>
        <w:rPr>
          <w:rFonts w:cs="Times New Roman"/>
          <w:szCs w:val="24"/>
          <w:lang w:val="en-US"/>
        </w:rPr>
      </w:pPr>
      <w:r w:rsidRPr="00E23BA0">
        <w:rPr>
          <w:rFonts w:cs="Times New Roman"/>
          <w:szCs w:val="24"/>
          <w:lang w:val="en-US"/>
        </w:rPr>
        <w:t>Therefore, I propose that the difference between δέ and καί in the iambic texts can be accounted for in this way: καί indicates a further item within the context of the preceding text, while δέ opens a new section of the text. Indeed, we often find δέ at the beginning of a fragment, where it introduces the argument, while καί is more often found in the middle of the text. For instance, Hippon. fr. 23 starts with ἐγὼ δὲ δεξιῶι παρ</w:t>
      </w:r>
      <w:r w:rsidR="00075F5F">
        <w:rPr>
          <w:rFonts w:cs="Times New Roman"/>
          <w:szCs w:val="24"/>
          <w:lang w:val="en-US"/>
        </w:rPr>
        <w:t>’</w:t>
      </w:r>
      <w:r w:rsidRPr="00E23BA0">
        <w:rPr>
          <w:rFonts w:cs="Times New Roman"/>
          <w:szCs w:val="24"/>
          <w:lang w:val="en-US"/>
        </w:rPr>
        <w:t xml:space="preserve"> Ἀ</w:t>
      </w:r>
      <w:r w:rsidRPr="003A53D6">
        <w:rPr>
          <w:rFonts w:cs="Times New Roman"/>
          <w:szCs w:val="24"/>
          <w:lang w:val="en-US"/>
        </w:rPr>
        <w:t>ρήτην / κνεφαῖ</w:t>
      </w:r>
      <w:r w:rsidRPr="00125415">
        <w:rPr>
          <w:rFonts w:cs="Times New Roman"/>
          <w:szCs w:val="24"/>
          <w:lang w:val="en-US"/>
        </w:rPr>
        <w:t>ος ἐ</w:t>
      </w:r>
      <w:r w:rsidRPr="009F59C0">
        <w:rPr>
          <w:rFonts w:cs="Times New Roman"/>
          <w:szCs w:val="24"/>
          <w:lang w:val="en-US"/>
        </w:rPr>
        <w:t>λθ</w:t>
      </w:r>
      <w:r w:rsidRPr="001C5EA4">
        <w:rPr>
          <w:rFonts w:cs="Times New Roman"/>
          <w:szCs w:val="24"/>
          <w:lang w:val="en-US"/>
        </w:rPr>
        <w:t>ὼ</w:t>
      </w:r>
      <w:r w:rsidRPr="004E03FF">
        <w:rPr>
          <w:rFonts w:cs="Times New Roman"/>
          <w:szCs w:val="24"/>
          <w:lang w:val="en-US"/>
        </w:rPr>
        <w:t xml:space="preserve">ν </w:t>
      </w:r>
      <w:r w:rsidR="00075F5F">
        <w:rPr>
          <w:rFonts w:cs="Times New Roman"/>
          <w:szCs w:val="24"/>
          <w:lang w:val="en-US"/>
        </w:rPr>
        <w:t>‘</w:t>
      </w:r>
      <w:r w:rsidRPr="004E03FF">
        <w:rPr>
          <w:rFonts w:cs="Times New Roman"/>
          <w:szCs w:val="24"/>
          <w:lang w:val="en-US"/>
        </w:rPr>
        <w:t>ρωιδι</w:t>
      </w:r>
      <w:r w:rsidRPr="00D238A0">
        <w:rPr>
          <w:rFonts w:cs="Times New Roman"/>
          <w:szCs w:val="24"/>
          <w:lang w:val="en-US"/>
        </w:rPr>
        <w:t xml:space="preserve">ῶι κατηυλίσθην </w:t>
      </w:r>
      <w:r w:rsidR="00CC0615">
        <w:rPr>
          <w:rFonts w:cs="Times New Roman"/>
          <w:szCs w:val="24"/>
          <w:lang w:val="en-US"/>
        </w:rPr>
        <w:t>“</w:t>
      </w:r>
      <w:r w:rsidRPr="00D238A0">
        <w:rPr>
          <w:rFonts w:cs="Times New Roman"/>
          <w:szCs w:val="24"/>
          <w:lang w:val="en-US"/>
        </w:rPr>
        <w:t>with a heron on the right I went to Arete in the dark and took up lodging</w:t>
      </w:r>
      <w:r w:rsidR="00CC0615">
        <w:rPr>
          <w:rFonts w:cs="Times New Roman"/>
          <w:szCs w:val="24"/>
          <w:lang w:val="en-US"/>
        </w:rPr>
        <w:t>”</w:t>
      </w:r>
      <w:r w:rsidRPr="00D238A0">
        <w:rPr>
          <w:rFonts w:cs="Times New Roman"/>
          <w:szCs w:val="24"/>
          <w:lang w:val="en-US"/>
        </w:rPr>
        <w:t xml:space="preserve"> (fr. 23.1-2); and fr. 95 begins with ηὔδα δὲ λυδίζουσα </w:t>
      </w:r>
      <w:r w:rsidR="00CC0615">
        <w:rPr>
          <w:rFonts w:cs="Times New Roman"/>
          <w:szCs w:val="24"/>
          <w:lang w:val="en-US"/>
        </w:rPr>
        <w:t>“</w:t>
      </w:r>
      <w:r w:rsidRPr="00D238A0">
        <w:rPr>
          <w:rFonts w:cs="Times New Roman"/>
          <w:szCs w:val="24"/>
          <w:lang w:val="en-US"/>
        </w:rPr>
        <w:t>she spoke in Lydian</w:t>
      </w:r>
      <w:r w:rsidR="00CC0615">
        <w:rPr>
          <w:rFonts w:cs="Times New Roman"/>
          <w:szCs w:val="24"/>
          <w:lang w:val="en-US"/>
        </w:rPr>
        <w:t>”</w:t>
      </w:r>
      <w:r w:rsidRPr="00D238A0">
        <w:rPr>
          <w:rFonts w:cs="Times New Roman"/>
          <w:szCs w:val="24"/>
          <w:lang w:val="en-US"/>
        </w:rPr>
        <w:t xml:space="preserve"> (fr.95.1); while Hippon. fr. 42 shows a series of elements connected with καί: κάρτα γὰρ κακῶς ῥιγῶ / καὶ βαμβαλύζω </w:t>
      </w:r>
      <w:r w:rsidR="00CC0615">
        <w:rPr>
          <w:rFonts w:cs="Times New Roman"/>
          <w:szCs w:val="24"/>
          <w:lang w:val="en-US"/>
        </w:rPr>
        <w:t>“</w:t>
      </w:r>
      <w:r w:rsidRPr="00D238A0">
        <w:rPr>
          <w:rFonts w:cs="Times New Roman"/>
          <w:szCs w:val="24"/>
          <w:lang w:val="en-US"/>
        </w:rPr>
        <w:t>I am shivering violently and terribly and my teeth are chattering</w:t>
      </w:r>
      <w:r w:rsidR="00CC0615">
        <w:rPr>
          <w:rFonts w:cs="Times New Roman"/>
          <w:szCs w:val="24"/>
          <w:lang w:val="en-US"/>
        </w:rPr>
        <w:t>”</w:t>
      </w:r>
      <w:r w:rsidRPr="00D238A0">
        <w:rPr>
          <w:rFonts w:cs="Times New Roman"/>
          <w:szCs w:val="24"/>
          <w:lang w:val="en-US"/>
        </w:rPr>
        <w:t xml:space="preserve"> (fr. 42a.2-3)</w:t>
      </w:r>
    </w:p>
    <w:p w14:paraId="2D573E8D" w14:textId="4C339BD4" w:rsidR="006F6315" w:rsidRPr="00E23BA0" w:rsidRDefault="006F6315" w:rsidP="00125415">
      <w:pPr>
        <w:ind w:firstLine="426"/>
        <w:rPr>
          <w:rFonts w:cs="Times New Roman"/>
          <w:szCs w:val="24"/>
          <w:lang w:val="en-US"/>
        </w:rPr>
      </w:pPr>
      <w:r w:rsidRPr="00D238A0">
        <w:rPr>
          <w:rFonts w:cs="Times New Roman"/>
          <w:szCs w:val="24"/>
          <w:lang w:val="en-US"/>
        </w:rPr>
        <w:lastRenderedPageBreak/>
        <w:t xml:space="preserve">Iambic texts show few cases of the disjunctive coordinator (ἤ), but the disjunction which is implied is never exclusive. Therefore, again as in the case of ἀλλά, through the disjunctive coordinator iambographers put an alternative in front of the audience, a choice. Often, ἤ appears inside a simile or an example, and the author gives his audience more than one option in order that they might better understand what he is saying, as shown by Archil. fr. 29 ὥσπερ αὐλῶι βρῦτον ἢ Θρέϊξ ἀνὴρ / ἢ Φρὺξ ἔμυζε </w:t>
      </w:r>
      <w:r w:rsidR="00CC0615">
        <w:rPr>
          <w:rFonts w:cs="Times New Roman"/>
          <w:szCs w:val="24"/>
          <w:lang w:val="en-US"/>
        </w:rPr>
        <w:t>“</w:t>
      </w:r>
      <w:r w:rsidRPr="00D238A0">
        <w:rPr>
          <w:rFonts w:cs="Times New Roman"/>
          <w:szCs w:val="24"/>
          <w:lang w:val="en-US"/>
        </w:rPr>
        <w:t>she was sucking like a Thracian or Phrygian sucking beer through a tube,</w:t>
      </w:r>
      <w:r w:rsidR="00CC0615">
        <w:rPr>
          <w:rFonts w:cs="Times New Roman"/>
          <w:szCs w:val="24"/>
          <w:lang w:val="en-US"/>
        </w:rPr>
        <w:t>”</w:t>
      </w:r>
      <w:r w:rsidRPr="00D238A0">
        <w:rPr>
          <w:rFonts w:cs="Times New Roman"/>
          <w:szCs w:val="24"/>
          <w:lang w:val="en-US"/>
        </w:rPr>
        <w:t xml:space="preserve"> or by Call. </w:t>
      </w:r>
      <w:r w:rsidRPr="00D238A0">
        <w:rPr>
          <w:rFonts w:cs="Times New Roman"/>
          <w:i/>
          <w:iCs/>
          <w:szCs w:val="24"/>
          <w:lang w:val="en-US"/>
        </w:rPr>
        <w:t>Ia.</w:t>
      </w:r>
      <w:r w:rsidRPr="00D238A0">
        <w:rPr>
          <w:rFonts w:cs="Times New Roman"/>
          <w:szCs w:val="24"/>
          <w:lang w:val="en-US"/>
        </w:rPr>
        <w:t xml:space="preserve"> 1.26-28 ὤπολλον, ὧνδρες, ὡς παρ</w:t>
      </w:r>
      <w:r w:rsidR="00075F5F">
        <w:rPr>
          <w:rFonts w:cs="Times New Roman"/>
          <w:szCs w:val="24"/>
          <w:lang w:val="en-US"/>
        </w:rPr>
        <w:t>’</w:t>
      </w:r>
      <w:r w:rsidRPr="00D238A0">
        <w:rPr>
          <w:rFonts w:cs="Times New Roman"/>
          <w:szCs w:val="24"/>
          <w:lang w:val="en-US"/>
        </w:rPr>
        <w:t xml:space="preserve"> αἰπόλῳ μυῖαι / ἢ σφῆκες ἐκ γῆς ἢ ἀπὸ θύματος Δελφοί, / εἰ</w:t>
      </w:r>
      <w:r w:rsidRPr="00E23BA0">
        <w:rPr>
          <w:rFonts w:cs="Times New Roman"/>
          <w:szCs w:val="24"/>
          <w:lang w:val="en-US"/>
        </w:rPr>
        <w:t>ληδ</w:t>
      </w:r>
      <w:r w:rsidRPr="00D238A0">
        <w:rPr>
          <w:rFonts w:cs="Times New Roman"/>
          <w:szCs w:val="24"/>
          <w:lang w:val="en-US"/>
        </w:rPr>
        <w:t>ὸ</w:t>
      </w:r>
      <w:r w:rsidRPr="00E23BA0">
        <w:rPr>
          <w:rFonts w:cs="Times New Roman"/>
          <w:szCs w:val="24"/>
          <w:lang w:val="en-US"/>
        </w:rPr>
        <w:t xml:space="preserve">ν ἑσμεύουσιν </w:t>
      </w:r>
      <w:r w:rsidR="00CC0615">
        <w:rPr>
          <w:rFonts w:cs="Times New Roman"/>
          <w:szCs w:val="24"/>
          <w:lang w:val="en-US"/>
        </w:rPr>
        <w:t>“</w:t>
      </w:r>
      <w:r w:rsidRPr="00E23BA0">
        <w:rPr>
          <w:rFonts w:cs="Times New Roman"/>
          <w:szCs w:val="24"/>
          <w:lang w:val="en-US"/>
        </w:rPr>
        <w:t>o Apollo, the men, as flies by a goatherd or wasps from the ground, or Delphians from a sacrifice, they swarm in droves.</w:t>
      </w:r>
      <w:r w:rsidR="00CC0615">
        <w:rPr>
          <w:rFonts w:cs="Times New Roman"/>
          <w:szCs w:val="24"/>
          <w:lang w:val="en-US"/>
        </w:rPr>
        <w:t>”</w:t>
      </w:r>
    </w:p>
    <w:p w14:paraId="4A7B17C2" w14:textId="486B2728" w:rsidR="006512C4" w:rsidRPr="00E23BA0" w:rsidRDefault="006F6315" w:rsidP="00D238A0">
      <w:pPr>
        <w:autoSpaceDE w:val="0"/>
        <w:autoSpaceDN w:val="0"/>
        <w:adjustRightInd w:val="0"/>
        <w:ind w:firstLine="426"/>
        <w:rPr>
          <w:rFonts w:cs="Times New Roman"/>
          <w:szCs w:val="24"/>
        </w:rPr>
      </w:pPr>
      <w:r w:rsidRPr="00E23BA0">
        <w:rPr>
          <w:rFonts w:cs="Times New Roman"/>
          <w:szCs w:val="24"/>
          <w:lang w:val="en-US"/>
        </w:rPr>
        <w:t>Therefore, it is clear that iambic texts prefer strings of clauses each of the same weight and complete in itself. The kind of coordinators used show that communication is unidirectional, since iambographers do not present opposing voices to their audience. Instead, iambographers give their audience an alternative choice of interpretations, even if this choice is conditioned by a limited range and by the preference which the speaker expresses. I argue, then, that iambic communication reflects the more direct (parataxis) and the easiest-to-understand (chain of independent clauses) way to convey the speaker</w:t>
      </w:r>
      <w:r w:rsidR="00075F5F">
        <w:rPr>
          <w:rFonts w:cs="Times New Roman"/>
          <w:szCs w:val="24"/>
          <w:lang w:val="en-US"/>
        </w:rPr>
        <w:t>’</w:t>
      </w:r>
      <w:r w:rsidRPr="00E23BA0">
        <w:rPr>
          <w:rFonts w:cs="Times New Roman"/>
          <w:szCs w:val="24"/>
          <w:lang w:val="en-US"/>
        </w:rPr>
        <w:t xml:space="preserve"> opinion: there are no other voices and the speaker</w:t>
      </w:r>
      <w:r w:rsidR="00075F5F">
        <w:rPr>
          <w:rFonts w:cs="Times New Roman"/>
          <w:szCs w:val="24"/>
          <w:lang w:val="en-US"/>
        </w:rPr>
        <w:t>’</w:t>
      </w:r>
      <w:r w:rsidRPr="00E23BA0">
        <w:rPr>
          <w:rFonts w:cs="Times New Roman"/>
          <w:szCs w:val="24"/>
          <w:lang w:val="en-US"/>
        </w:rPr>
        <w:t>s voice is presented as the mainstream to which the audience is called to merge. The amount of interactional particles and their typology confirm this interpretation.</w:t>
      </w:r>
    </w:p>
    <w:p w14:paraId="35B10376" w14:textId="436E4445" w:rsidR="006512C4" w:rsidRPr="00024188" w:rsidRDefault="006512C4" w:rsidP="00024188">
      <w:pPr>
        <w:pStyle w:val="Heading4"/>
        <w:rPr>
          <w:b w:val="0"/>
          <w:u w:val="single"/>
        </w:rPr>
      </w:pPr>
      <w:r w:rsidRPr="00F76EA9">
        <w:t xml:space="preserve">2.3.2 Interactional particles </w:t>
      </w:r>
      <w:r w:rsidRPr="00024188">
        <w:rPr>
          <w:b w:val="0"/>
        </w:rPr>
        <w:t>(</w:t>
      </w:r>
      <w:r w:rsidR="00F5650B">
        <w:t>2</w:t>
      </w:r>
      <w:r w:rsidRPr="00024188">
        <w:rPr>
          <w:b w:val="0"/>
        </w:rPr>
        <w:t xml:space="preserve"> C.3)</w:t>
      </w:r>
    </w:p>
    <w:p w14:paraId="178E6AE0" w14:textId="77777777" w:rsidR="00661FBC" w:rsidRPr="00125415" w:rsidRDefault="00661FBC" w:rsidP="00E23BA0">
      <w:pPr>
        <w:rPr>
          <w:rFonts w:cs="Times New Roman"/>
          <w:szCs w:val="24"/>
          <w:lang w:val="en-US"/>
        </w:rPr>
      </w:pPr>
      <w:r w:rsidRPr="00E23BA0">
        <w:rPr>
          <w:rFonts w:cs="Times New Roman"/>
          <w:szCs w:val="24"/>
          <w:lang w:val="en-US"/>
        </w:rPr>
        <w:t>Because iambs were born as oral genre, and because recent scholarship has insisted on the performative character of the iambic texts, one might expect that the interactional particles play a very important role in them. The data do not confirm this assumption. Interaction</w:t>
      </w:r>
      <w:r w:rsidRPr="003A53D6">
        <w:rPr>
          <w:rFonts w:cs="Times New Roman"/>
          <w:szCs w:val="24"/>
          <w:lang w:val="en-US"/>
        </w:rPr>
        <w:t>al particles constitute only 1.79% of the iambic texts. They comprise only 0.22% of the total particles</w:t>
      </w:r>
      <w:r w:rsidRPr="00125415">
        <w:rPr>
          <w:rFonts w:cs="Times New Roman"/>
          <w:szCs w:val="24"/>
          <w:lang w:val="en-US"/>
        </w:rPr>
        <w:t xml:space="preserve"> and, constitute less than one third of the connective particles.</w:t>
      </w:r>
    </w:p>
    <w:p w14:paraId="4DA6CD4B" w14:textId="51351EFA" w:rsidR="00661FBC" w:rsidRPr="00D238A0" w:rsidRDefault="00661FBC" w:rsidP="003A53D6">
      <w:pPr>
        <w:rPr>
          <w:rFonts w:cs="Times New Roman"/>
          <w:szCs w:val="24"/>
          <w:lang w:val="en-US"/>
        </w:rPr>
      </w:pPr>
      <w:r w:rsidRPr="009F59C0">
        <w:rPr>
          <w:rFonts w:cs="Times New Roman"/>
          <w:szCs w:val="24"/>
          <w:lang w:val="en-US"/>
        </w:rPr>
        <w:tab/>
        <w:t>I would like to draw attention to the fact that Archilochus</w:t>
      </w:r>
      <w:r w:rsidR="00075F5F">
        <w:rPr>
          <w:rFonts w:cs="Times New Roman"/>
          <w:szCs w:val="24"/>
          <w:lang w:val="en-US"/>
        </w:rPr>
        <w:t>’</w:t>
      </w:r>
      <w:r w:rsidRPr="009F59C0">
        <w:rPr>
          <w:rFonts w:cs="Times New Roman"/>
          <w:szCs w:val="24"/>
          <w:lang w:val="en-US"/>
        </w:rPr>
        <w:t xml:space="preserve"> fragments show a higher than average percentage of interactional particles, and Hipponax</w:t>
      </w:r>
      <w:r w:rsidR="00075F5F">
        <w:rPr>
          <w:rFonts w:cs="Times New Roman"/>
          <w:szCs w:val="24"/>
          <w:lang w:val="en-US"/>
        </w:rPr>
        <w:t>’</w:t>
      </w:r>
      <w:r w:rsidRPr="009F59C0">
        <w:rPr>
          <w:rFonts w:cs="Times New Roman"/>
          <w:szCs w:val="24"/>
          <w:lang w:val="en-US"/>
        </w:rPr>
        <w:t>s ones a lower than average percentage, w</w:t>
      </w:r>
      <w:r w:rsidRPr="001C5EA4">
        <w:rPr>
          <w:rFonts w:cs="Times New Roman"/>
          <w:szCs w:val="24"/>
          <w:lang w:val="en-US"/>
        </w:rPr>
        <w:t>hile Callimachus</w:t>
      </w:r>
      <w:r w:rsidR="00075F5F">
        <w:rPr>
          <w:rFonts w:cs="Times New Roman"/>
          <w:szCs w:val="24"/>
          <w:lang w:val="en-US"/>
        </w:rPr>
        <w:t>’</w:t>
      </w:r>
      <w:r w:rsidRPr="001C5EA4">
        <w:rPr>
          <w:rFonts w:cs="Times New Roman"/>
          <w:szCs w:val="24"/>
          <w:lang w:val="en-US"/>
        </w:rPr>
        <w:t xml:space="preserve"> </w:t>
      </w:r>
      <w:r w:rsidRPr="004E03FF">
        <w:rPr>
          <w:rFonts w:cs="Times New Roman"/>
          <w:i/>
          <w:iCs/>
          <w:szCs w:val="24"/>
          <w:lang w:val="en-US"/>
        </w:rPr>
        <w:t>Iambi</w:t>
      </w:r>
      <w:r w:rsidRPr="00D238A0">
        <w:rPr>
          <w:rFonts w:cs="Times New Roman"/>
          <w:szCs w:val="24"/>
          <w:lang w:val="en-US"/>
        </w:rPr>
        <w:t xml:space="preserve"> shows an average percentage. I argue that one possible explanation is that Hipponax</w:t>
      </w:r>
      <w:r w:rsidR="00075F5F">
        <w:rPr>
          <w:rFonts w:cs="Times New Roman"/>
          <w:szCs w:val="24"/>
          <w:lang w:val="en-US"/>
        </w:rPr>
        <w:t>’</w:t>
      </w:r>
      <w:r w:rsidRPr="00D238A0">
        <w:rPr>
          <w:rFonts w:cs="Times New Roman"/>
          <w:szCs w:val="24"/>
          <w:lang w:val="en-US"/>
        </w:rPr>
        <w:t xml:space="preserve">s iambic fragments represent the moment of passage from the oral tradition to the written one: in oral communication, interactional particles have much more relevance than in written texts. Callimachus recognizes the oral </w:t>
      </w:r>
      <w:r w:rsidRPr="00D238A0">
        <w:rPr>
          <w:rFonts w:cs="Times New Roman"/>
          <w:szCs w:val="24"/>
          <w:lang w:val="en-US"/>
        </w:rPr>
        <w:lastRenderedPageBreak/>
        <w:t xml:space="preserve">nature of the iambic genre, so he re-establishes the function of interactional particles within his </w:t>
      </w:r>
      <w:r w:rsidRPr="00D238A0">
        <w:rPr>
          <w:rFonts w:cs="Times New Roman"/>
          <w:i/>
          <w:iCs/>
          <w:szCs w:val="24"/>
          <w:lang w:val="en-US"/>
        </w:rPr>
        <w:t>Iambi</w:t>
      </w:r>
      <w:r w:rsidRPr="00D238A0">
        <w:rPr>
          <w:rFonts w:cs="Times New Roman"/>
          <w:szCs w:val="24"/>
          <w:lang w:val="en-US"/>
        </w:rPr>
        <w:t xml:space="preserve">. </w:t>
      </w:r>
    </w:p>
    <w:p w14:paraId="131E9FC0" w14:textId="15566455" w:rsidR="00661FBC" w:rsidRPr="003A53D6" w:rsidRDefault="00661FBC" w:rsidP="00125415">
      <w:pPr>
        <w:ind w:firstLine="426"/>
        <w:rPr>
          <w:rFonts w:cs="Times New Roman"/>
          <w:szCs w:val="24"/>
          <w:lang w:val="en-US"/>
        </w:rPr>
      </w:pPr>
      <w:r w:rsidRPr="00D238A0">
        <w:rPr>
          <w:rFonts w:cs="Times New Roman"/>
          <w:szCs w:val="24"/>
          <w:lang w:val="en-US"/>
        </w:rPr>
        <w:t>The typology of interactional particles which appear in the iambic texts argues that iambographers do not really want to interact with their audience, or at least they do not want any interference in the opinions and things which they communicate to their audience. Iambs have a significant number of interactional particles which state the evidence and imply a shared idea, but we do not have particles which cast doubt on the authority of the speaker or which demand support from the audience. It is rare to find a particle like τοι, which implies a specific addressee, and implies also that the speaker involves this addressee in his argument. Denniston</w:t>
      </w:r>
      <w:r w:rsidR="00075F5F">
        <w:rPr>
          <w:rFonts w:cs="Times New Roman"/>
          <w:szCs w:val="24"/>
          <w:lang w:val="en-US"/>
        </w:rPr>
        <w:t>’</w:t>
      </w:r>
      <w:r w:rsidRPr="00D238A0">
        <w:rPr>
          <w:rFonts w:cs="Times New Roman"/>
          <w:szCs w:val="24"/>
          <w:lang w:val="en-US"/>
        </w:rPr>
        <w:t xml:space="preserve">s analysis of this addressee-oriented particle is to the point </w:t>
      </w:r>
      <w:r w:rsidR="00CC0615">
        <w:rPr>
          <w:rFonts w:cs="Times New Roman"/>
          <w:szCs w:val="24"/>
          <w:lang w:val="en-US"/>
        </w:rPr>
        <w:t>“</w:t>
      </w:r>
      <w:r w:rsidRPr="00D238A0">
        <w:rPr>
          <w:rFonts w:cs="Times New Roman"/>
          <w:szCs w:val="24"/>
          <w:lang w:val="en-US"/>
        </w:rPr>
        <w:t>that τοι is to be identified with the (ethical) dative of σύ,</w:t>
      </w:r>
      <w:r w:rsidR="00CC0615">
        <w:rPr>
          <w:rFonts w:cs="Times New Roman"/>
          <w:szCs w:val="24"/>
          <w:lang w:val="en-US"/>
        </w:rPr>
        <w:t>”</w:t>
      </w:r>
      <w:r w:rsidRPr="00D238A0">
        <w:rPr>
          <w:rFonts w:cs="Times New Roman"/>
          <w:szCs w:val="24"/>
          <w:lang w:val="en-US"/>
        </w:rPr>
        <w:t xml:space="preserve"> therefore it </w:t>
      </w:r>
      <w:r w:rsidR="00CC0615">
        <w:rPr>
          <w:rFonts w:cs="Times New Roman"/>
          <w:szCs w:val="24"/>
          <w:lang w:val="en-US"/>
        </w:rPr>
        <w:t>“</w:t>
      </w:r>
      <w:r w:rsidRPr="00D238A0">
        <w:rPr>
          <w:rFonts w:cs="Times New Roman"/>
          <w:szCs w:val="24"/>
          <w:lang w:val="en-US"/>
        </w:rPr>
        <w:t>implies, strictly speaking, an audience, and (owing to the intimacy of appeal which it suggests) an audience of one.</w:t>
      </w:r>
      <w:r w:rsidR="00CC0615">
        <w:rPr>
          <w:rFonts w:cs="Times New Roman"/>
          <w:szCs w:val="24"/>
          <w:lang w:val="en-US"/>
        </w:rPr>
        <w:t>”</w:t>
      </w:r>
      <w:r w:rsidRPr="00E23BA0">
        <w:rPr>
          <w:rStyle w:val="FootnoteReference"/>
          <w:rFonts w:cs="Times New Roman"/>
          <w:szCs w:val="24"/>
          <w:lang w:val="en-US"/>
        </w:rPr>
        <w:footnoteReference w:id="327"/>
      </w:r>
      <w:r w:rsidRPr="00E23BA0">
        <w:rPr>
          <w:rFonts w:cs="Times New Roman"/>
          <w:szCs w:val="24"/>
          <w:lang w:val="en-US"/>
        </w:rPr>
        <w:t xml:space="preserve"> One may expect τοι to appear when the iambographers directly address their targets, as shown by Call. </w:t>
      </w:r>
      <w:r w:rsidRPr="00E23BA0">
        <w:rPr>
          <w:rFonts w:cs="Times New Roman"/>
          <w:i/>
          <w:iCs/>
          <w:szCs w:val="24"/>
          <w:lang w:val="en-US"/>
        </w:rPr>
        <w:t>Ia.</w:t>
      </w:r>
      <w:r w:rsidRPr="00E23BA0">
        <w:rPr>
          <w:rFonts w:cs="Times New Roman"/>
          <w:szCs w:val="24"/>
          <w:lang w:val="en-US"/>
        </w:rPr>
        <w:t xml:space="preserve"> 5.28 μή τοι περ</w:t>
      </w:r>
      <w:r w:rsidRPr="003A53D6">
        <w:rPr>
          <w:rFonts w:cs="Times New Roman"/>
          <w:szCs w:val="24"/>
          <w:lang w:val="en-US"/>
        </w:rPr>
        <w:t xml:space="preserve">ὶ νύσσῃ δίφρον / ἄξωσιν </w:t>
      </w:r>
      <w:r w:rsidR="00CC0615">
        <w:rPr>
          <w:rFonts w:cs="Times New Roman"/>
          <w:szCs w:val="24"/>
          <w:lang w:val="en-US"/>
        </w:rPr>
        <w:t>“</w:t>
      </w:r>
      <w:r w:rsidRPr="003A53D6">
        <w:rPr>
          <w:rFonts w:cs="Times New Roman"/>
          <w:szCs w:val="24"/>
          <w:lang w:val="en-US"/>
        </w:rPr>
        <w:t>lest around the turning post they shatter your chariot, and you tumble out headlong,</w:t>
      </w:r>
      <w:r w:rsidR="00CC0615">
        <w:rPr>
          <w:rFonts w:cs="Times New Roman"/>
          <w:szCs w:val="24"/>
          <w:lang w:val="en-US"/>
        </w:rPr>
        <w:t>”</w:t>
      </w:r>
      <w:r w:rsidRPr="003A53D6">
        <w:rPr>
          <w:rFonts w:cs="Times New Roman"/>
          <w:szCs w:val="24"/>
          <w:lang w:val="en-US"/>
        </w:rPr>
        <w:t xml:space="preserve"> where Callimachus is addressing the corrupted schoolteacher and rebuking him.</w:t>
      </w:r>
    </w:p>
    <w:p w14:paraId="18E332A3" w14:textId="51CA01D5" w:rsidR="00661FBC" w:rsidRPr="00E23BA0" w:rsidRDefault="00661FBC" w:rsidP="00125415">
      <w:pPr>
        <w:ind w:firstLine="426"/>
        <w:rPr>
          <w:rFonts w:cs="Times New Roman"/>
          <w:szCs w:val="24"/>
          <w:lang w:val="en-US"/>
        </w:rPr>
      </w:pPr>
      <w:r w:rsidRPr="00125415">
        <w:rPr>
          <w:rFonts w:cs="Times New Roman"/>
          <w:szCs w:val="24"/>
          <w:lang w:val="en-US"/>
        </w:rPr>
        <w:t xml:space="preserve">However, this is the only case where it occurs. Archilochus uses τοι only in his fr. 54 and it seems there that he is referring more to himself than to an external adressee. In both cases the iambographers are expressing standards of behavior which do not admit of contradiction by any eventual addressee, as shown by Archil. fr. 54.14 </w:t>
      </w:r>
      <w:r w:rsidRPr="009F59C0">
        <w:rPr>
          <w:rFonts w:cs="Times New Roman"/>
          <w:szCs w:val="24"/>
          <w:lang w:val="en-US"/>
        </w:rPr>
        <w:t>ἐ</w:t>
      </w:r>
      <w:r w:rsidRPr="001C5EA4">
        <w:rPr>
          <w:rFonts w:cs="Times New Roman"/>
          <w:szCs w:val="24"/>
          <w:lang w:val="en-US"/>
        </w:rPr>
        <w:t>πίσταμαί τοι τ</w:t>
      </w:r>
      <w:r w:rsidRPr="004E03FF">
        <w:rPr>
          <w:rFonts w:cs="Times New Roman"/>
          <w:szCs w:val="24"/>
          <w:lang w:val="en-US"/>
        </w:rPr>
        <w:t>ὸ</w:t>
      </w:r>
      <w:r w:rsidRPr="00D238A0">
        <w:rPr>
          <w:rFonts w:cs="Times New Roman"/>
          <w:szCs w:val="24"/>
          <w:lang w:val="en-US"/>
        </w:rPr>
        <w:t xml:space="preserve">ν φιλέοντα μὲν φιλεῖν </w:t>
      </w:r>
      <w:r w:rsidR="00D10A84">
        <w:rPr>
          <w:rFonts w:cs="Times New Roman"/>
          <w:szCs w:val="24"/>
          <w:lang w:val="en-US"/>
        </w:rPr>
        <w:t>“</w:t>
      </w:r>
      <w:r w:rsidRPr="00D238A0">
        <w:rPr>
          <w:rFonts w:cs="Times New Roman"/>
          <w:szCs w:val="24"/>
          <w:lang w:val="en-US"/>
        </w:rPr>
        <w:t>indeed I know how to repay love with love</w:t>
      </w:r>
      <w:r w:rsidRPr="00E23BA0">
        <w:rPr>
          <w:rFonts w:cs="Times New Roman"/>
          <w:szCs w:val="24"/>
          <w:lang w:val="en-US"/>
        </w:rPr>
        <w:t>.</w:t>
      </w:r>
      <w:r w:rsidR="00CC0615">
        <w:rPr>
          <w:rFonts w:cs="Times New Roman"/>
          <w:szCs w:val="24"/>
          <w:lang w:val="en-US"/>
        </w:rPr>
        <w:t>”</w:t>
      </w:r>
      <w:r w:rsidRPr="00E23BA0">
        <w:rPr>
          <w:rFonts w:cs="Times New Roman"/>
          <w:szCs w:val="24"/>
          <w:lang w:val="en-US"/>
        </w:rPr>
        <w:t xml:space="preserve"> It seems that they are not referring to that particular addressee, since what they say are statements which are valid in every circumstance and for every person.</w:t>
      </w:r>
    </w:p>
    <w:p w14:paraId="5F1A5F4B" w14:textId="135B66F9" w:rsidR="00661FBC" w:rsidRPr="00E23BA0" w:rsidRDefault="00661FBC" w:rsidP="00125415">
      <w:pPr>
        <w:ind w:firstLine="426"/>
        <w:rPr>
          <w:rFonts w:cs="Times New Roman"/>
          <w:szCs w:val="24"/>
          <w:lang w:val="en-US"/>
        </w:rPr>
      </w:pPr>
      <w:r w:rsidRPr="003A53D6">
        <w:rPr>
          <w:rFonts w:cs="Times New Roman"/>
          <w:szCs w:val="24"/>
          <w:lang w:val="en-US"/>
        </w:rPr>
        <w:t xml:space="preserve">The fact that τοι never appears when iambographers directly address their targets suggests that the targets were not in the </w:t>
      </w:r>
      <w:r w:rsidR="00E23BA0">
        <w:rPr>
          <w:rFonts w:cs="Times New Roman"/>
          <w:szCs w:val="24"/>
          <w:lang w:val="en-US"/>
        </w:rPr>
        <w:t xml:space="preserve">group </w:t>
      </w:r>
      <w:r w:rsidRPr="00E23BA0">
        <w:rPr>
          <w:rFonts w:cs="Times New Roman"/>
          <w:szCs w:val="24"/>
          <w:lang w:val="en-US"/>
        </w:rPr>
        <w:t xml:space="preserve">of friends </w:t>
      </w:r>
      <w:r w:rsidR="00E23BA0">
        <w:rPr>
          <w:rFonts w:cs="Times New Roman"/>
          <w:szCs w:val="24"/>
          <w:lang w:val="en-US"/>
        </w:rPr>
        <w:t>(constituting the</w:t>
      </w:r>
      <w:r w:rsidRPr="00E23BA0">
        <w:rPr>
          <w:rFonts w:cs="Times New Roman"/>
          <w:szCs w:val="24"/>
          <w:lang w:val="en-US"/>
        </w:rPr>
        <w:t xml:space="preserve"> audience</w:t>
      </w:r>
      <w:r w:rsidR="00E23BA0">
        <w:rPr>
          <w:rFonts w:cs="Times New Roman"/>
          <w:szCs w:val="24"/>
          <w:lang w:val="en-US"/>
        </w:rPr>
        <w:t>)</w:t>
      </w:r>
      <w:r w:rsidRPr="00E23BA0">
        <w:rPr>
          <w:rFonts w:cs="Times New Roman"/>
          <w:szCs w:val="24"/>
          <w:lang w:val="en-US"/>
        </w:rPr>
        <w:t xml:space="preserve"> with whom the iambographers share their thoughts. This </w:t>
      </w:r>
      <w:r w:rsidR="00D10A84">
        <w:rPr>
          <w:rFonts w:cs="Times New Roman"/>
          <w:szCs w:val="24"/>
          <w:lang w:val="en-US"/>
        </w:rPr>
        <w:t xml:space="preserve">is </w:t>
      </w:r>
      <w:r w:rsidRPr="00E23BA0">
        <w:rPr>
          <w:rFonts w:cs="Times New Roman"/>
          <w:szCs w:val="24"/>
          <w:lang w:val="en-US"/>
        </w:rPr>
        <w:t xml:space="preserve">consistent with the fact that the target is often referred through a deictic pronoun which marks distance. </w:t>
      </w:r>
    </w:p>
    <w:p w14:paraId="11C6B669" w14:textId="1063744E" w:rsidR="00661FBC" w:rsidRPr="00E23BA0" w:rsidRDefault="00661FBC" w:rsidP="009F59C0">
      <w:pPr>
        <w:ind w:firstLine="426"/>
        <w:rPr>
          <w:rFonts w:cs="Times New Roman"/>
          <w:szCs w:val="24"/>
          <w:lang w:val="en-US"/>
        </w:rPr>
      </w:pPr>
      <w:r w:rsidRPr="003A53D6">
        <w:rPr>
          <w:rFonts w:cs="Times New Roman"/>
          <w:szCs w:val="24"/>
          <w:lang w:val="en-US"/>
        </w:rPr>
        <w:t xml:space="preserve">Iambs do not have instances of μήν, που, ἦ, or θή. These particles, in different degree, imply </w:t>
      </w:r>
      <w:r w:rsidR="003A53D6">
        <w:rPr>
          <w:rFonts w:cs="Times New Roman"/>
          <w:szCs w:val="24"/>
          <w:lang w:val="en-US"/>
        </w:rPr>
        <w:t xml:space="preserve">the </w:t>
      </w:r>
      <w:r w:rsidRPr="003A53D6">
        <w:rPr>
          <w:rFonts w:cs="Times New Roman"/>
          <w:szCs w:val="24"/>
          <w:lang w:val="en-US"/>
        </w:rPr>
        <w:t>relativ</w:t>
      </w:r>
      <w:r w:rsidR="003A53D6">
        <w:rPr>
          <w:rFonts w:cs="Times New Roman"/>
          <w:szCs w:val="24"/>
          <w:lang w:val="en-US"/>
        </w:rPr>
        <w:t>e nature</w:t>
      </w:r>
      <w:r w:rsidRPr="003A53D6">
        <w:rPr>
          <w:rFonts w:cs="Times New Roman"/>
          <w:szCs w:val="24"/>
          <w:lang w:val="en-US"/>
        </w:rPr>
        <w:t xml:space="preserve"> of what the speaker is saying</w:t>
      </w:r>
      <w:r w:rsidRPr="00E23BA0">
        <w:rPr>
          <w:rFonts w:cs="Times New Roman"/>
          <w:szCs w:val="24"/>
          <w:lang w:val="en-US"/>
        </w:rPr>
        <w:t xml:space="preserve">. Indeed, μήν is not just assertive, but defensive (i.e. primarily addressee-oriented), since it </w:t>
      </w:r>
      <w:r w:rsidR="00CC0615">
        <w:rPr>
          <w:rFonts w:cs="Times New Roman"/>
          <w:szCs w:val="24"/>
          <w:lang w:val="en-US"/>
        </w:rPr>
        <w:t>“</w:t>
      </w:r>
      <w:r w:rsidRPr="00E23BA0">
        <w:rPr>
          <w:rFonts w:cs="Times New Roman"/>
          <w:szCs w:val="24"/>
          <w:lang w:val="en-US"/>
        </w:rPr>
        <w:t>seems to be at home in expressing the contrary of what the person addressed might either suppose or wish.</w:t>
      </w:r>
      <w:r w:rsidR="00CC0615">
        <w:rPr>
          <w:rFonts w:cs="Times New Roman"/>
          <w:szCs w:val="24"/>
          <w:lang w:val="en-US"/>
        </w:rPr>
        <w:t>”</w:t>
      </w:r>
      <w:r w:rsidRPr="00E23BA0">
        <w:rPr>
          <w:rStyle w:val="FootnoteReference"/>
          <w:rFonts w:cs="Times New Roman"/>
          <w:szCs w:val="24"/>
          <w:lang w:val="en-US"/>
        </w:rPr>
        <w:footnoteReference w:id="328"/>
      </w:r>
      <w:r w:rsidRPr="00E23BA0">
        <w:rPr>
          <w:rFonts w:cs="Times New Roman"/>
          <w:szCs w:val="24"/>
          <w:lang w:val="en-US"/>
        </w:rPr>
        <w:t xml:space="preserve"> Μήν anticipates the disagreement of the addressee and negates expectations. It is </w:t>
      </w:r>
      <w:r w:rsidRPr="00E23BA0">
        <w:rPr>
          <w:rFonts w:cs="Times New Roman"/>
          <w:szCs w:val="24"/>
          <w:lang w:val="en-US"/>
        </w:rPr>
        <w:lastRenderedPageBreak/>
        <w:t>therefore not surprising that it is absent from iambic texts, since in the iambic texts the speaker is right and his opinion is the right opinion. The speaker has no need to be defensive: indeed he cannot be defensive if he is to uphold his absolute authority.</w:t>
      </w:r>
    </w:p>
    <w:p w14:paraId="0F509EC8" w14:textId="77777777" w:rsidR="00661FBC" w:rsidRPr="00125415" w:rsidRDefault="00661FBC" w:rsidP="001C5EA4">
      <w:pPr>
        <w:ind w:firstLine="426"/>
        <w:rPr>
          <w:rFonts w:cs="Times New Roman"/>
          <w:szCs w:val="24"/>
          <w:lang w:val="en-US"/>
        </w:rPr>
      </w:pPr>
      <w:r w:rsidRPr="003A53D6">
        <w:rPr>
          <w:rFonts w:cs="Times New Roman"/>
          <w:szCs w:val="24"/>
          <w:lang w:val="en-US"/>
        </w:rPr>
        <w:t xml:space="preserve">The same is true for ἦ, which expresses a high commitment on the part of the speaker. It conveys a personal commitment of the speaker to the validity of the utterance independently from the reaction expected or desired from the addressee. But I argue that iambographers hardly commit themselves in their speaking, since they often use other </w:t>
      </w:r>
      <w:r w:rsidRPr="00125415">
        <w:rPr>
          <w:rFonts w:cs="Times New Roman"/>
          <w:i/>
          <w:iCs/>
          <w:szCs w:val="24"/>
          <w:lang w:val="en-US"/>
        </w:rPr>
        <w:t>personae</w:t>
      </w:r>
      <w:r w:rsidRPr="00125415">
        <w:rPr>
          <w:rFonts w:cs="Times New Roman"/>
          <w:szCs w:val="24"/>
          <w:lang w:val="en-US"/>
        </w:rPr>
        <w:t xml:space="preserve"> and they do not express personal opinions, but the mainstream opinion which they expect the whole audience to share.</w:t>
      </w:r>
    </w:p>
    <w:p w14:paraId="22E820D2" w14:textId="22059223" w:rsidR="00661FBC" w:rsidRPr="00125415" w:rsidRDefault="00661FBC" w:rsidP="001C5EA4">
      <w:pPr>
        <w:ind w:firstLine="426"/>
        <w:rPr>
          <w:rFonts w:cs="Times New Roman"/>
          <w:szCs w:val="24"/>
          <w:lang w:val="en-US"/>
        </w:rPr>
      </w:pPr>
      <w:r w:rsidRPr="00125415">
        <w:rPr>
          <w:rFonts w:cs="Times New Roman"/>
          <w:szCs w:val="24"/>
          <w:lang w:val="en-US"/>
        </w:rPr>
        <w:t xml:space="preserve">Even less do they need που, which is used as an interactional particle, since που introduces a statement as a surmise whose accuracy the speaker does not defend, </w:t>
      </w:r>
      <w:r w:rsidR="00CC0615">
        <w:rPr>
          <w:rFonts w:cs="Times New Roman"/>
          <w:szCs w:val="24"/>
          <w:lang w:val="en-US"/>
        </w:rPr>
        <w:t>“</w:t>
      </w:r>
      <w:r w:rsidRPr="00125415">
        <w:rPr>
          <w:rFonts w:cs="Times New Roman"/>
          <w:szCs w:val="24"/>
          <w:lang w:val="en-US"/>
        </w:rPr>
        <w:t xml:space="preserve">so that disputing it need not impair the basis for an understanding between the two partners </w:t>
      </w:r>
      <w:r w:rsidRPr="009F59C0">
        <w:rPr>
          <w:rFonts w:cs="Times New Roman"/>
          <w:szCs w:val="24"/>
          <w:lang w:val="en-US"/>
        </w:rPr>
        <w:t>in the conversation.</w:t>
      </w:r>
      <w:r w:rsidR="00CC0615">
        <w:rPr>
          <w:rFonts w:cs="Times New Roman"/>
          <w:szCs w:val="24"/>
          <w:lang w:val="en-US"/>
        </w:rPr>
        <w:t>”</w:t>
      </w:r>
      <w:r w:rsidRPr="00E23BA0">
        <w:rPr>
          <w:rStyle w:val="FootnoteReference"/>
          <w:rFonts w:cs="Times New Roman"/>
          <w:szCs w:val="24"/>
          <w:lang w:val="en-US"/>
        </w:rPr>
        <w:footnoteReference w:id="329"/>
      </w:r>
      <w:r w:rsidRPr="00E23BA0">
        <w:rPr>
          <w:rFonts w:cs="Times New Roman"/>
          <w:szCs w:val="24"/>
          <w:lang w:val="en-US"/>
        </w:rPr>
        <w:t xml:space="preserve"> This explains why iambic texts do not have instances of που: iambographers do not argue but state; they do not surmise, but know. Therefore, they do not need to negotiate their opinion with their audience, since their authority is enough to guarantee the rightness of what they are saying. In our iambic corpus there is only one instance of που, in Archil. fr. 113 </w:t>
      </w:r>
      <w:r w:rsidRPr="003A53D6">
        <w:rPr>
          <w:rFonts w:cs="Times New Roman"/>
          <w:szCs w:val="24"/>
          <w:lang w:val="en-US"/>
        </w:rPr>
        <w:t>ἤμβλακον. καί πού τιν</w:t>
      </w:r>
      <w:r w:rsidR="00075F5F">
        <w:rPr>
          <w:rFonts w:cs="Times New Roman"/>
          <w:szCs w:val="24"/>
          <w:lang w:val="en-US"/>
        </w:rPr>
        <w:t>’</w:t>
      </w:r>
      <w:r w:rsidRPr="003A53D6">
        <w:rPr>
          <w:rFonts w:cs="Times New Roman"/>
          <w:szCs w:val="24"/>
          <w:lang w:val="en-US"/>
        </w:rPr>
        <w:t xml:space="preserve"> ἄλλον ἥδ</w:t>
      </w:r>
      <w:r w:rsidR="00075F5F">
        <w:rPr>
          <w:rFonts w:cs="Times New Roman"/>
          <w:szCs w:val="24"/>
          <w:lang w:val="en-US"/>
        </w:rPr>
        <w:t>’</w:t>
      </w:r>
      <w:r w:rsidRPr="003A53D6">
        <w:rPr>
          <w:rFonts w:cs="Times New Roman"/>
          <w:szCs w:val="24"/>
          <w:lang w:val="en-US"/>
        </w:rPr>
        <w:t xml:space="preserve"> ἄτη </w:t>
      </w:r>
      <w:r w:rsidR="00075F5F">
        <w:rPr>
          <w:rFonts w:cs="Times New Roman"/>
          <w:szCs w:val="24"/>
          <w:lang w:val="en-US"/>
        </w:rPr>
        <w:t>‘</w:t>
      </w:r>
      <w:r w:rsidRPr="003A53D6">
        <w:rPr>
          <w:rFonts w:cs="Times New Roman"/>
          <w:szCs w:val="24"/>
          <w:lang w:val="en-US"/>
        </w:rPr>
        <w:t xml:space="preserve">κιχήσατο </w:t>
      </w:r>
      <w:r w:rsidR="00CC0615">
        <w:rPr>
          <w:rFonts w:cs="Times New Roman"/>
          <w:szCs w:val="24"/>
          <w:lang w:val="en-US"/>
        </w:rPr>
        <w:t>“</w:t>
      </w:r>
      <w:r w:rsidRPr="003A53D6">
        <w:rPr>
          <w:rFonts w:cs="Times New Roman"/>
          <w:szCs w:val="24"/>
          <w:lang w:val="en-US"/>
        </w:rPr>
        <w:t>I erred, and perhaps this infatuation has come upon another,</w:t>
      </w:r>
      <w:r w:rsidR="00CC0615">
        <w:rPr>
          <w:rFonts w:cs="Times New Roman"/>
          <w:szCs w:val="24"/>
          <w:lang w:val="en-US"/>
        </w:rPr>
        <w:t>”</w:t>
      </w:r>
      <w:r w:rsidRPr="003A53D6">
        <w:rPr>
          <w:rFonts w:cs="Times New Roman"/>
          <w:szCs w:val="24"/>
          <w:lang w:val="en-US"/>
        </w:rPr>
        <w:t xml:space="preserve"> and it is not random that the only instance of που comes just after the verb </w:t>
      </w:r>
      <w:r w:rsidRPr="00125415">
        <w:rPr>
          <w:rFonts w:cs="Times New Roman"/>
          <w:szCs w:val="24"/>
          <w:lang w:val="en-US"/>
        </w:rPr>
        <w:t xml:space="preserve">ἀμπλακίσκω </w:t>
      </w:r>
      <w:r w:rsidR="00CC0615">
        <w:rPr>
          <w:rFonts w:cs="Times New Roman"/>
          <w:szCs w:val="24"/>
          <w:lang w:val="en-US"/>
        </w:rPr>
        <w:t>“</w:t>
      </w:r>
      <w:r w:rsidRPr="00125415">
        <w:rPr>
          <w:rFonts w:cs="Times New Roman"/>
          <w:szCs w:val="24"/>
          <w:lang w:val="en-US"/>
        </w:rPr>
        <w:t>to err.</w:t>
      </w:r>
      <w:r w:rsidR="00CC0615">
        <w:rPr>
          <w:rFonts w:cs="Times New Roman"/>
          <w:szCs w:val="24"/>
          <w:lang w:val="en-US"/>
        </w:rPr>
        <w:t>”</w:t>
      </w:r>
    </w:p>
    <w:p w14:paraId="3E3FDAAD" w14:textId="348A19BA" w:rsidR="00661FBC" w:rsidRPr="00E23BA0" w:rsidRDefault="00661FBC" w:rsidP="004E03FF">
      <w:pPr>
        <w:ind w:firstLine="426"/>
        <w:rPr>
          <w:rFonts w:cs="Times New Roman"/>
          <w:szCs w:val="24"/>
          <w:lang w:val="en-US"/>
        </w:rPr>
      </w:pPr>
      <w:r w:rsidRPr="009F59C0">
        <w:rPr>
          <w:rFonts w:cs="Times New Roman"/>
          <w:szCs w:val="24"/>
          <w:lang w:val="en-US"/>
        </w:rPr>
        <w:t>Finally, θην also occurs only once in Archil. fr. 54.21 πολλο</w:t>
      </w:r>
      <w:r w:rsidRPr="001C5EA4">
        <w:rPr>
          <w:rFonts w:cs="Times New Roman"/>
          <w:szCs w:val="24"/>
          <w:lang w:val="en-US"/>
        </w:rPr>
        <w:t>ῖ</w:t>
      </w:r>
      <w:r w:rsidRPr="004E03FF">
        <w:rPr>
          <w:rFonts w:cs="Times New Roman"/>
          <w:szCs w:val="24"/>
          <w:lang w:val="en-US"/>
        </w:rPr>
        <w:t>σί θην ζηλ</w:t>
      </w:r>
      <w:r w:rsidRPr="00D238A0">
        <w:rPr>
          <w:rFonts w:cs="Times New Roman"/>
          <w:szCs w:val="24"/>
          <w:lang w:val="el-GR"/>
        </w:rPr>
        <w:t>ω</w:t>
      </w:r>
      <w:r w:rsidRPr="00E23BA0">
        <w:rPr>
          <w:rFonts w:cs="Times New Roman"/>
          <w:szCs w:val="24"/>
          <w:lang w:val="en-US"/>
        </w:rPr>
        <w:t>τὸς ἀ</w:t>
      </w:r>
      <w:r w:rsidRPr="003A53D6">
        <w:rPr>
          <w:rFonts w:cs="Times New Roman"/>
          <w:szCs w:val="24"/>
          <w:lang w:val="en-US"/>
        </w:rPr>
        <w:t xml:space="preserve">νθρώπων ἔσεαι </w:t>
      </w:r>
      <w:r w:rsidR="00CC0615">
        <w:rPr>
          <w:rFonts w:cs="Times New Roman"/>
          <w:szCs w:val="24"/>
          <w:lang w:val="en-US"/>
        </w:rPr>
        <w:t>“</w:t>
      </w:r>
      <w:r w:rsidRPr="003A53D6">
        <w:rPr>
          <w:rFonts w:cs="Times New Roman"/>
          <w:szCs w:val="24"/>
          <w:lang w:val="en-US"/>
        </w:rPr>
        <w:t>in truth you will be the envy of many people.</w:t>
      </w:r>
      <w:r w:rsidR="00CC0615">
        <w:rPr>
          <w:rFonts w:cs="Times New Roman"/>
          <w:szCs w:val="24"/>
          <w:lang w:val="en-US"/>
        </w:rPr>
        <w:t>”</w:t>
      </w:r>
      <w:r w:rsidRPr="003A53D6">
        <w:rPr>
          <w:rFonts w:cs="Times New Roman"/>
          <w:szCs w:val="24"/>
          <w:lang w:val="en-US"/>
        </w:rPr>
        <w:t xml:space="preserve"> The fact the this particle is not used by the iambographers contradicts Denniston</w:t>
      </w:r>
      <w:r w:rsidR="00075F5F">
        <w:rPr>
          <w:rFonts w:cs="Times New Roman"/>
          <w:szCs w:val="24"/>
          <w:lang w:val="en-US"/>
        </w:rPr>
        <w:t>’</w:t>
      </w:r>
      <w:r w:rsidRPr="003A53D6">
        <w:rPr>
          <w:rFonts w:cs="Times New Roman"/>
          <w:szCs w:val="24"/>
          <w:lang w:val="en-US"/>
        </w:rPr>
        <w:t xml:space="preserve">s claim that θήν </w:t>
      </w:r>
      <w:r w:rsidR="00CC0615">
        <w:rPr>
          <w:rFonts w:cs="Times New Roman"/>
          <w:szCs w:val="24"/>
          <w:lang w:val="en-US"/>
        </w:rPr>
        <w:t>“</w:t>
      </w:r>
      <w:r w:rsidRPr="003A53D6">
        <w:rPr>
          <w:rFonts w:cs="Times New Roman"/>
          <w:szCs w:val="24"/>
          <w:lang w:val="en-US"/>
        </w:rPr>
        <w:t>is equivalent in sense to δή, but perhaps rather weaker in force.</w:t>
      </w:r>
      <w:r w:rsidR="00CC0615">
        <w:rPr>
          <w:rFonts w:cs="Times New Roman"/>
          <w:szCs w:val="24"/>
          <w:lang w:val="en-US"/>
        </w:rPr>
        <w:t>”</w:t>
      </w:r>
      <w:r w:rsidRPr="00E23BA0">
        <w:rPr>
          <w:rStyle w:val="FootnoteReference"/>
          <w:rFonts w:cs="Times New Roman"/>
          <w:szCs w:val="24"/>
          <w:lang w:val="en-US"/>
        </w:rPr>
        <w:footnoteReference w:id="330"/>
      </w:r>
      <w:r w:rsidRPr="00E23BA0">
        <w:rPr>
          <w:rFonts w:cs="Times New Roman"/>
          <w:szCs w:val="24"/>
          <w:lang w:val="en-US"/>
        </w:rPr>
        <w:t xml:space="preserve"> Archilochus</w:t>
      </w:r>
      <w:r w:rsidR="00075F5F">
        <w:rPr>
          <w:rFonts w:cs="Times New Roman"/>
          <w:szCs w:val="24"/>
          <w:lang w:val="en-US"/>
        </w:rPr>
        <w:t>’</w:t>
      </w:r>
      <w:r w:rsidRPr="00E23BA0">
        <w:rPr>
          <w:rFonts w:cs="Times New Roman"/>
          <w:szCs w:val="24"/>
          <w:lang w:val="en-US"/>
        </w:rPr>
        <w:t xml:space="preserve"> context confirms this, since the particle appears in a conclusive clause with future tense verb in which the speaker states his personal belief or hope with respect to future events, while admitting that it is</w:t>
      </w:r>
      <w:r w:rsidR="00D10A84">
        <w:rPr>
          <w:rFonts w:cs="Times New Roman"/>
          <w:szCs w:val="24"/>
          <w:lang w:val="en-US"/>
        </w:rPr>
        <w:t xml:space="preserve"> </w:t>
      </w:r>
      <w:r w:rsidRPr="00E23BA0">
        <w:rPr>
          <w:rFonts w:cs="Times New Roman"/>
          <w:szCs w:val="24"/>
          <w:lang w:val="en-US"/>
        </w:rPr>
        <w:t xml:space="preserve">absolutely unfounded: the historical circumstances Archilochus has expressed just earlier in the fragment make his hope absolutely illusory. </w:t>
      </w:r>
      <w:r w:rsidR="00CC0615">
        <w:rPr>
          <w:rFonts w:cs="Times New Roman"/>
          <w:szCs w:val="24"/>
          <w:lang w:val="en-US"/>
        </w:rPr>
        <w:t>“</w:t>
      </w:r>
      <w:r w:rsidRPr="00E23BA0">
        <w:rPr>
          <w:rFonts w:cs="Times New Roman"/>
          <w:szCs w:val="24"/>
          <w:lang w:val="en-US"/>
        </w:rPr>
        <w:t>The essential point is that the speaker</w:t>
      </w:r>
      <w:r w:rsidR="00075F5F">
        <w:rPr>
          <w:rFonts w:cs="Times New Roman"/>
          <w:szCs w:val="24"/>
          <w:lang w:val="en-US"/>
        </w:rPr>
        <w:t>’</w:t>
      </w:r>
      <w:r w:rsidRPr="00E23BA0">
        <w:rPr>
          <w:rFonts w:cs="Times New Roman"/>
          <w:szCs w:val="24"/>
          <w:lang w:val="en-US"/>
        </w:rPr>
        <w:t>s claim is, at present, a matter of hope and faith only.</w:t>
      </w:r>
      <w:r w:rsidR="00CC0615">
        <w:rPr>
          <w:rFonts w:cs="Times New Roman"/>
          <w:szCs w:val="24"/>
          <w:lang w:val="en-US"/>
        </w:rPr>
        <w:t>”</w:t>
      </w:r>
      <w:r w:rsidRPr="00E23BA0">
        <w:rPr>
          <w:rStyle w:val="FootnoteReference"/>
          <w:rFonts w:cs="Times New Roman"/>
          <w:szCs w:val="24"/>
          <w:lang w:val="en-US"/>
        </w:rPr>
        <w:footnoteReference w:id="331"/>
      </w:r>
    </w:p>
    <w:p w14:paraId="32B4F624" w14:textId="77777777" w:rsidR="00661FBC" w:rsidRPr="00E23BA0" w:rsidRDefault="00661FBC" w:rsidP="00D238A0">
      <w:pPr>
        <w:ind w:firstLine="426"/>
        <w:rPr>
          <w:rFonts w:cs="Times New Roman"/>
          <w:szCs w:val="24"/>
          <w:lang w:val="en-US"/>
        </w:rPr>
      </w:pPr>
      <w:r w:rsidRPr="00E23BA0">
        <w:rPr>
          <w:rFonts w:cs="Times New Roman"/>
          <w:szCs w:val="24"/>
          <w:lang w:val="en-US"/>
        </w:rPr>
        <w:t xml:space="preserve">Set against this, iambic texts show a quite high amount of δή and, especially, of γάρ, since these particles strenghten (δή) and make shared (γάρ) what the speaker is saying. </w:t>
      </w:r>
    </w:p>
    <w:p w14:paraId="63538E01" w14:textId="65CCDEC1" w:rsidR="00661FBC" w:rsidRPr="00E23BA0" w:rsidRDefault="00661FBC" w:rsidP="00D238A0">
      <w:pPr>
        <w:ind w:firstLine="426"/>
        <w:rPr>
          <w:rFonts w:cs="Times New Roman"/>
          <w:szCs w:val="24"/>
          <w:lang w:val="en-US"/>
        </w:rPr>
      </w:pPr>
      <w:r w:rsidRPr="00E23BA0">
        <w:rPr>
          <w:rFonts w:cs="Times New Roman"/>
          <w:szCs w:val="24"/>
          <w:lang w:val="en-US"/>
        </w:rPr>
        <w:lastRenderedPageBreak/>
        <w:t>Δή denotes that a thing really and truly is so: or that is very much so.</w:t>
      </w:r>
      <w:r w:rsidRPr="00E23BA0">
        <w:rPr>
          <w:rStyle w:val="FootnoteReference"/>
          <w:rFonts w:cs="Times New Roman"/>
          <w:szCs w:val="24"/>
          <w:lang w:val="en-US"/>
        </w:rPr>
        <w:footnoteReference w:id="332"/>
      </w:r>
      <w:r w:rsidRPr="00E23BA0">
        <w:rPr>
          <w:rFonts w:cs="Times New Roman"/>
          <w:szCs w:val="24"/>
          <w:lang w:val="en-US"/>
        </w:rPr>
        <w:t xml:space="preserve"> Something that provides a clue to the function of δή is the presence of visual perception and visibility within the text, denoted by verbs of seeing or appearing, whether these are used in their strict sense or more loosely, as shown by Archil. 54.11 ἐ</w:t>
      </w:r>
      <w:r w:rsidRPr="003A53D6">
        <w:rPr>
          <w:rFonts w:cs="Times New Roman"/>
          <w:szCs w:val="24"/>
          <w:lang w:val="en-US"/>
        </w:rPr>
        <w:t xml:space="preserve">ς τοῦτο δή τοι τῆς ἀνολβίης δοκέω / ἥκειν; </w:t>
      </w:r>
      <w:r w:rsidR="00CC0615">
        <w:rPr>
          <w:rFonts w:cs="Times New Roman"/>
          <w:szCs w:val="24"/>
          <w:lang w:val="en-US"/>
        </w:rPr>
        <w:t>“</w:t>
      </w:r>
      <w:r w:rsidRPr="003A53D6">
        <w:rPr>
          <w:rFonts w:cs="Times New Roman"/>
          <w:szCs w:val="24"/>
          <w:lang w:val="en-US"/>
        </w:rPr>
        <w:t>I seem to you then to have reached such a degree of misfortune?</w:t>
      </w:r>
      <w:r w:rsidR="00CC0615">
        <w:rPr>
          <w:rFonts w:cs="Times New Roman"/>
          <w:szCs w:val="24"/>
          <w:lang w:val="en-US"/>
        </w:rPr>
        <w:t>”</w:t>
      </w:r>
      <w:r w:rsidRPr="003A53D6">
        <w:rPr>
          <w:rFonts w:cs="Times New Roman"/>
          <w:szCs w:val="24"/>
          <w:lang w:val="en-US"/>
        </w:rPr>
        <w:t>; or by Archil. 166.3 ν</w:t>
      </w:r>
      <w:r w:rsidRPr="00125415">
        <w:rPr>
          <w:rFonts w:cs="Times New Roman"/>
          <w:szCs w:val="24"/>
          <w:lang w:val="en-US"/>
        </w:rPr>
        <w:t>ῦν δ</w:t>
      </w:r>
      <w:r w:rsidRPr="009F59C0">
        <w:rPr>
          <w:rFonts w:cs="Times New Roman"/>
          <w:szCs w:val="24"/>
          <w:lang w:val="en-US"/>
        </w:rPr>
        <w:t>ὲ</w:t>
      </w:r>
      <w:r w:rsidRPr="001C5EA4">
        <w:rPr>
          <w:rFonts w:cs="Times New Roman"/>
          <w:szCs w:val="24"/>
          <w:lang w:val="en-US"/>
        </w:rPr>
        <w:t xml:space="preserve"> δ</w:t>
      </w:r>
      <w:r w:rsidRPr="004E03FF">
        <w:rPr>
          <w:rFonts w:cs="Times New Roman"/>
          <w:szCs w:val="24"/>
          <w:lang w:val="en-US"/>
        </w:rPr>
        <w:t>ὴ</w:t>
      </w:r>
      <w:r w:rsidRPr="00D238A0">
        <w:rPr>
          <w:rFonts w:cs="Times New Roman"/>
          <w:szCs w:val="24"/>
          <w:lang w:val="en-US"/>
        </w:rPr>
        <w:t xml:space="preserve"> πολὺς / ἀστοῖσι φαίνεαι γέλως </w:t>
      </w:r>
      <w:r w:rsidR="00CC0615">
        <w:rPr>
          <w:rFonts w:cs="Times New Roman"/>
          <w:szCs w:val="24"/>
          <w:lang w:val="en-US"/>
        </w:rPr>
        <w:t>“</w:t>
      </w:r>
      <w:r w:rsidRPr="00D238A0">
        <w:rPr>
          <w:rFonts w:cs="Times New Roman"/>
          <w:szCs w:val="24"/>
          <w:lang w:val="en-US"/>
        </w:rPr>
        <w:t>now you seem to the townspeople a source of much laughter.</w:t>
      </w:r>
      <w:r w:rsidR="00CC0615">
        <w:rPr>
          <w:rFonts w:cs="Times New Roman"/>
          <w:szCs w:val="24"/>
          <w:lang w:val="en-US"/>
        </w:rPr>
        <w:t>”</w:t>
      </w:r>
      <w:r w:rsidRPr="00D238A0">
        <w:rPr>
          <w:rFonts w:cs="Times New Roman"/>
          <w:szCs w:val="24"/>
          <w:lang w:val="en-US"/>
        </w:rPr>
        <w:t xml:space="preserve"> In other contexts, δή directly accompanies the object of the vision which the speaker is representing with his words, as shown by Archil. fr. 119.3 οὐδὲ μὲν κληθεὶς … ἦλθες οἷα δὴ φίλος </w:t>
      </w:r>
      <w:r w:rsidR="00CC0615">
        <w:rPr>
          <w:rFonts w:cs="Times New Roman"/>
          <w:szCs w:val="24"/>
          <w:lang w:val="en-US"/>
        </w:rPr>
        <w:t>“</w:t>
      </w:r>
      <w:r w:rsidRPr="00D238A0">
        <w:rPr>
          <w:rFonts w:cs="Times New Roman"/>
          <w:szCs w:val="24"/>
          <w:lang w:val="en-US"/>
        </w:rPr>
        <w:t>nor again you come invited … as would a friend</w:t>
      </w:r>
      <w:r w:rsidR="00CC0615">
        <w:rPr>
          <w:rFonts w:cs="Times New Roman"/>
          <w:szCs w:val="24"/>
          <w:lang w:val="en-US"/>
        </w:rPr>
        <w:t>”</w:t>
      </w:r>
      <w:r w:rsidRPr="00D238A0">
        <w:rPr>
          <w:rFonts w:cs="Times New Roman"/>
          <w:szCs w:val="24"/>
          <w:lang w:val="en-US"/>
        </w:rPr>
        <w:t xml:space="preserve">; or by Hippon. fr. 36.4 κατέφαγε δὴ τὸν κλῆρον </w:t>
      </w:r>
      <w:r w:rsidR="00CC0615">
        <w:rPr>
          <w:rFonts w:cs="Times New Roman"/>
          <w:szCs w:val="24"/>
          <w:lang w:val="en-US"/>
        </w:rPr>
        <w:t>“</w:t>
      </w:r>
      <w:r w:rsidRPr="00D238A0">
        <w:rPr>
          <w:rFonts w:cs="Times New Roman"/>
          <w:szCs w:val="24"/>
          <w:lang w:val="en-US"/>
        </w:rPr>
        <w:t>ate up his inheritance.</w:t>
      </w:r>
      <w:r w:rsidR="00CC0615">
        <w:rPr>
          <w:rFonts w:cs="Times New Roman"/>
          <w:szCs w:val="24"/>
          <w:lang w:val="en-US"/>
        </w:rPr>
        <w:t>”</w:t>
      </w:r>
      <w:r w:rsidRPr="00D238A0">
        <w:rPr>
          <w:rFonts w:cs="Times New Roman"/>
          <w:szCs w:val="24"/>
          <w:lang w:val="en-US"/>
        </w:rPr>
        <w:t xml:space="preserve"> It is worth noting that Hipponax</w:t>
      </w:r>
      <w:r w:rsidR="00075F5F">
        <w:rPr>
          <w:rFonts w:cs="Times New Roman"/>
          <w:szCs w:val="24"/>
          <w:lang w:val="en-US"/>
        </w:rPr>
        <w:t>’</w:t>
      </w:r>
      <w:r w:rsidRPr="00D238A0">
        <w:rPr>
          <w:rFonts w:cs="Times New Roman"/>
          <w:szCs w:val="24"/>
          <w:lang w:val="en-US"/>
        </w:rPr>
        <w:t xml:space="preserve">s δή always introduces an unexpected object, in order to create irony: in fr. 36.4, the iambographer lists a series of delicacies, then uses the expected verb κατέδω </w:t>
      </w:r>
      <w:r w:rsidR="00CC0615">
        <w:rPr>
          <w:rFonts w:cs="Times New Roman"/>
          <w:szCs w:val="24"/>
          <w:lang w:val="en-US"/>
        </w:rPr>
        <w:t>“</w:t>
      </w:r>
      <w:r w:rsidRPr="00D238A0">
        <w:rPr>
          <w:rFonts w:cs="Times New Roman"/>
          <w:szCs w:val="24"/>
          <w:lang w:val="en-US"/>
        </w:rPr>
        <w:t>to eat,</w:t>
      </w:r>
      <w:r w:rsidR="00CC0615">
        <w:rPr>
          <w:rFonts w:cs="Times New Roman"/>
          <w:szCs w:val="24"/>
          <w:lang w:val="en-US"/>
        </w:rPr>
        <w:t>”</w:t>
      </w:r>
      <w:r w:rsidRPr="00D238A0">
        <w:rPr>
          <w:rFonts w:cs="Times New Roman"/>
          <w:szCs w:val="24"/>
          <w:lang w:val="en-US"/>
        </w:rPr>
        <w:t xml:space="preserve"> but the object κλῆρον </w:t>
      </w:r>
      <w:r w:rsidR="00CC0615">
        <w:rPr>
          <w:rFonts w:cs="Times New Roman"/>
          <w:szCs w:val="24"/>
          <w:lang w:val="en-US"/>
        </w:rPr>
        <w:t>“</w:t>
      </w:r>
      <w:r w:rsidRPr="00D238A0">
        <w:rPr>
          <w:rFonts w:cs="Times New Roman"/>
          <w:szCs w:val="24"/>
          <w:lang w:val="en-US"/>
        </w:rPr>
        <w:t>inheritance</w:t>
      </w:r>
      <w:r w:rsidR="00CC0615">
        <w:rPr>
          <w:rFonts w:cs="Times New Roman"/>
          <w:szCs w:val="24"/>
          <w:lang w:val="en-US"/>
        </w:rPr>
        <w:t>”</w:t>
      </w:r>
      <w:r w:rsidRPr="00D238A0">
        <w:rPr>
          <w:rFonts w:cs="Times New Roman"/>
          <w:szCs w:val="24"/>
          <w:lang w:val="en-US"/>
        </w:rPr>
        <w:t xml:space="preserve"> is not the expected object of the verb </w:t>
      </w:r>
      <w:r w:rsidR="00CC0615">
        <w:rPr>
          <w:rFonts w:cs="Times New Roman"/>
          <w:szCs w:val="24"/>
          <w:lang w:val="en-US"/>
        </w:rPr>
        <w:t>“</w:t>
      </w:r>
      <w:r w:rsidRPr="00D238A0">
        <w:rPr>
          <w:rFonts w:cs="Times New Roman"/>
          <w:szCs w:val="24"/>
          <w:lang w:val="en-US"/>
        </w:rPr>
        <w:t>eat.</w:t>
      </w:r>
      <w:r w:rsidR="00CC0615">
        <w:rPr>
          <w:rFonts w:cs="Times New Roman"/>
          <w:szCs w:val="24"/>
          <w:lang w:val="en-US"/>
        </w:rPr>
        <w:t>”</w:t>
      </w:r>
      <w:r w:rsidRPr="00D238A0">
        <w:rPr>
          <w:rFonts w:cs="Times New Roman"/>
          <w:szCs w:val="24"/>
          <w:lang w:val="en-US"/>
        </w:rPr>
        <w:t xml:space="preserve"> This also happens in Hippon. fr. 95.6 καὶ δὴ </w:t>
      </w:r>
      <w:r w:rsidR="00075F5F">
        <w:rPr>
          <w:rFonts w:cs="Times New Roman"/>
          <w:szCs w:val="24"/>
          <w:lang w:val="en-US"/>
        </w:rPr>
        <w:t>‘</w:t>
      </w:r>
      <w:r w:rsidRPr="00D238A0">
        <w:rPr>
          <w:rFonts w:cs="Times New Roman"/>
          <w:szCs w:val="24"/>
          <w:lang w:val="en-US"/>
        </w:rPr>
        <w:t>πὶ τοῖς ἔργο</w:t>
      </w:r>
      <w:r w:rsidRPr="00E23BA0">
        <w:rPr>
          <w:rFonts w:cs="Times New Roman"/>
          <w:szCs w:val="24"/>
          <w:lang w:val="en-US"/>
        </w:rPr>
        <w:t xml:space="preserve">ισιν εἴχομεν </w:t>
      </w:r>
      <w:r w:rsidR="00CC0615">
        <w:rPr>
          <w:rFonts w:cs="Times New Roman"/>
          <w:szCs w:val="24"/>
          <w:lang w:val="en-US"/>
        </w:rPr>
        <w:t>“</w:t>
      </w:r>
      <w:r w:rsidRPr="00E23BA0">
        <w:rPr>
          <w:rFonts w:cs="Times New Roman"/>
          <w:szCs w:val="24"/>
          <w:lang w:val="en-US"/>
        </w:rPr>
        <w:t>and I was caught between two torments</w:t>
      </w:r>
      <w:r w:rsidR="00CC0615">
        <w:rPr>
          <w:rFonts w:cs="Times New Roman"/>
          <w:szCs w:val="24"/>
          <w:lang w:val="en-US"/>
        </w:rPr>
        <w:t>”</w:t>
      </w:r>
      <w:r w:rsidRPr="00E23BA0">
        <w:rPr>
          <w:rFonts w:cs="Times New Roman"/>
          <w:szCs w:val="24"/>
          <w:lang w:val="en-US"/>
        </w:rPr>
        <w:t xml:space="preserve">; in the previous line Hipponax introduced the very iconic image of forked pieces of wood which ironically represents these two torments. Archilochus and Hipponax both use δή as evidential particle, but Archilochus </w:t>
      </w:r>
      <w:r w:rsidR="003A53D6">
        <w:rPr>
          <w:rFonts w:cs="Times New Roman"/>
          <w:szCs w:val="24"/>
          <w:lang w:val="en-US"/>
        </w:rPr>
        <w:t xml:space="preserve">refers to the </w:t>
      </w:r>
      <w:r w:rsidRPr="00E23BA0">
        <w:rPr>
          <w:rFonts w:cs="Times New Roman"/>
          <w:szCs w:val="24"/>
          <w:lang w:val="en-US"/>
        </w:rPr>
        <w:t xml:space="preserve">immediate </w:t>
      </w:r>
      <w:r w:rsidR="003A53D6">
        <w:rPr>
          <w:rFonts w:cs="Times New Roman"/>
          <w:szCs w:val="24"/>
          <w:lang w:val="en-US"/>
        </w:rPr>
        <w:t>reality</w:t>
      </w:r>
      <w:r w:rsidRPr="00E23BA0">
        <w:rPr>
          <w:rFonts w:cs="Times New Roman"/>
          <w:szCs w:val="24"/>
          <w:lang w:val="en-US"/>
        </w:rPr>
        <w:t>, while Hipponax</w:t>
      </w:r>
      <w:r w:rsidR="003A53D6">
        <w:rPr>
          <w:rFonts w:cs="Times New Roman"/>
          <w:szCs w:val="24"/>
          <w:lang w:val="en-US"/>
        </w:rPr>
        <w:t xml:space="preserve"> refers to something beyond the immediate reality. </w:t>
      </w:r>
    </w:p>
    <w:p w14:paraId="177BAEC8" w14:textId="548176DF" w:rsidR="00661FBC" w:rsidRPr="00E23BA0" w:rsidRDefault="00661FBC" w:rsidP="00D238A0">
      <w:pPr>
        <w:ind w:firstLine="426"/>
        <w:rPr>
          <w:rFonts w:cs="Times New Roman"/>
          <w:szCs w:val="24"/>
          <w:lang w:val="en-US"/>
        </w:rPr>
      </w:pPr>
      <w:r w:rsidRPr="00E23BA0">
        <w:rPr>
          <w:rFonts w:cs="Times New Roman"/>
          <w:szCs w:val="24"/>
          <w:lang w:val="en-US"/>
        </w:rPr>
        <w:t>Callimachus</w:t>
      </w:r>
      <w:r w:rsidR="00075F5F">
        <w:rPr>
          <w:rFonts w:cs="Times New Roman"/>
          <w:szCs w:val="24"/>
          <w:lang w:val="en-US"/>
        </w:rPr>
        <w:t>’</w:t>
      </w:r>
      <w:r w:rsidRPr="00E23BA0">
        <w:rPr>
          <w:rFonts w:cs="Times New Roman"/>
          <w:szCs w:val="24"/>
          <w:lang w:val="en-US"/>
        </w:rPr>
        <w:t xml:space="preserve"> </w:t>
      </w:r>
      <w:r w:rsidRPr="00E23BA0">
        <w:rPr>
          <w:rFonts w:cs="Times New Roman"/>
          <w:i/>
          <w:iCs/>
          <w:szCs w:val="24"/>
          <w:lang w:val="en-US"/>
        </w:rPr>
        <w:t>Iambi</w:t>
      </w:r>
      <w:r w:rsidRPr="00E23BA0">
        <w:rPr>
          <w:rFonts w:cs="Times New Roman"/>
          <w:szCs w:val="24"/>
          <w:lang w:val="en-US"/>
        </w:rPr>
        <w:t xml:space="preserve"> too possesses an</w:t>
      </w:r>
      <w:r w:rsidRPr="003A53D6">
        <w:rPr>
          <w:rFonts w:cs="Times New Roman"/>
          <w:szCs w:val="24"/>
          <w:lang w:val="en-US"/>
        </w:rPr>
        <w:t xml:space="preserve"> instance of evidential δή used in an ironic context, as shown by Call. </w:t>
      </w:r>
      <w:r w:rsidRPr="003A53D6">
        <w:rPr>
          <w:rFonts w:cs="Times New Roman"/>
          <w:i/>
          <w:iCs/>
          <w:szCs w:val="24"/>
          <w:lang w:val="en-US"/>
        </w:rPr>
        <w:t>Ia.</w:t>
      </w:r>
      <w:r w:rsidRPr="003A53D6">
        <w:rPr>
          <w:rFonts w:cs="Times New Roman"/>
          <w:szCs w:val="24"/>
          <w:lang w:val="en-US"/>
        </w:rPr>
        <w:t xml:space="preserve"> 4.103 ὦ κακὴ λώβη, / ὡς δὴ μί</w:t>
      </w:r>
      <w:r w:rsidR="00075F5F">
        <w:rPr>
          <w:rFonts w:cs="Times New Roman"/>
          <w:szCs w:val="24"/>
          <w:lang w:val="en-US"/>
        </w:rPr>
        <w:t>’</w:t>
      </w:r>
      <w:r w:rsidRPr="003A53D6">
        <w:rPr>
          <w:rFonts w:cs="Times New Roman"/>
          <w:szCs w:val="24"/>
          <w:lang w:val="en-US"/>
        </w:rPr>
        <w:t xml:space="preserve"> ἡμέων καὶ σύ; </w:t>
      </w:r>
      <w:r w:rsidR="00CC0615">
        <w:rPr>
          <w:rFonts w:cs="Times New Roman"/>
          <w:szCs w:val="24"/>
          <w:lang w:val="en-US"/>
        </w:rPr>
        <w:t>“</w:t>
      </w:r>
      <w:r w:rsidRPr="003A53D6">
        <w:rPr>
          <w:rFonts w:cs="Times New Roman"/>
          <w:szCs w:val="24"/>
          <w:lang w:val="en-US"/>
        </w:rPr>
        <w:t>o evil source of disgrace, so even you are one of us?</w:t>
      </w:r>
      <w:r w:rsidR="00CC0615">
        <w:rPr>
          <w:rFonts w:cs="Times New Roman"/>
          <w:szCs w:val="24"/>
          <w:lang w:val="en-US"/>
        </w:rPr>
        <w:t>”</w:t>
      </w:r>
      <w:r w:rsidRPr="003A53D6">
        <w:rPr>
          <w:rFonts w:cs="Times New Roman"/>
          <w:szCs w:val="24"/>
          <w:lang w:val="en-US"/>
        </w:rPr>
        <w:t xml:space="preserve"> The other two occurences of δή in Callimachus</w:t>
      </w:r>
      <w:r w:rsidR="00075F5F">
        <w:rPr>
          <w:rFonts w:cs="Times New Roman"/>
          <w:szCs w:val="24"/>
          <w:lang w:val="en-US"/>
        </w:rPr>
        <w:t>’</w:t>
      </w:r>
      <w:r w:rsidRPr="003A53D6">
        <w:rPr>
          <w:rFonts w:cs="Times New Roman"/>
          <w:szCs w:val="24"/>
          <w:lang w:val="en-US"/>
        </w:rPr>
        <w:t xml:space="preserve"> </w:t>
      </w:r>
      <w:r w:rsidRPr="00125415">
        <w:rPr>
          <w:rFonts w:cs="Times New Roman"/>
          <w:i/>
          <w:iCs/>
          <w:szCs w:val="24"/>
          <w:lang w:val="en-US"/>
        </w:rPr>
        <w:t>Iambi</w:t>
      </w:r>
      <w:r w:rsidRPr="00125415">
        <w:rPr>
          <w:rFonts w:cs="Times New Roman"/>
          <w:szCs w:val="24"/>
          <w:lang w:val="en-US"/>
        </w:rPr>
        <w:t xml:space="preserve"> are a little different from those we find in the two archaic iambographers, since they are logical and/or connective.</w:t>
      </w:r>
      <w:r w:rsidRPr="00E23BA0">
        <w:rPr>
          <w:rStyle w:val="FootnoteReference"/>
          <w:rFonts w:cs="Times New Roman"/>
          <w:szCs w:val="24"/>
          <w:lang w:val="en-US"/>
        </w:rPr>
        <w:footnoteReference w:id="333"/>
      </w:r>
      <w:r w:rsidRPr="00E23BA0">
        <w:rPr>
          <w:rFonts w:cs="Times New Roman"/>
          <w:szCs w:val="24"/>
          <w:lang w:val="en-US"/>
        </w:rPr>
        <w:t xml:space="preserve"> I am referring to </w:t>
      </w:r>
      <w:r w:rsidRPr="00E23BA0">
        <w:rPr>
          <w:rFonts w:cs="Times New Roman"/>
          <w:i/>
          <w:iCs/>
          <w:szCs w:val="24"/>
          <w:lang w:val="en-US"/>
        </w:rPr>
        <w:t>Ia</w:t>
      </w:r>
      <w:r w:rsidRPr="00E23BA0">
        <w:rPr>
          <w:rFonts w:cs="Times New Roman"/>
          <w:szCs w:val="24"/>
          <w:lang w:val="en-US"/>
        </w:rPr>
        <w:t>. 1.64 πρὸ</w:t>
      </w:r>
      <w:r w:rsidRPr="003A53D6">
        <w:rPr>
          <w:rFonts w:cs="Times New Roman"/>
          <w:szCs w:val="24"/>
          <w:lang w:val="en-US"/>
        </w:rPr>
        <w:t>ς δή μιν ὧδ</w:t>
      </w:r>
      <w:r w:rsidR="00075F5F">
        <w:rPr>
          <w:rFonts w:cs="Times New Roman"/>
          <w:szCs w:val="24"/>
          <w:lang w:val="en-US"/>
        </w:rPr>
        <w:t>’</w:t>
      </w:r>
      <w:r w:rsidRPr="003A53D6">
        <w:rPr>
          <w:rFonts w:cs="Times New Roman"/>
          <w:szCs w:val="24"/>
          <w:lang w:val="en-US"/>
        </w:rPr>
        <w:t xml:space="preserve"> ἔφησε </w:t>
      </w:r>
      <w:r w:rsidR="00CC0615">
        <w:rPr>
          <w:rFonts w:cs="Times New Roman"/>
          <w:szCs w:val="24"/>
          <w:lang w:val="en-US"/>
        </w:rPr>
        <w:t>“</w:t>
      </w:r>
      <w:r w:rsidRPr="003A53D6">
        <w:rPr>
          <w:rFonts w:cs="Times New Roman"/>
          <w:szCs w:val="24"/>
          <w:lang w:val="en-US"/>
        </w:rPr>
        <w:t>to him he spoke thus</w:t>
      </w:r>
      <w:r w:rsidR="00CC0615">
        <w:rPr>
          <w:rFonts w:cs="Times New Roman"/>
          <w:szCs w:val="24"/>
          <w:lang w:val="en-US"/>
        </w:rPr>
        <w:t>”</w:t>
      </w:r>
      <w:r w:rsidRPr="003A53D6">
        <w:rPr>
          <w:rFonts w:cs="Times New Roman"/>
          <w:szCs w:val="24"/>
          <w:lang w:val="en-US"/>
        </w:rPr>
        <w:t xml:space="preserve"> and </w:t>
      </w:r>
      <w:r w:rsidRPr="003A53D6">
        <w:rPr>
          <w:rFonts w:cs="Times New Roman"/>
          <w:i/>
          <w:iCs/>
          <w:szCs w:val="24"/>
          <w:lang w:val="en-US"/>
        </w:rPr>
        <w:t>Ia.</w:t>
      </w:r>
      <w:r w:rsidRPr="003A53D6">
        <w:rPr>
          <w:rFonts w:cs="Times New Roman"/>
          <w:szCs w:val="24"/>
          <w:lang w:val="en-US"/>
        </w:rPr>
        <w:t xml:space="preserve"> 4.6 ἄκουε δὴ τὸν αἶνον </w:t>
      </w:r>
      <w:r w:rsidR="00CC0615">
        <w:rPr>
          <w:rFonts w:cs="Times New Roman"/>
          <w:szCs w:val="24"/>
          <w:lang w:val="en-US"/>
        </w:rPr>
        <w:t>“</w:t>
      </w:r>
      <w:r w:rsidRPr="003A53D6">
        <w:rPr>
          <w:rFonts w:cs="Times New Roman"/>
          <w:szCs w:val="24"/>
          <w:lang w:val="en-US"/>
        </w:rPr>
        <w:t>indeed hear the fable.</w:t>
      </w:r>
      <w:r w:rsidR="00CC0615">
        <w:rPr>
          <w:rFonts w:cs="Times New Roman"/>
          <w:szCs w:val="24"/>
          <w:lang w:val="en-US"/>
        </w:rPr>
        <w:t>”</w:t>
      </w:r>
      <w:r w:rsidRPr="003A53D6">
        <w:rPr>
          <w:rFonts w:cs="Times New Roman"/>
          <w:szCs w:val="24"/>
          <w:lang w:val="en-US"/>
        </w:rPr>
        <w:t xml:space="preserve"> In both cases, δή may be translated as </w:t>
      </w:r>
      <w:r w:rsidR="00CC0615">
        <w:rPr>
          <w:rFonts w:cs="Times New Roman"/>
          <w:szCs w:val="24"/>
          <w:lang w:val="en-US"/>
        </w:rPr>
        <w:t>“</w:t>
      </w:r>
      <w:r w:rsidRPr="003A53D6">
        <w:rPr>
          <w:rFonts w:cs="Times New Roman"/>
          <w:szCs w:val="24"/>
          <w:lang w:val="en-US"/>
        </w:rPr>
        <w:t>therefore,</w:t>
      </w:r>
      <w:r w:rsidR="00CC0615">
        <w:rPr>
          <w:rFonts w:cs="Times New Roman"/>
          <w:szCs w:val="24"/>
          <w:lang w:val="en-US"/>
        </w:rPr>
        <w:t>”</w:t>
      </w:r>
      <w:r w:rsidRPr="003A53D6">
        <w:rPr>
          <w:rFonts w:cs="Times New Roman"/>
          <w:szCs w:val="24"/>
          <w:lang w:val="en-US"/>
        </w:rPr>
        <w:t xml:space="preserve"> and thus, from a logical point of view, it conveys a progression to a second idea from which the consideration naturally follows</w:t>
      </w:r>
      <w:r w:rsidRPr="00E23BA0">
        <w:rPr>
          <w:rFonts w:cs="Times New Roman"/>
          <w:szCs w:val="24"/>
          <w:lang w:val="en-US"/>
        </w:rPr>
        <w:t xml:space="preserve">: the statement introduced by δή is clearly a consequence of what has just been said. </w:t>
      </w:r>
    </w:p>
    <w:p w14:paraId="7EECF024" w14:textId="60711B95" w:rsidR="00661FBC" w:rsidRPr="00E23BA0" w:rsidRDefault="00661FBC" w:rsidP="00D238A0">
      <w:pPr>
        <w:ind w:firstLine="426"/>
        <w:rPr>
          <w:rFonts w:cs="Times New Roman"/>
          <w:szCs w:val="24"/>
          <w:lang w:val="en-US"/>
        </w:rPr>
      </w:pPr>
      <w:r w:rsidRPr="00E23BA0">
        <w:rPr>
          <w:rFonts w:cs="Times New Roman"/>
          <w:szCs w:val="24"/>
          <w:lang w:val="en-US"/>
        </w:rPr>
        <w:t xml:space="preserve">For the use of γάρ, Denniston distinguishes two categories. Such cases as were discussed in the last section (above at [give the section heading]) he calls </w:t>
      </w:r>
      <w:r w:rsidR="00CC0615">
        <w:rPr>
          <w:rFonts w:cs="Times New Roman"/>
          <w:szCs w:val="24"/>
          <w:lang w:val="en-US"/>
        </w:rPr>
        <w:t>“</w:t>
      </w:r>
      <w:r w:rsidRPr="00E23BA0">
        <w:rPr>
          <w:rFonts w:cs="Times New Roman"/>
          <w:szCs w:val="24"/>
          <w:lang w:val="en-US"/>
        </w:rPr>
        <w:t>explanatory</w:t>
      </w:r>
      <w:r w:rsidR="00CC0615">
        <w:rPr>
          <w:rFonts w:cs="Times New Roman"/>
          <w:szCs w:val="24"/>
          <w:lang w:val="en-US"/>
        </w:rPr>
        <w:t>”</w:t>
      </w:r>
      <w:r w:rsidRPr="00E23BA0">
        <w:rPr>
          <w:rFonts w:cs="Times New Roman"/>
          <w:szCs w:val="24"/>
          <w:lang w:val="en-US"/>
        </w:rPr>
        <w:t>;</w:t>
      </w:r>
      <w:r w:rsidRPr="00E23BA0">
        <w:rPr>
          <w:rStyle w:val="FootnoteReference"/>
          <w:rFonts w:cs="Times New Roman"/>
          <w:szCs w:val="24"/>
          <w:lang w:val="en-US"/>
        </w:rPr>
        <w:footnoteReference w:id="334"/>
      </w:r>
      <w:r w:rsidRPr="00E23BA0">
        <w:rPr>
          <w:rFonts w:cs="Times New Roman"/>
          <w:szCs w:val="24"/>
          <w:lang w:val="en-US"/>
        </w:rPr>
        <w:t xml:space="preserve"> the large majority of uses, however, he brings under the heading of </w:t>
      </w:r>
      <w:r w:rsidR="00CC0615">
        <w:rPr>
          <w:rFonts w:cs="Times New Roman"/>
          <w:szCs w:val="24"/>
          <w:lang w:val="en-US"/>
        </w:rPr>
        <w:t>“</w:t>
      </w:r>
      <w:r w:rsidRPr="00E23BA0">
        <w:rPr>
          <w:rFonts w:cs="Times New Roman"/>
          <w:szCs w:val="24"/>
          <w:lang w:val="en-US"/>
        </w:rPr>
        <w:t xml:space="preserve">confirmatory or </w:t>
      </w:r>
      <w:r w:rsidRPr="00E23BA0">
        <w:rPr>
          <w:rFonts w:cs="Times New Roman"/>
          <w:szCs w:val="24"/>
          <w:lang w:val="en-US"/>
        </w:rPr>
        <w:lastRenderedPageBreak/>
        <w:t>causal, giving the ground for belief, or the motif for action.</w:t>
      </w:r>
      <w:r w:rsidR="00CC0615">
        <w:rPr>
          <w:rFonts w:cs="Times New Roman"/>
          <w:szCs w:val="24"/>
          <w:lang w:val="en-US"/>
        </w:rPr>
        <w:t>”</w:t>
      </w:r>
      <w:r w:rsidRPr="00E23BA0">
        <w:rPr>
          <w:rStyle w:val="FootnoteReference"/>
          <w:rFonts w:cs="Times New Roman"/>
          <w:szCs w:val="24"/>
          <w:lang w:val="en-US"/>
        </w:rPr>
        <w:footnoteReference w:id="335"/>
      </w:r>
      <w:r w:rsidRPr="00E23BA0">
        <w:rPr>
          <w:rFonts w:cs="Times New Roman"/>
          <w:szCs w:val="24"/>
          <w:lang w:val="en-US"/>
        </w:rPr>
        <w:t xml:space="preserve"> However, the standard distinction, that of dividing γάρ between </w:t>
      </w:r>
      <w:r w:rsidR="00CC0615">
        <w:rPr>
          <w:rFonts w:cs="Times New Roman"/>
          <w:szCs w:val="24"/>
          <w:lang w:val="en-US"/>
        </w:rPr>
        <w:t>“</w:t>
      </w:r>
      <w:r w:rsidRPr="00E23BA0">
        <w:rPr>
          <w:rFonts w:cs="Times New Roman"/>
          <w:szCs w:val="24"/>
          <w:lang w:val="en-US"/>
        </w:rPr>
        <w:t>explanatory</w:t>
      </w:r>
      <w:r w:rsidR="00CC0615">
        <w:rPr>
          <w:rFonts w:cs="Times New Roman"/>
          <w:szCs w:val="24"/>
          <w:lang w:val="en-US"/>
        </w:rPr>
        <w:t>”</w:t>
      </w:r>
      <w:r w:rsidRPr="00E23BA0">
        <w:rPr>
          <w:rFonts w:cs="Times New Roman"/>
          <w:szCs w:val="24"/>
          <w:lang w:val="en-US"/>
        </w:rPr>
        <w:t xml:space="preserve"> and </w:t>
      </w:r>
      <w:r w:rsidR="00CC0615">
        <w:rPr>
          <w:rFonts w:cs="Times New Roman"/>
          <w:szCs w:val="24"/>
          <w:lang w:val="en-US"/>
        </w:rPr>
        <w:t>“</w:t>
      </w:r>
      <w:r w:rsidRPr="00E23BA0">
        <w:rPr>
          <w:rFonts w:cs="Times New Roman"/>
          <w:szCs w:val="24"/>
          <w:lang w:val="en-US"/>
        </w:rPr>
        <w:t>causal</w:t>
      </w:r>
      <w:r w:rsidR="00CC0615">
        <w:rPr>
          <w:rFonts w:cs="Times New Roman"/>
          <w:szCs w:val="24"/>
          <w:lang w:val="en-US"/>
        </w:rPr>
        <w:t>”</w:t>
      </w:r>
      <w:r w:rsidRPr="00E23BA0">
        <w:rPr>
          <w:rFonts w:cs="Times New Roman"/>
          <w:szCs w:val="24"/>
          <w:lang w:val="en-US"/>
        </w:rPr>
        <w:t xml:space="preserve"> cannot do justice to the use of γάρ in the iambic texts.</w:t>
      </w:r>
    </w:p>
    <w:p w14:paraId="62C58BD6" w14:textId="5B0AE232" w:rsidR="00661FBC" w:rsidRPr="003A53D6" w:rsidRDefault="00661FBC" w:rsidP="00D238A0">
      <w:pPr>
        <w:ind w:firstLine="426"/>
        <w:rPr>
          <w:rFonts w:cs="Times New Roman"/>
          <w:szCs w:val="24"/>
          <w:lang w:val="en-US"/>
        </w:rPr>
      </w:pPr>
      <w:r w:rsidRPr="00E23BA0">
        <w:rPr>
          <w:rFonts w:cs="Times New Roman"/>
          <w:szCs w:val="24"/>
          <w:lang w:val="en-US"/>
        </w:rPr>
        <w:t>The purpose of sentences introduced with γάρ is primarily explanatory: they provide answers to all sorts of questions raised by the speaker</w:t>
      </w:r>
      <w:r w:rsidR="00075F5F">
        <w:rPr>
          <w:rFonts w:cs="Times New Roman"/>
          <w:szCs w:val="24"/>
          <w:lang w:val="en-US"/>
        </w:rPr>
        <w:t>’</w:t>
      </w:r>
      <w:r w:rsidRPr="00E23BA0">
        <w:rPr>
          <w:rFonts w:cs="Times New Roman"/>
          <w:szCs w:val="24"/>
          <w:lang w:val="en-US"/>
        </w:rPr>
        <w:t xml:space="preserve">s utterances, as shown by Archil. fr. 98 </w:t>
      </w:r>
      <w:r w:rsidRPr="003A53D6">
        <w:rPr>
          <w:rFonts w:cs="Times New Roman"/>
          <w:szCs w:val="24"/>
          <w:lang w:val="en-US"/>
        </w:rPr>
        <w:t xml:space="preserve">Ἐρξίην· ἐτήτυμον γὰρ ξυνὸς ἀνθρώποις Ἄρης </w:t>
      </w:r>
      <w:r w:rsidR="00CC0615">
        <w:rPr>
          <w:rFonts w:cs="Times New Roman"/>
          <w:szCs w:val="24"/>
          <w:lang w:val="en-US"/>
        </w:rPr>
        <w:t>“</w:t>
      </w:r>
      <w:r w:rsidRPr="003A53D6">
        <w:rPr>
          <w:rFonts w:cs="Times New Roman"/>
          <w:szCs w:val="24"/>
          <w:lang w:val="en-US"/>
        </w:rPr>
        <w:t>Erxies: for in truth Ares is impartial towards men.</w:t>
      </w:r>
      <w:r w:rsidR="00CC0615">
        <w:rPr>
          <w:rFonts w:cs="Times New Roman"/>
          <w:szCs w:val="24"/>
          <w:lang w:val="en-US"/>
        </w:rPr>
        <w:t>”</w:t>
      </w:r>
      <w:r w:rsidRPr="003A53D6">
        <w:rPr>
          <w:rFonts w:cs="Times New Roman"/>
          <w:szCs w:val="24"/>
          <w:lang w:val="en-US"/>
        </w:rPr>
        <w:t xml:space="preserve"> Γάρ supplies the self-evidently adequate answer of the speaker to any question (or criticism) he may receive during his speech. </w:t>
      </w:r>
    </w:p>
    <w:p w14:paraId="4F928D33" w14:textId="65194F6D" w:rsidR="00661FBC" w:rsidRPr="003A53D6" w:rsidRDefault="00661FBC" w:rsidP="00D238A0">
      <w:pPr>
        <w:ind w:firstLine="426"/>
        <w:rPr>
          <w:rFonts w:cs="Times New Roman"/>
          <w:szCs w:val="24"/>
          <w:lang w:val="en-US"/>
        </w:rPr>
      </w:pPr>
      <w:r w:rsidRPr="003A53D6">
        <w:rPr>
          <w:rFonts w:cs="Times New Roman"/>
          <w:szCs w:val="24"/>
          <w:lang w:val="en-US"/>
        </w:rPr>
        <w:t>The function of γάρ remains unchanged in all the three iambographers, but the context and the point of view in and for which γάρ is used change a lot. In Archilochus</w:t>
      </w:r>
      <w:r w:rsidR="00075F5F">
        <w:rPr>
          <w:rFonts w:cs="Times New Roman"/>
          <w:szCs w:val="24"/>
          <w:lang w:val="en-US"/>
        </w:rPr>
        <w:t>’</w:t>
      </w:r>
      <w:r w:rsidRPr="003A53D6">
        <w:rPr>
          <w:rFonts w:cs="Times New Roman"/>
          <w:szCs w:val="24"/>
          <w:lang w:val="en-US"/>
        </w:rPr>
        <w:t xml:space="preserve"> fragments, γάρ always and only introduces the point of view of the speaker. It is usually conclusive, marking the end of the argument, as shown by Archil. fr. 121.5 τόσους γὰρ ἐξεχώρησεν γύας νηλε</w:t>
      </w:r>
      <w:hyperlink r:id="rId41" w:history="1">
        <w:r w:rsidRPr="00E23BA0">
          <w:rPr>
            <w:rFonts w:cs="Times New Roman"/>
            <w:szCs w:val="24"/>
            <w:lang w:val="en-US"/>
          </w:rPr>
          <w:t>[</w:t>
        </w:r>
      </w:hyperlink>
      <w:hyperlink r:id="rId42" w:history="1">
        <w:r w:rsidRPr="00E23BA0">
          <w:rPr>
            <w:rFonts w:cs="Times New Roman"/>
            <w:szCs w:val="24"/>
            <w:lang w:val="en-US"/>
          </w:rPr>
          <w:t>....</w:t>
        </w:r>
      </w:hyperlink>
      <w:hyperlink r:id="rId43" w:history="1">
        <w:r w:rsidRPr="00E23BA0">
          <w:rPr>
            <w:rFonts w:cs="Times New Roman"/>
            <w:szCs w:val="24"/>
            <w:lang w:val="en-US"/>
          </w:rPr>
          <w:t>]</w:t>
        </w:r>
      </w:hyperlink>
      <w:r w:rsidRPr="00E23BA0">
        <w:rPr>
          <w:rFonts w:cs="Times New Roman"/>
          <w:szCs w:val="24"/>
          <w:lang w:val="en-US"/>
        </w:rPr>
        <w:t xml:space="preserve">παντος. ἀλλὰ </w:t>
      </w:r>
      <w:r w:rsidR="00CC0615">
        <w:rPr>
          <w:rFonts w:cs="Times New Roman"/>
          <w:szCs w:val="24"/>
          <w:lang w:val="en-US"/>
        </w:rPr>
        <w:t>“</w:t>
      </w:r>
      <w:r w:rsidRPr="00E23BA0">
        <w:rPr>
          <w:rFonts w:cs="Times New Roman"/>
          <w:szCs w:val="24"/>
          <w:lang w:val="en-US"/>
        </w:rPr>
        <w:t>for so much land did it give up,</w:t>
      </w:r>
      <w:r w:rsidR="00CC0615">
        <w:rPr>
          <w:rFonts w:cs="Times New Roman"/>
          <w:szCs w:val="24"/>
          <w:lang w:val="en-US"/>
        </w:rPr>
        <w:t>”</w:t>
      </w:r>
      <w:r w:rsidRPr="00E23BA0">
        <w:rPr>
          <w:rFonts w:cs="Times New Roman"/>
          <w:szCs w:val="24"/>
          <w:lang w:val="en-US"/>
        </w:rPr>
        <w:t xml:space="preserve"> where ἀ</w:t>
      </w:r>
      <w:r w:rsidRPr="003A53D6">
        <w:rPr>
          <w:rFonts w:cs="Times New Roman"/>
          <w:szCs w:val="24"/>
          <w:lang w:val="en-US"/>
        </w:rPr>
        <w:t>λλὰ marks the beginning of a new statement.</w:t>
      </w:r>
    </w:p>
    <w:p w14:paraId="443FAC0D" w14:textId="7F828DDE" w:rsidR="00661FBC" w:rsidRPr="009F59C0" w:rsidRDefault="00661FBC" w:rsidP="00D238A0">
      <w:pPr>
        <w:ind w:firstLine="426"/>
        <w:rPr>
          <w:rFonts w:cs="Times New Roman"/>
          <w:szCs w:val="24"/>
          <w:lang w:val="en-US"/>
        </w:rPr>
      </w:pPr>
      <w:r w:rsidRPr="003A53D6">
        <w:rPr>
          <w:rFonts w:cs="Times New Roman"/>
          <w:szCs w:val="24"/>
          <w:lang w:val="en-US"/>
        </w:rPr>
        <w:t>Hipponax, instead, provides numerous instances where γάρ occurs in a parenthetical sentence, as shown by Hippon. fr. 44.1 ἐμοὶ δὲ Πλοῦτος—</w:t>
      </w:r>
      <w:r w:rsidRPr="00125415">
        <w:rPr>
          <w:rFonts w:cs="Times New Roman"/>
          <w:szCs w:val="24"/>
          <w:lang w:val="en-US"/>
        </w:rPr>
        <w:t xml:space="preserve">ἔστι γὰρ λίην τυφλός— </w:t>
      </w:r>
      <w:r w:rsidR="00CC0615">
        <w:rPr>
          <w:rFonts w:cs="Times New Roman"/>
          <w:szCs w:val="24"/>
          <w:lang w:val="en-US"/>
        </w:rPr>
        <w:t>“</w:t>
      </w:r>
      <w:r w:rsidRPr="00125415">
        <w:rPr>
          <w:rFonts w:cs="Times New Roman"/>
          <w:szCs w:val="24"/>
          <w:lang w:val="en-US"/>
        </w:rPr>
        <w:t>Wealth – for he is exceedingly blind.</w:t>
      </w:r>
      <w:r w:rsidR="00CC0615">
        <w:rPr>
          <w:rFonts w:cs="Times New Roman"/>
          <w:szCs w:val="24"/>
          <w:lang w:val="en-US"/>
        </w:rPr>
        <w:t>”</w:t>
      </w:r>
      <w:r w:rsidRPr="00125415">
        <w:rPr>
          <w:rFonts w:cs="Times New Roman"/>
          <w:szCs w:val="24"/>
          <w:lang w:val="en-US"/>
        </w:rPr>
        <w:t xml:space="preserve"> It is worth noting that the blindness of Plutus is a commonplace. The force of the explanation is in some way reduced by the fact that the audience considers the given explanation as subjective and limited to t</w:t>
      </w:r>
      <w:r w:rsidRPr="009F59C0">
        <w:rPr>
          <w:rFonts w:cs="Times New Roman"/>
          <w:szCs w:val="24"/>
          <w:lang w:val="en-US"/>
        </w:rPr>
        <w:t>he speaker</w:t>
      </w:r>
      <w:r w:rsidR="00075F5F">
        <w:rPr>
          <w:rFonts w:cs="Times New Roman"/>
          <w:szCs w:val="24"/>
          <w:lang w:val="en-US"/>
        </w:rPr>
        <w:t>’</w:t>
      </w:r>
      <w:r w:rsidRPr="009F59C0">
        <w:rPr>
          <w:rFonts w:cs="Times New Roman"/>
          <w:szCs w:val="24"/>
          <w:lang w:val="en-US"/>
        </w:rPr>
        <w:t>s opinion.</w:t>
      </w:r>
    </w:p>
    <w:p w14:paraId="12584A43" w14:textId="22769744" w:rsidR="00E23BA0" w:rsidRPr="00E23BA0" w:rsidRDefault="00661FBC" w:rsidP="00D238A0">
      <w:pPr>
        <w:autoSpaceDE w:val="0"/>
        <w:autoSpaceDN w:val="0"/>
        <w:adjustRightInd w:val="0"/>
        <w:rPr>
          <w:rFonts w:cs="Times New Roman"/>
          <w:szCs w:val="24"/>
        </w:rPr>
      </w:pPr>
      <w:r w:rsidRPr="001C5EA4">
        <w:rPr>
          <w:rFonts w:cs="Times New Roman"/>
          <w:szCs w:val="24"/>
          <w:lang w:val="en-US"/>
        </w:rPr>
        <w:t>This brings us to Callimachus</w:t>
      </w:r>
      <w:r w:rsidR="00075F5F">
        <w:rPr>
          <w:rFonts w:cs="Times New Roman"/>
          <w:szCs w:val="24"/>
          <w:lang w:val="en-US"/>
        </w:rPr>
        <w:t>’</w:t>
      </w:r>
      <w:r w:rsidRPr="001C5EA4">
        <w:rPr>
          <w:rFonts w:cs="Times New Roman"/>
          <w:szCs w:val="24"/>
          <w:lang w:val="en-US"/>
        </w:rPr>
        <w:t xml:space="preserve"> use of γάρ. Callimachus never uses γάρ to express his own opinion, and indeed, he rarely uses γάρ in the speech of the main narrator of the iambs. Γάρ becomes a dialogical particle between the characters</w:t>
      </w:r>
      <w:r w:rsidRPr="004E03FF">
        <w:rPr>
          <w:rFonts w:cs="Times New Roman"/>
          <w:szCs w:val="24"/>
          <w:lang w:val="en-US"/>
        </w:rPr>
        <w:t xml:space="preserve"> of Callimachus, as shown by its presence in the question-answer exchange between the laurel and the olive tree:</w:t>
      </w:r>
    </w:p>
    <w:p w14:paraId="11489FA0" w14:textId="77777777" w:rsidR="006512C4" w:rsidRDefault="006512C4" w:rsidP="00D238A0">
      <w:pPr>
        <w:autoSpaceDE w:val="0"/>
        <w:autoSpaceDN w:val="0"/>
        <w:adjustRightInd w:val="0"/>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5"/>
        <w:gridCol w:w="3673"/>
      </w:tblGrid>
      <w:tr w:rsidR="006512C4" w:rsidRPr="00D630EB" w14:paraId="650352CF" w14:textId="77777777" w:rsidTr="00890EB4">
        <w:tc>
          <w:tcPr>
            <w:tcW w:w="4265" w:type="dxa"/>
          </w:tcPr>
          <w:p w14:paraId="2A207ADE" w14:textId="77777777" w:rsidR="006512C4" w:rsidRPr="00D630EB" w:rsidRDefault="006512C4" w:rsidP="009A5D6A">
            <w:pPr>
              <w:pStyle w:val="Blockquote"/>
              <w:rPr>
                <w:sz w:val="22"/>
                <w:szCs w:val="22"/>
              </w:rPr>
            </w:pPr>
            <w:r w:rsidRPr="00D630EB">
              <w:rPr>
                <w:sz w:val="22"/>
                <w:szCs w:val="22"/>
              </w:rPr>
              <w:t xml:space="preserve">Call. </w:t>
            </w:r>
            <w:r w:rsidRPr="00D630EB">
              <w:rPr>
                <w:i/>
                <w:sz w:val="22"/>
                <w:szCs w:val="22"/>
              </w:rPr>
              <w:t>Ia</w:t>
            </w:r>
            <w:r w:rsidRPr="00D630EB">
              <w:rPr>
                <w:sz w:val="22"/>
                <w:szCs w:val="22"/>
              </w:rPr>
              <w:t>. 4.56-59</w:t>
            </w:r>
          </w:p>
        </w:tc>
        <w:tc>
          <w:tcPr>
            <w:tcW w:w="3673" w:type="dxa"/>
          </w:tcPr>
          <w:p w14:paraId="3B1663E6" w14:textId="77777777" w:rsidR="006512C4" w:rsidRPr="00D630EB" w:rsidRDefault="006512C4" w:rsidP="009A5D6A">
            <w:pPr>
              <w:pStyle w:val="Blockquote"/>
              <w:rPr>
                <w:sz w:val="22"/>
                <w:szCs w:val="22"/>
              </w:rPr>
            </w:pPr>
          </w:p>
        </w:tc>
      </w:tr>
      <w:tr w:rsidR="006512C4" w:rsidRPr="00D630EB" w14:paraId="0EFAE979" w14:textId="77777777" w:rsidTr="00890EB4">
        <w:tc>
          <w:tcPr>
            <w:tcW w:w="4265" w:type="dxa"/>
          </w:tcPr>
          <w:p w14:paraId="4B8CAA63" w14:textId="1FF920AF" w:rsidR="006512C4" w:rsidRPr="00D630EB" w:rsidRDefault="006512C4" w:rsidP="009A5D6A">
            <w:pPr>
              <w:pStyle w:val="Blockquote"/>
              <w:rPr>
                <w:sz w:val="22"/>
                <w:szCs w:val="22"/>
              </w:rPr>
            </w:pPr>
            <w:r w:rsidRPr="00D630EB">
              <w:rPr>
                <w:sz w:val="22"/>
                <w:szCs w:val="22"/>
              </w:rPr>
              <w:t xml:space="preserve">                          ἀλλ</w:t>
            </w:r>
            <w:r w:rsidR="00075F5F">
              <w:rPr>
                <w:sz w:val="22"/>
                <w:szCs w:val="22"/>
              </w:rPr>
              <w:t>’</w:t>
            </w:r>
            <w:r w:rsidRPr="00D630EB">
              <w:rPr>
                <w:sz w:val="22"/>
                <w:szCs w:val="22"/>
              </w:rPr>
              <w:t xml:space="preserve"> ἐπ̣ε̣ὶ γὰρ ἐμνήσθης</w:t>
            </w:r>
          </w:p>
          <w:p w14:paraId="6E7173F9" w14:textId="77777777" w:rsidR="006512C4" w:rsidRPr="00D630EB" w:rsidRDefault="006512C4" w:rsidP="009A5D6A">
            <w:pPr>
              <w:pStyle w:val="Blockquote"/>
              <w:rPr>
                <w:sz w:val="22"/>
                <w:szCs w:val="22"/>
              </w:rPr>
            </w:pPr>
            <w:r w:rsidRPr="00D630EB">
              <w:rPr>
                <w:sz w:val="22"/>
                <w:szCs w:val="22"/>
              </w:rPr>
              <w:t>καὶ τοῦτο· κῶς ἄεθλον οὐκ ἐγὼ κρέσσων</w:t>
            </w:r>
          </w:p>
          <w:p w14:paraId="117B19C3" w14:textId="77777777" w:rsidR="006512C4" w:rsidRPr="00D630EB" w:rsidRDefault="006512C4" w:rsidP="009A5D6A">
            <w:pPr>
              <w:pStyle w:val="Blockquote"/>
              <w:rPr>
                <w:sz w:val="22"/>
                <w:szCs w:val="22"/>
              </w:rPr>
            </w:pPr>
            <w:r w:rsidRPr="00D630EB">
              <w:rPr>
                <w:sz w:val="22"/>
                <w:szCs w:val="22"/>
              </w:rPr>
              <w:t>σεῦ; καὶ γὰρ ὡγὼν ο̣ὑ̣ν Ὀλυμπίῃ μέζων</w:t>
            </w:r>
          </w:p>
          <w:p w14:paraId="3A97FC85" w14:textId="35F3A5B9" w:rsidR="006512C4" w:rsidRPr="00D630EB" w:rsidRDefault="006512C4" w:rsidP="009A5D6A">
            <w:pPr>
              <w:pStyle w:val="Blockquote"/>
              <w:rPr>
                <w:sz w:val="22"/>
                <w:szCs w:val="22"/>
                <w:lang w:val="el-GR"/>
              </w:rPr>
            </w:pPr>
            <w:r w:rsidRPr="00D630EB">
              <w:rPr>
                <w:sz w:val="22"/>
                <w:szCs w:val="22"/>
                <w:lang w:val="el-GR"/>
              </w:rPr>
              <w:t xml:space="preserve">ἢ </w:t>
            </w:r>
            <w:r w:rsidR="00075F5F">
              <w:rPr>
                <w:sz w:val="22"/>
                <w:szCs w:val="22"/>
                <w:lang w:val="el-GR"/>
              </w:rPr>
              <w:t>‘</w:t>
            </w:r>
            <w:r w:rsidRPr="00D630EB">
              <w:rPr>
                <w:sz w:val="22"/>
                <w:szCs w:val="22"/>
                <w:lang w:val="el-GR"/>
              </w:rPr>
              <w:t>ν τοῖσι Δελφοῖς· ἀλλ</w:t>
            </w:r>
            <w:r w:rsidR="00075F5F">
              <w:rPr>
                <w:sz w:val="22"/>
                <w:szCs w:val="22"/>
                <w:lang w:val="el-GR"/>
              </w:rPr>
              <w:t>’</w:t>
            </w:r>
            <w:r w:rsidRPr="00D630EB">
              <w:rPr>
                <w:sz w:val="22"/>
                <w:szCs w:val="22"/>
                <w:lang w:val="el-GR"/>
              </w:rPr>
              <w:t xml:space="preserve"> ἄριστον ἡ σωπή</w:t>
            </w:r>
          </w:p>
        </w:tc>
        <w:tc>
          <w:tcPr>
            <w:tcW w:w="3673" w:type="dxa"/>
          </w:tcPr>
          <w:p w14:paraId="73BF5A5F" w14:textId="2B04D968" w:rsidR="006512C4" w:rsidRPr="00D630EB" w:rsidRDefault="006512C4" w:rsidP="009A5D6A">
            <w:pPr>
              <w:pStyle w:val="Blockquote"/>
              <w:rPr>
                <w:sz w:val="22"/>
                <w:szCs w:val="22"/>
              </w:rPr>
            </w:pPr>
            <w:r w:rsidRPr="00D630EB">
              <w:rPr>
                <w:sz w:val="22"/>
                <w:szCs w:val="22"/>
              </w:rPr>
              <w:t>But since you mentioned this as well</w:t>
            </w:r>
            <w:r w:rsidR="00731814">
              <w:rPr>
                <w:sz w:val="22"/>
                <w:szCs w:val="22"/>
              </w:rPr>
              <w:t xml:space="preserve"> – </w:t>
            </w:r>
            <w:r w:rsidRPr="00D630EB">
              <w:rPr>
                <w:sz w:val="22"/>
                <w:szCs w:val="22"/>
              </w:rPr>
              <w:t>how am I not a prize of greater worth than you? For the contest in Olympia is greater than that in Delphi. But silence is best.</w:t>
            </w:r>
          </w:p>
        </w:tc>
      </w:tr>
      <w:tr w:rsidR="006512C4" w:rsidRPr="00D630EB" w14:paraId="5EEE3F79" w14:textId="77777777" w:rsidTr="00890EB4">
        <w:tc>
          <w:tcPr>
            <w:tcW w:w="4265" w:type="dxa"/>
          </w:tcPr>
          <w:p w14:paraId="4ADB7D48" w14:textId="77777777" w:rsidR="006512C4" w:rsidRPr="00D630EB" w:rsidRDefault="006512C4" w:rsidP="009A5D6A">
            <w:pPr>
              <w:pStyle w:val="Blockquote"/>
              <w:rPr>
                <w:sz w:val="22"/>
                <w:szCs w:val="22"/>
              </w:rPr>
            </w:pPr>
          </w:p>
          <w:p w14:paraId="61620114" w14:textId="77777777" w:rsidR="006512C4" w:rsidRPr="00D630EB" w:rsidRDefault="006512C4" w:rsidP="009A5D6A">
            <w:pPr>
              <w:pStyle w:val="Blockquote"/>
              <w:rPr>
                <w:sz w:val="22"/>
                <w:szCs w:val="22"/>
              </w:rPr>
            </w:pPr>
            <w:r w:rsidRPr="00D630EB">
              <w:rPr>
                <w:sz w:val="22"/>
                <w:szCs w:val="22"/>
              </w:rPr>
              <w:t xml:space="preserve">Call. </w:t>
            </w:r>
            <w:r w:rsidRPr="00D630EB">
              <w:rPr>
                <w:i/>
                <w:sz w:val="22"/>
                <w:szCs w:val="22"/>
              </w:rPr>
              <w:t>Ia</w:t>
            </w:r>
            <w:r w:rsidRPr="00D630EB">
              <w:rPr>
                <w:sz w:val="22"/>
                <w:szCs w:val="22"/>
              </w:rPr>
              <w:t>. 4.79-80, 83-84</w:t>
            </w:r>
          </w:p>
        </w:tc>
        <w:tc>
          <w:tcPr>
            <w:tcW w:w="3673" w:type="dxa"/>
          </w:tcPr>
          <w:p w14:paraId="07D058E0" w14:textId="77777777" w:rsidR="006512C4" w:rsidRPr="00D630EB" w:rsidRDefault="006512C4" w:rsidP="009A5D6A">
            <w:pPr>
              <w:pStyle w:val="Blockquote"/>
              <w:rPr>
                <w:sz w:val="22"/>
                <w:szCs w:val="22"/>
              </w:rPr>
            </w:pPr>
          </w:p>
        </w:tc>
      </w:tr>
      <w:tr w:rsidR="006512C4" w:rsidRPr="00D630EB" w14:paraId="0E553BD2" w14:textId="77777777" w:rsidTr="00890EB4">
        <w:tc>
          <w:tcPr>
            <w:tcW w:w="4265" w:type="dxa"/>
          </w:tcPr>
          <w:p w14:paraId="7505E456" w14:textId="77777777" w:rsidR="006512C4" w:rsidRPr="00D630EB" w:rsidRDefault="006512C4" w:rsidP="009A5D6A">
            <w:pPr>
              <w:pStyle w:val="Blockquote"/>
              <w:rPr>
                <w:sz w:val="22"/>
                <w:szCs w:val="22"/>
                <w:lang w:val="el-GR"/>
              </w:rPr>
            </w:pPr>
            <w:r w:rsidRPr="00D630EB">
              <w:rPr>
                <w:sz w:val="22"/>
                <w:szCs w:val="22"/>
                <w:lang w:val="el-GR"/>
              </w:rPr>
              <w:t>τεῦ γὰρ τὸ φύλλον οἱ ἱκέται προτείνουσι;</w:t>
            </w:r>
          </w:p>
          <w:p w14:paraId="7E15C035" w14:textId="53ECF25D" w:rsidR="006512C4" w:rsidRPr="00D630EB" w:rsidRDefault="006512C4" w:rsidP="009A5D6A">
            <w:pPr>
              <w:pStyle w:val="Blockquote"/>
              <w:rPr>
                <w:sz w:val="22"/>
                <w:szCs w:val="22"/>
                <w:lang w:val="el-GR"/>
              </w:rPr>
            </w:pPr>
            <w:r w:rsidRPr="00D630EB">
              <w:rPr>
                <w:sz w:val="22"/>
                <w:szCs w:val="22"/>
                <w:lang w:val="el-GR"/>
              </w:rPr>
              <w:t>τὸ τῆς ἐλαίης· τὰ τρί</w:t>
            </w:r>
            <w:r w:rsidR="00075F5F">
              <w:rPr>
                <w:sz w:val="22"/>
                <w:szCs w:val="22"/>
                <w:lang w:val="el-GR"/>
              </w:rPr>
              <w:t>’</w:t>
            </w:r>
            <w:r w:rsidRPr="00D630EB">
              <w:rPr>
                <w:sz w:val="22"/>
                <w:szCs w:val="22"/>
                <w:lang w:val="el-GR"/>
              </w:rPr>
              <w:t xml:space="preserve"> ἡ δάφνη κεῖται. </w:t>
            </w:r>
          </w:p>
          <w:p w14:paraId="237BB2F5" w14:textId="77777777" w:rsidR="006512C4" w:rsidRPr="00D630EB" w:rsidRDefault="006512C4" w:rsidP="009A5D6A">
            <w:pPr>
              <w:pStyle w:val="Blockquote"/>
              <w:rPr>
                <w:sz w:val="22"/>
                <w:szCs w:val="22"/>
                <w:lang w:val="el-GR"/>
              </w:rPr>
            </w:pPr>
            <w:r w:rsidRPr="00D630EB">
              <w:rPr>
                <w:sz w:val="22"/>
                <w:szCs w:val="22"/>
                <w:lang w:val="el-GR"/>
              </w:rPr>
              <w:t>[…]</w:t>
            </w:r>
          </w:p>
          <w:p w14:paraId="5B8D24AA" w14:textId="77777777" w:rsidR="006512C4" w:rsidRPr="00D630EB" w:rsidRDefault="006512C4" w:rsidP="009A5D6A">
            <w:pPr>
              <w:pStyle w:val="Blockquote"/>
              <w:rPr>
                <w:sz w:val="22"/>
                <w:szCs w:val="22"/>
                <w:lang w:val="el-GR"/>
              </w:rPr>
            </w:pPr>
            <w:r w:rsidRPr="00D630EB">
              <w:rPr>
                <w:sz w:val="22"/>
                <w:szCs w:val="22"/>
                <w:lang w:val="el-GR"/>
              </w:rPr>
              <w:t>τεῦ γ</w:t>
            </w:r>
            <w:hyperlink r:id="rId44" w:history="1">
              <w:r w:rsidRPr="00D630EB">
                <w:rPr>
                  <w:sz w:val="22"/>
                  <w:szCs w:val="22"/>
                  <w:lang w:val="el-GR"/>
                </w:rPr>
                <w:t>]</w:t>
              </w:r>
            </w:hyperlink>
            <w:r w:rsidRPr="00D630EB">
              <w:rPr>
                <w:sz w:val="22"/>
                <w:szCs w:val="22"/>
                <w:lang w:val="el-GR"/>
              </w:rPr>
              <w:t>ὰρ τὸ πρέμνον Δήλιοι φυλάσσουσι;</w:t>
            </w:r>
          </w:p>
          <w:p w14:paraId="50C4686C" w14:textId="77777777" w:rsidR="006512C4" w:rsidRPr="00D630EB" w:rsidRDefault="006512C4" w:rsidP="009A5D6A">
            <w:pPr>
              <w:pStyle w:val="Blockquote"/>
              <w:rPr>
                <w:sz w:val="22"/>
                <w:szCs w:val="22"/>
                <w:lang w:val="el-GR"/>
              </w:rPr>
            </w:pPr>
            <w:r w:rsidRPr="00D630EB">
              <w:rPr>
                <w:sz w:val="22"/>
                <w:szCs w:val="22"/>
                <w:lang w:val="el-GR"/>
              </w:rPr>
              <w:lastRenderedPageBreak/>
              <w:t>τὸ τῆς ἐλαίης ἣ ἀνέπαυσε τὴν Λητώ.</w:t>
            </w:r>
          </w:p>
        </w:tc>
        <w:tc>
          <w:tcPr>
            <w:tcW w:w="3673" w:type="dxa"/>
          </w:tcPr>
          <w:p w14:paraId="19E6C8D5" w14:textId="4EA23D7C" w:rsidR="006512C4" w:rsidRPr="00D630EB" w:rsidRDefault="00CC0615" w:rsidP="009A5D6A">
            <w:pPr>
              <w:pStyle w:val="Blockquote"/>
              <w:rPr>
                <w:sz w:val="22"/>
                <w:szCs w:val="22"/>
              </w:rPr>
            </w:pPr>
            <w:r>
              <w:rPr>
                <w:sz w:val="22"/>
                <w:szCs w:val="22"/>
              </w:rPr>
              <w:lastRenderedPageBreak/>
              <w:t>“</w:t>
            </w:r>
            <w:r w:rsidR="006512C4" w:rsidRPr="00D630EB">
              <w:rPr>
                <w:sz w:val="22"/>
                <w:szCs w:val="22"/>
              </w:rPr>
              <w:t>Whose leaf do suppliants hold before them?</w:t>
            </w:r>
            <w:r>
              <w:rPr>
                <w:sz w:val="22"/>
                <w:szCs w:val="22"/>
              </w:rPr>
              <w:t>”</w:t>
            </w:r>
            <w:r w:rsidR="006512C4" w:rsidRPr="00D630EB">
              <w:rPr>
                <w:sz w:val="22"/>
                <w:szCs w:val="22"/>
              </w:rPr>
              <w:t xml:space="preserve"> </w:t>
            </w:r>
            <w:r>
              <w:rPr>
                <w:sz w:val="22"/>
                <w:szCs w:val="22"/>
              </w:rPr>
              <w:t>“</w:t>
            </w:r>
            <w:r w:rsidR="006512C4" w:rsidRPr="00D630EB">
              <w:rPr>
                <w:sz w:val="22"/>
                <w:szCs w:val="22"/>
              </w:rPr>
              <w:t>That of the olive.</w:t>
            </w:r>
            <w:r>
              <w:rPr>
                <w:sz w:val="22"/>
                <w:szCs w:val="22"/>
              </w:rPr>
              <w:t>”</w:t>
            </w:r>
            <w:r w:rsidR="006512C4" w:rsidRPr="00D630EB">
              <w:rPr>
                <w:sz w:val="22"/>
                <w:szCs w:val="22"/>
              </w:rPr>
              <w:t xml:space="preserve"> </w:t>
            </w:r>
            <w:r>
              <w:rPr>
                <w:sz w:val="22"/>
                <w:szCs w:val="22"/>
              </w:rPr>
              <w:t>“</w:t>
            </w:r>
            <w:r w:rsidR="006512C4" w:rsidRPr="00D630EB">
              <w:rPr>
                <w:sz w:val="22"/>
                <w:szCs w:val="22"/>
              </w:rPr>
              <w:t>The laurel lies fallen for the third time</w:t>
            </w:r>
            <w:r w:rsidR="005E0BC0" w:rsidRPr="00D630EB">
              <w:rPr>
                <w:sz w:val="22"/>
                <w:szCs w:val="22"/>
              </w:rPr>
              <w:t>.</w:t>
            </w:r>
            <w:r>
              <w:rPr>
                <w:sz w:val="22"/>
                <w:szCs w:val="22"/>
              </w:rPr>
              <w:t>”</w:t>
            </w:r>
            <w:r w:rsidR="006512C4" w:rsidRPr="00D630EB">
              <w:rPr>
                <w:sz w:val="22"/>
                <w:szCs w:val="22"/>
              </w:rPr>
              <w:t xml:space="preserve"> […]</w:t>
            </w:r>
          </w:p>
          <w:p w14:paraId="45B365CD" w14:textId="77777777" w:rsidR="006512C4" w:rsidRPr="00D630EB" w:rsidRDefault="006512C4" w:rsidP="009A5D6A">
            <w:pPr>
              <w:pStyle w:val="Blockquote"/>
              <w:rPr>
                <w:sz w:val="22"/>
                <w:szCs w:val="22"/>
              </w:rPr>
            </w:pPr>
            <w:r w:rsidRPr="00D630EB">
              <w:rPr>
                <w:sz w:val="22"/>
                <w:szCs w:val="22"/>
              </w:rPr>
              <w:t xml:space="preserve">For whose trunk do the Delians guard? </w:t>
            </w:r>
            <w:r w:rsidRPr="00D630EB">
              <w:rPr>
                <w:sz w:val="22"/>
                <w:szCs w:val="22"/>
              </w:rPr>
              <w:lastRenderedPageBreak/>
              <w:t>That of the olive, which gave rest to Leto.</w:t>
            </w:r>
          </w:p>
        </w:tc>
      </w:tr>
    </w:tbl>
    <w:p w14:paraId="76E4B2AA" w14:textId="77777777" w:rsidR="006512C4" w:rsidRDefault="006512C4" w:rsidP="009A5D6A">
      <w:pPr>
        <w:pStyle w:val="Blockquote"/>
      </w:pPr>
      <w:r w:rsidRPr="00F9619B">
        <w:lastRenderedPageBreak/>
        <w:t xml:space="preserve"> </w:t>
      </w:r>
    </w:p>
    <w:p w14:paraId="1046DD70" w14:textId="77777777" w:rsidR="00661FBC" w:rsidRDefault="00661FBC" w:rsidP="004F1F0B">
      <w:pPr>
        <w:rPr>
          <w:lang w:val="en-US"/>
        </w:rPr>
      </w:pPr>
      <w:r>
        <w:rPr>
          <w:lang w:val="en-US"/>
        </w:rPr>
        <w:t xml:space="preserve">In conclusion, the kind of interactional particles found in the iambic texts corroborate the idea that iambic texts are basically univocal and tend to present the opinion of the speaker as the standard opinion. This is confirmed by the fact that iambic texts have few particles which would imply the involvement of the audience. Moreover, iambic texts display no evidence of particles which express the personal commitment of the speaker himself, or disclose the personal ideas of the author. This is consistent with the fact that iambs often resort to the rhetorical device of a </w:t>
      </w:r>
      <w:r>
        <w:rPr>
          <w:i/>
          <w:iCs/>
          <w:lang w:val="en-US"/>
        </w:rPr>
        <w:t>persona loquens</w:t>
      </w:r>
      <w:r>
        <w:rPr>
          <w:lang w:val="en-US"/>
        </w:rPr>
        <w:t xml:space="preserve"> which is clearly distinguishable from the author. This narrative artifice becomes more evident over time, as the interactional particles gradually move from the main text (Archilochus) to text in parenthesis (Hipponax), until it reaches the dialogical texts of Callimachus, where the voice of the speaker is nearly absent.</w:t>
      </w:r>
    </w:p>
    <w:p w14:paraId="3EA7199F" w14:textId="4E83DD24" w:rsidR="006512C4" w:rsidRDefault="00661FBC" w:rsidP="003A53D6">
      <w:pPr>
        <w:autoSpaceDE w:val="0"/>
        <w:autoSpaceDN w:val="0"/>
        <w:adjustRightInd w:val="0"/>
        <w:rPr>
          <w:rFonts w:cs="Times New Roman"/>
        </w:rPr>
      </w:pPr>
      <w:r>
        <w:rPr>
          <w:lang w:val="en-US"/>
        </w:rPr>
        <w:tab/>
        <w:t>The use of interactional particles tells us that iambic poems should convey a commonly held opinion to an audience who, for this reason, cannot be entitled to criticise it, since it is the shared opinion. The fact that Callimachus</w:t>
      </w:r>
      <w:r w:rsidR="00075F5F">
        <w:rPr>
          <w:lang w:val="en-US"/>
        </w:rPr>
        <w:t>’</w:t>
      </w:r>
      <w:r>
        <w:rPr>
          <w:lang w:val="en-US"/>
        </w:rPr>
        <w:t xml:space="preserve"> </w:t>
      </w:r>
      <w:r w:rsidRPr="009877AA">
        <w:rPr>
          <w:i/>
          <w:iCs/>
          <w:lang w:val="en-US"/>
        </w:rPr>
        <w:t>Iambi</w:t>
      </w:r>
      <w:r>
        <w:rPr>
          <w:lang w:val="en-US"/>
        </w:rPr>
        <w:t xml:space="preserve"> show a multiplicity of voices makes this clearer, since the author stands at a remove from what his characters are saying. This characterisation of iambic texts is consonant with the later evolution of the iambic genre into a didactic and doctrinaire genre. </w:t>
      </w:r>
    </w:p>
    <w:p w14:paraId="1D3431FC" w14:textId="38EE5F45" w:rsidR="006512C4" w:rsidRPr="009A5D6A" w:rsidRDefault="006512C4" w:rsidP="009A5D6A">
      <w:pPr>
        <w:pStyle w:val="Heading3"/>
      </w:pPr>
      <w:r w:rsidRPr="009A5D6A">
        <w:t>2.4 Prepositions</w:t>
      </w:r>
    </w:p>
    <w:p w14:paraId="4DF45E07" w14:textId="6866887F" w:rsidR="00803EB2" w:rsidRPr="001C5EA4" w:rsidRDefault="00803EB2" w:rsidP="00125415">
      <w:pPr>
        <w:tabs>
          <w:tab w:val="clear" w:pos="425"/>
          <w:tab w:val="left" w:pos="426"/>
        </w:tabs>
        <w:rPr>
          <w:rFonts w:cs="Times New Roman"/>
          <w:szCs w:val="24"/>
          <w:lang w:val="en-US"/>
        </w:rPr>
      </w:pPr>
      <w:r w:rsidRPr="00125415">
        <w:rPr>
          <w:rFonts w:cs="Times New Roman"/>
          <w:szCs w:val="24"/>
          <w:lang w:val="en-US"/>
        </w:rPr>
        <w:t xml:space="preserve">This section deals with the prepositions which occur most frequently in </w:t>
      </w:r>
      <w:r w:rsidR="004F1F0B">
        <w:rPr>
          <w:rFonts w:cs="Times New Roman"/>
          <w:szCs w:val="24"/>
          <w:lang w:val="en-US"/>
        </w:rPr>
        <w:t>my</w:t>
      </w:r>
      <w:r w:rsidRPr="00125415">
        <w:rPr>
          <w:rFonts w:cs="Times New Roman"/>
          <w:szCs w:val="24"/>
          <w:lang w:val="en-US"/>
        </w:rPr>
        <w:t xml:space="preserve"> iambic </w:t>
      </w:r>
      <w:r w:rsidR="004F1F0B">
        <w:rPr>
          <w:rFonts w:cs="Times New Roman"/>
          <w:szCs w:val="24"/>
          <w:lang w:val="en-US"/>
        </w:rPr>
        <w:t>corpus</w:t>
      </w:r>
      <w:r w:rsidRPr="00125415">
        <w:rPr>
          <w:rFonts w:cs="Times New Roman"/>
          <w:szCs w:val="24"/>
          <w:lang w:val="en-US"/>
        </w:rPr>
        <w:t>.</w:t>
      </w:r>
      <w:r w:rsidR="004F1F0B">
        <w:rPr>
          <w:rFonts w:cs="Times New Roman"/>
          <w:szCs w:val="24"/>
          <w:lang w:val="en-US"/>
        </w:rPr>
        <w:t xml:space="preserve"> </w:t>
      </w:r>
      <w:r w:rsidRPr="00125415">
        <w:rPr>
          <w:rFonts w:cs="Times New Roman"/>
          <w:szCs w:val="24"/>
          <w:lang w:val="en-US"/>
        </w:rPr>
        <w:t>Here, I argue that Callimachus shares more elements with Archilochus as opposed to with Hi</w:t>
      </w:r>
      <w:r w:rsidRPr="009F59C0">
        <w:rPr>
          <w:rFonts w:cs="Times New Roman"/>
          <w:szCs w:val="24"/>
          <w:lang w:val="en-US"/>
        </w:rPr>
        <w:t>pponax. I investigate the usage of prepositions inside sentences, showing how tmesis is generated. This analysis will demonstrate that Callimachus owes his manner of building sentences more to Archilochus than to Hipponax, even if on the surface it appears</w:t>
      </w:r>
      <w:r w:rsidRPr="001C5EA4">
        <w:rPr>
          <w:rFonts w:cs="Times New Roman"/>
          <w:szCs w:val="24"/>
          <w:lang w:val="en-US"/>
        </w:rPr>
        <w:t xml:space="preserve"> otherwise. Callimachus</w:t>
      </w:r>
      <w:r w:rsidR="00075F5F">
        <w:rPr>
          <w:rFonts w:cs="Times New Roman"/>
          <w:szCs w:val="24"/>
          <w:lang w:val="en-US"/>
        </w:rPr>
        <w:t>’</w:t>
      </w:r>
      <w:r w:rsidRPr="001C5EA4">
        <w:rPr>
          <w:rFonts w:cs="Times New Roman"/>
          <w:szCs w:val="24"/>
          <w:lang w:val="en-US"/>
        </w:rPr>
        <w:t xml:space="preserve"> lines show a low percentage of tmesis, something that is also true for </w:t>
      </w:r>
      <w:r w:rsidR="00075F5F">
        <w:rPr>
          <w:rFonts w:cs="Times New Roman"/>
          <w:szCs w:val="24"/>
          <w:lang w:val="en-US"/>
        </w:rPr>
        <w:t xml:space="preserve">Hipponax’s </w:t>
      </w:r>
      <w:r w:rsidRPr="001C5EA4">
        <w:rPr>
          <w:rFonts w:cs="Times New Roman"/>
          <w:szCs w:val="24"/>
          <w:lang w:val="en-US"/>
        </w:rPr>
        <w:t>ones, while tmesis is much more frequent in Archilochus</w:t>
      </w:r>
      <w:r w:rsidR="00075F5F">
        <w:rPr>
          <w:rFonts w:cs="Times New Roman"/>
          <w:szCs w:val="24"/>
          <w:lang w:val="en-US"/>
        </w:rPr>
        <w:t>’</w:t>
      </w:r>
      <w:r w:rsidRPr="001C5EA4">
        <w:rPr>
          <w:rFonts w:cs="Times New Roman"/>
          <w:szCs w:val="24"/>
          <w:lang w:val="en-US"/>
        </w:rPr>
        <w:t xml:space="preserve"> fragments. </w:t>
      </w:r>
    </w:p>
    <w:p w14:paraId="32C80E7B" w14:textId="77777777" w:rsidR="00803EB2" w:rsidRPr="004E03FF" w:rsidRDefault="00803EB2" w:rsidP="009F59C0">
      <w:pPr>
        <w:tabs>
          <w:tab w:val="clear" w:pos="425"/>
          <w:tab w:val="left" w:pos="426"/>
        </w:tabs>
        <w:rPr>
          <w:rFonts w:cs="Times New Roman"/>
          <w:szCs w:val="24"/>
          <w:lang w:val="en-US"/>
        </w:rPr>
      </w:pPr>
    </w:p>
    <w:p w14:paraId="3FE059A7" w14:textId="3C2D4AA4" w:rsidR="00803EB2" w:rsidRPr="00D238A0" w:rsidRDefault="00803EB2" w:rsidP="001C5EA4">
      <w:pPr>
        <w:tabs>
          <w:tab w:val="clear" w:pos="425"/>
          <w:tab w:val="left" w:pos="426"/>
        </w:tabs>
        <w:rPr>
          <w:rFonts w:cs="Times New Roman"/>
          <w:szCs w:val="24"/>
          <w:lang w:val="en-US"/>
        </w:rPr>
      </w:pPr>
      <w:r w:rsidRPr="00D238A0">
        <w:rPr>
          <w:rFonts w:cs="Times New Roman"/>
          <w:szCs w:val="24"/>
          <w:lang w:val="en-US"/>
        </w:rPr>
        <w:t>Archilochus, Hipponax and Callimachus do not use a wide range of prepositions. The most frequently occuring prepositions are spatial ones. This may be because space plays a larger role than time in iambic poetry: as the analysis of verbal aspect</w:t>
      </w:r>
      <w:r w:rsidR="00D10A84">
        <w:rPr>
          <w:rFonts w:cs="Times New Roman"/>
          <w:szCs w:val="24"/>
          <w:lang w:val="en-US"/>
        </w:rPr>
        <w:t xml:space="preserve"> has shown</w:t>
      </w:r>
      <w:r w:rsidRPr="00D238A0">
        <w:rPr>
          <w:rFonts w:cs="Times New Roman"/>
          <w:szCs w:val="24"/>
          <w:lang w:val="en-US"/>
        </w:rPr>
        <w:t xml:space="preserve">, </w:t>
      </w:r>
      <w:r w:rsidRPr="00D238A0">
        <w:rPr>
          <w:rFonts w:cs="Times New Roman"/>
          <w:szCs w:val="24"/>
          <w:lang w:val="en-US"/>
        </w:rPr>
        <w:lastRenderedPageBreak/>
        <w:t xml:space="preserve">iambographers aim to teach their audience by example and to do this they need examples which are always valid. Indeed, iambic texts often resort to proverbs and adages, because of their eternal effectiveness. It is probable that the temporal dimension is not particularly important in the iambic genre, or at least not as important as the spatial one. </w:t>
      </w:r>
    </w:p>
    <w:p w14:paraId="1CDC34C3" w14:textId="77777777" w:rsidR="00803EB2" w:rsidRPr="00D238A0" w:rsidRDefault="00803EB2" w:rsidP="00D238A0">
      <w:pPr>
        <w:tabs>
          <w:tab w:val="clear" w:pos="425"/>
          <w:tab w:val="left" w:pos="426"/>
        </w:tabs>
        <w:spacing w:after="120"/>
        <w:rPr>
          <w:rFonts w:cs="Times New Roman"/>
          <w:szCs w:val="24"/>
          <w:lang w:val="en-US"/>
        </w:rPr>
      </w:pPr>
      <w:r w:rsidRPr="00D238A0">
        <w:rPr>
          <w:rFonts w:cs="Times New Roman"/>
          <w:szCs w:val="24"/>
          <w:lang w:val="en-US"/>
        </w:rPr>
        <w:tab/>
        <w:t>The spatial prepositions used are those listed below (</w:t>
      </w:r>
      <w:r w:rsidRPr="00D238A0">
        <w:rPr>
          <w:rFonts w:cs="Times New Roman"/>
          <w:b/>
          <w:bCs/>
          <w:szCs w:val="24"/>
          <w:lang w:val="en-US"/>
        </w:rPr>
        <w:t>2</w:t>
      </w:r>
      <w:r w:rsidRPr="00D238A0">
        <w:rPr>
          <w:rFonts w:cs="Times New Roman"/>
          <w:szCs w:val="24"/>
          <w:lang w:val="en-US"/>
        </w:rPr>
        <w:t xml:space="preserve"> D.1):</w:t>
      </w:r>
    </w:p>
    <w:p w14:paraId="46E0CF31" w14:textId="7926D56F" w:rsidR="00803EB2" w:rsidRPr="00D238A0" w:rsidRDefault="00803EB2" w:rsidP="00D238A0">
      <w:pPr>
        <w:widowControl w:val="0"/>
        <w:numPr>
          <w:ilvl w:val="0"/>
          <w:numId w:val="177"/>
        </w:numPr>
        <w:tabs>
          <w:tab w:val="clear" w:pos="425"/>
          <w:tab w:val="left" w:pos="360"/>
          <w:tab w:val="left" w:pos="426"/>
        </w:tabs>
        <w:spacing w:after="120"/>
        <w:ind w:left="426" w:hanging="284"/>
        <w:rPr>
          <w:rFonts w:cs="Times New Roman"/>
          <w:szCs w:val="24"/>
          <w:lang w:val="en-US"/>
        </w:rPr>
      </w:pPr>
      <w:r w:rsidRPr="00D238A0">
        <w:rPr>
          <w:rFonts w:cs="Times New Roman"/>
          <w:szCs w:val="24"/>
          <w:lang w:val="en-US"/>
        </w:rPr>
        <w:t>The direction towards which to move is expressed by εἰς / ἐς + accusative. All the iambographers prefer ἐς rather than εἰς: Archilochus</w:t>
      </w:r>
      <w:r w:rsidR="00075F5F">
        <w:rPr>
          <w:rFonts w:cs="Times New Roman"/>
          <w:szCs w:val="24"/>
          <w:lang w:val="en-US"/>
        </w:rPr>
        <w:t>’</w:t>
      </w:r>
      <w:r w:rsidRPr="00D238A0">
        <w:rPr>
          <w:rFonts w:cs="Times New Roman"/>
          <w:szCs w:val="24"/>
          <w:lang w:val="en-US"/>
        </w:rPr>
        <w:t xml:space="preserve"> fragments show 3 occurrences of εἰς, and 9 of ἐς; Hipponax</w:t>
      </w:r>
      <w:r w:rsidR="00075F5F">
        <w:rPr>
          <w:rFonts w:cs="Times New Roman"/>
          <w:szCs w:val="24"/>
          <w:lang w:val="en-US"/>
        </w:rPr>
        <w:t>’</w:t>
      </w:r>
      <w:r w:rsidRPr="00D238A0">
        <w:rPr>
          <w:rFonts w:cs="Times New Roman"/>
          <w:szCs w:val="24"/>
          <w:lang w:val="en-US"/>
        </w:rPr>
        <w:t>s fragments show only 1 instance of εἰς, and 10 of ἐς; Callimachus</w:t>
      </w:r>
      <w:r w:rsidR="00075F5F">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Iambi</w:t>
      </w:r>
      <w:r w:rsidRPr="00D238A0">
        <w:rPr>
          <w:rFonts w:cs="Times New Roman"/>
          <w:szCs w:val="24"/>
          <w:lang w:val="en-US"/>
        </w:rPr>
        <w:t xml:space="preserve"> use ἐς alone. Furthermore, Archilochus</w:t>
      </w:r>
      <w:r w:rsidR="00075F5F">
        <w:rPr>
          <w:rFonts w:cs="Times New Roman"/>
          <w:szCs w:val="24"/>
          <w:lang w:val="en-US"/>
        </w:rPr>
        <w:t>’</w:t>
      </w:r>
      <w:r w:rsidRPr="00D238A0">
        <w:rPr>
          <w:rFonts w:cs="Times New Roman"/>
          <w:szCs w:val="24"/>
          <w:lang w:val="en-US"/>
        </w:rPr>
        <w:t xml:space="preserve"> and Hipponax</w:t>
      </w:r>
      <w:r w:rsidR="00075F5F">
        <w:rPr>
          <w:rFonts w:cs="Times New Roman"/>
          <w:szCs w:val="24"/>
          <w:lang w:val="en-US"/>
        </w:rPr>
        <w:t>’</w:t>
      </w:r>
      <w:r w:rsidRPr="00D238A0">
        <w:rPr>
          <w:rFonts w:cs="Times New Roman"/>
          <w:szCs w:val="24"/>
          <w:lang w:val="en-US"/>
        </w:rPr>
        <w:t xml:space="preserve">s occurrences of εἰς are due to μετρικὴ ἀνάγχη: </w:t>
      </w:r>
    </w:p>
    <w:p w14:paraId="3979670A" w14:textId="3EDF77E5" w:rsidR="00803EB2" w:rsidRPr="00D238A0" w:rsidRDefault="00803EB2" w:rsidP="00D238A0">
      <w:pPr>
        <w:widowControl w:val="0"/>
        <w:numPr>
          <w:ilvl w:val="0"/>
          <w:numId w:val="71"/>
        </w:numPr>
        <w:tabs>
          <w:tab w:val="clear" w:pos="425"/>
          <w:tab w:val="left" w:pos="426"/>
          <w:tab w:val="left" w:pos="709"/>
          <w:tab w:val="left" w:pos="1080"/>
        </w:tabs>
        <w:ind w:left="709" w:hanging="283"/>
        <w:rPr>
          <w:rFonts w:cs="Times New Roman"/>
          <w:szCs w:val="24"/>
          <w:lang w:val="en-US"/>
        </w:rPr>
      </w:pPr>
      <w:r w:rsidRPr="00D238A0">
        <w:rPr>
          <w:rFonts w:cs="Times New Roman"/>
          <w:szCs w:val="24"/>
          <w:lang w:val="en-US"/>
        </w:rPr>
        <w:t xml:space="preserve">Archil. fr. 119.5 εἰς ἀναιδείην </w:t>
      </w:r>
      <w:r w:rsidR="006E597E">
        <w:rPr>
          <w:rFonts w:cs="Times New Roman"/>
          <w:szCs w:val="24"/>
          <w:lang w:val="en-US"/>
        </w:rPr>
        <w:t>starts</w:t>
      </w:r>
      <w:r w:rsidRPr="00D238A0">
        <w:rPr>
          <w:rFonts w:cs="Times New Roman"/>
          <w:szCs w:val="24"/>
          <w:lang w:val="en-US"/>
        </w:rPr>
        <w:t xml:space="preserve"> a trochaic tetrameter, </w:t>
      </w:r>
      <w:r w:rsidR="006E597E">
        <w:rPr>
          <w:rFonts w:cs="Times New Roman"/>
          <w:szCs w:val="24"/>
          <w:lang w:val="en-US"/>
        </w:rPr>
        <w:t>where</w:t>
      </w:r>
      <w:r w:rsidRPr="00D238A0">
        <w:rPr>
          <w:rFonts w:cs="Times New Roman"/>
          <w:szCs w:val="24"/>
          <w:lang w:val="en-US"/>
        </w:rPr>
        <w:t xml:space="preserve"> an initial long syllable</w:t>
      </w:r>
      <w:r w:rsidR="006E597E">
        <w:rPr>
          <w:rFonts w:cs="Times New Roman"/>
          <w:szCs w:val="24"/>
          <w:lang w:val="en-US"/>
        </w:rPr>
        <w:t xml:space="preserve"> is needed</w:t>
      </w:r>
      <w:r w:rsidRPr="00D238A0">
        <w:rPr>
          <w:rFonts w:cs="Times New Roman"/>
          <w:szCs w:val="24"/>
          <w:lang w:val="en-US"/>
        </w:rPr>
        <w:t>. For this reason, Archilochus uses εἰς instead of ἐς.</w:t>
      </w:r>
    </w:p>
    <w:p w14:paraId="0172B51E" w14:textId="0FC92E24" w:rsidR="00803EB2" w:rsidRPr="00D238A0" w:rsidRDefault="00803EB2" w:rsidP="00D238A0">
      <w:pPr>
        <w:widowControl w:val="0"/>
        <w:numPr>
          <w:ilvl w:val="0"/>
          <w:numId w:val="71"/>
        </w:numPr>
        <w:tabs>
          <w:tab w:val="clear" w:pos="425"/>
          <w:tab w:val="left" w:pos="426"/>
          <w:tab w:val="left" w:pos="709"/>
          <w:tab w:val="left" w:pos="1080"/>
        </w:tabs>
        <w:ind w:left="709" w:hanging="283"/>
        <w:rPr>
          <w:rFonts w:cs="Times New Roman"/>
          <w:szCs w:val="24"/>
          <w:lang w:val="en-US"/>
        </w:rPr>
      </w:pPr>
      <w:r w:rsidRPr="00D238A0">
        <w:rPr>
          <w:rFonts w:cs="Times New Roman"/>
          <w:szCs w:val="24"/>
          <w:lang w:val="en-US"/>
        </w:rPr>
        <w:t xml:space="preserve">Archil. fr. 120.5 εἰς Θάσον κυσὶ </w:t>
      </w:r>
      <w:r w:rsidRPr="00125415">
        <w:rPr>
          <w:rFonts w:cs="Times New Roman"/>
          <w:szCs w:val="24"/>
          <w:lang w:val="en-US"/>
        </w:rPr>
        <w:t>Θρέϊξιν δῶρ</w:t>
      </w:r>
      <w:r w:rsidR="00075F5F">
        <w:rPr>
          <w:rFonts w:cs="Times New Roman"/>
          <w:szCs w:val="24"/>
          <w:lang w:val="en-US"/>
        </w:rPr>
        <w:t>’</w:t>
      </w:r>
      <w:r w:rsidRPr="00125415">
        <w:rPr>
          <w:rFonts w:cs="Times New Roman"/>
          <w:szCs w:val="24"/>
          <w:lang w:val="en-US"/>
        </w:rPr>
        <w:t xml:space="preserve"> ἔχων ἀκήρατον. As in the previous example, εἰς is the first syllable of a trochaic tetrameter. In this case, since the next word starts with a consonant (and </w:t>
      </w:r>
      <w:r w:rsidRPr="009F59C0">
        <w:rPr>
          <w:rFonts w:cs="Times New Roman"/>
          <w:szCs w:val="24"/>
          <w:lang w:val="en-US"/>
        </w:rPr>
        <w:t>ἐ</w:t>
      </w:r>
      <w:r w:rsidRPr="001C5EA4">
        <w:rPr>
          <w:rFonts w:cs="Times New Roman"/>
          <w:szCs w:val="24"/>
          <w:lang w:val="en-US"/>
        </w:rPr>
        <w:t xml:space="preserve">ς ends with a consonant), it is not </w:t>
      </w:r>
      <w:r w:rsidRPr="004E03FF">
        <w:rPr>
          <w:rFonts w:cs="Times New Roman"/>
          <w:szCs w:val="24"/>
          <w:lang w:val="en-US"/>
        </w:rPr>
        <w:t>necessary to lengthen the vowel /e/ (&lt;ε&gt;) into the diphthong /ei/ (&lt;ει&gt;). However, one may suggest that in the trochaic tetrameter Archilochus automatically uses ε</w:t>
      </w:r>
      <w:r w:rsidRPr="00D238A0">
        <w:rPr>
          <w:rFonts w:cs="Times New Roman"/>
          <w:szCs w:val="24"/>
          <w:lang w:val="en-US"/>
        </w:rPr>
        <w:t>ἰς when the preposition starts the line.</w:t>
      </w:r>
    </w:p>
    <w:p w14:paraId="58E2594B" w14:textId="3B688DFC" w:rsidR="00803EB2" w:rsidRPr="00D238A0" w:rsidRDefault="00803EB2" w:rsidP="00D238A0">
      <w:pPr>
        <w:widowControl w:val="0"/>
        <w:numPr>
          <w:ilvl w:val="0"/>
          <w:numId w:val="71"/>
        </w:numPr>
        <w:tabs>
          <w:tab w:val="clear" w:pos="425"/>
          <w:tab w:val="left" w:pos="426"/>
          <w:tab w:val="left" w:pos="709"/>
          <w:tab w:val="left" w:pos="1080"/>
        </w:tabs>
        <w:ind w:left="709" w:hanging="283"/>
        <w:rPr>
          <w:rFonts w:cs="Times New Roman"/>
          <w:szCs w:val="24"/>
          <w:lang w:val="en-US"/>
        </w:rPr>
      </w:pPr>
      <w:r w:rsidRPr="00D238A0">
        <w:rPr>
          <w:rFonts w:cs="Times New Roman"/>
          <w:szCs w:val="24"/>
          <w:lang w:val="en-US"/>
        </w:rPr>
        <w:t xml:space="preserve">Hippon. fr. 220.6 εὔνουν, βεβαίαν εἰς ἅπαντα τὸν βίον. The line is an iambic trimeter, and a long syllable is required in the position of the preposition, since the last syllable of βεβαίαν (-αν) is short and the first syllable of ἅπαντα (ἅ-) is short. Between the two short syllables, the preposition has to provide the long syllable. Hence the necessity of εἰς instead of ἐς. </w:t>
      </w:r>
    </w:p>
    <w:p w14:paraId="7E886BE5" w14:textId="5CD41EE8" w:rsidR="00803EB2" w:rsidRPr="00125415" w:rsidRDefault="00803EB2" w:rsidP="00D238A0">
      <w:pPr>
        <w:tabs>
          <w:tab w:val="clear" w:pos="425"/>
          <w:tab w:val="left" w:pos="426"/>
        </w:tabs>
        <w:spacing w:before="120"/>
        <w:ind w:left="425"/>
        <w:rPr>
          <w:rFonts w:cs="Times New Roman"/>
          <w:szCs w:val="24"/>
          <w:lang w:val="en-US"/>
        </w:rPr>
      </w:pPr>
      <w:r w:rsidRPr="00D238A0">
        <w:rPr>
          <w:rFonts w:cs="Times New Roman"/>
          <w:szCs w:val="24"/>
          <w:lang w:val="en-US"/>
        </w:rPr>
        <w:tab/>
        <w:t xml:space="preserve">When the metre requires a long syllable, Callimachus always puts a word starting with a consonant after ἐς, so that ἐς becomes a long syllable without need for the diphthong of εἰς: for example, Call. </w:t>
      </w:r>
      <w:r w:rsidRPr="00D238A0">
        <w:rPr>
          <w:rFonts w:cs="Times New Roman"/>
          <w:i/>
          <w:iCs/>
          <w:szCs w:val="24"/>
          <w:lang w:val="en-US"/>
        </w:rPr>
        <w:t>Ia</w:t>
      </w:r>
      <w:r w:rsidRPr="00D238A0">
        <w:rPr>
          <w:rFonts w:cs="Times New Roman"/>
          <w:szCs w:val="24"/>
          <w:lang w:val="en-US"/>
        </w:rPr>
        <w:t xml:space="preserve">. 1.52 ἔπλευσεν ἐς Μίλητον· ἦν γὰρ ἡ νίκη, where ἐς becomes long due to the next word Μίλητον, with an initial consonant; or Call. </w:t>
      </w:r>
      <w:r w:rsidRPr="00D238A0">
        <w:rPr>
          <w:rFonts w:cs="Times New Roman"/>
          <w:i/>
          <w:iCs/>
          <w:szCs w:val="24"/>
          <w:lang w:val="en-US"/>
        </w:rPr>
        <w:t>Ia</w:t>
      </w:r>
      <w:r w:rsidRPr="00D238A0">
        <w:rPr>
          <w:rFonts w:cs="Times New Roman"/>
          <w:szCs w:val="24"/>
          <w:lang w:val="en-US"/>
        </w:rPr>
        <w:t>. 3.38 ἰηλεμίζειν· νῦ</w:t>
      </w:r>
      <w:r w:rsidRPr="00125415">
        <w:rPr>
          <w:rFonts w:cs="Times New Roman"/>
          <w:szCs w:val="24"/>
          <w:lang w:val="en-US"/>
        </w:rPr>
        <w:t>ν δ</w:t>
      </w:r>
      <w:r w:rsidR="00075F5F">
        <w:rPr>
          <w:rFonts w:cs="Times New Roman"/>
          <w:szCs w:val="24"/>
          <w:lang w:val="en-US"/>
        </w:rPr>
        <w:t>’</w:t>
      </w:r>
      <w:r w:rsidRPr="00125415">
        <w:rPr>
          <w:rFonts w:cs="Times New Roman"/>
          <w:szCs w:val="24"/>
          <w:lang w:val="en-US"/>
        </w:rPr>
        <w:t xml:space="preserve"> ὁ μάργος ἐς Μούσας, where again ἐς is lengthened by the consonant-starting word Μούσας.</w:t>
      </w:r>
    </w:p>
    <w:p w14:paraId="52A02A06" w14:textId="749608A7" w:rsidR="00803EB2" w:rsidRPr="00125415" w:rsidRDefault="00803EB2" w:rsidP="00125415">
      <w:pPr>
        <w:tabs>
          <w:tab w:val="clear" w:pos="425"/>
          <w:tab w:val="left" w:pos="426"/>
        </w:tabs>
        <w:ind w:left="426" w:firstLine="425"/>
        <w:rPr>
          <w:rFonts w:cs="Times New Roman"/>
          <w:szCs w:val="24"/>
          <w:lang w:val="en-US"/>
        </w:rPr>
      </w:pPr>
      <w:r w:rsidRPr="009F59C0">
        <w:rPr>
          <w:rFonts w:cs="Times New Roman"/>
          <w:szCs w:val="24"/>
          <w:lang w:val="en-US"/>
        </w:rPr>
        <w:t xml:space="preserve">Callimachus has one instance of </w:t>
      </w:r>
      <w:r w:rsidRPr="001C5EA4">
        <w:rPr>
          <w:rFonts w:cs="Times New Roman"/>
          <w:szCs w:val="24"/>
          <w:lang w:val="en-US"/>
        </w:rPr>
        <w:t>ὡ</w:t>
      </w:r>
      <w:r w:rsidRPr="004E03FF">
        <w:rPr>
          <w:rFonts w:cs="Times New Roman"/>
          <w:szCs w:val="24"/>
          <w:lang w:val="en-US"/>
        </w:rPr>
        <w:t xml:space="preserve">ς + accusative as directional preposition: Σόλων· </w:t>
      </w:r>
      <w:r w:rsidRPr="00D238A0">
        <w:rPr>
          <w:rFonts w:cs="Times New Roman"/>
          <w:szCs w:val="24"/>
          <w:lang w:val="en-US"/>
        </w:rPr>
        <w:t>ἐκεῖνος δ</w:t>
      </w:r>
      <w:r w:rsidR="00075F5F">
        <w:rPr>
          <w:rFonts w:cs="Times New Roman"/>
          <w:szCs w:val="24"/>
          <w:lang w:val="en-US"/>
        </w:rPr>
        <w:t>’</w:t>
      </w:r>
      <w:r w:rsidRPr="00D238A0">
        <w:rPr>
          <w:rFonts w:cs="Times New Roman"/>
          <w:szCs w:val="24"/>
          <w:lang w:val="en-US"/>
        </w:rPr>
        <w:t xml:space="preserve"> ὡς Χίλων</w:t>
      </w:r>
      <w:r w:rsidR="00075F5F">
        <w:rPr>
          <w:rFonts w:cs="Times New Roman"/>
          <w:szCs w:val="24"/>
          <w:lang w:val="en-US"/>
        </w:rPr>
        <w:t>’</w:t>
      </w:r>
      <w:r w:rsidRPr="00D238A0">
        <w:rPr>
          <w:rFonts w:cs="Times New Roman"/>
          <w:szCs w:val="24"/>
          <w:lang w:val="en-US"/>
        </w:rPr>
        <w:t xml:space="preserve"> ἀπέστειλεν </w:t>
      </w:r>
      <w:r w:rsidR="00CC0615">
        <w:rPr>
          <w:rFonts w:cs="Times New Roman"/>
          <w:szCs w:val="24"/>
          <w:lang w:val="en-US"/>
        </w:rPr>
        <w:t>“</w:t>
      </w:r>
      <w:r w:rsidRPr="00D238A0">
        <w:rPr>
          <w:rFonts w:cs="Times New Roman"/>
          <w:szCs w:val="24"/>
          <w:lang w:val="en-US"/>
        </w:rPr>
        <w:t>Solon. But he sent it to Chilon</w:t>
      </w:r>
      <w:r w:rsidR="00CC0615">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w:t>
      </w:r>
      <w:r w:rsidRPr="00D238A0">
        <w:rPr>
          <w:rFonts w:cs="Times New Roman"/>
          <w:szCs w:val="24"/>
          <w:lang w:val="en-US"/>
        </w:rPr>
        <w:t xml:space="preserve">. 1.74). </w:t>
      </w:r>
      <w:r w:rsidRPr="00D238A0">
        <w:rPr>
          <w:rFonts w:cs="Times New Roman"/>
          <w:szCs w:val="24"/>
          <w:lang w:val="en-US"/>
        </w:rPr>
        <w:lastRenderedPageBreak/>
        <w:t>It is plausible that this reveals the widespread tendency in Hellenistic period to increasingly use improper prepositions.</w:t>
      </w:r>
      <w:r w:rsidRPr="00125415">
        <w:rPr>
          <w:rStyle w:val="FootnoteReference"/>
          <w:rFonts w:cs="Times New Roman"/>
          <w:szCs w:val="24"/>
          <w:lang w:val="en-US"/>
        </w:rPr>
        <w:footnoteReference w:id="336"/>
      </w:r>
    </w:p>
    <w:p w14:paraId="65790F81" w14:textId="48014F56" w:rsidR="00803EB2" w:rsidRPr="00D238A0" w:rsidRDefault="004F1F0B" w:rsidP="004F1F0B">
      <w:pPr>
        <w:numPr>
          <w:ilvl w:val="0"/>
          <w:numId w:val="177"/>
        </w:numPr>
        <w:tabs>
          <w:tab w:val="clear" w:pos="425"/>
          <w:tab w:val="left" w:pos="360"/>
          <w:tab w:val="left" w:pos="426"/>
        </w:tabs>
        <w:ind w:left="426" w:hanging="284"/>
        <w:rPr>
          <w:rFonts w:cs="Times New Roman"/>
          <w:szCs w:val="24"/>
          <w:lang w:val="en-US"/>
        </w:rPr>
      </w:pPr>
      <w:r>
        <w:rPr>
          <w:rFonts w:cs="Times New Roman"/>
          <w:szCs w:val="24"/>
          <w:lang w:val="en-US"/>
        </w:rPr>
        <w:t>The movement of going onto/</w:t>
      </w:r>
      <w:r w:rsidR="00803EB2" w:rsidRPr="00125415">
        <w:rPr>
          <w:rFonts w:cs="Times New Roman"/>
          <w:szCs w:val="24"/>
          <w:lang w:val="en-US"/>
        </w:rPr>
        <w:t xml:space="preserve">over something or someone is expressed by ἐπί + accusative. For example, Archilochus says πεσεῖν δρήστην </w:t>
      </w:r>
      <w:r w:rsidR="00803EB2" w:rsidRPr="009F59C0">
        <w:rPr>
          <w:rFonts w:cs="Times New Roman"/>
          <w:szCs w:val="24"/>
          <w:lang w:val="en-US"/>
        </w:rPr>
        <w:t>ἐ</w:t>
      </w:r>
      <w:r w:rsidR="00803EB2" w:rsidRPr="001C5EA4">
        <w:rPr>
          <w:rFonts w:cs="Times New Roman"/>
          <w:szCs w:val="24"/>
          <w:lang w:val="en-US"/>
        </w:rPr>
        <w:t>π</w:t>
      </w:r>
      <w:r w:rsidR="00075F5F">
        <w:rPr>
          <w:rFonts w:cs="Times New Roman"/>
          <w:szCs w:val="24"/>
          <w:lang w:val="en-US"/>
        </w:rPr>
        <w:t>’</w:t>
      </w:r>
      <w:r w:rsidR="00803EB2" w:rsidRPr="001C5EA4">
        <w:rPr>
          <w:rFonts w:cs="Times New Roman"/>
          <w:szCs w:val="24"/>
          <w:lang w:val="en-US"/>
        </w:rPr>
        <w:t xml:space="preserve"> </w:t>
      </w:r>
      <w:r w:rsidR="00803EB2" w:rsidRPr="004E03FF">
        <w:rPr>
          <w:rFonts w:cs="Times New Roman"/>
          <w:szCs w:val="24"/>
          <w:lang w:val="en-US"/>
        </w:rPr>
        <w:t>ἀ</w:t>
      </w:r>
      <w:r w:rsidR="00803EB2" w:rsidRPr="00D238A0">
        <w:rPr>
          <w:rFonts w:cs="Times New Roman"/>
          <w:szCs w:val="24"/>
          <w:lang w:val="en-US"/>
        </w:rPr>
        <w:t xml:space="preserve">σκόν </w:t>
      </w:r>
      <w:r w:rsidR="00CC0615">
        <w:rPr>
          <w:rFonts w:cs="Times New Roman"/>
          <w:szCs w:val="24"/>
          <w:lang w:val="en-US"/>
        </w:rPr>
        <w:t>“</w:t>
      </w:r>
      <w:r w:rsidR="00803EB2" w:rsidRPr="00D238A0">
        <w:rPr>
          <w:rFonts w:cs="Times New Roman"/>
          <w:szCs w:val="24"/>
          <w:lang w:val="en-US"/>
        </w:rPr>
        <w:t>the labourer falls upon her wineskin</w:t>
      </w:r>
      <w:r w:rsidR="00CC0615">
        <w:rPr>
          <w:rFonts w:cs="Times New Roman"/>
          <w:szCs w:val="24"/>
          <w:lang w:val="en-US"/>
        </w:rPr>
        <w:t>”</w:t>
      </w:r>
      <w:r w:rsidR="00803EB2" w:rsidRPr="00D238A0">
        <w:rPr>
          <w:rFonts w:cs="Times New Roman"/>
          <w:szCs w:val="24"/>
          <w:lang w:val="en-US"/>
        </w:rPr>
        <w:t xml:space="preserve"> (fr. 112.1);</w:t>
      </w:r>
      <w:r w:rsidR="00803EB2" w:rsidRPr="00125415">
        <w:rPr>
          <w:rStyle w:val="FootnoteReference"/>
          <w:rFonts w:cs="Times New Roman"/>
          <w:szCs w:val="24"/>
          <w:lang w:val="en-US"/>
        </w:rPr>
        <w:footnoteReference w:id="337"/>
      </w:r>
      <w:r w:rsidR="00803EB2" w:rsidRPr="00125415">
        <w:rPr>
          <w:rFonts w:cs="Times New Roman"/>
          <w:szCs w:val="24"/>
          <w:lang w:val="en-US"/>
        </w:rPr>
        <w:t xml:space="preserve"> Hippon. fr. 86.17 has ἐπ</w:t>
      </w:r>
      <w:r w:rsidR="00075F5F">
        <w:rPr>
          <w:rFonts w:cs="Times New Roman"/>
          <w:szCs w:val="24"/>
          <w:lang w:val="en-US"/>
        </w:rPr>
        <w:t>’</w:t>
      </w:r>
      <w:r w:rsidR="00803EB2" w:rsidRPr="00125415">
        <w:rPr>
          <w:rFonts w:cs="Times New Roman"/>
          <w:szCs w:val="24"/>
          <w:lang w:val="en-US"/>
        </w:rPr>
        <w:t xml:space="preserve"> ἄκρον ἕλκων </w:t>
      </w:r>
      <w:r w:rsidR="00CC0615">
        <w:rPr>
          <w:rFonts w:cs="Times New Roman"/>
          <w:szCs w:val="24"/>
          <w:lang w:val="en-US"/>
        </w:rPr>
        <w:t>“</w:t>
      </w:r>
      <w:r w:rsidR="00803EB2" w:rsidRPr="00125415">
        <w:rPr>
          <w:rFonts w:cs="Times New Roman"/>
          <w:szCs w:val="24"/>
          <w:lang w:val="en-US"/>
        </w:rPr>
        <w:t>pulling out to the tip</w:t>
      </w:r>
      <w:r w:rsidR="00CC0615">
        <w:rPr>
          <w:rFonts w:cs="Times New Roman"/>
          <w:szCs w:val="24"/>
          <w:lang w:val="en-US"/>
        </w:rPr>
        <w:t>”</w:t>
      </w:r>
      <w:r w:rsidR="00803EB2" w:rsidRPr="00125415">
        <w:rPr>
          <w:rFonts w:cs="Times New Roman"/>
          <w:szCs w:val="24"/>
          <w:lang w:val="en-US"/>
        </w:rPr>
        <w:t>; and Callimachus says: μόλις δ</w:t>
      </w:r>
      <w:r w:rsidR="00075F5F">
        <w:rPr>
          <w:rFonts w:cs="Times New Roman"/>
          <w:szCs w:val="24"/>
          <w:lang w:val="en-US"/>
        </w:rPr>
        <w:t>’</w:t>
      </w:r>
      <w:r w:rsidR="00803EB2" w:rsidRPr="00125415">
        <w:rPr>
          <w:rFonts w:cs="Times New Roman"/>
          <w:szCs w:val="24"/>
          <w:lang w:val="en-US"/>
        </w:rPr>
        <w:t xml:space="preserve"> ἐπάρας ὡς πότης ἐ</w:t>
      </w:r>
      <w:r w:rsidR="00803EB2" w:rsidRPr="009F59C0">
        <w:rPr>
          <w:rFonts w:cs="Times New Roman"/>
          <w:szCs w:val="24"/>
          <w:lang w:val="en-US"/>
        </w:rPr>
        <w:t>π</w:t>
      </w:r>
      <w:r w:rsidR="00075F5F">
        <w:rPr>
          <w:rFonts w:cs="Times New Roman"/>
          <w:szCs w:val="24"/>
          <w:lang w:val="en-US"/>
        </w:rPr>
        <w:t>’</w:t>
      </w:r>
      <w:r w:rsidR="00803EB2" w:rsidRPr="009F59C0">
        <w:rPr>
          <w:rFonts w:cs="Times New Roman"/>
          <w:szCs w:val="24"/>
          <w:lang w:val="en-US"/>
        </w:rPr>
        <w:t xml:space="preserve"> </w:t>
      </w:r>
      <w:r w:rsidR="00803EB2" w:rsidRPr="001C5EA4">
        <w:rPr>
          <w:rFonts w:cs="Times New Roman"/>
          <w:szCs w:val="24"/>
          <w:lang w:val="en-US"/>
        </w:rPr>
        <w:t>ἀ</w:t>
      </w:r>
      <w:r w:rsidR="00803EB2" w:rsidRPr="004E03FF">
        <w:rPr>
          <w:rFonts w:cs="Times New Roman"/>
          <w:szCs w:val="24"/>
          <w:lang w:val="en-US"/>
        </w:rPr>
        <w:t>γκ</w:t>
      </w:r>
      <w:r w:rsidR="00803EB2" w:rsidRPr="00D238A0">
        <w:rPr>
          <w:rFonts w:cs="Times New Roman"/>
          <w:szCs w:val="24"/>
          <w:lang w:val="en-US"/>
        </w:rPr>
        <w:t xml:space="preserve">ῶνα </w:t>
      </w:r>
      <w:r w:rsidR="00CC0615">
        <w:rPr>
          <w:rFonts w:cs="Times New Roman"/>
          <w:szCs w:val="24"/>
          <w:lang w:val="en-US"/>
        </w:rPr>
        <w:t>“</w:t>
      </w:r>
      <w:r w:rsidR="00803EB2" w:rsidRPr="00D238A0">
        <w:rPr>
          <w:rFonts w:cs="Times New Roman"/>
          <w:szCs w:val="24"/>
          <w:lang w:val="en-US"/>
        </w:rPr>
        <w:t>with difficulty raising himself on his elbow, as at a banquet</w:t>
      </w:r>
      <w:r w:rsidR="00CC0615">
        <w:rPr>
          <w:rFonts w:cs="Times New Roman"/>
          <w:szCs w:val="24"/>
          <w:lang w:val="en-US"/>
        </w:rPr>
        <w:t>”</w:t>
      </w:r>
      <w:r w:rsidR="00803EB2" w:rsidRPr="00D238A0">
        <w:rPr>
          <w:rFonts w:cs="Times New Roman"/>
          <w:szCs w:val="24"/>
          <w:lang w:val="en-US"/>
        </w:rPr>
        <w:t xml:space="preserve"> (</w:t>
      </w:r>
      <w:r w:rsidR="00803EB2" w:rsidRPr="00D238A0">
        <w:rPr>
          <w:rFonts w:cs="Times New Roman"/>
          <w:i/>
          <w:iCs/>
          <w:szCs w:val="24"/>
          <w:lang w:val="en-US"/>
        </w:rPr>
        <w:t>Ia</w:t>
      </w:r>
      <w:r w:rsidR="00803EB2" w:rsidRPr="00D238A0">
        <w:rPr>
          <w:rFonts w:cs="Times New Roman"/>
          <w:szCs w:val="24"/>
          <w:lang w:val="en-US"/>
        </w:rPr>
        <w:t>. 1.43).</w:t>
      </w:r>
    </w:p>
    <w:p w14:paraId="7054B435" w14:textId="63356A5F" w:rsidR="00803EB2" w:rsidRPr="00D238A0" w:rsidRDefault="00803EB2" w:rsidP="00D238A0">
      <w:pPr>
        <w:widowControl w:val="0"/>
        <w:numPr>
          <w:ilvl w:val="0"/>
          <w:numId w:val="177"/>
        </w:numPr>
        <w:tabs>
          <w:tab w:val="clear" w:pos="425"/>
          <w:tab w:val="left" w:pos="360"/>
          <w:tab w:val="left" w:pos="426"/>
          <w:tab w:val="center" w:pos="5387"/>
        </w:tabs>
        <w:ind w:left="426" w:hanging="284"/>
        <w:rPr>
          <w:rFonts w:cs="Times New Roman"/>
          <w:szCs w:val="24"/>
          <w:lang w:val="en-US"/>
        </w:rPr>
      </w:pPr>
      <w:r w:rsidRPr="00D238A0">
        <w:rPr>
          <w:rFonts w:cs="Times New Roman"/>
          <w:szCs w:val="24"/>
          <w:lang w:val="en-US"/>
        </w:rPr>
        <w:t xml:space="preserve">Origin from a place is always expressed by ἐκ + genitive, as shown, for example, by Archil. fr. 54.23 ἦλθες ἐκ Γορτυνίης </w:t>
      </w:r>
      <w:r w:rsidR="00CC0615">
        <w:rPr>
          <w:rFonts w:cs="Times New Roman"/>
          <w:szCs w:val="24"/>
          <w:lang w:val="en-US"/>
        </w:rPr>
        <w:t>“</w:t>
      </w:r>
      <w:r w:rsidRPr="00D238A0">
        <w:rPr>
          <w:rFonts w:cs="Times New Roman"/>
          <w:szCs w:val="24"/>
          <w:lang w:val="en-US"/>
        </w:rPr>
        <w:t>you arrived from the region of Gortyn</w:t>
      </w:r>
      <w:r w:rsidR="00CC0615">
        <w:rPr>
          <w:rFonts w:cs="Times New Roman"/>
          <w:szCs w:val="24"/>
          <w:lang w:val="en-US"/>
        </w:rPr>
        <w:t>”</w:t>
      </w:r>
      <w:r w:rsidRPr="00D238A0">
        <w:rPr>
          <w:rFonts w:cs="Times New Roman"/>
          <w:szCs w:val="24"/>
          <w:lang w:val="en-US"/>
        </w:rPr>
        <w:t>; by Hippon. fr. 123 μηδὲ μοιμύλλειν Λεβεδίην ἰσχάδ</w:t>
      </w:r>
      <w:r w:rsidR="00075F5F">
        <w:rPr>
          <w:rFonts w:cs="Times New Roman"/>
          <w:szCs w:val="24"/>
          <w:lang w:val="en-US"/>
        </w:rPr>
        <w:t>’</w:t>
      </w:r>
      <w:r w:rsidRPr="00D238A0">
        <w:rPr>
          <w:rFonts w:cs="Times New Roman"/>
          <w:szCs w:val="24"/>
          <w:lang w:val="en-US"/>
        </w:rPr>
        <w:t xml:space="preserve"> ἐκ Καμανδωλοῦ </w:t>
      </w:r>
      <w:r w:rsidR="00CC0615">
        <w:rPr>
          <w:rFonts w:cs="Times New Roman"/>
          <w:szCs w:val="24"/>
          <w:lang w:val="en-US"/>
        </w:rPr>
        <w:t>“</w:t>
      </w:r>
      <w:r w:rsidRPr="00D238A0">
        <w:rPr>
          <w:rFonts w:cs="Times New Roman"/>
          <w:szCs w:val="24"/>
          <w:lang w:val="en-US"/>
        </w:rPr>
        <w:t>and not to suck on a Lebedian dried fig from Camandolus,</w:t>
      </w:r>
      <w:r w:rsidR="00CC0615">
        <w:rPr>
          <w:rFonts w:cs="Times New Roman"/>
          <w:szCs w:val="24"/>
          <w:lang w:val="en-US"/>
        </w:rPr>
        <w:t>”</w:t>
      </w:r>
      <w:r w:rsidRPr="00D238A0">
        <w:rPr>
          <w:rFonts w:cs="Times New Roman"/>
          <w:szCs w:val="24"/>
          <w:lang w:val="en-US"/>
        </w:rPr>
        <w:t xml:space="preserve"> where Camandolus, though unknown, is surely a place </w:t>
      </w:r>
      <w:r w:rsidR="00075F5F">
        <w:rPr>
          <w:rFonts w:cs="Times New Roman"/>
          <w:szCs w:val="24"/>
          <w:lang w:val="en-US"/>
        </w:rPr>
        <w:t>–</w:t>
      </w:r>
      <w:r w:rsidRPr="00D238A0">
        <w:rPr>
          <w:rFonts w:cs="Times New Roman"/>
          <w:szCs w:val="24"/>
          <w:lang w:val="en-US"/>
        </w:rPr>
        <w:t xml:space="preserve"> presumably in the territory of Lebedos which lays between Teos and Colophon </w:t>
      </w:r>
      <w:r w:rsidR="00075F5F">
        <w:rPr>
          <w:rFonts w:cs="Times New Roman"/>
          <w:szCs w:val="24"/>
          <w:lang w:val="en-US"/>
        </w:rPr>
        <w:t>–</w:t>
      </w:r>
      <w:r w:rsidRPr="00D238A0">
        <w:rPr>
          <w:rFonts w:cs="Times New Roman"/>
          <w:szCs w:val="24"/>
          <w:lang w:val="en-US"/>
        </w:rPr>
        <w:t xml:space="preserve"> and by Call. </w:t>
      </w:r>
      <w:r w:rsidRPr="00D238A0">
        <w:rPr>
          <w:rFonts w:cs="Times New Roman"/>
          <w:i/>
          <w:iCs/>
          <w:szCs w:val="24"/>
          <w:lang w:val="en-US"/>
        </w:rPr>
        <w:t>Ia</w:t>
      </w:r>
      <w:r w:rsidRPr="00D238A0">
        <w:rPr>
          <w:rFonts w:cs="Times New Roman"/>
          <w:szCs w:val="24"/>
          <w:lang w:val="en-US"/>
        </w:rPr>
        <w:t xml:space="preserve">. 4.55-56 γηθέω δὲ πλεῖον ἢ σὺ τοῖς ἀγινεῦσιν / ἐκ τῶν σε Τεμπέων </w:t>
      </w:r>
      <w:r w:rsidR="00CC0615">
        <w:rPr>
          <w:rFonts w:cs="Times New Roman"/>
          <w:szCs w:val="24"/>
          <w:lang w:val="en-US"/>
        </w:rPr>
        <w:t>“</w:t>
      </w:r>
      <w:r w:rsidRPr="00D238A0">
        <w:rPr>
          <w:rFonts w:cs="Times New Roman"/>
          <w:szCs w:val="24"/>
          <w:lang w:val="en-US"/>
        </w:rPr>
        <w:t>in them do I take greater joy than you in those who bring you from Tempe.</w:t>
      </w:r>
      <w:r w:rsidR="00CC0615">
        <w:rPr>
          <w:rFonts w:cs="Times New Roman"/>
          <w:szCs w:val="24"/>
          <w:lang w:val="en-US"/>
        </w:rPr>
        <w:t>”</w:t>
      </w:r>
    </w:p>
    <w:p w14:paraId="7C92481E" w14:textId="371EC19E" w:rsidR="00803EB2" w:rsidRPr="00D238A0" w:rsidRDefault="00803EB2" w:rsidP="00D238A0">
      <w:pPr>
        <w:widowControl w:val="0"/>
        <w:numPr>
          <w:ilvl w:val="0"/>
          <w:numId w:val="177"/>
        </w:numPr>
        <w:tabs>
          <w:tab w:val="clear" w:pos="425"/>
          <w:tab w:val="left" w:pos="360"/>
          <w:tab w:val="left" w:pos="426"/>
          <w:tab w:val="center" w:pos="5387"/>
        </w:tabs>
        <w:ind w:left="426" w:hanging="284"/>
        <w:rPr>
          <w:rFonts w:cs="Times New Roman"/>
          <w:szCs w:val="24"/>
          <w:lang w:val="en-US"/>
        </w:rPr>
      </w:pPr>
      <w:r w:rsidRPr="00D238A0">
        <w:rPr>
          <w:rFonts w:cs="Times New Roman"/>
          <w:szCs w:val="24"/>
          <w:lang w:val="en-US"/>
        </w:rPr>
        <w:t xml:space="preserve">Finally, movement through a space is expressed by διά. This is a very rare preposition in the iambic texts: it occurs only 4 times in Archilochus, twice followed by the accusative, as in fr. 149.6 διὰ πόλιν Κουροτρόφος </w:t>
      </w:r>
      <w:r w:rsidR="00CC0615">
        <w:rPr>
          <w:rFonts w:cs="Times New Roman"/>
          <w:szCs w:val="24"/>
          <w:lang w:val="en-US"/>
        </w:rPr>
        <w:t>“</w:t>
      </w:r>
      <w:r w:rsidRPr="00D238A0">
        <w:rPr>
          <w:rFonts w:cs="Times New Roman"/>
          <w:szCs w:val="24"/>
          <w:lang w:val="en-US"/>
        </w:rPr>
        <w:t>through the city Kourotrophos,</w:t>
      </w:r>
      <w:r w:rsidR="00CC0615">
        <w:rPr>
          <w:rFonts w:cs="Times New Roman"/>
          <w:szCs w:val="24"/>
          <w:lang w:val="en-US"/>
        </w:rPr>
        <w:t>”</w:t>
      </w:r>
      <w:r w:rsidRPr="00D238A0">
        <w:rPr>
          <w:rFonts w:cs="Times New Roman"/>
          <w:szCs w:val="24"/>
          <w:lang w:val="en-US"/>
        </w:rPr>
        <w:t xml:space="preserve"> and twice followed by the genitive, as in fr. 172.10 κέ</w:t>
      </w:r>
      <w:hyperlink r:id="rId45" w:history="1">
        <w:r w:rsidRPr="00125415">
          <w:rPr>
            <w:rFonts w:cs="Times New Roman"/>
            <w:szCs w:val="24"/>
            <w:lang w:val="en-US"/>
          </w:rPr>
          <w:t>]</w:t>
        </w:r>
      </w:hyperlink>
      <w:r w:rsidRPr="00125415">
        <w:rPr>
          <w:rFonts w:cs="Times New Roman"/>
          <w:szCs w:val="24"/>
          <w:lang w:val="en-US"/>
        </w:rPr>
        <w:t>λευθον ὠκέως δι</w:t>
      </w:r>
      <w:r w:rsidR="00075F5F">
        <w:rPr>
          <w:rFonts w:cs="Times New Roman"/>
          <w:szCs w:val="24"/>
          <w:lang w:val="en-US"/>
        </w:rPr>
        <w:t>’</w:t>
      </w:r>
      <w:r w:rsidRPr="00125415">
        <w:rPr>
          <w:rFonts w:cs="Times New Roman"/>
          <w:szCs w:val="24"/>
          <w:lang w:val="en-US"/>
        </w:rPr>
        <w:t xml:space="preserve"> αἰθέρος </w:t>
      </w:r>
      <w:r w:rsidR="00CC0615">
        <w:rPr>
          <w:rFonts w:cs="Times New Roman"/>
          <w:szCs w:val="24"/>
          <w:lang w:val="en-US"/>
        </w:rPr>
        <w:t>“</w:t>
      </w:r>
      <w:r w:rsidRPr="00125415">
        <w:rPr>
          <w:rFonts w:cs="Times New Roman"/>
          <w:szCs w:val="24"/>
          <w:lang w:val="en-US"/>
        </w:rPr>
        <w:t>(cleaving?) a path swiftly through the air.</w:t>
      </w:r>
      <w:r w:rsidR="00CC0615">
        <w:rPr>
          <w:rFonts w:cs="Times New Roman"/>
          <w:szCs w:val="24"/>
          <w:lang w:val="en-US"/>
        </w:rPr>
        <w:t>”</w:t>
      </w:r>
      <w:r w:rsidRPr="00125415">
        <w:rPr>
          <w:rFonts w:cs="Times New Roman"/>
          <w:szCs w:val="24"/>
          <w:lang w:val="en-US"/>
        </w:rPr>
        <w:t xml:space="preserve"> In Hipponax it appears only once, followed by the genitive, namely in fr. 7.2 D ἰθὺ δι̯ὰ Λυδ</w:t>
      </w:r>
      <w:r w:rsidRPr="009F59C0">
        <w:rPr>
          <w:rFonts w:cs="Times New Roman"/>
          <w:szCs w:val="24"/>
          <w:lang w:val="en-US"/>
        </w:rPr>
        <w:t>ῶ</w:t>
      </w:r>
      <w:r w:rsidRPr="001C5EA4">
        <w:rPr>
          <w:rFonts w:cs="Times New Roman"/>
          <w:szCs w:val="24"/>
          <w:lang w:val="en-US"/>
        </w:rPr>
        <w:t>ν παρ</w:t>
      </w:r>
      <w:r w:rsidRPr="004E03FF">
        <w:rPr>
          <w:rFonts w:cs="Times New Roman"/>
          <w:szCs w:val="24"/>
          <w:lang w:val="en-US"/>
        </w:rPr>
        <w:t>ὰ</w:t>
      </w:r>
      <w:r w:rsidRPr="00D238A0">
        <w:rPr>
          <w:rFonts w:cs="Times New Roman"/>
          <w:szCs w:val="24"/>
          <w:lang w:val="en-US"/>
        </w:rPr>
        <w:t xml:space="preserve"> τὸν Ἀττάλεω τύμβον </w:t>
      </w:r>
      <w:r w:rsidR="00CC0615">
        <w:rPr>
          <w:rFonts w:cs="Times New Roman"/>
          <w:szCs w:val="24"/>
          <w:lang w:val="en-US"/>
        </w:rPr>
        <w:t>“</w:t>
      </w:r>
      <w:r w:rsidRPr="00D238A0">
        <w:rPr>
          <w:rFonts w:cs="Times New Roman"/>
          <w:szCs w:val="24"/>
          <w:lang w:val="en-US"/>
        </w:rPr>
        <w:t>go through Lydia past the tomb of Attalus.</w:t>
      </w:r>
      <w:r w:rsidR="00CC0615">
        <w:rPr>
          <w:rFonts w:cs="Times New Roman"/>
          <w:szCs w:val="24"/>
          <w:lang w:val="en-US"/>
        </w:rPr>
        <w:t>”</w:t>
      </w:r>
      <w:r w:rsidRPr="00D238A0">
        <w:rPr>
          <w:rFonts w:cs="Times New Roman"/>
          <w:szCs w:val="24"/>
          <w:lang w:val="en-US"/>
        </w:rPr>
        <w:t xml:space="preserve"> Callimachus never uses it in his </w:t>
      </w:r>
      <w:r w:rsidRPr="00D238A0">
        <w:rPr>
          <w:rFonts w:cs="Times New Roman"/>
          <w:i/>
          <w:iCs/>
          <w:szCs w:val="24"/>
          <w:lang w:val="en-US"/>
        </w:rPr>
        <w:t>Iambi</w:t>
      </w:r>
      <w:r w:rsidRPr="00D238A0">
        <w:rPr>
          <w:rFonts w:cs="Times New Roman"/>
          <w:szCs w:val="24"/>
          <w:lang w:val="en-US"/>
        </w:rPr>
        <w:t>.</w:t>
      </w:r>
    </w:p>
    <w:p w14:paraId="32DE0BF8" w14:textId="6AC1314B" w:rsidR="00125415" w:rsidRPr="00125415" w:rsidRDefault="00803EB2" w:rsidP="00D238A0">
      <w:pPr>
        <w:widowControl w:val="0"/>
        <w:numPr>
          <w:ilvl w:val="0"/>
          <w:numId w:val="187"/>
        </w:numPr>
        <w:tabs>
          <w:tab w:val="center" w:pos="5387"/>
        </w:tabs>
        <w:ind w:left="426" w:hanging="284"/>
        <w:rPr>
          <w:rFonts w:cs="Times New Roman"/>
          <w:szCs w:val="24"/>
          <w:lang w:val="en-US"/>
        </w:rPr>
      </w:pPr>
      <w:r w:rsidRPr="00D238A0">
        <w:rPr>
          <w:rFonts w:cs="Times New Roman"/>
          <w:szCs w:val="24"/>
          <w:lang w:val="en-US"/>
        </w:rPr>
        <w:t xml:space="preserve">Location is mostly expressed by ἐν + dative, for example, in Archil. fr. 43.1 βοῦς ἐστιν ἥμιν ἐργάτης ἐν οἰκίηι </w:t>
      </w:r>
      <w:r w:rsidR="00CC0615">
        <w:rPr>
          <w:rFonts w:cs="Times New Roman"/>
          <w:szCs w:val="24"/>
          <w:lang w:val="en-US"/>
        </w:rPr>
        <w:t>“</w:t>
      </w:r>
      <w:r w:rsidRPr="00D238A0">
        <w:rPr>
          <w:rFonts w:cs="Times New Roman"/>
          <w:szCs w:val="24"/>
          <w:lang w:val="en-US"/>
        </w:rPr>
        <w:t>we have in the stable a work-ox</w:t>
      </w:r>
      <w:r w:rsidR="00CC0615">
        <w:rPr>
          <w:rFonts w:cs="Times New Roman"/>
          <w:szCs w:val="24"/>
          <w:lang w:val="en-US"/>
        </w:rPr>
        <w:t>”</w:t>
      </w:r>
      <w:r w:rsidRPr="00D238A0">
        <w:rPr>
          <w:rFonts w:cs="Times New Roman"/>
          <w:szCs w:val="24"/>
          <w:lang w:val="en-US"/>
        </w:rPr>
        <w:t>; Hippon. fr. 40 κατ</w:t>
      </w:r>
      <w:r w:rsidRPr="00125415">
        <w:rPr>
          <w:rFonts w:cs="Times New Roman"/>
          <w:szCs w:val="24"/>
          <w:lang w:val="en-US"/>
        </w:rPr>
        <w:t xml:space="preserve">έπιεν ὥσπερ κερκύδιλος ἐν λαύρηι </w:t>
      </w:r>
      <w:r w:rsidR="00CC0615">
        <w:rPr>
          <w:rFonts w:cs="Times New Roman"/>
          <w:szCs w:val="24"/>
          <w:lang w:val="en-US"/>
        </w:rPr>
        <w:t>“</w:t>
      </w:r>
      <w:r w:rsidRPr="00125415">
        <w:rPr>
          <w:rFonts w:cs="Times New Roman"/>
          <w:szCs w:val="24"/>
          <w:lang w:val="en-US"/>
        </w:rPr>
        <w:t>drank like a lizard in a privy</w:t>
      </w:r>
      <w:r w:rsidR="00CC0615">
        <w:rPr>
          <w:rFonts w:cs="Times New Roman"/>
          <w:szCs w:val="24"/>
          <w:lang w:val="en-US"/>
        </w:rPr>
        <w:t>”</w:t>
      </w:r>
      <w:r w:rsidRPr="00125415">
        <w:rPr>
          <w:rFonts w:cs="Times New Roman"/>
          <w:szCs w:val="24"/>
          <w:lang w:val="en-US"/>
        </w:rPr>
        <w:t>;</w:t>
      </w:r>
      <w:r w:rsidRPr="00125415">
        <w:rPr>
          <w:rStyle w:val="FootnoteReference"/>
          <w:rFonts w:cs="Times New Roman"/>
          <w:szCs w:val="24"/>
          <w:lang w:val="en-US"/>
        </w:rPr>
        <w:footnoteReference w:id="338"/>
      </w:r>
      <w:r w:rsidRPr="00125415">
        <w:rPr>
          <w:rFonts w:cs="Times New Roman"/>
          <w:szCs w:val="24"/>
          <w:lang w:val="en-US"/>
        </w:rPr>
        <w:t xml:space="preserve"> and Call. </w:t>
      </w:r>
      <w:r w:rsidRPr="00125415">
        <w:rPr>
          <w:rFonts w:cs="Times New Roman"/>
          <w:i/>
          <w:iCs/>
          <w:szCs w:val="24"/>
          <w:lang w:val="en-US"/>
        </w:rPr>
        <w:t>Ia</w:t>
      </w:r>
      <w:r w:rsidRPr="00125415">
        <w:rPr>
          <w:rFonts w:cs="Times New Roman"/>
          <w:szCs w:val="24"/>
          <w:lang w:val="en-US"/>
        </w:rPr>
        <w:t>. 4.58-59 καὶ γὰρ ὡγὼν ο</w:t>
      </w:r>
      <w:r w:rsidRPr="00D238A0">
        <w:rPr>
          <w:rFonts w:cs="Times New Roman"/>
          <w:szCs w:val="24"/>
          <w:lang w:val="en-US"/>
        </w:rPr>
        <w:t>ὑ</w:t>
      </w:r>
      <w:r w:rsidRPr="00125415">
        <w:rPr>
          <w:rFonts w:cs="Times New Roman"/>
          <w:szCs w:val="24"/>
          <w:lang w:val="en-US"/>
        </w:rPr>
        <w:t xml:space="preserve">ν Ὀλυμπίῃ μέζων / ἢ </w:t>
      </w:r>
      <w:r w:rsidR="00075F5F">
        <w:rPr>
          <w:rFonts w:cs="Times New Roman"/>
          <w:szCs w:val="24"/>
          <w:lang w:val="en-US"/>
        </w:rPr>
        <w:t>‘</w:t>
      </w:r>
      <w:r w:rsidRPr="00125415">
        <w:rPr>
          <w:rFonts w:cs="Times New Roman"/>
          <w:szCs w:val="24"/>
          <w:lang w:val="en-US"/>
        </w:rPr>
        <w:t xml:space="preserve">ν τοῖσι Δελφοῖς </w:t>
      </w:r>
      <w:r w:rsidR="00CC0615">
        <w:rPr>
          <w:rFonts w:cs="Times New Roman"/>
          <w:szCs w:val="24"/>
          <w:lang w:val="en-US"/>
        </w:rPr>
        <w:t>“</w:t>
      </w:r>
      <w:r w:rsidRPr="00125415">
        <w:rPr>
          <w:rFonts w:cs="Times New Roman"/>
          <w:szCs w:val="24"/>
          <w:lang w:val="en-US"/>
        </w:rPr>
        <w:t>for the contest in Olympia is greater than that in Delphi.</w:t>
      </w:r>
      <w:r w:rsidR="00CC0615">
        <w:rPr>
          <w:rFonts w:cs="Times New Roman"/>
          <w:szCs w:val="24"/>
          <w:lang w:val="en-US"/>
        </w:rPr>
        <w:t>”</w:t>
      </w:r>
      <w:r w:rsidRPr="00125415">
        <w:rPr>
          <w:rFonts w:cs="Times New Roman"/>
          <w:szCs w:val="24"/>
          <w:lang w:val="en-US"/>
        </w:rPr>
        <w:t xml:space="preserve"> </w:t>
      </w:r>
    </w:p>
    <w:p w14:paraId="2674D48E" w14:textId="09660177" w:rsidR="00803EB2" w:rsidRPr="00D238A0" w:rsidRDefault="00803EB2" w:rsidP="00D238A0">
      <w:pPr>
        <w:widowControl w:val="0"/>
        <w:tabs>
          <w:tab w:val="center" w:pos="5387"/>
        </w:tabs>
        <w:spacing w:after="120"/>
        <w:ind w:left="425"/>
        <w:rPr>
          <w:rFonts w:cs="Times New Roman"/>
          <w:szCs w:val="24"/>
          <w:lang w:val="en-US"/>
        </w:rPr>
      </w:pPr>
      <w:r w:rsidRPr="00125415">
        <w:rPr>
          <w:rFonts w:cs="Times New Roman"/>
          <w:szCs w:val="24"/>
          <w:lang w:val="en-US"/>
        </w:rPr>
        <w:t xml:space="preserve">It is noteworthy that ἐν + dative is the most frequent prepositional construction in the </w:t>
      </w:r>
      <w:r w:rsidRPr="00125415">
        <w:rPr>
          <w:rFonts w:cs="Times New Roman"/>
          <w:szCs w:val="24"/>
          <w:lang w:val="en-US"/>
        </w:rPr>
        <w:lastRenderedPageBreak/>
        <w:t>archaic iambic texts. This is not true for Callimachus</w:t>
      </w:r>
      <w:r w:rsidR="00075F5F">
        <w:rPr>
          <w:rFonts w:cs="Times New Roman"/>
          <w:szCs w:val="24"/>
          <w:lang w:val="en-US"/>
        </w:rPr>
        <w:t>’</w:t>
      </w:r>
      <w:r w:rsidRPr="00125415">
        <w:rPr>
          <w:rFonts w:cs="Times New Roman"/>
          <w:szCs w:val="24"/>
          <w:lang w:val="en-US"/>
        </w:rPr>
        <w:t xml:space="preserve"> </w:t>
      </w:r>
      <w:r w:rsidRPr="00125415">
        <w:rPr>
          <w:rFonts w:cs="Times New Roman"/>
          <w:i/>
          <w:iCs/>
          <w:szCs w:val="24"/>
          <w:lang w:val="en-US"/>
        </w:rPr>
        <w:t>Iambi</w:t>
      </w:r>
      <w:r w:rsidRPr="00125415">
        <w:rPr>
          <w:rFonts w:cs="Times New Roman"/>
          <w:szCs w:val="24"/>
          <w:lang w:val="en-US"/>
        </w:rPr>
        <w:t xml:space="preserve">, which use ἐς more often. This discrepancy may be interpreted as symptomatic of a greater degree of dynamism </w:t>
      </w:r>
      <w:r w:rsidRPr="009F59C0">
        <w:rPr>
          <w:rFonts w:cs="Times New Roman"/>
          <w:szCs w:val="24"/>
          <w:lang w:val="en-US"/>
        </w:rPr>
        <w:t>in Callimachus</w:t>
      </w:r>
      <w:r w:rsidR="00075F5F">
        <w:rPr>
          <w:rFonts w:cs="Times New Roman"/>
          <w:szCs w:val="24"/>
          <w:lang w:val="en-US"/>
        </w:rPr>
        <w:t>’</w:t>
      </w:r>
      <w:r w:rsidRPr="009F59C0">
        <w:rPr>
          <w:rFonts w:cs="Times New Roman"/>
          <w:szCs w:val="24"/>
          <w:lang w:val="en-US"/>
        </w:rPr>
        <w:t xml:space="preserve"> </w:t>
      </w:r>
      <w:r w:rsidRPr="001C5EA4">
        <w:rPr>
          <w:rFonts w:cs="Times New Roman"/>
          <w:i/>
          <w:iCs/>
          <w:szCs w:val="24"/>
          <w:lang w:val="en-US"/>
        </w:rPr>
        <w:t>Iambi</w:t>
      </w:r>
      <w:r w:rsidRPr="004E03FF">
        <w:rPr>
          <w:rFonts w:cs="Times New Roman"/>
          <w:szCs w:val="24"/>
          <w:lang w:val="en-US"/>
        </w:rPr>
        <w:t xml:space="preserve">. The </w:t>
      </w:r>
      <w:r w:rsidRPr="00D238A0">
        <w:rPr>
          <w:rFonts w:cs="Times New Roman"/>
          <w:i/>
          <w:iCs/>
          <w:szCs w:val="24"/>
          <w:lang w:val="en-US"/>
        </w:rPr>
        <w:t>Iambi</w:t>
      </w:r>
      <w:r w:rsidRPr="00D238A0">
        <w:rPr>
          <w:rFonts w:cs="Times New Roman"/>
          <w:szCs w:val="24"/>
          <w:lang w:val="en-US"/>
        </w:rPr>
        <w:t xml:space="preserve"> possess longer passages of narration when compared to the fragments of archaic iambographers, but this could be due to the extreme fragmentariness of archaic iambic texts. </w:t>
      </w:r>
    </w:p>
    <w:p w14:paraId="6B0B20A1" w14:textId="4AD5437C" w:rsidR="00803EB2" w:rsidRPr="00125415" w:rsidRDefault="00803EB2" w:rsidP="00125415">
      <w:pPr>
        <w:rPr>
          <w:rFonts w:cs="Times New Roman"/>
          <w:szCs w:val="24"/>
          <w:lang w:val="en-US"/>
        </w:rPr>
      </w:pPr>
      <w:r w:rsidRPr="00D238A0">
        <w:rPr>
          <w:rFonts w:cs="Times New Roman"/>
          <w:szCs w:val="24"/>
          <w:lang w:val="en-US"/>
        </w:rPr>
        <w:t xml:space="preserve">The other proper prepositions occur very rarely and </w:t>
      </w:r>
      <w:r w:rsidR="00125415">
        <w:rPr>
          <w:rFonts w:cs="Times New Roman"/>
          <w:szCs w:val="24"/>
          <w:lang w:val="en-US"/>
        </w:rPr>
        <w:t xml:space="preserve">their use is not homogeneous in </w:t>
      </w:r>
      <w:r w:rsidRPr="00125415">
        <w:rPr>
          <w:rFonts w:cs="Times New Roman"/>
          <w:szCs w:val="24"/>
          <w:lang w:val="en-US"/>
        </w:rPr>
        <w:t xml:space="preserve">collocation and function. The only </w:t>
      </w:r>
      <w:r w:rsidR="00125415">
        <w:rPr>
          <w:rFonts w:cs="Times New Roman"/>
          <w:szCs w:val="24"/>
          <w:lang w:val="en-US"/>
        </w:rPr>
        <w:t xml:space="preserve">exception </w:t>
      </w:r>
      <w:r w:rsidRPr="00125415">
        <w:rPr>
          <w:rFonts w:cs="Times New Roman"/>
          <w:szCs w:val="24"/>
          <w:lang w:val="en-US"/>
        </w:rPr>
        <w:t>is σύν: the comitative preposition is σύν + dative. This appears five times in Archilochus</w:t>
      </w:r>
      <w:r w:rsidR="00075F5F">
        <w:rPr>
          <w:rFonts w:cs="Times New Roman"/>
          <w:szCs w:val="24"/>
          <w:lang w:val="en-US"/>
        </w:rPr>
        <w:t>’</w:t>
      </w:r>
      <w:r w:rsidRPr="00125415">
        <w:rPr>
          <w:rFonts w:cs="Times New Roman"/>
          <w:szCs w:val="24"/>
          <w:lang w:val="en-US"/>
        </w:rPr>
        <w:t xml:space="preserve"> fragments, twice in Hipponax, and only once in Callimachus. Alongside σύν + dative, Archilochus often uses the participial construction of ἔχων (10 times) / λαβών (twice) + accusative. In Hipponax</w:t>
      </w:r>
      <w:r w:rsidR="00075F5F">
        <w:rPr>
          <w:rFonts w:cs="Times New Roman"/>
          <w:szCs w:val="24"/>
          <w:lang w:val="en-US"/>
        </w:rPr>
        <w:t>’</w:t>
      </w:r>
      <w:r w:rsidRPr="00125415">
        <w:rPr>
          <w:rFonts w:cs="Times New Roman"/>
          <w:szCs w:val="24"/>
          <w:lang w:val="en-US"/>
        </w:rPr>
        <w:t>s fragments there is only one instance of ἔχων + accusative, and in Callimachus</w:t>
      </w:r>
      <w:r w:rsidR="00075F5F">
        <w:rPr>
          <w:rFonts w:cs="Times New Roman"/>
          <w:szCs w:val="24"/>
          <w:lang w:val="en-US"/>
        </w:rPr>
        <w:t>’</w:t>
      </w:r>
      <w:r w:rsidRPr="00125415">
        <w:rPr>
          <w:rFonts w:cs="Times New Roman"/>
          <w:szCs w:val="24"/>
          <w:lang w:val="en-US"/>
        </w:rPr>
        <w:t xml:space="preserve"> </w:t>
      </w:r>
      <w:r w:rsidRPr="00125415">
        <w:rPr>
          <w:rFonts w:cs="Times New Roman"/>
          <w:i/>
          <w:iCs/>
          <w:szCs w:val="24"/>
          <w:lang w:val="en-US"/>
        </w:rPr>
        <w:t>Iambi</w:t>
      </w:r>
      <w:r w:rsidRPr="00125415">
        <w:rPr>
          <w:rFonts w:cs="Times New Roman"/>
          <w:szCs w:val="24"/>
          <w:lang w:val="en-US"/>
        </w:rPr>
        <w:t xml:space="preserve"> none (</w:t>
      </w:r>
      <w:r w:rsidRPr="00125415">
        <w:rPr>
          <w:rFonts w:cs="Times New Roman"/>
          <w:b/>
          <w:bCs/>
          <w:szCs w:val="24"/>
          <w:lang w:val="en-US"/>
        </w:rPr>
        <w:t>2</w:t>
      </w:r>
      <w:r w:rsidRPr="00125415">
        <w:rPr>
          <w:rFonts w:cs="Times New Roman"/>
          <w:szCs w:val="24"/>
          <w:lang w:val="en-US"/>
        </w:rPr>
        <w:t xml:space="preserve"> D.2). </w:t>
      </w:r>
    </w:p>
    <w:p w14:paraId="24EFA08C" w14:textId="2DAA554B" w:rsidR="00803EB2" w:rsidRPr="00D238A0" w:rsidRDefault="00803EB2" w:rsidP="009F59C0">
      <w:pPr>
        <w:ind w:firstLine="426"/>
        <w:rPr>
          <w:rFonts w:cs="Times New Roman"/>
          <w:szCs w:val="24"/>
          <w:lang w:val="en-US"/>
        </w:rPr>
      </w:pPr>
      <w:r w:rsidRPr="009F59C0">
        <w:rPr>
          <w:rFonts w:cs="Times New Roman"/>
          <w:szCs w:val="24"/>
          <w:lang w:val="en-US"/>
        </w:rPr>
        <w:t xml:space="preserve">I would like to draw attention to the fact that the agentive complement preposition is nearly never used in iambic texts. It occurs only </w:t>
      </w:r>
      <w:r w:rsidRPr="001C5EA4">
        <w:rPr>
          <w:rFonts w:cs="Times New Roman"/>
          <w:szCs w:val="24"/>
          <w:lang w:val="en-US"/>
        </w:rPr>
        <w:t>in Archilochus</w:t>
      </w:r>
      <w:r w:rsidR="00075F5F">
        <w:rPr>
          <w:rFonts w:cs="Times New Roman"/>
          <w:szCs w:val="24"/>
          <w:lang w:val="en-US"/>
        </w:rPr>
        <w:t>’</w:t>
      </w:r>
      <w:r w:rsidRPr="001C5EA4">
        <w:rPr>
          <w:rFonts w:cs="Times New Roman"/>
          <w:szCs w:val="24"/>
          <w:lang w:val="en-US"/>
        </w:rPr>
        <w:t xml:space="preserve"> fragments, where it is expressed five times by </w:t>
      </w:r>
      <w:r w:rsidRPr="004E03FF">
        <w:rPr>
          <w:rFonts w:cs="Times New Roman"/>
          <w:szCs w:val="24"/>
          <w:lang w:val="en-US"/>
        </w:rPr>
        <w:t>ὑ</w:t>
      </w:r>
      <w:r w:rsidRPr="00D238A0">
        <w:rPr>
          <w:rFonts w:cs="Times New Roman"/>
          <w:szCs w:val="24"/>
          <w:lang w:val="en-US"/>
        </w:rPr>
        <w:t xml:space="preserve">πό + genitive, as shown for example by Archil. fr. 54.34 χερσὶν αἰχμητέων ὕπο </w:t>
      </w:r>
      <w:r w:rsidR="00CC0615">
        <w:rPr>
          <w:rFonts w:cs="Times New Roman"/>
          <w:szCs w:val="24"/>
          <w:lang w:val="en-US"/>
        </w:rPr>
        <w:t>“</w:t>
      </w:r>
      <w:r w:rsidRPr="00D238A0">
        <w:rPr>
          <w:rFonts w:cs="Times New Roman"/>
          <w:szCs w:val="24"/>
          <w:lang w:val="en-US"/>
        </w:rPr>
        <w:t>by enemies</w:t>
      </w:r>
      <w:r w:rsidR="00075F5F">
        <w:rPr>
          <w:rFonts w:cs="Times New Roman"/>
          <w:szCs w:val="24"/>
          <w:lang w:val="en-US"/>
        </w:rPr>
        <w:t>’</w:t>
      </w:r>
      <w:r w:rsidRPr="00D238A0">
        <w:rPr>
          <w:rFonts w:cs="Times New Roman"/>
          <w:szCs w:val="24"/>
          <w:lang w:val="en-US"/>
        </w:rPr>
        <w:t xml:space="preserve"> hands</w:t>
      </w:r>
      <w:r w:rsidR="00CC0615">
        <w:rPr>
          <w:rFonts w:cs="Times New Roman"/>
          <w:szCs w:val="24"/>
          <w:lang w:val="en-US"/>
        </w:rPr>
        <w:t>”</w:t>
      </w:r>
      <w:r w:rsidRPr="00D238A0">
        <w:rPr>
          <w:rFonts w:cs="Times New Roman"/>
          <w:szCs w:val="24"/>
          <w:lang w:val="en-US"/>
        </w:rPr>
        <w:t xml:space="preserve">; and once by παρά + genitive, as shown by Archil. fr. 106 σὺ γὰρ δὴ παρὰ φίλων ἀπάγχεαι </w:t>
      </w:r>
      <w:r w:rsidR="00CC0615">
        <w:rPr>
          <w:rFonts w:cs="Times New Roman"/>
          <w:szCs w:val="24"/>
          <w:lang w:val="en-US"/>
        </w:rPr>
        <w:t>“</w:t>
      </w:r>
      <w:r w:rsidRPr="00D238A0">
        <w:rPr>
          <w:rFonts w:cs="Times New Roman"/>
          <w:szCs w:val="24"/>
          <w:lang w:val="en-US"/>
        </w:rPr>
        <w:t>for you are being strangled by your friends.</w:t>
      </w:r>
      <w:r w:rsidR="00CC0615">
        <w:rPr>
          <w:rFonts w:cs="Times New Roman"/>
          <w:szCs w:val="24"/>
          <w:lang w:val="en-US"/>
        </w:rPr>
        <w:t>”</w:t>
      </w:r>
    </w:p>
    <w:p w14:paraId="446AD17E" w14:textId="09635C1F" w:rsidR="00803EB2" w:rsidRPr="00D238A0" w:rsidRDefault="00803EB2" w:rsidP="001C5EA4">
      <w:pPr>
        <w:ind w:firstLine="426"/>
        <w:rPr>
          <w:rFonts w:cs="Times New Roman"/>
          <w:szCs w:val="24"/>
          <w:lang w:val="en-US"/>
        </w:rPr>
      </w:pPr>
      <w:r w:rsidRPr="00D238A0">
        <w:rPr>
          <w:rFonts w:cs="Times New Roman"/>
          <w:szCs w:val="24"/>
          <w:lang w:val="en-US"/>
        </w:rPr>
        <w:t xml:space="preserve">This datum is significant for two reasons: it reveals that iambic texts strongly prefer the active diathesis of verbs rather than the passive one, and it may indicate that iambographers tend to use the passive diathesis as an impersonal construction, as they prefer not to ascribe responsibility for an action to a particular person. Iambic texts blame their target through a direct address, making that target the main character of their narrative which exemplifies a bad social behaviour. Otherwise, they do not take and do not ascribe responsibility. As will become clearer in the following chapters, I suggest that the lack of agentive specification constitutes a clue to the nature of iambic genre: it is not </w:t>
      </w:r>
      <w:r w:rsidRPr="00D238A0">
        <w:rPr>
          <w:rFonts w:cs="Times New Roman"/>
          <w:i/>
          <w:iCs/>
          <w:szCs w:val="24"/>
          <w:lang w:val="en-US"/>
        </w:rPr>
        <w:t>in primis</w:t>
      </w:r>
      <w:r w:rsidRPr="00D238A0">
        <w:rPr>
          <w:rFonts w:cs="Times New Roman"/>
          <w:szCs w:val="24"/>
          <w:lang w:val="en-US"/>
        </w:rPr>
        <w:t xml:space="preserve"> a poetry of blame and accusation. </w:t>
      </w:r>
    </w:p>
    <w:p w14:paraId="5335A631" w14:textId="42FC3155" w:rsidR="006512C4" w:rsidRPr="001C5EA4" w:rsidRDefault="00803EB2" w:rsidP="00125415">
      <w:pPr>
        <w:ind w:firstLine="426"/>
        <w:rPr>
          <w:rFonts w:cs="Times New Roman"/>
          <w:szCs w:val="24"/>
        </w:rPr>
      </w:pPr>
      <w:r w:rsidRPr="00D238A0">
        <w:rPr>
          <w:rFonts w:cs="Times New Roman"/>
          <w:szCs w:val="24"/>
          <w:lang w:val="en-US"/>
        </w:rPr>
        <w:t>Finally, the juxtaposition of two prepositions, a widespread phenomenon in epic poetry,</w:t>
      </w:r>
      <w:r w:rsidRPr="00125415">
        <w:rPr>
          <w:rStyle w:val="FootnoteReference"/>
          <w:rFonts w:cs="Times New Roman"/>
          <w:szCs w:val="24"/>
          <w:lang w:val="en-US"/>
        </w:rPr>
        <w:footnoteReference w:id="339"/>
      </w:r>
      <w:r w:rsidRPr="00125415">
        <w:rPr>
          <w:rFonts w:cs="Times New Roman"/>
          <w:szCs w:val="24"/>
          <w:lang w:val="en-US"/>
        </w:rPr>
        <w:t xml:space="preserve"> is very rare in iambic texts, and the second preposition involved is always ἐκ:</w:t>
      </w:r>
      <w:r w:rsidRPr="00125415">
        <w:rPr>
          <w:rStyle w:val="FootnoteReference"/>
          <w:rFonts w:cs="Times New Roman"/>
          <w:szCs w:val="24"/>
          <w:lang w:val="en-US"/>
        </w:rPr>
        <w:footnoteReference w:id="340"/>
      </w:r>
      <w:r w:rsidRPr="00125415">
        <w:rPr>
          <w:rFonts w:cs="Times New Roman"/>
          <w:szCs w:val="24"/>
          <w:lang w:val="en-US"/>
        </w:rPr>
        <w:t xml:space="preserve"> Archilocus uses διέξ twice (fr. 213 διὲξ σωλῆνος εἰς ἄγγος </w:t>
      </w:r>
      <w:r w:rsidR="00CC0615">
        <w:rPr>
          <w:rFonts w:cs="Times New Roman"/>
          <w:szCs w:val="24"/>
          <w:lang w:val="en-US"/>
        </w:rPr>
        <w:t>“</w:t>
      </w:r>
      <w:r w:rsidRPr="00125415">
        <w:rPr>
          <w:rFonts w:cs="Times New Roman"/>
          <w:szCs w:val="24"/>
          <w:lang w:val="en-US"/>
        </w:rPr>
        <w:t>right through the pipe into the container,</w:t>
      </w:r>
      <w:r w:rsidR="00CC0615">
        <w:rPr>
          <w:rFonts w:cs="Times New Roman"/>
          <w:szCs w:val="24"/>
          <w:lang w:val="en-US"/>
        </w:rPr>
        <w:t>”</w:t>
      </w:r>
      <w:r w:rsidRPr="00125415">
        <w:rPr>
          <w:rStyle w:val="FootnoteReference"/>
          <w:rFonts w:cs="Times New Roman"/>
          <w:szCs w:val="24"/>
          <w:lang w:val="en-US"/>
        </w:rPr>
        <w:footnoteReference w:id="341"/>
      </w:r>
      <w:r w:rsidRPr="00125415">
        <w:rPr>
          <w:rFonts w:cs="Times New Roman"/>
          <w:szCs w:val="24"/>
          <w:lang w:val="en-US"/>
        </w:rPr>
        <w:t xml:space="preserve"> and fr. 229 διὲξ τὸ μύρτον </w:t>
      </w:r>
      <w:r w:rsidR="00CC0615">
        <w:rPr>
          <w:rFonts w:cs="Times New Roman"/>
          <w:szCs w:val="24"/>
          <w:lang w:val="en-US"/>
        </w:rPr>
        <w:t>“</w:t>
      </w:r>
      <w:r w:rsidRPr="00125415">
        <w:rPr>
          <w:rFonts w:cs="Times New Roman"/>
          <w:szCs w:val="24"/>
          <w:lang w:val="en-US"/>
        </w:rPr>
        <w:t>right through the myrtle spray</w:t>
      </w:r>
      <w:r w:rsidR="00CC0615">
        <w:rPr>
          <w:rFonts w:cs="Times New Roman"/>
          <w:szCs w:val="24"/>
          <w:lang w:val="en-US"/>
        </w:rPr>
        <w:t>”</w:t>
      </w:r>
      <w:r w:rsidRPr="00125415">
        <w:rPr>
          <w:rFonts w:cs="Times New Roman"/>
          <w:szCs w:val="24"/>
          <w:lang w:val="en-US"/>
        </w:rPr>
        <w:t>).</w:t>
      </w:r>
      <w:r w:rsidRPr="00125415">
        <w:rPr>
          <w:rStyle w:val="FootnoteReference"/>
          <w:rFonts w:cs="Times New Roman"/>
          <w:szCs w:val="24"/>
          <w:lang w:val="en-US"/>
        </w:rPr>
        <w:footnoteReference w:id="342"/>
      </w:r>
      <w:r w:rsidRPr="00125415">
        <w:rPr>
          <w:rFonts w:cs="Times New Roman"/>
          <w:szCs w:val="24"/>
          <w:lang w:val="en-US"/>
        </w:rPr>
        <w:t xml:space="preserve"> As shown </w:t>
      </w:r>
      <w:r w:rsidRPr="00125415">
        <w:rPr>
          <w:rFonts w:cs="Times New Roman"/>
          <w:szCs w:val="24"/>
          <w:lang w:val="en-US"/>
        </w:rPr>
        <w:lastRenderedPageBreak/>
        <w:t>by the example, διά is stronger than ἐκ, since the meaning is that of διά, and this is clear from the fact that in fr. 229 διέξ is followed by the accusative, a case suitable for διά but not for ἐκ. Hipponax has διέκ once (fr. 86.12 διὲκ θυρέων</w:t>
      </w:r>
      <w:r w:rsidRPr="00D238A0">
        <w:rPr>
          <w:rFonts w:cs="Times New Roman"/>
          <w:szCs w:val="24"/>
          <w:lang w:val="en-US"/>
        </w:rPr>
        <w:t xml:space="preserve"> </w:t>
      </w:r>
      <w:r w:rsidRPr="00125415">
        <w:rPr>
          <w:rFonts w:cs="Times New Roman"/>
          <w:szCs w:val="24"/>
          <w:lang w:val="en-US"/>
        </w:rPr>
        <w:t xml:space="preserve">βλέποντες </w:t>
      </w:r>
      <w:r w:rsidR="00CC0615">
        <w:rPr>
          <w:rFonts w:cs="Times New Roman"/>
          <w:szCs w:val="24"/>
          <w:lang w:val="en-US"/>
        </w:rPr>
        <w:t>“</w:t>
      </w:r>
      <w:r w:rsidRPr="00125415">
        <w:rPr>
          <w:rFonts w:cs="Times New Roman"/>
          <w:szCs w:val="24"/>
          <w:lang w:val="en-US"/>
        </w:rPr>
        <w:t>looking through the doors</w:t>
      </w:r>
      <w:r w:rsidR="00CC0615">
        <w:rPr>
          <w:rFonts w:cs="Times New Roman"/>
          <w:szCs w:val="24"/>
          <w:lang w:val="en-US"/>
        </w:rPr>
        <w:t>”</w:t>
      </w:r>
      <w:r w:rsidRPr="00125415">
        <w:rPr>
          <w:rFonts w:cs="Times New Roman"/>
          <w:szCs w:val="24"/>
          <w:lang w:val="en-US"/>
        </w:rPr>
        <w:t xml:space="preserve">), and it has the meaning of διά </w:t>
      </w:r>
      <w:r w:rsidR="00CC0615">
        <w:rPr>
          <w:rFonts w:cs="Times New Roman"/>
          <w:szCs w:val="24"/>
          <w:lang w:val="en-US"/>
        </w:rPr>
        <w:t>“</w:t>
      </w:r>
      <w:r w:rsidRPr="00125415">
        <w:rPr>
          <w:rFonts w:cs="Times New Roman"/>
          <w:szCs w:val="24"/>
          <w:lang w:val="en-US"/>
        </w:rPr>
        <w:t>through.</w:t>
      </w:r>
      <w:r w:rsidR="00CC0615">
        <w:rPr>
          <w:rFonts w:cs="Times New Roman"/>
          <w:szCs w:val="24"/>
          <w:lang w:val="en-US"/>
        </w:rPr>
        <w:t>”</w:t>
      </w:r>
      <w:r w:rsidRPr="00125415">
        <w:rPr>
          <w:rFonts w:cs="Times New Roman"/>
          <w:szCs w:val="24"/>
          <w:lang w:val="en-US"/>
        </w:rPr>
        <w:t xml:space="preserve"> Callimachus says συνέκ once (</w:t>
      </w:r>
      <w:r w:rsidRPr="00125415">
        <w:rPr>
          <w:rFonts w:cs="Times New Roman"/>
          <w:i/>
          <w:iCs/>
          <w:szCs w:val="24"/>
          <w:lang w:val="en-US"/>
        </w:rPr>
        <w:t>Ia</w:t>
      </w:r>
      <w:r w:rsidRPr="00125415">
        <w:rPr>
          <w:rFonts w:cs="Times New Roman"/>
          <w:szCs w:val="24"/>
          <w:lang w:val="en-US"/>
        </w:rPr>
        <w:t>. 4.49-50 ἐγὼ μὲν ἄνδρας, οὓς Ἄρης ἀπόλλυσι, / συνέκ τε πέμπω χ</w:t>
      </w:r>
      <w:r w:rsidRPr="009F59C0">
        <w:rPr>
          <w:rFonts w:cs="Times New Roman"/>
          <w:szCs w:val="24"/>
          <w:lang w:val="en-US"/>
        </w:rPr>
        <w:t xml:space="preserve">ὐπὸ </w:t>
      </w:r>
      <w:r w:rsidR="00CC0615">
        <w:rPr>
          <w:rFonts w:cs="Times New Roman"/>
          <w:szCs w:val="24"/>
          <w:lang w:val="en-US"/>
        </w:rPr>
        <w:t>“</w:t>
      </w:r>
      <w:r w:rsidRPr="009F59C0">
        <w:rPr>
          <w:rFonts w:cs="Times New Roman"/>
          <w:szCs w:val="24"/>
          <w:lang w:val="en-US"/>
        </w:rPr>
        <w:t>for both do I escort the men, whom Ares slays, together and below(?)</w:t>
      </w:r>
      <w:r w:rsidR="00CC0615">
        <w:rPr>
          <w:rFonts w:cs="Times New Roman"/>
          <w:szCs w:val="24"/>
          <w:lang w:val="en-US"/>
        </w:rPr>
        <w:t>”</w:t>
      </w:r>
      <w:r w:rsidRPr="009F59C0">
        <w:rPr>
          <w:rFonts w:cs="Times New Roman"/>
          <w:szCs w:val="24"/>
          <w:lang w:val="en-US"/>
        </w:rPr>
        <w:t xml:space="preserve">), and in this example also the prevailing meaning is that of the first preposition (σύν) of the prepositional compound. </w:t>
      </w:r>
    </w:p>
    <w:p w14:paraId="3D8DCFCF" w14:textId="77777777" w:rsidR="006512C4" w:rsidRPr="00FC4E64" w:rsidRDefault="006512C4" w:rsidP="007476CC">
      <w:pPr>
        <w:pStyle w:val="Heading4"/>
      </w:pPr>
      <w:r w:rsidRPr="00FC4E64">
        <w:t>2.4.1 Tmesis</w:t>
      </w:r>
    </w:p>
    <w:p w14:paraId="0A95A480" w14:textId="7FD105BB" w:rsidR="003F4E40" w:rsidRPr="009F59C0" w:rsidRDefault="003F4E40" w:rsidP="00125415">
      <w:pPr>
        <w:keepNext/>
        <w:tabs>
          <w:tab w:val="clear" w:pos="425"/>
          <w:tab w:val="left" w:pos="426"/>
        </w:tabs>
        <w:rPr>
          <w:color w:val="1A1A1A"/>
          <w:szCs w:val="24"/>
          <w:lang w:val="en-US"/>
        </w:rPr>
      </w:pPr>
      <w:r w:rsidRPr="00125415">
        <w:rPr>
          <w:szCs w:val="24"/>
          <w:lang w:val="en-US"/>
        </w:rPr>
        <w:t xml:space="preserve">The word tmesis is defined as the phenomenon </w:t>
      </w:r>
      <w:r w:rsidRPr="00125415">
        <w:rPr>
          <w:color w:val="1A1A1A"/>
          <w:szCs w:val="24"/>
          <w:lang w:val="en-US"/>
        </w:rPr>
        <w:t>of breaking up compound verbal forms by inserting or rearranging their constituents.</w:t>
      </w:r>
      <w:r w:rsidRPr="00125415">
        <w:rPr>
          <w:rStyle w:val="FootnoteReference"/>
          <w:szCs w:val="24"/>
          <w:lang w:val="en-US"/>
        </w:rPr>
        <w:footnoteReference w:id="343"/>
      </w:r>
      <w:r w:rsidRPr="00125415">
        <w:rPr>
          <w:color w:val="1A1A1A"/>
          <w:szCs w:val="24"/>
          <w:lang w:val="en-US"/>
        </w:rPr>
        <w:t xml:space="preserve"> However, this definition is acceptable in a purely synchronic description, since it implies that the adverb in question was a preverb subsequently separated from the verb, which is precisely the opposite of what historically occurred. Many Greek prepositions di</w:t>
      </w:r>
      <w:r w:rsidRPr="009F59C0">
        <w:rPr>
          <w:color w:val="1A1A1A"/>
          <w:szCs w:val="24"/>
          <w:lang w:val="en-US"/>
        </w:rPr>
        <w:t xml:space="preserve">d not have prepositional status in pre-Classical Greek, as is evidenced by Homeric Greek, which casts considerable light on the origin </w:t>
      </w:r>
      <w:r w:rsidRPr="001C5EA4">
        <w:rPr>
          <w:color w:val="1A1A1A"/>
          <w:szCs w:val="24"/>
          <w:lang w:val="en-US"/>
        </w:rPr>
        <w:t>of Classical Greek prepositions as a syntactic category.</w:t>
      </w:r>
      <w:r w:rsidRPr="00125415">
        <w:rPr>
          <w:rStyle w:val="FootnoteReference"/>
          <w:szCs w:val="24"/>
          <w:lang w:val="en-US"/>
        </w:rPr>
        <w:footnoteReference w:id="344"/>
      </w:r>
      <w:r w:rsidRPr="00125415">
        <w:rPr>
          <w:color w:val="1A1A1A"/>
          <w:szCs w:val="24"/>
          <w:lang w:val="en-US"/>
        </w:rPr>
        <w:t xml:space="preserve"> While in Classical Greek there are enough differences among local adverbs, prepositions, and morphologically identical prefixes to distinguish them in different categories, in Homeric Greek, there is no clear distinction between them.</w:t>
      </w:r>
      <w:r w:rsidRPr="00125415">
        <w:rPr>
          <w:rStyle w:val="FootnoteReference"/>
          <w:szCs w:val="24"/>
          <w:lang w:val="en-US"/>
        </w:rPr>
        <w:footnoteReference w:id="345"/>
      </w:r>
      <w:r w:rsidRPr="00125415">
        <w:rPr>
          <w:color w:val="1A1A1A"/>
          <w:szCs w:val="24"/>
          <w:lang w:val="en-US"/>
        </w:rPr>
        <w:t xml:space="preserve"> To use Lehmann</w:t>
      </w:r>
      <w:r w:rsidR="00075F5F">
        <w:rPr>
          <w:color w:val="1A1A1A"/>
          <w:szCs w:val="24"/>
          <w:lang w:val="en-US"/>
        </w:rPr>
        <w:t>’</w:t>
      </w:r>
      <w:r w:rsidRPr="00125415">
        <w:rPr>
          <w:color w:val="1A1A1A"/>
          <w:szCs w:val="24"/>
          <w:lang w:val="en-US"/>
        </w:rPr>
        <w:t>s term,</w:t>
      </w:r>
      <w:r w:rsidRPr="00125415">
        <w:rPr>
          <w:rStyle w:val="FootnoteReference"/>
          <w:szCs w:val="24"/>
          <w:lang w:val="en-US"/>
        </w:rPr>
        <w:footnoteReference w:id="346"/>
      </w:r>
      <w:r w:rsidRPr="00125415">
        <w:rPr>
          <w:color w:val="1A1A1A"/>
          <w:szCs w:val="24"/>
          <w:lang w:val="en-US"/>
        </w:rPr>
        <w:t xml:space="preserve"> there were a number of words that functioned semantically as </w:t>
      </w:r>
      <w:r w:rsidR="00CC0615">
        <w:rPr>
          <w:color w:val="1A1A1A"/>
          <w:szCs w:val="24"/>
          <w:lang w:val="en-US"/>
        </w:rPr>
        <w:t>“</w:t>
      </w:r>
      <w:r w:rsidRPr="00125415">
        <w:rPr>
          <w:color w:val="1A1A1A"/>
          <w:szCs w:val="24"/>
          <w:lang w:val="en-US"/>
        </w:rPr>
        <w:t>local relators,</w:t>
      </w:r>
      <w:r w:rsidR="00CC0615">
        <w:rPr>
          <w:color w:val="1A1A1A"/>
          <w:szCs w:val="24"/>
          <w:lang w:val="en-US"/>
        </w:rPr>
        <w:t>”</w:t>
      </w:r>
      <w:r w:rsidRPr="00125415">
        <w:rPr>
          <w:color w:val="1A1A1A"/>
          <w:szCs w:val="24"/>
          <w:lang w:val="en-US"/>
        </w:rPr>
        <w:t xml:space="preserve"> which could occur before or after, near or far from nouns and verbs. These items, initially conceived as adverbs,</w:t>
      </w:r>
      <w:r w:rsidRPr="00125415">
        <w:rPr>
          <w:rStyle w:val="FootnoteReference"/>
          <w:szCs w:val="24"/>
          <w:lang w:val="en-US"/>
        </w:rPr>
        <w:footnoteReference w:id="347"/>
      </w:r>
      <w:r w:rsidRPr="00125415">
        <w:rPr>
          <w:color w:val="1A1A1A"/>
          <w:szCs w:val="24"/>
          <w:lang w:val="en-US"/>
        </w:rPr>
        <w:t xml:space="preserve"> later became appositions and preverbs in Ancient Greek; furthermore, since they could modify the noun to which are semantically related, they developed into prepositions (if they precede the noun) and postpositions (if they immediately follow the noun). </w:t>
      </w:r>
    </w:p>
    <w:p w14:paraId="58CAD37A" w14:textId="48FCAF70" w:rsidR="009F59C0" w:rsidRPr="00125415" w:rsidRDefault="003F4E40" w:rsidP="009F59C0">
      <w:pPr>
        <w:tabs>
          <w:tab w:val="clear" w:pos="425"/>
          <w:tab w:val="left" w:pos="426"/>
        </w:tabs>
        <w:ind w:firstLine="426"/>
        <w:rPr>
          <w:rFonts w:cs="Times New Roman"/>
          <w:color w:val="1A1A1A"/>
          <w:szCs w:val="24"/>
        </w:rPr>
      </w:pPr>
      <w:r w:rsidRPr="009F59C0">
        <w:rPr>
          <w:color w:val="1A1A1A"/>
          <w:szCs w:val="24"/>
          <w:lang w:val="en-US"/>
        </w:rPr>
        <w:t xml:space="preserve">In Homeric epic the use of classical prepositions is very loose, as shown for example by </w:t>
      </w:r>
      <w:r w:rsidRPr="00D238A0">
        <w:rPr>
          <w:i/>
          <w:iCs/>
          <w:color w:val="1A1A1A"/>
          <w:szCs w:val="24"/>
          <w:lang w:val="en-US"/>
        </w:rPr>
        <w:t>Od</w:t>
      </w:r>
      <w:r w:rsidRPr="00D238A0">
        <w:rPr>
          <w:color w:val="1A1A1A"/>
          <w:szCs w:val="24"/>
          <w:lang w:val="en-US"/>
        </w:rPr>
        <w:t xml:space="preserve">. 5.260 </w:t>
      </w:r>
      <w:r w:rsidRPr="00D238A0">
        <w:rPr>
          <w:szCs w:val="24"/>
          <w:lang w:val="en-US"/>
        </w:rPr>
        <w:t>ἐν δ</w:t>
      </w:r>
      <w:r w:rsidR="00075F5F">
        <w:rPr>
          <w:szCs w:val="24"/>
          <w:lang w:val="en-US"/>
        </w:rPr>
        <w:t>’</w:t>
      </w:r>
      <w:r w:rsidRPr="00D238A0">
        <w:rPr>
          <w:szCs w:val="24"/>
          <w:lang w:val="en-US"/>
        </w:rPr>
        <w:t xml:space="preserve"> ὑπέρας τε κάλους τε πόδας τ</w:t>
      </w:r>
      <w:r w:rsidR="00075F5F">
        <w:rPr>
          <w:szCs w:val="24"/>
          <w:lang w:val="en-US"/>
        </w:rPr>
        <w:t>’</w:t>
      </w:r>
      <w:r w:rsidRPr="00D238A0">
        <w:rPr>
          <w:szCs w:val="24"/>
          <w:lang w:val="en-US"/>
        </w:rPr>
        <w:t xml:space="preserve"> ἐνέδησεν ἐν αὐτῇ </w:t>
      </w:r>
      <w:r w:rsidR="00CC0615">
        <w:rPr>
          <w:szCs w:val="24"/>
          <w:lang w:val="en-US"/>
        </w:rPr>
        <w:t>“</w:t>
      </w:r>
      <w:r w:rsidRPr="00D238A0">
        <w:rPr>
          <w:szCs w:val="24"/>
          <w:lang w:val="en-US"/>
        </w:rPr>
        <w:t xml:space="preserve">inside, braces, and sailyards, and sheets he tied </w:t>
      </w:r>
      <w:r w:rsidRPr="00125415">
        <w:rPr>
          <w:szCs w:val="24"/>
          <w:lang w:val="en-US"/>
        </w:rPr>
        <w:t>in it.</w:t>
      </w:r>
      <w:r w:rsidR="00CC0615">
        <w:rPr>
          <w:szCs w:val="24"/>
          <w:lang w:val="en-US"/>
        </w:rPr>
        <w:t>”</w:t>
      </w:r>
      <w:r w:rsidRPr="00125415">
        <w:rPr>
          <w:szCs w:val="24"/>
          <w:lang w:val="en-US"/>
        </w:rPr>
        <w:t xml:space="preserve"> </w:t>
      </w:r>
      <w:r w:rsidRPr="00125415">
        <w:rPr>
          <w:color w:val="1A1A1A"/>
          <w:szCs w:val="24"/>
          <w:lang w:val="en-US"/>
        </w:rPr>
        <w:t>It is frequently unclear whether the classical prepositions constitute adverbial forms, adpositions, or verbal prefixes. In many Homeric verses adverbial, prepositional, and preverbal roles are semantically and structurally equally possible,</w:t>
      </w:r>
      <w:r w:rsidRPr="00125415">
        <w:rPr>
          <w:rStyle w:val="FootnoteReference"/>
          <w:szCs w:val="24"/>
          <w:lang w:val="en-US"/>
        </w:rPr>
        <w:footnoteReference w:id="348"/>
      </w:r>
      <w:r w:rsidRPr="00125415">
        <w:rPr>
          <w:color w:val="1A1A1A"/>
          <w:szCs w:val="24"/>
          <w:lang w:val="en-US"/>
        </w:rPr>
        <w:t xml:space="preserve"> as shown below:</w:t>
      </w:r>
    </w:p>
    <w:p w14:paraId="43800748" w14:textId="77777777" w:rsidR="00024188" w:rsidRPr="00090198" w:rsidRDefault="00024188" w:rsidP="00D238A0">
      <w:pPr>
        <w:ind w:firstLine="426"/>
      </w:pPr>
    </w:p>
    <w:tbl>
      <w:tblPr>
        <w:tblStyle w:val="TableGrid"/>
        <w:tblW w:w="0" w:type="auto"/>
        <w:tblInd w:w="39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03"/>
        <w:gridCol w:w="1524"/>
        <w:gridCol w:w="1559"/>
        <w:gridCol w:w="1500"/>
        <w:gridCol w:w="1704"/>
      </w:tblGrid>
      <w:tr w:rsidR="006512C4" w:rsidRPr="00D630EB" w14:paraId="0D96F527" w14:textId="77777777" w:rsidTr="00890EB4">
        <w:tc>
          <w:tcPr>
            <w:tcW w:w="7990" w:type="dxa"/>
            <w:gridSpan w:val="5"/>
          </w:tcPr>
          <w:p w14:paraId="699B8054" w14:textId="3D6644DC" w:rsidR="006512C4" w:rsidRPr="00D630EB" w:rsidRDefault="006512C4" w:rsidP="00227EE7">
            <w:pPr>
              <w:pStyle w:val="Blockquote"/>
              <w:keepNext/>
              <w:spacing w:before="60" w:after="60"/>
              <w:rPr>
                <w:color w:val="404040" w:themeColor="text1" w:themeTint="BF"/>
                <w:sz w:val="22"/>
                <w:szCs w:val="22"/>
              </w:rPr>
            </w:pPr>
            <w:r w:rsidRPr="00D630EB">
              <w:rPr>
                <w:i/>
                <w:sz w:val="22"/>
                <w:szCs w:val="22"/>
              </w:rPr>
              <w:t>Od</w:t>
            </w:r>
            <w:r w:rsidRPr="00D630EB">
              <w:rPr>
                <w:sz w:val="22"/>
                <w:szCs w:val="22"/>
              </w:rPr>
              <w:t xml:space="preserve">. 14.129: καί οἱ ὀδυρομένῃ βλεφάρων ἄπο δάκρυα πίπτει </w:t>
            </w:r>
            <w:r w:rsidR="00CC0615">
              <w:rPr>
                <w:sz w:val="22"/>
                <w:szCs w:val="22"/>
              </w:rPr>
              <w:t>“</w:t>
            </w:r>
            <w:r w:rsidRPr="00D630EB">
              <w:rPr>
                <w:sz w:val="22"/>
                <w:szCs w:val="22"/>
              </w:rPr>
              <w:t>and the tears fall from her eyelids, while she weeps</w:t>
            </w:r>
            <w:r w:rsidR="00CC0615">
              <w:rPr>
                <w:sz w:val="22"/>
                <w:szCs w:val="22"/>
              </w:rPr>
              <w:t>”</w:t>
            </w:r>
            <w:r w:rsidRPr="00D630EB">
              <w:rPr>
                <w:rStyle w:val="FootnoteReference"/>
                <w:sz w:val="22"/>
                <w:szCs w:val="22"/>
              </w:rPr>
              <w:footnoteReference w:id="349"/>
            </w:r>
          </w:p>
        </w:tc>
      </w:tr>
      <w:tr w:rsidR="00E70C19" w:rsidRPr="00D630EB" w14:paraId="4E9DCB38" w14:textId="77777777" w:rsidTr="00890EB4">
        <w:tc>
          <w:tcPr>
            <w:tcW w:w="1703" w:type="dxa"/>
          </w:tcPr>
          <w:p w14:paraId="73479C73" w14:textId="77777777" w:rsidR="006512C4" w:rsidRPr="00D630EB" w:rsidRDefault="006512C4" w:rsidP="00227EE7">
            <w:pPr>
              <w:pStyle w:val="Blockquote"/>
              <w:keepNext/>
              <w:spacing w:before="60" w:after="60"/>
              <w:rPr>
                <w:color w:val="404040" w:themeColor="text1" w:themeTint="BF"/>
                <w:sz w:val="22"/>
                <w:szCs w:val="22"/>
              </w:rPr>
            </w:pPr>
            <w:r w:rsidRPr="00D630EB">
              <w:rPr>
                <w:sz w:val="22"/>
                <w:szCs w:val="22"/>
              </w:rPr>
              <w:t>βλεφάρων</w:t>
            </w:r>
          </w:p>
        </w:tc>
        <w:tc>
          <w:tcPr>
            <w:tcW w:w="1524" w:type="dxa"/>
          </w:tcPr>
          <w:p w14:paraId="1D49EC54" w14:textId="77777777" w:rsidR="006512C4" w:rsidRPr="00D630EB" w:rsidRDefault="006512C4" w:rsidP="00227EE7">
            <w:pPr>
              <w:pStyle w:val="Blockquote"/>
              <w:keepNext/>
              <w:spacing w:before="60" w:after="60"/>
              <w:rPr>
                <w:color w:val="404040" w:themeColor="text1" w:themeTint="BF"/>
                <w:sz w:val="22"/>
                <w:szCs w:val="22"/>
              </w:rPr>
            </w:pPr>
            <w:r w:rsidRPr="00D630EB">
              <w:rPr>
                <w:sz w:val="22"/>
                <w:szCs w:val="22"/>
              </w:rPr>
              <w:t>ἄπο</w:t>
            </w:r>
          </w:p>
        </w:tc>
        <w:tc>
          <w:tcPr>
            <w:tcW w:w="1559" w:type="dxa"/>
          </w:tcPr>
          <w:p w14:paraId="37FC126E" w14:textId="77777777" w:rsidR="006512C4" w:rsidRPr="00D630EB" w:rsidRDefault="006512C4" w:rsidP="00227EE7">
            <w:pPr>
              <w:pStyle w:val="Blockquote"/>
              <w:keepNext/>
              <w:spacing w:before="60" w:after="60"/>
              <w:rPr>
                <w:color w:val="404040" w:themeColor="text1" w:themeTint="BF"/>
                <w:sz w:val="22"/>
                <w:szCs w:val="22"/>
              </w:rPr>
            </w:pPr>
            <w:r w:rsidRPr="00D630EB">
              <w:rPr>
                <w:sz w:val="22"/>
                <w:szCs w:val="22"/>
              </w:rPr>
              <w:t>δάκρυα</w:t>
            </w:r>
          </w:p>
        </w:tc>
        <w:tc>
          <w:tcPr>
            <w:tcW w:w="1500" w:type="dxa"/>
          </w:tcPr>
          <w:p w14:paraId="5C5BDD7A" w14:textId="77777777" w:rsidR="006512C4" w:rsidRPr="00D630EB" w:rsidRDefault="006512C4" w:rsidP="00227EE7">
            <w:pPr>
              <w:pStyle w:val="Blockquote"/>
              <w:keepNext/>
              <w:spacing w:before="60" w:after="60"/>
              <w:rPr>
                <w:color w:val="404040" w:themeColor="text1" w:themeTint="BF"/>
                <w:sz w:val="22"/>
                <w:szCs w:val="22"/>
              </w:rPr>
            </w:pPr>
            <w:r w:rsidRPr="00D630EB">
              <w:rPr>
                <w:sz w:val="22"/>
                <w:szCs w:val="22"/>
              </w:rPr>
              <w:t>πίπτει</w:t>
            </w:r>
          </w:p>
        </w:tc>
        <w:tc>
          <w:tcPr>
            <w:tcW w:w="1704" w:type="dxa"/>
          </w:tcPr>
          <w:p w14:paraId="4B4C7127" w14:textId="4D6F8A00" w:rsidR="006512C4" w:rsidRPr="00D630EB" w:rsidRDefault="006512C4" w:rsidP="00227EE7">
            <w:pPr>
              <w:pStyle w:val="Blockquote"/>
              <w:keepNext/>
              <w:spacing w:before="60" w:after="60"/>
              <w:ind w:right="-164"/>
              <w:rPr>
                <w:color w:val="404040" w:themeColor="text1" w:themeTint="BF"/>
                <w:sz w:val="22"/>
                <w:szCs w:val="22"/>
                <w:lang w:val="el-GR"/>
              </w:rPr>
            </w:pPr>
            <w:r w:rsidRPr="00D630EB">
              <w:rPr>
                <w:sz w:val="22"/>
                <w:szCs w:val="22"/>
              </w:rPr>
              <w:t>(function of</w:t>
            </w:r>
            <w:r w:rsidR="00E70C19">
              <w:rPr>
                <w:sz w:val="22"/>
                <w:szCs w:val="22"/>
              </w:rPr>
              <w:t xml:space="preserve"> </w:t>
            </w:r>
            <w:r w:rsidRPr="00D630EB">
              <w:rPr>
                <w:sz w:val="22"/>
                <w:szCs w:val="22"/>
                <w:lang w:val="el-GR"/>
              </w:rPr>
              <w:t>ἀπό)</w:t>
            </w:r>
          </w:p>
        </w:tc>
      </w:tr>
      <w:tr w:rsidR="00E70C19" w:rsidRPr="00D630EB" w14:paraId="36ACA89E" w14:textId="77777777" w:rsidTr="00890EB4">
        <w:tc>
          <w:tcPr>
            <w:tcW w:w="1703" w:type="dxa"/>
          </w:tcPr>
          <w:p w14:paraId="168A0C52" w14:textId="77777777" w:rsidR="006512C4" w:rsidRPr="00D630EB" w:rsidRDefault="006512C4" w:rsidP="006E597E">
            <w:pPr>
              <w:pStyle w:val="Blockquote"/>
              <w:keepNext/>
              <w:spacing w:before="60" w:after="60"/>
              <w:rPr>
                <w:sz w:val="22"/>
                <w:szCs w:val="22"/>
              </w:rPr>
            </w:pPr>
            <w:r w:rsidRPr="00D630EB">
              <w:rPr>
                <w:sz w:val="22"/>
                <w:szCs w:val="22"/>
              </w:rPr>
              <w:t>from eyes</w:t>
            </w:r>
          </w:p>
        </w:tc>
        <w:tc>
          <w:tcPr>
            <w:tcW w:w="1524" w:type="dxa"/>
          </w:tcPr>
          <w:p w14:paraId="49076B9F" w14:textId="77777777" w:rsidR="006512C4" w:rsidRPr="00D630EB" w:rsidRDefault="006512C4" w:rsidP="006E597E">
            <w:pPr>
              <w:pStyle w:val="Blockquote"/>
              <w:keepNext/>
              <w:spacing w:before="60" w:after="60"/>
              <w:rPr>
                <w:sz w:val="22"/>
                <w:szCs w:val="22"/>
              </w:rPr>
            </w:pPr>
            <w:r w:rsidRPr="00D630EB">
              <w:rPr>
                <w:sz w:val="22"/>
                <w:szCs w:val="22"/>
              </w:rPr>
              <w:t>away</w:t>
            </w:r>
          </w:p>
        </w:tc>
        <w:tc>
          <w:tcPr>
            <w:tcW w:w="1559" w:type="dxa"/>
          </w:tcPr>
          <w:p w14:paraId="3CB897B1" w14:textId="77777777" w:rsidR="006512C4" w:rsidRPr="00D630EB" w:rsidRDefault="006512C4" w:rsidP="006E597E">
            <w:pPr>
              <w:pStyle w:val="Blockquote"/>
              <w:keepNext/>
              <w:spacing w:before="60" w:after="60"/>
              <w:rPr>
                <w:sz w:val="22"/>
                <w:szCs w:val="22"/>
              </w:rPr>
            </w:pPr>
            <w:r w:rsidRPr="00D630EB">
              <w:rPr>
                <w:sz w:val="22"/>
                <w:szCs w:val="22"/>
              </w:rPr>
              <w:t>tears</w:t>
            </w:r>
          </w:p>
        </w:tc>
        <w:tc>
          <w:tcPr>
            <w:tcW w:w="1500" w:type="dxa"/>
          </w:tcPr>
          <w:p w14:paraId="10A02E7B" w14:textId="77777777" w:rsidR="006512C4" w:rsidRPr="00D630EB" w:rsidRDefault="006512C4" w:rsidP="006E597E">
            <w:pPr>
              <w:pStyle w:val="Blockquote"/>
              <w:keepNext/>
              <w:spacing w:before="60" w:after="60"/>
              <w:rPr>
                <w:sz w:val="22"/>
                <w:szCs w:val="22"/>
              </w:rPr>
            </w:pPr>
            <w:r w:rsidRPr="00D630EB">
              <w:rPr>
                <w:sz w:val="22"/>
                <w:szCs w:val="22"/>
              </w:rPr>
              <w:t>fall</w:t>
            </w:r>
          </w:p>
        </w:tc>
        <w:tc>
          <w:tcPr>
            <w:tcW w:w="1704" w:type="dxa"/>
          </w:tcPr>
          <w:p w14:paraId="6C23DB9B" w14:textId="77777777" w:rsidR="006512C4" w:rsidRPr="00D630EB" w:rsidRDefault="006512C4" w:rsidP="006E597E">
            <w:pPr>
              <w:pStyle w:val="Blockquote"/>
              <w:keepNext/>
              <w:spacing w:before="60" w:after="60"/>
              <w:rPr>
                <w:sz w:val="22"/>
                <w:szCs w:val="22"/>
              </w:rPr>
            </w:pPr>
            <w:r w:rsidRPr="00D630EB">
              <w:rPr>
                <w:sz w:val="22"/>
                <w:szCs w:val="22"/>
              </w:rPr>
              <w:t>(adverb)</w:t>
            </w:r>
          </w:p>
        </w:tc>
      </w:tr>
      <w:tr w:rsidR="00E70C19" w:rsidRPr="00D630EB" w14:paraId="6AE6A23B" w14:textId="77777777" w:rsidTr="00890EB4">
        <w:tc>
          <w:tcPr>
            <w:tcW w:w="1703" w:type="dxa"/>
          </w:tcPr>
          <w:p w14:paraId="18CD910A" w14:textId="77777777" w:rsidR="006512C4" w:rsidRPr="00D630EB" w:rsidRDefault="006512C4" w:rsidP="006E597E">
            <w:pPr>
              <w:pStyle w:val="Blockquote"/>
              <w:keepNext/>
              <w:spacing w:before="60" w:after="60"/>
              <w:rPr>
                <w:sz w:val="22"/>
                <w:szCs w:val="22"/>
              </w:rPr>
            </w:pPr>
            <w:r w:rsidRPr="00D630EB">
              <w:rPr>
                <w:sz w:val="22"/>
                <w:szCs w:val="22"/>
              </w:rPr>
              <w:t>away-from eyes</w:t>
            </w:r>
          </w:p>
        </w:tc>
        <w:tc>
          <w:tcPr>
            <w:tcW w:w="1524" w:type="dxa"/>
          </w:tcPr>
          <w:p w14:paraId="2141E5BB" w14:textId="77777777" w:rsidR="006512C4" w:rsidRPr="00D630EB" w:rsidRDefault="006512C4" w:rsidP="006E597E">
            <w:pPr>
              <w:pStyle w:val="Blockquote"/>
              <w:keepNext/>
              <w:spacing w:before="60" w:after="60"/>
              <w:rPr>
                <w:sz w:val="22"/>
                <w:szCs w:val="22"/>
              </w:rPr>
            </w:pPr>
            <w:r w:rsidRPr="00D630EB">
              <w:rPr>
                <w:sz w:val="22"/>
                <w:szCs w:val="22"/>
              </w:rPr>
              <w:t>/</w:t>
            </w:r>
          </w:p>
        </w:tc>
        <w:tc>
          <w:tcPr>
            <w:tcW w:w="1559" w:type="dxa"/>
          </w:tcPr>
          <w:p w14:paraId="7816FA24" w14:textId="77777777" w:rsidR="006512C4" w:rsidRPr="00D630EB" w:rsidRDefault="006512C4" w:rsidP="006E597E">
            <w:pPr>
              <w:pStyle w:val="Blockquote"/>
              <w:keepNext/>
              <w:spacing w:before="60" w:after="60"/>
              <w:rPr>
                <w:sz w:val="22"/>
                <w:szCs w:val="22"/>
              </w:rPr>
            </w:pPr>
            <w:r w:rsidRPr="00D630EB">
              <w:rPr>
                <w:sz w:val="22"/>
                <w:szCs w:val="22"/>
              </w:rPr>
              <w:t>tears</w:t>
            </w:r>
          </w:p>
        </w:tc>
        <w:tc>
          <w:tcPr>
            <w:tcW w:w="1500" w:type="dxa"/>
          </w:tcPr>
          <w:p w14:paraId="248734A9" w14:textId="77777777" w:rsidR="006512C4" w:rsidRPr="00D630EB" w:rsidRDefault="006512C4" w:rsidP="006E597E">
            <w:pPr>
              <w:pStyle w:val="Blockquote"/>
              <w:keepNext/>
              <w:spacing w:before="60" w:after="60"/>
              <w:rPr>
                <w:sz w:val="22"/>
                <w:szCs w:val="22"/>
              </w:rPr>
            </w:pPr>
            <w:r w:rsidRPr="00D630EB">
              <w:rPr>
                <w:sz w:val="22"/>
                <w:szCs w:val="22"/>
              </w:rPr>
              <w:t>fall</w:t>
            </w:r>
          </w:p>
        </w:tc>
        <w:tc>
          <w:tcPr>
            <w:tcW w:w="1704" w:type="dxa"/>
          </w:tcPr>
          <w:p w14:paraId="71FBFB5A" w14:textId="77777777" w:rsidR="006512C4" w:rsidRPr="00D630EB" w:rsidRDefault="006512C4" w:rsidP="006E597E">
            <w:pPr>
              <w:pStyle w:val="Blockquote"/>
              <w:keepNext/>
              <w:spacing w:before="60" w:after="60"/>
              <w:rPr>
                <w:sz w:val="22"/>
                <w:szCs w:val="22"/>
              </w:rPr>
            </w:pPr>
            <w:r w:rsidRPr="00D630EB">
              <w:rPr>
                <w:sz w:val="22"/>
                <w:szCs w:val="22"/>
              </w:rPr>
              <w:t>(preposition)</w:t>
            </w:r>
          </w:p>
        </w:tc>
      </w:tr>
      <w:tr w:rsidR="00E70C19" w:rsidRPr="00D630EB" w14:paraId="307B3AF7" w14:textId="77777777" w:rsidTr="00890EB4">
        <w:tc>
          <w:tcPr>
            <w:tcW w:w="1703" w:type="dxa"/>
          </w:tcPr>
          <w:p w14:paraId="2CEA9910" w14:textId="77777777" w:rsidR="006512C4" w:rsidRPr="00D630EB" w:rsidRDefault="006512C4" w:rsidP="00024188">
            <w:pPr>
              <w:pStyle w:val="Blockquote"/>
              <w:spacing w:before="60" w:after="60"/>
              <w:rPr>
                <w:sz w:val="22"/>
                <w:szCs w:val="22"/>
              </w:rPr>
            </w:pPr>
            <w:r w:rsidRPr="00D630EB">
              <w:rPr>
                <w:sz w:val="22"/>
                <w:szCs w:val="22"/>
              </w:rPr>
              <w:t>from eyes</w:t>
            </w:r>
          </w:p>
        </w:tc>
        <w:tc>
          <w:tcPr>
            <w:tcW w:w="1524" w:type="dxa"/>
          </w:tcPr>
          <w:p w14:paraId="3EFEB662" w14:textId="77777777" w:rsidR="006512C4" w:rsidRPr="00D630EB" w:rsidRDefault="006512C4" w:rsidP="00024188">
            <w:pPr>
              <w:pStyle w:val="Blockquote"/>
              <w:spacing w:before="60" w:after="60"/>
              <w:rPr>
                <w:sz w:val="22"/>
                <w:szCs w:val="22"/>
              </w:rPr>
            </w:pPr>
            <w:r w:rsidRPr="00D630EB">
              <w:rPr>
                <w:sz w:val="22"/>
                <w:szCs w:val="22"/>
              </w:rPr>
              <w:t>/</w:t>
            </w:r>
          </w:p>
        </w:tc>
        <w:tc>
          <w:tcPr>
            <w:tcW w:w="1559" w:type="dxa"/>
          </w:tcPr>
          <w:p w14:paraId="4CA79096" w14:textId="77777777" w:rsidR="006512C4" w:rsidRPr="00D630EB" w:rsidRDefault="006512C4" w:rsidP="00024188">
            <w:pPr>
              <w:pStyle w:val="Blockquote"/>
              <w:spacing w:before="60" w:after="60"/>
              <w:rPr>
                <w:sz w:val="22"/>
                <w:szCs w:val="22"/>
              </w:rPr>
            </w:pPr>
            <w:r w:rsidRPr="00D630EB">
              <w:rPr>
                <w:sz w:val="22"/>
                <w:szCs w:val="22"/>
              </w:rPr>
              <w:t>tears</w:t>
            </w:r>
          </w:p>
        </w:tc>
        <w:tc>
          <w:tcPr>
            <w:tcW w:w="1500" w:type="dxa"/>
          </w:tcPr>
          <w:p w14:paraId="5362B32B" w14:textId="77777777" w:rsidR="006512C4" w:rsidRPr="00D630EB" w:rsidRDefault="006512C4" w:rsidP="00024188">
            <w:pPr>
              <w:pStyle w:val="Blockquote"/>
              <w:spacing w:before="60" w:after="60"/>
              <w:rPr>
                <w:sz w:val="22"/>
                <w:szCs w:val="22"/>
              </w:rPr>
            </w:pPr>
            <w:r w:rsidRPr="00D630EB">
              <w:rPr>
                <w:sz w:val="22"/>
                <w:szCs w:val="22"/>
              </w:rPr>
              <w:t>fall-off</w:t>
            </w:r>
          </w:p>
        </w:tc>
        <w:tc>
          <w:tcPr>
            <w:tcW w:w="1704" w:type="dxa"/>
          </w:tcPr>
          <w:p w14:paraId="0C8048F3" w14:textId="77777777" w:rsidR="006512C4" w:rsidRPr="00D630EB" w:rsidRDefault="006512C4" w:rsidP="00024188">
            <w:pPr>
              <w:pStyle w:val="Blockquote"/>
              <w:spacing w:before="60" w:after="60"/>
              <w:rPr>
                <w:sz w:val="22"/>
                <w:szCs w:val="22"/>
              </w:rPr>
            </w:pPr>
            <w:r w:rsidRPr="00D630EB">
              <w:rPr>
                <w:sz w:val="22"/>
                <w:szCs w:val="22"/>
              </w:rPr>
              <w:t>(preverb)</w:t>
            </w:r>
          </w:p>
        </w:tc>
      </w:tr>
    </w:tbl>
    <w:p w14:paraId="0291E16A" w14:textId="77777777" w:rsidR="006512C4" w:rsidRDefault="006512C4" w:rsidP="00024188">
      <w:pPr>
        <w:pStyle w:val="Blockquote"/>
      </w:pPr>
    </w:p>
    <w:p w14:paraId="101329CC" w14:textId="77777777" w:rsidR="00327E5C" w:rsidRPr="00125415" w:rsidRDefault="00327E5C" w:rsidP="00D238A0">
      <w:pPr>
        <w:tabs>
          <w:tab w:val="clear" w:pos="425"/>
          <w:tab w:val="left" w:pos="426"/>
        </w:tabs>
        <w:spacing w:after="120"/>
        <w:rPr>
          <w:color w:val="1A1A1A"/>
          <w:szCs w:val="24"/>
          <w:lang w:val="en-US"/>
        </w:rPr>
      </w:pPr>
      <w:r w:rsidRPr="00125415">
        <w:rPr>
          <w:color w:val="1A1A1A"/>
          <w:szCs w:val="24"/>
          <w:lang w:val="en-US"/>
        </w:rPr>
        <w:t>An overall analysis of Homeric texts shows that Homer uses prepositions and preverbs only sometimes, while clearly attesting to the adverbial use. According to Horrocks,</w:t>
      </w:r>
      <w:r w:rsidRPr="00125415">
        <w:rPr>
          <w:rStyle w:val="FootnoteReference"/>
          <w:szCs w:val="24"/>
          <w:lang w:val="en-US"/>
        </w:rPr>
        <w:footnoteReference w:id="350"/>
      </w:r>
      <w:r w:rsidRPr="00125415">
        <w:rPr>
          <w:color w:val="1A1A1A"/>
          <w:szCs w:val="24"/>
          <w:lang w:val="en-US"/>
        </w:rPr>
        <w:t xml:space="preserve"> in Homer there are:</w:t>
      </w:r>
    </w:p>
    <w:p w14:paraId="4A373BF8" w14:textId="77777777" w:rsidR="00327E5C" w:rsidRDefault="00327E5C" w:rsidP="00D238A0">
      <w:pPr>
        <w:widowControl w:val="0"/>
        <w:numPr>
          <w:ilvl w:val="0"/>
          <w:numId w:val="188"/>
        </w:numPr>
        <w:tabs>
          <w:tab w:val="clear" w:pos="425"/>
          <w:tab w:val="left" w:pos="426"/>
          <w:tab w:val="left" w:pos="720"/>
        </w:tabs>
        <w:rPr>
          <w:color w:val="1A1A1A"/>
          <w:lang w:val="en-US"/>
        </w:rPr>
      </w:pPr>
      <w:r>
        <w:rPr>
          <w:color w:val="1A1A1A"/>
          <w:lang w:val="en-US"/>
        </w:rPr>
        <w:t>adverbs that can be loosely linked to a noun (which in Classical Greek develop into prepositions);</w:t>
      </w:r>
    </w:p>
    <w:p w14:paraId="794FB147" w14:textId="32A12516" w:rsidR="00327E5C" w:rsidRPr="00327E5C" w:rsidRDefault="00327E5C" w:rsidP="00D238A0">
      <w:pPr>
        <w:widowControl w:val="0"/>
        <w:numPr>
          <w:ilvl w:val="0"/>
          <w:numId w:val="188"/>
        </w:numPr>
        <w:tabs>
          <w:tab w:val="clear" w:pos="425"/>
          <w:tab w:val="left" w:pos="426"/>
          <w:tab w:val="left" w:pos="714"/>
        </w:tabs>
        <w:spacing w:after="120"/>
        <w:ind w:left="714" w:hanging="357"/>
        <w:rPr>
          <w:color w:val="1A1A1A"/>
          <w:lang w:val="en-US"/>
        </w:rPr>
      </w:pPr>
      <w:r>
        <w:rPr>
          <w:color w:val="1A1A1A"/>
          <w:lang w:val="en-US"/>
        </w:rPr>
        <w:t>adverbs loosely placed before a verb</w:t>
      </w:r>
      <w:r>
        <w:rPr>
          <w:rStyle w:val="FootnoteReference"/>
          <w:lang w:val="en-US"/>
        </w:rPr>
        <w:footnoteReference w:id="351"/>
      </w:r>
      <w:r>
        <w:rPr>
          <w:color w:val="1A1A1A"/>
          <w:lang w:val="en-US"/>
        </w:rPr>
        <w:t xml:space="preserve"> but still linked to a noun (which in Classical Greek develop into preverbs, or prefixes fused with the verb).</w:t>
      </w:r>
    </w:p>
    <w:p w14:paraId="781FD273" w14:textId="6427394B" w:rsidR="009F59C0" w:rsidRDefault="00327E5C" w:rsidP="00327E5C">
      <w:pPr>
        <w:tabs>
          <w:tab w:val="clear" w:pos="425"/>
          <w:tab w:val="left" w:pos="426"/>
        </w:tabs>
        <w:rPr>
          <w:color w:val="1A1A1A"/>
          <w:lang w:val="en-US"/>
        </w:rPr>
      </w:pPr>
      <w:r>
        <w:rPr>
          <w:color w:val="1A1A1A"/>
          <w:lang w:val="en-US"/>
        </w:rPr>
        <w:t>For example:</w:t>
      </w:r>
      <w:r>
        <w:rPr>
          <w:rStyle w:val="FootnoteReference"/>
          <w:lang w:val="en-US"/>
        </w:rPr>
        <w:footnoteReference w:id="352"/>
      </w:r>
    </w:p>
    <w:p w14:paraId="47F23DA8" w14:textId="77777777" w:rsidR="00024188" w:rsidRDefault="00024188" w:rsidP="00D238A0"/>
    <w:tbl>
      <w:tblPr>
        <w:tblStyle w:val="TableGrid"/>
        <w:tblW w:w="7938" w:type="dxa"/>
        <w:tblInd w:w="392"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134"/>
        <w:gridCol w:w="6804"/>
      </w:tblGrid>
      <w:tr w:rsidR="00185DAB" w:rsidRPr="00D630EB" w14:paraId="4C267E32" w14:textId="77777777" w:rsidTr="00890EB4">
        <w:tc>
          <w:tcPr>
            <w:tcW w:w="1134" w:type="dxa"/>
          </w:tcPr>
          <w:p w14:paraId="1C938E4A" w14:textId="77777777" w:rsidR="006512C4" w:rsidRPr="00D630EB" w:rsidRDefault="006512C4" w:rsidP="00024188">
            <w:pPr>
              <w:pStyle w:val="Blockquote"/>
              <w:spacing w:before="60" w:after="60"/>
              <w:rPr>
                <w:sz w:val="22"/>
                <w:szCs w:val="22"/>
              </w:rPr>
            </w:pPr>
            <w:r w:rsidRPr="00D630EB">
              <w:rPr>
                <w:sz w:val="22"/>
                <w:szCs w:val="22"/>
              </w:rPr>
              <w:t>Homeric</w:t>
            </w:r>
          </w:p>
        </w:tc>
        <w:tc>
          <w:tcPr>
            <w:tcW w:w="6804" w:type="dxa"/>
          </w:tcPr>
          <w:p w14:paraId="63C65E8F" w14:textId="48185DC1" w:rsidR="006512C4" w:rsidRPr="00D630EB" w:rsidRDefault="006512C4" w:rsidP="00024188">
            <w:pPr>
              <w:pStyle w:val="Blockquote"/>
              <w:spacing w:before="60" w:after="60"/>
              <w:rPr>
                <w:sz w:val="22"/>
                <w:szCs w:val="22"/>
              </w:rPr>
            </w:pPr>
            <w:r w:rsidRPr="00D630EB">
              <w:rPr>
                <w:i/>
                <w:sz w:val="22"/>
                <w:szCs w:val="22"/>
              </w:rPr>
              <w:t>Il</w:t>
            </w:r>
            <w:r w:rsidRPr="00D630EB">
              <w:rPr>
                <w:sz w:val="22"/>
                <w:szCs w:val="22"/>
              </w:rPr>
              <w:t>. 1.439 ἐκ δὲ Χρυσηῒς νηὸς βῆ</w:t>
            </w:r>
            <w:r w:rsidR="00EF23E3" w:rsidRPr="00D630EB">
              <w:rPr>
                <w:sz w:val="22"/>
                <w:szCs w:val="22"/>
              </w:rPr>
              <w:t xml:space="preserve"> </w:t>
            </w:r>
            <w:r w:rsidR="00CC0615">
              <w:rPr>
                <w:sz w:val="22"/>
                <w:szCs w:val="22"/>
              </w:rPr>
              <w:t>“</w:t>
            </w:r>
            <w:r w:rsidRPr="00D630EB">
              <w:rPr>
                <w:sz w:val="22"/>
                <w:szCs w:val="22"/>
              </w:rPr>
              <w:t>Chryses came out of the ship</w:t>
            </w:r>
            <w:r w:rsidR="00CC0615">
              <w:rPr>
                <w:sz w:val="22"/>
                <w:szCs w:val="22"/>
              </w:rPr>
              <w:t>”</w:t>
            </w:r>
          </w:p>
        </w:tc>
      </w:tr>
      <w:tr w:rsidR="00185DAB" w:rsidRPr="00D630EB" w14:paraId="2079CCF4" w14:textId="77777777" w:rsidTr="00890EB4">
        <w:tc>
          <w:tcPr>
            <w:tcW w:w="1134" w:type="dxa"/>
          </w:tcPr>
          <w:p w14:paraId="7BC433BB" w14:textId="77777777" w:rsidR="006512C4" w:rsidRPr="00D630EB" w:rsidRDefault="006512C4" w:rsidP="00024188">
            <w:pPr>
              <w:pStyle w:val="Blockquote"/>
              <w:spacing w:before="60" w:after="60"/>
              <w:rPr>
                <w:sz w:val="22"/>
                <w:szCs w:val="22"/>
              </w:rPr>
            </w:pPr>
            <w:r w:rsidRPr="00D630EB">
              <w:rPr>
                <w:sz w:val="22"/>
                <w:szCs w:val="22"/>
              </w:rPr>
              <w:t>Classical</w:t>
            </w:r>
          </w:p>
        </w:tc>
        <w:tc>
          <w:tcPr>
            <w:tcW w:w="6804" w:type="dxa"/>
          </w:tcPr>
          <w:p w14:paraId="31017888" w14:textId="65FC2E79" w:rsidR="006512C4" w:rsidRPr="00D630EB" w:rsidRDefault="006512C4" w:rsidP="00024188">
            <w:pPr>
              <w:pStyle w:val="Blockquote"/>
              <w:spacing w:before="60" w:after="60"/>
              <w:rPr>
                <w:sz w:val="22"/>
                <w:szCs w:val="22"/>
              </w:rPr>
            </w:pPr>
            <w:r w:rsidRPr="00D630EB">
              <w:rPr>
                <w:sz w:val="22"/>
                <w:szCs w:val="22"/>
              </w:rPr>
              <w:t>Th. 1.137 ἐκβῆναι ἐκ τῆς νεὼς</w:t>
            </w:r>
            <w:r w:rsidR="00EF23E3" w:rsidRPr="00D630EB">
              <w:rPr>
                <w:sz w:val="22"/>
                <w:szCs w:val="22"/>
              </w:rPr>
              <w:t xml:space="preserve"> </w:t>
            </w:r>
            <w:r w:rsidR="00CC0615">
              <w:rPr>
                <w:sz w:val="22"/>
                <w:szCs w:val="22"/>
              </w:rPr>
              <w:t>“</w:t>
            </w:r>
            <w:r w:rsidRPr="00D630EB">
              <w:rPr>
                <w:sz w:val="22"/>
                <w:szCs w:val="22"/>
              </w:rPr>
              <w:t>to come out of the ship</w:t>
            </w:r>
            <w:r w:rsidR="00CC0615">
              <w:rPr>
                <w:sz w:val="22"/>
                <w:szCs w:val="22"/>
              </w:rPr>
              <w:t>”</w:t>
            </w:r>
          </w:p>
        </w:tc>
      </w:tr>
    </w:tbl>
    <w:p w14:paraId="3334326B" w14:textId="77777777" w:rsidR="00024188" w:rsidRDefault="00024188" w:rsidP="00024188">
      <w:pPr>
        <w:pStyle w:val="Blockquote"/>
      </w:pPr>
    </w:p>
    <w:p w14:paraId="115ADF68" w14:textId="219AA8F5" w:rsidR="00327E5C" w:rsidRDefault="00327E5C" w:rsidP="009F59C0">
      <w:pPr>
        <w:tabs>
          <w:tab w:val="clear" w:pos="425"/>
          <w:tab w:val="left" w:pos="426"/>
        </w:tabs>
        <w:rPr>
          <w:color w:val="1A1A1A"/>
          <w:lang w:val="en-US"/>
        </w:rPr>
      </w:pPr>
      <w:r>
        <w:rPr>
          <w:color w:val="1A1A1A"/>
          <w:lang w:val="en-US"/>
        </w:rPr>
        <w:t xml:space="preserve">However the categories of </w:t>
      </w:r>
      <w:r w:rsidR="00CC0615">
        <w:rPr>
          <w:color w:val="1A1A1A"/>
          <w:lang w:val="en-US"/>
        </w:rPr>
        <w:t>“</w:t>
      </w:r>
      <w:r>
        <w:rPr>
          <w:color w:val="1A1A1A"/>
          <w:lang w:val="en-US"/>
        </w:rPr>
        <w:t>prepositions</w:t>
      </w:r>
      <w:r w:rsidR="00CC0615">
        <w:rPr>
          <w:color w:val="1A1A1A"/>
          <w:lang w:val="en-US"/>
        </w:rPr>
        <w:t>”</w:t>
      </w:r>
      <w:r>
        <w:rPr>
          <w:color w:val="1A1A1A"/>
          <w:lang w:val="en-US"/>
        </w:rPr>
        <w:t xml:space="preserve"> and </w:t>
      </w:r>
      <w:r w:rsidR="00CC0615">
        <w:rPr>
          <w:color w:val="1A1A1A"/>
          <w:lang w:val="en-US"/>
        </w:rPr>
        <w:t>“</w:t>
      </w:r>
      <w:r>
        <w:rPr>
          <w:color w:val="1A1A1A"/>
          <w:lang w:val="en-US"/>
        </w:rPr>
        <w:t>preverbs</w:t>
      </w:r>
      <w:r w:rsidR="00CC0615">
        <w:rPr>
          <w:color w:val="1A1A1A"/>
          <w:lang w:val="en-US"/>
        </w:rPr>
        <w:t>”</w:t>
      </w:r>
      <w:r>
        <w:rPr>
          <w:color w:val="1A1A1A"/>
          <w:lang w:val="en-US"/>
        </w:rPr>
        <w:t xml:space="preserve"> are clearly established in the Greek language prior to its Homeric stage, since in Mycenaean Greek, compound verbs are well attested: </w:t>
      </w:r>
      <w:r>
        <w:rPr>
          <w:i/>
          <w:iCs/>
          <w:color w:val="1A1A1A"/>
          <w:lang w:val="en-US"/>
        </w:rPr>
        <w:t>a-na-ke-e</w:t>
      </w:r>
      <w:r>
        <w:rPr>
          <w:color w:val="1A1A1A"/>
          <w:lang w:val="en-US"/>
        </w:rPr>
        <w:t xml:space="preserve"> /an-age</w:t>
      </w:r>
      <w:r>
        <w:rPr>
          <w:color w:val="1A1A1A"/>
          <w:vertAlign w:val="superscript"/>
          <w:lang w:val="en-US"/>
        </w:rPr>
        <w:t>h</w:t>
      </w:r>
      <w:r>
        <w:rPr>
          <w:color w:val="1A1A1A"/>
          <w:lang w:val="en-US"/>
        </w:rPr>
        <w:t xml:space="preserve">en/ </w:t>
      </w:r>
      <w:r w:rsidR="00CC0615">
        <w:rPr>
          <w:color w:val="1A1A1A"/>
          <w:lang w:val="en-US"/>
        </w:rPr>
        <w:t>“</w:t>
      </w:r>
      <w:r>
        <w:rPr>
          <w:color w:val="1A1A1A"/>
          <w:lang w:val="en-US"/>
        </w:rPr>
        <w:t>bring (a contribution)</w:t>
      </w:r>
      <w:r w:rsidR="00CC0615">
        <w:rPr>
          <w:color w:val="1A1A1A"/>
          <w:lang w:val="en-US"/>
        </w:rPr>
        <w:t>”</w:t>
      </w:r>
      <w:r>
        <w:rPr>
          <w:color w:val="1A1A1A"/>
          <w:lang w:val="en-US"/>
        </w:rPr>
        <w:t xml:space="preserve"> corresponding to Gr. ἀνάγειν; </w:t>
      </w:r>
      <w:r>
        <w:rPr>
          <w:i/>
          <w:iCs/>
          <w:color w:val="1A1A1A"/>
          <w:lang w:val="en-US"/>
        </w:rPr>
        <w:t>a-pe-do-ke</w:t>
      </w:r>
      <w:r>
        <w:rPr>
          <w:color w:val="1A1A1A"/>
          <w:lang w:val="en-US"/>
        </w:rPr>
        <w:t xml:space="preserve"> /ap-edōke/, </w:t>
      </w:r>
      <w:r>
        <w:rPr>
          <w:i/>
          <w:iCs/>
          <w:color w:val="1A1A1A"/>
          <w:lang w:val="en-US"/>
        </w:rPr>
        <w:t>a-pu-do-si</w:t>
      </w:r>
      <w:r>
        <w:rPr>
          <w:color w:val="1A1A1A"/>
          <w:lang w:val="en-US"/>
        </w:rPr>
        <w:t xml:space="preserve"> /apu-dōsi/ </w:t>
      </w:r>
      <w:r w:rsidR="00CC0615">
        <w:rPr>
          <w:color w:val="1A1A1A"/>
          <w:lang w:val="en-US"/>
        </w:rPr>
        <w:t>“</w:t>
      </w:r>
      <w:r>
        <w:rPr>
          <w:color w:val="1A1A1A"/>
          <w:lang w:val="en-US"/>
        </w:rPr>
        <w:t>give back</w:t>
      </w:r>
      <w:r w:rsidR="00CC0615">
        <w:rPr>
          <w:color w:val="1A1A1A"/>
          <w:lang w:val="en-US"/>
        </w:rPr>
        <w:t>”</w:t>
      </w:r>
      <w:r>
        <w:rPr>
          <w:color w:val="1A1A1A"/>
          <w:lang w:val="en-US"/>
        </w:rPr>
        <w:t xml:space="preserve"> corresponding to Gr. ἀποδίδωμι; </w:t>
      </w:r>
      <w:r>
        <w:rPr>
          <w:i/>
          <w:iCs/>
          <w:color w:val="1A1A1A"/>
          <w:lang w:val="en-US"/>
        </w:rPr>
        <w:t>a-pu-ke-ka-u-me-no</w:t>
      </w:r>
      <w:r>
        <w:rPr>
          <w:color w:val="1A1A1A"/>
          <w:lang w:val="en-US"/>
        </w:rPr>
        <w:t xml:space="preserve"> /apu-kekaumenos/ corresponding to Gr. ἀποκαίω; </w:t>
      </w:r>
      <w:r>
        <w:rPr>
          <w:i/>
          <w:iCs/>
          <w:color w:val="1A1A1A"/>
          <w:lang w:val="en-US"/>
        </w:rPr>
        <w:t>ma-ta-ke-ku-me-na</w:t>
      </w:r>
      <w:r>
        <w:rPr>
          <w:color w:val="1A1A1A"/>
          <w:lang w:val="en-US"/>
        </w:rPr>
        <w:t xml:space="preserve"> /meta-kek</w:t>
      </w:r>
      <w:r>
        <w:rPr>
          <w:color w:val="1A1A1A"/>
          <w:vertAlign w:val="superscript"/>
          <w:lang w:val="en-US"/>
        </w:rPr>
        <w:t>h</w:t>
      </w:r>
      <w:r>
        <w:rPr>
          <w:color w:val="1A1A1A"/>
          <w:lang w:val="en-US"/>
        </w:rPr>
        <w:t xml:space="preserve">umena/ </w:t>
      </w:r>
      <w:r w:rsidR="00CC0615">
        <w:rPr>
          <w:color w:val="1A1A1A"/>
          <w:lang w:val="en-US"/>
        </w:rPr>
        <w:t>“</w:t>
      </w:r>
      <w:r>
        <w:rPr>
          <w:color w:val="1A1A1A"/>
          <w:lang w:val="en-US"/>
        </w:rPr>
        <w:t>pour</w:t>
      </w:r>
      <w:r w:rsidR="00CC0615">
        <w:rPr>
          <w:color w:val="1A1A1A"/>
          <w:lang w:val="en-US"/>
        </w:rPr>
        <w:t>”</w:t>
      </w:r>
      <w:r>
        <w:rPr>
          <w:color w:val="1A1A1A"/>
          <w:lang w:val="en-US"/>
        </w:rPr>
        <w:t xml:space="preserve"> corresponding to Gr. μεταχέω; </w:t>
      </w:r>
      <w:r>
        <w:rPr>
          <w:i/>
          <w:iCs/>
          <w:color w:val="1A1A1A"/>
          <w:lang w:val="en-US"/>
        </w:rPr>
        <w:t>o-pi-o-ro-me-no</w:t>
      </w:r>
      <w:r>
        <w:rPr>
          <w:color w:val="1A1A1A"/>
          <w:lang w:val="en-US"/>
        </w:rPr>
        <w:t xml:space="preserve"> /opi-</w:t>
      </w:r>
      <w:r>
        <w:rPr>
          <w:color w:val="1A1A1A"/>
          <w:vertAlign w:val="superscript"/>
          <w:lang w:val="en-US"/>
        </w:rPr>
        <w:t>h</w:t>
      </w:r>
      <w:r>
        <w:rPr>
          <w:color w:val="1A1A1A"/>
          <w:lang w:val="en-US"/>
        </w:rPr>
        <w:t xml:space="preserve">oromenos/ </w:t>
      </w:r>
      <w:r w:rsidR="00CC0615">
        <w:rPr>
          <w:color w:val="1A1A1A"/>
          <w:lang w:val="en-US"/>
        </w:rPr>
        <w:t>“</w:t>
      </w:r>
      <w:r>
        <w:rPr>
          <w:color w:val="1A1A1A"/>
          <w:lang w:val="en-US"/>
        </w:rPr>
        <w:t>keep watching</w:t>
      </w:r>
      <w:r w:rsidR="00CC0615">
        <w:rPr>
          <w:color w:val="1A1A1A"/>
          <w:lang w:val="en-US"/>
        </w:rPr>
        <w:t>”</w:t>
      </w:r>
      <w:r>
        <w:rPr>
          <w:color w:val="1A1A1A"/>
          <w:lang w:val="en-US"/>
        </w:rPr>
        <w:t xml:space="preserve"> corresponding to Gr. ἐφοράω which occurs in Homer only in tmesis as ἐπί...ὅράω ἐπί...ὄρονται (cf. </w:t>
      </w:r>
      <w:r>
        <w:rPr>
          <w:i/>
          <w:iCs/>
          <w:color w:val="1A1A1A"/>
          <w:lang w:val="en-US"/>
        </w:rPr>
        <w:t>Od</w:t>
      </w:r>
      <w:r>
        <w:rPr>
          <w:color w:val="1A1A1A"/>
          <w:lang w:val="en-US"/>
        </w:rPr>
        <w:t>. 14.104).</w:t>
      </w:r>
      <w:r>
        <w:rPr>
          <w:rStyle w:val="FootnoteReference"/>
          <w:lang w:val="en-US"/>
        </w:rPr>
        <w:footnoteReference w:id="353"/>
      </w:r>
      <w:r>
        <w:rPr>
          <w:color w:val="1A1A1A"/>
          <w:lang w:val="en-US"/>
        </w:rPr>
        <w:t xml:space="preserve"> This seems to argue that the Homeric usage is a literary archaism which is characteristic of epic language.</w:t>
      </w:r>
    </w:p>
    <w:p w14:paraId="13CB9E88" w14:textId="108CE80F" w:rsidR="009F59C0" w:rsidRDefault="00327E5C" w:rsidP="00DF60FA">
      <w:pPr>
        <w:tabs>
          <w:tab w:val="clear" w:pos="425"/>
          <w:tab w:val="left" w:pos="426"/>
        </w:tabs>
        <w:ind w:firstLine="426"/>
        <w:rPr>
          <w:lang w:val="en-US"/>
        </w:rPr>
      </w:pPr>
      <w:r>
        <w:rPr>
          <w:color w:val="1A1A1A"/>
          <w:lang w:val="en-US"/>
        </w:rPr>
        <w:t xml:space="preserve">Thus it is no accident that archaic iambic texts show some cases of tmesis, since the language of iambs is more or less connected with the epic. Consistent with this analysis, </w:t>
      </w:r>
      <w:r>
        <w:rPr>
          <w:lang w:val="en-US"/>
        </w:rPr>
        <w:lastRenderedPageBreak/>
        <w:t>the phenomenon of tmesis</w:t>
      </w:r>
      <w:r>
        <w:rPr>
          <w:color w:val="1A1A1A"/>
          <w:lang w:val="en-US"/>
        </w:rPr>
        <w:t xml:space="preserve"> </w:t>
      </w:r>
      <w:r>
        <w:rPr>
          <w:lang w:val="en-US"/>
        </w:rPr>
        <w:t>is quite widespread</w:t>
      </w:r>
      <w:r w:rsidDel="001F1B60">
        <w:rPr>
          <w:color w:val="1A1A1A"/>
          <w:lang w:val="en-US"/>
        </w:rPr>
        <w:t xml:space="preserve"> </w:t>
      </w:r>
      <w:r>
        <w:rPr>
          <w:lang w:val="en-US"/>
        </w:rPr>
        <w:t>in Archilochus</w:t>
      </w:r>
      <w:r w:rsidR="00075F5F">
        <w:rPr>
          <w:lang w:val="en-US"/>
        </w:rPr>
        <w:t>’</w:t>
      </w:r>
      <w:r>
        <w:rPr>
          <w:lang w:val="en-US"/>
        </w:rPr>
        <w:t xml:space="preserve"> fragments, while Hipponax</w:t>
      </w:r>
      <w:r w:rsidR="00075F5F">
        <w:rPr>
          <w:lang w:val="en-US"/>
        </w:rPr>
        <w:t>’</w:t>
      </w:r>
      <w:r>
        <w:rPr>
          <w:lang w:val="en-US"/>
        </w:rPr>
        <w:t>s lines show only a few cases of tmesis, as Archilochus</w:t>
      </w:r>
      <w:r w:rsidR="00075F5F">
        <w:rPr>
          <w:lang w:val="en-US"/>
        </w:rPr>
        <w:t>’</w:t>
      </w:r>
      <w:r>
        <w:rPr>
          <w:lang w:val="en-US"/>
        </w:rPr>
        <w:t xml:space="preserve"> language is closer to epic language than Hipponax</w:t>
      </w:r>
      <w:r w:rsidR="00075F5F">
        <w:rPr>
          <w:lang w:val="en-US"/>
        </w:rPr>
        <w:t>’</w:t>
      </w:r>
      <w:r>
        <w:rPr>
          <w:lang w:val="en-US"/>
        </w:rPr>
        <w:t xml:space="preserve">s. </w:t>
      </w:r>
    </w:p>
    <w:p w14:paraId="058D793D" w14:textId="502A84A5" w:rsidR="009F59C0" w:rsidRDefault="00327E5C" w:rsidP="009F59C0">
      <w:pPr>
        <w:tabs>
          <w:tab w:val="clear" w:pos="425"/>
          <w:tab w:val="left" w:pos="426"/>
        </w:tabs>
        <w:ind w:firstLine="426"/>
        <w:rPr>
          <w:rFonts w:eastAsia="TimesBasis" w:cs="Times New Roman"/>
        </w:rPr>
      </w:pPr>
      <w:r>
        <w:rPr>
          <w:lang w:val="en-US"/>
        </w:rPr>
        <w:t>Here I would like to suggest a further explanation for the higher frequency of tmesis in Archilochus</w:t>
      </w:r>
      <w:r w:rsidR="00075F5F">
        <w:rPr>
          <w:lang w:val="en-US"/>
        </w:rPr>
        <w:t>’</w:t>
      </w:r>
      <w:r>
        <w:rPr>
          <w:lang w:val="en-US"/>
        </w:rPr>
        <w:t xml:space="preserve"> fragments when compared to Hipponax</w:t>
      </w:r>
      <w:r w:rsidR="00075F5F">
        <w:rPr>
          <w:lang w:val="en-US"/>
        </w:rPr>
        <w:t>’</w:t>
      </w:r>
      <w:r>
        <w:rPr>
          <w:lang w:val="en-US"/>
        </w:rPr>
        <w:t>s, which is based on a comparison between the verbal structures of Archilochus and Hipponax. My considerations depend on the word order of the texts belonging to my corpus. The basic principle, in archaic iambic texts, as well as in Ancient Greek, is that word order encodes information structure rather than syntactic structure.</w:t>
      </w:r>
      <w:r>
        <w:rPr>
          <w:rStyle w:val="FootnoteReference"/>
          <w:lang w:val="en-US"/>
        </w:rPr>
        <w:footnoteReference w:id="354"/>
      </w:r>
      <w:r>
        <w:rPr>
          <w:lang w:val="en-US"/>
        </w:rPr>
        <w:t xml:space="preserve"> The most salient piece of information in a clause is called the focus: the focus function is assigned to the informational element which the speaker considers the most urgent part of the message, and the most necessary to convey to the listener.</w:t>
      </w:r>
      <w:r>
        <w:rPr>
          <w:rStyle w:val="FootnoteReference"/>
          <w:lang w:val="en-US"/>
        </w:rPr>
        <w:footnoteReference w:id="355"/>
      </w:r>
      <w:r>
        <w:rPr>
          <w:lang w:val="en-US"/>
        </w:rPr>
        <w:t xml:space="preserve"> Every clause must have at least one focus element, since it is the reason why that clause is formulated. The two focus constructions which are most frequent in the iambic texts are the </w:t>
      </w:r>
      <w:r w:rsidR="00CC0615">
        <w:rPr>
          <w:lang w:val="en-US"/>
        </w:rPr>
        <w:t>“</w:t>
      </w:r>
      <w:r>
        <w:rPr>
          <w:lang w:val="en-US"/>
        </w:rPr>
        <w:t>Narrow Focus Construction</w:t>
      </w:r>
      <w:r w:rsidR="00CC0615">
        <w:rPr>
          <w:lang w:val="en-US"/>
        </w:rPr>
        <w:t>”</w:t>
      </w:r>
      <w:r>
        <w:rPr>
          <w:lang w:val="en-US"/>
        </w:rPr>
        <w:t xml:space="preserve"> and the </w:t>
      </w:r>
      <w:r w:rsidR="00CC0615">
        <w:rPr>
          <w:lang w:val="en-US"/>
        </w:rPr>
        <w:t>“</w:t>
      </w:r>
      <w:r>
        <w:rPr>
          <w:lang w:val="en-US"/>
        </w:rPr>
        <w:t>Broad Focus Construction</w:t>
      </w:r>
      <w:r w:rsidR="00CC0615">
        <w:rPr>
          <w:lang w:val="en-US"/>
        </w:rPr>
        <w:t>”</w:t>
      </w:r>
      <w:r>
        <w:rPr>
          <w:lang w:val="en-US"/>
        </w:rPr>
        <w:t xml:space="preserve">: the first implies that the focus is before the verb, while the second puts the focus after the verb, as shown in the table below: </w:t>
      </w:r>
      <w:r w:rsidR="006512C4" w:rsidRPr="007A018B">
        <w:rPr>
          <w:rFonts w:eastAsia="TimesBasis" w:cs="Times New Roman"/>
        </w:rPr>
        <w:t xml:space="preserve"> </w:t>
      </w:r>
    </w:p>
    <w:p w14:paraId="5004178B" w14:textId="77777777" w:rsidR="00024188" w:rsidRPr="003722C7" w:rsidRDefault="00024188" w:rsidP="00D238A0">
      <w:pPr>
        <w:tabs>
          <w:tab w:val="clear" w:pos="425"/>
          <w:tab w:val="left" w:pos="426"/>
        </w:tabs>
        <w:ind w:firstLine="426"/>
        <w:rPr>
          <w:rFonts w:cs="Times New Roman"/>
          <w:color w:val="1A1A1A"/>
        </w:rPr>
      </w:pPr>
    </w:p>
    <w:tbl>
      <w:tblPr>
        <w:tblStyle w:val="TableGrid"/>
        <w:tblW w:w="4657" w:type="pct"/>
        <w:tblInd w:w="392" w:type="dxa"/>
        <w:tblBorders>
          <w:top w:val="none" w:sz="0" w:space="0" w:color="auto"/>
          <w:left w:val="none" w:sz="0" w:space="0" w:color="auto"/>
          <w:right w:val="none" w:sz="0" w:space="0" w:color="auto"/>
        </w:tblBorders>
        <w:tblLook w:val="04A0" w:firstRow="1" w:lastRow="0" w:firstColumn="1" w:lastColumn="0" w:noHBand="0" w:noVBand="1"/>
      </w:tblPr>
      <w:tblGrid>
        <w:gridCol w:w="2218"/>
        <w:gridCol w:w="1919"/>
        <w:gridCol w:w="2215"/>
        <w:gridCol w:w="149"/>
        <w:gridCol w:w="1770"/>
      </w:tblGrid>
      <w:tr w:rsidR="006512C4" w:rsidRPr="007A018B" w14:paraId="6A645314" w14:textId="77777777" w:rsidTr="00890EB4">
        <w:tc>
          <w:tcPr>
            <w:tcW w:w="5000" w:type="pct"/>
            <w:gridSpan w:val="5"/>
          </w:tcPr>
          <w:p w14:paraId="217A42E0" w14:textId="77777777" w:rsidR="006512C4" w:rsidRPr="007A018B" w:rsidRDefault="006512C4" w:rsidP="00695A7C">
            <w:pPr>
              <w:tabs>
                <w:tab w:val="clear" w:pos="425"/>
                <w:tab w:val="left" w:pos="426"/>
              </w:tabs>
              <w:autoSpaceDE w:val="0"/>
              <w:autoSpaceDN w:val="0"/>
              <w:adjustRightInd w:val="0"/>
              <w:rPr>
                <w:rFonts w:eastAsia="TimesBasis" w:cs="Times New Roman"/>
              </w:rPr>
            </w:pPr>
            <w:r w:rsidRPr="007A018B">
              <w:rPr>
                <w:rFonts w:eastAsia="TimesBasis" w:cs="Times New Roman"/>
              </w:rPr>
              <w:t>a. Narrow focus construction:</w:t>
            </w:r>
          </w:p>
        </w:tc>
      </w:tr>
      <w:tr w:rsidR="005A5381" w:rsidRPr="007A018B" w14:paraId="6858CD90" w14:textId="77777777" w:rsidTr="0041663F">
        <w:tc>
          <w:tcPr>
            <w:tcW w:w="1341" w:type="pct"/>
          </w:tcPr>
          <w:p w14:paraId="25D41FF3"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sz w:val="22"/>
              </w:rPr>
            </w:pPr>
            <w:r w:rsidRPr="00797969">
              <w:rPr>
                <w:rFonts w:eastAsia="TimesBasis" w:cs="Times New Roman"/>
                <w:sz w:val="22"/>
              </w:rPr>
              <w:t>Non-ratified Topic(s)</w:t>
            </w:r>
          </w:p>
        </w:tc>
        <w:tc>
          <w:tcPr>
            <w:tcW w:w="1160" w:type="pct"/>
          </w:tcPr>
          <w:p w14:paraId="55DA8684"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b/>
                <w:sz w:val="22"/>
              </w:rPr>
            </w:pPr>
            <w:r w:rsidRPr="00797969">
              <w:rPr>
                <w:rFonts w:eastAsia="TimesBasis" w:cs="Times New Roman"/>
                <w:b/>
                <w:bCs/>
                <w:sz w:val="22"/>
              </w:rPr>
              <w:t>Focus</w:t>
            </w:r>
          </w:p>
        </w:tc>
        <w:tc>
          <w:tcPr>
            <w:tcW w:w="1339" w:type="pct"/>
          </w:tcPr>
          <w:p w14:paraId="3B675C9B"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b/>
                <w:sz w:val="22"/>
              </w:rPr>
            </w:pPr>
            <w:r w:rsidRPr="00797969">
              <w:rPr>
                <w:rFonts w:eastAsia="TimesBasis" w:cs="Times New Roman"/>
                <w:b/>
                <w:sz w:val="22"/>
              </w:rPr>
              <w:t xml:space="preserve">Verb </w:t>
            </w:r>
          </w:p>
        </w:tc>
        <w:tc>
          <w:tcPr>
            <w:tcW w:w="1160" w:type="pct"/>
            <w:gridSpan w:val="2"/>
          </w:tcPr>
          <w:p w14:paraId="07587A4F"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sz w:val="22"/>
              </w:rPr>
            </w:pPr>
            <w:r w:rsidRPr="00797969">
              <w:rPr>
                <w:rFonts w:eastAsia="TimesBasis" w:cs="Times New Roman"/>
                <w:sz w:val="22"/>
              </w:rPr>
              <w:t>Ratified Topic(s)</w:t>
            </w:r>
          </w:p>
        </w:tc>
      </w:tr>
      <w:tr w:rsidR="006512C4" w:rsidRPr="007A018B" w14:paraId="5DE298F0" w14:textId="77777777" w:rsidTr="00890EB4">
        <w:tc>
          <w:tcPr>
            <w:tcW w:w="5000" w:type="pct"/>
            <w:gridSpan w:val="5"/>
          </w:tcPr>
          <w:p w14:paraId="31D2F53D" w14:textId="77777777" w:rsidR="006512C4" w:rsidRPr="007A018B" w:rsidRDefault="006512C4" w:rsidP="00695A7C">
            <w:pPr>
              <w:tabs>
                <w:tab w:val="clear" w:pos="425"/>
                <w:tab w:val="left" w:pos="426"/>
              </w:tabs>
              <w:autoSpaceDE w:val="0"/>
              <w:autoSpaceDN w:val="0"/>
              <w:adjustRightInd w:val="0"/>
              <w:spacing w:before="40" w:after="40"/>
              <w:rPr>
                <w:rFonts w:eastAsia="TimesBasis" w:cs="Times New Roman"/>
              </w:rPr>
            </w:pPr>
          </w:p>
          <w:p w14:paraId="0516FC88" w14:textId="77777777" w:rsidR="006512C4" w:rsidRPr="007A018B" w:rsidRDefault="006512C4" w:rsidP="00695A7C">
            <w:pPr>
              <w:tabs>
                <w:tab w:val="clear" w:pos="425"/>
                <w:tab w:val="left" w:pos="426"/>
              </w:tabs>
              <w:autoSpaceDE w:val="0"/>
              <w:autoSpaceDN w:val="0"/>
              <w:adjustRightInd w:val="0"/>
              <w:spacing w:before="40" w:after="40"/>
              <w:rPr>
                <w:rFonts w:eastAsia="TimesBasis" w:cs="Times New Roman"/>
              </w:rPr>
            </w:pPr>
            <w:r w:rsidRPr="007A018B">
              <w:rPr>
                <w:rFonts w:eastAsia="TimesBasis" w:cs="Times New Roman"/>
              </w:rPr>
              <w:t>b. Broad focus construction:</w:t>
            </w:r>
          </w:p>
        </w:tc>
      </w:tr>
      <w:tr w:rsidR="005A5381" w:rsidRPr="007A018B" w14:paraId="77952A25" w14:textId="77777777" w:rsidTr="0041663F">
        <w:tc>
          <w:tcPr>
            <w:tcW w:w="1341" w:type="pct"/>
          </w:tcPr>
          <w:p w14:paraId="59121D7B"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sz w:val="22"/>
              </w:rPr>
            </w:pPr>
            <w:r w:rsidRPr="00797969">
              <w:rPr>
                <w:rFonts w:eastAsia="TimesBasis" w:cs="Times New Roman"/>
                <w:sz w:val="22"/>
              </w:rPr>
              <w:t>Non-ratified Topic(s)</w:t>
            </w:r>
          </w:p>
        </w:tc>
        <w:tc>
          <w:tcPr>
            <w:tcW w:w="1160" w:type="pct"/>
          </w:tcPr>
          <w:p w14:paraId="2701DFE9"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b/>
                <w:sz w:val="22"/>
              </w:rPr>
            </w:pPr>
            <w:r w:rsidRPr="00797969">
              <w:rPr>
                <w:rFonts w:eastAsia="TimesBasis" w:cs="Times New Roman"/>
                <w:b/>
                <w:bCs/>
                <w:sz w:val="22"/>
              </w:rPr>
              <w:t>Verb</w:t>
            </w:r>
          </w:p>
        </w:tc>
        <w:tc>
          <w:tcPr>
            <w:tcW w:w="1429" w:type="pct"/>
            <w:gridSpan w:val="2"/>
          </w:tcPr>
          <w:p w14:paraId="0DF7BA86"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sz w:val="22"/>
              </w:rPr>
            </w:pPr>
            <w:r w:rsidRPr="00797969">
              <w:rPr>
                <w:rFonts w:eastAsia="TimesBasis" w:cs="Times New Roman"/>
                <w:sz w:val="22"/>
              </w:rPr>
              <w:t>Ratified Topic(s)</w:t>
            </w:r>
          </w:p>
        </w:tc>
        <w:tc>
          <w:tcPr>
            <w:tcW w:w="1071" w:type="pct"/>
          </w:tcPr>
          <w:p w14:paraId="73BB6817" w14:textId="77777777" w:rsidR="006512C4" w:rsidRPr="00797969" w:rsidRDefault="006512C4" w:rsidP="00695A7C">
            <w:pPr>
              <w:tabs>
                <w:tab w:val="clear" w:pos="425"/>
                <w:tab w:val="left" w:pos="426"/>
              </w:tabs>
              <w:autoSpaceDE w:val="0"/>
              <w:autoSpaceDN w:val="0"/>
              <w:adjustRightInd w:val="0"/>
              <w:spacing w:before="40" w:after="40"/>
              <w:rPr>
                <w:rFonts w:eastAsia="TimesBasis" w:cs="Times New Roman"/>
                <w:b/>
                <w:bCs/>
                <w:sz w:val="22"/>
              </w:rPr>
            </w:pPr>
            <w:r w:rsidRPr="00797969">
              <w:rPr>
                <w:rFonts w:eastAsia="TimesBasis" w:cs="Times New Roman"/>
                <w:b/>
                <w:bCs/>
                <w:sz w:val="22"/>
              </w:rPr>
              <w:t>Focal material</w:t>
            </w:r>
          </w:p>
        </w:tc>
      </w:tr>
    </w:tbl>
    <w:p w14:paraId="307ECDF2" w14:textId="77777777" w:rsidR="006512C4" w:rsidRPr="007A018B" w:rsidRDefault="006512C4" w:rsidP="00695A7C">
      <w:pPr>
        <w:tabs>
          <w:tab w:val="clear" w:pos="425"/>
          <w:tab w:val="left" w:pos="426"/>
        </w:tabs>
        <w:autoSpaceDE w:val="0"/>
        <w:autoSpaceDN w:val="0"/>
        <w:adjustRightInd w:val="0"/>
        <w:rPr>
          <w:rFonts w:eastAsia="TimesBasis" w:cs="Times New Roman"/>
        </w:rPr>
      </w:pPr>
    </w:p>
    <w:p w14:paraId="6B195A68" w14:textId="49528A90" w:rsidR="001D0E8C" w:rsidRDefault="001D0E8C" w:rsidP="009F59C0">
      <w:pPr>
        <w:tabs>
          <w:tab w:val="clear" w:pos="425"/>
          <w:tab w:val="left" w:pos="426"/>
        </w:tabs>
        <w:rPr>
          <w:lang w:val="en-US"/>
        </w:rPr>
      </w:pPr>
      <w:r>
        <w:rPr>
          <w:lang w:val="en-US"/>
        </w:rPr>
        <w:t xml:space="preserve">The term </w:t>
      </w:r>
      <w:r w:rsidR="00CC0615">
        <w:rPr>
          <w:lang w:val="en-US"/>
        </w:rPr>
        <w:t>“</w:t>
      </w:r>
      <w:r>
        <w:rPr>
          <w:lang w:val="en-US"/>
        </w:rPr>
        <w:t>topic</w:t>
      </w:r>
      <w:r w:rsidR="00CC0615">
        <w:rPr>
          <w:lang w:val="en-US"/>
        </w:rPr>
        <w:t>”</w:t>
      </w:r>
      <w:r>
        <w:rPr>
          <w:lang w:val="en-US"/>
        </w:rPr>
        <w:t xml:space="preserve"> defines an element which the speaker regards as an appropriate foundation for constructing a message which is relevant to the subject matter of the discourse.</w:t>
      </w:r>
      <w:r>
        <w:rPr>
          <w:rStyle w:val="FootnoteReference"/>
          <w:lang w:val="en-US"/>
        </w:rPr>
        <w:footnoteReference w:id="356"/>
      </w:r>
      <w:r>
        <w:rPr>
          <w:lang w:val="en-US"/>
        </w:rPr>
        <w:t xml:space="preserve"> Topic elements can be of two different kinds, depending on the activation status of their referents. Non-ratified topic expressions, i.e. expressions whose referents </w:t>
      </w:r>
      <w:r>
        <w:rPr>
          <w:lang w:val="en-US"/>
        </w:rPr>
        <w:lastRenderedPageBreak/>
        <w:t xml:space="preserve">are presented as new topics or renewed topics in relation to the proposition expressed by the clause, are located at the beginning of the clause, preceding any focus element. Ratified topic expressions, i.e. expressions whose referents are presented as being already under discussion, have a dedicated slot immediately after the verb in any focus construction. </w:t>
      </w:r>
    </w:p>
    <w:p w14:paraId="46AE2DC2" w14:textId="77777777" w:rsidR="001D0E8C" w:rsidRDefault="001D0E8C" w:rsidP="00D238A0">
      <w:pPr>
        <w:tabs>
          <w:tab w:val="clear" w:pos="425"/>
          <w:tab w:val="left" w:pos="426"/>
        </w:tabs>
        <w:spacing w:after="120"/>
        <w:rPr>
          <w:lang w:val="en-US"/>
        </w:rPr>
      </w:pPr>
      <w:r>
        <w:rPr>
          <w:lang w:val="en-US"/>
        </w:rPr>
        <w:tab/>
        <w:t>Among the two archaic iambographers, Archilochus clearly prefers the narrow focus construction, as shown by the following examples:</w:t>
      </w:r>
    </w:p>
    <w:p w14:paraId="3431798A" w14:textId="13C8B2C7" w:rsidR="009F59C0" w:rsidRDefault="001D0E8C" w:rsidP="00D238A0">
      <w:pPr>
        <w:widowControl w:val="0"/>
        <w:numPr>
          <w:ilvl w:val="0"/>
          <w:numId w:val="74"/>
        </w:numPr>
        <w:tabs>
          <w:tab w:val="clear" w:pos="425"/>
          <w:tab w:val="left" w:pos="426"/>
          <w:tab w:val="left" w:pos="709"/>
          <w:tab w:val="left" w:pos="786"/>
        </w:tabs>
        <w:ind w:left="709" w:hanging="283"/>
        <w:rPr>
          <w:lang w:val="en-US"/>
        </w:rPr>
      </w:pPr>
      <w:r>
        <w:rPr>
          <w:lang w:val="en-US"/>
        </w:rPr>
        <w:t xml:space="preserve">fr. 166.2-3 τίς σὰς παρήειρε φρένας / ἧις τὸ πρὶν ἠρήρησθα; </w:t>
      </w:r>
      <w:r w:rsidR="00CC0615">
        <w:rPr>
          <w:lang w:val="en-US"/>
        </w:rPr>
        <w:t>“</w:t>
      </w:r>
      <w:r>
        <w:rPr>
          <w:lang w:val="en-US"/>
        </w:rPr>
        <w:t>who unhinged your wits which previously were sound?</w:t>
      </w:r>
      <w:r w:rsidR="00CC0615">
        <w:rPr>
          <w:lang w:val="en-US"/>
        </w:rPr>
        <w:t>”</w:t>
      </w:r>
    </w:p>
    <w:p w14:paraId="59874315" w14:textId="3633CDF4" w:rsidR="006512C4" w:rsidRPr="00024188" w:rsidRDefault="006512C4" w:rsidP="00D238A0">
      <w:pPr>
        <w:widowControl w:val="0"/>
        <w:tabs>
          <w:tab w:val="left" w:pos="709"/>
        </w:tabs>
        <w:ind w:left="709"/>
      </w:pPr>
    </w:p>
    <w:tbl>
      <w:tblPr>
        <w:tblStyle w:val="TableGrid"/>
        <w:tblW w:w="0" w:type="auto"/>
        <w:tblInd w:w="778" w:type="dxa"/>
        <w:tblLook w:val="04A0" w:firstRow="1" w:lastRow="0" w:firstColumn="1" w:lastColumn="0" w:noHBand="0" w:noVBand="1"/>
      </w:tblPr>
      <w:tblGrid>
        <w:gridCol w:w="1882"/>
        <w:gridCol w:w="992"/>
        <w:gridCol w:w="1276"/>
        <w:gridCol w:w="3588"/>
      </w:tblGrid>
      <w:tr w:rsidR="006512C4" w14:paraId="1CC8ADD1" w14:textId="77777777" w:rsidTr="006B396C">
        <w:tc>
          <w:tcPr>
            <w:tcW w:w="1882" w:type="dxa"/>
          </w:tcPr>
          <w:p w14:paraId="352565C1"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sz w:val="22"/>
                <w:szCs w:val="22"/>
              </w:rPr>
              <w:t>Non-ratified Topic</w:t>
            </w:r>
          </w:p>
        </w:tc>
        <w:tc>
          <w:tcPr>
            <w:tcW w:w="992" w:type="dxa"/>
          </w:tcPr>
          <w:p w14:paraId="76BD70E1"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b/>
                <w:bCs/>
                <w:sz w:val="22"/>
                <w:szCs w:val="22"/>
              </w:rPr>
              <w:t>Focus</w:t>
            </w:r>
          </w:p>
        </w:tc>
        <w:tc>
          <w:tcPr>
            <w:tcW w:w="1276" w:type="dxa"/>
          </w:tcPr>
          <w:p w14:paraId="5CA06AC9"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b/>
                <w:sz w:val="22"/>
                <w:szCs w:val="22"/>
              </w:rPr>
              <w:t>Verb</w:t>
            </w:r>
          </w:p>
        </w:tc>
        <w:tc>
          <w:tcPr>
            <w:tcW w:w="3588" w:type="dxa"/>
          </w:tcPr>
          <w:p w14:paraId="112D9563"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sz w:val="22"/>
                <w:szCs w:val="22"/>
              </w:rPr>
              <w:t>Ratified Topic</w:t>
            </w:r>
          </w:p>
        </w:tc>
      </w:tr>
      <w:tr w:rsidR="006512C4" w14:paraId="24147E69" w14:textId="77777777" w:rsidTr="006B396C">
        <w:tc>
          <w:tcPr>
            <w:tcW w:w="1882" w:type="dxa"/>
          </w:tcPr>
          <w:p w14:paraId="59C0DCE7"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 New Roman"/>
                <w:sz w:val="22"/>
                <w:szCs w:val="22"/>
                <w:lang w:eastAsia="it-IT"/>
              </w:rPr>
              <w:t>τίς</w:t>
            </w:r>
          </w:p>
        </w:tc>
        <w:tc>
          <w:tcPr>
            <w:tcW w:w="992" w:type="dxa"/>
          </w:tcPr>
          <w:p w14:paraId="56E769AD"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 New Roman"/>
                <w:sz w:val="22"/>
                <w:szCs w:val="22"/>
                <w:lang w:eastAsia="it-IT"/>
              </w:rPr>
              <w:t>σὰς</w:t>
            </w:r>
          </w:p>
        </w:tc>
        <w:tc>
          <w:tcPr>
            <w:tcW w:w="1276" w:type="dxa"/>
          </w:tcPr>
          <w:p w14:paraId="06CDF0EF"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 New Roman"/>
                <w:sz w:val="22"/>
                <w:szCs w:val="22"/>
                <w:lang w:eastAsia="it-IT"/>
              </w:rPr>
              <w:t>παρήειρε</w:t>
            </w:r>
          </w:p>
        </w:tc>
        <w:tc>
          <w:tcPr>
            <w:tcW w:w="3588" w:type="dxa"/>
          </w:tcPr>
          <w:p w14:paraId="25A0C78F"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 New Roman"/>
                <w:sz w:val="22"/>
                <w:szCs w:val="22"/>
                <w:lang w:eastAsia="it-IT"/>
              </w:rPr>
              <w:t>φρένας</w:t>
            </w:r>
            <w:r w:rsidRPr="006B396C">
              <w:rPr>
                <w:rFonts w:eastAsia="TimesBasis"/>
                <w:sz w:val="22"/>
                <w:szCs w:val="22"/>
              </w:rPr>
              <w:t xml:space="preserve"> </w:t>
            </w:r>
            <w:r w:rsidRPr="006B396C">
              <w:rPr>
                <w:rFonts w:eastAsia="Times New Roman"/>
                <w:sz w:val="22"/>
                <w:szCs w:val="22"/>
                <w:lang w:eastAsia="it-IT"/>
              </w:rPr>
              <w:t>ἧις τὸ πρὶν ἠρήρησθα</w:t>
            </w:r>
          </w:p>
        </w:tc>
      </w:tr>
    </w:tbl>
    <w:p w14:paraId="4142443B" w14:textId="77777777" w:rsidR="006512C4" w:rsidRDefault="006512C4" w:rsidP="00695A7C">
      <w:pPr>
        <w:tabs>
          <w:tab w:val="clear" w:pos="425"/>
          <w:tab w:val="left" w:pos="426"/>
        </w:tabs>
        <w:textAlignment w:val="bottom"/>
        <w:rPr>
          <w:rFonts w:eastAsia="TimesBasis" w:cs="Times New Roman"/>
        </w:rPr>
      </w:pPr>
    </w:p>
    <w:p w14:paraId="26406D38" w14:textId="28E5D834" w:rsidR="006512C4" w:rsidRDefault="006512C4" w:rsidP="00D238A0">
      <w:pPr>
        <w:pStyle w:val="ListParagraph"/>
        <w:numPr>
          <w:ilvl w:val="0"/>
          <w:numId w:val="22"/>
        </w:numPr>
        <w:autoSpaceDE w:val="0"/>
        <w:autoSpaceDN w:val="0"/>
        <w:adjustRightInd w:val="0"/>
        <w:ind w:left="709" w:hanging="284"/>
        <w:contextualSpacing w:val="0"/>
        <w:rPr>
          <w:rFonts w:ascii="Times" w:hAnsi="Times" w:cs="Times"/>
        </w:rPr>
      </w:pPr>
      <w:r w:rsidRPr="00AF4B90">
        <w:rPr>
          <w:rFonts w:eastAsia="TimesBasis"/>
        </w:rPr>
        <w:t xml:space="preserve">fr. 114.5-6 </w:t>
      </w:r>
      <w:r w:rsidRPr="00AF4B90">
        <w:rPr>
          <w:rFonts w:ascii="Times" w:hAnsi="Times" w:cs="Times"/>
        </w:rPr>
        <w:t>ἐκ δὲ τοῦ καὶ πιστὰ πάντα κἀπίελπτα γίνεται</w:t>
      </w:r>
      <w:r w:rsidRPr="00AF4B90">
        <w:rPr>
          <w:rFonts w:ascii="Times" w:hAnsi="Times" w:cs="Times"/>
          <w:i/>
          <w:iCs/>
          <w:color w:val="6D6F03"/>
        </w:rPr>
        <w:t xml:space="preserve"> </w:t>
      </w:r>
      <w:r w:rsidRPr="00AF4B90">
        <w:rPr>
          <w:rFonts w:ascii="Times" w:hAnsi="Times" w:cs="Times"/>
          <w:iCs/>
          <w:color w:val="6D6F03"/>
        </w:rPr>
        <w:t>/</w:t>
      </w:r>
      <w:r w:rsidRPr="00AF4B90">
        <w:rPr>
          <w:rFonts w:ascii="Times" w:hAnsi="Times" w:cs="Times"/>
          <w:i/>
          <w:iCs/>
          <w:color w:val="6D6F03"/>
        </w:rPr>
        <w:t xml:space="preserve"> </w:t>
      </w:r>
      <w:r w:rsidRPr="00AF4B90">
        <w:rPr>
          <w:rFonts w:ascii="Times" w:hAnsi="Times" w:cs="Times"/>
        </w:rPr>
        <w:t xml:space="preserve">ἀνδράσιν· </w:t>
      </w:r>
      <w:r w:rsidR="00CC0615">
        <w:rPr>
          <w:rFonts w:ascii="Times" w:hAnsi="Times" w:cs="Times"/>
        </w:rPr>
        <w:t>“</w:t>
      </w:r>
      <w:r w:rsidR="00AB3B90">
        <w:rPr>
          <w:rFonts w:ascii="Times" w:hAnsi="Times" w:cs="Times"/>
        </w:rPr>
        <w:t>f</w:t>
      </w:r>
      <w:r w:rsidRPr="00AF4B90">
        <w:rPr>
          <w:rFonts w:ascii="Times" w:hAnsi="Times" w:cs="Times"/>
        </w:rPr>
        <w:t>rom now on men can believe and expect anything</w:t>
      </w:r>
      <w:r w:rsidR="005E0BC0">
        <w:rPr>
          <w:rFonts w:ascii="Times" w:hAnsi="Times" w:cs="Times"/>
        </w:rPr>
        <w:t>.</w:t>
      </w:r>
      <w:r w:rsidR="00CC0615">
        <w:rPr>
          <w:rFonts w:ascii="Times" w:hAnsi="Times" w:cs="Times"/>
        </w:rPr>
        <w:t>”</w:t>
      </w:r>
    </w:p>
    <w:p w14:paraId="6FBDACA0" w14:textId="77777777" w:rsidR="009F59C0" w:rsidRPr="00AF4B90" w:rsidRDefault="009F59C0" w:rsidP="00D238A0">
      <w:pPr>
        <w:pStyle w:val="ListParagraph"/>
        <w:autoSpaceDE w:val="0"/>
        <w:autoSpaceDN w:val="0"/>
        <w:adjustRightInd w:val="0"/>
        <w:ind w:left="709"/>
        <w:contextualSpacing w:val="0"/>
        <w:rPr>
          <w:rFonts w:ascii="Times" w:hAnsi="Times" w:cs="Times"/>
        </w:rPr>
      </w:pPr>
    </w:p>
    <w:tbl>
      <w:tblPr>
        <w:tblStyle w:val="TableGrid"/>
        <w:tblW w:w="0" w:type="auto"/>
        <w:tblInd w:w="778" w:type="dxa"/>
        <w:tblLook w:val="04A0" w:firstRow="1" w:lastRow="0" w:firstColumn="1" w:lastColumn="0" w:noHBand="0" w:noVBand="1"/>
      </w:tblPr>
      <w:tblGrid>
        <w:gridCol w:w="3934"/>
        <w:gridCol w:w="1902"/>
        <w:gridCol w:w="1902"/>
      </w:tblGrid>
      <w:tr w:rsidR="006512C4" w14:paraId="5DFF541C" w14:textId="77777777" w:rsidTr="006512C4">
        <w:tc>
          <w:tcPr>
            <w:tcW w:w="3934" w:type="dxa"/>
          </w:tcPr>
          <w:p w14:paraId="10AAB265"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Focus</w:t>
            </w:r>
          </w:p>
        </w:tc>
        <w:tc>
          <w:tcPr>
            <w:tcW w:w="1902" w:type="dxa"/>
          </w:tcPr>
          <w:p w14:paraId="7F8A973E"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sz w:val="22"/>
                <w:szCs w:val="22"/>
              </w:rPr>
              <w:t>Verb</w:t>
            </w:r>
          </w:p>
        </w:tc>
        <w:tc>
          <w:tcPr>
            <w:tcW w:w="1902" w:type="dxa"/>
          </w:tcPr>
          <w:p w14:paraId="02D91B77"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w:t>
            </w:r>
          </w:p>
        </w:tc>
      </w:tr>
      <w:tr w:rsidR="006512C4" w14:paraId="637D5743" w14:textId="77777777" w:rsidTr="006512C4">
        <w:tc>
          <w:tcPr>
            <w:tcW w:w="3934" w:type="dxa"/>
          </w:tcPr>
          <w:p w14:paraId="274A92A3" w14:textId="70E5097B" w:rsidR="006512C4" w:rsidRPr="006B396C" w:rsidRDefault="006512C4" w:rsidP="00D630EB">
            <w:pPr>
              <w:pStyle w:val="ListParagraph"/>
              <w:spacing w:line="360" w:lineRule="auto"/>
              <w:contextualSpacing w:val="0"/>
              <w:textAlignment w:val="bottom"/>
              <w:rPr>
                <w:sz w:val="22"/>
                <w:szCs w:val="22"/>
              </w:rPr>
            </w:pPr>
            <w:r w:rsidRPr="006B396C">
              <w:rPr>
                <w:sz w:val="22"/>
                <w:szCs w:val="22"/>
              </w:rPr>
              <w:t xml:space="preserve">πιστὰ πάντα κἀπίελπτα </w:t>
            </w:r>
          </w:p>
        </w:tc>
        <w:tc>
          <w:tcPr>
            <w:tcW w:w="1902" w:type="dxa"/>
          </w:tcPr>
          <w:p w14:paraId="72E8473C"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γίνεται</w:t>
            </w:r>
          </w:p>
        </w:tc>
        <w:tc>
          <w:tcPr>
            <w:tcW w:w="1902" w:type="dxa"/>
          </w:tcPr>
          <w:p w14:paraId="5401C8B3"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ἀνδράσι</w:t>
            </w:r>
          </w:p>
        </w:tc>
      </w:tr>
    </w:tbl>
    <w:p w14:paraId="5A89962E" w14:textId="77777777" w:rsidR="006512C4" w:rsidRDefault="006512C4" w:rsidP="00695A7C">
      <w:pPr>
        <w:autoSpaceDE w:val="0"/>
        <w:autoSpaceDN w:val="0"/>
        <w:adjustRightInd w:val="0"/>
        <w:rPr>
          <w:rFonts w:ascii="Times" w:hAnsi="Times" w:cs="Times"/>
        </w:rPr>
      </w:pPr>
    </w:p>
    <w:p w14:paraId="6B5351AD" w14:textId="29AD4131" w:rsidR="006512C4" w:rsidRDefault="006512C4" w:rsidP="00D238A0">
      <w:pPr>
        <w:pStyle w:val="ListParagraph"/>
        <w:numPr>
          <w:ilvl w:val="0"/>
          <w:numId w:val="22"/>
        </w:numPr>
        <w:autoSpaceDE w:val="0"/>
        <w:autoSpaceDN w:val="0"/>
        <w:adjustRightInd w:val="0"/>
        <w:ind w:left="709" w:hanging="284"/>
        <w:contextualSpacing w:val="0"/>
      </w:pPr>
      <w:r w:rsidRPr="00AF4B90">
        <w:t>fr. 107 τοῖος ἀνθρώποισι θυμός, Γλαῦκε Λεπτίνεω πάϊ, / γίνεται θνητοῖς, ὁποίην Ζεὺς ἐφ</w:t>
      </w:r>
      <w:r w:rsidR="00075F5F">
        <w:t>’</w:t>
      </w:r>
      <w:r w:rsidRPr="00AF4B90">
        <w:t xml:space="preserve"> ἡμέρην ἄγηι </w:t>
      </w:r>
      <w:r w:rsidR="00CC0615">
        <w:t>“</w:t>
      </w:r>
      <w:r w:rsidRPr="00AF4B90">
        <w:t>Glaucus, son of Leptines, the mood of mortals varies with the day that Zeus brings on</w:t>
      </w:r>
      <w:r w:rsidR="005E0BC0">
        <w:t>.</w:t>
      </w:r>
      <w:r w:rsidR="00CC0615">
        <w:t>”</w:t>
      </w:r>
    </w:p>
    <w:p w14:paraId="62E56E2E" w14:textId="77777777" w:rsidR="009F59C0" w:rsidRPr="00AF4B90"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1995"/>
        <w:gridCol w:w="1901"/>
        <w:gridCol w:w="1916"/>
        <w:gridCol w:w="1926"/>
      </w:tblGrid>
      <w:tr w:rsidR="006512C4" w14:paraId="7DA78CEA" w14:textId="77777777" w:rsidTr="006512C4">
        <w:tc>
          <w:tcPr>
            <w:tcW w:w="1995" w:type="dxa"/>
          </w:tcPr>
          <w:p w14:paraId="76715A6C"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Non-ratified Topic</w:t>
            </w:r>
          </w:p>
        </w:tc>
        <w:tc>
          <w:tcPr>
            <w:tcW w:w="1901" w:type="dxa"/>
          </w:tcPr>
          <w:p w14:paraId="75A6D5BF"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Focus</w:t>
            </w:r>
          </w:p>
        </w:tc>
        <w:tc>
          <w:tcPr>
            <w:tcW w:w="1916" w:type="dxa"/>
          </w:tcPr>
          <w:p w14:paraId="1C62EB9D"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sz w:val="22"/>
                <w:szCs w:val="22"/>
              </w:rPr>
              <w:t>Verb</w:t>
            </w:r>
          </w:p>
        </w:tc>
        <w:tc>
          <w:tcPr>
            <w:tcW w:w="1926" w:type="dxa"/>
          </w:tcPr>
          <w:p w14:paraId="19F596D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w:t>
            </w:r>
          </w:p>
        </w:tc>
      </w:tr>
      <w:tr w:rsidR="006512C4" w14:paraId="1AF9C0C2" w14:textId="77777777" w:rsidTr="006512C4">
        <w:tc>
          <w:tcPr>
            <w:tcW w:w="1995" w:type="dxa"/>
          </w:tcPr>
          <w:p w14:paraId="1FD5E7AB"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τοῖος ἀνθρώποισι</w:t>
            </w:r>
          </w:p>
        </w:tc>
        <w:tc>
          <w:tcPr>
            <w:tcW w:w="1901" w:type="dxa"/>
          </w:tcPr>
          <w:p w14:paraId="6C254BEF"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θυμός</w:t>
            </w:r>
          </w:p>
        </w:tc>
        <w:tc>
          <w:tcPr>
            <w:tcW w:w="1916" w:type="dxa"/>
          </w:tcPr>
          <w:p w14:paraId="6DDEEE3B"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γίνεται</w:t>
            </w:r>
          </w:p>
        </w:tc>
        <w:tc>
          <w:tcPr>
            <w:tcW w:w="1926" w:type="dxa"/>
          </w:tcPr>
          <w:p w14:paraId="1C66488B"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θνητοῖς</w:t>
            </w:r>
          </w:p>
        </w:tc>
      </w:tr>
    </w:tbl>
    <w:p w14:paraId="7A649828" w14:textId="77777777" w:rsidR="006512C4" w:rsidRDefault="006512C4" w:rsidP="00695A7C">
      <w:pPr>
        <w:tabs>
          <w:tab w:val="clear" w:pos="425"/>
          <w:tab w:val="left" w:pos="426"/>
        </w:tabs>
        <w:textAlignment w:val="bottom"/>
        <w:rPr>
          <w:rFonts w:cs="Times New Roman"/>
        </w:rPr>
      </w:pPr>
    </w:p>
    <w:p w14:paraId="002E33E4" w14:textId="1DC50635" w:rsidR="006512C4" w:rsidRPr="00D238A0" w:rsidRDefault="006512C4" w:rsidP="00D238A0">
      <w:pPr>
        <w:pStyle w:val="ListParagraph"/>
        <w:numPr>
          <w:ilvl w:val="0"/>
          <w:numId w:val="22"/>
        </w:numPr>
        <w:tabs>
          <w:tab w:val="clear" w:pos="425"/>
          <w:tab w:val="left" w:pos="426"/>
        </w:tabs>
        <w:ind w:left="709" w:hanging="284"/>
        <w:contextualSpacing w:val="0"/>
        <w:textAlignment w:val="bottom"/>
        <w:rPr>
          <w:rFonts w:eastAsia="TimesBasis"/>
        </w:rPr>
      </w:pPr>
      <w:r w:rsidRPr="00AF4B90">
        <w:rPr>
          <w:rFonts w:eastAsia="TimesBasis"/>
        </w:rPr>
        <w:t xml:space="preserve">fr. 106 </w:t>
      </w:r>
      <w:r w:rsidRPr="00AF4B90">
        <w:t xml:space="preserve">σὺ γὰρ δὴ παρὰ φίλων ἀπάγχεαι </w:t>
      </w:r>
      <w:r w:rsidR="00CC0615">
        <w:t>“</w:t>
      </w:r>
      <w:r w:rsidRPr="00AF4B90">
        <w:t>for you are being strangled by your friends</w:t>
      </w:r>
      <w:r w:rsidR="005E0BC0">
        <w:t>.</w:t>
      </w:r>
      <w:r w:rsidR="00CC0615">
        <w:t>”</w:t>
      </w:r>
    </w:p>
    <w:p w14:paraId="4A12764F" w14:textId="77777777" w:rsidR="009F59C0" w:rsidRPr="00AF4B90" w:rsidRDefault="009F59C0" w:rsidP="00D238A0">
      <w:pPr>
        <w:pStyle w:val="ListParagraph"/>
        <w:tabs>
          <w:tab w:val="clear" w:pos="425"/>
          <w:tab w:val="left" w:pos="426"/>
        </w:tabs>
        <w:ind w:left="709"/>
        <w:contextualSpacing w:val="0"/>
        <w:textAlignment w:val="bottom"/>
        <w:rPr>
          <w:rFonts w:eastAsia="TimesBasis"/>
        </w:rPr>
      </w:pPr>
    </w:p>
    <w:tbl>
      <w:tblPr>
        <w:tblStyle w:val="TableGrid"/>
        <w:tblW w:w="0" w:type="auto"/>
        <w:tblInd w:w="778" w:type="dxa"/>
        <w:tblLook w:val="04A0" w:firstRow="1" w:lastRow="0" w:firstColumn="1" w:lastColumn="0" w:noHBand="0" w:noVBand="1"/>
      </w:tblPr>
      <w:tblGrid>
        <w:gridCol w:w="2578"/>
        <w:gridCol w:w="2580"/>
        <w:gridCol w:w="2580"/>
      </w:tblGrid>
      <w:tr w:rsidR="006512C4" w14:paraId="3D288585" w14:textId="77777777" w:rsidTr="006512C4">
        <w:tc>
          <w:tcPr>
            <w:tcW w:w="2578" w:type="dxa"/>
          </w:tcPr>
          <w:p w14:paraId="078960F6"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sz w:val="22"/>
                <w:szCs w:val="22"/>
              </w:rPr>
              <w:t>Ratified Topic</w:t>
            </w:r>
          </w:p>
        </w:tc>
        <w:tc>
          <w:tcPr>
            <w:tcW w:w="2580" w:type="dxa"/>
          </w:tcPr>
          <w:p w14:paraId="3C597A83"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b/>
                <w:bCs/>
                <w:sz w:val="22"/>
                <w:szCs w:val="22"/>
              </w:rPr>
              <w:t>Focus</w:t>
            </w:r>
          </w:p>
        </w:tc>
        <w:tc>
          <w:tcPr>
            <w:tcW w:w="2580" w:type="dxa"/>
          </w:tcPr>
          <w:p w14:paraId="4FBDBDD5"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rFonts w:eastAsia="TimesBasis"/>
                <w:b/>
                <w:sz w:val="22"/>
                <w:szCs w:val="22"/>
              </w:rPr>
              <w:t>Verb</w:t>
            </w:r>
          </w:p>
        </w:tc>
      </w:tr>
      <w:tr w:rsidR="006512C4" w14:paraId="03147641" w14:textId="77777777" w:rsidTr="006512C4">
        <w:tc>
          <w:tcPr>
            <w:tcW w:w="2578" w:type="dxa"/>
          </w:tcPr>
          <w:p w14:paraId="569723CB"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sz w:val="22"/>
                <w:szCs w:val="22"/>
              </w:rPr>
              <w:t>σὺ</w:t>
            </w:r>
          </w:p>
        </w:tc>
        <w:tc>
          <w:tcPr>
            <w:tcW w:w="2580" w:type="dxa"/>
          </w:tcPr>
          <w:p w14:paraId="7F4512D6"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sz w:val="22"/>
                <w:szCs w:val="22"/>
              </w:rPr>
              <w:t>παρὰ φίλων</w:t>
            </w:r>
          </w:p>
        </w:tc>
        <w:tc>
          <w:tcPr>
            <w:tcW w:w="2580" w:type="dxa"/>
          </w:tcPr>
          <w:p w14:paraId="17F091C2" w14:textId="77777777" w:rsidR="006512C4" w:rsidRPr="006B396C" w:rsidRDefault="006512C4" w:rsidP="00D630EB">
            <w:pPr>
              <w:pStyle w:val="ListParagraph"/>
              <w:tabs>
                <w:tab w:val="clear" w:pos="425"/>
                <w:tab w:val="left" w:pos="426"/>
              </w:tabs>
              <w:spacing w:line="360" w:lineRule="auto"/>
              <w:contextualSpacing w:val="0"/>
              <w:textAlignment w:val="bottom"/>
              <w:rPr>
                <w:rFonts w:eastAsia="TimesBasis"/>
                <w:sz w:val="22"/>
                <w:szCs w:val="22"/>
              </w:rPr>
            </w:pPr>
            <w:r w:rsidRPr="006B396C">
              <w:rPr>
                <w:sz w:val="22"/>
                <w:szCs w:val="22"/>
              </w:rPr>
              <w:t>ἀπάγχεαι</w:t>
            </w:r>
          </w:p>
        </w:tc>
      </w:tr>
    </w:tbl>
    <w:p w14:paraId="4309469F" w14:textId="77777777" w:rsidR="006512C4" w:rsidRDefault="006512C4" w:rsidP="00695A7C">
      <w:pPr>
        <w:tabs>
          <w:tab w:val="clear" w:pos="425"/>
          <w:tab w:val="left" w:pos="426"/>
        </w:tabs>
        <w:textAlignment w:val="bottom"/>
        <w:rPr>
          <w:rFonts w:eastAsia="TimesBasis" w:cs="Times New Roman"/>
        </w:rPr>
      </w:pPr>
    </w:p>
    <w:p w14:paraId="55E725A4" w14:textId="316B9687" w:rsidR="006512C4" w:rsidRPr="00D238A0" w:rsidRDefault="006512C4" w:rsidP="00D238A0">
      <w:pPr>
        <w:pStyle w:val="ListParagraph"/>
        <w:numPr>
          <w:ilvl w:val="0"/>
          <w:numId w:val="23"/>
        </w:numPr>
        <w:autoSpaceDE w:val="0"/>
        <w:autoSpaceDN w:val="0"/>
        <w:adjustRightInd w:val="0"/>
        <w:ind w:left="709" w:hanging="284"/>
        <w:contextualSpacing w:val="0"/>
        <w:rPr>
          <w:rFonts w:ascii="Times" w:hAnsi="Times" w:cs="Times"/>
          <w:sz w:val="32"/>
          <w:szCs w:val="32"/>
        </w:rPr>
      </w:pPr>
      <w:r w:rsidRPr="00F4476E">
        <w:rPr>
          <w:rFonts w:eastAsia="TimesBasis"/>
        </w:rPr>
        <w:lastRenderedPageBreak/>
        <w:t xml:space="preserve">fr. 29 </w:t>
      </w:r>
      <w:r w:rsidRPr="00F4476E">
        <w:t>ὥσπερ αὐλῶι βρῦτον ἢ Θρέϊξ ἀνὴρ / ἢ Φρὺξ ἔμυζε· κύβδα δ</w:t>
      </w:r>
      <w:r w:rsidR="00075F5F">
        <w:t>’</w:t>
      </w:r>
      <w:r w:rsidRPr="00F4476E">
        <w:t xml:space="preserve"> ἦν πονεομένη </w:t>
      </w:r>
      <w:r w:rsidR="00CC0615">
        <w:t>“</w:t>
      </w:r>
      <w:r w:rsidRPr="00F4476E">
        <w:t>she was sucking like a Thracian or Phrygian sucking beer through a tube, and she was bent over working hard</w:t>
      </w:r>
      <w:r w:rsidR="005E0BC0">
        <w:t>.</w:t>
      </w:r>
      <w:r w:rsidR="00CC0615">
        <w:t>”</w:t>
      </w:r>
    </w:p>
    <w:p w14:paraId="13227DEA" w14:textId="77777777" w:rsidR="009F59C0" w:rsidRPr="00F4476E" w:rsidRDefault="009F59C0" w:rsidP="00D238A0">
      <w:pPr>
        <w:pStyle w:val="ListParagraph"/>
        <w:autoSpaceDE w:val="0"/>
        <w:autoSpaceDN w:val="0"/>
        <w:adjustRightInd w:val="0"/>
        <w:ind w:left="709"/>
        <w:contextualSpacing w:val="0"/>
        <w:rPr>
          <w:rFonts w:ascii="Times" w:hAnsi="Times" w:cs="Times"/>
          <w:sz w:val="32"/>
          <w:szCs w:val="32"/>
        </w:rPr>
      </w:pPr>
    </w:p>
    <w:tbl>
      <w:tblPr>
        <w:tblStyle w:val="TableGrid"/>
        <w:tblW w:w="0" w:type="auto"/>
        <w:tblInd w:w="778" w:type="dxa"/>
        <w:tblLook w:val="04A0" w:firstRow="1" w:lastRow="0" w:firstColumn="1" w:lastColumn="0" w:noHBand="0" w:noVBand="1"/>
      </w:tblPr>
      <w:tblGrid>
        <w:gridCol w:w="2578"/>
        <w:gridCol w:w="2580"/>
        <w:gridCol w:w="2580"/>
      </w:tblGrid>
      <w:tr w:rsidR="006512C4" w14:paraId="5B11B71E" w14:textId="77777777" w:rsidTr="006512C4">
        <w:tc>
          <w:tcPr>
            <w:tcW w:w="2578" w:type="dxa"/>
          </w:tcPr>
          <w:p w14:paraId="1F9BFA4B"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b/>
                <w:bCs/>
                <w:sz w:val="22"/>
                <w:szCs w:val="22"/>
              </w:rPr>
              <w:t>Focus</w:t>
            </w:r>
          </w:p>
        </w:tc>
        <w:tc>
          <w:tcPr>
            <w:tcW w:w="2580" w:type="dxa"/>
          </w:tcPr>
          <w:p w14:paraId="3DDDD06F"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b/>
                <w:sz w:val="22"/>
                <w:szCs w:val="22"/>
              </w:rPr>
              <w:t>Verb</w:t>
            </w:r>
          </w:p>
        </w:tc>
        <w:tc>
          <w:tcPr>
            <w:tcW w:w="2580" w:type="dxa"/>
          </w:tcPr>
          <w:p w14:paraId="01920D37"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sz w:val="22"/>
                <w:szCs w:val="22"/>
              </w:rPr>
              <w:t>Ratified Topic</w:t>
            </w:r>
          </w:p>
        </w:tc>
      </w:tr>
      <w:tr w:rsidR="006512C4" w14:paraId="5EB901D9" w14:textId="77777777" w:rsidTr="006512C4">
        <w:tc>
          <w:tcPr>
            <w:tcW w:w="2578" w:type="dxa"/>
          </w:tcPr>
          <w:p w14:paraId="51AAE652"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 xml:space="preserve">κύβδα </w:t>
            </w:r>
          </w:p>
        </w:tc>
        <w:tc>
          <w:tcPr>
            <w:tcW w:w="2580" w:type="dxa"/>
          </w:tcPr>
          <w:p w14:paraId="2452B6BA"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ἦν</w:t>
            </w:r>
          </w:p>
        </w:tc>
        <w:tc>
          <w:tcPr>
            <w:tcW w:w="2580" w:type="dxa"/>
          </w:tcPr>
          <w:p w14:paraId="1438B65E"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πονεομένη</w:t>
            </w:r>
          </w:p>
        </w:tc>
      </w:tr>
    </w:tbl>
    <w:p w14:paraId="7A88C988" w14:textId="77777777" w:rsidR="006512C4" w:rsidRDefault="006512C4" w:rsidP="00695A7C">
      <w:pPr>
        <w:tabs>
          <w:tab w:val="clear" w:pos="425"/>
          <w:tab w:val="left" w:pos="426"/>
        </w:tabs>
        <w:textAlignment w:val="bottom"/>
        <w:rPr>
          <w:rFonts w:eastAsia="TimesBasis" w:cs="Times New Roman"/>
        </w:rPr>
      </w:pPr>
    </w:p>
    <w:p w14:paraId="6E27B942" w14:textId="36FFD948" w:rsidR="001D0E8C" w:rsidRDefault="001D0E8C" w:rsidP="009F59C0">
      <w:pPr>
        <w:tabs>
          <w:tab w:val="clear" w:pos="425"/>
          <w:tab w:val="left" w:pos="426"/>
        </w:tabs>
        <w:rPr>
          <w:rFonts w:ascii="Times" w:hAnsi="Times" w:cs="Times"/>
          <w:sz w:val="32"/>
          <w:szCs w:val="32"/>
          <w:lang w:val="en-US"/>
        </w:rPr>
      </w:pPr>
      <w:r>
        <w:rPr>
          <w:lang w:val="en-US"/>
        </w:rPr>
        <w:t xml:space="preserve">In the narrow focus construction, there is only one constituent in the focus. This focus expression, as a rule, is placed immediately before the verb (σὰς) </w:t>
      </w:r>
      <w:r w:rsidR="00075F5F">
        <w:rPr>
          <w:lang w:val="en-US"/>
        </w:rPr>
        <w:t>–</w:t>
      </w:r>
      <w:r>
        <w:rPr>
          <w:lang w:val="en-US"/>
        </w:rPr>
        <w:t xml:space="preserve"> as in the example where the focus is the wits of Lycambes </w:t>
      </w:r>
      <w:r w:rsidR="00075F5F">
        <w:rPr>
          <w:lang w:val="en-US"/>
        </w:rPr>
        <w:t>–</w:t>
      </w:r>
      <w:r>
        <w:rPr>
          <w:lang w:val="en-US"/>
        </w:rPr>
        <w:t xml:space="preserve"> and is preceded by the non-ratified topic expression, which here is the interrogative pronoun τίς (notice the postverbal position of the ratified topic expression φρένας ἧις τὸ πρὶν ἠρήρησθα).</w:t>
      </w:r>
    </w:p>
    <w:p w14:paraId="0FF468C6" w14:textId="556BDE1A" w:rsidR="006512C4" w:rsidRDefault="00075F5F" w:rsidP="00D238A0">
      <w:pPr>
        <w:tabs>
          <w:tab w:val="clear" w:pos="425"/>
          <w:tab w:val="left" w:pos="426"/>
        </w:tabs>
        <w:spacing w:after="120"/>
        <w:ind w:firstLine="425"/>
        <w:textAlignment w:val="bottom"/>
        <w:rPr>
          <w:rFonts w:eastAsia="TimesBasis" w:cs="Times New Roman"/>
        </w:rPr>
      </w:pPr>
      <w:r>
        <w:rPr>
          <w:lang w:val="en-US"/>
        </w:rPr>
        <w:t xml:space="preserve">Hipponax’s </w:t>
      </w:r>
      <w:r w:rsidR="001D0E8C">
        <w:rPr>
          <w:lang w:val="en-US"/>
        </w:rPr>
        <w:t>fragments have more cases of broad focus construction, as shown by the following examples:</w:t>
      </w:r>
    </w:p>
    <w:p w14:paraId="2E641B6B" w14:textId="6D87BBBF" w:rsidR="006512C4" w:rsidRDefault="006512C4" w:rsidP="00D238A0">
      <w:pPr>
        <w:pStyle w:val="ListParagraph"/>
        <w:numPr>
          <w:ilvl w:val="0"/>
          <w:numId w:val="23"/>
        </w:numPr>
        <w:autoSpaceDE w:val="0"/>
        <w:autoSpaceDN w:val="0"/>
        <w:adjustRightInd w:val="0"/>
        <w:ind w:left="709" w:hanging="283"/>
        <w:contextualSpacing w:val="0"/>
      </w:pPr>
      <w:r w:rsidRPr="00F4476E">
        <w:rPr>
          <w:rFonts w:eastAsia="TimesBasis"/>
        </w:rPr>
        <w:t xml:space="preserve">fr. 20.1-2 </w:t>
      </w:r>
      <w:r w:rsidRPr="00F4476E">
        <w:t xml:space="preserve">τούτοισι θηπέων τοὺς Ἐρυθραίων παῖδας / ὁ μητροκοίτης Βούπαλος </w:t>
      </w:r>
      <w:r w:rsidR="00CC0615">
        <w:t>“</w:t>
      </w:r>
      <w:r w:rsidRPr="00F4476E">
        <w:t>Bupalus, the mother-fucker with Arete, fooling with these words the Erythraeans</w:t>
      </w:r>
      <w:r w:rsidR="005E0BC0">
        <w:t>.</w:t>
      </w:r>
      <w:r w:rsidR="00CC0615">
        <w:t>”</w:t>
      </w:r>
    </w:p>
    <w:p w14:paraId="45790739" w14:textId="77777777" w:rsidR="009F59C0" w:rsidRPr="00F4476E"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579"/>
        <w:gridCol w:w="2579"/>
        <w:gridCol w:w="2580"/>
      </w:tblGrid>
      <w:tr w:rsidR="006512C4" w14:paraId="086CB792" w14:textId="77777777" w:rsidTr="006512C4">
        <w:tc>
          <w:tcPr>
            <w:tcW w:w="2579" w:type="dxa"/>
          </w:tcPr>
          <w:p w14:paraId="517CA725"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Verb</w:t>
            </w:r>
          </w:p>
        </w:tc>
        <w:tc>
          <w:tcPr>
            <w:tcW w:w="2579" w:type="dxa"/>
          </w:tcPr>
          <w:p w14:paraId="36251706"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Topic(s)</w:t>
            </w:r>
          </w:p>
        </w:tc>
        <w:tc>
          <w:tcPr>
            <w:tcW w:w="2580" w:type="dxa"/>
          </w:tcPr>
          <w:p w14:paraId="47F12030"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Focal material</w:t>
            </w:r>
          </w:p>
        </w:tc>
      </w:tr>
      <w:tr w:rsidR="006512C4" w14:paraId="2D5FAD2E" w14:textId="77777777" w:rsidTr="006512C4">
        <w:tc>
          <w:tcPr>
            <w:tcW w:w="2579" w:type="dxa"/>
          </w:tcPr>
          <w:p w14:paraId="4DCAFF41"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θηπέων</w:t>
            </w:r>
          </w:p>
        </w:tc>
        <w:tc>
          <w:tcPr>
            <w:tcW w:w="2579" w:type="dxa"/>
          </w:tcPr>
          <w:p w14:paraId="7FAF48AF"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τοὺς Ἐρυθραίων παῖδας</w:t>
            </w:r>
          </w:p>
        </w:tc>
        <w:tc>
          <w:tcPr>
            <w:tcW w:w="2580" w:type="dxa"/>
          </w:tcPr>
          <w:p w14:paraId="02846D3F"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ὁ μητροκοίτης Βούπαλος</w:t>
            </w:r>
          </w:p>
        </w:tc>
      </w:tr>
    </w:tbl>
    <w:p w14:paraId="4A838665" w14:textId="77777777" w:rsidR="006512C4" w:rsidRDefault="006512C4" w:rsidP="00695A7C">
      <w:pPr>
        <w:autoSpaceDE w:val="0"/>
        <w:autoSpaceDN w:val="0"/>
        <w:adjustRightInd w:val="0"/>
        <w:rPr>
          <w:rFonts w:ascii="Times" w:hAnsi="Times" w:cs="Times"/>
          <w:sz w:val="32"/>
          <w:szCs w:val="32"/>
        </w:rPr>
      </w:pPr>
    </w:p>
    <w:p w14:paraId="32C7A284" w14:textId="0CCF4AD5" w:rsidR="006512C4" w:rsidRDefault="006512C4" w:rsidP="00D238A0">
      <w:pPr>
        <w:pStyle w:val="ListParagraph"/>
        <w:numPr>
          <w:ilvl w:val="0"/>
          <w:numId w:val="23"/>
        </w:numPr>
        <w:autoSpaceDE w:val="0"/>
        <w:autoSpaceDN w:val="0"/>
        <w:adjustRightInd w:val="0"/>
        <w:ind w:left="709" w:hanging="284"/>
        <w:contextualSpacing w:val="0"/>
      </w:pPr>
      <w:r w:rsidRPr="00F4476E">
        <w:t xml:space="preserve">fr. 21 ἐκ πελλίδος πίνοντες· οὐ γὰρ ἦν αὐτῆι / αὐτῆι, ὁ παῖς γὰρ ἐμπεσὼν κατήραξε </w:t>
      </w:r>
      <w:r w:rsidR="00CC0615">
        <w:t>“</w:t>
      </w:r>
      <w:r w:rsidRPr="00F4476E">
        <w:t>drinking from a pail; for she had no cup, since the slave had fallen on it and smashed it</w:t>
      </w:r>
      <w:r w:rsidR="005E0BC0">
        <w:t>.</w:t>
      </w:r>
      <w:r w:rsidR="00CC0615">
        <w:t>”</w:t>
      </w:r>
    </w:p>
    <w:p w14:paraId="26097054" w14:textId="77777777" w:rsidR="009F59C0" w:rsidRPr="00F4476E"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165"/>
        <w:gridCol w:w="1705"/>
        <w:gridCol w:w="1934"/>
        <w:gridCol w:w="1934"/>
      </w:tblGrid>
      <w:tr w:rsidR="006512C4" w14:paraId="2F22BDEC" w14:textId="77777777" w:rsidTr="006B396C">
        <w:tc>
          <w:tcPr>
            <w:tcW w:w="2165" w:type="dxa"/>
          </w:tcPr>
          <w:p w14:paraId="2FB262EB"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sz w:val="22"/>
                <w:szCs w:val="22"/>
              </w:rPr>
              <w:t>Non-ratified Topic</w:t>
            </w:r>
          </w:p>
        </w:tc>
        <w:tc>
          <w:tcPr>
            <w:tcW w:w="1705" w:type="dxa"/>
          </w:tcPr>
          <w:p w14:paraId="6989975A"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b/>
                <w:sz w:val="22"/>
                <w:szCs w:val="22"/>
              </w:rPr>
              <w:t>Verb</w:t>
            </w:r>
          </w:p>
        </w:tc>
        <w:tc>
          <w:tcPr>
            <w:tcW w:w="1934" w:type="dxa"/>
          </w:tcPr>
          <w:p w14:paraId="5E804A8F"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sz w:val="22"/>
                <w:szCs w:val="22"/>
              </w:rPr>
              <w:t>Ratified Topic</w:t>
            </w:r>
          </w:p>
        </w:tc>
        <w:tc>
          <w:tcPr>
            <w:tcW w:w="1934" w:type="dxa"/>
          </w:tcPr>
          <w:p w14:paraId="7AB93B3E"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rFonts w:eastAsia="TimesBasis"/>
                <w:b/>
                <w:bCs/>
                <w:sz w:val="22"/>
                <w:szCs w:val="22"/>
              </w:rPr>
              <w:t>Focus</w:t>
            </w:r>
          </w:p>
        </w:tc>
      </w:tr>
      <w:tr w:rsidR="006512C4" w14:paraId="5451F854" w14:textId="77777777" w:rsidTr="006B396C">
        <w:tc>
          <w:tcPr>
            <w:tcW w:w="2165" w:type="dxa"/>
          </w:tcPr>
          <w:p w14:paraId="62DCDF13"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ἐκ πελλίδος πίνοντες</w:t>
            </w:r>
          </w:p>
        </w:tc>
        <w:tc>
          <w:tcPr>
            <w:tcW w:w="1705" w:type="dxa"/>
          </w:tcPr>
          <w:p w14:paraId="4E66BBA9"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ἦν</w:t>
            </w:r>
          </w:p>
        </w:tc>
        <w:tc>
          <w:tcPr>
            <w:tcW w:w="1934" w:type="dxa"/>
          </w:tcPr>
          <w:p w14:paraId="563A217A"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αὐτῆι</w:t>
            </w:r>
          </w:p>
        </w:tc>
        <w:tc>
          <w:tcPr>
            <w:tcW w:w="1934" w:type="dxa"/>
          </w:tcPr>
          <w:p w14:paraId="0F23326B" w14:textId="77777777" w:rsidR="006512C4" w:rsidRPr="006B396C" w:rsidRDefault="006512C4" w:rsidP="00D630EB">
            <w:pPr>
              <w:pStyle w:val="ListParagraph"/>
              <w:spacing w:line="360" w:lineRule="auto"/>
              <w:contextualSpacing w:val="0"/>
              <w:textAlignment w:val="bottom"/>
              <w:rPr>
                <w:rFonts w:ascii="Times" w:hAnsi="Times" w:cs="Times"/>
                <w:sz w:val="22"/>
                <w:szCs w:val="22"/>
              </w:rPr>
            </w:pPr>
            <w:r w:rsidRPr="006B396C">
              <w:rPr>
                <w:sz w:val="22"/>
                <w:szCs w:val="22"/>
              </w:rPr>
              <w:t>αὐτῆι</w:t>
            </w:r>
          </w:p>
        </w:tc>
      </w:tr>
    </w:tbl>
    <w:p w14:paraId="67B096F7" w14:textId="77777777" w:rsidR="006512C4" w:rsidRDefault="006512C4" w:rsidP="00695A7C">
      <w:pPr>
        <w:autoSpaceDE w:val="0"/>
        <w:autoSpaceDN w:val="0"/>
        <w:adjustRightInd w:val="0"/>
        <w:rPr>
          <w:rFonts w:ascii="Times" w:hAnsi="Times" w:cs="Times"/>
          <w:sz w:val="32"/>
          <w:szCs w:val="32"/>
        </w:rPr>
      </w:pPr>
    </w:p>
    <w:p w14:paraId="7C9C6382" w14:textId="1952A18F" w:rsidR="006512C4" w:rsidRDefault="006512C4" w:rsidP="00D238A0">
      <w:pPr>
        <w:pStyle w:val="ListParagraph"/>
        <w:numPr>
          <w:ilvl w:val="0"/>
          <w:numId w:val="23"/>
        </w:numPr>
        <w:autoSpaceDE w:val="0"/>
        <w:autoSpaceDN w:val="0"/>
        <w:adjustRightInd w:val="0"/>
        <w:ind w:left="709" w:hanging="284"/>
        <w:contextualSpacing w:val="0"/>
      </w:pPr>
      <w:r w:rsidRPr="00F4476E">
        <w:t xml:space="preserve">fr. 36.3-4 δαινύμενος ὥσπερ Λαμψακηνὸς εὐνοῦχος / κατέφαγε δὴ τὸν κλῆρον· </w:t>
      </w:r>
      <w:r w:rsidR="00CC0615">
        <w:t>“</w:t>
      </w:r>
      <w:r w:rsidRPr="00F4476E">
        <w:t>dining like an eunuch from Lampsacus, ate up his inheritance</w:t>
      </w:r>
      <w:r w:rsidR="005E0BC0">
        <w:t>.</w:t>
      </w:r>
      <w:r w:rsidR="00CC0615">
        <w:t>”</w:t>
      </w:r>
    </w:p>
    <w:p w14:paraId="450C6C72" w14:textId="77777777" w:rsidR="009F59C0" w:rsidRPr="00F4476E" w:rsidRDefault="009F59C0" w:rsidP="00D238A0">
      <w:pPr>
        <w:pStyle w:val="ListParagraph"/>
        <w:autoSpaceDE w:val="0"/>
        <w:autoSpaceDN w:val="0"/>
        <w:adjustRightInd w:val="0"/>
        <w:ind w:left="709"/>
        <w:contextualSpacing w:val="0"/>
      </w:pPr>
    </w:p>
    <w:tbl>
      <w:tblPr>
        <w:tblStyle w:val="TableGrid"/>
        <w:tblW w:w="7738" w:type="dxa"/>
        <w:tblInd w:w="778" w:type="dxa"/>
        <w:tblLook w:val="04A0" w:firstRow="1" w:lastRow="0" w:firstColumn="1" w:lastColumn="0" w:noHBand="0" w:noVBand="1"/>
      </w:tblPr>
      <w:tblGrid>
        <w:gridCol w:w="4008"/>
        <w:gridCol w:w="1701"/>
        <w:gridCol w:w="2029"/>
      </w:tblGrid>
      <w:tr w:rsidR="006512C4" w14:paraId="6EABFC27" w14:textId="77777777" w:rsidTr="006B396C">
        <w:tc>
          <w:tcPr>
            <w:tcW w:w="4008" w:type="dxa"/>
          </w:tcPr>
          <w:p w14:paraId="16A2740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w:t>
            </w:r>
          </w:p>
        </w:tc>
        <w:tc>
          <w:tcPr>
            <w:tcW w:w="1701" w:type="dxa"/>
          </w:tcPr>
          <w:p w14:paraId="714914EA"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sz w:val="22"/>
                <w:szCs w:val="22"/>
              </w:rPr>
              <w:t>Verb</w:t>
            </w:r>
          </w:p>
        </w:tc>
        <w:tc>
          <w:tcPr>
            <w:tcW w:w="2029" w:type="dxa"/>
          </w:tcPr>
          <w:p w14:paraId="1BB44AF3"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Focus</w:t>
            </w:r>
          </w:p>
        </w:tc>
      </w:tr>
      <w:tr w:rsidR="006512C4" w14:paraId="3DAB3456" w14:textId="77777777" w:rsidTr="006B396C">
        <w:tc>
          <w:tcPr>
            <w:tcW w:w="4008" w:type="dxa"/>
          </w:tcPr>
          <w:p w14:paraId="56F566FE"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δαινύμενος ὥσπερ Λαμψακηνὸς εὐνοῦχος</w:t>
            </w:r>
          </w:p>
        </w:tc>
        <w:tc>
          <w:tcPr>
            <w:tcW w:w="1701" w:type="dxa"/>
          </w:tcPr>
          <w:p w14:paraId="1F7CFDCF"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κατέφαγε</w:t>
            </w:r>
          </w:p>
        </w:tc>
        <w:tc>
          <w:tcPr>
            <w:tcW w:w="2029" w:type="dxa"/>
          </w:tcPr>
          <w:p w14:paraId="1921B862"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τὸν κλῆρον</w:t>
            </w:r>
          </w:p>
        </w:tc>
      </w:tr>
    </w:tbl>
    <w:p w14:paraId="6C038B93" w14:textId="77777777" w:rsidR="006512C4" w:rsidRDefault="006512C4" w:rsidP="00695A7C">
      <w:pPr>
        <w:autoSpaceDE w:val="0"/>
        <w:autoSpaceDN w:val="0"/>
        <w:adjustRightInd w:val="0"/>
        <w:rPr>
          <w:rFonts w:cs="Times New Roman"/>
        </w:rPr>
      </w:pPr>
    </w:p>
    <w:p w14:paraId="5F0E796A" w14:textId="1E59A9E8" w:rsidR="006512C4" w:rsidRDefault="006512C4" w:rsidP="00D238A0">
      <w:pPr>
        <w:pStyle w:val="ListParagraph"/>
        <w:numPr>
          <w:ilvl w:val="0"/>
          <w:numId w:val="23"/>
        </w:numPr>
        <w:autoSpaceDE w:val="0"/>
        <w:autoSpaceDN w:val="0"/>
        <w:adjustRightInd w:val="0"/>
        <w:ind w:left="709" w:hanging="284"/>
        <w:contextualSpacing w:val="0"/>
      </w:pPr>
      <w:r w:rsidRPr="00F4476E">
        <w:lastRenderedPageBreak/>
        <w:t xml:space="preserve">fr. 48.3-4 ὡς ἂν ἀλφίτων ποιήσωμαι / κυκεῶνα πίνειν φάρμακον πονηρίης </w:t>
      </w:r>
      <w:r w:rsidR="00CC0615">
        <w:t>“</w:t>
      </w:r>
      <w:r w:rsidRPr="00F4476E">
        <w:t>so that I may make a potion from the groats to drink as a cure for my suffering</w:t>
      </w:r>
      <w:r w:rsidR="005E0BC0">
        <w:t>.</w:t>
      </w:r>
      <w:r w:rsidR="00CC0615">
        <w:t>”</w:t>
      </w:r>
    </w:p>
    <w:p w14:paraId="042B2F36" w14:textId="77777777" w:rsidR="009F59C0" w:rsidRPr="00F4476E"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165"/>
        <w:gridCol w:w="1276"/>
        <w:gridCol w:w="1843"/>
        <w:gridCol w:w="2454"/>
      </w:tblGrid>
      <w:tr w:rsidR="006512C4" w:rsidRPr="006B396C" w14:paraId="21553E57" w14:textId="77777777" w:rsidTr="006B396C">
        <w:tc>
          <w:tcPr>
            <w:tcW w:w="2165" w:type="dxa"/>
          </w:tcPr>
          <w:p w14:paraId="4954D0D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Non-ratified Topic(s)</w:t>
            </w:r>
          </w:p>
        </w:tc>
        <w:tc>
          <w:tcPr>
            <w:tcW w:w="1276" w:type="dxa"/>
          </w:tcPr>
          <w:p w14:paraId="55DBBEB0"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Verb</w:t>
            </w:r>
          </w:p>
        </w:tc>
        <w:tc>
          <w:tcPr>
            <w:tcW w:w="1843" w:type="dxa"/>
          </w:tcPr>
          <w:p w14:paraId="6A2F3AD4"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Topic(s)</w:t>
            </w:r>
          </w:p>
        </w:tc>
        <w:tc>
          <w:tcPr>
            <w:tcW w:w="2454" w:type="dxa"/>
          </w:tcPr>
          <w:p w14:paraId="30F0CF80"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Focal material</w:t>
            </w:r>
          </w:p>
        </w:tc>
      </w:tr>
      <w:tr w:rsidR="006512C4" w:rsidRPr="006B396C" w14:paraId="0CF43CCF" w14:textId="77777777" w:rsidTr="006B396C">
        <w:tc>
          <w:tcPr>
            <w:tcW w:w="2165" w:type="dxa"/>
          </w:tcPr>
          <w:p w14:paraId="5E45451A"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ἀλφίτων κυκεῶνα</w:t>
            </w:r>
          </w:p>
        </w:tc>
        <w:tc>
          <w:tcPr>
            <w:tcW w:w="1276" w:type="dxa"/>
          </w:tcPr>
          <w:p w14:paraId="2278EAD0"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ποιήσωμαι</w:t>
            </w:r>
          </w:p>
        </w:tc>
        <w:tc>
          <w:tcPr>
            <w:tcW w:w="1843" w:type="dxa"/>
          </w:tcPr>
          <w:p w14:paraId="13D4E46A"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πίνειν</w:t>
            </w:r>
          </w:p>
        </w:tc>
        <w:tc>
          <w:tcPr>
            <w:tcW w:w="2454" w:type="dxa"/>
          </w:tcPr>
          <w:p w14:paraId="694B687C"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φάρμακον πονηρίης</w:t>
            </w:r>
          </w:p>
        </w:tc>
      </w:tr>
    </w:tbl>
    <w:p w14:paraId="10CD89EC" w14:textId="77777777" w:rsidR="006512C4" w:rsidRDefault="006512C4" w:rsidP="00695A7C">
      <w:pPr>
        <w:autoSpaceDE w:val="0"/>
        <w:autoSpaceDN w:val="0"/>
        <w:adjustRightInd w:val="0"/>
        <w:rPr>
          <w:rFonts w:cs="Times New Roman"/>
        </w:rPr>
      </w:pPr>
    </w:p>
    <w:p w14:paraId="3830E978" w14:textId="41D29AE9" w:rsidR="006512C4" w:rsidRDefault="006512C4" w:rsidP="00D238A0">
      <w:pPr>
        <w:pStyle w:val="ListParagraph"/>
        <w:numPr>
          <w:ilvl w:val="0"/>
          <w:numId w:val="23"/>
        </w:numPr>
        <w:autoSpaceDE w:val="0"/>
        <w:autoSpaceDN w:val="0"/>
        <w:adjustRightInd w:val="0"/>
        <w:ind w:left="709" w:hanging="284"/>
        <w:contextualSpacing w:val="0"/>
      </w:pPr>
      <w:r w:rsidRPr="00F4476E">
        <w:t xml:space="preserve">fr. 119 ὀλίγα φρονέουσιν οἱ χάλιν πεπωκότες </w:t>
      </w:r>
      <w:r w:rsidR="00CC0615">
        <w:t>“</w:t>
      </w:r>
      <w:r w:rsidRPr="00F4476E">
        <w:t>those who drink wine have few wits about them</w:t>
      </w:r>
      <w:r w:rsidR="005858BE">
        <w:t>.</w:t>
      </w:r>
      <w:r w:rsidR="00CC0615">
        <w:t>”</w:t>
      </w:r>
    </w:p>
    <w:p w14:paraId="3370B638" w14:textId="77777777" w:rsidR="009F59C0" w:rsidRPr="00F4476E"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165"/>
        <w:gridCol w:w="1705"/>
        <w:gridCol w:w="3868"/>
      </w:tblGrid>
      <w:tr w:rsidR="006512C4" w:rsidRPr="006B396C" w14:paraId="3F9B209E" w14:textId="77777777" w:rsidTr="006B396C">
        <w:tc>
          <w:tcPr>
            <w:tcW w:w="2165" w:type="dxa"/>
          </w:tcPr>
          <w:p w14:paraId="4779660D"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Non-ratified Topic(s)</w:t>
            </w:r>
          </w:p>
        </w:tc>
        <w:tc>
          <w:tcPr>
            <w:tcW w:w="1705" w:type="dxa"/>
          </w:tcPr>
          <w:p w14:paraId="174CE92D"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Verb</w:t>
            </w:r>
          </w:p>
        </w:tc>
        <w:tc>
          <w:tcPr>
            <w:tcW w:w="3868" w:type="dxa"/>
          </w:tcPr>
          <w:p w14:paraId="7C9A1EC3"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Focal material</w:t>
            </w:r>
          </w:p>
        </w:tc>
      </w:tr>
      <w:tr w:rsidR="006512C4" w:rsidRPr="006B396C" w14:paraId="7187BE6D" w14:textId="77777777" w:rsidTr="006B396C">
        <w:tc>
          <w:tcPr>
            <w:tcW w:w="2165" w:type="dxa"/>
          </w:tcPr>
          <w:p w14:paraId="3D3F17F4"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ὀλίγα</w:t>
            </w:r>
          </w:p>
        </w:tc>
        <w:tc>
          <w:tcPr>
            <w:tcW w:w="1705" w:type="dxa"/>
          </w:tcPr>
          <w:p w14:paraId="3886BB37"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φρονέουσιν</w:t>
            </w:r>
          </w:p>
        </w:tc>
        <w:tc>
          <w:tcPr>
            <w:tcW w:w="3868" w:type="dxa"/>
          </w:tcPr>
          <w:p w14:paraId="23C90313"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οἱ χάλιν πεπωκότες</w:t>
            </w:r>
          </w:p>
        </w:tc>
      </w:tr>
    </w:tbl>
    <w:p w14:paraId="7FA14338" w14:textId="77777777" w:rsidR="006512C4" w:rsidRPr="00AF4B90" w:rsidRDefault="006512C4" w:rsidP="00695A7C">
      <w:pPr>
        <w:autoSpaceDE w:val="0"/>
        <w:autoSpaceDN w:val="0"/>
        <w:adjustRightInd w:val="0"/>
        <w:rPr>
          <w:rFonts w:ascii="Times" w:hAnsi="Times" w:cs="Times"/>
          <w:sz w:val="32"/>
          <w:szCs w:val="32"/>
        </w:rPr>
      </w:pPr>
    </w:p>
    <w:p w14:paraId="221E8071" w14:textId="5B8F2727" w:rsidR="001D0E8C" w:rsidRDefault="001D0E8C" w:rsidP="001D0E8C">
      <w:pPr>
        <w:tabs>
          <w:tab w:val="clear" w:pos="425"/>
          <w:tab w:val="left" w:pos="426"/>
        </w:tabs>
        <w:rPr>
          <w:lang w:val="en-US"/>
        </w:rPr>
      </w:pPr>
      <w:r>
        <w:rPr>
          <w:lang w:val="en-US"/>
        </w:rPr>
        <w:t xml:space="preserve">In the broad focus construction, the verb and other optional elements make up a focus domain. The verb marks the left border of this focus domain, </w:t>
      </w:r>
      <w:r w:rsidR="009F59C0">
        <w:rPr>
          <w:lang w:val="en-US"/>
        </w:rPr>
        <w:t xml:space="preserve">and </w:t>
      </w:r>
      <w:r>
        <w:rPr>
          <w:lang w:val="en-US"/>
        </w:rPr>
        <w:t>the remaining focal material follow</w:t>
      </w:r>
      <w:r w:rsidR="009F59C0">
        <w:rPr>
          <w:lang w:val="en-US"/>
        </w:rPr>
        <w:t>s the verb.</w:t>
      </w:r>
      <w:r>
        <w:rPr>
          <w:lang w:val="en-US"/>
        </w:rPr>
        <w:t xml:space="preserve"> For instance, in Hippon. fr. 20.1-2 τούτοισι θηπέων τοὺς Ἐρυθραίων παῖδας / ὁ μητροκοίτης Βούπαλος σὺν Ἀρήτηι </w:t>
      </w:r>
      <w:r w:rsidR="00CC0615">
        <w:rPr>
          <w:lang w:val="en-US"/>
        </w:rPr>
        <w:t>“</w:t>
      </w:r>
      <w:r>
        <w:rPr>
          <w:lang w:val="en-US"/>
        </w:rPr>
        <w:t>Bupalus, the mother-fucker with Arete, fooling with these words the Erythraeans,</w:t>
      </w:r>
      <w:r w:rsidR="00CC0615">
        <w:rPr>
          <w:lang w:val="en-US"/>
        </w:rPr>
        <w:t>”</w:t>
      </w:r>
      <w:r>
        <w:rPr>
          <w:lang w:val="en-US"/>
        </w:rPr>
        <w:t xml:space="preserve"> both the verb (θηπέω) and its object (τοὺς Ἐρυθραίων παῖδας) belong to the focus domain.</w:t>
      </w:r>
    </w:p>
    <w:p w14:paraId="2B26B26A" w14:textId="444C459D" w:rsidR="001D0E8C" w:rsidRDefault="001D0E8C" w:rsidP="001D0E8C">
      <w:pPr>
        <w:tabs>
          <w:tab w:val="clear" w:pos="425"/>
          <w:tab w:val="left" w:pos="426"/>
        </w:tabs>
        <w:rPr>
          <w:lang w:val="en-US"/>
        </w:rPr>
      </w:pPr>
      <w:r>
        <w:rPr>
          <w:lang w:val="en-US"/>
        </w:rPr>
        <w:tab/>
        <w:t xml:space="preserve">To sum up: the archaic iambic clause pattern consists of an initial topic field, mainly for non-ratified topic expressions, followed either by a broad focus domain consisting of the verb plus (optionally) one or more focus elements (this structure is the most frequent in </w:t>
      </w:r>
      <w:r w:rsidR="00075F5F">
        <w:rPr>
          <w:lang w:val="en-US"/>
        </w:rPr>
        <w:t xml:space="preserve">Hipponax’s </w:t>
      </w:r>
      <w:r>
        <w:rPr>
          <w:lang w:val="en-US"/>
        </w:rPr>
        <w:t xml:space="preserve">fragments), or by a narrow focus expression, followed by a presupposition field consisting </w:t>
      </w:r>
      <w:r w:rsidR="009F59C0">
        <w:rPr>
          <w:lang w:val="en-US"/>
        </w:rPr>
        <w:t xml:space="preserve">of </w:t>
      </w:r>
      <w:r>
        <w:rPr>
          <w:lang w:val="en-US"/>
        </w:rPr>
        <w:t>verb plus</w:t>
      </w:r>
      <w:r w:rsidR="009F59C0">
        <w:rPr>
          <w:lang w:val="en-US"/>
        </w:rPr>
        <w:t xml:space="preserve"> </w:t>
      </w:r>
      <w:r>
        <w:rPr>
          <w:lang w:val="en-US"/>
        </w:rPr>
        <w:t>ratified topic expressions and other non-topical presupposed expressions, if any (this structure is the most frequent in Archilochus</w:t>
      </w:r>
      <w:r w:rsidR="00075F5F">
        <w:rPr>
          <w:lang w:val="en-US"/>
        </w:rPr>
        <w:t>’</w:t>
      </w:r>
      <w:r>
        <w:rPr>
          <w:lang w:val="en-US"/>
        </w:rPr>
        <w:t xml:space="preserve"> fragments). </w:t>
      </w:r>
    </w:p>
    <w:p w14:paraId="5E104F4C" w14:textId="77777777" w:rsidR="009F59C0" w:rsidRDefault="009F59C0" w:rsidP="008C003F">
      <w:pPr>
        <w:textAlignment w:val="bottom"/>
        <w:rPr>
          <w:lang w:val="en-US"/>
        </w:rPr>
      </w:pPr>
    </w:p>
    <w:p w14:paraId="5E85B5DB" w14:textId="3C233053" w:rsidR="006512C4" w:rsidRDefault="001D0E8C" w:rsidP="00D238A0">
      <w:pPr>
        <w:spacing w:after="120"/>
        <w:textAlignment w:val="bottom"/>
        <w:rPr>
          <w:rFonts w:eastAsia="TimesBasis" w:cs="Times New Roman"/>
        </w:rPr>
      </w:pPr>
      <w:r>
        <w:rPr>
          <w:lang w:val="en-US"/>
        </w:rPr>
        <w:t>There is no doubt that Callimachus</w:t>
      </w:r>
      <w:r w:rsidR="00075F5F">
        <w:rPr>
          <w:lang w:val="en-US"/>
        </w:rPr>
        <w:t>’</w:t>
      </w:r>
      <w:r>
        <w:rPr>
          <w:lang w:val="en-US"/>
        </w:rPr>
        <w:t xml:space="preserve"> </w:t>
      </w:r>
      <w:r>
        <w:rPr>
          <w:i/>
          <w:iCs/>
          <w:lang w:val="en-US"/>
        </w:rPr>
        <w:t>Iambi</w:t>
      </w:r>
      <w:r>
        <w:rPr>
          <w:lang w:val="en-US"/>
        </w:rPr>
        <w:t xml:space="preserve"> show a looser structure. Word order is dictated not only by informational purposes, but also by aesthetic ones. The construction often varies because of rhetorical devices in the syntax. Callimachus prefers to build sentences according to the narrow focus</w:t>
      </w:r>
      <w:r w:rsidRPr="001D0E8C">
        <w:rPr>
          <w:lang w:val="en-US"/>
        </w:rPr>
        <w:t xml:space="preserve"> </w:t>
      </w:r>
      <w:r>
        <w:rPr>
          <w:lang w:val="en-US"/>
        </w:rPr>
        <w:t>construction, following Archilochus</w:t>
      </w:r>
      <w:r w:rsidR="00075F5F">
        <w:rPr>
          <w:lang w:val="en-US"/>
        </w:rPr>
        <w:t>’</w:t>
      </w:r>
      <w:r>
        <w:rPr>
          <w:lang w:val="en-US"/>
        </w:rPr>
        <w:t xml:space="preserve"> model, as shown by the following examples:</w:t>
      </w:r>
    </w:p>
    <w:p w14:paraId="4A9E8520" w14:textId="0468336D" w:rsidR="006512C4" w:rsidRDefault="006512C4" w:rsidP="00227EE7">
      <w:pPr>
        <w:pStyle w:val="ListParagraph"/>
        <w:keepNext/>
        <w:numPr>
          <w:ilvl w:val="0"/>
          <w:numId w:val="23"/>
        </w:numPr>
        <w:autoSpaceDE w:val="0"/>
        <w:autoSpaceDN w:val="0"/>
        <w:adjustRightInd w:val="0"/>
        <w:ind w:left="709" w:hanging="284"/>
        <w:contextualSpacing w:val="0"/>
      </w:pPr>
      <w:r w:rsidRPr="00F4476E">
        <w:rPr>
          <w:rFonts w:eastAsia="TimesBasis"/>
          <w:i/>
        </w:rPr>
        <w:lastRenderedPageBreak/>
        <w:t>Ia</w:t>
      </w:r>
      <w:r w:rsidRPr="00F4476E">
        <w:rPr>
          <w:rFonts w:eastAsia="TimesBasis"/>
        </w:rPr>
        <w:t xml:space="preserve">. 10-11 </w:t>
      </w:r>
      <w:r w:rsidRPr="00F4476E">
        <w:t xml:space="preserve">τὸν πάλαι Πάγχαιον ὁ πλάσας Ζᾶνα </w:t>
      </w:r>
      <w:r w:rsidRPr="00F4476E">
        <w:rPr>
          <w:iCs/>
          <w:color w:val="6D6F03"/>
        </w:rPr>
        <w:t xml:space="preserve">/ </w:t>
      </w:r>
      <w:r w:rsidRPr="00F4476E">
        <w:t xml:space="preserve">γέρων λαλάζων ἄδικα βιβλία ψήχει </w:t>
      </w:r>
      <w:r w:rsidR="00CC0615">
        <w:t>“</w:t>
      </w:r>
      <w:r w:rsidRPr="00F4476E">
        <w:t>the old man who fashioned the ancient Panchaean Zeus chatters and scratches out his unrighteous books</w:t>
      </w:r>
      <w:r w:rsidR="005E0BC0">
        <w:t>.</w:t>
      </w:r>
      <w:r w:rsidR="00CC0615">
        <w:t>”</w:t>
      </w:r>
    </w:p>
    <w:p w14:paraId="208FE73B" w14:textId="77777777" w:rsidR="009F59C0" w:rsidRPr="009F59C0" w:rsidRDefault="009F59C0" w:rsidP="00227EE7">
      <w:pPr>
        <w:pStyle w:val="ListParagraph"/>
        <w:keepNext/>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578"/>
        <w:gridCol w:w="2580"/>
        <w:gridCol w:w="2580"/>
      </w:tblGrid>
      <w:tr w:rsidR="006512C4" w:rsidRPr="006B396C" w14:paraId="245D77BE" w14:textId="77777777" w:rsidTr="006512C4">
        <w:tc>
          <w:tcPr>
            <w:tcW w:w="2578" w:type="dxa"/>
          </w:tcPr>
          <w:p w14:paraId="3E65EC0D"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w:t>
            </w:r>
          </w:p>
        </w:tc>
        <w:tc>
          <w:tcPr>
            <w:tcW w:w="2580" w:type="dxa"/>
          </w:tcPr>
          <w:p w14:paraId="671D76E0"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Focus</w:t>
            </w:r>
          </w:p>
        </w:tc>
        <w:tc>
          <w:tcPr>
            <w:tcW w:w="2580" w:type="dxa"/>
          </w:tcPr>
          <w:p w14:paraId="70666C8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sz w:val="22"/>
                <w:szCs w:val="22"/>
              </w:rPr>
              <w:t xml:space="preserve">Verb </w:t>
            </w:r>
          </w:p>
        </w:tc>
      </w:tr>
      <w:tr w:rsidR="006512C4" w:rsidRPr="006B396C" w14:paraId="7BA58A21" w14:textId="77777777" w:rsidTr="006512C4">
        <w:tc>
          <w:tcPr>
            <w:tcW w:w="2578" w:type="dxa"/>
          </w:tcPr>
          <w:p w14:paraId="30C776A3"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 xml:space="preserve">ὁ γέρων </w:t>
            </w:r>
          </w:p>
        </w:tc>
        <w:tc>
          <w:tcPr>
            <w:tcW w:w="2580" w:type="dxa"/>
          </w:tcPr>
          <w:p w14:paraId="6F1F110C"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ἄδικα βιβλία</w:t>
            </w:r>
          </w:p>
        </w:tc>
        <w:tc>
          <w:tcPr>
            <w:tcW w:w="2580" w:type="dxa"/>
          </w:tcPr>
          <w:p w14:paraId="15DDDE4A"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ψήχει</w:t>
            </w:r>
          </w:p>
        </w:tc>
      </w:tr>
    </w:tbl>
    <w:p w14:paraId="18B11E9C" w14:textId="77777777" w:rsidR="006512C4" w:rsidRPr="00F81BA1" w:rsidRDefault="006512C4" w:rsidP="00695A7C">
      <w:pPr>
        <w:pStyle w:val="ListParagraph"/>
        <w:autoSpaceDE w:val="0"/>
        <w:autoSpaceDN w:val="0"/>
        <w:adjustRightInd w:val="0"/>
        <w:ind w:left="778"/>
        <w:rPr>
          <w:rFonts w:ascii="Times" w:hAnsi="Times" w:cs="Times"/>
          <w:sz w:val="32"/>
          <w:szCs w:val="32"/>
        </w:rPr>
      </w:pPr>
    </w:p>
    <w:p w14:paraId="5DEFFBA5" w14:textId="158C07A9" w:rsidR="006512C4" w:rsidRPr="00D238A0" w:rsidRDefault="006512C4" w:rsidP="00D238A0">
      <w:pPr>
        <w:pStyle w:val="ListParagraph"/>
        <w:numPr>
          <w:ilvl w:val="0"/>
          <w:numId w:val="23"/>
        </w:numPr>
        <w:tabs>
          <w:tab w:val="clear" w:pos="425"/>
          <w:tab w:val="left" w:pos="426"/>
        </w:tabs>
        <w:ind w:left="709" w:hanging="284"/>
        <w:contextualSpacing w:val="0"/>
        <w:textAlignment w:val="bottom"/>
        <w:rPr>
          <w:rStyle w:val="txt"/>
          <w:rFonts w:eastAsia="TimesBasis"/>
        </w:rPr>
      </w:pPr>
      <w:r w:rsidRPr="00F4476E">
        <w:rPr>
          <w:rFonts w:eastAsia="TimesBasis"/>
          <w:i/>
        </w:rPr>
        <w:t>Ia.</w:t>
      </w:r>
      <w:r w:rsidRPr="00F4476E">
        <w:rPr>
          <w:rFonts w:eastAsia="TimesBasis"/>
        </w:rPr>
        <w:t xml:space="preserve"> 2.6-7</w:t>
      </w:r>
      <w:r w:rsidRPr="00F4476E">
        <w:t xml:space="preserve"> </w:t>
      </w:r>
      <w:r w:rsidRPr="00F4476E">
        <w:rPr>
          <w:rStyle w:val="txt"/>
        </w:rPr>
        <w:t>οὐ δίκαια</w:t>
      </w:r>
      <w:r w:rsidRPr="00F4476E">
        <w:rPr>
          <w:rStyle w:val="apple-converted-space"/>
        </w:rPr>
        <w:t> </w:t>
      </w:r>
      <w:r w:rsidRPr="00F4476E">
        <w:rPr>
          <w:rStyle w:val="txt"/>
        </w:rPr>
        <w:t>δ̣</w:t>
      </w:r>
      <w:r w:rsidR="00075F5F">
        <w:rPr>
          <w:rStyle w:val="txt"/>
        </w:rPr>
        <w:t>’</w:t>
      </w:r>
      <w:r w:rsidRPr="00F4476E">
        <w:rPr>
          <w:rStyle w:val="txt"/>
        </w:rPr>
        <w:t xml:space="preserve"> αἰσυμνέ̣ω̣ν</w:t>
      </w:r>
      <w:r w:rsidRPr="00F4476E">
        <w:t xml:space="preserve"> / </w:t>
      </w:r>
      <w:r w:rsidRPr="00F4476E">
        <w:rPr>
          <w:rStyle w:val="txt"/>
        </w:rPr>
        <w:t xml:space="preserve">τῶν ἑρπετῶν̣ μὲν </w:t>
      </w:r>
      <w:r w:rsidRPr="00F4476E">
        <w:rPr>
          <w:rStyle w:val="primaryw"/>
        </w:rPr>
        <w:t>ἐξέκοψε</w:t>
      </w:r>
      <w:r w:rsidRPr="00F4476E">
        <w:rPr>
          <w:rStyle w:val="apple-converted-space"/>
        </w:rPr>
        <w:t> </w:t>
      </w:r>
      <w:r w:rsidRPr="00F4476E">
        <w:rPr>
          <w:rStyle w:val="txt"/>
        </w:rPr>
        <w:t xml:space="preserve">τὸ φθέ̣γμα, </w:t>
      </w:r>
      <w:r w:rsidR="00CC0615">
        <w:rPr>
          <w:rStyle w:val="txt"/>
        </w:rPr>
        <w:t>“</w:t>
      </w:r>
      <w:r w:rsidRPr="00F4476E">
        <w:rPr>
          <w:rStyle w:val="txt"/>
        </w:rPr>
        <w:t>but not justly ruling, he cut off the voice of those which crawl</w:t>
      </w:r>
      <w:r w:rsidR="005E0BC0">
        <w:rPr>
          <w:rStyle w:val="txt"/>
        </w:rPr>
        <w:t>.</w:t>
      </w:r>
      <w:r w:rsidR="00CC0615">
        <w:rPr>
          <w:rStyle w:val="txt"/>
        </w:rPr>
        <w:t>”</w:t>
      </w:r>
    </w:p>
    <w:p w14:paraId="68F01554" w14:textId="77777777" w:rsidR="009F59C0" w:rsidRPr="00F4476E" w:rsidRDefault="009F59C0" w:rsidP="00D238A0">
      <w:pPr>
        <w:pStyle w:val="ListParagraph"/>
        <w:tabs>
          <w:tab w:val="clear" w:pos="425"/>
          <w:tab w:val="left" w:pos="426"/>
        </w:tabs>
        <w:ind w:left="709"/>
        <w:contextualSpacing w:val="0"/>
        <w:textAlignment w:val="bottom"/>
        <w:rPr>
          <w:rStyle w:val="txt"/>
          <w:rFonts w:eastAsia="TimesBasis"/>
        </w:rPr>
      </w:pPr>
    </w:p>
    <w:tbl>
      <w:tblPr>
        <w:tblStyle w:val="TableGrid"/>
        <w:tblW w:w="4519" w:type="pct"/>
        <w:tblInd w:w="817" w:type="dxa"/>
        <w:tblLook w:val="04A0" w:firstRow="1" w:lastRow="0" w:firstColumn="1" w:lastColumn="0" w:noHBand="0" w:noVBand="1"/>
      </w:tblPr>
      <w:tblGrid>
        <w:gridCol w:w="2674"/>
        <w:gridCol w:w="2676"/>
        <w:gridCol w:w="2676"/>
      </w:tblGrid>
      <w:tr w:rsidR="006512C4" w:rsidRPr="006B396C" w14:paraId="4B35A51A" w14:textId="77777777" w:rsidTr="006512C4">
        <w:tc>
          <w:tcPr>
            <w:tcW w:w="1666" w:type="pct"/>
          </w:tcPr>
          <w:p w14:paraId="5A95D2E4"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bCs/>
                <w:sz w:val="22"/>
                <w:szCs w:val="22"/>
              </w:rPr>
              <w:t>Focus</w:t>
            </w:r>
          </w:p>
        </w:tc>
        <w:tc>
          <w:tcPr>
            <w:tcW w:w="1667" w:type="pct"/>
          </w:tcPr>
          <w:p w14:paraId="40C84886"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sz w:val="22"/>
                <w:szCs w:val="22"/>
              </w:rPr>
              <w:t xml:space="preserve">Verb </w:t>
            </w:r>
          </w:p>
        </w:tc>
        <w:tc>
          <w:tcPr>
            <w:tcW w:w="1667" w:type="pct"/>
          </w:tcPr>
          <w:p w14:paraId="5E931265"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sz w:val="22"/>
                <w:szCs w:val="22"/>
              </w:rPr>
              <w:t>Ratified Topic</w:t>
            </w:r>
          </w:p>
        </w:tc>
      </w:tr>
      <w:tr w:rsidR="006512C4" w:rsidRPr="006B396C" w14:paraId="757F1A47" w14:textId="77777777" w:rsidTr="006512C4">
        <w:tc>
          <w:tcPr>
            <w:tcW w:w="1666" w:type="pct"/>
          </w:tcPr>
          <w:p w14:paraId="640BAC50"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Style w:val="txt"/>
                <w:sz w:val="22"/>
                <w:szCs w:val="22"/>
              </w:rPr>
              <w:t>τῶν ἑρπετῶν̣</w:t>
            </w:r>
          </w:p>
        </w:tc>
        <w:tc>
          <w:tcPr>
            <w:tcW w:w="1667" w:type="pct"/>
          </w:tcPr>
          <w:p w14:paraId="2EDE590C"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Style w:val="primaryw"/>
                <w:sz w:val="22"/>
                <w:szCs w:val="22"/>
              </w:rPr>
              <w:t>ἐξέκοψε</w:t>
            </w:r>
            <w:r w:rsidRPr="006B396C">
              <w:rPr>
                <w:rStyle w:val="apple-converted-space"/>
                <w:sz w:val="22"/>
                <w:szCs w:val="22"/>
              </w:rPr>
              <w:t> </w:t>
            </w:r>
          </w:p>
        </w:tc>
        <w:tc>
          <w:tcPr>
            <w:tcW w:w="1667" w:type="pct"/>
          </w:tcPr>
          <w:p w14:paraId="230AEEFD"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Style w:val="txt"/>
                <w:sz w:val="22"/>
                <w:szCs w:val="22"/>
              </w:rPr>
              <w:t>τὸ φθέ̣γμα</w:t>
            </w:r>
          </w:p>
        </w:tc>
      </w:tr>
    </w:tbl>
    <w:p w14:paraId="282002BE" w14:textId="77777777" w:rsidR="006512C4" w:rsidRDefault="006512C4" w:rsidP="00695A7C">
      <w:pPr>
        <w:tabs>
          <w:tab w:val="clear" w:pos="425"/>
          <w:tab w:val="left" w:pos="426"/>
        </w:tabs>
        <w:textAlignment w:val="bottom"/>
        <w:rPr>
          <w:rStyle w:val="txt"/>
          <w:rFonts w:eastAsia="TimesBasis" w:cs="Times New Roman"/>
        </w:rPr>
      </w:pPr>
    </w:p>
    <w:p w14:paraId="6F15EAB1" w14:textId="23F5BE6F" w:rsidR="006512C4" w:rsidRPr="00D238A0" w:rsidRDefault="006512C4" w:rsidP="00D238A0">
      <w:pPr>
        <w:pStyle w:val="ListParagraph"/>
        <w:numPr>
          <w:ilvl w:val="0"/>
          <w:numId w:val="23"/>
        </w:numPr>
        <w:tabs>
          <w:tab w:val="clear" w:pos="425"/>
          <w:tab w:val="left" w:pos="426"/>
        </w:tabs>
        <w:ind w:left="709" w:hanging="284"/>
        <w:contextualSpacing w:val="0"/>
        <w:textAlignment w:val="bottom"/>
        <w:rPr>
          <w:rFonts w:eastAsia="TimesBasis"/>
        </w:rPr>
      </w:pPr>
      <w:r w:rsidRPr="00F4476E">
        <w:rPr>
          <w:rStyle w:val="txt"/>
          <w:rFonts w:eastAsia="TimesBasis"/>
          <w:i/>
        </w:rPr>
        <w:t>Ia</w:t>
      </w:r>
      <w:r w:rsidRPr="00F4476E">
        <w:rPr>
          <w:rStyle w:val="txt"/>
          <w:rFonts w:eastAsia="TimesBasis"/>
        </w:rPr>
        <w:t xml:space="preserve">. 4.34 </w:t>
      </w:r>
      <w:r w:rsidRPr="00F4476E">
        <w:t xml:space="preserve">οἱ Δωριῆς δὲ Τεμπόθεν με τέμνουσιν </w:t>
      </w:r>
      <w:r w:rsidR="00CC0615">
        <w:t>“</w:t>
      </w:r>
      <w:r w:rsidRPr="00F4476E">
        <w:t>The Dorians cut me from Tempe</w:t>
      </w:r>
      <w:r w:rsidR="005858BE">
        <w:t>.</w:t>
      </w:r>
      <w:r w:rsidR="00CC0615">
        <w:t>”</w:t>
      </w:r>
    </w:p>
    <w:p w14:paraId="1A960C43" w14:textId="77777777" w:rsidR="009F59C0" w:rsidRPr="00F4476E" w:rsidRDefault="009F59C0" w:rsidP="00D238A0">
      <w:pPr>
        <w:pStyle w:val="ListParagraph"/>
        <w:tabs>
          <w:tab w:val="clear" w:pos="425"/>
          <w:tab w:val="left" w:pos="426"/>
        </w:tabs>
        <w:ind w:left="709"/>
        <w:contextualSpacing w:val="0"/>
        <w:textAlignment w:val="bottom"/>
        <w:rPr>
          <w:rFonts w:eastAsia="TimesBasis"/>
        </w:rPr>
      </w:pPr>
    </w:p>
    <w:tbl>
      <w:tblPr>
        <w:tblStyle w:val="TableGrid"/>
        <w:tblW w:w="0" w:type="auto"/>
        <w:tblInd w:w="778" w:type="dxa"/>
        <w:tblLook w:val="04A0" w:firstRow="1" w:lastRow="0" w:firstColumn="1" w:lastColumn="0" w:noHBand="0" w:noVBand="1"/>
      </w:tblPr>
      <w:tblGrid>
        <w:gridCol w:w="2620"/>
        <w:gridCol w:w="2559"/>
        <w:gridCol w:w="2559"/>
      </w:tblGrid>
      <w:tr w:rsidR="006512C4" w:rsidRPr="006B396C" w14:paraId="00AEEDA6" w14:textId="77777777" w:rsidTr="006512C4">
        <w:tc>
          <w:tcPr>
            <w:tcW w:w="2620" w:type="dxa"/>
          </w:tcPr>
          <w:p w14:paraId="36D986EE"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Style w:val="txt"/>
                <w:rFonts w:eastAsia="TimesBasis"/>
                <w:sz w:val="22"/>
                <w:szCs w:val="22"/>
              </w:rPr>
              <w:t>Non-ratified Topic</w:t>
            </w:r>
          </w:p>
        </w:tc>
        <w:tc>
          <w:tcPr>
            <w:tcW w:w="2559" w:type="dxa"/>
          </w:tcPr>
          <w:p w14:paraId="521A3166"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bCs/>
                <w:sz w:val="22"/>
                <w:szCs w:val="22"/>
              </w:rPr>
              <w:t>Focus</w:t>
            </w:r>
          </w:p>
        </w:tc>
        <w:tc>
          <w:tcPr>
            <w:tcW w:w="2559" w:type="dxa"/>
          </w:tcPr>
          <w:p w14:paraId="51E60732"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sz w:val="22"/>
                <w:szCs w:val="22"/>
              </w:rPr>
              <w:t xml:space="preserve">Verb </w:t>
            </w:r>
          </w:p>
        </w:tc>
      </w:tr>
      <w:tr w:rsidR="006512C4" w:rsidRPr="006B396C" w14:paraId="34004C20" w14:textId="77777777" w:rsidTr="006512C4">
        <w:tc>
          <w:tcPr>
            <w:tcW w:w="2620" w:type="dxa"/>
          </w:tcPr>
          <w:p w14:paraId="51DF9CAC"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οἱ Δωριῆς</w:t>
            </w:r>
          </w:p>
        </w:tc>
        <w:tc>
          <w:tcPr>
            <w:tcW w:w="2559" w:type="dxa"/>
          </w:tcPr>
          <w:p w14:paraId="0A8A4223"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με</w:t>
            </w:r>
          </w:p>
        </w:tc>
        <w:tc>
          <w:tcPr>
            <w:tcW w:w="2559" w:type="dxa"/>
          </w:tcPr>
          <w:p w14:paraId="7517FAE0"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τέμνουσιν</w:t>
            </w:r>
          </w:p>
        </w:tc>
      </w:tr>
    </w:tbl>
    <w:p w14:paraId="0A753F12" w14:textId="77777777" w:rsidR="006512C4" w:rsidRDefault="006512C4" w:rsidP="00695A7C">
      <w:pPr>
        <w:tabs>
          <w:tab w:val="clear" w:pos="425"/>
          <w:tab w:val="left" w:pos="426"/>
        </w:tabs>
        <w:textAlignment w:val="bottom"/>
        <w:rPr>
          <w:rStyle w:val="txt"/>
          <w:rFonts w:eastAsia="TimesBasis" w:cs="Times New Roman"/>
        </w:rPr>
      </w:pPr>
    </w:p>
    <w:p w14:paraId="4F01480A" w14:textId="2396C6F0" w:rsidR="006512C4" w:rsidRPr="00F4476E" w:rsidRDefault="006512C4" w:rsidP="00F56C73">
      <w:pPr>
        <w:pStyle w:val="ListParagraph"/>
        <w:numPr>
          <w:ilvl w:val="0"/>
          <w:numId w:val="23"/>
        </w:numPr>
        <w:tabs>
          <w:tab w:val="clear" w:pos="425"/>
          <w:tab w:val="left" w:pos="426"/>
        </w:tabs>
        <w:spacing w:after="240"/>
        <w:ind w:left="709" w:hanging="283"/>
        <w:contextualSpacing w:val="0"/>
        <w:textAlignment w:val="bottom"/>
        <w:rPr>
          <w:rFonts w:eastAsia="TimesBasis"/>
        </w:rPr>
      </w:pPr>
      <w:r w:rsidRPr="00F4476E">
        <w:rPr>
          <w:rStyle w:val="txt"/>
          <w:rFonts w:eastAsia="TimesBasis"/>
          <w:i/>
        </w:rPr>
        <w:t>Ia</w:t>
      </w:r>
      <w:r w:rsidRPr="00F4476E">
        <w:rPr>
          <w:rStyle w:val="txt"/>
          <w:rFonts w:eastAsia="TimesBasis"/>
        </w:rPr>
        <w:t xml:space="preserve">. 12.70 </w:t>
      </w:r>
      <w:r w:rsidRPr="00F4476E">
        <w:t xml:space="preserve">καὶ ἐρίφοις χαίρωσιν ἅρπαγες λύκ̣οι </w:t>
      </w:r>
      <w:r w:rsidR="00CC0615">
        <w:t>“</w:t>
      </w:r>
      <w:r w:rsidRPr="00F4476E">
        <w:t>and so long as rapacious wolves delight in kids</w:t>
      </w:r>
      <w:r w:rsidR="005858BE">
        <w:t>.</w:t>
      </w:r>
      <w:r w:rsidR="00CC0615">
        <w:t>”</w:t>
      </w:r>
    </w:p>
    <w:tbl>
      <w:tblPr>
        <w:tblStyle w:val="TableGrid"/>
        <w:tblW w:w="0" w:type="auto"/>
        <w:tblInd w:w="778" w:type="dxa"/>
        <w:tblLook w:val="04A0" w:firstRow="1" w:lastRow="0" w:firstColumn="1" w:lastColumn="0" w:noHBand="0" w:noVBand="1"/>
      </w:tblPr>
      <w:tblGrid>
        <w:gridCol w:w="2578"/>
        <w:gridCol w:w="2580"/>
        <w:gridCol w:w="2580"/>
      </w:tblGrid>
      <w:tr w:rsidR="006512C4" w:rsidRPr="006B396C" w14:paraId="5116972A" w14:textId="77777777" w:rsidTr="006512C4">
        <w:tc>
          <w:tcPr>
            <w:tcW w:w="2578" w:type="dxa"/>
          </w:tcPr>
          <w:p w14:paraId="7F3591CD"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bCs/>
                <w:sz w:val="22"/>
                <w:szCs w:val="22"/>
              </w:rPr>
              <w:t>Focus</w:t>
            </w:r>
          </w:p>
        </w:tc>
        <w:tc>
          <w:tcPr>
            <w:tcW w:w="2580" w:type="dxa"/>
          </w:tcPr>
          <w:p w14:paraId="45277470"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b/>
                <w:sz w:val="22"/>
                <w:szCs w:val="22"/>
              </w:rPr>
              <w:t xml:space="preserve">Verb </w:t>
            </w:r>
          </w:p>
        </w:tc>
        <w:tc>
          <w:tcPr>
            <w:tcW w:w="2580" w:type="dxa"/>
          </w:tcPr>
          <w:p w14:paraId="15AAB60C"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rFonts w:eastAsia="TimesBasis"/>
                <w:sz w:val="22"/>
                <w:szCs w:val="22"/>
              </w:rPr>
              <w:t>Ratified Topic</w:t>
            </w:r>
          </w:p>
        </w:tc>
      </w:tr>
      <w:tr w:rsidR="006512C4" w:rsidRPr="006B396C" w14:paraId="55216491" w14:textId="77777777" w:rsidTr="006512C4">
        <w:tc>
          <w:tcPr>
            <w:tcW w:w="2578" w:type="dxa"/>
          </w:tcPr>
          <w:p w14:paraId="6AB217EC"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ἐρίφοις</w:t>
            </w:r>
          </w:p>
        </w:tc>
        <w:tc>
          <w:tcPr>
            <w:tcW w:w="2580" w:type="dxa"/>
          </w:tcPr>
          <w:p w14:paraId="4D4CA7A1"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χαίρωσιν</w:t>
            </w:r>
          </w:p>
        </w:tc>
        <w:tc>
          <w:tcPr>
            <w:tcW w:w="2580" w:type="dxa"/>
          </w:tcPr>
          <w:p w14:paraId="10C79EBD" w14:textId="77777777" w:rsidR="006512C4" w:rsidRPr="006B396C" w:rsidRDefault="006512C4" w:rsidP="00D630EB">
            <w:pPr>
              <w:pStyle w:val="ListParagraph"/>
              <w:tabs>
                <w:tab w:val="clear" w:pos="425"/>
                <w:tab w:val="left" w:pos="426"/>
              </w:tabs>
              <w:spacing w:line="360" w:lineRule="auto"/>
              <w:contextualSpacing w:val="0"/>
              <w:textAlignment w:val="bottom"/>
              <w:rPr>
                <w:rStyle w:val="txt"/>
                <w:rFonts w:eastAsia="TimesBasis"/>
                <w:sz w:val="22"/>
                <w:szCs w:val="22"/>
              </w:rPr>
            </w:pPr>
            <w:r w:rsidRPr="006B396C">
              <w:rPr>
                <w:sz w:val="22"/>
                <w:szCs w:val="22"/>
              </w:rPr>
              <w:t>ἅρπαγες λύκ̣οι</w:t>
            </w:r>
          </w:p>
        </w:tc>
      </w:tr>
    </w:tbl>
    <w:p w14:paraId="7D1BF972" w14:textId="77777777" w:rsidR="006512C4" w:rsidRPr="000D7889" w:rsidRDefault="006512C4" w:rsidP="00695A7C">
      <w:pPr>
        <w:pStyle w:val="ListParagraph"/>
        <w:tabs>
          <w:tab w:val="clear" w:pos="425"/>
          <w:tab w:val="left" w:pos="426"/>
        </w:tabs>
        <w:ind w:left="778"/>
        <w:textAlignment w:val="bottom"/>
        <w:rPr>
          <w:rStyle w:val="txt"/>
          <w:rFonts w:eastAsia="TimesBasis"/>
        </w:rPr>
      </w:pPr>
    </w:p>
    <w:p w14:paraId="140D0BCF" w14:textId="0F8806FF" w:rsidR="006512C4" w:rsidRDefault="006512C4" w:rsidP="00D238A0">
      <w:pPr>
        <w:pStyle w:val="ListParagraph"/>
        <w:numPr>
          <w:ilvl w:val="0"/>
          <w:numId w:val="23"/>
        </w:numPr>
        <w:autoSpaceDE w:val="0"/>
        <w:autoSpaceDN w:val="0"/>
        <w:adjustRightInd w:val="0"/>
        <w:ind w:left="709" w:hanging="284"/>
        <w:contextualSpacing w:val="0"/>
      </w:pPr>
      <w:r w:rsidRPr="00F4476E">
        <w:rPr>
          <w:rFonts w:eastAsia="TimesBasis"/>
          <w:i/>
        </w:rPr>
        <w:t>Ia</w:t>
      </w:r>
      <w:r w:rsidRPr="00F4476E">
        <w:rPr>
          <w:rFonts w:eastAsia="TimesBasis"/>
        </w:rPr>
        <w:t xml:space="preserve">. 13.60-62 </w:t>
      </w:r>
      <w:r w:rsidRPr="00F4476E">
        <w:t>τοῦδ</w:t>
      </w:r>
      <w:r w:rsidR="00075F5F">
        <w:t>’</w:t>
      </w:r>
      <w:r w:rsidRPr="00F4476E">
        <w:t xml:space="preserve"> οὕνεκ</w:t>
      </w:r>
      <w:r w:rsidR="00075F5F">
        <w:t>’</w:t>
      </w:r>
      <w:r w:rsidRPr="00F4476E">
        <w:t xml:space="preserve"> οὐδὲν πῖον, ἀλλὰ λιμηρά̣</w:t>
      </w:r>
      <w:r w:rsidRPr="00F4476E">
        <w:rPr>
          <w:i/>
          <w:iCs/>
          <w:color w:val="6D6F03"/>
        </w:rPr>
        <w:t xml:space="preserve"> </w:t>
      </w:r>
      <w:r w:rsidRPr="00F4476E">
        <w:rPr>
          <w:iCs/>
          <w:color w:val="6D6F03"/>
        </w:rPr>
        <w:t>/</w:t>
      </w:r>
      <w:r w:rsidRPr="00F4476E">
        <w:rPr>
          <w:i/>
          <w:iCs/>
          <w:color w:val="6D6F03"/>
        </w:rPr>
        <w:t xml:space="preserve"> </w:t>
      </w:r>
      <w:r w:rsidRPr="00F4476E">
        <w:t xml:space="preserve">ἕκαστος ἄκροις δακτύλοις ἀ̣π̣ο̣κνίζει, / ὡς τῆς ἐλαίης, ἣ ἀνέπαυσε τ̣ὴν Λητώ </w:t>
      </w:r>
      <w:r w:rsidR="00CC0615">
        <w:t>“</w:t>
      </w:r>
      <w:r w:rsidR="005858BE">
        <w:t>f</w:t>
      </w:r>
      <w:r w:rsidRPr="00F4476E">
        <w:t>or twhich reason nothing fat, but famine-causing bits each one scrapes off with his fingertips as though from the olive three, which gave rest to Leto</w:t>
      </w:r>
      <w:r w:rsidR="005E0BC0">
        <w:t>.</w:t>
      </w:r>
      <w:r w:rsidR="00CC0615">
        <w:t>”</w:t>
      </w:r>
    </w:p>
    <w:p w14:paraId="6135F6F6" w14:textId="77777777" w:rsidR="009F59C0" w:rsidRPr="000363DF"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578"/>
        <w:gridCol w:w="2580"/>
        <w:gridCol w:w="2580"/>
      </w:tblGrid>
      <w:tr w:rsidR="006512C4" w:rsidRPr="006B396C" w14:paraId="355DA00B" w14:textId="77777777" w:rsidTr="006512C4">
        <w:tc>
          <w:tcPr>
            <w:tcW w:w="2578" w:type="dxa"/>
          </w:tcPr>
          <w:p w14:paraId="538AB40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bCs/>
                <w:sz w:val="22"/>
                <w:szCs w:val="22"/>
              </w:rPr>
              <w:t>Focus</w:t>
            </w:r>
          </w:p>
        </w:tc>
        <w:tc>
          <w:tcPr>
            <w:tcW w:w="2580" w:type="dxa"/>
          </w:tcPr>
          <w:p w14:paraId="0B285FDC"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b/>
                <w:sz w:val="22"/>
                <w:szCs w:val="22"/>
              </w:rPr>
              <w:t xml:space="preserve">Verb </w:t>
            </w:r>
          </w:p>
        </w:tc>
        <w:tc>
          <w:tcPr>
            <w:tcW w:w="2580" w:type="dxa"/>
          </w:tcPr>
          <w:p w14:paraId="26F23811" w14:textId="77777777" w:rsidR="006512C4" w:rsidRPr="006B396C" w:rsidRDefault="006512C4" w:rsidP="00D630EB">
            <w:pPr>
              <w:pStyle w:val="ListParagraph"/>
              <w:spacing w:line="360" w:lineRule="auto"/>
              <w:contextualSpacing w:val="0"/>
              <w:textAlignment w:val="bottom"/>
              <w:rPr>
                <w:sz w:val="22"/>
                <w:szCs w:val="22"/>
              </w:rPr>
            </w:pPr>
            <w:r w:rsidRPr="006B396C">
              <w:rPr>
                <w:rFonts w:eastAsia="TimesBasis"/>
                <w:sz w:val="22"/>
                <w:szCs w:val="22"/>
              </w:rPr>
              <w:t>Ratified Topic</w:t>
            </w:r>
          </w:p>
        </w:tc>
      </w:tr>
      <w:tr w:rsidR="006512C4" w:rsidRPr="006B396C" w14:paraId="307F885E" w14:textId="77777777" w:rsidTr="006512C4">
        <w:tc>
          <w:tcPr>
            <w:tcW w:w="2578" w:type="dxa"/>
          </w:tcPr>
          <w:p w14:paraId="63D1A4DA"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οὐδὲν πῖον, ἀλλὰ λιμηρά̣</w:t>
            </w:r>
          </w:p>
        </w:tc>
        <w:tc>
          <w:tcPr>
            <w:tcW w:w="2580" w:type="dxa"/>
          </w:tcPr>
          <w:p w14:paraId="7CAE3DBF"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ἀ̣π̣ο̣κνίζει</w:t>
            </w:r>
          </w:p>
        </w:tc>
        <w:tc>
          <w:tcPr>
            <w:tcW w:w="2580" w:type="dxa"/>
          </w:tcPr>
          <w:p w14:paraId="4383C092" w14:textId="77777777" w:rsidR="006512C4" w:rsidRPr="006B396C" w:rsidRDefault="006512C4" w:rsidP="00D630EB">
            <w:pPr>
              <w:pStyle w:val="ListParagraph"/>
              <w:spacing w:line="360" w:lineRule="auto"/>
              <w:contextualSpacing w:val="0"/>
              <w:textAlignment w:val="bottom"/>
              <w:rPr>
                <w:sz w:val="22"/>
                <w:szCs w:val="22"/>
              </w:rPr>
            </w:pPr>
            <w:r w:rsidRPr="006B396C">
              <w:rPr>
                <w:sz w:val="22"/>
                <w:szCs w:val="22"/>
              </w:rPr>
              <w:t>ὡς τῆς ἐλαίης</w:t>
            </w:r>
          </w:p>
        </w:tc>
      </w:tr>
    </w:tbl>
    <w:p w14:paraId="75DCDFF0" w14:textId="77777777" w:rsidR="006E597E" w:rsidRDefault="006E597E" w:rsidP="00D238A0">
      <w:pPr>
        <w:tabs>
          <w:tab w:val="clear" w:pos="425"/>
          <w:tab w:val="left" w:pos="426"/>
        </w:tabs>
        <w:spacing w:after="120"/>
        <w:rPr>
          <w:lang w:val="en-US"/>
        </w:rPr>
      </w:pPr>
    </w:p>
    <w:p w14:paraId="05C5CE7F" w14:textId="3EDA5CCB" w:rsidR="006512C4" w:rsidRPr="008C003F" w:rsidRDefault="001D0E8C" w:rsidP="00D238A0">
      <w:pPr>
        <w:tabs>
          <w:tab w:val="clear" w:pos="425"/>
          <w:tab w:val="left" w:pos="426"/>
        </w:tabs>
        <w:spacing w:after="120"/>
        <w:rPr>
          <w:lang w:val="en-US"/>
        </w:rPr>
      </w:pPr>
      <w:r>
        <w:rPr>
          <w:lang w:val="en-US"/>
        </w:rPr>
        <w:t xml:space="preserve">The verb has a pivotal function in both the narrow and the broad focus constructions. Here the term </w:t>
      </w:r>
      <w:r w:rsidR="00CC0615">
        <w:rPr>
          <w:lang w:val="en-US"/>
        </w:rPr>
        <w:t>“</w:t>
      </w:r>
      <w:r>
        <w:rPr>
          <w:lang w:val="en-US"/>
        </w:rPr>
        <w:t>verb</w:t>
      </w:r>
      <w:r w:rsidR="00CC0615">
        <w:rPr>
          <w:lang w:val="en-US"/>
        </w:rPr>
        <w:t>”</w:t>
      </w:r>
      <w:r>
        <w:rPr>
          <w:lang w:val="en-US"/>
        </w:rPr>
        <w:t xml:space="preserve"> includes not only the verb, but also elements which are closely connected to it, such as adverbs, prepositions, and preverbs. These elements may be </w:t>
      </w:r>
      <w:r>
        <w:rPr>
          <w:lang w:val="en-US"/>
        </w:rPr>
        <w:lastRenderedPageBreak/>
        <w:t>located either in the initial topic field, or in the focus domain, depending on their informational status.</w:t>
      </w:r>
      <w:r>
        <w:rPr>
          <w:rStyle w:val="FootnoteReference"/>
          <w:lang w:val="en-US"/>
        </w:rPr>
        <w:footnoteReference w:id="357"/>
      </w:r>
      <w:r>
        <w:rPr>
          <w:lang w:val="en-US"/>
        </w:rPr>
        <w:t xml:space="preserve"> When they merely set the frame for the interpretation of the sentence, they are typically in the topic area, since non-ratified topic expressions typically</w:t>
      </w:r>
      <w:r w:rsidRPr="001F1B60">
        <w:rPr>
          <w:lang w:val="en-US"/>
        </w:rPr>
        <w:t xml:space="preserve"> </w:t>
      </w:r>
      <w:r>
        <w:rPr>
          <w:lang w:val="en-US"/>
        </w:rPr>
        <w:t>also have a frame-setting effect, as shown for example by:</w:t>
      </w:r>
    </w:p>
    <w:p w14:paraId="108F95D0" w14:textId="02DCC7FF" w:rsidR="006512C4" w:rsidRDefault="006512C4" w:rsidP="00D238A0">
      <w:pPr>
        <w:pStyle w:val="ListParagraph"/>
        <w:numPr>
          <w:ilvl w:val="0"/>
          <w:numId w:val="23"/>
        </w:numPr>
        <w:tabs>
          <w:tab w:val="clear" w:pos="425"/>
          <w:tab w:val="left" w:pos="426"/>
        </w:tabs>
        <w:ind w:left="709" w:hanging="284"/>
        <w:contextualSpacing w:val="0"/>
        <w:textAlignment w:val="bottom"/>
        <w:rPr>
          <w:rStyle w:val="txt"/>
        </w:rPr>
      </w:pPr>
      <w:r w:rsidRPr="00F4476E">
        <w:rPr>
          <w:rFonts w:eastAsia="TimesBasis"/>
        </w:rPr>
        <w:t xml:space="preserve">Archil. fr. 91.2-3 </w:t>
      </w:r>
      <w:r w:rsidRPr="00F4476E">
        <w:rPr>
          <w:rStyle w:val="txt"/>
        </w:rPr>
        <w:t>ἀμφὶ δ</w:t>
      </w:r>
      <w:r w:rsidR="00075F5F">
        <w:rPr>
          <w:rStyle w:val="txt"/>
        </w:rPr>
        <w:t>’</w:t>
      </w:r>
      <w:r w:rsidRPr="00F4476E">
        <w:rPr>
          <w:rStyle w:val="txt"/>
        </w:rPr>
        <w:t xml:space="preserve"> ἄκρα</w:t>
      </w:r>
      <w:r w:rsidRPr="00F4476E">
        <w:rPr>
          <w:rStyle w:val="apple-converted-space"/>
        </w:rPr>
        <w:t> </w:t>
      </w:r>
      <w:r w:rsidRPr="00F4476E">
        <w:rPr>
          <w:rStyle w:val="primaryw"/>
        </w:rPr>
        <w:t>Γυρέων</w:t>
      </w:r>
      <w:r w:rsidRPr="00F4476E">
        <w:rPr>
          <w:rStyle w:val="apple-converted-space"/>
        </w:rPr>
        <w:t> </w:t>
      </w:r>
      <w:r w:rsidRPr="00F4476E">
        <w:rPr>
          <w:rStyle w:val="txt"/>
        </w:rPr>
        <w:t>ὀρθὸν ἵσταται νέφος,</w:t>
      </w:r>
      <w:r w:rsidRPr="00F4476E">
        <w:t xml:space="preserve"> / </w:t>
      </w:r>
      <w:r w:rsidRPr="00F4476E">
        <w:rPr>
          <w:rStyle w:val="txt"/>
        </w:rPr>
        <w:t xml:space="preserve">σῆμα χειμῶνος </w:t>
      </w:r>
      <w:r w:rsidR="00CC0615">
        <w:rPr>
          <w:rStyle w:val="txt"/>
        </w:rPr>
        <w:t>“</w:t>
      </w:r>
      <w:r w:rsidR="005858BE">
        <w:rPr>
          <w:rStyle w:val="txt"/>
        </w:rPr>
        <w:t>r</w:t>
      </w:r>
      <w:r w:rsidRPr="00F4476E">
        <w:rPr>
          <w:rStyle w:val="txt"/>
        </w:rPr>
        <w:t>ound about the heights of Gyrae straight stands a cloud, sign of storm</w:t>
      </w:r>
      <w:r w:rsidR="005E0BC0">
        <w:rPr>
          <w:rStyle w:val="txt"/>
        </w:rPr>
        <w:t>.</w:t>
      </w:r>
      <w:r w:rsidR="00CC0615">
        <w:rPr>
          <w:rStyle w:val="txt"/>
        </w:rPr>
        <w:t>”</w:t>
      </w:r>
    </w:p>
    <w:p w14:paraId="3F41CE3C" w14:textId="77777777" w:rsidR="009F59C0" w:rsidRPr="00F4476E" w:rsidRDefault="009F59C0" w:rsidP="00D238A0">
      <w:pPr>
        <w:pStyle w:val="ListParagraph"/>
        <w:tabs>
          <w:tab w:val="clear" w:pos="425"/>
          <w:tab w:val="left" w:pos="426"/>
        </w:tabs>
        <w:ind w:left="709"/>
        <w:contextualSpacing w:val="0"/>
        <w:textAlignment w:val="bottom"/>
      </w:pPr>
    </w:p>
    <w:tbl>
      <w:tblPr>
        <w:tblStyle w:val="TableGrid"/>
        <w:tblW w:w="4494" w:type="pct"/>
        <w:tblInd w:w="817" w:type="dxa"/>
        <w:tblLook w:val="04A0" w:firstRow="1" w:lastRow="0" w:firstColumn="1" w:lastColumn="0" w:noHBand="0" w:noVBand="1"/>
      </w:tblPr>
      <w:tblGrid>
        <w:gridCol w:w="2215"/>
        <w:gridCol w:w="2216"/>
        <w:gridCol w:w="1555"/>
        <w:gridCol w:w="1995"/>
      </w:tblGrid>
      <w:tr w:rsidR="006512C4" w:rsidRPr="006B396C" w14:paraId="3B901C01" w14:textId="77777777" w:rsidTr="006B396C">
        <w:tc>
          <w:tcPr>
            <w:tcW w:w="1388" w:type="pct"/>
          </w:tcPr>
          <w:p w14:paraId="6F72FE76" w14:textId="77777777" w:rsidR="006512C4" w:rsidRPr="006B396C" w:rsidRDefault="006512C4" w:rsidP="00D630EB">
            <w:pPr>
              <w:tabs>
                <w:tab w:val="clear" w:pos="425"/>
                <w:tab w:val="left" w:pos="426"/>
              </w:tabs>
              <w:spacing w:line="360" w:lineRule="auto"/>
              <w:textAlignment w:val="bottom"/>
              <w:rPr>
                <w:rFonts w:cs="Times New Roman"/>
                <w:sz w:val="22"/>
              </w:rPr>
            </w:pPr>
            <w:r w:rsidRPr="006B396C">
              <w:rPr>
                <w:rFonts w:eastAsia="TimesBasis" w:cs="Times New Roman"/>
                <w:sz w:val="22"/>
              </w:rPr>
              <w:t>Non-ratified Topic</w:t>
            </w:r>
          </w:p>
        </w:tc>
        <w:tc>
          <w:tcPr>
            <w:tcW w:w="1388" w:type="pct"/>
          </w:tcPr>
          <w:p w14:paraId="2998F406" w14:textId="77777777" w:rsidR="006512C4" w:rsidRPr="006B396C" w:rsidRDefault="006512C4" w:rsidP="00D630EB">
            <w:pPr>
              <w:tabs>
                <w:tab w:val="clear" w:pos="425"/>
                <w:tab w:val="left" w:pos="426"/>
              </w:tabs>
              <w:spacing w:line="360" w:lineRule="auto"/>
              <w:textAlignment w:val="bottom"/>
              <w:rPr>
                <w:rFonts w:cs="Times New Roman"/>
                <w:sz w:val="22"/>
              </w:rPr>
            </w:pPr>
            <w:r w:rsidRPr="006B396C">
              <w:rPr>
                <w:rFonts w:eastAsia="TimesBasis" w:cs="Times New Roman"/>
                <w:b/>
                <w:bCs/>
                <w:sz w:val="22"/>
              </w:rPr>
              <w:t>Focus</w:t>
            </w:r>
            <w:r w:rsidRPr="006B396C">
              <w:rPr>
                <w:rStyle w:val="txt"/>
                <w:rFonts w:cs="Times New Roman"/>
                <w:sz w:val="22"/>
              </w:rPr>
              <w:t xml:space="preserve"> </w:t>
            </w:r>
          </w:p>
        </w:tc>
        <w:tc>
          <w:tcPr>
            <w:tcW w:w="974" w:type="pct"/>
          </w:tcPr>
          <w:p w14:paraId="6BD64718" w14:textId="77777777" w:rsidR="006512C4" w:rsidRPr="006B396C" w:rsidRDefault="006512C4" w:rsidP="00D630EB">
            <w:pPr>
              <w:tabs>
                <w:tab w:val="clear" w:pos="425"/>
                <w:tab w:val="left" w:pos="426"/>
              </w:tabs>
              <w:spacing w:line="360" w:lineRule="auto"/>
              <w:textAlignment w:val="bottom"/>
              <w:rPr>
                <w:rFonts w:cs="Times New Roman"/>
                <w:sz w:val="22"/>
              </w:rPr>
            </w:pPr>
            <w:r w:rsidRPr="006B396C">
              <w:rPr>
                <w:rFonts w:eastAsia="TimesBasis" w:cs="Times New Roman"/>
                <w:b/>
                <w:sz w:val="22"/>
              </w:rPr>
              <w:t>Verb</w:t>
            </w:r>
          </w:p>
        </w:tc>
        <w:tc>
          <w:tcPr>
            <w:tcW w:w="1250" w:type="pct"/>
          </w:tcPr>
          <w:p w14:paraId="16725769" w14:textId="77777777" w:rsidR="006512C4" w:rsidRPr="006B396C" w:rsidRDefault="006512C4" w:rsidP="00D630EB">
            <w:pPr>
              <w:tabs>
                <w:tab w:val="clear" w:pos="425"/>
                <w:tab w:val="left" w:pos="426"/>
              </w:tabs>
              <w:spacing w:line="360" w:lineRule="auto"/>
              <w:textAlignment w:val="bottom"/>
              <w:rPr>
                <w:rFonts w:cs="Times New Roman"/>
                <w:sz w:val="22"/>
              </w:rPr>
            </w:pPr>
            <w:r w:rsidRPr="006B396C">
              <w:rPr>
                <w:rFonts w:eastAsia="TimesBasis" w:cs="Times New Roman"/>
                <w:sz w:val="22"/>
              </w:rPr>
              <w:t>Ratified Topic</w:t>
            </w:r>
          </w:p>
        </w:tc>
      </w:tr>
      <w:tr w:rsidR="006512C4" w:rsidRPr="006B396C" w14:paraId="7D41307F" w14:textId="77777777" w:rsidTr="006B396C">
        <w:tc>
          <w:tcPr>
            <w:tcW w:w="1388" w:type="pct"/>
          </w:tcPr>
          <w:p w14:paraId="228F296F" w14:textId="2B5AEC51" w:rsidR="006512C4" w:rsidRPr="006B396C" w:rsidRDefault="006512C4" w:rsidP="00D630EB">
            <w:pPr>
              <w:tabs>
                <w:tab w:val="clear" w:pos="425"/>
                <w:tab w:val="left" w:pos="426"/>
              </w:tabs>
              <w:autoSpaceDE w:val="0"/>
              <w:autoSpaceDN w:val="0"/>
              <w:adjustRightInd w:val="0"/>
              <w:spacing w:line="360" w:lineRule="auto"/>
              <w:rPr>
                <w:rFonts w:eastAsia="TimesBasis" w:cs="Times New Roman"/>
                <w:sz w:val="22"/>
              </w:rPr>
            </w:pPr>
            <w:r w:rsidRPr="006B396C">
              <w:rPr>
                <w:rStyle w:val="txt"/>
                <w:rFonts w:cs="Times New Roman"/>
                <w:sz w:val="22"/>
              </w:rPr>
              <w:t>ἀμφὶ δ</w:t>
            </w:r>
            <w:r w:rsidR="00075F5F">
              <w:rPr>
                <w:rStyle w:val="txt"/>
                <w:rFonts w:cs="Times New Roman"/>
                <w:sz w:val="22"/>
              </w:rPr>
              <w:t>’</w:t>
            </w:r>
            <w:r w:rsidRPr="006B396C">
              <w:rPr>
                <w:rStyle w:val="txt"/>
                <w:rFonts w:cs="Times New Roman"/>
                <w:sz w:val="22"/>
              </w:rPr>
              <w:t>ἄκρα</w:t>
            </w:r>
            <w:r w:rsidRPr="006B396C">
              <w:rPr>
                <w:rStyle w:val="apple-converted-space"/>
                <w:rFonts w:cs="Times New Roman"/>
                <w:sz w:val="22"/>
              </w:rPr>
              <w:t> </w:t>
            </w:r>
            <w:r w:rsidRPr="006B396C">
              <w:rPr>
                <w:rStyle w:val="primaryw"/>
                <w:sz w:val="22"/>
              </w:rPr>
              <w:t>Γυρέων</w:t>
            </w:r>
            <w:r w:rsidRPr="006B396C">
              <w:rPr>
                <w:rStyle w:val="apple-converted-space"/>
                <w:rFonts w:cs="Times New Roman"/>
                <w:sz w:val="22"/>
              </w:rPr>
              <w:t> </w:t>
            </w:r>
          </w:p>
        </w:tc>
        <w:tc>
          <w:tcPr>
            <w:tcW w:w="1388" w:type="pct"/>
          </w:tcPr>
          <w:p w14:paraId="69353D58" w14:textId="77777777" w:rsidR="006512C4" w:rsidRPr="006B396C" w:rsidRDefault="006512C4" w:rsidP="00D630EB">
            <w:pPr>
              <w:tabs>
                <w:tab w:val="clear" w:pos="425"/>
                <w:tab w:val="left" w:pos="426"/>
              </w:tabs>
              <w:autoSpaceDE w:val="0"/>
              <w:autoSpaceDN w:val="0"/>
              <w:adjustRightInd w:val="0"/>
              <w:spacing w:line="360" w:lineRule="auto"/>
              <w:rPr>
                <w:rFonts w:eastAsia="TimesBasis" w:cs="Times New Roman"/>
                <w:b/>
                <w:sz w:val="22"/>
              </w:rPr>
            </w:pPr>
            <w:r w:rsidRPr="006B396C">
              <w:rPr>
                <w:rStyle w:val="txt"/>
                <w:rFonts w:cs="Times New Roman"/>
                <w:sz w:val="22"/>
              </w:rPr>
              <w:t>ὀρθὸν νέφος</w:t>
            </w:r>
          </w:p>
        </w:tc>
        <w:tc>
          <w:tcPr>
            <w:tcW w:w="974" w:type="pct"/>
          </w:tcPr>
          <w:p w14:paraId="3A7F57C0" w14:textId="77777777" w:rsidR="006512C4" w:rsidRPr="006B396C" w:rsidRDefault="006512C4" w:rsidP="00D630EB">
            <w:pPr>
              <w:tabs>
                <w:tab w:val="clear" w:pos="425"/>
                <w:tab w:val="left" w:pos="426"/>
              </w:tabs>
              <w:autoSpaceDE w:val="0"/>
              <w:autoSpaceDN w:val="0"/>
              <w:adjustRightInd w:val="0"/>
              <w:spacing w:line="360" w:lineRule="auto"/>
              <w:rPr>
                <w:rFonts w:eastAsia="TimesBasis" w:cs="Times New Roman"/>
                <w:b/>
                <w:sz w:val="22"/>
              </w:rPr>
            </w:pPr>
            <w:r w:rsidRPr="006B396C">
              <w:rPr>
                <w:rStyle w:val="txt"/>
                <w:rFonts w:cs="Times New Roman"/>
                <w:sz w:val="22"/>
              </w:rPr>
              <w:t>ἵσταται</w:t>
            </w:r>
          </w:p>
        </w:tc>
        <w:tc>
          <w:tcPr>
            <w:tcW w:w="1250" w:type="pct"/>
          </w:tcPr>
          <w:p w14:paraId="4256211D" w14:textId="77777777" w:rsidR="006512C4" w:rsidRPr="006B396C" w:rsidRDefault="006512C4" w:rsidP="00D630EB">
            <w:pPr>
              <w:tabs>
                <w:tab w:val="clear" w:pos="425"/>
                <w:tab w:val="left" w:pos="426"/>
              </w:tabs>
              <w:autoSpaceDE w:val="0"/>
              <w:autoSpaceDN w:val="0"/>
              <w:adjustRightInd w:val="0"/>
              <w:spacing w:line="360" w:lineRule="auto"/>
              <w:rPr>
                <w:rFonts w:eastAsia="TimesBasis" w:cs="Times New Roman"/>
                <w:sz w:val="22"/>
              </w:rPr>
            </w:pPr>
            <w:r w:rsidRPr="006B396C">
              <w:rPr>
                <w:rStyle w:val="txt"/>
                <w:rFonts w:cs="Times New Roman"/>
                <w:sz w:val="22"/>
              </w:rPr>
              <w:t>σῆμα χειμῶνος</w:t>
            </w:r>
          </w:p>
        </w:tc>
      </w:tr>
    </w:tbl>
    <w:p w14:paraId="48EE659B" w14:textId="5C6DED9F" w:rsidR="006512C4" w:rsidRDefault="006512C4" w:rsidP="00695A7C">
      <w:pPr>
        <w:autoSpaceDE w:val="0"/>
        <w:autoSpaceDN w:val="0"/>
        <w:adjustRightInd w:val="0"/>
        <w:rPr>
          <w:rFonts w:cs="Times New Roman"/>
        </w:rPr>
      </w:pPr>
    </w:p>
    <w:p w14:paraId="7CBCD3AE" w14:textId="77B83D2F" w:rsidR="006512C4" w:rsidRDefault="006512C4" w:rsidP="00D238A0">
      <w:pPr>
        <w:pStyle w:val="ListParagraph"/>
        <w:numPr>
          <w:ilvl w:val="0"/>
          <w:numId w:val="23"/>
        </w:numPr>
        <w:autoSpaceDE w:val="0"/>
        <w:autoSpaceDN w:val="0"/>
        <w:adjustRightInd w:val="0"/>
        <w:ind w:left="709" w:hanging="284"/>
        <w:contextualSpacing w:val="0"/>
      </w:pPr>
      <w:r w:rsidRPr="00F4476E">
        <w:t xml:space="preserve">Archil. fr. 54.11-12 ἐς τοῦτο δή τοι τῆς ἀνολβίης δοκέω / ἥ̣κειν; </w:t>
      </w:r>
      <w:r w:rsidR="00CC0615">
        <w:t>“</w:t>
      </w:r>
      <w:r w:rsidR="005858BE">
        <w:t>d</w:t>
      </w:r>
      <w:r w:rsidRPr="00F4476E">
        <w:t>o you think I have reached such a degree of misfortune?</w:t>
      </w:r>
      <w:r w:rsidR="00CC0615">
        <w:t>”</w:t>
      </w:r>
    </w:p>
    <w:p w14:paraId="0A22EB51" w14:textId="77777777" w:rsidR="009F59C0" w:rsidRPr="00F4476E" w:rsidRDefault="009F59C0" w:rsidP="00D238A0">
      <w:pPr>
        <w:pStyle w:val="ListParagraph"/>
        <w:autoSpaceDE w:val="0"/>
        <w:autoSpaceDN w:val="0"/>
        <w:adjustRightInd w:val="0"/>
        <w:ind w:left="709"/>
        <w:contextualSpacing w:val="0"/>
      </w:pPr>
    </w:p>
    <w:tbl>
      <w:tblPr>
        <w:tblStyle w:val="TableGrid"/>
        <w:tblW w:w="0" w:type="auto"/>
        <w:tblInd w:w="778" w:type="dxa"/>
        <w:tblLook w:val="04A0" w:firstRow="1" w:lastRow="0" w:firstColumn="1" w:lastColumn="0" w:noHBand="0" w:noVBand="1"/>
      </w:tblPr>
      <w:tblGrid>
        <w:gridCol w:w="2578"/>
        <w:gridCol w:w="2580"/>
        <w:gridCol w:w="2580"/>
      </w:tblGrid>
      <w:tr w:rsidR="006512C4" w:rsidRPr="006B396C" w14:paraId="3769A22E" w14:textId="77777777" w:rsidTr="006512C4">
        <w:tc>
          <w:tcPr>
            <w:tcW w:w="2578" w:type="dxa"/>
          </w:tcPr>
          <w:p w14:paraId="7311BB62"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sz w:val="22"/>
                <w:szCs w:val="22"/>
              </w:rPr>
              <w:t>Non-ratified Topic</w:t>
            </w:r>
          </w:p>
        </w:tc>
        <w:tc>
          <w:tcPr>
            <w:tcW w:w="2580" w:type="dxa"/>
          </w:tcPr>
          <w:p w14:paraId="0A4EA481"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b/>
                <w:bCs/>
                <w:sz w:val="22"/>
                <w:szCs w:val="22"/>
              </w:rPr>
              <w:t>Focus</w:t>
            </w:r>
            <w:r w:rsidRPr="006B396C">
              <w:rPr>
                <w:rStyle w:val="txt"/>
                <w:sz w:val="22"/>
                <w:szCs w:val="22"/>
              </w:rPr>
              <w:t xml:space="preserve"> </w:t>
            </w:r>
          </w:p>
        </w:tc>
        <w:tc>
          <w:tcPr>
            <w:tcW w:w="2580" w:type="dxa"/>
          </w:tcPr>
          <w:p w14:paraId="06098CC2"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b/>
                <w:sz w:val="22"/>
                <w:szCs w:val="22"/>
              </w:rPr>
              <w:t>Verb</w:t>
            </w:r>
          </w:p>
        </w:tc>
      </w:tr>
      <w:tr w:rsidR="006512C4" w:rsidRPr="006B396C" w14:paraId="0A1D3903" w14:textId="77777777" w:rsidTr="006512C4">
        <w:tc>
          <w:tcPr>
            <w:tcW w:w="2578" w:type="dxa"/>
          </w:tcPr>
          <w:p w14:paraId="6A7F7EEC" w14:textId="77777777"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ἐς τοῦτο τῆς ἀνολβίης</w:t>
            </w:r>
          </w:p>
        </w:tc>
        <w:tc>
          <w:tcPr>
            <w:tcW w:w="2580" w:type="dxa"/>
          </w:tcPr>
          <w:p w14:paraId="38351720" w14:textId="77777777"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τοι δοκέω</w:t>
            </w:r>
          </w:p>
        </w:tc>
        <w:tc>
          <w:tcPr>
            <w:tcW w:w="2580" w:type="dxa"/>
          </w:tcPr>
          <w:p w14:paraId="67C4F5F9" w14:textId="77777777"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ἥ̣κειν</w:t>
            </w:r>
          </w:p>
        </w:tc>
      </w:tr>
    </w:tbl>
    <w:p w14:paraId="1E20DC9E" w14:textId="0041CF39" w:rsidR="006512C4" w:rsidRPr="00D61CF2" w:rsidRDefault="006512C4" w:rsidP="00695A7C">
      <w:pPr>
        <w:pStyle w:val="ListParagraph"/>
        <w:autoSpaceDE w:val="0"/>
        <w:autoSpaceDN w:val="0"/>
        <w:adjustRightInd w:val="0"/>
        <w:ind w:left="778"/>
        <w:rPr>
          <w:rFonts w:ascii="Times" w:hAnsi="Times" w:cs="Times"/>
          <w:sz w:val="32"/>
          <w:szCs w:val="32"/>
        </w:rPr>
      </w:pPr>
    </w:p>
    <w:p w14:paraId="6DBC5989" w14:textId="3DCF8608" w:rsidR="006512C4" w:rsidRDefault="006512C4" w:rsidP="00D238A0">
      <w:pPr>
        <w:pStyle w:val="ListParagraph"/>
        <w:numPr>
          <w:ilvl w:val="0"/>
          <w:numId w:val="23"/>
        </w:numPr>
        <w:tabs>
          <w:tab w:val="clear" w:pos="425"/>
          <w:tab w:val="left" w:pos="426"/>
        </w:tabs>
        <w:ind w:left="709" w:hanging="284"/>
        <w:contextualSpacing w:val="0"/>
        <w:textAlignment w:val="bottom"/>
      </w:pPr>
      <w:r w:rsidRPr="00F4476E">
        <w:t xml:space="preserve">Hippon. fr. 7.5 πρὸς ἥλιον δύνοντα γαστέρα τρέψας </w:t>
      </w:r>
      <w:r w:rsidR="00CC0615">
        <w:t>“</w:t>
      </w:r>
      <w:r w:rsidRPr="00F4476E">
        <w:t>turning your belly towards the setting sun</w:t>
      </w:r>
      <w:r w:rsidR="00CC0615">
        <w:t>”</w:t>
      </w:r>
    </w:p>
    <w:p w14:paraId="57308F41" w14:textId="77777777" w:rsidR="009F59C0" w:rsidRPr="00F4476E" w:rsidRDefault="009F59C0" w:rsidP="00D238A0">
      <w:pPr>
        <w:pStyle w:val="ListParagraph"/>
        <w:tabs>
          <w:tab w:val="clear" w:pos="425"/>
          <w:tab w:val="left" w:pos="426"/>
        </w:tabs>
        <w:ind w:left="709"/>
        <w:contextualSpacing w:val="0"/>
        <w:textAlignment w:val="bottom"/>
      </w:pPr>
    </w:p>
    <w:tbl>
      <w:tblPr>
        <w:tblStyle w:val="TableGrid"/>
        <w:tblW w:w="0" w:type="auto"/>
        <w:tblInd w:w="778" w:type="dxa"/>
        <w:tblLook w:val="04A0" w:firstRow="1" w:lastRow="0" w:firstColumn="1" w:lastColumn="0" w:noHBand="0" w:noVBand="1"/>
      </w:tblPr>
      <w:tblGrid>
        <w:gridCol w:w="2578"/>
        <w:gridCol w:w="2580"/>
        <w:gridCol w:w="2580"/>
      </w:tblGrid>
      <w:tr w:rsidR="006512C4" w:rsidRPr="006B396C" w14:paraId="5474A8B2" w14:textId="77777777" w:rsidTr="006512C4">
        <w:tc>
          <w:tcPr>
            <w:tcW w:w="2578" w:type="dxa"/>
          </w:tcPr>
          <w:p w14:paraId="6DC3C930"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rFonts w:eastAsia="TimesBasis"/>
                <w:sz w:val="22"/>
                <w:szCs w:val="22"/>
              </w:rPr>
              <w:t>Non-ratified Topic</w:t>
            </w:r>
          </w:p>
        </w:tc>
        <w:tc>
          <w:tcPr>
            <w:tcW w:w="2580" w:type="dxa"/>
          </w:tcPr>
          <w:p w14:paraId="0B0A3059"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rFonts w:eastAsia="TimesBasis"/>
                <w:b/>
                <w:bCs/>
                <w:sz w:val="22"/>
                <w:szCs w:val="22"/>
              </w:rPr>
              <w:t>Focus</w:t>
            </w:r>
            <w:r w:rsidRPr="006B396C">
              <w:rPr>
                <w:rStyle w:val="txt"/>
                <w:sz w:val="22"/>
                <w:szCs w:val="22"/>
              </w:rPr>
              <w:t xml:space="preserve"> </w:t>
            </w:r>
          </w:p>
        </w:tc>
        <w:tc>
          <w:tcPr>
            <w:tcW w:w="2580" w:type="dxa"/>
          </w:tcPr>
          <w:p w14:paraId="20ED8E31"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rFonts w:eastAsia="TimesBasis"/>
                <w:b/>
                <w:sz w:val="22"/>
                <w:szCs w:val="22"/>
              </w:rPr>
              <w:t>Verb</w:t>
            </w:r>
          </w:p>
        </w:tc>
      </w:tr>
      <w:tr w:rsidR="006512C4" w:rsidRPr="006B396C" w14:paraId="0502D432" w14:textId="77777777" w:rsidTr="006512C4">
        <w:tc>
          <w:tcPr>
            <w:tcW w:w="2578" w:type="dxa"/>
          </w:tcPr>
          <w:p w14:paraId="1A7885AA"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sz w:val="22"/>
                <w:szCs w:val="22"/>
              </w:rPr>
              <w:t>πρὸς ἥλιον δύνοντα</w:t>
            </w:r>
          </w:p>
        </w:tc>
        <w:tc>
          <w:tcPr>
            <w:tcW w:w="2580" w:type="dxa"/>
          </w:tcPr>
          <w:p w14:paraId="1CAC8BCC"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sz w:val="22"/>
                <w:szCs w:val="22"/>
              </w:rPr>
              <w:t>γαστέρα</w:t>
            </w:r>
          </w:p>
        </w:tc>
        <w:tc>
          <w:tcPr>
            <w:tcW w:w="2580" w:type="dxa"/>
          </w:tcPr>
          <w:p w14:paraId="227BDE10" w14:textId="77777777" w:rsidR="006512C4" w:rsidRPr="006B396C" w:rsidRDefault="006512C4" w:rsidP="00D630EB">
            <w:pPr>
              <w:pStyle w:val="ListParagraph"/>
              <w:tabs>
                <w:tab w:val="clear" w:pos="425"/>
                <w:tab w:val="left" w:pos="426"/>
              </w:tabs>
              <w:spacing w:line="360" w:lineRule="auto"/>
              <w:textAlignment w:val="bottom"/>
              <w:rPr>
                <w:sz w:val="22"/>
                <w:szCs w:val="22"/>
              </w:rPr>
            </w:pPr>
            <w:r w:rsidRPr="006B396C">
              <w:rPr>
                <w:sz w:val="22"/>
                <w:szCs w:val="22"/>
              </w:rPr>
              <w:t>τρέψας</w:t>
            </w:r>
          </w:p>
        </w:tc>
      </w:tr>
    </w:tbl>
    <w:p w14:paraId="58934779" w14:textId="77B764BE" w:rsidR="006512C4" w:rsidRPr="00F64D93" w:rsidRDefault="006512C4" w:rsidP="00695A7C">
      <w:pPr>
        <w:tabs>
          <w:tab w:val="clear" w:pos="425"/>
          <w:tab w:val="left" w:pos="426"/>
        </w:tabs>
        <w:textAlignment w:val="bottom"/>
        <w:rPr>
          <w:rFonts w:cs="Times New Roman"/>
        </w:rPr>
      </w:pPr>
    </w:p>
    <w:p w14:paraId="2529C779" w14:textId="5F504F94" w:rsidR="006512C4" w:rsidRDefault="006512C4" w:rsidP="00D238A0">
      <w:pPr>
        <w:pStyle w:val="ListParagraph"/>
        <w:keepNext/>
        <w:numPr>
          <w:ilvl w:val="0"/>
          <w:numId w:val="24"/>
        </w:numPr>
        <w:autoSpaceDE w:val="0"/>
        <w:autoSpaceDN w:val="0"/>
        <w:adjustRightInd w:val="0"/>
        <w:ind w:left="709" w:hanging="284"/>
        <w:contextualSpacing w:val="0"/>
      </w:pPr>
      <w:r w:rsidRPr="00D61CF2">
        <w:t>Hippon. fr. 23.1-2 παρ</w:t>
      </w:r>
      <w:r w:rsidR="00075F5F">
        <w:t>’</w:t>
      </w:r>
      <w:r w:rsidRPr="00D61CF2">
        <w:t xml:space="preserve"> Ἀρήτην / κνεφαῖος ἐλθὼν </w:t>
      </w:r>
      <w:r w:rsidR="00CC0615">
        <w:t>“</w:t>
      </w:r>
      <w:r w:rsidRPr="00D61CF2">
        <w:t>I went to Arete in the dark</w:t>
      </w:r>
      <w:r w:rsidR="00CC0615">
        <w:t>”</w:t>
      </w:r>
    </w:p>
    <w:p w14:paraId="30F02084" w14:textId="77777777" w:rsidR="009F59C0" w:rsidRPr="00D61CF2" w:rsidRDefault="009F59C0" w:rsidP="00D238A0">
      <w:pPr>
        <w:pStyle w:val="ListParagraph"/>
        <w:keepNext/>
        <w:autoSpaceDE w:val="0"/>
        <w:autoSpaceDN w:val="0"/>
        <w:adjustRightInd w:val="0"/>
        <w:ind w:left="709"/>
        <w:contextualSpacing w:val="0"/>
      </w:pPr>
    </w:p>
    <w:tbl>
      <w:tblPr>
        <w:tblStyle w:val="TableGrid"/>
        <w:tblW w:w="0" w:type="auto"/>
        <w:tblInd w:w="720" w:type="dxa"/>
        <w:tblLook w:val="04A0" w:firstRow="1" w:lastRow="0" w:firstColumn="1" w:lastColumn="0" w:noHBand="0" w:noVBand="1"/>
      </w:tblPr>
      <w:tblGrid>
        <w:gridCol w:w="2598"/>
        <w:gridCol w:w="2599"/>
        <w:gridCol w:w="2599"/>
      </w:tblGrid>
      <w:tr w:rsidR="006512C4" w:rsidRPr="006B396C" w14:paraId="61934190" w14:textId="77777777" w:rsidTr="006512C4">
        <w:tc>
          <w:tcPr>
            <w:tcW w:w="2598" w:type="dxa"/>
          </w:tcPr>
          <w:p w14:paraId="4ED6309E"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sz w:val="22"/>
                <w:szCs w:val="22"/>
              </w:rPr>
              <w:t>Non-ratified Topic</w:t>
            </w:r>
          </w:p>
        </w:tc>
        <w:tc>
          <w:tcPr>
            <w:tcW w:w="2599" w:type="dxa"/>
          </w:tcPr>
          <w:p w14:paraId="0A13F811"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b/>
                <w:bCs/>
                <w:sz w:val="22"/>
                <w:szCs w:val="22"/>
              </w:rPr>
              <w:t>Focus</w:t>
            </w:r>
            <w:r w:rsidRPr="006B396C">
              <w:rPr>
                <w:rStyle w:val="txt"/>
                <w:sz w:val="22"/>
                <w:szCs w:val="22"/>
              </w:rPr>
              <w:t xml:space="preserve"> </w:t>
            </w:r>
          </w:p>
        </w:tc>
        <w:tc>
          <w:tcPr>
            <w:tcW w:w="2599" w:type="dxa"/>
          </w:tcPr>
          <w:p w14:paraId="3B204F69" w14:textId="77777777" w:rsidR="006512C4" w:rsidRPr="006B396C" w:rsidRDefault="006512C4" w:rsidP="00D630EB">
            <w:pPr>
              <w:pStyle w:val="ListParagraph"/>
              <w:autoSpaceDE w:val="0"/>
              <w:autoSpaceDN w:val="0"/>
              <w:adjustRightInd w:val="0"/>
              <w:spacing w:line="360" w:lineRule="auto"/>
              <w:rPr>
                <w:sz w:val="22"/>
                <w:szCs w:val="22"/>
              </w:rPr>
            </w:pPr>
            <w:r w:rsidRPr="006B396C">
              <w:rPr>
                <w:rFonts w:eastAsia="TimesBasis"/>
                <w:b/>
                <w:sz w:val="22"/>
                <w:szCs w:val="22"/>
              </w:rPr>
              <w:t>Verb</w:t>
            </w:r>
          </w:p>
        </w:tc>
      </w:tr>
      <w:tr w:rsidR="006512C4" w:rsidRPr="006B396C" w14:paraId="393CFEE7" w14:textId="77777777" w:rsidTr="006512C4">
        <w:tc>
          <w:tcPr>
            <w:tcW w:w="2598" w:type="dxa"/>
          </w:tcPr>
          <w:p w14:paraId="69472A05" w14:textId="33F65973"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παρ</w:t>
            </w:r>
            <w:r w:rsidR="00075F5F">
              <w:rPr>
                <w:sz w:val="22"/>
                <w:szCs w:val="22"/>
              </w:rPr>
              <w:t>’</w:t>
            </w:r>
            <w:r w:rsidRPr="006B396C">
              <w:rPr>
                <w:sz w:val="22"/>
                <w:szCs w:val="22"/>
              </w:rPr>
              <w:t xml:space="preserve"> Ἀρήτην</w:t>
            </w:r>
          </w:p>
        </w:tc>
        <w:tc>
          <w:tcPr>
            <w:tcW w:w="2599" w:type="dxa"/>
          </w:tcPr>
          <w:p w14:paraId="6A23F38E" w14:textId="77777777"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κνεφαῖος</w:t>
            </w:r>
          </w:p>
        </w:tc>
        <w:tc>
          <w:tcPr>
            <w:tcW w:w="2599" w:type="dxa"/>
          </w:tcPr>
          <w:p w14:paraId="00438474" w14:textId="77777777" w:rsidR="006512C4" w:rsidRPr="006B396C" w:rsidRDefault="006512C4" w:rsidP="00D630EB">
            <w:pPr>
              <w:pStyle w:val="ListParagraph"/>
              <w:autoSpaceDE w:val="0"/>
              <w:autoSpaceDN w:val="0"/>
              <w:adjustRightInd w:val="0"/>
              <w:spacing w:line="360" w:lineRule="auto"/>
              <w:rPr>
                <w:sz w:val="22"/>
                <w:szCs w:val="22"/>
              </w:rPr>
            </w:pPr>
            <w:r w:rsidRPr="006B396C">
              <w:rPr>
                <w:sz w:val="22"/>
                <w:szCs w:val="22"/>
              </w:rPr>
              <w:t>ἐλθὼν</w:t>
            </w:r>
          </w:p>
        </w:tc>
      </w:tr>
    </w:tbl>
    <w:p w14:paraId="740BB690" w14:textId="77777777" w:rsidR="006512C4" w:rsidRPr="00D61CF2" w:rsidRDefault="006512C4" w:rsidP="00695A7C">
      <w:pPr>
        <w:pStyle w:val="ListParagraph"/>
        <w:autoSpaceDE w:val="0"/>
        <w:autoSpaceDN w:val="0"/>
        <w:adjustRightInd w:val="0"/>
        <w:rPr>
          <w:rFonts w:ascii="Times" w:hAnsi="Times" w:cs="Times"/>
        </w:rPr>
      </w:pPr>
    </w:p>
    <w:p w14:paraId="2A61318C" w14:textId="0E86A50D" w:rsidR="00E12711" w:rsidRDefault="001C5EA4" w:rsidP="00D238A0">
      <w:pPr>
        <w:tabs>
          <w:tab w:val="clear" w:pos="425"/>
          <w:tab w:val="left" w:pos="426"/>
        </w:tabs>
        <w:spacing w:after="120"/>
        <w:rPr>
          <w:lang w:val="en-US"/>
        </w:rPr>
      </w:pPr>
      <w:r>
        <w:rPr>
          <w:lang w:val="en-US"/>
        </w:rPr>
        <w:t>I</w:t>
      </w:r>
      <w:r w:rsidR="00E12711">
        <w:rPr>
          <w:lang w:val="en-US"/>
        </w:rPr>
        <w:t>n the archaic iambic writers</w:t>
      </w:r>
      <w:r>
        <w:rPr>
          <w:lang w:val="en-US"/>
        </w:rPr>
        <w:t xml:space="preserve"> prepositions are part of the topic area</w:t>
      </w:r>
      <w:r w:rsidR="00E12711">
        <w:rPr>
          <w:lang w:val="en-US"/>
        </w:rPr>
        <w:t xml:space="preserve">, even if there are </w:t>
      </w:r>
      <w:r>
        <w:rPr>
          <w:lang w:val="en-US"/>
        </w:rPr>
        <w:t xml:space="preserve">few </w:t>
      </w:r>
      <w:r w:rsidR="00E12711">
        <w:rPr>
          <w:lang w:val="en-US"/>
        </w:rPr>
        <w:t xml:space="preserve">instances where prepositions are part of the focus, in which case they obviously land in the focus area. Here they may stay in the preverbal narrow focus slot, as for example: </w:t>
      </w:r>
    </w:p>
    <w:p w14:paraId="39FB8DC2" w14:textId="3052A6D7" w:rsidR="006512C4" w:rsidRPr="00D238A0" w:rsidRDefault="006512C4" w:rsidP="00D238A0">
      <w:pPr>
        <w:pStyle w:val="ListParagraph"/>
        <w:numPr>
          <w:ilvl w:val="0"/>
          <w:numId w:val="24"/>
        </w:numPr>
        <w:tabs>
          <w:tab w:val="clear" w:pos="425"/>
          <w:tab w:val="left" w:pos="426"/>
        </w:tabs>
        <w:ind w:left="709" w:hanging="284"/>
        <w:contextualSpacing w:val="0"/>
        <w:textAlignment w:val="bottom"/>
        <w:rPr>
          <w:rFonts w:eastAsia="TimesBasis"/>
        </w:rPr>
      </w:pPr>
      <w:r w:rsidRPr="00D61CF2">
        <w:rPr>
          <w:rFonts w:eastAsia="TimesBasis"/>
        </w:rPr>
        <w:t>Archil. fr. 177.</w:t>
      </w:r>
      <w:r>
        <w:rPr>
          <w:rFonts w:eastAsia="TimesBasis"/>
        </w:rPr>
        <w:t>2</w:t>
      </w:r>
      <w:r w:rsidRPr="00D61CF2">
        <w:rPr>
          <w:rFonts w:eastAsia="TimesBasis"/>
        </w:rPr>
        <w:t xml:space="preserve">-3 </w:t>
      </w:r>
      <w:r w:rsidRPr="00D61CF2">
        <w:rPr>
          <w:rFonts w:eastAsia="Times New Roman"/>
          <w:lang w:val="it-IT" w:eastAsia="it-IT"/>
        </w:rPr>
        <w:t>σὺ δ</w:t>
      </w:r>
      <w:r w:rsidR="00075F5F">
        <w:rPr>
          <w:rFonts w:eastAsia="Times New Roman"/>
          <w:lang w:val="it-IT" w:eastAsia="it-IT"/>
        </w:rPr>
        <w:t>’</w:t>
      </w:r>
      <w:r w:rsidRPr="00D61CF2">
        <w:rPr>
          <w:rFonts w:eastAsia="Times New Roman"/>
          <w:lang w:val="it-IT" w:eastAsia="it-IT"/>
        </w:rPr>
        <w:t xml:space="preserve"> ἔργ</w:t>
      </w:r>
      <w:r w:rsidR="00075F5F">
        <w:rPr>
          <w:rFonts w:eastAsia="Times New Roman"/>
          <w:lang w:val="it-IT" w:eastAsia="it-IT"/>
        </w:rPr>
        <w:t>’</w:t>
      </w:r>
      <w:r w:rsidRPr="00D61CF2">
        <w:rPr>
          <w:rFonts w:eastAsia="Times New Roman"/>
          <w:lang w:val="it-IT" w:eastAsia="it-IT"/>
        </w:rPr>
        <w:t xml:space="preserve"> ἐπ</w:t>
      </w:r>
      <w:r w:rsidR="00075F5F">
        <w:rPr>
          <w:rFonts w:eastAsia="Times New Roman"/>
          <w:lang w:val="it-IT" w:eastAsia="it-IT"/>
        </w:rPr>
        <w:t>’</w:t>
      </w:r>
      <w:r w:rsidRPr="00D61CF2">
        <w:rPr>
          <w:rFonts w:eastAsia="Times New Roman"/>
          <w:lang w:val="it-IT" w:eastAsia="it-IT"/>
        </w:rPr>
        <w:t xml:space="preserve"> ἀνθρώπων ὁρᾶις / λεωργὰ καὶ θεμιστά </w:t>
      </w:r>
      <w:r w:rsidR="00CC0615">
        <w:rPr>
          <w:rFonts w:eastAsia="Times New Roman"/>
          <w:lang w:val="it-IT" w:eastAsia="it-IT"/>
        </w:rPr>
        <w:t>“</w:t>
      </w:r>
      <w:r w:rsidRPr="00D61CF2">
        <w:rPr>
          <w:rFonts w:eastAsia="Times New Roman"/>
          <w:lang w:val="it-IT" w:eastAsia="it-IT"/>
        </w:rPr>
        <w:t>Zeus, father Zeus, yours is the rule in haeven, you oversee men</w:t>
      </w:r>
      <w:r w:rsidR="00075F5F">
        <w:rPr>
          <w:rFonts w:eastAsia="Times New Roman"/>
          <w:lang w:val="it-IT" w:eastAsia="it-IT"/>
        </w:rPr>
        <w:t>’</w:t>
      </w:r>
      <w:r w:rsidRPr="00D61CF2">
        <w:rPr>
          <w:rFonts w:eastAsia="Times New Roman"/>
          <w:lang w:val="it-IT" w:eastAsia="it-IT"/>
        </w:rPr>
        <w:t>s deeds, wicked and lawful</w:t>
      </w:r>
      <w:r w:rsidR="005E0BC0">
        <w:rPr>
          <w:rFonts w:eastAsia="Times New Roman"/>
          <w:lang w:val="it-IT" w:eastAsia="it-IT"/>
        </w:rPr>
        <w:t>.</w:t>
      </w:r>
      <w:r w:rsidR="00CC0615">
        <w:rPr>
          <w:rFonts w:eastAsia="Times New Roman"/>
          <w:lang w:val="it-IT" w:eastAsia="it-IT"/>
        </w:rPr>
        <w:t>”</w:t>
      </w:r>
    </w:p>
    <w:p w14:paraId="0A5B3C9B" w14:textId="77777777" w:rsidR="001C5EA4" w:rsidRPr="000363DF" w:rsidRDefault="001C5EA4" w:rsidP="00D238A0">
      <w:pPr>
        <w:pStyle w:val="ListParagraph"/>
        <w:tabs>
          <w:tab w:val="clear" w:pos="425"/>
          <w:tab w:val="left" w:pos="426"/>
        </w:tabs>
        <w:ind w:left="709"/>
        <w:contextualSpacing w:val="0"/>
        <w:textAlignment w:val="bottom"/>
        <w:rPr>
          <w:rFonts w:eastAsia="TimesBasis"/>
        </w:rPr>
      </w:pPr>
    </w:p>
    <w:tbl>
      <w:tblPr>
        <w:tblStyle w:val="TableGrid"/>
        <w:tblW w:w="4494" w:type="pct"/>
        <w:tblInd w:w="675" w:type="dxa"/>
        <w:tblLook w:val="04A0" w:firstRow="1" w:lastRow="0" w:firstColumn="1" w:lastColumn="0" w:noHBand="0" w:noVBand="1"/>
      </w:tblPr>
      <w:tblGrid>
        <w:gridCol w:w="2961"/>
        <w:gridCol w:w="2361"/>
        <w:gridCol w:w="2659"/>
      </w:tblGrid>
      <w:tr w:rsidR="006512C4" w:rsidRPr="006B396C" w14:paraId="5FB16E3C" w14:textId="77777777" w:rsidTr="00D630EB">
        <w:tc>
          <w:tcPr>
            <w:tcW w:w="1855" w:type="pct"/>
          </w:tcPr>
          <w:p w14:paraId="027A1104"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b/>
                <w:bCs/>
                <w:sz w:val="22"/>
              </w:rPr>
              <w:t>Focus</w:t>
            </w:r>
            <w:r w:rsidRPr="006B396C">
              <w:rPr>
                <w:rFonts w:eastAsia="Times New Roman" w:cs="Times New Roman"/>
                <w:sz w:val="22"/>
                <w:lang w:val="it-IT" w:eastAsia="it-IT"/>
              </w:rPr>
              <w:t xml:space="preserve"> </w:t>
            </w:r>
          </w:p>
        </w:tc>
        <w:tc>
          <w:tcPr>
            <w:tcW w:w="1479" w:type="pct"/>
          </w:tcPr>
          <w:p w14:paraId="1FEB6926"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b/>
                <w:sz w:val="22"/>
              </w:rPr>
              <w:t>Verb</w:t>
            </w:r>
          </w:p>
        </w:tc>
        <w:tc>
          <w:tcPr>
            <w:tcW w:w="1666" w:type="pct"/>
          </w:tcPr>
          <w:p w14:paraId="252D8E1B"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sz w:val="22"/>
              </w:rPr>
              <w:t>Ratified Topic</w:t>
            </w:r>
          </w:p>
        </w:tc>
      </w:tr>
      <w:tr w:rsidR="006512C4" w:rsidRPr="006B396C" w14:paraId="5E43742B" w14:textId="77777777" w:rsidTr="00D630EB">
        <w:tc>
          <w:tcPr>
            <w:tcW w:w="1855" w:type="pct"/>
          </w:tcPr>
          <w:p w14:paraId="34DED820" w14:textId="5CC9F573" w:rsidR="006512C4" w:rsidRPr="006B396C" w:rsidRDefault="006512C4" w:rsidP="00D630EB">
            <w:pPr>
              <w:tabs>
                <w:tab w:val="clear" w:pos="425"/>
                <w:tab w:val="left" w:pos="426"/>
              </w:tabs>
              <w:autoSpaceDE w:val="0"/>
              <w:autoSpaceDN w:val="0"/>
              <w:adjustRightInd w:val="0"/>
              <w:spacing w:line="360" w:lineRule="auto"/>
              <w:rPr>
                <w:rFonts w:eastAsia="TimesBasis" w:cs="Times New Roman"/>
                <w:b/>
                <w:sz w:val="22"/>
              </w:rPr>
            </w:pPr>
            <w:r w:rsidRPr="006B396C">
              <w:rPr>
                <w:rFonts w:eastAsia="Times New Roman" w:cs="Times New Roman"/>
                <w:sz w:val="22"/>
                <w:lang w:val="it-IT" w:eastAsia="it-IT"/>
              </w:rPr>
              <w:t>ἔργ</w:t>
            </w:r>
            <w:r w:rsidR="00075F5F">
              <w:rPr>
                <w:rFonts w:eastAsia="Times New Roman" w:cs="Times New Roman"/>
                <w:sz w:val="22"/>
                <w:lang w:val="it-IT" w:eastAsia="it-IT"/>
              </w:rPr>
              <w:t>’</w:t>
            </w:r>
            <w:r w:rsidRPr="006B396C">
              <w:rPr>
                <w:rFonts w:eastAsia="Times New Roman" w:cs="Times New Roman"/>
                <w:sz w:val="22"/>
                <w:lang w:val="it-IT" w:eastAsia="it-IT"/>
              </w:rPr>
              <w:t xml:space="preserve"> </w:t>
            </w:r>
            <w:r w:rsidRPr="006B396C">
              <w:rPr>
                <w:rFonts w:eastAsia="Times New Roman" w:cs="Times New Roman"/>
                <w:sz w:val="22"/>
                <w:u w:val="single"/>
                <w:lang w:val="it-IT" w:eastAsia="it-IT"/>
              </w:rPr>
              <w:t>ἐπ</w:t>
            </w:r>
            <w:r w:rsidR="00075F5F">
              <w:rPr>
                <w:rFonts w:eastAsia="Times New Roman" w:cs="Times New Roman"/>
                <w:sz w:val="22"/>
                <w:u w:val="single"/>
                <w:lang w:val="it-IT" w:eastAsia="it-IT"/>
              </w:rPr>
              <w:t>’</w:t>
            </w:r>
            <w:r w:rsidRPr="006B396C">
              <w:rPr>
                <w:rFonts w:eastAsia="Times New Roman" w:cs="Times New Roman"/>
                <w:sz w:val="22"/>
                <w:lang w:val="it-IT" w:eastAsia="it-IT"/>
              </w:rPr>
              <w:t xml:space="preserve"> ἀνθρώπων</w:t>
            </w:r>
          </w:p>
        </w:tc>
        <w:tc>
          <w:tcPr>
            <w:tcW w:w="1479" w:type="pct"/>
          </w:tcPr>
          <w:p w14:paraId="641625C7" w14:textId="77777777" w:rsidR="006512C4" w:rsidRPr="006B396C" w:rsidRDefault="006512C4" w:rsidP="00D630EB">
            <w:pPr>
              <w:tabs>
                <w:tab w:val="clear" w:pos="425"/>
                <w:tab w:val="left" w:pos="426"/>
              </w:tabs>
              <w:autoSpaceDE w:val="0"/>
              <w:autoSpaceDN w:val="0"/>
              <w:adjustRightInd w:val="0"/>
              <w:spacing w:line="360" w:lineRule="auto"/>
              <w:rPr>
                <w:rFonts w:eastAsia="TimesBasis" w:cs="Times New Roman"/>
                <w:b/>
                <w:sz w:val="22"/>
              </w:rPr>
            </w:pPr>
            <w:r w:rsidRPr="006B396C">
              <w:rPr>
                <w:rFonts w:eastAsia="Times New Roman" w:cs="Times New Roman"/>
                <w:sz w:val="22"/>
                <w:lang w:val="it-IT" w:eastAsia="it-IT"/>
              </w:rPr>
              <w:t>ὁρᾶις</w:t>
            </w:r>
          </w:p>
        </w:tc>
        <w:tc>
          <w:tcPr>
            <w:tcW w:w="1666" w:type="pct"/>
          </w:tcPr>
          <w:p w14:paraId="40B4418C" w14:textId="77777777" w:rsidR="006512C4" w:rsidRPr="006B396C" w:rsidRDefault="006512C4" w:rsidP="00D630EB">
            <w:pPr>
              <w:tabs>
                <w:tab w:val="clear" w:pos="425"/>
                <w:tab w:val="left" w:pos="426"/>
              </w:tabs>
              <w:autoSpaceDE w:val="0"/>
              <w:autoSpaceDN w:val="0"/>
              <w:adjustRightInd w:val="0"/>
              <w:spacing w:line="360" w:lineRule="auto"/>
              <w:rPr>
                <w:rFonts w:eastAsia="TimesBasis" w:cs="Times New Roman"/>
                <w:sz w:val="22"/>
              </w:rPr>
            </w:pPr>
            <w:r w:rsidRPr="006B396C">
              <w:rPr>
                <w:rFonts w:eastAsia="Times New Roman" w:cs="Times New Roman"/>
                <w:sz w:val="22"/>
                <w:lang w:val="it-IT" w:eastAsia="it-IT"/>
              </w:rPr>
              <w:t>λεωργὰ καὶ θεμιστά</w:t>
            </w:r>
            <w:r w:rsidRPr="006B396C">
              <w:rPr>
                <w:rFonts w:eastAsia="TimesBasis" w:cs="Times New Roman"/>
                <w:sz w:val="22"/>
              </w:rPr>
              <w:t xml:space="preserve"> </w:t>
            </w:r>
          </w:p>
        </w:tc>
      </w:tr>
    </w:tbl>
    <w:p w14:paraId="5CCC8D6E" w14:textId="77777777" w:rsidR="006512C4" w:rsidRDefault="006512C4" w:rsidP="00695A7C">
      <w:pPr>
        <w:tabs>
          <w:tab w:val="clear" w:pos="425"/>
          <w:tab w:val="left" w:pos="426"/>
        </w:tabs>
        <w:textAlignment w:val="bottom"/>
        <w:rPr>
          <w:rFonts w:eastAsia="TimesBasis" w:cs="Times New Roman"/>
        </w:rPr>
      </w:pPr>
      <w:r w:rsidRPr="007A018B">
        <w:rPr>
          <w:rFonts w:eastAsia="TimesBasis" w:cs="Times New Roman"/>
        </w:rPr>
        <w:t xml:space="preserve"> </w:t>
      </w:r>
    </w:p>
    <w:p w14:paraId="2E5A9FCF" w14:textId="477EE536" w:rsidR="006512C4" w:rsidRDefault="006512C4" w:rsidP="00D238A0">
      <w:pPr>
        <w:tabs>
          <w:tab w:val="clear" w:pos="425"/>
          <w:tab w:val="left" w:pos="426"/>
        </w:tabs>
        <w:spacing w:after="120"/>
        <w:textAlignment w:val="bottom"/>
        <w:rPr>
          <w:rFonts w:eastAsia="TimesBasis" w:cs="Times New Roman"/>
        </w:rPr>
      </w:pPr>
      <w:r w:rsidRPr="007A018B">
        <w:rPr>
          <w:rFonts w:eastAsia="TimesBasis" w:cs="Times New Roman"/>
        </w:rPr>
        <w:t xml:space="preserve">Otherwise, they can </w:t>
      </w:r>
      <w:r w:rsidR="005858BE">
        <w:rPr>
          <w:rFonts w:eastAsia="TimesBasis" w:cs="Times New Roman"/>
        </w:rPr>
        <w:t>sta</w:t>
      </w:r>
      <w:r w:rsidRPr="007A018B">
        <w:rPr>
          <w:rFonts w:eastAsia="TimesBasis" w:cs="Times New Roman"/>
        </w:rPr>
        <w:t>y in the postverbal broad focus domain, as</w:t>
      </w:r>
      <w:r>
        <w:rPr>
          <w:rFonts w:eastAsia="TimesBasis" w:cs="Times New Roman"/>
        </w:rPr>
        <w:t xml:space="preserve"> for example:</w:t>
      </w:r>
    </w:p>
    <w:p w14:paraId="65B1A2C9" w14:textId="5EF4D69B" w:rsidR="006512C4" w:rsidRDefault="006512C4" w:rsidP="00D238A0">
      <w:pPr>
        <w:pStyle w:val="ListParagraph"/>
        <w:numPr>
          <w:ilvl w:val="0"/>
          <w:numId w:val="24"/>
        </w:numPr>
        <w:tabs>
          <w:tab w:val="clear" w:pos="425"/>
          <w:tab w:val="left" w:pos="426"/>
        </w:tabs>
        <w:ind w:left="709" w:hanging="284"/>
        <w:contextualSpacing w:val="0"/>
        <w:textAlignment w:val="bottom"/>
        <w:rPr>
          <w:rFonts w:eastAsia="TimesBasis"/>
        </w:rPr>
      </w:pPr>
      <w:r w:rsidRPr="009852DB">
        <w:rPr>
          <w:rFonts w:eastAsia="TimesBasis"/>
        </w:rPr>
        <w:t xml:space="preserve">Hippon. 36.1-3 </w:t>
      </w:r>
      <w:r w:rsidRPr="009852DB">
        <w:rPr>
          <w:rStyle w:val="txt"/>
        </w:rPr>
        <w:t>Μιμνῆ κατωμόχανε, μηκέτι γράψηις</w:t>
      </w:r>
      <w:r w:rsidRPr="009852DB">
        <w:t xml:space="preserve"> / </w:t>
      </w:r>
      <w:r w:rsidRPr="009852DB">
        <w:rPr>
          <w:rStyle w:val="txt"/>
        </w:rPr>
        <w:t>ὄπφιν τριήρεος ἐν πολυζύγωι τοίχωι</w:t>
      </w:r>
      <w:r w:rsidRPr="009852DB">
        <w:t xml:space="preserve"> / </w:t>
      </w:r>
      <w:r w:rsidR="005B2921" w:rsidRPr="006B396C">
        <w:rPr>
          <w:rFonts w:eastAsiaTheme="minorEastAsia"/>
          <w:lang w:val="en-US"/>
        </w:rPr>
        <w:t>ἀπ</w:t>
      </w:r>
      <w:r w:rsidR="00075F5F">
        <w:rPr>
          <w:rFonts w:eastAsiaTheme="minorEastAsia"/>
          <w:lang w:val="en-US"/>
        </w:rPr>
        <w:t>’</w:t>
      </w:r>
      <w:r w:rsidR="005B2921" w:rsidRPr="006B396C">
        <w:rPr>
          <w:rFonts w:eastAsiaTheme="minorEastAsia"/>
          <w:lang w:val="en-US"/>
        </w:rPr>
        <w:t xml:space="preserve"> ἐμβόλου φεύγοντα πρὸς κυβερνήτην</w:t>
      </w:r>
      <w:r w:rsidR="005B2921" w:rsidRPr="009852DB">
        <w:t xml:space="preserve"> </w:t>
      </w:r>
      <w:r w:rsidR="00CC0615">
        <w:t>“</w:t>
      </w:r>
      <w:r w:rsidRPr="009852DB">
        <w:t>Mimnes, you who gape open all the way to the shoulders, don</w:t>
      </w:r>
      <w:r w:rsidR="00075F5F">
        <w:t>’</w:t>
      </w:r>
      <w:r w:rsidRPr="009852DB">
        <w:t>t paint again on a triereme</w:t>
      </w:r>
      <w:r w:rsidR="00075F5F">
        <w:t>’</w:t>
      </w:r>
      <w:r w:rsidRPr="009852DB">
        <w:t>s many-benahced side a serpent that runs from the ram to the helmsman</w:t>
      </w:r>
      <w:r w:rsidR="005E0BC0">
        <w:t>.</w:t>
      </w:r>
      <w:r w:rsidR="00CC0615">
        <w:t>”</w:t>
      </w:r>
      <w:r w:rsidRPr="00F4476E">
        <w:rPr>
          <w:rFonts w:eastAsia="TimesBasis"/>
        </w:rPr>
        <w:t xml:space="preserve"> </w:t>
      </w:r>
    </w:p>
    <w:p w14:paraId="25EE9559" w14:textId="77777777" w:rsidR="001C5EA4" w:rsidRPr="00F4476E" w:rsidRDefault="001C5EA4" w:rsidP="00D238A0">
      <w:pPr>
        <w:pStyle w:val="ListParagraph"/>
        <w:tabs>
          <w:tab w:val="clear" w:pos="425"/>
          <w:tab w:val="left" w:pos="426"/>
        </w:tabs>
        <w:ind w:left="709"/>
        <w:contextualSpacing w:val="0"/>
        <w:textAlignment w:val="bottom"/>
        <w:rPr>
          <w:rFonts w:eastAsia="TimesBasis"/>
        </w:rPr>
      </w:pPr>
    </w:p>
    <w:tbl>
      <w:tblPr>
        <w:tblStyle w:val="TableGrid"/>
        <w:tblW w:w="7655" w:type="dxa"/>
        <w:tblInd w:w="675" w:type="dxa"/>
        <w:tblLayout w:type="fixed"/>
        <w:tblLook w:val="04A0" w:firstRow="1" w:lastRow="0" w:firstColumn="1" w:lastColumn="0" w:noHBand="0" w:noVBand="1"/>
      </w:tblPr>
      <w:tblGrid>
        <w:gridCol w:w="1985"/>
        <w:gridCol w:w="1417"/>
        <w:gridCol w:w="2268"/>
        <w:gridCol w:w="1985"/>
      </w:tblGrid>
      <w:tr w:rsidR="005B2921" w:rsidRPr="006B396C" w14:paraId="7698ED53" w14:textId="77777777" w:rsidTr="00D630EB">
        <w:tc>
          <w:tcPr>
            <w:tcW w:w="1985" w:type="dxa"/>
          </w:tcPr>
          <w:p w14:paraId="6ABEEA02"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sz w:val="22"/>
              </w:rPr>
              <w:t>Non-ratified Topic</w:t>
            </w:r>
          </w:p>
        </w:tc>
        <w:tc>
          <w:tcPr>
            <w:tcW w:w="1417" w:type="dxa"/>
          </w:tcPr>
          <w:p w14:paraId="39244BA2"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b/>
                <w:bCs/>
                <w:sz w:val="22"/>
              </w:rPr>
              <w:t>Verb</w:t>
            </w:r>
          </w:p>
        </w:tc>
        <w:tc>
          <w:tcPr>
            <w:tcW w:w="2268" w:type="dxa"/>
          </w:tcPr>
          <w:p w14:paraId="407657D3"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sz w:val="22"/>
              </w:rPr>
              <w:t>Ratified Topic</w:t>
            </w:r>
          </w:p>
        </w:tc>
        <w:tc>
          <w:tcPr>
            <w:tcW w:w="1985" w:type="dxa"/>
          </w:tcPr>
          <w:p w14:paraId="1714088E"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Fonts w:eastAsia="TimesBasis" w:cs="Times New Roman"/>
                <w:b/>
                <w:bCs/>
                <w:sz w:val="22"/>
              </w:rPr>
              <w:t>Focal material</w:t>
            </w:r>
          </w:p>
        </w:tc>
      </w:tr>
      <w:tr w:rsidR="005B2921" w:rsidRPr="006B396C" w14:paraId="168C0935" w14:textId="77777777" w:rsidTr="00D630EB">
        <w:tc>
          <w:tcPr>
            <w:tcW w:w="1985" w:type="dxa"/>
          </w:tcPr>
          <w:p w14:paraId="63D57CC4"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Style w:val="txt"/>
                <w:rFonts w:cs="Times New Roman"/>
                <w:sz w:val="22"/>
              </w:rPr>
              <w:t xml:space="preserve">Μιμνῆ </w:t>
            </w:r>
          </w:p>
        </w:tc>
        <w:tc>
          <w:tcPr>
            <w:tcW w:w="1417" w:type="dxa"/>
          </w:tcPr>
          <w:p w14:paraId="10204F89" w14:textId="77777777"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Style w:val="txt"/>
                <w:rFonts w:cs="Times New Roman"/>
                <w:sz w:val="22"/>
              </w:rPr>
              <w:t>γράψηις</w:t>
            </w:r>
          </w:p>
        </w:tc>
        <w:tc>
          <w:tcPr>
            <w:tcW w:w="2268" w:type="dxa"/>
          </w:tcPr>
          <w:p w14:paraId="4297F690" w14:textId="6F510CDF" w:rsidR="006512C4" w:rsidRPr="006B396C" w:rsidRDefault="006512C4" w:rsidP="00D630EB">
            <w:pPr>
              <w:tabs>
                <w:tab w:val="clear" w:pos="425"/>
                <w:tab w:val="left" w:pos="426"/>
              </w:tabs>
              <w:spacing w:line="360" w:lineRule="auto"/>
              <w:textAlignment w:val="bottom"/>
              <w:rPr>
                <w:rFonts w:eastAsia="TimesBasis" w:cs="Times New Roman"/>
                <w:sz w:val="22"/>
              </w:rPr>
            </w:pPr>
            <w:r w:rsidRPr="006B396C">
              <w:rPr>
                <w:rStyle w:val="txt"/>
                <w:rFonts w:cs="Times New Roman"/>
                <w:sz w:val="22"/>
              </w:rPr>
              <w:t>ἐν πολυζύγωι τοίχωι</w:t>
            </w:r>
          </w:p>
        </w:tc>
        <w:tc>
          <w:tcPr>
            <w:tcW w:w="1985" w:type="dxa"/>
          </w:tcPr>
          <w:p w14:paraId="5ADACA34" w14:textId="562EA775" w:rsidR="006512C4" w:rsidRPr="006B396C" w:rsidRDefault="006512C4" w:rsidP="00D630EB">
            <w:pPr>
              <w:keepNext/>
              <w:spacing w:line="360" w:lineRule="auto"/>
              <w:textAlignment w:val="bottom"/>
              <w:rPr>
                <w:rFonts w:cs="Times New Roman"/>
                <w:sz w:val="22"/>
                <w:lang w:val="el-GR"/>
              </w:rPr>
            </w:pPr>
            <w:r w:rsidRPr="006B396C">
              <w:rPr>
                <w:rStyle w:val="txt"/>
                <w:rFonts w:cs="Times New Roman"/>
                <w:sz w:val="22"/>
                <w:lang w:val="el-GR"/>
              </w:rPr>
              <w:t xml:space="preserve">ὄπφιν </w:t>
            </w:r>
          </w:p>
        </w:tc>
      </w:tr>
    </w:tbl>
    <w:p w14:paraId="1549E157" w14:textId="77777777" w:rsidR="006512C4" w:rsidRPr="007F1E99" w:rsidRDefault="006512C4" w:rsidP="00695A7C">
      <w:pPr>
        <w:tabs>
          <w:tab w:val="clear" w:pos="425"/>
          <w:tab w:val="left" w:pos="426"/>
        </w:tabs>
        <w:textAlignment w:val="bottom"/>
        <w:rPr>
          <w:rFonts w:eastAsia="TimesBasis" w:cs="Times New Roman"/>
          <w:lang w:val="el-GR"/>
        </w:rPr>
      </w:pPr>
    </w:p>
    <w:p w14:paraId="784CA8AA" w14:textId="084DFD49" w:rsidR="001C5EA4" w:rsidRDefault="00E12711" w:rsidP="00695A7C">
      <w:pPr>
        <w:tabs>
          <w:tab w:val="clear" w:pos="425"/>
          <w:tab w:val="left" w:pos="426"/>
        </w:tabs>
        <w:textAlignment w:val="bottom"/>
        <w:rPr>
          <w:rFonts w:eastAsia="TimesBasis" w:cs="Times New Roman"/>
        </w:rPr>
      </w:pPr>
      <w:r>
        <w:rPr>
          <w:lang w:val="en-US"/>
        </w:rPr>
        <w:t xml:space="preserve">As shown by the examples, Hipponax prefers to put prepositions before the nouns they are connected to, since he wants to have a style which imitates as much as possible the way people speak. The common position of prepositions in speech is before the nouns they refer to, as Arist. </w:t>
      </w:r>
      <w:r>
        <w:rPr>
          <w:i/>
          <w:iCs/>
          <w:lang w:val="en-US"/>
        </w:rPr>
        <w:t>Poet</w:t>
      </w:r>
      <w:r>
        <w:rPr>
          <w:lang w:val="en-US"/>
        </w:rPr>
        <w:t xml:space="preserve">. 1458b-1459a says: </w:t>
      </w:r>
    </w:p>
    <w:p w14:paraId="6922CBF1" w14:textId="77777777" w:rsidR="006512C4" w:rsidRDefault="006512C4" w:rsidP="00C12B11">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6512C4" w14:paraId="5EADBBC4" w14:textId="77777777" w:rsidTr="00890EB4">
        <w:tc>
          <w:tcPr>
            <w:tcW w:w="4258" w:type="dxa"/>
          </w:tcPr>
          <w:p w14:paraId="67089A27" w14:textId="77777777" w:rsidR="006512C4" w:rsidRPr="00D630EB" w:rsidRDefault="006512C4" w:rsidP="00C12B11">
            <w:pPr>
              <w:pStyle w:val="Blockquote"/>
              <w:rPr>
                <w:rFonts w:eastAsia="Times New Roman"/>
                <w:sz w:val="22"/>
                <w:szCs w:val="22"/>
                <w:lang w:val="it-IT" w:eastAsia="it-IT"/>
              </w:rPr>
            </w:pPr>
            <w:r w:rsidRPr="00D630EB">
              <w:rPr>
                <w:rFonts w:eastAsia="Times New Roman"/>
                <w:sz w:val="22"/>
                <w:szCs w:val="22"/>
                <w:lang w:val="it-IT" w:eastAsia="it-IT"/>
              </w:rPr>
              <w:t>ἃ οὐδεὶς ἂν εἴπειεν ἐν τῇ διαλέκτῳ … οἷον τὸ δωμάτων ἄπο ἀλλὰ μὴ ἀπὸ δωμάτων … καὶ τὸ</w:t>
            </w:r>
            <w:r w:rsidRPr="00D630EB">
              <w:rPr>
                <w:rFonts w:eastAsia="Times New Roman"/>
                <w:b/>
                <w:bCs/>
                <w:sz w:val="22"/>
                <w:szCs w:val="22"/>
                <w:lang w:val="it-IT" w:eastAsia="it-IT"/>
              </w:rPr>
              <w:t> </w:t>
            </w:r>
            <w:r w:rsidRPr="00D630EB">
              <w:rPr>
                <w:rFonts w:eastAsia="Times New Roman"/>
                <w:sz w:val="22"/>
                <w:szCs w:val="22"/>
                <w:lang w:val="it-IT" w:eastAsia="it-IT"/>
              </w:rPr>
              <w:t>Ἀχιλλέως πέρι ἀλλὰ μὴ περὶ Ἀχιλλέως, καὶ ὅσα ἄλλα τοιαῦτα</w:t>
            </w:r>
          </w:p>
        </w:tc>
        <w:tc>
          <w:tcPr>
            <w:tcW w:w="3680" w:type="dxa"/>
          </w:tcPr>
          <w:p w14:paraId="500EB11E" w14:textId="7476E2A5" w:rsidR="006512C4" w:rsidRPr="00D630EB" w:rsidRDefault="006512C4" w:rsidP="00C12B11">
            <w:pPr>
              <w:pStyle w:val="Blockquote"/>
              <w:rPr>
                <w:rFonts w:eastAsia="Times New Roman"/>
                <w:sz w:val="22"/>
                <w:szCs w:val="22"/>
                <w:lang w:val="it-IT" w:eastAsia="it-IT"/>
              </w:rPr>
            </w:pPr>
            <w:r w:rsidRPr="00D630EB">
              <w:rPr>
                <w:rFonts w:eastAsia="Times New Roman"/>
                <w:sz w:val="22"/>
                <w:szCs w:val="22"/>
                <w:lang w:val="it-IT" w:eastAsia="it-IT"/>
              </w:rPr>
              <w:t xml:space="preserve">things that no-one would say in speech … such as houses from instead off rom houses … and Achilles about instead of about Achilles and all the things </w:t>
            </w:r>
            <w:r w:rsidR="00C12B11" w:rsidRPr="00D630EB">
              <w:rPr>
                <w:rFonts w:eastAsia="Times New Roman"/>
                <w:sz w:val="22"/>
                <w:szCs w:val="22"/>
                <w:lang w:val="it-IT" w:eastAsia="it-IT"/>
              </w:rPr>
              <w:t>of that sort</w:t>
            </w:r>
          </w:p>
        </w:tc>
      </w:tr>
    </w:tbl>
    <w:p w14:paraId="4A092F4F" w14:textId="77777777" w:rsidR="006512C4" w:rsidRDefault="006512C4" w:rsidP="00C12B11">
      <w:pPr>
        <w:pStyle w:val="Blockquote"/>
        <w:rPr>
          <w:rFonts w:eastAsia="Times New Roman"/>
          <w:lang w:val="it-IT" w:eastAsia="it-IT"/>
        </w:rPr>
      </w:pPr>
    </w:p>
    <w:p w14:paraId="3F71E093" w14:textId="2A46BFFF" w:rsidR="00E12711" w:rsidRPr="004E03FF" w:rsidRDefault="00E12711" w:rsidP="006E597E">
      <w:pPr>
        <w:tabs>
          <w:tab w:val="clear" w:pos="425"/>
          <w:tab w:val="left" w:pos="426"/>
        </w:tabs>
        <w:rPr>
          <w:rFonts w:cs="Times New Roman"/>
          <w:szCs w:val="24"/>
          <w:lang w:val="en-US"/>
        </w:rPr>
      </w:pPr>
      <w:r w:rsidRPr="001C5EA4">
        <w:rPr>
          <w:rFonts w:cs="Times New Roman"/>
          <w:szCs w:val="24"/>
          <w:lang w:val="en-US"/>
        </w:rPr>
        <w:t>Archilochus instead tends to put the preposition before the verb, using it in a way more similar to an adverb or a preverb. This preference tangles with Archilochus</w:t>
      </w:r>
      <w:r w:rsidR="00075F5F">
        <w:rPr>
          <w:rFonts w:cs="Times New Roman"/>
          <w:szCs w:val="24"/>
          <w:lang w:val="en-US"/>
        </w:rPr>
        <w:t>’</w:t>
      </w:r>
      <w:r w:rsidRPr="001C5EA4">
        <w:rPr>
          <w:rFonts w:cs="Times New Roman"/>
          <w:szCs w:val="24"/>
          <w:lang w:val="en-US"/>
        </w:rPr>
        <w:t xml:space="preserve"> tendency to build sentences according to the narrow focus construction, and consequently a non-initial preposition is separated from the verb, generating tmesis, where the backgrounded element is incorporated into the verbal complex, between the preverb and the verb.</w:t>
      </w:r>
    </w:p>
    <w:p w14:paraId="0EC14B96" w14:textId="7447D633" w:rsidR="00E12711" w:rsidRPr="00D238A0" w:rsidRDefault="00E12711" w:rsidP="001C5EA4">
      <w:pPr>
        <w:tabs>
          <w:tab w:val="clear" w:pos="425"/>
          <w:tab w:val="left" w:pos="426"/>
        </w:tabs>
        <w:rPr>
          <w:rFonts w:cs="Times New Roman"/>
          <w:szCs w:val="24"/>
          <w:lang w:val="en-US"/>
        </w:rPr>
      </w:pPr>
      <w:r w:rsidRPr="004E03FF">
        <w:rPr>
          <w:rFonts w:cs="Times New Roman"/>
          <w:szCs w:val="24"/>
          <w:lang w:val="en-US"/>
        </w:rPr>
        <w:tab/>
        <w:t xml:space="preserve">According to this view, the significant difference in the amount of tmesis between </w:t>
      </w:r>
      <w:r w:rsidRPr="00D238A0">
        <w:rPr>
          <w:rFonts w:cs="Times New Roman"/>
          <w:szCs w:val="24"/>
          <w:lang w:val="en-US"/>
        </w:rPr>
        <w:t>Archilochus</w:t>
      </w:r>
      <w:r w:rsidR="00075F5F">
        <w:rPr>
          <w:rFonts w:cs="Times New Roman"/>
          <w:szCs w:val="24"/>
          <w:lang w:val="en-US"/>
        </w:rPr>
        <w:t>’</w:t>
      </w:r>
      <w:r w:rsidRPr="00D238A0">
        <w:rPr>
          <w:rFonts w:cs="Times New Roman"/>
          <w:szCs w:val="24"/>
          <w:lang w:val="en-US"/>
        </w:rPr>
        <w:t xml:space="preserve"> and Hipponax</w:t>
      </w:r>
      <w:r w:rsidR="00075F5F">
        <w:rPr>
          <w:rFonts w:cs="Times New Roman"/>
          <w:szCs w:val="24"/>
          <w:lang w:val="en-US"/>
        </w:rPr>
        <w:t>’</w:t>
      </w:r>
      <w:r w:rsidRPr="00D238A0">
        <w:rPr>
          <w:rFonts w:cs="Times New Roman"/>
          <w:szCs w:val="24"/>
          <w:lang w:val="en-US"/>
        </w:rPr>
        <w:t xml:space="preserve">s fragments is also due to the kinds of pragmatic construction which each of the two iambographers choose to use. </w:t>
      </w:r>
    </w:p>
    <w:p w14:paraId="287D675A" w14:textId="396302EE" w:rsidR="00E12711" w:rsidRPr="001C5EA4" w:rsidRDefault="00E12711" w:rsidP="004E03FF">
      <w:pPr>
        <w:tabs>
          <w:tab w:val="clear" w:pos="425"/>
          <w:tab w:val="left" w:pos="426"/>
        </w:tabs>
        <w:ind w:firstLine="426"/>
        <w:rPr>
          <w:rFonts w:cs="Times New Roman"/>
          <w:szCs w:val="24"/>
          <w:lang w:val="en-US"/>
        </w:rPr>
      </w:pPr>
      <w:r w:rsidRPr="00D238A0">
        <w:rPr>
          <w:rFonts w:cs="Times New Roman"/>
          <w:szCs w:val="24"/>
          <w:lang w:val="en-US"/>
        </w:rPr>
        <w:t>The fact that Callimachus</w:t>
      </w:r>
      <w:r w:rsidR="00075F5F">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Iambi</w:t>
      </w:r>
      <w:r w:rsidRPr="00D238A0">
        <w:rPr>
          <w:rFonts w:cs="Times New Roman"/>
          <w:szCs w:val="24"/>
          <w:lang w:val="en-US"/>
        </w:rPr>
        <w:t xml:space="preserve"> show as little tmesis as Hipponax</w:t>
      </w:r>
      <w:r w:rsidR="00075F5F">
        <w:rPr>
          <w:rFonts w:cs="Times New Roman"/>
          <w:szCs w:val="24"/>
          <w:lang w:val="en-US"/>
        </w:rPr>
        <w:t>’</w:t>
      </w:r>
      <w:r w:rsidRPr="00D238A0">
        <w:rPr>
          <w:rFonts w:cs="Times New Roman"/>
          <w:szCs w:val="24"/>
          <w:lang w:val="en-US"/>
        </w:rPr>
        <w:t>s fragment, despite Callimachus</w:t>
      </w:r>
      <w:r w:rsidR="00075F5F">
        <w:rPr>
          <w:rFonts w:cs="Times New Roman"/>
          <w:szCs w:val="24"/>
          <w:lang w:val="en-US"/>
        </w:rPr>
        <w:t>’</w:t>
      </w:r>
      <w:r w:rsidRPr="00D238A0">
        <w:rPr>
          <w:rFonts w:cs="Times New Roman"/>
          <w:szCs w:val="24"/>
          <w:lang w:val="en-US"/>
        </w:rPr>
        <w:t xml:space="preserve"> preference for the narrow focus construction (like Archilochus), is understandable when one looks at the evolution of the Greek language over time. In archaic iambic fragments, semantically generic verbs, such as some of those above </w:t>
      </w:r>
      <w:r w:rsidRPr="00D238A0">
        <w:rPr>
          <w:rFonts w:cs="Times New Roman"/>
          <w:szCs w:val="24"/>
          <w:lang w:val="en-US"/>
        </w:rPr>
        <w:lastRenderedPageBreak/>
        <w:t>(ἔρχομαι, ἵστημι, ὁράω, τρέπω) are more often involved in the incorporation process than specific verbs. This may merely be a consequence of the higher rate of generic verbs in the iambic language, but it is noticeable that the most frequent verbs occurring with tmesis in my sample are also among the most generic verbs of the Greek language. From the Classical period</w:t>
      </w:r>
      <w:r w:rsidR="00731814">
        <w:rPr>
          <w:rFonts w:cs="Times New Roman"/>
          <w:szCs w:val="24"/>
          <w:lang w:val="en-US"/>
        </w:rPr>
        <w:t xml:space="preserve"> – </w:t>
      </w:r>
      <w:r w:rsidRPr="001C5EA4">
        <w:rPr>
          <w:rFonts w:cs="Times New Roman"/>
          <w:szCs w:val="24"/>
          <w:lang w:val="en-US"/>
        </w:rPr>
        <w:t>and especially during the Hellenistic one</w:t>
      </w:r>
      <w:r w:rsidR="00731814">
        <w:rPr>
          <w:rFonts w:cs="Times New Roman"/>
          <w:szCs w:val="24"/>
          <w:lang w:val="en-US"/>
        </w:rPr>
        <w:t xml:space="preserve"> – </w:t>
      </w:r>
      <w:r w:rsidRPr="001C5EA4">
        <w:rPr>
          <w:rFonts w:cs="Times New Roman"/>
          <w:szCs w:val="24"/>
          <w:lang w:val="en-US"/>
        </w:rPr>
        <w:t>generic verbs have been the most frequent to receive prefixes and thus become compounded. Indeed, in Callimachus</w:t>
      </w:r>
      <w:r w:rsidR="00075F5F">
        <w:rPr>
          <w:rFonts w:cs="Times New Roman"/>
          <w:szCs w:val="24"/>
          <w:lang w:val="en-US"/>
        </w:rPr>
        <w:t>’</w:t>
      </w:r>
      <w:r w:rsidRPr="001C5EA4">
        <w:rPr>
          <w:rFonts w:cs="Times New Roman"/>
          <w:szCs w:val="24"/>
          <w:lang w:val="en-US"/>
        </w:rPr>
        <w:t xml:space="preserve"> </w:t>
      </w:r>
      <w:r w:rsidRPr="001C5EA4">
        <w:rPr>
          <w:rFonts w:cs="Times New Roman"/>
          <w:i/>
          <w:iCs/>
          <w:szCs w:val="24"/>
          <w:lang w:val="en-US"/>
        </w:rPr>
        <w:t>Iambi</w:t>
      </w:r>
      <w:r w:rsidRPr="001C5EA4">
        <w:rPr>
          <w:rFonts w:cs="Times New Roman"/>
          <w:szCs w:val="24"/>
          <w:lang w:val="en-US"/>
        </w:rPr>
        <w:t xml:space="preserve"> there</w:t>
      </w:r>
      <w:r w:rsidR="001C5EA4">
        <w:rPr>
          <w:rFonts w:cs="Times New Roman"/>
          <w:szCs w:val="24"/>
          <w:lang w:val="en-US"/>
        </w:rPr>
        <w:t xml:space="preserve"> </w:t>
      </w:r>
      <w:r w:rsidRPr="001C5EA4">
        <w:rPr>
          <w:rFonts w:cs="Times New Roman"/>
          <w:szCs w:val="24"/>
          <w:lang w:val="en-US"/>
        </w:rPr>
        <w:t>is a high percentage of compounded verbs made up of a proper preposition and a generic verb.</w:t>
      </w:r>
      <w:r w:rsidRPr="001C5EA4">
        <w:rPr>
          <w:rStyle w:val="FootnoteReference"/>
          <w:rFonts w:cs="Times New Roman"/>
          <w:szCs w:val="24"/>
          <w:lang w:val="en-US"/>
        </w:rPr>
        <w:footnoteReference w:id="358"/>
      </w:r>
    </w:p>
    <w:p w14:paraId="6DF2A176" w14:textId="45CC2351" w:rsidR="00E12711" w:rsidRPr="001C5EA4" w:rsidRDefault="00E12711" w:rsidP="004E03FF">
      <w:pPr>
        <w:tabs>
          <w:tab w:val="clear" w:pos="425"/>
          <w:tab w:val="left" w:pos="426"/>
        </w:tabs>
        <w:ind w:firstLine="426"/>
        <w:rPr>
          <w:rFonts w:cs="Times New Roman"/>
          <w:szCs w:val="24"/>
          <w:lang w:val="en-US"/>
        </w:rPr>
      </w:pPr>
      <w:r w:rsidRPr="001C5EA4">
        <w:rPr>
          <w:rFonts w:cs="Times New Roman"/>
          <w:szCs w:val="24"/>
          <w:lang w:val="en-US"/>
        </w:rPr>
        <w:t xml:space="preserve">The generic verbs that occur with prefixes in Callimachus include: ἐξαιρέω, </w:t>
      </w:r>
      <w:r w:rsidRPr="004E03FF">
        <w:rPr>
          <w:rFonts w:cs="Times New Roman"/>
          <w:szCs w:val="24"/>
          <w:lang w:val="en-US"/>
        </w:rPr>
        <w:t xml:space="preserve">ἐξερέω, καθικνέομαι, καταψήχω, </w:t>
      </w:r>
      <w:r w:rsidRPr="00D238A0">
        <w:rPr>
          <w:rFonts w:cs="Times New Roman"/>
          <w:szCs w:val="24"/>
          <w:lang w:val="en-US"/>
        </w:rPr>
        <w:t>ὑπακούω; all of these verbs also occur without prefixes in Archilochus and in Hipponax, and they are used by the two archaic iambographers with the same prepositions that become prefixes in Callimachus</w:t>
      </w:r>
      <w:r w:rsidR="00075F5F">
        <w:rPr>
          <w:rFonts w:cs="Times New Roman"/>
          <w:szCs w:val="24"/>
          <w:lang w:val="en-US"/>
        </w:rPr>
        <w:t>’</w:t>
      </w:r>
      <w:r w:rsidRPr="00D238A0">
        <w:rPr>
          <w:rFonts w:cs="Times New Roman"/>
          <w:szCs w:val="24"/>
          <w:lang w:val="en-US"/>
        </w:rPr>
        <w:t xml:space="preserve"> language. For example, Callimachus says in </w:t>
      </w:r>
      <w:r w:rsidRPr="00D238A0">
        <w:rPr>
          <w:rFonts w:cs="Times New Roman"/>
          <w:i/>
          <w:iCs/>
          <w:szCs w:val="24"/>
          <w:lang w:val="en-US"/>
        </w:rPr>
        <w:t>Ia.</w:t>
      </w:r>
      <w:r w:rsidRPr="00D238A0">
        <w:rPr>
          <w:rFonts w:cs="Times New Roman"/>
          <w:szCs w:val="24"/>
          <w:lang w:val="en-US"/>
        </w:rPr>
        <w:t xml:space="preserve"> 1.38-9 ἤ</w:t>
      </w:r>
      <w:r w:rsidRPr="001C5EA4">
        <w:rPr>
          <w:rFonts w:cs="Times New Roman"/>
          <w:szCs w:val="24"/>
          <w:lang w:val="en-US"/>
        </w:rPr>
        <w:t>δη καθίκειν οὗτος ἡνίκ</w:t>
      </w:r>
      <w:r w:rsidR="00075F5F">
        <w:rPr>
          <w:rFonts w:cs="Times New Roman"/>
          <w:szCs w:val="24"/>
          <w:lang w:val="en-US"/>
        </w:rPr>
        <w:t>’</w:t>
      </w:r>
      <w:r w:rsidRPr="001C5EA4">
        <w:rPr>
          <w:rFonts w:cs="Times New Roman"/>
          <w:szCs w:val="24"/>
          <w:lang w:val="en-US"/>
        </w:rPr>
        <w:t xml:space="preserve"> </w:t>
      </w:r>
      <w:r w:rsidRPr="004E03FF">
        <w:rPr>
          <w:rFonts w:cs="Times New Roman"/>
          <w:szCs w:val="24"/>
          <w:lang w:val="en-US"/>
        </w:rPr>
        <w:t>ἤμελλεν / μακρ</w:t>
      </w:r>
      <w:r w:rsidRPr="00D238A0">
        <w:rPr>
          <w:rFonts w:cs="Times New Roman"/>
          <w:szCs w:val="24"/>
          <w:lang w:val="en-US"/>
        </w:rPr>
        <w:t xml:space="preserve">ὸν, while </w:t>
      </w:r>
      <w:r w:rsidR="00075F5F">
        <w:rPr>
          <w:rFonts w:cs="Times New Roman"/>
          <w:szCs w:val="24"/>
          <w:lang w:val="en-US"/>
        </w:rPr>
        <w:t xml:space="preserve">Hipponax’s </w:t>
      </w:r>
      <w:r w:rsidRPr="00D238A0">
        <w:rPr>
          <w:rFonts w:cs="Times New Roman"/>
          <w:szCs w:val="24"/>
          <w:lang w:val="en-US"/>
        </w:rPr>
        <w:t>fr. 217.3 has ἵκεο καθ</w:t>
      </w:r>
      <w:r w:rsidR="00075F5F">
        <w:rPr>
          <w:rFonts w:cs="Times New Roman"/>
          <w:szCs w:val="24"/>
          <w:lang w:val="en-US"/>
        </w:rPr>
        <w:t>’</w:t>
      </w:r>
      <w:r w:rsidRPr="00D238A0">
        <w:rPr>
          <w:rFonts w:cs="Times New Roman"/>
          <w:szCs w:val="24"/>
          <w:lang w:val="en-US"/>
        </w:rPr>
        <w:t xml:space="preserve"> ἱέρ</w:t>
      </w:r>
      <w:r w:rsidR="00075F5F">
        <w:rPr>
          <w:rFonts w:cs="Times New Roman"/>
          <w:szCs w:val="24"/>
          <w:lang w:val="en-US"/>
        </w:rPr>
        <w:t>’</w:t>
      </w:r>
      <w:r w:rsidRPr="00D238A0">
        <w:rPr>
          <w:rFonts w:cs="Times New Roman"/>
          <w:szCs w:val="24"/>
          <w:lang w:val="en-US"/>
        </w:rPr>
        <w:t>. A higher incidence of compounded verbs also explains the reduced frequency of prepositions in Callimachus</w:t>
      </w:r>
      <w:r w:rsidR="00075F5F">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Iambi</w:t>
      </w:r>
      <w:r w:rsidRPr="00D238A0">
        <w:rPr>
          <w:rFonts w:cs="Times New Roman"/>
          <w:szCs w:val="24"/>
          <w:lang w:val="en-US"/>
        </w:rPr>
        <w:t xml:space="preserve"> when compared with Archilochus</w:t>
      </w:r>
      <w:r w:rsidR="00075F5F">
        <w:rPr>
          <w:rFonts w:cs="Times New Roman"/>
          <w:szCs w:val="24"/>
          <w:lang w:val="en-US"/>
        </w:rPr>
        <w:t>’</w:t>
      </w:r>
      <w:r w:rsidRPr="00D238A0">
        <w:rPr>
          <w:rFonts w:cs="Times New Roman"/>
          <w:szCs w:val="24"/>
          <w:lang w:val="en-US"/>
        </w:rPr>
        <w:t xml:space="preserve"> and Hipponax</w:t>
      </w:r>
      <w:r w:rsidR="00075F5F">
        <w:rPr>
          <w:rFonts w:cs="Times New Roman"/>
          <w:szCs w:val="24"/>
          <w:lang w:val="en-US"/>
        </w:rPr>
        <w:t>’</w:t>
      </w:r>
      <w:r w:rsidRPr="00D238A0">
        <w:rPr>
          <w:rFonts w:cs="Times New Roman"/>
          <w:szCs w:val="24"/>
          <w:lang w:val="en-US"/>
        </w:rPr>
        <w:t xml:space="preserve">s fragments. </w:t>
      </w:r>
      <w:r w:rsidR="001C5EA4">
        <w:rPr>
          <w:rFonts w:cs="Times New Roman"/>
          <w:szCs w:val="24"/>
          <w:lang w:val="en-US"/>
        </w:rPr>
        <w:t>Compared to the total words of their fragments, t</w:t>
      </w:r>
      <w:r w:rsidRPr="001C5EA4">
        <w:rPr>
          <w:rFonts w:cs="Times New Roman"/>
          <w:szCs w:val="24"/>
          <w:lang w:val="en-US"/>
        </w:rPr>
        <w:t>he archaic iambographers have an average percentage of 3.48% of prepositions, while Callimachus</w:t>
      </w:r>
      <w:r w:rsidR="00075F5F">
        <w:rPr>
          <w:rFonts w:cs="Times New Roman"/>
          <w:szCs w:val="24"/>
          <w:lang w:val="en-US"/>
        </w:rPr>
        <w:t>’</w:t>
      </w:r>
      <w:r w:rsidRPr="001C5EA4">
        <w:rPr>
          <w:rFonts w:cs="Times New Roman"/>
          <w:szCs w:val="24"/>
          <w:lang w:val="en-US"/>
        </w:rPr>
        <w:t xml:space="preserve"> percentage is 1% lower (2.43%), which in light of the absolute number is likely to be significant. </w:t>
      </w:r>
    </w:p>
    <w:p w14:paraId="10292DCC" w14:textId="77777777" w:rsidR="00E12711" w:rsidRPr="001C5EA4" w:rsidRDefault="00E12711" w:rsidP="00D238A0">
      <w:pPr>
        <w:tabs>
          <w:tab w:val="clear" w:pos="425"/>
          <w:tab w:val="left" w:pos="426"/>
        </w:tabs>
        <w:rPr>
          <w:rFonts w:cs="Times New Roman"/>
          <w:szCs w:val="24"/>
          <w:lang w:val="en-US"/>
        </w:rPr>
      </w:pPr>
      <w:r w:rsidRPr="001C5EA4">
        <w:rPr>
          <w:rFonts w:cs="Times New Roman"/>
          <w:szCs w:val="24"/>
          <w:lang w:val="en-US"/>
        </w:rPr>
        <w:tab/>
        <w:t>I argue that the low number of cases of tmesis in Callimachus is due to this tendency of Hellenistic Greek to use prefixed verbs. The language of Callimachus and of Hipponax shows a lower amount of tmesis when compared with the language of Archilochus, but the reasons for this are different. Thus one may suggest that Callimachus has Archilochus, not Hipponax, in mind as his model for structuring iambic sentences.</w:t>
      </w:r>
    </w:p>
    <w:p w14:paraId="16CE9D64" w14:textId="77777777" w:rsidR="00E12711" w:rsidRPr="001C5EA4" w:rsidRDefault="00E12711" w:rsidP="00D238A0">
      <w:pPr>
        <w:tabs>
          <w:tab w:val="clear" w:pos="425"/>
          <w:tab w:val="left" w:pos="426"/>
          <w:tab w:val="left" w:pos="7410"/>
        </w:tabs>
        <w:rPr>
          <w:rFonts w:cs="Times New Roman"/>
          <w:szCs w:val="24"/>
          <w:lang w:val="en-US"/>
        </w:rPr>
      </w:pPr>
      <w:r w:rsidRPr="001C5EA4">
        <w:rPr>
          <w:rFonts w:cs="Times New Roman"/>
          <w:szCs w:val="24"/>
          <w:lang w:val="en-US"/>
        </w:rPr>
        <w:tab/>
      </w:r>
    </w:p>
    <w:p w14:paraId="0F78B43D" w14:textId="0EDA8615" w:rsidR="00E12711" w:rsidRPr="004E03FF" w:rsidRDefault="00E12711" w:rsidP="006E597E">
      <w:pPr>
        <w:tabs>
          <w:tab w:val="clear" w:pos="425"/>
          <w:tab w:val="left" w:pos="426"/>
        </w:tabs>
        <w:rPr>
          <w:rFonts w:cs="Times New Roman"/>
          <w:szCs w:val="24"/>
          <w:lang w:val="en-US"/>
        </w:rPr>
      </w:pPr>
      <w:r w:rsidRPr="001C5EA4">
        <w:rPr>
          <w:rFonts w:cs="Times New Roman"/>
          <w:szCs w:val="24"/>
          <w:lang w:val="en-US"/>
        </w:rPr>
        <w:t xml:space="preserve">Finally, I would like to consider tmesis from </w:t>
      </w:r>
      <w:r w:rsidR="00D808B7">
        <w:rPr>
          <w:rFonts w:cs="Times New Roman"/>
          <w:szCs w:val="24"/>
          <w:lang w:val="en-US"/>
        </w:rPr>
        <w:t xml:space="preserve">a broader </w:t>
      </w:r>
      <w:r w:rsidRPr="001C5EA4">
        <w:rPr>
          <w:rFonts w:cs="Times New Roman"/>
          <w:szCs w:val="24"/>
          <w:lang w:val="en-US"/>
        </w:rPr>
        <w:t>perspective</w:t>
      </w:r>
      <w:r w:rsidR="00D808B7">
        <w:rPr>
          <w:rFonts w:cs="Times New Roman"/>
          <w:szCs w:val="24"/>
          <w:lang w:val="en-US"/>
        </w:rPr>
        <w:t>,</w:t>
      </w:r>
      <w:r w:rsidR="00D808B7">
        <w:rPr>
          <w:rStyle w:val="FootnoteReference"/>
          <w:rFonts w:cs="Times New Roman"/>
          <w:szCs w:val="24"/>
          <w:lang w:val="en-US"/>
        </w:rPr>
        <w:footnoteReference w:id="359"/>
      </w:r>
      <w:r w:rsidR="00D808B7">
        <w:rPr>
          <w:rFonts w:cs="Times New Roman"/>
          <w:szCs w:val="24"/>
          <w:lang w:val="en-US"/>
        </w:rPr>
        <w:t xml:space="preserve"> that is not only as the status of compound words prior to univerbation. Indeed,</w:t>
      </w:r>
      <w:r w:rsidRPr="001C5EA4">
        <w:rPr>
          <w:rFonts w:cs="Times New Roman"/>
          <w:szCs w:val="24"/>
          <w:lang w:val="en-US"/>
        </w:rPr>
        <w:t xml:space="preserve"> tmesis may result </w:t>
      </w:r>
      <w:r w:rsidR="00D808B7">
        <w:rPr>
          <w:rFonts w:cs="Times New Roman"/>
          <w:szCs w:val="24"/>
          <w:lang w:val="en-US"/>
        </w:rPr>
        <w:t xml:space="preserve">also </w:t>
      </w:r>
      <w:r w:rsidRPr="001C5EA4">
        <w:rPr>
          <w:rFonts w:cs="Times New Roman"/>
          <w:szCs w:val="24"/>
          <w:lang w:val="en-US"/>
        </w:rPr>
        <w:t>from the insertion of another element into the space framed by an agglutinated word. In this case, tmesis creates a larger composite expression, one that is composed of preverb + embedded element + verb.</w:t>
      </w:r>
      <w:r w:rsidRPr="001C5EA4">
        <w:rPr>
          <w:rStyle w:val="FootnoteReference"/>
          <w:rFonts w:cs="Times New Roman"/>
          <w:szCs w:val="24"/>
          <w:lang w:val="en-US"/>
        </w:rPr>
        <w:footnoteReference w:id="360"/>
      </w:r>
      <w:r w:rsidRPr="001C5EA4">
        <w:rPr>
          <w:rFonts w:cs="Times New Roman"/>
          <w:szCs w:val="24"/>
          <w:lang w:val="en-US"/>
        </w:rPr>
        <w:t xml:space="preserve"> Mithun</w:t>
      </w:r>
      <w:r w:rsidR="00075F5F">
        <w:rPr>
          <w:rFonts w:cs="Times New Roman"/>
          <w:szCs w:val="24"/>
          <w:lang w:val="en-US"/>
        </w:rPr>
        <w:t>’</w:t>
      </w:r>
      <w:r w:rsidRPr="001C5EA4">
        <w:rPr>
          <w:rFonts w:cs="Times New Roman"/>
          <w:szCs w:val="24"/>
          <w:lang w:val="en-US"/>
        </w:rPr>
        <w:t>s studies</w:t>
      </w:r>
      <w:r w:rsidRPr="001C5EA4">
        <w:rPr>
          <w:rStyle w:val="FootnoteReference"/>
          <w:rFonts w:cs="Times New Roman"/>
          <w:szCs w:val="24"/>
          <w:lang w:val="en-US"/>
        </w:rPr>
        <w:footnoteReference w:id="361"/>
      </w:r>
      <w:r w:rsidRPr="001C5EA4">
        <w:rPr>
          <w:rFonts w:cs="Times New Roman"/>
          <w:szCs w:val="24"/>
          <w:lang w:val="en-US"/>
        </w:rPr>
        <w:t xml:space="preserve"> have revealed that a structure with noun incorporation expresses stronger cognitive bonds between constituents than its analytical </w:t>
      </w:r>
      <w:r w:rsidRPr="001C5EA4">
        <w:rPr>
          <w:rFonts w:cs="Times New Roman"/>
          <w:szCs w:val="24"/>
          <w:lang w:val="en-US"/>
        </w:rPr>
        <w:lastRenderedPageBreak/>
        <w:t>counterpart, and, consequently, it is very often used to express name-worthy.</w:t>
      </w:r>
      <w:r w:rsidRPr="001C5EA4">
        <w:rPr>
          <w:rStyle w:val="FootnoteReference"/>
          <w:rFonts w:cs="Times New Roman"/>
          <w:szCs w:val="24"/>
          <w:lang w:val="en-US"/>
        </w:rPr>
        <w:footnoteReference w:id="362"/>
      </w:r>
      <w:r w:rsidRPr="001C5EA4">
        <w:rPr>
          <w:rFonts w:cs="Times New Roman"/>
          <w:szCs w:val="24"/>
          <w:lang w:val="en-US"/>
        </w:rPr>
        <w:t xml:space="preserve"> In iambic texts tmesis sometimes marks semantically relevant words, as for example in Archil. fr. 107 τοῖος ἀνθρώποισι θυμός γίνεται θνητοῖς, ὁποίην Ζε</w:t>
      </w:r>
      <w:r w:rsidRPr="004E03FF">
        <w:rPr>
          <w:rFonts w:cs="Times New Roman"/>
          <w:szCs w:val="24"/>
          <w:lang w:val="en-US"/>
        </w:rPr>
        <w:t>ὺς ἐφ</w:t>
      </w:r>
      <w:r w:rsidR="00075F5F">
        <w:rPr>
          <w:rFonts w:cs="Times New Roman"/>
          <w:szCs w:val="24"/>
          <w:lang w:val="en-US"/>
        </w:rPr>
        <w:t>’</w:t>
      </w:r>
      <w:r w:rsidRPr="004E03FF">
        <w:rPr>
          <w:rFonts w:cs="Times New Roman"/>
          <w:szCs w:val="24"/>
          <w:lang w:val="en-US"/>
        </w:rPr>
        <w:t xml:space="preserve"> ἡ</w:t>
      </w:r>
      <w:r w:rsidRPr="00D238A0">
        <w:rPr>
          <w:rFonts w:cs="Times New Roman"/>
          <w:szCs w:val="24"/>
          <w:lang w:val="en-US"/>
        </w:rPr>
        <w:t xml:space="preserve">μέρην ἄγηι </w:t>
      </w:r>
      <w:r w:rsidR="00CC0615">
        <w:rPr>
          <w:rFonts w:cs="Times New Roman"/>
          <w:szCs w:val="24"/>
          <w:lang w:val="en-US"/>
        </w:rPr>
        <w:t>“</w:t>
      </w:r>
      <w:r w:rsidRPr="00D238A0">
        <w:rPr>
          <w:rFonts w:cs="Times New Roman"/>
          <w:szCs w:val="24"/>
          <w:lang w:val="en-US"/>
        </w:rPr>
        <w:t>the mood of mortals varies with the day that Zeus brings on,</w:t>
      </w:r>
      <w:r w:rsidR="00CC0615">
        <w:rPr>
          <w:rFonts w:cs="Times New Roman"/>
          <w:szCs w:val="24"/>
          <w:lang w:val="en-US"/>
        </w:rPr>
        <w:t>”</w:t>
      </w:r>
      <w:r w:rsidRPr="00D238A0">
        <w:rPr>
          <w:rFonts w:cs="Times New Roman"/>
          <w:szCs w:val="24"/>
          <w:lang w:val="en-US"/>
        </w:rPr>
        <w:t xml:space="preserve"> where the notion of </w:t>
      </w:r>
      <w:r w:rsidR="00CC0615">
        <w:rPr>
          <w:rFonts w:cs="Times New Roman"/>
          <w:szCs w:val="24"/>
          <w:lang w:val="en-US"/>
        </w:rPr>
        <w:t>“</w:t>
      </w:r>
      <w:r w:rsidRPr="00D238A0">
        <w:rPr>
          <w:rFonts w:cs="Times New Roman"/>
          <w:szCs w:val="24"/>
          <w:lang w:val="en-US"/>
        </w:rPr>
        <w:t>day,</w:t>
      </w:r>
      <w:r w:rsidR="00CC0615">
        <w:rPr>
          <w:rFonts w:cs="Times New Roman"/>
          <w:szCs w:val="24"/>
          <w:lang w:val="en-US"/>
        </w:rPr>
        <w:t>”</w:t>
      </w:r>
      <w:r w:rsidRPr="00D238A0">
        <w:rPr>
          <w:rFonts w:cs="Times New Roman"/>
          <w:szCs w:val="24"/>
          <w:lang w:val="en-US"/>
        </w:rPr>
        <w:t xml:space="preserve"> is important since it reveals the variability and the shortness which characterises human life; and in Hippon. fr. 194.15 ὅς μ</w:t>
      </w:r>
      <w:r w:rsidR="00075F5F">
        <w:rPr>
          <w:rFonts w:cs="Times New Roman"/>
          <w:szCs w:val="24"/>
          <w:lang w:val="en-US"/>
        </w:rPr>
        <w:t>’</w:t>
      </w:r>
      <w:r w:rsidRPr="00D238A0">
        <w:rPr>
          <w:rFonts w:cs="Times New Roman"/>
          <w:szCs w:val="24"/>
          <w:lang w:val="en-US"/>
        </w:rPr>
        <w:t xml:space="preserve"> ἠδίκησε, λὰ</w:t>
      </w:r>
      <w:r w:rsidRPr="001C5EA4">
        <w:rPr>
          <w:rFonts w:cs="Times New Roman"/>
          <w:szCs w:val="24"/>
          <w:lang w:val="en-US"/>
        </w:rPr>
        <w:t>ξ δ</w:t>
      </w:r>
      <w:r w:rsidR="00075F5F">
        <w:rPr>
          <w:rFonts w:cs="Times New Roman"/>
          <w:szCs w:val="24"/>
          <w:lang w:val="en-US"/>
        </w:rPr>
        <w:t>’</w:t>
      </w:r>
      <w:r w:rsidRPr="001C5EA4">
        <w:rPr>
          <w:rFonts w:cs="Times New Roman"/>
          <w:szCs w:val="24"/>
          <w:lang w:val="en-US"/>
        </w:rPr>
        <w:t xml:space="preserve"> ἐπ</w:t>
      </w:r>
      <w:r w:rsidR="00075F5F">
        <w:rPr>
          <w:rFonts w:cs="Times New Roman"/>
          <w:szCs w:val="24"/>
          <w:lang w:val="en-US"/>
        </w:rPr>
        <w:t>’</w:t>
      </w:r>
      <w:r w:rsidRPr="001C5EA4">
        <w:rPr>
          <w:rFonts w:cs="Times New Roman"/>
          <w:szCs w:val="24"/>
          <w:lang w:val="en-US"/>
        </w:rPr>
        <w:t xml:space="preserve"> ὁρκίοις ἔβη </w:t>
      </w:r>
      <w:r w:rsidR="00CC0615">
        <w:rPr>
          <w:rFonts w:cs="Times New Roman"/>
          <w:szCs w:val="24"/>
          <w:lang w:val="en-US"/>
        </w:rPr>
        <w:t>“</w:t>
      </w:r>
      <w:r w:rsidRPr="001C5EA4">
        <w:rPr>
          <w:rFonts w:cs="Times New Roman"/>
          <w:szCs w:val="24"/>
          <w:lang w:val="en-US"/>
        </w:rPr>
        <w:t>who treated me injustly by trampling on his oaths,</w:t>
      </w:r>
      <w:r w:rsidR="00CC0615">
        <w:rPr>
          <w:rFonts w:cs="Times New Roman"/>
          <w:szCs w:val="24"/>
          <w:lang w:val="en-US"/>
        </w:rPr>
        <w:t>”</w:t>
      </w:r>
      <w:r w:rsidRPr="001C5EA4">
        <w:rPr>
          <w:rFonts w:cs="Times New Roman"/>
          <w:szCs w:val="24"/>
          <w:lang w:val="en-US"/>
        </w:rPr>
        <w:t xml:space="preserve"> where </w:t>
      </w:r>
      <w:r w:rsidR="00CC0615">
        <w:rPr>
          <w:rFonts w:cs="Times New Roman"/>
          <w:szCs w:val="24"/>
          <w:lang w:val="en-US"/>
        </w:rPr>
        <w:t>“</w:t>
      </w:r>
      <w:r w:rsidRPr="001C5EA4">
        <w:rPr>
          <w:rFonts w:cs="Times New Roman"/>
          <w:szCs w:val="24"/>
          <w:lang w:val="en-US"/>
        </w:rPr>
        <w:t>oaths</w:t>
      </w:r>
      <w:r w:rsidR="00CC0615">
        <w:rPr>
          <w:rFonts w:cs="Times New Roman"/>
          <w:szCs w:val="24"/>
          <w:lang w:val="en-US"/>
        </w:rPr>
        <w:t>”</w:t>
      </w:r>
      <w:r w:rsidRPr="001C5EA4">
        <w:rPr>
          <w:rFonts w:cs="Times New Roman"/>
          <w:szCs w:val="24"/>
          <w:lang w:val="en-US"/>
        </w:rPr>
        <w:t xml:space="preserve"> is the semantic cornerstone, since the injustice</w:t>
      </w:r>
      <w:r w:rsidRPr="004E03FF">
        <w:rPr>
          <w:rFonts w:cs="Times New Roman"/>
          <w:szCs w:val="24"/>
          <w:lang w:val="en-US"/>
        </w:rPr>
        <w:t xml:space="preserve"> violated something as sacred as an oath.</w:t>
      </w:r>
    </w:p>
    <w:p w14:paraId="24A73066" w14:textId="47D5CC5A" w:rsidR="00E12711" w:rsidRPr="001C5EA4" w:rsidRDefault="00E12711" w:rsidP="00D238A0">
      <w:pPr>
        <w:tabs>
          <w:tab w:val="clear" w:pos="425"/>
          <w:tab w:val="left" w:pos="426"/>
        </w:tabs>
        <w:rPr>
          <w:rFonts w:cs="Times New Roman"/>
          <w:szCs w:val="24"/>
          <w:lang w:val="en-US"/>
        </w:rPr>
      </w:pPr>
      <w:r w:rsidRPr="00D238A0">
        <w:rPr>
          <w:rFonts w:cs="Times New Roman"/>
          <w:szCs w:val="24"/>
          <w:lang w:val="en-US"/>
        </w:rPr>
        <w:tab/>
        <w:t>In keeping with the previous iambic tradition, Callimachus</w:t>
      </w:r>
      <w:r w:rsidR="00075F5F">
        <w:rPr>
          <w:rFonts w:cs="Times New Roman"/>
          <w:szCs w:val="24"/>
          <w:lang w:val="en-US"/>
        </w:rPr>
        <w:t>’</w:t>
      </w:r>
      <w:r w:rsidRPr="00D238A0">
        <w:rPr>
          <w:rFonts w:cs="Times New Roman"/>
          <w:szCs w:val="24"/>
          <w:lang w:val="en-US"/>
        </w:rPr>
        <w:t xml:space="preserve"> </w:t>
      </w:r>
      <w:r w:rsidRPr="00D238A0">
        <w:rPr>
          <w:rFonts w:cs="Times New Roman"/>
          <w:i/>
          <w:iCs/>
          <w:szCs w:val="24"/>
          <w:lang w:val="en-US"/>
        </w:rPr>
        <w:t>Iambi</w:t>
      </w:r>
      <w:r w:rsidRPr="00D238A0">
        <w:rPr>
          <w:rFonts w:cs="Times New Roman"/>
          <w:szCs w:val="24"/>
          <w:lang w:val="en-US"/>
        </w:rPr>
        <w:t xml:space="preserve"> show one case (only one) of incorporation of nouns between preverb and verb. This involves a semantically hyper-marked name. Indeed, Call. </w:t>
      </w:r>
      <w:r w:rsidRPr="00D238A0">
        <w:rPr>
          <w:rFonts w:cs="Times New Roman"/>
          <w:i/>
          <w:iCs/>
          <w:szCs w:val="24"/>
          <w:lang w:val="en-US"/>
        </w:rPr>
        <w:t>Ia.</w:t>
      </w:r>
      <w:r w:rsidRPr="00D238A0">
        <w:rPr>
          <w:rFonts w:cs="Times New Roman"/>
          <w:szCs w:val="24"/>
          <w:lang w:val="en-US"/>
        </w:rPr>
        <w:t xml:space="preserve"> 13.15 says ἀλλ</w:t>
      </w:r>
      <w:r w:rsidR="00075F5F">
        <w:rPr>
          <w:rFonts w:cs="Times New Roman"/>
          <w:szCs w:val="24"/>
          <w:lang w:val="en-US"/>
        </w:rPr>
        <w:t>’</w:t>
      </w:r>
      <w:r w:rsidRPr="00D238A0">
        <w:rPr>
          <w:rFonts w:cs="Times New Roman"/>
          <w:szCs w:val="24"/>
          <w:lang w:val="en-US"/>
        </w:rPr>
        <w:t xml:space="preserve"> εἴ τι θυμὸν ἢ </w:t>
      </w:r>
      <w:r w:rsidR="00075F5F">
        <w:rPr>
          <w:rFonts w:cs="Times New Roman"/>
          <w:szCs w:val="24"/>
          <w:lang w:val="en-US"/>
        </w:rPr>
        <w:t>‘</w:t>
      </w:r>
      <w:r w:rsidRPr="00D238A0">
        <w:rPr>
          <w:rFonts w:cs="Times New Roman"/>
          <w:szCs w:val="24"/>
          <w:lang w:val="en-US"/>
        </w:rPr>
        <w:t>πὶ </w:t>
      </w:r>
      <w:r w:rsidRPr="001C5EA4">
        <w:rPr>
          <w:rFonts w:cs="Times New Roman"/>
          <w:szCs w:val="24"/>
          <w:lang w:val="en-US"/>
        </w:rPr>
        <w:t xml:space="preserve">γαστέρα πνεύσ[ </w:t>
      </w:r>
      <w:r w:rsidR="00CC0615">
        <w:rPr>
          <w:rFonts w:cs="Times New Roman"/>
          <w:szCs w:val="24"/>
          <w:lang w:val="en-US"/>
        </w:rPr>
        <w:t>“</w:t>
      </w:r>
      <w:r w:rsidRPr="001C5EA4">
        <w:rPr>
          <w:rFonts w:cs="Times New Roman"/>
          <w:szCs w:val="24"/>
          <w:lang w:val="en-US"/>
        </w:rPr>
        <w:t>But if in regard inspires heart or stomach.</w:t>
      </w:r>
      <w:r w:rsidR="00CC0615">
        <w:rPr>
          <w:rFonts w:cs="Times New Roman"/>
          <w:szCs w:val="24"/>
          <w:lang w:val="en-US"/>
        </w:rPr>
        <w:t>”</w:t>
      </w:r>
      <w:r w:rsidRPr="001C5EA4">
        <w:rPr>
          <w:rFonts w:cs="Times New Roman"/>
          <w:szCs w:val="24"/>
          <w:lang w:val="en-US"/>
        </w:rPr>
        <w:t xml:space="preserve"> Here γαστήρ is the word which makes clear what kind of poetic inspiration Callimachus is referring to. It also guides the interpretation of the preceding θυμόν into an iambically marked allusion (as I argue in chapter </w:t>
      </w:r>
      <w:r w:rsidR="00DF60FA">
        <w:rPr>
          <w:rFonts w:cs="Times New Roman"/>
          <w:szCs w:val="24"/>
          <w:lang w:val="en-US"/>
        </w:rPr>
        <w:t>3</w:t>
      </w:r>
      <w:r w:rsidRPr="001C5EA4">
        <w:rPr>
          <w:rFonts w:cs="Times New Roman"/>
          <w:szCs w:val="24"/>
          <w:lang w:val="en-US"/>
        </w:rPr>
        <w:t>.4).</w:t>
      </w:r>
    </w:p>
    <w:p w14:paraId="339C4DBC" w14:textId="11F55D7A" w:rsidR="006512C4" w:rsidRPr="005A192C" w:rsidRDefault="006512C4" w:rsidP="00327853">
      <w:pPr>
        <w:pStyle w:val="Heading3"/>
        <w:rPr>
          <w:u w:val="single"/>
        </w:rPr>
      </w:pPr>
      <w:r>
        <w:t xml:space="preserve">2.5 </w:t>
      </w:r>
      <w:r w:rsidRPr="005C2B2E">
        <w:t>Word Order</w:t>
      </w:r>
    </w:p>
    <w:p w14:paraId="4F319E7C" w14:textId="476EFC41" w:rsidR="00E12711" w:rsidRDefault="00E12711" w:rsidP="00D238A0">
      <w:pPr>
        <w:spacing w:after="120"/>
        <w:rPr>
          <w:lang w:val="en-US"/>
        </w:rPr>
      </w:pPr>
      <w:r>
        <w:rPr>
          <w:lang w:val="en-US"/>
        </w:rPr>
        <w:t>Ancient Greek exhibits a large proportion of simple declarative sentences in the fol</w:t>
      </w:r>
      <w:r w:rsidR="00B33738">
        <w:rPr>
          <w:lang w:val="en-US"/>
        </w:rPr>
        <w:t xml:space="preserve">lowing pragmatic order: TOPIC – FOCUS – VERB - </w:t>
      </w:r>
      <w:r>
        <w:rPr>
          <w:lang w:val="en-US"/>
        </w:rPr>
        <w:t xml:space="preserve">REMAINDER. This simple scheme must be qualified in a number of respects: </w:t>
      </w:r>
    </w:p>
    <w:p w14:paraId="3D99CC7F" w14:textId="5159663E" w:rsidR="00E12711" w:rsidRPr="001C5EA4" w:rsidRDefault="00E12711" w:rsidP="006E597E">
      <w:pPr>
        <w:numPr>
          <w:ilvl w:val="0"/>
          <w:numId w:val="189"/>
        </w:numPr>
        <w:tabs>
          <w:tab w:val="left" w:pos="720"/>
        </w:tabs>
        <w:ind w:left="714" w:hanging="357"/>
        <w:rPr>
          <w:rFonts w:cs="Times New Roman"/>
          <w:szCs w:val="24"/>
          <w:lang w:val="en-US"/>
        </w:rPr>
      </w:pPr>
      <w:r w:rsidRPr="001C5EA4">
        <w:rPr>
          <w:rFonts w:cs="Times New Roman"/>
          <w:szCs w:val="24"/>
          <w:lang w:val="en-US"/>
        </w:rPr>
        <w:t>The topic function may be empty where the topic is obvious to both speaker and addressee; in Greek, for instance, a subject noun or pronoun is not required because the subject is continued from the preceding discourse. Although usually a matter of shared knowledge or presupposition, the topic sometimes involves new material, as at the beginning of an extended message or narrative; or when two or more topics are set in contrast or enumerated. This often happens in Greek because of the frequency of antit</w:t>
      </w:r>
      <w:r w:rsidR="00731814">
        <w:rPr>
          <w:rFonts w:cs="Times New Roman"/>
          <w:szCs w:val="24"/>
          <w:lang w:val="en-US"/>
        </w:rPr>
        <w:t>heses or enumerations using μεν–</w:t>
      </w:r>
      <w:r w:rsidRPr="001C5EA4">
        <w:rPr>
          <w:rFonts w:cs="Times New Roman"/>
          <w:szCs w:val="24"/>
          <w:lang w:val="en-US"/>
        </w:rPr>
        <w:t>δε</w:t>
      </w:r>
      <w:r w:rsidRPr="00D238A0">
        <w:rPr>
          <w:rFonts w:cs="Times New Roman"/>
          <w:szCs w:val="24"/>
          <w:lang w:val="en-US"/>
        </w:rPr>
        <w:t>.</w:t>
      </w:r>
    </w:p>
    <w:p w14:paraId="5046E89F" w14:textId="77777777" w:rsidR="00E12711" w:rsidRPr="001C5EA4" w:rsidRDefault="00E12711" w:rsidP="006E597E">
      <w:pPr>
        <w:numPr>
          <w:ilvl w:val="0"/>
          <w:numId w:val="189"/>
        </w:numPr>
        <w:tabs>
          <w:tab w:val="left" w:pos="720"/>
        </w:tabs>
        <w:ind w:left="714" w:hanging="357"/>
        <w:rPr>
          <w:rFonts w:cs="Times New Roman"/>
          <w:szCs w:val="24"/>
          <w:lang w:val="en-US"/>
        </w:rPr>
      </w:pPr>
      <w:r w:rsidRPr="001C5EA4">
        <w:rPr>
          <w:rFonts w:cs="Times New Roman"/>
          <w:szCs w:val="24"/>
          <w:lang w:val="en-US"/>
        </w:rPr>
        <w:t xml:space="preserve">The verb may serve as the focus, reducing the scheme to TOPIC - FOCUS/VERB - REMAINDER. </w:t>
      </w:r>
    </w:p>
    <w:p w14:paraId="4B56F65A" w14:textId="77777777" w:rsidR="00E12711" w:rsidRPr="004E03FF" w:rsidRDefault="00E12711" w:rsidP="006E597E">
      <w:pPr>
        <w:numPr>
          <w:ilvl w:val="0"/>
          <w:numId w:val="189"/>
        </w:numPr>
        <w:tabs>
          <w:tab w:val="left" w:pos="720"/>
        </w:tabs>
        <w:ind w:left="714" w:hanging="357"/>
        <w:rPr>
          <w:rFonts w:cs="Times New Roman"/>
          <w:szCs w:val="24"/>
          <w:lang w:val="en-US"/>
        </w:rPr>
      </w:pPr>
      <w:r w:rsidRPr="004E03FF">
        <w:rPr>
          <w:rFonts w:cs="Times New Roman"/>
          <w:szCs w:val="24"/>
          <w:lang w:val="en-US"/>
        </w:rPr>
        <w:t xml:space="preserve">In some contexts, the verb may serve as the topic, again reducing the scheme, this time to TOPIC/VERB - FOCUS - REMAINDER. </w:t>
      </w:r>
    </w:p>
    <w:p w14:paraId="6235A552" w14:textId="77777777" w:rsidR="00E12711" w:rsidRPr="00D238A0" w:rsidRDefault="00E12711" w:rsidP="006E597E">
      <w:pPr>
        <w:numPr>
          <w:ilvl w:val="0"/>
          <w:numId w:val="189"/>
        </w:numPr>
        <w:tabs>
          <w:tab w:val="left" w:pos="720"/>
        </w:tabs>
        <w:ind w:left="714" w:hanging="357"/>
        <w:rPr>
          <w:rFonts w:cs="Times New Roman"/>
          <w:szCs w:val="24"/>
          <w:lang w:val="en-US"/>
        </w:rPr>
      </w:pPr>
      <w:r w:rsidRPr="00D238A0">
        <w:rPr>
          <w:rFonts w:cs="Times New Roman"/>
          <w:szCs w:val="24"/>
          <w:lang w:val="en-US"/>
        </w:rPr>
        <w:lastRenderedPageBreak/>
        <w:t xml:space="preserve">The focus may be a phrase (such as a verb and its argument or object) rather than a single word. In more complex sentences, material often precedes the topic position; this provides background information or sets the scene, taking the form of an adverbial phrase, a temporal clause, a genitive absolute, or similar. </w:t>
      </w:r>
    </w:p>
    <w:p w14:paraId="3F1437B2" w14:textId="01B4CCEF" w:rsidR="00E12711" w:rsidRPr="00D238A0" w:rsidRDefault="00E12711" w:rsidP="00D238A0">
      <w:pPr>
        <w:spacing w:before="120"/>
        <w:rPr>
          <w:rFonts w:cs="Times New Roman"/>
          <w:szCs w:val="24"/>
          <w:lang w:val="en-US"/>
        </w:rPr>
      </w:pPr>
      <w:r w:rsidRPr="00D238A0">
        <w:rPr>
          <w:rFonts w:cs="Times New Roman"/>
          <w:szCs w:val="24"/>
          <w:lang w:val="en-US"/>
        </w:rPr>
        <w:t>This outline indicates the considerable scope for variation in the order of subject, verb, and object. Greek offers many examples of both SVO (subject-verb-object) and SOV (subject</w:t>
      </w:r>
      <w:r w:rsidR="006E597E">
        <w:rPr>
          <w:rFonts w:cs="Times New Roman"/>
          <w:szCs w:val="24"/>
          <w:lang w:val="en-US"/>
        </w:rPr>
        <w:t>-</w:t>
      </w:r>
      <w:r w:rsidRPr="00D238A0">
        <w:rPr>
          <w:rFonts w:cs="Times New Roman"/>
          <w:szCs w:val="24"/>
          <w:lang w:val="en-US"/>
        </w:rPr>
        <w:t>object</w:t>
      </w:r>
      <w:r w:rsidR="006E597E">
        <w:rPr>
          <w:rFonts w:cs="Times New Roman"/>
          <w:szCs w:val="24"/>
          <w:lang w:val="en-US"/>
        </w:rPr>
        <w:t>-</w:t>
      </w:r>
      <w:r w:rsidRPr="00D238A0">
        <w:rPr>
          <w:rFonts w:cs="Times New Roman"/>
          <w:szCs w:val="24"/>
          <w:lang w:val="en-US"/>
        </w:rPr>
        <w:t xml:space="preserve">verb), as well as other less frequent permutations. Subjects are commonly topics and very often appear early in the sentence, sometimes with scene-setting information that precedes or follows in parenthetic fashion before the focus and verb. Objects are often the focus and end up before the verb, but in various circumstances the object may not be pragmatically marked (for instance, a modifier of the object may be marked, but not the object noun itself) and may therefore follow the verb. </w:t>
      </w:r>
    </w:p>
    <w:p w14:paraId="05A979A4" w14:textId="77777777" w:rsidR="00E12711" w:rsidRPr="00D238A0" w:rsidRDefault="00E12711" w:rsidP="004E03FF">
      <w:pPr>
        <w:rPr>
          <w:rFonts w:cs="Times New Roman"/>
          <w:szCs w:val="24"/>
          <w:lang w:val="en-US"/>
        </w:rPr>
      </w:pPr>
      <w:r w:rsidRPr="00D238A0">
        <w:rPr>
          <w:rFonts w:cs="Times New Roman"/>
          <w:szCs w:val="24"/>
          <w:lang w:val="en-US"/>
        </w:rPr>
        <w:tab/>
        <w:t xml:space="preserve">As iambics are poetic texts written in lines, it is useful to consider the topic of word order in terms of the trimeter structure. Although iambographers also use other kinds of metre, the trimeter is </w:t>
      </w:r>
      <w:r w:rsidRPr="00D238A0">
        <w:rPr>
          <w:rFonts w:cs="Times New Roman"/>
          <w:i/>
          <w:iCs/>
          <w:szCs w:val="24"/>
          <w:lang w:val="en-US"/>
        </w:rPr>
        <w:t>par excellence</w:t>
      </w:r>
      <w:r w:rsidRPr="00D238A0">
        <w:rPr>
          <w:rFonts w:cs="Times New Roman"/>
          <w:szCs w:val="24"/>
          <w:lang w:val="en-US"/>
        </w:rPr>
        <w:t xml:space="preserve"> the exemplar of iambic poetry (</w:t>
      </w:r>
      <w:r w:rsidRPr="00D238A0">
        <w:rPr>
          <w:rFonts w:cs="Times New Roman"/>
          <w:b/>
          <w:bCs/>
          <w:szCs w:val="24"/>
          <w:lang w:val="en-US"/>
        </w:rPr>
        <w:t>2</w:t>
      </w:r>
      <w:r w:rsidRPr="00D238A0">
        <w:rPr>
          <w:rFonts w:cs="Times New Roman"/>
          <w:szCs w:val="24"/>
          <w:lang w:val="en-US"/>
        </w:rPr>
        <w:t xml:space="preserve"> D.1). In the following discussion, I will analyse the relationship between line and clause, indicating the </w:t>
      </w:r>
      <w:r w:rsidRPr="00D238A0">
        <w:rPr>
          <w:rFonts w:cs="Times New Roman"/>
          <w:i/>
          <w:iCs/>
          <w:szCs w:val="24"/>
          <w:lang w:val="en-US"/>
        </w:rPr>
        <w:t>loca</w:t>
      </w:r>
      <w:r w:rsidRPr="00D238A0">
        <w:rPr>
          <w:rFonts w:cs="Times New Roman"/>
          <w:szCs w:val="24"/>
          <w:lang w:val="en-US"/>
        </w:rPr>
        <w:t xml:space="preserve"> for salient words in each iambographer, and how information is stressed by placing words in strategic positions. </w:t>
      </w:r>
    </w:p>
    <w:p w14:paraId="51AC311D" w14:textId="77777777" w:rsidR="00E12711" w:rsidRPr="001C5EA4" w:rsidRDefault="00E12711" w:rsidP="004E03FF">
      <w:pPr>
        <w:rPr>
          <w:rFonts w:cs="Times New Roman"/>
          <w:szCs w:val="24"/>
          <w:lang w:val="en-US"/>
        </w:rPr>
      </w:pPr>
      <w:r w:rsidRPr="00D238A0">
        <w:rPr>
          <w:rFonts w:cs="Times New Roman"/>
          <w:szCs w:val="24"/>
          <w:lang w:val="en-US"/>
        </w:rPr>
        <w:tab/>
        <w:t>Scholars had always treated line beginnings and ends as positions of emphasis in trimeter until Dik 2007</w:t>
      </w:r>
      <w:r w:rsidRPr="001C5EA4">
        <w:rPr>
          <w:rStyle w:val="FootnoteReference"/>
          <w:rFonts w:cs="Times New Roman"/>
          <w:szCs w:val="24"/>
          <w:lang w:val="en-US"/>
        </w:rPr>
        <w:footnoteReference w:id="363"/>
      </w:r>
      <w:r w:rsidRPr="00D238A0">
        <w:rPr>
          <w:rFonts w:cs="Times New Roman"/>
          <w:szCs w:val="24"/>
          <w:lang w:val="en-US"/>
        </w:rPr>
        <w:t xml:space="preserve"> demonstrated that there is little evidence to support this claim in the case of line ends. The beginning of the line is, however, another matter. In iambic fragments, the beginning of the line is also the beginning of a clause, so that reading the first word in a line as a marked one accords both with my analysis of how iambographers use clauses and with traditional assumptions. As the correlation of line-beginning with clause-beginning is so strong in iambs, it is to be expected that a native listener would tend to think of all line </w:t>
      </w:r>
      <w:r w:rsidRPr="001C5EA4">
        <w:rPr>
          <w:rFonts w:cs="Times New Roman"/>
          <w:szCs w:val="24"/>
          <w:lang w:val="en-US"/>
        </w:rPr>
        <w:t xml:space="preserve">beginnings as loci for marked words. </w:t>
      </w:r>
    </w:p>
    <w:p w14:paraId="55E509A3" w14:textId="77777777" w:rsidR="00E12711" w:rsidRPr="001C5EA4" w:rsidRDefault="00E12711" w:rsidP="00D238A0">
      <w:pPr>
        <w:rPr>
          <w:rFonts w:cs="Times New Roman"/>
          <w:szCs w:val="24"/>
          <w:lang w:val="en-US"/>
        </w:rPr>
      </w:pPr>
      <w:r w:rsidRPr="001C5EA4">
        <w:rPr>
          <w:rFonts w:cs="Times New Roman"/>
          <w:szCs w:val="24"/>
          <w:lang w:val="en-US"/>
        </w:rPr>
        <w:tab/>
        <w:t>It is possible to trace an evolution in the use of trimeter through the three iambographers. Where Archilochus uses it in th</w:t>
      </w:r>
      <w:r w:rsidRPr="004E03FF">
        <w:rPr>
          <w:rFonts w:cs="Times New Roman"/>
          <w:szCs w:val="24"/>
          <w:lang w:val="en-US"/>
        </w:rPr>
        <w:t xml:space="preserve">e most rigid way, in which the line very often corresponds to the clause, Hipponax tends to use the end of the line as a chunking </w:t>
      </w:r>
      <w:r w:rsidRPr="001C5EA4">
        <w:rPr>
          <w:rFonts w:cs="Times New Roman"/>
          <w:szCs w:val="24"/>
          <w:lang w:val="en-US"/>
        </w:rPr>
        <w:t xml:space="preserve">device. Callimachus, on the other hand, often starts new clauses in the middle of the trimeter, thus breaking the correspondence between line and clause. </w:t>
      </w:r>
    </w:p>
    <w:p w14:paraId="52234051" w14:textId="1AFF9C4E" w:rsidR="004E03FF" w:rsidRPr="001C5EA4" w:rsidRDefault="00E12711" w:rsidP="00D238A0">
      <w:pPr>
        <w:rPr>
          <w:rFonts w:cs="Times New Roman"/>
          <w:szCs w:val="24"/>
          <w:lang w:val="en-US"/>
        </w:rPr>
      </w:pPr>
      <w:r w:rsidRPr="004E03FF">
        <w:rPr>
          <w:rFonts w:cs="Times New Roman"/>
          <w:szCs w:val="24"/>
          <w:lang w:val="en-US"/>
        </w:rPr>
        <w:tab/>
        <w:t xml:space="preserve">Slings describes various figures of speech (anaphora, antithesis, and chiasmus) which, as used in non-literary language, </w:t>
      </w:r>
      <w:r w:rsidR="00CC0615">
        <w:rPr>
          <w:rFonts w:cs="Times New Roman"/>
          <w:szCs w:val="24"/>
          <w:lang w:val="en-US"/>
        </w:rPr>
        <w:t>“</w:t>
      </w:r>
      <w:r w:rsidRPr="004E03FF">
        <w:rPr>
          <w:rFonts w:cs="Times New Roman"/>
          <w:szCs w:val="24"/>
          <w:lang w:val="en-US"/>
        </w:rPr>
        <w:t xml:space="preserve">all have to do with strategies devised to give </w:t>
      </w:r>
      <w:r w:rsidRPr="004E03FF">
        <w:rPr>
          <w:rFonts w:cs="Times New Roman"/>
          <w:szCs w:val="24"/>
          <w:lang w:val="en-US"/>
        </w:rPr>
        <w:lastRenderedPageBreak/>
        <w:t>maximum accessibility to the information as distributed over the clause or sentence.</w:t>
      </w:r>
      <w:r w:rsidR="00CC0615">
        <w:rPr>
          <w:rFonts w:cs="Times New Roman"/>
          <w:szCs w:val="24"/>
          <w:lang w:val="en-US"/>
        </w:rPr>
        <w:t>”</w:t>
      </w:r>
      <w:r w:rsidRPr="001C5EA4">
        <w:rPr>
          <w:rStyle w:val="FootnoteReference"/>
          <w:rFonts w:cs="Times New Roman"/>
          <w:szCs w:val="24"/>
          <w:lang w:val="en-US"/>
        </w:rPr>
        <w:footnoteReference w:id="364"/>
      </w:r>
      <w:r w:rsidRPr="001C5EA4">
        <w:rPr>
          <w:rFonts w:cs="Times New Roman"/>
          <w:szCs w:val="24"/>
          <w:lang w:val="en-US"/>
        </w:rPr>
        <w:t xml:space="preserve"> Of these, he describes anaphora as originating in natural language as a </w:t>
      </w:r>
      <w:r w:rsidR="00CC0615">
        <w:rPr>
          <w:rFonts w:cs="Times New Roman"/>
          <w:szCs w:val="24"/>
          <w:lang w:val="en-US"/>
        </w:rPr>
        <w:t>“</w:t>
      </w:r>
      <w:r w:rsidRPr="001C5EA4">
        <w:rPr>
          <w:rFonts w:cs="Times New Roman"/>
          <w:szCs w:val="24"/>
          <w:lang w:val="en-US"/>
        </w:rPr>
        <w:t>chunking device, a strategy that enables the user to distribute complex information over several clauses.</w:t>
      </w:r>
      <w:r w:rsidR="00CC0615">
        <w:rPr>
          <w:rFonts w:cs="Times New Roman"/>
          <w:szCs w:val="24"/>
          <w:lang w:val="en-US"/>
        </w:rPr>
        <w:t>”</w:t>
      </w:r>
      <w:r w:rsidRPr="001C5EA4">
        <w:rPr>
          <w:rStyle w:val="FootnoteReference"/>
          <w:rFonts w:cs="Times New Roman"/>
          <w:szCs w:val="24"/>
          <w:lang w:val="en-US"/>
        </w:rPr>
        <w:footnoteReference w:id="365"/>
      </w:r>
      <w:r w:rsidRPr="001C5EA4">
        <w:rPr>
          <w:rFonts w:cs="Times New Roman"/>
          <w:szCs w:val="24"/>
          <w:lang w:val="en-US"/>
        </w:rPr>
        <w:t xml:space="preserve"> Slings continues: </w:t>
      </w:r>
      <w:r w:rsidR="00CC0615">
        <w:rPr>
          <w:rFonts w:cs="Times New Roman"/>
          <w:szCs w:val="24"/>
          <w:lang w:val="en-US"/>
        </w:rPr>
        <w:t>“</w:t>
      </w:r>
      <w:r w:rsidRPr="001C5EA4">
        <w:rPr>
          <w:rFonts w:cs="Times New Roman"/>
          <w:szCs w:val="24"/>
          <w:lang w:val="en-US"/>
        </w:rPr>
        <w:t>Poetry, however, is not natural language use. It already has a chunking device of its own: line end.</w:t>
      </w:r>
      <w:r w:rsidR="00CC0615">
        <w:rPr>
          <w:rFonts w:cs="Times New Roman"/>
          <w:szCs w:val="24"/>
          <w:lang w:val="en-US"/>
        </w:rPr>
        <w:t>”</w:t>
      </w:r>
      <w:r w:rsidRPr="001C5EA4">
        <w:rPr>
          <w:rFonts w:cs="Times New Roman"/>
          <w:szCs w:val="24"/>
          <w:lang w:val="en-US"/>
        </w:rPr>
        <w:t xml:space="preserve"> This a reasonable argument to explain the scarcity of certain types of anaphora in poetry, but not all line ends are created equal as </w:t>
      </w:r>
      <w:r w:rsidR="00CC0615">
        <w:rPr>
          <w:rFonts w:cs="Times New Roman"/>
          <w:szCs w:val="24"/>
          <w:lang w:val="en-US"/>
        </w:rPr>
        <w:t>“</w:t>
      </w:r>
      <w:r w:rsidRPr="001C5EA4">
        <w:rPr>
          <w:rFonts w:cs="Times New Roman"/>
          <w:szCs w:val="24"/>
          <w:lang w:val="en-US"/>
        </w:rPr>
        <w:t>chunking devices.</w:t>
      </w:r>
      <w:r w:rsidR="00CC0615">
        <w:rPr>
          <w:rFonts w:cs="Times New Roman"/>
          <w:szCs w:val="24"/>
          <w:lang w:val="en-US"/>
        </w:rPr>
        <w:t>”</w:t>
      </w:r>
      <w:r w:rsidRPr="001C5EA4">
        <w:rPr>
          <w:rFonts w:cs="Times New Roman"/>
          <w:szCs w:val="24"/>
          <w:lang w:val="en-US"/>
        </w:rPr>
        <w:t xml:space="preserve"> In Archilochus, line end </w:t>
      </w:r>
      <w:r w:rsidRPr="004E03FF">
        <w:rPr>
          <w:rFonts w:cs="Times New Roman"/>
          <w:szCs w:val="24"/>
          <w:lang w:val="en-US"/>
        </w:rPr>
        <w:t>typically coincides with the end of an intonation unit, as is largely true of the Homeric epic.</w:t>
      </w:r>
      <w:r w:rsidRPr="001C5EA4">
        <w:rPr>
          <w:rStyle w:val="FootnoteReference"/>
          <w:rFonts w:cs="Times New Roman"/>
          <w:szCs w:val="24"/>
          <w:lang w:val="en-US"/>
        </w:rPr>
        <w:footnoteReference w:id="366"/>
      </w:r>
      <w:r w:rsidRPr="001C5EA4">
        <w:rPr>
          <w:rFonts w:cs="Times New Roman"/>
          <w:szCs w:val="24"/>
          <w:lang w:val="en-US"/>
        </w:rPr>
        <w:t xml:space="preserve"> Individual lines and parts of lines can therefore be interpreted in isolation, even when entire sequences frequently span multiple lines, as in Archil. fr. 54.14-15: </w:t>
      </w:r>
    </w:p>
    <w:p w14:paraId="3B30A0C8" w14:textId="77777777" w:rsidR="006512C4" w:rsidRDefault="006512C4" w:rsidP="00D238A0">
      <w:pPr>
        <w:rPr>
          <w:lang w:val="en-IE"/>
        </w:rPr>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27"/>
        <w:gridCol w:w="4111"/>
      </w:tblGrid>
      <w:tr w:rsidR="006512C4" w:rsidRPr="00D630EB" w14:paraId="5E6E3416" w14:textId="77777777" w:rsidTr="00890EB4">
        <w:tc>
          <w:tcPr>
            <w:tcW w:w="3827" w:type="dxa"/>
          </w:tcPr>
          <w:p w14:paraId="472571B9" w14:textId="3548EDFC" w:rsidR="006512C4" w:rsidRPr="00D630EB" w:rsidRDefault="006512C4" w:rsidP="00327853">
            <w:pPr>
              <w:pStyle w:val="Blockquote"/>
              <w:rPr>
                <w:sz w:val="22"/>
                <w:szCs w:val="22"/>
              </w:rPr>
            </w:pPr>
            <w:r w:rsidRPr="00D630EB">
              <w:rPr>
                <w:sz w:val="22"/>
                <w:szCs w:val="22"/>
              </w:rPr>
              <w:t>ἐπίστα̣μαί τοι τὸν φιλέον̣τα μὲν φιλ̣εῖν̣,</w:t>
            </w:r>
            <w:r w:rsidR="00EF23E3" w:rsidRPr="00D630EB">
              <w:rPr>
                <w:sz w:val="22"/>
                <w:szCs w:val="22"/>
              </w:rPr>
              <w:t xml:space="preserve"> </w:t>
            </w:r>
          </w:p>
          <w:p w14:paraId="0288927D" w14:textId="5368BE68" w:rsidR="006512C4" w:rsidRPr="00D630EB" w:rsidRDefault="006512C4" w:rsidP="00327853">
            <w:pPr>
              <w:pStyle w:val="Blockquote"/>
              <w:rPr>
                <w:sz w:val="22"/>
                <w:szCs w:val="22"/>
                <w:lang w:val="en-IE"/>
              </w:rPr>
            </w:pPr>
            <w:r w:rsidRPr="00D630EB">
              <w:rPr>
                <w:sz w:val="22"/>
                <w:szCs w:val="22"/>
              </w:rPr>
              <w:t>τὸν̣ δ̣</w:t>
            </w:r>
            <w:r w:rsidR="00075F5F">
              <w:rPr>
                <w:sz w:val="22"/>
                <w:szCs w:val="22"/>
              </w:rPr>
              <w:t>’</w:t>
            </w:r>
            <w:r w:rsidRPr="00D630EB">
              <w:rPr>
                <w:sz w:val="22"/>
                <w:szCs w:val="22"/>
              </w:rPr>
              <w:t xml:space="preserve"> ἐχθρὸν ἐχθ̣αί̣ρ̣ειν̣ τ̣ε̣ καὶ κακο̣</w:t>
            </w:r>
          </w:p>
        </w:tc>
        <w:tc>
          <w:tcPr>
            <w:tcW w:w="4111" w:type="dxa"/>
          </w:tcPr>
          <w:p w14:paraId="4C687570" w14:textId="77777777" w:rsidR="006512C4" w:rsidRPr="00D630EB" w:rsidRDefault="006512C4" w:rsidP="00327853">
            <w:pPr>
              <w:pStyle w:val="Blockquote"/>
              <w:rPr>
                <w:sz w:val="22"/>
                <w:szCs w:val="22"/>
                <w:lang w:val="en-IE"/>
              </w:rPr>
            </w:pPr>
            <w:r w:rsidRPr="00D630EB">
              <w:rPr>
                <w:sz w:val="22"/>
                <w:szCs w:val="22"/>
              </w:rPr>
              <w:t>Indeed I know how to repay love with love, and hatred with hate and biting abuse</w:t>
            </w:r>
          </w:p>
        </w:tc>
      </w:tr>
    </w:tbl>
    <w:p w14:paraId="44D11E23" w14:textId="77777777" w:rsidR="006512C4" w:rsidRDefault="006512C4" w:rsidP="00327853">
      <w:pPr>
        <w:pStyle w:val="Blockquote"/>
        <w:rPr>
          <w:lang w:val="en-IE"/>
        </w:rPr>
      </w:pPr>
    </w:p>
    <w:p w14:paraId="46A9B3C9" w14:textId="2CD112B6" w:rsidR="00E12711" w:rsidRPr="004E03FF" w:rsidRDefault="00E12711" w:rsidP="004E03FF">
      <w:pPr>
        <w:rPr>
          <w:szCs w:val="24"/>
          <w:lang w:val="en-US"/>
        </w:rPr>
      </w:pPr>
      <w:r w:rsidRPr="004E03FF">
        <w:rPr>
          <w:szCs w:val="24"/>
          <w:lang w:val="en-US"/>
        </w:rPr>
        <w:t>In such cases, syntax and metre are in parallel, and initial position coincides with clause-initial position. When line breaks coincide with what in natural language would be intonation breaks, line-initial position lends prominence only to a word that would also have been promi</w:t>
      </w:r>
      <w:r w:rsidRPr="00D238A0">
        <w:rPr>
          <w:szCs w:val="24"/>
          <w:lang w:val="en-US"/>
        </w:rPr>
        <w:t xml:space="preserve">nent in a prose clause (or, presumably, a spoken intonation unit). Such use of the line break as </w:t>
      </w:r>
      <w:r w:rsidR="00CC0615">
        <w:rPr>
          <w:szCs w:val="24"/>
          <w:lang w:val="en-US"/>
        </w:rPr>
        <w:t>“</w:t>
      </w:r>
      <w:r w:rsidRPr="00D238A0">
        <w:rPr>
          <w:szCs w:val="24"/>
          <w:lang w:val="en-US"/>
        </w:rPr>
        <w:t>chunking device,</w:t>
      </w:r>
      <w:r w:rsidR="00CC0615">
        <w:rPr>
          <w:szCs w:val="24"/>
          <w:lang w:val="en-US"/>
        </w:rPr>
        <w:t>”</w:t>
      </w:r>
      <w:r w:rsidRPr="00D238A0">
        <w:rPr>
          <w:szCs w:val="24"/>
          <w:lang w:val="en-US"/>
        </w:rPr>
        <w:t xml:space="preserve"> then, is considered low on the scale of likely poetic effect.</w:t>
      </w:r>
      <w:r w:rsidRPr="004E03FF">
        <w:rPr>
          <w:rStyle w:val="FootnoteReference"/>
          <w:szCs w:val="24"/>
          <w:lang w:val="en-US"/>
        </w:rPr>
        <w:footnoteReference w:id="367"/>
      </w:r>
      <w:r w:rsidRPr="004E03FF">
        <w:rPr>
          <w:szCs w:val="24"/>
          <w:lang w:val="en-US"/>
        </w:rPr>
        <w:t xml:space="preserve"> Taking the comparison with epic a little further, it is possible to find line breaks that </w:t>
      </w:r>
      <w:r w:rsidR="00CC0615">
        <w:rPr>
          <w:szCs w:val="24"/>
          <w:lang w:val="en-US"/>
        </w:rPr>
        <w:t>“</w:t>
      </w:r>
      <w:r w:rsidRPr="004E03FF">
        <w:rPr>
          <w:szCs w:val="24"/>
          <w:lang w:val="en-US"/>
        </w:rPr>
        <w:t>chunk</w:t>
      </w:r>
      <w:r w:rsidR="00CC0615">
        <w:rPr>
          <w:szCs w:val="24"/>
          <w:lang w:val="en-US"/>
        </w:rPr>
        <w:t>”</w:t>
      </w:r>
      <w:r w:rsidRPr="004E03FF">
        <w:rPr>
          <w:szCs w:val="24"/>
          <w:lang w:val="en-US"/>
        </w:rPr>
        <w:t xml:space="preserve"> where Archilochus</w:t>
      </w:r>
      <w:r w:rsidR="00075F5F">
        <w:rPr>
          <w:szCs w:val="24"/>
          <w:lang w:val="en-US"/>
        </w:rPr>
        <w:t>’</w:t>
      </w:r>
      <w:r w:rsidRPr="004E03FF">
        <w:rPr>
          <w:szCs w:val="24"/>
          <w:lang w:val="en-US"/>
        </w:rPr>
        <w:t xml:space="preserve"> texts cannot be formally marked. As previously stated,</w:t>
      </w:r>
      <w:r w:rsidRPr="004E03FF">
        <w:rPr>
          <w:rStyle w:val="FootnoteReference"/>
          <w:szCs w:val="24"/>
          <w:lang w:val="en-US"/>
        </w:rPr>
        <w:footnoteReference w:id="368"/>
      </w:r>
      <w:r w:rsidRPr="004E03FF">
        <w:rPr>
          <w:szCs w:val="24"/>
          <w:lang w:val="en-US"/>
        </w:rPr>
        <w:t xml:space="preserve"> Archilochus favours a narrow focus construction, in which, from a pragmatic point of view, the order of words within the clause implies NON-RATIFIED TOPIC - FOCUS - VERB - RATIFIED TOPIC - PRESUPPOSED MATERIAL.</w:t>
      </w:r>
    </w:p>
    <w:p w14:paraId="407D3F93" w14:textId="5ADEFB2E" w:rsidR="004E03FF" w:rsidRPr="004E03FF" w:rsidRDefault="00E12711" w:rsidP="00D238A0">
      <w:pPr>
        <w:autoSpaceDE w:val="0"/>
        <w:autoSpaceDN w:val="0"/>
        <w:adjustRightInd w:val="0"/>
        <w:ind w:firstLine="426"/>
        <w:rPr>
          <w:rFonts w:cs="Times New Roman"/>
          <w:szCs w:val="24"/>
        </w:rPr>
      </w:pPr>
      <w:r w:rsidRPr="004E03FF">
        <w:rPr>
          <w:szCs w:val="24"/>
          <w:lang w:val="en-US"/>
        </w:rPr>
        <w:t>For such sequences (</w:t>
      </w:r>
      <w:r w:rsidRPr="004E03FF">
        <w:rPr>
          <w:b/>
          <w:bCs/>
          <w:szCs w:val="24"/>
          <w:lang w:val="en-US"/>
        </w:rPr>
        <w:t>2</w:t>
      </w:r>
      <w:r w:rsidRPr="004E03FF">
        <w:rPr>
          <w:szCs w:val="24"/>
          <w:lang w:val="en-US"/>
        </w:rPr>
        <w:t xml:space="preserve"> D.2), line ends in Archilochus</w:t>
      </w:r>
      <w:r w:rsidR="00075F5F">
        <w:rPr>
          <w:szCs w:val="24"/>
          <w:lang w:val="en-US"/>
        </w:rPr>
        <w:t>’</w:t>
      </w:r>
      <w:r w:rsidRPr="004E03FF">
        <w:rPr>
          <w:szCs w:val="24"/>
          <w:lang w:val="en-US"/>
        </w:rPr>
        <w:t xml:space="preserve"> fragments often coincide not only with intonation breaks but also with less important items of information. Therefore, the low proportion of enjambemen</w:t>
      </w:r>
      <w:r w:rsidRPr="00D238A0">
        <w:rPr>
          <w:szCs w:val="24"/>
          <w:lang w:val="en-US"/>
        </w:rPr>
        <w:t>ts in Archilochus</w:t>
      </w:r>
      <w:r w:rsidR="00075F5F">
        <w:rPr>
          <w:szCs w:val="24"/>
          <w:lang w:val="en-US"/>
        </w:rPr>
        <w:t>’</w:t>
      </w:r>
      <w:r w:rsidRPr="00D238A0">
        <w:rPr>
          <w:szCs w:val="24"/>
          <w:lang w:val="en-US"/>
        </w:rPr>
        <w:t xml:space="preserve"> fragments (21.43%) is not a random matter. </w:t>
      </w:r>
      <w:r w:rsidR="004E03FF">
        <w:rPr>
          <w:szCs w:val="24"/>
          <w:lang w:val="en-US"/>
        </w:rPr>
        <w:t xml:space="preserve">Enjambements </w:t>
      </w:r>
      <w:r w:rsidRPr="004E03FF">
        <w:rPr>
          <w:szCs w:val="24"/>
          <w:lang w:val="en-US"/>
        </w:rPr>
        <w:t xml:space="preserve">are not always salient, as they usually add something that the audience already expects to hear. For example, in Archil. fr. 54.22-23, the previous reference to the ship makes it obvious to the audience that the sea is large. </w:t>
      </w:r>
      <w:r w:rsidR="006512C4" w:rsidRPr="004E03FF">
        <w:rPr>
          <w:rFonts w:cs="Times New Roman"/>
          <w:szCs w:val="24"/>
        </w:rPr>
        <w:t xml:space="preserve"> </w:t>
      </w:r>
    </w:p>
    <w:p w14:paraId="1248BBB7" w14:textId="77777777" w:rsidR="006512C4" w:rsidRDefault="006512C4" w:rsidP="00D238A0">
      <w:pPr>
        <w:autoSpaceDE w:val="0"/>
        <w:autoSpaceDN w:val="0"/>
        <w:adjustRightInd w:val="0"/>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969"/>
        <w:gridCol w:w="3969"/>
      </w:tblGrid>
      <w:tr w:rsidR="006512C4" w:rsidRPr="00D630EB" w14:paraId="19E9D6BA" w14:textId="77777777" w:rsidTr="00890EB4">
        <w:tc>
          <w:tcPr>
            <w:tcW w:w="3969" w:type="dxa"/>
          </w:tcPr>
          <w:p w14:paraId="01831552" w14:textId="77777777" w:rsidR="006512C4" w:rsidRPr="00D630EB" w:rsidRDefault="006512C4" w:rsidP="00327853">
            <w:pPr>
              <w:pStyle w:val="Blockquote"/>
              <w:rPr>
                <w:sz w:val="22"/>
                <w:szCs w:val="22"/>
              </w:rPr>
            </w:pPr>
            <w:r w:rsidRPr="00D630EB">
              <w:rPr>
                <w:sz w:val="22"/>
                <w:szCs w:val="22"/>
              </w:rPr>
              <w:lastRenderedPageBreak/>
              <w:t xml:space="preserve">νη̣ῒ σὺν σ̣μι̣κρῆι μέγαν </w:t>
            </w:r>
          </w:p>
          <w:p w14:paraId="1CD5A5D6" w14:textId="77777777" w:rsidR="006512C4" w:rsidRPr="00D630EB" w:rsidRDefault="006512C4" w:rsidP="00327853">
            <w:pPr>
              <w:pStyle w:val="Blockquote"/>
              <w:rPr>
                <w:sz w:val="22"/>
                <w:szCs w:val="22"/>
              </w:rPr>
            </w:pPr>
            <w:r w:rsidRPr="00D630EB">
              <w:rPr>
                <w:sz w:val="22"/>
                <w:szCs w:val="22"/>
              </w:rPr>
              <w:t>πόντον περήσας ἦλθες ἐκ Γορτυνίης</w:t>
            </w:r>
          </w:p>
        </w:tc>
        <w:tc>
          <w:tcPr>
            <w:tcW w:w="3969" w:type="dxa"/>
          </w:tcPr>
          <w:p w14:paraId="4B47BB50" w14:textId="77777777" w:rsidR="006512C4" w:rsidRPr="00D630EB" w:rsidRDefault="006512C4" w:rsidP="00327853">
            <w:pPr>
              <w:pStyle w:val="Blockquote"/>
              <w:rPr>
                <w:sz w:val="22"/>
                <w:szCs w:val="22"/>
              </w:rPr>
            </w:pPr>
            <w:r w:rsidRPr="00D630EB">
              <w:rPr>
                <w:sz w:val="22"/>
                <w:szCs w:val="22"/>
              </w:rPr>
              <w:t>in a small ship, after crossing the large sea, you arrived from the region of Gortyn</w:t>
            </w:r>
          </w:p>
        </w:tc>
      </w:tr>
    </w:tbl>
    <w:p w14:paraId="3ADF5385" w14:textId="77777777" w:rsidR="006512C4" w:rsidRDefault="006512C4" w:rsidP="00327853">
      <w:pPr>
        <w:pStyle w:val="Blockquote"/>
      </w:pPr>
    </w:p>
    <w:p w14:paraId="7EC29B15" w14:textId="37013B3E" w:rsidR="004E03FF" w:rsidRPr="008C003F" w:rsidRDefault="00E12711" w:rsidP="004E03FF">
      <w:pPr>
        <w:rPr>
          <w:lang w:val="en-US"/>
        </w:rPr>
      </w:pPr>
      <w:r>
        <w:rPr>
          <w:lang w:val="en-US"/>
        </w:rPr>
        <w:t xml:space="preserve">Again, </w:t>
      </w:r>
      <w:r w:rsidR="004E03FF">
        <w:rPr>
          <w:lang w:val="en-US"/>
        </w:rPr>
        <w:t>enjambements</w:t>
      </w:r>
      <w:r>
        <w:rPr>
          <w:lang w:val="en-US"/>
        </w:rPr>
        <w:t xml:space="preserve"> may add something that does not change the information, as in Archil. fr. 18.1-2, where the adjective ἐρατός only strengthens the feeling conveyed by the preceding adjectives:</w:t>
      </w:r>
    </w:p>
    <w:p w14:paraId="5908B1B0" w14:textId="77777777" w:rsidR="006512C4" w:rsidRDefault="006512C4" w:rsidP="00D238A0"/>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7"/>
        <w:gridCol w:w="3681"/>
      </w:tblGrid>
      <w:tr w:rsidR="006512C4" w:rsidRPr="00D630EB" w14:paraId="1521633A" w14:textId="77777777" w:rsidTr="00890EB4">
        <w:tc>
          <w:tcPr>
            <w:tcW w:w="4257" w:type="dxa"/>
          </w:tcPr>
          <w:p w14:paraId="66647783" w14:textId="1E9EB7FB" w:rsidR="006512C4" w:rsidRPr="00D630EB" w:rsidRDefault="006512C4" w:rsidP="00327853">
            <w:pPr>
              <w:pStyle w:val="Blockquote"/>
              <w:rPr>
                <w:sz w:val="22"/>
                <w:szCs w:val="22"/>
                <w:lang w:val="el-GR"/>
              </w:rPr>
            </w:pPr>
            <w:r w:rsidRPr="00D630EB">
              <w:rPr>
                <w:sz w:val="22"/>
                <w:szCs w:val="22"/>
                <w:lang w:val="el-GR"/>
              </w:rPr>
              <w:t>οὐ γάρ τι καλὸς χῶρος οὐδ</w:t>
            </w:r>
            <w:r w:rsidR="00075F5F">
              <w:rPr>
                <w:sz w:val="22"/>
                <w:szCs w:val="22"/>
                <w:lang w:val="el-GR"/>
              </w:rPr>
              <w:t>’</w:t>
            </w:r>
            <w:r w:rsidRPr="00D630EB">
              <w:rPr>
                <w:sz w:val="22"/>
                <w:szCs w:val="22"/>
                <w:lang w:val="el-GR"/>
              </w:rPr>
              <w:t xml:space="preserve"> ἐφίμερος</w:t>
            </w:r>
            <w:r w:rsidR="00EF23E3" w:rsidRPr="00D630EB">
              <w:rPr>
                <w:sz w:val="22"/>
                <w:szCs w:val="22"/>
                <w:lang w:val="el-GR"/>
              </w:rPr>
              <w:t xml:space="preserve"> </w:t>
            </w:r>
          </w:p>
          <w:p w14:paraId="3749D1DA" w14:textId="37954695" w:rsidR="006512C4" w:rsidRPr="00D630EB" w:rsidRDefault="006512C4" w:rsidP="00327853">
            <w:pPr>
              <w:pStyle w:val="Blockquote"/>
              <w:rPr>
                <w:sz w:val="22"/>
                <w:szCs w:val="22"/>
              </w:rPr>
            </w:pPr>
            <w:r w:rsidRPr="00D630EB">
              <w:rPr>
                <w:sz w:val="22"/>
                <w:szCs w:val="22"/>
              </w:rPr>
              <w:t>οὐδ</w:t>
            </w:r>
            <w:r w:rsidR="00075F5F">
              <w:rPr>
                <w:sz w:val="22"/>
                <w:szCs w:val="22"/>
              </w:rPr>
              <w:t>’</w:t>
            </w:r>
            <w:r w:rsidRPr="00D630EB">
              <w:rPr>
                <w:sz w:val="22"/>
                <w:szCs w:val="22"/>
              </w:rPr>
              <w:t xml:space="preserve"> ἐρατός</w:t>
            </w:r>
          </w:p>
        </w:tc>
        <w:tc>
          <w:tcPr>
            <w:tcW w:w="3681" w:type="dxa"/>
          </w:tcPr>
          <w:p w14:paraId="26047C4D" w14:textId="77777777" w:rsidR="006512C4" w:rsidRPr="00D630EB" w:rsidRDefault="006512C4" w:rsidP="00327853">
            <w:pPr>
              <w:pStyle w:val="Blockquote"/>
              <w:rPr>
                <w:sz w:val="22"/>
                <w:szCs w:val="22"/>
              </w:rPr>
            </w:pPr>
            <w:r w:rsidRPr="00D630EB">
              <w:rPr>
                <w:sz w:val="22"/>
                <w:szCs w:val="22"/>
              </w:rPr>
              <w:t>For it is not at all a fair, desiderable, or lovely land</w:t>
            </w:r>
          </w:p>
        </w:tc>
      </w:tr>
    </w:tbl>
    <w:p w14:paraId="3CE865F6" w14:textId="77777777" w:rsidR="006512C4" w:rsidRDefault="006512C4" w:rsidP="00327853">
      <w:pPr>
        <w:pStyle w:val="Blockquote"/>
      </w:pPr>
    </w:p>
    <w:p w14:paraId="651EB27D" w14:textId="26A40BBD" w:rsidR="004E03FF" w:rsidRPr="008C003F" w:rsidRDefault="00E12711" w:rsidP="007F4100">
      <w:pPr>
        <w:rPr>
          <w:lang w:val="en-US"/>
        </w:rPr>
      </w:pPr>
      <w:r>
        <w:rPr>
          <w:lang w:val="en-US"/>
        </w:rPr>
        <w:t>Hipponax</w:t>
      </w:r>
      <w:r w:rsidR="00075F5F">
        <w:rPr>
          <w:lang w:val="en-US"/>
        </w:rPr>
        <w:t>’</w:t>
      </w:r>
      <w:r>
        <w:rPr>
          <w:lang w:val="en-US"/>
        </w:rPr>
        <w:t>s fragments show some evolution, as the proportion of clauses that do not coincide with the end of the line is larger (39.36%). Hipponax</w:t>
      </w:r>
      <w:r w:rsidR="00075F5F">
        <w:rPr>
          <w:lang w:val="en-US"/>
        </w:rPr>
        <w:t>’</w:t>
      </w:r>
      <w:r>
        <w:rPr>
          <w:lang w:val="en-US"/>
        </w:rPr>
        <w:t>s clauses often start at the beginning of a line and end with the word in enjambement in the following line. Moreover, as Hipponax tends to build his clauses as broad focus constructions, it is easier if the enjambement concerns salient information. The broad focus construction implies the following sequence: NON-RATIFIED TOPIC - VERB - RATIFIED TOPIC - FOCUS. Among Hipponax</w:t>
      </w:r>
      <w:r w:rsidR="00075F5F">
        <w:rPr>
          <w:lang w:val="en-US"/>
        </w:rPr>
        <w:t>’</w:t>
      </w:r>
      <w:r>
        <w:rPr>
          <w:lang w:val="en-US"/>
        </w:rPr>
        <w:t xml:space="preserve">s enjambements, a majority involve focus material, as in Hippon. fr. 104.47-48, where the adjective ἑπτάφυλλος is the clarification that creates irony: </w:t>
      </w:r>
    </w:p>
    <w:p w14:paraId="1D8A489A" w14:textId="77777777" w:rsidR="006512C4" w:rsidRDefault="006512C4" w:rsidP="00D238A0">
      <w:pPr>
        <w:ind w:firstLine="425"/>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0"/>
        <w:gridCol w:w="3678"/>
      </w:tblGrid>
      <w:tr w:rsidR="006512C4" w:rsidRPr="00D630EB" w14:paraId="1E4A2E1F" w14:textId="77777777" w:rsidTr="00890EB4">
        <w:tc>
          <w:tcPr>
            <w:tcW w:w="4260" w:type="dxa"/>
          </w:tcPr>
          <w:p w14:paraId="5CE60E63" w14:textId="3B273A97" w:rsidR="006512C4" w:rsidRPr="00D630EB" w:rsidRDefault="006512C4" w:rsidP="00327853">
            <w:pPr>
              <w:pStyle w:val="Blockquote"/>
              <w:rPr>
                <w:sz w:val="22"/>
                <w:szCs w:val="22"/>
              </w:rPr>
            </w:pPr>
            <w:r w:rsidRPr="00D630EB">
              <w:rPr>
                <w:sz w:val="22"/>
                <w:szCs w:val="22"/>
              </w:rPr>
              <w:t>ὁ δ</w:t>
            </w:r>
            <w:r w:rsidR="00075F5F">
              <w:rPr>
                <w:sz w:val="22"/>
                <w:szCs w:val="22"/>
              </w:rPr>
              <w:t>’</w:t>
            </w:r>
            <w:r w:rsidRPr="00D630EB">
              <w:rPr>
                <w:sz w:val="22"/>
                <w:szCs w:val="22"/>
              </w:rPr>
              <w:t xml:space="preserve"> ἐξολισθὼν ἱκέτευε τὴν κράμβην </w:t>
            </w:r>
          </w:p>
          <w:p w14:paraId="00C2C835" w14:textId="77777777" w:rsidR="006512C4" w:rsidRPr="00D630EB" w:rsidRDefault="006512C4" w:rsidP="00327853">
            <w:pPr>
              <w:pStyle w:val="Blockquote"/>
              <w:rPr>
                <w:sz w:val="22"/>
                <w:szCs w:val="22"/>
              </w:rPr>
            </w:pPr>
            <w:r w:rsidRPr="00D630EB">
              <w:rPr>
                <w:sz w:val="22"/>
                <w:szCs w:val="22"/>
              </w:rPr>
              <w:t>τὴν ἑπτάφυλλον</w:t>
            </w:r>
          </w:p>
        </w:tc>
        <w:tc>
          <w:tcPr>
            <w:tcW w:w="3678" w:type="dxa"/>
          </w:tcPr>
          <w:p w14:paraId="4B873D5E" w14:textId="77777777" w:rsidR="006512C4" w:rsidRPr="00D630EB" w:rsidRDefault="006512C4" w:rsidP="00327853">
            <w:pPr>
              <w:pStyle w:val="Blockquote"/>
              <w:rPr>
                <w:sz w:val="22"/>
                <w:szCs w:val="22"/>
              </w:rPr>
            </w:pPr>
            <w:r w:rsidRPr="00D630EB">
              <w:rPr>
                <w:sz w:val="22"/>
                <w:szCs w:val="22"/>
              </w:rPr>
              <w:t>Slipping, he besought the seventleafed cabbage</w:t>
            </w:r>
          </w:p>
        </w:tc>
      </w:tr>
    </w:tbl>
    <w:p w14:paraId="1ED81A94" w14:textId="77777777" w:rsidR="006512C4" w:rsidRDefault="006512C4" w:rsidP="00327853">
      <w:pPr>
        <w:pStyle w:val="Blockquote"/>
      </w:pPr>
    </w:p>
    <w:p w14:paraId="638065E6" w14:textId="77777777" w:rsidR="006512C4" w:rsidRDefault="006512C4" w:rsidP="004E03FF">
      <w:pPr>
        <w:autoSpaceDE w:val="0"/>
        <w:autoSpaceDN w:val="0"/>
        <w:adjustRightInd w:val="0"/>
        <w:rPr>
          <w:rFonts w:cs="Times New Roman"/>
        </w:rPr>
      </w:pPr>
      <w:r>
        <w:rPr>
          <w:rFonts w:cs="Times New Roman"/>
        </w:rPr>
        <w:t xml:space="preserve">Another example of enjambement involving focus material is Hippon. fr. 48.2-4: </w:t>
      </w:r>
    </w:p>
    <w:p w14:paraId="4FD202FE" w14:textId="77777777" w:rsidR="006512C4" w:rsidRDefault="006512C4" w:rsidP="00327853">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4"/>
        <w:gridCol w:w="3674"/>
      </w:tblGrid>
      <w:tr w:rsidR="006512C4" w:rsidRPr="00D630EB" w14:paraId="02B4801D" w14:textId="77777777" w:rsidTr="00890EB4">
        <w:tc>
          <w:tcPr>
            <w:tcW w:w="4264" w:type="dxa"/>
          </w:tcPr>
          <w:p w14:paraId="75E5A11B" w14:textId="77777777" w:rsidR="006512C4" w:rsidRPr="00D630EB" w:rsidRDefault="006512C4" w:rsidP="00327853">
            <w:pPr>
              <w:pStyle w:val="Blockquote"/>
              <w:rPr>
                <w:sz w:val="22"/>
                <w:szCs w:val="22"/>
                <w:lang w:val="el-GR"/>
              </w:rPr>
            </w:pPr>
            <w:r w:rsidRPr="00D630EB">
              <w:rPr>
                <w:sz w:val="22"/>
                <w:szCs w:val="22"/>
                <w:lang w:val="el-GR"/>
              </w:rPr>
              <w:t>ἢν μὴ ἀποπέμψηις ὡς τάχιστά μοι κριθέων</w:t>
            </w:r>
          </w:p>
          <w:p w14:paraId="05626FC4" w14:textId="77777777" w:rsidR="006512C4" w:rsidRPr="00D630EB" w:rsidRDefault="006512C4" w:rsidP="00327853">
            <w:pPr>
              <w:pStyle w:val="Blockquote"/>
              <w:rPr>
                <w:sz w:val="22"/>
                <w:szCs w:val="22"/>
                <w:lang w:val="el-GR"/>
              </w:rPr>
            </w:pPr>
            <w:r w:rsidRPr="00D630EB">
              <w:rPr>
                <w:sz w:val="22"/>
                <w:szCs w:val="22"/>
                <w:lang w:val="el-GR"/>
              </w:rPr>
              <w:t>μέδιμνον, ὡς ἂν ἀλφίτων ποιήσωμαι</w:t>
            </w:r>
          </w:p>
          <w:p w14:paraId="2C66557F" w14:textId="77777777" w:rsidR="006512C4" w:rsidRPr="00D630EB" w:rsidRDefault="006512C4" w:rsidP="00327853">
            <w:pPr>
              <w:pStyle w:val="Blockquote"/>
              <w:rPr>
                <w:sz w:val="22"/>
                <w:szCs w:val="22"/>
                <w:lang w:val="el-GR"/>
              </w:rPr>
            </w:pPr>
            <w:r w:rsidRPr="00D630EB">
              <w:rPr>
                <w:sz w:val="22"/>
                <w:szCs w:val="22"/>
                <w:lang w:val="el-GR"/>
              </w:rPr>
              <w:t>κυκεῶνα πίνειν φάρμακον πονηρίης.</w:t>
            </w:r>
          </w:p>
        </w:tc>
        <w:tc>
          <w:tcPr>
            <w:tcW w:w="3674" w:type="dxa"/>
          </w:tcPr>
          <w:p w14:paraId="6CEAB1D1" w14:textId="77777777" w:rsidR="006512C4" w:rsidRPr="00D630EB" w:rsidRDefault="006512C4" w:rsidP="00327853">
            <w:pPr>
              <w:pStyle w:val="Blockquote"/>
              <w:rPr>
                <w:sz w:val="22"/>
                <w:szCs w:val="22"/>
              </w:rPr>
            </w:pPr>
            <w:r w:rsidRPr="00D630EB">
              <w:rPr>
                <w:sz w:val="22"/>
                <w:szCs w:val="22"/>
              </w:rPr>
              <w:t>if you do not send me a bushel of barley as quickly as you can, so that I can make a potion from the groats to drink as a cure for my suffering.</w:t>
            </w:r>
          </w:p>
        </w:tc>
      </w:tr>
    </w:tbl>
    <w:p w14:paraId="61A37C46" w14:textId="77777777" w:rsidR="006512C4" w:rsidRDefault="006512C4" w:rsidP="00327853">
      <w:pPr>
        <w:pStyle w:val="Blockquote"/>
      </w:pPr>
    </w:p>
    <w:p w14:paraId="3860F673" w14:textId="77777777" w:rsidR="00E12711" w:rsidRDefault="00E12711" w:rsidP="004E03FF">
      <w:pPr>
        <w:rPr>
          <w:lang w:val="en-US"/>
        </w:rPr>
      </w:pPr>
      <w:r>
        <w:rPr>
          <w:lang w:val="en-US"/>
        </w:rPr>
        <w:t>Here there are two enjambements, one at line 2-3 κριθέων / μέδιμνον and one at line 3-4 ποιήσωμαι / κυκεῶνα. Both of them put the focuses of their respective sentences at the beginning of the new lines.</w:t>
      </w:r>
    </w:p>
    <w:p w14:paraId="2E671508" w14:textId="56A5A3BE" w:rsidR="004E03FF" w:rsidRDefault="00E12711" w:rsidP="00D238A0">
      <w:pPr>
        <w:rPr>
          <w:lang w:val="en-US"/>
        </w:rPr>
      </w:pPr>
      <w:r>
        <w:rPr>
          <w:lang w:val="en-US"/>
        </w:rPr>
        <w:tab/>
        <w:t>In Hipponax, it is possible for the enjambement to involve verbs, as shown by Hippon. fr. 43.3-4:</w:t>
      </w:r>
    </w:p>
    <w:p w14:paraId="5A4213AD" w14:textId="77777777" w:rsidR="006512C4" w:rsidRDefault="006512C4" w:rsidP="00D238A0"/>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4"/>
        <w:gridCol w:w="3674"/>
      </w:tblGrid>
      <w:tr w:rsidR="006512C4" w:rsidRPr="00D630EB" w14:paraId="2B15E3A2" w14:textId="77777777" w:rsidTr="00890EB4">
        <w:tc>
          <w:tcPr>
            <w:tcW w:w="4264" w:type="dxa"/>
          </w:tcPr>
          <w:p w14:paraId="40FB1DB3" w14:textId="676C69DA" w:rsidR="006512C4" w:rsidRPr="00D630EB" w:rsidRDefault="006512C4" w:rsidP="00327853">
            <w:pPr>
              <w:pStyle w:val="Blockquote"/>
              <w:rPr>
                <w:sz w:val="22"/>
                <w:szCs w:val="22"/>
              </w:rPr>
            </w:pPr>
            <w:r w:rsidRPr="00D630EB">
              <w:rPr>
                <w:sz w:val="22"/>
                <w:szCs w:val="22"/>
              </w:rPr>
              <w:t>οὔτ</w:t>
            </w:r>
            <w:r w:rsidR="00075F5F">
              <w:rPr>
                <w:sz w:val="22"/>
                <w:szCs w:val="22"/>
              </w:rPr>
              <w:t>’</w:t>
            </w:r>
            <w:r w:rsidRPr="00D630EB">
              <w:rPr>
                <w:sz w:val="22"/>
                <w:szCs w:val="22"/>
              </w:rPr>
              <w:t xml:space="preserve"> ἀσκέρηισι τοὺς πόδας δασείηισι</w:t>
            </w:r>
          </w:p>
          <w:p w14:paraId="7CAF21C8" w14:textId="77777777" w:rsidR="006512C4" w:rsidRPr="00D630EB" w:rsidRDefault="006512C4" w:rsidP="00327853">
            <w:pPr>
              <w:pStyle w:val="Blockquote"/>
              <w:rPr>
                <w:sz w:val="22"/>
                <w:szCs w:val="22"/>
              </w:rPr>
            </w:pPr>
            <w:r w:rsidRPr="00D630EB">
              <w:rPr>
                <w:sz w:val="22"/>
                <w:szCs w:val="22"/>
              </w:rPr>
              <w:t>ἔκρυψας, …</w:t>
            </w:r>
          </w:p>
        </w:tc>
        <w:tc>
          <w:tcPr>
            <w:tcW w:w="3674" w:type="dxa"/>
          </w:tcPr>
          <w:p w14:paraId="65AFF9FA" w14:textId="77777777" w:rsidR="006512C4" w:rsidRPr="00D630EB" w:rsidRDefault="006512C4" w:rsidP="00327853">
            <w:pPr>
              <w:pStyle w:val="Blockquote"/>
              <w:rPr>
                <w:sz w:val="22"/>
                <w:szCs w:val="22"/>
              </w:rPr>
            </w:pPr>
            <w:r w:rsidRPr="00D630EB">
              <w:rPr>
                <w:sz w:val="22"/>
                <w:szCs w:val="22"/>
              </w:rPr>
              <w:t>nor you have covered my feet with thick felt shoes, …</w:t>
            </w:r>
          </w:p>
        </w:tc>
      </w:tr>
    </w:tbl>
    <w:p w14:paraId="01CA8257" w14:textId="77777777" w:rsidR="006512C4" w:rsidRDefault="006512C4" w:rsidP="00327853">
      <w:pPr>
        <w:pStyle w:val="Blockquote"/>
      </w:pPr>
    </w:p>
    <w:p w14:paraId="20F655E2" w14:textId="2B87A2F7" w:rsidR="004E03FF" w:rsidRDefault="00E12711" w:rsidP="004E03FF">
      <w:pPr>
        <w:autoSpaceDE w:val="0"/>
        <w:autoSpaceDN w:val="0"/>
        <w:adjustRightInd w:val="0"/>
        <w:rPr>
          <w:rFonts w:cs="Times New Roman"/>
        </w:rPr>
      </w:pPr>
      <w:r>
        <w:rPr>
          <w:lang w:val="en-US"/>
        </w:rPr>
        <w:lastRenderedPageBreak/>
        <w:t>However, verb enjambements are not very frequent in Hipponax, who often places verbs at the end of the line. The clearest example of this is Hippon. fr. 37:</w:t>
      </w:r>
    </w:p>
    <w:p w14:paraId="2D8E7103" w14:textId="77777777" w:rsidR="006512C4" w:rsidRDefault="006512C4" w:rsidP="00D238A0">
      <w:pPr>
        <w:autoSpaceDE w:val="0"/>
        <w:autoSpaceDN w:val="0"/>
        <w:adjustRightInd w:val="0"/>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6"/>
        <w:gridCol w:w="3672"/>
      </w:tblGrid>
      <w:tr w:rsidR="006512C4" w:rsidRPr="00D630EB" w14:paraId="61BF1E47" w14:textId="77777777" w:rsidTr="00890EB4">
        <w:tc>
          <w:tcPr>
            <w:tcW w:w="4266" w:type="dxa"/>
          </w:tcPr>
          <w:p w14:paraId="3D3AEAC3" w14:textId="77777777" w:rsidR="006512C4" w:rsidRPr="00D630EB" w:rsidRDefault="006512C4" w:rsidP="00327853">
            <w:pPr>
              <w:pStyle w:val="Blockquote"/>
              <w:rPr>
                <w:sz w:val="22"/>
                <w:szCs w:val="22"/>
                <w:lang w:val="el-GR"/>
              </w:rPr>
            </w:pPr>
            <w:r w:rsidRPr="00D630EB">
              <w:rPr>
                <w:sz w:val="22"/>
                <w:szCs w:val="22"/>
                <w:lang w:val="el-GR"/>
              </w:rPr>
              <w:t>οὐκ ἀτταγέας τε καὶ λαγοὺς καταβρύκων,</w:t>
            </w:r>
          </w:p>
          <w:p w14:paraId="184D0133" w14:textId="77777777" w:rsidR="006512C4" w:rsidRPr="00D630EB" w:rsidRDefault="006512C4" w:rsidP="00327853">
            <w:pPr>
              <w:pStyle w:val="Blockquote"/>
              <w:rPr>
                <w:sz w:val="22"/>
                <w:szCs w:val="22"/>
                <w:lang w:val="el-GR"/>
              </w:rPr>
            </w:pPr>
            <w:r w:rsidRPr="00D630EB">
              <w:rPr>
                <w:sz w:val="22"/>
                <w:szCs w:val="22"/>
                <w:lang w:val="el-GR"/>
              </w:rPr>
              <w:t>οὐ τηγανίτας σησάμοισι φαρμάσσων,</w:t>
            </w:r>
          </w:p>
          <w:p w14:paraId="5D33CA82" w14:textId="560C327C" w:rsidR="006512C4" w:rsidRPr="00D630EB" w:rsidRDefault="006512C4" w:rsidP="00327853">
            <w:pPr>
              <w:pStyle w:val="Blockquote"/>
              <w:rPr>
                <w:sz w:val="22"/>
                <w:szCs w:val="22"/>
                <w:lang w:val="el-GR"/>
              </w:rPr>
            </w:pPr>
            <w:r w:rsidRPr="00D630EB">
              <w:rPr>
                <w:sz w:val="22"/>
                <w:szCs w:val="22"/>
                <w:lang w:val="el-GR"/>
              </w:rPr>
              <w:t>οὐδ</w:t>
            </w:r>
            <w:r w:rsidR="00075F5F">
              <w:rPr>
                <w:sz w:val="22"/>
                <w:szCs w:val="22"/>
                <w:lang w:val="el-GR"/>
              </w:rPr>
              <w:t>’</w:t>
            </w:r>
            <w:r w:rsidRPr="00D630EB">
              <w:rPr>
                <w:sz w:val="22"/>
                <w:szCs w:val="22"/>
                <w:lang w:val="el-GR"/>
              </w:rPr>
              <w:t xml:space="preserve"> ἀττανίτας κηρίοισιν ἐμβάπτων.</w:t>
            </w:r>
          </w:p>
        </w:tc>
        <w:tc>
          <w:tcPr>
            <w:tcW w:w="3672" w:type="dxa"/>
          </w:tcPr>
          <w:p w14:paraId="26ECB3EC" w14:textId="77777777" w:rsidR="006512C4" w:rsidRPr="00D630EB" w:rsidRDefault="006512C4" w:rsidP="00327853">
            <w:pPr>
              <w:pStyle w:val="Blockquote"/>
              <w:rPr>
                <w:sz w:val="22"/>
                <w:szCs w:val="22"/>
              </w:rPr>
            </w:pPr>
            <w:r w:rsidRPr="00D630EB">
              <w:rPr>
                <w:sz w:val="22"/>
                <w:szCs w:val="22"/>
              </w:rPr>
              <w:t>not champing on partridges and hares, not seasoning pancakes with sesame, and not dipping waffles in honey.</w:t>
            </w:r>
          </w:p>
        </w:tc>
      </w:tr>
    </w:tbl>
    <w:p w14:paraId="7BF976CF" w14:textId="77777777" w:rsidR="006512C4" w:rsidRPr="0043120E" w:rsidRDefault="006512C4" w:rsidP="00327853">
      <w:pPr>
        <w:pStyle w:val="Blockquote"/>
      </w:pPr>
      <w:r w:rsidRPr="0043120E">
        <w:t xml:space="preserve"> </w:t>
      </w:r>
    </w:p>
    <w:p w14:paraId="3AB3FB34" w14:textId="0D83A9A3" w:rsidR="004E03FF" w:rsidRDefault="00E12711" w:rsidP="004E03FF">
      <w:pPr>
        <w:ind w:firstLine="426"/>
        <w:rPr>
          <w:lang w:val="en-US"/>
        </w:rPr>
      </w:pPr>
      <w:r>
        <w:rPr>
          <w:lang w:val="en-US"/>
        </w:rPr>
        <w:t xml:space="preserve">In contrast, enjambements in Callimachus are equally distributed between focus and verb. For example, we find verb enjambement in </w:t>
      </w:r>
      <w:r>
        <w:rPr>
          <w:i/>
          <w:iCs/>
          <w:lang w:val="en-US"/>
        </w:rPr>
        <w:t>Ia</w:t>
      </w:r>
      <w:r>
        <w:rPr>
          <w:lang w:val="en-US"/>
        </w:rPr>
        <w:t>. 4.40-41 and 4.52-53:</w:t>
      </w:r>
    </w:p>
    <w:p w14:paraId="117A453B" w14:textId="77777777" w:rsidR="006512C4" w:rsidRDefault="006512C4" w:rsidP="00D238A0"/>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6"/>
        <w:gridCol w:w="3814"/>
      </w:tblGrid>
      <w:tr w:rsidR="005A5381" w:rsidRPr="00D630EB" w14:paraId="49C2BB73" w14:textId="77777777" w:rsidTr="00890EB4">
        <w:tc>
          <w:tcPr>
            <w:tcW w:w="4266" w:type="dxa"/>
          </w:tcPr>
          <w:p w14:paraId="654D3958" w14:textId="00E9316E" w:rsidR="006512C4" w:rsidRPr="00D630EB" w:rsidRDefault="006512C4" w:rsidP="00327853">
            <w:pPr>
              <w:pStyle w:val="Blockquote"/>
              <w:rPr>
                <w:sz w:val="22"/>
                <w:szCs w:val="22"/>
              </w:rPr>
            </w:pPr>
            <w:r w:rsidRPr="00D630EB">
              <w:rPr>
                <w:sz w:val="22"/>
                <w:szCs w:val="22"/>
              </w:rPr>
              <w:t>ὤφρων ἐλαίη, σοὶ δὲ χὠπότ</w:t>
            </w:r>
            <w:r w:rsidR="00075F5F">
              <w:rPr>
                <w:sz w:val="22"/>
                <w:szCs w:val="22"/>
              </w:rPr>
              <w:t>’</w:t>
            </w:r>
            <w:r w:rsidRPr="00D630EB">
              <w:rPr>
                <w:sz w:val="22"/>
                <w:szCs w:val="22"/>
              </w:rPr>
              <w:t xml:space="preserve"> ἂν νεκρόν </w:t>
            </w:r>
          </w:p>
          <w:p w14:paraId="5E9DC9D2" w14:textId="77777777" w:rsidR="006512C4" w:rsidRPr="00D630EB" w:rsidRDefault="006512C4" w:rsidP="00327853">
            <w:pPr>
              <w:pStyle w:val="Blockquote"/>
              <w:rPr>
                <w:sz w:val="22"/>
                <w:szCs w:val="22"/>
                <w:lang w:val="el-GR"/>
              </w:rPr>
            </w:pPr>
            <w:r w:rsidRPr="00D630EB">
              <w:rPr>
                <w:sz w:val="22"/>
                <w:szCs w:val="22"/>
                <w:lang w:val="el-GR"/>
              </w:rPr>
              <w:t>μέλλωσι καίειν ἢ̣ τάφ̣ῳ περιστέλλειν</w:t>
            </w:r>
          </w:p>
        </w:tc>
        <w:tc>
          <w:tcPr>
            <w:tcW w:w="3814" w:type="dxa"/>
          </w:tcPr>
          <w:p w14:paraId="4F6DFE54" w14:textId="7EAA16B2" w:rsidR="006512C4" w:rsidRPr="00D630EB" w:rsidRDefault="006512C4" w:rsidP="00327853">
            <w:pPr>
              <w:pStyle w:val="Blockquote"/>
              <w:rPr>
                <w:sz w:val="22"/>
                <w:szCs w:val="22"/>
              </w:rPr>
            </w:pPr>
            <w:r w:rsidRPr="00D630EB">
              <w:rPr>
                <w:sz w:val="22"/>
                <w:szCs w:val="22"/>
              </w:rPr>
              <w:t>foolish olive, but for you - whenever they are going to burn a corpse or lay it out in burial</w:t>
            </w:r>
          </w:p>
        </w:tc>
      </w:tr>
      <w:tr w:rsidR="005A5381" w:rsidRPr="00D630EB" w14:paraId="26E1C1BC" w14:textId="77777777" w:rsidTr="00890EB4">
        <w:tc>
          <w:tcPr>
            <w:tcW w:w="4266" w:type="dxa"/>
          </w:tcPr>
          <w:p w14:paraId="5FCC9B00" w14:textId="77777777" w:rsidR="00D17EA9" w:rsidRPr="00D630EB" w:rsidRDefault="00D17EA9" w:rsidP="00327853">
            <w:pPr>
              <w:pStyle w:val="Blockquote"/>
              <w:rPr>
                <w:sz w:val="22"/>
                <w:szCs w:val="22"/>
              </w:rPr>
            </w:pPr>
          </w:p>
          <w:p w14:paraId="6C8D60E3" w14:textId="39C51D0D" w:rsidR="006512C4" w:rsidRPr="00D630EB" w:rsidRDefault="006512C4" w:rsidP="00327853">
            <w:pPr>
              <w:pStyle w:val="Blockquote"/>
              <w:rPr>
                <w:sz w:val="22"/>
                <w:szCs w:val="22"/>
              </w:rPr>
            </w:pPr>
            <w:r w:rsidRPr="00D630EB">
              <w:rPr>
                <w:sz w:val="22"/>
                <w:szCs w:val="22"/>
              </w:rPr>
              <w:t>ἐγὼ δ̣ὲ λευκὴν ἡνίκ</w:t>
            </w:r>
            <w:r w:rsidR="00075F5F">
              <w:rPr>
                <w:sz w:val="22"/>
                <w:szCs w:val="22"/>
              </w:rPr>
              <w:t>’</w:t>
            </w:r>
            <w:r w:rsidRPr="00D630EB">
              <w:rPr>
                <w:sz w:val="22"/>
                <w:szCs w:val="22"/>
              </w:rPr>
              <w:t xml:space="preserve"> ἐς τάφον Τηθύ̣ν</w:t>
            </w:r>
          </w:p>
          <w:p w14:paraId="06CAD1CA" w14:textId="77777777" w:rsidR="006512C4" w:rsidRPr="00D630EB" w:rsidRDefault="006512C4" w:rsidP="00327853">
            <w:pPr>
              <w:pStyle w:val="Blockquote"/>
              <w:rPr>
                <w:sz w:val="22"/>
                <w:szCs w:val="22"/>
                <w:lang w:val="el-GR"/>
              </w:rPr>
            </w:pPr>
            <w:r w:rsidRPr="00D630EB">
              <w:rPr>
                <w:sz w:val="22"/>
                <w:szCs w:val="22"/>
                <w:lang w:val="el-GR"/>
              </w:rPr>
              <w:t>φέρουσι παῖδες ἢ γέροντα Τιθωνόν,</w:t>
            </w:r>
          </w:p>
        </w:tc>
        <w:tc>
          <w:tcPr>
            <w:tcW w:w="3814" w:type="dxa"/>
          </w:tcPr>
          <w:p w14:paraId="76F93C3A" w14:textId="77777777" w:rsidR="00D17EA9" w:rsidRPr="00227EE7" w:rsidRDefault="00D17EA9" w:rsidP="00327853">
            <w:pPr>
              <w:pStyle w:val="Blockquote"/>
              <w:rPr>
                <w:sz w:val="22"/>
                <w:szCs w:val="22"/>
                <w:lang w:val="el-GR"/>
              </w:rPr>
            </w:pPr>
          </w:p>
          <w:p w14:paraId="2DDEE676" w14:textId="77777777" w:rsidR="006512C4" w:rsidRPr="00D630EB" w:rsidRDefault="006512C4" w:rsidP="00327853">
            <w:pPr>
              <w:pStyle w:val="Blockquote"/>
              <w:rPr>
                <w:sz w:val="22"/>
                <w:szCs w:val="22"/>
              </w:rPr>
            </w:pPr>
            <w:r w:rsidRPr="00D630EB">
              <w:rPr>
                <w:sz w:val="22"/>
                <w:szCs w:val="22"/>
              </w:rPr>
              <w:t xml:space="preserve">and I when their children bear to grave </w:t>
            </w:r>
          </w:p>
          <w:p w14:paraId="5B3BF98F" w14:textId="77777777" w:rsidR="006512C4" w:rsidRPr="00D630EB" w:rsidRDefault="006512C4" w:rsidP="00327853">
            <w:pPr>
              <w:pStyle w:val="Blockquote"/>
              <w:rPr>
                <w:sz w:val="22"/>
                <w:szCs w:val="22"/>
              </w:rPr>
            </w:pPr>
            <w:r w:rsidRPr="00D630EB">
              <w:rPr>
                <w:sz w:val="22"/>
                <w:szCs w:val="22"/>
              </w:rPr>
              <w:t>a white-haired Tethys, or aged Tithonus</w:t>
            </w:r>
          </w:p>
        </w:tc>
      </w:tr>
    </w:tbl>
    <w:p w14:paraId="3DD21A85" w14:textId="77777777" w:rsidR="006512C4" w:rsidRDefault="006512C4" w:rsidP="00327853">
      <w:pPr>
        <w:pStyle w:val="Blockquote"/>
      </w:pPr>
    </w:p>
    <w:p w14:paraId="40503642" w14:textId="77583ECA" w:rsidR="006512C4" w:rsidRDefault="00D17EA9" w:rsidP="004E03FF">
      <w:pPr>
        <w:autoSpaceDE w:val="0"/>
        <w:autoSpaceDN w:val="0"/>
        <w:adjustRightInd w:val="0"/>
        <w:rPr>
          <w:rFonts w:cs="Times New Roman"/>
        </w:rPr>
      </w:pPr>
      <w:r>
        <w:rPr>
          <w:rFonts w:cs="Times New Roman"/>
        </w:rPr>
        <w:t xml:space="preserve">but </w:t>
      </w:r>
      <w:r w:rsidR="006512C4">
        <w:rPr>
          <w:rFonts w:cs="Times New Roman"/>
        </w:rPr>
        <w:t>focus enjambement</w:t>
      </w:r>
      <w:r>
        <w:rPr>
          <w:rFonts w:cs="Times New Roman"/>
        </w:rPr>
        <w:t xml:space="preserve"> in </w:t>
      </w:r>
      <w:r w:rsidRPr="00E148DF">
        <w:rPr>
          <w:rFonts w:cs="Times New Roman"/>
          <w:i/>
        </w:rPr>
        <w:t>Ia</w:t>
      </w:r>
      <w:r>
        <w:rPr>
          <w:rFonts w:cs="Times New Roman"/>
        </w:rPr>
        <w:t xml:space="preserve">. 1.3-4 and </w:t>
      </w:r>
      <w:r w:rsidRPr="00E148DF">
        <w:rPr>
          <w:rFonts w:cs="Times New Roman"/>
          <w:i/>
        </w:rPr>
        <w:t>Ia</w:t>
      </w:r>
      <w:r>
        <w:rPr>
          <w:rFonts w:cs="Times New Roman"/>
        </w:rPr>
        <w:t>. 13.65-66</w:t>
      </w:r>
      <w:r w:rsidR="006512C4">
        <w:rPr>
          <w:rFonts w:cs="Times New Roman"/>
        </w:rPr>
        <w:t>:</w:t>
      </w:r>
    </w:p>
    <w:p w14:paraId="603E68ED" w14:textId="77777777" w:rsidR="006512C4" w:rsidRDefault="006512C4" w:rsidP="00327853">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61"/>
        <w:gridCol w:w="3677"/>
      </w:tblGrid>
      <w:tr w:rsidR="006512C4" w:rsidRPr="00D630EB" w14:paraId="74E4F17C" w14:textId="77777777" w:rsidTr="00890EB4">
        <w:tc>
          <w:tcPr>
            <w:tcW w:w="4261" w:type="dxa"/>
          </w:tcPr>
          <w:p w14:paraId="4CC194E7" w14:textId="77777777" w:rsidR="006512C4" w:rsidRPr="00D630EB" w:rsidRDefault="006512C4" w:rsidP="00327853">
            <w:pPr>
              <w:pStyle w:val="Blockquote"/>
              <w:rPr>
                <w:sz w:val="22"/>
                <w:szCs w:val="22"/>
              </w:rPr>
            </w:pPr>
            <w:r w:rsidRPr="00D630EB">
              <w:rPr>
                <w:sz w:val="22"/>
                <w:szCs w:val="22"/>
              </w:rPr>
              <w:t>φέρων ἴαμβον οὐ μάχην ἀείδοντα</w:t>
            </w:r>
          </w:p>
          <w:p w14:paraId="397A2E1F" w14:textId="77777777" w:rsidR="006512C4" w:rsidRPr="00D630EB" w:rsidRDefault="006512C4" w:rsidP="00327853">
            <w:pPr>
              <w:pStyle w:val="Blockquote"/>
              <w:rPr>
                <w:sz w:val="22"/>
                <w:szCs w:val="22"/>
              </w:rPr>
            </w:pPr>
            <w:r w:rsidRPr="00D630EB">
              <w:rPr>
                <w:sz w:val="22"/>
                <w:szCs w:val="22"/>
              </w:rPr>
              <w:t>τὴν Βου̣π̣άλε̣ι̣ο̣ν̣</w:t>
            </w:r>
          </w:p>
        </w:tc>
        <w:tc>
          <w:tcPr>
            <w:tcW w:w="3677" w:type="dxa"/>
          </w:tcPr>
          <w:p w14:paraId="1F482AB0" w14:textId="77777777" w:rsidR="006512C4" w:rsidRPr="00D630EB" w:rsidRDefault="006512C4" w:rsidP="00327853">
            <w:pPr>
              <w:pStyle w:val="Blockquote"/>
              <w:rPr>
                <w:sz w:val="22"/>
                <w:szCs w:val="22"/>
              </w:rPr>
            </w:pPr>
            <w:r w:rsidRPr="00D630EB">
              <w:rPr>
                <w:sz w:val="22"/>
                <w:szCs w:val="22"/>
              </w:rPr>
              <w:t xml:space="preserve">bearing an iambus which does not sing </w:t>
            </w:r>
          </w:p>
          <w:p w14:paraId="2E9A6A18" w14:textId="77777777" w:rsidR="006512C4" w:rsidRPr="00D630EB" w:rsidRDefault="006512C4" w:rsidP="00327853">
            <w:pPr>
              <w:pStyle w:val="Blockquote"/>
              <w:rPr>
                <w:sz w:val="22"/>
                <w:szCs w:val="22"/>
              </w:rPr>
            </w:pPr>
            <w:r w:rsidRPr="00D630EB">
              <w:rPr>
                <w:sz w:val="22"/>
                <w:szCs w:val="22"/>
              </w:rPr>
              <w:t>of the Bupalean battle</w:t>
            </w:r>
          </w:p>
        </w:tc>
      </w:tr>
      <w:tr w:rsidR="006512C4" w:rsidRPr="00D630EB" w14:paraId="0B4C2CCE" w14:textId="77777777" w:rsidTr="00890EB4">
        <w:tc>
          <w:tcPr>
            <w:tcW w:w="4261" w:type="dxa"/>
          </w:tcPr>
          <w:p w14:paraId="5AD349AE" w14:textId="77777777" w:rsidR="00966170" w:rsidRPr="00D630EB" w:rsidRDefault="00966170" w:rsidP="00327853">
            <w:pPr>
              <w:pStyle w:val="Blockquote"/>
              <w:rPr>
                <w:sz w:val="22"/>
                <w:szCs w:val="22"/>
                <w:lang w:val="el-GR"/>
              </w:rPr>
            </w:pPr>
          </w:p>
          <w:p w14:paraId="2C08FA6E" w14:textId="77777777" w:rsidR="006512C4" w:rsidRPr="00D630EB" w:rsidRDefault="006512C4" w:rsidP="00327853">
            <w:pPr>
              <w:pStyle w:val="Blockquote"/>
              <w:rPr>
                <w:sz w:val="22"/>
                <w:szCs w:val="22"/>
                <w:lang w:val="el-GR"/>
              </w:rPr>
            </w:pPr>
            <w:r w:rsidRPr="00D630EB">
              <w:rPr>
                <w:sz w:val="22"/>
                <w:szCs w:val="22"/>
                <w:lang w:val="el-GR"/>
              </w:rPr>
              <w:t>Ἔφεσον, ὅθεν πε̣ρ οἱ τὰ μέτρα μέλλοντες</w:t>
            </w:r>
          </w:p>
          <w:p w14:paraId="6F7C2B3E" w14:textId="77777777" w:rsidR="006512C4" w:rsidRPr="00D630EB" w:rsidRDefault="006512C4" w:rsidP="00327853">
            <w:pPr>
              <w:pStyle w:val="Blockquote"/>
              <w:rPr>
                <w:sz w:val="22"/>
                <w:szCs w:val="22"/>
                <w:lang w:val="el-GR"/>
              </w:rPr>
            </w:pPr>
            <w:r w:rsidRPr="00D630EB">
              <w:rPr>
                <w:sz w:val="22"/>
                <w:szCs w:val="22"/>
                <w:lang w:val="el-GR"/>
              </w:rPr>
              <w:t>τὰ χωλὰ τίκτειν μὴ ἀμαθῶς ἐναύονται</w:t>
            </w:r>
          </w:p>
        </w:tc>
        <w:tc>
          <w:tcPr>
            <w:tcW w:w="3677" w:type="dxa"/>
          </w:tcPr>
          <w:p w14:paraId="0A1C4402" w14:textId="77777777" w:rsidR="00966170" w:rsidRPr="00D630EB" w:rsidRDefault="00966170" w:rsidP="00327853">
            <w:pPr>
              <w:pStyle w:val="Blockquote"/>
              <w:ind w:left="284" w:hanging="284"/>
              <w:rPr>
                <w:sz w:val="22"/>
                <w:szCs w:val="22"/>
                <w:lang w:val="el-GR"/>
              </w:rPr>
            </w:pPr>
          </w:p>
          <w:p w14:paraId="0993EF33" w14:textId="77777777" w:rsidR="006512C4" w:rsidRPr="00D630EB" w:rsidRDefault="006512C4" w:rsidP="00327853">
            <w:pPr>
              <w:pStyle w:val="Blockquote"/>
              <w:rPr>
                <w:sz w:val="22"/>
                <w:szCs w:val="22"/>
              </w:rPr>
            </w:pPr>
            <w:r w:rsidRPr="00D630EB">
              <w:rPr>
                <w:sz w:val="22"/>
                <w:szCs w:val="22"/>
              </w:rPr>
              <w:t>to Ephesus, whence they intending to produce the limping metra, are not unlearnedly inspired</w:t>
            </w:r>
          </w:p>
        </w:tc>
      </w:tr>
    </w:tbl>
    <w:p w14:paraId="045F93EF" w14:textId="77777777" w:rsidR="006512C4" w:rsidRDefault="006512C4" w:rsidP="00327853">
      <w:pPr>
        <w:pStyle w:val="Blockquote"/>
      </w:pPr>
    </w:p>
    <w:p w14:paraId="7E3C22C9" w14:textId="1E076968" w:rsidR="004E03FF" w:rsidRPr="008C003F" w:rsidRDefault="00E12711" w:rsidP="004E03FF">
      <w:pPr>
        <w:rPr>
          <w:lang w:val="en-US"/>
        </w:rPr>
      </w:pPr>
      <w:r>
        <w:rPr>
          <w:lang w:val="en-US"/>
        </w:rPr>
        <w:t>Callimachus sometimes admits elision or prepositives at line end (definite article, preposition, adverb, or negation) that cause the most violent form of enjambement,</w:t>
      </w:r>
      <w:r>
        <w:rPr>
          <w:rStyle w:val="FootnoteReference"/>
          <w:lang w:val="en-US"/>
        </w:rPr>
        <w:footnoteReference w:id="369"/>
      </w:r>
      <w:r>
        <w:rPr>
          <w:lang w:val="en-US"/>
        </w:rPr>
        <w:t xml:space="preserve"> as in </w:t>
      </w:r>
      <w:r>
        <w:rPr>
          <w:i/>
          <w:iCs/>
          <w:lang w:val="en-US"/>
        </w:rPr>
        <w:t>Ia.</w:t>
      </w:r>
      <w:r>
        <w:rPr>
          <w:lang w:val="en-US"/>
        </w:rPr>
        <w:t xml:space="preserve"> 1.33-34 and 6.45-46</w:t>
      </w:r>
      <w:r w:rsidR="006E597E">
        <w:rPr>
          <w:lang w:val="en-US"/>
        </w:rPr>
        <w:t>:</w:t>
      </w:r>
    </w:p>
    <w:p w14:paraId="5D3D5F7C" w14:textId="77777777" w:rsidR="006512C4" w:rsidRDefault="006512C4" w:rsidP="00D238A0"/>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71"/>
        <w:gridCol w:w="3667"/>
      </w:tblGrid>
      <w:tr w:rsidR="006512C4" w:rsidRPr="00D630EB" w14:paraId="381E1944" w14:textId="77777777" w:rsidTr="00890EB4">
        <w:tc>
          <w:tcPr>
            <w:tcW w:w="4271" w:type="dxa"/>
          </w:tcPr>
          <w:p w14:paraId="7B6D39A4" w14:textId="24667493" w:rsidR="006512C4" w:rsidRPr="00D630EB" w:rsidRDefault="006512C4" w:rsidP="00327853">
            <w:pPr>
              <w:pStyle w:val="Blockquote"/>
              <w:rPr>
                <w:sz w:val="22"/>
                <w:szCs w:val="22"/>
              </w:rPr>
            </w:pPr>
            <w:r w:rsidRPr="00D630EB">
              <w:rPr>
                <w:sz w:val="22"/>
                <w:szCs w:val="22"/>
              </w:rPr>
              <w:t>καὶ γὰρ οὐδ</w:t>
            </w:r>
            <w:r w:rsidR="00075F5F">
              <w:rPr>
                <w:sz w:val="22"/>
                <w:szCs w:val="22"/>
              </w:rPr>
              <w:t>’</w:t>
            </w:r>
            <w:r w:rsidRPr="00D630EB">
              <w:rPr>
                <w:sz w:val="22"/>
                <w:szCs w:val="22"/>
              </w:rPr>
              <w:t xml:space="preserve"> αὐτός </w:t>
            </w:r>
          </w:p>
          <w:p w14:paraId="28493334" w14:textId="77777777" w:rsidR="006512C4" w:rsidRPr="00D630EB" w:rsidRDefault="006512C4" w:rsidP="00327853">
            <w:pPr>
              <w:pStyle w:val="Blockquote"/>
              <w:rPr>
                <w:sz w:val="22"/>
                <w:szCs w:val="22"/>
              </w:rPr>
            </w:pPr>
            <w:r w:rsidRPr="00D630EB">
              <w:rPr>
                <w:sz w:val="22"/>
                <w:szCs w:val="22"/>
              </w:rPr>
              <w:t>μ̣έγα σχολάζω</w:t>
            </w:r>
          </w:p>
        </w:tc>
        <w:tc>
          <w:tcPr>
            <w:tcW w:w="3667" w:type="dxa"/>
          </w:tcPr>
          <w:p w14:paraId="1B3E17A7" w14:textId="77777777" w:rsidR="006512C4" w:rsidRPr="00D630EB" w:rsidRDefault="006512C4" w:rsidP="00327853">
            <w:pPr>
              <w:pStyle w:val="Blockquote"/>
              <w:rPr>
                <w:sz w:val="22"/>
                <w:szCs w:val="22"/>
              </w:rPr>
            </w:pPr>
            <w:r w:rsidRPr="00D630EB">
              <w:rPr>
                <w:sz w:val="22"/>
                <w:szCs w:val="22"/>
              </w:rPr>
              <w:t>For truly, even I have not much time</w:t>
            </w:r>
          </w:p>
        </w:tc>
      </w:tr>
      <w:tr w:rsidR="006512C4" w:rsidRPr="00D630EB" w14:paraId="2B9FA794" w14:textId="77777777" w:rsidTr="00890EB4">
        <w:tc>
          <w:tcPr>
            <w:tcW w:w="4271" w:type="dxa"/>
          </w:tcPr>
          <w:p w14:paraId="361D821F" w14:textId="77777777" w:rsidR="00966170" w:rsidRPr="00D630EB" w:rsidRDefault="00966170" w:rsidP="00327853">
            <w:pPr>
              <w:pStyle w:val="Blockquote"/>
              <w:rPr>
                <w:sz w:val="22"/>
                <w:szCs w:val="22"/>
              </w:rPr>
            </w:pPr>
          </w:p>
          <w:p w14:paraId="3ADB141D" w14:textId="58AA76C4" w:rsidR="006512C4" w:rsidRPr="00D630EB" w:rsidRDefault="006512C4" w:rsidP="00327853">
            <w:pPr>
              <w:pStyle w:val="Blockquote"/>
              <w:rPr>
                <w:sz w:val="22"/>
                <w:szCs w:val="22"/>
              </w:rPr>
            </w:pPr>
            <w:r w:rsidRPr="00D630EB">
              <w:rPr>
                <w:sz w:val="22"/>
                <w:szCs w:val="22"/>
              </w:rPr>
              <w:t>τὸ δ</w:t>
            </w:r>
            <w:r w:rsidR="00075F5F">
              <w:rPr>
                <w:sz w:val="22"/>
                <w:szCs w:val="22"/>
              </w:rPr>
              <w:t>’</w:t>
            </w:r>
            <w:r w:rsidRPr="00D630EB">
              <w:rPr>
                <w:sz w:val="22"/>
                <w:szCs w:val="22"/>
              </w:rPr>
              <w:t xml:space="preserve"> ὦν ἀναισίμωμα</w:t>
            </w:r>
            <w:r w:rsidR="00B33738">
              <w:rPr>
                <w:sz w:val="22"/>
                <w:szCs w:val="22"/>
              </w:rPr>
              <w:t xml:space="preserve"> – </w:t>
            </w:r>
            <w:r w:rsidRPr="00D630EB">
              <w:rPr>
                <w:sz w:val="22"/>
                <w:szCs w:val="22"/>
              </w:rPr>
              <w:t xml:space="preserve">λίχνος ἐσσὶ γάρ </w:t>
            </w:r>
          </w:p>
          <w:p w14:paraId="019F715C" w14:textId="1E9B2402" w:rsidR="006512C4" w:rsidRPr="00D630EB" w:rsidRDefault="006512C4" w:rsidP="00327853">
            <w:pPr>
              <w:pStyle w:val="Blockquote"/>
              <w:rPr>
                <w:sz w:val="22"/>
                <w:szCs w:val="22"/>
              </w:rPr>
            </w:pPr>
            <w:r w:rsidRPr="00D630EB">
              <w:rPr>
                <w:sz w:val="22"/>
                <w:szCs w:val="22"/>
              </w:rPr>
              <w:t>καὶ τό μευ πυθέσθαι</w:t>
            </w:r>
            <w:r w:rsidR="005A5381">
              <w:rPr>
                <w:sz w:val="22"/>
                <w:szCs w:val="22"/>
              </w:rPr>
              <w:t xml:space="preserve"> </w:t>
            </w:r>
          </w:p>
        </w:tc>
        <w:tc>
          <w:tcPr>
            <w:tcW w:w="3667" w:type="dxa"/>
          </w:tcPr>
          <w:p w14:paraId="44879E6F" w14:textId="77777777" w:rsidR="00966170" w:rsidRPr="00D630EB" w:rsidRDefault="00966170" w:rsidP="00327853">
            <w:pPr>
              <w:pStyle w:val="Blockquote"/>
              <w:rPr>
                <w:sz w:val="22"/>
                <w:szCs w:val="22"/>
              </w:rPr>
            </w:pPr>
          </w:p>
          <w:p w14:paraId="5CCC7B36" w14:textId="79719500" w:rsidR="006512C4" w:rsidRPr="00D630EB" w:rsidRDefault="006512C4" w:rsidP="00327853">
            <w:pPr>
              <w:pStyle w:val="Blockquote"/>
              <w:rPr>
                <w:sz w:val="22"/>
                <w:szCs w:val="22"/>
              </w:rPr>
            </w:pPr>
            <w:r w:rsidRPr="00D630EB">
              <w:rPr>
                <w:sz w:val="22"/>
                <w:szCs w:val="22"/>
              </w:rPr>
              <w:t>And as to the expense of these</w:t>
            </w:r>
            <w:r w:rsidR="00B33738">
              <w:rPr>
                <w:sz w:val="22"/>
                <w:szCs w:val="22"/>
              </w:rPr>
              <w:t xml:space="preserve"> – </w:t>
            </w:r>
            <w:r w:rsidRPr="00D630EB">
              <w:rPr>
                <w:sz w:val="22"/>
                <w:szCs w:val="22"/>
              </w:rPr>
              <w:t>for you are g</w:t>
            </w:r>
            <w:r w:rsidR="00B33738">
              <w:rPr>
                <w:sz w:val="22"/>
                <w:szCs w:val="22"/>
              </w:rPr>
              <w:t xml:space="preserve">reedy to learn this too of me </w:t>
            </w:r>
          </w:p>
        </w:tc>
      </w:tr>
    </w:tbl>
    <w:p w14:paraId="5DC40190" w14:textId="77777777" w:rsidR="006512C4" w:rsidRDefault="006512C4" w:rsidP="00327853">
      <w:pPr>
        <w:pStyle w:val="Blockquote"/>
      </w:pPr>
    </w:p>
    <w:p w14:paraId="36E3B847" w14:textId="417A08A6" w:rsidR="00E12711" w:rsidRDefault="00E12711" w:rsidP="00227EE7">
      <w:pPr>
        <w:rPr>
          <w:lang w:val="en-US"/>
        </w:rPr>
      </w:pPr>
      <w:r>
        <w:rPr>
          <w:lang w:val="en-US"/>
        </w:rPr>
        <w:t>In his book on iambic trimeters, Descroix</w:t>
      </w:r>
      <w:r>
        <w:rPr>
          <w:rStyle w:val="FootnoteReference"/>
          <w:lang w:val="en-US"/>
        </w:rPr>
        <w:footnoteReference w:id="370"/>
      </w:r>
      <w:r>
        <w:rPr>
          <w:lang w:val="en-US"/>
        </w:rPr>
        <w:t xml:space="preserve"> makes a number of suggestions about particular lexical items used by poets to round out their trimeters. He concentrates on disyllabic words at the line end, as these are most frequently used and their use tends to increase over time with the consolidation of the trimeter structure. In iambs, we find some </w:t>
      </w:r>
      <w:r>
        <w:rPr>
          <w:lang w:val="en-US"/>
        </w:rPr>
        <w:lastRenderedPageBreak/>
        <w:t>Ionic forms that are conveniently disyllabic: δορός instead of the Attic δόρατος; φάος instead of φῶς, θανών pro ἀποθανών, a handful of nouns: θεός, χθών, κύσω, κόμη, and adjectives: καλός, κακός. There is an increase in use of this metrical device across the three iambographers from Archilochus (32.41%) to Hipponax (46.45%) to Callimachus</w:t>
      </w:r>
      <w:r w:rsidR="00075F5F">
        <w:rPr>
          <w:lang w:val="en-US"/>
        </w:rPr>
        <w:t>’</w:t>
      </w:r>
      <w:r>
        <w:rPr>
          <w:lang w:val="en-US"/>
        </w:rPr>
        <w:t xml:space="preserve"> </w:t>
      </w:r>
      <w:r>
        <w:rPr>
          <w:i/>
          <w:iCs/>
          <w:lang w:val="en-US"/>
        </w:rPr>
        <w:t>Iambi</w:t>
      </w:r>
      <w:r>
        <w:rPr>
          <w:lang w:val="en-US"/>
        </w:rPr>
        <w:t xml:space="preserve"> (58.95%). While Archilochus and Hipponax tend to end the line with the above</w:t>
      </w:r>
      <w:r w:rsidR="00DF60FA">
        <w:rPr>
          <w:lang w:val="en-US"/>
        </w:rPr>
        <w:t xml:space="preserve"> </w:t>
      </w:r>
      <w:r>
        <w:rPr>
          <w:lang w:val="en-US"/>
        </w:rPr>
        <w:t>mentioned range of words, Callimachus also introduces determinative articles (ὁ δὲ), pronouns (αὐτός), or negations (οὔτε, οὕνεκα).</w:t>
      </w:r>
      <w:r>
        <w:rPr>
          <w:rStyle w:val="FootnoteReference"/>
          <w:lang w:val="en-US"/>
        </w:rPr>
        <w:footnoteReference w:id="371"/>
      </w:r>
      <w:r>
        <w:rPr>
          <w:lang w:val="en-US"/>
        </w:rPr>
        <w:t xml:space="preserve"> </w:t>
      </w:r>
    </w:p>
    <w:p w14:paraId="59213E41" w14:textId="33C3295E" w:rsidR="00E12711" w:rsidRDefault="00E12711" w:rsidP="00D238A0">
      <w:pPr>
        <w:ind w:firstLine="425"/>
        <w:rPr>
          <w:lang w:val="en-US"/>
        </w:rPr>
      </w:pPr>
      <w:r>
        <w:rPr>
          <w:lang w:val="en-US"/>
        </w:rPr>
        <w:t>These elements of the discourse are placed at the end of the line to round out the trimeter and constitute a powerful linguistic device for the creation of enjambements (</w:t>
      </w:r>
      <w:r>
        <w:rPr>
          <w:b/>
          <w:bCs/>
          <w:lang w:val="en-US"/>
        </w:rPr>
        <w:t>2</w:t>
      </w:r>
      <w:r>
        <w:rPr>
          <w:lang w:val="en-US"/>
        </w:rPr>
        <w:t xml:space="preserve"> D.3). Indeed, the syntax makes it abundantly clear that such line ends are not an end at all, so that the enjambement becomes more frequent. Moreover, the evident clash of rhythm and syntax results in the increased prominence of the words involved.</w:t>
      </w:r>
      <w:r>
        <w:rPr>
          <w:rStyle w:val="FootnoteReference"/>
          <w:lang w:val="en-US"/>
        </w:rPr>
        <w:footnoteReference w:id="372"/>
      </w:r>
      <w:r>
        <w:rPr>
          <w:lang w:val="en-US"/>
        </w:rPr>
        <w:t xml:space="preserve"> This enables Callimachus to break the correspondence between line and clause, creating both a more varied structure (from an aesthetic point of view) and a more articulated syntax (from a linguistic point of view). Callimachus</w:t>
      </w:r>
      <w:r w:rsidR="00075F5F">
        <w:rPr>
          <w:lang w:val="en-US"/>
        </w:rPr>
        <w:t>’</w:t>
      </w:r>
      <w:r>
        <w:rPr>
          <w:lang w:val="en-US"/>
        </w:rPr>
        <w:t xml:space="preserve"> </w:t>
      </w:r>
      <w:r>
        <w:rPr>
          <w:i/>
          <w:iCs/>
          <w:lang w:val="en-US"/>
        </w:rPr>
        <w:t>Iambi</w:t>
      </w:r>
      <w:r>
        <w:rPr>
          <w:lang w:val="en-US"/>
        </w:rPr>
        <w:t xml:space="preserve"> show a higher percentage of complex clauses as compared to the fragments of Archilochus and Hipponax. </w:t>
      </w:r>
    </w:p>
    <w:p w14:paraId="12447555" w14:textId="77777777" w:rsidR="006512C4" w:rsidRDefault="006512C4" w:rsidP="00757C56">
      <w:pPr>
        <w:pStyle w:val="Heading3"/>
      </w:pPr>
      <w:r>
        <w:t>Summary</w:t>
      </w:r>
    </w:p>
    <w:p w14:paraId="41542469" w14:textId="77777777" w:rsidR="00E12711" w:rsidRDefault="00E12711" w:rsidP="004E03FF">
      <w:pPr>
        <w:rPr>
          <w:lang w:val="en-US"/>
        </w:rPr>
      </w:pPr>
      <w:r>
        <w:rPr>
          <w:lang w:val="en-US"/>
        </w:rPr>
        <w:t xml:space="preserve">In this chapter I have focused on the relationship which each iambographer builds with his own audience. Spatial and temporal deixis highlight the differences in perspective which Archilochus, Hipponax, and Callimachus each display towards their listeners. Furthermore, generally speaking, it is possible to establish a macro-distinction between archaic iambographers and Callimachus, and I suggest that this can be ascribed to the introduction of the medium of writing. Indeed, even though nothing changes before the eyes of the audience, Callimachus alone constantly brings his audience far away from their </w:t>
      </w:r>
      <w:r w:rsidRPr="009877AA">
        <w:rPr>
          <w:i/>
          <w:iCs/>
          <w:lang w:val="en-US"/>
        </w:rPr>
        <w:t>hic et nunc</w:t>
      </w:r>
      <w:r>
        <w:rPr>
          <w:lang w:val="en-US"/>
        </w:rPr>
        <w:t xml:space="preserve">, always creating a fictional reality absolutely independent from the </w:t>
      </w:r>
      <w:r w:rsidRPr="009877AA">
        <w:rPr>
          <w:i/>
          <w:iCs/>
          <w:lang w:val="en-US"/>
        </w:rPr>
        <w:t>hic et nunc</w:t>
      </w:r>
      <w:r>
        <w:rPr>
          <w:lang w:val="en-US"/>
        </w:rPr>
        <w:t xml:space="preserve"> in both its spatial and its temporal dimensions. </w:t>
      </w:r>
    </w:p>
    <w:p w14:paraId="5405AA48" w14:textId="77777777" w:rsidR="00E12711" w:rsidRDefault="00E12711" w:rsidP="00D238A0">
      <w:pPr>
        <w:rPr>
          <w:lang w:val="en-US"/>
        </w:rPr>
      </w:pPr>
      <w:r>
        <w:rPr>
          <w:lang w:val="en-US"/>
        </w:rPr>
        <w:tab/>
        <w:t xml:space="preserve">The use of interactional particles is similar among all the iambographers. They all rarely use them, and consequently their audience is asked for neither approval and empathy, nor doubts and objections. This is an important piece of evidence for understanding both the social environment where iambs were produced and the social </w:t>
      </w:r>
      <w:r>
        <w:rPr>
          <w:lang w:val="en-US"/>
        </w:rPr>
        <w:lastRenderedPageBreak/>
        <w:t xml:space="preserve">context in which they were performed. If one were to pursue this line of inquiry a little further, it would be possible to define the role played by iambographers in Greek society, in the </w:t>
      </w:r>
      <w:r>
        <w:rPr>
          <w:i/>
          <w:iCs/>
          <w:lang w:val="en-US"/>
        </w:rPr>
        <w:t xml:space="preserve">poleis </w:t>
      </w:r>
      <w:r>
        <w:rPr>
          <w:lang w:val="en-US"/>
        </w:rPr>
        <w:t xml:space="preserve">of Archilochus and Hipponax or the Ptolemaic Alexandria of Callimachus. </w:t>
      </w:r>
    </w:p>
    <w:p w14:paraId="0B4D7188" w14:textId="77777777" w:rsidR="006B65F3" w:rsidRDefault="006B65F3" w:rsidP="00695A7C">
      <w:pPr>
        <w:tabs>
          <w:tab w:val="clear" w:pos="425"/>
          <w:tab w:val="left" w:pos="426"/>
        </w:tabs>
        <w:textAlignment w:val="bottom"/>
        <w:rPr>
          <w:rFonts w:cs="Times New Roman"/>
        </w:rPr>
        <w:sectPr w:rsidR="006B65F3" w:rsidSect="00033A07">
          <w:footnotePr>
            <w:numRestart w:val="eachSect"/>
          </w:footnotePr>
          <w:pgSz w:w="11901" w:h="16817"/>
          <w:pgMar w:top="1440" w:right="1440" w:bottom="1440" w:left="1797" w:header="851" w:footer="851" w:gutter="0"/>
          <w:cols w:space="708"/>
          <w:docGrid w:linePitch="360"/>
          <w:printerSettings r:id="rId46"/>
        </w:sectPr>
      </w:pPr>
    </w:p>
    <w:p w14:paraId="1C16ECBD" w14:textId="3684DE03" w:rsidR="000363DF" w:rsidRPr="00327853" w:rsidRDefault="00AE724C" w:rsidP="00327853">
      <w:pPr>
        <w:spacing w:before="360" w:after="720"/>
        <w:jc w:val="center"/>
        <w:rPr>
          <w:rFonts w:cs="Times New Roman"/>
          <w:b/>
          <w:sz w:val="36"/>
          <w:szCs w:val="36"/>
        </w:rPr>
      </w:pPr>
      <w:r w:rsidRPr="00327853">
        <w:rPr>
          <w:rFonts w:cs="Times New Roman"/>
          <w:szCs w:val="24"/>
        </w:rPr>
        <w:lastRenderedPageBreak/>
        <w:t>CHAPTER 3</w:t>
      </w:r>
      <w:r w:rsidR="000363DF" w:rsidRPr="00327853">
        <w:rPr>
          <w:rFonts w:cs="Times New Roman"/>
          <w:szCs w:val="24"/>
        </w:rPr>
        <w:br/>
      </w:r>
      <w:r w:rsidRPr="00327853">
        <w:rPr>
          <w:rFonts w:cs="Times New Roman"/>
          <w:b/>
          <w:sz w:val="36"/>
          <w:szCs w:val="36"/>
        </w:rPr>
        <w:t xml:space="preserve">Iambic Topoi </w:t>
      </w:r>
    </w:p>
    <w:p w14:paraId="7585A392" w14:textId="4DB95265" w:rsidR="00E12711" w:rsidRPr="00D238A0" w:rsidRDefault="00E12711" w:rsidP="004E03FF">
      <w:pPr>
        <w:rPr>
          <w:szCs w:val="24"/>
          <w:lang w:val="en-US"/>
        </w:rPr>
      </w:pPr>
      <w:r w:rsidRPr="004E03FF">
        <w:rPr>
          <w:szCs w:val="24"/>
          <w:lang w:val="en-US"/>
        </w:rPr>
        <w:t>This chapter collects and analyses the linguistic expression of topoi and speech acts characteristic of Greek iambic poetry; that is to say, speech acts which frequently occur in Archilochus and Hipponax and which recur in Callimachus</w:t>
      </w:r>
      <w:r w:rsidR="00075F5F">
        <w:rPr>
          <w:szCs w:val="24"/>
          <w:lang w:val="en-US"/>
        </w:rPr>
        <w:t>’</w:t>
      </w:r>
      <w:r w:rsidRPr="004E03FF">
        <w:rPr>
          <w:szCs w:val="24"/>
          <w:lang w:val="en-US"/>
        </w:rPr>
        <w:t xml:space="preserve"> </w:t>
      </w:r>
      <w:r w:rsidRPr="00D238A0">
        <w:rPr>
          <w:i/>
          <w:iCs/>
          <w:szCs w:val="24"/>
          <w:lang w:val="en-US"/>
        </w:rPr>
        <w:t>Iambi</w:t>
      </w:r>
      <w:r w:rsidRPr="00D238A0">
        <w:rPr>
          <w:szCs w:val="24"/>
          <w:lang w:val="en-US"/>
        </w:rPr>
        <w:t xml:space="preserve">, and which may reasonably be considered to have been part of the </w:t>
      </w:r>
      <w:r w:rsidR="00075F5F">
        <w:rPr>
          <w:szCs w:val="24"/>
          <w:lang w:val="en-US"/>
        </w:rPr>
        <w:t>‘</w:t>
      </w:r>
      <w:r w:rsidRPr="00D238A0">
        <w:rPr>
          <w:szCs w:val="24"/>
          <w:lang w:val="en-US"/>
        </w:rPr>
        <w:t>stock</w:t>
      </w:r>
      <w:r w:rsidR="00075F5F">
        <w:rPr>
          <w:szCs w:val="24"/>
          <w:lang w:val="en-US"/>
        </w:rPr>
        <w:t>’</w:t>
      </w:r>
      <w:r w:rsidRPr="00D238A0">
        <w:rPr>
          <w:szCs w:val="24"/>
          <w:lang w:val="en-US"/>
        </w:rPr>
        <w:t xml:space="preserve"> of iambic poetry. </w:t>
      </w:r>
    </w:p>
    <w:p w14:paraId="22E10CEE" w14:textId="404E1A11" w:rsidR="00E12711" w:rsidRPr="004E03FF" w:rsidRDefault="006E597E" w:rsidP="006E597E">
      <w:pPr>
        <w:rPr>
          <w:szCs w:val="24"/>
          <w:lang w:val="en-US"/>
        </w:rPr>
      </w:pPr>
      <w:r>
        <w:rPr>
          <w:szCs w:val="24"/>
          <w:lang w:val="en-US"/>
        </w:rPr>
        <w:tab/>
      </w:r>
      <w:r w:rsidR="00E12711" w:rsidRPr="00D238A0">
        <w:rPr>
          <w:szCs w:val="24"/>
          <w:lang w:val="en-US"/>
        </w:rPr>
        <w:t xml:space="preserve">Any literary work refers to an imaginary reality and makes performative use of words in a specific social framework, within both the author/speaker and the audience/reader are assigned specific roles in specific communicative situations. </w:t>
      </w:r>
      <w:r w:rsidR="00CC0615">
        <w:rPr>
          <w:szCs w:val="24"/>
          <w:lang w:val="en-US"/>
        </w:rPr>
        <w:t>“</w:t>
      </w:r>
      <w:r w:rsidR="00E12711" w:rsidRPr="00D238A0">
        <w:rPr>
          <w:szCs w:val="24"/>
          <w:lang w:val="en-US"/>
        </w:rPr>
        <w:t>The imaginary realm opened by a literary work is not simply made available to the audience, but the performative dimension of the work</w:t>
      </w:r>
      <w:r w:rsidR="00075F5F">
        <w:rPr>
          <w:szCs w:val="24"/>
          <w:lang w:val="en-US"/>
        </w:rPr>
        <w:t>’</w:t>
      </w:r>
      <w:r w:rsidR="00E12711" w:rsidRPr="00D238A0">
        <w:rPr>
          <w:szCs w:val="24"/>
          <w:lang w:val="en-US"/>
        </w:rPr>
        <w:t>s words demands the audience</w:t>
      </w:r>
      <w:r w:rsidR="00075F5F">
        <w:rPr>
          <w:szCs w:val="24"/>
          <w:lang w:val="en-US"/>
        </w:rPr>
        <w:t>’</w:t>
      </w:r>
      <w:r w:rsidR="00E12711" w:rsidRPr="00D238A0">
        <w:rPr>
          <w:szCs w:val="24"/>
          <w:lang w:val="en-US"/>
        </w:rPr>
        <w:t>s active engagement, since it requires a tacit decision to make the effort of bringing the work into existence as an imaginary space within oneself.</w:t>
      </w:r>
      <w:r w:rsidR="00CC0615">
        <w:rPr>
          <w:szCs w:val="24"/>
          <w:lang w:val="en-US"/>
        </w:rPr>
        <w:t>”</w:t>
      </w:r>
      <w:r w:rsidR="00E12711" w:rsidRPr="004E03FF">
        <w:rPr>
          <w:rStyle w:val="FootnoteReference"/>
          <w:szCs w:val="24"/>
          <w:lang w:val="en-US"/>
        </w:rPr>
        <w:footnoteReference w:id="373"/>
      </w:r>
      <w:r w:rsidR="00E12711" w:rsidRPr="004E03FF">
        <w:rPr>
          <w:szCs w:val="24"/>
          <w:lang w:val="en-US"/>
        </w:rPr>
        <w:t xml:space="preserve"> If understanding is to take place, each phase of the author</w:t>
      </w:r>
      <w:r w:rsidR="00075F5F">
        <w:rPr>
          <w:szCs w:val="24"/>
          <w:lang w:val="en-US"/>
        </w:rPr>
        <w:t>’</w:t>
      </w:r>
      <w:r w:rsidR="00E12711" w:rsidRPr="004E03FF">
        <w:rPr>
          <w:szCs w:val="24"/>
          <w:lang w:val="en-US"/>
        </w:rPr>
        <w:t>s utterance must have a corresponding activity in the receiver, since the receiver</w:t>
      </w:r>
      <w:r w:rsidR="00075F5F">
        <w:rPr>
          <w:szCs w:val="24"/>
          <w:lang w:val="en-US"/>
        </w:rPr>
        <w:t>’</w:t>
      </w:r>
      <w:r w:rsidR="00E12711" w:rsidRPr="004E03FF">
        <w:rPr>
          <w:szCs w:val="24"/>
          <w:lang w:val="en-US"/>
        </w:rPr>
        <w:t>s interpretation of the utterance is a necessary complement of the act of speaking of the author.</w:t>
      </w:r>
      <w:r w:rsidR="00E12711" w:rsidRPr="004E03FF">
        <w:rPr>
          <w:rStyle w:val="FootnoteReference"/>
          <w:szCs w:val="24"/>
          <w:lang w:val="en-US"/>
        </w:rPr>
        <w:footnoteReference w:id="374"/>
      </w:r>
      <w:r w:rsidR="00E12711" w:rsidRPr="004E03FF">
        <w:rPr>
          <w:szCs w:val="24"/>
          <w:lang w:val="en-US"/>
        </w:rPr>
        <w:t xml:space="preserve"> Through its work on the cultural codes which constitute it, a text redefines the implied image of its receivers, and stimulates them to transform their own codes in order to make the most of the text.</w:t>
      </w:r>
      <w:r w:rsidR="00E12711" w:rsidRPr="004E03FF">
        <w:rPr>
          <w:rStyle w:val="FootnoteReference"/>
          <w:szCs w:val="24"/>
          <w:lang w:val="en-US"/>
        </w:rPr>
        <w:footnoteReference w:id="375"/>
      </w:r>
    </w:p>
    <w:p w14:paraId="2EB9C7BA" w14:textId="360B6E33" w:rsidR="00E12711" w:rsidRPr="004E03FF" w:rsidRDefault="006E597E" w:rsidP="006E597E">
      <w:pPr>
        <w:rPr>
          <w:szCs w:val="24"/>
          <w:lang w:val="en-US"/>
        </w:rPr>
      </w:pPr>
      <w:r>
        <w:rPr>
          <w:szCs w:val="24"/>
          <w:lang w:val="en-US"/>
        </w:rPr>
        <w:tab/>
      </w:r>
      <w:r w:rsidR="00E12711" w:rsidRPr="004E03FF">
        <w:rPr>
          <w:szCs w:val="24"/>
          <w:lang w:val="en-US"/>
        </w:rPr>
        <w:t>It is imp</w:t>
      </w:r>
      <w:r w:rsidR="00E12711" w:rsidRPr="00D238A0">
        <w:rPr>
          <w:szCs w:val="24"/>
          <w:lang w:val="en-US"/>
        </w:rPr>
        <w:t>ortant to note that any interpretation by the receiver takes place within a context which the receiver has already recognised through conventions. The variations of language which authors introduce in their discourse can be interpreted by the receiver only if they are inserted in well-known situational frames.</w:t>
      </w:r>
      <w:r w:rsidR="00E12711" w:rsidRPr="004E03FF">
        <w:rPr>
          <w:rStyle w:val="FootnoteReference"/>
          <w:szCs w:val="24"/>
          <w:lang w:val="en-US"/>
        </w:rPr>
        <w:footnoteReference w:id="376"/>
      </w:r>
    </w:p>
    <w:p w14:paraId="282FE611" w14:textId="5A9F1BCA" w:rsidR="00E12711" w:rsidRPr="004E03FF" w:rsidRDefault="006E597E" w:rsidP="006E597E">
      <w:pPr>
        <w:rPr>
          <w:szCs w:val="24"/>
          <w:lang w:val="en-US"/>
        </w:rPr>
      </w:pPr>
      <w:r>
        <w:rPr>
          <w:szCs w:val="24"/>
          <w:lang w:val="en-US"/>
        </w:rPr>
        <w:tab/>
      </w:r>
      <w:r w:rsidR="00E12711" w:rsidRPr="004E03FF">
        <w:rPr>
          <w:szCs w:val="24"/>
          <w:lang w:val="en-US"/>
        </w:rPr>
        <w:t>Iambic poetry often uses the socially codified modes of epic and takes them one step further, towards an unexpected re-fashioning, and sometimes combines them in an unusual mix. Although the elements</w:t>
      </w:r>
      <w:r w:rsidR="00E12711" w:rsidRPr="00D238A0">
        <w:rPr>
          <w:szCs w:val="24"/>
          <w:lang w:val="en-US"/>
        </w:rPr>
        <w:t xml:space="preserve"> are the same, they are inserted into a new context and are connected each other differently so as to convey a new relationship between them. The activity of the iambographer </w:t>
      </w:r>
      <w:r w:rsidR="00CC0615">
        <w:rPr>
          <w:szCs w:val="24"/>
          <w:lang w:val="en-US"/>
        </w:rPr>
        <w:t>“</w:t>
      </w:r>
      <w:r w:rsidR="00E12711" w:rsidRPr="00D238A0">
        <w:rPr>
          <w:szCs w:val="24"/>
          <w:lang w:val="en-US"/>
        </w:rPr>
        <w:t xml:space="preserve">is to a great extent one of hyper-codification, of </w:t>
      </w:r>
      <w:r w:rsidR="00E12711" w:rsidRPr="00D238A0">
        <w:rPr>
          <w:szCs w:val="24"/>
          <w:lang w:val="en-US"/>
        </w:rPr>
        <w:lastRenderedPageBreak/>
        <w:t>using already existing codes to create new codes, and of stimulating the same activity in the reader.</w:t>
      </w:r>
      <w:r w:rsidR="00CC0615">
        <w:rPr>
          <w:szCs w:val="24"/>
          <w:lang w:val="en-US"/>
        </w:rPr>
        <w:t>”</w:t>
      </w:r>
      <w:r w:rsidR="00E12711" w:rsidRPr="004E03FF">
        <w:rPr>
          <w:rStyle w:val="FootnoteReference"/>
          <w:szCs w:val="24"/>
          <w:lang w:val="en-US"/>
        </w:rPr>
        <w:footnoteReference w:id="377"/>
      </w:r>
    </w:p>
    <w:p w14:paraId="5099D631" w14:textId="700D7AC6" w:rsidR="00E12711" w:rsidRPr="004E03FF" w:rsidRDefault="006E597E" w:rsidP="006E597E">
      <w:pPr>
        <w:rPr>
          <w:szCs w:val="24"/>
          <w:lang w:val="en-US"/>
        </w:rPr>
      </w:pPr>
      <w:r>
        <w:rPr>
          <w:szCs w:val="24"/>
          <w:lang w:val="en-US"/>
        </w:rPr>
        <w:tab/>
      </w:r>
      <w:r w:rsidR="00E12711" w:rsidRPr="004E03FF">
        <w:rPr>
          <w:szCs w:val="24"/>
          <w:lang w:val="en-US"/>
        </w:rPr>
        <w:t xml:space="preserve">Speech act theory applied to literary texts points out the presence of </w:t>
      </w:r>
      <w:r w:rsidR="00E12711" w:rsidRPr="004E03FF">
        <w:rPr>
          <w:i/>
          <w:iCs/>
          <w:szCs w:val="24"/>
          <w:lang w:val="en-US"/>
        </w:rPr>
        <w:t>topoi</w:t>
      </w:r>
      <w:r w:rsidR="00E12711" w:rsidRPr="004E03FF">
        <w:rPr>
          <w:szCs w:val="24"/>
          <w:lang w:val="en-US"/>
        </w:rPr>
        <w:t xml:space="preserve"> and the recurrence of particular linguistic expressions which, to the adept audience, constitute interpretative clues to the conventions of the genre.</w:t>
      </w:r>
      <w:r w:rsidR="00E12711" w:rsidRPr="004E03FF">
        <w:rPr>
          <w:rStyle w:val="FootnoteReference"/>
          <w:szCs w:val="24"/>
          <w:lang w:val="en-US"/>
        </w:rPr>
        <w:footnoteReference w:id="378"/>
      </w:r>
      <w:r w:rsidR="00E12711" w:rsidRPr="004E03FF">
        <w:rPr>
          <w:szCs w:val="24"/>
          <w:lang w:val="en-US"/>
        </w:rPr>
        <w:t xml:space="preserve"> A literary text is always redefining the codes</w:t>
      </w:r>
      <w:r w:rsidR="004E03FF">
        <w:rPr>
          <w:szCs w:val="24"/>
          <w:lang w:val="en-US"/>
        </w:rPr>
        <w:t xml:space="preserve"> of the genre</w:t>
      </w:r>
      <w:r w:rsidR="00E12711" w:rsidRPr="004E03FF">
        <w:rPr>
          <w:szCs w:val="24"/>
          <w:lang w:val="en-US"/>
        </w:rPr>
        <w:t xml:space="preserve"> through specific tropes that allow its audience to understand it, since literature is self-reflexive and refers to itself and to its own way of working continuously through time.</w:t>
      </w:r>
      <w:r w:rsidR="00E12711" w:rsidRPr="004E03FF">
        <w:rPr>
          <w:rStyle w:val="FootnoteReference"/>
          <w:szCs w:val="24"/>
          <w:lang w:val="en-US"/>
        </w:rPr>
        <w:footnoteReference w:id="379"/>
      </w:r>
      <w:r w:rsidR="00E12711" w:rsidRPr="004E03FF">
        <w:rPr>
          <w:szCs w:val="24"/>
          <w:lang w:val="en-US"/>
        </w:rPr>
        <w:t xml:space="preserve"> This iterability provides a bridge between the creativity of the poet and his personal linguistic use, and the interpretative conventions of language, and makes it easier to </w:t>
      </w:r>
      <w:r w:rsidR="004E03FF">
        <w:rPr>
          <w:szCs w:val="24"/>
          <w:lang w:val="en-US"/>
        </w:rPr>
        <w:t xml:space="preserve">understand </w:t>
      </w:r>
      <w:r w:rsidR="00E12711" w:rsidRPr="004E03FF">
        <w:rPr>
          <w:szCs w:val="24"/>
          <w:lang w:val="en-US"/>
        </w:rPr>
        <w:t>the literary genre within which the author is composing his poetry.</w:t>
      </w:r>
      <w:r w:rsidR="00E12711" w:rsidRPr="004E03FF">
        <w:rPr>
          <w:rStyle w:val="FootnoteReference"/>
          <w:szCs w:val="24"/>
          <w:lang w:val="en-US"/>
        </w:rPr>
        <w:footnoteReference w:id="380"/>
      </w:r>
      <w:r w:rsidR="00E12711" w:rsidRPr="004E03FF">
        <w:rPr>
          <w:szCs w:val="24"/>
          <w:lang w:val="en-US"/>
        </w:rPr>
        <w:t xml:space="preserve"> </w:t>
      </w:r>
      <w:r w:rsidR="00075F5F">
        <w:rPr>
          <w:szCs w:val="24"/>
          <w:lang w:val="en-US"/>
        </w:rPr>
        <w:t>‘</w:t>
      </w:r>
      <w:r w:rsidR="00E12711" w:rsidRPr="004E03FF">
        <w:rPr>
          <w:szCs w:val="24"/>
          <w:lang w:val="en-US"/>
        </w:rPr>
        <w:t>Marked</w:t>
      </w:r>
      <w:r w:rsidR="00075F5F">
        <w:rPr>
          <w:szCs w:val="24"/>
          <w:lang w:val="en-US"/>
        </w:rPr>
        <w:t>’</w:t>
      </w:r>
      <w:r w:rsidR="00E12711" w:rsidRPr="004E03FF">
        <w:rPr>
          <w:szCs w:val="24"/>
          <w:lang w:val="en-US"/>
        </w:rPr>
        <w:t xml:space="preserve"> speech acts involving specific </w:t>
      </w:r>
      <w:r w:rsidR="00E12711" w:rsidRPr="004E03FF">
        <w:rPr>
          <w:i/>
          <w:iCs/>
          <w:szCs w:val="24"/>
          <w:lang w:val="en-US"/>
        </w:rPr>
        <w:t>topoi</w:t>
      </w:r>
      <w:r w:rsidR="00E12711" w:rsidRPr="004E03FF">
        <w:rPr>
          <w:szCs w:val="24"/>
          <w:lang w:val="en-US"/>
        </w:rPr>
        <w:t xml:space="preserve"> play an important role in this process.</w:t>
      </w:r>
    </w:p>
    <w:p w14:paraId="38BB0299" w14:textId="0E3F24AF" w:rsidR="00E12711" w:rsidRPr="004E03FF" w:rsidRDefault="006E597E" w:rsidP="006E597E">
      <w:pPr>
        <w:spacing w:after="120"/>
        <w:rPr>
          <w:szCs w:val="24"/>
          <w:lang w:val="en-US"/>
        </w:rPr>
      </w:pPr>
      <w:r>
        <w:rPr>
          <w:szCs w:val="24"/>
          <w:lang w:val="en-US"/>
        </w:rPr>
        <w:tab/>
      </w:r>
      <w:r w:rsidR="00E12711" w:rsidRPr="004E03FF">
        <w:rPr>
          <w:szCs w:val="24"/>
          <w:lang w:val="en-US"/>
        </w:rPr>
        <w:t xml:space="preserve">This chapter will explore speech acts involving five such </w:t>
      </w:r>
      <w:r w:rsidR="00E12711" w:rsidRPr="004E03FF">
        <w:rPr>
          <w:i/>
          <w:iCs/>
          <w:szCs w:val="24"/>
          <w:lang w:val="en-US"/>
        </w:rPr>
        <w:t>topoi</w:t>
      </w:r>
      <w:r w:rsidR="00E12711" w:rsidRPr="004E03FF">
        <w:rPr>
          <w:szCs w:val="24"/>
          <w:lang w:val="en-US"/>
        </w:rPr>
        <w:t>, which all three iambographers share and shape after conventional linguistic standards:</w:t>
      </w:r>
    </w:p>
    <w:p w14:paraId="3AB3F2EA" w14:textId="77777777" w:rsidR="00AE724C" w:rsidRPr="00B336EF" w:rsidRDefault="00AE724C" w:rsidP="004E03FF">
      <w:pPr>
        <w:pStyle w:val="ListParagraph"/>
        <w:numPr>
          <w:ilvl w:val="0"/>
          <w:numId w:val="16"/>
        </w:numPr>
        <w:ind w:left="714" w:hanging="357"/>
      </w:pPr>
      <w:r w:rsidRPr="00B336EF">
        <w:t>Invective</w:t>
      </w:r>
    </w:p>
    <w:p w14:paraId="247AC7A9" w14:textId="77777777" w:rsidR="00AE724C" w:rsidRPr="00B336EF" w:rsidRDefault="00AE724C" w:rsidP="00D238A0">
      <w:pPr>
        <w:pStyle w:val="ListParagraph"/>
        <w:numPr>
          <w:ilvl w:val="0"/>
          <w:numId w:val="16"/>
        </w:numPr>
        <w:ind w:left="714" w:hanging="357"/>
      </w:pPr>
      <w:r w:rsidRPr="00B336EF">
        <w:t>Sex Jokes and Insults</w:t>
      </w:r>
    </w:p>
    <w:p w14:paraId="154A7145" w14:textId="77777777" w:rsidR="00AE724C" w:rsidRPr="00B336EF" w:rsidRDefault="00AE724C" w:rsidP="00D238A0">
      <w:pPr>
        <w:pStyle w:val="ListParagraph"/>
        <w:numPr>
          <w:ilvl w:val="0"/>
          <w:numId w:val="16"/>
        </w:numPr>
        <w:ind w:left="714" w:hanging="357"/>
      </w:pPr>
      <w:r w:rsidRPr="00B336EF">
        <w:t>Invocations of the Gods</w:t>
      </w:r>
    </w:p>
    <w:p w14:paraId="63E8137F" w14:textId="77777777" w:rsidR="00AE724C" w:rsidRPr="00B336EF" w:rsidRDefault="00AE724C" w:rsidP="00D238A0">
      <w:pPr>
        <w:pStyle w:val="ListParagraph"/>
        <w:numPr>
          <w:ilvl w:val="0"/>
          <w:numId w:val="16"/>
        </w:numPr>
        <w:ind w:left="714" w:hanging="357"/>
      </w:pPr>
      <w:r w:rsidRPr="00B336EF">
        <w:t>Food</w:t>
      </w:r>
    </w:p>
    <w:p w14:paraId="5940C826" w14:textId="77777777" w:rsidR="00AE724C" w:rsidRPr="00B336EF" w:rsidRDefault="00AE724C" w:rsidP="00D238A0">
      <w:pPr>
        <w:pStyle w:val="ListParagraph"/>
        <w:numPr>
          <w:ilvl w:val="0"/>
          <w:numId w:val="16"/>
        </w:numPr>
        <w:ind w:left="714" w:hanging="357"/>
      </w:pPr>
      <w:r w:rsidRPr="00B336EF">
        <w:t>Comparisons of Humans to Animals</w:t>
      </w:r>
    </w:p>
    <w:p w14:paraId="6B3B0640" w14:textId="15B58FD7" w:rsidR="00AE724C" w:rsidRPr="004F09B0" w:rsidRDefault="00996DB7" w:rsidP="00825A39">
      <w:pPr>
        <w:pStyle w:val="Heading3"/>
        <w:rPr>
          <w:i/>
        </w:rPr>
      </w:pPr>
      <w:r>
        <w:t xml:space="preserve">3.1 </w:t>
      </w:r>
      <w:r w:rsidR="00AE724C" w:rsidRPr="00996DB7">
        <w:t>Invective</w:t>
      </w:r>
    </w:p>
    <w:p w14:paraId="526BB7BD" w14:textId="77777777" w:rsidR="00AE724C" w:rsidRPr="00825A39" w:rsidRDefault="00AE724C" w:rsidP="00966170">
      <w:pPr>
        <w:spacing w:after="200"/>
        <w:rPr>
          <w:rFonts w:cs="Times New Roman"/>
          <w:szCs w:val="24"/>
        </w:rPr>
      </w:pPr>
      <w:r w:rsidRPr="00825A39">
        <w:rPr>
          <w:rFonts w:cs="Times New Roman"/>
          <w:szCs w:val="24"/>
        </w:rPr>
        <w:t>Catalogue of relevant passages:</w:t>
      </w:r>
    </w:p>
    <w:tbl>
      <w:tblPr>
        <w:tblStyle w:val="TableGrid"/>
        <w:tblW w:w="0" w:type="auto"/>
        <w:tblLook w:val="04A0" w:firstRow="1" w:lastRow="0" w:firstColumn="1" w:lastColumn="0" w:noHBand="0" w:noVBand="1"/>
      </w:tblPr>
      <w:tblGrid>
        <w:gridCol w:w="2970"/>
        <w:gridCol w:w="2935"/>
        <w:gridCol w:w="2975"/>
      </w:tblGrid>
      <w:tr w:rsidR="00AE724C" w:rsidRPr="00770CB7" w14:paraId="524839E0" w14:textId="77777777" w:rsidTr="003B2A46">
        <w:tc>
          <w:tcPr>
            <w:tcW w:w="3259" w:type="dxa"/>
          </w:tcPr>
          <w:p w14:paraId="0974BC7C" w14:textId="77777777" w:rsidR="00AE724C" w:rsidRPr="00770CB7" w:rsidRDefault="00AE724C" w:rsidP="00695A7C">
            <w:pPr>
              <w:rPr>
                <w:rFonts w:cs="Times New Roman"/>
                <w:szCs w:val="24"/>
              </w:rPr>
            </w:pPr>
            <w:r w:rsidRPr="00770CB7">
              <w:rPr>
                <w:rFonts w:cs="Times New Roman"/>
                <w:szCs w:val="24"/>
              </w:rPr>
              <w:t>Archilochus</w:t>
            </w:r>
          </w:p>
        </w:tc>
        <w:tc>
          <w:tcPr>
            <w:tcW w:w="3259" w:type="dxa"/>
          </w:tcPr>
          <w:p w14:paraId="5E6F86F6" w14:textId="77777777" w:rsidR="00AE724C" w:rsidRPr="00770CB7" w:rsidRDefault="00AE724C" w:rsidP="00695A7C">
            <w:pPr>
              <w:rPr>
                <w:rFonts w:cs="Times New Roman"/>
                <w:szCs w:val="24"/>
              </w:rPr>
            </w:pPr>
            <w:r w:rsidRPr="00770CB7">
              <w:rPr>
                <w:rFonts w:cs="Times New Roman"/>
                <w:szCs w:val="24"/>
              </w:rPr>
              <w:t>Hipponax</w:t>
            </w:r>
          </w:p>
        </w:tc>
        <w:tc>
          <w:tcPr>
            <w:tcW w:w="3260" w:type="dxa"/>
          </w:tcPr>
          <w:p w14:paraId="779961C2" w14:textId="77777777" w:rsidR="00AE724C" w:rsidRPr="00770CB7" w:rsidRDefault="00AE724C" w:rsidP="00695A7C">
            <w:pPr>
              <w:rPr>
                <w:rFonts w:cs="Times New Roman"/>
                <w:szCs w:val="24"/>
              </w:rPr>
            </w:pPr>
            <w:r w:rsidRPr="00770CB7">
              <w:rPr>
                <w:rFonts w:cs="Times New Roman"/>
                <w:szCs w:val="24"/>
              </w:rPr>
              <w:t>Callimachus</w:t>
            </w:r>
          </w:p>
        </w:tc>
      </w:tr>
      <w:tr w:rsidR="00AE724C" w:rsidRPr="00770CB7" w14:paraId="79578D5F" w14:textId="77777777" w:rsidTr="003B2A46">
        <w:tc>
          <w:tcPr>
            <w:tcW w:w="3259" w:type="dxa"/>
          </w:tcPr>
          <w:p w14:paraId="37E11D84" w14:textId="77777777" w:rsidR="00AE724C" w:rsidRPr="00770CB7" w:rsidRDefault="00AE724C" w:rsidP="00695A7C">
            <w:pPr>
              <w:rPr>
                <w:rFonts w:eastAsiaTheme="majorEastAsia" w:cs="Times New Roman"/>
                <w:i/>
                <w:iCs/>
                <w:color w:val="404040" w:themeColor="text1" w:themeTint="BF"/>
                <w:szCs w:val="24"/>
              </w:rPr>
            </w:pPr>
            <w:r w:rsidRPr="00770CB7">
              <w:rPr>
                <w:rFonts w:cs="Times New Roman"/>
                <w:szCs w:val="24"/>
              </w:rPr>
              <w:t>28; 42; 44; 86; 87; 89; 95; 100; 110; 119; 162; 166; 193.</w:t>
            </w:r>
          </w:p>
        </w:tc>
        <w:tc>
          <w:tcPr>
            <w:tcW w:w="3259" w:type="dxa"/>
          </w:tcPr>
          <w:p w14:paraId="5236344F" w14:textId="77777777" w:rsidR="00AE724C" w:rsidRPr="00770CB7" w:rsidRDefault="00AE724C" w:rsidP="00695A7C">
            <w:pPr>
              <w:rPr>
                <w:rFonts w:eastAsiaTheme="majorEastAsia" w:cs="Times New Roman"/>
                <w:i/>
                <w:iCs/>
                <w:color w:val="404040" w:themeColor="text1" w:themeTint="BF"/>
                <w:szCs w:val="24"/>
              </w:rPr>
            </w:pPr>
            <w:r w:rsidRPr="00770CB7">
              <w:rPr>
                <w:rFonts w:cs="Times New Roman"/>
                <w:szCs w:val="24"/>
              </w:rPr>
              <w:t>3; 17; 18; 28; 33; 36; 38; 39; 41; 48; 49; 55; 57; 95; 126; 128; 129; 133.</w:t>
            </w:r>
          </w:p>
        </w:tc>
        <w:tc>
          <w:tcPr>
            <w:tcW w:w="3260" w:type="dxa"/>
          </w:tcPr>
          <w:p w14:paraId="04818EFF" w14:textId="77777777" w:rsidR="00AE724C" w:rsidRPr="00770CB7" w:rsidRDefault="00AE724C" w:rsidP="00695A7C">
            <w:pPr>
              <w:rPr>
                <w:rFonts w:eastAsiaTheme="majorEastAsia" w:cs="Times New Roman"/>
                <w:i/>
                <w:iCs/>
                <w:color w:val="404040" w:themeColor="text1" w:themeTint="BF"/>
                <w:szCs w:val="24"/>
              </w:rPr>
            </w:pPr>
            <w:r w:rsidRPr="00770CB7">
              <w:rPr>
                <w:rFonts w:cs="Times New Roman"/>
                <w:szCs w:val="24"/>
              </w:rPr>
              <w:t>1.1-31,78-98; 2.1-15; 3; 4.22-106; 5.1-34; 13.</w:t>
            </w:r>
          </w:p>
        </w:tc>
      </w:tr>
    </w:tbl>
    <w:p w14:paraId="2ED77351" w14:textId="77777777" w:rsidR="00AE724C" w:rsidRPr="00770CB7" w:rsidRDefault="00AE724C" w:rsidP="00695A7C">
      <w:pPr>
        <w:rPr>
          <w:rFonts w:cs="Times New Roman"/>
          <w:szCs w:val="24"/>
        </w:rPr>
      </w:pPr>
    </w:p>
    <w:p w14:paraId="67ECF2DB" w14:textId="143026A9" w:rsidR="00EA14FC" w:rsidRPr="00DE23EE" w:rsidRDefault="00EA14FC" w:rsidP="00DE23EE">
      <w:pPr>
        <w:rPr>
          <w:rFonts w:cs="Times New Roman"/>
          <w:lang w:val="en-US"/>
        </w:rPr>
      </w:pPr>
      <w:r w:rsidRPr="00DE23EE">
        <w:rPr>
          <w:rFonts w:cs="Times New Roman"/>
          <w:lang w:val="en-US"/>
        </w:rPr>
        <w:lastRenderedPageBreak/>
        <w:t xml:space="preserve">Invective is typical of iambic poetry. In invective </w:t>
      </w:r>
      <w:r w:rsidR="00CC0615">
        <w:rPr>
          <w:rFonts w:cs="Times New Roman"/>
          <w:lang w:val="en-US"/>
        </w:rPr>
        <w:t>“</w:t>
      </w:r>
      <w:r w:rsidRPr="00DE23EE">
        <w:rPr>
          <w:rFonts w:cs="Times New Roman"/>
          <w:lang w:val="en-US"/>
        </w:rPr>
        <w:t>insulting and abusive language</w:t>
      </w:r>
      <w:r w:rsidR="00CC0615">
        <w:rPr>
          <w:rFonts w:cs="Times New Roman"/>
          <w:lang w:val="en-US"/>
        </w:rPr>
        <w:t>”</w:t>
      </w:r>
      <w:r w:rsidRPr="00DE23EE">
        <w:rPr>
          <w:rStyle w:val="FootnoteReference"/>
          <w:rFonts w:cs="Times New Roman"/>
          <w:lang w:val="en-US"/>
        </w:rPr>
        <w:footnoteReference w:id="381"/>
      </w:r>
      <w:r w:rsidRPr="00DE23EE">
        <w:rPr>
          <w:rFonts w:cs="Times New Roman"/>
          <w:lang w:val="en-US"/>
        </w:rPr>
        <w:t xml:space="preserve"> is used to criticise, vituperate or revile an enemy of the poet. Invective is a remarkably frequent speech act in all of the iambographers, considering the limits of our evidence. We can identify it as typical of the genre and define its characteristics.</w:t>
      </w:r>
    </w:p>
    <w:p w14:paraId="3BEF881D" w14:textId="502BF537" w:rsidR="00D238A0" w:rsidRPr="00DE23EE" w:rsidRDefault="00EA14FC" w:rsidP="00DE23EE">
      <w:pPr>
        <w:ind w:firstLine="425"/>
        <w:rPr>
          <w:rFonts w:cs="Times New Roman"/>
          <w:lang w:val="en-US"/>
        </w:rPr>
      </w:pPr>
      <w:r w:rsidRPr="00DE23EE">
        <w:rPr>
          <w:rFonts w:cs="Times New Roman"/>
          <w:lang w:val="en-US"/>
        </w:rPr>
        <w:t>A typical iambic invective is structured in three parts: an address to the target, which takes up the first one or two lines of the invective poem or passage; a physical and moral description of the target which stands at the heart of the invective; and, finally, a reproach which usually constitutes the invective</w:t>
      </w:r>
      <w:r w:rsidR="00075F5F">
        <w:rPr>
          <w:rFonts w:cs="Times New Roman"/>
          <w:lang w:val="en-US"/>
        </w:rPr>
        <w:t>’</w:t>
      </w:r>
      <w:r w:rsidRPr="00DE23EE">
        <w:rPr>
          <w:rFonts w:cs="Times New Roman"/>
          <w:lang w:val="en-US"/>
        </w:rPr>
        <w:t xml:space="preserve">s final </w:t>
      </w:r>
      <w:r w:rsidR="00075F5F">
        <w:rPr>
          <w:rFonts w:cs="Times New Roman"/>
          <w:lang w:val="en-US"/>
        </w:rPr>
        <w:t>‘</w:t>
      </w:r>
      <w:r w:rsidRPr="00DE23EE">
        <w:rPr>
          <w:rFonts w:cs="Times New Roman"/>
          <w:lang w:val="en-US"/>
        </w:rPr>
        <w:t>shot.</w:t>
      </w:r>
      <w:r w:rsidR="00075F5F">
        <w:rPr>
          <w:rFonts w:cs="Times New Roman"/>
          <w:lang w:val="en-US"/>
        </w:rPr>
        <w:t>’</w:t>
      </w:r>
      <w:r w:rsidRPr="00DE23EE">
        <w:rPr>
          <w:rFonts w:cs="Times New Roman"/>
          <w:lang w:val="en-US"/>
        </w:rPr>
        <w:t xml:space="preserve"> Each of these three parts </w:t>
      </w:r>
      <w:r w:rsidR="00D238A0" w:rsidRPr="00DE23EE">
        <w:rPr>
          <w:rFonts w:cs="Times New Roman"/>
          <w:lang w:val="en-US"/>
        </w:rPr>
        <w:t xml:space="preserve">has </w:t>
      </w:r>
      <w:r w:rsidRPr="00DE23EE">
        <w:rPr>
          <w:rFonts w:cs="Times New Roman"/>
          <w:lang w:val="en-US"/>
        </w:rPr>
        <w:t xml:space="preserve">at least one element, a sort of key-feature which makes the audience immediately aware that they are dealing with the speech act </w:t>
      </w:r>
      <w:r w:rsidR="00DF60FA">
        <w:rPr>
          <w:rFonts w:cs="Times New Roman"/>
          <w:lang w:val="en-US"/>
        </w:rPr>
        <w:t>“</w:t>
      </w:r>
      <w:r w:rsidRPr="00DE23EE">
        <w:rPr>
          <w:rFonts w:cs="Times New Roman"/>
          <w:lang w:val="en-US"/>
        </w:rPr>
        <w:t>invective,</w:t>
      </w:r>
      <w:r w:rsidR="00CC0615">
        <w:rPr>
          <w:rFonts w:cs="Times New Roman"/>
          <w:lang w:val="en-US"/>
        </w:rPr>
        <w:t>”</w:t>
      </w:r>
      <w:r w:rsidRPr="00DE23EE">
        <w:rPr>
          <w:rFonts w:cs="Times New Roman"/>
          <w:lang w:val="en-US"/>
        </w:rPr>
        <w:t xml:space="preserve"> </w:t>
      </w:r>
      <w:r w:rsidR="00D238A0" w:rsidRPr="00DE23EE">
        <w:rPr>
          <w:rFonts w:cs="Times New Roman"/>
          <w:lang w:val="en-US"/>
        </w:rPr>
        <w:t xml:space="preserve">and this same element </w:t>
      </w:r>
      <w:r w:rsidRPr="00DE23EE">
        <w:rPr>
          <w:rFonts w:cs="Times New Roman"/>
          <w:lang w:val="en-US"/>
        </w:rPr>
        <w:t xml:space="preserve">occurs in all the iambic invectives of our three authors. Those elements are </w:t>
      </w:r>
      <w:r w:rsidR="00D238A0" w:rsidRPr="00DE23EE">
        <w:rPr>
          <w:rFonts w:cs="Times New Roman"/>
          <w:lang w:val="en-US"/>
        </w:rPr>
        <w:t xml:space="preserve">listed in the following pages. </w:t>
      </w:r>
    </w:p>
    <w:p w14:paraId="5E31702C" w14:textId="77777777" w:rsidR="00D238A0" w:rsidRPr="00DE23EE" w:rsidRDefault="00D238A0" w:rsidP="00DE23EE">
      <w:pPr>
        <w:rPr>
          <w:rFonts w:cs="Times New Roman"/>
          <w:lang w:val="en-US"/>
        </w:rPr>
      </w:pPr>
    </w:p>
    <w:p w14:paraId="6F45A756" w14:textId="6CA084FF" w:rsidR="00D238A0" w:rsidRPr="00DE23EE" w:rsidRDefault="00EA14FC" w:rsidP="00DE23EE">
      <w:pPr>
        <w:rPr>
          <w:rFonts w:cs="Times New Roman"/>
          <w:lang w:val="en-US"/>
        </w:rPr>
      </w:pPr>
      <w:r w:rsidRPr="00DE23EE">
        <w:rPr>
          <w:rFonts w:cs="Times New Roman"/>
          <w:lang w:val="en-US"/>
        </w:rPr>
        <w:t xml:space="preserve">Every invective in our three authors has three opening features: the direct address to the target, a word for </w:t>
      </w:r>
      <w:r w:rsidR="00CC0615">
        <w:rPr>
          <w:rFonts w:cs="Times New Roman"/>
          <w:lang w:val="en-US"/>
        </w:rPr>
        <w:t>“</w:t>
      </w:r>
      <w:r w:rsidRPr="00DE23EE">
        <w:rPr>
          <w:rFonts w:cs="Times New Roman"/>
          <w:lang w:val="en-US"/>
        </w:rPr>
        <w:t>singing,</w:t>
      </w:r>
      <w:r w:rsidR="00CC0615">
        <w:rPr>
          <w:rFonts w:cs="Times New Roman"/>
          <w:lang w:val="en-US"/>
        </w:rPr>
        <w:t>”</w:t>
      </w:r>
      <w:r w:rsidRPr="00DE23EE">
        <w:rPr>
          <w:rFonts w:cs="Times New Roman"/>
          <w:lang w:val="en-US"/>
        </w:rPr>
        <w:t xml:space="preserve"> and the verb ἀκούω. Each of these three elements relates to one of the three actors involved in the communication: the target of the invective, the author, and the audience. </w:t>
      </w:r>
    </w:p>
    <w:p w14:paraId="3DF580CE" w14:textId="65AF9D41" w:rsidR="00EA14FC" w:rsidRPr="00DE23EE" w:rsidRDefault="00EA14FC" w:rsidP="00DE23EE">
      <w:pPr>
        <w:ind w:firstLine="426"/>
        <w:rPr>
          <w:rFonts w:cs="Times New Roman"/>
          <w:lang w:val="en-US"/>
        </w:rPr>
      </w:pPr>
      <w:r w:rsidRPr="00DE23EE">
        <w:rPr>
          <w:rFonts w:cs="Times New Roman"/>
          <w:lang w:val="en-US"/>
        </w:rPr>
        <w:t>As a result of the direct address, the target is publicly identified by a name  and is explicitly drawn into the performance which an invective constitutes. The i</w:t>
      </w:r>
      <w:r w:rsidR="00D238A0" w:rsidRPr="00DE23EE">
        <w:rPr>
          <w:rFonts w:cs="Times New Roman"/>
          <w:lang w:val="en-US"/>
        </w:rPr>
        <w:t>dentification</w:t>
      </w:r>
      <w:r w:rsidRPr="00DE23EE">
        <w:rPr>
          <w:rFonts w:cs="Times New Roman"/>
          <w:lang w:val="en-US"/>
        </w:rPr>
        <w:t xml:space="preserve"> has different degrees of accuracy depending on the kind of appellation, since addressing the target by personal name identifies him more precisely than a nickname, which in turn identifies him more precisely than an epithet, and an epithet more precisely than an appositional and complementary expression of characterisation. Archilochus prefers to address his enemy by his personal name, generally preceded by an epithet, as exemplified by Archil. fr. 166.1 πάτερ Λυκάμβα, ποῖον ἐφράσω τόδε; </w:t>
      </w:r>
      <w:r w:rsidR="00CC0615">
        <w:rPr>
          <w:rFonts w:cs="Times New Roman"/>
          <w:lang w:val="en-US"/>
        </w:rPr>
        <w:t>“</w:t>
      </w:r>
      <w:r w:rsidRPr="00DE23EE">
        <w:rPr>
          <w:rFonts w:cs="Times New Roman"/>
          <w:lang w:val="en-US"/>
        </w:rPr>
        <w:t>father Lycambes, what did you mean by this?</w:t>
      </w:r>
      <w:r w:rsidR="00CC0615">
        <w:rPr>
          <w:rFonts w:cs="Times New Roman"/>
          <w:lang w:val="en-US"/>
        </w:rPr>
        <w:t>”</w:t>
      </w:r>
      <w:r w:rsidRPr="00DE23EE">
        <w:rPr>
          <w:rFonts w:cs="Times New Roman"/>
          <w:lang w:val="en-US"/>
        </w:rPr>
        <w:t xml:space="preserve"> Here Λυκάμβης is the personal name and πάτηρ, a generic epithet. Hipponax, too, often addresses his target by his personal name followed by an epithet, as in Hippon. fr. 39.1 Μιμνῆ κατωμόχανε, </w:t>
      </w:r>
      <w:r w:rsidR="00CC0615">
        <w:rPr>
          <w:rFonts w:cs="Times New Roman"/>
          <w:lang w:val="en-US"/>
        </w:rPr>
        <w:t>“</w:t>
      </w:r>
      <w:r w:rsidRPr="00DE23EE">
        <w:rPr>
          <w:rFonts w:cs="Times New Roman"/>
          <w:lang w:val="en-US"/>
        </w:rPr>
        <w:t>Mimnes, you who gape open all the way to the shoulders,</w:t>
      </w:r>
      <w:r w:rsidR="00CC0615">
        <w:rPr>
          <w:rFonts w:cs="Times New Roman"/>
          <w:lang w:val="en-US"/>
        </w:rPr>
        <w:t>”</w:t>
      </w:r>
      <w:r w:rsidRPr="00DE23EE">
        <w:rPr>
          <w:rFonts w:cs="Times New Roman"/>
          <w:lang w:val="en-US"/>
        </w:rPr>
        <w:t xml:space="preserve"> where the personal name Mimnes is followed by an epithet, κατωμόχανος, which is not generic but specific. Indeed, κατωμόχανος is a custom-made compound.</w:t>
      </w:r>
      <w:r w:rsidRPr="00DE23EE">
        <w:rPr>
          <w:rStyle w:val="FootnoteReference"/>
          <w:rFonts w:cs="Times New Roman"/>
          <w:lang w:val="en-US"/>
        </w:rPr>
        <w:footnoteReference w:id="382"/>
      </w:r>
      <w:r w:rsidRPr="00DE23EE">
        <w:rPr>
          <w:rFonts w:cs="Times New Roman"/>
          <w:lang w:val="en-US"/>
        </w:rPr>
        <w:t xml:space="preserve"> </w:t>
      </w:r>
      <w:r w:rsidRPr="00DE23EE">
        <w:rPr>
          <w:rFonts w:cs="Times New Roman"/>
          <w:lang w:val="en-US"/>
        </w:rPr>
        <w:lastRenderedPageBreak/>
        <w:t xml:space="preserve">There is only one Hipponactean instance where the target is addressed without the personal name, namely fr. 126.1-2 Εὐρυμεδοντιάδεω τὴν ποντοχάρυβδιν, / τὴν ἐγγαστριμάχαιραν, ὃς ἐσθίει οὐ κατὰ κόσμον </w:t>
      </w:r>
      <w:r w:rsidR="00CC0615">
        <w:rPr>
          <w:rFonts w:cs="Times New Roman"/>
          <w:lang w:val="en-US"/>
        </w:rPr>
        <w:t>“</w:t>
      </w:r>
      <w:r w:rsidRPr="00DE23EE">
        <w:rPr>
          <w:rFonts w:cs="Times New Roman"/>
          <w:lang w:val="en-US"/>
        </w:rPr>
        <w:t>the oceanic Charybdis of the son of Eurymedontes, the knife-in-the-stomach, who eats in no orderly manner</w:t>
      </w:r>
      <w:r w:rsidR="00CC0615">
        <w:rPr>
          <w:rFonts w:cs="Times New Roman"/>
          <w:lang w:val="en-US"/>
        </w:rPr>
        <w:t>”</w:t>
      </w:r>
      <w:r w:rsidRPr="00DE23EE">
        <w:rPr>
          <w:rFonts w:cs="Times New Roman"/>
          <w:lang w:val="en-US"/>
        </w:rPr>
        <w:t xml:space="preserve"> and it shows an accumulation of characterisations which qualify the target: two appositions (τὴν ποντοχάρυβδιν, τὴν ἐγγαστριμάχαιραν), specified by a patronymic (Εὐρυμεδοντιάδεω) and by a relative clause (ὃς ἐσθίει οὐ κατὰ κόσμον).</w:t>
      </w:r>
      <w:r w:rsidRPr="00DE23EE">
        <w:rPr>
          <w:rStyle w:val="FootnoteReference"/>
          <w:rFonts w:cs="Times New Roman"/>
          <w:lang w:val="en-US"/>
        </w:rPr>
        <w:footnoteReference w:id="383"/>
      </w:r>
      <w:r w:rsidRPr="00DE23EE">
        <w:rPr>
          <w:rFonts w:cs="Times New Roman"/>
          <w:lang w:val="en-US"/>
        </w:rPr>
        <w:t xml:space="preserve"> Callimachus, on the other hand, never addresses his target by personal name, but only by means of epithets or appositions, as in </w:t>
      </w:r>
      <w:r w:rsidRPr="00DE23EE">
        <w:rPr>
          <w:rFonts w:cs="Times New Roman"/>
          <w:i/>
          <w:iCs/>
          <w:lang w:val="en-US"/>
        </w:rPr>
        <w:t>Ia</w:t>
      </w:r>
      <w:r w:rsidRPr="00DE23EE">
        <w:rPr>
          <w:rFonts w:cs="Times New Roman"/>
          <w:lang w:val="en-US"/>
        </w:rPr>
        <w:t xml:space="preserve">. 1.29 ὁ ψιλοκόρσης, </w:t>
      </w:r>
      <w:r w:rsidR="00CC0615">
        <w:rPr>
          <w:rFonts w:cs="Times New Roman"/>
          <w:lang w:val="en-US"/>
        </w:rPr>
        <w:t>“</w:t>
      </w:r>
      <w:r w:rsidRPr="00DE23EE">
        <w:rPr>
          <w:rFonts w:cs="Times New Roman"/>
          <w:lang w:val="en-US"/>
        </w:rPr>
        <w:t>the bald-headed man.</w:t>
      </w:r>
      <w:r w:rsidR="00CC0615">
        <w:rPr>
          <w:rFonts w:cs="Times New Roman"/>
          <w:lang w:val="en-US"/>
        </w:rPr>
        <w:t>”</w:t>
      </w:r>
      <w:r w:rsidRPr="00DE23EE">
        <w:rPr>
          <w:rFonts w:cs="Times New Roman"/>
          <w:lang w:val="en-US"/>
        </w:rPr>
        <w:t xml:space="preserve"> One may reasonably infer that this trend reflects the different communicative context of Callimachus</w:t>
      </w:r>
      <w:r w:rsidR="00075F5F">
        <w:rPr>
          <w:rFonts w:cs="Times New Roman"/>
          <w:lang w:val="en-US"/>
        </w:rPr>
        <w:t>’</w:t>
      </w:r>
      <w:r w:rsidRPr="00DE23EE">
        <w:rPr>
          <w:rFonts w:cs="Times New Roman"/>
          <w:lang w:val="en-US"/>
        </w:rPr>
        <w:t xml:space="preserve"> iambic poetry, which, as the poet informs his audience at the start of the collection, </w:t>
      </w:r>
      <w:r w:rsidR="00CC0615">
        <w:rPr>
          <w:rFonts w:cs="Times New Roman"/>
          <w:lang w:val="en-US"/>
        </w:rPr>
        <w:t>“</w:t>
      </w:r>
      <w:r w:rsidRPr="00DE23EE">
        <w:rPr>
          <w:rFonts w:cs="Times New Roman"/>
          <w:lang w:val="en-US"/>
        </w:rPr>
        <w:t>does not sing of the Boupalean battle</w:t>
      </w:r>
      <w:r w:rsidR="00CC0615">
        <w:rPr>
          <w:rFonts w:cs="Times New Roman"/>
          <w:lang w:val="en-US"/>
        </w:rPr>
        <w:t>”</w:t>
      </w:r>
      <w:r w:rsidRPr="00DE23EE">
        <w:rPr>
          <w:rFonts w:cs="Times New Roman"/>
          <w:lang w:val="en-US"/>
        </w:rPr>
        <w:t xml:space="preserve"> (οὐ μάχην ἀείδοντα / τὴν Βουπάλειον, </w:t>
      </w:r>
      <w:r w:rsidRPr="00DE23EE">
        <w:rPr>
          <w:rFonts w:cs="Times New Roman"/>
          <w:i/>
          <w:iCs/>
          <w:lang w:val="en-US"/>
        </w:rPr>
        <w:t>Ia</w:t>
      </w:r>
      <w:r w:rsidRPr="00DE23EE">
        <w:rPr>
          <w:rFonts w:cs="Times New Roman"/>
          <w:lang w:val="en-US"/>
        </w:rPr>
        <w:t>. 1.3-4), that is to say, of feuds with enemies familiar to the poet</w:t>
      </w:r>
      <w:r w:rsidR="00075F5F">
        <w:rPr>
          <w:rFonts w:cs="Times New Roman"/>
          <w:lang w:val="en-US"/>
        </w:rPr>
        <w:t>’</w:t>
      </w:r>
      <w:r w:rsidRPr="00DE23EE">
        <w:rPr>
          <w:rFonts w:cs="Times New Roman"/>
          <w:lang w:val="en-US"/>
        </w:rPr>
        <w:t xml:space="preserve">s audience. For Callimachus, </w:t>
      </w:r>
      <w:r w:rsidRPr="00DE23EE">
        <w:rPr>
          <w:rFonts w:cs="Times New Roman"/>
          <w:i/>
          <w:iCs/>
          <w:lang w:val="en-US"/>
        </w:rPr>
        <w:t>iambos</w:t>
      </w:r>
      <w:r w:rsidRPr="00DE23EE">
        <w:rPr>
          <w:rFonts w:cs="Times New Roman"/>
          <w:lang w:val="en-US"/>
        </w:rPr>
        <w:t xml:space="preserve"> is no longer occasional poetry performed before a local audience, but a literary genre with international aspirations. </w:t>
      </w:r>
    </w:p>
    <w:p w14:paraId="0E5B3A07" w14:textId="24F0DBBB" w:rsidR="00EA14FC" w:rsidRPr="00DE23EE" w:rsidRDefault="00EA14FC" w:rsidP="00DE23EE">
      <w:pPr>
        <w:ind w:firstLine="425"/>
        <w:rPr>
          <w:rFonts w:cs="Times New Roman"/>
          <w:lang w:val="en-US"/>
        </w:rPr>
      </w:pPr>
      <w:r w:rsidRPr="00DE23EE">
        <w:rPr>
          <w:rFonts w:cs="Times New Roman"/>
          <w:lang w:val="en-US"/>
        </w:rPr>
        <w:t xml:space="preserve">With this shift, Callimachus presents opponents within his text who seem to differ significantly to those of Archilochus and Hipponax. When Callimachus depicts single personal adversaries, these adversaries generally seem to be depicted less as unique individuals, as in Archilochus and Hipponax, than as representatives of a personality type or typical behaviour. This applies to Euthydemus in </w:t>
      </w:r>
      <w:r w:rsidRPr="00DE23EE">
        <w:rPr>
          <w:rFonts w:cs="Times New Roman"/>
          <w:i/>
          <w:iCs/>
          <w:lang w:val="en-US"/>
        </w:rPr>
        <w:t>Ia.</w:t>
      </w:r>
      <w:r w:rsidRPr="00DE23EE">
        <w:rPr>
          <w:rFonts w:cs="Times New Roman"/>
          <w:lang w:val="en-US"/>
        </w:rPr>
        <w:t xml:space="preserve"> 3, the γραμματοδιδάσκαλος of </w:t>
      </w:r>
      <w:r w:rsidRPr="00DE23EE">
        <w:rPr>
          <w:rFonts w:cs="Times New Roman"/>
          <w:i/>
          <w:iCs/>
          <w:lang w:val="en-US"/>
        </w:rPr>
        <w:t>Ia.</w:t>
      </w:r>
      <w:r w:rsidRPr="00DE23EE">
        <w:rPr>
          <w:rFonts w:cs="Times New Roman"/>
          <w:lang w:val="en-US"/>
        </w:rPr>
        <w:t xml:space="preserve"> 5, and Eudemus and Philton in </w:t>
      </w:r>
      <w:r w:rsidRPr="00DE23EE">
        <w:rPr>
          <w:rFonts w:cs="Times New Roman"/>
          <w:i/>
          <w:iCs/>
          <w:lang w:val="en-US"/>
        </w:rPr>
        <w:t>Ia</w:t>
      </w:r>
      <w:r w:rsidRPr="00DE23EE">
        <w:rPr>
          <w:rFonts w:cs="Times New Roman"/>
          <w:lang w:val="en-US"/>
        </w:rPr>
        <w:t xml:space="preserve">. 2.10-11 (καὶ κυνὸς μὲν Εὔδημος, / ὄνου δὲ Φίλτων, </w:t>
      </w:r>
      <w:r w:rsidR="00CC0615">
        <w:rPr>
          <w:rFonts w:cs="Times New Roman"/>
          <w:lang w:val="en-US"/>
        </w:rPr>
        <w:t>“</w:t>
      </w:r>
      <w:r w:rsidRPr="00DE23EE">
        <w:rPr>
          <w:rFonts w:cs="Times New Roman"/>
          <w:lang w:val="en-US"/>
        </w:rPr>
        <w:t>thus Eudemus has [the voice] of a dog, and Philton that of an ass</w:t>
      </w:r>
      <w:r w:rsidR="00CC0615">
        <w:rPr>
          <w:rFonts w:cs="Times New Roman"/>
          <w:lang w:val="en-US"/>
        </w:rPr>
        <w:t>”</w:t>
      </w:r>
      <w:r w:rsidRPr="00DE23EE">
        <w:rPr>
          <w:rFonts w:cs="Times New Roman"/>
          <w:lang w:val="en-US"/>
        </w:rPr>
        <w:t xml:space="preserve">). The identity of Eudemus and Philton is unknown, and the teacher of </w:t>
      </w:r>
      <w:r w:rsidRPr="00DE23EE">
        <w:rPr>
          <w:rFonts w:cs="Times New Roman"/>
          <w:i/>
          <w:iCs/>
          <w:lang w:val="en-US"/>
        </w:rPr>
        <w:t>Ia.</w:t>
      </w:r>
      <w:r w:rsidRPr="00DE23EE">
        <w:rPr>
          <w:rFonts w:cs="Times New Roman"/>
          <w:lang w:val="en-US"/>
        </w:rPr>
        <w:t xml:space="preserve"> 5 remains unnamed (the </w:t>
      </w:r>
      <w:r w:rsidRPr="00DE23EE">
        <w:rPr>
          <w:rFonts w:cs="Times New Roman"/>
          <w:i/>
          <w:iCs/>
          <w:lang w:val="en-US"/>
        </w:rPr>
        <w:t>Diegesis</w:t>
      </w:r>
      <w:r w:rsidRPr="00DE23EE">
        <w:rPr>
          <w:rFonts w:cs="Times New Roman"/>
          <w:lang w:val="en-US"/>
        </w:rPr>
        <w:t xml:space="preserve"> identifies him as </w:t>
      </w:r>
      <w:r w:rsidR="00CC0615">
        <w:rPr>
          <w:rFonts w:cs="Times New Roman"/>
          <w:lang w:val="en-US"/>
        </w:rPr>
        <w:t>“</w:t>
      </w:r>
      <w:r w:rsidRPr="00DE23EE">
        <w:rPr>
          <w:rFonts w:cs="Times New Roman"/>
          <w:lang w:val="en-US"/>
        </w:rPr>
        <w:t>Apollonius or Cleon</w:t>
      </w:r>
      <w:r w:rsidR="00CC0615">
        <w:rPr>
          <w:rFonts w:cs="Times New Roman"/>
          <w:lang w:val="en-US"/>
        </w:rPr>
        <w:t>”</w:t>
      </w:r>
      <w:r w:rsidRPr="00DE23EE">
        <w:rPr>
          <w:rFonts w:cs="Times New Roman"/>
          <w:lang w:val="en-US"/>
        </w:rPr>
        <w:t>).</w:t>
      </w:r>
    </w:p>
    <w:p w14:paraId="5CCDD431" w14:textId="113123DF" w:rsidR="00EA14FC" w:rsidRPr="00DE23EE" w:rsidRDefault="00EA14FC" w:rsidP="00DE23EE">
      <w:pPr>
        <w:ind w:firstLine="425"/>
        <w:rPr>
          <w:rFonts w:cs="Times New Roman"/>
          <w:lang w:val="en-US"/>
        </w:rPr>
      </w:pPr>
      <w:r w:rsidRPr="00DE23EE">
        <w:rPr>
          <w:rFonts w:cs="Times New Roman"/>
          <w:lang w:val="en-US"/>
        </w:rPr>
        <w:t xml:space="preserve">At first sight these figures appear to be similar to the targets of Archilochus and Hipponax: figures familiar both to the poetic voice of the poem and to the audience. Yet they are </w:t>
      </w:r>
      <w:r w:rsidR="00CC0615">
        <w:rPr>
          <w:rFonts w:cs="Times New Roman"/>
          <w:lang w:val="en-US"/>
        </w:rPr>
        <w:t>“</w:t>
      </w:r>
      <w:r w:rsidRPr="00DE23EE">
        <w:rPr>
          <w:rFonts w:cs="Times New Roman"/>
          <w:lang w:val="en-US"/>
        </w:rPr>
        <w:t>contemporary</w:t>
      </w:r>
      <w:r w:rsidR="00CC0615">
        <w:rPr>
          <w:rFonts w:cs="Times New Roman"/>
          <w:lang w:val="en-US"/>
        </w:rPr>
        <w:t>”</w:t>
      </w:r>
      <w:r w:rsidRPr="00DE23EE">
        <w:rPr>
          <w:rFonts w:cs="Times New Roman"/>
          <w:lang w:val="en-US"/>
        </w:rPr>
        <w:t xml:space="preserve"> also in a broad sense, so that the invective</w:t>
      </w:r>
      <w:r w:rsidR="00075F5F">
        <w:rPr>
          <w:rFonts w:cs="Times New Roman"/>
          <w:lang w:val="en-US"/>
        </w:rPr>
        <w:t>’</w:t>
      </w:r>
      <w:r w:rsidRPr="00DE23EE">
        <w:rPr>
          <w:rFonts w:cs="Times New Roman"/>
          <w:lang w:val="en-US"/>
        </w:rPr>
        <w:t>s success does not rely on the audience</w:t>
      </w:r>
      <w:r w:rsidR="00075F5F">
        <w:rPr>
          <w:rFonts w:cs="Times New Roman"/>
          <w:lang w:val="en-US"/>
        </w:rPr>
        <w:t>’</w:t>
      </w:r>
      <w:r w:rsidRPr="00DE23EE">
        <w:rPr>
          <w:rFonts w:cs="Times New Roman"/>
          <w:lang w:val="en-US"/>
        </w:rPr>
        <w:t xml:space="preserve">s ability to identify the target as a specific individual. Callimachus </w:t>
      </w:r>
      <w:r w:rsidRPr="00DE23EE">
        <w:rPr>
          <w:rFonts w:cs="Times New Roman"/>
          <w:lang w:val="en-US"/>
        </w:rPr>
        <w:lastRenderedPageBreak/>
        <w:t xml:space="preserve">uses this same rhetorical device in his famous invective against the Telchines at the beginning of the </w:t>
      </w:r>
      <w:r w:rsidRPr="00DE23EE">
        <w:rPr>
          <w:rFonts w:cs="Times New Roman"/>
          <w:i/>
          <w:iCs/>
          <w:lang w:val="en-US"/>
        </w:rPr>
        <w:t>Aitia</w:t>
      </w:r>
      <w:r w:rsidRPr="00DE23EE">
        <w:rPr>
          <w:rFonts w:cs="Times New Roman"/>
          <w:lang w:val="en-US"/>
        </w:rPr>
        <w:t xml:space="preserve"> (1.1.1-12). There, too, an audience close to the poet may well have been able to identify individual critics hiding behind the nickname </w:t>
      </w:r>
      <w:r w:rsidR="00CC0615">
        <w:rPr>
          <w:rFonts w:cs="Times New Roman"/>
          <w:lang w:val="en-US"/>
        </w:rPr>
        <w:t>“</w:t>
      </w:r>
      <w:r w:rsidRPr="00DE23EE">
        <w:rPr>
          <w:rFonts w:cs="Times New Roman"/>
          <w:lang w:val="en-US"/>
        </w:rPr>
        <w:t>Telchines,</w:t>
      </w:r>
      <w:r w:rsidR="00CC0615">
        <w:rPr>
          <w:rFonts w:cs="Times New Roman"/>
          <w:lang w:val="en-US"/>
        </w:rPr>
        <w:t>”</w:t>
      </w:r>
      <w:r w:rsidRPr="00DE23EE">
        <w:rPr>
          <w:rFonts w:cs="Times New Roman"/>
          <w:lang w:val="en-US"/>
        </w:rPr>
        <w:t xml:space="preserve"> but this identification is not required for the invective to work.</w:t>
      </w:r>
      <w:r w:rsidRPr="00DE23EE">
        <w:rPr>
          <w:rStyle w:val="FootnoteReference"/>
          <w:rFonts w:cs="Times New Roman"/>
          <w:lang w:val="en-US"/>
        </w:rPr>
        <w:footnoteReference w:id="384"/>
      </w:r>
    </w:p>
    <w:p w14:paraId="5F5237BC" w14:textId="76BC8D6B" w:rsidR="00EA14FC" w:rsidRPr="00DE23EE" w:rsidRDefault="00EA14FC" w:rsidP="00DE23EE">
      <w:pPr>
        <w:rPr>
          <w:rFonts w:cs="Times New Roman"/>
          <w:lang w:val="en-US"/>
        </w:rPr>
      </w:pPr>
      <w:r w:rsidRPr="00DE23EE">
        <w:rPr>
          <w:rFonts w:cs="Times New Roman"/>
          <w:lang w:val="en-US"/>
        </w:rPr>
        <w:tab/>
        <w:t xml:space="preserve">The iambographer, who is a sort of fault-finder, rises to his full height against his target, and he fulfils his social duty of condemnation by singing his poem. A Greek verb signifying </w:t>
      </w:r>
      <w:r w:rsidR="00CC0615">
        <w:rPr>
          <w:rFonts w:cs="Times New Roman"/>
          <w:lang w:val="en-US"/>
        </w:rPr>
        <w:t>“</w:t>
      </w:r>
      <w:r w:rsidRPr="00DE23EE">
        <w:rPr>
          <w:rFonts w:cs="Times New Roman"/>
          <w:lang w:val="en-US"/>
        </w:rPr>
        <w:t>to sing</w:t>
      </w:r>
      <w:r w:rsidR="00CC0615">
        <w:rPr>
          <w:rFonts w:cs="Times New Roman"/>
          <w:lang w:val="en-US"/>
        </w:rPr>
        <w:t>”</w:t>
      </w:r>
      <w:r w:rsidRPr="00DE23EE">
        <w:rPr>
          <w:rFonts w:cs="Times New Roman"/>
          <w:lang w:val="en-US"/>
        </w:rPr>
        <w:t xml:space="preserve"> characterises the invectives, and emphasizes the moral superiority of the author over his target. The verb often sounds epic. It increases the distance between the poet, who seems to belong to the high and chivalrous world of epic, and the target, who is demoted to the lowest social degree.</w:t>
      </w:r>
    </w:p>
    <w:p w14:paraId="703122A0" w14:textId="7648FB88" w:rsidR="00EA14FC" w:rsidRPr="00DE23EE" w:rsidRDefault="00EA14FC" w:rsidP="00DE23EE">
      <w:pPr>
        <w:rPr>
          <w:rFonts w:cs="Times New Roman"/>
          <w:lang w:val="en-US"/>
        </w:rPr>
      </w:pPr>
      <w:r w:rsidRPr="00DE23EE">
        <w:rPr>
          <w:rFonts w:cs="Times New Roman"/>
          <w:lang w:val="en-US"/>
        </w:rPr>
        <w:tab/>
        <w:t xml:space="preserve">Archilochus and Callimachus introduce their invective through the verb ἀείδω, which is the poetic Ionic version of ᾄδω, as shown in Archil. fr. 95 τὸν κεροπλάστην ἄειδε Γλαῦκον, </w:t>
      </w:r>
      <w:r w:rsidR="00CC0615">
        <w:rPr>
          <w:rFonts w:cs="Times New Roman"/>
          <w:lang w:val="en-US"/>
        </w:rPr>
        <w:t>“</w:t>
      </w:r>
      <w:r w:rsidRPr="00DE23EE">
        <w:rPr>
          <w:rFonts w:cs="Times New Roman"/>
          <w:lang w:val="en-US"/>
        </w:rPr>
        <w:t>sing me the well-combed Glaucos,</w:t>
      </w:r>
      <w:r w:rsidR="00CC0615">
        <w:rPr>
          <w:rFonts w:cs="Times New Roman"/>
          <w:lang w:val="en-US"/>
        </w:rPr>
        <w:t>”</w:t>
      </w:r>
      <w:r w:rsidRPr="00DE23EE">
        <w:rPr>
          <w:rFonts w:cs="Times New Roman"/>
          <w:lang w:val="en-US"/>
        </w:rPr>
        <w:t xml:space="preserve"> and in Call. </w:t>
      </w:r>
      <w:r w:rsidRPr="00DE23EE">
        <w:rPr>
          <w:rFonts w:cs="Times New Roman"/>
          <w:i/>
          <w:iCs/>
          <w:lang w:val="en-US"/>
        </w:rPr>
        <w:t>Ia</w:t>
      </w:r>
      <w:r w:rsidRPr="00DE23EE">
        <w:rPr>
          <w:rFonts w:cs="Times New Roman"/>
          <w:lang w:val="en-US"/>
        </w:rPr>
        <w:t xml:space="preserve">. 1.3 φέρων ἴαμβον οὐ μάχην ἀείδοντα </w:t>
      </w:r>
      <w:r w:rsidR="00CC0615">
        <w:rPr>
          <w:rFonts w:cs="Times New Roman"/>
          <w:lang w:val="en-US"/>
        </w:rPr>
        <w:t>“</w:t>
      </w:r>
      <w:r w:rsidRPr="00DE23EE">
        <w:rPr>
          <w:rFonts w:cs="Times New Roman"/>
          <w:lang w:val="en-US"/>
        </w:rPr>
        <w:t>with an iamb not about Boupalus</w:t>
      </w:r>
      <w:r w:rsidR="00CC0615">
        <w:rPr>
          <w:rFonts w:cs="Times New Roman"/>
          <w:lang w:val="en-US"/>
        </w:rPr>
        <w:t>”</w:t>
      </w:r>
      <w:r w:rsidRPr="00DE23EE">
        <w:rPr>
          <w:rFonts w:cs="Times New Roman"/>
          <w:lang w:val="en-US"/>
        </w:rPr>
        <w:t xml:space="preserve">. Moreover, Call. </w:t>
      </w:r>
      <w:r w:rsidRPr="00DE23EE">
        <w:rPr>
          <w:rFonts w:cs="Times New Roman"/>
          <w:i/>
          <w:iCs/>
          <w:lang w:val="en-US"/>
        </w:rPr>
        <w:t>Ia</w:t>
      </w:r>
      <w:r w:rsidRPr="00DE23EE">
        <w:rPr>
          <w:rFonts w:cs="Times New Roman"/>
          <w:lang w:val="en-US"/>
        </w:rPr>
        <w:t xml:space="preserve">. 4.46 says ὦ πάντα καλή, τῶν ἐμῶν τὸ κάλλιστον / … / ἤεισας </w:t>
      </w:r>
      <w:r w:rsidR="00CC0615">
        <w:rPr>
          <w:rFonts w:cs="Times New Roman"/>
          <w:lang w:val="en-US"/>
        </w:rPr>
        <w:t>“</w:t>
      </w:r>
      <w:r w:rsidRPr="00DE23EE">
        <w:rPr>
          <w:rFonts w:cs="Times New Roman"/>
          <w:lang w:val="en-US"/>
        </w:rPr>
        <w:t>o fair one in all things, ... you sang the fairest of my features,</w:t>
      </w:r>
      <w:r w:rsidR="00CC0615">
        <w:rPr>
          <w:rFonts w:cs="Times New Roman"/>
          <w:lang w:val="en-US"/>
        </w:rPr>
        <w:t>”</w:t>
      </w:r>
      <w:r w:rsidRPr="00DE23EE">
        <w:rPr>
          <w:rFonts w:cs="Times New Roman"/>
          <w:lang w:val="en-US"/>
        </w:rPr>
        <w:t xml:space="preserve"> where there is the epic aorist ἤεισα: this form refers to the laurel whose register is high and epic, but it is used by the olive, which has a more lowly register, just as the olive tree starts refuting his opponent</w:t>
      </w:r>
      <w:r w:rsidR="00075F5F">
        <w:rPr>
          <w:rFonts w:cs="Times New Roman"/>
          <w:lang w:val="en-US"/>
        </w:rPr>
        <w:t>’</w:t>
      </w:r>
      <w:r w:rsidRPr="00DE23EE">
        <w:rPr>
          <w:rFonts w:cs="Times New Roman"/>
          <w:lang w:val="en-US"/>
        </w:rPr>
        <w:t>s arguments. The epic singing of the laurel is therefore metaphorically defeated by the unsophisticated way of speaking of the olive. The choice of the verb ἐννέπω by Hipponax is even more epic: Μοῦσά μοι Εὐρυμεδοντιάδεω τὴν ποντοχάρυβδιν, / τὴν ἐν γαστρὶ μάχαιραν, ὃς ἐσθίει οὐ κατὰ κόσμον, / ἔννεφ</w:t>
      </w:r>
      <w:r w:rsidR="00075F5F">
        <w:rPr>
          <w:rFonts w:cs="Times New Roman"/>
          <w:lang w:val="en-US"/>
        </w:rPr>
        <w:t>’</w:t>
      </w:r>
      <w:r w:rsidRPr="00DE23EE">
        <w:rPr>
          <w:rFonts w:cs="Times New Roman"/>
          <w:lang w:val="en-US"/>
        </w:rPr>
        <w:t xml:space="preserve">, </w:t>
      </w:r>
      <w:r w:rsidR="00CC0615">
        <w:rPr>
          <w:rFonts w:cs="Times New Roman"/>
          <w:lang w:val="en-US"/>
        </w:rPr>
        <w:t>“</w:t>
      </w:r>
      <w:r w:rsidRPr="00DE23EE">
        <w:rPr>
          <w:rFonts w:cs="Times New Roman"/>
          <w:lang w:val="en-US"/>
        </w:rPr>
        <w:t>tell me, Muse, of the oceanic Charybdis of the son of Eurymedontes, of the knife-in-the-stomach, who eats in no orderly manner</w:t>
      </w:r>
      <w:r w:rsidR="00CC0615">
        <w:rPr>
          <w:rFonts w:cs="Times New Roman"/>
          <w:lang w:val="en-US"/>
        </w:rPr>
        <w:t>”</w:t>
      </w:r>
      <w:r w:rsidRPr="00DE23EE">
        <w:rPr>
          <w:rFonts w:cs="Times New Roman"/>
          <w:lang w:val="en-US"/>
        </w:rPr>
        <w:t xml:space="preserve"> (fr. 126.1-3). </w:t>
      </w:r>
    </w:p>
    <w:p w14:paraId="280A5394" w14:textId="07FFDDC1" w:rsidR="00EA14FC" w:rsidRPr="00DE23EE" w:rsidRDefault="00EA14FC" w:rsidP="00DE23EE">
      <w:pPr>
        <w:rPr>
          <w:rFonts w:cs="Times New Roman"/>
          <w:lang w:val="en-US"/>
        </w:rPr>
      </w:pPr>
      <w:r w:rsidRPr="00DE23EE">
        <w:rPr>
          <w:rFonts w:cs="Times New Roman"/>
          <w:lang w:val="en-US"/>
        </w:rPr>
        <w:tab/>
        <w:t>The invective is never delivered directly by the poet, who acts as a sort of intermediary, but is delivered to the audience by someone else. Archilochus</w:t>
      </w:r>
      <w:r w:rsidR="00075F5F">
        <w:rPr>
          <w:rFonts w:cs="Times New Roman"/>
          <w:lang w:val="en-US"/>
        </w:rPr>
        <w:t>’</w:t>
      </w:r>
      <w:r w:rsidRPr="00DE23EE">
        <w:rPr>
          <w:rFonts w:cs="Times New Roman"/>
          <w:lang w:val="en-US"/>
        </w:rPr>
        <w:t xml:space="preserve"> and Hipponax</w:t>
      </w:r>
      <w:r w:rsidR="00075F5F">
        <w:rPr>
          <w:rFonts w:cs="Times New Roman"/>
          <w:lang w:val="en-US"/>
        </w:rPr>
        <w:t>’</w:t>
      </w:r>
      <w:r w:rsidRPr="00DE23EE">
        <w:rPr>
          <w:rFonts w:cs="Times New Roman"/>
          <w:lang w:val="en-US"/>
        </w:rPr>
        <w:t xml:space="preserve">s invectives are sung by the Muse, while Callimachus puts his charges into the mouth of the different </w:t>
      </w:r>
      <w:r w:rsidRPr="00DE23EE">
        <w:rPr>
          <w:rFonts w:cs="Times New Roman"/>
          <w:i/>
          <w:iCs/>
          <w:lang w:val="en-US"/>
        </w:rPr>
        <w:t>personae</w:t>
      </w:r>
      <w:r w:rsidRPr="00DE23EE">
        <w:rPr>
          <w:rFonts w:cs="Times New Roman"/>
          <w:lang w:val="en-US"/>
        </w:rPr>
        <w:t xml:space="preserve"> that he presents each time. This rhetorical device is twofold: on the one hand, it deflects responsibility from the accusing poet, while on the other hand, it contributes to making the charges impersonal and objective, since the audience shares and subscribes to them. </w:t>
      </w:r>
    </w:p>
    <w:p w14:paraId="2F352D8F" w14:textId="0FFF6F76" w:rsidR="00EA14FC" w:rsidRPr="00DE23EE" w:rsidRDefault="00EA14FC" w:rsidP="00DE23EE">
      <w:pPr>
        <w:rPr>
          <w:rFonts w:cs="Times New Roman"/>
          <w:lang w:val="en-US"/>
        </w:rPr>
      </w:pPr>
      <w:r w:rsidRPr="00DE23EE">
        <w:rPr>
          <w:rFonts w:cs="Times New Roman"/>
          <w:lang w:val="en-US"/>
        </w:rPr>
        <w:tab/>
        <w:t>Invective always involves the audience, an audience which is urged to listen to the speaker. The verb ἀκούω is, therefore, a constant feature. The reasons why the audience is exhorted to listen to poet</w:t>
      </w:r>
      <w:r w:rsidR="00075F5F">
        <w:rPr>
          <w:rFonts w:cs="Times New Roman"/>
          <w:lang w:val="en-US"/>
        </w:rPr>
        <w:t>’</w:t>
      </w:r>
      <w:r w:rsidRPr="00DE23EE">
        <w:rPr>
          <w:rFonts w:cs="Times New Roman"/>
          <w:lang w:val="en-US"/>
        </w:rPr>
        <w:t xml:space="preserve">s words vary slightly over time. The Archaic iambographers </w:t>
      </w:r>
      <w:r w:rsidRPr="00DE23EE">
        <w:rPr>
          <w:rFonts w:cs="Times New Roman"/>
          <w:lang w:val="en-US"/>
        </w:rPr>
        <w:lastRenderedPageBreak/>
        <w:t>enter into an alliance with their audience, enticing them with the pleasures that will come from listening: as Archilochus</w:t>
      </w:r>
      <w:r w:rsidR="00075F5F">
        <w:rPr>
          <w:rFonts w:cs="Times New Roman"/>
          <w:lang w:val="en-US"/>
        </w:rPr>
        <w:t>’</w:t>
      </w:r>
      <w:r w:rsidRPr="00DE23EE">
        <w:rPr>
          <w:rFonts w:cs="Times New Roman"/>
          <w:lang w:val="en-US"/>
        </w:rPr>
        <w:t xml:space="preserve"> fr.162.2 says τέρψεαι δ</w:t>
      </w:r>
      <w:r w:rsidR="00075F5F">
        <w:rPr>
          <w:rFonts w:cs="Times New Roman"/>
          <w:lang w:val="en-US"/>
        </w:rPr>
        <w:t>’</w:t>
      </w:r>
      <w:r w:rsidRPr="00DE23EE">
        <w:rPr>
          <w:rFonts w:cs="Times New Roman"/>
          <w:lang w:val="en-US"/>
        </w:rPr>
        <w:t xml:space="preserve"> ἀκούων, </w:t>
      </w:r>
      <w:r w:rsidR="00CC0615">
        <w:rPr>
          <w:rFonts w:cs="Times New Roman"/>
          <w:lang w:val="en-US"/>
        </w:rPr>
        <w:t>“</w:t>
      </w:r>
      <w:r w:rsidRPr="00DE23EE">
        <w:rPr>
          <w:rFonts w:cs="Times New Roman"/>
          <w:lang w:val="en-US"/>
        </w:rPr>
        <w:t>you</w:t>
      </w:r>
      <w:r w:rsidR="00075F5F">
        <w:rPr>
          <w:rFonts w:cs="Times New Roman"/>
          <w:lang w:val="en-US"/>
        </w:rPr>
        <w:t>’</w:t>
      </w:r>
      <w:r w:rsidRPr="00DE23EE">
        <w:rPr>
          <w:rFonts w:cs="Times New Roman"/>
          <w:lang w:val="en-US"/>
        </w:rPr>
        <w:t>ll enjoy listening to.</w:t>
      </w:r>
      <w:r w:rsidR="00CC0615">
        <w:rPr>
          <w:rFonts w:cs="Times New Roman"/>
          <w:lang w:val="en-US"/>
        </w:rPr>
        <w:t>”</w:t>
      </w:r>
      <w:r w:rsidRPr="00DE23EE">
        <w:rPr>
          <w:rFonts w:cs="Times New Roman"/>
          <w:lang w:val="en-US"/>
        </w:rPr>
        <w:t xml:space="preserve"> The Hellenistic iambs, instead, urge the audience to pay attention so that they might be warned. For this, they use the imperative mood of the verb ἀκούω, as shown by Call. 1.1 ἀκούσαθ</w:t>
      </w:r>
      <w:r w:rsidR="00075F5F">
        <w:rPr>
          <w:rFonts w:cs="Times New Roman"/>
          <w:lang w:val="en-US"/>
        </w:rPr>
        <w:t>’</w:t>
      </w:r>
      <w:r w:rsidRPr="00DE23EE">
        <w:rPr>
          <w:rFonts w:cs="Times New Roman"/>
          <w:lang w:val="en-US"/>
        </w:rPr>
        <w:t xml:space="preserve"> Ἱππώνακτος, </w:t>
      </w:r>
      <w:r w:rsidR="00CC0615">
        <w:rPr>
          <w:rFonts w:cs="Times New Roman"/>
          <w:lang w:val="en-US"/>
        </w:rPr>
        <w:t>“</w:t>
      </w:r>
      <w:r w:rsidRPr="00DE23EE">
        <w:rPr>
          <w:rFonts w:cs="Times New Roman"/>
          <w:lang w:val="en-US"/>
        </w:rPr>
        <w:t>listen to Hipponax!</w:t>
      </w:r>
      <w:r w:rsidR="00CC0615">
        <w:rPr>
          <w:rFonts w:cs="Times New Roman"/>
          <w:lang w:val="en-US"/>
        </w:rPr>
        <w:t>”</w:t>
      </w:r>
      <w:r w:rsidRPr="00DE23EE">
        <w:rPr>
          <w:rStyle w:val="FootnoteReference"/>
          <w:rFonts w:cs="Times New Roman"/>
          <w:lang w:val="en-US"/>
        </w:rPr>
        <w:footnoteReference w:id="385"/>
      </w:r>
    </w:p>
    <w:p w14:paraId="262183CB" w14:textId="77777777" w:rsidR="00EA14FC" w:rsidRPr="00DE23EE" w:rsidRDefault="00EA14FC" w:rsidP="00DE23EE">
      <w:pPr>
        <w:rPr>
          <w:rFonts w:cs="Times New Roman"/>
          <w:lang w:val="en-US"/>
        </w:rPr>
      </w:pPr>
    </w:p>
    <w:p w14:paraId="6EC9C91A" w14:textId="70934406" w:rsidR="00EA14FC" w:rsidRPr="00DE23EE" w:rsidRDefault="00EA14FC" w:rsidP="00DE23EE">
      <w:pPr>
        <w:rPr>
          <w:rFonts w:cs="Times New Roman"/>
          <w:lang w:val="en-US"/>
        </w:rPr>
      </w:pPr>
      <w:r w:rsidRPr="00DE23EE">
        <w:rPr>
          <w:rFonts w:cs="Times New Roman"/>
          <w:lang w:val="en-US"/>
        </w:rPr>
        <w:t>The central part of the invective is dedicated to a description of the target from both the physical and the moral point of view. The physical description usually precedes the moral one, with the target</w:t>
      </w:r>
      <w:r w:rsidR="00075F5F">
        <w:rPr>
          <w:rFonts w:cs="Times New Roman"/>
          <w:lang w:val="en-US"/>
        </w:rPr>
        <w:t>’</w:t>
      </w:r>
      <w:r w:rsidRPr="00DE23EE">
        <w:rPr>
          <w:rFonts w:cs="Times New Roman"/>
          <w:lang w:val="en-US"/>
        </w:rPr>
        <w:t xml:space="preserve">s physical features forecasting his moral features. The portrait of the target constitutes the body of the invective poem, since the description of the victim reveals the faults for which he / she is to blame, and constitutes the abuse hurled at him / her. Most of the abusive descriptions are made by specific adjectives which refer respectively to the appearance or to the behaviour of the target. The target is sometimes  described by a metaphor drawn from the animal world. In metaphor, appearance and behaviour merge with each other. </w:t>
      </w:r>
    </w:p>
    <w:p w14:paraId="4E34D9CA" w14:textId="018E1EA3" w:rsidR="00EA14FC" w:rsidRPr="00DE23EE" w:rsidRDefault="00EA14FC" w:rsidP="00DE23EE">
      <w:pPr>
        <w:rPr>
          <w:rFonts w:cs="Times New Roman"/>
          <w:lang w:val="en-US"/>
        </w:rPr>
      </w:pPr>
      <w:r w:rsidRPr="00DE23EE">
        <w:rPr>
          <w:rFonts w:cs="Times New Roman"/>
          <w:lang w:val="en-US"/>
        </w:rPr>
        <w:tab/>
        <w:t>Descriptions by adjectives usually portray the targets of iambic invectives as γέροντες. Being old for a woman means to be an ugly old hag, as can be inferred from Archil. 28 οὐκ ἂν μύροισι γρηῦς ἐοῦσ</w:t>
      </w:r>
      <w:r w:rsidR="00075F5F">
        <w:rPr>
          <w:rFonts w:cs="Times New Roman"/>
          <w:lang w:val="en-US"/>
        </w:rPr>
        <w:t>’</w:t>
      </w:r>
      <w:r w:rsidRPr="00DE23EE">
        <w:rPr>
          <w:rFonts w:cs="Times New Roman"/>
          <w:lang w:val="en-US"/>
        </w:rPr>
        <w:t xml:space="preserve"> ἠλείφεο </w:t>
      </w:r>
      <w:r w:rsidR="00CC0615">
        <w:rPr>
          <w:rFonts w:cs="Times New Roman"/>
          <w:lang w:val="en-US"/>
        </w:rPr>
        <w:t>“</w:t>
      </w:r>
      <w:r w:rsidRPr="00DE23EE">
        <w:rPr>
          <w:rFonts w:cs="Times New Roman"/>
          <w:lang w:val="en-US"/>
        </w:rPr>
        <w:t>old, you would never put on perfume</w:t>
      </w:r>
      <w:r w:rsidR="00CC0615">
        <w:rPr>
          <w:rFonts w:cs="Times New Roman"/>
          <w:lang w:val="en-US"/>
        </w:rPr>
        <w:t>”</w:t>
      </w:r>
      <w:r w:rsidRPr="00DE23EE">
        <w:rPr>
          <w:rFonts w:cs="Times New Roman"/>
          <w:lang w:val="en-US"/>
        </w:rPr>
        <w:t xml:space="preserve">; or, by Hippon. fr. 95, where the woman speaking in Lydian has been identified as the Petronian </w:t>
      </w:r>
      <w:r w:rsidR="00CC0615">
        <w:rPr>
          <w:rFonts w:cs="Times New Roman"/>
          <w:lang w:val="en-US"/>
        </w:rPr>
        <w:t>“</w:t>
      </w:r>
      <w:r w:rsidRPr="00DE23EE">
        <w:rPr>
          <w:rFonts w:cs="Times New Roman"/>
          <w:i/>
          <w:iCs/>
          <w:lang w:val="en-US"/>
        </w:rPr>
        <w:t>fata Oenothea</w:t>
      </w:r>
      <w:r w:rsidRPr="00DE23EE">
        <w:rPr>
          <w:rFonts w:cs="Times New Roman"/>
          <w:lang w:val="en-US"/>
        </w:rPr>
        <w:t>.</w:t>
      </w:r>
      <w:r w:rsidR="00CC0615">
        <w:rPr>
          <w:rFonts w:cs="Times New Roman"/>
          <w:lang w:val="en-US"/>
        </w:rPr>
        <w:t>”</w:t>
      </w:r>
      <w:r w:rsidRPr="00DE23EE">
        <w:rPr>
          <w:rStyle w:val="FootnoteReference"/>
          <w:rFonts w:cs="Times New Roman"/>
          <w:lang w:val="en-US"/>
        </w:rPr>
        <w:footnoteReference w:id="386"/>
      </w:r>
      <w:r w:rsidRPr="00DE23EE">
        <w:rPr>
          <w:rFonts w:cs="Times New Roman"/>
          <w:lang w:val="en-US"/>
        </w:rPr>
        <w:t xml:space="preserve"> Being old for a man, instead, means being morally mad, as shown by Archil. fr. 166.1-2 πάτερ Λυκάμβα, ποῖον ἐφράσω τόδε; / τίς σὰς παρήειρε φρένας … ; </w:t>
      </w:r>
      <w:r w:rsidR="00CC0615">
        <w:rPr>
          <w:rFonts w:cs="Times New Roman"/>
          <w:lang w:val="en-US"/>
        </w:rPr>
        <w:t>“</w:t>
      </w:r>
      <w:r w:rsidRPr="00DE23EE">
        <w:rPr>
          <w:rFonts w:cs="Times New Roman"/>
          <w:lang w:val="en-US"/>
        </w:rPr>
        <w:t>father Lycambes, what did you mean by this? Who unhinged your wits...?</w:t>
      </w:r>
      <w:r w:rsidR="00CC0615">
        <w:rPr>
          <w:rFonts w:cs="Times New Roman"/>
          <w:lang w:val="en-US"/>
        </w:rPr>
        <w:t>”</w:t>
      </w:r>
      <w:r w:rsidRPr="00DE23EE">
        <w:rPr>
          <w:rFonts w:cs="Times New Roman"/>
          <w:lang w:val="en-US"/>
        </w:rPr>
        <w:t xml:space="preserve"> where the old Lycambes</w:t>
      </w:r>
      <w:r w:rsidRPr="00DE23EE">
        <w:rPr>
          <w:rStyle w:val="FootnoteReference"/>
          <w:rFonts w:cs="Times New Roman"/>
          <w:lang w:val="en-US"/>
        </w:rPr>
        <w:footnoteReference w:id="387"/>
      </w:r>
      <w:r w:rsidRPr="00DE23EE">
        <w:rPr>
          <w:rFonts w:cs="Times New Roman"/>
          <w:lang w:val="en-US"/>
        </w:rPr>
        <w:t xml:space="preserve"> is said to be out of his right mind; and by Call. </w:t>
      </w:r>
      <w:r w:rsidRPr="00DE23EE">
        <w:rPr>
          <w:rFonts w:cs="Times New Roman"/>
          <w:i/>
          <w:iCs/>
          <w:lang w:val="en-US"/>
        </w:rPr>
        <w:t>Ia</w:t>
      </w:r>
      <w:r w:rsidRPr="00DE23EE">
        <w:rPr>
          <w:rFonts w:cs="Times New Roman"/>
          <w:lang w:val="en-US"/>
        </w:rPr>
        <w:t>. 1.10-11 τὸν πάλαι Πάγχαιον ὁ πλάσας Ζᾶνα</w:t>
      </w:r>
      <w:r w:rsidRPr="00DE23EE">
        <w:rPr>
          <w:rFonts w:cs="Times New Roman"/>
          <w:i/>
          <w:iCs/>
          <w:lang w:val="en-US"/>
        </w:rPr>
        <w:t xml:space="preserve"> </w:t>
      </w:r>
      <w:r w:rsidRPr="00DE23EE">
        <w:rPr>
          <w:rFonts w:cs="Times New Roman"/>
          <w:lang w:val="en-US"/>
        </w:rPr>
        <w:t xml:space="preserve">/ γέρων λαλάζων ἄδικα βιβλία ψήχει </w:t>
      </w:r>
      <w:r w:rsidR="00CC0615">
        <w:rPr>
          <w:rFonts w:cs="Times New Roman"/>
          <w:lang w:val="en-US"/>
        </w:rPr>
        <w:t>“</w:t>
      </w:r>
      <w:r w:rsidRPr="00DE23EE">
        <w:rPr>
          <w:rFonts w:cs="Times New Roman"/>
          <w:lang w:val="en-US"/>
        </w:rPr>
        <w:t>the old man who fashioned the ancient Panchaean Zeus chatters and scratches out his unrighteous books,</w:t>
      </w:r>
      <w:r w:rsidR="00CC0615">
        <w:rPr>
          <w:rFonts w:cs="Times New Roman"/>
          <w:lang w:val="en-US"/>
        </w:rPr>
        <w:t>”</w:t>
      </w:r>
      <w:r w:rsidRPr="00DE23EE">
        <w:rPr>
          <w:rFonts w:cs="Times New Roman"/>
          <w:lang w:val="en-US"/>
        </w:rPr>
        <w:t xml:space="preserve"> where the old chattering man who fashioned the ancient Panchaean Zeus is insulted for madness. </w:t>
      </w:r>
    </w:p>
    <w:p w14:paraId="5C93F139" w14:textId="7A5C894E" w:rsidR="00EA14FC" w:rsidRPr="00DE23EE" w:rsidRDefault="00EA14FC" w:rsidP="00DE23EE">
      <w:pPr>
        <w:rPr>
          <w:rFonts w:cs="Times New Roman"/>
          <w:lang w:val="en-US"/>
        </w:rPr>
      </w:pPr>
      <w:r w:rsidRPr="00DE23EE">
        <w:rPr>
          <w:rFonts w:cs="Times New Roman"/>
          <w:lang w:val="en-US"/>
        </w:rPr>
        <w:tab/>
        <w:t xml:space="preserve">Being γέρων goes together with being ἄφρων. This pairing is typic of iambic. In the epic world, old age brings wisdom, not madness: the old wise man </w:t>
      </w:r>
      <w:r w:rsidRPr="00DE23EE">
        <w:rPr>
          <w:rFonts w:cs="Times New Roman"/>
          <w:i/>
          <w:iCs/>
          <w:lang w:val="en-US"/>
        </w:rPr>
        <w:t>par excellence</w:t>
      </w:r>
      <w:r w:rsidRPr="00DE23EE">
        <w:rPr>
          <w:rFonts w:cs="Times New Roman"/>
          <w:lang w:val="en-US"/>
        </w:rPr>
        <w:t xml:space="preserve"> is Nestor, who is characterised by being old and by being an advisor of the best sort. These elements of characterisation occur together in the same sentence in </w:t>
      </w:r>
      <w:r w:rsidRPr="00DE23EE">
        <w:rPr>
          <w:rFonts w:cs="Times New Roman"/>
          <w:i/>
          <w:iCs/>
          <w:lang w:val="en-US"/>
        </w:rPr>
        <w:t>Il</w:t>
      </w:r>
      <w:r w:rsidRPr="00DE23EE">
        <w:rPr>
          <w:rFonts w:cs="Times New Roman"/>
          <w:lang w:val="en-US"/>
        </w:rPr>
        <w:t xml:space="preserve">. 7.324-325 τοῖς ὁ γέρων πάμπρωτος ὑφαίνειν ἤρχετο μῆτιν / Νέστωρ, οὗ καὶ πρόσθεν ἀρίστη φαίνετο </w:t>
      </w:r>
      <w:r w:rsidRPr="00DE23EE">
        <w:rPr>
          <w:rFonts w:cs="Times New Roman"/>
          <w:lang w:val="en-US"/>
        </w:rPr>
        <w:lastRenderedPageBreak/>
        <w:t xml:space="preserve">βουλή, </w:t>
      </w:r>
      <w:r w:rsidR="00CC0615">
        <w:rPr>
          <w:rFonts w:cs="Times New Roman"/>
          <w:lang w:val="en-US"/>
        </w:rPr>
        <w:t>“</w:t>
      </w:r>
      <w:r w:rsidRPr="00DE23EE">
        <w:rPr>
          <w:rFonts w:cs="Times New Roman"/>
          <w:lang w:val="en-US"/>
        </w:rPr>
        <w:t>the old man began to weave his counsel before them first, Nestor, whose advice had shown best before.</w:t>
      </w:r>
      <w:r w:rsidR="00CC0615">
        <w:rPr>
          <w:rFonts w:cs="Times New Roman"/>
          <w:lang w:val="en-US"/>
        </w:rPr>
        <w:t>”</w:t>
      </w:r>
      <w:r w:rsidRPr="00DE23EE">
        <w:rPr>
          <w:rFonts w:cs="Times New Roman"/>
          <w:lang w:val="en-US"/>
        </w:rPr>
        <w:t xml:space="preserve"> That they are mentioned together indicates that they are considered to be strongly connected and dependent on each other. Wisdom is dependent on seniority. To call an old man mad is not only to abuse the individual, but reveals a reaction against Greek traditional culture and assumptions, relegating the target to the bottom of the social ladder. In Callimachus</w:t>
      </w:r>
      <w:r w:rsidR="00075F5F">
        <w:rPr>
          <w:rFonts w:cs="Times New Roman"/>
          <w:lang w:val="en-US"/>
        </w:rPr>
        <w:t>’</w:t>
      </w:r>
      <w:r w:rsidRPr="00DE23EE">
        <w:rPr>
          <w:rFonts w:cs="Times New Roman"/>
          <w:lang w:val="en-US"/>
        </w:rPr>
        <w:t xml:space="preserve"> </w:t>
      </w:r>
      <w:r w:rsidRPr="00DE23EE">
        <w:rPr>
          <w:rFonts w:cs="Times New Roman"/>
          <w:i/>
          <w:iCs/>
          <w:lang w:val="en-US"/>
        </w:rPr>
        <w:t>Iambus</w:t>
      </w:r>
      <w:r w:rsidRPr="00DE23EE">
        <w:rPr>
          <w:rFonts w:cs="Times New Roman"/>
          <w:lang w:val="en-US"/>
        </w:rPr>
        <w:t xml:space="preserve"> 4, the laurel often addresses the olive as ὤφρων ἐλαίη </w:t>
      </w:r>
      <w:r w:rsidR="00CC0615">
        <w:rPr>
          <w:rFonts w:cs="Times New Roman"/>
          <w:lang w:val="en-US"/>
        </w:rPr>
        <w:t>“</w:t>
      </w:r>
      <w:r w:rsidRPr="00DE23EE">
        <w:rPr>
          <w:rFonts w:cs="Times New Roman"/>
          <w:lang w:val="en-US"/>
        </w:rPr>
        <w:t>o foolish olive.</w:t>
      </w:r>
      <w:r w:rsidR="00CC0615">
        <w:rPr>
          <w:rFonts w:cs="Times New Roman"/>
          <w:lang w:val="en-US"/>
        </w:rPr>
        <w:t>”</w:t>
      </w:r>
      <w:r w:rsidRPr="00DE23EE">
        <w:rPr>
          <w:rFonts w:cs="Times New Roman"/>
          <w:lang w:val="en-US"/>
        </w:rPr>
        <w:t xml:space="preserve"> This appellation reveals </w:t>
      </w:r>
      <w:r w:rsidR="00D238A0" w:rsidRPr="00DE23EE">
        <w:rPr>
          <w:rFonts w:cs="Times New Roman"/>
          <w:lang w:val="en-US"/>
        </w:rPr>
        <w:t xml:space="preserve">the patronising </w:t>
      </w:r>
      <w:r w:rsidRPr="00DE23EE">
        <w:rPr>
          <w:rFonts w:cs="Times New Roman"/>
          <w:lang w:val="en-US"/>
        </w:rPr>
        <w:t xml:space="preserve">behaviour </w:t>
      </w:r>
      <w:r w:rsidR="00D238A0" w:rsidRPr="00DE23EE">
        <w:rPr>
          <w:rFonts w:cs="Times New Roman"/>
          <w:lang w:val="en-US"/>
        </w:rPr>
        <w:t xml:space="preserve">of </w:t>
      </w:r>
      <w:r w:rsidRPr="00DE23EE">
        <w:rPr>
          <w:rFonts w:cs="Times New Roman"/>
          <w:lang w:val="en-US"/>
        </w:rPr>
        <w:t>the one who stands at the top of the social ladder and who addresses someone considered to be social</w:t>
      </w:r>
      <w:r w:rsidR="00D238A0" w:rsidRPr="00DE23EE">
        <w:rPr>
          <w:rFonts w:cs="Times New Roman"/>
          <w:lang w:val="en-US"/>
        </w:rPr>
        <w:t xml:space="preserve">ly </w:t>
      </w:r>
      <w:r w:rsidRPr="00DE23EE">
        <w:rPr>
          <w:rFonts w:cs="Times New Roman"/>
          <w:lang w:val="en-US"/>
        </w:rPr>
        <w:t>inferior.</w:t>
      </w:r>
    </w:p>
    <w:p w14:paraId="329A058E" w14:textId="4354D1DF" w:rsidR="00EA14FC" w:rsidRPr="00DE23EE" w:rsidRDefault="00EA14FC" w:rsidP="00DE23EE">
      <w:pPr>
        <w:rPr>
          <w:rFonts w:cs="Times New Roman"/>
          <w:lang w:val="en-US"/>
        </w:rPr>
      </w:pPr>
      <w:r w:rsidRPr="00DE23EE">
        <w:rPr>
          <w:rFonts w:cs="Times New Roman"/>
          <w:lang w:val="en-US"/>
        </w:rPr>
        <w:tab/>
        <w:t xml:space="preserve">Δούλιον is another adjective typical of iambic invective which underlines the inferiority of the target. Callimachus in </w:t>
      </w:r>
      <w:r w:rsidRPr="00DE23EE">
        <w:rPr>
          <w:rFonts w:cs="Times New Roman"/>
          <w:i/>
          <w:iCs/>
          <w:lang w:val="en-US"/>
        </w:rPr>
        <w:t>Ia</w:t>
      </w:r>
      <w:r w:rsidRPr="00DE23EE">
        <w:rPr>
          <w:rFonts w:cs="Times New Roman"/>
          <w:lang w:val="en-US"/>
        </w:rPr>
        <w:t xml:space="preserve">. 13.54-5 τὴν γενὴν ἀνακρίνει / καὶ δοῦλον εἶναί φησι, </w:t>
      </w:r>
      <w:r w:rsidR="00CC0615">
        <w:rPr>
          <w:rFonts w:cs="Times New Roman"/>
          <w:lang w:val="en-US"/>
        </w:rPr>
        <w:t>“</w:t>
      </w:r>
      <w:r w:rsidRPr="00DE23EE">
        <w:rPr>
          <w:rFonts w:cs="Times New Roman"/>
          <w:lang w:val="en-US"/>
        </w:rPr>
        <w:t>he questions my birth and says that I am a slave,</w:t>
      </w:r>
      <w:r w:rsidR="00CC0615">
        <w:rPr>
          <w:rFonts w:cs="Times New Roman"/>
          <w:lang w:val="en-US"/>
        </w:rPr>
        <w:t>”</w:t>
      </w:r>
      <w:r w:rsidRPr="00DE23EE">
        <w:rPr>
          <w:rFonts w:cs="Times New Roman"/>
          <w:lang w:val="en-US"/>
        </w:rPr>
        <w:t xml:space="preserve"> sets before the audience some poets who try to undermine each other</w:t>
      </w:r>
      <w:r w:rsidR="00075F5F">
        <w:rPr>
          <w:rFonts w:cs="Times New Roman"/>
          <w:lang w:val="en-US"/>
        </w:rPr>
        <w:t>’</w:t>
      </w:r>
      <w:r w:rsidRPr="00DE23EE">
        <w:rPr>
          <w:rFonts w:cs="Times New Roman"/>
          <w:lang w:val="en-US"/>
        </w:rPr>
        <w:t xml:space="preserve">s </w:t>
      </w:r>
      <w:r w:rsidR="00CC0615">
        <w:rPr>
          <w:rFonts w:cs="Times New Roman"/>
          <w:lang w:val="en-US"/>
        </w:rPr>
        <w:t>“</w:t>
      </w:r>
      <w:r w:rsidRPr="00DE23EE">
        <w:rPr>
          <w:rFonts w:cs="Times New Roman"/>
          <w:lang w:val="en-US"/>
        </w:rPr>
        <w:t>legitimacy</w:t>
      </w:r>
      <w:r w:rsidR="00CC0615">
        <w:rPr>
          <w:rFonts w:cs="Times New Roman"/>
          <w:lang w:val="en-US"/>
        </w:rPr>
        <w:t>”</w:t>
      </w:r>
      <w:r w:rsidRPr="00DE23EE">
        <w:rPr>
          <w:rFonts w:cs="Times New Roman"/>
          <w:lang w:val="en-US"/>
        </w:rPr>
        <w:t xml:space="preserve"> and insult each other for being bastards and slaves. This Callimachean dispute over the target</w:t>
      </w:r>
      <w:r w:rsidR="00075F5F">
        <w:rPr>
          <w:rFonts w:cs="Times New Roman"/>
          <w:lang w:val="en-US"/>
        </w:rPr>
        <w:t>’</w:t>
      </w:r>
      <w:r w:rsidRPr="00DE23EE">
        <w:rPr>
          <w:rFonts w:cs="Times New Roman"/>
          <w:lang w:val="en-US"/>
        </w:rPr>
        <w:t xml:space="preserve">s </w:t>
      </w:r>
      <w:r w:rsidR="00CC0615">
        <w:rPr>
          <w:rFonts w:cs="Times New Roman"/>
          <w:lang w:val="en-US"/>
        </w:rPr>
        <w:t>“</w:t>
      </w:r>
      <w:r w:rsidRPr="00DE23EE">
        <w:rPr>
          <w:rFonts w:cs="Times New Roman"/>
          <w:lang w:val="en-US"/>
        </w:rPr>
        <w:t>free birth</w:t>
      </w:r>
      <w:r w:rsidR="00CC0615">
        <w:rPr>
          <w:rFonts w:cs="Times New Roman"/>
          <w:lang w:val="en-US"/>
        </w:rPr>
        <w:t>”</w:t>
      </w:r>
      <w:r w:rsidRPr="00DE23EE">
        <w:rPr>
          <w:rFonts w:cs="Times New Roman"/>
          <w:lang w:val="en-US"/>
        </w:rPr>
        <w:t xml:space="preserve"> echoes the words of Hipponax fr.75.5 ]ερεῦσι τὴν γενὴν, </w:t>
      </w:r>
      <w:r w:rsidR="00CC0615">
        <w:rPr>
          <w:rFonts w:cs="Times New Roman"/>
          <w:lang w:val="en-US"/>
        </w:rPr>
        <w:t>“</w:t>
      </w:r>
      <w:r w:rsidRPr="00DE23EE">
        <w:rPr>
          <w:rFonts w:cs="Times New Roman"/>
          <w:lang w:val="en-US"/>
        </w:rPr>
        <w:t>(they) inquire into my birth,</w:t>
      </w:r>
      <w:r w:rsidR="00CC0615">
        <w:rPr>
          <w:rFonts w:cs="Times New Roman"/>
          <w:lang w:val="en-US"/>
        </w:rPr>
        <w:t>”</w:t>
      </w:r>
      <w:r w:rsidRPr="00DE23EE">
        <w:rPr>
          <w:rFonts w:cs="Times New Roman"/>
          <w:lang w:val="en-US"/>
        </w:rPr>
        <w:t xml:space="preserve"> and calls to mind the context of Hipponax fr. 39, which charges the painter Mimnes with incompetence: Mimnes is insulted for being νικύρτα καὶ σάβαννι,</w:t>
      </w:r>
      <w:r w:rsidRPr="00DE23EE">
        <w:rPr>
          <w:rStyle w:val="FootnoteReference"/>
          <w:rFonts w:cs="Times New Roman"/>
          <w:lang w:val="en-US"/>
        </w:rPr>
        <w:footnoteReference w:id="388"/>
      </w:r>
      <w:r w:rsidRPr="00DE23EE">
        <w:rPr>
          <w:rFonts w:cs="Times New Roman"/>
          <w:lang w:val="en-US"/>
        </w:rPr>
        <w:t xml:space="preserve"> and νικύρτα is glossed as δουλέκδουλος, </w:t>
      </w:r>
      <w:r w:rsidR="00CC0615">
        <w:rPr>
          <w:rFonts w:cs="Times New Roman"/>
          <w:lang w:val="en-US"/>
        </w:rPr>
        <w:t>“</w:t>
      </w:r>
      <w:r w:rsidRPr="00DE23EE">
        <w:rPr>
          <w:rFonts w:cs="Times New Roman"/>
          <w:lang w:val="en-US"/>
        </w:rPr>
        <w:t>slave born from a slave</w:t>
      </w:r>
      <w:r w:rsidR="00CC0615">
        <w:rPr>
          <w:rFonts w:cs="Times New Roman"/>
          <w:lang w:val="en-US"/>
        </w:rPr>
        <w:t>”</w:t>
      </w:r>
      <w:r w:rsidRPr="00DE23EE">
        <w:rPr>
          <w:rFonts w:cs="Times New Roman"/>
          <w:lang w:val="en-US"/>
        </w:rPr>
        <w:t xml:space="preserve"> in the lexicon of Hesychius (ν 577).</w:t>
      </w:r>
      <w:r w:rsidRPr="00DE23EE">
        <w:rPr>
          <w:rStyle w:val="FootnoteReference"/>
          <w:rFonts w:cs="Times New Roman"/>
          <w:lang w:val="en-US"/>
        </w:rPr>
        <w:footnoteReference w:id="389"/>
      </w:r>
      <w:r w:rsidRPr="00DE23EE">
        <w:rPr>
          <w:rFonts w:cs="Times New Roman"/>
          <w:lang w:val="en-US"/>
        </w:rPr>
        <w:t xml:space="preserve"> In the iambs, </w:t>
      </w:r>
      <w:r w:rsidR="00CC0615">
        <w:rPr>
          <w:rFonts w:cs="Times New Roman"/>
          <w:lang w:val="en-US"/>
        </w:rPr>
        <w:t>“</w:t>
      </w:r>
      <w:r w:rsidRPr="00DE23EE">
        <w:rPr>
          <w:rFonts w:cs="Times New Roman"/>
          <w:lang w:val="en-US"/>
        </w:rPr>
        <w:t>slavishness</w:t>
      </w:r>
      <w:r w:rsidR="00CC0615">
        <w:rPr>
          <w:rFonts w:cs="Times New Roman"/>
          <w:lang w:val="en-US"/>
        </w:rPr>
        <w:t>”</w:t>
      </w:r>
      <w:r w:rsidRPr="00DE23EE">
        <w:rPr>
          <w:rFonts w:cs="Times New Roman"/>
          <w:lang w:val="en-US"/>
        </w:rPr>
        <w:t xml:space="preserve"> refers not just to unfree status, but also to a style of life deemed unbecoming of a free man. Some food is slavish and whoever eats slavish food becomes a slave by assimilation. Archilochus (fr. 193) wishes to his enemy to eat slavish bread (ἔνθα πόλλ</w:t>
      </w:r>
      <w:r w:rsidR="00075F5F">
        <w:rPr>
          <w:rFonts w:cs="Times New Roman"/>
          <w:lang w:val="en-US"/>
        </w:rPr>
        <w:t>’</w:t>
      </w:r>
      <w:r w:rsidRPr="00DE23EE">
        <w:rPr>
          <w:rFonts w:cs="Times New Roman"/>
          <w:lang w:val="en-US"/>
        </w:rPr>
        <w:t xml:space="preserve"> ἀναπλήσει κακὰ / δούλιον ἄρτον ἔδων, </w:t>
      </w:r>
      <w:r w:rsidR="00CC0615">
        <w:rPr>
          <w:rFonts w:cs="Times New Roman"/>
          <w:lang w:val="en-US"/>
        </w:rPr>
        <w:t>“</w:t>
      </w:r>
      <w:r w:rsidRPr="00DE23EE">
        <w:rPr>
          <w:rFonts w:cs="Times New Roman"/>
          <w:lang w:val="en-US"/>
        </w:rPr>
        <w:t>there he will arrive, suffering a lot and eating slavish bread</w:t>
      </w:r>
      <w:r w:rsidR="00CC0615">
        <w:rPr>
          <w:rFonts w:cs="Times New Roman"/>
          <w:lang w:val="en-US"/>
        </w:rPr>
        <w:t>”</w:t>
      </w:r>
      <w:r w:rsidRPr="00DE23EE">
        <w:rPr>
          <w:rFonts w:cs="Times New Roman"/>
          <w:lang w:val="en-US"/>
        </w:rPr>
        <w:t xml:space="preserve">), and Hipponax exaggerates this Archilochean charge, since he insults his target for eating δούλιον χόρτον </w:t>
      </w:r>
      <w:r w:rsidR="00CC0615">
        <w:rPr>
          <w:rFonts w:cs="Times New Roman"/>
          <w:lang w:val="en-US"/>
        </w:rPr>
        <w:t>“</w:t>
      </w:r>
      <w:r w:rsidRPr="00DE23EE">
        <w:rPr>
          <w:rFonts w:cs="Times New Roman"/>
          <w:lang w:val="en-US"/>
        </w:rPr>
        <w:t>slavish feed,</w:t>
      </w:r>
      <w:r w:rsidR="00CC0615">
        <w:rPr>
          <w:rFonts w:cs="Times New Roman"/>
          <w:lang w:val="en-US"/>
        </w:rPr>
        <w:t>”</w:t>
      </w:r>
      <w:r w:rsidRPr="00DE23EE">
        <w:rPr>
          <w:rFonts w:cs="Times New Roman"/>
          <w:lang w:val="en-US"/>
        </w:rPr>
        <w:t xml:space="preserve"> where χόρτος is not humans</w:t>
      </w:r>
      <w:r w:rsidR="00075F5F">
        <w:rPr>
          <w:rFonts w:cs="Times New Roman"/>
          <w:lang w:val="en-US"/>
        </w:rPr>
        <w:t>’</w:t>
      </w:r>
      <w:r w:rsidRPr="00DE23EE">
        <w:rPr>
          <w:rFonts w:cs="Times New Roman"/>
          <w:lang w:val="en-US"/>
        </w:rPr>
        <w:t xml:space="preserve"> food, but animals</w:t>
      </w:r>
      <w:r w:rsidR="00075F5F">
        <w:rPr>
          <w:rFonts w:cs="Times New Roman"/>
          <w:lang w:val="en-US"/>
        </w:rPr>
        <w:t>’</w:t>
      </w:r>
      <w:r w:rsidRPr="00DE23EE">
        <w:rPr>
          <w:rFonts w:cs="Times New Roman"/>
          <w:lang w:val="en-US"/>
        </w:rPr>
        <w:t xml:space="preserve"> feed.</w:t>
      </w:r>
      <w:r w:rsidRPr="00DE23EE">
        <w:rPr>
          <w:rFonts w:cs="Times New Roman"/>
          <w:shd w:val="solid" w:color="FBFBA8" w:fill="FBFBA8"/>
          <w:lang w:val="en-US"/>
        </w:rPr>
        <w:t xml:space="preserve"> </w:t>
      </w:r>
    </w:p>
    <w:p w14:paraId="59D3D700" w14:textId="640EC27F" w:rsidR="00EA14FC" w:rsidRPr="00DE23EE" w:rsidRDefault="00EA14FC" w:rsidP="00DE23EE">
      <w:pPr>
        <w:rPr>
          <w:rFonts w:cs="Times New Roman"/>
          <w:lang w:val="en-US"/>
        </w:rPr>
      </w:pPr>
      <w:r w:rsidRPr="00DE23EE">
        <w:rPr>
          <w:rFonts w:cs="Times New Roman"/>
          <w:lang w:val="en-US"/>
        </w:rPr>
        <w:tab/>
        <w:t>The escalation of insults in an iambic invective reaches its climax when the target is said to be naked. Archilochus wishes for his enemy, after eating slavish bread,</w:t>
      </w:r>
      <w:r w:rsidR="00DF60FA">
        <w:rPr>
          <w:rFonts w:cs="Times New Roman"/>
          <w:lang w:val="en-US"/>
        </w:rPr>
        <w:t xml:space="preserve"> </w:t>
      </w:r>
      <w:r w:rsidRPr="00DE23EE">
        <w:rPr>
          <w:rFonts w:cs="Times New Roman"/>
          <w:lang w:val="en-US"/>
        </w:rPr>
        <w:t xml:space="preserve">to arrive at </w:t>
      </w:r>
      <w:r w:rsidRPr="00DE23EE">
        <w:rPr>
          <w:rFonts w:cs="Times New Roman"/>
          <w:lang w:val="en-US"/>
        </w:rPr>
        <w:lastRenderedPageBreak/>
        <w:t>Salmydessos naked: κἀν Σαλμυδησσῶι γυμνὸν εὐφρονε. /</w:t>
      </w:r>
      <w:r w:rsidRPr="00DE23EE">
        <w:rPr>
          <w:rFonts w:cs="Times New Roman"/>
          <w:i/>
          <w:iCs/>
          <w:lang w:val="en-US"/>
        </w:rPr>
        <w:t xml:space="preserve"> </w:t>
      </w:r>
      <w:r w:rsidRPr="00DE23EE">
        <w:rPr>
          <w:rFonts w:cs="Times New Roman"/>
          <w:lang w:val="en-US"/>
        </w:rPr>
        <w:t xml:space="preserve">Θρήϊκες ἀκρόκομοι / λάβοιεν, </w:t>
      </w:r>
      <w:r w:rsidR="00CC0615">
        <w:rPr>
          <w:rFonts w:cs="Times New Roman"/>
          <w:lang w:val="en-US"/>
        </w:rPr>
        <w:t>“</w:t>
      </w:r>
      <w:r w:rsidRPr="00DE23EE">
        <w:rPr>
          <w:rFonts w:cs="Times New Roman"/>
          <w:lang w:val="en-US"/>
        </w:rPr>
        <w:t>let the Thracians with the hair on crown welcome him naked to Salmydessos</w:t>
      </w:r>
      <w:r w:rsidR="00CC0615">
        <w:rPr>
          <w:rFonts w:cs="Times New Roman"/>
          <w:lang w:val="en-US"/>
        </w:rPr>
        <w:t>”</w:t>
      </w:r>
      <w:r w:rsidRPr="00DE23EE">
        <w:rPr>
          <w:rFonts w:cs="Times New Roman"/>
          <w:lang w:val="en-US"/>
        </w:rPr>
        <w:t xml:space="preserve"> (fr. 193.3-4). Callima</w:t>
      </w:r>
      <w:r w:rsidR="00075F5F">
        <w:rPr>
          <w:rFonts w:cs="Times New Roman"/>
          <w:lang w:val="en-US"/>
        </w:rPr>
        <w:t>chus’</w:t>
      </w:r>
      <w:r w:rsidRPr="00DE23EE">
        <w:rPr>
          <w:rFonts w:cs="Times New Roman"/>
          <w:lang w:val="en-US"/>
        </w:rPr>
        <w:t xml:space="preserve"> bald-headed man is warned not to strip naked: ὅκως μὴ τὸν τρίβωνα γυμνώσῃ </w:t>
      </w:r>
      <w:r w:rsidR="00CC0615">
        <w:rPr>
          <w:rFonts w:cs="Times New Roman"/>
          <w:lang w:val="en-US"/>
        </w:rPr>
        <w:t>“</w:t>
      </w:r>
      <w:r w:rsidRPr="00DE23EE">
        <w:rPr>
          <w:rFonts w:cs="Times New Roman"/>
          <w:lang w:val="en-US"/>
        </w:rPr>
        <w:t>that he not be stripped of his threadbare cloak</w:t>
      </w:r>
      <w:r w:rsidR="00CC0615">
        <w:rPr>
          <w:rFonts w:cs="Times New Roman"/>
          <w:lang w:val="en-US"/>
        </w:rPr>
        <w:t>”</w:t>
      </w:r>
      <w:r w:rsidRPr="003002D4">
        <w:rPr>
          <w:rFonts w:cs="Times New Roman"/>
          <w:shd w:val="solid" w:color="FFFFFF" w:themeColor="background1" w:fill="auto"/>
          <w:lang w:val="en-US"/>
        </w:rPr>
        <w:t xml:space="preserve"> </w:t>
      </w:r>
      <w:r w:rsidRPr="00DE23EE">
        <w:rPr>
          <w:rFonts w:cs="Times New Roman"/>
          <w:lang w:val="en-US"/>
        </w:rPr>
        <w:t>(</w:t>
      </w:r>
      <w:r w:rsidRPr="00DE23EE">
        <w:rPr>
          <w:rFonts w:cs="Times New Roman"/>
          <w:i/>
          <w:iCs/>
          <w:lang w:val="en-US"/>
        </w:rPr>
        <w:t>Ia</w:t>
      </w:r>
      <w:r w:rsidRPr="00DE23EE">
        <w:rPr>
          <w:rFonts w:cs="Times New Roman"/>
          <w:lang w:val="en-US"/>
        </w:rPr>
        <w:t xml:space="preserve">. 1.30). </w:t>
      </w:r>
      <w:r w:rsidRPr="00DE23EE">
        <w:rPr>
          <w:rFonts w:cs="Times New Roman"/>
          <w:shd w:val="solid" w:color="FFFFFF" w:fill="FFFFFF"/>
          <w:lang w:val="en-US"/>
        </w:rPr>
        <w:t>Being publicly naked was in fact a form of humiliation, since slaves were barely covered by clothes. In Callimachus</w:t>
      </w:r>
      <w:r w:rsidR="00075F5F">
        <w:rPr>
          <w:rFonts w:cs="Times New Roman"/>
          <w:shd w:val="solid" w:color="FFFFFF" w:fill="FFFFFF"/>
          <w:lang w:val="en-US"/>
        </w:rPr>
        <w:t>’</w:t>
      </w:r>
      <w:r w:rsidRPr="00DE23EE">
        <w:rPr>
          <w:rFonts w:cs="Times New Roman"/>
          <w:shd w:val="solid" w:color="FFFFFF" w:fill="FFFFFF"/>
          <w:lang w:val="en-US"/>
        </w:rPr>
        <w:t xml:space="preserve"> </w:t>
      </w:r>
      <w:r w:rsidRPr="00DE23EE">
        <w:rPr>
          <w:rFonts w:cs="Times New Roman"/>
          <w:i/>
          <w:iCs/>
          <w:shd w:val="solid" w:color="FFFFFF" w:fill="FFFFFF"/>
          <w:lang w:val="en-US"/>
        </w:rPr>
        <w:t>Iambus</w:t>
      </w:r>
      <w:r w:rsidRPr="00DE23EE">
        <w:rPr>
          <w:rFonts w:cs="Times New Roman"/>
          <w:shd w:val="solid" w:color="FFFFFF" w:fill="FFFFFF"/>
          <w:lang w:val="en-US"/>
        </w:rPr>
        <w:t xml:space="preserve"> 4, the metaphor of the ἐπωμίς,</w:t>
      </w:r>
      <w:r w:rsidRPr="00DE23EE">
        <w:rPr>
          <w:rStyle w:val="FootnoteReference"/>
          <w:rFonts w:cs="Times New Roman"/>
          <w:lang w:val="en-US"/>
        </w:rPr>
        <w:footnoteReference w:id="390"/>
      </w:r>
      <w:r w:rsidRPr="00DE23EE">
        <w:rPr>
          <w:rFonts w:cs="Times New Roman"/>
          <w:shd w:val="solid" w:color="FFFFFF" w:fill="FFFFFF"/>
          <w:lang w:val="en-US"/>
        </w:rPr>
        <w:t xml:space="preserve"> the typical slave</w:t>
      </w:r>
      <w:r w:rsidR="00075F5F">
        <w:rPr>
          <w:rFonts w:cs="Times New Roman"/>
          <w:shd w:val="solid" w:color="FFFFFF" w:fill="FFFFFF"/>
          <w:lang w:val="en-US"/>
        </w:rPr>
        <w:t>’</w:t>
      </w:r>
      <w:r w:rsidRPr="00DE23EE">
        <w:rPr>
          <w:rFonts w:cs="Times New Roman"/>
          <w:shd w:val="solid" w:color="FFFFFF" w:fill="FFFFFF"/>
          <w:lang w:val="en-US"/>
        </w:rPr>
        <w:t xml:space="preserve">s dress which does not cover the right shoulder, is used by the laurel to abuse the olive. The laurel describes the leaf of the olive as wearing an ἐπωμίς: </w:t>
      </w:r>
      <w:r w:rsidRPr="00DE23EE">
        <w:rPr>
          <w:rFonts w:cs="Times New Roman"/>
          <w:lang w:val="en-US"/>
        </w:rPr>
        <w:t>ὡριστερὸς μὲν λευκὸς ὡς ὕδρου γαστήρ, / ὁ δ</w:t>
      </w:r>
      <w:r w:rsidR="00075F5F">
        <w:rPr>
          <w:rFonts w:cs="Times New Roman"/>
          <w:lang w:val="en-US"/>
        </w:rPr>
        <w:t>’</w:t>
      </w:r>
      <w:r w:rsidRPr="00DE23EE">
        <w:rPr>
          <w:rFonts w:cs="Times New Roman"/>
          <w:lang w:val="en-US"/>
        </w:rPr>
        <w:t xml:space="preserve"> ἡλιοπλὴξ ὃς τὰ πολλὰ γυμνοῦται </w:t>
      </w:r>
      <w:r w:rsidR="00CC0615">
        <w:rPr>
          <w:rFonts w:cs="Times New Roman"/>
          <w:lang w:val="en-US"/>
        </w:rPr>
        <w:t>“</w:t>
      </w:r>
      <w:r w:rsidRPr="00DE23EE">
        <w:rPr>
          <w:rFonts w:cs="Times New Roman"/>
          <w:lang w:val="en-US"/>
        </w:rPr>
        <w:t>your left side is white like the belly of a water snake, and the other, which is most often uncovered, sunburned</w:t>
      </w:r>
      <w:r w:rsidR="00CC0615">
        <w:rPr>
          <w:rFonts w:cs="Times New Roman"/>
          <w:lang w:val="en-US"/>
        </w:rPr>
        <w:t>”</w:t>
      </w:r>
      <w:r w:rsidRPr="00DE23EE">
        <w:rPr>
          <w:rFonts w:cs="Times New Roman"/>
          <w:shd w:val="solid" w:color="FFFFFF" w:fill="FFFFFF"/>
          <w:lang w:val="en-US"/>
        </w:rPr>
        <w:t xml:space="preserve"> (</w:t>
      </w:r>
      <w:r w:rsidRPr="00DE23EE">
        <w:rPr>
          <w:rFonts w:cs="Times New Roman"/>
          <w:i/>
          <w:iCs/>
          <w:shd w:val="solid" w:color="FFFFFF" w:fill="FFFFFF"/>
          <w:lang w:val="en-US"/>
        </w:rPr>
        <w:t>Ia</w:t>
      </w:r>
      <w:r w:rsidRPr="00DE23EE">
        <w:rPr>
          <w:rFonts w:cs="Times New Roman"/>
          <w:shd w:val="solid" w:color="FFFFFF" w:fill="FFFFFF"/>
          <w:lang w:val="en-US"/>
        </w:rPr>
        <w:t>. 4.22-3).</w:t>
      </w:r>
      <w:r w:rsidRPr="00DE23EE">
        <w:rPr>
          <w:rStyle w:val="FootnoteReference"/>
          <w:rFonts w:cs="Times New Roman"/>
          <w:lang w:val="en-US"/>
        </w:rPr>
        <w:footnoteReference w:id="391"/>
      </w:r>
    </w:p>
    <w:p w14:paraId="2EEC009B" w14:textId="0269623B" w:rsidR="00EA14FC" w:rsidRPr="00DE23EE" w:rsidRDefault="00EA14FC" w:rsidP="00DE23EE">
      <w:pPr>
        <w:rPr>
          <w:rFonts w:cs="Times New Roman"/>
          <w:lang w:val="en-US"/>
        </w:rPr>
      </w:pPr>
      <w:r w:rsidRPr="00DE23EE">
        <w:rPr>
          <w:rFonts w:cs="Times New Roman"/>
          <w:lang w:val="en-US"/>
        </w:rPr>
        <w:tab/>
        <w:t xml:space="preserve">Being naked is often a consequence of being struck by something. The target of Archil. fr. 193 is struck by waves, before reaching Salmydessos naked, and the leaf of the olive of Call. </w:t>
      </w:r>
      <w:r w:rsidRPr="00DE23EE">
        <w:rPr>
          <w:rFonts w:cs="Times New Roman"/>
          <w:i/>
          <w:iCs/>
          <w:lang w:val="en-US"/>
        </w:rPr>
        <w:t>Iambus</w:t>
      </w:r>
      <w:r w:rsidRPr="00DE23EE">
        <w:rPr>
          <w:rFonts w:cs="Times New Roman"/>
          <w:lang w:val="en-US"/>
        </w:rPr>
        <w:t xml:space="preserve"> 4 is naked, since it is perennially struck by the sun. The idea of being struck is always conveyed by the verb πλήσσω </w:t>
      </w:r>
      <w:r w:rsidR="00CC0615">
        <w:rPr>
          <w:rFonts w:cs="Times New Roman"/>
          <w:lang w:val="en-US"/>
        </w:rPr>
        <w:t>“</w:t>
      </w:r>
      <w:r w:rsidRPr="00DE23EE">
        <w:rPr>
          <w:rFonts w:cs="Times New Roman"/>
          <w:lang w:val="en-US"/>
        </w:rPr>
        <w:t>strike,</w:t>
      </w:r>
      <w:r w:rsidR="00CC0615">
        <w:rPr>
          <w:rFonts w:cs="Times New Roman"/>
          <w:lang w:val="en-US"/>
        </w:rPr>
        <w:t>”</w:t>
      </w:r>
      <w:r w:rsidRPr="00DE23EE">
        <w:rPr>
          <w:rFonts w:cs="Times New Roman"/>
          <w:lang w:val="en-US"/>
        </w:rPr>
        <w:t xml:space="preserve"> which is part of a two-word locution in Archil. fr. 193.2 κύματι πλαζόμενος </w:t>
      </w:r>
      <w:r w:rsidR="00CC0615">
        <w:rPr>
          <w:rFonts w:cs="Times New Roman"/>
          <w:lang w:val="en-US"/>
        </w:rPr>
        <w:t>“</w:t>
      </w:r>
      <w:r w:rsidRPr="00DE23EE">
        <w:rPr>
          <w:rFonts w:cs="Times New Roman"/>
          <w:lang w:val="en-US"/>
        </w:rPr>
        <w:t>struck by the waves.</w:t>
      </w:r>
      <w:r w:rsidR="00CC0615">
        <w:rPr>
          <w:rFonts w:cs="Times New Roman"/>
          <w:lang w:val="en-US"/>
        </w:rPr>
        <w:t>”</w:t>
      </w:r>
      <w:r w:rsidRPr="00DE23EE">
        <w:rPr>
          <w:rFonts w:cs="Times New Roman"/>
          <w:lang w:val="en-US"/>
        </w:rPr>
        <w:t xml:space="preserve"> It is the second member of a compound in Call. </w:t>
      </w:r>
      <w:r w:rsidRPr="00DE23EE">
        <w:rPr>
          <w:rFonts w:cs="Times New Roman"/>
          <w:i/>
          <w:iCs/>
          <w:lang w:val="en-US"/>
        </w:rPr>
        <w:t>Ia</w:t>
      </w:r>
      <w:r w:rsidRPr="00DE23EE">
        <w:rPr>
          <w:rFonts w:cs="Times New Roman"/>
          <w:lang w:val="en-US"/>
        </w:rPr>
        <w:t xml:space="preserve">. 4.23 ἡλιοπλήξ </w:t>
      </w:r>
      <w:r w:rsidR="00CC0615">
        <w:rPr>
          <w:rFonts w:cs="Times New Roman"/>
          <w:lang w:val="en-US"/>
        </w:rPr>
        <w:t>“</w:t>
      </w:r>
      <w:r w:rsidRPr="00DE23EE">
        <w:rPr>
          <w:rFonts w:cs="Times New Roman"/>
          <w:lang w:val="en-US"/>
        </w:rPr>
        <w:t>struck by the sun.</w:t>
      </w:r>
      <w:r w:rsidR="00CC0615">
        <w:rPr>
          <w:rFonts w:cs="Times New Roman"/>
          <w:lang w:val="en-US"/>
        </w:rPr>
        <w:t>”</w:t>
      </w:r>
      <w:r w:rsidRPr="00DE23EE">
        <w:rPr>
          <w:rFonts w:cs="Times New Roman"/>
          <w:lang w:val="en-US"/>
        </w:rPr>
        <w:t xml:space="preserve"> This compound is a Callimachean </w:t>
      </w:r>
      <w:r w:rsidRPr="00DE23EE">
        <w:rPr>
          <w:rFonts w:cs="Times New Roman"/>
          <w:i/>
          <w:iCs/>
          <w:lang w:val="en-US"/>
        </w:rPr>
        <w:t>hapax legomenon</w:t>
      </w:r>
      <w:r w:rsidRPr="00DE23EE">
        <w:rPr>
          <w:rFonts w:cs="Times New Roman"/>
          <w:lang w:val="en-US"/>
        </w:rPr>
        <w:t>, and it is modeled on Hipponax</w:t>
      </w:r>
      <w:r w:rsidR="00075F5F">
        <w:rPr>
          <w:rFonts w:cs="Times New Roman"/>
          <w:lang w:val="en-US"/>
        </w:rPr>
        <w:t>’</w:t>
      </w:r>
      <w:r w:rsidRPr="00DE23EE">
        <w:rPr>
          <w:rFonts w:cs="Times New Roman"/>
          <w:lang w:val="en-US"/>
        </w:rPr>
        <w:t xml:space="preserve">s </w:t>
      </w:r>
      <w:r w:rsidRPr="00DE23EE">
        <w:rPr>
          <w:rFonts w:cs="Times New Roman"/>
          <w:i/>
          <w:iCs/>
          <w:lang w:val="en-US"/>
        </w:rPr>
        <w:t>hapax legomenon</w:t>
      </w:r>
      <w:r w:rsidRPr="00DE23EE">
        <w:rPr>
          <w:rFonts w:cs="Times New Roman"/>
          <w:lang w:val="en-US"/>
        </w:rPr>
        <w:t xml:space="preserve"> and compound διοπλήξ </w:t>
      </w:r>
      <w:r w:rsidR="00CC0615">
        <w:rPr>
          <w:rFonts w:cs="Times New Roman"/>
          <w:lang w:val="en-US"/>
        </w:rPr>
        <w:t>“</w:t>
      </w:r>
      <w:r w:rsidRPr="00DE23EE">
        <w:rPr>
          <w:rFonts w:cs="Times New Roman"/>
          <w:lang w:val="en-US"/>
        </w:rPr>
        <w:t>struck by Zeus</w:t>
      </w:r>
      <w:r w:rsidR="00CC0615">
        <w:rPr>
          <w:rFonts w:cs="Times New Roman"/>
          <w:lang w:val="en-US"/>
        </w:rPr>
        <w:t>”</w:t>
      </w:r>
      <w:r w:rsidRPr="00DE23EE">
        <w:rPr>
          <w:rFonts w:cs="Times New Roman"/>
          <w:lang w:val="en-US"/>
        </w:rPr>
        <w:t xml:space="preserve"> </w:t>
      </w:r>
      <w:r w:rsidR="00075F5F">
        <w:rPr>
          <w:rFonts w:cs="Times New Roman"/>
          <w:lang w:val="en-US"/>
        </w:rPr>
        <w:t>–</w:t>
      </w:r>
      <w:r w:rsidR="00CC0615">
        <w:rPr>
          <w:rFonts w:cs="Times New Roman"/>
          <w:lang w:val="en-US"/>
        </w:rPr>
        <w:t>”</w:t>
      </w:r>
      <w:r w:rsidRPr="00DE23EE">
        <w:rPr>
          <w:rFonts w:cs="Times New Roman"/>
          <w:lang w:val="en-US"/>
        </w:rPr>
        <w:t>dumbfounded.</w:t>
      </w:r>
      <w:r w:rsidR="00CC0615">
        <w:rPr>
          <w:rFonts w:cs="Times New Roman"/>
          <w:lang w:val="en-US"/>
        </w:rPr>
        <w:t>”</w:t>
      </w:r>
      <w:r w:rsidRPr="00DE23EE">
        <w:rPr>
          <w:rFonts w:cs="Times New Roman"/>
          <w:lang w:val="en-US"/>
        </w:rPr>
        <w:t xml:space="preserve"> Διοπλήξ appears in Hippon. fr. 33, and refers to the sworn enemy of Hipponax, Boupalus. It is ironically formed after the Homeric compounds which have the root διο- (</w:t>
      </w:r>
      <w:r w:rsidR="00CC0615">
        <w:rPr>
          <w:rFonts w:cs="Times New Roman"/>
          <w:lang w:val="en-US"/>
        </w:rPr>
        <w:t>“</w:t>
      </w:r>
      <w:r w:rsidRPr="00DE23EE">
        <w:rPr>
          <w:rFonts w:cs="Times New Roman"/>
          <w:lang w:val="en-US"/>
        </w:rPr>
        <w:t>Zeus</w:t>
      </w:r>
      <w:r w:rsidR="00CC0615">
        <w:rPr>
          <w:rFonts w:cs="Times New Roman"/>
          <w:lang w:val="en-US"/>
        </w:rPr>
        <w:t>”</w:t>
      </w:r>
      <w:r w:rsidRPr="00DE23EE">
        <w:rPr>
          <w:rFonts w:cs="Times New Roman"/>
          <w:lang w:val="en-US"/>
        </w:rPr>
        <w:t xml:space="preserve">) as first member, such as διογενής, </w:t>
      </w:r>
      <w:r w:rsidR="00CC0615">
        <w:rPr>
          <w:rFonts w:cs="Times New Roman"/>
          <w:lang w:val="en-US"/>
        </w:rPr>
        <w:t>“</w:t>
      </w:r>
      <w:r w:rsidRPr="00DE23EE">
        <w:rPr>
          <w:rFonts w:cs="Times New Roman"/>
          <w:lang w:val="en-US"/>
        </w:rPr>
        <w:t>generated by Zeus</w:t>
      </w:r>
      <w:r w:rsidR="00CC0615">
        <w:rPr>
          <w:rFonts w:cs="Times New Roman"/>
          <w:lang w:val="en-US"/>
        </w:rPr>
        <w:t>”</w:t>
      </w:r>
      <w:r w:rsidRPr="00DE23EE">
        <w:rPr>
          <w:rFonts w:cs="Times New Roman"/>
          <w:lang w:val="en-US"/>
        </w:rPr>
        <w:t xml:space="preserve"> and διοτρεφής, </w:t>
      </w:r>
      <w:r w:rsidR="00CC0615">
        <w:rPr>
          <w:rFonts w:cs="Times New Roman"/>
          <w:lang w:val="en-US"/>
        </w:rPr>
        <w:t>“</w:t>
      </w:r>
      <w:r w:rsidRPr="00DE23EE">
        <w:rPr>
          <w:rFonts w:cs="Times New Roman"/>
          <w:lang w:val="en-US"/>
        </w:rPr>
        <w:t>fed by Zeus.</w:t>
      </w:r>
      <w:r w:rsidR="00CC0615">
        <w:rPr>
          <w:rFonts w:cs="Times New Roman"/>
          <w:lang w:val="en-US"/>
        </w:rPr>
        <w:t>”</w:t>
      </w:r>
    </w:p>
    <w:p w14:paraId="2EDFF979" w14:textId="6143FBB6" w:rsidR="00EA14FC" w:rsidRPr="00DE23EE" w:rsidRDefault="00EA14FC" w:rsidP="00DE23EE">
      <w:pPr>
        <w:rPr>
          <w:rFonts w:cs="Times New Roman"/>
          <w:lang w:val="en-US"/>
        </w:rPr>
      </w:pPr>
      <w:r w:rsidRPr="00DE23EE">
        <w:rPr>
          <w:rFonts w:cs="Times New Roman"/>
          <w:lang w:val="en-US"/>
        </w:rPr>
        <w:tab/>
        <w:t xml:space="preserve">The </w:t>
      </w:r>
      <w:r w:rsidR="00DE23EE" w:rsidRPr="00DE23EE">
        <w:rPr>
          <w:rFonts w:cs="Times New Roman"/>
          <w:lang w:val="en-US"/>
        </w:rPr>
        <w:t>image</w:t>
      </w:r>
      <w:r w:rsidRPr="00DE23EE">
        <w:rPr>
          <w:rFonts w:cs="Times New Roman"/>
          <w:lang w:val="en-US"/>
        </w:rPr>
        <w:t xml:space="preserve"> of being struck perfectly fits the description of a wretched, dumb and slavish man, and sits midway between physical and moral features. The instances in Archilochus and Callimachus suggest a physical de</w:t>
      </w:r>
      <w:r w:rsidR="00DE23EE" w:rsidRPr="00DE23EE">
        <w:rPr>
          <w:rFonts w:cs="Times New Roman"/>
          <w:lang w:val="en-US"/>
        </w:rPr>
        <w:t>scription,</w:t>
      </w:r>
      <w:r w:rsidRPr="00DE23EE">
        <w:rPr>
          <w:rFonts w:cs="Times New Roman"/>
          <w:lang w:val="en-US"/>
        </w:rPr>
        <w:t xml:space="preserve"> while the example in Hipponax hints at a moral interpretation.</w:t>
      </w:r>
    </w:p>
    <w:p w14:paraId="61727584" w14:textId="098709D0" w:rsidR="00EA14FC" w:rsidRPr="00DE23EE" w:rsidRDefault="00EA14FC" w:rsidP="00DE23EE">
      <w:pPr>
        <w:rPr>
          <w:rFonts w:cs="Times New Roman"/>
          <w:lang w:val="en-US"/>
        </w:rPr>
      </w:pPr>
      <w:r w:rsidRPr="00DE23EE">
        <w:rPr>
          <w:rFonts w:cs="Times New Roman"/>
          <w:lang w:val="en-US"/>
        </w:rPr>
        <w:tab/>
        <w:t xml:space="preserve">Συκοτραγίδης, too, is a typical iambic </w:t>
      </w:r>
      <w:r w:rsidRPr="00DE23EE">
        <w:rPr>
          <w:rFonts w:cs="Times New Roman"/>
          <w:i/>
          <w:iCs/>
          <w:lang w:val="en-US"/>
        </w:rPr>
        <w:t>hapax legomenon</w:t>
      </w:r>
      <w:r w:rsidRPr="00DE23EE">
        <w:rPr>
          <w:rFonts w:cs="Times New Roman"/>
          <w:lang w:val="en-US"/>
        </w:rPr>
        <w:t xml:space="preserve"> which belongs to the context of invective The word is surely abusive, even if its meaning is not clear. The term appears only once in Archilochus and once in Hipponax. Both of these occurrences lack context due to the fragmentary nature of the texts. Συκοτραγίδης literally means </w:t>
      </w:r>
      <w:r w:rsidR="00CC0615">
        <w:rPr>
          <w:rFonts w:cs="Times New Roman"/>
          <w:lang w:val="en-US"/>
        </w:rPr>
        <w:t>“</w:t>
      </w:r>
      <w:r w:rsidRPr="00DE23EE">
        <w:rPr>
          <w:rFonts w:cs="Times New Roman"/>
          <w:lang w:val="en-US"/>
        </w:rPr>
        <w:t>son of a fig-eater.</w:t>
      </w:r>
      <w:r w:rsidR="00CC0615">
        <w:rPr>
          <w:rFonts w:cs="Times New Roman"/>
          <w:lang w:val="en-US"/>
        </w:rPr>
        <w:t>”</w:t>
      </w:r>
      <w:r w:rsidRPr="00DE23EE">
        <w:rPr>
          <w:rFonts w:cs="Times New Roman"/>
          <w:lang w:val="en-US"/>
        </w:rPr>
        <w:t xml:space="preserve"> It could refer to the poverty of the target, since Eustathius</w:t>
      </w:r>
      <w:r w:rsidRPr="00DE23EE">
        <w:rPr>
          <w:rStyle w:val="FootnoteReference"/>
          <w:rFonts w:cs="Times New Roman"/>
          <w:lang w:val="en-US"/>
        </w:rPr>
        <w:footnoteReference w:id="392"/>
      </w:r>
      <w:r w:rsidRPr="00DE23EE">
        <w:rPr>
          <w:rFonts w:cs="Times New Roman"/>
          <w:lang w:val="en-US"/>
        </w:rPr>
        <w:t xml:space="preserve"> glossed συκοτραγίδης as εὐτελής </w:t>
      </w:r>
      <w:r w:rsidR="00CC0615">
        <w:rPr>
          <w:rFonts w:cs="Times New Roman"/>
          <w:lang w:val="en-US"/>
        </w:rPr>
        <w:t>“</w:t>
      </w:r>
      <w:r w:rsidRPr="00DE23EE">
        <w:rPr>
          <w:rFonts w:cs="Times New Roman"/>
          <w:lang w:val="en-US"/>
        </w:rPr>
        <w:t>miserable.</w:t>
      </w:r>
      <w:r w:rsidR="00CC0615">
        <w:rPr>
          <w:rFonts w:cs="Times New Roman"/>
          <w:lang w:val="en-US"/>
        </w:rPr>
        <w:t>”</w:t>
      </w:r>
      <w:r w:rsidRPr="00DE23EE">
        <w:rPr>
          <w:rFonts w:cs="Times New Roman"/>
          <w:lang w:val="en-US"/>
        </w:rPr>
        <w:t xml:space="preserve"> Someone who eats figs is poor, according to the iambic tradition, </w:t>
      </w:r>
      <w:r w:rsidRPr="00DE23EE">
        <w:rPr>
          <w:rFonts w:cs="Times New Roman"/>
          <w:lang w:val="en-US"/>
        </w:rPr>
        <w:lastRenderedPageBreak/>
        <w:t xml:space="preserve">as shown by Archil. fr. 87 ἔα Πάρον καὶ σῦκα κεῖνα καὶ θαλάσσιον βίον, </w:t>
      </w:r>
      <w:r w:rsidR="00CC0615">
        <w:rPr>
          <w:rFonts w:cs="Times New Roman"/>
          <w:lang w:val="en-US"/>
        </w:rPr>
        <w:t>“</w:t>
      </w:r>
      <w:r w:rsidRPr="00DE23EE">
        <w:rPr>
          <w:rFonts w:cs="Times New Roman"/>
          <w:lang w:val="en-US"/>
        </w:rPr>
        <w:t>leave Paros, those figs and the sea life</w:t>
      </w:r>
      <w:r w:rsidR="00CC0615">
        <w:rPr>
          <w:rFonts w:cs="Times New Roman"/>
          <w:lang w:val="en-US"/>
        </w:rPr>
        <w:t>”</w:t>
      </w:r>
      <w:r w:rsidRPr="00DE23EE">
        <w:rPr>
          <w:rFonts w:cs="Times New Roman"/>
          <w:lang w:val="en-US"/>
        </w:rPr>
        <w:t xml:space="preserve">; Hippon. fr. 36.5 σῦκα μέτρια τρώγων / καὶ κρίθινον κόλλικα, δούλιον χόρτον, </w:t>
      </w:r>
      <w:r w:rsidR="00CC0615">
        <w:rPr>
          <w:rFonts w:cs="Times New Roman"/>
          <w:lang w:val="en-US"/>
        </w:rPr>
        <w:t>“</w:t>
      </w:r>
      <w:r w:rsidRPr="00DE23EE">
        <w:rPr>
          <w:rFonts w:cs="Times New Roman"/>
          <w:lang w:val="en-US"/>
        </w:rPr>
        <w:t>eating not too big figs and barley bread, slavish feed</w:t>
      </w:r>
      <w:r w:rsidR="00CC0615">
        <w:rPr>
          <w:rFonts w:cs="Times New Roman"/>
          <w:lang w:val="en-US"/>
        </w:rPr>
        <w:t>”</w:t>
      </w:r>
      <w:r w:rsidRPr="00DE23EE">
        <w:rPr>
          <w:rFonts w:cs="Times New Roman"/>
          <w:lang w:val="en-US"/>
        </w:rPr>
        <w:t xml:space="preserve">; and Call. </w:t>
      </w:r>
      <w:r w:rsidRPr="00DE23EE">
        <w:rPr>
          <w:rFonts w:cs="Times New Roman"/>
          <w:i/>
          <w:iCs/>
          <w:lang w:val="en-US"/>
        </w:rPr>
        <w:t>Ia</w:t>
      </w:r>
      <w:r w:rsidRPr="00DE23EE">
        <w:rPr>
          <w:rFonts w:cs="Times New Roman"/>
          <w:lang w:val="en-US"/>
        </w:rPr>
        <w:t xml:space="preserve">. 1.93 χλωρὰ σῦκα τρωγούσας, </w:t>
      </w:r>
      <w:r w:rsidR="00CC0615">
        <w:rPr>
          <w:rFonts w:cs="Times New Roman"/>
          <w:lang w:val="en-US"/>
        </w:rPr>
        <w:t>“</w:t>
      </w:r>
      <w:r w:rsidRPr="00DE23EE">
        <w:rPr>
          <w:rFonts w:cs="Times New Roman"/>
          <w:lang w:val="en-US"/>
        </w:rPr>
        <w:t>eating green figs.</w:t>
      </w:r>
      <w:r w:rsidR="00CC0615">
        <w:rPr>
          <w:rFonts w:cs="Times New Roman"/>
          <w:lang w:val="en-US"/>
        </w:rPr>
        <w:t>”</w:t>
      </w:r>
      <w:r w:rsidRPr="00DE23EE">
        <w:rPr>
          <w:rStyle w:val="FootnoteReference"/>
          <w:rFonts w:cs="Times New Roman"/>
          <w:lang w:val="en-US"/>
        </w:rPr>
        <w:footnoteReference w:id="393"/>
      </w:r>
      <w:r w:rsidRPr="00DE23EE">
        <w:rPr>
          <w:rFonts w:cs="Times New Roman"/>
          <w:lang w:val="en-US"/>
        </w:rPr>
        <w:t xml:space="preserve"> Archilochus and Callimachus speak of with the poverty which characterises the concerns of iambic poetry, while the example in Hipponax is a case of abuse. This example is the most useful for understanding the meaning of the insulting συκοτραγίδης: Hipponax, in fr. 36.5-6, equates eating figs and barley bread to eating animal feed, and σῦκα τρώγων is equated to δούλιος χόρτον, in order to describe the poverty of the abused man. Therefore συκοτραγίδης perfectly fits in with iambic invective. It, as well as the previous words, constitutes a description of the victim. One may argue that δούλιος refers to the humble birth of the target, and attacks their social condition, while συκοτραγίδης refers to lack of means, and attacks the economic condition of the target. </w:t>
      </w:r>
    </w:p>
    <w:p w14:paraId="7F132BA1" w14:textId="77777777" w:rsidR="00EA14FC" w:rsidRPr="00DE23EE" w:rsidRDefault="00EA14FC" w:rsidP="00DE23EE">
      <w:pPr>
        <w:rPr>
          <w:rFonts w:cs="Times New Roman"/>
          <w:lang w:val="en-US"/>
        </w:rPr>
      </w:pPr>
      <w:r w:rsidRPr="00DE23EE">
        <w:rPr>
          <w:rFonts w:cs="Times New Roman"/>
          <w:lang w:val="en-US"/>
        </w:rPr>
        <w:tab/>
        <w:t>Descriptions through metaphor often draw inspiration from the animal world, as stated above. The animals evoked speak to both the physical and the moral features of the target.</w:t>
      </w:r>
    </w:p>
    <w:p w14:paraId="1D7DC829" w14:textId="416B1F6A" w:rsidR="00EA14FC" w:rsidRPr="00DE23EE" w:rsidRDefault="00EA14FC" w:rsidP="00DE23EE">
      <w:pPr>
        <w:rPr>
          <w:rFonts w:cs="Times New Roman"/>
          <w:lang w:val="en-US"/>
        </w:rPr>
      </w:pPr>
      <w:r w:rsidRPr="00DE23EE">
        <w:rPr>
          <w:rFonts w:cs="Times New Roman"/>
          <w:lang w:val="en-US"/>
        </w:rPr>
        <w:tab/>
        <w:t>The only metaphor shared by all the three major iambographers is one which compares a personal enemy and a dog: it appears respectively in Archil. fr. 193.9 κροτέοι δ</w:t>
      </w:r>
      <w:r w:rsidR="00075F5F">
        <w:rPr>
          <w:rFonts w:cs="Times New Roman"/>
          <w:lang w:val="en-US"/>
        </w:rPr>
        <w:t>’</w:t>
      </w:r>
      <w:r w:rsidRPr="00DE23EE">
        <w:rPr>
          <w:rFonts w:cs="Times New Roman"/>
          <w:lang w:val="en-US"/>
        </w:rPr>
        <w:t xml:space="preserve"> ὀδόντας, ὡς κύων ἐπὶ στόμα / κείμενος ἀκρασίηι / ἄκρον παρὰ ῥηγμῖνα κυμα…δου, </w:t>
      </w:r>
      <w:r w:rsidR="00DF60FA">
        <w:rPr>
          <w:rFonts w:cs="Times New Roman"/>
          <w:lang w:val="en-US"/>
        </w:rPr>
        <w:t>“</w:t>
      </w:r>
      <w:r w:rsidRPr="00DE23EE">
        <w:rPr>
          <w:rFonts w:cs="Times New Roman"/>
          <w:lang w:val="en-US"/>
        </w:rPr>
        <w:t>let his teeth chatter, when exhausted he flats on his face, as a dog, on the water</w:t>
      </w:r>
      <w:r w:rsidR="00075F5F">
        <w:rPr>
          <w:rFonts w:cs="Times New Roman"/>
          <w:lang w:val="en-US"/>
        </w:rPr>
        <w:t>’</w:t>
      </w:r>
      <w:r w:rsidRPr="00DE23EE">
        <w:rPr>
          <w:rFonts w:cs="Times New Roman"/>
          <w:lang w:val="en-US"/>
        </w:rPr>
        <w:t>s edge, on the shore side against which the waves do not lap</w:t>
      </w:r>
      <w:r w:rsidR="00CC0615">
        <w:rPr>
          <w:rFonts w:cs="Times New Roman"/>
          <w:lang w:val="en-US"/>
        </w:rPr>
        <w:t>”</w:t>
      </w:r>
      <w:r w:rsidRPr="00DE23EE">
        <w:rPr>
          <w:rFonts w:cs="Times New Roman"/>
          <w:lang w:val="en-US"/>
        </w:rPr>
        <w:t xml:space="preserve">; in Hippon. fr. 32 κοὐκ ὡς κύων λαίθαργος ὕστερον τρώγει </w:t>
      </w:r>
      <w:r w:rsidR="00CC0615">
        <w:rPr>
          <w:rFonts w:cs="Times New Roman"/>
          <w:lang w:val="en-US"/>
        </w:rPr>
        <w:t>“</w:t>
      </w:r>
      <w:r w:rsidRPr="00DE23EE">
        <w:rPr>
          <w:rFonts w:cs="Times New Roman"/>
          <w:lang w:val="en-US"/>
        </w:rPr>
        <w:t>not as a shady dog which shortly before wheedled you, and shortly after bites you</w:t>
      </w:r>
      <w:r w:rsidR="00CC0615">
        <w:rPr>
          <w:rFonts w:cs="Times New Roman"/>
          <w:lang w:val="en-US"/>
        </w:rPr>
        <w:t>”</w:t>
      </w:r>
      <w:r w:rsidRPr="00DE23EE">
        <w:rPr>
          <w:rFonts w:cs="Times New Roman"/>
          <w:lang w:val="en-US"/>
        </w:rPr>
        <w:t xml:space="preserve">; and in Call. </w:t>
      </w:r>
      <w:r w:rsidRPr="00DE23EE">
        <w:rPr>
          <w:rFonts w:cs="Times New Roman"/>
          <w:i/>
          <w:iCs/>
          <w:lang w:val="en-US"/>
        </w:rPr>
        <w:t>Ia</w:t>
      </w:r>
      <w:r w:rsidRPr="00DE23EE">
        <w:rPr>
          <w:rFonts w:cs="Times New Roman"/>
          <w:lang w:val="en-US"/>
        </w:rPr>
        <w:t>. 1.83 τὴν γλῶσσαν </w:t>
      </w:r>
      <w:hyperlink r:id="rId47" w:history="1">
        <w:r w:rsidRPr="00DE23EE">
          <w:rPr>
            <w:rFonts w:cs="Times New Roman"/>
            <w:lang w:val="en-US"/>
          </w:rPr>
          <w:t>†</w:t>
        </w:r>
      </w:hyperlink>
      <w:r w:rsidRPr="00DE23EE">
        <w:rPr>
          <w:rFonts w:cs="Times New Roman"/>
          <w:lang w:val="en-US"/>
        </w:rPr>
        <w:t xml:space="preserve">ελων ὡς κύων ὅταν πίνῃ </w:t>
      </w:r>
      <w:r w:rsidR="00CC0615">
        <w:rPr>
          <w:rFonts w:cs="Times New Roman"/>
          <w:lang w:val="en-US"/>
        </w:rPr>
        <w:t>“</w:t>
      </w:r>
      <w:r w:rsidRPr="00DE23EE">
        <w:rPr>
          <w:rFonts w:cs="Times New Roman"/>
          <w:lang w:val="en-US"/>
        </w:rPr>
        <w:t>(curling?) his tongue like a dog when it drinks.</w:t>
      </w:r>
      <w:r w:rsidR="00CC0615">
        <w:rPr>
          <w:rFonts w:cs="Times New Roman"/>
          <w:lang w:val="en-US"/>
        </w:rPr>
        <w:t>”</w:t>
      </w:r>
    </w:p>
    <w:p w14:paraId="7D748C5B" w14:textId="0213ED01" w:rsidR="00EA14FC" w:rsidRPr="00DE23EE" w:rsidRDefault="00EA14FC" w:rsidP="00DE23EE">
      <w:pPr>
        <w:rPr>
          <w:rFonts w:cs="Times New Roman"/>
          <w:lang w:val="en-US"/>
        </w:rPr>
      </w:pPr>
      <w:r w:rsidRPr="00DE23EE">
        <w:rPr>
          <w:rFonts w:cs="Times New Roman"/>
          <w:lang w:val="en-US"/>
        </w:rPr>
        <w:tab/>
        <w:t>All the occurrences imply someone who is a cheat. The enemies of the poets are all charged with being devious and deceitful. They slightly differ in meaning, however, since Archilochus wishes for his target to suffer like a dog, while Hipponax and Callimachus</w:t>
      </w:r>
      <w:r w:rsidR="00075F5F">
        <w:rPr>
          <w:rFonts w:cs="Times New Roman"/>
          <w:lang w:val="en-US"/>
        </w:rPr>
        <w:t>’</w:t>
      </w:r>
      <w:r w:rsidRPr="00DE23EE">
        <w:rPr>
          <w:rFonts w:cs="Times New Roman"/>
          <w:lang w:val="en-US"/>
        </w:rPr>
        <w:t xml:space="preserve"> enemies are compared to dogs.</w:t>
      </w:r>
    </w:p>
    <w:p w14:paraId="7B39797D" w14:textId="27C2FF65" w:rsidR="00EA14FC" w:rsidRPr="00DE23EE" w:rsidRDefault="00EA14FC" w:rsidP="00DE23EE">
      <w:pPr>
        <w:rPr>
          <w:rFonts w:cs="Times New Roman"/>
          <w:lang w:val="en-US"/>
        </w:rPr>
      </w:pPr>
      <w:r w:rsidRPr="00DE23EE">
        <w:rPr>
          <w:rFonts w:cs="Times New Roman"/>
          <w:lang w:val="en-US"/>
        </w:rPr>
        <w:tab/>
        <w:t>In all the other instances of metaphor, every iambographer chooses a different animal to represent the same faults, or the same animals to show different faults. The analogies vary from author to author, and over time, since they depend on the author</w:t>
      </w:r>
      <w:r w:rsidR="00075F5F">
        <w:rPr>
          <w:rFonts w:cs="Times New Roman"/>
          <w:lang w:val="en-US"/>
        </w:rPr>
        <w:t>’</w:t>
      </w:r>
      <w:r w:rsidRPr="00DE23EE">
        <w:rPr>
          <w:rFonts w:cs="Times New Roman"/>
          <w:lang w:val="en-US"/>
        </w:rPr>
        <w:t xml:space="preserve">s sensibilities and on the cultural background of the audience. For instance, a wild puffed up man is </w:t>
      </w:r>
      <w:r w:rsidRPr="00DE23EE">
        <w:rPr>
          <w:rFonts w:cs="Times New Roman"/>
          <w:lang w:val="en-US"/>
        </w:rPr>
        <w:lastRenderedPageBreak/>
        <w:t>likened to an ass by Archil. fr. 180 ἡ δέ οἱ σάθη / ὅση τ</w:t>
      </w:r>
      <w:r w:rsidR="00075F5F">
        <w:rPr>
          <w:rFonts w:cs="Times New Roman"/>
          <w:lang w:val="en-US"/>
        </w:rPr>
        <w:t>’</w:t>
      </w:r>
      <w:r w:rsidRPr="00DE23EE">
        <w:rPr>
          <w:rFonts w:cs="Times New Roman"/>
          <w:lang w:val="en-US"/>
        </w:rPr>
        <w:t xml:space="preserve"> ὄνου Πριηνέως / κήλωνος ἐπλήμυρεν ὀτρυγηφάγου </w:t>
      </w:r>
      <w:r w:rsidR="00CC0615">
        <w:rPr>
          <w:rFonts w:cs="Times New Roman"/>
          <w:lang w:val="en-US"/>
        </w:rPr>
        <w:t>“</w:t>
      </w:r>
      <w:r w:rsidRPr="00DE23EE">
        <w:rPr>
          <w:rFonts w:cs="Times New Roman"/>
          <w:lang w:val="en-US"/>
        </w:rPr>
        <w:t>his prick… swelled like that of a Prienian grain-fed breeding ass</w:t>
      </w:r>
      <w:r w:rsidR="00CC0615">
        <w:rPr>
          <w:rFonts w:cs="Times New Roman"/>
          <w:lang w:val="en-US"/>
        </w:rPr>
        <w:t>”</w:t>
      </w:r>
      <w:r w:rsidRPr="00DE23EE">
        <w:rPr>
          <w:rFonts w:cs="Times New Roman"/>
          <w:lang w:val="en-US"/>
        </w:rPr>
        <w:t>; to a goat by Hippon. fr. 129a.1 ὦ Σάνν</w:t>
      </w:r>
      <w:r w:rsidR="00075F5F">
        <w:rPr>
          <w:rFonts w:cs="Times New Roman"/>
          <w:lang w:val="en-US"/>
        </w:rPr>
        <w:t>’</w:t>
      </w:r>
      <w:r w:rsidRPr="00DE23EE">
        <w:rPr>
          <w:rFonts w:cs="Times New Roman"/>
          <w:lang w:val="en-US"/>
        </w:rPr>
        <w:t xml:space="preserve"> </w:t>
      </w:r>
      <w:r w:rsidR="00CC0615">
        <w:rPr>
          <w:rFonts w:cs="Times New Roman"/>
          <w:lang w:val="en-US"/>
        </w:rPr>
        <w:t>“</w:t>
      </w:r>
      <w:r w:rsidRPr="00DE23EE">
        <w:rPr>
          <w:rFonts w:cs="Times New Roman"/>
          <w:lang w:val="en-US"/>
        </w:rPr>
        <w:t>o Sannos,</w:t>
      </w:r>
      <w:r w:rsidR="00CC0615">
        <w:rPr>
          <w:rFonts w:cs="Times New Roman"/>
          <w:lang w:val="en-US"/>
        </w:rPr>
        <w:t>”</w:t>
      </w:r>
      <w:r w:rsidRPr="00DE23EE">
        <w:rPr>
          <w:rFonts w:cs="Times New Roman"/>
          <w:lang w:val="en-US"/>
        </w:rPr>
        <w:t xml:space="preserve"> since the personal name Sannos is connected</w:t>
      </w:r>
      <w:r w:rsidRPr="00DE23EE">
        <w:rPr>
          <w:rStyle w:val="FootnoteReference"/>
          <w:rFonts w:cs="Times New Roman"/>
          <w:lang w:val="en-US"/>
        </w:rPr>
        <w:footnoteReference w:id="394"/>
      </w:r>
      <w:r w:rsidRPr="00DE23EE">
        <w:rPr>
          <w:rFonts w:cs="Times New Roman"/>
          <w:lang w:val="en-US"/>
        </w:rPr>
        <w:t xml:space="preserve"> to the noun σαννάς, -άδος, </w:t>
      </w:r>
      <w:r w:rsidR="00CC0615">
        <w:rPr>
          <w:rFonts w:cs="Times New Roman"/>
          <w:lang w:val="en-US"/>
        </w:rPr>
        <w:t>“</w:t>
      </w:r>
      <w:r w:rsidRPr="00DE23EE">
        <w:rPr>
          <w:rFonts w:cs="Times New Roman"/>
          <w:lang w:val="en-US"/>
        </w:rPr>
        <w:t>wild goat</w:t>
      </w:r>
      <w:r w:rsidR="00CC0615">
        <w:rPr>
          <w:rFonts w:cs="Times New Roman"/>
          <w:lang w:val="en-US"/>
        </w:rPr>
        <w:t>”</w:t>
      </w:r>
      <w:r w:rsidRPr="00DE23EE">
        <w:rPr>
          <w:rStyle w:val="FootnoteReference"/>
          <w:rFonts w:cs="Times New Roman"/>
          <w:lang w:val="en-US"/>
        </w:rPr>
        <w:footnoteReference w:id="395"/>
      </w:r>
      <w:r w:rsidRPr="00DE23EE">
        <w:rPr>
          <w:rFonts w:cs="Times New Roman"/>
          <w:lang w:val="en-US"/>
        </w:rPr>
        <w:t xml:space="preserve">; and to a bull by Call. </w:t>
      </w:r>
      <w:r w:rsidRPr="00DE23EE">
        <w:rPr>
          <w:rFonts w:cs="Times New Roman"/>
          <w:i/>
          <w:iCs/>
          <w:lang w:val="en-US"/>
        </w:rPr>
        <w:t>Ia</w:t>
      </w:r>
      <w:r w:rsidRPr="00DE23EE">
        <w:rPr>
          <w:rFonts w:cs="Times New Roman"/>
          <w:lang w:val="en-US"/>
        </w:rPr>
        <w:t>. 4.101-102 τὴν δ</w:t>
      </w:r>
      <w:r w:rsidR="00075F5F">
        <w:rPr>
          <w:rFonts w:cs="Times New Roman"/>
          <w:lang w:val="en-US"/>
        </w:rPr>
        <w:t>’</w:t>
      </w:r>
      <w:r w:rsidRPr="00DE23EE">
        <w:rPr>
          <w:rFonts w:cs="Times New Roman"/>
          <w:lang w:val="en-US"/>
        </w:rPr>
        <w:t xml:space="preserve"> ἆρ</w:t>
      </w:r>
      <w:r w:rsidR="00075F5F">
        <w:rPr>
          <w:rFonts w:cs="Times New Roman"/>
          <w:lang w:val="en-US"/>
        </w:rPr>
        <w:t>’</w:t>
      </w:r>
      <w:r w:rsidRPr="00DE23EE">
        <w:rPr>
          <w:rFonts w:cs="Times New Roman"/>
          <w:lang w:val="en-US"/>
        </w:rPr>
        <w:t xml:space="preserve"> ὑποδρὰξ οἷα ταῦρος ἡ δάφνη / ἔβλεψε, </w:t>
      </w:r>
      <w:r w:rsidR="00CC0615">
        <w:rPr>
          <w:rFonts w:cs="Times New Roman"/>
          <w:lang w:val="en-US"/>
        </w:rPr>
        <w:t>“</w:t>
      </w:r>
      <w:r w:rsidRPr="00DE23EE">
        <w:rPr>
          <w:rFonts w:cs="Times New Roman"/>
          <w:lang w:val="en-US"/>
        </w:rPr>
        <w:t>the laurel looked at her from under her brow like a bull.</w:t>
      </w:r>
      <w:r w:rsidR="00CC0615">
        <w:rPr>
          <w:rFonts w:cs="Times New Roman"/>
          <w:lang w:val="en-US"/>
        </w:rPr>
        <w:t>”</w:t>
      </w:r>
      <w:r w:rsidRPr="00DE23EE">
        <w:rPr>
          <w:rFonts w:cs="Times New Roman"/>
          <w:lang w:val="en-US"/>
        </w:rPr>
        <w:t xml:space="preserve"> A crow symbolises a prostitute in Archil. fr. 44.1-2 ὑφ</w:t>
      </w:r>
      <w:r w:rsidR="00075F5F">
        <w:rPr>
          <w:rFonts w:cs="Times New Roman"/>
          <w:lang w:val="en-US"/>
        </w:rPr>
        <w:t>’</w:t>
      </w:r>
      <w:r w:rsidRPr="00DE23EE">
        <w:rPr>
          <w:rFonts w:cs="Times New Roman"/>
          <w:lang w:val="en-US"/>
        </w:rPr>
        <w:t xml:space="preserve"> ἡδονῆς σαλευμένη / … κορῶνη </w:t>
      </w:r>
      <w:r w:rsidR="00CC0615">
        <w:rPr>
          <w:rFonts w:cs="Times New Roman"/>
          <w:lang w:val="en-US"/>
        </w:rPr>
        <w:t>“</w:t>
      </w:r>
      <w:r w:rsidRPr="00DE23EE">
        <w:rPr>
          <w:rFonts w:cs="Times New Roman"/>
          <w:lang w:val="en-US"/>
        </w:rPr>
        <w:t>crow … excited by pleasure</w:t>
      </w:r>
      <w:r w:rsidR="00CC0615">
        <w:rPr>
          <w:rFonts w:cs="Times New Roman"/>
          <w:lang w:val="en-US"/>
        </w:rPr>
        <w:t>”</w:t>
      </w:r>
      <w:r w:rsidRPr="00DE23EE">
        <w:rPr>
          <w:rFonts w:cs="Times New Roman"/>
          <w:lang w:val="en-US"/>
        </w:rPr>
        <w:t>; a doom</w:t>
      </w:r>
      <w:r w:rsidR="00DE23EE" w:rsidRPr="00DE23EE">
        <w:rPr>
          <w:rFonts w:cs="Times New Roman"/>
          <w:lang w:val="en-US"/>
        </w:rPr>
        <w:t>-sayer</w:t>
      </w:r>
      <w:r w:rsidRPr="00DE23EE">
        <w:rPr>
          <w:rFonts w:cs="Times New Roman"/>
          <w:lang w:val="en-US"/>
        </w:rPr>
        <w:t xml:space="preserve"> in Hippon. fr. 57 κριγὴ δὲ νεκρῶν ἄγγελός τε καὶ κῆρυξ </w:t>
      </w:r>
      <w:r w:rsidR="00CC0615">
        <w:rPr>
          <w:rFonts w:cs="Times New Roman"/>
          <w:lang w:val="en-US"/>
        </w:rPr>
        <w:t>“</w:t>
      </w:r>
      <w:r w:rsidRPr="00DE23EE">
        <w:rPr>
          <w:rFonts w:cs="Times New Roman"/>
          <w:lang w:val="en-US"/>
        </w:rPr>
        <w:t>a screech owl, messenger and herald of the dead</w:t>
      </w:r>
      <w:r w:rsidR="00CC0615">
        <w:rPr>
          <w:rFonts w:cs="Times New Roman"/>
          <w:lang w:val="en-US"/>
        </w:rPr>
        <w:t>”</w:t>
      </w:r>
      <w:r w:rsidRPr="00DE23EE">
        <w:rPr>
          <w:rFonts w:cs="Times New Roman"/>
          <w:lang w:val="en-US"/>
        </w:rPr>
        <w:t xml:space="preserve">; and a chatterer in Call. </w:t>
      </w:r>
      <w:r w:rsidRPr="00DE23EE">
        <w:rPr>
          <w:rFonts w:cs="Times New Roman"/>
          <w:i/>
          <w:iCs/>
          <w:lang w:val="en-US"/>
        </w:rPr>
        <w:t>Ia</w:t>
      </w:r>
      <w:r w:rsidRPr="00DE23EE">
        <w:rPr>
          <w:rFonts w:cs="Times New Roman"/>
          <w:lang w:val="en-US"/>
        </w:rPr>
        <w:t xml:space="preserve">. 4.82 λαιδρὴ κορώνη, κῶς τὸ χεῖλος οὐκ ἀλγεῖς; </w:t>
      </w:r>
      <w:r w:rsidR="00CC0615">
        <w:rPr>
          <w:rFonts w:cs="Times New Roman"/>
          <w:lang w:val="en-US"/>
        </w:rPr>
        <w:t>“</w:t>
      </w:r>
      <w:r w:rsidRPr="00DE23EE">
        <w:rPr>
          <w:rFonts w:cs="Times New Roman"/>
          <w:lang w:val="en-US"/>
        </w:rPr>
        <w:t>foolish crow, how is it your lip does not pain you?</w:t>
      </w:r>
      <w:r w:rsidR="00CC0615">
        <w:rPr>
          <w:rFonts w:cs="Times New Roman"/>
          <w:lang w:val="en-US"/>
        </w:rPr>
        <w:t>”</w:t>
      </w:r>
    </w:p>
    <w:p w14:paraId="66F6A91E" w14:textId="77777777" w:rsidR="00EA14FC" w:rsidRPr="00DE23EE" w:rsidRDefault="00EA14FC" w:rsidP="00DE23EE">
      <w:pPr>
        <w:rPr>
          <w:rFonts w:cs="Times New Roman"/>
          <w:lang w:val="en-US"/>
        </w:rPr>
      </w:pPr>
    </w:p>
    <w:p w14:paraId="1FC2D5B8" w14:textId="78DBD28F" w:rsidR="00EA14FC" w:rsidRPr="00DE23EE" w:rsidRDefault="00EA14FC" w:rsidP="00DE23EE">
      <w:pPr>
        <w:rPr>
          <w:rFonts w:cs="Times New Roman"/>
          <w:lang w:val="en-US"/>
        </w:rPr>
      </w:pPr>
      <w:r w:rsidRPr="00DE23EE">
        <w:rPr>
          <w:rFonts w:cs="Times New Roman"/>
          <w:lang w:val="en-US"/>
        </w:rPr>
        <w:t>The conclusion of an iambic invective consists of a reproach which clearly reveals the iambographer as moralizer. The final scene of the invective is wholly dedicated to the iambographer. The other two parties</w:t>
      </w:r>
      <w:r w:rsidR="00DE23EE" w:rsidRPr="00DE23EE">
        <w:rPr>
          <w:rFonts w:cs="Times New Roman"/>
          <w:lang w:val="en-US"/>
        </w:rPr>
        <w:t xml:space="preserve"> </w:t>
      </w:r>
      <w:r w:rsidRPr="00DE23EE">
        <w:rPr>
          <w:rFonts w:cs="Times New Roman"/>
          <w:lang w:val="en-US"/>
        </w:rPr>
        <w:t xml:space="preserve">which were initially involved in the communication, the target and the audience, are obscured. The iambographer literally silences the target through imperative advice and rhetorical questions until his final sarcastic remark decrees which punishment the audience ought to give the target. </w:t>
      </w:r>
    </w:p>
    <w:p w14:paraId="108DA3F3" w14:textId="62DE76EF" w:rsidR="00EA14FC" w:rsidRPr="00DE23EE" w:rsidRDefault="00EA14FC" w:rsidP="00DE23EE">
      <w:pPr>
        <w:rPr>
          <w:rFonts w:cs="Times New Roman"/>
          <w:lang w:val="en-US"/>
        </w:rPr>
      </w:pPr>
      <w:r w:rsidRPr="00DE23EE">
        <w:rPr>
          <w:rFonts w:cs="Times New Roman"/>
          <w:lang w:val="en-US"/>
        </w:rPr>
        <w:tab/>
        <w:t>The target is taken by surprise by the speaker who addresses him with questions (doomed to remain unanswered), and who emphasizes the personal responsibility of the victim in front of the audience. Who may ever be responsible for Lycambes</w:t>
      </w:r>
      <w:r w:rsidR="00075F5F">
        <w:rPr>
          <w:rFonts w:cs="Times New Roman"/>
          <w:lang w:val="en-US"/>
        </w:rPr>
        <w:t>’</w:t>
      </w:r>
      <w:r w:rsidRPr="00DE23EE">
        <w:rPr>
          <w:rFonts w:cs="Times New Roman"/>
          <w:lang w:val="en-US"/>
        </w:rPr>
        <w:t xml:space="preserve"> loss of good sense apart from Lycambes himself, Archilochus asks in fr. 166.1-3 ποῖον ἐφράσω τόδε; / τίς σὰς παρήειρε φρένας / ἧις τὸ πρὶν ἠρήρησθα; </w:t>
      </w:r>
      <w:r w:rsidR="00CC0615">
        <w:rPr>
          <w:rFonts w:cs="Times New Roman"/>
          <w:lang w:val="en-US"/>
        </w:rPr>
        <w:t>“</w:t>
      </w:r>
      <w:r w:rsidRPr="00DE23EE">
        <w:rPr>
          <w:rFonts w:cs="Times New Roman"/>
          <w:lang w:val="en-US"/>
        </w:rPr>
        <w:t>what did you mean by this? Who unhinged your wits which previously were sound?</w:t>
      </w:r>
      <w:r w:rsidR="00CC0615">
        <w:rPr>
          <w:rFonts w:cs="Times New Roman"/>
          <w:lang w:val="en-US"/>
        </w:rPr>
        <w:t>”</w:t>
      </w:r>
      <w:r w:rsidRPr="00DE23EE">
        <w:rPr>
          <w:rFonts w:cs="Times New Roman"/>
          <w:lang w:val="en-US"/>
        </w:rPr>
        <w:t xml:space="preserve"> Similarly, Hipponax in fr. 55 levels an accusation through an ironic rhetorical question which muddles his target and prevent him from answering and clearing himself from the charge: μῶν χαραδριὸν περνάς; </w:t>
      </w:r>
      <w:r w:rsidR="00CC0615">
        <w:rPr>
          <w:rFonts w:cs="Times New Roman"/>
          <w:lang w:val="en-US"/>
        </w:rPr>
        <w:t>“</w:t>
      </w:r>
      <w:r w:rsidRPr="00DE23EE">
        <w:rPr>
          <w:rFonts w:cs="Times New Roman"/>
          <w:lang w:val="en-US"/>
        </w:rPr>
        <w:t>not to sell it like a plover, is he?</w:t>
      </w:r>
      <w:r w:rsidR="00CC0615">
        <w:rPr>
          <w:rFonts w:cs="Times New Roman"/>
          <w:lang w:val="en-US"/>
        </w:rPr>
        <w:t>”</w:t>
      </w:r>
      <w:r w:rsidRPr="00DE23EE">
        <w:rPr>
          <w:rFonts w:cs="Times New Roman"/>
          <w:lang w:val="en-US"/>
        </w:rPr>
        <w:t xml:space="preserve"> Callimachus in </w:t>
      </w:r>
      <w:r w:rsidRPr="00DE23EE">
        <w:rPr>
          <w:rFonts w:cs="Times New Roman"/>
          <w:i/>
          <w:iCs/>
          <w:lang w:val="en-US"/>
        </w:rPr>
        <w:t>Iambus</w:t>
      </w:r>
      <w:r w:rsidRPr="00DE23EE">
        <w:rPr>
          <w:rFonts w:cs="Times New Roman"/>
          <w:lang w:val="en-US"/>
        </w:rPr>
        <w:t xml:space="preserve"> 4 puts in the mouth of the olive two even more fiendish questions: τεῦ γὰρ τὸ φύλλον οἱ ἱκέται προτείνουσι; </w:t>
      </w:r>
      <w:r w:rsidR="00CC0615">
        <w:rPr>
          <w:rFonts w:cs="Times New Roman"/>
          <w:lang w:val="en-US"/>
        </w:rPr>
        <w:t>“</w:t>
      </w:r>
      <w:r w:rsidRPr="00DE23EE">
        <w:rPr>
          <w:rFonts w:cs="Times New Roman"/>
          <w:lang w:val="en-US"/>
        </w:rPr>
        <w:t>whose leaf do suppliants hold before them?</w:t>
      </w:r>
      <w:r w:rsidR="00CC0615">
        <w:rPr>
          <w:rFonts w:cs="Times New Roman"/>
          <w:lang w:val="en-US"/>
        </w:rPr>
        <w:t>”</w:t>
      </w:r>
      <w:r w:rsidRPr="00DE23EE">
        <w:rPr>
          <w:rFonts w:cs="Times New Roman"/>
          <w:lang w:val="en-US"/>
        </w:rPr>
        <w:t xml:space="preserve"> (4.79),</w:t>
      </w:r>
      <w:r w:rsidRPr="00DE23EE">
        <w:rPr>
          <w:rFonts w:cs="Times New Roman"/>
          <w:vertAlign w:val="superscript"/>
          <w:lang w:val="en-US"/>
        </w:rPr>
        <w:t xml:space="preserve"> </w:t>
      </w:r>
      <w:r w:rsidRPr="00DE23EE">
        <w:rPr>
          <w:rFonts w:cs="Times New Roman"/>
          <w:lang w:val="en-US"/>
        </w:rPr>
        <w:t xml:space="preserve">and τεῦ γὰρ τὸ πρέμνον Δήλιοι φυλάσσουσι; </w:t>
      </w:r>
      <w:r w:rsidR="00CC0615">
        <w:rPr>
          <w:rFonts w:cs="Times New Roman"/>
          <w:lang w:val="en-US"/>
        </w:rPr>
        <w:t>“</w:t>
      </w:r>
      <w:r w:rsidRPr="00DE23EE">
        <w:rPr>
          <w:rFonts w:cs="Times New Roman"/>
          <w:lang w:val="en-US"/>
        </w:rPr>
        <w:t>for whose trunk do the Delians guard?</w:t>
      </w:r>
      <w:r w:rsidR="00CC0615">
        <w:rPr>
          <w:rFonts w:cs="Times New Roman"/>
          <w:lang w:val="en-US"/>
        </w:rPr>
        <w:t>”</w:t>
      </w:r>
      <w:r w:rsidRPr="00DE23EE">
        <w:rPr>
          <w:rFonts w:cs="Times New Roman"/>
          <w:lang w:val="en-US"/>
        </w:rPr>
        <w:t xml:space="preserve"> (4.83). In both cases, any answer by the laurel would </w:t>
      </w:r>
      <w:r w:rsidRPr="00DE23EE">
        <w:rPr>
          <w:rFonts w:cs="Times New Roman"/>
          <w:lang w:val="en-US"/>
        </w:rPr>
        <w:lastRenderedPageBreak/>
        <w:t>mean the confirmation of the arguments proffered by the olive, and consequently its defeat.</w:t>
      </w:r>
    </w:p>
    <w:p w14:paraId="24D76C48" w14:textId="7DA26600" w:rsidR="00EA14FC" w:rsidRPr="00DE23EE" w:rsidRDefault="00EA14FC" w:rsidP="00DE23EE">
      <w:pPr>
        <w:spacing w:after="120"/>
        <w:rPr>
          <w:rFonts w:cs="Times New Roman"/>
          <w:lang w:val="en-US"/>
        </w:rPr>
      </w:pPr>
      <w:r w:rsidRPr="00DE23EE">
        <w:rPr>
          <w:rFonts w:cs="Times New Roman"/>
          <w:lang w:val="en-US"/>
        </w:rPr>
        <w:tab/>
        <w:t>The victim of the invective is reduced to silence, crushed by the charges against him and overcome by shame. He can do nothing but refrain from making his position worse. The final lines of an invective is usually characterised by a negative command (μή + subjunctive).</w:t>
      </w:r>
      <w:r w:rsidR="00DE23EE" w:rsidRPr="00DE23EE">
        <w:rPr>
          <w:rFonts w:cs="Times New Roman"/>
          <w:lang w:val="en-US"/>
        </w:rPr>
        <w:t xml:space="preserve"> </w:t>
      </w:r>
      <w:r w:rsidRPr="00DE23EE">
        <w:rPr>
          <w:rFonts w:cs="Times New Roman"/>
          <w:lang w:val="en-US"/>
        </w:rPr>
        <w:t xml:space="preserve">This rhetorical device is used by Archilochus who says μηδὲ τοῦτον ἐμβάληις </w:t>
      </w:r>
      <w:r w:rsidR="00CC0615">
        <w:rPr>
          <w:rFonts w:cs="Times New Roman"/>
          <w:lang w:val="en-US"/>
        </w:rPr>
        <w:t>“</w:t>
      </w:r>
      <w:r w:rsidRPr="00DE23EE">
        <w:rPr>
          <w:rFonts w:cs="Times New Roman"/>
          <w:lang w:val="en-US"/>
        </w:rPr>
        <w:t>and do not throw it onto us</w:t>
      </w:r>
      <w:r w:rsidR="00CC0615">
        <w:rPr>
          <w:rFonts w:cs="Times New Roman"/>
          <w:lang w:val="en-US"/>
        </w:rPr>
        <w:t>”</w:t>
      </w:r>
      <w:r w:rsidRPr="00DE23EE">
        <w:rPr>
          <w:rFonts w:cs="Times New Roman"/>
          <w:lang w:val="en-US"/>
        </w:rPr>
        <w:t xml:space="preserve"> fr. 92.5. It becomes more frequent in Hipponax, who uses it in fr. 123 μηδὲ μοιμύλλειν Λεβεδίην ἰσχάδ</w:t>
      </w:r>
      <w:r w:rsidR="00075F5F">
        <w:rPr>
          <w:rFonts w:cs="Times New Roman"/>
          <w:lang w:val="en-US"/>
        </w:rPr>
        <w:t>’</w:t>
      </w:r>
      <w:r w:rsidRPr="00DE23EE">
        <w:rPr>
          <w:rFonts w:cs="Times New Roman"/>
          <w:lang w:val="en-US"/>
        </w:rPr>
        <w:t xml:space="preserve"> ἐκ Καμανδωλοῦ </w:t>
      </w:r>
      <w:r w:rsidR="00CC0615">
        <w:rPr>
          <w:rFonts w:cs="Times New Roman"/>
          <w:lang w:val="en-US"/>
        </w:rPr>
        <w:t>“</w:t>
      </w:r>
      <w:r w:rsidRPr="00DE23EE">
        <w:rPr>
          <w:rFonts w:cs="Times New Roman"/>
          <w:lang w:val="en-US"/>
        </w:rPr>
        <w:t>and do not suck Lebedian withered figs (which come) from Camandoles,</w:t>
      </w:r>
      <w:r w:rsidR="00CC0615">
        <w:rPr>
          <w:rFonts w:cs="Times New Roman"/>
          <w:lang w:val="en-US"/>
        </w:rPr>
        <w:t>”</w:t>
      </w:r>
      <w:r w:rsidRPr="00DE23EE">
        <w:rPr>
          <w:rFonts w:cs="Times New Roman"/>
          <w:lang w:val="en-US"/>
        </w:rPr>
        <w:t xml:space="preserve"> and in fr. 129c.3 μή σε γαστρίη λάβηι </w:t>
      </w:r>
      <w:r w:rsidR="00CC0615">
        <w:rPr>
          <w:rFonts w:cs="Times New Roman"/>
          <w:lang w:val="en-US"/>
        </w:rPr>
        <w:t>“</w:t>
      </w:r>
      <w:r w:rsidRPr="00DE23EE">
        <w:rPr>
          <w:rFonts w:cs="Times New Roman"/>
          <w:lang w:val="en-US"/>
        </w:rPr>
        <w:t>do not let your belly subdue you.</w:t>
      </w:r>
      <w:r w:rsidR="00CC0615">
        <w:rPr>
          <w:rFonts w:cs="Times New Roman"/>
          <w:lang w:val="en-US"/>
        </w:rPr>
        <w:t>”</w:t>
      </w:r>
      <w:r w:rsidRPr="00DE23EE">
        <w:rPr>
          <w:rFonts w:cs="Times New Roman"/>
          <w:lang w:val="en-US"/>
        </w:rPr>
        <w:t xml:space="preserve"> It becomes a standard phrasing in Callimachus, who repeats the negative exhortation twice in </w:t>
      </w:r>
      <w:r w:rsidRPr="00DE23EE">
        <w:rPr>
          <w:rFonts w:cs="Times New Roman"/>
          <w:i/>
          <w:iCs/>
          <w:lang w:val="en-US"/>
        </w:rPr>
        <w:t>Iambus</w:t>
      </w:r>
      <w:r w:rsidRPr="00DE23EE">
        <w:rPr>
          <w:rFonts w:cs="Times New Roman"/>
          <w:lang w:val="en-US"/>
        </w:rPr>
        <w:t xml:space="preserve"> 4: οὐκ ὦ τάλαιναι παυσόμεσθα, μὴ χαρταί / γενώμεθ</w:t>
      </w:r>
      <w:r w:rsidR="00075F5F">
        <w:rPr>
          <w:rFonts w:cs="Times New Roman"/>
          <w:lang w:val="en-US"/>
        </w:rPr>
        <w:t>’</w:t>
      </w:r>
      <w:r w:rsidRPr="00DE23EE">
        <w:rPr>
          <w:rFonts w:cs="Times New Roman"/>
          <w:lang w:val="en-US"/>
        </w:rPr>
        <w:t xml:space="preserve"> ἐχθροῖς, μηδ</w:t>
      </w:r>
      <w:r w:rsidR="00075F5F">
        <w:rPr>
          <w:rFonts w:cs="Times New Roman"/>
          <w:lang w:val="en-US"/>
        </w:rPr>
        <w:t>’</w:t>
      </w:r>
      <w:r w:rsidRPr="00DE23EE">
        <w:rPr>
          <w:rFonts w:cs="Times New Roman"/>
          <w:lang w:val="en-US"/>
        </w:rPr>
        <w:t xml:space="preserve"> ἐροῦμεν ἀλλήλας / ἄνολβ</w:t>
      </w:r>
      <w:r w:rsidR="00075F5F">
        <w:rPr>
          <w:rFonts w:cs="Times New Roman"/>
          <w:lang w:val="en-US"/>
        </w:rPr>
        <w:t>’</w:t>
      </w:r>
      <w:r w:rsidRPr="00DE23EE">
        <w:rPr>
          <w:rFonts w:cs="Times New Roman"/>
          <w:lang w:val="en-US"/>
        </w:rPr>
        <w:t xml:space="preserve"> ἀναιδέως, </w:t>
      </w:r>
      <w:r w:rsidR="00CC0615">
        <w:rPr>
          <w:rFonts w:cs="Times New Roman"/>
          <w:lang w:val="en-US"/>
        </w:rPr>
        <w:t>“</w:t>
      </w:r>
      <w:r w:rsidRPr="00DE23EE">
        <w:rPr>
          <w:rFonts w:cs="Times New Roman"/>
          <w:lang w:val="en-US"/>
        </w:rPr>
        <w:t>miserable ones, will we not cease, lest we become objects of fun to our enemies, nor let us say unhappy things shamelessly of one another</w:t>
      </w:r>
      <w:r w:rsidR="00CC0615">
        <w:rPr>
          <w:rFonts w:cs="Times New Roman"/>
          <w:lang w:val="en-US"/>
        </w:rPr>
        <w:t>”</w:t>
      </w:r>
      <w:r w:rsidRPr="00DE23EE">
        <w:rPr>
          <w:rFonts w:cs="Times New Roman"/>
          <w:lang w:val="en-US"/>
        </w:rPr>
        <w:t xml:space="preserve"> (4.98-100).  Callimachus</w:t>
      </w:r>
      <w:r w:rsidR="00075F5F">
        <w:rPr>
          <w:rFonts w:cs="Times New Roman"/>
          <w:lang w:val="en-US"/>
        </w:rPr>
        <w:t>’</w:t>
      </w:r>
      <w:r w:rsidRPr="00DE23EE">
        <w:rPr>
          <w:rFonts w:cs="Times New Roman"/>
          <w:lang w:val="en-US"/>
        </w:rPr>
        <w:t xml:space="preserve"> </w:t>
      </w:r>
      <w:r w:rsidRPr="00DE23EE">
        <w:rPr>
          <w:rFonts w:cs="Times New Roman"/>
          <w:i/>
          <w:iCs/>
          <w:lang w:val="en-US"/>
        </w:rPr>
        <w:t>Iambus</w:t>
      </w:r>
      <w:r w:rsidRPr="00DE23EE">
        <w:rPr>
          <w:rFonts w:cs="Times New Roman"/>
          <w:lang w:val="en-US"/>
        </w:rPr>
        <w:t xml:space="preserve"> 5 uses it five times (</w:t>
      </w:r>
      <w:r w:rsidRPr="00DE23EE">
        <w:rPr>
          <w:rFonts w:cs="Times New Roman"/>
          <w:i/>
          <w:iCs/>
          <w:lang w:val="en-US"/>
        </w:rPr>
        <w:t>Ia</w:t>
      </w:r>
      <w:r w:rsidRPr="00DE23EE">
        <w:rPr>
          <w:rFonts w:cs="Times New Roman"/>
          <w:lang w:val="en-US"/>
        </w:rPr>
        <w:t>. 5.27, 28, 29, 30, 33). The speaker accuses a school teacher of being violent towards</w:t>
      </w:r>
      <w:r w:rsidR="00DE23EE" w:rsidRPr="00DE23EE">
        <w:rPr>
          <w:rFonts w:cs="Times New Roman"/>
          <w:lang w:val="en-US"/>
        </w:rPr>
        <w:t xml:space="preserve"> his pupils</w:t>
      </w:r>
      <w:r w:rsidRPr="00DE23EE">
        <w:rPr>
          <w:rFonts w:cs="Times New Roman"/>
          <w:lang w:val="en-US"/>
        </w:rPr>
        <w:t>, and warns him not to do it again: the exhortation consists of three periods which all end with a negative imperative, or a series of negative commands:</w:t>
      </w:r>
    </w:p>
    <w:p w14:paraId="7761D92C" w14:textId="5EF0B9A9" w:rsidR="00EA14FC" w:rsidRPr="00DE23EE" w:rsidRDefault="00EA14FC" w:rsidP="00DE23EE">
      <w:pPr>
        <w:widowControl w:val="0"/>
        <w:numPr>
          <w:ilvl w:val="0"/>
          <w:numId w:val="76"/>
        </w:numPr>
        <w:tabs>
          <w:tab w:val="left" w:pos="360"/>
          <w:tab w:val="left" w:pos="720"/>
          <w:tab w:val="center" w:pos="5387"/>
        </w:tabs>
        <w:rPr>
          <w:rFonts w:cs="Times New Roman"/>
          <w:lang w:val="en-US"/>
        </w:rPr>
      </w:pPr>
      <w:r w:rsidRPr="00DE23EE">
        <w:rPr>
          <w:rFonts w:cs="Times New Roman"/>
          <w:i/>
          <w:iCs/>
          <w:lang w:val="en-US"/>
        </w:rPr>
        <w:t>Ia</w:t>
      </w:r>
      <w:r w:rsidRPr="00DE23EE">
        <w:rPr>
          <w:rFonts w:cs="Times New Roman"/>
          <w:lang w:val="en-US"/>
        </w:rPr>
        <w:t>. 5.27-9 ἴσχε δὲ δρόμου / μαργῶντας ἵππους μηδὲ δευτέρην κάμψῃς, / μή τοι</w:t>
      </w:r>
      <w:r w:rsidRPr="00DE23EE">
        <w:rPr>
          <w:rFonts w:cs="Times New Roman"/>
          <w:u w:val="single"/>
          <w:lang w:val="en-US"/>
        </w:rPr>
        <w:t xml:space="preserve"> </w:t>
      </w:r>
      <w:r w:rsidRPr="00DE23EE">
        <w:rPr>
          <w:rFonts w:cs="Times New Roman"/>
          <w:lang w:val="en-US"/>
        </w:rPr>
        <w:t xml:space="preserve">περὶ νύσσῃ δίφρον / ἄξωσιν, ἐκ δὲ κύμβαχος κυβιστήσῃς </w:t>
      </w:r>
      <w:r w:rsidR="00CC0615">
        <w:rPr>
          <w:rFonts w:cs="Times New Roman"/>
          <w:lang w:val="en-US"/>
        </w:rPr>
        <w:t>“</w:t>
      </w:r>
      <w:r w:rsidRPr="00DE23EE">
        <w:rPr>
          <w:rFonts w:cs="Times New Roman"/>
          <w:lang w:val="en-US"/>
        </w:rPr>
        <w:t>and hold from their racing your raving horses, nor guide them the second part, lest around the turning post they shatter your chariot and you tumble out headlong.</w:t>
      </w:r>
      <w:r w:rsidR="00CC0615">
        <w:rPr>
          <w:rFonts w:cs="Times New Roman"/>
          <w:lang w:val="en-US"/>
        </w:rPr>
        <w:t>”</w:t>
      </w:r>
    </w:p>
    <w:p w14:paraId="7FD57713" w14:textId="47C23E00" w:rsidR="00EA14FC" w:rsidRPr="00DE23EE" w:rsidRDefault="00EA14FC" w:rsidP="00DE23EE">
      <w:pPr>
        <w:keepNext/>
        <w:widowControl w:val="0"/>
        <w:numPr>
          <w:ilvl w:val="0"/>
          <w:numId w:val="76"/>
        </w:numPr>
        <w:tabs>
          <w:tab w:val="left" w:pos="360"/>
          <w:tab w:val="left" w:pos="714"/>
          <w:tab w:val="center" w:pos="5387"/>
        </w:tabs>
        <w:ind w:left="714" w:hanging="357"/>
        <w:rPr>
          <w:rFonts w:cs="Times New Roman"/>
          <w:lang w:val="en-US"/>
        </w:rPr>
      </w:pPr>
      <w:r w:rsidRPr="00DE23EE">
        <w:rPr>
          <w:rFonts w:cs="Times New Roman"/>
          <w:i/>
          <w:iCs/>
          <w:lang w:val="en-US"/>
        </w:rPr>
        <w:t>Ia</w:t>
      </w:r>
      <w:r w:rsidRPr="00DE23EE">
        <w:rPr>
          <w:rFonts w:cs="Times New Roman"/>
          <w:lang w:val="en-US"/>
        </w:rPr>
        <w:t>. 5.30 ἆ, μή με ποιήσῃς γέ</w:t>
      </w:r>
      <w:hyperlink r:id="rId48" w:history="1">
        <w:r w:rsidRPr="00DE23EE">
          <w:rPr>
            <w:rFonts w:cs="Times New Roman"/>
            <w:lang w:val="en-US"/>
          </w:rPr>
          <w:t>[</w:t>
        </w:r>
      </w:hyperlink>
      <w:r w:rsidRPr="00DE23EE">
        <w:rPr>
          <w:rFonts w:cs="Times New Roman"/>
          <w:lang w:val="en-US"/>
        </w:rPr>
        <w:t>λω </w:t>
      </w:r>
      <w:r w:rsidR="00CC0615">
        <w:rPr>
          <w:rFonts w:cs="Times New Roman"/>
          <w:lang w:val="en-US"/>
        </w:rPr>
        <w:t>”</w:t>
      </w:r>
      <w:r w:rsidRPr="00DE23EE">
        <w:rPr>
          <w:rFonts w:cs="Times New Roman"/>
          <w:lang w:val="en-US"/>
        </w:rPr>
        <w:t>ah, do not make me an object of laughter.</w:t>
      </w:r>
      <w:r w:rsidR="00CC0615">
        <w:rPr>
          <w:rFonts w:cs="Times New Roman"/>
          <w:lang w:val="en-US"/>
        </w:rPr>
        <w:t>”</w:t>
      </w:r>
    </w:p>
    <w:p w14:paraId="3B460B1D" w14:textId="7FCC69C8" w:rsidR="00EA14FC" w:rsidRPr="00DE23EE" w:rsidRDefault="00EA14FC" w:rsidP="00DE23EE">
      <w:pPr>
        <w:widowControl w:val="0"/>
        <w:numPr>
          <w:ilvl w:val="0"/>
          <w:numId w:val="76"/>
        </w:numPr>
        <w:tabs>
          <w:tab w:val="left" w:pos="360"/>
          <w:tab w:val="left" w:pos="720"/>
          <w:tab w:val="center" w:pos="5387"/>
        </w:tabs>
        <w:rPr>
          <w:rFonts w:cs="Times New Roman"/>
          <w:lang w:val="en-US"/>
        </w:rPr>
      </w:pPr>
      <w:r w:rsidRPr="00DE23EE">
        <w:rPr>
          <w:rFonts w:cs="Times New Roman"/>
          <w:i/>
          <w:iCs/>
          <w:lang w:val="en-US"/>
        </w:rPr>
        <w:t>Ia</w:t>
      </w:r>
      <w:r w:rsidRPr="00DE23EE">
        <w:rPr>
          <w:rFonts w:cs="Times New Roman"/>
          <w:lang w:val="en-US"/>
        </w:rPr>
        <w:t>. 31-3 ἐγὼ Βάκις τοι καὶ Σίβυλλα </w:t>
      </w:r>
      <w:hyperlink r:id="rId49" w:history="1">
        <w:r w:rsidRPr="00DE23EE">
          <w:rPr>
            <w:rFonts w:cs="Times New Roman"/>
            <w:lang w:val="en-US"/>
          </w:rPr>
          <w:t>[</w:t>
        </w:r>
      </w:hyperlink>
      <w:r w:rsidRPr="00DE23EE">
        <w:rPr>
          <w:rFonts w:cs="Times New Roman"/>
          <w:lang w:val="en-US"/>
        </w:rPr>
        <w:t>καὶ</w:t>
      </w:r>
      <w:hyperlink r:id="rId50" w:history="1">
        <w:r w:rsidRPr="00DE23EE">
          <w:rPr>
            <w:rFonts w:cs="Times New Roman"/>
            <w:lang w:val="en-US"/>
          </w:rPr>
          <w:t>]</w:t>
        </w:r>
      </w:hyperlink>
      <w:r w:rsidRPr="00DE23EE">
        <w:rPr>
          <w:rFonts w:cs="Times New Roman"/>
          <w:lang w:val="en-US"/>
        </w:rPr>
        <w:t xml:space="preserve"> δάφνη / καὶ φηγός. ἀλλὰ συμβαλεῦ / τᾤνιγμα, καὶ μὴ Πιτθέως ἔχε χρείην </w:t>
      </w:r>
      <w:r w:rsidR="00CC0615">
        <w:rPr>
          <w:rFonts w:cs="Times New Roman"/>
          <w:lang w:val="en-US"/>
        </w:rPr>
        <w:t>“</w:t>
      </w:r>
      <w:r w:rsidRPr="00DE23EE">
        <w:rPr>
          <w:rFonts w:cs="Times New Roman"/>
          <w:lang w:val="en-US"/>
        </w:rPr>
        <w:t>I am your Bakis and your Sybil and your laurel and our oak. But interpret this riddle, and have no need of Pittheus.</w:t>
      </w:r>
      <w:r w:rsidR="00CC0615">
        <w:rPr>
          <w:rFonts w:cs="Times New Roman"/>
          <w:lang w:val="en-US"/>
        </w:rPr>
        <w:t>”</w:t>
      </w:r>
    </w:p>
    <w:p w14:paraId="09253114" w14:textId="77777777" w:rsidR="00EA14FC" w:rsidRPr="00DE23EE" w:rsidRDefault="00EA14FC" w:rsidP="00DE23EE">
      <w:pPr>
        <w:spacing w:before="120"/>
        <w:rPr>
          <w:rFonts w:cs="Times New Roman"/>
          <w:lang w:val="en-US"/>
        </w:rPr>
      </w:pPr>
      <w:r w:rsidRPr="00DE23EE">
        <w:rPr>
          <w:rFonts w:cs="Times New Roman"/>
          <w:lang w:val="en-US"/>
        </w:rPr>
        <w:t xml:space="preserve">The speaker claims the authority of a prophet through an ascendant climax. The oracular quality of his warnings involves the audience, which is required to punish the victim. </w:t>
      </w:r>
    </w:p>
    <w:p w14:paraId="72D88210" w14:textId="48F410D8" w:rsidR="00EA14FC" w:rsidRPr="00DE23EE" w:rsidRDefault="00EA14FC" w:rsidP="00DE23EE">
      <w:pPr>
        <w:rPr>
          <w:rFonts w:cs="Times New Roman"/>
          <w:lang w:val="en-US"/>
        </w:rPr>
      </w:pPr>
      <w:r w:rsidRPr="00DE23EE">
        <w:rPr>
          <w:rFonts w:cs="Times New Roman"/>
          <w:lang w:val="en-US"/>
        </w:rPr>
        <w:tab/>
        <w:t xml:space="preserve">The typical punishment of iambic invective is to become an object of laughter. Archilochus debuts this trope when in his fr. 166.3-4 he states that the foolish Lycambes has become a source of laughter for all his co-citizens: νῦν δὲ δὴ πολὺς / ἀστοῖσι φαίνεαι γέλως </w:t>
      </w:r>
      <w:r w:rsidR="00CC0615">
        <w:rPr>
          <w:rFonts w:cs="Times New Roman"/>
          <w:lang w:val="en-US"/>
        </w:rPr>
        <w:t>“</w:t>
      </w:r>
      <w:r w:rsidRPr="00DE23EE">
        <w:rPr>
          <w:rFonts w:cs="Times New Roman"/>
          <w:lang w:val="en-US"/>
        </w:rPr>
        <w:t>now you seem to the townspeople a source of much laughter.</w:t>
      </w:r>
      <w:r w:rsidR="00CC0615">
        <w:rPr>
          <w:rFonts w:cs="Times New Roman"/>
          <w:lang w:val="en-US"/>
        </w:rPr>
        <w:t>”</w:t>
      </w:r>
      <w:r w:rsidRPr="00DE23EE">
        <w:rPr>
          <w:rFonts w:cs="Times New Roman"/>
          <w:lang w:val="en-US"/>
        </w:rPr>
        <w:t xml:space="preserve"> The phrasing of the clause is not at all epic, and implies the following structure: subject/object + (dative) + verb + subject/object predicative. This phrasing will be echoed by all the other major iambographers. Semonides says that τοιαύτη γυνὴ / εἶσιν δι</w:t>
      </w:r>
      <w:r w:rsidR="00075F5F">
        <w:rPr>
          <w:rFonts w:cs="Times New Roman"/>
          <w:lang w:val="en-US"/>
        </w:rPr>
        <w:t>’</w:t>
      </w:r>
      <w:r w:rsidRPr="00DE23EE">
        <w:rPr>
          <w:rFonts w:cs="Times New Roman"/>
          <w:lang w:val="en-US"/>
        </w:rPr>
        <w:t xml:space="preserve"> ἄστεος πᾶσιν ἀνθρώποις </w:t>
      </w:r>
      <w:r w:rsidRPr="00DE23EE">
        <w:rPr>
          <w:rFonts w:cs="Times New Roman"/>
          <w:lang w:val="en-US"/>
        </w:rPr>
        <w:lastRenderedPageBreak/>
        <w:t xml:space="preserve">γέλως </w:t>
      </w:r>
      <w:r w:rsidR="00CC0615">
        <w:rPr>
          <w:rFonts w:cs="Times New Roman"/>
          <w:lang w:val="en-US"/>
        </w:rPr>
        <w:t>“</w:t>
      </w:r>
      <w:r w:rsidRPr="00DE23EE">
        <w:rPr>
          <w:rFonts w:cs="Times New Roman"/>
          <w:lang w:val="en-US"/>
        </w:rPr>
        <w:t>such a woman walks through the city provoking laughter in the all men</w:t>
      </w:r>
      <w:r w:rsidR="00CC0615">
        <w:rPr>
          <w:rFonts w:cs="Times New Roman"/>
          <w:lang w:val="en-US"/>
        </w:rPr>
        <w:t>”</w:t>
      </w:r>
      <w:r w:rsidRPr="00DE23EE">
        <w:rPr>
          <w:rFonts w:cs="Times New Roman"/>
          <w:lang w:val="en-US"/>
        </w:rPr>
        <w:t xml:space="preserve"> (fr. 7.73-4 W). Hipponax changes the content, but keeps the structure unchanged: πᾶς δὲ πέφηνε δόλος </w:t>
      </w:r>
      <w:r w:rsidR="00CC0615">
        <w:rPr>
          <w:rFonts w:cs="Times New Roman"/>
          <w:lang w:val="en-US"/>
        </w:rPr>
        <w:t>“</w:t>
      </w:r>
      <w:r w:rsidRPr="00DE23EE">
        <w:rPr>
          <w:rFonts w:cs="Times New Roman"/>
          <w:lang w:val="en-US"/>
        </w:rPr>
        <w:t>and the whole thing turned out to be a deception</w:t>
      </w:r>
      <w:r w:rsidR="00CC0615">
        <w:rPr>
          <w:rFonts w:cs="Times New Roman"/>
          <w:lang w:val="en-US"/>
        </w:rPr>
        <w:t>”</w:t>
      </w:r>
      <w:r w:rsidRPr="00DE23EE">
        <w:rPr>
          <w:rFonts w:cs="Times New Roman"/>
          <w:lang w:val="en-US"/>
        </w:rPr>
        <w:t xml:space="preserve"> (fr. 196.11). And Callimachus, as shown just above, says: ἆ, μή με ποιήσῃς γέλω </w:t>
      </w:r>
      <w:r w:rsidR="00CC0615">
        <w:rPr>
          <w:rFonts w:cs="Times New Roman"/>
          <w:lang w:val="en-US"/>
        </w:rPr>
        <w:t>“</w:t>
      </w:r>
      <w:r w:rsidRPr="00DE23EE">
        <w:rPr>
          <w:rFonts w:cs="Times New Roman"/>
          <w:lang w:val="en-US"/>
        </w:rPr>
        <w:t>ah, do not make me an object of laughter</w:t>
      </w:r>
      <w:r w:rsidR="00CC0615">
        <w:rPr>
          <w:rFonts w:cs="Times New Roman"/>
          <w:lang w:val="en-US"/>
        </w:rPr>
        <w:t>”</w:t>
      </w:r>
      <w:r w:rsidRPr="00DE23EE">
        <w:rPr>
          <w:rFonts w:cs="Times New Roman"/>
          <w:lang w:val="en-US"/>
        </w:rPr>
        <w:t xml:space="preserve"> (</w:t>
      </w:r>
      <w:r w:rsidRPr="00DE23EE">
        <w:rPr>
          <w:rFonts w:cs="Times New Roman"/>
          <w:i/>
          <w:iCs/>
          <w:lang w:val="en-US"/>
        </w:rPr>
        <w:t>Ia</w:t>
      </w:r>
      <w:r w:rsidRPr="00DE23EE">
        <w:rPr>
          <w:rFonts w:cs="Times New Roman"/>
          <w:lang w:val="en-US"/>
        </w:rPr>
        <w:t>. 5.30). This phrase constitutes the closing sentence of the iambic invective and it may be considered a sort of trademark of iambic invective.</w:t>
      </w:r>
    </w:p>
    <w:p w14:paraId="096D616A" w14:textId="6F2DAAD2" w:rsidR="00AE724C" w:rsidRPr="00757C56" w:rsidRDefault="00757C56" w:rsidP="00757C56">
      <w:pPr>
        <w:pStyle w:val="Heading3"/>
        <w:rPr>
          <w:lang w:val="en-US"/>
        </w:rPr>
      </w:pPr>
      <w:r>
        <w:rPr>
          <w:lang w:val="en-US"/>
        </w:rPr>
        <w:t xml:space="preserve">3.2 </w:t>
      </w:r>
      <w:r w:rsidR="00AE724C" w:rsidRPr="00757C56">
        <w:t>Sexual Jokes and Insults</w:t>
      </w:r>
    </w:p>
    <w:p w14:paraId="443EDE99" w14:textId="77777777" w:rsidR="00AE724C" w:rsidRPr="00A35B56" w:rsidRDefault="00AE724C" w:rsidP="00825A39">
      <w:pPr>
        <w:spacing w:after="200"/>
        <w:rPr>
          <w:rFonts w:cs="Times New Roman"/>
          <w:szCs w:val="24"/>
        </w:rPr>
      </w:pPr>
      <w:r w:rsidRPr="00A35B56">
        <w:rPr>
          <w:rFonts w:cs="Times New Roman"/>
          <w:szCs w:val="24"/>
        </w:rPr>
        <w:t>Catalogue of relevant passages:</w:t>
      </w:r>
    </w:p>
    <w:tbl>
      <w:tblPr>
        <w:tblStyle w:val="TableGrid"/>
        <w:tblW w:w="0" w:type="auto"/>
        <w:tblLook w:val="04A0" w:firstRow="1" w:lastRow="0" w:firstColumn="1" w:lastColumn="0" w:noHBand="0" w:noVBand="1"/>
      </w:tblPr>
      <w:tblGrid>
        <w:gridCol w:w="2857"/>
        <w:gridCol w:w="2808"/>
        <w:gridCol w:w="2863"/>
      </w:tblGrid>
      <w:tr w:rsidR="00AE724C" w:rsidRPr="00770CB7" w14:paraId="1F6458A1" w14:textId="77777777" w:rsidTr="00EA14FC">
        <w:tc>
          <w:tcPr>
            <w:tcW w:w="2857" w:type="dxa"/>
          </w:tcPr>
          <w:p w14:paraId="3AEE6B2D" w14:textId="77777777" w:rsidR="00AE724C" w:rsidRPr="00770CB7" w:rsidRDefault="00AE724C" w:rsidP="000363DF">
            <w:pPr>
              <w:spacing w:before="100" w:after="100" w:line="240" w:lineRule="auto"/>
              <w:rPr>
                <w:rFonts w:cs="Times New Roman"/>
                <w:szCs w:val="24"/>
              </w:rPr>
            </w:pPr>
            <w:r w:rsidRPr="00770CB7">
              <w:rPr>
                <w:rFonts w:cs="Times New Roman"/>
                <w:szCs w:val="24"/>
              </w:rPr>
              <w:t>Archilochus</w:t>
            </w:r>
          </w:p>
        </w:tc>
        <w:tc>
          <w:tcPr>
            <w:tcW w:w="2808" w:type="dxa"/>
          </w:tcPr>
          <w:p w14:paraId="67925DC9" w14:textId="77777777" w:rsidR="00AE724C" w:rsidRPr="00770CB7" w:rsidRDefault="00AE724C" w:rsidP="000363DF">
            <w:pPr>
              <w:spacing w:before="100" w:after="100" w:line="240" w:lineRule="auto"/>
              <w:rPr>
                <w:rFonts w:cs="Times New Roman"/>
                <w:szCs w:val="24"/>
              </w:rPr>
            </w:pPr>
            <w:r w:rsidRPr="00770CB7">
              <w:rPr>
                <w:rFonts w:cs="Times New Roman"/>
                <w:szCs w:val="24"/>
              </w:rPr>
              <w:t>Hipponax</w:t>
            </w:r>
          </w:p>
        </w:tc>
        <w:tc>
          <w:tcPr>
            <w:tcW w:w="2863" w:type="dxa"/>
          </w:tcPr>
          <w:p w14:paraId="7524C9F3" w14:textId="77777777" w:rsidR="00AE724C" w:rsidRPr="00770CB7" w:rsidRDefault="00AE724C" w:rsidP="000363DF">
            <w:pPr>
              <w:spacing w:before="100" w:after="100" w:line="240" w:lineRule="auto"/>
              <w:rPr>
                <w:rFonts w:cs="Times New Roman"/>
                <w:szCs w:val="24"/>
              </w:rPr>
            </w:pPr>
            <w:r w:rsidRPr="00770CB7">
              <w:rPr>
                <w:rFonts w:cs="Times New Roman"/>
                <w:szCs w:val="24"/>
              </w:rPr>
              <w:t>Callimachus</w:t>
            </w:r>
          </w:p>
        </w:tc>
      </w:tr>
      <w:tr w:rsidR="00AE724C" w:rsidRPr="00770CB7" w14:paraId="0005D7FB" w14:textId="77777777" w:rsidTr="00EA14FC">
        <w:tc>
          <w:tcPr>
            <w:tcW w:w="2857" w:type="dxa"/>
          </w:tcPr>
          <w:p w14:paraId="67A8DAF3" w14:textId="77777777" w:rsidR="00AE724C" w:rsidRPr="00770CB7" w:rsidRDefault="00AE724C" w:rsidP="000363DF">
            <w:pPr>
              <w:spacing w:before="100" w:after="100" w:line="240" w:lineRule="auto"/>
              <w:rPr>
                <w:rFonts w:cs="Times New Roman"/>
                <w:szCs w:val="24"/>
              </w:rPr>
            </w:pPr>
            <w:r w:rsidRPr="00770CB7">
              <w:rPr>
                <w:rFonts w:cs="Times New Roman"/>
                <w:szCs w:val="24"/>
              </w:rPr>
              <w:t>17; 25; 26; 27; 28; 29; 44; 46; 53; 95; 111; 112; 118; 180; 197; 198; 199; 203; 212; 213; 221; 224; 236; 241; 244; 255; 258</w:t>
            </w:r>
          </w:p>
        </w:tc>
        <w:tc>
          <w:tcPr>
            <w:tcW w:w="2808" w:type="dxa"/>
          </w:tcPr>
          <w:p w14:paraId="53E47A89" w14:textId="77777777" w:rsidR="00AE724C" w:rsidRPr="00770CB7" w:rsidRDefault="00AE724C" w:rsidP="000363DF">
            <w:pPr>
              <w:spacing w:before="100" w:after="100" w:line="240" w:lineRule="auto"/>
              <w:rPr>
                <w:rFonts w:cs="Times New Roman"/>
                <w:szCs w:val="24"/>
              </w:rPr>
            </w:pPr>
            <w:r w:rsidRPr="00770CB7">
              <w:rPr>
                <w:rFonts w:cs="Times New Roman"/>
                <w:szCs w:val="24"/>
              </w:rPr>
              <w:t>4a; 4b; 6; 18; 20; 21; 22; 23; 24; 25; 33; 55; 56; 58; 95; 127; 192; 193</w:t>
            </w:r>
          </w:p>
        </w:tc>
        <w:tc>
          <w:tcPr>
            <w:tcW w:w="2863" w:type="dxa"/>
          </w:tcPr>
          <w:p w14:paraId="7F3DC6F0" w14:textId="77777777" w:rsidR="00AE724C" w:rsidRPr="00770CB7" w:rsidRDefault="00AE724C" w:rsidP="000363DF">
            <w:pPr>
              <w:spacing w:before="100" w:after="100" w:line="240" w:lineRule="auto"/>
              <w:rPr>
                <w:rFonts w:cs="Times New Roman"/>
                <w:szCs w:val="24"/>
              </w:rPr>
            </w:pPr>
            <w:r w:rsidRPr="00770CB7">
              <w:rPr>
                <w:rFonts w:cs="Times New Roman"/>
                <w:szCs w:val="24"/>
              </w:rPr>
              <w:t>3; 9</w:t>
            </w:r>
          </w:p>
        </w:tc>
      </w:tr>
    </w:tbl>
    <w:p w14:paraId="5B4C4AE3" w14:textId="77777777" w:rsidR="00CE67A3" w:rsidRDefault="00CE67A3" w:rsidP="00532444">
      <w:pPr>
        <w:rPr>
          <w:rFonts w:cs="Times New Roman"/>
          <w:lang w:val="en-US"/>
        </w:rPr>
      </w:pPr>
    </w:p>
    <w:p w14:paraId="47ADF614" w14:textId="77777777" w:rsidR="00EA14FC" w:rsidRPr="00B074A4" w:rsidRDefault="00EA14FC" w:rsidP="00532444">
      <w:pPr>
        <w:rPr>
          <w:rFonts w:cs="Times New Roman"/>
          <w:lang w:val="en-US"/>
        </w:rPr>
      </w:pPr>
      <w:r w:rsidRPr="00CE67A3">
        <w:rPr>
          <w:rFonts w:cs="Times New Roman"/>
          <w:lang w:val="en-US"/>
        </w:rPr>
        <w:t>Sex is a typically iambic topic. Most of iambic poems display a startling violation of standard sexual norms as their background. All the iambographers speak frankly about sex, although Archilochus and Hipponax wrote more sex-based poems than Callimachus.</w:t>
      </w:r>
    </w:p>
    <w:p w14:paraId="77C64005" w14:textId="77777777" w:rsidR="00EA14FC" w:rsidRPr="005E543A" w:rsidRDefault="00EA14FC" w:rsidP="00CE67A3">
      <w:pPr>
        <w:rPr>
          <w:rFonts w:cs="Times New Roman"/>
          <w:lang w:val="en-US"/>
        </w:rPr>
      </w:pPr>
      <w:r w:rsidRPr="004C3336">
        <w:rPr>
          <w:rFonts w:cs="Times New Roman"/>
          <w:lang w:val="en-US"/>
        </w:rPr>
        <w:tab/>
        <w:t xml:space="preserve">Iambographers found a lot of various ways to talk about sex, so defining the iambic language for sex represents a challenge. The fragments which describe sexual </w:t>
      </w:r>
      <w:r w:rsidRPr="005E543A">
        <w:rPr>
          <w:rFonts w:cs="Times New Roman"/>
          <w:lang w:val="en-US"/>
        </w:rPr>
        <w:t>interludes do not share any characteristic syntactic structure or stylistic devices, and it is hardly possible to list an iambic lexicon of sex.</w:t>
      </w:r>
    </w:p>
    <w:p w14:paraId="0B92E918" w14:textId="77777777" w:rsidR="00EA14FC" w:rsidRPr="00B074A4" w:rsidRDefault="00EA14FC" w:rsidP="00B074A4">
      <w:pPr>
        <w:rPr>
          <w:rFonts w:cs="Times New Roman"/>
          <w:lang w:val="en-US"/>
        </w:rPr>
      </w:pPr>
      <w:r w:rsidRPr="002818ED">
        <w:rPr>
          <w:rFonts w:cs="Times New Roman"/>
          <w:lang w:val="en-US"/>
        </w:rPr>
        <w:tab/>
        <w:t xml:space="preserve">This variety (of ways of talking about sex) might be due to the topic itself, since traditional literary </w:t>
      </w:r>
      <w:r w:rsidRPr="008A330E">
        <w:rPr>
          <w:rFonts w:cs="Times New Roman"/>
          <w:i/>
          <w:iCs/>
          <w:lang w:val="en-US"/>
        </w:rPr>
        <w:t>proud</w:t>
      </w:r>
      <w:r w:rsidRPr="00532444">
        <w:rPr>
          <w:rFonts w:cs="Times New Roman"/>
          <w:i/>
          <w:iCs/>
          <w:lang w:val="en-US"/>
        </w:rPr>
        <w:t>erie</w:t>
      </w:r>
      <w:r w:rsidRPr="00CE67A3">
        <w:rPr>
          <w:rStyle w:val="FootnoteReference"/>
          <w:rFonts w:cs="Times New Roman"/>
          <w:lang w:val="en-US"/>
        </w:rPr>
        <w:footnoteReference w:id="396"/>
      </w:r>
      <w:r w:rsidRPr="00CE67A3">
        <w:rPr>
          <w:rFonts w:cs="Times New Roman"/>
          <w:lang w:val="en-US"/>
        </w:rPr>
        <w:t xml:space="preserve"> made talking explicitly about sex problematic for the iambographers. Therefore they conveyed the sexual content through metaphorical images. These metaphors change by author and over time, according to the sensitivity and the taste of the author, and to what kind of audience they were addressing. Despite this, iambic texts about sex are fairly unequivocal and easy to recognise, so that one may try to characterise the typology of the sexual interludes within the iambic genre from the point of view both </w:t>
      </w:r>
      <w:r w:rsidRPr="00B074A4">
        <w:rPr>
          <w:rFonts w:cs="Times New Roman"/>
          <w:lang w:val="en-US"/>
        </w:rPr>
        <w:t>of language and of subject.</w:t>
      </w:r>
    </w:p>
    <w:p w14:paraId="1E04F924" w14:textId="77777777" w:rsidR="00EA14FC" w:rsidRPr="004C3336" w:rsidRDefault="00EA14FC" w:rsidP="004C3336">
      <w:pPr>
        <w:ind w:firstLine="284"/>
        <w:rPr>
          <w:rFonts w:cs="Times New Roman"/>
          <w:lang w:val="en-US"/>
        </w:rPr>
      </w:pPr>
    </w:p>
    <w:p w14:paraId="3FD68F21" w14:textId="3FAC44DB" w:rsidR="00EA14FC" w:rsidRPr="00532444" w:rsidRDefault="00EA14FC" w:rsidP="005E543A">
      <w:pPr>
        <w:rPr>
          <w:rFonts w:cs="Times New Roman"/>
          <w:szCs w:val="24"/>
          <w:lang w:val="en-US"/>
        </w:rPr>
      </w:pPr>
      <w:r w:rsidRPr="002818ED">
        <w:rPr>
          <w:rFonts w:cs="Times New Roman"/>
          <w:szCs w:val="24"/>
          <w:lang w:val="en-US"/>
        </w:rPr>
        <w:lastRenderedPageBreak/>
        <w:t>With regards to language, the iambic poems about sex show such a variety that lexicon is the only linguistic level which displays some common elements. The sexual vocabulary shared by Archilochus, Hipponax and Callimachus con</w:t>
      </w:r>
      <w:r w:rsidRPr="008A330E">
        <w:rPr>
          <w:rFonts w:cs="Times New Roman"/>
          <w:szCs w:val="24"/>
          <w:lang w:val="en-US"/>
        </w:rPr>
        <w:t>sist</w:t>
      </w:r>
      <w:r w:rsidRPr="00532444">
        <w:rPr>
          <w:rFonts w:cs="Times New Roman"/>
          <w:szCs w:val="24"/>
          <w:lang w:val="en-US"/>
        </w:rPr>
        <w:t>s of two elements: the word θυμός, and some derivatives from the stem of ἕλκω.</w:t>
      </w:r>
    </w:p>
    <w:p w14:paraId="253DAF8B" w14:textId="45A0F695" w:rsidR="00EA14FC" w:rsidRPr="00CE67A3" w:rsidRDefault="00EA14FC" w:rsidP="002818ED">
      <w:pPr>
        <w:rPr>
          <w:rFonts w:cs="Times New Roman"/>
          <w:szCs w:val="24"/>
          <w:lang w:val="en-US"/>
        </w:rPr>
      </w:pPr>
      <w:r w:rsidRPr="00532444">
        <w:rPr>
          <w:rFonts w:cs="Times New Roman"/>
          <w:szCs w:val="24"/>
          <w:lang w:val="en-US"/>
        </w:rPr>
        <w:tab/>
        <w:t xml:space="preserve">θυμός is a word that belongs to the epic tradition and that generally means </w:t>
      </w:r>
      <w:r w:rsidR="00CC0615">
        <w:rPr>
          <w:rFonts w:cs="Times New Roman"/>
          <w:szCs w:val="24"/>
          <w:lang w:val="en-US"/>
        </w:rPr>
        <w:t>“</w:t>
      </w:r>
      <w:r w:rsidRPr="00532444">
        <w:rPr>
          <w:rFonts w:cs="Times New Roman"/>
          <w:szCs w:val="24"/>
          <w:lang w:val="en-US"/>
        </w:rPr>
        <w:t>heart</w:t>
      </w:r>
      <w:r w:rsidR="00CC0615">
        <w:rPr>
          <w:rFonts w:cs="Times New Roman"/>
          <w:szCs w:val="24"/>
          <w:lang w:val="en-US"/>
        </w:rPr>
        <w:t>”</w:t>
      </w:r>
      <w:r w:rsidRPr="00532444">
        <w:rPr>
          <w:rFonts w:cs="Times New Roman"/>
          <w:szCs w:val="24"/>
          <w:lang w:val="en-US"/>
        </w:rPr>
        <w:t xml:space="preserve"> as the source or centre of both thought and desire. It occurs seven times in Archilochus, only once in Hipponax, and twice in Callimachus</w:t>
      </w:r>
      <w:r w:rsidRPr="00CE67A3">
        <w:rPr>
          <w:rStyle w:val="FootnoteReference"/>
          <w:rFonts w:cs="Times New Roman"/>
          <w:szCs w:val="24"/>
          <w:lang w:val="en-US"/>
        </w:rPr>
        <w:footnoteReference w:id="397"/>
      </w:r>
      <w:r w:rsidRPr="00CE67A3">
        <w:rPr>
          <w:rFonts w:cs="Times New Roman"/>
          <w:szCs w:val="24"/>
          <w:lang w:val="en-US"/>
        </w:rPr>
        <w:t xml:space="preserve">. In Archilochus the word is not used as a technical term referring to the sexual context, as shown for example by Archil. fr. 107.1-2 τοῖος </w:t>
      </w:r>
      <w:r w:rsidRPr="00B074A4">
        <w:rPr>
          <w:rFonts w:cs="Times New Roman"/>
          <w:szCs w:val="24"/>
          <w:lang w:val="en-US"/>
        </w:rPr>
        <w:t>ἀ</w:t>
      </w:r>
      <w:r w:rsidRPr="004C3336">
        <w:rPr>
          <w:rFonts w:cs="Times New Roman"/>
          <w:szCs w:val="24"/>
          <w:lang w:val="en-US"/>
        </w:rPr>
        <w:t>νθρώποισι θυμός, Γλα</w:t>
      </w:r>
      <w:r w:rsidRPr="005E543A">
        <w:rPr>
          <w:rFonts w:cs="Times New Roman"/>
          <w:szCs w:val="24"/>
          <w:lang w:val="en-US"/>
        </w:rPr>
        <w:t>ῦ</w:t>
      </w:r>
      <w:r w:rsidRPr="002818ED">
        <w:rPr>
          <w:rFonts w:cs="Times New Roman"/>
          <w:szCs w:val="24"/>
          <w:lang w:val="en-US"/>
        </w:rPr>
        <w:t>κε Λεπτίνεω πάϊ, / γίνεται θνητο</w:t>
      </w:r>
      <w:r w:rsidRPr="008A330E">
        <w:rPr>
          <w:rFonts w:cs="Times New Roman"/>
          <w:szCs w:val="24"/>
          <w:lang w:val="en-US"/>
        </w:rPr>
        <w:t>ῖ</w:t>
      </w:r>
      <w:r w:rsidRPr="00532444">
        <w:rPr>
          <w:rFonts w:cs="Times New Roman"/>
          <w:szCs w:val="24"/>
          <w:lang w:val="en-US"/>
        </w:rPr>
        <w:t>ς, ὁποίην Ζεὺς ἐφ</w:t>
      </w:r>
      <w:r w:rsidR="00075F5F">
        <w:rPr>
          <w:rFonts w:cs="Times New Roman"/>
          <w:szCs w:val="24"/>
          <w:lang w:val="en-US"/>
        </w:rPr>
        <w:t>’</w:t>
      </w:r>
      <w:r w:rsidRPr="00532444">
        <w:rPr>
          <w:rFonts w:cs="Times New Roman"/>
          <w:szCs w:val="24"/>
          <w:lang w:val="en-US"/>
        </w:rPr>
        <w:t xml:space="preserve"> ἡμέρην ἄγηι </w:t>
      </w:r>
      <w:r w:rsidR="00CC0615">
        <w:rPr>
          <w:rFonts w:cs="Times New Roman"/>
          <w:szCs w:val="24"/>
          <w:lang w:val="en-US"/>
        </w:rPr>
        <w:t>“</w:t>
      </w:r>
      <w:r w:rsidRPr="00532444">
        <w:rPr>
          <w:rFonts w:cs="Times New Roman"/>
          <w:szCs w:val="24"/>
          <w:lang w:val="en-US"/>
        </w:rPr>
        <w:t>Glaucus, son of Leptines, the mood of mortals varies with the day that Zeus brings on,</w:t>
      </w:r>
      <w:r w:rsidR="00CC0615">
        <w:rPr>
          <w:rFonts w:cs="Times New Roman"/>
          <w:szCs w:val="24"/>
          <w:lang w:val="en-US"/>
        </w:rPr>
        <w:t>”</w:t>
      </w:r>
      <w:r w:rsidRPr="00532444">
        <w:rPr>
          <w:rFonts w:cs="Times New Roman"/>
          <w:szCs w:val="24"/>
          <w:lang w:val="en-US"/>
        </w:rPr>
        <w:t xml:space="preserve"> where θυμός has its traditional meaning of </w:t>
      </w:r>
      <w:r w:rsidR="00CC0615">
        <w:rPr>
          <w:rFonts w:cs="Times New Roman"/>
          <w:szCs w:val="24"/>
          <w:lang w:val="en-US"/>
        </w:rPr>
        <w:t>“</w:t>
      </w:r>
      <w:r w:rsidRPr="00532444">
        <w:rPr>
          <w:rFonts w:cs="Times New Roman"/>
          <w:szCs w:val="24"/>
          <w:lang w:val="en-US"/>
        </w:rPr>
        <w:t>mind.</w:t>
      </w:r>
      <w:r w:rsidR="00CC0615">
        <w:rPr>
          <w:rFonts w:cs="Times New Roman"/>
          <w:szCs w:val="24"/>
          <w:lang w:val="en-US"/>
        </w:rPr>
        <w:t>”</w:t>
      </w:r>
      <w:r w:rsidRPr="00532444">
        <w:rPr>
          <w:rFonts w:cs="Times New Roman"/>
          <w:szCs w:val="24"/>
          <w:lang w:val="en-US"/>
        </w:rPr>
        <w:t xml:space="preserve"> Hipponax, on the other hand, specifically uses the word as an ironic substitute for </w:t>
      </w:r>
      <w:r w:rsidR="00CC0615">
        <w:rPr>
          <w:rFonts w:cs="Times New Roman"/>
          <w:szCs w:val="24"/>
          <w:lang w:val="en-US"/>
        </w:rPr>
        <w:t>“</w:t>
      </w:r>
      <w:r w:rsidRPr="00532444">
        <w:rPr>
          <w:rFonts w:cs="Times New Roman"/>
          <w:szCs w:val="24"/>
          <w:lang w:val="en-US"/>
        </w:rPr>
        <w:t>penis,</w:t>
      </w:r>
      <w:r w:rsidR="00CC0615">
        <w:rPr>
          <w:rFonts w:cs="Times New Roman"/>
          <w:szCs w:val="24"/>
          <w:lang w:val="en-US"/>
        </w:rPr>
        <w:t>”</w:t>
      </w:r>
      <w:r w:rsidRPr="00532444">
        <w:rPr>
          <w:rFonts w:cs="Times New Roman"/>
          <w:szCs w:val="24"/>
          <w:lang w:val="en-US"/>
        </w:rPr>
        <w:t xml:space="preserve"> when in fr. 30.1-2 he says ἐν δὲ τῶι θυμῶι / φαρμακὸς ἀχθεὶς ἑπτάκις ῥαπισθείη, </w:t>
      </w:r>
      <w:r w:rsidR="00CC0615">
        <w:rPr>
          <w:rFonts w:cs="Times New Roman"/>
          <w:szCs w:val="24"/>
          <w:lang w:val="en-US"/>
        </w:rPr>
        <w:t>“</w:t>
      </w:r>
      <w:r w:rsidRPr="00532444">
        <w:rPr>
          <w:rFonts w:cs="Times New Roman"/>
          <w:szCs w:val="24"/>
          <w:lang w:val="en-US"/>
        </w:rPr>
        <w:t>led like a scapegoat may he be flogged seven times on his manhood.</w:t>
      </w:r>
      <w:r w:rsidR="00CC0615">
        <w:rPr>
          <w:rFonts w:cs="Times New Roman"/>
          <w:szCs w:val="24"/>
          <w:lang w:val="en-US"/>
        </w:rPr>
        <w:t>”</w:t>
      </w:r>
      <w:r w:rsidRPr="00532444">
        <w:rPr>
          <w:rFonts w:cs="Times New Roman"/>
          <w:szCs w:val="24"/>
          <w:lang w:val="en-US"/>
        </w:rPr>
        <w:t xml:space="preserve"> Callimachus recalls both the Archilochean and the Hipponactean uses of the word, since θυμός echoes the traditional meaning of Archilochus in </w:t>
      </w:r>
      <w:r w:rsidRPr="00532444">
        <w:rPr>
          <w:rFonts w:cs="Times New Roman"/>
          <w:i/>
          <w:iCs/>
          <w:szCs w:val="24"/>
          <w:lang w:val="en-US"/>
        </w:rPr>
        <w:t>Ia.</w:t>
      </w:r>
      <w:r w:rsidRPr="00532444">
        <w:rPr>
          <w:rFonts w:cs="Times New Roman"/>
          <w:szCs w:val="24"/>
          <w:lang w:val="en-US"/>
        </w:rPr>
        <w:t xml:space="preserve"> 4.93 τῇ δ</w:t>
      </w:r>
      <w:r w:rsidR="00075F5F">
        <w:rPr>
          <w:rFonts w:cs="Times New Roman"/>
          <w:szCs w:val="24"/>
          <w:lang w:val="en-US"/>
        </w:rPr>
        <w:t>’</w:t>
      </w:r>
      <w:r w:rsidRPr="00532444">
        <w:rPr>
          <w:rFonts w:cs="Times New Roman"/>
          <w:szCs w:val="24"/>
          <w:lang w:val="en-US"/>
        </w:rPr>
        <w:t xml:space="preserve"> ὁ θυμὸς ἀμφὶ τῇ ῥήσει / ἤλγησε, </w:t>
      </w:r>
      <w:r w:rsidR="00CC0615">
        <w:rPr>
          <w:rFonts w:cs="Times New Roman"/>
          <w:szCs w:val="24"/>
          <w:lang w:val="en-US"/>
        </w:rPr>
        <w:t>“</w:t>
      </w:r>
      <w:r w:rsidRPr="00532444">
        <w:rPr>
          <w:rFonts w:cs="Times New Roman"/>
          <w:szCs w:val="24"/>
          <w:lang w:val="en-US"/>
        </w:rPr>
        <w:t>but the heart of the other was grieved at this speech</w:t>
      </w:r>
      <w:r w:rsidR="00CC0615">
        <w:rPr>
          <w:rFonts w:cs="Times New Roman"/>
          <w:szCs w:val="24"/>
          <w:lang w:val="en-US"/>
        </w:rPr>
        <w:t>”</w:t>
      </w:r>
      <w:r w:rsidRPr="00532444">
        <w:rPr>
          <w:rFonts w:cs="Times New Roman"/>
          <w:szCs w:val="24"/>
          <w:lang w:val="en-US"/>
        </w:rPr>
        <w:t xml:space="preserve">; but it hints at the penis in </w:t>
      </w:r>
      <w:r w:rsidRPr="00532444">
        <w:rPr>
          <w:rFonts w:cs="Times New Roman"/>
          <w:i/>
          <w:iCs/>
          <w:szCs w:val="24"/>
          <w:lang w:val="en-US"/>
        </w:rPr>
        <w:t xml:space="preserve">Ia. </w:t>
      </w:r>
      <w:r w:rsidRPr="00532444">
        <w:rPr>
          <w:rFonts w:cs="Times New Roman"/>
          <w:szCs w:val="24"/>
          <w:lang w:val="en-US"/>
        </w:rPr>
        <w:t>13.15, where it is said ἀλλ</w:t>
      </w:r>
      <w:r w:rsidR="00075F5F">
        <w:rPr>
          <w:rFonts w:cs="Times New Roman"/>
          <w:szCs w:val="24"/>
          <w:lang w:val="en-US"/>
        </w:rPr>
        <w:t>’</w:t>
      </w:r>
      <w:r w:rsidRPr="00532444">
        <w:rPr>
          <w:rFonts w:cs="Times New Roman"/>
          <w:szCs w:val="24"/>
          <w:lang w:val="en-US"/>
        </w:rPr>
        <w:t xml:space="preserve"> εἴ τι θυμὸν ἢ </w:t>
      </w:r>
      <w:r w:rsidR="00075F5F">
        <w:rPr>
          <w:rFonts w:cs="Times New Roman"/>
          <w:szCs w:val="24"/>
          <w:lang w:val="en-US"/>
        </w:rPr>
        <w:t>‘</w:t>
      </w:r>
      <w:r w:rsidRPr="00532444">
        <w:rPr>
          <w:rFonts w:cs="Times New Roman"/>
          <w:szCs w:val="24"/>
          <w:lang w:val="en-US"/>
        </w:rPr>
        <w:t xml:space="preserve">πὶ </w:t>
      </w:r>
      <w:r w:rsidRPr="00CE67A3">
        <w:rPr>
          <w:rFonts w:cs="Times New Roman"/>
          <w:szCs w:val="24"/>
          <w:lang w:val="en-US"/>
        </w:rPr>
        <w:t>γαστέρα πνευσ</w:t>
      </w:r>
      <w:r w:rsidRPr="00532444">
        <w:rPr>
          <w:rFonts w:cs="Times New Roman"/>
          <w:szCs w:val="24"/>
          <w:lang w:val="en-US"/>
        </w:rPr>
        <w:t xml:space="preserve">[, </w:t>
      </w:r>
      <w:r w:rsidR="00DF60FA">
        <w:rPr>
          <w:rFonts w:cs="Times New Roman"/>
          <w:szCs w:val="24"/>
          <w:lang w:val="en-US"/>
        </w:rPr>
        <w:t>“</w:t>
      </w:r>
      <w:r w:rsidRPr="00532444">
        <w:rPr>
          <w:rFonts w:cs="Times New Roman"/>
          <w:szCs w:val="24"/>
          <w:lang w:val="en-US"/>
        </w:rPr>
        <w:t>but if in so</w:t>
      </w:r>
      <w:r w:rsidRPr="00CE67A3">
        <w:rPr>
          <w:rFonts w:cs="Times New Roman"/>
          <w:szCs w:val="24"/>
          <w:lang w:val="en-US"/>
        </w:rPr>
        <w:t>me regard inspires? heart or stomach.</w:t>
      </w:r>
      <w:r w:rsidR="00CC0615">
        <w:rPr>
          <w:rFonts w:cs="Times New Roman"/>
          <w:szCs w:val="24"/>
          <w:lang w:val="en-US"/>
        </w:rPr>
        <w:t>”</w:t>
      </w:r>
      <w:r w:rsidRPr="00CE67A3">
        <w:rPr>
          <w:rFonts w:cs="Times New Roman"/>
          <w:szCs w:val="24"/>
          <w:lang w:val="en-US"/>
        </w:rPr>
        <w:t xml:space="preserve"> Iambic inspiration more easily takes place in the penis and the stomach rather than in the heart and the stomach, so that one may plausibly think that Callimachus is hinting at the penis when he writes θυμός.</w:t>
      </w:r>
      <w:r w:rsidRPr="00CE67A3">
        <w:rPr>
          <w:rStyle w:val="FootnoteReference"/>
          <w:rFonts w:cs="Times New Roman"/>
          <w:szCs w:val="24"/>
          <w:lang w:val="en-US"/>
        </w:rPr>
        <w:footnoteReference w:id="398"/>
      </w:r>
      <w:r w:rsidRPr="00CE67A3">
        <w:rPr>
          <w:rFonts w:cs="Times New Roman"/>
          <w:szCs w:val="24"/>
          <w:lang w:val="en-US"/>
        </w:rPr>
        <w:t xml:space="preserve"> </w:t>
      </w:r>
    </w:p>
    <w:p w14:paraId="4A843712" w14:textId="72B6B67B" w:rsidR="00EA14FC" w:rsidRPr="00CE67A3" w:rsidRDefault="00EA14FC" w:rsidP="002818ED">
      <w:pPr>
        <w:ind w:firstLine="425"/>
        <w:rPr>
          <w:rFonts w:cs="Times New Roman"/>
          <w:szCs w:val="24"/>
          <w:lang w:val="en-US"/>
        </w:rPr>
      </w:pPr>
      <w:r w:rsidRPr="00B074A4">
        <w:rPr>
          <w:rFonts w:cs="Times New Roman"/>
          <w:szCs w:val="24"/>
          <w:lang w:val="en-US"/>
        </w:rPr>
        <w:t>ἕ</w:t>
      </w:r>
      <w:r w:rsidRPr="004C3336">
        <w:rPr>
          <w:rFonts w:cs="Times New Roman"/>
          <w:szCs w:val="24"/>
          <w:lang w:val="en-US"/>
        </w:rPr>
        <w:t>λκω literally means</w:t>
      </w:r>
      <w:r w:rsidRPr="005E543A">
        <w:rPr>
          <w:rFonts w:cs="Times New Roman"/>
          <w:szCs w:val="24"/>
          <w:lang w:val="en-US"/>
        </w:rPr>
        <w:t xml:space="preserve"> </w:t>
      </w:r>
      <w:r w:rsidR="00CC0615">
        <w:rPr>
          <w:rFonts w:cs="Times New Roman"/>
          <w:szCs w:val="24"/>
          <w:lang w:val="en-US"/>
        </w:rPr>
        <w:t>“</w:t>
      </w:r>
      <w:r w:rsidRPr="005E543A">
        <w:rPr>
          <w:rFonts w:cs="Times New Roman"/>
          <w:szCs w:val="24"/>
          <w:lang w:val="en-US"/>
        </w:rPr>
        <w:t>pull,</w:t>
      </w:r>
      <w:r w:rsidR="00CC0615">
        <w:rPr>
          <w:rFonts w:cs="Times New Roman"/>
          <w:szCs w:val="24"/>
          <w:lang w:val="en-US"/>
        </w:rPr>
        <w:t>”</w:t>
      </w:r>
      <w:r w:rsidRPr="005E543A">
        <w:rPr>
          <w:rFonts w:cs="Times New Roman"/>
          <w:szCs w:val="24"/>
          <w:lang w:val="en-US"/>
        </w:rPr>
        <w:t xml:space="preserve"> but it is a keyword for sexual description due to its metaphorical outcome. Derivatives of the root of </w:t>
      </w:r>
      <w:r w:rsidRPr="002818ED">
        <w:rPr>
          <w:rFonts w:cs="Times New Roman"/>
          <w:szCs w:val="24"/>
          <w:lang w:val="en-US"/>
        </w:rPr>
        <w:t>ἕ</w:t>
      </w:r>
      <w:r w:rsidRPr="008A330E">
        <w:rPr>
          <w:rFonts w:cs="Times New Roman"/>
          <w:szCs w:val="24"/>
          <w:lang w:val="en-US"/>
        </w:rPr>
        <w:t>λκω are often used with an erotic and obscene value</w:t>
      </w:r>
      <w:r w:rsidRPr="00CE67A3">
        <w:rPr>
          <w:rStyle w:val="FootnoteReference"/>
          <w:rFonts w:cs="Times New Roman"/>
          <w:szCs w:val="24"/>
          <w:lang w:val="en-US"/>
        </w:rPr>
        <w:footnoteReference w:id="399"/>
      </w:r>
      <w:r w:rsidRPr="00CE67A3">
        <w:rPr>
          <w:rFonts w:cs="Times New Roman"/>
          <w:szCs w:val="24"/>
          <w:lang w:val="en-US"/>
        </w:rPr>
        <w:t xml:space="preserve"> and one may argue that this meaning was generated by their iambic occurrences. </w:t>
      </w:r>
    </w:p>
    <w:p w14:paraId="4D4183A2" w14:textId="2D0F7137" w:rsidR="00EA14FC" w:rsidRPr="00532444" w:rsidRDefault="00EA14FC" w:rsidP="008A330E">
      <w:pPr>
        <w:ind w:firstLine="425"/>
        <w:rPr>
          <w:rFonts w:cs="Times New Roman"/>
          <w:szCs w:val="24"/>
          <w:lang w:val="en-US"/>
        </w:rPr>
      </w:pPr>
      <w:r w:rsidRPr="00B074A4">
        <w:rPr>
          <w:rFonts w:cs="Times New Roman"/>
          <w:szCs w:val="24"/>
          <w:lang w:val="en-US"/>
        </w:rPr>
        <w:t>Callimachu</w:t>
      </w:r>
      <w:r w:rsidRPr="004C3336">
        <w:rPr>
          <w:rFonts w:cs="Times New Roman"/>
          <w:szCs w:val="24"/>
          <w:lang w:val="en-US"/>
        </w:rPr>
        <w:t xml:space="preserve">s uses </w:t>
      </w:r>
      <w:r w:rsidRPr="005E543A">
        <w:rPr>
          <w:rFonts w:cs="Times New Roman"/>
          <w:szCs w:val="24"/>
          <w:lang w:val="en-US"/>
        </w:rPr>
        <w:t>ἕ</w:t>
      </w:r>
      <w:r w:rsidRPr="002818ED">
        <w:rPr>
          <w:rFonts w:cs="Times New Roman"/>
          <w:szCs w:val="24"/>
          <w:lang w:val="en-US"/>
        </w:rPr>
        <w:t>λκω to describe the movement of one</w:t>
      </w:r>
      <w:r w:rsidR="00075F5F">
        <w:rPr>
          <w:rFonts w:cs="Times New Roman"/>
          <w:szCs w:val="24"/>
          <w:lang w:val="en-US"/>
        </w:rPr>
        <w:t>’</w:t>
      </w:r>
      <w:r w:rsidRPr="002818ED">
        <w:rPr>
          <w:rFonts w:cs="Times New Roman"/>
          <w:szCs w:val="24"/>
          <w:lang w:val="en-US"/>
        </w:rPr>
        <w:t xml:space="preserve">s tongue in </w:t>
      </w:r>
      <w:r w:rsidRPr="008A330E">
        <w:rPr>
          <w:rFonts w:cs="Times New Roman"/>
          <w:i/>
          <w:iCs/>
          <w:szCs w:val="24"/>
          <w:lang w:val="en-US"/>
        </w:rPr>
        <w:t>Ia.</w:t>
      </w:r>
      <w:r w:rsidRPr="00532444">
        <w:rPr>
          <w:rFonts w:cs="Times New Roman"/>
          <w:szCs w:val="24"/>
          <w:lang w:val="en-US"/>
        </w:rPr>
        <w:t xml:space="preserve"> 1.83 τὴν γλῶσσαν ἕλκων </w:t>
      </w:r>
      <w:r w:rsidR="00CC0615">
        <w:rPr>
          <w:rFonts w:cs="Times New Roman"/>
          <w:szCs w:val="24"/>
          <w:lang w:val="en-US"/>
        </w:rPr>
        <w:t>“</w:t>
      </w:r>
      <w:r w:rsidRPr="00532444">
        <w:rPr>
          <w:rFonts w:cs="Times New Roman"/>
          <w:szCs w:val="24"/>
          <w:lang w:val="en-US"/>
        </w:rPr>
        <w:t>dragging his tongue,</w:t>
      </w:r>
      <w:r w:rsidR="00CC0615">
        <w:rPr>
          <w:rFonts w:cs="Times New Roman"/>
          <w:szCs w:val="24"/>
          <w:lang w:val="en-US"/>
        </w:rPr>
        <w:t>”</w:t>
      </w:r>
      <w:r w:rsidRPr="00532444">
        <w:rPr>
          <w:rFonts w:cs="Times New Roman"/>
          <w:szCs w:val="24"/>
          <w:lang w:val="en-US"/>
        </w:rPr>
        <w:t xml:space="preserve"> or to hint the seductive walk of women in </w:t>
      </w:r>
      <w:r w:rsidRPr="00532444">
        <w:rPr>
          <w:rFonts w:cs="Times New Roman"/>
          <w:i/>
          <w:iCs/>
          <w:szCs w:val="24"/>
          <w:lang w:val="en-US"/>
        </w:rPr>
        <w:t xml:space="preserve">Ia. </w:t>
      </w:r>
      <w:r w:rsidRPr="00532444">
        <w:rPr>
          <w:rFonts w:cs="Times New Roman"/>
          <w:szCs w:val="24"/>
          <w:lang w:val="en-US"/>
        </w:rPr>
        <w:t xml:space="preserve">3.36 </w:t>
      </w:r>
      <w:r w:rsidRPr="00532444">
        <w:rPr>
          <w:rFonts w:cs="Times New Roman"/>
          <w:szCs w:val="24"/>
          <w:lang w:val="en-US"/>
        </w:rPr>
        <w:lastRenderedPageBreak/>
        <w:t>ποδῆρες ἕλκοντα</w:t>
      </w:r>
      <w:r w:rsidR="00437209" w:rsidRPr="00532444">
        <w:rPr>
          <w:rFonts w:cs="Times New Roman"/>
          <w:szCs w:val="24"/>
          <w:lang w:val="en-US"/>
        </w:rPr>
        <w:t xml:space="preserve"> </w:t>
      </w:r>
      <w:r w:rsidR="00CC0615">
        <w:rPr>
          <w:rFonts w:cs="Times New Roman"/>
          <w:szCs w:val="24"/>
          <w:lang w:val="en-US"/>
        </w:rPr>
        <w:t>“</w:t>
      </w:r>
      <w:r w:rsidRPr="00532444">
        <w:rPr>
          <w:rFonts w:cs="Times New Roman"/>
          <w:szCs w:val="24"/>
          <w:lang w:val="en-US"/>
        </w:rPr>
        <w:t xml:space="preserve">dragging </w:t>
      </w:r>
      <w:r w:rsidRPr="00CE67A3">
        <w:rPr>
          <w:rFonts w:cs="Times New Roman"/>
          <w:szCs w:val="24"/>
          <w:lang w:val="en-US"/>
        </w:rPr>
        <w:t>the ankle-lenght robe.</w:t>
      </w:r>
      <w:r w:rsidR="00CC0615">
        <w:rPr>
          <w:rFonts w:cs="Times New Roman"/>
          <w:szCs w:val="24"/>
          <w:lang w:val="en-US"/>
        </w:rPr>
        <w:t>”</w:t>
      </w:r>
      <w:r w:rsidRPr="00CE67A3">
        <w:rPr>
          <w:rFonts w:cs="Times New Roman"/>
          <w:szCs w:val="24"/>
          <w:lang w:val="en-US"/>
        </w:rPr>
        <w:t xml:space="preserve"> The use of ἕ</w:t>
      </w:r>
      <w:r w:rsidRPr="00B074A4">
        <w:rPr>
          <w:rFonts w:cs="Times New Roman"/>
          <w:szCs w:val="24"/>
          <w:lang w:val="en-US"/>
        </w:rPr>
        <w:t>λκος, a nominal derivative from the s</w:t>
      </w:r>
      <w:r w:rsidRPr="004C3336">
        <w:rPr>
          <w:rFonts w:cs="Times New Roman"/>
          <w:szCs w:val="24"/>
          <w:lang w:val="en-US"/>
        </w:rPr>
        <w:t xml:space="preserve">ame stem of </w:t>
      </w:r>
      <w:r w:rsidRPr="005E543A">
        <w:rPr>
          <w:rFonts w:cs="Times New Roman"/>
          <w:szCs w:val="24"/>
          <w:lang w:val="en-US"/>
        </w:rPr>
        <w:t>ἕ</w:t>
      </w:r>
      <w:r w:rsidRPr="002818ED">
        <w:rPr>
          <w:rFonts w:cs="Times New Roman"/>
          <w:szCs w:val="24"/>
          <w:lang w:val="en-US"/>
        </w:rPr>
        <w:t>λκω, is also ambiguous in Archil. fr. 10.8 α</w:t>
      </w:r>
      <w:r w:rsidRPr="008A330E">
        <w:rPr>
          <w:rFonts w:cs="Times New Roman"/>
          <w:szCs w:val="24"/>
          <w:lang w:val="en-US"/>
        </w:rPr>
        <w:t>ἱ</w:t>
      </w:r>
      <w:r w:rsidRPr="00532444">
        <w:rPr>
          <w:rFonts w:cs="Times New Roman"/>
          <w:szCs w:val="24"/>
          <w:lang w:val="en-US"/>
        </w:rPr>
        <w:t>ματόεν δ</w:t>
      </w:r>
      <w:r w:rsidR="00075F5F">
        <w:rPr>
          <w:rFonts w:cs="Times New Roman"/>
          <w:szCs w:val="24"/>
          <w:lang w:val="en-US"/>
        </w:rPr>
        <w:t>’</w:t>
      </w:r>
      <w:r w:rsidRPr="00532444">
        <w:rPr>
          <w:rFonts w:cs="Times New Roman"/>
          <w:szCs w:val="24"/>
          <w:lang w:val="en-US"/>
        </w:rPr>
        <w:t xml:space="preserve"> ἕλκος ἀναστένομεν, </w:t>
      </w:r>
      <w:r w:rsidR="00CC0615">
        <w:rPr>
          <w:rFonts w:cs="Times New Roman"/>
          <w:szCs w:val="24"/>
          <w:lang w:val="en-US"/>
        </w:rPr>
        <w:t>“</w:t>
      </w:r>
      <w:r w:rsidRPr="00532444">
        <w:rPr>
          <w:rFonts w:cs="Times New Roman"/>
          <w:szCs w:val="24"/>
          <w:lang w:val="en-US"/>
        </w:rPr>
        <w:t>we bewail a bloody wound.</w:t>
      </w:r>
      <w:r w:rsidR="00CC0615">
        <w:rPr>
          <w:rFonts w:cs="Times New Roman"/>
          <w:szCs w:val="24"/>
          <w:lang w:val="en-US"/>
        </w:rPr>
        <w:t>”</w:t>
      </w:r>
      <w:r w:rsidRPr="00532444">
        <w:rPr>
          <w:rFonts w:cs="Times New Roman"/>
          <w:szCs w:val="24"/>
          <w:lang w:val="en-US"/>
        </w:rPr>
        <w:t xml:space="preserve"> Although the meaning might seem plain at first sight, the fragment follows with τλῆτε, γυναικεῖον πένθος ἀπωσάμενοι, </w:t>
      </w:r>
      <w:r w:rsidR="00CC0615">
        <w:rPr>
          <w:rFonts w:cs="Times New Roman"/>
          <w:szCs w:val="24"/>
          <w:lang w:val="en-US"/>
        </w:rPr>
        <w:t>“</w:t>
      </w:r>
      <w:r w:rsidRPr="00532444">
        <w:rPr>
          <w:rFonts w:cs="Times New Roman"/>
          <w:szCs w:val="24"/>
          <w:lang w:val="en-US"/>
        </w:rPr>
        <w:t>come, endure with all haste, thrusting aside womanly mourning</w:t>
      </w:r>
      <w:r w:rsidR="00CC0615">
        <w:rPr>
          <w:rFonts w:cs="Times New Roman"/>
          <w:szCs w:val="24"/>
          <w:lang w:val="en-US"/>
        </w:rPr>
        <w:t>”</w:t>
      </w:r>
      <w:r w:rsidRPr="00532444">
        <w:rPr>
          <w:rFonts w:cs="Times New Roman"/>
          <w:szCs w:val="24"/>
          <w:lang w:val="en-US"/>
        </w:rPr>
        <w:t xml:space="preserve"> (fr. 10.10). The mention of bloody wounds, women and pains within few lines might hint at another womanly bloody </w:t>
      </w:r>
      <w:r w:rsidR="00CC0615">
        <w:rPr>
          <w:rFonts w:cs="Times New Roman"/>
          <w:szCs w:val="24"/>
          <w:lang w:val="en-US"/>
        </w:rPr>
        <w:t>“</w:t>
      </w:r>
      <w:r w:rsidRPr="00532444">
        <w:rPr>
          <w:rFonts w:cs="Times New Roman"/>
          <w:szCs w:val="24"/>
          <w:lang w:val="en-US"/>
        </w:rPr>
        <w:t>wound,</w:t>
      </w:r>
      <w:r w:rsidR="00CC0615">
        <w:rPr>
          <w:rFonts w:cs="Times New Roman"/>
          <w:szCs w:val="24"/>
          <w:lang w:val="en-US"/>
        </w:rPr>
        <w:t>”</w:t>
      </w:r>
      <w:r w:rsidRPr="00532444">
        <w:rPr>
          <w:rFonts w:cs="Times New Roman"/>
          <w:szCs w:val="24"/>
          <w:lang w:val="en-US"/>
        </w:rPr>
        <w:t xml:space="preserve"> which Hipponax (fr. 4) will call διάσφαγμα, using a similar metaphor to that of Archilochus, but a different starting stem </w:t>
      </w:r>
      <w:r w:rsidR="00075F5F">
        <w:rPr>
          <w:rFonts w:cs="Times New Roman"/>
          <w:szCs w:val="24"/>
          <w:lang w:val="en-US"/>
        </w:rPr>
        <w:t>–</w:t>
      </w:r>
      <w:r w:rsidRPr="00532444">
        <w:rPr>
          <w:rFonts w:cs="Times New Roman"/>
          <w:szCs w:val="24"/>
          <w:lang w:val="en-US"/>
        </w:rPr>
        <w:t xml:space="preserve">the verb σφάζω </w:t>
      </w:r>
      <w:r w:rsidR="00CC0615">
        <w:rPr>
          <w:rFonts w:cs="Times New Roman"/>
          <w:szCs w:val="24"/>
          <w:lang w:val="en-US"/>
        </w:rPr>
        <w:t>“</w:t>
      </w:r>
      <w:r w:rsidRPr="00532444">
        <w:rPr>
          <w:rFonts w:cs="Times New Roman"/>
          <w:szCs w:val="24"/>
          <w:lang w:val="en-US"/>
        </w:rPr>
        <w:t>to slaughter.</w:t>
      </w:r>
      <w:r w:rsidR="00CC0615">
        <w:rPr>
          <w:rFonts w:cs="Times New Roman"/>
          <w:szCs w:val="24"/>
          <w:lang w:val="en-US"/>
        </w:rPr>
        <w:t>”</w:t>
      </w:r>
      <w:r w:rsidRPr="00532444">
        <w:rPr>
          <w:rFonts w:cs="Times New Roman"/>
          <w:szCs w:val="24"/>
          <w:lang w:val="en-US"/>
        </w:rPr>
        <w:t xml:space="preserve"> The obscene allusion underlying the derivatives of the root of ἕλκω is made more explicit by Hippon. fr. 20, where Boupalus comes on stage while he is </w:t>
      </w:r>
      <w:r w:rsidR="00CC0615">
        <w:rPr>
          <w:rFonts w:cs="Times New Roman"/>
          <w:szCs w:val="24"/>
          <w:lang w:val="en-US"/>
        </w:rPr>
        <w:t>“</w:t>
      </w:r>
      <w:r w:rsidRPr="00532444">
        <w:rPr>
          <w:rFonts w:cs="Times New Roman"/>
          <w:szCs w:val="24"/>
          <w:lang w:val="en-US"/>
        </w:rPr>
        <w:t>preparing to draw back his damnable foreskin</w:t>
      </w:r>
      <w:r w:rsidR="00CC0615">
        <w:rPr>
          <w:rFonts w:cs="Times New Roman"/>
          <w:szCs w:val="24"/>
          <w:lang w:val="en-US"/>
        </w:rPr>
        <w:t>”</w:t>
      </w:r>
      <w:r w:rsidRPr="00532444">
        <w:rPr>
          <w:rFonts w:cs="Times New Roman"/>
          <w:szCs w:val="24"/>
          <w:lang w:val="en-US"/>
        </w:rPr>
        <w:t xml:space="preserve"> (ὑφέλξων</w:t>
      </w:r>
      <w:r w:rsidR="006E597E">
        <w:rPr>
          <w:rFonts w:cs="Times New Roman"/>
          <w:szCs w:val="24"/>
          <w:lang w:val="en-US"/>
        </w:rPr>
        <w:t xml:space="preserve"> </w:t>
      </w:r>
      <w:r w:rsidRPr="00532444">
        <w:rPr>
          <w:rFonts w:cs="Times New Roman"/>
          <w:szCs w:val="24"/>
          <w:lang w:val="en-US"/>
        </w:rPr>
        <w:t>τὸν δυσώνυμον</w:t>
      </w:r>
      <w:r w:rsidR="006E597E">
        <w:rPr>
          <w:rFonts w:cs="Times New Roman"/>
          <w:szCs w:val="24"/>
          <w:lang w:val="en-US"/>
        </w:rPr>
        <w:t xml:space="preserve"> </w:t>
      </w:r>
      <w:r w:rsidRPr="00532444">
        <w:rPr>
          <w:rFonts w:cs="Times New Roman"/>
          <w:szCs w:val="24"/>
          <w:lang w:val="en-US"/>
        </w:rPr>
        <w:t xml:space="preserve">δαρτόν). ὑφέλκω </w:t>
      </w:r>
      <w:r w:rsidR="00CC0615">
        <w:rPr>
          <w:rFonts w:cs="Times New Roman"/>
          <w:szCs w:val="24"/>
          <w:lang w:val="en-US"/>
        </w:rPr>
        <w:t>“</w:t>
      </w:r>
      <w:r w:rsidRPr="00532444">
        <w:rPr>
          <w:rFonts w:cs="Times New Roman"/>
          <w:szCs w:val="24"/>
          <w:lang w:val="en-US"/>
        </w:rPr>
        <w:t>draw away under</w:t>
      </w:r>
      <w:r w:rsidR="00CC0615">
        <w:rPr>
          <w:rFonts w:cs="Times New Roman"/>
          <w:szCs w:val="24"/>
          <w:lang w:val="en-US"/>
        </w:rPr>
        <w:t>”</w:t>
      </w:r>
      <w:r w:rsidRPr="00532444">
        <w:rPr>
          <w:rFonts w:cs="Times New Roman"/>
          <w:szCs w:val="24"/>
          <w:lang w:val="en-US"/>
        </w:rPr>
        <w:t xml:space="preserve"> is a very rare word in the Greek literature.</w:t>
      </w:r>
      <w:r w:rsidRPr="00CE67A3">
        <w:rPr>
          <w:rStyle w:val="FootnoteReference"/>
          <w:rFonts w:cs="Times New Roman"/>
          <w:szCs w:val="24"/>
          <w:lang w:val="en-US"/>
        </w:rPr>
        <w:footnoteReference w:id="400"/>
      </w:r>
      <w:r w:rsidRPr="00CE67A3">
        <w:rPr>
          <w:rFonts w:cs="Times New Roman"/>
          <w:szCs w:val="24"/>
          <w:lang w:val="en-US"/>
        </w:rPr>
        <w:t xml:space="preserve"> It appears only once in Homer, twice in Aristophanes, once in Thucydides, and twice in Plutarch. It is difficult to establish its value in this passa</w:t>
      </w:r>
      <w:r w:rsidRPr="00B074A4">
        <w:rPr>
          <w:rFonts w:cs="Times New Roman"/>
          <w:szCs w:val="24"/>
          <w:lang w:val="en-US"/>
        </w:rPr>
        <w:t>ge of Hipponax by comparison. There is, however, a relevant passage from Aristophanes</w:t>
      </w:r>
      <w:r w:rsidR="00075F5F">
        <w:rPr>
          <w:rFonts w:cs="Times New Roman"/>
          <w:szCs w:val="24"/>
          <w:lang w:val="en-US"/>
        </w:rPr>
        <w:t>’</w:t>
      </w:r>
      <w:r w:rsidRPr="00B074A4">
        <w:rPr>
          <w:rFonts w:cs="Times New Roman"/>
          <w:szCs w:val="24"/>
          <w:lang w:val="en-US"/>
        </w:rPr>
        <w:t xml:space="preserve"> </w:t>
      </w:r>
      <w:r w:rsidRPr="00B074A4">
        <w:rPr>
          <w:rFonts w:cs="Times New Roman"/>
          <w:i/>
          <w:iCs/>
          <w:szCs w:val="24"/>
          <w:lang w:val="en-US"/>
        </w:rPr>
        <w:t>Thesmophoriazuse</w:t>
      </w:r>
      <w:r w:rsidR="006E597E">
        <w:rPr>
          <w:rFonts w:cs="Times New Roman"/>
          <w:szCs w:val="24"/>
          <w:lang w:val="en-US"/>
        </w:rPr>
        <w:t xml:space="preserve">: </w:t>
      </w:r>
      <w:r w:rsidRPr="005E543A">
        <w:rPr>
          <w:rFonts w:cs="Times New Roman"/>
          <w:szCs w:val="24"/>
          <w:lang w:val="en-US"/>
        </w:rPr>
        <w:t>ἰ</w:t>
      </w:r>
      <w:r w:rsidRPr="002818ED">
        <w:rPr>
          <w:rFonts w:cs="Times New Roman"/>
          <w:szCs w:val="24"/>
          <w:lang w:val="en-US"/>
        </w:rPr>
        <w:t>σθμόν τιν</w:t>
      </w:r>
      <w:r w:rsidR="00075F5F">
        <w:rPr>
          <w:rFonts w:cs="Times New Roman"/>
          <w:szCs w:val="24"/>
          <w:lang w:val="en-US"/>
        </w:rPr>
        <w:t>’</w:t>
      </w:r>
      <w:r w:rsidRPr="002818ED">
        <w:rPr>
          <w:rFonts w:cs="Times New Roman"/>
          <w:szCs w:val="24"/>
          <w:lang w:val="en-US"/>
        </w:rPr>
        <w:t xml:space="preserve"> </w:t>
      </w:r>
      <w:r w:rsidRPr="008A330E">
        <w:rPr>
          <w:rFonts w:cs="Times New Roman"/>
          <w:szCs w:val="24"/>
          <w:lang w:val="en-US"/>
        </w:rPr>
        <w:t>ἔ</w:t>
      </w:r>
      <w:r w:rsidRPr="00532444">
        <w:rPr>
          <w:rFonts w:cs="Times New Roman"/>
          <w:szCs w:val="24"/>
          <w:lang w:val="en-US"/>
        </w:rPr>
        <w:t>χεις, ἄνθρωπ</w:t>
      </w:r>
      <w:r w:rsidR="00075F5F">
        <w:rPr>
          <w:rFonts w:cs="Times New Roman"/>
          <w:szCs w:val="24"/>
          <w:lang w:val="en-US"/>
        </w:rPr>
        <w:t>’</w:t>
      </w:r>
      <w:r w:rsidRPr="00532444">
        <w:rPr>
          <w:rFonts w:cs="Times New Roman"/>
          <w:szCs w:val="24"/>
          <w:lang w:val="en-US"/>
        </w:rPr>
        <w:t xml:space="preserve">· ἄνω τε καὶ κάτω / τὸ πέος διέλκεις πυκνότερον Κορινθίων; </w:t>
      </w:r>
      <w:r w:rsidR="00CC0615">
        <w:rPr>
          <w:rFonts w:cs="Times New Roman"/>
          <w:szCs w:val="24"/>
          <w:lang w:val="en-US"/>
        </w:rPr>
        <w:t>“</w:t>
      </w:r>
      <w:r w:rsidRPr="00532444">
        <w:rPr>
          <w:rFonts w:cs="Times New Roman"/>
          <w:szCs w:val="24"/>
          <w:lang w:val="en-US"/>
        </w:rPr>
        <w:t>why, friend, it</w:t>
      </w:r>
      <w:r w:rsidR="00075F5F">
        <w:rPr>
          <w:rFonts w:cs="Times New Roman"/>
          <w:szCs w:val="24"/>
          <w:lang w:val="en-US"/>
        </w:rPr>
        <w:t>’</w:t>
      </w:r>
      <w:r w:rsidRPr="00532444">
        <w:rPr>
          <w:rFonts w:cs="Times New Roman"/>
          <w:szCs w:val="24"/>
          <w:lang w:val="en-US"/>
        </w:rPr>
        <w:t>s just like the Isthmus; you keep pulling your stick backwards and forwards more often than the Corinthians do their ships</w:t>
      </w:r>
      <w:r w:rsidR="00CC0615">
        <w:rPr>
          <w:rFonts w:cs="Times New Roman"/>
          <w:szCs w:val="24"/>
          <w:lang w:val="en-US"/>
        </w:rPr>
        <w:t>”</w:t>
      </w:r>
      <w:r w:rsidRPr="00532444">
        <w:rPr>
          <w:rFonts w:cs="Times New Roman"/>
          <w:szCs w:val="24"/>
          <w:lang w:val="en-US"/>
        </w:rPr>
        <w:t xml:space="preserve"> (647-8). The metaphor underlying the verb διέλκω arises from the fact that there was a track (the διολκός) across the Corinthian isthmus, by which ships were hauled to and fro on trolleys (ὁλκοί). It is plausible that Hipponax alludes to the same thing, since Hipponax</w:t>
      </w:r>
      <w:r w:rsidR="00075F5F">
        <w:rPr>
          <w:rFonts w:cs="Times New Roman"/>
          <w:szCs w:val="24"/>
          <w:lang w:val="en-US"/>
        </w:rPr>
        <w:t>’</w:t>
      </w:r>
      <w:r w:rsidRPr="00532444">
        <w:rPr>
          <w:rFonts w:cs="Times New Roman"/>
          <w:szCs w:val="24"/>
          <w:lang w:val="en-US"/>
        </w:rPr>
        <w:t>s fragment is set at Erythrae, which sprang up on an Ionic littoral stretch very similar to the Corinthian one.</w:t>
      </w:r>
      <w:r w:rsidRPr="00CE67A3">
        <w:rPr>
          <w:rStyle w:val="FootnoteReference"/>
          <w:rFonts w:cs="Times New Roman"/>
          <w:szCs w:val="24"/>
          <w:lang w:val="en-US"/>
        </w:rPr>
        <w:footnoteReference w:id="401"/>
      </w:r>
      <w:r w:rsidRPr="00CE67A3">
        <w:rPr>
          <w:rFonts w:cs="Times New Roman"/>
          <w:szCs w:val="24"/>
          <w:lang w:val="en-US"/>
        </w:rPr>
        <w:t xml:space="preserve"> Erythrae was one of the cities of Ionian </w:t>
      </w:r>
      <w:r w:rsidR="00CC0615">
        <w:rPr>
          <w:rFonts w:cs="Times New Roman"/>
          <w:szCs w:val="24"/>
          <w:lang w:val="en-US"/>
        </w:rPr>
        <w:t>“</w:t>
      </w:r>
      <w:r w:rsidRPr="00CE67A3">
        <w:rPr>
          <w:rFonts w:cs="Times New Roman"/>
          <w:szCs w:val="24"/>
          <w:lang w:val="en-US"/>
        </w:rPr>
        <w:t>Dodekapolis,</w:t>
      </w:r>
      <w:r w:rsidR="00CC0615">
        <w:rPr>
          <w:rFonts w:cs="Times New Roman"/>
          <w:szCs w:val="24"/>
          <w:lang w:val="en-US"/>
        </w:rPr>
        <w:t>”</w:t>
      </w:r>
      <w:r w:rsidRPr="00CE67A3">
        <w:rPr>
          <w:rFonts w:cs="Times New Roman"/>
          <w:szCs w:val="24"/>
          <w:lang w:val="en-US"/>
        </w:rPr>
        <w:t xml:space="preserve"> situated 22 km north-east of the port of Cyssus (modern </w:t>
      </w:r>
      <w:hyperlink r:id="rId51" w:history="1">
        <w:r w:rsidRPr="00CE67A3">
          <w:rPr>
            <w:rFonts w:cs="Times New Roman"/>
            <w:i/>
            <w:iCs/>
            <w:szCs w:val="24"/>
            <w:lang w:val="en-US"/>
          </w:rPr>
          <w:t>Çeşme</w:t>
        </w:r>
      </w:hyperlink>
      <w:r w:rsidRPr="00CE67A3">
        <w:rPr>
          <w:rFonts w:cs="Times New Roman"/>
          <w:szCs w:val="24"/>
          <w:lang w:val="en-US"/>
        </w:rPr>
        <w:t>), on a small peninsula stretching into the </w:t>
      </w:r>
      <w:hyperlink r:id="rId52" w:history="1">
        <w:r w:rsidRPr="00CE67A3">
          <w:rPr>
            <w:rFonts w:cs="Times New Roman"/>
            <w:szCs w:val="24"/>
            <w:lang w:val="en-US"/>
          </w:rPr>
          <w:t>Bay</w:t>
        </w:r>
      </w:hyperlink>
      <w:hyperlink r:id="rId53" w:history="1">
        <w:r w:rsidRPr="004C3336">
          <w:rPr>
            <w:rFonts w:cs="Times New Roman"/>
            <w:szCs w:val="24"/>
            <w:lang w:val="en-US"/>
          </w:rPr>
          <w:t xml:space="preserve"> </w:t>
        </w:r>
      </w:hyperlink>
      <w:hyperlink r:id="rId54" w:history="1">
        <w:r w:rsidRPr="002818ED">
          <w:rPr>
            <w:rFonts w:cs="Times New Roman"/>
            <w:szCs w:val="24"/>
            <w:lang w:val="en-US"/>
          </w:rPr>
          <w:t>of</w:t>
        </w:r>
      </w:hyperlink>
      <w:hyperlink r:id="rId55" w:history="1">
        <w:r w:rsidRPr="00532444">
          <w:rPr>
            <w:rFonts w:cs="Times New Roman"/>
            <w:szCs w:val="24"/>
            <w:lang w:val="en-US"/>
          </w:rPr>
          <w:t xml:space="preserve"> </w:t>
        </w:r>
      </w:hyperlink>
      <w:hyperlink r:id="rId56" w:history="1">
        <w:r w:rsidRPr="00532444">
          <w:rPr>
            <w:rFonts w:cs="Times New Roman"/>
            <w:szCs w:val="24"/>
            <w:lang w:val="en-US"/>
          </w:rPr>
          <w:t>Erythrae</w:t>
        </w:r>
      </w:hyperlink>
      <w:r w:rsidRPr="00CE67A3">
        <w:rPr>
          <w:rFonts w:cs="Times New Roman"/>
          <w:szCs w:val="24"/>
          <w:lang w:val="en-US"/>
        </w:rPr>
        <w:t>, at an equal distance from the mountains </w:t>
      </w:r>
      <w:hyperlink r:id="rId57" w:history="1">
        <w:r w:rsidRPr="00CE67A3">
          <w:rPr>
            <w:rFonts w:cs="Times New Roman"/>
            <w:szCs w:val="24"/>
            <w:lang w:val="en-US"/>
          </w:rPr>
          <w:t>Mimas</w:t>
        </w:r>
      </w:hyperlink>
      <w:r w:rsidRPr="00CE67A3">
        <w:rPr>
          <w:rFonts w:cs="Times New Roman"/>
          <w:szCs w:val="24"/>
          <w:lang w:val="en-US"/>
        </w:rPr>
        <w:t xml:space="preserve"> and </w:t>
      </w:r>
      <w:hyperlink r:id="rId58" w:history="1">
        <w:r w:rsidRPr="00CE67A3">
          <w:rPr>
            <w:rFonts w:cs="Times New Roman"/>
            <w:szCs w:val="24"/>
            <w:lang w:val="en-US"/>
          </w:rPr>
          <w:t>Corycus</w:t>
        </w:r>
      </w:hyperlink>
      <w:r w:rsidRPr="00CE67A3">
        <w:rPr>
          <w:rFonts w:cs="Times New Roman"/>
          <w:szCs w:val="24"/>
          <w:lang w:val="en-US"/>
        </w:rPr>
        <w:t>, directly opposite the island of </w:t>
      </w:r>
      <w:hyperlink r:id="rId59" w:history="1">
        <w:r w:rsidRPr="00CE67A3">
          <w:rPr>
            <w:rFonts w:cs="Times New Roman"/>
            <w:szCs w:val="24"/>
            <w:lang w:val="en-US"/>
          </w:rPr>
          <w:t>Chios</w:t>
        </w:r>
      </w:hyperlink>
      <w:r w:rsidRPr="00CE67A3">
        <w:rPr>
          <w:rFonts w:cs="Times New Roman"/>
          <w:szCs w:val="24"/>
          <w:lang w:val="en-US"/>
        </w:rPr>
        <w:t>. Both Corinth and Erythrae were situated in a quite narrow bays where ships were forced to go through by dragging.</w:t>
      </w:r>
      <w:r w:rsidRPr="00CE67A3">
        <w:rPr>
          <w:rStyle w:val="FootnoteReference"/>
          <w:rFonts w:cs="Times New Roman"/>
          <w:szCs w:val="24"/>
          <w:lang w:val="en-US"/>
        </w:rPr>
        <w:footnoteReference w:id="402"/>
      </w:r>
      <w:r w:rsidRPr="00CE67A3">
        <w:rPr>
          <w:rFonts w:cs="Times New Roman"/>
          <w:szCs w:val="24"/>
          <w:lang w:val="en-US"/>
        </w:rPr>
        <w:t xml:space="preserve"> The similarity between the two passages is increased by the respective objects of the verb </w:t>
      </w:r>
      <w:r w:rsidRPr="00B074A4">
        <w:rPr>
          <w:rFonts w:cs="Times New Roman"/>
          <w:szCs w:val="24"/>
          <w:lang w:val="en-US"/>
        </w:rPr>
        <w:t>ἕ</w:t>
      </w:r>
      <w:r w:rsidRPr="004C3336">
        <w:rPr>
          <w:rFonts w:cs="Times New Roman"/>
          <w:szCs w:val="24"/>
          <w:lang w:val="en-US"/>
        </w:rPr>
        <w:t>λκω, since Aristophanes</w:t>
      </w:r>
      <w:r w:rsidR="00075F5F">
        <w:rPr>
          <w:rFonts w:cs="Times New Roman"/>
          <w:szCs w:val="24"/>
          <w:lang w:val="en-US"/>
        </w:rPr>
        <w:t>’</w:t>
      </w:r>
      <w:r w:rsidRPr="004C3336">
        <w:rPr>
          <w:rFonts w:cs="Times New Roman"/>
          <w:szCs w:val="24"/>
          <w:lang w:val="en-US"/>
        </w:rPr>
        <w:t xml:space="preserve"> τ</w:t>
      </w:r>
      <w:r w:rsidRPr="005E543A">
        <w:rPr>
          <w:rFonts w:cs="Times New Roman"/>
          <w:szCs w:val="24"/>
          <w:lang w:val="en-US"/>
        </w:rPr>
        <w:t>ὸ</w:t>
      </w:r>
      <w:r w:rsidRPr="002818ED">
        <w:rPr>
          <w:rFonts w:cs="Times New Roman"/>
          <w:szCs w:val="24"/>
          <w:lang w:val="en-US"/>
        </w:rPr>
        <w:t xml:space="preserve"> πέος </w:t>
      </w:r>
      <w:r w:rsidR="00CC0615">
        <w:rPr>
          <w:rFonts w:cs="Times New Roman"/>
          <w:szCs w:val="24"/>
          <w:lang w:val="en-US"/>
        </w:rPr>
        <w:t>“</w:t>
      </w:r>
      <w:r w:rsidRPr="002818ED">
        <w:rPr>
          <w:rFonts w:cs="Times New Roman"/>
          <w:szCs w:val="24"/>
          <w:lang w:val="en-US"/>
        </w:rPr>
        <w:t>penis</w:t>
      </w:r>
      <w:r w:rsidR="00CC0615">
        <w:rPr>
          <w:rFonts w:cs="Times New Roman"/>
          <w:szCs w:val="24"/>
          <w:lang w:val="en-US"/>
        </w:rPr>
        <w:t>”</w:t>
      </w:r>
      <w:r w:rsidRPr="002818ED">
        <w:rPr>
          <w:rFonts w:cs="Times New Roman"/>
          <w:szCs w:val="24"/>
          <w:lang w:val="en-US"/>
        </w:rPr>
        <w:t xml:space="preserve"> is the same than Hipponax</w:t>
      </w:r>
      <w:r w:rsidR="00075F5F">
        <w:rPr>
          <w:rFonts w:cs="Times New Roman"/>
          <w:szCs w:val="24"/>
          <w:lang w:val="en-US"/>
        </w:rPr>
        <w:t>’</w:t>
      </w:r>
      <w:r w:rsidRPr="002818ED">
        <w:rPr>
          <w:rFonts w:cs="Times New Roman"/>
          <w:szCs w:val="24"/>
          <w:lang w:val="en-US"/>
        </w:rPr>
        <w:t>s τ</w:t>
      </w:r>
      <w:r w:rsidRPr="008A330E">
        <w:rPr>
          <w:rFonts w:cs="Times New Roman"/>
          <w:szCs w:val="24"/>
          <w:lang w:val="en-US"/>
        </w:rPr>
        <w:t>ὸ</w:t>
      </w:r>
      <w:r w:rsidRPr="00532444">
        <w:rPr>
          <w:rFonts w:cs="Times New Roman"/>
          <w:szCs w:val="24"/>
          <w:lang w:val="en-US"/>
        </w:rPr>
        <w:t xml:space="preserve">ν δαρτόν, literally </w:t>
      </w:r>
      <w:r w:rsidR="00CC0615">
        <w:rPr>
          <w:rFonts w:cs="Times New Roman"/>
          <w:szCs w:val="24"/>
          <w:lang w:val="en-US"/>
        </w:rPr>
        <w:t>“</w:t>
      </w:r>
      <w:r w:rsidRPr="00532444">
        <w:rPr>
          <w:rFonts w:cs="Times New Roman"/>
          <w:szCs w:val="24"/>
          <w:lang w:val="en-US"/>
        </w:rPr>
        <w:t>that must be skinned,</w:t>
      </w:r>
      <w:r w:rsidR="00CC0615">
        <w:rPr>
          <w:rFonts w:cs="Times New Roman"/>
          <w:szCs w:val="24"/>
          <w:lang w:val="en-US"/>
        </w:rPr>
        <w:t>”</w:t>
      </w:r>
      <w:r w:rsidRPr="00532444">
        <w:rPr>
          <w:rFonts w:cs="Times New Roman"/>
          <w:szCs w:val="24"/>
          <w:lang w:val="en-US"/>
        </w:rPr>
        <w:t xml:space="preserve"> namely </w:t>
      </w:r>
      <w:r w:rsidR="00CC0615">
        <w:rPr>
          <w:rFonts w:cs="Times New Roman"/>
          <w:szCs w:val="24"/>
          <w:lang w:val="en-US"/>
        </w:rPr>
        <w:t>“</w:t>
      </w:r>
      <w:r w:rsidRPr="00532444">
        <w:rPr>
          <w:rFonts w:cs="Times New Roman"/>
          <w:szCs w:val="24"/>
          <w:lang w:val="en-US"/>
        </w:rPr>
        <w:t>scrotum,</w:t>
      </w:r>
      <w:r w:rsidR="00CC0615">
        <w:rPr>
          <w:rFonts w:cs="Times New Roman"/>
          <w:szCs w:val="24"/>
          <w:lang w:val="en-US"/>
        </w:rPr>
        <w:t>”</w:t>
      </w:r>
      <w:r w:rsidRPr="00532444">
        <w:rPr>
          <w:rFonts w:cs="Times New Roman"/>
          <w:szCs w:val="24"/>
          <w:lang w:val="en-US"/>
        </w:rPr>
        <w:t xml:space="preserve"> and through metonymy </w:t>
      </w:r>
      <w:r w:rsidR="00CC0615">
        <w:rPr>
          <w:rFonts w:cs="Times New Roman"/>
          <w:szCs w:val="24"/>
          <w:lang w:val="en-US"/>
        </w:rPr>
        <w:t>“</w:t>
      </w:r>
      <w:r w:rsidRPr="00532444">
        <w:rPr>
          <w:rFonts w:cs="Times New Roman"/>
          <w:szCs w:val="24"/>
          <w:lang w:val="en-US"/>
        </w:rPr>
        <w:t>penis.</w:t>
      </w:r>
      <w:r w:rsidR="00CC0615">
        <w:rPr>
          <w:rFonts w:cs="Times New Roman"/>
          <w:szCs w:val="24"/>
          <w:lang w:val="en-US"/>
        </w:rPr>
        <w:t>”</w:t>
      </w:r>
      <w:r w:rsidRPr="00532444">
        <w:rPr>
          <w:rFonts w:cs="Times New Roman"/>
          <w:szCs w:val="24"/>
          <w:lang w:val="en-US"/>
        </w:rPr>
        <w:t xml:space="preserve"> </w:t>
      </w:r>
    </w:p>
    <w:p w14:paraId="6563AC60" w14:textId="77777777" w:rsidR="00EA14FC" w:rsidRPr="00532444" w:rsidRDefault="00EA14FC" w:rsidP="008A330E">
      <w:pPr>
        <w:rPr>
          <w:rFonts w:cs="Times New Roman"/>
          <w:lang w:val="en-US"/>
        </w:rPr>
      </w:pPr>
    </w:p>
    <w:p w14:paraId="3BD8C680" w14:textId="1C235444" w:rsidR="00EA14FC" w:rsidRPr="00532444" w:rsidRDefault="00EA14FC" w:rsidP="00532444">
      <w:pPr>
        <w:rPr>
          <w:rFonts w:cs="Times New Roman"/>
          <w:lang w:val="en-US"/>
        </w:rPr>
      </w:pPr>
      <w:r w:rsidRPr="00532444">
        <w:rPr>
          <w:rFonts w:cs="Times New Roman"/>
          <w:lang w:val="en-US"/>
        </w:rPr>
        <w:t xml:space="preserve">With regard to content, the iambic texts dealing with sex share two clichés, namely the metaphorical names for the genitals (generally the male ones), and the character of the woman as dominatrix (the ruling woman ends up overlapping with the figure of the mother of the protagonist of the </w:t>
      </w:r>
      <w:r w:rsidRPr="00532444">
        <w:rPr>
          <w:rFonts w:cs="Times New Roman"/>
          <w:i/>
          <w:iCs/>
          <w:lang w:val="en-US"/>
        </w:rPr>
        <w:t>entr</w:t>
      </w:r>
      <w:r w:rsidR="00075F5F">
        <w:rPr>
          <w:rFonts w:cs="Times New Roman"/>
          <w:i/>
          <w:iCs/>
          <w:lang w:val="en-US"/>
        </w:rPr>
        <w:t>’</w:t>
      </w:r>
      <w:r w:rsidRPr="00532444">
        <w:rPr>
          <w:rFonts w:cs="Times New Roman"/>
          <w:i/>
          <w:iCs/>
          <w:lang w:val="en-US"/>
        </w:rPr>
        <w:t>act</w:t>
      </w:r>
      <w:r w:rsidRPr="00532444">
        <w:rPr>
          <w:rFonts w:cs="Times New Roman"/>
          <w:lang w:val="en-US"/>
        </w:rPr>
        <w:t xml:space="preserve"> in the chronological evolution of the genre). </w:t>
      </w:r>
    </w:p>
    <w:p w14:paraId="0643FE5C" w14:textId="4B207A22" w:rsidR="00EA14FC" w:rsidRPr="00532444" w:rsidRDefault="00EA14FC" w:rsidP="00532444">
      <w:pPr>
        <w:rPr>
          <w:rFonts w:cs="Times New Roman"/>
          <w:lang w:val="en-US"/>
        </w:rPr>
      </w:pPr>
      <w:r w:rsidRPr="00532444">
        <w:rPr>
          <w:rFonts w:cs="Times New Roman"/>
          <w:lang w:val="en-US"/>
        </w:rPr>
        <w:tab/>
        <w:t>Referring to the genitals with nouns that recollect or hint at them is a device shared by all the iambographers. The nouns vary by author and context. Callimachus is less imaginative than Archilochus and Hipponax, but Callimachus wrote less in terms of sex-based iambs than the other two iambographers. Callimachus refers only to the male genitals, while Archilochus and Hipponax refer to both the male and the female ones. Callimachus does not connect sexual metaphors in which the genitals play specific roles and, consequently, have specific names, but Archilochus and Hipponax often use the same metaphor to refer to sexual interludes. Archilochus and Hippoanx create literary scenarios that Callimachus does not employ as a whole, but selects among according to his literary purposes and his audience</w:t>
      </w:r>
      <w:r w:rsidR="00075F5F">
        <w:rPr>
          <w:rFonts w:cs="Times New Roman"/>
          <w:lang w:val="en-US"/>
        </w:rPr>
        <w:t>’</w:t>
      </w:r>
      <w:r w:rsidRPr="00532444">
        <w:rPr>
          <w:rFonts w:cs="Times New Roman"/>
          <w:lang w:val="en-US"/>
        </w:rPr>
        <w:t xml:space="preserve"> s expectations. </w:t>
      </w:r>
    </w:p>
    <w:p w14:paraId="7981CB70" w14:textId="59E2830A" w:rsidR="00EA14FC" w:rsidRPr="00CE67A3" w:rsidRDefault="00EA14FC" w:rsidP="00532444">
      <w:pPr>
        <w:rPr>
          <w:rFonts w:cs="Times New Roman"/>
          <w:lang w:val="en-US"/>
        </w:rPr>
      </w:pPr>
      <w:r w:rsidRPr="00532444">
        <w:rPr>
          <w:rFonts w:cs="Times New Roman"/>
          <w:lang w:val="en-US"/>
        </w:rPr>
        <w:tab/>
        <w:t xml:space="preserve">The two archaic iambographers often adopt the same metaphor, but they express it through different words. In particular, they share two metaphors for the penis: the penis as something skinned and the penis as a suction pipe. To indicate the penis as something skinned, Archilochus uses the well-known and highly-used words σκῦτος, -εος, [τό] </w:t>
      </w:r>
      <w:r w:rsidR="00CC0615">
        <w:rPr>
          <w:rFonts w:cs="Times New Roman"/>
          <w:lang w:val="en-US"/>
        </w:rPr>
        <w:t>“</w:t>
      </w:r>
      <w:r w:rsidRPr="00532444">
        <w:rPr>
          <w:rFonts w:cs="Times New Roman"/>
          <w:lang w:val="en-US"/>
        </w:rPr>
        <w:t>skin</w:t>
      </w:r>
      <w:r w:rsidR="00CC0615">
        <w:rPr>
          <w:rFonts w:cs="Times New Roman"/>
          <w:lang w:val="en-US"/>
        </w:rPr>
        <w:t>”</w:t>
      </w:r>
      <w:r w:rsidRPr="00532444">
        <w:rPr>
          <w:rFonts w:cs="Times New Roman"/>
          <w:lang w:val="en-US"/>
        </w:rPr>
        <w:t xml:space="preserve"> (cf. </w:t>
      </w:r>
      <w:r w:rsidRPr="00532444">
        <w:rPr>
          <w:rFonts w:cs="Times New Roman"/>
          <w:i/>
          <w:iCs/>
          <w:lang w:val="en-US"/>
        </w:rPr>
        <w:t>Od</w:t>
      </w:r>
      <w:r w:rsidRPr="00532444">
        <w:rPr>
          <w:rFonts w:cs="Times New Roman"/>
          <w:lang w:val="en-US"/>
        </w:rPr>
        <w:t xml:space="preserve">. 14.34 σκῦτος δέ οἱ ἔκπεσε χειρός </w:t>
      </w:r>
      <w:r w:rsidR="00CC0615">
        <w:rPr>
          <w:rFonts w:cs="Times New Roman"/>
          <w:lang w:val="en-US"/>
        </w:rPr>
        <w:t>“</w:t>
      </w:r>
      <w:r w:rsidRPr="00532444">
        <w:rPr>
          <w:rFonts w:cs="Times New Roman"/>
          <w:lang w:val="en-US"/>
        </w:rPr>
        <w:t>and the skin fell from his hand</w:t>
      </w:r>
      <w:r w:rsidR="00CC0615">
        <w:rPr>
          <w:rFonts w:cs="Times New Roman"/>
          <w:lang w:val="en-US"/>
        </w:rPr>
        <w:t>”</w:t>
      </w:r>
      <w:r w:rsidRPr="00532444">
        <w:rPr>
          <w:rFonts w:cs="Times New Roman"/>
          <w:lang w:val="en-US"/>
        </w:rPr>
        <w:t xml:space="preserve">), or χαίτη, -ης, [ἡ] (cf. </w:t>
      </w:r>
      <w:r w:rsidRPr="00532444">
        <w:rPr>
          <w:rFonts w:cs="Times New Roman"/>
          <w:i/>
          <w:iCs/>
          <w:lang w:val="en-US"/>
        </w:rPr>
        <w:t>Il</w:t>
      </w:r>
      <w:r w:rsidRPr="00532444">
        <w:rPr>
          <w:rFonts w:cs="Times New Roman"/>
          <w:lang w:val="en-US"/>
        </w:rPr>
        <w:t xml:space="preserve">. 23.141 ξανθὴν ἀπεκείρατο χαίτην </w:t>
      </w:r>
      <w:r w:rsidR="00CC0615">
        <w:rPr>
          <w:rFonts w:cs="Times New Roman"/>
          <w:lang w:val="en-US"/>
        </w:rPr>
        <w:t>“</w:t>
      </w:r>
      <w:r w:rsidRPr="00532444">
        <w:rPr>
          <w:rFonts w:cs="Times New Roman"/>
          <w:lang w:val="en-US"/>
        </w:rPr>
        <w:t>cut off a lock of fair hair</w:t>
      </w:r>
      <w:r w:rsidR="00CC0615">
        <w:rPr>
          <w:rFonts w:cs="Times New Roman"/>
          <w:lang w:val="en-US"/>
        </w:rPr>
        <w:t>”</w:t>
      </w:r>
      <w:r w:rsidRPr="00532444">
        <w:rPr>
          <w:rFonts w:cs="Times New Roman"/>
          <w:lang w:val="en-US"/>
        </w:rPr>
        <w:t xml:space="preserve">) which usually refers to the hair, but the context makes the audience aware that these words hint at something else, as shown by Archil. fr. 221 πῶς ἀπεπρίσθη σκύτα; </w:t>
      </w:r>
      <w:r w:rsidR="00CC0615">
        <w:rPr>
          <w:rFonts w:cs="Times New Roman"/>
          <w:lang w:val="en-US"/>
        </w:rPr>
        <w:t>“</w:t>
      </w:r>
      <w:r w:rsidRPr="00532444">
        <w:rPr>
          <w:rFonts w:cs="Times New Roman"/>
          <w:lang w:val="en-US"/>
        </w:rPr>
        <w:t>how was flayed the scruff?,</w:t>
      </w:r>
      <w:r w:rsidR="00CC0615">
        <w:rPr>
          <w:rFonts w:cs="Times New Roman"/>
          <w:lang w:val="en-US"/>
        </w:rPr>
        <w:t>”</w:t>
      </w:r>
      <w:r w:rsidRPr="00532444">
        <w:rPr>
          <w:rFonts w:cs="Times New Roman"/>
          <w:lang w:val="en-US"/>
        </w:rPr>
        <w:t xml:space="preserve"> or by Archil. fr. 37 χαίτην ἀπ</w:t>
      </w:r>
      <w:r w:rsidR="00075F5F">
        <w:rPr>
          <w:rFonts w:cs="Times New Roman"/>
          <w:lang w:val="en-US"/>
        </w:rPr>
        <w:t>’</w:t>
      </w:r>
      <w:r w:rsidRPr="00532444">
        <w:rPr>
          <w:rFonts w:cs="Times New Roman"/>
          <w:lang w:val="en-US"/>
        </w:rPr>
        <w:t xml:space="preserve">ὤμων ἐγκυτὶ κεκαρμένος, </w:t>
      </w:r>
      <w:r w:rsidR="00CC0615">
        <w:rPr>
          <w:rFonts w:cs="Times New Roman"/>
          <w:lang w:val="en-US"/>
        </w:rPr>
        <w:t>“</w:t>
      </w:r>
      <w:r w:rsidRPr="00532444">
        <w:rPr>
          <w:rFonts w:cs="Times New Roman"/>
          <w:lang w:val="en-US"/>
        </w:rPr>
        <w:t>with hair shorn away from the shoulders close to the skin,</w:t>
      </w:r>
      <w:r w:rsidR="00CC0615">
        <w:rPr>
          <w:rFonts w:cs="Times New Roman"/>
          <w:lang w:val="en-US"/>
        </w:rPr>
        <w:t>”</w:t>
      </w:r>
      <w:r w:rsidRPr="00532444">
        <w:rPr>
          <w:rFonts w:cs="Times New Roman"/>
          <w:lang w:val="en-US"/>
        </w:rPr>
        <w:t xml:space="preserve"> and again by Archil. fr. 95 τὸν κεροπλάστην, </w:t>
      </w:r>
      <w:r w:rsidR="00CC0615">
        <w:rPr>
          <w:rFonts w:cs="Times New Roman"/>
          <w:lang w:val="en-US"/>
        </w:rPr>
        <w:t>“</w:t>
      </w:r>
      <w:r w:rsidRPr="00532444">
        <w:rPr>
          <w:rFonts w:cs="Times New Roman"/>
          <w:lang w:val="en-US"/>
        </w:rPr>
        <w:t>who arranges his hair in horns.</w:t>
      </w:r>
      <w:r w:rsidR="00CC0615">
        <w:rPr>
          <w:rFonts w:cs="Times New Roman"/>
          <w:lang w:val="en-US"/>
        </w:rPr>
        <w:t>”</w:t>
      </w:r>
      <w:r w:rsidRPr="00532444">
        <w:rPr>
          <w:rFonts w:cs="Times New Roman"/>
          <w:lang w:val="en-US"/>
        </w:rPr>
        <w:t xml:space="preserve"> The allusion to the male member is made clearer by Archil. fr. 46 πάντ</w:t>
      </w:r>
      <w:r w:rsidR="00075F5F">
        <w:rPr>
          <w:rFonts w:cs="Times New Roman"/>
          <w:lang w:val="en-US"/>
        </w:rPr>
        <w:t>’</w:t>
      </w:r>
      <w:r w:rsidRPr="00532444">
        <w:rPr>
          <w:rFonts w:cs="Times New Roman"/>
          <w:lang w:val="en-US"/>
        </w:rPr>
        <w:t xml:space="preserve"> ἄνδρ</w:t>
      </w:r>
      <w:r w:rsidR="00075F5F">
        <w:rPr>
          <w:rFonts w:cs="Times New Roman"/>
          <w:lang w:val="en-US"/>
        </w:rPr>
        <w:t>’</w:t>
      </w:r>
      <w:r w:rsidRPr="00532444">
        <w:rPr>
          <w:rFonts w:cs="Times New Roman"/>
          <w:lang w:val="en-US"/>
        </w:rPr>
        <w:t xml:space="preserve"> ἀποσκολύπτειν</w:t>
      </w:r>
      <w:r w:rsidRPr="00CE67A3">
        <w:rPr>
          <w:rStyle w:val="FootnoteReference"/>
          <w:rFonts w:cs="Times New Roman"/>
          <w:lang w:val="en-US"/>
        </w:rPr>
        <w:footnoteReference w:id="403"/>
      </w:r>
      <w:r w:rsidRPr="00CE67A3">
        <w:rPr>
          <w:rFonts w:cs="Times New Roman"/>
          <w:lang w:val="en-US"/>
        </w:rPr>
        <w:t xml:space="preserve"> </w:t>
      </w:r>
      <w:r w:rsidR="00CC0615">
        <w:rPr>
          <w:rFonts w:cs="Times New Roman"/>
          <w:lang w:val="en-US"/>
        </w:rPr>
        <w:t>“</w:t>
      </w:r>
      <w:r w:rsidRPr="00CE67A3">
        <w:rPr>
          <w:rFonts w:cs="Times New Roman"/>
          <w:lang w:val="en-US"/>
        </w:rPr>
        <w:t>to pull back the foreskin to every man,</w:t>
      </w:r>
      <w:r w:rsidR="00CC0615">
        <w:rPr>
          <w:rFonts w:cs="Times New Roman"/>
          <w:lang w:val="en-US"/>
        </w:rPr>
        <w:t>”</w:t>
      </w:r>
      <w:r w:rsidRPr="00CE67A3">
        <w:rPr>
          <w:rFonts w:cs="Times New Roman"/>
          <w:lang w:val="en-US"/>
        </w:rPr>
        <w:t xml:space="preserve"> since it is used the verb </w:t>
      </w:r>
      <w:r w:rsidRPr="00B074A4">
        <w:rPr>
          <w:rFonts w:cs="Times New Roman"/>
          <w:lang w:val="en-US"/>
        </w:rPr>
        <w:t>ἀ</w:t>
      </w:r>
      <w:r w:rsidRPr="004C3336">
        <w:rPr>
          <w:rFonts w:cs="Times New Roman"/>
          <w:lang w:val="en-US"/>
        </w:rPr>
        <w:t>ποσκολύπτω which over time became a specific term to indicate circumcision, eventually becoming the Christian technical term for circumcision.</w:t>
      </w:r>
      <w:r w:rsidRPr="00CE67A3">
        <w:rPr>
          <w:rStyle w:val="FootnoteReference"/>
          <w:rFonts w:cs="Times New Roman"/>
          <w:lang w:val="en-US"/>
        </w:rPr>
        <w:footnoteReference w:id="404"/>
      </w:r>
    </w:p>
    <w:p w14:paraId="0366747D" w14:textId="3D1DB657" w:rsidR="00EA14FC" w:rsidRPr="00532444" w:rsidRDefault="00EA14FC" w:rsidP="00532444">
      <w:pPr>
        <w:rPr>
          <w:rFonts w:cs="Times New Roman"/>
          <w:lang w:val="en-US"/>
        </w:rPr>
      </w:pPr>
      <w:r w:rsidRPr="00B074A4">
        <w:rPr>
          <w:rFonts w:cs="Times New Roman"/>
          <w:lang w:val="en-US"/>
        </w:rPr>
        <w:lastRenderedPageBreak/>
        <w:tab/>
        <w:t>Hippo</w:t>
      </w:r>
      <w:r w:rsidRPr="004C3336">
        <w:rPr>
          <w:rFonts w:cs="Times New Roman"/>
          <w:lang w:val="en-US"/>
        </w:rPr>
        <w:t xml:space="preserve">nax, instead, uses the rare word δαρτός (fr. 20.3), which is a verbal adjective meaning </w:t>
      </w:r>
      <w:r w:rsidR="00CC0615">
        <w:rPr>
          <w:rFonts w:cs="Times New Roman"/>
          <w:lang w:val="en-US"/>
        </w:rPr>
        <w:t>“</w:t>
      </w:r>
      <w:r w:rsidRPr="004C3336">
        <w:rPr>
          <w:rFonts w:cs="Times New Roman"/>
          <w:lang w:val="en-US"/>
        </w:rPr>
        <w:t>skinned / to be skinned.</w:t>
      </w:r>
      <w:r w:rsidR="00CC0615">
        <w:rPr>
          <w:rFonts w:cs="Times New Roman"/>
          <w:lang w:val="en-US"/>
        </w:rPr>
        <w:t>”</w:t>
      </w:r>
      <w:r w:rsidRPr="004C3336">
        <w:rPr>
          <w:rFonts w:cs="Times New Roman"/>
          <w:lang w:val="en-US"/>
        </w:rPr>
        <w:t xml:space="preserve"> In this case, the meaning of the word helps the audience understanding the context, and not </w:t>
      </w:r>
      <w:r w:rsidRPr="005E543A">
        <w:rPr>
          <w:rFonts w:cs="Times New Roman"/>
          <w:i/>
          <w:iCs/>
          <w:lang w:val="en-US"/>
        </w:rPr>
        <w:t>vice versa</w:t>
      </w:r>
      <w:r w:rsidRPr="002818ED">
        <w:rPr>
          <w:rFonts w:cs="Times New Roman"/>
          <w:lang w:val="en-US"/>
        </w:rPr>
        <w:t xml:space="preserve"> as in Archilochus. With regards to the</w:t>
      </w:r>
      <w:r w:rsidRPr="008A330E">
        <w:rPr>
          <w:rFonts w:cs="Times New Roman"/>
          <w:lang w:val="en-US"/>
        </w:rPr>
        <w:t xml:space="preserve"> penis as a suction pipe, Archilochus equates it to a tube, as shown by Archil. fr. 29 </w:t>
      </w:r>
      <w:r w:rsidRPr="00532444">
        <w:rPr>
          <w:rFonts w:cs="Times New Roman"/>
          <w:lang w:val="en-US"/>
        </w:rPr>
        <w:t xml:space="preserve">ὥσπερ αὐλῶι βρῦτον ἢ Θρέϊξ ἀνὴρ / ἢ Φρὺξ ἔμυζε </w:t>
      </w:r>
      <w:r w:rsidR="00CC0615">
        <w:rPr>
          <w:rFonts w:cs="Times New Roman"/>
          <w:lang w:val="en-US"/>
        </w:rPr>
        <w:t>“</w:t>
      </w:r>
      <w:r w:rsidRPr="00532444">
        <w:rPr>
          <w:rFonts w:cs="Times New Roman"/>
          <w:lang w:val="en-US"/>
        </w:rPr>
        <w:t>she was sucking like a Thracian or Phrygian sucking beer through a tube,</w:t>
      </w:r>
      <w:r w:rsidR="00CC0615">
        <w:rPr>
          <w:rFonts w:cs="Times New Roman"/>
          <w:lang w:val="en-US"/>
        </w:rPr>
        <w:t>”</w:t>
      </w:r>
      <w:r w:rsidRPr="00532444">
        <w:rPr>
          <w:rFonts w:cs="Times New Roman"/>
          <w:lang w:val="en-US"/>
        </w:rPr>
        <w:t xml:space="preserve"> while Hipponax compares the penis to a siphon, and says in Hippon. fr. 58 σίφωνι λεπτῶι τοὐπίθημα τετρήνας </w:t>
      </w:r>
      <w:r w:rsidR="00CC0615">
        <w:rPr>
          <w:rFonts w:cs="Times New Roman"/>
          <w:lang w:val="en-US"/>
        </w:rPr>
        <w:t>“</w:t>
      </w:r>
      <w:r w:rsidRPr="00532444">
        <w:rPr>
          <w:rFonts w:cs="Times New Roman"/>
          <w:lang w:val="en-US"/>
        </w:rPr>
        <w:t>piercing the lid with a thin pipe.</w:t>
      </w:r>
      <w:r w:rsidR="00CC0615">
        <w:rPr>
          <w:rFonts w:cs="Times New Roman"/>
          <w:lang w:val="en-US"/>
        </w:rPr>
        <w:t>”</w:t>
      </w:r>
      <w:r w:rsidRPr="00532444">
        <w:rPr>
          <w:rFonts w:cs="Times New Roman"/>
          <w:lang w:val="en-US"/>
        </w:rPr>
        <w:t xml:space="preserve"> </w:t>
      </w:r>
    </w:p>
    <w:p w14:paraId="0C8F8900" w14:textId="5D53EFA7" w:rsidR="00EA14FC" w:rsidRPr="00CE67A3" w:rsidRDefault="00EA14FC" w:rsidP="00532444">
      <w:pPr>
        <w:rPr>
          <w:rFonts w:cs="Times New Roman"/>
          <w:lang w:val="en-US"/>
        </w:rPr>
      </w:pPr>
      <w:r w:rsidRPr="00532444">
        <w:rPr>
          <w:rFonts w:cs="Times New Roman"/>
          <w:lang w:val="en-US"/>
        </w:rPr>
        <w:tab/>
        <w:t xml:space="preserve">Both Archilochus and Hipponax talk about the vagina as a cut opened by violence, whether it is a wound as in Archil. fr. 10.10 γυναικεῖον πένθος ἀπωσάμενοι </w:t>
      </w:r>
      <w:r w:rsidR="00CC0615">
        <w:rPr>
          <w:rFonts w:cs="Times New Roman"/>
          <w:lang w:val="en-US"/>
        </w:rPr>
        <w:t>“</w:t>
      </w:r>
      <w:r w:rsidRPr="00532444">
        <w:rPr>
          <w:rFonts w:cs="Times New Roman"/>
          <w:lang w:val="en-US"/>
        </w:rPr>
        <w:t>thrusting aside womanly mourning,</w:t>
      </w:r>
      <w:r w:rsidR="00CC0615">
        <w:rPr>
          <w:rFonts w:cs="Times New Roman"/>
          <w:lang w:val="en-US"/>
        </w:rPr>
        <w:t>”</w:t>
      </w:r>
      <w:r w:rsidRPr="00532444">
        <w:rPr>
          <w:rFonts w:cs="Times New Roman"/>
          <w:lang w:val="en-US"/>
        </w:rPr>
        <w:t xml:space="preserve"> or a breach as in Hippon. 4b Σινδικὸν διάσφαγμα </w:t>
      </w:r>
      <w:r w:rsidR="00CC0615">
        <w:rPr>
          <w:rFonts w:cs="Times New Roman"/>
          <w:lang w:val="en-US"/>
        </w:rPr>
        <w:t>“</w:t>
      </w:r>
      <w:r w:rsidRPr="00532444">
        <w:rPr>
          <w:rFonts w:cs="Times New Roman"/>
          <w:lang w:val="en-US"/>
        </w:rPr>
        <w:t>Sindian fissure.</w:t>
      </w:r>
      <w:r w:rsidR="00CC0615">
        <w:rPr>
          <w:rFonts w:cs="Times New Roman"/>
          <w:lang w:val="en-US"/>
        </w:rPr>
        <w:t>”</w:t>
      </w:r>
      <w:r w:rsidRPr="00CE67A3">
        <w:rPr>
          <w:rStyle w:val="FootnoteReference"/>
          <w:rFonts w:cs="Times New Roman"/>
          <w:lang w:val="en-US"/>
        </w:rPr>
        <w:footnoteReference w:id="405"/>
      </w:r>
    </w:p>
    <w:p w14:paraId="79877134" w14:textId="77777777" w:rsidR="00EA14FC" w:rsidRPr="005E543A" w:rsidRDefault="00EA14FC" w:rsidP="00532444">
      <w:pPr>
        <w:rPr>
          <w:rFonts w:cs="Times New Roman"/>
          <w:lang w:val="en-US"/>
        </w:rPr>
      </w:pPr>
      <w:r w:rsidRPr="00B074A4">
        <w:rPr>
          <w:rFonts w:cs="Times New Roman"/>
          <w:lang w:val="en-US"/>
        </w:rPr>
        <w:tab/>
        <w:t>The references to genitals are never explicit, even if there is no particular metaphor built around them. Archilochus, Hipponax, and Callimachus refer t</w:t>
      </w:r>
      <w:r w:rsidRPr="004C3336">
        <w:rPr>
          <w:rFonts w:cs="Times New Roman"/>
          <w:lang w:val="en-US"/>
        </w:rPr>
        <w:t xml:space="preserve">o the genitals through allusive nouns, whose deeper mean the audience can guess. Archilochus prefers to use nouns which are traditionally obscene so that he makes the audience immediately aware of the real content of his texts, while Hipponax tends to use </w:t>
      </w:r>
      <w:r w:rsidRPr="005E543A">
        <w:rPr>
          <w:rFonts w:cs="Times New Roman"/>
          <w:lang w:val="en-US"/>
        </w:rPr>
        <w:t>nouns which traditionally referred to other things so that their real meaning is implicit and more difficult for the audience to detect. Archilochus calls the penis σάθη or κήλων.</w:t>
      </w:r>
    </w:p>
    <w:p w14:paraId="5C0EDE89" w14:textId="046EF434" w:rsidR="00EA14FC" w:rsidRPr="00532444" w:rsidRDefault="00EA14FC" w:rsidP="00532444">
      <w:pPr>
        <w:rPr>
          <w:rFonts w:cs="Times New Roman"/>
          <w:lang w:val="en-US"/>
        </w:rPr>
      </w:pPr>
      <w:r w:rsidRPr="002818ED">
        <w:rPr>
          <w:rFonts w:cs="Times New Roman"/>
          <w:lang w:val="en-US"/>
        </w:rPr>
        <w:tab/>
        <w:t xml:space="preserve">σάθη </w:t>
      </w:r>
      <w:r w:rsidR="00CC0615">
        <w:rPr>
          <w:rFonts w:cs="Times New Roman"/>
          <w:lang w:val="en-US"/>
        </w:rPr>
        <w:t>“</w:t>
      </w:r>
      <w:r w:rsidRPr="002818ED">
        <w:rPr>
          <w:rFonts w:cs="Times New Roman"/>
          <w:lang w:val="en-US"/>
        </w:rPr>
        <w:t>penis</w:t>
      </w:r>
      <w:r w:rsidR="00CC0615">
        <w:rPr>
          <w:rFonts w:cs="Times New Roman"/>
          <w:lang w:val="en-US"/>
        </w:rPr>
        <w:t>”</w:t>
      </w:r>
      <w:r w:rsidRPr="002818ED">
        <w:rPr>
          <w:rFonts w:cs="Times New Roman"/>
          <w:lang w:val="en-US"/>
        </w:rPr>
        <w:t xml:space="preserve"> elsewhere appears only in Ar. </w:t>
      </w:r>
      <w:r w:rsidRPr="008A330E">
        <w:rPr>
          <w:rFonts w:cs="Times New Roman"/>
          <w:i/>
          <w:iCs/>
          <w:lang w:val="en-US"/>
        </w:rPr>
        <w:t>Lys.</w:t>
      </w:r>
      <w:r w:rsidRPr="00532444">
        <w:rPr>
          <w:rFonts w:cs="Times New Roman"/>
          <w:lang w:val="en-US"/>
        </w:rPr>
        <w:t xml:space="preserve"> 1119 ἢν μὴ διδῷ τὴν χεῖρα, τῆς σάθης ἄγε, </w:t>
      </w:r>
      <w:r w:rsidR="00CC0615">
        <w:rPr>
          <w:rFonts w:cs="Times New Roman"/>
          <w:lang w:val="en-US"/>
        </w:rPr>
        <w:t>“</w:t>
      </w:r>
      <w:r w:rsidRPr="00532444">
        <w:rPr>
          <w:rFonts w:cs="Times New Roman"/>
          <w:lang w:val="en-US"/>
        </w:rPr>
        <w:t>and if they grudge fingers, guide them by other methods,</w:t>
      </w:r>
      <w:r w:rsidR="00CC0615">
        <w:rPr>
          <w:rFonts w:cs="Times New Roman"/>
          <w:lang w:val="en-US"/>
        </w:rPr>
        <w:t>”</w:t>
      </w:r>
      <w:r w:rsidRPr="00532444">
        <w:rPr>
          <w:rFonts w:cs="Times New Roman"/>
          <w:lang w:val="en-US"/>
        </w:rPr>
        <w:t xml:space="preserve"> where it has the same obscene meaning of </w:t>
      </w:r>
      <w:r w:rsidR="00CC0615">
        <w:rPr>
          <w:rFonts w:cs="Times New Roman"/>
          <w:lang w:val="en-US"/>
        </w:rPr>
        <w:t>“</w:t>
      </w:r>
      <w:r w:rsidRPr="00532444">
        <w:rPr>
          <w:rFonts w:cs="Times New Roman"/>
          <w:lang w:val="en-US"/>
        </w:rPr>
        <w:t>penis.</w:t>
      </w:r>
      <w:r w:rsidR="00CC0615">
        <w:rPr>
          <w:rFonts w:cs="Times New Roman"/>
          <w:lang w:val="en-US"/>
        </w:rPr>
        <w:t>”</w:t>
      </w:r>
      <w:r w:rsidRPr="00532444">
        <w:rPr>
          <w:rFonts w:cs="Times New Roman"/>
          <w:lang w:val="en-US"/>
        </w:rPr>
        <w:t xml:space="preserve"> The noun is connected with the verbal root of σαίνω </w:t>
      </w:r>
      <w:r w:rsidR="00CC0615">
        <w:rPr>
          <w:rFonts w:cs="Times New Roman"/>
          <w:lang w:val="en-US"/>
        </w:rPr>
        <w:t>“</w:t>
      </w:r>
      <w:r w:rsidRPr="00532444">
        <w:rPr>
          <w:rFonts w:cs="Times New Roman"/>
          <w:lang w:val="en-US"/>
        </w:rPr>
        <w:t>wag its tail,</w:t>
      </w:r>
      <w:r w:rsidR="00CC0615">
        <w:rPr>
          <w:rFonts w:cs="Times New Roman"/>
          <w:lang w:val="en-US"/>
        </w:rPr>
        <w:t>”</w:t>
      </w:r>
      <w:r w:rsidRPr="00CE67A3">
        <w:rPr>
          <w:rStyle w:val="FootnoteReference"/>
          <w:rFonts w:cs="Times New Roman"/>
          <w:lang w:val="en-US"/>
        </w:rPr>
        <w:footnoteReference w:id="406"/>
      </w:r>
      <w:r w:rsidRPr="00CE67A3">
        <w:rPr>
          <w:rFonts w:cs="Times New Roman"/>
          <w:lang w:val="en-US"/>
        </w:rPr>
        <w:t xml:space="preserve"> which probably </w:t>
      </w:r>
      <w:r w:rsidR="00CE67A3" w:rsidRPr="00CE67A3">
        <w:rPr>
          <w:rFonts w:cs="Times New Roman"/>
          <w:lang w:val="en-US"/>
        </w:rPr>
        <w:t xml:space="preserve">derives </w:t>
      </w:r>
      <w:r w:rsidRPr="004C3336">
        <w:rPr>
          <w:rFonts w:cs="Times New Roman"/>
          <w:lang w:val="en-US"/>
        </w:rPr>
        <w:t>its obscene meaning in a particu</w:t>
      </w:r>
      <w:r w:rsidRPr="005E543A">
        <w:rPr>
          <w:rFonts w:cs="Times New Roman"/>
          <w:lang w:val="en-US"/>
        </w:rPr>
        <w:t xml:space="preserve">lar Homeric passage. Σαίνω in the Odyssey is always referred to dogs, but </w:t>
      </w:r>
      <w:r w:rsidRPr="002818ED">
        <w:rPr>
          <w:rFonts w:cs="Times New Roman"/>
          <w:i/>
          <w:iCs/>
          <w:lang w:val="en-US"/>
        </w:rPr>
        <w:t>Od</w:t>
      </w:r>
      <w:r w:rsidRPr="008A330E">
        <w:rPr>
          <w:rFonts w:cs="Times New Roman"/>
          <w:lang w:val="en-US"/>
        </w:rPr>
        <w:t>. 10.214-19 talks about dogs and wolves at Circe</w:t>
      </w:r>
      <w:r w:rsidR="00075F5F">
        <w:rPr>
          <w:rFonts w:cs="Times New Roman"/>
          <w:lang w:val="en-US"/>
        </w:rPr>
        <w:t>’</w:t>
      </w:r>
      <w:r w:rsidRPr="008A330E">
        <w:rPr>
          <w:rFonts w:cs="Times New Roman"/>
          <w:lang w:val="en-US"/>
        </w:rPr>
        <w:t>s court, so that ultimately it refers to dogs and wolves which previously were men: they are described as ο</w:t>
      </w:r>
      <w:r w:rsidRPr="00532444">
        <w:rPr>
          <w:rFonts w:cs="Times New Roman"/>
          <w:lang w:val="en-US"/>
        </w:rPr>
        <w:t xml:space="preserve">ὐρῇσιν μακρῇσι περισσαίνοντες </w:t>
      </w:r>
      <w:r w:rsidR="00CC0615">
        <w:rPr>
          <w:rFonts w:cs="Times New Roman"/>
          <w:lang w:val="en-US"/>
        </w:rPr>
        <w:t>“</w:t>
      </w:r>
      <w:r w:rsidRPr="00532444">
        <w:rPr>
          <w:rFonts w:cs="Times New Roman"/>
          <w:lang w:val="en-US"/>
        </w:rPr>
        <w:t>wagging their long tails.</w:t>
      </w:r>
      <w:r w:rsidR="00CC0615">
        <w:rPr>
          <w:rFonts w:cs="Times New Roman"/>
          <w:lang w:val="en-US"/>
        </w:rPr>
        <w:t>”</w:t>
      </w:r>
      <w:r w:rsidRPr="00532444">
        <w:rPr>
          <w:rFonts w:cs="Times New Roman"/>
          <w:lang w:val="en-US"/>
        </w:rPr>
        <w:t xml:space="preserve"> Metaphorically speaking, the length of the tails and their wagging at the feet of Circe are clues to the fact that Circe was not only their mistress, but also their dominatrix.</w:t>
      </w:r>
    </w:p>
    <w:p w14:paraId="417C1758" w14:textId="5BCCDA96" w:rsidR="00EA14FC" w:rsidRPr="00532444" w:rsidRDefault="00EA14FC" w:rsidP="00532444">
      <w:pPr>
        <w:rPr>
          <w:rFonts w:cs="Times New Roman"/>
          <w:lang w:val="en-US"/>
        </w:rPr>
      </w:pPr>
      <w:r w:rsidRPr="00532444">
        <w:rPr>
          <w:rFonts w:cs="Times New Roman"/>
          <w:lang w:val="en-US"/>
        </w:rPr>
        <w:tab/>
        <w:t xml:space="preserve">κήλων, literally </w:t>
      </w:r>
      <w:r w:rsidR="00CC0615">
        <w:rPr>
          <w:rFonts w:cs="Times New Roman"/>
          <w:lang w:val="en-US"/>
        </w:rPr>
        <w:t>“</w:t>
      </w:r>
      <w:r w:rsidRPr="00532444">
        <w:rPr>
          <w:rFonts w:cs="Times New Roman"/>
          <w:lang w:val="en-US"/>
        </w:rPr>
        <w:t>swinging bar,</w:t>
      </w:r>
      <w:r w:rsidR="00CC0615">
        <w:rPr>
          <w:rFonts w:cs="Times New Roman"/>
          <w:lang w:val="en-US"/>
        </w:rPr>
        <w:t>”</w:t>
      </w:r>
      <w:r w:rsidRPr="00532444">
        <w:rPr>
          <w:rFonts w:cs="Times New Roman"/>
          <w:lang w:val="en-US"/>
        </w:rPr>
        <w:t xml:space="preserve"> is a very rare technical term, and Archilochus seems to have been the first to use it in a figurative way. The metaphorical interpretation of Archilochus is later taken up by Cratinus, who in fr. 359 K-A calls the god Pan κήλων </w:t>
      </w:r>
      <w:r w:rsidR="00CC0615">
        <w:rPr>
          <w:rFonts w:cs="Times New Roman"/>
          <w:lang w:val="en-US"/>
        </w:rPr>
        <w:lastRenderedPageBreak/>
        <w:t>“</w:t>
      </w:r>
      <w:r w:rsidRPr="00532444">
        <w:rPr>
          <w:rFonts w:cs="Times New Roman"/>
          <w:lang w:val="en-US"/>
        </w:rPr>
        <w:t>licentious</w:t>
      </w:r>
      <w:r w:rsidR="00CC0615">
        <w:rPr>
          <w:rFonts w:cs="Times New Roman"/>
          <w:lang w:val="en-US"/>
        </w:rPr>
        <w:t>”</w:t>
      </w:r>
      <w:r w:rsidRPr="00532444">
        <w:rPr>
          <w:rFonts w:cs="Times New Roman"/>
          <w:lang w:val="en-US"/>
        </w:rPr>
        <w:t xml:space="preserve"> (χαῖρ</w:t>
      </w:r>
      <w:r w:rsidR="00075F5F">
        <w:rPr>
          <w:rFonts w:cs="Times New Roman"/>
          <w:lang w:val="en-US"/>
        </w:rPr>
        <w:t>’</w:t>
      </w:r>
      <w:r w:rsidRPr="00532444">
        <w:rPr>
          <w:rFonts w:cs="Times New Roman"/>
          <w:lang w:val="en-US"/>
        </w:rPr>
        <w:t xml:space="preserve"> ὦ χρυσόκερως βαβάκτα κήλων, / Πάν, Πελασγικὸν Ἄργος ἐμβατεύων), and by Callimachus who uses a technical term very similar to κήλων with the same allusive value, as I will show.</w:t>
      </w:r>
    </w:p>
    <w:p w14:paraId="5098622F" w14:textId="0D746970" w:rsidR="00EA14FC" w:rsidRPr="004C3336" w:rsidRDefault="00EA14FC" w:rsidP="00532444">
      <w:pPr>
        <w:rPr>
          <w:rFonts w:cs="Times New Roman"/>
          <w:lang w:val="en-US"/>
        </w:rPr>
      </w:pPr>
      <w:r w:rsidRPr="00532444">
        <w:rPr>
          <w:rFonts w:cs="Times New Roman"/>
          <w:lang w:val="en-US"/>
        </w:rPr>
        <w:tab/>
        <w:t xml:space="preserve">Hipponax says θυμός </w:t>
      </w:r>
      <w:r w:rsidR="00CC0615">
        <w:rPr>
          <w:rFonts w:cs="Times New Roman"/>
          <w:lang w:val="en-US"/>
        </w:rPr>
        <w:t>“</w:t>
      </w:r>
      <w:r w:rsidRPr="00532444">
        <w:rPr>
          <w:rFonts w:cs="Times New Roman"/>
          <w:lang w:val="en-US"/>
        </w:rPr>
        <w:t>heart</w:t>
      </w:r>
      <w:r w:rsidR="00CC0615">
        <w:rPr>
          <w:rFonts w:cs="Times New Roman"/>
          <w:lang w:val="en-US"/>
        </w:rPr>
        <w:t>”</w:t>
      </w:r>
      <w:r w:rsidRPr="00532444">
        <w:rPr>
          <w:rFonts w:cs="Times New Roman"/>
          <w:lang w:val="en-US"/>
        </w:rPr>
        <w:t xml:space="preserve"> to imply the penis, as stated above, or he talks about the χαραδριός while actually conveying a different message. χαραδριός is the name of a bird, probably the thick-knee or the Norfolk plover (</w:t>
      </w:r>
      <w:r w:rsidRPr="00532444">
        <w:rPr>
          <w:rFonts w:cs="Times New Roman"/>
          <w:i/>
          <w:iCs/>
          <w:lang w:val="en-US"/>
        </w:rPr>
        <w:t>Charadrius oedicnemus</w:t>
      </w:r>
      <w:r w:rsidRPr="00532444">
        <w:rPr>
          <w:rFonts w:cs="Times New Roman"/>
          <w:lang w:val="en-US"/>
        </w:rPr>
        <w:t>)</w:t>
      </w:r>
      <w:r w:rsidRPr="00532444">
        <w:rPr>
          <w:rFonts w:cs="Times New Roman"/>
          <w:vertAlign w:val="superscript"/>
          <w:lang w:val="en-US"/>
        </w:rPr>
        <w:t>,</w:t>
      </w:r>
      <w:r w:rsidRPr="00CE67A3">
        <w:rPr>
          <w:rStyle w:val="FootnoteReference"/>
          <w:rFonts w:cs="Times New Roman"/>
          <w:lang w:val="en-US"/>
        </w:rPr>
        <w:footnoteReference w:id="407"/>
      </w:r>
      <w:r w:rsidRPr="00CE67A3">
        <w:rPr>
          <w:rFonts w:cs="Times New Roman"/>
          <w:lang w:val="en-US"/>
        </w:rPr>
        <w:t xml:space="preserve"> whose sight was considered</w:t>
      </w:r>
      <w:r w:rsidRPr="00B074A4">
        <w:rPr>
          <w:rFonts w:cs="Times New Roman"/>
          <w:lang w:val="en-US"/>
        </w:rPr>
        <w:t xml:space="preserve"> a cure for jaundice: the story goes that those who suffered from jaundice gained relief from looking upon a χαραδριός. Therefore, bird sellers kept the χαραδριός covered, so that patients could not derive benefit free of cost. Hipponax compares the penis to a χαραδριός since its master, who was a male prostitute, kept it hidden in o</w:t>
      </w:r>
      <w:r w:rsidRPr="004C3336">
        <w:rPr>
          <w:rFonts w:cs="Times New Roman"/>
          <w:lang w:val="en-US"/>
        </w:rPr>
        <w:t>rder to sell it at the best price.</w:t>
      </w:r>
    </w:p>
    <w:p w14:paraId="00FB8F67" w14:textId="1DE37C7A" w:rsidR="00EA14FC" w:rsidRPr="00532444" w:rsidRDefault="00EA14FC" w:rsidP="00532444">
      <w:pPr>
        <w:rPr>
          <w:rFonts w:cs="Times New Roman"/>
          <w:lang w:val="en-US"/>
        </w:rPr>
      </w:pPr>
      <w:r w:rsidRPr="005E543A">
        <w:rPr>
          <w:rFonts w:cs="Times New Roman"/>
          <w:lang w:val="en-US"/>
        </w:rPr>
        <w:tab/>
        <w:t xml:space="preserve">βρύσσος is another allusive noun for the genitals which Hipponax borrows from the world of animals, since βρύσσος means </w:t>
      </w:r>
      <w:r w:rsidR="00CC0615">
        <w:rPr>
          <w:rFonts w:cs="Times New Roman"/>
          <w:lang w:val="en-US"/>
        </w:rPr>
        <w:t>“</w:t>
      </w:r>
      <w:r w:rsidRPr="005E543A">
        <w:rPr>
          <w:rFonts w:cs="Times New Roman"/>
          <w:lang w:val="en-US"/>
        </w:rPr>
        <w:t>sea urchin</w:t>
      </w:r>
      <w:r w:rsidR="00CC0615">
        <w:rPr>
          <w:rFonts w:cs="Times New Roman"/>
          <w:lang w:val="en-US"/>
        </w:rPr>
        <w:t>”</w:t>
      </w:r>
      <w:r w:rsidRPr="005E543A">
        <w:rPr>
          <w:rFonts w:cs="Times New Roman"/>
          <w:lang w:val="en-US"/>
        </w:rPr>
        <w:t xml:space="preserve"> according to the definition which Aristotle gave it in </w:t>
      </w:r>
      <w:r w:rsidRPr="002818ED">
        <w:rPr>
          <w:rFonts w:cs="Times New Roman"/>
          <w:i/>
          <w:iCs/>
          <w:lang w:val="en-US"/>
        </w:rPr>
        <w:t>HA</w:t>
      </w:r>
      <w:r w:rsidRPr="008A330E">
        <w:rPr>
          <w:rFonts w:cs="Times New Roman"/>
          <w:lang w:val="en-US"/>
        </w:rPr>
        <w:t xml:space="preserve"> 4.5 p. 530b4-6.</w:t>
      </w:r>
      <w:r w:rsidRPr="00CE67A3">
        <w:rPr>
          <w:rStyle w:val="FootnoteReference"/>
          <w:rFonts w:cs="Times New Roman"/>
          <w:lang w:val="en-US"/>
        </w:rPr>
        <w:footnoteReference w:id="408"/>
      </w:r>
      <w:r w:rsidRPr="00CE67A3">
        <w:rPr>
          <w:rFonts w:cs="Times New Roman"/>
          <w:lang w:val="en-US"/>
        </w:rPr>
        <w:t xml:space="preserve"> Through this word, Hipponax hints at the vagina, as shown by Hippon. fr. 69.7-8 τ</w:t>
      </w:r>
      <w:r w:rsidRPr="00B074A4">
        <w:rPr>
          <w:rFonts w:cs="Times New Roman"/>
          <w:lang w:val="en-US"/>
        </w:rPr>
        <w:t>ὸ</w:t>
      </w:r>
      <w:r w:rsidRPr="004C3336">
        <w:rPr>
          <w:rFonts w:cs="Times New Roman"/>
          <w:lang w:val="en-US"/>
        </w:rPr>
        <w:t>ν θεο</w:t>
      </w:r>
      <w:r w:rsidRPr="005E543A">
        <w:rPr>
          <w:rFonts w:cs="Times New Roman"/>
          <w:lang w:val="en-US"/>
        </w:rPr>
        <w:t>ῖ</w:t>
      </w:r>
      <w:r w:rsidRPr="002818ED">
        <w:rPr>
          <w:rFonts w:cs="Times New Roman"/>
          <w:lang w:val="en-US"/>
        </w:rPr>
        <w:t xml:space="preserve">σιν </w:t>
      </w:r>
      <w:r w:rsidRPr="008A330E">
        <w:rPr>
          <w:rFonts w:cs="Times New Roman"/>
          <w:lang w:val="en-US"/>
        </w:rPr>
        <w:t>ἐ</w:t>
      </w:r>
      <w:r w:rsidRPr="00532444">
        <w:rPr>
          <w:rFonts w:cs="Times New Roman"/>
          <w:lang w:val="en-US"/>
        </w:rPr>
        <w:t xml:space="preserve">χθρὸν τοῦτον, ὃς κατευδούσης / τῆς μητρὸς ἐσκύλευε τὸν βρύσσον </w:t>
      </w:r>
      <w:r w:rsidR="00CC0615">
        <w:rPr>
          <w:rFonts w:cs="Times New Roman"/>
          <w:lang w:val="en-US"/>
        </w:rPr>
        <w:t>“</w:t>
      </w:r>
      <w:r w:rsidRPr="00532444">
        <w:rPr>
          <w:rFonts w:cs="Times New Roman"/>
          <w:lang w:val="en-US"/>
        </w:rPr>
        <w:t>this godforsaken fellow who used to despoil his sleeping mother</w:t>
      </w:r>
      <w:r w:rsidR="00075F5F">
        <w:rPr>
          <w:rFonts w:cs="Times New Roman"/>
          <w:lang w:val="en-US"/>
        </w:rPr>
        <w:t>’</w:t>
      </w:r>
      <w:r w:rsidRPr="00532444">
        <w:rPr>
          <w:rFonts w:cs="Times New Roman"/>
          <w:lang w:val="en-US"/>
        </w:rPr>
        <w:t>s sea urchin.</w:t>
      </w:r>
      <w:r w:rsidR="00CC0615">
        <w:rPr>
          <w:rFonts w:cs="Times New Roman"/>
          <w:lang w:val="en-US"/>
        </w:rPr>
        <w:t>”</w:t>
      </w:r>
    </w:p>
    <w:p w14:paraId="4DB90C3A" w14:textId="1A4A189E" w:rsidR="00EA14FC" w:rsidRPr="00532444" w:rsidRDefault="00EA14FC" w:rsidP="00532444">
      <w:pPr>
        <w:rPr>
          <w:rFonts w:cs="Times New Roman"/>
          <w:lang w:val="en-US"/>
        </w:rPr>
      </w:pPr>
      <w:r w:rsidRPr="00532444">
        <w:rPr>
          <w:rFonts w:cs="Times New Roman"/>
          <w:lang w:val="en-US"/>
        </w:rPr>
        <w:tab/>
        <w:t xml:space="preserve">Callimachus also adopts the device of referring the genitals through allusive nouns, and evidence testifies to his reception of both the Archilochean and the Hipponactean examples. There are two occurrences of this genital allusion in Callimachus. One reflects his use of a particular noun charged with an obscene value. This is the case for νεῦρον in Call. </w:t>
      </w:r>
      <w:r w:rsidRPr="00532444">
        <w:rPr>
          <w:rFonts w:cs="Times New Roman"/>
          <w:i/>
          <w:iCs/>
          <w:lang w:val="en-US"/>
        </w:rPr>
        <w:t>Ia</w:t>
      </w:r>
      <w:r w:rsidRPr="00532444">
        <w:rPr>
          <w:rFonts w:cs="Times New Roman"/>
          <w:lang w:val="en-US"/>
        </w:rPr>
        <w:t>. 9.1 Ἑρμᾶ, τί τοι τὸ νεῦρον, ὦ Γενειόλα, / ποττὰν ὑπήναν κοὐ ποτ</w:t>
      </w:r>
      <w:r w:rsidR="00075F5F">
        <w:rPr>
          <w:rFonts w:cs="Times New Roman"/>
          <w:lang w:val="en-US"/>
        </w:rPr>
        <w:t>’</w:t>
      </w:r>
      <w:r w:rsidRPr="00532444">
        <w:rPr>
          <w:rFonts w:cs="Times New Roman"/>
          <w:lang w:val="en-US"/>
        </w:rPr>
        <w:t xml:space="preserve"> ἴχνιον; </w:t>
      </w:r>
      <w:r w:rsidR="00DF60FA">
        <w:rPr>
          <w:rFonts w:cs="Times New Roman"/>
          <w:lang w:val="en-US"/>
        </w:rPr>
        <w:t>“</w:t>
      </w:r>
      <w:r w:rsidRPr="00532444">
        <w:rPr>
          <w:rFonts w:cs="Times New Roman"/>
          <w:lang w:val="en-US"/>
        </w:rPr>
        <w:t>Hermes, o bearded one, why does your prick to your beard and not to your feet...?</w:t>
      </w:r>
      <w:r w:rsidR="00DF60FA">
        <w:rPr>
          <w:rFonts w:cs="Times New Roman"/>
          <w:lang w:val="en-US"/>
        </w:rPr>
        <w:t>,</w:t>
      </w:r>
      <w:r w:rsidR="00CC0615">
        <w:rPr>
          <w:rFonts w:cs="Times New Roman"/>
          <w:lang w:val="en-US"/>
        </w:rPr>
        <w:t>”</w:t>
      </w:r>
      <w:r w:rsidRPr="00532444">
        <w:rPr>
          <w:rFonts w:cs="Times New Roman"/>
          <w:lang w:val="en-US"/>
        </w:rPr>
        <w:t xml:space="preserve"> which recalls the word κήλων used by Archilochus, as νεῦρον is a technical term literally meaning </w:t>
      </w:r>
      <w:r w:rsidR="00CC0615">
        <w:rPr>
          <w:rFonts w:cs="Times New Roman"/>
          <w:lang w:val="en-US"/>
        </w:rPr>
        <w:t>“</w:t>
      </w:r>
      <w:r w:rsidRPr="00532444">
        <w:rPr>
          <w:rFonts w:cs="Times New Roman"/>
          <w:lang w:val="en-US"/>
        </w:rPr>
        <w:t>nerve.</w:t>
      </w:r>
      <w:r w:rsidR="00CC0615">
        <w:rPr>
          <w:rFonts w:cs="Times New Roman"/>
          <w:lang w:val="en-US"/>
        </w:rPr>
        <w:t>”</w:t>
      </w:r>
      <w:r w:rsidRPr="00532444" w:rsidDel="00541399">
        <w:rPr>
          <w:rFonts w:cs="Times New Roman"/>
          <w:lang w:val="en-US"/>
        </w:rPr>
        <w:t xml:space="preserve"> </w:t>
      </w:r>
      <w:r w:rsidRPr="00532444">
        <w:rPr>
          <w:rFonts w:cs="Times New Roman"/>
          <w:lang w:val="en-US"/>
        </w:rPr>
        <w:t xml:space="preserve">In the context of the </w:t>
      </w:r>
      <w:r w:rsidRPr="00532444">
        <w:rPr>
          <w:rFonts w:cs="Times New Roman"/>
          <w:i/>
          <w:iCs/>
          <w:lang w:val="en-US"/>
        </w:rPr>
        <w:t>Iambus</w:t>
      </w:r>
      <w:r w:rsidRPr="00532444">
        <w:rPr>
          <w:rFonts w:cs="Times New Roman"/>
          <w:lang w:val="en-US"/>
        </w:rPr>
        <w:t xml:space="preserve"> 9 it acquires the meaning of </w:t>
      </w:r>
      <w:r w:rsidR="00CC0615">
        <w:rPr>
          <w:rFonts w:cs="Times New Roman"/>
          <w:lang w:val="en-US"/>
        </w:rPr>
        <w:t>“</w:t>
      </w:r>
      <w:r w:rsidRPr="00532444">
        <w:rPr>
          <w:rFonts w:cs="Times New Roman"/>
          <w:lang w:val="en-US"/>
        </w:rPr>
        <w:t>penis.</w:t>
      </w:r>
      <w:r w:rsidR="00CC0615">
        <w:rPr>
          <w:rFonts w:cs="Times New Roman"/>
          <w:lang w:val="en-US"/>
        </w:rPr>
        <w:t>”</w:t>
      </w:r>
      <w:r w:rsidRPr="00532444">
        <w:rPr>
          <w:rFonts w:cs="Times New Roman"/>
          <w:lang w:val="en-US"/>
        </w:rPr>
        <w:t xml:space="preserve"> The other genital allusion employs a common noun, one that usually refers to something else, to mean the genitals: this is the case for θυμός in Call. 13.15, which usage mirrors that of Hipponax.</w:t>
      </w:r>
    </w:p>
    <w:p w14:paraId="4F16F48C" w14:textId="5103750D" w:rsidR="00EA14FC" w:rsidRPr="00532444" w:rsidRDefault="00EA14FC" w:rsidP="00532444">
      <w:pPr>
        <w:rPr>
          <w:rFonts w:cs="Times New Roman"/>
          <w:lang w:val="en-US"/>
        </w:rPr>
      </w:pPr>
      <w:r w:rsidRPr="00532444">
        <w:rPr>
          <w:rFonts w:cs="Times New Roman"/>
          <w:lang w:val="en-US"/>
        </w:rPr>
        <w:lastRenderedPageBreak/>
        <w:tab/>
        <w:t xml:space="preserve">There are clear examples of the cliché of the woman as dominatrix in all three of the iambographers. As shown above, the use of σάθη for the penis implies a man who wags his tail towards the woman who represents his own Circe. Archilochus expresses the same concept in Archil. fr. 44.2-3 κηρύλος / πέτρης ἐπὶ προβλῆτος ἀπτερύσσετο </w:t>
      </w:r>
      <w:r w:rsidR="00CC0615">
        <w:rPr>
          <w:rFonts w:cs="Times New Roman"/>
          <w:lang w:val="en-US"/>
        </w:rPr>
        <w:t>“</w:t>
      </w:r>
      <w:r w:rsidRPr="00532444">
        <w:rPr>
          <w:rFonts w:cs="Times New Roman"/>
          <w:lang w:val="en-US"/>
        </w:rPr>
        <w:t>a kingfisher flapped its wings on a protruding rock,</w:t>
      </w:r>
      <w:r w:rsidR="00CC0615">
        <w:rPr>
          <w:rFonts w:cs="Times New Roman"/>
          <w:lang w:val="en-US"/>
        </w:rPr>
        <w:t>”</w:t>
      </w:r>
      <w:r w:rsidRPr="00532444">
        <w:rPr>
          <w:rFonts w:cs="Times New Roman"/>
          <w:lang w:val="en-US"/>
        </w:rPr>
        <w:t xml:space="preserve"> where the image focuses on a woman who is the strong and dominant character of the sexual scene. This idea is even more explicit in Archil. fr. 26.1-2 ἡ δέ οἱ κόμη / ὤμους κατεσκίαζε καὶ μετάφρενα, </w:t>
      </w:r>
      <w:r w:rsidR="00CC0615">
        <w:rPr>
          <w:rFonts w:cs="Times New Roman"/>
          <w:lang w:val="en-US"/>
        </w:rPr>
        <w:t>“</w:t>
      </w:r>
      <w:r w:rsidRPr="00532444">
        <w:rPr>
          <w:rFonts w:cs="Times New Roman"/>
          <w:lang w:val="en-US"/>
        </w:rPr>
        <w:t>and her hair cast a shade over her shoulders and back.</w:t>
      </w:r>
      <w:r w:rsidR="00CC0615">
        <w:rPr>
          <w:rFonts w:cs="Times New Roman"/>
          <w:lang w:val="en-US"/>
        </w:rPr>
        <w:t>”</w:t>
      </w:r>
      <w:r w:rsidRPr="00532444">
        <w:rPr>
          <w:rFonts w:cs="Times New Roman"/>
          <w:lang w:val="en-US"/>
        </w:rPr>
        <w:t xml:space="preserve"> The verb κατασκιάζω occurs only once in Homer, in </w:t>
      </w:r>
      <w:r w:rsidRPr="00532444">
        <w:rPr>
          <w:rFonts w:cs="Times New Roman"/>
          <w:i/>
          <w:iCs/>
          <w:lang w:val="en-US"/>
        </w:rPr>
        <w:t>Od</w:t>
      </w:r>
      <w:r w:rsidRPr="00532444">
        <w:rPr>
          <w:rFonts w:cs="Times New Roman"/>
          <w:lang w:val="en-US"/>
        </w:rPr>
        <w:t xml:space="preserve">. 12.436, for Charybdis who swallowed up (ἀνερρύβδησε) all the sea water. Therefore, behind the description of an apparently </w:t>
      </w:r>
      <w:r w:rsidRPr="00532444">
        <w:rPr>
          <w:rFonts w:cs="Times New Roman"/>
          <w:i/>
          <w:iCs/>
          <w:lang w:val="en-US"/>
        </w:rPr>
        <w:t>casta puella</w:t>
      </w:r>
      <w:r w:rsidRPr="00532444">
        <w:rPr>
          <w:rFonts w:cs="Times New Roman"/>
          <w:lang w:val="en-US"/>
        </w:rPr>
        <w:t xml:space="preserve">, Archilochus hides a sort of sexual Charybdis. </w:t>
      </w:r>
    </w:p>
    <w:p w14:paraId="3EB07E3E" w14:textId="5DCE3860" w:rsidR="00EA14FC" w:rsidRPr="005E543A" w:rsidRDefault="00EA14FC" w:rsidP="00532444">
      <w:pPr>
        <w:ind w:firstLine="426"/>
        <w:rPr>
          <w:rFonts w:cs="Times New Roman"/>
          <w:lang w:val="en-US"/>
        </w:rPr>
      </w:pPr>
      <w:r w:rsidRPr="00532444">
        <w:rPr>
          <w:rFonts w:cs="Times New Roman"/>
          <w:lang w:val="en-US"/>
        </w:rPr>
        <w:t>Again, in Hipponax</w:t>
      </w:r>
      <w:r w:rsidR="00075F5F">
        <w:rPr>
          <w:rFonts w:cs="Times New Roman"/>
          <w:lang w:val="en-US"/>
        </w:rPr>
        <w:t>’</w:t>
      </w:r>
      <w:r w:rsidRPr="00532444">
        <w:rPr>
          <w:rFonts w:cs="Times New Roman"/>
          <w:lang w:val="en-US"/>
        </w:rPr>
        <w:t xml:space="preserve">s fr. 33 τίς ὀμφαλητόμος σε τὸν διοπλῆγα / ἔψησε κἀπέλουσεν ἀσκαρίζοντα; </w:t>
      </w:r>
      <w:r w:rsidR="00CC0615">
        <w:rPr>
          <w:rFonts w:cs="Times New Roman"/>
          <w:lang w:val="en-US"/>
        </w:rPr>
        <w:t>“</w:t>
      </w:r>
      <w:r w:rsidRPr="00532444">
        <w:rPr>
          <w:rFonts w:cs="Times New Roman"/>
          <w:lang w:val="en-US"/>
        </w:rPr>
        <w:t>what navel-snipper wiped and washed you as you squirned about, you crack-brained creature?</w:t>
      </w:r>
      <w:r w:rsidR="00CC0615">
        <w:rPr>
          <w:rFonts w:cs="Times New Roman"/>
          <w:lang w:val="en-US"/>
        </w:rPr>
        <w:t>”</w:t>
      </w:r>
      <w:r w:rsidRPr="00532444">
        <w:rPr>
          <w:rFonts w:cs="Times New Roman"/>
          <w:lang w:val="en-US"/>
        </w:rPr>
        <w:t>, the woman is the mistress in the sexual game which Boupalus and his mother Arete are playing. The clue that points to this interpretation is the compound ὀμφαλητόμος which could hint at Omphale, as shown by the choice of the vowel of conjunction /η/, instead of the common /ο/.</w:t>
      </w:r>
      <w:r w:rsidRPr="00CE67A3">
        <w:rPr>
          <w:rStyle w:val="FootnoteReference"/>
          <w:rFonts w:cs="Times New Roman"/>
          <w:lang w:val="en-US"/>
        </w:rPr>
        <w:footnoteReference w:id="409"/>
      </w:r>
      <w:r w:rsidRPr="00CE67A3">
        <w:rPr>
          <w:rFonts w:cs="Times New Roman"/>
          <w:lang w:val="en-US"/>
        </w:rPr>
        <w:t xml:space="preserve"> In this way, the wor</w:t>
      </w:r>
      <w:r w:rsidRPr="00B074A4">
        <w:rPr>
          <w:rFonts w:cs="Times New Roman"/>
          <w:lang w:val="en-US"/>
        </w:rPr>
        <w:t>d recalls the mythological character of Omphale, the Greek queen of Lydia, daugh</w:t>
      </w:r>
      <w:r w:rsidRPr="004C3336">
        <w:rPr>
          <w:rFonts w:cs="Times New Roman"/>
          <w:lang w:val="en-US"/>
        </w:rPr>
        <w:t>ter of the river Iardane, who kept Heracles as her personal slave for three years, forcing him to dress as a woman and to spin wool, while Omphale wore Heracles</w:t>
      </w:r>
      <w:r w:rsidR="00075F5F">
        <w:rPr>
          <w:rFonts w:cs="Times New Roman"/>
          <w:lang w:val="en-US"/>
        </w:rPr>
        <w:t>’</w:t>
      </w:r>
      <w:r w:rsidRPr="004C3336">
        <w:rPr>
          <w:rFonts w:cs="Times New Roman"/>
          <w:lang w:val="en-US"/>
        </w:rPr>
        <w:t xml:space="preserve"> lion skin. In contrast, the man described by Hipponax is διοπλήξ </w:t>
      </w:r>
      <w:r w:rsidR="00CC0615">
        <w:rPr>
          <w:rFonts w:cs="Times New Roman"/>
          <w:lang w:val="en-US"/>
        </w:rPr>
        <w:t>“</w:t>
      </w:r>
      <w:r w:rsidRPr="004C3336">
        <w:rPr>
          <w:rFonts w:cs="Times New Roman"/>
          <w:lang w:val="en-US"/>
        </w:rPr>
        <w:t>struck by god,</w:t>
      </w:r>
      <w:r w:rsidR="00CC0615">
        <w:rPr>
          <w:rFonts w:cs="Times New Roman"/>
          <w:lang w:val="en-US"/>
        </w:rPr>
        <w:t>”</w:t>
      </w:r>
      <w:r w:rsidRPr="004C3336">
        <w:rPr>
          <w:rFonts w:cs="Times New Roman"/>
          <w:lang w:val="en-US"/>
        </w:rPr>
        <w:t xml:space="preserve"> since he was</w:t>
      </w:r>
      <w:r w:rsidRPr="005E543A">
        <w:rPr>
          <w:rFonts w:cs="Times New Roman"/>
          <w:lang w:val="en-US"/>
        </w:rPr>
        <w:t xml:space="preserve"> subdued by Arete just like Heracles was charmed by the Lydian queen.</w:t>
      </w:r>
    </w:p>
    <w:p w14:paraId="13E7F322" w14:textId="6B832661" w:rsidR="00EA14FC" w:rsidRPr="00CE67A3" w:rsidRDefault="00EA14FC" w:rsidP="00532444">
      <w:pPr>
        <w:ind w:firstLine="426"/>
        <w:rPr>
          <w:rFonts w:cs="Times New Roman"/>
          <w:lang w:val="en-US"/>
        </w:rPr>
      </w:pPr>
      <w:r w:rsidRPr="002818ED">
        <w:rPr>
          <w:rFonts w:cs="Times New Roman"/>
          <w:lang w:val="en-US"/>
        </w:rPr>
        <w:t>Hipponax introduces a new element into the sexual relationship between women and men, since the woman who plays the role of sexual mistress of the man is also the man</w:t>
      </w:r>
      <w:r w:rsidR="00075F5F">
        <w:rPr>
          <w:rFonts w:cs="Times New Roman"/>
          <w:lang w:val="en-US"/>
        </w:rPr>
        <w:t>’</w:t>
      </w:r>
      <w:r w:rsidRPr="002818ED">
        <w:rPr>
          <w:rFonts w:cs="Times New Roman"/>
          <w:lang w:val="en-US"/>
        </w:rPr>
        <w:t>s mother. The court</w:t>
      </w:r>
      <w:r w:rsidRPr="008A330E">
        <w:rPr>
          <w:rFonts w:cs="Times New Roman"/>
          <w:lang w:val="en-US"/>
        </w:rPr>
        <w:t xml:space="preserve">esan Arete was the mother of Bupalus, whom Hipponax calls Μητρότιμος </w:t>
      </w:r>
      <w:r w:rsidR="00CC0615">
        <w:rPr>
          <w:rFonts w:cs="Times New Roman"/>
          <w:lang w:val="en-US"/>
        </w:rPr>
        <w:t>“</w:t>
      </w:r>
      <w:r w:rsidRPr="008A330E">
        <w:rPr>
          <w:rFonts w:cs="Times New Roman"/>
          <w:lang w:val="en-US"/>
        </w:rPr>
        <w:t>Metrotimus</w:t>
      </w:r>
      <w:r w:rsidR="00CC0615">
        <w:rPr>
          <w:rFonts w:cs="Times New Roman"/>
          <w:lang w:val="en-US"/>
        </w:rPr>
        <w:t>”</w:t>
      </w:r>
      <w:r w:rsidRPr="008A330E">
        <w:rPr>
          <w:rFonts w:cs="Times New Roman"/>
          <w:lang w:val="en-US"/>
        </w:rPr>
        <w:t xml:space="preserve"> (fr. 193), namely </w:t>
      </w:r>
      <w:r w:rsidR="00CC0615">
        <w:rPr>
          <w:rFonts w:cs="Times New Roman"/>
          <w:lang w:val="en-US"/>
        </w:rPr>
        <w:t>“</w:t>
      </w:r>
      <w:r w:rsidRPr="008A330E">
        <w:rPr>
          <w:rFonts w:cs="Times New Roman"/>
          <w:lang w:val="en-US"/>
        </w:rPr>
        <w:t>who honours the mother.</w:t>
      </w:r>
      <w:r w:rsidR="00CC0615">
        <w:rPr>
          <w:rFonts w:cs="Times New Roman"/>
          <w:lang w:val="en-US"/>
        </w:rPr>
        <w:t>”</w:t>
      </w:r>
      <w:r w:rsidRPr="008A330E">
        <w:rPr>
          <w:rFonts w:cs="Times New Roman"/>
          <w:lang w:val="en-US"/>
        </w:rPr>
        <w:t xml:space="preserve"> </w:t>
      </w:r>
      <w:r w:rsidRPr="00532444">
        <w:rPr>
          <w:rFonts w:cs="Times New Roman"/>
          <w:lang w:val="en-US"/>
        </w:rPr>
        <w:t xml:space="preserve">Ἀρέτη is clearly a speaking name, since the noun ἀρετή means </w:t>
      </w:r>
      <w:r w:rsidR="00CC0615">
        <w:rPr>
          <w:rFonts w:cs="Times New Roman"/>
          <w:lang w:val="en-US"/>
        </w:rPr>
        <w:t>“</w:t>
      </w:r>
      <w:r w:rsidRPr="00532444">
        <w:rPr>
          <w:rFonts w:cs="Times New Roman"/>
          <w:lang w:val="en-US"/>
        </w:rPr>
        <w:t>virtue</w:t>
      </w:r>
      <w:r w:rsidR="00CC0615">
        <w:rPr>
          <w:rFonts w:cs="Times New Roman"/>
          <w:lang w:val="en-US"/>
        </w:rPr>
        <w:t>”</w:t>
      </w:r>
      <w:r w:rsidRPr="00532444">
        <w:rPr>
          <w:rFonts w:cs="Times New Roman"/>
          <w:lang w:val="en-US"/>
        </w:rPr>
        <w:t xml:space="preserve"> and in the </w:t>
      </w:r>
      <w:r w:rsidRPr="00532444">
        <w:rPr>
          <w:rFonts w:cs="Times New Roman"/>
          <w:i/>
          <w:iCs/>
          <w:lang w:val="en-US"/>
        </w:rPr>
        <w:t>Odyssey</w:t>
      </w:r>
      <w:r w:rsidRPr="00532444">
        <w:rPr>
          <w:rFonts w:cs="Times New Roman"/>
          <w:lang w:val="en-US"/>
        </w:rPr>
        <w:t xml:space="preserve"> is the name of the Queen of Phaeacia: Ἀρήτη δ</w:t>
      </w:r>
      <w:r w:rsidR="00075F5F">
        <w:rPr>
          <w:rFonts w:cs="Times New Roman"/>
          <w:lang w:val="en-US"/>
        </w:rPr>
        <w:t>’</w:t>
      </w:r>
      <w:r w:rsidRPr="00532444">
        <w:rPr>
          <w:rFonts w:cs="Times New Roman"/>
          <w:lang w:val="en-US"/>
        </w:rPr>
        <w:t xml:space="preserve"> ὄνομ</w:t>
      </w:r>
      <w:r w:rsidR="00075F5F">
        <w:rPr>
          <w:rFonts w:cs="Times New Roman"/>
          <w:lang w:val="en-US"/>
        </w:rPr>
        <w:t>’</w:t>
      </w:r>
      <w:r w:rsidRPr="00532444">
        <w:rPr>
          <w:rFonts w:cs="Times New Roman"/>
          <w:lang w:val="en-US"/>
        </w:rPr>
        <w:t xml:space="preserve"> ἐστὶν ἐπώνυμον, ἐκ δὲ τοκήων / τῶν αὐτῶν, οἵ περ τέκον Ἀλκίνοον βασιλῆα </w:t>
      </w:r>
      <w:r w:rsidR="00CC0615">
        <w:rPr>
          <w:rFonts w:cs="Times New Roman"/>
          <w:lang w:val="en-US"/>
        </w:rPr>
        <w:t>“</w:t>
      </w:r>
      <w:r w:rsidRPr="00532444">
        <w:rPr>
          <w:rFonts w:cs="Times New Roman"/>
          <w:lang w:val="en-US"/>
        </w:rPr>
        <w:t xml:space="preserve">Arete is the name by which she is called, and she is sprung </w:t>
      </w:r>
      <w:r w:rsidRPr="00532444">
        <w:rPr>
          <w:rFonts w:cs="Times New Roman"/>
          <w:lang w:val="en-US"/>
        </w:rPr>
        <w:lastRenderedPageBreak/>
        <w:t>from the same line as is the king Alcinous</w:t>
      </w:r>
      <w:r w:rsidR="00CC0615">
        <w:rPr>
          <w:rFonts w:cs="Times New Roman"/>
          <w:lang w:val="en-US"/>
        </w:rPr>
        <w:t>”</w:t>
      </w:r>
      <w:r w:rsidRPr="00532444">
        <w:rPr>
          <w:rFonts w:cs="Times New Roman"/>
          <w:lang w:val="en-US"/>
        </w:rPr>
        <w:t xml:space="preserve"> (</w:t>
      </w:r>
      <w:r w:rsidRPr="00532444">
        <w:rPr>
          <w:rFonts w:cs="Times New Roman"/>
          <w:i/>
          <w:iCs/>
          <w:lang w:val="en-US"/>
        </w:rPr>
        <w:t>Od</w:t>
      </w:r>
      <w:r w:rsidRPr="00532444">
        <w:rPr>
          <w:rFonts w:cs="Times New Roman"/>
          <w:lang w:val="en-US"/>
        </w:rPr>
        <w:t xml:space="preserve">. 7.54-5). Ten lines later, Homer specifies that Arete is the daughter of Rexenor, brother of Alcinous, which implies that τοκῆες means </w:t>
      </w:r>
      <w:r w:rsidR="00CC0615">
        <w:rPr>
          <w:rFonts w:cs="Times New Roman"/>
          <w:lang w:val="en-US"/>
        </w:rPr>
        <w:t>“</w:t>
      </w:r>
      <w:r w:rsidRPr="00532444">
        <w:rPr>
          <w:rFonts w:cs="Times New Roman"/>
          <w:lang w:val="en-US"/>
        </w:rPr>
        <w:t>ancestors</w:t>
      </w:r>
      <w:r w:rsidR="00CC0615">
        <w:rPr>
          <w:rFonts w:cs="Times New Roman"/>
          <w:lang w:val="en-US"/>
        </w:rPr>
        <w:t>”</w:t>
      </w:r>
      <w:r w:rsidRPr="00532444">
        <w:rPr>
          <w:rFonts w:cs="Times New Roman"/>
          <w:lang w:val="en-US"/>
        </w:rPr>
        <w:t xml:space="preserve"> (</w:t>
      </w:r>
      <w:r w:rsidRPr="00532444">
        <w:rPr>
          <w:rFonts w:cs="Times New Roman"/>
          <w:i/>
          <w:iCs/>
          <w:lang w:val="en-US"/>
        </w:rPr>
        <w:t>Od</w:t>
      </w:r>
      <w:r w:rsidRPr="00532444">
        <w:rPr>
          <w:rFonts w:cs="Times New Roman"/>
          <w:lang w:val="en-US"/>
        </w:rPr>
        <w:t>. 7.54) However, the reading according to which Arete had the same parents of Alcinous rises spontaneously so that also Hesiod calls Arete the sister of Alcinous (cf. fr. 222 M.-W.).</w:t>
      </w:r>
      <w:r w:rsidRPr="00CE67A3">
        <w:rPr>
          <w:rStyle w:val="FootnoteReference"/>
          <w:rFonts w:cs="Times New Roman"/>
          <w:lang w:val="en-US"/>
        </w:rPr>
        <w:footnoteReference w:id="410"/>
      </w:r>
      <w:r w:rsidRPr="00CE67A3">
        <w:rPr>
          <w:rFonts w:cs="Times New Roman"/>
          <w:lang w:val="en-US"/>
        </w:rPr>
        <w:t xml:space="preserve"> The ambiguous genealogy of the queen of the Phaeacians surely played a part in choosing the name of Bupalus</w:t>
      </w:r>
      <w:r w:rsidR="00075F5F">
        <w:rPr>
          <w:rFonts w:cs="Times New Roman"/>
          <w:lang w:val="en-US"/>
        </w:rPr>
        <w:t>’</w:t>
      </w:r>
      <w:r w:rsidRPr="00CE67A3">
        <w:rPr>
          <w:rFonts w:cs="Times New Roman"/>
          <w:lang w:val="en-US"/>
        </w:rPr>
        <w:t xml:space="preserve"> mother.</w:t>
      </w:r>
    </w:p>
    <w:p w14:paraId="44671453" w14:textId="02B000BF" w:rsidR="00EA14FC" w:rsidRPr="00CE67A3" w:rsidRDefault="00EA14FC" w:rsidP="00532444">
      <w:pPr>
        <w:rPr>
          <w:rFonts w:cs="Times New Roman"/>
          <w:lang w:val="en-US"/>
        </w:rPr>
      </w:pPr>
      <w:r w:rsidRPr="00B074A4">
        <w:rPr>
          <w:rFonts w:cs="Times New Roman"/>
          <w:lang w:val="en-US"/>
        </w:rPr>
        <w:tab/>
        <w:t xml:space="preserve">Callimachus seems to have entirely absorbed the previously iambic tradition, since he describes a mother as dominatrix. Call. </w:t>
      </w:r>
      <w:r w:rsidRPr="00B074A4">
        <w:rPr>
          <w:rFonts w:cs="Times New Roman"/>
          <w:i/>
          <w:iCs/>
          <w:lang w:val="en-US"/>
        </w:rPr>
        <w:t>Ia</w:t>
      </w:r>
      <w:r w:rsidRPr="00532444">
        <w:rPr>
          <w:rFonts w:cs="Times New Roman"/>
          <w:lang w:val="en-US"/>
        </w:rPr>
        <w:t>. 3.24 (ὥ</w:t>
      </w:r>
      <w:r w:rsidRPr="00CE67A3">
        <w:rPr>
          <w:rFonts w:cs="Times New Roman"/>
          <w:lang w:val="en-US"/>
        </w:rPr>
        <w:t>σπερ Εὐ</w:t>
      </w:r>
      <w:r w:rsidRPr="00B074A4">
        <w:rPr>
          <w:rFonts w:cs="Times New Roman"/>
          <w:lang w:val="en-US"/>
        </w:rPr>
        <w:t xml:space="preserve">θύδημον ἡ μήτηρ </w:t>
      </w:r>
      <w:r w:rsidR="00CC0615">
        <w:rPr>
          <w:rFonts w:cs="Times New Roman"/>
          <w:lang w:val="en-US"/>
        </w:rPr>
        <w:t>“</w:t>
      </w:r>
      <w:r w:rsidRPr="00B074A4">
        <w:rPr>
          <w:rFonts w:cs="Times New Roman"/>
          <w:lang w:val="en-US"/>
        </w:rPr>
        <w:t>just as his mother Euthydemus</w:t>
      </w:r>
      <w:r w:rsidR="00CC0615">
        <w:rPr>
          <w:rFonts w:cs="Times New Roman"/>
          <w:lang w:val="en-US"/>
        </w:rPr>
        <w:t>”</w:t>
      </w:r>
      <w:r w:rsidRPr="00B074A4">
        <w:rPr>
          <w:rFonts w:cs="Times New Roman"/>
          <w:lang w:val="en-US"/>
        </w:rPr>
        <w:t>) shows the mother of Euthydemus, the poet</w:t>
      </w:r>
      <w:r w:rsidR="00075F5F">
        <w:rPr>
          <w:rFonts w:cs="Times New Roman"/>
          <w:lang w:val="en-US"/>
        </w:rPr>
        <w:t>’</w:t>
      </w:r>
      <w:r w:rsidRPr="00B074A4">
        <w:rPr>
          <w:rFonts w:cs="Times New Roman"/>
          <w:lang w:val="en-US"/>
        </w:rPr>
        <w:t>s young beloved, as the dominant character in the sexual affair. Euthydemus, apparently the agent of the poet</w:t>
      </w:r>
      <w:r w:rsidR="00075F5F">
        <w:rPr>
          <w:rFonts w:cs="Times New Roman"/>
          <w:lang w:val="en-US"/>
        </w:rPr>
        <w:t>’</w:t>
      </w:r>
      <w:r w:rsidRPr="00B074A4">
        <w:rPr>
          <w:rFonts w:cs="Times New Roman"/>
          <w:lang w:val="en-US"/>
        </w:rPr>
        <w:t>s reminiscence, is the object of his mot</w:t>
      </w:r>
      <w:r w:rsidRPr="004C3336">
        <w:rPr>
          <w:rFonts w:cs="Times New Roman"/>
          <w:lang w:val="en-US"/>
        </w:rPr>
        <w:t>her</w:t>
      </w:r>
      <w:r w:rsidR="00075F5F">
        <w:rPr>
          <w:rFonts w:cs="Times New Roman"/>
          <w:lang w:val="en-US"/>
        </w:rPr>
        <w:t>’</w:t>
      </w:r>
      <w:r w:rsidRPr="004C3336">
        <w:rPr>
          <w:rFonts w:cs="Times New Roman"/>
          <w:lang w:val="en-US"/>
        </w:rPr>
        <w:t>s action at line 24, and the one who swears the oath could also be the boy</w:t>
      </w:r>
      <w:r w:rsidR="00075F5F">
        <w:rPr>
          <w:rFonts w:cs="Times New Roman"/>
          <w:lang w:val="en-US"/>
        </w:rPr>
        <w:t>’</w:t>
      </w:r>
      <w:r w:rsidRPr="004C3336">
        <w:rPr>
          <w:rFonts w:cs="Times New Roman"/>
          <w:lang w:val="en-US"/>
        </w:rPr>
        <w:t>s mother: δεξι</w:t>
      </w:r>
      <w:r w:rsidRPr="005E543A">
        <w:rPr>
          <w:rFonts w:cs="Times New Roman"/>
          <w:lang w:val="en-US"/>
        </w:rPr>
        <w:t>ὴ</w:t>
      </w:r>
      <w:r w:rsidRPr="002818ED">
        <w:rPr>
          <w:rFonts w:cs="Times New Roman"/>
          <w:lang w:val="en-US"/>
        </w:rPr>
        <w:t xml:space="preserve">ν </w:t>
      </w:r>
      <w:r w:rsidRPr="008A330E">
        <w:rPr>
          <w:rFonts w:cs="Times New Roman"/>
          <w:lang w:val="en-US"/>
        </w:rPr>
        <w:t>ἔ</w:t>
      </w:r>
      <w:r w:rsidRPr="00532444">
        <w:rPr>
          <w:rFonts w:cs="Times New Roman"/>
          <w:lang w:val="en-US"/>
        </w:rPr>
        <w:t>δωκε … σπλάγχνα</w:t>
      </w:r>
      <w:r w:rsidR="00437209" w:rsidRPr="00532444">
        <w:rPr>
          <w:rFonts w:cs="Times New Roman"/>
          <w:lang w:val="en-US"/>
        </w:rPr>
        <w:t xml:space="preserve"> / ...</w:t>
      </w:r>
      <w:r w:rsidRPr="00532444">
        <w:rPr>
          <w:rFonts w:cs="Times New Roman"/>
          <w:lang w:val="en-US"/>
        </w:rPr>
        <w:t xml:space="preserve"> ἐ</w:t>
      </w:r>
      <w:r w:rsidRPr="00CE67A3">
        <w:rPr>
          <w:rFonts w:cs="Times New Roman"/>
          <w:lang w:val="en-US"/>
        </w:rPr>
        <w:t>ν ἱ</w:t>
      </w:r>
      <w:r w:rsidRPr="00B074A4">
        <w:rPr>
          <w:rFonts w:cs="Times New Roman"/>
          <w:lang w:val="en-US"/>
        </w:rPr>
        <w:t>ραῖς εἶ</w:t>
      </w:r>
      <w:r w:rsidRPr="004C3336">
        <w:rPr>
          <w:rFonts w:cs="Times New Roman"/>
          <w:lang w:val="en-US"/>
        </w:rPr>
        <w:t xml:space="preserve">πεν </w:t>
      </w:r>
      <w:r w:rsidRPr="005E543A">
        <w:rPr>
          <w:rFonts w:cs="Times New Roman"/>
          <w:lang w:val="en-US"/>
        </w:rPr>
        <w:t>ἡ</w:t>
      </w:r>
      <w:r w:rsidRPr="002818ED">
        <w:rPr>
          <w:rFonts w:cs="Times New Roman"/>
          <w:lang w:val="en-US"/>
        </w:rPr>
        <w:t xml:space="preserve">μέραις </w:t>
      </w:r>
      <w:r w:rsidRPr="008A330E">
        <w:rPr>
          <w:rFonts w:cs="Times New Roman"/>
          <w:lang w:val="en-US"/>
        </w:rPr>
        <w:t>ἥ</w:t>
      </w:r>
      <w:r w:rsidRPr="00532444">
        <w:rPr>
          <w:rFonts w:cs="Times New Roman"/>
          <w:lang w:val="en-US"/>
        </w:rPr>
        <w:t>κειν / καὶ γαμβρὸν</w:t>
      </w:r>
      <w:r w:rsidR="00437209" w:rsidRPr="00532444">
        <w:rPr>
          <w:rFonts w:cs="Times New Roman"/>
          <w:lang w:val="en-US"/>
        </w:rPr>
        <w:t xml:space="preserve"> ...</w:t>
      </w:r>
      <w:r w:rsidRPr="00532444">
        <w:rPr>
          <w:rFonts w:cs="Times New Roman"/>
          <w:lang w:val="en-US"/>
        </w:rPr>
        <w:t xml:space="preserve"> </w:t>
      </w:r>
      <w:r w:rsidRPr="00CE67A3">
        <w:rPr>
          <w:rFonts w:cs="Times New Roman"/>
          <w:lang w:val="en-US"/>
        </w:rPr>
        <w:t xml:space="preserve">φίλον θέσθαι </w:t>
      </w:r>
      <w:r w:rsidR="00CC0615">
        <w:rPr>
          <w:rFonts w:cs="Times New Roman"/>
          <w:lang w:val="en-US"/>
        </w:rPr>
        <w:t>“</w:t>
      </w:r>
      <w:r w:rsidRPr="00CE67A3">
        <w:rPr>
          <w:rFonts w:cs="Times New Roman"/>
          <w:lang w:val="en-US"/>
        </w:rPr>
        <w:t>gave his/her right hand … said he had come on the holy days and his suitor …</w:t>
      </w:r>
      <w:r w:rsidRPr="00B074A4">
        <w:rPr>
          <w:rFonts w:cs="Times New Roman"/>
          <w:lang w:val="en-US"/>
        </w:rPr>
        <w:t xml:space="preserve"> friend to make</w:t>
      </w:r>
      <w:r w:rsidR="00CC0615">
        <w:rPr>
          <w:rFonts w:cs="Times New Roman"/>
          <w:lang w:val="en-US"/>
        </w:rPr>
        <w:t>”</w:t>
      </w:r>
      <w:r w:rsidRPr="00B074A4">
        <w:rPr>
          <w:rFonts w:cs="Times New Roman"/>
          <w:lang w:val="en-US"/>
        </w:rPr>
        <w:t xml:space="preserve"> (27-29).</w:t>
      </w:r>
      <w:r w:rsidRPr="00CE67A3">
        <w:rPr>
          <w:rStyle w:val="FootnoteReference"/>
          <w:rFonts w:cs="Times New Roman"/>
          <w:lang w:val="en-US"/>
        </w:rPr>
        <w:footnoteReference w:id="411"/>
      </w:r>
      <w:r w:rsidRPr="00CE67A3">
        <w:rPr>
          <w:rFonts w:cs="Times New Roman"/>
          <w:lang w:val="en-US"/>
        </w:rPr>
        <w:t xml:space="preserve"> The extant lines of </w:t>
      </w:r>
      <w:r w:rsidRPr="00CE67A3">
        <w:rPr>
          <w:rFonts w:cs="Times New Roman"/>
          <w:i/>
          <w:iCs/>
          <w:lang w:val="en-US"/>
        </w:rPr>
        <w:t>Iambus</w:t>
      </w:r>
      <w:r w:rsidRPr="00B074A4">
        <w:rPr>
          <w:rFonts w:cs="Times New Roman"/>
          <w:lang w:val="en-US"/>
        </w:rPr>
        <w:t xml:space="preserve"> 3 reveal the figure of the boy</w:t>
      </w:r>
      <w:r w:rsidR="00075F5F">
        <w:rPr>
          <w:rFonts w:cs="Times New Roman"/>
          <w:lang w:val="en-US"/>
        </w:rPr>
        <w:t>’</w:t>
      </w:r>
      <w:r w:rsidRPr="00B074A4">
        <w:rPr>
          <w:rFonts w:cs="Times New Roman"/>
          <w:lang w:val="en-US"/>
        </w:rPr>
        <w:t xml:space="preserve">s mother in the role of panderer, since the diegete says at the end of his summary </w:t>
      </w:r>
      <w:r w:rsidRPr="004C3336">
        <w:rPr>
          <w:rFonts w:cs="Times New Roman"/>
          <w:lang w:val="en-US"/>
        </w:rPr>
        <w:t>ὑ</w:t>
      </w:r>
      <w:r w:rsidRPr="005E543A">
        <w:rPr>
          <w:rFonts w:cs="Times New Roman"/>
          <w:lang w:val="en-US"/>
        </w:rPr>
        <w:t>π</w:t>
      </w:r>
      <w:r w:rsidRPr="002818ED">
        <w:rPr>
          <w:rFonts w:cs="Times New Roman"/>
          <w:lang w:val="en-US"/>
        </w:rPr>
        <w:t>ὸ</w:t>
      </w:r>
      <w:r w:rsidRPr="008A330E">
        <w:rPr>
          <w:rFonts w:cs="Times New Roman"/>
          <w:lang w:val="en-US"/>
        </w:rPr>
        <w:t xml:space="preserve"> τ</w:t>
      </w:r>
      <w:r w:rsidRPr="00532444">
        <w:rPr>
          <w:rFonts w:cs="Times New Roman"/>
          <w:lang w:val="en-US"/>
        </w:rPr>
        <w:t xml:space="preserve">ῆς μητρὸς πλουσίῳ συσταθέντα </w:t>
      </w:r>
      <w:r w:rsidR="00CC0615">
        <w:rPr>
          <w:rFonts w:cs="Times New Roman"/>
          <w:lang w:val="en-US"/>
        </w:rPr>
        <w:t>“</w:t>
      </w:r>
      <w:r w:rsidRPr="00532444">
        <w:rPr>
          <w:rFonts w:cs="Times New Roman"/>
          <w:lang w:val="en-US"/>
        </w:rPr>
        <w:t>when he is presented by his mother to a rich man.</w:t>
      </w:r>
      <w:r w:rsidR="00CC0615">
        <w:rPr>
          <w:rFonts w:cs="Times New Roman"/>
          <w:lang w:val="en-US"/>
        </w:rPr>
        <w:t>”</w:t>
      </w:r>
      <w:r w:rsidRPr="00532444">
        <w:rPr>
          <w:rFonts w:cs="Times New Roman"/>
          <w:lang w:val="en-US"/>
        </w:rPr>
        <w:t xml:space="preserve"> The role of the woman as dominatrix has changed from that of a sexual dominatrix to that of a panderer, who is ultimately herself a dominant female figure.</w:t>
      </w:r>
      <w:r w:rsidRPr="00CE67A3">
        <w:rPr>
          <w:rStyle w:val="FootnoteReference"/>
          <w:rFonts w:cs="Times New Roman"/>
          <w:lang w:val="en-US"/>
        </w:rPr>
        <w:footnoteReference w:id="412"/>
      </w:r>
    </w:p>
    <w:p w14:paraId="2AABBF8C" w14:textId="3CE5C347" w:rsidR="00AE724C" w:rsidRPr="00D5239F" w:rsidRDefault="00966170" w:rsidP="00825A39">
      <w:pPr>
        <w:pStyle w:val="Heading3"/>
      </w:pPr>
      <w:r>
        <w:t>3.3</w:t>
      </w:r>
      <w:r w:rsidR="00D5239F">
        <w:t xml:space="preserve"> </w:t>
      </w:r>
      <w:r w:rsidR="00AE724C" w:rsidRPr="00D5239F">
        <w:t>Invocations of the Gods</w:t>
      </w:r>
    </w:p>
    <w:p w14:paraId="19E038C0" w14:textId="77777777" w:rsidR="00AE724C" w:rsidRPr="00825A39" w:rsidRDefault="00AE724C" w:rsidP="00825A39">
      <w:pPr>
        <w:spacing w:after="200"/>
        <w:textAlignment w:val="bottom"/>
        <w:rPr>
          <w:rFonts w:cs="Times New Roman"/>
          <w:szCs w:val="24"/>
        </w:rPr>
      </w:pPr>
      <w:r w:rsidRPr="00825A39">
        <w:rPr>
          <w:rFonts w:cs="Times New Roman"/>
          <w:szCs w:val="24"/>
        </w:rPr>
        <w:t>Catalogue of relevant passages:</w:t>
      </w:r>
    </w:p>
    <w:tbl>
      <w:tblPr>
        <w:tblStyle w:val="TableGrid"/>
        <w:tblW w:w="0" w:type="auto"/>
        <w:tblLook w:val="04A0" w:firstRow="1" w:lastRow="0" w:firstColumn="1" w:lastColumn="0" w:noHBand="0" w:noVBand="1"/>
      </w:tblPr>
      <w:tblGrid>
        <w:gridCol w:w="2857"/>
        <w:gridCol w:w="2808"/>
        <w:gridCol w:w="2863"/>
      </w:tblGrid>
      <w:tr w:rsidR="00AE724C" w:rsidRPr="00770CB7" w14:paraId="6B769400" w14:textId="77777777" w:rsidTr="00437209">
        <w:tc>
          <w:tcPr>
            <w:tcW w:w="2857" w:type="dxa"/>
          </w:tcPr>
          <w:p w14:paraId="49EDDDE3" w14:textId="77777777" w:rsidR="00AE724C" w:rsidRPr="00770CB7" w:rsidRDefault="00AE724C" w:rsidP="00825A39">
            <w:pPr>
              <w:spacing w:before="100" w:after="100" w:line="240" w:lineRule="auto"/>
              <w:textAlignment w:val="bottom"/>
              <w:rPr>
                <w:rFonts w:cs="Times New Roman"/>
                <w:i/>
                <w:iCs/>
                <w:color w:val="404040" w:themeColor="text1" w:themeTint="BF"/>
                <w:sz w:val="20"/>
                <w:szCs w:val="24"/>
              </w:rPr>
            </w:pPr>
            <w:r w:rsidRPr="00770CB7">
              <w:rPr>
                <w:rFonts w:cs="Times New Roman"/>
                <w:szCs w:val="24"/>
              </w:rPr>
              <w:t>Archilochus</w:t>
            </w:r>
          </w:p>
        </w:tc>
        <w:tc>
          <w:tcPr>
            <w:tcW w:w="2808" w:type="dxa"/>
          </w:tcPr>
          <w:p w14:paraId="456639E3" w14:textId="77777777" w:rsidR="00AE724C" w:rsidRPr="00770CB7" w:rsidRDefault="00AE724C" w:rsidP="00825A39">
            <w:pPr>
              <w:spacing w:before="100" w:after="100" w:line="240" w:lineRule="auto"/>
              <w:textAlignment w:val="bottom"/>
              <w:rPr>
                <w:rFonts w:cs="Times New Roman"/>
                <w:i/>
                <w:iCs/>
                <w:color w:val="404040" w:themeColor="text1" w:themeTint="BF"/>
                <w:sz w:val="20"/>
                <w:szCs w:val="24"/>
              </w:rPr>
            </w:pPr>
            <w:r w:rsidRPr="00770CB7">
              <w:rPr>
                <w:rFonts w:cs="Times New Roman"/>
                <w:szCs w:val="24"/>
              </w:rPr>
              <w:t>Hipponax</w:t>
            </w:r>
          </w:p>
        </w:tc>
        <w:tc>
          <w:tcPr>
            <w:tcW w:w="2863" w:type="dxa"/>
          </w:tcPr>
          <w:p w14:paraId="7DC78CEE" w14:textId="77777777" w:rsidR="00AE724C" w:rsidRPr="00770CB7" w:rsidRDefault="00AE724C" w:rsidP="00825A39">
            <w:pPr>
              <w:spacing w:before="100" w:after="100" w:line="240" w:lineRule="auto"/>
              <w:textAlignment w:val="bottom"/>
              <w:rPr>
                <w:rFonts w:cs="Times New Roman"/>
                <w:i/>
                <w:iCs/>
                <w:color w:val="404040" w:themeColor="text1" w:themeTint="BF"/>
                <w:sz w:val="20"/>
                <w:szCs w:val="24"/>
              </w:rPr>
            </w:pPr>
            <w:r w:rsidRPr="00770CB7">
              <w:rPr>
                <w:rFonts w:cs="Times New Roman"/>
                <w:szCs w:val="24"/>
              </w:rPr>
              <w:t>Callimachus</w:t>
            </w:r>
          </w:p>
        </w:tc>
      </w:tr>
      <w:tr w:rsidR="00AE724C" w:rsidRPr="00770CB7" w14:paraId="33EF1F43" w14:textId="77777777" w:rsidTr="00437209">
        <w:tc>
          <w:tcPr>
            <w:tcW w:w="2857" w:type="dxa"/>
          </w:tcPr>
          <w:p w14:paraId="3F18A27C" w14:textId="77777777" w:rsidR="00AE724C" w:rsidRPr="00770CB7" w:rsidRDefault="00AE724C" w:rsidP="00825A39">
            <w:pPr>
              <w:spacing w:before="100" w:after="100" w:line="240" w:lineRule="auto"/>
              <w:jc w:val="left"/>
              <w:textAlignment w:val="bottom"/>
              <w:rPr>
                <w:rFonts w:eastAsiaTheme="majorEastAsia" w:cs="Times New Roman"/>
                <w:i/>
                <w:iCs/>
                <w:color w:val="404040" w:themeColor="text1" w:themeTint="BF"/>
                <w:sz w:val="20"/>
                <w:szCs w:val="24"/>
              </w:rPr>
            </w:pPr>
            <w:r w:rsidRPr="00770CB7">
              <w:rPr>
                <w:rFonts w:cs="Times New Roman"/>
                <w:szCs w:val="24"/>
              </w:rPr>
              <w:t>30; 115; 174; 187; 205; 207; 220</w:t>
            </w:r>
          </w:p>
        </w:tc>
        <w:tc>
          <w:tcPr>
            <w:tcW w:w="2808" w:type="dxa"/>
          </w:tcPr>
          <w:p w14:paraId="2F1E4AD6" w14:textId="77777777" w:rsidR="00AE724C" w:rsidRPr="00770CB7" w:rsidRDefault="00AE724C" w:rsidP="00825A39">
            <w:pPr>
              <w:spacing w:before="100" w:after="100" w:line="240" w:lineRule="auto"/>
              <w:jc w:val="left"/>
              <w:textAlignment w:val="bottom"/>
              <w:rPr>
                <w:rFonts w:eastAsiaTheme="majorEastAsia" w:cs="Times New Roman"/>
                <w:i/>
                <w:iCs/>
                <w:color w:val="404040" w:themeColor="text1" w:themeTint="BF"/>
                <w:szCs w:val="24"/>
              </w:rPr>
            </w:pPr>
            <w:r w:rsidRPr="00770CB7">
              <w:rPr>
                <w:rFonts w:cs="Times New Roman"/>
                <w:szCs w:val="24"/>
              </w:rPr>
              <w:t>2; 42; 43; 47; 49; 208</w:t>
            </w:r>
          </w:p>
        </w:tc>
        <w:tc>
          <w:tcPr>
            <w:tcW w:w="2863" w:type="dxa"/>
          </w:tcPr>
          <w:p w14:paraId="3829BAC6" w14:textId="77777777" w:rsidR="00AE724C" w:rsidRPr="00770CB7" w:rsidRDefault="00AE724C" w:rsidP="00825A39">
            <w:pPr>
              <w:spacing w:before="100" w:after="100" w:line="240" w:lineRule="auto"/>
              <w:jc w:val="left"/>
              <w:textAlignment w:val="bottom"/>
              <w:rPr>
                <w:rFonts w:eastAsiaTheme="majorEastAsia" w:cs="Times New Roman"/>
                <w:i/>
                <w:iCs/>
                <w:color w:val="404040" w:themeColor="text1" w:themeTint="BF"/>
                <w:sz w:val="20"/>
                <w:szCs w:val="24"/>
              </w:rPr>
            </w:pPr>
            <w:r w:rsidRPr="00770CB7">
              <w:rPr>
                <w:rFonts w:cs="Times New Roman"/>
                <w:szCs w:val="24"/>
              </w:rPr>
              <w:t>1.26-28; 3.1-2; 9; 12.1,18-20,47-57; 13.1</w:t>
            </w:r>
          </w:p>
        </w:tc>
      </w:tr>
    </w:tbl>
    <w:p w14:paraId="6323305A" w14:textId="77777777" w:rsidR="006E597E" w:rsidRDefault="006E597E" w:rsidP="00532444">
      <w:pPr>
        <w:rPr>
          <w:lang w:val="en-US"/>
        </w:rPr>
      </w:pPr>
    </w:p>
    <w:p w14:paraId="6B331185" w14:textId="77777777" w:rsidR="00437209" w:rsidRDefault="00437209" w:rsidP="00532444">
      <w:pPr>
        <w:rPr>
          <w:lang w:val="en-US"/>
        </w:rPr>
      </w:pPr>
      <w:r>
        <w:rPr>
          <w:lang w:val="en-US"/>
        </w:rPr>
        <w:t xml:space="preserve">Invocations are often employed as a key device in the iambic genre, where they take a particular shape. Iambographers use invocations in very diverse contexts and to very </w:t>
      </w:r>
      <w:r>
        <w:rPr>
          <w:lang w:val="en-US"/>
        </w:rPr>
        <w:lastRenderedPageBreak/>
        <w:t xml:space="preserve">different purposes. They do not refer to a specific god. Every poet refers to different gods depending on his narrative situations: for instance, Archilochus addresses Zeus, Callimachus addresses Apollo and Hermes, and Hipponax addresses Hermes, Zeus and Athena. </w:t>
      </w:r>
    </w:p>
    <w:p w14:paraId="21341EAB" w14:textId="2FADED1F" w:rsidR="00437209" w:rsidRDefault="00437209" w:rsidP="00B074A4">
      <w:pPr>
        <w:rPr>
          <w:lang w:val="en-US"/>
        </w:rPr>
      </w:pPr>
      <w:r>
        <w:rPr>
          <w:lang w:val="en-US"/>
        </w:rPr>
        <w:tab/>
        <w:t>The Zeus called upon by Archilochus is the god of justice and the overseer of right and wrong actions, as shown by Archil. fr. 174 ὦ Ζεῦ, πάτερ Ζεῦ, σὸν μὲν οὐρανοῦ κράτος, / σὺ δ</w:t>
      </w:r>
      <w:r w:rsidR="00075F5F">
        <w:rPr>
          <w:lang w:val="en-US"/>
        </w:rPr>
        <w:t>’</w:t>
      </w:r>
      <w:r>
        <w:rPr>
          <w:lang w:val="en-US"/>
        </w:rPr>
        <w:t xml:space="preserve"> ἔργ</w:t>
      </w:r>
      <w:r w:rsidR="00075F5F">
        <w:rPr>
          <w:lang w:val="en-US"/>
        </w:rPr>
        <w:t>’</w:t>
      </w:r>
      <w:r>
        <w:rPr>
          <w:lang w:val="en-US"/>
        </w:rPr>
        <w:t xml:space="preserve"> ἐπ</w:t>
      </w:r>
      <w:r w:rsidR="00075F5F">
        <w:rPr>
          <w:lang w:val="en-US"/>
        </w:rPr>
        <w:t>’</w:t>
      </w:r>
      <w:r>
        <w:rPr>
          <w:lang w:val="en-US"/>
        </w:rPr>
        <w:t xml:space="preserve"> ἀνθρώπων ὁρᾶις / λεωργὰ καὶ θεμιστά, σοὶ δὲ θηρίων / ὕβρις τε καὶ δίκη μέλει </w:t>
      </w:r>
      <w:r w:rsidR="00CC0615">
        <w:rPr>
          <w:lang w:val="en-US"/>
        </w:rPr>
        <w:t>“</w:t>
      </w:r>
      <w:r>
        <w:rPr>
          <w:lang w:val="en-US"/>
        </w:rPr>
        <w:t>Zeus, father Zeus, yours is the rule in heaven, you oversee men</w:t>
      </w:r>
      <w:r w:rsidR="00075F5F">
        <w:rPr>
          <w:lang w:val="en-US"/>
        </w:rPr>
        <w:t>’</w:t>
      </w:r>
      <w:r>
        <w:rPr>
          <w:lang w:val="en-US"/>
        </w:rPr>
        <w:t>s deeds, wicked and lawful, and both the violence and the justice of beasts are your concern,</w:t>
      </w:r>
      <w:r w:rsidR="00CC0615">
        <w:rPr>
          <w:lang w:val="en-US"/>
        </w:rPr>
        <w:t>”</w:t>
      </w:r>
      <w:r>
        <w:rPr>
          <w:lang w:val="en-US"/>
        </w:rPr>
        <w:t xml:space="preserve"> while the Zeus called upon by Hipponax is master of all the gods and, especially, of all the divine estates, as shown by Hippon. fr. 47 ὦ Ζεῦ, πάτερ θεῶν, Ὀλυμπίων πάλμυ,</w:t>
      </w:r>
      <w:r>
        <w:rPr>
          <w:rStyle w:val="FootnoteReference"/>
          <w:lang w:val="en-US"/>
        </w:rPr>
        <w:footnoteReference w:id="413"/>
      </w:r>
      <w:r>
        <w:rPr>
          <w:lang w:val="en-US"/>
        </w:rPr>
        <w:t xml:space="preserve"> / τί μοὐκ ἔδωκας χρυσόν, †ἀργύρου πάλμυ†; </w:t>
      </w:r>
      <w:r w:rsidR="00CC0615">
        <w:rPr>
          <w:lang w:val="en-US"/>
        </w:rPr>
        <w:t>“</w:t>
      </w:r>
      <w:r>
        <w:rPr>
          <w:lang w:val="en-US"/>
        </w:rPr>
        <w:t>Zeus, father Zeus, sultan of the Olympian estates, why have you not given me gold, …?.</w:t>
      </w:r>
      <w:r w:rsidR="00CC0615">
        <w:rPr>
          <w:lang w:val="en-US"/>
        </w:rPr>
        <w:t>”</w:t>
      </w:r>
      <w:r>
        <w:rPr>
          <w:lang w:val="en-US"/>
        </w:rPr>
        <w:t xml:space="preserve">  Ὀλυμπίων is very rarely used to refer to divine entities. Ὀλύμπιος appears 44 times in Homer: 29 times as epithet of Ζεύς, only 2 in reference to other θεοί, but 13 times in reference to divine δώματα.</w:t>
      </w:r>
    </w:p>
    <w:p w14:paraId="678949A1" w14:textId="2A6115BD" w:rsidR="00437209" w:rsidRDefault="00437209" w:rsidP="004C3336">
      <w:pPr>
        <w:rPr>
          <w:lang w:val="en-US"/>
        </w:rPr>
      </w:pPr>
      <w:r>
        <w:rPr>
          <w:lang w:val="en-US"/>
        </w:rPr>
        <w:tab/>
        <w:t>Archilochus</w:t>
      </w:r>
      <w:r w:rsidR="00075F5F">
        <w:rPr>
          <w:lang w:val="en-US"/>
        </w:rPr>
        <w:t>’</w:t>
      </w:r>
      <w:r>
        <w:rPr>
          <w:lang w:val="en-US"/>
        </w:rPr>
        <w:t xml:space="preserve"> κράτος echoes the traditional image of Zeus</w:t>
      </w:r>
      <w:r w:rsidR="00075F5F">
        <w:rPr>
          <w:lang w:val="en-US"/>
        </w:rPr>
        <w:t>’</w:t>
      </w:r>
      <w:r>
        <w:rPr>
          <w:lang w:val="en-US"/>
        </w:rPr>
        <w:t xml:space="preserve"> authority. κράτος is commonly used in reference to the power of Zeus: it appears 32 times in Homer, most of which refer to Zeus</w:t>
      </w:r>
      <w:r w:rsidR="00075F5F">
        <w:rPr>
          <w:lang w:val="en-US"/>
        </w:rPr>
        <w:t>’</w:t>
      </w:r>
      <w:r>
        <w:rPr>
          <w:lang w:val="en-US"/>
        </w:rPr>
        <w:t xml:space="preserve"> power</w:t>
      </w:r>
      <w:r>
        <w:rPr>
          <w:rStyle w:val="FootnoteReference"/>
          <w:lang w:val="en-US"/>
        </w:rPr>
        <w:footnoteReference w:id="414"/>
      </w:r>
      <w:r>
        <w:rPr>
          <w:lang w:val="en-US"/>
        </w:rPr>
        <w:t xml:space="preserve"> through the formula τοῦ γὰρ κράτος ἐστὶ μέγιστον. Hipponax</w:t>
      </w:r>
      <w:r w:rsidR="00075F5F">
        <w:rPr>
          <w:lang w:val="en-US"/>
        </w:rPr>
        <w:t>’</w:t>
      </w:r>
      <w:r>
        <w:rPr>
          <w:lang w:val="en-US"/>
        </w:rPr>
        <w:t>s Lydian word πάλμυς, on the other hand, directs the audience towards richness and luxury, which characterise the Lydians in the popular imagination. Zeus is therefore addressed by Archilochus as the most powerful god, and by Hipponax as the wealthiest one.</w:t>
      </w:r>
      <w:r>
        <w:rPr>
          <w:rStyle w:val="FootnoteReference"/>
          <w:lang w:val="en-US"/>
        </w:rPr>
        <w:footnoteReference w:id="415"/>
      </w:r>
      <w:r>
        <w:rPr>
          <w:lang w:val="en-US"/>
        </w:rPr>
        <w:t xml:space="preserve"> </w:t>
      </w:r>
    </w:p>
    <w:p w14:paraId="18DA9895" w14:textId="7D41D401" w:rsidR="00437209" w:rsidRDefault="00437209" w:rsidP="005E543A">
      <w:pPr>
        <w:rPr>
          <w:lang w:val="en-US"/>
        </w:rPr>
      </w:pPr>
      <w:r>
        <w:rPr>
          <w:lang w:val="en-US"/>
        </w:rPr>
        <w:tab/>
        <w:t xml:space="preserve">In like fashion, the Hermes addressed by Hipponax is not the same as the Hermes addressed by Callimachus. Hipponax calls Hermes a god of thieves, as shown especially by Hippon. fr. 2 Ἑρμῆ κυνάγχα, μηιονιστὶ Κανδαῦλα, / φωρῶν ἑταῖρε, δεῦρό μοι </w:t>
      </w:r>
      <w:r>
        <w:rPr>
          <w:lang w:val="en-US"/>
        </w:rPr>
        <w:lastRenderedPageBreak/>
        <w:t xml:space="preserve">σκαπαρδεῦσαι, </w:t>
      </w:r>
      <w:r w:rsidR="00CC0615">
        <w:rPr>
          <w:lang w:val="en-US"/>
        </w:rPr>
        <w:t>“</w:t>
      </w:r>
      <w:r>
        <w:rPr>
          <w:lang w:val="en-US"/>
        </w:rPr>
        <w:t xml:space="preserve">Hermes, dog throttler, Candaules in Maeonian, companion of thieves, come pull to me the </w:t>
      </w:r>
      <w:r>
        <w:rPr>
          <w:i/>
          <w:iCs/>
          <w:lang w:val="en-US"/>
        </w:rPr>
        <w:t>scaperda.</w:t>
      </w:r>
      <w:r w:rsidR="00CC0615">
        <w:rPr>
          <w:lang w:val="en-US"/>
        </w:rPr>
        <w:t>”</w:t>
      </w:r>
      <w:r>
        <w:rPr>
          <w:lang w:val="en-US"/>
        </w:rPr>
        <w:t xml:space="preserve">; while in Call. </w:t>
      </w:r>
      <w:r>
        <w:rPr>
          <w:i/>
          <w:iCs/>
          <w:lang w:val="en-US"/>
        </w:rPr>
        <w:t>Ia</w:t>
      </w:r>
      <w:r>
        <w:rPr>
          <w:lang w:val="en-US"/>
        </w:rPr>
        <w:t>. 9 Ἑρμᾶ, τί τοι τὸ νεῦρον, ὦ Γενειόλα, / ποττὰν ὑπήναν κοὐ ποτ</w:t>
      </w:r>
      <w:r w:rsidR="00075F5F">
        <w:rPr>
          <w:lang w:val="en-US"/>
        </w:rPr>
        <w:t>’</w:t>
      </w:r>
      <w:r>
        <w:rPr>
          <w:lang w:val="en-US"/>
        </w:rPr>
        <w:t xml:space="preserve"> ἴχνιον; </w:t>
      </w:r>
      <w:r w:rsidR="00CC0615">
        <w:rPr>
          <w:lang w:val="en-US"/>
        </w:rPr>
        <w:t>“</w:t>
      </w:r>
      <w:r>
        <w:rPr>
          <w:lang w:val="en-US"/>
        </w:rPr>
        <w:t>Hermes, o Begetter, why does your prick to your beard and not to your feet…?</w:t>
      </w:r>
      <w:r w:rsidR="00CC0615">
        <w:rPr>
          <w:lang w:val="en-US"/>
        </w:rPr>
        <w:t>”</w:t>
      </w:r>
    </w:p>
    <w:p w14:paraId="151C3F9C" w14:textId="6136CA65" w:rsidR="00437209" w:rsidRDefault="00437209" w:rsidP="002818ED">
      <w:pPr>
        <w:rPr>
          <w:lang w:val="en-US"/>
        </w:rPr>
      </w:pPr>
      <w:r>
        <w:rPr>
          <w:lang w:val="en-US"/>
        </w:rPr>
        <w:tab/>
        <w:t>Callimachus</w:t>
      </w:r>
      <w:r w:rsidR="00075F5F">
        <w:rPr>
          <w:lang w:val="en-US"/>
        </w:rPr>
        <w:t>’</w:t>
      </w:r>
      <w:r>
        <w:rPr>
          <w:lang w:val="en-US"/>
        </w:rPr>
        <w:t xml:space="preserve"> ithyphallic Hermes evokes the graphically sexual or obscene aspect of the iambic tradition. It is very interesting that, according to the </w:t>
      </w:r>
      <w:r>
        <w:rPr>
          <w:i/>
          <w:iCs/>
          <w:lang w:val="en-US"/>
        </w:rPr>
        <w:t>diegesis</w:t>
      </w:r>
      <w:r>
        <w:rPr>
          <w:lang w:val="en-US"/>
        </w:rPr>
        <w:t>, the statue of Hermes here associates his sexual arousal with the cult of Hermes in Samothrace, where the god was identified as one of the Cabiri,</w:t>
      </w:r>
      <w:r>
        <w:rPr>
          <w:rStyle w:val="FootnoteReference"/>
          <w:lang w:val="en-US"/>
        </w:rPr>
        <w:footnoteReference w:id="416"/>
      </w:r>
      <w:r>
        <w:rPr>
          <w:lang w:val="en-US"/>
        </w:rPr>
        <w:t xml:space="preserve"> namely Cadmilos, whom Hipponax quotes directly: οὐ γὰρ μὰ τὸν Καδμῖλον </w:t>
      </w:r>
      <w:r w:rsidR="00CC0615">
        <w:rPr>
          <w:lang w:val="en-US"/>
        </w:rPr>
        <w:t>“</w:t>
      </w:r>
      <w:r>
        <w:rPr>
          <w:lang w:val="en-US"/>
        </w:rPr>
        <w:t>nay, by Kadmilus!</w:t>
      </w:r>
      <w:r w:rsidR="00CC0615">
        <w:rPr>
          <w:lang w:val="en-US"/>
        </w:rPr>
        <w:t>”</w:t>
      </w:r>
      <w:r>
        <w:rPr>
          <w:lang w:val="en-US"/>
        </w:rPr>
        <w:t xml:space="preserve"> (fr. 197), without equating him with Hermes. </w:t>
      </w:r>
    </w:p>
    <w:p w14:paraId="6E3CCA21" w14:textId="409A1218" w:rsidR="00AE724C" w:rsidRDefault="00437209" w:rsidP="00532444">
      <w:pPr>
        <w:ind w:firstLine="426"/>
        <w:textAlignment w:val="bottom"/>
        <w:rPr>
          <w:rFonts w:eastAsia="Times New Roman" w:cs="Times New Roman"/>
          <w:szCs w:val="24"/>
          <w:lang w:eastAsia="it-IT"/>
        </w:rPr>
      </w:pPr>
      <w:r>
        <w:rPr>
          <w:lang w:val="en-US"/>
        </w:rPr>
        <w:t>Callimachus</w:t>
      </w:r>
      <w:r w:rsidR="00075F5F">
        <w:rPr>
          <w:lang w:val="en-US"/>
        </w:rPr>
        <w:t>’</w:t>
      </w:r>
      <w:r>
        <w:rPr>
          <w:lang w:val="en-US"/>
        </w:rPr>
        <w:t xml:space="preserve"> Apollo is the traditional Delian Apollo Phoebus, the god of poetic inspiration, as shown by </w:t>
      </w:r>
      <w:r>
        <w:rPr>
          <w:i/>
          <w:iCs/>
          <w:lang w:val="en-US"/>
        </w:rPr>
        <w:t>Ia</w:t>
      </w:r>
      <w:r>
        <w:rPr>
          <w:lang w:val="en-US"/>
        </w:rPr>
        <w:t xml:space="preserve">. 12.47-57: </w:t>
      </w:r>
    </w:p>
    <w:p w14:paraId="28DD3386" w14:textId="77777777" w:rsidR="00CE67A3" w:rsidRDefault="00CE67A3" w:rsidP="00532444">
      <w:pPr>
        <w:textAlignment w:val="bottom"/>
        <w:rPr>
          <w:lang w:eastAsia="it-IT"/>
        </w:rPr>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11"/>
        <w:gridCol w:w="3827"/>
      </w:tblGrid>
      <w:tr w:rsidR="00AE724C" w:rsidRPr="002E4B20" w14:paraId="587E37F9" w14:textId="77777777" w:rsidTr="003B2A46">
        <w:tc>
          <w:tcPr>
            <w:tcW w:w="4111" w:type="dxa"/>
          </w:tcPr>
          <w:p w14:paraId="16A0E511" w14:textId="587B82CC" w:rsidR="00AE724C" w:rsidRPr="00365089" w:rsidRDefault="00AE724C" w:rsidP="00825A39">
            <w:pPr>
              <w:pStyle w:val="Blockquote"/>
              <w:rPr>
                <w:rFonts w:cstheme="majorBidi"/>
                <w:i/>
                <w:iCs/>
                <w:color w:val="404040" w:themeColor="text1" w:themeTint="BF"/>
                <w:sz w:val="22"/>
                <w:szCs w:val="22"/>
              </w:rPr>
            </w:pPr>
            <w:r w:rsidRPr="00227EE7">
              <w:rPr>
                <w:sz w:val="22"/>
                <w:szCs w:val="22"/>
                <w:lang w:val="el-GR"/>
              </w:rPr>
              <w:t>Δ</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Pr="00227EE7">
              <w:rPr>
                <w:sz w:val="22"/>
                <w:szCs w:val="22"/>
                <w:lang w:val="el-GR"/>
              </w:rPr>
              <w:t>ήλι</w:t>
            </w:r>
            <w:r w:rsidR="00075F5F" w:rsidRPr="00227EE7">
              <w:rPr>
                <w:sz w:val="22"/>
                <w:szCs w:val="22"/>
                <w:lang w:val="el-GR"/>
              </w:rPr>
              <w:t>’</w:t>
            </w:r>
            <w:r w:rsidRPr="00227EE7">
              <w:rPr>
                <w:sz w:val="22"/>
                <w:szCs w:val="22"/>
                <w:lang w:val="el-GR"/>
              </w:rPr>
              <w:t xml:space="preserve"> ὤπολλον, σὺ δ</w:t>
            </w:r>
            <w:r w:rsidR="00075F5F" w:rsidRPr="00227EE7">
              <w:rPr>
                <w:sz w:val="22"/>
                <w:szCs w:val="22"/>
                <w:lang w:val="el-GR"/>
              </w:rPr>
              <w:t>’</w:t>
            </w:r>
            <w:r w:rsidRPr="00227EE7">
              <w:rPr>
                <w:sz w:val="22"/>
                <w:szCs w:val="22"/>
                <w:lang w:val="el-GR"/>
              </w:rPr>
              <w:t xml:space="preserve"> ε̣σκλ̣</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Pr="00365089">
              <w:rPr>
                <w:sz w:val="22"/>
                <w:szCs w:val="22"/>
              </w:rPr>
              <w:t>ευμ</w:t>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r w:rsidRPr="00365089">
              <w:rPr>
                <w:sz w:val="22"/>
                <w:szCs w:val="22"/>
              </w:rPr>
              <w:t xml:space="preserve"> </w:t>
            </w:r>
          </w:p>
          <w:p w14:paraId="35808B8D" w14:textId="77777777" w:rsidR="00AE724C" w:rsidRPr="00365089" w:rsidRDefault="00AE724C" w:rsidP="00825A39">
            <w:pPr>
              <w:pStyle w:val="Blockquote"/>
              <w:rPr>
                <w:rFonts w:cstheme="majorBidi"/>
                <w:i/>
                <w:iCs/>
                <w:color w:val="404040" w:themeColor="text1" w:themeTint="BF"/>
                <w:sz w:val="22"/>
                <w:szCs w:val="22"/>
              </w:rPr>
            </w:pPr>
            <w:r w:rsidRPr="00365089">
              <w:rPr>
                <w:sz w:val="22"/>
                <w:szCs w:val="22"/>
              </w:rPr>
              <w:t xml:space="preserve">ὅσσα τοι Πυθῶνος ἀρχαίης ἔσω  </w:t>
            </w:r>
          </w:p>
          <w:p w14:paraId="1F7679EA" w14:textId="77777777" w:rsidR="00AE724C" w:rsidRPr="00365089" w:rsidRDefault="00AE724C" w:rsidP="00825A39">
            <w:pPr>
              <w:pStyle w:val="Blockquote"/>
              <w:rPr>
                <w:rFonts w:cstheme="majorBidi"/>
                <w:i/>
                <w:iCs/>
                <w:color w:val="404040" w:themeColor="text1" w:themeTint="BF"/>
                <w:sz w:val="22"/>
                <w:szCs w:val="22"/>
              </w:rPr>
            </w:pPr>
            <w:r w:rsidRPr="00365089">
              <w:rPr>
                <w:sz w:val="22"/>
                <w:szCs w:val="22"/>
              </w:rPr>
              <w:t>δωμάτων ἔκειτο </w:t>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Pr="00365089">
              <w:rPr>
                <w:sz w:val="22"/>
                <w:szCs w:val="22"/>
              </w:rPr>
              <w:t>ι̣πον ρ̣υ̣</w:t>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p>
          <w:p w14:paraId="1F2FC9BF" w14:textId="77777777" w:rsidR="00AE724C" w:rsidRPr="00227EE7" w:rsidRDefault="00AE724C" w:rsidP="00825A39">
            <w:pPr>
              <w:pStyle w:val="Blockquote"/>
              <w:rPr>
                <w:rFonts w:cstheme="majorBidi"/>
                <w:i/>
                <w:iCs/>
                <w:color w:val="404040" w:themeColor="text1" w:themeTint="BF"/>
                <w:sz w:val="22"/>
                <w:szCs w:val="22"/>
                <w:lang w:val="el-GR"/>
              </w:rPr>
            </w:pPr>
            <w:r w:rsidRPr="00365089">
              <w:rPr>
                <w:sz w:val="22"/>
                <w:szCs w:val="22"/>
              </w:rPr>
              <w:t xml:space="preserve">  </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Pr="00227EE7">
              <w:rPr>
                <w:sz w:val="22"/>
                <w:szCs w:val="22"/>
                <w:lang w:val="el-GR"/>
              </w:rPr>
              <w:t>ιπεσ</w:t>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Pr="00365089">
              <w:rPr>
                <w:sz w:val="22"/>
                <w:szCs w:val="22"/>
              </w:rPr>
              <w:t>  </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Pr="00365089">
              <w:rPr>
                <w:sz w:val="22"/>
                <w:szCs w:val="22"/>
              </w:rPr>
              <w:t>   </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Pr="00227EE7">
              <w:rPr>
                <w:sz w:val="22"/>
                <w:szCs w:val="22"/>
                <w:lang w:val="el-GR"/>
              </w:rPr>
              <w:t xml:space="preserve">ερ̣ο̣ν̣τι σοι </w:t>
            </w:r>
          </w:p>
          <w:p w14:paraId="075B5FA9" w14:textId="77777777" w:rsidR="00AE724C" w:rsidRPr="00227EE7" w:rsidRDefault="00AE724C" w:rsidP="00825A39">
            <w:pPr>
              <w:pStyle w:val="Blockquote"/>
              <w:rPr>
                <w:rFonts w:cstheme="majorBidi"/>
                <w:i/>
                <w:iCs/>
                <w:color w:val="404040" w:themeColor="text1" w:themeTint="BF"/>
                <w:sz w:val="22"/>
                <w:szCs w:val="22"/>
                <w:lang w:val="el-GR"/>
              </w:rPr>
            </w:pPr>
            <w:r w:rsidRPr="00227EE7">
              <w:rPr>
                <w:sz w:val="22"/>
                <w:szCs w:val="22"/>
                <w:lang w:val="el-GR"/>
              </w:rPr>
              <w:t xml:space="preserve"> </w:t>
            </w:r>
            <w:r w:rsidR="00B15395">
              <w:fldChar w:fldCharType="begin"/>
            </w:r>
            <w:r w:rsidR="00B15395">
              <w:instrText xml:space="preserve"> HYPERLINK "http://www.tlg.uci.edu.elib.tcd.ie/help/BetaManual/online/SB.html" \t "morph" </w:instrText>
            </w:r>
            <w:r w:rsidR="00B15395">
              <w:fldChar w:fldCharType="separate"/>
            </w:r>
            <w:r w:rsidRPr="00227EE7">
              <w:rPr>
                <w:sz w:val="22"/>
                <w:szCs w:val="22"/>
                <w:lang w:val="el-GR"/>
              </w:rPr>
              <w:t>]</w:t>
            </w:r>
            <w:r w:rsidR="00B15395">
              <w:rPr>
                <w:sz w:val="22"/>
                <w:szCs w:val="22"/>
                <w:lang w:val="el-GR"/>
              </w:rPr>
              <w:fldChar w:fldCharType="end"/>
            </w:r>
            <w:r w:rsidR="00B15395">
              <w:fldChar w:fldCharType="begin"/>
            </w:r>
            <w:r w:rsidR="00B15395">
              <w:instrText xml:space="preserve"> HYPERLINK "http://www.tlg.uci.edu.elib.tcd.ie/help/BetaManual/online/excl.html" \t "morph" </w:instrText>
            </w:r>
            <w:r w:rsidR="00B15395">
              <w:fldChar w:fldCharType="separate"/>
            </w:r>
            <w:r w:rsidRPr="00227EE7">
              <w:rPr>
                <w:sz w:val="22"/>
                <w:szCs w:val="22"/>
                <w:lang w:val="el-GR"/>
              </w:rPr>
              <w:t>.</w:t>
            </w:r>
            <w:r w:rsidR="00B15395">
              <w:rPr>
                <w:sz w:val="22"/>
                <w:szCs w:val="22"/>
                <w:lang w:val="el-GR"/>
              </w:rPr>
              <w:fldChar w:fldCharType="end"/>
            </w:r>
            <w:r w:rsidRPr="00365089">
              <w:rPr>
                <w:sz w:val="22"/>
                <w:szCs w:val="22"/>
              </w:rPr>
              <w:t> </w:t>
            </w:r>
            <w:r w:rsidRPr="00227EE7">
              <w:rPr>
                <w:sz w:val="22"/>
                <w:szCs w:val="22"/>
                <w:lang w:val="el-GR"/>
              </w:rPr>
              <w:t xml:space="preserve">ἠΰτει τρίπους </w:t>
            </w:r>
          </w:p>
          <w:p w14:paraId="57717D82" w14:textId="14614F35" w:rsidR="00AE724C" w:rsidRPr="00227EE7" w:rsidRDefault="00B15395" w:rsidP="00825A39">
            <w:pPr>
              <w:pStyle w:val="Blockquote"/>
              <w:rPr>
                <w:rFonts w:cstheme="majorBidi"/>
                <w:i/>
                <w:iCs/>
                <w:color w:val="404040" w:themeColor="text1" w:themeTint="BF"/>
                <w:sz w:val="22"/>
                <w:szCs w:val="22"/>
                <w:lang w:val="el-GR"/>
              </w:rPr>
            </w:pP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οι δ</w:t>
            </w:r>
            <w:r w:rsidR="00075F5F" w:rsidRPr="00227EE7">
              <w:rPr>
                <w:sz w:val="22"/>
                <w:szCs w:val="22"/>
                <w:lang w:val="el-GR"/>
              </w:rPr>
              <w:t>’</w:t>
            </w:r>
            <w:r w:rsidR="00AE724C" w:rsidRPr="00227EE7">
              <w:rPr>
                <w:sz w:val="22"/>
                <w:szCs w:val="22"/>
                <w:lang w:val="el-GR"/>
              </w:rPr>
              <w:t xml:space="preserve"> ὑπώροφοι </w:t>
            </w:r>
          </w:p>
          <w:p w14:paraId="37E8B706" w14:textId="4C585FFB" w:rsidR="00AE724C" w:rsidRPr="00365089" w:rsidRDefault="00B15395" w:rsidP="00825A39">
            <w:pPr>
              <w:pStyle w:val="Blockquote"/>
              <w:rPr>
                <w:rFonts w:cstheme="majorBidi"/>
                <w:i/>
                <w:iCs/>
                <w:color w:val="404040" w:themeColor="text1" w:themeTint="BF"/>
                <w:sz w:val="22"/>
                <w:szCs w:val="22"/>
              </w:rPr>
            </w:pP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τ̣ατ̣ο</w:t>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ε̣</w:t>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rsidR="00AE724C" w:rsidRPr="00365089">
              <w:rPr>
                <w:sz w:val="22"/>
                <w:szCs w:val="22"/>
              </w:rPr>
              <w:t> </w:t>
            </w:r>
            <w:r w:rsidR="00AE724C" w:rsidRPr="00227EE7">
              <w:rPr>
                <w:sz w:val="22"/>
                <w:szCs w:val="22"/>
                <w:lang w:val="el-GR"/>
              </w:rPr>
              <w:t>ἐφ</w:t>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θέγ</w:t>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ξω τ</w:t>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ά</w:t>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 xml:space="preserve">δε·  </w:t>
            </w:r>
            <w:r>
              <w:fldChar w:fldCharType="begin"/>
            </w:r>
            <w:r>
              <w:instrText xml:space="preserve"> HYPERLINK "http://www.tlg.uci.edu.elib.tcd.ie/help/BetaManual/online/Q3.html" \t "morph" </w:instrText>
            </w:r>
            <w:r>
              <w:fldChar w:fldCharType="separate"/>
            </w:r>
            <w:r w:rsidR="00075F5F"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rsidR="00AE724C" w:rsidRPr="00227EE7">
              <w:rPr>
                <w:sz w:val="22"/>
                <w:szCs w:val="22"/>
                <w:lang w:val="el-GR"/>
              </w:rPr>
              <w:t>χεισθ</w:t>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"http://www.tlg.uci.edu.elib.tcd.ie/help/BetaManual/online/SB.html" \t "morph" </w:instrText>
            </w:r>
            <w:r>
              <w:fldChar w:fldCharType="separate"/>
            </w:r>
            <w:r w:rsidR="00AE724C" w:rsidRPr="00227EE7">
              <w:rPr>
                <w:sz w:val="22"/>
                <w:szCs w:val="22"/>
                <w:lang w:val="el-GR"/>
              </w:rPr>
              <w:t>]</w:t>
            </w:r>
            <w:r>
              <w:rPr>
                <w:sz w:val="22"/>
                <w:szCs w:val="22"/>
                <w:lang w:val="el-GR"/>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rsidR="00AE724C" w:rsidRPr="00365089">
              <w:rPr>
                <w:sz w:val="22"/>
                <w:szCs w:val="22"/>
              </w:rPr>
              <w:t>οισ̣</w:t>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rsidR="00AE724C" w:rsidRPr="00365089">
              <w:rPr>
                <w:sz w:val="22"/>
                <w:szCs w:val="22"/>
              </w:rPr>
              <w:t>οισιν α</w:t>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rsidR="00AE724C" w:rsidRPr="00365089">
              <w:rPr>
                <w:sz w:val="22"/>
                <w:szCs w:val="22"/>
              </w:rPr>
              <w:t>τε̣</w:t>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rsidR="00AE724C" w:rsidRPr="00365089">
              <w:rPr>
                <w:sz w:val="22"/>
                <w:szCs w:val="22"/>
              </w:rPr>
              <w:t>ι̣ρ̣ι̣α̣ </w:t>
            </w:r>
          </w:p>
          <w:p w14:paraId="75C23000" w14:textId="60C0172D" w:rsidR="00AE724C" w:rsidRPr="00365089" w:rsidRDefault="00B15395" w:rsidP="00825A39">
            <w:pPr>
              <w:pStyle w:val="Blockquote"/>
              <w:rPr>
                <w:sz w:val="22"/>
                <w:szCs w:val="22"/>
              </w:rPr>
            </w:pP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rsidR="00AE724C" w:rsidRPr="00365089">
              <w:rPr>
                <w:sz w:val="22"/>
                <w:szCs w:val="22"/>
              </w:rPr>
              <w:t>εσθ</w:t>
            </w:r>
            <w:r w:rsidR="00075F5F">
              <w:rPr>
                <w:sz w:val="22"/>
                <w:szCs w:val="22"/>
              </w:rPr>
              <w:t>’</w:t>
            </w:r>
            <w:r w:rsidR="00AE724C" w:rsidRPr="00365089">
              <w:rPr>
                <w:sz w:val="22"/>
                <w:szCs w:val="22"/>
              </w:rPr>
              <w:t>, ἐγὼ δ</w:t>
            </w:r>
            <w:r w:rsidR="00075F5F">
              <w:rPr>
                <w:sz w:val="22"/>
                <w:szCs w:val="22"/>
              </w:rPr>
              <w:t>’</w:t>
            </w:r>
            <w:r w:rsidR="00AE724C" w:rsidRPr="00365089">
              <w:rPr>
                <w:sz w:val="22"/>
                <w:szCs w:val="22"/>
              </w:rPr>
              <w:t xml:space="preserve"> ἄλλην τιν</w:t>
            </w:r>
            <w:r w:rsidR="00075F5F">
              <w:rPr>
                <w:sz w:val="22"/>
                <w:szCs w:val="22"/>
              </w:rPr>
              <w:t>’</w:t>
            </w:r>
            <w:r w:rsidR="00AE724C" w:rsidRPr="00365089">
              <w:rPr>
                <w:sz w:val="22"/>
                <w:szCs w:val="22"/>
              </w:rPr>
              <w:t xml:space="preserve"> ο</w:t>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rsidR="00AE724C" w:rsidRPr="00365089">
              <w:rPr>
                <w:sz w:val="22"/>
                <w:szCs w:val="22"/>
              </w:rPr>
              <w:t>ησ</w:t>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rsidR="00AE724C" w:rsidRPr="00365089">
              <w:rPr>
                <w:sz w:val="22"/>
                <w:szCs w:val="22"/>
              </w:rPr>
              <w:t>ω</w:t>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"http://www.tlg.uci.edu.elib.tcd.ie/help/BetaManual/online/excl.html" \t "morph" </w:instrText>
            </w:r>
            <w:r>
              <w:fldChar w:fldCharType="separate"/>
            </w:r>
            <w:r w:rsidR="00AE724C" w:rsidRPr="00365089">
              <w:rPr>
                <w:sz w:val="22"/>
                <w:szCs w:val="22"/>
              </w:rPr>
              <w:t>.</w:t>
            </w:r>
            <w:r>
              <w:rPr>
                <w:sz w:val="22"/>
                <w:szCs w:val="22"/>
              </w:rPr>
              <w:fldChar w:fldCharType="end"/>
            </w:r>
            <w:r>
              <w:fldChar w:fldCharType="begin"/>
            </w:r>
            <w:r>
              <w:instrText xml:space="preserve"> HYPERLINK "http://www.tlg.uci.edu.elib.tcd.ie/help/BetaManual/online/SB.html" \t "morph" </w:instrText>
            </w:r>
            <w:r>
              <w:fldChar w:fldCharType="separate"/>
            </w:r>
            <w:r w:rsidR="00AE724C" w:rsidRPr="00365089">
              <w:rPr>
                <w:sz w:val="22"/>
                <w:szCs w:val="22"/>
              </w:rPr>
              <w:t>]</w:t>
            </w:r>
            <w:r>
              <w:rPr>
                <w:sz w:val="22"/>
                <w:szCs w:val="22"/>
              </w:rPr>
              <w:fldChar w:fldCharType="end"/>
            </w:r>
            <w:r w:rsidR="00AE724C" w:rsidRPr="00365089">
              <w:rPr>
                <w:sz w:val="22"/>
                <w:szCs w:val="22"/>
              </w:rPr>
              <w:t>ιν.</w:t>
            </w:r>
            <w:r>
              <w:fldChar w:fldCharType="begin"/>
            </w:r>
            <w:r>
              <w:instrText xml:space="preserve"> HYPERLINK "http://www.tlg.uci.edu.elib.tcd.ie/help/BetaManual/online/Q3.html" \t "morph" </w:instrText>
            </w:r>
            <w:r>
              <w:fldChar w:fldCharType="separate"/>
            </w:r>
            <w:r w:rsidR="00075F5F">
              <w:rPr>
                <w:sz w:val="22"/>
                <w:szCs w:val="22"/>
              </w:rPr>
              <w:t>‘</w:t>
            </w:r>
            <w:r>
              <w:rPr>
                <w:sz w:val="22"/>
                <w:szCs w:val="22"/>
              </w:rPr>
              <w:fldChar w:fldCharType="end"/>
            </w:r>
            <w:r w:rsidR="00AE724C" w:rsidRPr="00365089">
              <w:rPr>
                <w:sz w:val="22"/>
                <w:szCs w:val="22"/>
              </w:rPr>
              <w:t xml:space="preserve">  </w:t>
            </w:r>
          </w:p>
          <w:p w14:paraId="35B87380" w14:textId="77777777" w:rsidR="00AE724C" w:rsidRPr="00365089" w:rsidRDefault="00AE724C" w:rsidP="00825A39">
            <w:pPr>
              <w:pStyle w:val="Blockquote"/>
              <w:rPr>
                <w:rFonts w:cstheme="majorBidi"/>
                <w:i/>
                <w:iCs/>
                <w:color w:val="404040" w:themeColor="text1" w:themeTint="BF"/>
                <w:sz w:val="22"/>
                <w:szCs w:val="22"/>
              </w:rPr>
            </w:pPr>
            <w:r w:rsidRPr="00365089">
              <w:rPr>
                <w:sz w:val="22"/>
                <w:szCs w:val="22"/>
              </w:rPr>
              <w:t>χρεὼ σοφῆς ὦ Φοῖβε π</w:t>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"http://www.tlg.uci.edu.elib.tcd.ie/help/BetaManual/online/SB.html"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Pr="00365089">
              <w:rPr>
                <w:sz w:val="22"/>
                <w:szCs w:val="22"/>
              </w:rPr>
              <w:t>σθ</w:t>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00B15395">
              <w:fldChar w:fldCharType="begin"/>
            </w:r>
            <w:r w:rsidR="00B15395">
              <w:instrText xml:space="preserve"> HYPERLINK "http://www.tlg.uci.edu.elib.tcd.ie/help/BetaManual/online/excl.html" \t "morph" </w:instrText>
            </w:r>
            <w:r w:rsidR="00B15395">
              <w:fldChar w:fldCharType="separate"/>
            </w:r>
            <w:r w:rsidRPr="00365089">
              <w:rPr>
                <w:sz w:val="22"/>
                <w:szCs w:val="22"/>
              </w:rPr>
              <w:t>.</w:t>
            </w:r>
            <w:r w:rsidR="00B15395">
              <w:rPr>
                <w:sz w:val="22"/>
                <w:szCs w:val="22"/>
              </w:rPr>
              <w:fldChar w:fldCharType="end"/>
            </w:r>
            <w:r w:rsidRPr="00365089">
              <w:rPr>
                <w:sz w:val="22"/>
                <w:szCs w:val="22"/>
              </w:rPr>
              <w:t xml:space="preserve"> τ̣έ̣χνης  </w:t>
            </w:r>
          </w:p>
          <w:p w14:paraId="0033C6F4" w14:textId="77777777" w:rsidR="00AE724C" w:rsidRPr="00365089" w:rsidRDefault="00AE724C" w:rsidP="00825A39">
            <w:pPr>
              <w:pStyle w:val="Blockquote"/>
              <w:rPr>
                <w:rFonts w:cstheme="majorBidi"/>
                <w:i/>
                <w:iCs/>
                <w:color w:val="404040" w:themeColor="text1" w:themeTint="BF"/>
                <w:sz w:val="22"/>
                <w:szCs w:val="22"/>
              </w:rPr>
            </w:pPr>
            <w:r w:rsidRPr="00365089">
              <w:rPr>
                <w:sz w:val="22"/>
                <w:szCs w:val="22"/>
              </w:rPr>
              <w:t>ἥτις Ἡφαίστεια νική</w:t>
            </w:r>
            <w:r w:rsidR="00B15395">
              <w:fldChar w:fldCharType="begin"/>
            </w:r>
            <w:r w:rsidR="00B15395">
              <w:instrText xml:space="preserve"> HYPERLINK "http://www.tlg.uci.edu.elib.tcd.ie/help/BetaManual/online/P5.html" \t "morph" </w:instrText>
            </w:r>
            <w:r w:rsidR="00B15395">
              <w:fldChar w:fldCharType="separate"/>
            </w:r>
            <w:r w:rsidRPr="00365089">
              <w:rPr>
                <w:sz w:val="22"/>
                <w:szCs w:val="22"/>
              </w:rPr>
              <w:t>|</w:t>
            </w:r>
            <w:r w:rsidR="00B15395">
              <w:rPr>
                <w:sz w:val="22"/>
                <w:szCs w:val="22"/>
              </w:rPr>
              <w:fldChar w:fldCharType="end"/>
            </w:r>
            <w:r w:rsidRPr="00365089">
              <w:rPr>
                <w:sz w:val="22"/>
                <w:szCs w:val="22"/>
              </w:rPr>
              <w:t>σ̣ε̣ι̣ κ̣α̣λά</w:t>
            </w:r>
          </w:p>
        </w:tc>
        <w:tc>
          <w:tcPr>
            <w:tcW w:w="3827" w:type="dxa"/>
          </w:tcPr>
          <w:p w14:paraId="5D641CC3" w14:textId="6EC39990" w:rsidR="00AE724C" w:rsidRPr="00365089" w:rsidRDefault="00AE724C" w:rsidP="00825A39">
            <w:pPr>
              <w:pStyle w:val="Blockquote"/>
              <w:rPr>
                <w:rFonts w:cstheme="majorBidi"/>
                <w:i/>
                <w:iCs/>
                <w:color w:val="404040" w:themeColor="text1" w:themeTint="BF"/>
                <w:sz w:val="22"/>
                <w:szCs w:val="22"/>
              </w:rPr>
            </w:pPr>
            <w:r w:rsidRPr="00365089">
              <w:rPr>
                <w:sz w:val="22"/>
                <w:szCs w:val="22"/>
              </w:rPr>
              <w:t xml:space="preserve">But you, Delian Apollo, ... however, so many of your possessions lay within ancient Pytho ... the tripod cried out ... and under the roof ... you uttered the following: </w:t>
            </w:r>
            <w:r w:rsidR="00075F5F">
              <w:rPr>
                <w:sz w:val="22"/>
                <w:szCs w:val="22"/>
              </w:rPr>
              <w:t>‘</w:t>
            </w:r>
            <w:r w:rsidRPr="00365089">
              <w:rPr>
                <w:sz w:val="22"/>
                <w:szCs w:val="22"/>
              </w:rPr>
              <w:t>... but I will provide some other gift.</w:t>
            </w:r>
            <w:r w:rsidR="00075F5F">
              <w:rPr>
                <w:sz w:val="22"/>
                <w:szCs w:val="22"/>
              </w:rPr>
              <w:t>’</w:t>
            </w:r>
            <w:r w:rsidRPr="00365089">
              <w:rPr>
                <w:sz w:val="22"/>
                <w:szCs w:val="22"/>
              </w:rPr>
              <w:t xml:space="preserve"> There is need, now, Phoebus, of wise craft which will prevail over the fair Hephaestean gifts. </w:t>
            </w:r>
          </w:p>
          <w:p w14:paraId="64B03F6D" w14:textId="77777777" w:rsidR="00AE724C" w:rsidRPr="00365089" w:rsidRDefault="00AE724C" w:rsidP="00825A39">
            <w:pPr>
              <w:pStyle w:val="Blockquote"/>
              <w:rPr>
                <w:sz w:val="22"/>
                <w:szCs w:val="22"/>
              </w:rPr>
            </w:pPr>
          </w:p>
        </w:tc>
      </w:tr>
    </w:tbl>
    <w:p w14:paraId="7D364390" w14:textId="77777777" w:rsidR="00AE724C" w:rsidRDefault="00AE724C" w:rsidP="00825A39">
      <w:pPr>
        <w:pStyle w:val="Blockquote"/>
        <w:rPr>
          <w:lang w:eastAsia="it-IT"/>
        </w:rPr>
      </w:pPr>
    </w:p>
    <w:p w14:paraId="1AEDF2F8" w14:textId="098C7588" w:rsidR="00437209" w:rsidRDefault="00437209" w:rsidP="006E597E">
      <w:pPr>
        <w:rPr>
          <w:lang w:val="en-US"/>
        </w:rPr>
      </w:pPr>
      <w:r>
        <w:rPr>
          <w:lang w:val="en-US"/>
        </w:rPr>
        <w:t xml:space="preserve">But the Athena addressed by Hipponax is remote from the traditional representation of the goddess, since she is Athena Malís, as in Hippon. fr. 49 </w:t>
      </w:r>
      <w:hyperlink r:id="rId60" w:history="1">
        <w:r>
          <w:rPr>
            <w:lang w:val="en-US"/>
          </w:rPr>
          <w:t>{</w:t>
        </w:r>
      </w:hyperlink>
      <w:r>
        <w:rPr>
          <w:lang w:val="en-US"/>
        </w:rPr>
        <w:t>Ἀθηνᾶ</w:t>
      </w:r>
      <w:hyperlink r:id="rId61" w:history="1">
        <w:r>
          <w:rPr>
            <w:lang w:val="en-US"/>
          </w:rPr>
          <w:t>}</w:t>
        </w:r>
      </w:hyperlink>
      <w:r w:rsidR="006E597E">
        <w:rPr>
          <w:lang w:val="en-US"/>
        </w:rPr>
        <w:t xml:space="preserve"> </w:t>
      </w:r>
      <w:r>
        <w:rPr>
          <w:lang w:val="en-US"/>
        </w:rPr>
        <w:t>Μαλὶς</w:t>
      </w:r>
      <w:r w:rsidR="006E597E">
        <w:rPr>
          <w:lang w:val="en-US"/>
        </w:rPr>
        <w:t xml:space="preserve"> </w:t>
      </w:r>
      <w:hyperlink r:id="rId62" w:history="1">
        <w:r>
          <w:rPr>
            <w:lang w:val="en-US"/>
          </w:rPr>
          <w:t>†</w:t>
        </w:r>
      </w:hyperlink>
      <w:r>
        <w:rPr>
          <w:lang w:val="en-US"/>
        </w:rPr>
        <w:t>κονισκε,</w:t>
      </w:r>
      <w:r w:rsidR="006E597E">
        <w:rPr>
          <w:lang w:val="en-US"/>
        </w:rPr>
        <w:t xml:space="preserve"> </w:t>
      </w:r>
      <w:r>
        <w:rPr>
          <w:lang w:val="en-US"/>
        </w:rPr>
        <w:t>καί</w:t>
      </w:r>
      <w:r w:rsidR="006E597E">
        <w:rPr>
          <w:lang w:val="en-US"/>
        </w:rPr>
        <w:t xml:space="preserve"> </w:t>
      </w:r>
      <w:r>
        <w:rPr>
          <w:lang w:val="en-US"/>
        </w:rPr>
        <w:t xml:space="preserve">με δεσπότεω βεβροῦ / λαχόντα λίσσομαί σε μὴ ῥαπίζεσθαι </w:t>
      </w:r>
      <w:r w:rsidR="00CC0615">
        <w:rPr>
          <w:lang w:val="en-US"/>
        </w:rPr>
        <w:t>“</w:t>
      </w:r>
      <w:r>
        <w:rPr>
          <w:lang w:val="en-US"/>
        </w:rPr>
        <w:t>o Athena Malís come to my aid, and I beg you to prevent me from being whipped, because I am cursed with a foolish master.</w:t>
      </w:r>
      <w:r w:rsidR="00CC0615">
        <w:rPr>
          <w:lang w:val="en-US"/>
        </w:rPr>
        <w:t>”</w:t>
      </w:r>
    </w:p>
    <w:p w14:paraId="358ECB3E" w14:textId="2345189B" w:rsidR="00437209" w:rsidRDefault="00437209" w:rsidP="00B074A4">
      <w:pPr>
        <w:rPr>
          <w:lang w:val="en-US"/>
        </w:rPr>
      </w:pPr>
      <w:r>
        <w:rPr>
          <w:lang w:val="en-US"/>
        </w:rPr>
        <w:tab/>
        <w:t>The Anatolian prototype of Malís is generally considered to have originally belonged to the pantheon of gods of Kaniš (Kültepe).</w:t>
      </w:r>
      <w:r>
        <w:rPr>
          <w:rStyle w:val="FootnoteReference"/>
          <w:lang w:val="en-US"/>
        </w:rPr>
        <w:footnoteReference w:id="417"/>
      </w:r>
      <w:r>
        <w:rPr>
          <w:lang w:val="en-US"/>
        </w:rPr>
        <w:t xml:space="preserve"> She was possibly both a male and female deity and is spoken of in Akkadian texts as a protectress of gardens and vineyards. In </w:t>
      </w:r>
      <w:r>
        <w:rPr>
          <w:lang w:val="en-US"/>
        </w:rPr>
        <w:lastRenderedPageBreak/>
        <w:t>some of the Akkadian texts she is closely associated with Ištar.</w:t>
      </w:r>
      <w:r>
        <w:rPr>
          <w:rStyle w:val="FootnoteReference"/>
          <w:lang w:val="en-US"/>
        </w:rPr>
        <w:footnoteReference w:id="418"/>
      </w:r>
      <w:r>
        <w:rPr>
          <w:lang w:val="en-US"/>
        </w:rPr>
        <w:t xml:space="preserve"> The name of the goddess is attested in Hittite as </w:t>
      </w:r>
      <w:r>
        <w:rPr>
          <w:i/>
          <w:iCs/>
          <w:lang w:val="en-US"/>
        </w:rPr>
        <w:t>Maliya</w:t>
      </w:r>
      <w:r>
        <w:rPr>
          <w:lang w:val="en-US"/>
        </w:rPr>
        <w:t>-</w:t>
      </w:r>
      <w:r>
        <w:rPr>
          <w:rStyle w:val="FootnoteReference"/>
          <w:lang w:val="en-US"/>
        </w:rPr>
        <w:footnoteReference w:id="419"/>
      </w:r>
      <w:r>
        <w:rPr>
          <w:lang w:val="en-US"/>
        </w:rPr>
        <w:t xml:space="preserve"> and in Lycian as </w:t>
      </w:r>
      <w:r>
        <w:rPr>
          <w:i/>
          <w:iCs/>
          <w:lang w:val="en-US"/>
        </w:rPr>
        <w:t>Malija</w:t>
      </w:r>
      <w:r>
        <w:rPr>
          <w:lang w:val="en-US"/>
        </w:rPr>
        <w:t>-,</w:t>
      </w:r>
      <w:r>
        <w:rPr>
          <w:rStyle w:val="FootnoteReference"/>
          <w:lang w:val="en-US"/>
        </w:rPr>
        <w:footnoteReference w:id="420"/>
      </w:r>
      <w:r>
        <w:rPr>
          <w:lang w:val="en-US"/>
        </w:rPr>
        <w:t xml:space="preserve"> whose root is the verbal root </w:t>
      </w:r>
      <w:r>
        <w:rPr>
          <w:i/>
          <w:iCs/>
          <w:lang w:val="en-US"/>
        </w:rPr>
        <w:t>malla</w:t>
      </w:r>
      <w:r>
        <w:rPr>
          <w:lang w:val="en-US"/>
        </w:rPr>
        <w:t xml:space="preserve">- / </w:t>
      </w:r>
      <w:r>
        <w:rPr>
          <w:i/>
          <w:iCs/>
          <w:lang w:val="en-US"/>
        </w:rPr>
        <w:t>mall</w:t>
      </w:r>
      <w:r>
        <w:rPr>
          <w:lang w:val="en-US"/>
        </w:rPr>
        <w:t xml:space="preserve">- </w:t>
      </w:r>
      <w:r w:rsidR="00CC0615">
        <w:rPr>
          <w:lang w:val="en-US"/>
        </w:rPr>
        <w:t>“</w:t>
      </w:r>
      <w:r>
        <w:rPr>
          <w:lang w:val="en-US"/>
        </w:rPr>
        <w:t>grind, mill,</w:t>
      </w:r>
      <w:r w:rsidR="00CC0615">
        <w:rPr>
          <w:lang w:val="en-US"/>
        </w:rPr>
        <w:t>”</w:t>
      </w:r>
      <w:r>
        <w:rPr>
          <w:lang w:val="en-US"/>
        </w:rPr>
        <w:t xml:space="preserve"> from an IE root *</w:t>
      </w:r>
      <w:r>
        <w:rPr>
          <w:i/>
          <w:iCs/>
          <w:lang w:val="en-US"/>
        </w:rPr>
        <w:t>m</w:t>
      </w:r>
      <w:r>
        <w:rPr>
          <w:lang w:val="en-US"/>
        </w:rPr>
        <w:t>ó</w:t>
      </w:r>
      <w:r>
        <w:rPr>
          <w:i/>
          <w:iCs/>
          <w:lang w:val="en-US"/>
        </w:rPr>
        <w:t>lh</w:t>
      </w:r>
      <w:r>
        <w:rPr>
          <w:i/>
          <w:iCs/>
          <w:vertAlign w:val="subscript"/>
          <w:lang w:val="en-US"/>
        </w:rPr>
        <w:t>2</w:t>
      </w:r>
      <w:r>
        <w:rPr>
          <w:lang w:val="en-US"/>
        </w:rPr>
        <w:t>- / *</w:t>
      </w:r>
      <w:r>
        <w:rPr>
          <w:i/>
          <w:iCs/>
          <w:lang w:val="en-US"/>
        </w:rPr>
        <w:t>ml̥h</w:t>
      </w:r>
      <w:r>
        <w:rPr>
          <w:i/>
          <w:iCs/>
          <w:vertAlign w:val="subscript"/>
          <w:lang w:val="en-US"/>
        </w:rPr>
        <w:t>2</w:t>
      </w:r>
      <w:r>
        <w:rPr>
          <w:lang w:val="en-US"/>
        </w:rPr>
        <w:t xml:space="preserve">-. Cognate words would be Sanskrit </w:t>
      </w:r>
      <w:r>
        <w:rPr>
          <w:i/>
          <w:iCs/>
          <w:lang w:val="en-US"/>
        </w:rPr>
        <w:t>mrnati</w:t>
      </w:r>
      <w:r>
        <w:rPr>
          <w:lang w:val="en-US"/>
        </w:rPr>
        <w:t xml:space="preserve"> </w:t>
      </w:r>
      <w:r w:rsidR="00CC0615">
        <w:rPr>
          <w:lang w:val="en-US"/>
        </w:rPr>
        <w:t>“</w:t>
      </w:r>
      <w:r>
        <w:rPr>
          <w:lang w:val="en-US"/>
        </w:rPr>
        <w:t>crush,</w:t>
      </w:r>
      <w:r w:rsidR="00CC0615">
        <w:rPr>
          <w:lang w:val="en-US"/>
        </w:rPr>
        <w:t>”</w:t>
      </w:r>
      <w:r>
        <w:rPr>
          <w:lang w:val="en-US"/>
        </w:rPr>
        <w:t xml:space="preserve"> Latin</w:t>
      </w:r>
      <w:r>
        <w:rPr>
          <w:i/>
          <w:iCs/>
          <w:lang w:val="en-US"/>
        </w:rPr>
        <w:t xml:space="preserve"> mōlo</w:t>
      </w:r>
      <w:r>
        <w:rPr>
          <w:lang w:val="en-US"/>
        </w:rPr>
        <w:t xml:space="preserve"> </w:t>
      </w:r>
      <w:r w:rsidR="00CC0615">
        <w:rPr>
          <w:lang w:val="en-US"/>
        </w:rPr>
        <w:t>“</w:t>
      </w:r>
      <w:r>
        <w:rPr>
          <w:lang w:val="en-US"/>
        </w:rPr>
        <w:t>grind,</w:t>
      </w:r>
      <w:r w:rsidR="00CC0615">
        <w:rPr>
          <w:lang w:val="en-US"/>
        </w:rPr>
        <w:t>”</w:t>
      </w:r>
      <w:r>
        <w:rPr>
          <w:lang w:val="en-US"/>
        </w:rPr>
        <w:t xml:space="preserve"> Gothic </w:t>
      </w:r>
      <w:r>
        <w:rPr>
          <w:i/>
          <w:iCs/>
          <w:lang w:val="en-US"/>
        </w:rPr>
        <w:t>malan</w:t>
      </w:r>
      <w:r>
        <w:rPr>
          <w:lang w:val="en-US"/>
        </w:rPr>
        <w:t xml:space="preserve"> </w:t>
      </w:r>
      <w:r w:rsidR="00CC0615">
        <w:rPr>
          <w:lang w:val="en-US"/>
        </w:rPr>
        <w:t>“</w:t>
      </w:r>
      <w:r>
        <w:rPr>
          <w:lang w:val="en-US"/>
        </w:rPr>
        <w:t>grind</w:t>
      </w:r>
      <w:r w:rsidR="00CC0615">
        <w:rPr>
          <w:lang w:val="en-US"/>
        </w:rPr>
        <w:t>”</w:t>
      </w:r>
      <w:r>
        <w:rPr>
          <w:lang w:val="en-US"/>
        </w:rPr>
        <w:t xml:space="preserve"> and Lithuanian </w:t>
      </w:r>
      <w:r>
        <w:rPr>
          <w:i/>
          <w:iCs/>
          <w:lang w:val="en-US"/>
        </w:rPr>
        <w:t>málti</w:t>
      </w:r>
      <w:r>
        <w:rPr>
          <w:lang w:val="en-US"/>
        </w:rPr>
        <w:t xml:space="preserve"> </w:t>
      </w:r>
      <w:r w:rsidR="00CC0615">
        <w:rPr>
          <w:lang w:val="en-US"/>
        </w:rPr>
        <w:t>“</w:t>
      </w:r>
      <w:r>
        <w:rPr>
          <w:lang w:val="en-US"/>
        </w:rPr>
        <w:t>grind,</w:t>
      </w:r>
      <w:r w:rsidR="00CC0615">
        <w:rPr>
          <w:lang w:val="en-US"/>
        </w:rPr>
        <w:t>”</w:t>
      </w:r>
      <w:r>
        <w:rPr>
          <w:lang w:val="en-US"/>
        </w:rPr>
        <w:t xml:space="preserve"> which is consistent with the fact that Malís was a rural goddess.</w:t>
      </w:r>
    </w:p>
    <w:p w14:paraId="4217D760" w14:textId="1CC575DE" w:rsidR="00437209" w:rsidRDefault="00437209" w:rsidP="004C3336">
      <w:pPr>
        <w:rPr>
          <w:lang w:val="en-US"/>
        </w:rPr>
      </w:pPr>
      <w:r>
        <w:rPr>
          <w:lang w:val="en-US"/>
        </w:rPr>
        <w:tab/>
        <w:t xml:space="preserve">The overlap between the two divine characters of Athena and Malís might have occurred in connection with the action of </w:t>
      </w:r>
      <w:r w:rsidR="00CC0615">
        <w:rPr>
          <w:lang w:val="en-US"/>
        </w:rPr>
        <w:t>“</w:t>
      </w:r>
      <w:r>
        <w:rPr>
          <w:lang w:val="en-US"/>
        </w:rPr>
        <w:t>grinding</w:t>
      </w:r>
      <w:r w:rsidR="00CC0615">
        <w:rPr>
          <w:lang w:val="en-US"/>
        </w:rPr>
        <w:t>”</w:t>
      </w:r>
      <w:r>
        <w:rPr>
          <w:lang w:val="en-US"/>
        </w:rPr>
        <w:t>: Athena not only introduced the cultivation of olive trees into Greece, but also invented the oil mill, as goddess of technical knowledge. Under these circumstances, the Athena invoked by Hipponax would be the goddess of the millstone</w:t>
      </w:r>
      <w:r w:rsidR="00DF60FA">
        <w:rPr>
          <w:lang w:val="en-US"/>
        </w:rPr>
        <w:t>.</w:t>
      </w:r>
      <w:r>
        <w:rPr>
          <w:lang w:val="en-US"/>
        </w:rPr>
        <w:t xml:space="preserve"> In Greece the worst and most dreadful punishment for servants was to be sent to work with the millstone</w:t>
      </w:r>
      <w:r w:rsidR="00DF60FA">
        <w:rPr>
          <w:lang w:val="en-US"/>
        </w:rPr>
        <w:t>.</w:t>
      </w:r>
      <w:r>
        <w:rPr>
          <w:lang w:val="en-US"/>
        </w:rPr>
        <w:t xml:space="preserve"> The servant in this fragment of Hipponax invokes Athena Malís, the goddess of the millstone, in order to avoid misfortune and so that she might protect him from his master</w:t>
      </w:r>
      <w:r w:rsidR="00075F5F">
        <w:rPr>
          <w:lang w:val="en-US"/>
        </w:rPr>
        <w:t>’</w:t>
      </w:r>
      <w:r>
        <w:rPr>
          <w:lang w:val="en-US"/>
        </w:rPr>
        <w:t>s blows or even from the grindstone.</w:t>
      </w:r>
      <w:r>
        <w:rPr>
          <w:rStyle w:val="FootnoteReference"/>
          <w:lang w:val="en-US"/>
        </w:rPr>
        <w:footnoteReference w:id="421"/>
      </w:r>
      <w:r>
        <w:rPr>
          <w:lang w:val="en-US"/>
        </w:rPr>
        <w:t xml:space="preserve">  </w:t>
      </w:r>
    </w:p>
    <w:p w14:paraId="27AE4D27" w14:textId="77777777" w:rsidR="00437209" w:rsidRDefault="00437209" w:rsidP="005E543A">
      <w:pPr>
        <w:rPr>
          <w:lang w:val="en-US"/>
        </w:rPr>
      </w:pPr>
    </w:p>
    <w:p w14:paraId="64D28B63" w14:textId="2CB402A2" w:rsidR="00437209" w:rsidRDefault="00437209" w:rsidP="002818ED">
      <w:pPr>
        <w:rPr>
          <w:lang w:val="en-US"/>
        </w:rPr>
      </w:pPr>
      <w:r>
        <w:rPr>
          <w:lang w:val="en-US"/>
        </w:rPr>
        <w:t>Despite the variations in their content, the invocations of the gods share some linguistic features which make them typically iambic invocations.</w:t>
      </w:r>
    </w:p>
    <w:p w14:paraId="7C3A33F8" w14:textId="390AAAD3" w:rsidR="00437209" w:rsidRDefault="00437209" w:rsidP="008A330E">
      <w:pPr>
        <w:tabs>
          <w:tab w:val="left" w:pos="2127"/>
        </w:tabs>
        <w:rPr>
          <w:lang w:val="en-US"/>
        </w:rPr>
      </w:pPr>
      <w:r>
        <w:rPr>
          <w:lang w:val="en-US"/>
        </w:rPr>
        <w:tab/>
        <w:t>The invocations always reiterate the name of the addressee, as shown by Archil. fr. 174 ὦ Ζεῦ, πάτερ Ζεῦ; Hippon. fr. 42 Ἑρμῆ, φίλ</w:t>
      </w:r>
      <w:r w:rsidR="00075F5F">
        <w:rPr>
          <w:lang w:val="en-US"/>
        </w:rPr>
        <w:t>’</w:t>
      </w:r>
      <w:r>
        <w:rPr>
          <w:lang w:val="en-US"/>
        </w:rPr>
        <w:t xml:space="preserve"> Ἑρμῆ; and Call. </w:t>
      </w:r>
      <w:r>
        <w:rPr>
          <w:i/>
          <w:iCs/>
          <w:lang w:val="en-US"/>
        </w:rPr>
        <w:t>Ia</w:t>
      </w:r>
      <w:r>
        <w:rPr>
          <w:lang w:val="en-US"/>
        </w:rPr>
        <w:t xml:space="preserve">. 9.1 Ἑρμᾶ, τί τοι τὸ νεῦρον, ὦ Γενειόλα </w:t>
      </w:r>
      <w:r w:rsidR="00CC0615">
        <w:rPr>
          <w:lang w:val="en-US"/>
        </w:rPr>
        <w:t>“</w:t>
      </w:r>
      <w:r>
        <w:rPr>
          <w:lang w:val="en-US"/>
        </w:rPr>
        <w:t>Hermes, why does your prick, o Begetter…,</w:t>
      </w:r>
      <w:r w:rsidR="00CC0615">
        <w:rPr>
          <w:lang w:val="en-US"/>
        </w:rPr>
        <w:t>”</w:t>
      </w:r>
      <w:r>
        <w:rPr>
          <w:lang w:val="en-US"/>
        </w:rPr>
        <w:t xml:space="preserve"> or </w:t>
      </w:r>
      <w:r>
        <w:rPr>
          <w:i/>
          <w:iCs/>
          <w:lang w:val="en-US"/>
        </w:rPr>
        <w:t>Ia</w:t>
      </w:r>
      <w:r>
        <w:rPr>
          <w:lang w:val="en-US"/>
        </w:rPr>
        <w:t>. 12.47, 56 Δήλι</w:t>
      </w:r>
      <w:r w:rsidR="00075F5F">
        <w:rPr>
          <w:lang w:val="en-US"/>
        </w:rPr>
        <w:t>’</w:t>
      </w:r>
      <w:r>
        <w:rPr>
          <w:lang w:val="en-US"/>
        </w:rPr>
        <w:t xml:space="preserve"> ὤπολλον ... ὦ Φοῖβε, with the variant that Callimachus interpolates the reiteration with a few words (in the first case), or even a few lines (in the second case), and the reiteration is made by the avatars of Hermes and Apollo, namely Geneiolas and Phoebus. </w:t>
      </w:r>
    </w:p>
    <w:p w14:paraId="5FE8BD95" w14:textId="50527E48" w:rsidR="00437209" w:rsidRDefault="00437209" w:rsidP="00532444">
      <w:pPr>
        <w:rPr>
          <w:lang w:val="en-US"/>
        </w:rPr>
      </w:pPr>
      <w:r>
        <w:rPr>
          <w:lang w:val="en-US"/>
        </w:rPr>
        <w:tab/>
        <w:t xml:space="preserve">The first address is very generic, but the second clarifies why the god is being addressed. Archilochus calls upon Zeus because he is the father of the world and he can exercise power over all other creatures. Hipponax invokes Hermes as his accomplice, to </w:t>
      </w:r>
      <w:r>
        <w:rPr>
          <w:lang w:val="en-US"/>
        </w:rPr>
        <w:lastRenderedPageBreak/>
        <w:t>come to his aid. Callimachus prays to Hermes Γενειόλας</w:t>
      </w:r>
      <w:r>
        <w:rPr>
          <w:rStyle w:val="FootnoteReference"/>
          <w:lang w:val="en-US"/>
        </w:rPr>
        <w:footnoteReference w:id="422"/>
      </w:r>
      <w:r>
        <w:rPr>
          <w:lang w:val="en-US"/>
        </w:rPr>
        <w:t xml:space="preserve"> as god of fertility, and to </w:t>
      </w:r>
      <w:r w:rsidR="00CC0615">
        <w:rPr>
          <w:lang w:val="en-US"/>
        </w:rPr>
        <w:t>“</w:t>
      </w:r>
      <w:r>
        <w:rPr>
          <w:lang w:val="en-US"/>
        </w:rPr>
        <w:t>Phoeban</w:t>
      </w:r>
      <w:r w:rsidR="00CC0615">
        <w:rPr>
          <w:lang w:val="en-US"/>
        </w:rPr>
        <w:t>”</w:t>
      </w:r>
      <w:r>
        <w:rPr>
          <w:lang w:val="en-US"/>
        </w:rPr>
        <w:t xml:space="preserve"> Apollo because he is invoking Apollo as god of brightness and gracefulness. The reiterated addresses are always followed by at least one further specification regarding a particular aspect of the god that is important in the context of the prayer: Archilochus specifies that Zeus is the ruler in heaven (σὸν μὲν οὐρανοῦ κράτος); Hipponax underlines that Hermes is the friend of thieves (φωρῶν ἑταῖρε), and Callimachus invokes an Apollo who said </w:t>
      </w:r>
      <w:r w:rsidR="00CC0615">
        <w:rPr>
          <w:lang w:val="en-US"/>
        </w:rPr>
        <w:t>“</w:t>
      </w:r>
      <w:r>
        <w:rPr>
          <w:lang w:val="en-US"/>
        </w:rPr>
        <w:t>but I will provide some other gift</w:t>
      </w:r>
      <w:r w:rsidR="00CC0615">
        <w:rPr>
          <w:lang w:val="en-US"/>
        </w:rPr>
        <w:t>”</w:t>
      </w:r>
      <w:r>
        <w:rPr>
          <w:lang w:val="en-US"/>
        </w:rPr>
        <w:t xml:space="preserve"> (ἐφθέγξω τάδε· / </w:t>
      </w:r>
      <w:r w:rsidR="00075F5F">
        <w:rPr>
          <w:lang w:val="en-US"/>
        </w:rPr>
        <w:t>‘</w:t>
      </w:r>
      <w:r>
        <w:rPr>
          <w:lang w:val="en-US"/>
        </w:rPr>
        <w:t>..., ἐγὼ δ</w:t>
      </w:r>
      <w:r w:rsidR="00075F5F">
        <w:rPr>
          <w:lang w:val="en-US"/>
        </w:rPr>
        <w:t>’</w:t>
      </w:r>
      <w:r>
        <w:rPr>
          <w:lang w:val="en-US"/>
        </w:rPr>
        <w:t xml:space="preserve"> ἄλλην τιν</w:t>
      </w:r>
      <w:r w:rsidR="00075F5F">
        <w:rPr>
          <w:lang w:val="en-US"/>
        </w:rPr>
        <w:t>’</w:t>
      </w:r>
      <w:r>
        <w:rPr>
          <w:lang w:val="en-US"/>
        </w:rPr>
        <w:t xml:space="preserve"> ο..ησω...ιν.</w:t>
      </w:r>
      <w:r w:rsidR="00075F5F">
        <w:rPr>
          <w:lang w:val="en-US"/>
        </w:rPr>
        <w:t>’</w:t>
      </w:r>
      <w:r>
        <w:rPr>
          <w:lang w:val="en-US"/>
        </w:rPr>
        <w:t>), where the other gift is his poetry.</w:t>
      </w:r>
    </w:p>
    <w:p w14:paraId="7EBDED25" w14:textId="142877ED" w:rsidR="00437209" w:rsidRDefault="00437209" w:rsidP="00532444">
      <w:pPr>
        <w:spacing w:after="120"/>
        <w:rPr>
          <w:lang w:val="en-US"/>
        </w:rPr>
      </w:pPr>
      <w:r>
        <w:rPr>
          <w:lang w:val="en-US"/>
        </w:rPr>
        <w:tab/>
        <w:t>If the addressee is called upon through epic epithets, these are slightly modified in their morphology or in their syntax. Archilochus</w:t>
      </w:r>
      <w:r w:rsidR="00075F5F">
        <w:rPr>
          <w:lang w:val="en-US"/>
        </w:rPr>
        <w:t>’</w:t>
      </w:r>
      <w:r>
        <w:rPr>
          <w:lang w:val="en-US"/>
        </w:rPr>
        <w:t xml:space="preserve"> σὸν μὲν οὐρανοῦ κράτος clearly imitates a Homeric formula. The most similar one referring to Zeus is τοῦ γὰρ κράτος ἐστὶ μέγιστον. The combination of the words in Archilochus is, however, absolutely not Homeric, as σὸν and κράτος are connected only once in Homeric poems, at </w:t>
      </w:r>
      <w:r>
        <w:rPr>
          <w:i/>
          <w:iCs/>
          <w:lang w:val="en-US"/>
        </w:rPr>
        <w:t>Il</w:t>
      </w:r>
      <w:r>
        <w:rPr>
          <w:lang w:val="en-US"/>
        </w:rPr>
        <w:t xml:space="preserve">. 12.214 σὸν δὲ κράτος αἰὲν ἀέξειν </w:t>
      </w:r>
      <w:r w:rsidR="00CC0615">
        <w:rPr>
          <w:lang w:val="en-US"/>
        </w:rPr>
        <w:t>“</w:t>
      </w:r>
      <w:r>
        <w:rPr>
          <w:lang w:val="en-US"/>
        </w:rPr>
        <w:t>he should ever increase thy might</w:t>
      </w:r>
      <w:r w:rsidR="00CC0615">
        <w:rPr>
          <w:lang w:val="en-US"/>
        </w:rPr>
        <w:t>”</w:t>
      </w:r>
      <w:r>
        <w:rPr>
          <w:lang w:val="en-US"/>
        </w:rPr>
        <w:t xml:space="preserve"> and refer to the power of Hector, not to that of Zeus. Likewise, the combination of οὐρανοῦ with κράτος never appears in Homer, and οὐρανός is hardly ever connected to Zeus. Furthermore, Archilochus prefers the analytic periphrasis ἔργ</w:t>
      </w:r>
      <w:r w:rsidR="00075F5F">
        <w:rPr>
          <w:lang w:val="en-US"/>
        </w:rPr>
        <w:t>’</w:t>
      </w:r>
      <w:r>
        <w:rPr>
          <w:lang w:val="en-US"/>
        </w:rPr>
        <w:t xml:space="preserve"> ἐπ</w:t>
      </w:r>
      <w:r w:rsidR="00075F5F">
        <w:rPr>
          <w:lang w:val="en-US"/>
        </w:rPr>
        <w:t>’</w:t>
      </w:r>
      <w:r>
        <w:rPr>
          <w:lang w:val="en-US"/>
        </w:rPr>
        <w:t xml:space="preserve"> ἀνθρώπων ὁρᾶις with the tmesis ἐπ</w:t>
      </w:r>
      <w:r w:rsidR="00075F5F">
        <w:rPr>
          <w:lang w:val="en-US"/>
        </w:rPr>
        <w:t>’</w:t>
      </w:r>
      <w:r>
        <w:rPr>
          <w:lang w:val="en-US"/>
        </w:rPr>
        <w:t xml:space="preserve"> + ὁρᾶις, rather than the synthetic adjective ἐπόψιος, which is typical of hymnic poetry: </w:t>
      </w:r>
    </w:p>
    <w:p w14:paraId="573F937C" w14:textId="17C10350" w:rsidR="00437209" w:rsidRDefault="00075F5F" w:rsidP="00532444">
      <w:pPr>
        <w:widowControl w:val="0"/>
        <w:numPr>
          <w:ilvl w:val="0"/>
          <w:numId w:val="190"/>
        </w:numPr>
        <w:tabs>
          <w:tab w:val="left" w:pos="720"/>
          <w:tab w:val="center" w:pos="5387"/>
        </w:tabs>
        <w:rPr>
          <w:lang w:val="en-US"/>
        </w:rPr>
      </w:pPr>
      <w:r>
        <w:rPr>
          <w:i/>
          <w:iCs/>
          <w:lang w:val="en-US"/>
        </w:rPr>
        <w:t>h.</w:t>
      </w:r>
      <w:r w:rsidR="00437209">
        <w:rPr>
          <w:i/>
          <w:iCs/>
          <w:lang w:val="en-US"/>
        </w:rPr>
        <w:t>Ap.</w:t>
      </w:r>
      <w:r w:rsidR="00437209">
        <w:rPr>
          <w:lang w:val="en-US"/>
        </w:rPr>
        <w:t xml:space="preserve"> 496 ἐπόψιος ἔσσεται αἰεί </w:t>
      </w:r>
      <w:r w:rsidR="00CC0615">
        <w:rPr>
          <w:lang w:val="en-US"/>
        </w:rPr>
        <w:t>“</w:t>
      </w:r>
      <w:r w:rsidR="00437209">
        <w:rPr>
          <w:lang w:val="en-US"/>
        </w:rPr>
        <w:t>shall be overlooking forever</w:t>
      </w:r>
      <w:r w:rsidR="00CC0615">
        <w:rPr>
          <w:lang w:val="en-US"/>
        </w:rPr>
        <w:t>”</w:t>
      </w:r>
      <w:r w:rsidR="00437209">
        <w:rPr>
          <w:lang w:val="en-US"/>
        </w:rPr>
        <w:t xml:space="preserve">; </w:t>
      </w:r>
    </w:p>
    <w:p w14:paraId="3D09DD61" w14:textId="6FA0AEE6" w:rsidR="00437209" w:rsidRDefault="00437209" w:rsidP="00532444">
      <w:pPr>
        <w:widowControl w:val="0"/>
        <w:numPr>
          <w:ilvl w:val="0"/>
          <w:numId w:val="190"/>
        </w:numPr>
        <w:tabs>
          <w:tab w:val="left" w:pos="714"/>
          <w:tab w:val="center" w:pos="5387"/>
        </w:tabs>
        <w:spacing w:after="120"/>
        <w:ind w:left="714" w:hanging="357"/>
        <w:rPr>
          <w:lang w:val="en-US"/>
        </w:rPr>
      </w:pPr>
      <w:r>
        <w:rPr>
          <w:lang w:val="en-US"/>
        </w:rPr>
        <w:t xml:space="preserve">Call. </w:t>
      </w:r>
      <w:r>
        <w:rPr>
          <w:i/>
          <w:iCs/>
          <w:lang w:val="en-US"/>
        </w:rPr>
        <w:t>h.Jov.</w:t>
      </w:r>
      <w:r>
        <w:rPr>
          <w:lang w:val="en-US"/>
        </w:rPr>
        <w:t xml:space="preserve"> 81-3 δῶκας δὲ πτολίεθρα φυλασσέμεν, ἵζεο δ</w:t>
      </w:r>
      <w:r w:rsidR="00075F5F">
        <w:rPr>
          <w:lang w:val="en-US"/>
        </w:rPr>
        <w:t>’</w:t>
      </w:r>
      <w:r>
        <w:rPr>
          <w:lang w:val="en-US"/>
        </w:rPr>
        <w:t xml:space="preserve"> αὐτός / ἄκρῃσ</w:t>
      </w:r>
      <w:r w:rsidR="00075F5F">
        <w:rPr>
          <w:lang w:val="en-US"/>
        </w:rPr>
        <w:t>’</w:t>
      </w:r>
      <w:r>
        <w:rPr>
          <w:lang w:val="en-US"/>
        </w:rPr>
        <w:t xml:space="preserve"> ἐν πολίεσσιν, ἐπόψιος οἵ τε δίκῃσι / λαὸν ὑπὸ σκολιῇσ</w:t>
      </w:r>
      <w:r w:rsidR="00075F5F">
        <w:rPr>
          <w:lang w:val="en-US"/>
        </w:rPr>
        <w:t>’</w:t>
      </w:r>
      <w:r>
        <w:rPr>
          <w:lang w:val="en-US"/>
        </w:rPr>
        <w:t xml:space="preserve"> οἵ τ</w:t>
      </w:r>
      <w:r w:rsidR="00075F5F">
        <w:rPr>
          <w:lang w:val="en-US"/>
        </w:rPr>
        <w:t>’</w:t>
      </w:r>
      <w:r>
        <w:rPr>
          <w:lang w:val="en-US"/>
        </w:rPr>
        <w:t xml:space="preserve"> ἔμπαλιν ἰθύνουσιν </w:t>
      </w:r>
      <w:r w:rsidR="00CC0615">
        <w:rPr>
          <w:lang w:val="en-US"/>
        </w:rPr>
        <w:t>“</w:t>
      </w:r>
      <w:r>
        <w:rPr>
          <w:lang w:val="en-US"/>
        </w:rPr>
        <w:t>and thou didst seat thyself in the high places of the cities, watching who rule their people with crooked judgements, and who rule otherwise.</w:t>
      </w:r>
      <w:r w:rsidR="00CC0615">
        <w:rPr>
          <w:lang w:val="en-US"/>
        </w:rPr>
        <w:t>”</w:t>
      </w:r>
      <w:r>
        <w:rPr>
          <w:lang w:val="en-US"/>
        </w:rPr>
        <w:t xml:space="preserve"> </w:t>
      </w:r>
    </w:p>
    <w:p w14:paraId="3E7EAA34" w14:textId="0A759A4F" w:rsidR="00437209" w:rsidRDefault="00437209" w:rsidP="00532444">
      <w:pPr>
        <w:spacing w:after="120"/>
        <w:rPr>
          <w:lang w:val="en-US"/>
        </w:rPr>
      </w:pPr>
      <w:r>
        <w:rPr>
          <w:lang w:val="en-US"/>
        </w:rPr>
        <w:t xml:space="preserve">Hipponax calls Hermes Κυλλήνης πάλμυς, instead of the traditional Κυλλήνης μεδέων </w:t>
      </w:r>
      <w:r w:rsidR="00CC0615">
        <w:rPr>
          <w:lang w:val="en-US"/>
        </w:rPr>
        <w:t>“</w:t>
      </w:r>
      <w:r>
        <w:rPr>
          <w:lang w:val="en-US"/>
        </w:rPr>
        <w:t>king of Kyllenes</w:t>
      </w:r>
      <w:r w:rsidR="00CC0615">
        <w:rPr>
          <w:lang w:val="en-US"/>
        </w:rPr>
        <w:t>”</w:t>
      </w:r>
      <w:r>
        <w:rPr>
          <w:lang w:val="en-US"/>
        </w:rPr>
        <w:t>:</w:t>
      </w:r>
    </w:p>
    <w:p w14:paraId="1C54702C" w14:textId="31F14872" w:rsidR="00437209" w:rsidRDefault="00437209" w:rsidP="00532444">
      <w:pPr>
        <w:widowControl w:val="0"/>
        <w:numPr>
          <w:ilvl w:val="0"/>
          <w:numId w:val="191"/>
        </w:numPr>
        <w:tabs>
          <w:tab w:val="left" w:pos="720"/>
          <w:tab w:val="center" w:pos="5387"/>
        </w:tabs>
        <w:rPr>
          <w:lang w:val="en-US"/>
        </w:rPr>
      </w:pPr>
      <w:r>
        <w:rPr>
          <w:i/>
          <w:iCs/>
          <w:lang w:val="en-US"/>
        </w:rPr>
        <w:t>h.Merc</w:t>
      </w:r>
      <w:r>
        <w:rPr>
          <w:lang w:val="en-US"/>
        </w:rPr>
        <w:t>. 1-2 Ἑρμῆν ὕμνει Μοῦσα … / Κυλλήνης μεδέοντα</w:t>
      </w:r>
      <w:r>
        <w:rPr>
          <w:rStyle w:val="FootnoteReference"/>
          <w:lang w:val="en-US"/>
        </w:rPr>
        <w:footnoteReference w:id="423"/>
      </w:r>
      <w:r>
        <w:rPr>
          <w:lang w:val="en-US"/>
        </w:rPr>
        <w:t xml:space="preserve"> </w:t>
      </w:r>
      <w:r w:rsidR="00CC0615">
        <w:rPr>
          <w:lang w:val="en-US"/>
        </w:rPr>
        <w:t>“</w:t>
      </w:r>
      <w:r>
        <w:rPr>
          <w:lang w:val="en-US"/>
        </w:rPr>
        <w:t>sing, Musa, Hermes, … lord of Kyllenes</w:t>
      </w:r>
      <w:r w:rsidR="00CC0615">
        <w:rPr>
          <w:lang w:val="en-US"/>
        </w:rPr>
        <w:t>”</w:t>
      </w:r>
      <w:r>
        <w:rPr>
          <w:lang w:val="en-US"/>
        </w:rPr>
        <w:t>;</w:t>
      </w:r>
    </w:p>
    <w:p w14:paraId="6E60154F" w14:textId="35E3AEF3" w:rsidR="00437209" w:rsidRDefault="00437209" w:rsidP="00532444">
      <w:pPr>
        <w:widowControl w:val="0"/>
        <w:numPr>
          <w:ilvl w:val="0"/>
          <w:numId w:val="191"/>
        </w:numPr>
        <w:tabs>
          <w:tab w:val="left" w:pos="714"/>
          <w:tab w:val="center" w:pos="5387"/>
        </w:tabs>
        <w:spacing w:after="120"/>
        <w:ind w:left="714" w:hanging="357"/>
        <w:rPr>
          <w:lang w:val="en-US"/>
        </w:rPr>
      </w:pPr>
      <w:r>
        <w:rPr>
          <w:lang w:val="en-US"/>
        </w:rPr>
        <w:t>Alc. fr. 308b.1 Κυλλάνας ὀ μέδεις</w:t>
      </w:r>
      <w:r>
        <w:rPr>
          <w:rStyle w:val="FootnoteReference"/>
          <w:lang w:val="en-US"/>
        </w:rPr>
        <w:footnoteReference w:id="424"/>
      </w:r>
      <w:r>
        <w:rPr>
          <w:lang w:val="en-US"/>
        </w:rPr>
        <w:t xml:space="preserve"> </w:t>
      </w:r>
      <w:r w:rsidR="00CC0615">
        <w:rPr>
          <w:lang w:val="en-US"/>
        </w:rPr>
        <w:t>“</w:t>
      </w:r>
      <w:r>
        <w:rPr>
          <w:lang w:val="en-US"/>
        </w:rPr>
        <w:t>lord of Kyllenes.</w:t>
      </w:r>
      <w:r w:rsidR="00CC0615">
        <w:rPr>
          <w:lang w:val="en-US"/>
        </w:rPr>
        <w:t>”</w:t>
      </w:r>
    </w:p>
    <w:p w14:paraId="771E62EB" w14:textId="57D0AFA9" w:rsidR="00437209" w:rsidRDefault="00437209" w:rsidP="00532444">
      <w:pPr>
        <w:spacing w:after="120"/>
        <w:rPr>
          <w:lang w:val="en-US"/>
        </w:rPr>
      </w:pPr>
      <w:r>
        <w:rPr>
          <w:lang w:val="en-US"/>
        </w:rPr>
        <w:lastRenderedPageBreak/>
        <w:t xml:space="preserve">Furthermore, Hipponax invokes Hermes as Μαιαδεύς (the matronymic) or Μαίης παῖς </w:t>
      </w:r>
      <w:r w:rsidR="00CC0615">
        <w:rPr>
          <w:lang w:val="en-US"/>
        </w:rPr>
        <w:t>“</w:t>
      </w:r>
      <w:r>
        <w:rPr>
          <w:lang w:val="en-US"/>
        </w:rPr>
        <w:t>son of Maia.</w:t>
      </w:r>
      <w:r w:rsidR="00CC0615">
        <w:rPr>
          <w:lang w:val="en-US"/>
        </w:rPr>
        <w:t>”</w:t>
      </w:r>
      <w:r>
        <w:rPr>
          <w:lang w:val="en-US"/>
        </w:rPr>
        <w:t xml:space="preserve"> In epic, this is instead Μαιάδος / Μαίης υἱός. The forms Μαῖα (Ionic Μαίη) and Μαιάς are both attested in the epic and hymnic poetry:</w:t>
      </w:r>
      <w:r>
        <w:rPr>
          <w:rStyle w:val="FootnoteReference"/>
          <w:lang w:val="en-US"/>
        </w:rPr>
        <w:footnoteReference w:id="425"/>
      </w:r>
    </w:p>
    <w:p w14:paraId="63C5CEE0" w14:textId="1A0DC13C" w:rsidR="00437209" w:rsidRDefault="00437209" w:rsidP="00532444">
      <w:pPr>
        <w:widowControl w:val="0"/>
        <w:numPr>
          <w:ilvl w:val="0"/>
          <w:numId w:val="191"/>
        </w:numPr>
        <w:tabs>
          <w:tab w:val="left" w:pos="720"/>
          <w:tab w:val="center" w:pos="5387"/>
        </w:tabs>
        <w:ind w:left="714" w:hanging="357"/>
        <w:rPr>
          <w:lang w:val="en-US"/>
        </w:rPr>
      </w:pPr>
      <w:r>
        <w:rPr>
          <w:i/>
          <w:iCs/>
          <w:lang w:val="en-US"/>
        </w:rPr>
        <w:t>h.Merc</w:t>
      </w:r>
      <w:r>
        <w:rPr>
          <w:lang w:val="en-US"/>
        </w:rPr>
        <w:t xml:space="preserve">. 1 Ἑρμῆν ὕμνει Μοῦσα Διὸς καὶ Μαιάδος υἱόν </w:t>
      </w:r>
      <w:r w:rsidR="00CC0615">
        <w:rPr>
          <w:lang w:val="en-US"/>
        </w:rPr>
        <w:t>“</w:t>
      </w:r>
      <w:r>
        <w:rPr>
          <w:lang w:val="en-US"/>
        </w:rPr>
        <w:t>sing, Muse, Hermes, son of Zeus and Maia</w:t>
      </w:r>
      <w:r w:rsidR="00CC0615">
        <w:rPr>
          <w:lang w:val="en-US"/>
        </w:rPr>
        <w:t>”</w:t>
      </w:r>
      <w:r>
        <w:rPr>
          <w:lang w:val="en-US"/>
        </w:rPr>
        <w:t>;</w:t>
      </w:r>
    </w:p>
    <w:p w14:paraId="71A89C19" w14:textId="2E4652A3" w:rsidR="00437209" w:rsidRPr="00437209" w:rsidRDefault="00437209" w:rsidP="00532444">
      <w:pPr>
        <w:widowControl w:val="0"/>
        <w:numPr>
          <w:ilvl w:val="0"/>
          <w:numId w:val="191"/>
        </w:numPr>
        <w:tabs>
          <w:tab w:val="left" w:pos="714"/>
          <w:tab w:val="center" w:pos="5387"/>
        </w:tabs>
        <w:spacing w:after="120"/>
        <w:ind w:left="714" w:hanging="357"/>
        <w:rPr>
          <w:lang w:val="en-US"/>
        </w:rPr>
      </w:pPr>
      <w:r>
        <w:rPr>
          <w:i/>
          <w:iCs/>
          <w:lang w:val="en-US"/>
        </w:rPr>
        <w:t>Od</w:t>
      </w:r>
      <w:r>
        <w:rPr>
          <w:lang w:val="en-US"/>
        </w:rPr>
        <w:t xml:space="preserve">. 14.435 Ἑρμῇ, Μαιάδος υἷι, </w:t>
      </w:r>
      <w:r w:rsidR="00CC0615">
        <w:rPr>
          <w:lang w:val="en-US"/>
        </w:rPr>
        <w:t>“</w:t>
      </w:r>
      <w:r>
        <w:rPr>
          <w:lang w:val="en-US"/>
        </w:rPr>
        <w:t>to Hermes, son of Maia.</w:t>
      </w:r>
      <w:r w:rsidR="00CC0615">
        <w:rPr>
          <w:lang w:val="en-US"/>
        </w:rPr>
        <w:t>”</w:t>
      </w:r>
      <w:r>
        <w:rPr>
          <w:lang w:val="en-US"/>
        </w:rPr>
        <w:t xml:space="preserve"> </w:t>
      </w:r>
    </w:p>
    <w:p w14:paraId="35B3A442" w14:textId="33E8B915" w:rsidR="00CE67A3" w:rsidRDefault="00437209" w:rsidP="00532444">
      <w:pPr>
        <w:spacing w:before="120"/>
        <w:rPr>
          <w:lang w:val="en-US"/>
        </w:rPr>
      </w:pPr>
      <w:r>
        <w:rPr>
          <w:lang w:val="en-US"/>
        </w:rPr>
        <w:t xml:space="preserve">With the form Μαιαδεύς, the iambographer creates an adjective from the attribution with the genitive. In the case of Μαίης παῖς, he makes a different lexical choice, since the epic high-resounding υἱός becomes the colloquial παῖς, which recollects words such as παίγνιον </w:t>
      </w:r>
      <w:r w:rsidR="00CC0615">
        <w:rPr>
          <w:lang w:val="en-US"/>
        </w:rPr>
        <w:t>“</w:t>
      </w:r>
      <w:r>
        <w:rPr>
          <w:lang w:val="en-US"/>
        </w:rPr>
        <w:t>toy,</w:t>
      </w:r>
      <w:r w:rsidR="00CC0615">
        <w:rPr>
          <w:lang w:val="en-US"/>
        </w:rPr>
        <w:t>”</w:t>
      </w:r>
      <w:r>
        <w:rPr>
          <w:lang w:val="en-US"/>
        </w:rPr>
        <w:t xml:space="preserve"> παιδιά </w:t>
      </w:r>
      <w:r w:rsidR="00CC0615">
        <w:rPr>
          <w:lang w:val="en-US"/>
        </w:rPr>
        <w:t>“</w:t>
      </w:r>
      <w:r>
        <w:rPr>
          <w:lang w:val="en-US"/>
        </w:rPr>
        <w:t>prank,</w:t>
      </w:r>
      <w:r w:rsidR="00CC0615">
        <w:rPr>
          <w:lang w:val="en-US"/>
        </w:rPr>
        <w:t>”</w:t>
      </w:r>
      <w:r>
        <w:rPr>
          <w:lang w:val="en-US"/>
        </w:rPr>
        <w:t xml:space="preserve"> παίζω </w:t>
      </w:r>
      <w:r w:rsidR="00CC0615">
        <w:rPr>
          <w:lang w:val="en-US"/>
        </w:rPr>
        <w:t>“</w:t>
      </w:r>
      <w:r>
        <w:rPr>
          <w:lang w:val="en-US"/>
        </w:rPr>
        <w:t>play,</w:t>
      </w:r>
      <w:r w:rsidR="00CC0615">
        <w:rPr>
          <w:lang w:val="en-US"/>
        </w:rPr>
        <w:t>”</w:t>
      </w:r>
      <w:r>
        <w:rPr>
          <w:lang w:val="en-US"/>
        </w:rPr>
        <w:t xml:space="preserve"> all related to the world of childish games and tricks. This does not happen by accident: in epic language, Hermes is called παῖς only once, when he is about to steal the cows of Apollo (</w:t>
      </w:r>
      <w:r>
        <w:rPr>
          <w:i/>
          <w:iCs/>
          <w:lang w:val="en-US"/>
        </w:rPr>
        <w:t>h.Merc.</w:t>
      </w:r>
      <w:r>
        <w:rPr>
          <w:lang w:val="en-US"/>
        </w:rPr>
        <w:t xml:space="preserve"> 336-338):</w:t>
      </w:r>
    </w:p>
    <w:p w14:paraId="1B23495C" w14:textId="77777777" w:rsidR="00AE724C" w:rsidRDefault="00AE724C" w:rsidP="00532444"/>
    <w:tbl>
      <w:tblPr>
        <w:tblStyle w:val="TableGrid"/>
        <w:tblW w:w="7938"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394"/>
        <w:gridCol w:w="3544"/>
      </w:tblGrid>
      <w:tr w:rsidR="00AE724C" w:rsidRPr="00365089" w14:paraId="45E14E89" w14:textId="77777777" w:rsidTr="00365089">
        <w:tc>
          <w:tcPr>
            <w:tcW w:w="4394" w:type="dxa"/>
          </w:tcPr>
          <w:p w14:paraId="60888E41" w14:textId="2BAA0DD0" w:rsidR="00AE724C" w:rsidRPr="00365089" w:rsidRDefault="00AE724C" w:rsidP="00C8590C">
            <w:pPr>
              <w:pStyle w:val="Blockquote"/>
              <w:ind w:left="-108" w:firstLine="108"/>
              <w:rPr>
                <w:rFonts w:cstheme="majorBidi"/>
                <w:i/>
                <w:iCs/>
                <w:color w:val="404040" w:themeColor="text1" w:themeTint="BF"/>
                <w:sz w:val="22"/>
                <w:szCs w:val="22"/>
                <w:lang w:val="el-GR"/>
              </w:rPr>
            </w:pPr>
            <w:r w:rsidRPr="00365089">
              <w:rPr>
                <w:sz w:val="22"/>
                <w:szCs w:val="22"/>
                <w:lang w:val="el-GR"/>
              </w:rPr>
              <w:t>παῖδά τιν</w:t>
            </w:r>
            <w:r w:rsidR="00075F5F">
              <w:rPr>
                <w:sz w:val="22"/>
                <w:szCs w:val="22"/>
                <w:lang w:val="el-GR"/>
              </w:rPr>
              <w:t>’</w:t>
            </w:r>
            <w:r w:rsidRPr="00365089">
              <w:rPr>
                <w:sz w:val="22"/>
                <w:szCs w:val="22"/>
                <w:lang w:val="el-GR"/>
              </w:rPr>
              <w:t xml:space="preserve"> εὗρον τόνδε διαπρύσιον κεραϊστὴν</w:t>
            </w:r>
          </w:p>
          <w:p w14:paraId="71C62D60" w14:textId="77777777" w:rsidR="00AE724C" w:rsidRPr="00365089" w:rsidRDefault="00AE724C" w:rsidP="00C8590C">
            <w:pPr>
              <w:pStyle w:val="Blockquote"/>
              <w:ind w:left="-108" w:firstLine="108"/>
              <w:rPr>
                <w:rFonts w:cstheme="majorBidi"/>
                <w:i/>
                <w:iCs/>
                <w:color w:val="404040" w:themeColor="text1" w:themeTint="BF"/>
                <w:sz w:val="22"/>
                <w:szCs w:val="22"/>
                <w:lang w:val="el-GR"/>
              </w:rPr>
            </w:pPr>
            <w:r w:rsidRPr="00365089">
              <w:rPr>
                <w:sz w:val="22"/>
                <w:szCs w:val="22"/>
                <w:lang w:val="el-GR"/>
              </w:rPr>
              <w:t>Κυλλήνης ἐν ὄρεσσι πολὺν διὰ χῶρον ἀνύσσας</w:t>
            </w:r>
          </w:p>
          <w:p w14:paraId="5AC7ACF1" w14:textId="5F1B1AFB" w:rsidR="00AE724C" w:rsidRPr="00365089" w:rsidRDefault="00AE724C" w:rsidP="00C8590C">
            <w:pPr>
              <w:pStyle w:val="Blockquote"/>
              <w:ind w:left="-108" w:right="-250" w:firstLine="108"/>
              <w:rPr>
                <w:rFonts w:cstheme="majorBidi"/>
                <w:i/>
                <w:iCs/>
                <w:color w:val="404040" w:themeColor="text1" w:themeTint="BF"/>
                <w:sz w:val="22"/>
                <w:szCs w:val="22"/>
              </w:rPr>
            </w:pPr>
            <w:r w:rsidRPr="00365089">
              <w:rPr>
                <w:sz w:val="22"/>
                <w:szCs w:val="22"/>
                <w:lang w:val="en-US"/>
              </w:rPr>
              <w:t>κέρτομον</w:t>
            </w:r>
          </w:p>
        </w:tc>
        <w:tc>
          <w:tcPr>
            <w:tcW w:w="3544" w:type="dxa"/>
          </w:tcPr>
          <w:p w14:paraId="39427723" w14:textId="77777777" w:rsidR="00AE724C" w:rsidRPr="00365089" w:rsidRDefault="00AE724C" w:rsidP="00C8590C">
            <w:pPr>
              <w:pStyle w:val="Blockquote"/>
              <w:ind w:left="34"/>
              <w:rPr>
                <w:rFonts w:cstheme="majorBidi"/>
                <w:i/>
                <w:iCs/>
                <w:color w:val="404040" w:themeColor="text1" w:themeTint="BF"/>
                <w:sz w:val="22"/>
                <w:szCs w:val="22"/>
              </w:rPr>
            </w:pPr>
            <w:r w:rsidRPr="00365089">
              <w:rPr>
                <w:sz w:val="22"/>
                <w:szCs w:val="22"/>
                <w:lang w:val="en-US"/>
              </w:rPr>
              <w:t>Here is a child, a burgling robber, whom I found after a long journey in the hills of Cyllene: for my part I have never seen one so pert either among the gods or all men,…</w:t>
            </w:r>
          </w:p>
        </w:tc>
      </w:tr>
    </w:tbl>
    <w:p w14:paraId="6F8EA8EC" w14:textId="77777777" w:rsidR="00AE724C" w:rsidRDefault="00AE724C" w:rsidP="00DE4C55">
      <w:pPr>
        <w:pStyle w:val="Blockquote"/>
      </w:pPr>
    </w:p>
    <w:p w14:paraId="78D4EC53" w14:textId="281B097C" w:rsidR="00437209" w:rsidRDefault="00437209" w:rsidP="00B074A4">
      <w:pPr>
        <w:rPr>
          <w:lang w:val="en-US"/>
        </w:rPr>
      </w:pPr>
      <w:r>
        <w:rPr>
          <w:lang w:val="en-US"/>
        </w:rPr>
        <w:t xml:space="preserve">Callimachus prefers the crasis ὤπολλον, instead of the vocative Ἄπολλον of the </w:t>
      </w:r>
      <w:r>
        <w:rPr>
          <w:i/>
          <w:iCs/>
          <w:lang w:val="en-US"/>
        </w:rPr>
        <w:t>Homeric Hymn to Apollo</w:t>
      </w:r>
      <w:r>
        <w:rPr>
          <w:lang w:val="en-US"/>
        </w:rPr>
        <w:t xml:space="preserve">. In the </w:t>
      </w:r>
      <w:r>
        <w:rPr>
          <w:i/>
          <w:iCs/>
          <w:lang w:val="en-US"/>
        </w:rPr>
        <w:t>Homeric Hymn to Apollo,</w:t>
      </w:r>
      <w:r>
        <w:rPr>
          <w:lang w:val="en-US"/>
        </w:rPr>
        <w:t xml:space="preserve"> the vocative Ἄπολλον occurs six times (140, 215, 222, 229, 239, 277). The adjective Δήλιος does not belong to the traditional epiclesis of the god, since the word occurs for the first time in Aeschylus (</w:t>
      </w:r>
      <w:r>
        <w:rPr>
          <w:i/>
          <w:iCs/>
          <w:lang w:val="en-US"/>
        </w:rPr>
        <w:t>Eum</w:t>
      </w:r>
      <w:r>
        <w:rPr>
          <w:lang w:val="en-US"/>
        </w:rPr>
        <w:t xml:space="preserve">. 9); moreover, Callimachus uses the Doric vocative -ᾶ, instead of the epic -εία, when he addresses Hermes in </w:t>
      </w:r>
      <w:r>
        <w:rPr>
          <w:i/>
          <w:iCs/>
          <w:lang w:val="en-US"/>
        </w:rPr>
        <w:t xml:space="preserve">Ia. </w:t>
      </w:r>
      <w:r>
        <w:rPr>
          <w:lang w:val="en-US"/>
        </w:rPr>
        <w:t xml:space="preserve">9.1 Ἑρμᾶ. However, it must be remembered that </w:t>
      </w:r>
      <w:r>
        <w:rPr>
          <w:i/>
          <w:iCs/>
          <w:lang w:val="en-US"/>
        </w:rPr>
        <w:t>Iambus</w:t>
      </w:r>
      <w:r>
        <w:rPr>
          <w:lang w:val="en-US"/>
        </w:rPr>
        <w:t xml:space="preserve"> 9 is one of the so-called </w:t>
      </w:r>
      <w:r w:rsidR="00CC0615">
        <w:rPr>
          <w:lang w:val="en-US"/>
        </w:rPr>
        <w:t>“</w:t>
      </w:r>
      <w:r>
        <w:rPr>
          <w:lang w:val="en-US"/>
        </w:rPr>
        <w:t>Doric</w:t>
      </w:r>
      <w:r w:rsidR="00CC0615">
        <w:rPr>
          <w:lang w:val="en-US"/>
        </w:rPr>
        <w:t>”</w:t>
      </w:r>
      <w:r>
        <w:rPr>
          <w:lang w:val="en-US"/>
        </w:rPr>
        <w:t xml:space="preserve"> </w:t>
      </w:r>
      <w:r>
        <w:rPr>
          <w:i/>
          <w:iCs/>
          <w:lang w:val="en-US"/>
        </w:rPr>
        <w:t>Iambi</w:t>
      </w:r>
      <w:r>
        <w:rPr>
          <w:lang w:val="en-US"/>
        </w:rPr>
        <w:t>: what can be remarked is that the dialect brand prevail</w:t>
      </w:r>
      <w:r w:rsidR="00B074A4">
        <w:rPr>
          <w:lang w:val="en-US"/>
        </w:rPr>
        <w:t>s</w:t>
      </w:r>
      <w:r>
        <w:rPr>
          <w:lang w:val="en-US"/>
        </w:rPr>
        <w:t xml:space="preserve"> o</w:t>
      </w:r>
      <w:r w:rsidR="00B074A4">
        <w:rPr>
          <w:lang w:val="en-US"/>
        </w:rPr>
        <w:t>ver</w:t>
      </w:r>
      <w:r>
        <w:rPr>
          <w:lang w:val="en-US"/>
        </w:rPr>
        <w:t xml:space="preserve"> the genre (in this case, hymnic) diction.</w:t>
      </w:r>
      <w:r>
        <w:rPr>
          <w:shd w:val="solid" w:color="FBFB57" w:fill="FBFB57"/>
          <w:lang w:val="en-US"/>
        </w:rPr>
        <w:t xml:space="preserve"> </w:t>
      </w:r>
    </w:p>
    <w:p w14:paraId="1B7B1B20" w14:textId="18AC4633" w:rsidR="00437209" w:rsidRDefault="00437209" w:rsidP="004C3336">
      <w:pPr>
        <w:rPr>
          <w:lang w:val="en-US"/>
        </w:rPr>
      </w:pPr>
      <w:r>
        <w:rPr>
          <w:lang w:val="en-US"/>
        </w:rPr>
        <w:tab/>
        <w:t xml:space="preserve">Iambic prayers often are queries about something that gods have not done.They express this not-done-ness by the objective negative particle, namely οὐ / οὐκ, immediately followed by the word to which the objective negative particle refers. This word is usually a verb: in this case the mood is the indicative and the tense is the aorist, as shown by Archil. fr. 220 Ζεῦ πάτερ, γάμον μὲν οὐκ ἐδαισάμην </w:t>
      </w:r>
      <w:r w:rsidR="00CC0615">
        <w:rPr>
          <w:lang w:val="en-US"/>
        </w:rPr>
        <w:t>“</w:t>
      </w:r>
      <w:r>
        <w:rPr>
          <w:lang w:val="en-US"/>
        </w:rPr>
        <w:t xml:space="preserve">father Zeus, I had no </w:t>
      </w:r>
      <w:r>
        <w:rPr>
          <w:lang w:val="en-US"/>
        </w:rPr>
        <w:lastRenderedPageBreak/>
        <w:t>wedding feast</w:t>
      </w:r>
      <w:r w:rsidR="00CC0615">
        <w:rPr>
          <w:lang w:val="en-US"/>
        </w:rPr>
        <w:t>”</w:t>
      </w:r>
      <w:r>
        <w:rPr>
          <w:lang w:val="en-US"/>
        </w:rPr>
        <w:t xml:space="preserve">; by Hippon. fr. 43.1 ἐμοὶ γὰρ οὐκ ἔδωκας οὔτέ κω χλαῖναν </w:t>
      </w:r>
      <w:r w:rsidR="00CC0615">
        <w:rPr>
          <w:lang w:val="en-US"/>
        </w:rPr>
        <w:t>“</w:t>
      </w:r>
      <w:r>
        <w:rPr>
          <w:lang w:val="en-US"/>
        </w:rPr>
        <w:t>for you did not give me a cloak,</w:t>
      </w:r>
      <w:r w:rsidR="00CC0615">
        <w:rPr>
          <w:lang w:val="en-US"/>
        </w:rPr>
        <w:t>”</w:t>
      </w:r>
      <w:r>
        <w:rPr>
          <w:lang w:val="en-US"/>
        </w:rPr>
        <w:t xml:space="preserve"> and by Hippon. fr. 47</w:t>
      </w:r>
      <w:r w:rsidRPr="003002D4">
        <w:rPr>
          <w:shd w:val="solid" w:color="FFFFFF" w:themeColor="background1" w:fill="F4F0E5"/>
          <w:lang w:val="en-US"/>
        </w:rPr>
        <w:t xml:space="preserve"> </w:t>
      </w:r>
      <w:r>
        <w:rPr>
          <w:lang w:val="en-US"/>
        </w:rPr>
        <w:t xml:space="preserve">ὦ Ζεῦ, πάτερ θεῶν Ὀλυμπίων πάλμυ, / τί μοὐκ ἔδωκας χρυσόν; </w:t>
      </w:r>
      <w:r w:rsidR="00CC0615">
        <w:rPr>
          <w:lang w:val="en-US"/>
        </w:rPr>
        <w:t>“</w:t>
      </w:r>
      <w:r>
        <w:rPr>
          <w:lang w:val="en-US"/>
        </w:rPr>
        <w:t>Zeus, father of the gods, sultan of the Olympian estates, why you did not give me gold?</w:t>
      </w:r>
      <w:r w:rsidR="00CC0615">
        <w:rPr>
          <w:lang w:val="en-US"/>
        </w:rPr>
        <w:t>”</w:t>
      </w:r>
      <w:r>
        <w:rPr>
          <w:lang w:val="en-US"/>
        </w:rPr>
        <w:t xml:space="preserve"> Elsewhere, the negative particle precedes the thing to be denied in a set of two options, as shown by Call. </w:t>
      </w:r>
      <w:r>
        <w:rPr>
          <w:i/>
          <w:iCs/>
          <w:lang w:val="en-US"/>
        </w:rPr>
        <w:t>Ia.</w:t>
      </w:r>
      <w:r>
        <w:rPr>
          <w:lang w:val="en-US"/>
        </w:rPr>
        <w:t xml:space="preserve"> 9.2 ποττὰν ὑπήναν κοὐ ποτ</w:t>
      </w:r>
      <w:r w:rsidR="00075F5F">
        <w:rPr>
          <w:lang w:val="en-US"/>
        </w:rPr>
        <w:t>’</w:t>
      </w:r>
      <w:r>
        <w:rPr>
          <w:lang w:val="en-US"/>
        </w:rPr>
        <w:t xml:space="preserve"> ἴχνιον; </w:t>
      </w:r>
      <w:r w:rsidR="00CC0615">
        <w:rPr>
          <w:lang w:val="en-US"/>
        </w:rPr>
        <w:t>“</w:t>
      </w:r>
      <w:r>
        <w:rPr>
          <w:lang w:val="en-US"/>
        </w:rPr>
        <w:t>to your beard and not to your feet,</w:t>
      </w:r>
      <w:r w:rsidR="00CC0615">
        <w:rPr>
          <w:lang w:val="en-US"/>
        </w:rPr>
        <w:t>”</w:t>
      </w:r>
      <w:r>
        <w:rPr>
          <w:lang w:val="en-US"/>
        </w:rPr>
        <w:t xml:space="preserve"> or Call. </w:t>
      </w:r>
      <w:r>
        <w:rPr>
          <w:i/>
          <w:iCs/>
          <w:lang w:val="en-US"/>
        </w:rPr>
        <w:t>Ia.</w:t>
      </w:r>
      <w:r>
        <w:rPr>
          <w:lang w:val="en-US"/>
        </w:rPr>
        <w:t xml:space="preserve"> 12.79-80 οὐκ ἀλλοτρίη / ἀλλά</w:t>
      </w:r>
      <w:r>
        <w:rPr>
          <w:rFonts w:ascii="Times New Roman (Vietnamese)" w:hAnsi="Times New Roman (Vietnamese)" w:cs="Times New Roman (Vietnamese)"/>
          <w:lang w:val="en-US"/>
        </w:rPr>
        <w:t xml:space="preserve"> </w:t>
      </w:r>
      <w:r>
        <w:rPr>
          <w:lang w:val="en-US"/>
        </w:rPr>
        <w:t>μοι </w:t>
      </w:r>
      <w:r w:rsidR="00CC0615">
        <w:rPr>
          <w:lang w:val="en-US"/>
        </w:rPr>
        <w:t>”</w:t>
      </w:r>
      <w:r>
        <w:rPr>
          <w:lang w:val="en-US"/>
        </w:rPr>
        <w:t>not of another</w:t>
      </w:r>
      <w:r w:rsidR="00075F5F">
        <w:rPr>
          <w:lang w:val="en-US"/>
        </w:rPr>
        <w:t>’</w:t>
      </w:r>
      <w:r>
        <w:rPr>
          <w:lang w:val="en-US"/>
        </w:rPr>
        <w:t>s, but for me.</w:t>
      </w:r>
      <w:r w:rsidR="00CC0615">
        <w:rPr>
          <w:lang w:val="en-US"/>
        </w:rPr>
        <w:t>”</w:t>
      </w:r>
    </w:p>
    <w:p w14:paraId="0B5C46F3" w14:textId="39A1AB36" w:rsidR="00AE724C" w:rsidRPr="00D5239F" w:rsidRDefault="00D5239F" w:rsidP="00D5239F">
      <w:pPr>
        <w:pStyle w:val="Heading3"/>
      </w:pPr>
      <w:r>
        <w:t>3.</w:t>
      </w:r>
      <w:r w:rsidR="00623B9C">
        <w:t>4</w:t>
      </w:r>
      <w:r>
        <w:t xml:space="preserve"> </w:t>
      </w:r>
      <w:r w:rsidR="00AE724C" w:rsidRPr="00D5239F">
        <w:t>Food</w:t>
      </w:r>
    </w:p>
    <w:p w14:paraId="6E1A8229" w14:textId="77777777" w:rsidR="00AE724C" w:rsidRPr="00D5239F" w:rsidRDefault="00AE724C" w:rsidP="00825A39">
      <w:pPr>
        <w:spacing w:after="200"/>
        <w:textAlignment w:val="bottom"/>
        <w:rPr>
          <w:rFonts w:cs="Times New Roman"/>
          <w:szCs w:val="24"/>
        </w:rPr>
      </w:pPr>
      <w:r w:rsidRPr="00D5239F">
        <w:rPr>
          <w:rFonts w:cs="Times New Roman"/>
          <w:szCs w:val="24"/>
        </w:rPr>
        <w:t>Catalogue of relevant passages:</w:t>
      </w:r>
    </w:p>
    <w:tbl>
      <w:tblPr>
        <w:tblStyle w:val="TableGrid"/>
        <w:tblW w:w="0" w:type="auto"/>
        <w:tblLook w:val="04A0" w:firstRow="1" w:lastRow="0" w:firstColumn="1" w:lastColumn="0" w:noHBand="0" w:noVBand="1"/>
      </w:tblPr>
      <w:tblGrid>
        <w:gridCol w:w="2857"/>
        <w:gridCol w:w="2808"/>
        <w:gridCol w:w="2863"/>
      </w:tblGrid>
      <w:tr w:rsidR="00AE724C" w:rsidRPr="00770CB7" w14:paraId="2EFC32D1" w14:textId="77777777" w:rsidTr="00437209">
        <w:tc>
          <w:tcPr>
            <w:tcW w:w="2857" w:type="dxa"/>
          </w:tcPr>
          <w:p w14:paraId="0A004D58" w14:textId="77777777" w:rsidR="00AE724C" w:rsidRPr="00770CB7" w:rsidRDefault="00AE724C" w:rsidP="00D5239F">
            <w:pPr>
              <w:spacing w:before="100" w:after="100" w:line="240" w:lineRule="auto"/>
              <w:textAlignment w:val="bottom"/>
              <w:rPr>
                <w:rFonts w:cs="Times New Roman"/>
                <w:szCs w:val="24"/>
              </w:rPr>
            </w:pPr>
            <w:r w:rsidRPr="00770CB7">
              <w:rPr>
                <w:rFonts w:cs="Times New Roman"/>
                <w:szCs w:val="24"/>
              </w:rPr>
              <w:t>Archilochus</w:t>
            </w:r>
          </w:p>
        </w:tc>
        <w:tc>
          <w:tcPr>
            <w:tcW w:w="2808" w:type="dxa"/>
          </w:tcPr>
          <w:p w14:paraId="48A3D28E" w14:textId="77777777" w:rsidR="00AE724C" w:rsidRPr="00770CB7" w:rsidRDefault="00AE724C" w:rsidP="00D5239F">
            <w:pPr>
              <w:spacing w:before="100" w:after="100" w:line="240" w:lineRule="auto"/>
              <w:textAlignment w:val="bottom"/>
              <w:rPr>
                <w:rFonts w:cs="Times New Roman"/>
                <w:szCs w:val="24"/>
              </w:rPr>
            </w:pPr>
            <w:r w:rsidRPr="00770CB7">
              <w:rPr>
                <w:rFonts w:cs="Times New Roman"/>
                <w:szCs w:val="24"/>
              </w:rPr>
              <w:t>Hipponax</w:t>
            </w:r>
          </w:p>
        </w:tc>
        <w:tc>
          <w:tcPr>
            <w:tcW w:w="2863" w:type="dxa"/>
          </w:tcPr>
          <w:p w14:paraId="4FD16428" w14:textId="77777777" w:rsidR="00AE724C" w:rsidRPr="00770CB7" w:rsidRDefault="00AE724C" w:rsidP="00D5239F">
            <w:pPr>
              <w:spacing w:before="100" w:after="100" w:line="240" w:lineRule="auto"/>
              <w:textAlignment w:val="bottom"/>
              <w:rPr>
                <w:rFonts w:cs="Times New Roman"/>
                <w:szCs w:val="24"/>
              </w:rPr>
            </w:pPr>
            <w:r w:rsidRPr="00770CB7">
              <w:rPr>
                <w:rFonts w:cs="Times New Roman"/>
                <w:szCs w:val="24"/>
              </w:rPr>
              <w:t>Callimachus</w:t>
            </w:r>
          </w:p>
        </w:tc>
      </w:tr>
      <w:tr w:rsidR="00AE724C" w:rsidRPr="00770CB7" w14:paraId="4F771AFD" w14:textId="77777777" w:rsidTr="00437209">
        <w:tc>
          <w:tcPr>
            <w:tcW w:w="2857" w:type="dxa"/>
          </w:tcPr>
          <w:p w14:paraId="1C363F10" w14:textId="77777777" w:rsidR="00AE724C" w:rsidRPr="00770CB7" w:rsidRDefault="00AE724C" w:rsidP="00D5239F">
            <w:pPr>
              <w:spacing w:before="100" w:after="100" w:line="240" w:lineRule="auto"/>
              <w:jc w:val="left"/>
              <w:textAlignment w:val="bottom"/>
              <w:rPr>
                <w:rFonts w:cs="Times New Roman"/>
                <w:szCs w:val="24"/>
              </w:rPr>
            </w:pPr>
            <w:r w:rsidRPr="00770CB7">
              <w:rPr>
                <w:rFonts w:cs="Times New Roman"/>
                <w:szCs w:val="24"/>
              </w:rPr>
              <w:t>87; 117; 119; 219; 266; 269; 274</w:t>
            </w:r>
          </w:p>
        </w:tc>
        <w:tc>
          <w:tcPr>
            <w:tcW w:w="2808" w:type="dxa"/>
          </w:tcPr>
          <w:p w14:paraId="681E190F" w14:textId="77777777" w:rsidR="00AE724C" w:rsidRPr="00770CB7" w:rsidRDefault="00AE724C" w:rsidP="00D5239F">
            <w:pPr>
              <w:spacing w:before="100" w:after="100" w:line="240" w:lineRule="auto"/>
              <w:jc w:val="left"/>
              <w:textAlignment w:val="bottom"/>
              <w:rPr>
                <w:rFonts w:cs="Times New Roman"/>
                <w:szCs w:val="24"/>
              </w:rPr>
            </w:pPr>
            <w:r w:rsidRPr="00770CB7">
              <w:rPr>
                <w:rFonts w:cs="Times New Roman"/>
                <w:szCs w:val="24"/>
              </w:rPr>
              <w:t>28; 36; 37; 52; 119; 123; 126; 129; 177</w:t>
            </w:r>
          </w:p>
        </w:tc>
        <w:tc>
          <w:tcPr>
            <w:tcW w:w="2863" w:type="dxa"/>
          </w:tcPr>
          <w:p w14:paraId="65B442E4" w14:textId="77777777" w:rsidR="00AE724C" w:rsidRPr="00770CB7" w:rsidRDefault="00AE724C" w:rsidP="00D5239F">
            <w:pPr>
              <w:spacing w:before="100" w:after="100" w:line="240" w:lineRule="auto"/>
              <w:jc w:val="left"/>
              <w:textAlignment w:val="bottom"/>
              <w:rPr>
                <w:rFonts w:cs="Times New Roman"/>
                <w:szCs w:val="24"/>
              </w:rPr>
            </w:pPr>
            <w:r w:rsidRPr="00770CB7">
              <w:rPr>
                <w:rFonts w:cs="Times New Roman"/>
                <w:szCs w:val="24"/>
              </w:rPr>
              <w:t>1.92-93; 3.39; 5.7; 13.15,60-61</w:t>
            </w:r>
          </w:p>
        </w:tc>
      </w:tr>
    </w:tbl>
    <w:p w14:paraId="7141AF05" w14:textId="77777777" w:rsidR="004C3336" w:rsidRDefault="004C3336" w:rsidP="00532444">
      <w:pPr>
        <w:rPr>
          <w:szCs w:val="24"/>
          <w:lang w:val="en-US"/>
        </w:rPr>
      </w:pPr>
    </w:p>
    <w:p w14:paraId="007F00D8" w14:textId="77777777" w:rsidR="00437209" w:rsidRPr="002818ED" w:rsidRDefault="00437209" w:rsidP="00532444">
      <w:pPr>
        <w:rPr>
          <w:szCs w:val="24"/>
          <w:lang w:val="en-US"/>
        </w:rPr>
      </w:pPr>
      <w:r w:rsidRPr="004C3336">
        <w:rPr>
          <w:szCs w:val="24"/>
          <w:lang w:val="en-US"/>
        </w:rPr>
        <w:t>Food is one of the typically iambic themes, but it differs from the other ones that I selected in at least two aspects. Food may be the most moralistic subject in the iambs, since there is always a clear dichotomy between a good diet and a bad one. A good diet is followed</w:t>
      </w:r>
      <w:r w:rsidRPr="005E543A">
        <w:rPr>
          <w:szCs w:val="24"/>
          <w:lang w:val="en-US"/>
        </w:rPr>
        <w:t xml:space="preserve"> by honourable people who deserve respect and consideration, and the good kind of food is eaten with moderation and good manners; while the eaters of a bad diet are out-and-out swallowers, with no control of their belly and no orderly manner. Food may be </w:t>
      </w:r>
      <w:r w:rsidRPr="002818ED">
        <w:rPr>
          <w:szCs w:val="24"/>
          <w:lang w:val="en-US"/>
        </w:rPr>
        <w:t xml:space="preserve">the most constant element in our three iambographers, since it shows a continuity over time both in style and subject. </w:t>
      </w:r>
    </w:p>
    <w:p w14:paraId="23501757" w14:textId="105FF3B4" w:rsidR="00437209" w:rsidRPr="00532444" w:rsidRDefault="00437209" w:rsidP="004C3336">
      <w:pPr>
        <w:rPr>
          <w:szCs w:val="24"/>
          <w:lang w:val="en-US"/>
        </w:rPr>
      </w:pPr>
      <w:r w:rsidRPr="008A330E">
        <w:rPr>
          <w:szCs w:val="24"/>
          <w:lang w:val="en-US"/>
        </w:rPr>
        <w:tab/>
        <w:t>The style is that of the catalogue or list, as shown for example by Archil. fr. 219 ο</w:t>
      </w:r>
      <w:r w:rsidRPr="00532444">
        <w:rPr>
          <w:szCs w:val="24"/>
          <w:lang w:val="en-US"/>
        </w:rPr>
        <w:t xml:space="preserve">ὐλὰσ... / ὄμφακες... / σῦκα μελικρά, </w:t>
      </w:r>
      <w:r w:rsidR="00CC0615">
        <w:rPr>
          <w:szCs w:val="24"/>
          <w:lang w:val="en-US"/>
        </w:rPr>
        <w:t>“</w:t>
      </w:r>
      <w:r w:rsidRPr="00532444">
        <w:rPr>
          <w:szCs w:val="24"/>
          <w:lang w:val="en-US"/>
        </w:rPr>
        <w:t>barley grains... unripe grapes... sweet figs</w:t>
      </w:r>
      <w:r w:rsidR="00CC0615">
        <w:rPr>
          <w:szCs w:val="24"/>
          <w:lang w:val="en-US"/>
        </w:rPr>
        <w:t>”</w:t>
      </w:r>
      <w:r w:rsidRPr="00532444">
        <w:rPr>
          <w:szCs w:val="24"/>
          <w:lang w:val="en-US"/>
        </w:rPr>
        <w:t>; or Hippon. fr. 36 ὁ μὲν γὰρ αὐτῶν ἡσυχῆι τε καὶ ῥύδην / θύννάν τε καὶ μυσσωτὸν ἡμέρας πάσας / δαινύμενος … πέτρας τ</w:t>
      </w:r>
      <w:r w:rsidR="00075F5F">
        <w:rPr>
          <w:szCs w:val="24"/>
          <w:lang w:val="en-US"/>
        </w:rPr>
        <w:t>’</w:t>
      </w:r>
      <w:r w:rsidRPr="00532444">
        <w:rPr>
          <w:szCs w:val="24"/>
          <w:lang w:val="en-US"/>
        </w:rPr>
        <w:t> ὀρείας, σῦκα μέτρια τρώγων</w:t>
      </w:r>
      <w:r w:rsidRPr="00532444">
        <w:rPr>
          <w:i/>
          <w:iCs/>
          <w:szCs w:val="24"/>
          <w:lang w:val="en-US"/>
        </w:rPr>
        <w:t> </w:t>
      </w:r>
      <w:r w:rsidRPr="00532444">
        <w:rPr>
          <w:szCs w:val="24"/>
          <w:lang w:val="en-US"/>
        </w:rPr>
        <w:t xml:space="preserve">/ καὶ κρίθινον κόλλικα, </w:t>
      </w:r>
      <w:r w:rsidR="00CC0615">
        <w:rPr>
          <w:szCs w:val="24"/>
          <w:lang w:val="en-US"/>
        </w:rPr>
        <w:t>“</w:t>
      </w:r>
      <w:r w:rsidRPr="00532444">
        <w:rPr>
          <w:szCs w:val="24"/>
          <w:lang w:val="en-US"/>
        </w:rPr>
        <w:t>for one of them, dining at his ease and lavishly every day on tuna and savoury sauce ... munching on cheap figs and coarse barley bread.</w:t>
      </w:r>
      <w:r w:rsidR="00CC0615">
        <w:rPr>
          <w:szCs w:val="24"/>
          <w:lang w:val="en-US"/>
        </w:rPr>
        <w:t>”</w:t>
      </w:r>
      <w:r w:rsidRPr="00532444">
        <w:rPr>
          <w:szCs w:val="24"/>
          <w:lang w:val="en-US"/>
        </w:rPr>
        <w:t xml:space="preserve"> Sometimes the list assumes the shape of a real cookery recipe, as in Hippon. fr. 37</w:t>
      </w:r>
      <w:r w:rsidRPr="004C3336">
        <w:rPr>
          <w:rStyle w:val="FootnoteReference"/>
          <w:szCs w:val="24"/>
          <w:lang w:val="en-US"/>
        </w:rPr>
        <w:footnoteReference w:id="426"/>
      </w:r>
      <w:r w:rsidRPr="004C3336">
        <w:rPr>
          <w:szCs w:val="24"/>
          <w:lang w:val="en-US"/>
        </w:rPr>
        <w:t xml:space="preserve"> οὐκ ἀτταγέας τε καὶ λαγοὺ</w:t>
      </w:r>
      <w:r w:rsidRPr="005E543A">
        <w:rPr>
          <w:szCs w:val="24"/>
          <w:lang w:val="en-US"/>
        </w:rPr>
        <w:t>ς καταβρύκων, / ο</w:t>
      </w:r>
      <w:r w:rsidRPr="002818ED">
        <w:rPr>
          <w:szCs w:val="24"/>
          <w:lang w:val="en-US"/>
        </w:rPr>
        <w:t>ὐ</w:t>
      </w:r>
      <w:r w:rsidRPr="008A330E">
        <w:rPr>
          <w:szCs w:val="24"/>
          <w:lang w:val="en-US"/>
        </w:rPr>
        <w:t xml:space="preserve"> τηγανίτας σησάμοισι φαρμάσσων, / ο</w:t>
      </w:r>
      <w:r w:rsidRPr="00532444">
        <w:rPr>
          <w:szCs w:val="24"/>
          <w:lang w:val="en-US"/>
        </w:rPr>
        <w:t>ὐδ</w:t>
      </w:r>
      <w:r w:rsidR="00075F5F">
        <w:rPr>
          <w:szCs w:val="24"/>
          <w:lang w:val="en-US"/>
        </w:rPr>
        <w:t>’</w:t>
      </w:r>
      <w:r w:rsidRPr="00532444">
        <w:rPr>
          <w:szCs w:val="24"/>
          <w:lang w:val="en-US"/>
        </w:rPr>
        <w:t xml:space="preserve"> ἀττανίτας κηρίοισιν</w:t>
      </w:r>
      <w:r w:rsidR="00075F5F">
        <w:rPr>
          <w:szCs w:val="24"/>
          <w:lang w:val="en-US"/>
        </w:rPr>
        <w:t xml:space="preserve"> </w:t>
      </w:r>
      <w:r w:rsidRPr="00532444">
        <w:rPr>
          <w:szCs w:val="24"/>
          <w:lang w:val="en-US"/>
        </w:rPr>
        <w:t xml:space="preserve">ἐμβάπτων, </w:t>
      </w:r>
      <w:r w:rsidR="00CC0615">
        <w:rPr>
          <w:szCs w:val="24"/>
          <w:lang w:val="en-US"/>
        </w:rPr>
        <w:t>“</w:t>
      </w:r>
      <w:r w:rsidRPr="00532444">
        <w:rPr>
          <w:szCs w:val="24"/>
          <w:lang w:val="en-US"/>
        </w:rPr>
        <w:t xml:space="preserve">not </w:t>
      </w:r>
      <w:r w:rsidRPr="00532444">
        <w:rPr>
          <w:szCs w:val="24"/>
          <w:lang w:val="en-US"/>
        </w:rPr>
        <w:lastRenderedPageBreak/>
        <w:t>champing on partridges and hares, not seasoning pancakes with sesame, and not dipping waffles in honey.</w:t>
      </w:r>
      <w:r w:rsidR="00CC0615">
        <w:rPr>
          <w:szCs w:val="24"/>
          <w:lang w:val="en-US"/>
        </w:rPr>
        <w:t>”</w:t>
      </w:r>
      <w:r w:rsidRPr="00532444">
        <w:rPr>
          <w:szCs w:val="24"/>
          <w:lang w:val="en-US"/>
        </w:rPr>
        <w:t xml:space="preserve"> </w:t>
      </w:r>
    </w:p>
    <w:p w14:paraId="529C3946" w14:textId="19355018" w:rsidR="00437209" w:rsidRPr="004C3336" w:rsidRDefault="00437209" w:rsidP="004C3336">
      <w:pPr>
        <w:rPr>
          <w:szCs w:val="24"/>
          <w:lang w:val="en-US"/>
        </w:rPr>
      </w:pPr>
      <w:r w:rsidRPr="00532444">
        <w:rPr>
          <w:szCs w:val="24"/>
          <w:lang w:val="en-US"/>
        </w:rPr>
        <w:tab/>
        <w:t xml:space="preserve">The ingredients which occur in every good diet are figs (σῦκα), and loaves (μᾶζα), which constitute such a humble meal that by themselves they are a symbol of poverty. They are the food of the iambic poets, as shown by Archil. fr. 2.1 ἐν δορὶ μέν μοι μᾶζα μεμαγμένη, </w:t>
      </w:r>
      <w:r w:rsidR="00CC0615">
        <w:rPr>
          <w:szCs w:val="24"/>
          <w:lang w:val="en-US"/>
        </w:rPr>
        <w:t>“</w:t>
      </w:r>
      <w:r w:rsidRPr="00532444">
        <w:rPr>
          <w:szCs w:val="24"/>
          <w:lang w:val="en-US"/>
        </w:rPr>
        <w:t>on board ship I have kneaded barley bread,</w:t>
      </w:r>
      <w:r w:rsidR="00CC0615">
        <w:rPr>
          <w:szCs w:val="24"/>
          <w:lang w:val="en-US"/>
        </w:rPr>
        <w:t>”</w:t>
      </w:r>
      <w:r w:rsidRPr="00532444">
        <w:rPr>
          <w:szCs w:val="24"/>
          <w:lang w:val="en-US"/>
        </w:rPr>
        <w:t xml:space="preserve"> and by Archil. fr. 87 ἔα Πάρον καὶ σῦκα κεῖνα καὶ θαλάσσιον βίον, </w:t>
      </w:r>
      <w:r w:rsidR="00CC0615">
        <w:rPr>
          <w:szCs w:val="24"/>
          <w:lang w:val="en-US"/>
        </w:rPr>
        <w:t>“</w:t>
      </w:r>
      <w:r w:rsidRPr="00532444">
        <w:rPr>
          <w:szCs w:val="24"/>
          <w:lang w:val="en-US"/>
        </w:rPr>
        <w:t>good-bye to Paros and those figs and life on the sea.</w:t>
      </w:r>
      <w:r w:rsidR="00CC0615">
        <w:rPr>
          <w:szCs w:val="24"/>
          <w:lang w:val="en-US"/>
        </w:rPr>
        <w:t>”</w:t>
      </w:r>
      <w:r w:rsidRPr="00532444">
        <w:rPr>
          <w:szCs w:val="24"/>
          <w:lang w:val="en-US"/>
        </w:rPr>
        <w:t xml:space="preserve"> Acute poverty is a characteristic of the poetic </w:t>
      </w:r>
      <w:r w:rsidRPr="00532444">
        <w:rPr>
          <w:i/>
          <w:iCs/>
          <w:szCs w:val="24"/>
          <w:lang w:val="en-US"/>
        </w:rPr>
        <w:t>personae</w:t>
      </w:r>
      <w:r w:rsidRPr="00532444">
        <w:rPr>
          <w:szCs w:val="24"/>
          <w:lang w:val="en-US"/>
        </w:rPr>
        <w:t xml:space="preserve"> of iambic poetry so that Hipponax often remarks on this condition, when he prays Hermes or Pluto to give him something precious, and Callimachus is proud of eating humble green figs, when he says, in </w:t>
      </w:r>
      <w:r w:rsidRPr="00532444">
        <w:rPr>
          <w:i/>
          <w:iCs/>
          <w:szCs w:val="24"/>
          <w:lang w:val="en-US"/>
        </w:rPr>
        <w:t>Ia</w:t>
      </w:r>
      <w:r w:rsidRPr="00532444">
        <w:rPr>
          <w:szCs w:val="24"/>
          <w:lang w:val="en-US"/>
        </w:rPr>
        <w:t>. 1.93 μοῦνος εἷλε τὰς Μούσας / χλωρὰ σῦκα</w:t>
      </w:r>
      <w:r w:rsidRPr="00532444">
        <w:rPr>
          <w:rFonts w:ascii="Times New Roman (Vietnamese)" w:hAnsi="Times New Roman (Vietnamese)" w:cs="Times New Roman (Vietnamese)"/>
          <w:szCs w:val="24"/>
          <w:lang w:val="en-US"/>
        </w:rPr>
        <w:t xml:space="preserve"> </w:t>
      </w:r>
      <w:r w:rsidRPr="00532444">
        <w:rPr>
          <w:szCs w:val="24"/>
          <w:lang w:val="en-US"/>
        </w:rPr>
        <w:t xml:space="preserve">τρωγούσας, </w:t>
      </w:r>
      <w:r w:rsidR="00CC0615">
        <w:rPr>
          <w:szCs w:val="24"/>
          <w:lang w:val="en-US"/>
        </w:rPr>
        <w:t>“</w:t>
      </w:r>
      <w:r w:rsidRPr="00532444">
        <w:rPr>
          <w:szCs w:val="24"/>
          <w:lang w:val="en-US"/>
        </w:rPr>
        <w:t>alone took the Muses</w:t>
      </w:r>
      <w:r w:rsidRPr="004C3336">
        <w:rPr>
          <w:szCs w:val="24"/>
          <w:lang w:val="en-US"/>
        </w:rPr>
        <w:t xml:space="preserve"> eating green figs.</w:t>
      </w:r>
      <w:r w:rsidR="00CC0615">
        <w:rPr>
          <w:szCs w:val="24"/>
          <w:lang w:val="en-US"/>
        </w:rPr>
        <w:t>”</w:t>
      </w:r>
    </w:p>
    <w:p w14:paraId="4E4E2183" w14:textId="38106DB6" w:rsidR="00437209" w:rsidRPr="004C3336" w:rsidRDefault="00437209" w:rsidP="004C3336">
      <w:pPr>
        <w:rPr>
          <w:szCs w:val="24"/>
          <w:lang w:val="en-US"/>
        </w:rPr>
      </w:pPr>
      <w:r w:rsidRPr="004C3336">
        <w:rPr>
          <w:szCs w:val="24"/>
          <w:lang w:val="en-US"/>
        </w:rPr>
        <w:tab/>
        <w:t xml:space="preserve">This image of the </w:t>
      </w:r>
      <w:r w:rsidR="00CC0615">
        <w:rPr>
          <w:szCs w:val="24"/>
          <w:lang w:val="en-US"/>
        </w:rPr>
        <w:t>“</w:t>
      </w:r>
      <w:r w:rsidRPr="004C3336">
        <w:rPr>
          <w:szCs w:val="24"/>
          <w:lang w:val="en-US"/>
        </w:rPr>
        <w:t>iambic</w:t>
      </w:r>
      <w:r w:rsidR="00CC0615">
        <w:rPr>
          <w:szCs w:val="24"/>
          <w:lang w:val="en-US"/>
        </w:rPr>
        <w:t>”</w:t>
      </w:r>
      <w:r w:rsidRPr="004C3336">
        <w:rPr>
          <w:szCs w:val="24"/>
          <w:lang w:val="en-US"/>
        </w:rPr>
        <w:t xml:space="preserve"> Muses is unusual and new, since the divine figures who are the sourc</w:t>
      </w:r>
      <w:r w:rsidRPr="005E543A">
        <w:rPr>
          <w:szCs w:val="24"/>
          <w:lang w:val="en-US"/>
        </w:rPr>
        <w:t xml:space="preserve">e of poetry (here iambic poetry) are themselves characterised by one of the features of the genre </w:t>
      </w:r>
      <w:r w:rsidR="00075F5F">
        <w:rPr>
          <w:szCs w:val="24"/>
          <w:lang w:val="en-US"/>
        </w:rPr>
        <w:t>–</w:t>
      </w:r>
      <w:r w:rsidRPr="005E543A">
        <w:rPr>
          <w:szCs w:val="24"/>
          <w:lang w:val="en-US"/>
        </w:rPr>
        <w:t xml:space="preserve"> eating figs. Figs are typical iambic τρωγάλια. It is highly plausible that figs and their consumption are a stock image of iambic verse,</w:t>
      </w:r>
      <w:r w:rsidRPr="004C3336">
        <w:rPr>
          <w:rStyle w:val="FootnoteReference"/>
          <w:szCs w:val="24"/>
          <w:lang w:val="en-US"/>
        </w:rPr>
        <w:footnoteReference w:id="427"/>
      </w:r>
      <w:r w:rsidRPr="004C3336">
        <w:rPr>
          <w:szCs w:val="24"/>
          <w:lang w:val="en-US"/>
        </w:rPr>
        <w:t xml:space="preserve"> although, according to Ardizzoni,</w:t>
      </w:r>
      <w:r w:rsidRPr="004C3336">
        <w:rPr>
          <w:rStyle w:val="FootnoteReference"/>
          <w:szCs w:val="24"/>
          <w:lang w:val="en-US"/>
        </w:rPr>
        <w:footnoteReference w:id="428"/>
      </w:r>
      <w:r w:rsidRPr="004C3336">
        <w:rPr>
          <w:szCs w:val="24"/>
          <w:lang w:val="en-US"/>
        </w:rPr>
        <w:t xml:space="preserve"> Call. </w:t>
      </w:r>
      <w:r w:rsidRPr="004C3336">
        <w:rPr>
          <w:i/>
          <w:iCs/>
          <w:szCs w:val="24"/>
          <w:lang w:val="en-US"/>
        </w:rPr>
        <w:t>Ia</w:t>
      </w:r>
      <w:r w:rsidRPr="004C3336">
        <w:rPr>
          <w:szCs w:val="24"/>
          <w:lang w:val="en-US"/>
        </w:rPr>
        <w:t xml:space="preserve">. 1.93 would be a direct allusion to Hippon. fr. 39.5 σῦκα μέτρια τρώγων </w:t>
      </w:r>
      <w:r w:rsidR="00CC0615">
        <w:rPr>
          <w:szCs w:val="24"/>
          <w:lang w:val="en-US"/>
        </w:rPr>
        <w:t>“</w:t>
      </w:r>
      <w:r w:rsidRPr="004C3336">
        <w:rPr>
          <w:szCs w:val="24"/>
          <w:lang w:val="en-US"/>
        </w:rPr>
        <w:t>eating humble figs.</w:t>
      </w:r>
      <w:r w:rsidR="00CC0615">
        <w:rPr>
          <w:szCs w:val="24"/>
          <w:lang w:val="en-US"/>
        </w:rPr>
        <w:t>”</w:t>
      </w:r>
      <w:r w:rsidRPr="004C3336">
        <w:rPr>
          <w:szCs w:val="24"/>
          <w:lang w:val="en-US"/>
        </w:rPr>
        <w:t xml:space="preserve"> </w:t>
      </w:r>
    </w:p>
    <w:p w14:paraId="2668701D" w14:textId="4FC29CBC" w:rsidR="00437209" w:rsidRPr="004C3336" w:rsidRDefault="00437209" w:rsidP="004C3336">
      <w:pPr>
        <w:rPr>
          <w:szCs w:val="24"/>
          <w:lang w:val="en-US"/>
        </w:rPr>
      </w:pPr>
      <w:r w:rsidRPr="004C3336">
        <w:rPr>
          <w:szCs w:val="24"/>
          <w:lang w:val="en-US"/>
        </w:rPr>
        <w:tab/>
        <w:t>The other food which marks poverty is barley bread, μᾶ</w:t>
      </w:r>
      <w:r w:rsidRPr="005E543A">
        <w:rPr>
          <w:szCs w:val="24"/>
          <w:lang w:val="en-US"/>
        </w:rPr>
        <w:t xml:space="preserve">ζα, and again Callimachus is proud to claim in </w:t>
      </w:r>
      <w:r w:rsidRPr="002818ED">
        <w:rPr>
          <w:i/>
          <w:iCs/>
          <w:szCs w:val="24"/>
          <w:lang w:val="en-US"/>
        </w:rPr>
        <w:t>Ia</w:t>
      </w:r>
      <w:r w:rsidRPr="008A330E">
        <w:rPr>
          <w:szCs w:val="24"/>
          <w:lang w:val="en-US"/>
        </w:rPr>
        <w:t>. 3.39 τοίγαρ </w:t>
      </w:r>
      <w:r w:rsidRPr="00532444">
        <w:rPr>
          <w:szCs w:val="24"/>
          <w:lang w:val="en-US"/>
        </w:rPr>
        <w:t>ἣν ἔμαξα δεν</w:t>
      </w:r>
      <w:hyperlink r:id="rId63" w:history="1">
        <w:r w:rsidRPr="004C3336">
          <w:rPr>
            <w:szCs w:val="24"/>
            <w:lang w:val="en-US"/>
          </w:rPr>
          <w:t>[</w:t>
        </w:r>
      </w:hyperlink>
      <w:hyperlink r:id="rId64" w:history="1">
        <w:r w:rsidRPr="004C3336">
          <w:rPr>
            <w:szCs w:val="24"/>
            <w:lang w:val="en-US"/>
          </w:rPr>
          <w:t>..</w:t>
        </w:r>
      </w:hyperlink>
      <w:hyperlink r:id="rId65" w:history="1">
        <w:r w:rsidRPr="004C3336">
          <w:rPr>
            <w:szCs w:val="24"/>
            <w:lang w:val="en-US"/>
          </w:rPr>
          <w:t>]</w:t>
        </w:r>
      </w:hyperlink>
      <w:hyperlink r:id="rId66" w:history="1">
        <w:r w:rsidRPr="004C3336">
          <w:rPr>
            <w:szCs w:val="24"/>
            <w:lang w:val="en-US"/>
          </w:rPr>
          <w:t>.</w:t>
        </w:r>
      </w:hyperlink>
      <w:r w:rsidRPr="004C3336">
        <w:rPr>
          <w:szCs w:val="24"/>
          <w:lang w:val="en-US"/>
        </w:rPr>
        <w:t xml:space="preserve">σω </w:t>
      </w:r>
      <w:r w:rsidR="00CC0615">
        <w:rPr>
          <w:szCs w:val="24"/>
          <w:lang w:val="en-US"/>
        </w:rPr>
        <w:t>“</w:t>
      </w:r>
      <w:r w:rsidRPr="004C3336">
        <w:rPr>
          <w:szCs w:val="24"/>
          <w:lang w:val="en-US"/>
        </w:rPr>
        <w:t>therefore, I shall dine on which I have kneaded,</w:t>
      </w:r>
      <w:r w:rsidR="00CC0615">
        <w:rPr>
          <w:szCs w:val="24"/>
          <w:lang w:val="en-US"/>
        </w:rPr>
        <w:t>”</w:t>
      </w:r>
      <w:r w:rsidRPr="004C3336">
        <w:rPr>
          <w:szCs w:val="24"/>
          <w:lang w:val="en-US"/>
        </w:rPr>
        <w:t xml:space="preserve"> using the co-radical verb μάσσω. </w:t>
      </w:r>
    </w:p>
    <w:p w14:paraId="0FA1D3FE" w14:textId="70682C08" w:rsidR="00437209" w:rsidRPr="00532444" w:rsidRDefault="00437209" w:rsidP="005E543A">
      <w:pPr>
        <w:rPr>
          <w:szCs w:val="24"/>
          <w:lang w:val="en-US"/>
        </w:rPr>
      </w:pPr>
      <w:r w:rsidRPr="004C3336">
        <w:rPr>
          <w:szCs w:val="24"/>
          <w:lang w:val="en-US"/>
        </w:rPr>
        <w:tab/>
        <w:t>The same food, figs and barley bread, is reserved for scapegoats, as in Hippon. fr. 28 κἀφῆι παρέξειν ἰ</w:t>
      </w:r>
      <w:r w:rsidRPr="005E543A">
        <w:rPr>
          <w:szCs w:val="24"/>
          <w:lang w:val="en-US"/>
        </w:rPr>
        <w:t>σχάδας τε κα</w:t>
      </w:r>
      <w:r w:rsidRPr="002818ED">
        <w:rPr>
          <w:szCs w:val="24"/>
          <w:lang w:val="en-US"/>
        </w:rPr>
        <w:t>ὶ</w:t>
      </w:r>
      <w:r w:rsidRPr="008A330E">
        <w:rPr>
          <w:szCs w:val="24"/>
          <w:lang w:val="en-US"/>
        </w:rPr>
        <w:t xml:space="preserve"> μ</w:t>
      </w:r>
      <w:r w:rsidRPr="00532444">
        <w:rPr>
          <w:szCs w:val="24"/>
          <w:lang w:val="en-US"/>
        </w:rPr>
        <w:t xml:space="preserve">ᾶζαν / καὶ τυρόν, οἷον ἐσθίουσι φαρμακοί, </w:t>
      </w:r>
      <w:r w:rsidR="00CC0615">
        <w:rPr>
          <w:szCs w:val="24"/>
          <w:lang w:val="en-US"/>
        </w:rPr>
        <w:t>“</w:t>
      </w:r>
      <w:r w:rsidRPr="00532444">
        <w:rPr>
          <w:szCs w:val="24"/>
          <w:lang w:val="en-US"/>
        </w:rPr>
        <w:t>and to provide within grasp dried figs, barley cake and cheese, such as scapegoats eat.</w:t>
      </w:r>
      <w:r w:rsidR="00CC0615">
        <w:rPr>
          <w:szCs w:val="24"/>
          <w:lang w:val="en-US"/>
        </w:rPr>
        <w:t>”</w:t>
      </w:r>
      <w:r w:rsidRPr="00532444">
        <w:rPr>
          <w:szCs w:val="24"/>
          <w:lang w:val="en-US"/>
        </w:rPr>
        <w:t xml:space="preserve"> Scholars generally believe that the fragments of Hipponax which deal with scapegoats refer to enemies of the poet. The poet wishes that his enemies might meet the same fate as the scapegoat. However, no fragments that clearly refer to Hipponax</w:t>
      </w:r>
      <w:r w:rsidR="00075F5F">
        <w:rPr>
          <w:szCs w:val="24"/>
          <w:lang w:val="en-US"/>
        </w:rPr>
        <w:t>’</w:t>
      </w:r>
      <w:r w:rsidRPr="00532444">
        <w:rPr>
          <w:szCs w:val="24"/>
          <w:lang w:val="en-US"/>
        </w:rPr>
        <w:t>s personal enemies talk about scapegoats, and no fragments that clearly refer to scapegoats explicitly refer to an enemy of the poet. Moreover, the attitude which the iambic poets, and especially Hipponax,</w:t>
      </w:r>
      <w:r w:rsidR="00075F5F">
        <w:rPr>
          <w:szCs w:val="24"/>
          <w:lang w:val="en-US"/>
        </w:rPr>
        <w:t xml:space="preserve"> display towards the scapegoats’</w:t>
      </w:r>
      <w:r w:rsidRPr="00532444">
        <w:rPr>
          <w:szCs w:val="24"/>
          <w:lang w:val="en-US"/>
        </w:rPr>
        <w:t xml:space="preserve"> foodstuff would be ambiguous, since food poverty is condemned and ridiculed in the case of the meal of scapegoats, while the same food poverty is lauded  when the iambic poets eat it.</w:t>
      </w:r>
    </w:p>
    <w:p w14:paraId="7FE45078" w14:textId="4ADD0C02" w:rsidR="004C3336" w:rsidRPr="004C3336" w:rsidRDefault="00437209" w:rsidP="00532444">
      <w:pPr>
        <w:textAlignment w:val="bottom"/>
        <w:rPr>
          <w:rFonts w:cs="Times New Roman"/>
          <w:szCs w:val="24"/>
        </w:rPr>
      </w:pPr>
      <w:r w:rsidRPr="00532444">
        <w:rPr>
          <w:szCs w:val="24"/>
          <w:lang w:val="en-US"/>
        </w:rPr>
        <w:lastRenderedPageBreak/>
        <w:tab/>
        <w:t>I suggest that these data may be interpreted differently. The poverty of the poet is characteristic of his low social status and is integral to the genre in which he composes. The image of the poet as poor directly evolves from his social marginalisation</w:t>
      </w:r>
      <w:r w:rsidRPr="004C3336">
        <w:rPr>
          <w:rStyle w:val="FootnoteReference"/>
          <w:szCs w:val="24"/>
          <w:lang w:val="en-US"/>
        </w:rPr>
        <w:footnoteReference w:id="429"/>
      </w:r>
      <w:r w:rsidRPr="004C3336">
        <w:rPr>
          <w:szCs w:val="24"/>
          <w:lang w:val="en-US"/>
        </w:rPr>
        <w:t xml:space="preserve"> which allows him to be the singer of invective. These characteristics of poets are shared by scapegoats, who are people situated at the margin of Greek society, fated to save their city from the catastrophe by sacrificing themselves voluntarily.</w:t>
      </w:r>
      <w:r w:rsidRPr="004C3336">
        <w:rPr>
          <w:rStyle w:val="FootnoteReference"/>
          <w:szCs w:val="24"/>
          <w:lang w:val="en-US"/>
        </w:rPr>
        <w:footnoteReference w:id="430"/>
      </w:r>
      <w:r w:rsidRPr="004C3336">
        <w:rPr>
          <w:szCs w:val="24"/>
          <w:lang w:val="en-US"/>
        </w:rPr>
        <w:t xml:space="preserve"> For this reason the scapegoat was always treated as a very important person, and the food which we would consider poor was considered as something special. Moreover, Hipponax uses two different words, μᾶζα and κόλλιξ, for the same food, namely the barley bread, dependi</w:t>
      </w:r>
      <w:r w:rsidRPr="005E543A">
        <w:rPr>
          <w:szCs w:val="24"/>
          <w:lang w:val="en-US"/>
        </w:rPr>
        <w:t>ng on the context he describes. The term μ</w:t>
      </w:r>
      <w:r w:rsidRPr="002818ED">
        <w:rPr>
          <w:szCs w:val="24"/>
          <w:lang w:val="en-US"/>
        </w:rPr>
        <w:t>ᾶ</w:t>
      </w:r>
      <w:r w:rsidRPr="008A330E">
        <w:rPr>
          <w:szCs w:val="24"/>
          <w:lang w:val="en-US"/>
        </w:rPr>
        <w:t>ζα occurs in fr. 28, which deals with the scapegoats:</w:t>
      </w:r>
      <w:r w:rsidR="00AE724C" w:rsidRPr="00532444">
        <w:rPr>
          <w:rFonts w:cs="Times New Roman"/>
          <w:szCs w:val="24"/>
        </w:rPr>
        <w:t xml:space="preserve"> </w:t>
      </w:r>
    </w:p>
    <w:p w14:paraId="065F85B3" w14:textId="77777777" w:rsidR="00AE724C" w:rsidRDefault="00AE724C" w:rsidP="00532444">
      <w:pPr>
        <w:textAlignment w:val="bottom"/>
      </w:pPr>
    </w:p>
    <w:tbl>
      <w:tblPr>
        <w:tblStyle w:val="TableGrid"/>
        <w:tblW w:w="8221"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27"/>
        <w:gridCol w:w="4394"/>
      </w:tblGrid>
      <w:tr w:rsidR="00AE724C" w:rsidRPr="00365089" w14:paraId="04CF38B3" w14:textId="77777777" w:rsidTr="00365089">
        <w:tc>
          <w:tcPr>
            <w:tcW w:w="3827" w:type="dxa"/>
          </w:tcPr>
          <w:p w14:paraId="2717847F" w14:textId="77777777" w:rsidR="00AE724C" w:rsidRPr="00365089" w:rsidRDefault="00AE724C" w:rsidP="00757C56">
            <w:pPr>
              <w:pStyle w:val="Blockquote"/>
              <w:rPr>
                <w:sz w:val="22"/>
                <w:szCs w:val="22"/>
                <w:lang w:val="el-GR"/>
              </w:rPr>
            </w:pPr>
            <w:r w:rsidRPr="00365089">
              <w:rPr>
                <w:sz w:val="22"/>
                <w:szCs w:val="22"/>
                <w:lang w:val="el-GR"/>
              </w:rPr>
              <w:t xml:space="preserve">κἀφῆι παρέξειν ἰσχάδας τε καὶ μᾶζαν </w:t>
            </w:r>
          </w:p>
          <w:p w14:paraId="4C42B8D4" w14:textId="77777777" w:rsidR="00AE724C" w:rsidRPr="00365089" w:rsidRDefault="00AE724C" w:rsidP="00757C56">
            <w:pPr>
              <w:pStyle w:val="Blockquote"/>
              <w:rPr>
                <w:sz w:val="22"/>
                <w:szCs w:val="22"/>
                <w:lang w:val="el-GR"/>
              </w:rPr>
            </w:pPr>
            <w:r w:rsidRPr="00365089">
              <w:rPr>
                <w:sz w:val="22"/>
                <w:szCs w:val="22"/>
                <w:lang w:val="el-GR"/>
              </w:rPr>
              <w:t>καὶ τυρόν,</w:t>
            </w:r>
            <w:r w:rsidRPr="00365089">
              <w:rPr>
                <w:rStyle w:val="FootnoteReference"/>
                <w:sz w:val="22"/>
                <w:szCs w:val="22"/>
                <w:lang w:val="en-US"/>
              </w:rPr>
              <w:footnoteReference w:id="431"/>
            </w:r>
            <w:r w:rsidRPr="00365089">
              <w:rPr>
                <w:sz w:val="22"/>
                <w:szCs w:val="22"/>
                <w:lang w:val="el-GR"/>
              </w:rPr>
              <w:t xml:space="preserve"> οἷον ἐσθίουσι φαρμακοί</w:t>
            </w:r>
          </w:p>
        </w:tc>
        <w:tc>
          <w:tcPr>
            <w:tcW w:w="4394" w:type="dxa"/>
          </w:tcPr>
          <w:p w14:paraId="36B97BCD" w14:textId="77777777" w:rsidR="00AE724C" w:rsidRPr="00365089" w:rsidRDefault="00AE724C" w:rsidP="00757C56">
            <w:pPr>
              <w:pStyle w:val="Blockquote"/>
              <w:rPr>
                <w:sz w:val="22"/>
                <w:szCs w:val="22"/>
              </w:rPr>
            </w:pPr>
            <w:r w:rsidRPr="00365089">
              <w:rPr>
                <w:sz w:val="22"/>
                <w:szCs w:val="22"/>
              </w:rPr>
              <w:t>And provide within his grasp dried figs, barley cake and cheese, such as scapegoats eat.</w:t>
            </w:r>
          </w:p>
        </w:tc>
      </w:tr>
    </w:tbl>
    <w:p w14:paraId="60D55342" w14:textId="77777777" w:rsidR="00AE724C" w:rsidRDefault="00AE724C" w:rsidP="00757C56">
      <w:pPr>
        <w:pStyle w:val="Blockquote"/>
      </w:pPr>
    </w:p>
    <w:p w14:paraId="7DB92B46" w14:textId="1D227F45" w:rsidR="004C3336" w:rsidRDefault="00BE22B6" w:rsidP="004C3336">
      <w:pPr>
        <w:autoSpaceDE w:val="0"/>
        <w:autoSpaceDN w:val="0"/>
        <w:adjustRightInd w:val="0"/>
        <w:rPr>
          <w:rFonts w:cs="Times New Roman"/>
          <w:szCs w:val="24"/>
        </w:rPr>
      </w:pPr>
      <w:r w:rsidRPr="004031F4">
        <w:rPr>
          <w:rFonts w:eastAsia="Times New Roman" w:cs="Times New Roman"/>
          <w:szCs w:val="24"/>
          <w:lang w:eastAsia="it-IT"/>
        </w:rPr>
        <w:t>Κ</w:t>
      </w:r>
      <w:r w:rsidR="00AE724C" w:rsidRPr="004031F4">
        <w:rPr>
          <w:rFonts w:eastAsia="Times New Roman" w:cs="Times New Roman"/>
          <w:szCs w:val="24"/>
          <w:lang w:eastAsia="it-IT"/>
        </w:rPr>
        <w:t>όλλιξ</w:t>
      </w:r>
      <w:r>
        <w:rPr>
          <w:rFonts w:cs="Times New Roman"/>
          <w:szCs w:val="24"/>
        </w:rPr>
        <w:t xml:space="preserve">, on the other hand, </w:t>
      </w:r>
      <w:r w:rsidR="00AE724C">
        <w:rPr>
          <w:rFonts w:cs="Times New Roman"/>
          <w:szCs w:val="24"/>
        </w:rPr>
        <w:t xml:space="preserve">occurs in fr. 36 which describes a target of the poet: </w:t>
      </w:r>
    </w:p>
    <w:p w14:paraId="488F1193" w14:textId="77777777" w:rsidR="00AE724C" w:rsidRDefault="00AE724C" w:rsidP="00532444">
      <w:pPr>
        <w:autoSpaceDE w:val="0"/>
        <w:autoSpaceDN w:val="0"/>
        <w:adjustRightInd w:val="0"/>
      </w:pPr>
    </w:p>
    <w:tbl>
      <w:tblPr>
        <w:tblStyle w:val="TableGrid"/>
        <w:tblW w:w="4741" w:type="pct"/>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427"/>
        <w:gridCol w:w="3993"/>
      </w:tblGrid>
      <w:tr w:rsidR="00AE724C" w:rsidRPr="00365089" w14:paraId="444CBA9F" w14:textId="77777777" w:rsidTr="00365089">
        <w:tc>
          <w:tcPr>
            <w:tcW w:w="2629" w:type="pct"/>
          </w:tcPr>
          <w:p w14:paraId="46931D10" w14:textId="77777777" w:rsidR="00AE724C" w:rsidRPr="00365089" w:rsidRDefault="00AE724C" w:rsidP="00BE22B6">
            <w:pPr>
              <w:pStyle w:val="Blockquote"/>
              <w:rPr>
                <w:sz w:val="22"/>
                <w:szCs w:val="22"/>
                <w:lang w:val="en-US"/>
              </w:rPr>
            </w:pPr>
            <w:r w:rsidRPr="00365089">
              <w:rPr>
                <w:sz w:val="22"/>
                <w:szCs w:val="22"/>
                <w:lang w:val="en-US"/>
              </w:rPr>
              <w:t>ὁ μὲν γὰρ αὐτῶν ἡσυχῆι τε καὶ ῥύδην</w:t>
            </w:r>
          </w:p>
          <w:p w14:paraId="14CEBE04" w14:textId="77777777" w:rsidR="00AE724C" w:rsidRPr="00365089" w:rsidRDefault="00AE724C" w:rsidP="00BE22B6">
            <w:pPr>
              <w:pStyle w:val="Blockquote"/>
              <w:rPr>
                <w:sz w:val="22"/>
                <w:szCs w:val="22"/>
                <w:lang w:val="el-GR"/>
              </w:rPr>
            </w:pPr>
            <w:r w:rsidRPr="00365089">
              <w:rPr>
                <w:sz w:val="22"/>
                <w:szCs w:val="22"/>
                <w:lang w:val="el-GR"/>
              </w:rPr>
              <w:t>θύννάν τε καὶ μυσσωτὸν ἡμέρας πάσας</w:t>
            </w:r>
          </w:p>
          <w:p w14:paraId="5A5C52B4" w14:textId="77777777" w:rsidR="00AE724C" w:rsidRPr="00365089" w:rsidRDefault="00AE724C" w:rsidP="00BE22B6">
            <w:pPr>
              <w:pStyle w:val="Blockquote"/>
              <w:rPr>
                <w:sz w:val="22"/>
                <w:szCs w:val="22"/>
                <w:lang w:val="el-GR"/>
              </w:rPr>
            </w:pPr>
            <w:r w:rsidRPr="00365089">
              <w:rPr>
                <w:sz w:val="22"/>
                <w:szCs w:val="22"/>
                <w:lang w:val="el-GR"/>
              </w:rPr>
              <w:t>δαινύμενος ὥσπερ Λαμψακηνὸς εὐνοῦχος</w:t>
            </w:r>
          </w:p>
          <w:p w14:paraId="22DDA686" w14:textId="77777777" w:rsidR="00AE724C" w:rsidRPr="00365089" w:rsidRDefault="00AE724C" w:rsidP="00BE22B6">
            <w:pPr>
              <w:pStyle w:val="Blockquote"/>
              <w:rPr>
                <w:sz w:val="22"/>
                <w:szCs w:val="22"/>
                <w:lang w:val="el-GR"/>
              </w:rPr>
            </w:pPr>
            <w:r w:rsidRPr="00365089">
              <w:rPr>
                <w:sz w:val="22"/>
                <w:szCs w:val="22"/>
                <w:lang w:val="el-GR"/>
              </w:rPr>
              <w:t>κατέφαγε δὴ τὸν κλῆρον· ὥστε χρὴ σκάπτειν</w:t>
            </w:r>
          </w:p>
          <w:p w14:paraId="2C4A2212" w14:textId="6588F9B4" w:rsidR="00AE724C" w:rsidRPr="00365089" w:rsidRDefault="00AE724C" w:rsidP="00BE22B6">
            <w:pPr>
              <w:pStyle w:val="Blockquote"/>
              <w:rPr>
                <w:sz w:val="22"/>
                <w:szCs w:val="22"/>
                <w:lang w:val="el-GR"/>
              </w:rPr>
            </w:pPr>
            <w:r w:rsidRPr="00365089">
              <w:rPr>
                <w:sz w:val="22"/>
                <w:szCs w:val="22"/>
                <w:lang w:val="el-GR"/>
              </w:rPr>
              <w:t>πέτρας τ</w:t>
            </w:r>
            <w:r w:rsidR="00075F5F">
              <w:rPr>
                <w:sz w:val="22"/>
                <w:szCs w:val="22"/>
                <w:lang w:val="el-GR"/>
              </w:rPr>
              <w:t>’</w:t>
            </w:r>
            <w:r w:rsidRPr="00365089">
              <w:rPr>
                <w:sz w:val="22"/>
                <w:szCs w:val="22"/>
                <w:lang w:val="el-GR"/>
              </w:rPr>
              <w:t xml:space="preserve"> ὀρείας, σῦκα μέτρια τρώγων</w:t>
            </w:r>
            <w:r w:rsidRPr="00365089">
              <w:rPr>
                <w:i/>
                <w:iCs/>
                <w:color w:val="6D6F03"/>
                <w:sz w:val="22"/>
                <w:szCs w:val="22"/>
                <w:lang w:val="el-GR"/>
              </w:rPr>
              <w:t xml:space="preserve"> </w:t>
            </w:r>
          </w:p>
          <w:p w14:paraId="3309D9A4" w14:textId="77777777" w:rsidR="00AE724C" w:rsidRPr="00365089" w:rsidRDefault="00AE724C" w:rsidP="00BE22B6">
            <w:pPr>
              <w:pStyle w:val="Blockquote"/>
              <w:rPr>
                <w:sz w:val="22"/>
                <w:szCs w:val="22"/>
                <w:lang w:val="el-GR"/>
              </w:rPr>
            </w:pPr>
            <w:r w:rsidRPr="00365089">
              <w:rPr>
                <w:sz w:val="22"/>
                <w:szCs w:val="22"/>
                <w:lang w:val="el-GR"/>
              </w:rPr>
              <w:t>καὶ κρίθινον κόλλικα, δούλιον χόρτον.</w:t>
            </w:r>
          </w:p>
        </w:tc>
        <w:tc>
          <w:tcPr>
            <w:tcW w:w="2371" w:type="pct"/>
          </w:tcPr>
          <w:p w14:paraId="1BEF3EE6" w14:textId="77777777" w:rsidR="00AE724C" w:rsidRPr="00365089" w:rsidRDefault="00AE724C" w:rsidP="00BE22B6">
            <w:pPr>
              <w:pStyle w:val="Blockquote"/>
              <w:rPr>
                <w:sz w:val="22"/>
                <w:szCs w:val="22"/>
              </w:rPr>
            </w:pPr>
            <w:r w:rsidRPr="00365089">
              <w:rPr>
                <w:sz w:val="22"/>
                <w:szCs w:val="22"/>
              </w:rPr>
              <w:t>For one of them, dining at his ease and lavishly every day on tuna and savoury sauce like a eunuch from Lampsacus, ate up his inheritance; as a result he has to dig a rocky hillside, munching on cheap figs and coarse barley bread, fodder for slaves.</w:t>
            </w:r>
          </w:p>
        </w:tc>
      </w:tr>
    </w:tbl>
    <w:p w14:paraId="74EB6628" w14:textId="77777777" w:rsidR="00AE724C" w:rsidRDefault="00AE724C" w:rsidP="00BE22B6">
      <w:pPr>
        <w:pStyle w:val="Blockquote"/>
        <w:rPr>
          <w:rFonts w:eastAsia="Times New Roman"/>
          <w:lang w:eastAsia="it-IT"/>
        </w:rPr>
      </w:pPr>
    </w:p>
    <w:p w14:paraId="6D727055" w14:textId="30771336" w:rsidR="008D6BD8" w:rsidRDefault="008D6BD8" w:rsidP="004C3336">
      <w:pPr>
        <w:rPr>
          <w:lang w:val="en-US"/>
        </w:rPr>
      </w:pPr>
      <w:r>
        <w:rPr>
          <w:lang w:val="en-US"/>
        </w:rPr>
        <w:t>Both these terms refer to the action of kneading, for Callimachus says τοίγαρ ἣν ἔμαξα δεν</w:t>
      </w:r>
      <w:hyperlink r:id="rId67" w:history="1">
        <w:r>
          <w:rPr>
            <w:lang w:val="en-US"/>
          </w:rPr>
          <w:t>[</w:t>
        </w:r>
      </w:hyperlink>
      <w:hyperlink r:id="rId68" w:history="1">
        <w:r>
          <w:rPr>
            <w:lang w:val="en-US"/>
          </w:rPr>
          <w:t>..</w:t>
        </w:r>
      </w:hyperlink>
      <w:hyperlink r:id="rId69" w:history="1">
        <w:r>
          <w:rPr>
            <w:lang w:val="en-US"/>
          </w:rPr>
          <w:t>]</w:t>
        </w:r>
      </w:hyperlink>
      <w:hyperlink r:id="rId70" w:history="1">
        <w:r>
          <w:rPr>
            <w:lang w:val="en-US"/>
          </w:rPr>
          <w:t>.</w:t>
        </w:r>
      </w:hyperlink>
      <w:r>
        <w:rPr>
          <w:lang w:val="en-US"/>
        </w:rPr>
        <w:t xml:space="preserve">σω </w:t>
      </w:r>
      <w:r w:rsidR="00CC0615">
        <w:rPr>
          <w:lang w:val="en-US"/>
        </w:rPr>
        <w:t>“</w:t>
      </w:r>
      <w:r>
        <w:rPr>
          <w:lang w:val="en-US"/>
        </w:rPr>
        <w:t>therefore, I shall dine on which I have kneaded,</w:t>
      </w:r>
      <w:r w:rsidR="00CC0615">
        <w:rPr>
          <w:lang w:val="en-US"/>
        </w:rPr>
        <w:t>”</w:t>
      </w:r>
      <w:r>
        <w:rPr>
          <w:lang w:val="en-US"/>
        </w:rPr>
        <w:t xml:space="preserve"> while Empedocles says in fr. 34.4 ἄλφιτον ὕδατι κολλήσας </w:t>
      </w:r>
      <w:r w:rsidR="00CC0615">
        <w:rPr>
          <w:lang w:val="en-US"/>
        </w:rPr>
        <w:t>“</w:t>
      </w:r>
      <w:r>
        <w:rPr>
          <w:lang w:val="en-US"/>
        </w:rPr>
        <w:t>kneading flour with water,</w:t>
      </w:r>
      <w:r w:rsidR="00CC0615">
        <w:rPr>
          <w:lang w:val="en-US"/>
        </w:rPr>
        <w:t>”</w:t>
      </w:r>
      <w:r>
        <w:rPr>
          <w:lang w:val="en-US"/>
        </w:rPr>
        <w:t xml:space="preserve"> using the nominal verb κολλάω, derived from the noun κόλλα </w:t>
      </w:r>
      <w:r w:rsidR="00CC0615">
        <w:rPr>
          <w:lang w:val="en-US"/>
        </w:rPr>
        <w:t>“</w:t>
      </w:r>
      <w:r>
        <w:rPr>
          <w:lang w:val="en-US"/>
        </w:rPr>
        <w:t>gluten,</w:t>
      </w:r>
      <w:r w:rsidR="00CC0615">
        <w:rPr>
          <w:lang w:val="en-US"/>
        </w:rPr>
        <w:t>”</w:t>
      </w:r>
      <w:r>
        <w:rPr>
          <w:lang w:val="en-US"/>
        </w:rPr>
        <w:t xml:space="preserve"> co-radical of κόλλιξ. Μᾶζα appears in the language of epic, since Hesiod uses it in </w:t>
      </w:r>
      <w:r>
        <w:rPr>
          <w:i/>
          <w:iCs/>
          <w:lang w:val="en-US"/>
        </w:rPr>
        <w:t>Opera et dies</w:t>
      </w:r>
      <w:r>
        <w:rPr>
          <w:lang w:val="en-US"/>
        </w:rPr>
        <w:t xml:space="preserve"> 590 μάζα τ</w:t>
      </w:r>
      <w:r w:rsidR="00075F5F">
        <w:rPr>
          <w:lang w:val="en-US"/>
        </w:rPr>
        <w:t>’</w:t>
      </w:r>
      <w:r>
        <w:rPr>
          <w:lang w:val="en-US"/>
        </w:rPr>
        <w:t xml:space="preserve"> ἀμολγαίη γάλα τ</w:t>
      </w:r>
      <w:r w:rsidR="00075F5F">
        <w:rPr>
          <w:lang w:val="en-US"/>
        </w:rPr>
        <w:t>’</w:t>
      </w:r>
      <w:r>
        <w:rPr>
          <w:lang w:val="en-US"/>
        </w:rPr>
        <w:t xml:space="preserve"> αἰγῶν σβεννυμενάων </w:t>
      </w:r>
      <w:r w:rsidR="00CC0615">
        <w:rPr>
          <w:lang w:val="en-US"/>
        </w:rPr>
        <w:t>“</w:t>
      </w:r>
      <w:r>
        <w:rPr>
          <w:lang w:val="en-US"/>
        </w:rPr>
        <w:t>a clot of curds and milk of drained goats,</w:t>
      </w:r>
      <w:r w:rsidR="00CC0615">
        <w:rPr>
          <w:lang w:val="en-US"/>
        </w:rPr>
        <w:t>”</w:t>
      </w:r>
      <w:r>
        <w:rPr>
          <w:lang w:val="en-US"/>
        </w:rPr>
        <w:t xml:space="preserve"> while κόλλιξ never appears in epic language. Κόλλιξ, therefore, is a more humble word than μᾶζα. This socio-linguistic distinction between the two terms could correspond to a social distinction between those who eat κόλλιξ</w:t>
      </w:r>
      <w:r w:rsidDel="00AF46E2">
        <w:rPr>
          <w:lang w:val="en-US"/>
        </w:rPr>
        <w:t xml:space="preserve"> </w:t>
      </w:r>
      <w:r>
        <w:rPr>
          <w:lang w:val="en-US"/>
        </w:rPr>
        <w:t>and those who eat</w:t>
      </w:r>
      <w:r w:rsidRPr="00AF46E2">
        <w:rPr>
          <w:lang w:val="en-US"/>
        </w:rPr>
        <w:t xml:space="preserve"> </w:t>
      </w:r>
      <w:r>
        <w:rPr>
          <w:lang w:val="en-US"/>
        </w:rPr>
        <w:t xml:space="preserve">μᾶζα  in the mind of the poet. </w:t>
      </w:r>
    </w:p>
    <w:p w14:paraId="5A4C6EE1" w14:textId="77777777" w:rsidR="008D6BD8" w:rsidRDefault="008D6BD8" w:rsidP="004C3336">
      <w:pPr>
        <w:rPr>
          <w:lang w:val="en-US"/>
        </w:rPr>
      </w:pPr>
    </w:p>
    <w:p w14:paraId="41468D46" w14:textId="02DEA200" w:rsidR="008D6BD8" w:rsidRDefault="008D6BD8" w:rsidP="004C3336">
      <w:pPr>
        <w:rPr>
          <w:lang w:val="en-US"/>
        </w:rPr>
      </w:pPr>
      <w:r>
        <w:rPr>
          <w:lang w:val="en-US"/>
        </w:rPr>
        <w:t xml:space="preserve">If a poor diet symbolises μετριότης and dignity, and belongs to poets (iambographers in particulars), a rich diet stands both for excess (Hippon. fr. 126 puts on stage the son of </w:t>
      </w:r>
      <w:r>
        <w:rPr>
          <w:lang w:val="en-US"/>
        </w:rPr>
        <w:lastRenderedPageBreak/>
        <w:t xml:space="preserve">Eurymedon who eats οὐ κατὰ κόσμον </w:t>
      </w:r>
      <w:r w:rsidR="00CC0615">
        <w:rPr>
          <w:lang w:val="en-US"/>
        </w:rPr>
        <w:t>“</w:t>
      </w:r>
      <w:r>
        <w:rPr>
          <w:lang w:val="en-US"/>
        </w:rPr>
        <w:t>disorderly</w:t>
      </w:r>
      <w:r w:rsidR="00CC0615">
        <w:rPr>
          <w:lang w:val="en-US"/>
        </w:rPr>
        <w:t>”</w:t>
      </w:r>
      <w:r>
        <w:rPr>
          <w:lang w:val="en-US"/>
        </w:rPr>
        <w:t xml:space="preserve">) and for meanness (Hippon. fr. 36 describes a squanderer, compared to a eunuch, who is used to have lavish tuna-based dinner: ὁ μὲν γὰρ αὐτῶν ἡσυχῆι τε καὶ ῥύδην / θύννάν τε καὶ μυσσωτὸν ἡμέρας πάσας / δαινύμενος ὥσπερ Λαμψακηνὸς εὐνοῦχος / κατέφαγε δὴ τὸν κλῆρον </w:t>
      </w:r>
      <w:r w:rsidR="00CC0615">
        <w:rPr>
          <w:lang w:val="en-US"/>
        </w:rPr>
        <w:t>“</w:t>
      </w:r>
      <w:r>
        <w:rPr>
          <w:lang w:val="en-US"/>
        </w:rPr>
        <w:t>for one of them, dining at his ease and lavishly every day on tuna and savoury sauce like a eunuch from Lampsacus, ate up his inheritance</w:t>
      </w:r>
      <w:r w:rsidR="00CC0615">
        <w:rPr>
          <w:lang w:val="en-US"/>
        </w:rPr>
        <w:t>”</w:t>
      </w:r>
      <w:r>
        <w:rPr>
          <w:lang w:val="en-US"/>
        </w:rPr>
        <w:t xml:space="preserve">). It is evident that this immoderate diet belongs to the targets of the poets who are out-and-out swallowers, characterised by their γαστήρ. The enemies of the iambographers are all people governed by their stomachs: their stomach is the governor of their mind and controls their actions. </w:t>
      </w:r>
    </w:p>
    <w:p w14:paraId="43240406" w14:textId="56EF7812" w:rsidR="004C3336" w:rsidRPr="00770CB7" w:rsidRDefault="008D6BD8" w:rsidP="005E543A">
      <w:pPr>
        <w:autoSpaceDE w:val="0"/>
        <w:autoSpaceDN w:val="0"/>
        <w:adjustRightInd w:val="0"/>
        <w:rPr>
          <w:rFonts w:cs="Times New Roman"/>
          <w:szCs w:val="24"/>
        </w:rPr>
      </w:pPr>
      <w:r>
        <w:rPr>
          <w:lang w:val="en-US"/>
        </w:rPr>
        <w:tab/>
        <w:t>Archilochus, Hipponax and Callimachus always present the stomach in contexts which clearly recollect their epic patterns. Heroism as well as other kinds of human activity are characterised in terms of γαστήρ, opening up space for parody and irony. In the Homeric poems the concept (and term) of γαστήρ is used – by the narrator as well as by the hero himself –when Odysseus is disguised as a beggar. A beggar is a typically iambic main character. Mentions of Odysseus</w:t>
      </w:r>
      <w:r w:rsidR="00075F5F">
        <w:rPr>
          <w:lang w:val="en-US"/>
        </w:rPr>
        <w:t>’</w:t>
      </w:r>
      <w:r>
        <w:rPr>
          <w:lang w:val="en-US"/>
        </w:rPr>
        <w:t xml:space="preserve"> γαστήρ</w:t>
      </w:r>
      <w:r>
        <w:rPr>
          <w:i/>
          <w:iCs/>
          <w:lang w:val="en-US"/>
        </w:rPr>
        <w:t xml:space="preserve"> </w:t>
      </w:r>
      <w:r>
        <w:rPr>
          <w:lang w:val="en-US"/>
        </w:rPr>
        <w:t>are confined to the transitional period between his wanderings and the successful completion of his travels. This is a time of disguise and hiding, for which γαστήρ</w:t>
      </w:r>
      <w:r>
        <w:rPr>
          <w:i/>
          <w:iCs/>
          <w:lang w:val="en-US"/>
        </w:rPr>
        <w:t xml:space="preserve"> </w:t>
      </w:r>
      <w:r>
        <w:rPr>
          <w:lang w:val="en-US"/>
        </w:rPr>
        <w:t>is an apt symbol,</w:t>
      </w:r>
      <w:r>
        <w:rPr>
          <w:rStyle w:val="FootnoteReference"/>
          <w:lang w:val="en-US"/>
        </w:rPr>
        <w:footnoteReference w:id="432"/>
      </w:r>
      <w:r>
        <w:rPr>
          <w:lang w:val="en-US"/>
        </w:rPr>
        <w:t xml:space="preserve"> since γαστήρ</w:t>
      </w:r>
      <w:r>
        <w:rPr>
          <w:i/>
          <w:iCs/>
          <w:lang w:val="en-US"/>
        </w:rPr>
        <w:t xml:space="preserve"> </w:t>
      </w:r>
      <w:r>
        <w:rPr>
          <w:lang w:val="en-US"/>
        </w:rPr>
        <w:t xml:space="preserve">can indicate a deceptive outward appearance, as in the trick with which Prometheus tries to deceive Zeus (Hes. </w:t>
      </w:r>
      <w:r>
        <w:rPr>
          <w:i/>
          <w:iCs/>
          <w:lang w:val="en-US"/>
        </w:rPr>
        <w:t>Th.</w:t>
      </w:r>
      <w:r>
        <w:rPr>
          <w:lang w:val="en-US"/>
        </w:rPr>
        <w:t xml:space="preserve"> 535-541):</w:t>
      </w:r>
    </w:p>
    <w:p w14:paraId="72B86108" w14:textId="77777777" w:rsidR="00AE724C" w:rsidRDefault="00AE724C" w:rsidP="00532444">
      <w:pPr>
        <w:autoSpaceDE w:val="0"/>
        <w:autoSpaceDN w:val="0"/>
        <w:adjustRightInd w:val="0"/>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8"/>
        <w:gridCol w:w="3402"/>
      </w:tblGrid>
      <w:tr w:rsidR="00AE724C" w:rsidRPr="00365089" w14:paraId="52438A9C" w14:textId="77777777" w:rsidTr="00890EB4">
        <w:tc>
          <w:tcPr>
            <w:tcW w:w="4678" w:type="dxa"/>
          </w:tcPr>
          <w:p w14:paraId="6EF65B14" w14:textId="74912623" w:rsidR="00AE724C" w:rsidRPr="00365089" w:rsidRDefault="00AE724C" w:rsidP="00BE22B6">
            <w:pPr>
              <w:pStyle w:val="Blockquote"/>
              <w:rPr>
                <w:sz w:val="22"/>
                <w:szCs w:val="22"/>
                <w:lang w:val="el-GR"/>
              </w:rPr>
            </w:pPr>
            <w:r w:rsidRPr="00365089">
              <w:rPr>
                <w:sz w:val="22"/>
                <w:szCs w:val="22"/>
                <w:lang w:val="el-GR"/>
              </w:rPr>
              <w:t>καὶ γὰρ ὅτ</w:t>
            </w:r>
            <w:r w:rsidR="00075F5F">
              <w:rPr>
                <w:sz w:val="22"/>
                <w:szCs w:val="22"/>
                <w:lang w:val="el-GR"/>
              </w:rPr>
              <w:t>’</w:t>
            </w:r>
            <w:r w:rsidRPr="00365089">
              <w:rPr>
                <w:sz w:val="22"/>
                <w:szCs w:val="22"/>
                <w:lang w:val="el-GR"/>
              </w:rPr>
              <w:t xml:space="preserve"> ἐκρίνοντο θεοὶ θνητοί τ</w:t>
            </w:r>
            <w:r w:rsidR="00075F5F">
              <w:rPr>
                <w:sz w:val="22"/>
                <w:szCs w:val="22"/>
                <w:lang w:val="el-GR"/>
              </w:rPr>
              <w:t>’</w:t>
            </w:r>
            <w:r w:rsidRPr="00365089">
              <w:rPr>
                <w:sz w:val="22"/>
                <w:szCs w:val="22"/>
                <w:lang w:val="el-GR"/>
              </w:rPr>
              <w:t xml:space="preserve"> ἄνθρωποι </w:t>
            </w:r>
          </w:p>
          <w:p w14:paraId="7C10FF41" w14:textId="2EA7A984" w:rsidR="00AE724C" w:rsidRPr="00365089" w:rsidRDefault="00AE724C" w:rsidP="00BE22B6">
            <w:pPr>
              <w:pStyle w:val="Blockquote"/>
              <w:rPr>
                <w:sz w:val="22"/>
                <w:szCs w:val="22"/>
                <w:lang w:val="el-GR"/>
              </w:rPr>
            </w:pPr>
            <w:r w:rsidRPr="00365089">
              <w:rPr>
                <w:sz w:val="22"/>
                <w:szCs w:val="22"/>
                <w:lang w:val="el-GR"/>
              </w:rPr>
              <w:t>Μηκώνῃ, τότ</w:t>
            </w:r>
            <w:r w:rsidR="00075F5F">
              <w:rPr>
                <w:sz w:val="22"/>
                <w:szCs w:val="22"/>
                <w:lang w:val="el-GR"/>
              </w:rPr>
              <w:t>’</w:t>
            </w:r>
            <w:r w:rsidRPr="00365089">
              <w:rPr>
                <w:sz w:val="22"/>
                <w:szCs w:val="22"/>
                <w:lang w:val="el-GR"/>
              </w:rPr>
              <w:t xml:space="preserve"> ἔπειτα μέγαν βοῦν πρόφρονι θυμῷ</w:t>
            </w:r>
          </w:p>
          <w:p w14:paraId="331D5D85" w14:textId="77777777"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 xml:space="preserve">δασσάμενος προύθηκε, Διὸς νόον ἐξαπαφίσκων. </w:t>
            </w:r>
          </w:p>
          <w:p w14:paraId="0899895E" w14:textId="77777777"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τῷ μὲν γὰρ σάρκάς τε καὶ ἔγκατα πίονα δημῷ</w:t>
            </w:r>
          </w:p>
          <w:p w14:paraId="05378AA8" w14:textId="77777777"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ἐν ῥινῷ κατέθηκε, καλύψας γαστρὶ βοείῃ,</w:t>
            </w:r>
          </w:p>
          <w:p w14:paraId="3ECF08A7" w14:textId="3D93C351"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τοῖς δ</w:t>
            </w:r>
            <w:r w:rsidR="00075F5F">
              <w:rPr>
                <w:sz w:val="22"/>
                <w:szCs w:val="22"/>
                <w:lang w:val="el-GR"/>
              </w:rPr>
              <w:t>’</w:t>
            </w:r>
            <w:r w:rsidRPr="00365089">
              <w:rPr>
                <w:sz w:val="22"/>
                <w:szCs w:val="22"/>
                <w:lang w:val="el-GR"/>
              </w:rPr>
              <w:t xml:space="preserve"> αὖτ</w:t>
            </w:r>
            <w:r w:rsidR="00075F5F">
              <w:rPr>
                <w:sz w:val="22"/>
                <w:szCs w:val="22"/>
                <w:lang w:val="el-GR"/>
              </w:rPr>
              <w:t>’</w:t>
            </w:r>
            <w:r w:rsidRPr="00365089">
              <w:rPr>
                <w:sz w:val="22"/>
                <w:szCs w:val="22"/>
                <w:lang w:val="el-GR"/>
              </w:rPr>
              <w:t xml:space="preserve"> ὀστέα λευκὰ βοὸς δολίῃ ἐπὶ τέχνῃ</w:t>
            </w:r>
            <w:r w:rsidRPr="00365089">
              <w:rPr>
                <w:i/>
                <w:iCs/>
                <w:color w:val="6D6F03"/>
                <w:sz w:val="22"/>
                <w:szCs w:val="22"/>
                <w:lang w:val="el-GR"/>
              </w:rPr>
              <w:t xml:space="preserve"> </w:t>
            </w:r>
          </w:p>
          <w:p w14:paraId="278BBC4C" w14:textId="77777777"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εὐθετίσας κατέθηκε, καλύψας ἀργέτι δημῷ.</w:t>
            </w:r>
          </w:p>
          <w:p w14:paraId="36C369FB" w14:textId="77777777"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δὴ τότε μιν προσέειπε πατὴρ ἀνδρῶν τε θεῶν τε·</w:t>
            </w:r>
          </w:p>
          <w:p w14:paraId="01C588C5" w14:textId="4DFA4FE4" w:rsidR="00AE724C" w:rsidRPr="00365089" w:rsidRDefault="00033A07" w:rsidP="00BE22B6">
            <w:pPr>
              <w:pStyle w:val="Blockquote"/>
              <w:rPr>
                <w:sz w:val="22"/>
                <w:szCs w:val="22"/>
                <w:lang w:val="el-GR"/>
              </w:rPr>
            </w:pPr>
            <w:hyperlink r:id="rId71" w:history="1">
              <w:r w:rsidR="00CC0615">
                <w:rPr>
                  <w:sz w:val="22"/>
                  <w:szCs w:val="22"/>
                  <w:lang w:val="el-GR"/>
                </w:rPr>
                <w:t>“</w:t>
              </w:r>
            </w:hyperlink>
            <w:r w:rsidR="00AE724C" w:rsidRPr="00365089">
              <w:rPr>
                <w:sz w:val="22"/>
                <w:szCs w:val="22"/>
                <w:lang w:val="el-GR"/>
              </w:rPr>
              <w:t>Ἰαπετιονίδη, πάντων ἀριδείκετ</w:t>
            </w:r>
            <w:r w:rsidR="00075F5F">
              <w:rPr>
                <w:sz w:val="22"/>
                <w:szCs w:val="22"/>
                <w:lang w:val="el-GR"/>
              </w:rPr>
              <w:t>’</w:t>
            </w:r>
            <w:r w:rsidR="00AE724C" w:rsidRPr="00365089">
              <w:rPr>
                <w:sz w:val="22"/>
                <w:szCs w:val="22"/>
                <w:lang w:val="el-GR"/>
              </w:rPr>
              <w:t xml:space="preserve"> ἀνάκτων,</w:t>
            </w:r>
          </w:p>
          <w:p w14:paraId="121CA517" w14:textId="6CBC4C25" w:rsidR="00AE724C" w:rsidRPr="00365089" w:rsidRDefault="00AE724C" w:rsidP="00BE22B6">
            <w:pPr>
              <w:pStyle w:val="Blockquote"/>
              <w:rPr>
                <w:rFonts w:eastAsiaTheme="majorEastAsia"/>
                <w:b/>
                <w:bCs/>
                <w:i/>
                <w:iCs/>
                <w:color w:val="4F81BD" w:themeColor="accent1"/>
                <w:sz w:val="22"/>
                <w:szCs w:val="22"/>
                <w:lang w:val="el-GR"/>
              </w:rPr>
            </w:pPr>
            <w:r w:rsidRPr="00365089">
              <w:rPr>
                <w:sz w:val="22"/>
                <w:szCs w:val="22"/>
                <w:lang w:val="el-GR"/>
              </w:rPr>
              <w:t>ὦ πέπον, ὡς ἑτεροζήλως διεδάσσαο μοίρας.</w:t>
            </w:r>
            <w:hyperlink r:id="rId72" w:history="1">
              <w:r w:rsidR="00CC0615">
                <w:rPr>
                  <w:sz w:val="22"/>
                  <w:szCs w:val="22"/>
                  <w:lang w:val="el-GR"/>
                </w:rPr>
                <w:t>“</w:t>
              </w:r>
            </w:hyperlink>
          </w:p>
        </w:tc>
        <w:tc>
          <w:tcPr>
            <w:tcW w:w="3402" w:type="dxa"/>
          </w:tcPr>
          <w:p w14:paraId="6FF62DAF" w14:textId="75B8B4A0" w:rsidR="00AE724C" w:rsidRPr="00890EB4" w:rsidRDefault="00AE724C" w:rsidP="00BE22B6">
            <w:pPr>
              <w:pStyle w:val="Blockquote"/>
              <w:rPr>
                <w:sz w:val="21"/>
                <w:szCs w:val="21"/>
              </w:rPr>
            </w:pPr>
            <w:r w:rsidRPr="00890EB4">
              <w:rPr>
                <w:sz w:val="21"/>
                <w:szCs w:val="21"/>
                <w:lang w:val="en-US"/>
              </w:rPr>
              <w:t xml:space="preserve">For when the gods and mortal men had a dispute at Mecone, even then Prometheus was forward to cut up a great ox and set portions before them, trying to deceive the mind of Zeus. Before the rest he set flesh and inner parts thick with fat upon the hide, covering them with an ox paunch; but for Zeus he put the white bones dressed up with cunning art and covered with shining fat. Then the father of men and of gods said to him: </w:t>
            </w:r>
            <w:r w:rsidR="00CC0615">
              <w:rPr>
                <w:sz w:val="21"/>
                <w:szCs w:val="21"/>
                <w:lang w:val="en-US"/>
              </w:rPr>
              <w:t>“</w:t>
            </w:r>
            <w:r w:rsidRPr="00890EB4">
              <w:rPr>
                <w:sz w:val="21"/>
                <w:szCs w:val="21"/>
                <w:lang w:val="en-US"/>
              </w:rPr>
              <w:t>Son of Iapetus, most glorious of all lords, good sir, how unfairly you have divided the portions!</w:t>
            </w:r>
            <w:r w:rsidR="00CC0615">
              <w:rPr>
                <w:sz w:val="21"/>
                <w:szCs w:val="21"/>
                <w:lang w:val="en-US"/>
              </w:rPr>
              <w:t>”</w:t>
            </w:r>
          </w:p>
        </w:tc>
      </w:tr>
    </w:tbl>
    <w:p w14:paraId="04295C37" w14:textId="77777777" w:rsidR="00AE724C" w:rsidRDefault="00AE724C" w:rsidP="00BE22B6">
      <w:pPr>
        <w:pStyle w:val="Blockquote"/>
      </w:pPr>
    </w:p>
    <w:p w14:paraId="5E96E860" w14:textId="4B8E09DC" w:rsidR="008D6BD8" w:rsidRPr="008A330E" w:rsidRDefault="008D6BD8" w:rsidP="004C3336">
      <w:pPr>
        <w:rPr>
          <w:szCs w:val="24"/>
          <w:lang w:val="en-US"/>
        </w:rPr>
      </w:pPr>
      <w:r w:rsidRPr="004C3336">
        <w:rPr>
          <w:szCs w:val="24"/>
          <w:lang w:val="en-US"/>
        </w:rPr>
        <w:t>Therefore, the word can be used of beggars and other hungry and needy people, the disguise that Odysseus has adopted. In epic language, the word γαστήρ</w:t>
      </w:r>
      <w:r w:rsidRPr="005E543A">
        <w:rPr>
          <w:i/>
          <w:iCs/>
          <w:szCs w:val="24"/>
          <w:lang w:val="en-US"/>
        </w:rPr>
        <w:t xml:space="preserve"> </w:t>
      </w:r>
      <w:r w:rsidRPr="005E543A">
        <w:rPr>
          <w:szCs w:val="24"/>
          <w:lang w:val="en-US"/>
        </w:rPr>
        <w:t xml:space="preserve">indicates </w:t>
      </w:r>
      <w:r w:rsidRPr="005E543A">
        <w:rPr>
          <w:szCs w:val="24"/>
          <w:lang w:val="en-US"/>
        </w:rPr>
        <w:lastRenderedPageBreak/>
        <w:t>something more than and different from food alone. The iambographers take advantage of this spectrum of implication, putting the γαστήρ</w:t>
      </w:r>
      <w:r w:rsidRPr="002818ED">
        <w:rPr>
          <w:i/>
          <w:iCs/>
          <w:szCs w:val="24"/>
          <w:lang w:val="en-US"/>
        </w:rPr>
        <w:t xml:space="preserve"> </w:t>
      </w:r>
      <w:r w:rsidRPr="002818ED">
        <w:rPr>
          <w:szCs w:val="24"/>
          <w:lang w:val="en-US"/>
        </w:rPr>
        <w:t xml:space="preserve">into a meaningful system of </w:t>
      </w:r>
      <w:r w:rsidR="00CC0615">
        <w:rPr>
          <w:szCs w:val="24"/>
          <w:lang w:val="en-US"/>
        </w:rPr>
        <w:t>“</w:t>
      </w:r>
      <w:r w:rsidRPr="002818ED">
        <w:rPr>
          <w:szCs w:val="24"/>
          <w:lang w:val="en-US"/>
        </w:rPr>
        <w:t>synonymy</w:t>
      </w:r>
      <w:r w:rsidR="00CC0615">
        <w:rPr>
          <w:szCs w:val="24"/>
          <w:lang w:val="en-US"/>
        </w:rPr>
        <w:t>”</w:t>
      </w:r>
      <w:r w:rsidRPr="002818ED">
        <w:rPr>
          <w:szCs w:val="24"/>
          <w:lang w:val="en-US"/>
        </w:rPr>
        <w:t xml:space="preserve"> in </w:t>
      </w:r>
      <w:r w:rsidR="004C3336" w:rsidRPr="002818ED">
        <w:rPr>
          <w:szCs w:val="24"/>
          <w:lang w:val="en-US"/>
        </w:rPr>
        <w:t xml:space="preserve">interaction </w:t>
      </w:r>
      <w:r w:rsidRPr="008A330E">
        <w:rPr>
          <w:szCs w:val="24"/>
          <w:lang w:val="en-US"/>
        </w:rPr>
        <w:t>respectively with νόος and φρένες (Archilochus), with κεφαλή (Hipponax), and with θυμός (Callimachus).</w:t>
      </w:r>
    </w:p>
    <w:p w14:paraId="5E5D88D5" w14:textId="77777777" w:rsidR="008D6BD8" w:rsidRPr="00532444" w:rsidRDefault="008D6BD8" w:rsidP="005E543A">
      <w:pPr>
        <w:rPr>
          <w:szCs w:val="24"/>
          <w:lang w:val="en-US"/>
        </w:rPr>
      </w:pPr>
    </w:p>
    <w:p w14:paraId="45574B0A" w14:textId="7BF61CFB" w:rsidR="008D6BD8" w:rsidRPr="004C3336" w:rsidRDefault="008D6BD8" w:rsidP="002818ED">
      <w:pPr>
        <w:rPr>
          <w:szCs w:val="24"/>
          <w:lang w:val="en-US"/>
        </w:rPr>
      </w:pPr>
      <w:r w:rsidRPr="00532444">
        <w:rPr>
          <w:szCs w:val="24"/>
          <w:lang w:val="en-US"/>
        </w:rPr>
        <w:t xml:space="preserve">Archilochus in fr. 119 says that the belly of Lycambes </w:t>
      </w:r>
      <w:r w:rsidR="00CC0615">
        <w:rPr>
          <w:szCs w:val="24"/>
          <w:lang w:val="en-US"/>
        </w:rPr>
        <w:t>“</w:t>
      </w:r>
      <w:r w:rsidRPr="00532444">
        <w:rPr>
          <w:szCs w:val="24"/>
          <w:lang w:val="en-US"/>
        </w:rPr>
        <w:t>led astray his mind and wits to shameless</w:t>
      </w:r>
      <w:r w:rsidR="00CC0615">
        <w:rPr>
          <w:szCs w:val="24"/>
          <w:lang w:val="en-US"/>
        </w:rPr>
        <w:t>”</w:t>
      </w:r>
      <w:r w:rsidRPr="00532444">
        <w:rPr>
          <w:szCs w:val="24"/>
          <w:lang w:val="en-US"/>
        </w:rPr>
        <w:t xml:space="preserve"> (ἀλλά σεο γαστὴρ νόον τε καὶ φρένας παρήγαγεν). Archilochus</w:t>
      </w:r>
      <w:r w:rsidR="00075F5F">
        <w:rPr>
          <w:szCs w:val="24"/>
          <w:lang w:val="en-US"/>
        </w:rPr>
        <w:t>’</w:t>
      </w:r>
      <w:r w:rsidRPr="00532444">
        <w:rPr>
          <w:szCs w:val="24"/>
          <w:lang w:val="en-US"/>
        </w:rPr>
        <w:t xml:space="preserve"> line recalls traditional phrasing, since νόον τε καὶ φρένας παρήγαγεν recalls </w:t>
      </w:r>
      <w:r w:rsidRPr="00532444">
        <w:rPr>
          <w:i/>
          <w:iCs/>
          <w:szCs w:val="24"/>
          <w:lang w:val="en-US"/>
        </w:rPr>
        <w:t>Il</w:t>
      </w:r>
      <w:r w:rsidRPr="00532444">
        <w:rPr>
          <w:szCs w:val="24"/>
          <w:lang w:val="en-US"/>
        </w:rPr>
        <w:t>. 10.391 πολλῇσίν μ</w:t>
      </w:r>
      <w:r w:rsidR="00075F5F">
        <w:rPr>
          <w:szCs w:val="24"/>
          <w:lang w:val="en-US"/>
        </w:rPr>
        <w:t>’</w:t>
      </w:r>
      <w:r w:rsidRPr="00532444">
        <w:rPr>
          <w:szCs w:val="24"/>
          <w:lang w:val="en-US"/>
        </w:rPr>
        <w:t xml:space="preserve"> ἄτῃσι παρὲκ νόον ἤγαγεν Ἕκτωρ </w:t>
      </w:r>
      <w:r w:rsidR="00CC0615">
        <w:rPr>
          <w:szCs w:val="24"/>
          <w:lang w:val="en-US"/>
        </w:rPr>
        <w:t>“</w:t>
      </w:r>
      <w:r w:rsidRPr="00532444">
        <w:rPr>
          <w:szCs w:val="24"/>
          <w:lang w:val="en-US"/>
        </w:rPr>
        <w:t>with many infatuate hopes did Hector lead my wits astray.</w:t>
      </w:r>
      <w:r w:rsidR="00CC0615">
        <w:rPr>
          <w:szCs w:val="24"/>
          <w:lang w:val="en-US"/>
        </w:rPr>
        <w:t>”</w:t>
      </w:r>
      <w:r w:rsidRPr="00532444">
        <w:rPr>
          <w:szCs w:val="24"/>
          <w:lang w:val="en-US"/>
        </w:rPr>
        <w:t xml:space="preserve"> In the Homeric passage, the figure without his senses is Dolon, a Trojan herald</w:t>
      </w:r>
      <w:r w:rsidRPr="004C3336">
        <w:rPr>
          <w:szCs w:val="24"/>
          <w:lang w:val="en-US"/>
        </w:rPr>
        <w:t xml:space="preserve">. </w:t>
      </w:r>
    </w:p>
    <w:p w14:paraId="63A462AD" w14:textId="6D8AC878" w:rsidR="005E543A" w:rsidRPr="005E543A" w:rsidRDefault="008D6BD8" w:rsidP="008A330E">
      <w:pPr>
        <w:ind w:firstLine="426"/>
        <w:rPr>
          <w:szCs w:val="24"/>
          <w:lang w:val="en-US"/>
        </w:rPr>
      </w:pPr>
      <w:r w:rsidRPr="004C3336">
        <w:rPr>
          <w:szCs w:val="24"/>
          <w:lang w:val="en-US"/>
        </w:rPr>
        <w:t>After a request by Hector calls all the Trojan men together, Dolon volunteers to spy on the Greek ships and check whether or not the Greeks are still guarding them, and if so, how. He say</w:t>
      </w:r>
      <w:r w:rsidRPr="005E543A">
        <w:rPr>
          <w:szCs w:val="24"/>
          <w:lang w:val="en-US"/>
        </w:rPr>
        <w:t>s that his κραδίη and θυμός urge him to undertake the venture: Ἕκτορ ἔμ</w:t>
      </w:r>
      <w:r w:rsidR="00075F5F">
        <w:rPr>
          <w:szCs w:val="24"/>
          <w:lang w:val="en-US"/>
        </w:rPr>
        <w:t>’</w:t>
      </w:r>
      <w:r w:rsidRPr="005E543A">
        <w:rPr>
          <w:szCs w:val="24"/>
          <w:lang w:val="en-US"/>
        </w:rPr>
        <w:t xml:space="preserve"> ὀ</w:t>
      </w:r>
      <w:r w:rsidRPr="002818ED">
        <w:rPr>
          <w:szCs w:val="24"/>
          <w:lang w:val="en-US"/>
        </w:rPr>
        <w:t>τρύνει κραδίη καὶ θυμὸ</w:t>
      </w:r>
      <w:r w:rsidRPr="008A330E">
        <w:rPr>
          <w:szCs w:val="24"/>
          <w:lang w:val="en-US"/>
        </w:rPr>
        <w:t xml:space="preserve">ς </w:t>
      </w:r>
      <w:r w:rsidRPr="00532444">
        <w:rPr>
          <w:szCs w:val="24"/>
          <w:lang w:val="en-US"/>
        </w:rPr>
        <w:t xml:space="preserve">ἀγήνωρ / νηῶν ὠκυπόρων σχεδὸν ἐλθέμεν ἔκ τε πυθέσθαι, </w:t>
      </w:r>
      <w:r w:rsidR="00CC0615">
        <w:rPr>
          <w:szCs w:val="24"/>
          <w:lang w:val="en-US"/>
        </w:rPr>
        <w:t>“</w:t>
      </w:r>
      <w:r w:rsidRPr="00532444">
        <w:rPr>
          <w:szCs w:val="24"/>
          <w:lang w:val="en-US"/>
        </w:rPr>
        <w:t>Hector, my own heart and my proud spirit arouse me to go close to the swift-running ships and to learn about them</w:t>
      </w:r>
      <w:r w:rsidR="00CC0615">
        <w:rPr>
          <w:szCs w:val="24"/>
          <w:lang w:val="en-US"/>
        </w:rPr>
        <w:t>”</w:t>
      </w:r>
      <w:r w:rsidRPr="00532444">
        <w:rPr>
          <w:szCs w:val="24"/>
          <w:lang w:val="en-US"/>
        </w:rPr>
        <w:t xml:space="preserve"> (</w:t>
      </w:r>
      <w:r w:rsidRPr="00532444">
        <w:rPr>
          <w:i/>
          <w:iCs/>
          <w:szCs w:val="24"/>
          <w:lang w:val="en-US"/>
        </w:rPr>
        <w:t>Il</w:t>
      </w:r>
      <w:r w:rsidRPr="00532444">
        <w:rPr>
          <w:szCs w:val="24"/>
          <w:lang w:val="en-US"/>
        </w:rPr>
        <w:t>. 10. 319-320). In exchange Hector offers the horses and bronze chariot of </w:t>
      </w:r>
      <w:hyperlink r:id="rId73" w:history="1">
        <w:r w:rsidRPr="004C3336">
          <w:rPr>
            <w:szCs w:val="24"/>
            <w:lang w:val="en-US"/>
          </w:rPr>
          <w:t>Achilles</w:t>
        </w:r>
      </w:hyperlink>
      <w:r w:rsidRPr="004C3336">
        <w:rPr>
          <w:szCs w:val="24"/>
          <w:lang w:val="en-US"/>
        </w:rPr>
        <w:t> as his prize at the end of the war. Fearing deceit, Dolon demands that Hector swear to fulfil the promised reward, and Hector does so (</w:t>
      </w:r>
      <w:r w:rsidRPr="005E543A">
        <w:rPr>
          <w:i/>
          <w:iCs/>
          <w:szCs w:val="24"/>
          <w:lang w:val="en-US"/>
        </w:rPr>
        <w:t>Il</w:t>
      </w:r>
      <w:r w:rsidRPr="005E543A">
        <w:rPr>
          <w:szCs w:val="24"/>
          <w:lang w:val="en-US"/>
        </w:rPr>
        <w:t xml:space="preserve">. 10.328-331): </w:t>
      </w:r>
    </w:p>
    <w:p w14:paraId="0F5E27AE" w14:textId="77777777" w:rsidR="00A803AE" w:rsidRDefault="00A803AE" w:rsidP="00532444">
      <w:pPr>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928"/>
        <w:gridCol w:w="3010"/>
      </w:tblGrid>
      <w:tr w:rsidR="00C8590C" w:rsidRPr="00365089" w14:paraId="101495E3" w14:textId="77777777" w:rsidTr="00890EB4">
        <w:tc>
          <w:tcPr>
            <w:tcW w:w="4928" w:type="dxa"/>
          </w:tcPr>
          <w:p w14:paraId="1733E39F" w14:textId="7B58FFE4" w:rsidR="00AE724C" w:rsidRPr="00890EB4" w:rsidRDefault="00AE724C" w:rsidP="00BE22B6">
            <w:pPr>
              <w:pStyle w:val="Blockquote"/>
              <w:rPr>
                <w:sz w:val="21"/>
                <w:szCs w:val="21"/>
              </w:rPr>
            </w:pPr>
            <w:r w:rsidRPr="0042546E">
              <w:rPr>
                <w:sz w:val="21"/>
                <w:szCs w:val="21"/>
              </w:rPr>
              <w:t>Ὣ</w:t>
            </w:r>
            <w:r w:rsidRPr="002A6E35">
              <w:rPr>
                <w:sz w:val="21"/>
                <w:szCs w:val="21"/>
              </w:rPr>
              <w:t>ς φάθ</w:t>
            </w:r>
            <w:r w:rsidR="00075F5F">
              <w:rPr>
                <w:sz w:val="21"/>
                <w:szCs w:val="21"/>
              </w:rPr>
              <w:t>’</w:t>
            </w:r>
            <w:r w:rsidRPr="002A6E35">
              <w:rPr>
                <w:sz w:val="21"/>
                <w:szCs w:val="21"/>
              </w:rPr>
              <w:t>, ὃ δ</w:t>
            </w:r>
            <w:r w:rsidR="00075F5F">
              <w:rPr>
                <w:sz w:val="21"/>
                <w:szCs w:val="21"/>
              </w:rPr>
              <w:t>’</w:t>
            </w:r>
            <w:r w:rsidRPr="002A6E35">
              <w:rPr>
                <w:sz w:val="21"/>
                <w:szCs w:val="21"/>
              </w:rPr>
              <w:t xml:space="preserve"> ἐ</w:t>
            </w:r>
            <w:r w:rsidRPr="00890EB4">
              <w:rPr>
                <w:sz w:val="21"/>
                <w:szCs w:val="21"/>
              </w:rPr>
              <w:t>ν χερσὶ σκῆπτρον λάβε καί οἱ ὄμοσσεν·</w:t>
            </w:r>
          </w:p>
          <w:p w14:paraId="3CB016BD" w14:textId="77777777" w:rsidR="00AE724C" w:rsidRPr="00890EB4" w:rsidRDefault="00AE724C" w:rsidP="00BE22B6">
            <w:pPr>
              <w:pStyle w:val="Blockquote"/>
              <w:rPr>
                <w:sz w:val="21"/>
                <w:szCs w:val="21"/>
              </w:rPr>
            </w:pPr>
            <w:r w:rsidRPr="00890EB4">
              <w:rPr>
                <w:sz w:val="21"/>
                <w:szCs w:val="21"/>
              </w:rPr>
              <w:t>ἴστω νῦν Ζεὺς αὐτὸς ἐρίγδουπος πόσις Ἥρης</w:t>
            </w:r>
          </w:p>
          <w:p w14:paraId="4A65318B" w14:textId="77777777" w:rsidR="00AE724C" w:rsidRPr="00890EB4" w:rsidRDefault="00AE724C" w:rsidP="00BE22B6">
            <w:pPr>
              <w:pStyle w:val="Blockquote"/>
              <w:rPr>
                <w:sz w:val="21"/>
                <w:szCs w:val="21"/>
              </w:rPr>
            </w:pPr>
            <w:r w:rsidRPr="00890EB4">
              <w:rPr>
                <w:sz w:val="21"/>
                <w:szCs w:val="21"/>
              </w:rPr>
              <w:t>μὴ μὲν τοῖς ἵπποισιν ἀνὴρ ἐποχήσεται ἄλλος</w:t>
            </w:r>
          </w:p>
          <w:p w14:paraId="272A7604" w14:textId="77777777" w:rsidR="00AE724C" w:rsidRPr="00890EB4" w:rsidRDefault="00AE724C" w:rsidP="00BE22B6">
            <w:pPr>
              <w:pStyle w:val="Blockquote"/>
              <w:rPr>
                <w:sz w:val="21"/>
                <w:szCs w:val="21"/>
              </w:rPr>
            </w:pPr>
            <w:r w:rsidRPr="00890EB4">
              <w:rPr>
                <w:sz w:val="21"/>
                <w:szCs w:val="21"/>
              </w:rPr>
              <w:t>Τρώων, ἀλλά σέ φημι διαμπερὲς ἀγλαϊεῖσθαι.</w:t>
            </w:r>
          </w:p>
          <w:p w14:paraId="22FE4D19" w14:textId="77777777" w:rsidR="00AE724C" w:rsidRPr="00890EB4" w:rsidRDefault="00AE724C" w:rsidP="00BE22B6">
            <w:pPr>
              <w:pStyle w:val="Blockquote"/>
              <w:rPr>
                <w:sz w:val="21"/>
                <w:szCs w:val="21"/>
              </w:rPr>
            </w:pPr>
          </w:p>
        </w:tc>
        <w:tc>
          <w:tcPr>
            <w:tcW w:w="3010" w:type="dxa"/>
          </w:tcPr>
          <w:p w14:paraId="10E0832A" w14:textId="3C4B11EE" w:rsidR="00AE724C" w:rsidRPr="00365089" w:rsidRDefault="00AE724C" w:rsidP="00BE22B6">
            <w:pPr>
              <w:pStyle w:val="Blockquote"/>
              <w:rPr>
                <w:sz w:val="21"/>
                <w:szCs w:val="21"/>
              </w:rPr>
            </w:pPr>
            <w:r w:rsidRPr="00365089">
              <w:rPr>
                <w:sz w:val="21"/>
                <w:szCs w:val="21"/>
              </w:rPr>
              <w:t xml:space="preserve">So spake he, and Hector took the staff in his hands, and sware to him, saying: </w:t>
            </w:r>
            <w:r w:rsidR="00CC0615">
              <w:rPr>
                <w:sz w:val="21"/>
                <w:szCs w:val="21"/>
              </w:rPr>
              <w:t>“</w:t>
            </w:r>
            <w:r w:rsidRPr="00365089">
              <w:rPr>
                <w:sz w:val="21"/>
                <w:szCs w:val="21"/>
              </w:rPr>
              <w:t>Now be my witness Zeus himself, the loud-thundering lord of Hera, that on those horses no other man of the Trojans will mount, but it is you, I declare, that shalt have glory in them continually.</w:t>
            </w:r>
          </w:p>
        </w:tc>
      </w:tr>
    </w:tbl>
    <w:p w14:paraId="00C6DEB7" w14:textId="77777777" w:rsidR="00AE724C" w:rsidRDefault="00AE724C" w:rsidP="00A803AE">
      <w:pPr>
        <w:pStyle w:val="Blockquote"/>
      </w:pPr>
    </w:p>
    <w:p w14:paraId="5DAB47B0" w14:textId="1CF90B9F" w:rsidR="008D6BD8" w:rsidRDefault="008D6BD8" w:rsidP="002818ED">
      <w:pPr>
        <w:rPr>
          <w:lang w:val="en-US"/>
        </w:rPr>
      </w:pPr>
      <w:r>
        <w:rPr>
          <w:lang w:val="en-US"/>
        </w:rPr>
        <w:t xml:space="preserve">Dolon departs wearing a wolf skin and a weasel-skin cap in order to blend in with his surroundings. His plan is to deceive the Greeks by walking on all fours. But he is spotted by </w:t>
      </w:r>
      <w:hyperlink r:id="rId74" w:history="1">
        <w:r>
          <w:rPr>
            <w:lang w:val="en-US"/>
          </w:rPr>
          <w:t>Odysseus</w:t>
        </w:r>
      </w:hyperlink>
      <w:r>
        <w:rPr>
          <w:lang w:val="en-US"/>
        </w:rPr>
        <w:t xml:space="preserve"> and </w:t>
      </w:r>
      <w:hyperlink r:id="rId75" w:history="1">
        <w:r>
          <w:rPr>
            <w:lang w:val="en-US"/>
          </w:rPr>
          <w:t>Diomedes</w:t>
        </w:r>
      </w:hyperlink>
      <w:r>
        <w:rPr>
          <w:lang w:val="en-US"/>
        </w:rPr>
        <w:t xml:space="preserve"> by chance while they are on a secret raid to plunder the Trojans. The Greek warriors see Dolon coming and hide themselves among the bodies of the dead so that Dolon can</w:t>
      </w:r>
      <w:r w:rsidR="00075F5F">
        <w:rPr>
          <w:lang w:val="en-US"/>
        </w:rPr>
        <w:t>’</w:t>
      </w:r>
      <w:r>
        <w:rPr>
          <w:lang w:val="en-US"/>
        </w:rPr>
        <w:t>t see them. Diomedes chases Dolon down with help from Athena and Dolon begs for his life, telling the two warriors that he is worth a valuable ransom because his father, Eumedes, is very wealthy. Odysseus says he won</w:t>
      </w:r>
      <w:r w:rsidR="00075F5F">
        <w:rPr>
          <w:lang w:val="en-US"/>
        </w:rPr>
        <w:t>’</w:t>
      </w:r>
      <w:r>
        <w:rPr>
          <w:lang w:val="en-US"/>
        </w:rPr>
        <w:t xml:space="preserve">t kill Dolon </w:t>
      </w:r>
      <w:r>
        <w:rPr>
          <w:lang w:val="en-US"/>
        </w:rPr>
        <w:lastRenderedPageBreak/>
        <w:t>if Dolon tells the two of them why he was spying on the Greeks.</w:t>
      </w:r>
      <w:r w:rsidR="005E543A">
        <w:rPr>
          <w:lang w:val="en-US"/>
        </w:rPr>
        <w:t xml:space="preserve"> </w:t>
      </w:r>
      <w:r>
        <w:rPr>
          <w:lang w:val="en-US"/>
        </w:rPr>
        <w:t>Dolon tells Odysseus everything he wants to know, including his potential prize, which Trojan allies are living in which tent, and what their strengths are. But he tries to justify himself by saying that he has lost his mind: πολλῇσίν μ</w:t>
      </w:r>
      <w:r w:rsidR="00075F5F">
        <w:rPr>
          <w:lang w:val="en-US"/>
        </w:rPr>
        <w:t>’</w:t>
      </w:r>
      <w:r>
        <w:rPr>
          <w:lang w:val="en-US"/>
        </w:rPr>
        <w:t xml:space="preserve"> ἄτῃσι παρὲκ νόον ἤγαγεν Ἕκτωρ </w:t>
      </w:r>
      <w:r w:rsidR="00CC0615">
        <w:rPr>
          <w:lang w:val="en-US"/>
        </w:rPr>
        <w:t>“</w:t>
      </w:r>
      <w:r>
        <w:rPr>
          <w:lang w:val="en-US"/>
        </w:rPr>
        <w:t>with many infatuate hopes did Hector lead my wits astray</w:t>
      </w:r>
      <w:r w:rsidR="00CC0615">
        <w:rPr>
          <w:lang w:val="en-US"/>
        </w:rPr>
        <w:t>”</w:t>
      </w:r>
      <w:r>
        <w:rPr>
          <w:lang w:val="en-US"/>
        </w:rPr>
        <w:t xml:space="preserve"> (</w:t>
      </w:r>
      <w:r>
        <w:rPr>
          <w:i/>
          <w:iCs/>
          <w:lang w:val="en-US"/>
        </w:rPr>
        <w:t>Il</w:t>
      </w:r>
      <w:r>
        <w:rPr>
          <w:lang w:val="en-US"/>
        </w:rPr>
        <w:t xml:space="preserve">. 10.391). Although he tells the two Greeks all the information that they want, he is decapitated by Diomedes. </w:t>
      </w:r>
    </w:p>
    <w:p w14:paraId="0EEA13FE" w14:textId="5E478EB4" w:rsidR="008D6BD8" w:rsidRDefault="008D6BD8" w:rsidP="008A330E">
      <w:pPr>
        <w:ind w:firstLine="426"/>
        <w:rPr>
          <w:lang w:val="en-US"/>
        </w:rPr>
      </w:pPr>
      <w:r>
        <w:rPr>
          <w:lang w:val="en-US"/>
        </w:rPr>
        <w:t>Dolon is a typical antiheroic figure, as he does not fight for glory but for greed. Just as Dolon betrayed Hector, Lycambes betrayed Archilochus. Both Dolon and Lycambes are stomach-governed men, since their γαστ</w:t>
      </w:r>
      <w:r w:rsidR="00BD06E6">
        <w:rPr>
          <w:lang w:val="el-GR"/>
        </w:rPr>
        <w:t>ή</w:t>
      </w:r>
      <w:r>
        <w:rPr>
          <w:lang w:val="en-US"/>
        </w:rPr>
        <w:t>ρ has taken the place of their mind and their heart.</w:t>
      </w:r>
    </w:p>
    <w:p w14:paraId="450D9DB6" w14:textId="77777777" w:rsidR="008D6BD8" w:rsidRDefault="008D6BD8" w:rsidP="008D6BD8">
      <w:pPr>
        <w:rPr>
          <w:lang w:val="en-US"/>
        </w:rPr>
      </w:pPr>
    </w:p>
    <w:p w14:paraId="15A7B049" w14:textId="350E1DE0" w:rsidR="00A803AE" w:rsidRDefault="008D6BD8" w:rsidP="002818ED">
      <w:pPr>
        <w:textAlignment w:val="bottom"/>
        <w:rPr>
          <w:rFonts w:cs="Times New Roman"/>
          <w:szCs w:val="24"/>
          <w:shd w:val="clear" w:color="auto" w:fill="FFFFFF"/>
        </w:rPr>
      </w:pPr>
      <w:r>
        <w:rPr>
          <w:lang w:val="en-US"/>
        </w:rPr>
        <w:t xml:space="preserve">A very similar image appears in Hipponax fr. 7.5 πρὸς ἥλιον δύνοντα γαστέρα τρέψας </w:t>
      </w:r>
      <w:r w:rsidR="00CC0615">
        <w:rPr>
          <w:lang w:val="en-US"/>
        </w:rPr>
        <w:t>“</w:t>
      </w:r>
      <w:r>
        <w:rPr>
          <w:lang w:val="en-US"/>
        </w:rPr>
        <w:t>turning your belly towards the setting sun.</w:t>
      </w:r>
      <w:r w:rsidR="00CC0615">
        <w:rPr>
          <w:lang w:val="en-US"/>
        </w:rPr>
        <w:t>”</w:t>
      </w:r>
      <w:r>
        <w:rPr>
          <w:lang w:val="en-US"/>
        </w:rPr>
        <w:t xml:space="preserve"> The line is a faithful echo of </w:t>
      </w:r>
      <w:r>
        <w:rPr>
          <w:i/>
          <w:iCs/>
          <w:lang w:val="en-US"/>
        </w:rPr>
        <w:t>Od</w:t>
      </w:r>
      <w:r>
        <w:rPr>
          <w:lang w:val="en-US"/>
        </w:rPr>
        <w:t xml:space="preserve">. 13.29-30 πολλὰ πρὸς ἠέλιον κεφαλὴν τρέπε παμφανόωντα, / δῦναι ἐπειγόμενος </w:t>
      </w:r>
      <w:r w:rsidR="00CC0615">
        <w:rPr>
          <w:lang w:val="en-US"/>
        </w:rPr>
        <w:t>“</w:t>
      </w:r>
      <w:r>
        <w:rPr>
          <w:lang w:val="en-US"/>
        </w:rPr>
        <w:t>but Odysseus would ever turn his head toward the blazing sun, eager to see it set.</w:t>
      </w:r>
      <w:r w:rsidR="00CC0615">
        <w:rPr>
          <w:lang w:val="en-US"/>
        </w:rPr>
        <w:t>”</w:t>
      </w:r>
      <w:r>
        <w:rPr>
          <w:lang w:val="en-US"/>
        </w:rPr>
        <w:t xml:space="preserve"> The only difference lies in the substitution of γαστήρ for κεφαλή, which distorts both the meaning and the context, making them highly ironic.</w:t>
      </w:r>
      <w:r>
        <w:rPr>
          <w:shd w:val="solid" w:color="FFFFFF" w:fill="FFFFFF"/>
          <w:lang w:val="en-US"/>
        </w:rPr>
        <w:t xml:space="preserve"> In the </w:t>
      </w:r>
      <w:r>
        <w:rPr>
          <w:i/>
          <w:iCs/>
          <w:shd w:val="solid" w:color="FFFFFF" w:fill="FFFFFF"/>
          <w:lang w:val="en-US"/>
        </w:rPr>
        <w:t>Odyssey</w:t>
      </w:r>
      <w:r>
        <w:rPr>
          <w:shd w:val="solid" w:color="FFFFFF" w:fill="FFFFFF"/>
          <w:lang w:val="en-US"/>
        </w:rPr>
        <w:t>, the lines refer to Odysseus who wants desperately to return home while he is guest of the king of the Phaeacians, Alkinoos. Once he finishes giving an </w:t>
      </w:r>
      <w:r>
        <w:rPr>
          <w:lang w:val="en-US"/>
        </w:rPr>
        <w:t>account</w:t>
      </w:r>
      <w:r>
        <w:rPr>
          <w:shd w:val="solid" w:color="FFFFFF" w:fill="FFFFFF"/>
          <w:lang w:val="en-US"/>
        </w:rPr>
        <w:t> of his wanderings, Odysseus looks forward to leaving Scheria, even though the Phaeacians are very hospitable, their land is rich, and Alkinoos offers Odysseus a sumptuous dinner and would let him marry his daughter Nausicaa. But Odysseus</w:t>
      </w:r>
      <w:r w:rsidR="00075F5F">
        <w:rPr>
          <w:shd w:val="solid" w:color="FFFFFF" w:fill="FFFFFF"/>
          <w:lang w:val="en-US"/>
        </w:rPr>
        <w:t>’</w:t>
      </w:r>
      <w:r>
        <w:rPr>
          <w:shd w:val="solid" w:color="FFFFFF" w:fill="FFFFFF"/>
          <w:lang w:val="en-US"/>
        </w:rPr>
        <w:t xml:space="preserve">s mind turns towards the sun, wishing to see it setting, since he desires his own land and his own woman. Just before this at the court of Alkinoos, Odysseus remembered the </w:t>
      </w:r>
      <w:r>
        <w:rPr>
          <w:lang w:val="en-US"/>
        </w:rPr>
        <w:t>γαστήρ, since his stomach</w:t>
      </w:r>
      <w:r>
        <w:rPr>
          <w:shd w:val="solid" w:color="FFFFFF" w:fill="FFFFFF"/>
          <w:lang w:val="en-US"/>
        </w:rPr>
        <w:t xml:space="preserve"> needs to be filled, and speaks as a stomach-governed man (</w:t>
      </w:r>
      <w:r>
        <w:rPr>
          <w:i/>
          <w:iCs/>
          <w:lang w:val="en-US"/>
        </w:rPr>
        <w:t>Od</w:t>
      </w:r>
      <w:r>
        <w:rPr>
          <w:lang w:val="en-US"/>
        </w:rPr>
        <w:t>. 7.215-221)</w:t>
      </w:r>
      <w:r>
        <w:rPr>
          <w:shd w:val="solid" w:color="FFFFFF" w:fill="FFFFFF"/>
          <w:lang w:val="en-US"/>
        </w:rPr>
        <w:t>:</w:t>
      </w:r>
    </w:p>
    <w:p w14:paraId="4C22EB62" w14:textId="5D22951E" w:rsidR="00AE724C" w:rsidRDefault="00AE724C" w:rsidP="00A803AE">
      <w:pPr>
        <w:pStyle w:val="Blockquote"/>
        <w:rPr>
          <w:shd w:val="clear" w:color="auto" w:fill="FFFFFF"/>
        </w:rPr>
      </w:pPr>
      <w:r w:rsidRPr="00770CB7">
        <w:rPr>
          <w:shd w:val="clear" w:color="auto" w:fill="FFFFFF"/>
        </w:rPr>
        <w:t xml:space="preserve"> </w:t>
      </w: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678"/>
        <w:gridCol w:w="3260"/>
      </w:tblGrid>
      <w:tr w:rsidR="00AE724C" w:rsidRPr="00365089" w14:paraId="166EC6C6" w14:textId="77777777" w:rsidTr="00890EB4">
        <w:tc>
          <w:tcPr>
            <w:tcW w:w="4678" w:type="dxa"/>
          </w:tcPr>
          <w:p w14:paraId="692872EE" w14:textId="77970712" w:rsidR="00AE724C" w:rsidRPr="00365089" w:rsidRDefault="00AE724C" w:rsidP="00CC0615">
            <w:pPr>
              <w:pStyle w:val="Blockquote"/>
              <w:keepNext/>
              <w:keepLines/>
              <w:rPr>
                <w:sz w:val="22"/>
                <w:szCs w:val="22"/>
              </w:rPr>
            </w:pPr>
            <w:r w:rsidRPr="00365089">
              <w:rPr>
                <w:sz w:val="22"/>
                <w:szCs w:val="22"/>
              </w:rPr>
              <w:t>ἀλλ</w:t>
            </w:r>
            <w:r w:rsidR="00075F5F">
              <w:rPr>
                <w:sz w:val="22"/>
                <w:szCs w:val="22"/>
              </w:rPr>
              <w:t>’</w:t>
            </w:r>
            <w:r w:rsidRPr="00365089">
              <w:rPr>
                <w:sz w:val="22"/>
                <w:szCs w:val="22"/>
              </w:rPr>
              <w:t xml:space="preserve"> ἐμὲ μὲν δορπῆσαι ἐάσατε κηδόμενόν περ· </w:t>
            </w:r>
          </w:p>
          <w:p w14:paraId="4FCE0993" w14:textId="520033D6" w:rsidR="00AE724C" w:rsidRPr="00227EE7" w:rsidRDefault="00AE724C" w:rsidP="00CC0615">
            <w:pPr>
              <w:pStyle w:val="Blockquote"/>
              <w:keepNext/>
              <w:keepLines/>
              <w:rPr>
                <w:sz w:val="22"/>
                <w:szCs w:val="22"/>
                <w:lang w:val="el-GR"/>
              </w:rPr>
            </w:pPr>
            <w:r w:rsidRPr="00227EE7">
              <w:rPr>
                <w:sz w:val="22"/>
                <w:szCs w:val="22"/>
                <w:lang w:val="el-GR"/>
              </w:rPr>
              <w:t>οὐ γάρ τι στυγερῇ ἐπὶ γαστέρι κύντερον ἄλλο</w:t>
            </w:r>
            <w:r w:rsidR="00E05ADC" w:rsidRPr="00227EE7">
              <w:rPr>
                <w:sz w:val="22"/>
                <w:szCs w:val="22"/>
                <w:lang w:val="el-GR"/>
              </w:rPr>
              <w:t xml:space="preserve"> </w:t>
            </w:r>
          </w:p>
          <w:p w14:paraId="2E522292" w14:textId="631F72BC" w:rsidR="00AE724C" w:rsidRPr="00227EE7" w:rsidRDefault="00AE724C" w:rsidP="00CC0615">
            <w:pPr>
              <w:pStyle w:val="Blockquote"/>
              <w:keepNext/>
              <w:keepLines/>
              <w:rPr>
                <w:sz w:val="22"/>
                <w:szCs w:val="22"/>
                <w:lang w:val="el-GR"/>
              </w:rPr>
            </w:pPr>
            <w:r w:rsidRPr="00227EE7">
              <w:rPr>
                <w:sz w:val="22"/>
                <w:szCs w:val="22"/>
                <w:lang w:val="el-GR"/>
              </w:rPr>
              <w:t>ἔπλετο, ἥ τ</w:t>
            </w:r>
            <w:r w:rsidR="00075F5F" w:rsidRPr="00227EE7">
              <w:rPr>
                <w:sz w:val="22"/>
                <w:szCs w:val="22"/>
                <w:lang w:val="el-GR"/>
              </w:rPr>
              <w:t>’</w:t>
            </w:r>
            <w:r w:rsidRPr="00227EE7">
              <w:rPr>
                <w:sz w:val="22"/>
                <w:szCs w:val="22"/>
                <w:lang w:val="el-GR"/>
              </w:rPr>
              <w:t xml:space="preserve"> ἐκέλευσεν ἕο μνήσασθαι ἀνάγκῃ</w:t>
            </w:r>
            <w:r w:rsidR="00E05ADC" w:rsidRPr="00227EE7">
              <w:rPr>
                <w:sz w:val="22"/>
                <w:szCs w:val="22"/>
                <w:lang w:val="el-GR"/>
              </w:rPr>
              <w:t xml:space="preserve"> </w:t>
            </w:r>
          </w:p>
          <w:p w14:paraId="20051089" w14:textId="77777777" w:rsidR="00AE724C" w:rsidRPr="00227EE7" w:rsidRDefault="00AE724C" w:rsidP="00CC0615">
            <w:pPr>
              <w:pStyle w:val="Blockquote"/>
              <w:keepNext/>
              <w:keepLines/>
              <w:rPr>
                <w:sz w:val="22"/>
                <w:szCs w:val="22"/>
                <w:lang w:val="el-GR"/>
              </w:rPr>
            </w:pPr>
            <w:r w:rsidRPr="00227EE7">
              <w:rPr>
                <w:sz w:val="22"/>
                <w:szCs w:val="22"/>
                <w:lang w:val="el-GR"/>
              </w:rPr>
              <w:t xml:space="preserve">καὶ μάλα τειρόμενον καὶ ἐνὶ φρεσὶ πένθος ἔχοντα, </w:t>
            </w:r>
          </w:p>
          <w:p w14:paraId="7D5814E8" w14:textId="2A83ABB2" w:rsidR="00AE724C" w:rsidRPr="00227EE7" w:rsidRDefault="00AE724C" w:rsidP="00CC0615">
            <w:pPr>
              <w:pStyle w:val="Blockquote"/>
              <w:keepNext/>
              <w:keepLines/>
              <w:rPr>
                <w:sz w:val="22"/>
                <w:szCs w:val="22"/>
                <w:lang w:val="el-GR"/>
              </w:rPr>
            </w:pPr>
            <w:r w:rsidRPr="00227EE7">
              <w:rPr>
                <w:sz w:val="22"/>
                <w:szCs w:val="22"/>
                <w:lang w:val="el-GR"/>
              </w:rPr>
              <w:t>ὡς καὶ ἐγὼ πένθος μὲν ἔχω φρεσίν, ἡ δὲ μάλ</w:t>
            </w:r>
            <w:r w:rsidR="00075F5F" w:rsidRPr="00227EE7">
              <w:rPr>
                <w:sz w:val="22"/>
                <w:szCs w:val="22"/>
                <w:lang w:val="el-GR"/>
              </w:rPr>
              <w:t>’</w:t>
            </w:r>
            <w:r w:rsidRPr="00227EE7">
              <w:rPr>
                <w:sz w:val="22"/>
                <w:szCs w:val="22"/>
                <w:lang w:val="el-GR"/>
              </w:rPr>
              <w:t xml:space="preserve"> αἰεὶ</w:t>
            </w:r>
            <w:r w:rsidR="00E05ADC" w:rsidRPr="00227EE7">
              <w:rPr>
                <w:sz w:val="22"/>
                <w:szCs w:val="22"/>
                <w:lang w:val="el-GR"/>
              </w:rPr>
              <w:t xml:space="preserve"> </w:t>
            </w:r>
          </w:p>
          <w:p w14:paraId="372710E0" w14:textId="77777777" w:rsidR="00AE724C" w:rsidRPr="00227EE7" w:rsidRDefault="00AE724C" w:rsidP="00CC0615">
            <w:pPr>
              <w:pStyle w:val="Blockquote"/>
              <w:keepNext/>
              <w:keepLines/>
              <w:rPr>
                <w:sz w:val="22"/>
                <w:szCs w:val="22"/>
                <w:lang w:val="el-GR"/>
              </w:rPr>
            </w:pPr>
            <w:r w:rsidRPr="00227EE7">
              <w:rPr>
                <w:sz w:val="22"/>
                <w:szCs w:val="22"/>
                <w:lang w:val="el-GR"/>
              </w:rPr>
              <w:t xml:space="preserve">ἐσθέμεναι κέλεται καὶ πινέμεν, ἐκ δέ με πάντων </w:t>
            </w:r>
          </w:p>
          <w:p w14:paraId="70BF404E" w14:textId="00DAE4BB" w:rsidR="00AE724C" w:rsidRPr="00227EE7" w:rsidRDefault="00AE724C" w:rsidP="00CC0615">
            <w:pPr>
              <w:pStyle w:val="Blockquote"/>
              <w:keepNext/>
              <w:keepLines/>
              <w:rPr>
                <w:sz w:val="22"/>
                <w:szCs w:val="22"/>
                <w:lang w:val="el-GR"/>
              </w:rPr>
            </w:pPr>
            <w:r w:rsidRPr="00227EE7">
              <w:rPr>
                <w:sz w:val="22"/>
                <w:szCs w:val="22"/>
                <w:lang w:val="el-GR"/>
              </w:rPr>
              <w:t>ληθάνει, ὅσσ</w:t>
            </w:r>
            <w:r w:rsidR="00075F5F" w:rsidRPr="00227EE7">
              <w:rPr>
                <w:sz w:val="22"/>
                <w:szCs w:val="22"/>
                <w:lang w:val="el-GR"/>
              </w:rPr>
              <w:t>’</w:t>
            </w:r>
            <w:r w:rsidRPr="00227EE7">
              <w:rPr>
                <w:sz w:val="22"/>
                <w:szCs w:val="22"/>
                <w:lang w:val="el-GR"/>
              </w:rPr>
              <w:t xml:space="preserve"> ἔπαθον, καὶ ἐνιπλησθῆναι ἀνώγει</w:t>
            </w:r>
          </w:p>
        </w:tc>
        <w:tc>
          <w:tcPr>
            <w:tcW w:w="3260" w:type="dxa"/>
          </w:tcPr>
          <w:p w14:paraId="7412F5DB" w14:textId="0F52E02A" w:rsidR="00AE724C" w:rsidRPr="00890EB4" w:rsidRDefault="00AE724C" w:rsidP="00CC0615">
            <w:pPr>
              <w:pStyle w:val="Blockquote"/>
              <w:keepNext/>
              <w:keepLines/>
              <w:rPr>
                <w:sz w:val="21"/>
                <w:szCs w:val="21"/>
              </w:rPr>
            </w:pPr>
            <w:r w:rsidRPr="00890EB4">
              <w:rPr>
                <w:sz w:val="21"/>
                <w:szCs w:val="21"/>
              </w:rPr>
              <w:t>But as for me, suffer me now to eat, despite my grief; for there is nothing more shame</w:t>
            </w:r>
            <w:r w:rsidR="00BE22B6" w:rsidRPr="00890EB4">
              <w:rPr>
                <w:sz w:val="21"/>
                <w:szCs w:val="21"/>
              </w:rPr>
              <w:softHyphen/>
            </w:r>
            <w:r w:rsidRPr="00890EB4">
              <w:rPr>
                <w:sz w:val="21"/>
                <w:szCs w:val="21"/>
              </w:rPr>
              <w:t>less than a hateful belly, which bids a man perforce take thought thereof, be he never so sore distressed and laden with grief at heart, even as I, too, am laden with grief at heart, yet ever does my belly bid me eat and drink, and makes me forget all that I have suffered, and commands me to eat my fill.</w:t>
            </w:r>
          </w:p>
        </w:tc>
      </w:tr>
    </w:tbl>
    <w:p w14:paraId="32CC6948" w14:textId="77777777" w:rsidR="00AE724C" w:rsidRDefault="00AE724C" w:rsidP="00A803AE">
      <w:pPr>
        <w:pStyle w:val="Blockquote"/>
        <w:rPr>
          <w:rStyle w:val="txt"/>
        </w:rPr>
      </w:pPr>
    </w:p>
    <w:p w14:paraId="3EC153ED" w14:textId="77777777" w:rsidR="008D6BD8" w:rsidRPr="00532444" w:rsidRDefault="008D6BD8" w:rsidP="008A330E">
      <w:pPr>
        <w:rPr>
          <w:rFonts w:cs="Times New Roman"/>
          <w:lang w:val="en-US"/>
        </w:rPr>
      </w:pPr>
      <w:r w:rsidRPr="008A330E">
        <w:rPr>
          <w:rFonts w:cs="Times New Roman"/>
          <w:lang w:val="en-US"/>
        </w:rPr>
        <w:lastRenderedPageBreak/>
        <w:t>Hipponax makes a sort of transposition, putting the belly in a context where the audience does not expect to find it. However, it is plausible that Odysseus is led by his belly in his persistent desire to go home: he is driven by the desire to take revenge on the Suitors and to possess Penelope.</w:t>
      </w:r>
      <w:r w:rsidRPr="008A330E">
        <w:rPr>
          <w:rStyle w:val="FootnoteReference"/>
          <w:rFonts w:cs="Times New Roman"/>
          <w:lang w:val="en-US"/>
        </w:rPr>
        <w:footnoteReference w:id="433"/>
      </w:r>
      <w:r w:rsidRPr="008A330E">
        <w:rPr>
          <w:rFonts w:cs="Times New Roman"/>
          <w:lang w:val="en-US"/>
        </w:rPr>
        <w:t xml:space="preserve"> </w:t>
      </w:r>
    </w:p>
    <w:p w14:paraId="19BD7774" w14:textId="2D0B87D4" w:rsidR="008D6BD8" w:rsidRPr="00532444" w:rsidRDefault="008D6BD8" w:rsidP="00532444">
      <w:pPr>
        <w:rPr>
          <w:rFonts w:cs="Times New Roman"/>
          <w:lang w:val="en-US"/>
        </w:rPr>
      </w:pPr>
      <w:r w:rsidRPr="00532444">
        <w:rPr>
          <w:rFonts w:cs="Times New Roman"/>
          <w:lang w:val="en-US"/>
        </w:rPr>
        <w:tab/>
        <w:t>Like</w:t>
      </w:r>
      <w:r w:rsidR="005E543A" w:rsidRPr="00532444">
        <w:rPr>
          <w:rFonts w:cs="Times New Roman"/>
          <w:lang w:val="en-US"/>
        </w:rPr>
        <w:t xml:space="preserve"> </w:t>
      </w:r>
      <w:r w:rsidRPr="00532444">
        <w:rPr>
          <w:rFonts w:cs="Times New Roman"/>
          <w:lang w:val="en-US"/>
        </w:rPr>
        <w:t>Odysseus, Hipponax</w:t>
      </w:r>
      <w:r w:rsidR="00075F5F">
        <w:rPr>
          <w:rFonts w:cs="Times New Roman"/>
          <w:lang w:val="en-US"/>
        </w:rPr>
        <w:t>’</w:t>
      </w:r>
      <w:r w:rsidRPr="00532444">
        <w:rPr>
          <w:rFonts w:cs="Times New Roman"/>
          <w:lang w:val="en-US"/>
        </w:rPr>
        <w:t>s character is travelling: he is going from the interior to Smyrna on the coast, passing through Lydia, as the monuments listed show: †τέαρε</w:t>
      </w:r>
      <w:hyperlink r:id="rId76" w:history="1">
        <w:r w:rsidRPr="00532444">
          <w:rPr>
            <w:rFonts w:cs="Times New Roman"/>
            <w:lang w:val="en-US"/>
          </w:rPr>
          <w:t>[</w:t>
        </w:r>
      </w:hyperlink>
      <w:hyperlink r:id="rId77" w:history="1">
        <w:r w:rsidRPr="00532444">
          <w:rPr>
            <w:rFonts w:cs="Times New Roman"/>
            <w:lang w:val="en-US"/>
          </w:rPr>
          <w:t>.....</w:t>
        </w:r>
      </w:hyperlink>
      <w:hyperlink r:id="rId78" w:history="1">
        <w:r w:rsidRPr="00532444">
          <w:rPr>
            <w:rFonts w:cs="Times New Roman"/>
            <w:lang w:val="en-US"/>
          </w:rPr>
          <w:t>]</w:t>
        </w:r>
      </w:hyperlink>
      <w:r w:rsidRPr="008A330E">
        <w:rPr>
          <w:rFonts w:cs="Times New Roman"/>
          <w:lang w:val="en-US"/>
        </w:rPr>
        <w:t>δεύειε† τ</w:t>
      </w:r>
      <w:r w:rsidRPr="00532444">
        <w:rPr>
          <w:rFonts w:cs="Times New Roman"/>
          <w:lang w:val="en-US"/>
        </w:rPr>
        <w:t xml:space="preserve">ὴν ἐπὶ Σμύρνηςἰθὺ δι̯ὰ Λυδῶν παρὰ τὸν Ἀττάλεω τύμβον / καὶ σῆμα Γύγεω καὶ Σεσώστριος στήλην / καὶ μνῆμα Τωτος Μυτάλιδι πάλμυδος  </w:t>
      </w:r>
      <w:r w:rsidR="00CC0615">
        <w:rPr>
          <w:rFonts w:cs="Times New Roman"/>
          <w:lang w:val="en-US"/>
        </w:rPr>
        <w:t>“</w:t>
      </w:r>
      <w:r w:rsidRPr="00532444">
        <w:rPr>
          <w:rFonts w:cs="Times New Roman"/>
          <w:lang w:val="en-US"/>
        </w:rPr>
        <w:t>go along the road to Smyrna through Lydia past the tomb of Attalus and the gravestone of Gyges and the column of Sesostris and the memorial of Tos, king at Mytalis.</w:t>
      </w:r>
      <w:r w:rsidR="00CC0615">
        <w:rPr>
          <w:rFonts w:cs="Times New Roman"/>
          <w:lang w:val="en-US"/>
        </w:rPr>
        <w:t>”</w:t>
      </w:r>
      <w:r w:rsidRPr="00532444">
        <w:rPr>
          <w:rFonts w:cs="Times New Roman"/>
          <w:lang w:val="en-US"/>
        </w:rPr>
        <w:t xml:space="preserve"> These monuments celebrate the power of Lydia, whose gold was legendary, while Smyrna was a poor Ionian city</w:t>
      </w:r>
      <w:r w:rsidR="00B33738">
        <w:rPr>
          <w:rFonts w:cs="Times New Roman"/>
          <w:lang w:val="en-US"/>
        </w:rPr>
        <w:t xml:space="preserve"> – </w:t>
      </w:r>
      <w:r w:rsidRPr="00532444">
        <w:rPr>
          <w:rFonts w:cs="Times New Roman"/>
          <w:lang w:val="en-US"/>
        </w:rPr>
        <w:t>damaged by an earthquake (c. 700 BC), sacked by the Lydians under Alyattes (c. 600 BC), and abandoned for some 200 years.</w:t>
      </w:r>
      <w:r w:rsidRPr="008A330E">
        <w:rPr>
          <w:rStyle w:val="FootnoteReference"/>
          <w:rFonts w:cs="Times New Roman"/>
          <w:lang w:val="en-US"/>
        </w:rPr>
        <w:footnoteReference w:id="434"/>
      </w:r>
      <w:r w:rsidRPr="008A330E">
        <w:rPr>
          <w:rFonts w:cs="Times New Roman"/>
          <w:lang w:val="en-US"/>
        </w:rPr>
        <w:t xml:space="preserve"> Hipponax</w:t>
      </w:r>
      <w:r w:rsidR="00075F5F">
        <w:rPr>
          <w:rFonts w:cs="Times New Roman"/>
          <w:lang w:val="en-US"/>
        </w:rPr>
        <w:t>’</w:t>
      </w:r>
      <w:r w:rsidRPr="008A330E">
        <w:rPr>
          <w:rFonts w:cs="Times New Roman"/>
          <w:lang w:val="en-US"/>
        </w:rPr>
        <w:t>s character is leaving a safe and rich land for a poor and dangerous one, just like Odysseus, and he is led in his trip by his belly. According to Lucian of Samosata,</w:t>
      </w:r>
      <w:r w:rsidRPr="008A330E">
        <w:rPr>
          <w:rStyle w:val="FootnoteReference"/>
          <w:rFonts w:cs="Times New Roman"/>
          <w:lang w:val="en-US"/>
        </w:rPr>
        <w:footnoteReference w:id="435"/>
      </w:r>
      <w:r w:rsidRPr="008A330E">
        <w:rPr>
          <w:rFonts w:cs="Times New Roman"/>
          <w:lang w:val="en-US"/>
        </w:rPr>
        <w:t xml:space="preserve"> Smyrna produced the most beautiful women, and</w:t>
      </w:r>
      <w:r w:rsidRPr="00532444">
        <w:rPr>
          <w:rFonts w:cs="Times New Roman"/>
          <w:lang w:val="en-US"/>
        </w:rPr>
        <w:t xml:space="preserve"> this might be the reason why Hipponax</w:t>
      </w:r>
      <w:r w:rsidR="00075F5F">
        <w:rPr>
          <w:rFonts w:cs="Times New Roman"/>
          <w:lang w:val="en-US"/>
        </w:rPr>
        <w:t>’</w:t>
      </w:r>
      <w:r w:rsidRPr="00532444">
        <w:rPr>
          <w:rFonts w:cs="Times New Roman"/>
          <w:lang w:val="en-US"/>
        </w:rPr>
        <w:t>s character is turning his belly towards it. In this case, the belly claims physical needs other than mere food.</w:t>
      </w:r>
    </w:p>
    <w:p w14:paraId="149C5424" w14:textId="77777777" w:rsidR="008D6BD8" w:rsidRPr="00532444" w:rsidRDefault="008D6BD8" w:rsidP="00532444">
      <w:pPr>
        <w:rPr>
          <w:rFonts w:cs="Times New Roman"/>
          <w:lang w:val="en-US"/>
        </w:rPr>
      </w:pPr>
    </w:p>
    <w:p w14:paraId="4C54A8FE" w14:textId="60E5EC7C" w:rsidR="008D6BD8" w:rsidRPr="008A330E" w:rsidRDefault="008D6BD8" w:rsidP="00532444">
      <w:pPr>
        <w:rPr>
          <w:rFonts w:cs="Times New Roman"/>
          <w:lang w:val="en-US"/>
        </w:rPr>
      </w:pPr>
      <w:r w:rsidRPr="00532444">
        <w:rPr>
          <w:rFonts w:cs="Times New Roman"/>
          <w:lang w:val="en-US"/>
        </w:rPr>
        <w:t>Finally, Callimachus says ἀλλ</w:t>
      </w:r>
      <w:r w:rsidR="00075F5F">
        <w:rPr>
          <w:rFonts w:cs="Times New Roman"/>
          <w:lang w:val="en-US"/>
        </w:rPr>
        <w:t>’</w:t>
      </w:r>
      <w:r w:rsidRPr="00532444">
        <w:rPr>
          <w:rFonts w:cs="Times New Roman"/>
          <w:lang w:val="en-US"/>
        </w:rPr>
        <w:t xml:space="preserve"> εἴ τι θυμὸν ἢ </w:t>
      </w:r>
      <w:r w:rsidR="00075F5F">
        <w:rPr>
          <w:rFonts w:cs="Times New Roman"/>
          <w:lang w:val="en-US"/>
        </w:rPr>
        <w:t>‘</w:t>
      </w:r>
      <w:r w:rsidRPr="00532444">
        <w:rPr>
          <w:rFonts w:cs="Times New Roman"/>
          <w:lang w:val="en-US"/>
        </w:rPr>
        <w:t xml:space="preserve">πὶ </w:t>
      </w:r>
      <w:r w:rsidRPr="008A330E">
        <w:rPr>
          <w:rFonts w:cs="Times New Roman"/>
          <w:lang w:val="en-US"/>
        </w:rPr>
        <w:t xml:space="preserve">γαστέρα πνεύσ[ </w:t>
      </w:r>
      <w:r w:rsidR="00CC0615">
        <w:rPr>
          <w:rFonts w:cs="Times New Roman"/>
          <w:lang w:val="en-US"/>
        </w:rPr>
        <w:t>“</w:t>
      </w:r>
      <w:r w:rsidRPr="008A330E">
        <w:rPr>
          <w:rFonts w:cs="Times New Roman"/>
          <w:lang w:val="en-US"/>
        </w:rPr>
        <w:t>but if in some regard (inspires?) heart or stomach.</w:t>
      </w:r>
      <w:r w:rsidR="00CC0615">
        <w:rPr>
          <w:rFonts w:cs="Times New Roman"/>
          <w:lang w:val="en-US"/>
        </w:rPr>
        <w:t>”</w:t>
      </w:r>
      <w:r w:rsidRPr="008A330E">
        <w:rPr>
          <w:rFonts w:cs="Times New Roman"/>
          <w:lang w:val="en-US"/>
        </w:rPr>
        <w:t xml:space="preserve"> (</w:t>
      </w:r>
      <w:r w:rsidRPr="00532444">
        <w:rPr>
          <w:rFonts w:cs="Times New Roman"/>
          <w:i/>
          <w:iCs/>
          <w:lang w:val="en-US"/>
        </w:rPr>
        <w:t>Ia.</w:t>
      </w:r>
      <w:r w:rsidRPr="00532444">
        <w:rPr>
          <w:rFonts w:cs="Times New Roman"/>
          <w:lang w:val="en-US"/>
        </w:rPr>
        <w:t xml:space="preserve"> 13.15).  The connective particle ἢ suggests that θυμός and γαστήρ are interchangeable. θυμός is conventionally what drives the epic hero in his quest for glory, particularly in such formulaic expressions as θυμὸς ἀγήνωρ </w:t>
      </w:r>
      <w:r w:rsidR="00CC0615">
        <w:rPr>
          <w:rFonts w:cs="Times New Roman"/>
          <w:lang w:val="en-US"/>
        </w:rPr>
        <w:t>“</w:t>
      </w:r>
      <w:r w:rsidRPr="00532444">
        <w:rPr>
          <w:rFonts w:cs="Times New Roman"/>
          <w:lang w:val="en-US"/>
        </w:rPr>
        <w:t>man-leading heart</w:t>
      </w:r>
      <w:r w:rsidR="00CC0615">
        <w:rPr>
          <w:rFonts w:cs="Times New Roman"/>
          <w:lang w:val="en-US"/>
        </w:rPr>
        <w:t>”</w:t>
      </w:r>
      <w:r w:rsidRPr="00532444">
        <w:rPr>
          <w:rFonts w:cs="Times New Roman"/>
          <w:lang w:val="en-US"/>
        </w:rPr>
        <w:t xml:space="preserve"> (26 times in the </w:t>
      </w:r>
      <w:r w:rsidRPr="00532444">
        <w:rPr>
          <w:rFonts w:cs="Times New Roman"/>
          <w:i/>
          <w:iCs/>
          <w:lang w:val="en-US"/>
        </w:rPr>
        <w:t>Iliad</w:t>
      </w:r>
      <w:r w:rsidRPr="00532444">
        <w:rPr>
          <w:rFonts w:cs="Times New Roman"/>
          <w:lang w:val="en-US"/>
        </w:rPr>
        <w:t xml:space="preserve"> and the </w:t>
      </w:r>
      <w:r w:rsidRPr="00532444">
        <w:rPr>
          <w:rFonts w:cs="Times New Roman"/>
          <w:i/>
          <w:iCs/>
          <w:lang w:val="en-US"/>
        </w:rPr>
        <w:t>Odyssey</w:t>
      </w:r>
      <w:r w:rsidRPr="00532444">
        <w:rPr>
          <w:rFonts w:cs="Times New Roman"/>
          <w:lang w:val="en-US"/>
        </w:rPr>
        <w:t>, including 4 times in Odysseus</w:t>
      </w:r>
      <w:r w:rsidR="00075F5F">
        <w:rPr>
          <w:rFonts w:cs="Times New Roman"/>
          <w:lang w:val="en-US"/>
        </w:rPr>
        <w:t>’</w:t>
      </w:r>
      <w:r w:rsidRPr="00532444">
        <w:rPr>
          <w:rFonts w:cs="Times New Roman"/>
          <w:lang w:val="en-US"/>
        </w:rPr>
        <w:t xml:space="preserve"> account of his meeting with the Cyclops in </w:t>
      </w:r>
      <w:r w:rsidRPr="00532444">
        <w:rPr>
          <w:rFonts w:cs="Times New Roman"/>
          <w:i/>
          <w:iCs/>
          <w:lang w:val="en-US"/>
        </w:rPr>
        <w:t>Od</w:t>
      </w:r>
      <w:r w:rsidRPr="00532444">
        <w:rPr>
          <w:rFonts w:cs="Times New Roman"/>
          <w:lang w:val="en-US"/>
        </w:rPr>
        <w:t>. 10)</w:t>
      </w:r>
      <w:r w:rsidRPr="008A330E">
        <w:rPr>
          <w:rStyle w:val="FootnoteReference"/>
          <w:rFonts w:cs="Times New Roman"/>
          <w:lang w:val="en-US"/>
        </w:rPr>
        <w:footnoteReference w:id="436"/>
      </w:r>
      <w:r w:rsidRPr="008A330E">
        <w:rPr>
          <w:rFonts w:cs="Times New Roman"/>
          <w:lang w:val="en-US"/>
        </w:rPr>
        <w:t xml:space="preserve"> or μεγαλήτωρ θυμός </w:t>
      </w:r>
      <w:r w:rsidR="00CC0615">
        <w:rPr>
          <w:rFonts w:cs="Times New Roman"/>
          <w:lang w:val="en-US"/>
        </w:rPr>
        <w:t>“</w:t>
      </w:r>
      <w:r w:rsidRPr="008A330E">
        <w:rPr>
          <w:rFonts w:cs="Times New Roman"/>
          <w:lang w:val="en-US"/>
        </w:rPr>
        <w:t>great-hearted spirit</w:t>
      </w:r>
      <w:r w:rsidR="00CC0615">
        <w:rPr>
          <w:rFonts w:cs="Times New Roman"/>
          <w:lang w:val="en-US"/>
        </w:rPr>
        <w:t>”</w:t>
      </w:r>
      <w:r w:rsidRPr="008A330E">
        <w:rPr>
          <w:rFonts w:cs="Times New Roman"/>
          <w:lang w:val="en-US"/>
        </w:rPr>
        <w:t xml:space="preserve"> (19 times in the </w:t>
      </w:r>
      <w:r w:rsidRPr="008A330E">
        <w:rPr>
          <w:rFonts w:cs="Times New Roman"/>
          <w:i/>
          <w:iCs/>
          <w:lang w:val="en-US"/>
        </w:rPr>
        <w:t xml:space="preserve">Iliad </w:t>
      </w:r>
      <w:r w:rsidRPr="00532444">
        <w:rPr>
          <w:rFonts w:cs="Times New Roman"/>
          <w:lang w:val="en-US"/>
        </w:rPr>
        <w:t xml:space="preserve">and the </w:t>
      </w:r>
      <w:r w:rsidRPr="00532444">
        <w:rPr>
          <w:rFonts w:cs="Times New Roman"/>
          <w:i/>
          <w:iCs/>
          <w:lang w:val="en-US"/>
        </w:rPr>
        <w:t>Odyssey</w:t>
      </w:r>
      <w:r w:rsidRPr="00532444">
        <w:rPr>
          <w:rFonts w:cs="Times New Roman"/>
          <w:lang w:val="en-US"/>
        </w:rPr>
        <w:t>).</w:t>
      </w:r>
      <w:r w:rsidRPr="008A330E">
        <w:rPr>
          <w:rStyle w:val="FootnoteReference"/>
          <w:rFonts w:cs="Times New Roman"/>
          <w:lang w:val="en-US"/>
        </w:rPr>
        <w:footnoteReference w:id="437"/>
      </w:r>
      <w:r w:rsidRPr="008A330E">
        <w:rPr>
          <w:rFonts w:cs="Times New Roman"/>
          <w:lang w:val="en-US"/>
        </w:rPr>
        <w:t xml:space="preserve"> The hidden heroism of the beggar is played o</w:t>
      </w:r>
      <w:r w:rsidRPr="00532444">
        <w:rPr>
          <w:rFonts w:cs="Times New Roman"/>
          <w:lang w:val="en-US"/>
        </w:rPr>
        <w:t xml:space="preserve">ut in a scene in which both terms are contrasted in one and the same context. In </w:t>
      </w:r>
      <w:r w:rsidRPr="00532444">
        <w:rPr>
          <w:rFonts w:cs="Times New Roman"/>
          <w:i/>
          <w:iCs/>
          <w:lang w:val="en-US"/>
        </w:rPr>
        <w:t>Od</w:t>
      </w:r>
      <w:r w:rsidRPr="00532444">
        <w:rPr>
          <w:rFonts w:cs="Times New Roman"/>
          <w:lang w:val="en-US"/>
        </w:rPr>
        <w:t xml:space="preserve">. 18, Irus enters the stage as a man who excels </w:t>
      </w:r>
      <w:r w:rsidR="005E543A" w:rsidRPr="00532444">
        <w:rPr>
          <w:rFonts w:cs="Times New Roman"/>
          <w:lang w:val="en-US"/>
        </w:rPr>
        <w:t xml:space="preserve">for </w:t>
      </w:r>
      <w:r w:rsidRPr="00532444">
        <w:rPr>
          <w:rFonts w:cs="Times New Roman"/>
          <w:lang w:val="en-US"/>
        </w:rPr>
        <w:t>his wanton, raving belly (μετὰ δ</w:t>
      </w:r>
      <w:r w:rsidR="00075F5F">
        <w:rPr>
          <w:rFonts w:cs="Times New Roman"/>
          <w:lang w:val="en-US"/>
        </w:rPr>
        <w:t>’</w:t>
      </w:r>
      <w:r w:rsidRPr="00532444">
        <w:rPr>
          <w:rFonts w:cs="Times New Roman"/>
          <w:lang w:val="en-US"/>
        </w:rPr>
        <w:t xml:space="preserve"> ἔπρεπε γαστέρι μάργῃ, 2) and challenges his newly arrived competitor, the hero in disguise, so that a fight </w:t>
      </w:r>
      <w:r w:rsidRPr="00532444">
        <w:rPr>
          <w:rFonts w:cs="Times New Roman"/>
          <w:lang w:val="en-US"/>
        </w:rPr>
        <w:lastRenderedPageBreak/>
        <w:t xml:space="preserve">is arranged between the two beggars. Odysseus answers the proposal for a fight by saying με γαστὴρ / ὀτρύνει κακοεργός, ἵνα πληγῇσι δαμείω </w:t>
      </w:r>
      <w:r w:rsidR="00CC0615">
        <w:rPr>
          <w:rFonts w:cs="Times New Roman"/>
          <w:lang w:val="en-US"/>
        </w:rPr>
        <w:t>“</w:t>
      </w:r>
      <w:r w:rsidRPr="00532444">
        <w:rPr>
          <w:rFonts w:cs="Times New Roman"/>
          <w:lang w:val="en-US"/>
        </w:rPr>
        <w:t>my stomach, the evil-doer, spurs me on, in order that I be subdued by blows,</w:t>
      </w:r>
      <w:r w:rsidR="00CC0615">
        <w:rPr>
          <w:rFonts w:cs="Times New Roman"/>
          <w:lang w:val="en-US"/>
        </w:rPr>
        <w:t>”</w:t>
      </w:r>
      <w:r w:rsidRPr="00532444">
        <w:rPr>
          <w:rFonts w:cs="Times New Roman"/>
          <w:lang w:val="en-US"/>
        </w:rPr>
        <w:t xml:space="preserve"> (53-4), but his son Telemachus replies σ</w:t>
      </w:r>
      <w:r w:rsidR="00075F5F">
        <w:rPr>
          <w:rFonts w:cs="Times New Roman"/>
          <w:lang w:val="en-US"/>
        </w:rPr>
        <w:t>’</w:t>
      </w:r>
      <w:r w:rsidRPr="00532444">
        <w:rPr>
          <w:rFonts w:cs="Times New Roman"/>
          <w:lang w:val="en-US"/>
        </w:rPr>
        <w:t xml:space="preserve"> ὀτρύνει κραδίη καὶ θυμὸς ἀγήνωρ / τοῦτον ἀλέξασθαι </w:t>
      </w:r>
      <w:r w:rsidR="00CC0615">
        <w:rPr>
          <w:rFonts w:cs="Times New Roman"/>
          <w:lang w:val="en-US"/>
        </w:rPr>
        <w:t>“</w:t>
      </w:r>
      <w:r w:rsidRPr="00532444">
        <w:rPr>
          <w:rFonts w:cs="Times New Roman"/>
          <w:lang w:val="en-US"/>
        </w:rPr>
        <w:t>your hearth and proud spirit spurs you on to defend yourself</w:t>
      </w:r>
      <w:r w:rsidR="00CC0615">
        <w:rPr>
          <w:rFonts w:cs="Times New Roman"/>
          <w:lang w:val="en-US"/>
        </w:rPr>
        <w:t>”</w:t>
      </w:r>
      <w:r w:rsidRPr="00532444">
        <w:rPr>
          <w:rFonts w:cs="Times New Roman"/>
          <w:lang w:val="en-US"/>
        </w:rPr>
        <w:t xml:space="preserve"> (61-62). The words of Telemachus correct those of his father Odysseus, and attempt to integrate physical need and necessity into the character of the hero</w:t>
      </w:r>
      <w:r w:rsidR="005E543A" w:rsidRPr="00532444">
        <w:rPr>
          <w:rFonts w:cs="Times New Roman"/>
          <w:lang w:val="en-US"/>
        </w:rPr>
        <w:t>.</w:t>
      </w:r>
      <w:r w:rsidRPr="00532444">
        <w:rPr>
          <w:rFonts w:cs="Times New Roman"/>
          <w:lang w:val="en-US"/>
        </w:rPr>
        <w:t xml:space="preserve"> The correction also enacts the idea of γαστήρ as an outward appearance, the verbal means by which a disguise is enacted, hiding within it a very different substance. Odysseus, again, is led by his stomach when, naked and hungry, he come</w:t>
      </w:r>
      <w:r w:rsidR="00BD06E6">
        <w:rPr>
          <w:rFonts w:cs="Times New Roman"/>
          <w:lang w:val="en-US"/>
        </w:rPr>
        <w:t>s</w:t>
      </w:r>
      <w:r w:rsidRPr="00532444">
        <w:rPr>
          <w:rFonts w:cs="Times New Roman"/>
          <w:lang w:val="en-US"/>
        </w:rPr>
        <w:t xml:space="preserve"> out of his lair-like sleeping place to approach Nausicaa and her maidservants: κέλεται δέ ἑ γαστὴρ / μήλων πειρήσοντα καὶ ἐς πυκινὸν δόμον ἐλθεῖν </w:t>
      </w:r>
      <w:r w:rsidR="00CC0615">
        <w:rPr>
          <w:rFonts w:cs="Times New Roman"/>
          <w:lang w:val="en-US"/>
        </w:rPr>
        <w:t>“</w:t>
      </w:r>
      <w:r w:rsidRPr="00532444">
        <w:rPr>
          <w:rFonts w:cs="Times New Roman"/>
          <w:lang w:val="en-US"/>
        </w:rPr>
        <w:t>his stomach commands him to enter into the well-built stable in order to have a taste of the sheep</w:t>
      </w:r>
      <w:r w:rsidR="00CC0615">
        <w:rPr>
          <w:rFonts w:cs="Times New Roman"/>
          <w:lang w:val="en-US"/>
        </w:rPr>
        <w:t>”</w:t>
      </w:r>
      <w:r w:rsidRPr="00532444">
        <w:rPr>
          <w:rFonts w:cs="Times New Roman"/>
          <w:lang w:val="en-US"/>
        </w:rPr>
        <w:t xml:space="preserve"> (</w:t>
      </w:r>
      <w:r w:rsidRPr="00532444">
        <w:rPr>
          <w:rFonts w:cs="Times New Roman"/>
          <w:i/>
          <w:iCs/>
          <w:lang w:val="en-US"/>
        </w:rPr>
        <w:t>Od</w:t>
      </w:r>
      <w:r w:rsidRPr="00532444">
        <w:rPr>
          <w:rFonts w:cs="Times New Roman"/>
          <w:lang w:val="en-US"/>
        </w:rPr>
        <w:t>. 6.133-134). In this scene, the hero is compared to a lion whose description exposes the physical savagery of the animal, thus serving as parody of the heroic code.</w:t>
      </w:r>
      <w:r w:rsidRPr="008A330E">
        <w:rPr>
          <w:rStyle w:val="FootnoteReference"/>
          <w:rFonts w:cs="Times New Roman"/>
          <w:lang w:val="en-US"/>
        </w:rPr>
        <w:footnoteReference w:id="438"/>
      </w:r>
      <w:r w:rsidRPr="008A330E">
        <w:rPr>
          <w:rFonts w:cs="Times New Roman"/>
          <w:lang w:val="en-US"/>
        </w:rPr>
        <w:t xml:space="preserve"> </w:t>
      </w:r>
    </w:p>
    <w:p w14:paraId="66E3EFCA" w14:textId="7B1F58F3" w:rsidR="008D6BD8" w:rsidRPr="00532444" w:rsidRDefault="008D6BD8" w:rsidP="00532444">
      <w:pPr>
        <w:rPr>
          <w:rFonts w:cs="Times New Roman"/>
          <w:i/>
          <w:iCs/>
          <w:lang w:val="en-US"/>
        </w:rPr>
      </w:pPr>
      <w:r w:rsidRPr="00532444">
        <w:rPr>
          <w:rFonts w:cs="Times New Roman"/>
          <w:lang w:val="en-US"/>
        </w:rPr>
        <w:tab/>
        <w:t>Callimachus puts θυμός and γαστήρ on the same level, and by relating them closely, makes θυμός another term which describes both an anatomical reality and an impulse,</w:t>
      </w:r>
      <w:r w:rsidRPr="008A330E">
        <w:rPr>
          <w:rStyle w:val="FootnoteReference"/>
          <w:rFonts w:cs="Times New Roman"/>
          <w:lang w:val="en-US"/>
        </w:rPr>
        <w:footnoteReference w:id="439"/>
      </w:r>
      <w:r w:rsidRPr="008A330E">
        <w:rPr>
          <w:rFonts w:cs="Times New Roman"/>
          <w:lang w:val="en-US"/>
        </w:rPr>
        <w:t xml:space="preserve"> like γαστήρ. The critic</w:t>
      </w:r>
      <w:r w:rsidR="00075F5F">
        <w:rPr>
          <w:rFonts w:cs="Times New Roman"/>
          <w:lang w:val="en-US"/>
        </w:rPr>
        <w:t>’</w:t>
      </w:r>
      <w:r w:rsidRPr="008A330E">
        <w:rPr>
          <w:rFonts w:cs="Times New Roman"/>
          <w:lang w:val="en-US"/>
        </w:rPr>
        <w:t>s disparaging evaluation of the poet</w:t>
      </w:r>
      <w:r w:rsidR="00075F5F">
        <w:rPr>
          <w:rFonts w:cs="Times New Roman"/>
          <w:lang w:val="en-US"/>
        </w:rPr>
        <w:t>’</w:t>
      </w:r>
      <w:r w:rsidRPr="008A330E">
        <w:rPr>
          <w:rFonts w:cs="Times New Roman"/>
          <w:lang w:val="en-US"/>
        </w:rPr>
        <w:t xml:space="preserve">s verse interweaves </w:t>
      </w:r>
      <w:r w:rsidRPr="00532444">
        <w:rPr>
          <w:rFonts w:cs="Times New Roman"/>
          <w:lang w:val="en-US"/>
        </w:rPr>
        <w:t>high and</w:t>
      </w:r>
      <w:r w:rsidR="008A330E" w:rsidRPr="00532444">
        <w:rPr>
          <w:rFonts w:cs="Times New Roman"/>
          <w:lang w:val="en-US"/>
        </w:rPr>
        <w:t xml:space="preserve"> </w:t>
      </w:r>
      <w:r w:rsidRPr="00532444">
        <w:rPr>
          <w:rFonts w:cs="Times New Roman"/>
          <w:lang w:val="en-US"/>
        </w:rPr>
        <w:t>low in inspirational and compositional imagery, since inspiration blows alternatively onto the θυμός and the γαστήρ,</w:t>
      </w:r>
      <w:r w:rsidRPr="008A330E">
        <w:rPr>
          <w:rStyle w:val="FootnoteReference"/>
          <w:rFonts w:cs="Times New Roman"/>
          <w:lang w:val="en-US"/>
        </w:rPr>
        <w:footnoteReference w:id="440"/>
      </w:r>
      <w:r w:rsidRPr="008A330E">
        <w:rPr>
          <w:rFonts w:cs="Times New Roman"/>
          <w:lang w:val="en-US"/>
        </w:rPr>
        <w:t xml:space="preserve"> but the opposition is only apparent. The verb πνέω </w:t>
      </w:r>
      <w:r w:rsidR="00CC0615">
        <w:rPr>
          <w:rFonts w:cs="Times New Roman"/>
          <w:lang w:val="en-US"/>
        </w:rPr>
        <w:t>“</w:t>
      </w:r>
      <w:r w:rsidRPr="008A330E">
        <w:rPr>
          <w:rFonts w:cs="Times New Roman"/>
          <w:lang w:val="en-US"/>
        </w:rPr>
        <w:t>blow</w:t>
      </w:r>
      <w:r w:rsidR="00CC0615">
        <w:rPr>
          <w:rFonts w:cs="Times New Roman"/>
          <w:lang w:val="en-US"/>
        </w:rPr>
        <w:t>”</w:t>
      </w:r>
      <w:r w:rsidRPr="008A330E">
        <w:rPr>
          <w:rFonts w:cs="Times New Roman"/>
          <w:lang w:val="en-US"/>
        </w:rPr>
        <w:t xml:space="preserve"> is often used in an erotic context, and θυμός in Hippon. fr. 30.1 stands for </w:t>
      </w:r>
      <w:r w:rsidR="00CC0615">
        <w:rPr>
          <w:rFonts w:cs="Times New Roman"/>
          <w:lang w:val="en-US"/>
        </w:rPr>
        <w:t>“</w:t>
      </w:r>
      <w:r w:rsidRPr="008A330E">
        <w:rPr>
          <w:rFonts w:cs="Times New Roman"/>
          <w:lang w:val="en-US"/>
        </w:rPr>
        <w:t>penis,</w:t>
      </w:r>
      <w:r w:rsidR="00CC0615">
        <w:rPr>
          <w:rFonts w:cs="Times New Roman"/>
          <w:lang w:val="en-US"/>
        </w:rPr>
        <w:t>”</w:t>
      </w:r>
      <w:r w:rsidRPr="008A330E">
        <w:rPr>
          <w:rFonts w:cs="Times New Roman"/>
          <w:lang w:val="en-US"/>
        </w:rPr>
        <w:t xml:space="preserve"> so Callimachus may also be evoking the Hipponactean</w:t>
      </w:r>
      <w:r w:rsidRPr="00532444">
        <w:rPr>
          <w:rFonts w:cs="Times New Roman"/>
          <w:lang w:val="en-US"/>
        </w:rPr>
        <w:t xml:space="preserve"> meaning of θυμός. If this is the case, the pair of θυμός and γαστήρ would indeed be on the same level, with θυμός referring to sexual appetite, and γαστήρ to appetite for food – an interpretation appropriate to iambic poetry and to an invective context.</w:t>
      </w:r>
    </w:p>
    <w:p w14:paraId="5172F837" w14:textId="77777777" w:rsidR="008D6BD8" w:rsidRPr="00532444" w:rsidRDefault="008D6BD8" w:rsidP="00532444">
      <w:pPr>
        <w:rPr>
          <w:rFonts w:cs="Times New Roman"/>
          <w:lang w:val="en-US"/>
        </w:rPr>
      </w:pPr>
    </w:p>
    <w:p w14:paraId="42A93C08" w14:textId="1BBB61C7" w:rsidR="008D6BD8" w:rsidRPr="00532444" w:rsidRDefault="008D6BD8" w:rsidP="00532444">
      <w:pPr>
        <w:rPr>
          <w:rFonts w:cs="Times New Roman"/>
          <w:lang w:val="en-US"/>
        </w:rPr>
      </w:pPr>
      <w:r w:rsidRPr="00532444">
        <w:rPr>
          <w:rFonts w:cs="Times New Roman"/>
          <w:lang w:val="en-US"/>
        </w:rPr>
        <w:t xml:space="preserve">In conclusion, all three iambographers use the word γαστήρ in order to mock their targets, making a comparison between the epic heroes, who are mostly heart-governed, and the iambic anti-heroes, who are always stomach-governed. The interplay they establish with the epic language works at different levels. Archilochus revives exactly the same reversal shown by the Homeric phrasing, since the γαστήρ takes the place of the νόος, but he </w:t>
      </w:r>
      <w:r w:rsidRPr="00532444">
        <w:rPr>
          <w:rFonts w:cs="Times New Roman"/>
          <w:lang w:val="en-US"/>
        </w:rPr>
        <w:lastRenderedPageBreak/>
        <w:t xml:space="preserve">totally changes the context. The γαστήρ he is talking about is the belly with its uncontrolled appetite. Hipponax transports the γαστήρ into an epic phrasing, which usually has the κεφαλή, creating a sort of overlap of two opposing images (which separately are already present in the Homeric poems). Callimachus perfectly matches these two images, making them interchangeable, and, the intertexuality between the iambographers gives this match an entirely iambic meaning, which is absolutely valid </w:t>
      </w:r>
      <w:r w:rsidR="008A330E" w:rsidRPr="00532444">
        <w:rPr>
          <w:rFonts w:cs="Times New Roman"/>
          <w:lang w:val="en-US"/>
        </w:rPr>
        <w:t xml:space="preserve">independently </w:t>
      </w:r>
      <w:r w:rsidRPr="00532444">
        <w:rPr>
          <w:rFonts w:cs="Times New Roman"/>
          <w:lang w:val="en-US"/>
        </w:rPr>
        <w:t>from epic references.</w:t>
      </w:r>
    </w:p>
    <w:p w14:paraId="5E77CF72" w14:textId="0F9F38C2" w:rsidR="00AE724C" w:rsidRPr="00757C56" w:rsidRDefault="00623B9C" w:rsidP="00757C56">
      <w:pPr>
        <w:pStyle w:val="Heading3"/>
      </w:pPr>
      <w:r>
        <w:t>3.5</w:t>
      </w:r>
      <w:r w:rsidR="00757C56">
        <w:t xml:space="preserve"> </w:t>
      </w:r>
      <w:r w:rsidR="00AE724C" w:rsidRPr="00757C56">
        <w:t xml:space="preserve">Comparisons of Humans to Animals </w:t>
      </w:r>
    </w:p>
    <w:p w14:paraId="355E2BC5" w14:textId="77777777" w:rsidR="00AE724C" w:rsidRPr="00757C56" w:rsidRDefault="00AE724C" w:rsidP="00825A39">
      <w:pPr>
        <w:spacing w:after="200"/>
        <w:textAlignment w:val="bottom"/>
        <w:rPr>
          <w:rFonts w:cs="Times New Roman"/>
          <w:szCs w:val="24"/>
        </w:rPr>
      </w:pPr>
      <w:r w:rsidRPr="00757C56">
        <w:rPr>
          <w:rFonts w:cs="Times New Roman"/>
          <w:szCs w:val="24"/>
        </w:rPr>
        <w:t>Catalogue of relevant passages:</w:t>
      </w:r>
    </w:p>
    <w:tbl>
      <w:tblPr>
        <w:tblStyle w:val="TableGrid"/>
        <w:tblW w:w="0" w:type="auto"/>
        <w:tblLook w:val="04A0" w:firstRow="1" w:lastRow="0" w:firstColumn="1" w:lastColumn="0" w:noHBand="0" w:noVBand="1"/>
      </w:tblPr>
      <w:tblGrid>
        <w:gridCol w:w="2857"/>
        <w:gridCol w:w="2808"/>
        <w:gridCol w:w="2863"/>
      </w:tblGrid>
      <w:tr w:rsidR="00AE724C" w:rsidRPr="004031F4" w14:paraId="5C6144A0" w14:textId="77777777" w:rsidTr="008D6BD8">
        <w:tc>
          <w:tcPr>
            <w:tcW w:w="2857" w:type="dxa"/>
          </w:tcPr>
          <w:p w14:paraId="78C1F8DC"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Archilochus</w:t>
            </w:r>
          </w:p>
        </w:tc>
        <w:tc>
          <w:tcPr>
            <w:tcW w:w="2808" w:type="dxa"/>
          </w:tcPr>
          <w:p w14:paraId="4474F706"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Hipponax</w:t>
            </w:r>
          </w:p>
        </w:tc>
        <w:tc>
          <w:tcPr>
            <w:tcW w:w="2863" w:type="dxa"/>
          </w:tcPr>
          <w:p w14:paraId="5635789F"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Callimachus</w:t>
            </w:r>
          </w:p>
        </w:tc>
      </w:tr>
      <w:tr w:rsidR="00AE724C" w:rsidRPr="004031F4" w14:paraId="48D427A1" w14:textId="77777777" w:rsidTr="008D6BD8">
        <w:tc>
          <w:tcPr>
            <w:tcW w:w="2857" w:type="dxa"/>
          </w:tcPr>
          <w:p w14:paraId="1A92984D"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168-179; 188-192</w:t>
            </w:r>
          </w:p>
        </w:tc>
        <w:tc>
          <w:tcPr>
            <w:tcW w:w="2808" w:type="dxa"/>
          </w:tcPr>
          <w:p w14:paraId="04E98437"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3; 55; 57; 129</w:t>
            </w:r>
          </w:p>
        </w:tc>
        <w:tc>
          <w:tcPr>
            <w:tcW w:w="2863" w:type="dxa"/>
          </w:tcPr>
          <w:p w14:paraId="0D81D4FA" w14:textId="77777777" w:rsidR="00AE724C" w:rsidRPr="004031F4" w:rsidRDefault="00AE724C" w:rsidP="00623B9C">
            <w:pPr>
              <w:spacing w:before="100" w:after="100" w:line="240" w:lineRule="auto"/>
              <w:textAlignment w:val="bottom"/>
              <w:rPr>
                <w:rFonts w:cs="Times New Roman"/>
                <w:szCs w:val="24"/>
              </w:rPr>
            </w:pPr>
            <w:r w:rsidRPr="004031F4">
              <w:rPr>
                <w:rFonts w:cs="Times New Roman"/>
                <w:szCs w:val="24"/>
              </w:rPr>
              <w:t>2; 4</w:t>
            </w:r>
          </w:p>
        </w:tc>
      </w:tr>
    </w:tbl>
    <w:p w14:paraId="30636F42" w14:textId="77777777" w:rsidR="008D6BD8" w:rsidRPr="00532444" w:rsidRDefault="008D6BD8" w:rsidP="008A330E">
      <w:pPr>
        <w:spacing w:before="400"/>
        <w:rPr>
          <w:szCs w:val="24"/>
          <w:lang w:val="en-US"/>
        </w:rPr>
      </w:pPr>
      <w:r w:rsidRPr="008A330E">
        <w:rPr>
          <w:szCs w:val="24"/>
          <w:lang w:val="en-US"/>
        </w:rPr>
        <w:t xml:space="preserve">The animal world is a constant theme of iambic poetry. Iambographers often describe human behaviours by means of comparisons between the human and the animal world. All three major iambographers, Archilochus, Hipponax and Callimachus, borrow images from the animal world in order to clearly sketch particular types of man, but the rhetorical devices they use are different from each other. Archilochus tells the audience fables, while Hipponax makes use of similes, and Callimachus uses fables as similes, since the human figures of the surrounding frame are incorporated into the fable. </w:t>
      </w:r>
    </w:p>
    <w:p w14:paraId="71B01229" w14:textId="77777777" w:rsidR="008D6BD8" w:rsidRPr="008A330E" w:rsidRDefault="008D6BD8" w:rsidP="008A330E">
      <w:pPr>
        <w:ind w:firstLine="425"/>
        <w:rPr>
          <w:szCs w:val="24"/>
          <w:lang w:val="en-US"/>
        </w:rPr>
      </w:pPr>
      <w:r w:rsidRPr="00532444">
        <w:rPr>
          <w:szCs w:val="24"/>
          <w:lang w:val="en-US"/>
        </w:rPr>
        <w:t xml:space="preserve">Both fables and similes derive from the epic tradition. The earliest occurrence of animal fable in Greek poetry is the fable of the hawk and the nightingale in Hesiod, </w:t>
      </w:r>
      <w:r w:rsidRPr="00532444">
        <w:rPr>
          <w:i/>
          <w:iCs/>
          <w:szCs w:val="24"/>
          <w:lang w:val="en-US"/>
        </w:rPr>
        <w:t>Operae et dies</w:t>
      </w:r>
      <w:r w:rsidRPr="00532444">
        <w:rPr>
          <w:szCs w:val="24"/>
          <w:lang w:val="en-US"/>
        </w:rPr>
        <w:t xml:space="preserve"> 202-212, and animal similes occur often in the Homeric language. Callimachus explicitly raises the stature of animal fables by associating them with the tone and imagery of elevated poetry, as when in the prologue of the </w:t>
      </w:r>
      <w:r w:rsidRPr="00532444">
        <w:rPr>
          <w:i/>
          <w:iCs/>
          <w:szCs w:val="24"/>
          <w:lang w:val="en-US"/>
        </w:rPr>
        <w:t>Aetia</w:t>
      </w:r>
      <w:r w:rsidRPr="00532444">
        <w:rPr>
          <w:szCs w:val="24"/>
          <w:lang w:val="en-US"/>
        </w:rPr>
        <w:t xml:space="preserve"> he represents himself as a cicada and his opponent as a braying ass: although this passage is a reworking of the Aesopic fables (195 Haus. = 184 Perry), it reflects Hesiod both as a figure and as a poetic model.</w:t>
      </w:r>
      <w:r w:rsidRPr="008A330E">
        <w:rPr>
          <w:rStyle w:val="FootnoteReference"/>
          <w:szCs w:val="24"/>
          <w:lang w:val="en-US"/>
        </w:rPr>
        <w:footnoteReference w:id="441"/>
      </w:r>
      <w:r w:rsidRPr="008A330E">
        <w:rPr>
          <w:szCs w:val="24"/>
          <w:lang w:val="en-US"/>
        </w:rPr>
        <w:t xml:space="preserve"> In iambs both fables and animal similes transcend the generic boundaries of humble literature, and echo higher literary models. These higher </w:t>
      </w:r>
      <w:r w:rsidRPr="008A330E">
        <w:rPr>
          <w:szCs w:val="24"/>
          <w:lang w:val="en-US"/>
        </w:rPr>
        <w:lastRenderedPageBreak/>
        <w:t>models are then re-elaborated in order to amplify the irony of the context and the clowning of the characters.</w:t>
      </w:r>
    </w:p>
    <w:p w14:paraId="0AB5B146" w14:textId="1D636CC3" w:rsidR="008D6BD8" w:rsidRPr="008A330E" w:rsidRDefault="008D6BD8" w:rsidP="00532444">
      <w:pPr>
        <w:rPr>
          <w:szCs w:val="24"/>
          <w:lang w:val="en-US"/>
        </w:rPr>
      </w:pPr>
      <w:r w:rsidRPr="00532444">
        <w:rPr>
          <w:szCs w:val="24"/>
          <w:lang w:val="en-US"/>
        </w:rPr>
        <w:tab/>
        <w:t xml:space="preserve">I quote here three examples drawn respectively from Archilochus, Hipponax and Callimachus to show, firstly, </w:t>
      </w:r>
      <w:r w:rsidRPr="008A330E">
        <w:rPr>
          <w:szCs w:val="24"/>
          <w:lang w:val="en-US"/>
        </w:rPr>
        <w:t>how they use animal characters</w:t>
      </w:r>
      <w:r w:rsidR="00075F5F">
        <w:rPr>
          <w:szCs w:val="24"/>
          <w:lang w:val="en-US"/>
        </w:rPr>
        <w:t>;</w:t>
      </w:r>
      <w:r w:rsidRPr="008A330E">
        <w:rPr>
          <w:szCs w:val="24"/>
          <w:lang w:val="en-US"/>
        </w:rPr>
        <w:t xml:space="preserve"> secondly, which rhetorical devices they employ; and thirdly, their implications for the speech</w:t>
      </w:r>
      <w:r w:rsidR="00075F5F">
        <w:rPr>
          <w:szCs w:val="24"/>
          <w:lang w:val="en-US"/>
        </w:rPr>
        <w:t>’</w:t>
      </w:r>
      <w:r w:rsidR="008A330E">
        <w:rPr>
          <w:szCs w:val="24"/>
          <w:lang w:val="en-US"/>
        </w:rPr>
        <w:t>s</w:t>
      </w:r>
      <w:r w:rsidRPr="008A330E">
        <w:rPr>
          <w:szCs w:val="24"/>
          <w:lang w:val="en-US"/>
        </w:rPr>
        <w:t xml:space="preserve"> delivery.</w:t>
      </w:r>
    </w:p>
    <w:p w14:paraId="775E8000" w14:textId="77777777" w:rsidR="008D6BD8" w:rsidRDefault="008D6BD8" w:rsidP="00532444">
      <w:pPr>
        <w:rPr>
          <w:lang w:val="en-US"/>
        </w:rPr>
      </w:pPr>
      <w:r>
        <w:rPr>
          <w:lang w:val="en-US"/>
        </w:rPr>
        <w:tab/>
        <w:t>Among the epodic lines of Archilochus, fragments 168-79 tell the fable of the fox and the eagle which also survives in a version attributed to Aesop.</w:t>
      </w:r>
      <w:r>
        <w:rPr>
          <w:rStyle w:val="FootnoteReference"/>
          <w:lang w:val="en-US"/>
        </w:rPr>
        <w:footnoteReference w:id="442"/>
      </w:r>
      <w:r>
        <w:rPr>
          <w:lang w:val="en-US"/>
        </w:rPr>
        <w:t xml:space="preserve"> An eagle and a fox became friends and decided to live near each other, thinking that their friendship would be strengthened by cohabitation. And so the eagle flew up into a very tall tree and made its nest, while the fox went into a thicket that lay beneath and gave birth. One day, when the fox went out to forage, the eagle, at a loss for food, flew down into the thicket and, seizing the cubs, dined on them along with its nestlings. The fox, when it returned and realised what had happened, was more distressed by its inability to exact vengeance than by the death of its cubs, since as a land animal it was unable to pursue one that had wings. Therefore, standing far away, it cursed its enemy, the only thing left for the powerless and weak. And it happened that the eagle soon paid the penalty for its sacrilege against friendship. Some people were sacrificing a goat in the countryside and the eagle carried off from the altar a burning entrail. When the eagle had brought the entrail to the nest, a strong gust of wind kindled a bright flame from the thin and aged straw. Because of this the nestlings were set on fire and since they were not yet capable of flying they fell to the ground. The fox ran up, and within sight of the eagle, devoured them all. </w:t>
      </w:r>
    </w:p>
    <w:p w14:paraId="7F617B54" w14:textId="084FB236" w:rsidR="008D6BD8" w:rsidRDefault="008D6BD8" w:rsidP="00532444">
      <w:pPr>
        <w:rPr>
          <w:lang w:val="en-US"/>
        </w:rPr>
      </w:pPr>
      <w:r>
        <w:rPr>
          <w:lang w:val="en-US"/>
        </w:rPr>
        <w:tab/>
        <w:t>The fable illustrates the penalties of false friendship and perjury. Archilochus uses it as an admonitory example to Lycambes about going back on his words. The poet says ὅρκον δ</w:t>
      </w:r>
      <w:r w:rsidR="00075F5F">
        <w:rPr>
          <w:lang w:val="en-US"/>
        </w:rPr>
        <w:t>’</w:t>
      </w:r>
      <w:r>
        <w:rPr>
          <w:lang w:val="en-US"/>
        </w:rPr>
        <w:t xml:space="preserve"> ἐνοσφίσθης μέγαν ἅλας τε καὶ τράπεζαν </w:t>
      </w:r>
      <w:r w:rsidR="00CC0615">
        <w:rPr>
          <w:lang w:val="en-US"/>
        </w:rPr>
        <w:t>“</w:t>
      </w:r>
      <w:r>
        <w:rPr>
          <w:lang w:val="en-US"/>
        </w:rPr>
        <w:t>you have turned your back on salt and table by which you swore a solemn oath</w:t>
      </w:r>
      <w:r w:rsidR="00CC0615">
        <w:rPr>
          <w:lang w:val="en-US"/>
        </w:rPr>
        <w:t>”</w:t>
      </w:r>
      <w:r>
        <w:rPr>
          <w:lang w:val="en-US"/>
        </w:rPr>
        <w:t xml:space="preserve"> (fr. 179).  The words fit both the eagle and Lycambes, and the outrage of the fox reflects that of the poet. Thus, the fox</w:t>
      </w:r>
      <w:r w:rsidR="00075F5F">
        <w:rPr>
          <w:lang w:val="en-US"/>
        </w:rPr>
        <w:t>’</w:t>
      </w:r>
      <w:r>
        <w:rPr>
          <w:lang w:val="en-US"/>
        </w:rPr>
        <w:t>s quarrel with the eagle is analogous to Archilochus</w:t>
      </w:r>
      <w:r w:rsidR="00075F5F">
        <w:rPr>
          <w:lang w:val="en-US"/>
        </w:rPr>
        <w:t>’</w:t>
      </w:r>
      <w:r>
        <w:rPr>
          <w:lang w:val="en-US"/>
        </w:rPr>
        <w:t xml:space="preserve"> quarrel with Lycambes.</w:t>
      </w:r>
      <w:r>
        <w:rPr>
          <w:rStyle w:val="FootnoteReference"/>
          <w:lang w:val="en-US"/>
        </w:rPr>
        <w:footnoteReference w:id="443"/>
      </w:r>
      <w:r>
        <w:rPr>
          <w:lang w:val="en-US"/>
        </w:rPr>
        <w:t xml:space="preserve"> Ancient and modern commentators connect this </w:t>
      </w:r>
      <w:r>
        <w:rPr>
          <w:i/>
          <w:iCs/>
          <w:lang w:val="en-US"/>
        </w:rPr>
        <w:t>ainos</w:t>
      </w:r>
      <w:r>
        <w:rPr>
          <w:lang w:val="en-US"/>
        </w:rPr>
        <w:t xml:space="preserve"> with the tradition of the broken marriage agreement between Archilochus and Lycambes</w:t>
      </w:r>
      <w:r w:rsidR="00075F5F">
        <w:rPr>
          <w:lang w:val="en-US"/>
        </w:rPr>
        <w:t>’</w:t>
      </w:r>
      <w:r>
        <w:rPr>
          <w:lang w:val="en-US"/>
        </w:rPr>
        <w:t xml:space="preserve"> daughter:</w:t>
      </w:r>
      <w:r>
        <w:rPr>
          <w:rStyle w:val="FootnoteReference"/>
          <w:lang w:val="en-US"/>
        </w:rPr>
        <w:footnoteReference w:id="444"/>
      </w:r>
      <w:r>
        <w:rPr>
          <w:lang w:val="en-US"/>
        </w:rPr>
        <w:t xml:space="preserve"> Origen mentions a betrayal enacted by Lycambes before this fragment, and Dio confirms that the betrayal spoken of in Archil. fr. 179 is linked to marriage.</w:t>
      </w:r>
      <w:r>
        <w:rPr>
          <w:rStyle w:val="FootnoteReference"/>
          <w:lang w:val="en-US"/>
        </w:rPr>
        <w:footnoteReference w:id="445"/>
      </w:r>
      <w:r>
        <w:rPr>
          <w:lang w:val="en-US"/>
        </w:rPr>
        <w:t xml:space="preserve"> </w:t>
      </w:r>
    </w:p>
    <w:p w14:paraId="280DCE08" w14:textId="7A3A6D0C" w:rsidR="008A330E" w:rsidRDefault="008D6BD8" w:rsidP="00532444">
      <w:pPr>
        <w:spacing w:before="400"/>
        <w:textAlignment w:val="bottom"/>
        <w:rPr>
          <w:rFonts w:eastAsia="Times New Roman" w:cs="Times New Roman"/>
          <w:szCs w:val="24"/>
          <w:lang w:eastAsia="it-IT"/>
        </w:rPr>
      </w:pPr>
      <w:r>
        <w:rPr>
          <w:lang w:val="en-US"/>
        </w:rPr>
        <w:lastRenderedPageBreak/>
        <w:t>This interpretation gives important insights into the poem</w:t>
      </w:r>
      <w:r w:rsidR="00075F5F">
        <w:rPr>
          <w:lang w:val="en-US"/>
        </w:rPr>
        <w:t>’</w:t>
      </w:r>
      <w:r>
        <w:rPr>
          <w:lang w:val="en-US"/>
        </w:rPr>
        <w:t>s performative context,</w:t>
      </w:r>
      <w:r>
        <w:rPr>
          <w:rStyle w:val="FootnoteReference"/>
          <w:lang w:val="en-US"/>
        </w:rPr>
        <w:footnoteReference w:id="446"/>
      </w:r>
      <w:r>
        <w:rPr>
          <w:lang w:val="en-US"/>
        </w:rPr>
        <w:t xml:space="preserve"> since the fable favours a distinction between the </w:t>
      </w:r>
      <w:r>
        <w:rPr>
          <w:i/>
          <w:iCs/>
          <w:lang w:val="en-US"/>
        </w:rPr>
        <w:t>persona loquens</w:t>
      </w:r>
      <w:r>
        <w:rPr>
          <w:lang w:val="en-US"/>
        </w:rPr>
        <w:t xml:space="preserve"> and the poet. The voice and the responsibility of the poet are delegated to other voices and the audience is carried away from their </w:t>
      </w:r>
      <w:r>
        <w:rPr>
          <w:i/>
          <w:iCs/>
          <w:lang w:val="en-US"/>
        </w:rPr>
        <w:t>hic et nunc</w:t>
      </w:r>
      <w:r>
        <w:rPr>
          <w:lang w:val="en-US"/>
        </w:rPr>
        <w:t xml:space="preserve"> into a world which they feel to be temporally and spatially very remote. From the extant fragments, Archilochus appears to frame the narration so that the fable becomes an invented παράδειγμα </w:t>
      </w:r>
      <w:r w:rsidR="00CC0615">
        <w:rPr>
          <w:lang w:val="en-US"/>
        </w:rPr>
        <w:t>“</w:t>
      </w:r>
      <w:r>
        <w:rPr>
          <w:lang w:val="en-US"/>
        </w:rPr>
        <w:t>example</w:t>
      </w:r>
      <w:r w:rsidR="00CC0615">
        <w:rPr>
          <w:lang w:val="en-US"/>
        </w:rPr>
        <w:t>”</w:t>
      </w:r>
      <w:r>
        <w:rPr>
          <w:rStyle w:val="FootnoteReference"/>
          <w:lang w:val="en-US"/>
        </w:rPr>
        <w:footnoteReference w:id="447"/>
      </w:r>
      <w:r>
        <w:rPr>
          <w:lang w:val="en-US"/>
        </w:rPr>
        <w:t>: this narrative convention of introducing the theme achieves the effect of distancing the recitation of the fable from its surrounding narrative, as shown by Archil. fr. 168 αἶνός τις ἀνθρώπων ὅδε, / ὡς ἆρ</w:t>
      </w:r>
      <w:r w:rsidR="00075F5F">
        <w:rPr>
          <w:lang w:val="en-US"/>
        </w:rPr>
        <w:t>’</w:t>
      </w:r>
      <w:r>
        <w:rPr>
          <w:lang w:val="en-US"/>
        </w:rPr>
        <w:t xml:space="preserve"> ἀλώπηξ καἰετὸς ξυνεωνίην / ἔμειξαν </w:t>
      </w:r>
      <w:r w:rsidR="00CC0615">
        <w:rPr>
          <w:lang w:val="en-US"/>
        </w:rPr>
        <w:t>“</w:t>
      </w:r>
      <w:r>
        <w:rPr>
          <w:lang w:val="en-US"/>
        </w:rPr>
        <w:t>there is a fable told among men as follows how a fox and an eagle once joined in association.</w:t>
      </w:r>
      <w:r w:rsidR="00CC0615">
        <w:rPr>
          <w:lang w:val="en-US"/>
        </w:rPr>
        <w:t>”</w:t>
      </w:r>
      <w:r>
        <w:rPr>
          <w:lang w:val="en-US"/>
        </w:rPr>
        <w:t xml:space="preserve"> This introduction separates the animal characters of the fable from the narrator and his audience, who identif</w:t>
      </w:r>
      <w:r w:rsidR="00BD06E6">
        <w:rPr>
          <w:lang w:val="en-US"/>
        </w:rPr>
        <w:t>ies</w:t>
      </w:r>
      <w:r>
        <w:rPr>
          <w:lang w:val="en-US"/>
        </w:rPr>
        <w:t xml:space="preserve"> with the narrator, although the animals are anthropomorphised, and hellenised. The same demarcation is present in the prayer that the fox addresses to Zeus, at Archil. fr. 174: </w:t>
      </w:r>
    </w:p>
    <w:p w14:paraId="641004F9" w14:textId="77777777" w:rsidR="00AE724C" w:rsidRPr="00BE22B6" w:rsidRDefault="00AE724C" w:rsidP="00532444">
      <w:pPr>
        <w:textAlignment w:val="bottom"/>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2"/>
        <w:gridCol w:w="3828"/>
      </w:tblGrid>
      <w:tr w:rsidR="00AE724C" w:rsidRPr="00365089" w14:paraId="4B1EE528" w14:textId="77777777" w:rsidTr="00365089">
        <w:tc>
          <w:tcPr>
            <w:tcW w:w="4252" w:type="dxa"/>
          </w:tcPr>
          <w:p w14:paraId="559F27F0" w14:textId="77777777" w:rsidR="00AE724C" w:rsidRPr="00365089" w:rsidRDefault="00AE724C" w:rsidP="00DE4C55">
            <w:pPr>
              <w:pStyle w:val="Blockquote"/>
              <w:rPr>
                <w:sz w:val="22"/>
                <w:szCs w:val="22"/>
              </w:rPr>
            </w:pPr>
            <w:r w:rsidRPr="00365089">
              <w:rPr>
                <w:sz w:val="22"/>
                <w:szCs w:val="22"/>
              </w:rPr>
              <w:t xml:space="preserve">ὦ Ζεῦ, πάτερ Ζεῦ, σὸν μὲν οὐρανοῦ κράτος, </w:t>
            </w:r>
          </w:p>
          <w:p w14:paraId="55CBF5E2" w14:textId="24FF2523" w:rsidR="00AE724C" w:rsidRPr="00365089" w:rsidRDefault="00AE724C" w:rsidP="00DE4C55">
            <w:pPr>
              <w:pStyle w:val="Blockquote"/>
              <w:rPr>
                <w:sz w:val="22"/>
                <w:szCs w:val="22"/>
              </w:rPr>
            </w:pPr>
            <w:r w:rsidRPr="00365089">
              <w:rPr>
                <w:sz w:val="22"/>
                <w:szCs w:val="22"/>
              </w:rPr>
              <w:t>σὺ δ</w:t>
            </w:r>
            <w:r w:rsidR="00075F5F">
              <w:rPr>
                <w:sz w:val="22"/>
                <w:szCs w:val="22"/>
              </w:rPr>
              <w:t>’</w:t>
            </w:r>
            <w:r w:rsidRPr="00365089">
              <w:rPr>
                <w:sz w:val="22"/>
                <w:szCs w:val="22"/>
              </w:rPr>
              <w:t xml:space="preserve"> ἔργ</w:t>
            </w:r>
            <w:r w:rsidR="00075F5F">
              <w:rPr>
                <w:sz w:val="22"/>
                <w:szCs w:val="22"/>
              </w:rPr>
              <w:t>’</w:t>
            </w:r>
            <w:r w:rsidRPr="00365089">
              <w:rPr>
                <w:sz w:val="22"/>
                <w:szCs w:val="22"/>
              </w:rPr>
              <w:t xml:space="preserve"> ἐπ</w:t>
            </w:r>
            <w:r w:rsidR="00075F5F">
              <w:rPr>
                <w:sz w:val="22"/>
                <w:szCs w:val="22"/>
              </w:rPr>
              <w:t>’</w:t>
            </w:r>
            <w:r w:rsidRPr="00365089">
              <w:rPr>
                <w:sz w:val="22"/>
                <w:szCs w:val="22"/>
              </w:rPr>
              <w:t xml:space="preserve"> ἀνθρώπων ὁρᾶις </w:t>
            </w:r>
          </w:p>
          <w:p w14:paraId="0CA4B4D3" w14:textId="500BB593" w:rsidR="00AE724C" w:rsidRPr="00227EE7" w:rsidRDefault="00AE724C" w:rsidP="00DE4C55">
            <w:pPr>
              <w:pStyle w:val="Blockquote"/>
              <w:keepNext/>
              <w:keepLines/>
              <w:outlineLvl w:val="6"/>
              <w:rPr>
                <w:sz w:val="22"/>
                <w:szCs w:val="22"/>
                <w:lang w:val="el-GR"/>
              </w:rPr>
            </w:pPr>
            <w:r w:rsidRPr="00227EE7">
              <w:rPr>
                <w:sz w:val="22"/>
                <w:szCs w:val="22"/>
                <w:lang w:val="el-GR"/>
              </w:rPr>
              <w:t>λεωργὰ καὶ θεμιστά, σοὶ δὲ θηρίων</w:t>
            </w:r>
            <w:r w:rsidR="00E05ADC" w:rsidRPr="00227EE7">
              <w:rPr>
                <w:sz w:val="22"/>
                <w:szCs w:val="22"/>
                <w:lang w:val="el-GR"/>
              </w:rPr>
              <w:t xml:space="preserve"> </w:t>
            </w:r>
          </w:p>
          <w:p w14:paraId="25B9AE56" w14:textId="77777777" w:rsidR="00AE724C" w:rsidRPr="00227EE7" w:rsidRDefault="00AE724C" w:rsidP="00DE4C55">
            <w:pPr>
              <w:pStyle w:val="Blockquote"/>
              <w:keepNext/>
              <w:keepLines/>
              <w:outlineLvl w:val="6"/>
              <w:rPr>
                <w:sz w:val="22"/>
                <w:szCs w:val="22"/>
                <w:lang w:val="el-GR"/>
              </w:rPr>
            </w:pPr>
            <w:r w:rsidRPr="00227EE7">
              <w:rPr>
                <w:sz w:val="22"/>
                <w:szCs w:val="22"/>
                <w:lang w:val="el-GR"/>
              </w:rPr>
              <w:t>ὕβρις τε καὶ δίκη μέλει</w:t>
            </w:r>
          </w:p>
        </w:tc>
        <w:tc>
          <w:tcPr>
            <w:tcW w:w="3828" w:type="dxa"/>
          </w:tcPr>
          <w:p w14:paraId="5F61EF1C" w14:textId="77777777" w:rsidR="00AE724C" w:rsidRPr="00365089" w:rsidRDefault="00AE724C" w:rsidP="00DE4C55">
            <w:pPr>
              <w:pStyle w:val="Blockquote"/>
              <w:rPr>
                <w:sz w:val="22"/>
                <w:szCs w:val="22"/>
              </w:rPr>
            </w:pPr>
            <w:r w:rsidRPr="00365089">
              <w:rPr>
                <w:sz w:val="22"/>
                <w:szCs w:val="22"/>
              </w:rPr>
              <w:t>Oh Zeus, father Zeus, yours is the power of heaven, you look upon the works of men, the wicked and the righteous, and you look after violation and justice of beasts a care</w:t>
            </w:r>
          </w:p>
        </w:tc>
      </w:tr>
    </w:tbl>
    <w:p w14:paraId="7B49FD27" w14:textId="77777777" w:rsidR="00AE724C" w:rsidRPr="00BE22B6" w:rsidRDefault="00AE724C" w:rsidP="00BE22B6">
      <w:pPr>
        <w:pStyle w:val="Blockquote"/>
      </w:pPr>
    </w:p>
    <w:p w14:paraId="5962D95B" w14:textId="2E766783" w:rsidR="008A330E" w:rsidRPr="008C003F" w:rsidRDefault="008D6BD8" w:rsidP="008A330E">
      <w:pPr>
        <w:rPr>
          <w:lang w:val="en-US"/>
        </w:rPr>
      </w:pPr>
      <w:r>
        <w:rPr>
          <w:lang w:val="en-US"/>
        </w:rPr>
        <w:t xml:space="preserve">Violence and justice belong to animals (θηρίων / ὕβρις τε καὶ δίκη). The fox not only has the ability to speak and to pray, but also employs these abilities in order to appeal to Zeus for justice, while δίκη is a distinguishing attribute of men, as stated by Hesiod in </w:t>
      </w:r>
      <w:r>
        <w:rPr>
          <w:i/>
          <w:iCs/>
          <w:lang w:val="en-US"/>
        </w:rPr>
        <w:t>Operae et dies</w:t>
      </w:r>
      <w:r>
        <w:rPr>
          <w:lang w:val="en-US"/>
        </w:rPr>
        <w:t xml:space="preserve"> 276–280: </w:t>
      </w:r>
    </w:p>
    <w:p w14:paraId="6DEC9F5C" w14:textId="77777777" w:rsidR="00AE724C" w:rsidRDefault="00AE724C" w:rsidP="00532444"/>
    <w:tbl>
      <w:tblPr>
        <w:tblStyle w:val="TableGrid"/>
        <w:tblW w:w="8080"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536"/>
        <w:gridCol w:w="3544"/>
      </w:tblGrid>
      <w:tr w:rsidR="00AE724C" w:rsidRPr="00365089" w14:paraId="7D1E20BD" w14:textId="77777777" w:rsidTr="00365089">
        <w:tc>
          <w:tcPr>
            <w:tcW w:w="4536" w:type="dxa"/>
          </w:tcPr>
          <w:p w14:paraId="74FD747E" w14:textId="77777777" w:rsidR="00AE724C" w:rsidRPr="00365089" w:rsidRDefault="00AE724C" w:rsidP="00757C56">
            <w:pPr>
              <w:pStyle w:val="Blockquote"/>
              <w:rPr>
                <w:rFonts w:eastAsia="Times New Roman"/>
                <w:sz w:val="22"/>
                <w:szCs w:val="22"/>
                <w:lang w:val="el-GR"/>
              </w:rPr>
            </w:pPr>
            <w:r w:rsidRPr="00365089">
              <w:rPr>
                <w:rFonts w:eastAsia="Times New Roman"/>
                <w:sz w:val="22"/>
                <w:szCs w:val="22"/>
                <w:lang w:val="el-GR"/>
              </w:rPr>
              <w:t xml:space="preserve">τόνδε γὰρ ἀνθρώποισι νόμον διέταξε Κρονίων, </w:t>
            </w:r>
          </w:p>
          <w:p w14:paraId="3A6B0C0C" w14:textId="77777777" w:rsidR="00AE724C" w:rsidRPr="00365089" w:rsidRDefault="00AE724C" w:rsidP="00757C56">
            <w:pPr>
              <w:pStyle w:val="Blockquote"/>
              <w:rPr>
                <w:rFonts w:eastAsia="Times New Roman"/>
                <w:sz w:val="22"/>
                <w:szCs w:val="22"/>
                <w:lang w:val="el-GR"/>
              </w:rPr>
            </w:pPr>
            <w:r w:rsidRPr="00365089">
              <w:rPr>
                <w:rFonts w:eastAsia="Times New Roman"/>
                <w:sz w:val="22"/>
                <w:szCs w:val="22"/>
                <w:lang w:val="el-GR"/>
              </w:rPr>
              <w:t xml:space="preserve">ἰχθύσι μὲν καὶ θηρσὶ καὶ οἰωνοῖς πετεηνοῖς </w:t>
            </w:r>
          </w:p>
          <w:p w14:paraId="37B9EF05" w14:textId="20919BD2" w:rsidR="00AE724C" w:rsidRPr="00365089" w:rsidRDefault="00AE724C" w:rsidP="00757C56">
            <w:pPr>
              <w:pStyle w:val="Blockquote"/>
              <w:rPr>
                <w:rFonts w:eastAsia="Times New Roman"/>
                <w:sz w:val="22"/>
                <w:szCs w:val="22"/>
                <w:lang w:val="el-GR"/>
              </w:rPr>
            </w:pPr>
            <w:r w:rsidRPr="00365089">
              <w:rPr>
                <w:rFonts w:eastAsia="Times New Roman"/>
                <w:sz w:val="22"/>
                <w:szCs w:val="22"/>
                <w:lang w:val="el-GR"/>
              </w:rPr>
              <w:t>ἔσθειν ἀλλήλους, ἐπεὶ οὐ δίκη ἐστὶ μετ</w:t>
            </w:r>
            <w:r w:rsidR="00075F5F">
              <w:rPr>
                <w:rFonts w:eastAsia="Times New Roman"/>
                <w:sz w:val="22"/>
                <w:szCs w:val="22"/>
                <w:lang w:val="el-GR"/>
              </w:rPr>
              <w:t>’</w:t>
            </w:r>
            <w:r w:rsidRPr="00365089">
              <w:rPr>
                <w:rFonts w:eastAsia="Times New Roman"/>
                <w:sz w:val="22"/>
                <w:szCs w:val="22"/>
                <w:lang w:val="el-GR"/>
              </w:rPr>
              <w:t xml:space="preserve"> αὐτοῖς· </w:t>
            </w:r>
          </w:p>
          <w:p w14:paraId="7313514E" w14:textId="40117A99" w:rsidR="00AE724C" w:rsidRPr="00365089" w:rsidRDefault="00AE724C" w:rsidP="00757C56">
            <w:pPr>
              <w:pStyle w:val="Blockquote"/>
              <w:rPr>
                <w:rFonts w:eastAsia="Times New Roman"/>
                <w:sz w:val="22"/>
                <w:szCs w:val="22"/>
                <w:lang w:val="el-GR"/>
              </w:rPr>
            </w:pPr>
            <w:r w:rsidRPr="00365089">
              <w:rPr>
                <w:rFonts w:eastAsia="Times New Roman"/>
                <w:sz w:val="22"/>
                <w:szCs w:val="22"/>
                <w:lang w:val="el-GR"/>
              </w:rPr>
              <w:lastRenderedPageBreak/>
              <w:t>ἀνθρώποισι δ</w:t>
            </w:r>
            <w:r w:rsidR="00075F5F">
              <w:rPr>
                <w:rFonts w:eastAsia="Times New Roman"/>
                <w:sz w:val="22"/>
                <w:szCs w:val="22"/>
                <w:lang w:val="el-GR"/>
              </w:rPr>
              <w:t>’</w:t>
            </w:r>
            <w:r w:rsidRPr="00365089">
              <w:rPr>
                <w:rFonts w:eastAsia="Times New Roman"/>
                <w:sz w:val="22"/>
                <w:szCs w:val="22"/>
                <w:lang w:val="el-GR"/>
              </w:rPr>
              <w:t xml:space="preserve"> ἔδωκε δίκην, ἣ πολλὸν ἀρίστη </w:t>
            </w:r>
          </w:p>
          <w:p w14:paraId="472309E8" w14:textId="77777777" w:rsidR="00AE724C" w:rsidRPr="00365089" w:rsidRDefault="00AE724C" w:rsidP="00757C56">
            <w:pPr>
              <w:pStyle w:val="Blockquote"/>
              <w:rPr>
                <w:rFonts w:eastAsia="Times New Roman"/>
                <w:sz w:val="22"/>
                <w:szCs w:val="22"/>
              </w:rPr>
            </w:pPr>
            <w:r w:rsidRPr="00365089">
              <w:rPr>
                <w:rFonts w:eastAsia="Times New Roman"/>
                <w:sz w:val="22"/>
                <w:szCs w:val="22"/>
              </w:rPr>
              <w:t>γίνεται...</w:t>
            </w:r>
          </w:p>
        </w:tc>
        <w:tc>
          <w:tcPr>
            <w:tcW w:w="3544" w:type="dxa"/>
          </w:tcPr>
          <w:p w14:paraId="263FEAC4" w14:textId="77777777" w:rsidR="00AE724C" w:rsidRPr="00365089" w:rsidRDefault="00AE724C" w:rsidP="00757C56">
            <w:pPr>
              <w:pStyle w:val="Blockquote"/>
              <w:rPr>
                <w:rFonts w:eastAsia="Times New Roman"/>
                <w:sz w:val="22"/>
                <w:szCs w:val="22"/>
              </w:rPr>
            </w:pPr>
            <w:r w:rsidRPr="00365089">
              <w:rPr>
                <w:sz w:val="22"/>
                <w:szCs w:val="22"/>
              </w:rPr>
              <w:lastRenderedPageBreak/>
              <w:t xml:space="preserve">For the son of Cronus has ordained this law for men, that fishes and beasts and winged fowls should </w:t>
            </w:r>
            <w:r w:rsidRPr="00365089">
              <w:rPr>
                <w:sz w:val="22"/>
                <w:szCs w:val="22"/>
              </w:rPr>
              <w:lastRenderedPageBreak/>
              <w:t>devour one another, for justice is not among them. But he gave to mankind right which proves far the best</w:t>
            </w:r>
          </w:p>
        </w:tc>
      </w:tr>
    </w:tbl>
    <w:p w14:paraId="07DAF411" w14:textId="77777777" w:rsidR="00AE724C" w:rsidRPr="004031F4" w:rsidRDefault="00AE724C" w:rsidP="00757C56">
      <w:pPr>
        <w:pStyle w:val="Blockquote"/>
        <w:rPr>
          <w:rFonts w:eastAsia="Times New Roman"/>
        </w:rPr>
      </w:pPr>
      <w:r w:rsidRPr="004031F4">
        <w:rPr>
          <w:rFonts w:eastAsia="Times New Roman"/>
        </w:rPr>
        <w:lastRenderedPageBreak/>
        <w:t xml:space="preserve"> </w:t>
      </w:r>
    </w:p>
    <w:p w14:paraId="7712CC51" w14:textId="0F6DD3B3" w:rsidR="008D6BD8" w:rsidRPr="008A330E" w:rsidRDefault="008D6BD8" w:rsidP="00532444">
      <w:pPr>
        <w:rPr>
          <w:szCs w:val="24"/>
          <w:lang w:val="en-US"/>
        </w:rPr>
      </w:pPr>
      <w:r w:rsidRPr="008A330E">
        <w:rPr>
          <w:szCs w:val="24"/>
          <w:lang w:val="en-US"/>
        </w:rPr>
        <w:t>Archilochus</w:t>
      </w:r>
      <w:r w:rsidR="00075F5F">
        <w:rPr>
          <w:szCs w:val="24"/>
          <w:lang w:val="en-US"/>
        </w:rPr>
        <w:t>’</w:t>
      </w:r>
      <w:r w:rsidRPr="008A330E">
        <w:rPr>
          <w:szCs w:val="24"/>
          <w:lang w:val="en-US"/>
        </w:rPr>
        <w:t xml:space="preserve"> fable puts on stage animals with human features. Although he extends some human institutions to the animal world, suggesting an occasional overlap, nevertheless the two juxtaposed worlds remain clearly separate. </w:t>
      </w:r>
    </w:p>
    <w:p w14:paraId="27352628" w14:textId="77777777" w:rsidR="008D6BD8" w:rsidRPr="008A330E" w:rsidRDefault="008D6BD8" w:rsidP="00532444">
      <w:pPr>
        <w:rPr>
          <w:szCs w:val="24"/>
          <w:lang w:val="en-US"/>
        </w:rPr>
      </w:pPr>
    </w:p>
    <w:p w14:paraId="3D058135" w14:textId="2F495221" w:rsidR="008D6BD8" w:rsidRPr="00532444" w:rsidRDefault="008D6BD8" w:rsidP="00532444">
      <w:pPr>
        <w:rPr>
          <w:szCs w:val="24"/>
          <w:lang w:val="en-US"/>
        </w:rPr>
      </w:pPr>
      <w:r w:rsidRPr="00532444">
        <w:rPr>
          <w:szCs w:val="24"/>
          <w:lang w:val="en-US"/>
        </w:rPr>
        <w:t>Hipponax often equates his enemies to animals, especially birds, by means of similes, which are sometimes built on more than one level of comparison. For instance, a man with the vice of gluttony is like a ravenous bird: ὦ Σάνν</w:t>
      </w:r>
      <w:r w:rsidR="00075F5F">
        <w:rPr>
          <w:szCs w:val="24"/>
          <w:lang w:val="en-US"/>
        </w:rPr>
        <w:t>’</w:t>
      </w:r>
      <w:r w:rsidRPr="00532444">
        <w:rPr>
          <w:szCs w:val="24"/>
          <w:lang w:val="en-US"/>
        </w:rPr>
        <w:t>, ἐπειδὴ ῥῖνα θεόσυλιν φύεις,</w:t>
      </w:r>
      <w:r w:rsidRPr="00532444">
        <w:rPr>
          <w:i/>
          <w:iCs/>
          <w:szCs w:val="24"/>
          <w:lang w:val="en-US"/>
        </w:rPr>
        <w:t> </w:t>
      </w:r>
      <w:r w:rsidRPr="00532444">
        <w:rPr>
          <w:szCs w:val="24"/>
          <w:lang w:val="en-US"/>
        </w:rPr>
        <w:t xml:space="preserve">/ καὶ γαστρὸς οὐ κατακρατεῖς, / λαιμᾶι δέ σοι τὸ χεῖλος ὡς ἐρωιδιοῦ </w:t>
      </w:r>
      <w:r w:rsidR="00CC0615">
        <w:rPr>
          <w:szCs w:val="24"/>
          <w:lang w:val="en-US"/>
        </w:rPr>
        <w:t>“</w:t>
      </w:r>
      <w:r w:rsidRPr="00532444">
        <w:rPr>
          <w:szCs w:val="24"/>
          <w:lang w:val="en-US"/>
        </w:rPr>
        <w:t>Sannus, since you sport a sacrilegious nose and have no control over your appetite, lend me your ear, your beak is as ravenous as a shearwater</w:t>
      </w:r>
      <w:r w:rsidR="00075F5F">
        <w:rPr>
          <w:szCs w:val="24"/>
          <w:lang w:val="en-US"/>
        </w:rPr>
        <w:t>’</w:t>
      </w:r>
      <w:r w:rsidRPr="00532444">
        <w:rPr>
          <w:szCs w:val="24"/>
          <w:lang w:val="en-US"/>
        </w:rPr>
        <w:t>s</w:t>
      </w:r>
      <w:r w:rsidR="00CC0615">
        <w:rPr>
          <w:szCs w:val="24"/>
          <w:lang w:val="en-US"/>
        </w:rPr>
        <w:t>”</w:t>
      </w:r>
      <w:r w:rsidRPr="00532444">
        <w:rPr>
          <w:szCs w:val="24"/>
          <w:lang w:val="en-US"/>
        </w:rPr>
        <w:t xml:space="preserve"> (fr. 129).</w:t>
      </w:r>
    </w:p>
    <w:p w14:paraId="29C880AC" w14:textId="07F9DB2C" w:rsidR="008A330E" w:rsidRPr="008A330E" w:rsidRDefault="008D6BD8" w:rsidP="00532444">
      <w:pPr>
        <w:ind w:firstLine="426"/>
        <w:rPr>
          <w:szCs w:val="24"/>
          <w:lang w:val="en-US"/>
        </w:rPr>
      </w:pPr>
      <w:r w:rsidRPr="00532444">
        <w:rPr>
          <w:szCs w:val="24"/>
          <w:lang w:val="en-US"/>
        </w:rPr>
        <w:t>The poet addresses his target directly, leading the audience</w:t>
      </w:r>
      <w:r w:rsidR="00075F5F">
        <w:rPr>
          <w:szCs w:val="24"/>
          <w:lang w:val="en-US"/>
        </w:rPr>
        <w:t>’</w:t>
      </w:r>
      <w:r w:rsidRPr="00532444">
        <w:rPr>
          <w:szCs w:val="24"/>
          <w:lang w:val="en-US"/>
        </w:rPr>
        <w:t xml:space="preserve">s attention towards him, as if to say </w:t>
      </w:r>
      <w:r w:rsidR="00CC0615">
        <w:rPr>
          <w:szCs w:val="24"/>
          <w:lang w:val="en-US"/>
        </w:rPr>
        <w:t>“</w:t>
      </w:r>
      <w:r w:rsidRPr="00532444">
        <w:rPr>
          <w:szCs w:val="24"/>
          <w:lang w:val="en-US"/>
        </w:rPr>
        <w:t>look at him and see what makes him like an ἐρῳδιός.</w:t>
      </w:r>
      <w:r w:rsidR="00CC0615">
        <w:rPr>
          <w:szCs w:val="24"/>
          <w:lang w:val="en-US"/>
        </w:rPr>
        <w:t>”</w:t>
      </w:r>
      <w:r w:rsidRPr="00532444">
        <w:rPr>
          <w:szCs w:val="24"/>
          <w:lang w:val="en-US"/>
        </w:rPr>
        <w:t xml:space="preserve"> Here, the ἐρῳδιός corresponds to a shearwater (</w:t>
      </w:r>
      <w:r w:rsidRPr="00532444">
        <w:rPr>
          <w:i/>
          <w:iCs/>
          <w:szCs w:val="24"/>
          <w:lang w:val="en-US"/>
        </w:rPr>
        <w:t>puffinus yeolkuan</w:t>
      </w:r>
      <w:r w:rsidRPr="00532444">
        <w:rPr>
          <w:szCs w:val="24"/>
          <w:lang w:val="en-US"/>
        </w:rPr>
        <w:t>), according to modern scholarship, even if generally it represents the heron (</w:t>
      </w:r>
      <w:r w:rsidRPr="00532444">
        <w:rPr>
          <w:i/>
          <w:iCs/>
          <w:szCs w:val="24"/>
          <w:lang w:val="en-US"/>
        </w:rPr>
        <w:t>ardea cinerea</w:t>
      </w:r>
      <w:r w:rsidRPr="00532444">
        <w:rPr>
          <w:szCs w:val="24"/>
          <w:lang w:val="en-US"/>
        </w:rPr>
        <w:t xml:space="preserve">), as shown by </w:t>
      </w:r>
      <w:r w:rsidRPr="00532444">
        <w:rPr>
          <w:i/>
          <w:iCs/>
          <w:szCs w:val="24"/>
          <w:lang w:val="en-US"/>
        </w:rPr>
        <w:t>Il</w:t>
      </w:r>
      <w:r w:rsidRPr="00532444">
        <w:rPr>
          <w:szCs w:val="24"/>
          <w:lang w:val="en-US"/>
        </w:rPr>
        <w:t xml:space="preserve">. 10.274 and by the ancient glossaries (cf. </w:t>
      </w:r>
      <w:r w:rsidRPr="00532444">
        <w:rPr>
          <w:i/>
          <w:iCs/>
          <w:szCs w:val="24"/>
          <w:lang w:val="en-US"/>
        </w:rPr>
        <w:t>Corp. A.</w:t>
      </w:r>
      <w:r w:rsidRPr="00532444">
        <w:rPr>
          <w:szCs w:val="24"/>
          <w:lang w:val="en-US"/>
        </w:rPr>
        <w:t xml:space="preserve"> 729).</w:t>
      </w:r>
      <w:r w:rsidRPr="008A330E">
        <w:rPr>
          <w:rStyle w:val="FootnoteReference"/>
          <w:szCs w:val="24"/>
          <w:lang w:val="en-US"/>
        </w:rPr>
        <w:footnoteReference w:id="448"/>
      </w:r>
      <w:r w:rsidRPr="008A330E">
        <w:rPr>
          <w:szCs w:val="24"/>
          <w:lang w:val="en-US"/>
        </w:rPr>
        <w:t xml:space="preserve"> The ancient Romans called this bird </w:t>
      </w:r>
      <w:r w:rsidRPr="008A330E">
        <w:rPr>
          <w:i/>
          <w:iCs/>
          <w:szCs w:val="24"/>
          <w:lang w:val="en-US"/>
        </w:rPr>
        <w:t>dieperdulum</w:t>
      </w:r>
      <w:r w:rsidRPr="008A330E">
        <w:rPr>
          <w:szCs w:val="24"/>
          <w:lang w:val="en-US"/>
        </w:rPr>
        <w:t xml:space="preserve"> </w:t>
      </w:r>
      <w:r w:rsidR="00CC0615">
        <w:rPr>
          <w:szCs w:val="24"/>
          <w:lang w:val="en-US"/>
        </w:rPr>
        <w:t>“</w:t>
      </w:r>
      <w:r w:rsidRPr="008A330E">
        <w:rPr>
          <w:szCs w:val="24"/>
          <w:lang w:val="en-US"/>
        </w:rPr>
        <w:t>idler,</w:t>
      </w:r>
      <w:r w:rsidR="00CC0615">
        <w:rPr>
          <w:szCs w:val="24"/>
          <w:lang w:val="en-US"/>
        </w:rPr>
        <w:t>”</w:t>
      </w:r>
      <w:r w:rsidRPr="008A330E">
        <w:rPr>
          <w:szCs w:val="24"/>
          <w:lang w:val="en-US"/>
        </w:rPr>
        <w:t xml:space="preserve"> and this pun might fit Hipponax</w:t>
      </w:r>
      <w:r w:rsidR="00075F5F">
        <w:rPr>
          <w:szCs w:val="24"/>
          <w:lang w:val="en-US"/>
        </w:rPr>
        <w:t>’</w:t>
      </w:r>
      <w:r w:rsidRPr="008A330E">
        <w:rPr>
          <w:szCs w:val="24"/>
          <w:lang w:val="en-US"/>
        </w:rPr>
        <w:t>s line, but here the description of the character emphasises not so much his idleness as his ravenousness. The commentary on Hippon. fr. 129b, attributed to Palamedes of Elea by Masson,</w:t>
      </w:r>
      <w:r w:rsidRPr="008A330E">
        <w:rPr>
          <w:rStyle w:val="FootnoteReference"/>
          <w:szCs w:val="24"/>
          <w:lang w:val="en-US"/>
        </w:rPr>
        <w:footnoteReference w:id="449"/>
      </w:r>
      <w:r w:rsidRPr="008A330E">
        <w:rPr>
          <w:szCs w:val="24"/>
          <w:lang w:val="en-US"/>
        </w:rPr>
        <w:t xml:space="preserve"> describes the ἐρῳδιός as a bird of prey (ἁρπακτικὸν ὄρνεον)</w:t>
      </w:r>
      <w:r w:rsidR="008A330E">
        <w:rPr>
          <w:szCs w:val="24"/>
          <w:lang w:val="en-US"/>
        </w:rPr>
        <w:t xml:space="preserve">, and for this the </w:t>
      </w:r>
      <w:r w:rsidR="008A330E" w:rsidRPr="008A330E">
        <w:rPr>
          <w:szCs w:val="24"/>
          <w:lang w:val="en-US"/>
        </w:rPr>
        <w:t>ἐρῳδιός</w:t>
      </w:r>
      <w:r w:rsidRPr="008A330E">
        <w:rPr>
          <w:szCs w:val="24"/>
          <w:lang w:val="en-US"/>
        </w:rPr>
        <w:t xml:space="preserve"> </w:t>
      </w:r>
      <w:r w:rsidR="008A330E">
        <w:rPr>
          <w:szCs w:val="24"/>
          <w:lang w:val="en-US"/>
        </w:rPr>
        <w:t xml:space="preserve">was considered </w:t>
      </w:r>
      <w:r w:rsidRPr="008A330E">
        <w:rPr>
          <w:szCs w:val="24"/>
          <w:lang w:val="en-US"/>
        </w:rPr>
        <w:t>a great eater. Sannus is a ravenous shearwater, as he cannot exercise control over his appetite. The poet describes some elements of both body and behaviour to guide the audience through his simile: the shape of the nose (ῥῖνα θεόσυλιν), the tyranny of his stomach (γαστρὸς οὐ κατακρατεῖς), and the activity of the mouth (λαιμᾶι δέ σοι τὸ χεῖλος).</w:t>
      </w:r>
    </w:p>
    <w:p w14:paraId="21B54EE3" w14:textId="153A9DC0" w:rsidR="008D6BD8" w:rsidRPr="008A330E" w:rsidRDefault="008D6BD8" w:rsidP="00532444">
      <w:pPr>
        <w:ind w:firstLine="426"/>
        <w:rPr>
          <w:szCs w:val="24"/>
          <w:lang w:val="en-US"/>
        </w:rPr>
      </w:pPr>
      <w:r w:rsidRPr="008A330E">
        <w:rPr>
          <w:szCs w:val="24"/>
          <w:lang w:val="en-US"/>
        </w:rPr>
        <w:t xml:space="preserve">The metaphor is primarily connected with the activity of </w:t>
      </w:r>
      <w:r w:rsidR="008A330E">
        <w:rPr>
          <w:szCs w:val="24"/>
          <w:lang w:val="en-US"/>
        </w:rPr>
        <w:t>Sannus</w:t>
      </w:r>
      <w:r w:rsidR="00075F5F">
        <w:rPr>
          <w:szCs w:val="24"/>
          <w:lang w:val="en-US"/>
        </w:rPr>
        <w:t>’</w:t>
      </w:r>
      <w:r w:rsidR="008A330E">
        <w:rPr>
          <w:szCs w:val="24"/>
          <w:lang w:val="en-US"/>
        </w:rPr>
        <w:t xml:space="preserve"> </w:t>
      </w:r>
      <w:r w:rsidRPr="008A330E">
        <w:rPr>
          <w:szCs w:val="24"/>
          <w:lang w:val="en-US"/>
        </w:rPr>
        <w:t xml:space="preserve">mouth, which constitutes the main element of comparison between </w:t>
      </w:r>
      <w:r w:rsidR="008A330E">
        <w:rPr>
          <w:szCs w:val="24"/>
          <w:lang w:val="en-US"/>
        </w:rPr>
        <w:t xml:space="preserve">him </w:t>
      </w:r>
      <w:r w:rsidRPr="008A330E">
        <w:rPr>
          <w:szCs w:val="24"/>
          <w:lang w:val="en-US"/>
        </w:rPr>
        <w:t xml:space="preserve">and the shearwater. The same metaphor will be used by Ovid </w:t>
      </w:r>
      <w:r w:rsidRPr="008A330E">
        <w:rPr>
          <w:i/>
          <w:iCs/>
          <w:szCs w:val="24"/>
          <w:lang w:val="en-US"/>
        </w:rPr>
        <w:t>Met</w:t>
      </w:r>
      <w:r w:rsidRPr="008A330E">
        <w:rPr>
          <w:szCs w:val="24"/>
          <w:lang w:val="en-US"/>
        </w:rPr>
        <w:t xml:space="preserve">. 11.753 </w:t>
      </w:r>
      <w:r w:rsidRPr="008A330E">
        <w:rPr>
          <w:i/>
          <w:iCs/>
          <w:szCs w:val="24"/>
          <w:lang w:val="en-US"/>
        </w:rPr>
        <w:t>spatiosum in guttura</w:t>
      </w:r>
      <w:r w:rsidRPr="008A330E">
        <w:rPr>
          <w:rStyle w:val="FootnoteReference"/>
          <w:szCs w:val="24"/>
          <w:lang w:val="en-US"/>
        </w:rPr>
        <w:footnoteReference w:id="450"/>
      </w:r>
      <w:r w:rsidRPr="008A330E">
        <w:rPr>
          <w:i/>
          <w:iCs/>
          <w:szCs w:val="24"/>
          <w:lang w:val="en-US"/>
        </w:rPr>
        <w:t xml:space="preserve"> mergum</w:t>
      </w:r>
      <w:r w:rsidRPr="008A330E">
        <w:rPr>
          <w:szCs w:val="24"/>
          <w:lang w:val="en-US"/>
        </w:rPr>
        <w:t>, where a man is described as being so fat as to have a goitre. It would not be unbelievable that Hipponax</w:t>
      </w:r>
      <w:r w:rsidR="00075F5F">
        <w:rPr>
          <w:szCs w:val="24"/>
          <w:lang w:val="en-US"/>
        </w:rPr>
        <w:t>’</w:t>
      </w:r>
      <w:r w:rsidRPr="008A330E">
        <w:rPr>
          <w:szCs w:val="24"/>
          <w:lang w:val="en-US"/>
        </w:rPr>
        <w:t>s character, too, had this distinguishing feature. However, Hipponax</w:t>
      </w:r>
      <w:r w:rsidR="00075F5F">
        <w:rPr>
          <w:szCs w:val="24"/>
          <w:lang w:val="en-US"/>
        </w:rPr>
        <w:t>’</w:t>
      </w:r>
      <w:r w:rsidRPr="008A330E">
        <w:rPr>
          <w:szCs w:val="24"/>
          <w:lang w:val="en-US"/>
        </w:rPr>
        <w:t>s description is not limited to this feature, but also involves the nose</w:t>
      </w:r>
      <w:r w:rsidRPr="008A330E">
        <w:rPr>
          <w:rStyle w:val="FootnoteReference"/>
          <w:szCs w:val="24"/>
          <w:lang w:val="en-US"/>
        </w:rPr>
        <w:footnoteReference w:id="451"/>
      </w:r>
      <w:r w:rsidRPr="008A330E">
        <w:rPr>
          <w:szCs w:val="24"/>
          <w:lang w:val="en-US"/>
        </w:rPr>
        <w:t xml:space="preserve"> and the stomach: in </w:t>
      </w:r>
      <w:r w:rsidRPr="008A330E">
        <w:rPr>
          <w:szCs w:val="24"/>
          <w:lang w:val="en-US"/>
        </w:rPr>
        <w:lastRenderedPageBreak/>
        <w:t>this case, the characterisation goes beyond the target</w:t>
      </w:r>
      <w:r w:rsidR="00075F5F">
        <w:rPr>
          <w:szCs w:val="24"/>
          <w:lang w:val="en-US"/>
        </w:rPr>
        <w:t>’</w:t>
      </w:r>
      <w:r w:rsidRPr="008A330E">
        <w:rPr>
          <w:szCs w:val="24"/>
          <w:lang w:val="en-US"/>
        </w:rPr>
        <w:t>s external appearance, focusing on the psychological implications of this human type.</w:t>
      </w:r>
      <w:r w:rsidRPr="008A330E">
        <w:rPr>
          <w:rStyle w:val="FootnoteReference"/>
          <w:szCs w:val="24"/>
          <w:lang w:val="en-US"/>
        </w:rPr>
        <w:footnoteReference w:id="452"/>
      </w:r>
      <w:r w:rsidRPr="008A330E">
        <w:rPr>
          <w:szCs w:val="24"/>
          <w:lang w:val="en-US"/>
        </w:rPr>
        <w:t xml:space="preserve"> A man with a goitre is someone who eats a lot and has no control over his stomach. He is always hungry, he is always in pursuit of food, he trains his nose to sniff out treats and, consequently, he makes it sacrilegious. In antiquity the smell of food had </w:t>
      </w:r>
      <w:r w:rsidRPr="008A330E">
        <w:rPr>
          <w:i/>
          <w:iCs/>
          <w:szCs w:val="24"/>
          <w:lang w:val="en-US"/>
        </w:rPr>
        <w:t>in primis</w:t>
      </w:r>
      <w:r w:rsidRPr="008A330E">
        <w:rPr>
          <w:szCs w:val="24"/>
          <w:lang w:val="en-US"/>
        </w:rPr>
        <w:t xml:space="preserve"> a religious function, since some food, such as spices, were used for religious and sacrificial purposes, and particular food scents revealed particular divine presences.</w:t>
      </w:r>
      <w:r w:rsidRPr="008A330E">
        <w:rPr>
          <w:rStyle w:val="FootnoteReference"/>
          <w:szCs w:val="24"/>
          <w:lang w:val="en-US"/>
        </w:rPr>
        <w:footnoteReference w:id="453"/>
      </w:r>
      <w:r w:rsidRPr="008A330E">
        <w:rPr>
          <w:szCs w:val="24"/>
          <w:lang w:val="en-US"/>
        </w:rPr>
        <w:t xml:space="preserve"> Thus, using the sense of smell for different purposes, and to take pleasure from food, could be considered as a sacrilege. For this reason, the nose of a glutton is called θεόσυλις, which literally is the theft of something from gods.</w:t>
      </w:r>
      <w:r w:rsidRPr="008A330E">
        <w:rPr>
          <w:rStyle w:val="FootnoteReference"/>
          <w:szCs w:val="24"/>
          <w:lang w:val="en-US"/>
        </w:rPr>
        <w:footnoteReference w:id="454"/>
      </w:r>
      <w:r w:rsidRPr="008A330E">
        <w:rPr>
          <w:szCs w:val="24"/>
          <w:lang w:val="en-US"/>
        </w:rPr>
        <w:t xml:space="preserve"> </w:t>
      </w:r>
    </w:p>
    <w:p w14:paraId="43A0143C" w14:textId="41A6F137" w:rsidR="008D6BD8" w:rsidRPr="008A330E" w:rsidRDefault="008D6BD8" w:rsidP="00532444">
      <w:pPr>
        <w:rPr>
          <w:szCs w:val="24"/>
          <w:lang w:val="en-US"/>
        </w:rPr>
      </w:pPr>
      <w:r w:rsidRPr="008A330E">
        <w:rPr>
          <w:szCs w:val="24"/>
          <w:lang w:val="en-US"/>
        </w:rPr>
        <w:tab/>
        <w:t xml:space="preserve">The simile extends even further, when the attention is paid to the name of the character Σάννος. This name is a nickname. Although modern scholarship associates this name with the root of σαίνω </w:t>
      </w:r>
      <w:r w:rsidR="00CC0615">
        <w:rPr>
          <w:szCs w:val="24"/>
          <w:lang w:val="en-US"/>
        </w:rPr>
        <w:t>“</w:t>
      </w:r>
      <w:r w:rsidRPr="008A330E">
        <w:rPr>
          <w:szCs w:val="24"/>
          <w:lang w:val="en-US"/>
        </w:rPr>
        <w:t>wag one</w:t>
      </w:r>
      <w:r w:rsidR="00075F5F">
        <w:rPr>
          <w:szCs w:val="24"/>
          <w:lang w:val="en-US"/>
        </w:rPr>
        <w:t>’</w:t>
      </w:r>
      <w:r w:rsidRPr="008A330E">
        <w:rPr>
          <w:szCs w:val="24"/>
          <w:lang w:val="en-US"/>
        </w:rPr>
        <w:t>s tail,</w:t>
      </w:r>
      <w:r w:rsidR="00CC0615">
        <w:rPr>
          <w:szCs w:val="24"/>
          <w:lang w:val="en-US"/>
        </w:rPr>
        <w:t>”</w:t>
      </w:r>
      <w:r w:rsidRPr="008A330E">
        <w:rPr>
          <w:szCs w:val="24"/>
          <w:lang w:val="en-US"/>
        </w:rPr>
        <w:t xml:space="preserve"> ancient scholarship connected it to the noun σαννάς, -άδος </w:t>
      </w:r>
      <w:r w:rsidR="00CC0615">
        <w:rPr>
          <w:szCs w:val="24"/>
          <w:lang w:val="en-US"/>
        </w:rPr>
        <w:t>“</w:t>
      </w:r>
      <w:r w:rsidRPr="008A330E">
        <w:rPr>
          <w:szCs w:val="24"/>
          <w:lang w:val="en-US"/>
        </w:rPr>
        <w:t>wild goat,</w:t>
      </w:r>
      <w:r w:rsidR="00CC0615">
        <w:rPr>
          <w:szCs w:val="24"/>
          <w:lang w:val="en-US"/>
        </w:rPr>
        <w:t>”</w:t>
      </w:r>
      <w:r w:rsidRPr="008A330E">
        <w:rPr>
          <w:szCs w:val="24"/>
          <w:lang w:val="en-US"/>
        </w:rPr>
        <w:t xml:space="preserve"> which indicates a particular Cretan goat breed well known for eating greedily. Therefore, the audience was guided through the comparison by this nickname as well, since </w:t>
      </w:r>
      <w:r w:rsidR="00CC0615">
        <w:rPr>
          <w:szCs w:val="24"/>
          <w:lang w:val="en-US"/>
        </w:rPr>
        <w:t>“</w:t>
      </w:r>
      <w:r w:rsidRPr="008A330E">
        <w:rPr>
          <w:szCs w:val="24"/>
          <w:lang w:val="en-US"/>
        </w:rPr>
        <w:t>Sannus</w:t>
      </w:r>
      <w:r w:rsidR="00CC0615">
        <w:rPr>
          <w:szCs w:val="24"/>
          <w:lang w:val="en-US"/>
        </w:rPr>
        <w:t>”</w:t>
      </w:r>
      <w:r w:rsidRPr="008A330E">
        <w:rPr>
          <w:szCs w:val="24"/>
          <w:lang w:val="en-US"/>
        </w:rPr>
        <w:t xml:space="preserve"> would incline the audience to think of a greedy kind of beast. Moreover, the name triggers a different level of simile, since Sannus in perceived as a Cretan word, and the Cretans were commonly charged with being profane. An ancient saying says: Κρῆτες, ἀεὶ ψευδεῖς, κακὰ θηρία, γαστέρες ἀ</w:t>
      </w:r>
      <w:r w:rsidRPr="00532444">
        <w:rPr>
          <w:szCs w:val="24"/>
          <w:lang w:val="en-US"/>
        </w:rPr>
        <w:t xml:space="preserve">ργαί </w:t>
      </w:r>
      <w:r w:rsidR="00CC0615">
        <w:rPr>
          <w:szCs w:val="24"/>
          <w:lang w:val="en-US"/>
        </w:rPr>
        <w:t>“</w:t>
      </w:r>
      <w:r w:rsidRPr="00532444">
        <w:rPr>
          <w:szCs w:val="24"/>
          <w:lang w:val="en-US"/>
        </w:rPr>
        <w:t>Cretans, always liars, evil beasts, idle bellies.</w:t>
      </w:r>
      <w:r w:rsidR="00CC0615">
        <w:rPr>
          <w:szCs w:val="24"/>
          <w:lang w:val="en-US"/>
        </w:rPr>
        <w:t>”</w:t>
      </w:r>
      <w:r w:rsidRPr="008A330E">
        <w:rPr>
          <w:rStyle w:val="FootnoteReference"/>
          <w:szCs w:val="24"/>
          <w:lang w:val="en-US"/>
        </w:rPr>
        <w:footnoteReference w:id="455"/>
      </w:r>
      <w:r w:rsidRPr="008A330E">
        <w:rPr>
          <w:szCs w:val="24"/>
          <w:lang w:val="en-US"/>
        </w:rPr>
        <w:t xml:space="preserve"> The Cretans here have exactly the same features as Hipponax</w:t>
      </w:r>
      <w:r w:rsidR="00075F5F">
        <w:rPr>
          <w:szCs w:val="24"/>
          <w:lang w:val="en-US"/>
        </w:rPr>
        <w:t>’</w:t>
      </w:r>
      <w:r w:rsidRPr="008A330E">
        <w:rPr>
          <w:szCs w:val="24"/>
          <w:lang w:val="en-US"/>
        </w:rPr>
        <w:t>s target: they are liars with respect to Zeus (that is, they are sacrilegious,</w:t>
      </w:r>
      <w:r w:rsidRPr="008A330E">
        <w:rPr>
          <w:rStyle w:val="FootnoteReference"/>
          <w:szCs w:val="24"/>
          <w:lang w:val="en-US"/>
        </w:rPr>
        <w:footnoteReference w:id="456"/>
      </w:r>
      <w:r w:rsidRPr="008A330E">
        <w:rPr>
          <w:szCs w:val="24"/>
          <w:lang w:val="en-US"/>
        </w:rPr>
        <w:t xml:space="preserve"> the first feature Hipponax attributes to Sannus), and idle bellies (the second feature assigned to Sannus).</w:t>
      </w:r>
    </w:p>
    <w:p w14:paraId="6F351D5B" w14:textId="2AEBB139" w:rsidR="008D6BD8" w:rsidRDefault="008D6BD8" w:rsidP="00532444">
      <w:pPr>
        <w:spacing w:before="400"/>
        <w:rPr>
          <w:lang w:val="en-US"/>
        </w:rPr>
      </w:pPr>
      <w:r>
        <w:rPr>
          <w:lang w:val="en-US"/>
        </w:rPr>
        <w:lastRenderedPageBreak/>
        <w:t>Callimachus, like Archilochus, compares humans and animals through fables, but these show a more direct style of incorporation than the Archilochean ones. The poet appropriates fables for a contemporary setting and contemporary literary-critical purpose. The figures of the fables become the voices of Callimachus</w:t>
      </w:r>
      <w:r w:rsidR="00075F5F">
        <w:rPr>
          <w:lang w:val="en-US"/>
        </w:rPr>
        <w:t>’</w:t>
      </w:r>
      <w:r>
        <w:rPr>
          <w:lang w:val="en-US"/>
        </w:rPr>
        <w:t xml:space="preserve"> Alexandria. </w:t>
      </w:r>
    </w:p>
    <w:p w14:paraId="63B42AE9" w14:textId="166ECC58" w:rsidR="008D6BD8" w:rsidRDefault="008D6BD8" w:rsidP="00532444">
      <w:pPr>
        <w:rPr>
          <w:lang w:val="en-US"/>
        </w:rPr>
      </w:pPr>
      <w:r>
        <w:rPr>
          <w:lang w:val="en-US"/>
        </w:rPr>
        <w:tab/>
        <w:t xml:space="preserve">In </w:t>
      </w:r>
      <w:r>
        <w:rPr>
          <w:i/>
          <w:iCs/>
          <w:lang w:val="en-US"/>
        </w:rPr>
        <w:t>Iambus</w:t>
      </w:r>
      <w:r>
        <w:rPr>
          <w:lang w:val="en-US"/>
        </w:rPr>
        <w:t xml:space="preserve"> 2 Callimachus transfers an Aesopic fable to contemporary Alexandria, subsuming his contemporaries in the fable</w:t>
      </w:r>
      <w:r w:rsidR="00075F5F">
        <w:rPr>
          <w:lang w:val="en-US"/>
        </w:rPr>
        <w:t>’</w:t>
      </w:r>
      <w:r>
        <w:rPr>
          <w:lang w:val="en-US"/>
        </w:rPr>
        <w:t>s narrative: as in Archilochus</w:t>
      </w:r>
      <w:r w:rsidR="00075F5F">
        <w:rPr>
          <w:lang w:val="en-US"/>
        </w:rPr>
        <w:t>’</w:t>
      </w:r>
      <w:r>
        <w:rPr>
          <w:lang w:val="en-US"/>
        </w:rPr>
        <w:t xml:space="preserve"> example, the fox speaks with Zeus, here asking about his injustice, since Zeus transfers animals</w:t>
      </w:r>
      <w:r w:rsidR="00075F5F">
        <w:rPr>
          <w:lang w:val="en-US"/>
        </w:rPr>
        <w:t>’</w:t>
      </w:r>
      <w:r>
        <w:rPr>
          <w:lang w:val="en-US"/>
        </w:rPr>
        <w:t xml:space="preserve"> voices to the humans who enter the scene of the fable. A certain Eutydemus has the voice of a dog, and Philton that of an ass, and both of them are supposed to be Callimachus</w:t>
      </w:r>
      <w:r w:rsidR="00075F5F">
        <w:rPr>
          <w:lang w:val="en-US"/>
        </w:rPr>
        <w:t>’</w:t>
      </w:r>
      <w:r>
        <w:rPr>
          <w:lang w:val="en-US"/>
        </w:rPr>
        <w:t xml:space="preserve"> Alexandrian contemporaries.</w:t>
      </w:r>
      <w:r>
        <w:rPr>
          <w:rStyle w:val="FootnoteReference"/>
          <w:lang w:val="en-US"/>
        </w:rPr>
        <w:footnoteReference w:id="457"/>
      </w:r>
      <w:r>
        <w:rPr>
          <w:lang w:val="en-US"/>
        </w:rPr>
        <w:t xml:space="preserve"> In a startling thematic reversal it is not the figures of the animal kingdom who are characterised by human voice, but rather humans who are characterised with animal sound. Archilochus as narrator of fables transferred human language to animals, while Callimachus here transfers animal sound to humans.</w:t>
      </w:r>
    </w:p>
    <w:p w14:paraId="11DF1A6B" w14:textId="45B3417B" w:rsidR="008D6BD8" w:rsidRDefault="008D6BD8" w:rsidP="00532444">
      <w:pPr>
        <w:ind w:firstLine="426"/>
        <w:rPr>
          <w:lang w:val="en-US"/>
        </w:rPr>
      </w:pPr>
      <w:r>
        <w:rPr>
          <w:lang w:val="en-US"/>
        </w:rPr>
        <w:t xml:space="preserve">The Alexandrian iambographer, in fact, takes the distance from the story teller </w:t>
      </w:r>
      <w:r>
        <w:rPr>
          <w:i/>
          <w:iCs/>
          <w:lang w:val="en-US"/>
        </w:rPr>
        <w:t>par excellence</w:t>
      </w:r>
      <w:r>
        <w:rPr>
          <w:lang w:val="en-US"/>
        </w:rPr>
        <w:t>, namely Aesop, since he does not sing Aesop</w:t>
      </w:r>
      <w:r w:rsidR="00075F5F">
        <w:rPr>
          <w:lang w:val="en-US"/>
        </w:rPr>
        <w:t>’</w:t>
      </w:r>
      <w:r>
        <w:rPr>
          <w:lang w:val="en-US"/>
        </w:rPr>
        <w:t xml:space="preserve">s μῦθος as well as he does not sing the ἴαμβος of Hipponax in </w:t>
      </w:r>
      <w:r>
        <w:rPr>
          <w:i/>
          <w:iCs/>
          <w:lang w:val="en-US"/>
        </w:rPr>
        <w:t>Iambus</w:t>
      </w:r>
      <w:r>
        <w:rPr>
          <w:lang w:val="en-US"/>
        </w:rPr>
        <w:t xml:space="preserve"> 1: he uses Aesop as an authority, just as he did with Hipponax, since he needs the cultural authority of the past to validate his voice. This is why at the beginning of </w:t>
      </w:r>
      <w:r>
        <w:rPr>
          <w:i/>
          <w:iCs/>
          <w:lang w:val="en-US"/>
        </w:rPr>
        <w:t>Iambus</w:t>
      </w:r>
      <w:r>
        <w:rPr>
          <w:lang w:val="en-US"/>
        </w:rPr>
        <w:t xml:space="preserve"> 4 the poet takes his audience back to archaic Asia Minor: the audience has to hear what he is going to say since οἱ πάλαι Λυδοί / λέγουσι </w:t>
      </w:r>
      <w:r w:rsidR="00CC0615">
        <w:rPr>
          <w:lang w:val="en-US"/>
        </w:rPr>
        <w:t>“</w:t>
      </w:r>
      <w:r>
        <w:rPr>
          <w:lang w:val="en-US"/>
        </w:rPr>
        <w:t>the Lydians of old say</w:t>
      </w:r>
      <w:r w:rsidR="00CC0615">
        <w:rPr>
          <w:lang w:val="en-US"/>
        </w:rPr>
        <w:t>”</w:t>
      </w:r>
      <w:r>
        <w:rPr>
          <w:lang w:val="en-US"/>
        </w:rPr>
        <w:t xml:space="preserve"> (</w:t>
      </w:r>
      <w:r>
        <w:rPr>
          <w:i/>
          <w:iCs/>
          <w:lang w:val="en-US"/>
        </w:rPr>
        <w:t>Ia</w:t>
      </w:r>
      <w:r>
        <w:rPr>
          <w:lang w:val="en-US"/>
        </w:rPr>
        <w:t xml:space="preserve">. 4.7-8). The introduction of </w:t>
      </w:r>
      <w:r>
        <w:rPr>
          <w:i/>
          <w:iCs/>
          <w:lang w:val="en-US"/>
        </w:rPr>
        <w:t>Iambus</w:t>
      </w:r>
      <w:r>
        <w:rPr>
          <w:lang w:val="en-US"/>
        </w:rPr>
        <w:t xml:space="preserve"> 4, which says ἄκουε δὴ τὸν αἶνον· … / … οἱ πάλαι Λυδοί / λέγουσι … </w:t>
      </w:r>
      <w:r w:rsidR="00CC0615">
        <w:rPr>
          <w:lang w:val="en-US"/>
        </w:rPr>
        <w:t>“</w:t>
      </w:r>
      <w:r>
        <w:rPr>
          <w:lang w:val="en-US"/>
        </w:rPr>
        <w:t>indeed hear the fable… the Lydians of old say…</w:t>
      </w:r>
      <w:r w:rsidR="00CC0615">
        <w:rPr>
          <w:lang w:val="en-US"/>
        </w:rPr>
        <w:t>”</w:t>
      </w:r>
      <w:r>
        <w:rPr>
          <w:lang w:val="en-US"/>
        </w:rPr>
        <w:t xml:space="preserve"> (</w:t>
      </w:r>
      <w:r>
        <w:rPr>
          <w:i/>
          <w:iCs/>
          <w:lang w:val="en-US"/>
        </w:rPr>
        <w:t>Ia</w:t>
      </w:r>
      <w:r>
        <w:rPr>
          <w:lang w:val="en-US"/>
        </w:rPr>
        <w:t>. 4.6-8), has a totally different impact on the audience than Archilochus</w:t>
      </w:r>
      <w:r w:rsidR="00075F5F">
        <w:rPr>
          <w:lang w:val="en-US"/>
        </w:rPr>
        <w:t>’</w:t>
      </w:r>
      <w:r>
        <w:rPr>
          <w:lang w:val="en-US"/>
        </w:rPr>
        <w:t xml:space="preserve"> introduction of fables. </w:t>
      </w:r>
    </w:p>
    <w:p w14:paraId="37053252" w14:textId="0C727446" w:rsidR="008D6BD8" w:rsidRDefault="008D6BD8" w:rsidP="00532444">
      <w:pPr>
        <w:ind w:firstLine="426"/>
        <w:rPr>
          <w:lang w:val="en-US"/>
        </w:rPr>
      </w:pPr>
      <w:r>
        <w:rPr>
          <w:lang w:val="en-US"/>
        </w:rPr>
        <w:t xml:space="preserve">The imperative verb to hear, which is clearly reminiscent of the opening of </w:t>
      </w:r>
      <w:r>
        <w:rPr>
          <w:i/>
          <w:iCs/>
          <w:lang w:val="en-US"/>
        </w:rPr>
        <w:t>Iambus</w:t>
      </w:r>
      <w:r>
        <w:rPr>
          <w:lang w:val="en-US"/>
        </w:rPr>
        <w:t xml:space="preserve"> 1, has a strong didactic function and suggests that the audience should identify themselves with the characters of the fable. The participation of the audience goes beyond the frame of the narrative, and involves the fable itself, since the characters are more than anthropomorphised, they are representatives of a particular type of men, the Alexandrian </w:t>
      </w:r>
      <w:r>
        <w:rPr>
          <w:i/>
          <w:iCs/>
          <w:lang w:val="en-US"/>
        </w:rPr>
        <w:t>literati</w:t>
      </w:r>
      <w:r>
        <w:rPr>
          <w:lang w:val="en-US"/>
        </w:rPr>
        <w:t xml:space="preserve">. In the </w:t>
      </w:r>
      <w:r w:rsidRPr="009877AA">
        <w:rPr>
          <w:i/>
          <w:iCs/>
          <w:lang w:val="en-US"/>
        </w:rPr>
        <w:t>agon</w:t>
      </w:r>
      <w:r>
        <w:rPr>
          <w:lang w:val="en-US"/>
        </w:rPr>
        <w:t xml:space="preserve"> of the laurel and the olive the poet establishes a contrast between two different literary styles, one grand and one subtle: hence, Callimachus not only picks out </w:t>
      </w:r>
      <w:r>
        <w:rPr>
          <w:lang w:val="en-US"/>
        </w:rPr>
        <w:lastRenderedPageBreak/>
        <w:t xml:space="preserve">two </w:t>
      </w:r>
      <w:r>
        <w:rPr>
          <w:i/>
          <w:iCs/>
          <w:lang w:val="en-US"/>
        </w:rPr>
        <w:t>literati</w:t>
      </w:r>
      <w:r>
        <w:rPr>
          <w:lang w:val="en-US"/>
        </w:rPr>
        <w:t xml:space="preserve"> in their mythology as characters of his fable, but also makes them </w:t>
      </w:r>
      <w:r>
        <w:rPr>
          <w:i/>
          <w:iCs/>
          <w:lang w:val="en-US"/>
        </w:rPr>
        <w:t>literati</w:t>
      </w:r>
      <w:r>
        <w:rPr>
          <w:lang w:val="en-US"/>
        </w:rPr>
        <w:t xml:space="preserve"> in their knowledge of Callimachus</w:t>
      </w:r>
      <w:r w:rsidR="00075F5F">
        <w:rPr>
          <w:lang w:val="en-US"/>
        </w:rPr>
        <w:t>’</w:t>
      </w:r>
      <w:r>
        <w:rPr>
          <w:lang w:val="en-US"/>
        </w:rPr>
        <w:t xml:space="preserve"> own poetry.</w:t>
      </w:r>
      <w:r>
        <w:rPr>
          <w:rStyle w:val="FootnoteReference"/>
          <w:lang w:val="en-US"/>
        </w:rPr>
        <w:footnoteReference w:id="458"/>
      </w:r>
      <w:r>
        <w:rPr>
          <w:lang w:val="en-US"/>
        </w:rPr>
        <w:t xml:space="preserve"> </w:t>
      </w:r>
    </w:p>
    <w:p w14:paraId="5D683726" w14:textId="73A750B5" w:rsidR="008D6BD8" w:rsidRDefault="008D6BD8" w:rsidP="00532444">
      <w:pPr>
        <w:ind w:firstLine="425"/>
        <w:rPr>
          <w:lang w:val="en-US"/>
        </w:rPr>
      </w:pPr>
      <w:r>
        <w:rPr>
          <w:lang w:val="en-US"/>
        </w:rPr>
        <w:t>The updating of the fable inserts two animal comparisons which usually apply to humans: the laurel is like a bull (τὴν δ</w:t>
      </w:r>
      <w:r w:rsidR="00075F5F">
        <w:rPr>
          <w:lang w:val="en-US"/>
        </w:rPr>
        <w:t>’</w:t>
      </w:r>
      <w:r>
        <w:rPr>
          <w:lang w:val="en-US"/>
        </w:rPr>
        <w:t xml:space="preserve"> ἆρ</w:t>
      </w:r>
      <w:r w:rsidR="00075F5F">
        <w:rPr>
          <w:lang w:val="en-US"/>
        </w:rPr>
        <w:t>’</w:t>
      </w:r>
      <w:r>
        <w:rPr>
          <w:lang w:val="en-US"/>
        </w:rPr>
        <w:t xml:space="preserve"> ὑποδρὰξ οἷα ταῦρος ἡ δάφνη / ἔβλεψε </w:t>
      </w:r>
      <w:r w:rsidR="00CC0615">
        <w:rPr>
          <w:lang w:val="en-US"/>
        </w:rPr>
        <w:t>“</w:t>
      </w:r>
      <w:r>
        <w:rPr>
          <w:lang w:val="en-US"/>
        </w:rPr>
        <w:t>the laurel looked at her from under her brow like a bull,</w:t>
      </w:r>
      <w:r w:rsidR="00CC0615">
        <w:rPr>
          <w:lang w:val="en-US"/>
        </w:rPr>
        <w:t>”</w:t>
      </w:r>
      <w:r>
        <w:rPr>
          <w:i/>
          <w:iCs/>
          <w:lang w:val="en-US"/>
        </w:rPr>
        <w:t xml:space="preserve"> Ia.</w:t>
      </w:r>
      <w:r>
        <w:rPr>
          <w:lang w:val="en-US"/>
        </w:rPr>
        <w:t xml:space="preserve"> 4.101-2), since it has a look as arrogant as that of a snob with angry manners. The olive, on the other hand, is like a water snake (ὡριστερὸς μὲν λευκὸς ὡς ὕδρου γαστήρ </w:t>
      </w:r>
      <w:r w:rsidR="00CC0615">
        <w:rPr>
          <w:lang w:val="en-US"/>
        </w:rPr>
        <w:t>“</w:t>
      </w:r>
      <w:r>
        <w:rPr>
          <w:lang w:val="en-US"/>
        </w:rPr>
        <w:t>your left side is white like the belly of a water snake,</w:t>
      </w:r>
      <w:r w:rsidR="00CC0615">
        <w:rPr>
          <w:lang w:val="en-US"/>
        </w:rPr>
        <w:t>”</w:t>
      </w:r>
      <w:r>
        <w:rPr>
          <w:i/>
          <w:iCs/>
          <w:lang w:val="en-US"/>
        </w:rPr>
        <w:t xml:space="preserve"> Ia.</w:t>
      </w:r>
      <w:r>
        <w:rPr>
          <w:lang w:val="en-US"/>
        </w:rPr>
        <w:t xml:space="preserve"> 4.22), since it has a skin as white and smooth as the skin of water snake</w:t>
      </w:r>
      <w:r w:rsidR="00075F5F">
        <w:rPr>
          <w:lang w:val="en-US"/>
        </w:rPr>
        <w:t>’</w:t>
      </w:r>
      <w:r>
        <w:rPr>
          <w:lang w:val="en-US"/>
        </w:rPr>
        <w:t xml:space="preserve">s γαστήρ </w:t>
      </w:r>
      <w:r w:rsidR="00CC0615">
        <w:rPr>
          <w:lang w:val="en-US"/>
        </w:rPr>
        <w:t>“</w:t>
      </w:r>
      <w:r>
        <w:rPr>
          <w:lang w:val="en-US"/>
        </w:rPr>
        <w:t>belly,</w:t>
      </w:r>
      <w:r w:rsidR="00CC0615">
        <w:rPr>
          <w:lang w:val="en-US"/>
        </w:rPr>
        <w:t>”</w:t>
      </w:r>
      <w:r>
        <w:rPr>
          <w:lang w:val="en-US"/>
        </w:rPr>
        <w:t xml:space="preserve"> where γαστήρ is a term which belongs in common use to human anatomy. </w:t>
      </w:r>
    </w:p>
    <w:p w14:paraId="021891F6" w14:textId="7C5FB92D" w:rsidR="008D6BD8" w:rsidRDefault="008D6BD8" w:rsidP="00532444">
      <w:pPr>
        <w:ind w:firstLine="425"/>
        <w:rPr>
          <w:lang w:val="en-US"/>
        </w:rPr>
      </w:pPr>
      <w:r>
        <w:rPr>
          <w:lang w:val="en-US"/>
        </w:rPr>
        <w:t xml:space="preserve">Like Archilochus, Callimachus uses fables, but he incorporates into them some animal similes in a fashion more similar to the style of Hipponax. In this way, he actualises the setting of the narration in his </w:t>
      </w:r>
      <w:r>
        <w:rPr>
          <w:i/>
          <w:iCs/>
          <w:lang w:val="en-US"/>
        </w:rPr>
        <w:t>hic et nunc</w:t>
      </w:r>
      <w:r>
        <w:rPr>
          <w:lang w:val="en-US"/>
        </w:rPr>
        <w:t xml:space="preserve">, but rejects any responsibility for the charges, </w:t>
      </w:r>
      <w:r w:rsidR="00532444">
        <w:rPr>
          <w:lang w:val="en-US"/>
        </w:rPr>
        <w:t xml:space="preserve">separating himself </w:t>
      </w:r>
      <w:r>
        <w:rPr>
          <w:lang w:val="en-US"/>
        </w:rPr>
        <w:t>once again from singing the Boupalean iamb.</w:t>
      </w:r>
    </w:p>
    <w:p w14:paraId="77ACA64F" w14:textId="77777777" w:rsidR="00AE724C" w:rsidRPr="00C710E0" w:rsidRDefault="00AE724C" w:rsidP="00757C56">
      <w:pPr>
        <w:pStyle w:val="Heading3"/>
      </w:pPr>
      <w:r w:rsidRPr="00C710E0">
        <w:t>Summary</w:t>
      </w:r>
    </w:p>
    <w:p w14:paraId="4FD3B691" w14:textId="77777777" w:rsidR="008D6BD8" w:rsidRPr="00532444" w:rsidRDefault="008D6BD8" w:rsidP="00532444">
      <w:pPr>
        <w:tabs>
          <w:tab w:val="clear" w:pos="425"/>
          <w:tab w:val="left" w:pos="426"/>
        </w:tabs>
        <w:rPr>
          <w:szCs w:val="24"/>
          <w:lang w:val="en-US"/>
        </w:rPr>
      </w:pPr>
      <w:r w:rsidRPr="00532444">
        <w:rPr>
          <w:szCs w:val="24"/>
          <w:lang w:val="en-US"/>
        </w:rPr>
        <w:t xml:space="preserve">In this chapter I have shown a certain continuity in iambic content over time. Despite temporal distance (approximately three centuries), Archilochus, Hipponax, and Callimachus share particular themes, namely invective, sexual jokes and insults, invocations of the gods, food, and the comparison of humans to animals. The fact that all three poets use the same </w:t>
      </w:r>
      <w:r w:rsidRPr="00532444">
        <w:rPr>
          <w:i/>
          <w:iCs/>
          <w:szCs w:val="24"/>
          <w:lang w:val="en-US"/>
        </w:rPr>
        <w:t>topoi</w:t>
      </w:r>
      <w:r w:rsidRPr="00532444">
        <w:rPr>
          <w:szCs w:val="24"/>
          <w:lang w:val="en-US"/>
        </w:rPr>
        <w:t xml:space="preserve"> makes them characteristic of the genre. They are iambic </w:t>
      </w:r>
      <w:r w:rsidRPr="00532444">
        <w:rPr>
          <w:i/>
          <w:iCs/>
          <w:szCs w:val="24"/>
          <w:lang w:val="en-US"/>
        </w:rPr>
        <w:t xml:space="preserve">topoi. </w:t>
      </w:r>
      <w:r w:rsidRPr="00532444">
        <w:rPr>
          <w:szCs w:val="24"/>
          <w:lang w:val="en-US"/>
        </w:rPr>
        <w:t>Each of them is connected to a specific stock of literary images. These topics often have the same narrative structure, as the iambographers put them in very similar situational frames. Therefore, I suggest that these patterns have the same operational purpose, which means that all the three iambographers have the same iambic idea. Indeed, in the next chapter I will try to give a shape to the iambic idea shared by these three iambographers, and suggest what the purposes of iambic Greek poetry could have been.</w:t>
      </w:r>
    </w:p>
    <w:p w14:paraId="53079E62" w14:textId="59A6CA44" w:rsidR="005732E0" w:rsidRDefault="005732E0" w:rsidP="002503A4">
      <w:pPr>
        <w:tabs>
          <w:tab w:val="clear" w:pos="425"/>
          <w:tab w:val="left" w:pos="426"/>
        </w:tabs>
        <w:rPr>
          <w:rFonts w:cs="Times New Roman"/>
        </w:rPr>
        <w:sectPr w:rsidR="005732E0" w:rsidSect="00033A07">
          <w:footerReference w:type="even" r:id="rId79"/>
          <w:footerReference w:type="default" r:id="rId80"/>
          <w:footnotePr>
            <w:numRestart w:val="eachSect"/>
          </w:footnotePr>
          <w:pgSz w:w="11901" w:h="16817"/>
          <w:pgMar w:top="1440" w:right="1440" w:bottom="1440" w:left="1797" w:header="851" w:footer="851" w:gutter="0"/>
          <w:cols w:space="708"/>
          <w:docGrid w:linePitch="360"/>
          <w:printerSettings r:id="rId81"/>
        </w:sectPr>
      </w:pPr>
    </w:p>
    <w:p w14:paraId="556263F9" w14:textId="14615534" w:rsidR="005732E0" w:rsidRPr="00757C56" w:rsidRDefault="005732E0" w:rsidP="002503A4">
      <w:pPr>
        <w:spacing w:before="400" w:after="800"/>
        <w:jc w:val="center"/>
        <w:rPr>
          <w:rFonts w:cs="Times New Roman"/>
          <w:bCs/>
          <w:iCs/>
          <w:sz w:val="36"/>
          <w:szCs w:val="36"/>
        </w:rPr>
      </w:pPr>
      <w:r w:rsidRPr="00757C56">
        <w:rPr>
          <w:rFonts w:cs="Times New Roman"/>
          <w:szCs w:val="24"/>
        </w:rPr>
        <w:lastRenderedPageBreak/>
        <w:t>CHAPTER 4</w:t>
      </w:r>
      <w:r w:rsidR="00757C56" w:rsidRPr="00757C56">
        <w:rPr>
          <w:rFonts w:cs="Times New Roman"/>
          <w:szCs w:val="24"/>
        </w:rPr>
        <w:br/>
      </w:r>
      <w:r w:rsidRPr="00757C56">
        <w:rPr>
          <w:rFonts w:cs="Times New Roman"/>
          <w:b/>
          <w:bCs/>
          <w:iCs/>
          <w:sz w:val="36"/>
          <w:szCs w:val="36"/>
        </w:rPr>
        <w:t>Iambic Polytropía</w:t>
      </w:r>
    </w:p>
    <w:p w14:paraId="69A407B9" w14:textId="1EC7C812" w:rsidR="008D6BD8" w:rsidRDefault="008D6BD8" w:rsidP="008D6BD8">
      <w:pPr>
        <w:rPr>
          <w:lang w:val="en-US"/>
        </w:rPr>
      </w:pPr>
      <w:r>
        <w:rPr>
          <w:lang w:val="en-US"/>
        </w:rPr>
        <w:t>In this chapter I will deal with iambic variety. Beginning with an analysis of Callimachus</w:t>
      </w:r>
      <w:r w:rsidR="00075F5F">
        <w:rPr>
          <w:lang w:val="en-US"/>
        </w:rPr>
        <w:t>’</w:t>
      </w:r>
      <w:r>
        <w:rPr>
          <w:lang w:val="en-US"/>
        </w:rPr>
        <w:t xml:space="preserve"> </w:t>
      </w:r>
      <w:r>
        <w:rPr>
          <w:i/>
          <w:iCs/>
          <w:lang w:val="en-US"/>
        </w:rPr>
        <w:t>Iambi</w:t>
      </w:r>
      <w:r>
        <w:rPr>
          <w:lang w:val="en-US"/>
        </w:rPr>
        <w:t>, I will argue that variety is one of the dominant features, if not the defining feature, of the iambic genre. I will argue that the variety that we can see so clearly in the themes and language of Callimachus</w:t>
      </w:r>
      <w:r w:rsidR="00075F5F">
        <w:rPr>
          <w:lang w:val="en-US"/>
        </w:rPr>
        <w:t>’</w:t>
      </w:r>
      <w:r>
        <w:rPr>
          <w:lang w:val="en-US"/>
        </w:rPr>
        <w:t xml:space="preserve"> </w:t>
      </w:r>
      <w:r>
        <w:rPr>
          <w:i/>
          <w:iCs/>
          <w:lang w:val="en-US"/>
        </w:rPr>
        <w:t>Iambi</w:t>
      </w:r>
      <w:r>
        <w:rPr>
          <w:lang w:val="en-US"/>
        </w:rPr>
        <w:t xml:space="preserve"> was already a key feature of archaic iambic poetry. In order to disentangle the mixture of linguistic codes, I will take advantage of the model of Matrix Language Frame, borrowing from the methodologies to study the phenomenon of code-switching in spoken languages. It seems that linguistic variety is an intrinsic feature of iambic language, and in my opinion it is particularly suitable to the purpose of iambic poetry. Mixed language is a language which lays claim to representing the entire community and to expressing a </w:t>
      </w:r>
      <w:r>
        <w:rPr>
          <w:i/>
          <w:iCs/>
          <w:lang w:val="en-US"/>
        </w:rPr>
        <w:t>communis opinio</w:t>
      </w:r>
      <w:r>
        <w:rPr>
          <w:lang w:val="en-US"/>
        </w:rPr>
        <w:t xml:space="preserve">. </w:t>
      </w:r>
    </w:p>
    <w:p w14:paraId="54C93CC4" w14:textId="77777777" w:rsidR="008D6BD8" w:rsidRDefault="008D6BD8" w:rsidP="008D6BD8">
      <w:pPr>
        <w:ind w:firstLine="426"/>
        <w:rPr>
          <w:lang w:val="en-US"/>
        </w:rPr>
      </w:pPr>
      <w:r>
        <w:rPr>
          <w:lang w:val="en-US"/>
        </w:rPr>
        <w:t xml:space="preserve">Therefore, on the basis of the type of the language which iambographers use, I suggest that iambic poetry was a moralizing poetry performed at public gatherings. Variety, unfortunately, is a difficult feature to pinpoint. This may be why iambic poetry has always been considered a loose network of diverse poems. From Aristotle onwards, iambs were equated with the poetry of abuse and </w:t>
      </w:r>
      <w:r>
        <w:rPr>
          <w:i/>
          <w:iCs/>
          <w:lang w:val="en-US"/>
        </w:rPr>
        <w:t>psogos</w:t>
      </w:r>
      <w:r>
        <w:rPr>
          <w:lang w:val="en-US"/>
        </w:rPr>
        <w:t xml:space="preserve">, and invective was recognized as the dominant feature of the genre. But Callimachus, I contend, was aware of the importance of variety and in his </w:t>
      </w:r>
      <w:r>
        <w:rPr>
          <w:i/>
          <w:iCs/>
          <w:lang w:val="en-US"/>
        </w:rPr>
        <w:t>Iambi</w:t>
      </w:r>
      <w:r>
        <w:rPr>
          <w:lang w:val="en-US"/>
        </w:rPr>
        <w:t xml:space="preserve"> sought to revive this feature as typical of the genre.</w:t>
      </w:r>
    </w:p>
    <w:p w14:paraId="507C8697" w14:textId="1EF66B75" w:rsidR="005732E0" w:rsidRDefault="005732E0" w:rsidP="00825A39">
      <w:pPr>
        <w:pStyle w:val="Heading3"/>
        <w:rPr>
          <w:i/>
        </w:rPr>
      </w:pPr>
      <w:r>
        <w:t xml:space="preserve">4.1 </w:t>
      </w:r>
      <w:r w:rsidR="00F56C36">
        <w:t xml:space="preserve">The </w:t>
      </w:r>
      <w:r w:rsidR="006E0919">
        <w:t xml:space="preserve">Structural </w:t>
      </w:r>
      <w:r>
        <w:t>Variety of Callimachus</w:t>
      </w:r>
      <w:r w:rsidR="00075F5F">
        <w:t>’</w:t>
      </w:r>
      <w:r>
        <w:t xml:space="preserve"> </w:t>
      </w:r>
      <w:r w:rsidRPr="000F152B">
        <w:rPr>
          <w:i/>
        </w:rPr>
        <w:t>Iambi</w:t>
      </w:r>
    </w:p>
    <w:p w14:paraId="5510819D" w14:textId="035F3BF8" w:rsidR="008D6BD8" w:rsidRDefault="008D6BD8" w:rsidP="00F05F90">
      <w:pPr>
        <w:rPr>
          <w:b/>
          <w:bCs/>
          <w:lang w:val="en-US"/>
        </w:rPr>
      </w:pPr>
      <w:r>
        <w:rPr>
          <w:lang w:val="en-US"/>
        </w:rPr>
        <w:t>Callimachus</w:t>
      </w:r>
      <w:r w:rsidR="00075F5F">
        <w:rPr>
          <w:lang w:val="en-US"/>
        </w:rPr>
        <w:t>’</w:t>
      </w:r>
      <w:r>
        <w:rPr>
          <w:lang w:val="en-US"/>
        </w:rPr>
        <w:t xml:space="preserve"> </w:t>
      </w:r>
      <w:r>
        <w:rPr>
          <w:i/>
          <w:iCs/>
          <w:lang w:val="en-US"/>
        </w:rPr>
        <w:t>Iambi</w:t>
      </w:r>
      <w:r>
        <w:rPr>
          <w:rStyle w:val="FootnoteReference"/>
          <w:lang w:val="en-US"/>
        </w:rPr>
        <w:footnoteReference w:id="459"/>
      </w:r>
      <w:r>
        <w:rPr>
          <w:lang w:val="en-US"/>
        </w:rPr>
        <w:t xml:space="preserve"> are a collection of thirteen poems in a variety of metres. The poems are very different from each other. Despite this, they have been considered since antiquity to belong to the genre of ia</w:t>
      </w:r>
      <w:r w:rsidR="00BD06E6">
        <w:rPr>
          <w:lang w:val="en-US"/>
        </w:rPr>
        <w:t>m</w:t>
      </w:r>
      <w:r>
        <w:rPr>
          <w:lang w:val="en-US"/>
        </w:rPr>
        <w:t>bic poetry.</w:t>
      </w:r>
      <w:r>
        <w:rPr>
          <w:rStyle w:val="FootnoteReference"/>
          <w:lang w:val="en-US"/>
        </w:rPr>
        <w:footnoteReference w:id="460"/>
      </w:r>
      <w:r>
        <w:rPr>
          <w:lang w:val="en-US"/>
        </w:rPr>
        <w:t xml:space="preserve"> Similar to, and symbolic of, Callimachus</w:t>
      </w:r>
      <w:r w:rsidR="00075F5F">
        <w:rPr>
          <w:lang w:val="en-US"/>
        </w:rPr>
        <w:t>’</w:t>
      </w:r>
      <w:r>
        <w:rPr>
          <w:lang w:val="en-US"/>
        </w:rPr>
        <w:t xml:space="preserve"> own relationship with the tradition of archaic iambic, the thirteen poems of his iambic collection develop metrically and thematically. The poems reconfigure the poetic past in a </w:t>
      </w:r>
      <w:r>
        <w:rPr>
          <w:lang w:val="en-US"/>
        </w:rPr>
        <w:lastRenderedPageBreak/>
        <w:t>new fashion but depict a continual discourse similar to earlier models in terms of metre, theme, voice, and setting.</w:t>
      </w:r>
      <w:r w:rsidR="00F05F90">
        <w:rPr>
          <w:lang w:val="en-US"/>
        </w:rPr>
        <w:t xml:space="preserve"> </w:t>
      </w:r>
      <w:r>
        <w:rPr>
          <w:lang w:val="en-US"/>
        </w:rPr>
        <w:t>Callimachus</w:t>
      </w:r>
      <w:r w:rsidR="00075F5F">
        <w:rPr>
          <w:lang w:val="en-US"/>
        </w:rPr>
        <w:t>’</w:t>
      </w:r>
      <w:r>
        <w:rPr>
          <w:lang w:val="en-US"/>
        </w:rPr>
        <w:t xml:space="preserve"> </w:t>
      </w:r>
      <w:r>
        <w:rPr>
          <w:i/>
          <w:iCs/>
          <w:lang w:val="en-US"/>
        </w:rPr>
        <w:t>Iambi</w:t>
      </w:r>
      <w:r>
        <w:rPr>
          <w:lang w:val="en-US"/>
        </w:rPr>
        <w:t xml:space="preserve"> maintain a constant and complex involvement with the iambic heritage from the opening of </w:t>
      </w:r>
      <w:r>
        <w:rPr>
          <w:i/>
          <w:iCs/>
          <w:lang w:val="en-US"/>
        </w:rPr>
        <w:t>Iambus</w:t>
      </w:r>
      <w:r>
        <w:rPr>
          <w:lang w:val="en-US"/>
        </w:rPr>
        <w:t xml:space="preserve"> 1</w:t>
      </w:r>
      <w:r w:rsidR="00B33738">
        <w:rPr>
          <w:lang w:val="en-US"/>
        </w:rPr>
        <w:t xml:space="preserve"> – </w:t>
      </w:r>
      <w:r>
        <w:rPr>
          <w:lang w:val="en-US"/>
        </w:rPr>
        <w:t>which introduces a speaking character, Hipponax, who addresses a new Alexandrian audience</w:t>
      </w:r>
      <w:r w:rsidR="00B33738">
        <w:rPr>
          <w:lang w:val="en-US"/>
        </w:rPr>
        <w:t xml:space="preserve"> – </w:t>
      </w:r>
      <w:r>
        <w:rPr>
          <w:lang w:val="en-US"/>
        </w:rPr>
        <w:t xml:space="preserve">to the closing lines of </w:t>
      </w:r>
      <w:r>
        <w:rPr>
          <w:i/>
          <w:iCs/>
          <w:lang w:val="en-US"/>
        </w:rPr>
        <w:t>Iambus</w:t>
      </w:r>
      <w:r>
        <w:rPr>
          <w:lang w:val="en-US"/>
        </w:rPr>
        <w:t xml:space="preserve"> 13 where the image of Hipponax</w:t>
      </w:r>
      <w:r w:rsidR="00075F5F">
        <w:rPr>
          <w:lang w:val="en-US"/>
        </w:rPr>
        <w:t>’</w:t>
      </w:r>
      <w:r>
        <w:rPr>
          <w:lang w:val="en-US"/>
        </w:rPr>
        <w:t>s native city, a sixth-century Ephesus, is used as a negative paradigm.</w:t>
      </w:r>
      <w:r>
        <w:rPr>
          <w:b/>
          <w:bCs/>
          <w:lang w:val="en-US"/>
        </w:rPr>
        <w:t xml:space="preserve"> </w:t>
      </w:r>
    </w:p>
    <w:p w14:paraId="754944B1" w14:textId="77777777" w:rsidR="008D6BD8" w:rsidRDefault="008D6BD8" w:rsidP="003756AF">
      <w:pPr>
        <w:spacing w:after="120"/>
        <w:ind w:firstLine="425"/>
        <w:rPr>
          <w:lang w:val="en-US"/>
        </w:rPr>
      </w:pPr>
      <w:r>
        <w:rPr>
          <w:lang w:val="en-US"/>
        </w:rPr>
        <w:t>Callimachus uses different organizational structures in terms of metres, dialects, and themes while composing the poems:</w:t>
      </w:r>
    </w:p>
    <w:p w14:paraId="16DD2048" w14:textId="77777777" w:rsidR="008D6BD8" w:rsidRDefault="008D6BD8" w:rsidP="003756AF">
      <w:pPr>
        <w:widowControl w:val="0"/>
        <w:numPr>
          <w:ilvl w:val="0"/>
          <w:numId w:val="192"/>
        </w:numPr>
        <w:tabs>
          <w:tab w:val="left" w:pos="720"/>
          <w:tab w:val="center" w:pos="5387"/>
        </w:tabs>
        <w:rPr>
          <w:lang w:val="en-US"/>
        </w:rPr>
      </w:pPr>
      <w:r>
        <w:rPr>
          <w:i/>
          <w:iCs/>
          <w:lang w:val="en-US"/>
        </w:rPr>
        <w:t>Metre</w:t>
      </w:r>
      <w:r>
        <w:rPr>
          <w:lang w:val="en-US"/>
        </w:rPr>
        <w:t xml:space="preserve"> – The variety of metres which these poems exhibit is clearly not random. </w:t>
      </w:r>
      <w:r>
        <w:rPr>
          <w:i/>
          <w:iCs/>
          <w:lang w:val="en-US"/>
        </w:rPr>
        <w:t>Iambi</w:t>
      </w:r>
      <w:r>
        <w:rPr>
          <w:lang w:val="en-US"/>
        </w:rPr>
        <w:t xml:space="preserve"> 1-4 are composed in choliambics, the metre usually associated with Hipponax. The next three, </w:t>
      </w:r>
      <w:r>
        <w:rPr>
          <w:i/>
          <w:iCs/>
          <w:lang w:val="en-US"/>
        </w:rPr>
        <w:t>Iambi</w:t>
      </w:r>
      <w:r>
        <w:rPr>
          <w:lang w:val="en-US"/>
        </w:rPr>
        <w:t xml:space="preserve"> 5-7, are epodic, and there is speculation that </w:t>
      </w:r>
      <w:r>
        <w:rPr>
          <w:i/>
          <w:iCs/>
          <w:lang w:val="en-US"/>
        </w:rPr>
        <w:t>Iambus</w:t>
      </w:r>
      <w:r>
        <w:rPr>
          <w:lang w:val="en-US"/>
        </w:rPr>
        <w:t xml:space="preserve"> 8 is also epodic.</w:t>
      </w:r>
      <w:r>
        <w:rPr>
          <w:i/>
          <w:iCs/>
          <w:lang w:val="en-US"/>
        </w:rPr>
        <w:t xml:space="preserve"> Iambus</w:t>
      </w:r>
      <w:r>
        <w:rPr>
          <w:lang w:val="en-US"/>
        </w:rPr>
        <w:t xml:space="preserve"> 5 alternates choliambics with iambic dimeter. </w:t>
      </w:r>
      <w:r>
        <w:rPr>
          <w:i/>
          <w:iCs/>
          <w:lang w:val="en-US"/>
        </w:rPr>
        <w:t>Iambi</w:t>
      </w:r>
      <w:r>
        <w:rPr>
          <w:lang w:val="en-US"/>
        </w:rPr>
        <w:t xml:space="preserve"> 6 and 7 alternate iambic trimeters with ithyphallics. The only extant line of </w:t>
      </w:r>
      <w:r>
        <w:rPr>
          <w:i/>
          <w:iCs/>
          <w:lang w:val="en-US"/>
        </w:rPr>
        <w:t>Iambus</w:t>
      </w:r>
      <w:r>
        <w:rPr>
          <w:lang w:val="en-US"/>
        </w:rPr>
        <w:t xml:space="preserve"> 8 is an iambic trimeter. Iambic trimeters are also to be found in the surviving lines of </w:t>
      </w:r>
      <w:r>
        <w:rPr>
          <w:i/>
          <w:iCs/>
          <w:lang w:val="en-US"/>
        </w:rPr>
        <w:t xml:space="preserve">Iambi </w:t>
      </w:r>
      <w:r>
        <w:rPr>
          <w:lang w:val="en-US"/>
        </w:rPr>
        <w:t xml:space="preserve">9 and 10. The metre of </w:t>
      </w:r>
      <w:r>
        <w:rPr>
          <w:i/>
          <w:iCs/>
          <w:lang w:val="en-US"/>
        </w:rPr>
        <w:t>Iambus</w:t>
      </w:r>
      <w:r>
        <w:rPr>
          <w:lang w:val="en-US"/>
        </w:rPr>
        <w:t xml:space="preserve"> 11 is the brachycatalectic iambic trimeter while that of </w:t>
      </w:r>
      <w:r>
        <w:rPr>
          <w:i/>
          <w:iCs/>
          <w:lang w:val="en-US"/>
        </w:rPr>
        <w:t>Iambus</w:t>
      </w:r>
      <w:r>
        <w:rPr>
          <w:lang w:val="en-US"/>
        </w:rPr>
        <w:t xml:space="preserve"> 12 is the catalectic trochaic trimeter. Callimachus returned to the choliambic trimeter used in the first of his poems in </w:t>
      </w:r>
      <w:r>
        <w:rPr>
          <w:i/>
          <w:iCs/>
          <w:lang w:val="en-US"/>
        </w:rPr>
        <w:t>Iambus</w:t>
      </w:r>
      <w:r>
        <w:rPr>
          <w:lang w:val="en-US"/>
        </w:rPr>
        <w:t xml:space="preserve"> 13, and it is believed that the poet recycled the metre to signify the end of the poems.</w:t>
      </w:r>
    </w:p>
    <w:p w14:paraId="3C2C25E0" w14:textId="5F784512" w:rsidR="008D6BD8" w:rsidRDefault="008D6BD8" w:rsidP="003756AF">
      <w:pPr>
        <w:widowControl w:val="0"/>
        <w:numPr>
          <w:ilvl w:val="0"/>
          <w:numId w:val="192"/>
        </w:numPr>
        <w:tabs>
          <w:tab w:val="left" w:pos="720"/>
          <w:tab w:val="center" w:pos="5387"/>
        </w:tabs>
        <w:rPr>
          <w:lang w:val="en-US"/>
        </w:rPr>
      </w:pPr>
      <w:r>
        <w:rPr>
          <w:i/>
          <w:iCs/>
          <w:lang w:val="en-US"/>
        </w:rPr>
        <w:t>Dialect</w:t>
      </w:r>
      <w:r>
        <w:rPr>
          <w:lang w:val="en-US"/>
        </w:rPr>
        <w:t xml:space="preserve"> – Callimachus</w:t>
      </w:r>
      <w:r w:rsidR="00075F5F">
        <w:rPr>
          <w:lang w:val="en-US"/>
        </w:rPr>
        <w:t>’</w:t>
      </w:r>
      <w:r>
        <w:rPr>
          <w:lang w:val="en-US"/>
        </w:rPr>
        <w:t xml:space="preserve"> </w:t>
      </w:r>
      <w:r>
        <w:rPr>
          <w:i/>
          <w:iCs/>
          <w:lang w:val="en-US"/>
        </w:rPr>
        <w:t>Iambi</w:t>
      </w:r>
      <w:r>
        <w:rPr>
          <w:lang w:val="en-US"/>
        </w:rPr>
        <w:t xml:space="preserve"> are also composed in a variety of dialects</w:t>
      </w:r>
      <w:r>
        <w:rPr>
          <w:i/>
          <w:iCs/>
          <w:lang w:val="en-US"/>
        </w:rPr>
        <w:t xml:space="preserve">. </w:t>
      </w:r>
      <w:r>
        <w:rPr>
          <w:lang w:val="en-US"/>
        </w:rPr>
        <w:t xml:space="preserve">The </w:t>
      </w:r>
      <w:r w:rsidR="00532444" w:rsidRPr="003756AF">
        <w:rPr>
          <w:i/>
          <w:lang w:val="en-US"/>
        </w:rPr>
        <w:t>Iambi</w:t>
      </w:r>
      <w:r w:rsidR="00532444">
        <w:rPr>
          <w:lang w:val="en-US"/>
        </w:rPr>
        <w:t xml:space="preserve"> 1-4, 10, 12, 13 </w:t>
      </w:r>
      <w:r>
        <w:rPr>
          <w:lang w:val="en-US"/>
        </w:rPr>
        <w:t xml:space="preserve">exhibit a literary Ionic dialect. The </w:t>
      </w:r>
      <w:r w:rsidR="00532444" w:rsidRPr="003756AF">
        <w:rPr>
          <w:i/>
          <w:lang w:val="en-US"/>
        </w:rPr>
        <w:t>Iambi</w:t>
      </w:r>
      <w:r w:rsidR="00532444">
        <w:rPr>
          <w:lang w:val="en-US"/>
        </w:rPr>
        <w:t xml:space="preserve"> 6, 7, 9, 11 </w:t>
      </w:r>
      <w:r>
        <w:rPr>
          <w:lang w:val="en-US"/>
        </w:rPr>
        <w:t xml:space="preserve">are composed in a literary Doric while the seventh poem exhibits a literary Doric with some Aeolic features. </w:t>
      </w:r>
    </w:p>
    <w:p w14:paraId="04B5D34D" w14:textId="778C4692" w:rsidR="008D6BD8" w:rsidRDefault="008D6BD8" w:rsidP="003756AF">
      <w:pPr>
        <w:widowControl w:val="0"/>
        <w:numPr>
          <w:ilvl w:val="0"/>
          <w:numId w:val="192"/>
        </w:numPr>
        <w:tabs>
          <w:tab w:val="left" w:pos="720"/>
          <w:tab w:val="center" w:pos="5387"/>
        </w:tabs>
        <w:spacing w:after="120"/>
        <w:ind w:left="714" w:hanging="357"/>
        <w:rPr>
          <w:u w:val="single"/>
          <w:lang w:val="en-US"/>
        </w:rPr>
      </w:pPr>
      <w:r>
        <w:rPr>
          <w:i/>
          <w:iCs/>
          <w:lang w:val="en-US"/>
        </w:rPr>
        <w:t>Theme</w:t>
      </w:r>
      <w:r>
        <w:rPr>
          <w:lang w:val="en-US"/>
        </w:rPr>
        <w:t xml:space="preserve"> – The thirteen poems were composed with a number of themes. Two of the poems, </w:t>
      </w:r>
      <w:r>
        <w:rPr>
          <w:i/>
          <w:iCs/>
          <w:lang w:val="en-US"/>
        </w:rPr>
        <w:t xml:space="preserve">Iambi </w:t>
      </w:r>
      <w:r>
        <w:rPr>
          <w:lang w:val="en-US"/>
        </w:rPr>
        <w:t xml:space="preserve">2 and 4, are fable narratives. </w:t>
      </w:r>
      <w:r w:rsidR="009C6477" w:rsidRPr="00E60931">
        <w:rPr>
          <w:i/>
          <w:lang w:val="en-US"/>
        </w:rPr>
        <w:t>Iambi</w:t>
      </w:r>
      <w:r w:rsidR="009C6477">
        <w:rPr>
          <w:lang w:val="en-US"/>
        </w:rPr>
        <w:t xml:space="preserve"> 3 and 5</w:t>
      </w:r>
      <w:r>
        <w:rPr>
          <w:lang w:val="en-US"/>
        </w:rPr>
        <w:t xml:space="preserve"> are critiques of sexual behaviour while </w:t>
      </w:r>
      <w:r>
        <w:rPr>
          <w:i/>
          <w:iCs/>
          <w:lang w:val="en-US"/>
        </w:rPr>
        <w:t>Iambi</w:t>
      </w:r>
      <w:r>
        <w:rPr>
          <w:lang w:val="en-US"/>
        </w:rPr>
        <w:t xml:space="preserve"> </w:t>
      </w:r>
      <w:r w:rsidR="009C6477">
        <w:rPr>
          <w:lang w:val="en-US"/>
        </w:rPr>
        <w:t xml:space="preserve">6, 7, and 9 </w:t>
      </w:r>
      <w:r>
        <w:rPr>
          <w:lang w:val="en-US"/>
        </w:rPr>
        <w:t xml:space="preserve">discuss statues and their histories. </w:t>
      </w:r>
      <w:r>
        <w:rPr>
          <w:i/>
          <w:iCs/>
          <w:lang w:val="en-US"/>
        </w:rPr>
        <w:t>Iambi</w:t>
      </w:r>
      <w:r>
        <w:rPr>
          <w:lang w:val="en-US"/>
        </w:rPr>
        <w:t xml:space="preserve"> </w:t>
      </w:r>
      <w:r w:rsidR="009C6477">
        <w:rPr>
          <w:lang w:val="en-US"/>
        </w:rPr>
        <w:t xml:space="preserve">10 and 11 </w:t>
      </w:r>
      <w:r>
        <w:rPr>
          <w:lang w:val="en-US"/>
        </w:rPr>
        <w:t>speak of Aphrodite</w:t>
      </w:r>
      <w:r>
        <w:rPr>
          <w:rStyle w:val="FootnoteReference"/>
          <w:lang w:val="en-US"/>
        </w:rPr>
        <w:footnoteReference w:id="461"/>
      </w:r>
      <w:r>
        <w:rPr>
          <w:lang w:val="en-US"/>
        </w:rPr>
        <w:t xml:space="preserve">, but the former is in a more elevated context than the latter. Similarly, there is pairing between </w:t>
      </w:r>
      <w:r>
        <w:rPr>
          <w:i/>
          <w:iCs/>
          <w:lang w:val="en-US"/>
        </w:rPr>
        <w:t>Iambi</w:t>
      </w:r>
      <w:r w:rsidR="009C6477">
        <w:rPr>
          <w:i/>
          <w:iCs/>
          <w:lang w:val="en-US"/>
        </w:rPr>
        <w:t xml:space="preserve"> </w:t>
      </w:r>
      <w:r w:rsidR="009C6477" w:rsidRPr="00E60931">
        <w:rPr>
          <w:iCs/>
          <w:lang w:val="en-US"/>
        </w:rPr>
        <w:t>6 and 7</w:t>
      </w:r>
      <w:r>
        <w:rPr>
          <w:lang w:val="en-US"/>
        </w:rPr>
        <w:t xml:space="preserve">. However, the opening lines have different voices: a human speaker addresses the statue in the opening line of </w:t>
      </w:r>
      <w:r>
        <w:rPr>
          <w:i/>
          <w:iCs/>
          <w:lang w:val="en-US"/>
        </w:rPr>
        <w:t>Iambus</w:t>
      </w:r>
      <w:r>
        <w:rPr>
          <w:lang w:val="en-US"/>
        </w:rPr>
        <w:t xml:space="preserve"> 6, but it is the statue that speaks in </w:t>
      </w:r>
      <w:r>
        <w:rPr>
          <w:i/>
          <w:iCs/>
          <w:lang w:val="en-US"/>
        </w:rPr>
        <w:t xml:space="preserve">Iambus </w:t>
      </w:r>
      <w:r>
        <w:rPr>
          <w:lang w:val="en-US"/>
        </w:rPr>
        <w:t xml:space="preserve">7. </w:t>
      </w:r>
      <w:r>
        <w:rPr>
          <w:i/>
          <w:iCs/>
          <w:lang w:val="en-US"/>
        </w:rPr>
        <w:t>Iambi</w:t>
      </w:r>
      <w:r>
        <w:rPr>
          <w:lang w:val="en-US"/>
        </w:rPr>
        <w:t xml:space="preserve"> </w:t>
      </w:r>
      <w:r w:rsidR="009C6477">
        <w:rPr>
          <w:lang w:val="en-US"/>
        </w:rPr>
        <w:t xml:space="preserve">8-10 </w:t>
      </w:r>
      <w:r>
        <w:rPr>
          <w:lang w:val="en-US"/>
        </w:rPr>
        <w:t xml:space="preserve">are </w:t>
      </w:r>
      <w:r>
        <w:rPr>
          <w:i/>
          <w:iCs/>
          <w:lang w:val="en-US"/>
        </w:rPr>
        <w:t>aitia</w:t>
      </w:r>
      <w:r>
        <w:rPr>
          <w:lang w:val="en-US"/>
        </w:rPr>
        <w:t xml:space="preserve">, though they vary in terms of tone, location, and metre. While </w:t>
      </w:r>
      <w:r>
        <w:rPr>
          <w:i/>
          <w:iCs/>
          <w:lang w:val="en-US"/>
        </w:rPr>
        <w:t>Iambus</w:t>
      </w:r>
      <w:r>
        <w:rPr>
          <w:lang w:val="en-US"/>
        </w:rPr>
        <w:t xml:space="preserve"> 12 is concerned with birth, </w:t>
      </w:r>
      <w:r>
        <w:rPr>
          <w:i/>
          <w:iCs/>
          <w:lang w:val="en-US"/>
        </w:rPr>
        <w:t>Iambus</w:t>
      </w:r>
      <w:r>
        <w:rPr>
          <w:lang w:val="en-US"/>
        </w:rPr>
        <w:t xml:space="preserve"> 11 on the other hand is concerned with death. A number of the poems are concerned in a variety of ways with Callimachean </w:t>
      </w:r>
      <w:r>
        <w:rPr>
          <w:lang w:val="en-US"/>
        </w:rPr>
        <w:lastRenderedPageBreak/>
        <w:t>poetics,</w:t>
      </w:r>
      <w:r>
        <w:rPr>
          <w:rStyle w:val="FootnoteReference"/>
          <w:lang w:val="en-US"/>
        </w:rPr>
        <w:footnoteReference w:id="462"/>
      </w:r>
      <w:r>
        <w:rPr>
          <w:lang w:val="en-US"/>
        </w:rPr>
        <w:t xml:space="preserve"> including </w:t>
      </w:r>
      <w:r>
        <w:rPr>
          <w:i/>
          <w:iCs/>
          <w:lang w:val="en-US"/>
        </w:rPr>
        <w:t>Iambi</w:t>
      </w:r>
      <w:r w:rsidR="009C6477">
        <w:rPr>
          <w:i/>
          <w:iCs/>
          <w:lang w:val="en-US"/>
        </w:rPr>
        <w:t xml:space="preserve"> </w:t>
      </w:r>
      <w:r w:rsidR="009C6477">
        <w:rPr>
          <w:iCs/>
          <w:lang w:val="en-US"/>
        </w:rPr>
        <w:t>1</w:t>
      </w:r>
      <w:r w:rsidR="00BD06E6">
        <w:rPr>
          <w:iCs/>
          <w:lang w:val="en-US"/>
        </w:rPr>
        <w:t xml:space="preserve">, </w:t>
      </w:r>
      <w:r w:rsidR="009C6477">
        <w:rPr>
          <w:iCs/>
          <w:lang w:val="en-US"/>
        </w:rPr>
        <w:t>4, 12, and 13</w:t>
      </w:r>
      <w:r>
        <w:rPr>
          <w:lang w:val="en-US"/>
        </w:rPr>
        <w:t>. However, there is marked difference between these poems in the way the poet evokes poetry and poetic style in each of them.</w:t>
      </w:r>
    </w:p>
    <w:p w14:paraId="543581F1" w14:textId="59D5875C" w:rsidR="00F05F90" w:rsidRDefault="008D6BD8" w:rsidP="00F05F90">
      <w:pPr>
        <w:rPr>
          <w:rFonts w:cs="Times New Roman"/>
        </w:rPr>
      </w:pPr>
      <w:r>
        <w:rPr>
          <w:lang w:val="en-US"/>
        </w:rPr>
        <w:t xml:space="preserve">The various organizational structures indicate that the thirteen poems indeed constitute a unique collection. It has been suggested that the overall structure of the </w:t>
      </w:r>
      <w:r>
        <w:rPr>
          <w:i/>
          <w:iCs/>
          <w:lang w:val="en-US"/>
        </w:rPr>
        <w:t>Iambi</w:t>
      </w:r>
      <w:r>
        <w:rPr>
          <w:lang w:val="en-US"/>
        </w:rPr>
        <w:t xml:space="preserve"> was an architectonic one similar to the Roman poetry books.</w:t>
      </w:r>
      <w:r>
        <w:rPr>
          <w:rStyle w:val="FootnoteReference"/>
          <w:lang w:val="en-US"/>
        </w:rPr>
        <w:footnoteReference w:id="463"/>
      </w:r>
      <w:r>
        <w:rPr>
          <w:lang w:val="en-US"/>
        </w:rPr>
        <w:t xml:space="preserve"> The structure of Callimachus</w:t>
      </w:r>
      <w:r w:rsidR="00075F5F">
        <w:rPr>
          <w:lang w:val="en-US"/>
        </w:rPr>
        <w:t>’</w:t>
      </w:r>
      <w:r>
        <w:rPr>
          <w:lang w:val="en-US"/>
        </w:rPr>
        <w:t xml:space="preserve"> poems supports this assertion. Various terms have been used by different Callimachean scholars to describe this organisation. The terms ποικιλία and </w:t>
      </w:r>
      <w:r>
        <w:rPr>
          <w:i/>
          <w:iCs/>
          <w:lang w:val="en-US"/>
        </w:rPr>
        <w:t>variation</w:t>
      </w:r>
      <w:r>
        <w:rPr>
          <w:lang w:val="en-US"/>
        </w:rPr>
        <w:t xml:space="preserve"> (corresponding to the definition of </w:t>
      </w:r>
      <w:r w:rsidR="00CC0615">
        <w:rPr>
          <w:lang w:val="en-US"/>
        </w:rPr>
        <w:t>“</w:t>
      </w:r>
      <w:r>
        <w:rPr>
          <w:lang w:val="en-US"/>
        </w:rPr>
        <w:t>artistic organization</w:t>
      </w:r>
      <w:r w:rsidR="00CC0615">
        <w:rPr>
          <w:lang w:val="en-US"/>
        </w:rPr>
        <w:t>”</w:t>
      </w:r>
      <w:r>
        <w:rPr>
          <w:lang w:val="en-US"/>
        </w:rPr>
        <w:t xml:space="preserve"> proposed by Clayman), were used by Puelma and Dawson.</w:t>
      </w:r>
      <w:r>
        <w:rPr>
          <w:rStyle w:val="FootnoteReference"/>
          <w:lang w:val="en-US"/>
        </w:rPr>
        <w:footnoteReference w:id="464"/>
      </w:r>
      <w:r>
        <w:rPr>
          <w:lang w:val="en-US"/>
        </w:rPr>
        <w:t xml:space="preserve"> As well, the term πολυείδεια was used by the </w:t>
      </w:r>
      <w:r>
        <w:rPr>
          <w:i/>
          <w:iCs/>
          <w:lang w:val="en-US"/>
        </w:rPr>
        <w:t>Diegesis</w:t>
      </w:r>
      <w:r>
        <w:rPr>
          <w:lang w:val="en-US"/>
        </w:rPr>
        <w:t xml:space="preserve"> (IX 33-36) with reference to </w:t>
      </w:r>
      <w:r>
        <w:rPr>
          <w:i/>
          <w:iCs/>
          <w:lang w:val="en-US"/>
        </w:rPr>
        <w:t>Iambus</w:t>
      </w:r>
      <w:r>
        <w:rPr>
          <w:lang w:val="en-US"/>
        </w:rPr>
        <w:t xml:space="preserve"> 13: </w:t>
      </w:r>
    </w:p>
    <w:p w14:paraId="01C2AE7D" w14:textId="77777777" w:rsidR="005732E0" w:rsidRDefault="005732E0" w:rsidP="003756AF"/>
    <w:tbl>
      <w:tblPr>
        <w:tblStyle w:val="TableGrid"/>
        <w:tblW w:w="8222"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503"/>
        <w:gridCol w:w="3719"/>
      </w:tblGrid>
      <w:tr w:rsidR="005732E0" w:rsidRPr="00365089" w14:paraId="77634F5E" w14:textId="77777777" w:rsidTr="00890EB4">
        <w:tc>
          <w:tcPr>
            <w:tcW w:w="4503" w:type="dxa"/>
          </w:tcPr>
          <w:p w14:paraId="03AD1D67" w14:textId="77777777" w:rsidR="005732E0" w:rsidRPr="00365089" w:rsidRDefault="005732E0" w:rsidP="00757C56">
            <w:pPr>
              <w:pStyle w:val="Blockquote"/>
              <w:rPr>
                <w:sz w:val="22"/>
                <w:szCs w:val="22"/>
              </w:rPr>
            </w:pPr>
            <w:r w:rsidRPr="00365089">
              <w:rPr>
                <w:sz w:val="22"/>
                <w:szCs w:val="22"/>
              </w:rPr>
              <w:t>Ἐν τούτῳ πρὸς τοὺς καταμεμφομένους αὐτὸν ἐπὶ τῇ πολυειδείᾳ ὧν γράφει ποιημάτων ἀπαντῶν φησιν ὅτι</w:t>
            </w:r>
            <w:r w:rsidRPr="00365089">
              <w:rPr>
                <w:i/>
                <w:iCs/>
                <w:color w:val="6D6F03"/>
                <w:sz w:val="22"/>
                <w:szCs w:val="22"/>
              </w:rPr>
              <w:t xml:space="preserve"> </w:t>
            </w:r>
            <w:r w:rsidRPr="00365089">
              <w:rPr>
                <w:sz w:val="22"/>
                <w:szCs w:val="22"/>
              </w:rPr>
              <w:t>Ἴωνα μιμεῖται τὸν τραγικόν·</w:t>
            </w:r>
          </w:p>
        </w:tc>
        <w:tc>
          <w:tcPr>
            <w:tcW w:w="3719" w:type="dxa"/>
          </w:tcPr>
          <w:p w14:paraId="234DB69C" w14:textId="77777777" w:rsidR="005732E0" w:rsidRPr="00365089" w:rsidRDefault="005732E0" w:rsidP="00757C56">
            <w:pPr>
              <w:pStyle w:val="Blockquote"/>
              <w:rPr>
                <w:sz w:val="22"/>
                <w:szCs w:val="22"/>
              </w:rPr>
            </w:pPr>
            <w:r w:rsidRPr="00365089">
              <w:rPr>
                <w:sz w:val="22"/>
                <w:szCs w:val="22"/>
              </w:rPr>
              <w:t>In this he says to those who fault him from the variety of the poems he writes that he is imitating Ion the tragic poet</w:t>
            </w:r>
          </w:p>
        </w:tc>
      </w:tr>
    </w:tbl>
    <w:p w14:paraId="37E8BB0A" w14:textId="77777777" w:rsidR="005732E0" w:rsidRDefault="005732E0" w:rsidP="00757C56">
      <w:pPr>
        <w:pStyle w:val="Blockquote"/>
      </w:pPr>
    </w:p>
    <w:p w14:paraId="14122BFF" w14:textId="77777777" w:rsidR="0097549B" w:rsidRPr="00F05F90" w:rsidRDefault="0097549B" w:rsidP="003756AF">
      <w:pPr>
        <w:spacing w:after="120"/>
        <w:rPr>
          <w:rFonts w:cs="Times New Roman"/>
          <w:lang w:val="en-US"/>
        </w:rPr>
      </w:pPr>
      <w:r w:rsidRPr="00F05F90">
        <w:rPr>
          <w:rFonts w:cs="Times New Roman"/>
          <w:lang w:val="en-US"/>
        </w:rPr>
        <w:t xml:space="preserve">The text of </w:t>
      </w:r>
      <w:r w:rsidRPr="00F05F90">
        <w:rPr>
          <w:rFonts w:cs="Times New Roman"/>
          <w:i/>
          <w:iCs/>
          <w:lang w:val="en-US"/>
        </w:rPr>
        <w:t xml:space="preserve">Iambus </w:t>
      </w:r>
      <w:r w:rsidRPr="00F05F90">
        <w:rPr>
          <w:rFonts w:cs="Times New Roman"/>
          <w:lang w:val="en-US"/>
        </w:rPr>
        <w:t>13 does not include the term πολυείδεια,</w:t>
      </w:r>
      <w:r w:rsidRPr="00F05F90">
        <w:rPr>
          <w:rStyle w:val="FootnoteReference"/>
          <w:rFonts w:cs="Times New Roman"/>
          <w:lang w:val="en-US"/>
        </w:rPr>
        <w:footnoteReference w:id="465"/>
      </w:r>
      <w:r w:rsidRPr="00F05F90">
        <w:rPr>
          <w:rFonts w:cs="Times New Roman"/>
          <w:lang w:val="en-US"/>
        </w:rPr>
        <w:t xml:space="preserve"> but it can be seen from the poem itself that the poet used at least three types of poetic differentiation, and he may also have used other forms of poetic differentiation.</w:t>
      </w:r>
      <w:r w:rsidRPr="00F05F90">
        <w:rPr>
          <w:rStyle w:val="FootnoteReference"/>
          <w:rFonts w:cs="Times New Roman"/>
          <w:lang w:val="en-US"/>
        </w:rPr>
        <w:footnoteReference w:id="466"/>
      </w:r>
      <w:r w:rsidRPr="00F05F90">
        <w:rPr>
          <w:rFonts w:cs="Times New Roman"/>
          <w:lang w:val="en-US"/>
        </w:rPr>
        <w:t xml:space="preserve"> The three types of differentiation to which Callimachus himself alludes are: </w:t>
      </w:r>
    </w:p>
    <w:p w14:paraId="182E8F2F" w14:textId="587F37F5" w:rsidR="0097549B" w:rsidRPr="00F05F90" w:rsidRDefault="0097549B" w:rsidP="003756AF">
      <w:pPr>
        <w:widowControl w:val="0"/>
        <w:numPr>
          <w:ilvl w:val="0"/>
          <w:numId w:val="193"/>
        </w:numPr>
        <w:tabs>
          <w:tab w:val="left" w:pos="720"/>
          <w:tab w:val="center" w:pos="5387"/>
        </w:tabs>
        <w:rPr>
          <w:rFonts w:cs="Times New Roman"/>
          <w:lang w:val="en-US"/>
        </w:rPr>
      </w:pPr>
      <w:r w:rsidRPr="00F05F90">
        <w:rPr>
          <w:rFonts w:cs="Times New Roman"/>
          <w:i/>
          <w:iCs/>
          <w:lang w:val="en-US"/>
        </w:rPr>
        <w:t>dialectal</w:t>
      </w:r>
      <w:r w:rsidRPr="00F05F90">
        <w:rPr>
          <w:rFonts w:cs="Times New Roman"/>
          <w:lang w:val="en-US"/>
        </w:rPr>
        <w:t>, as shown by lines 17-18 τοῦτ</w:t>
      </w:r>
      <w:r w:rsidR="00075F5F">
        <w:rPr>
          <w:rFonts w:cs="Times New Roman"/>
          <w:lang w:val="en-US"/>
        </w:rPr>
        <w:t>’</w:t>
      </w:r>
      <w:r w:rsidRPr="00F05F90">
        <w:rPr>
          <w:rFonts w:cs="Times New Roman"/>
          <w:lang w:val="en-US"/>
        </w:rPr>
        <w:t xml:space="preserve"> ἐμπέπλεκται καὶ λαλευσ / Ἰαστὶ καὶ Δωριστὶ καὶ τ</w:t>
      </w:r>
      <w:r w:rsidRPr="003756AF">
        <w:rPr>
          <w:rFonts w:cs="Times New Roman"/>
          <w:lang w:val="en-US"/>
        </w:rPr>
        <w:t>ὸ σύμμικτ</w:t>
      </w:r>
      <w:r w:rsidRPr="00F05F90">
        <w:rPr>
          <w:rFonts w:cs="Times New Roman"/>
          <w:lang w:val="en-US"/>
        </w:rPr>
        <w:t xml:space="preserve">ον </w:t>
      </w:r>
      <w:r w:rsidR="00CC0615">
        <w:rPr>
          <w:rFonts w:cs="Times New Roman"/>
          <w:lang w:val="en-US"/>
        </w:rPr>
        <w:t>“</w:t>
      </w:r>
      <w:r w:rsidRPr="00F05F90">
        <w:rPr>
          <w:rFonts w:cs="Times New Roman"/>
          <w:lang w:val="en-US"/>
        </w:rPr>
        <w:t>this is interwoven and chattering … in the Ionic and Doric and the intermingled fashion</w:t>
      </w:r>
      <w:r w:rsidR="00CC0615">
        <w:rPr>
          <w:rFonts w:cs="Times New Roman"/>
          <w:lang w:val="en-US"/>
        </w:rPr>
        <w:t>”</w:t>
      </w:r>
      <w:r w:rsidRPr="00F05F90">
        <w:rPr>
          <w:rFonts w:cs="Times New Roman"/>
          <w:lang w:val="en-US"/>
        </w:rPr>
        <w:t>;</w:t>
      </w:r>
    </w:p>
    <w:p w14:paraId="4D37C4BB" w14:textId="44C0DCF7" w:rsidR="0097549B" w:rsidRPr="003756AF" w:rsidRDefault="0097549B" w:rsidP="003756AF">
      <w:pPr>
        <w:widowControl w:val="0"/>
        <w:numPr>
          <w:ilvl w:val="0"/>
          <w:numId w:val="193"/>
        </w:numPr>
        <w:tabs>
          <w:tab w:val="left" w:pos="720"/>
          <w:tab w:val="center" w:pos="5387"/>
        </w:tabs>
        <w:rPr>
          <w:rFonts w:cs="Times New Roman"/>
          <w:lang w:val="en-US"/>
        </w:rPr>
      </w:pPr>
      <w:r w:rsidRPr="00F05F90">
        <w:rPr>
          <w:rFonts w:cs="Times New Roman"/>
          <w:i/>
          <w:iCs/>
          <w:lang w:val="en-US"/>
        </w:rPr>
        <w:t>metrical</w:t>
      </w:r>
      <w:r w:rsidRPr="00F05F90">
        <w:rPr>
          <w:rFonts w:cs="Times New Roman"/>
          <w:lang w:val="en-US"/>
        </w:rPr>
        <w:t>, as shown by the same lines 17-18: I argue that the line 18 might hint at both the metrical and the dialectical distinctions, since Callimachus</w:t>
      </w:r>
      <w:r w:rsidR="00075F5F">
        <w:rPr>
          <w:rFonts w:cs="Times New Roman"/>
          <w:lang w:val="en-US"/>
        </w:rPr>
        <w:t>’</w:t>
      </w:r>
      <w:r w:rsidRPr="00F05F90">
        <w:rPr>
          <w:rFonts w:cs="Times New Roman"/>
          <w:lang w:val="en-US"/>
        </w:rPr>
        <w:t xml:space="preserve"> </w:t>
      </w:r>
      <w:r w:rsidRPr="00F05F90">
        <w:rPr>
          <w:rFonts w:cs="Times New Roman"/>
          <w:i/>
          <w:iCs/>
          <w:lang w:val="en-US"/>
        </w:rPr>
        <w:t>Iambi</w:t>
      </w:r>
      <w:r w:rsidRPr="00F05F90">
        <w:rPr>
          <w:rFonts w:cs="Times New Roman"/>
          <w:lang w:val="en-US"/>
        </w:rPr>
        <w:t xml:space="preserve"> show both kinds.</w:t>
      </w:r>
      <w:r w:rsidRPr="00F05F90">
        <w:rPr>
          <w:rStyle w:val="FootnoteReference"/>
          <w:rFonts w:cs="Times New Roman"/>
          <w:lang w:val="en-US"/>
        </w:rPr>
        <w:footnoteReference w:id="467"/>
      </w:r>
      <w:r w:rsidRPr="00F05F90">
        <w:rPr>
          <w:rFonts w:cs="Times New Roman"/>
          <w:lang w:val="en-US"/>
        </w:rPr>
        <w:t xml:space="preserve"> Indeed, line 17 (τοῦτ</w:t>
      </w:r>
      <w:r w:rsidR="00075F5F">
        <w:rPr>
          <w:rFonts w:cs="Times New Roman"/>
          <w:lang w:val="en-US"/>
        </w:rPr>
        <w:t>’</w:t>
      </w:r>
      <w:r w:rsidRPr="00F05F90">
        <w:rPr>
          <w:rFonts w:cs="Times New Roman"/>
          <w:lang w:val="en-US"/>
        </w:rPr>
        <w:t xml:space="preserve"> ἐμπέπλεκται καὶ λαλευσ) introduces two verbs which may refer </w:t>
      </w:r>
      <w:r w:rsidRPr="003756AF">
        <w:rPr>
          <w:rFonts w:cs="Times New Roman"/>
          <w:lang w:val="en-US"/>
        </w:rPr>
        <w:t>respectively to the rhythm (ἐμπλέκτω) and to the language (λαλεύω). The context favours a metrical interpretation of the line, but the forms Ἰαστί and Δωριστί recollect the linguistic aspect.</w:t>
      </w:r>
    </w:p>
    <w:p w14:paraId="6F831EC9" w14:textId="179450D0" w:rsidR="0097549B" w:rsidRPr="00F05F90" w:rsidRDefault="0097549B" w:rsidP="003756AF">
      <w:pPr>
        <w:widowControl w:val="0"/>
        <w:numPr>
          <w:ilvl w:val="0"/>
          <w:numId w:val="193"/>
        </w:numPr>
        <w:tabs>
          <w:tab w:val="left" w:pos="720"/>
          <w:tab w:val="center" w:pos="5387"/>
        </w:tabs>
        <w:rPr>
          <w:rFonts w:cs="Times New Roman"/>
          <w:lang w:val="en-US"/>
        </w:rPr>
      </w:pPr>
      <w:r w:rsidRPr="003756AF">
        <w:rPr>
          <w:rFonts w:cs="Times New Roman"/>
          <w:i/>
          <w:iCs/>
          <w:lang w:val="en-US"/>
        </w:rPr>
        <w:lastRenderedPageBreak/>
        <w:t>generic</w:t>
      </w:r>
      <w:r w:rsidRPr="003756AF">
        <w:rPr>
          <w:rFonts w:cs="Times New Roman"/>
          <w:lang w:val="en-US"/>
        </w:rPr>
        <w:t>, as shown by lines 31-32 σὺ πεντάμετρα συντίθει, σὺ δ</w:t>
      </w:r>
      <w:r w:rsidR="00075F5F">
        <w:rPr>
          <w:rFonts w:cs="Times New Roman"/>
          <w:lang w:val="en-US"/>
        </w:rPr>
        <w:t>’</w:t>
      </w:r>
      <w:r w:rsidRPr="003756AF">
        <w:rPr>
          <w:rFonts w:cs="Times New Roman"/>
          <w:lang w:val="en-US"/>
        </w:rPr>
        <w:t xml:space="preserve"> </w:t>
      </w:r>
      <w:r w:rsidRPr="00F05F90">
        <w:rPr>
          <w:rFonts w:cs="Times New Roman"/>
          <w:lang w:val="en-US"/>
        </w:rPr>
        <w:t>ηρῷον, / σὺ δὲ τραγῳδε</w:t>
      </w:r>
      <w:r w:rsidRPr="003756AF">
        <w:rPr>
          <w:rFonts w:cs="Times New Roman"/>
          <w:lang w:val="en-US"/>
        </w:rPr>
        <w:t>ῖ</w:t>
      </w:r>
      <w:r w:rsidRPr="00F05F90">
        <w:rPr>
          <w:rFonts w:cs="Times New Roman"/>
          <w:lang w:val="en-US"/>
        </w:rPr>
        <w:t>ν ἐκ θεῶν ἐκληρώσω</w:t>
      </w:r>
      <w:r w:rsidRPr="003756AF">
        <w:rPr>
          <w:rFonts w:cs="Times New Roman"/>
          <w:lang w:val="en-US"/>
        </w:rPr>
        <w:t xml:space="preserve"> </w:t>
      </w:r>
      <w:r w:rsidR="00CC0615">
        <w:rPr>
          <w:rFonts w:cs="Times New Roman"/>
          <w:lang w:val="en-US"/>
        </w:rPr>
        <w:t>“</w:t>
      </w:r>
      <w:r w:rsidRPr="003756AF">
        <w:rPr>
          <w:rFonts w:cs="Times New Roman"/>
          <w:lang w:val="en-US"/>
        </w:rPr>
        <w:t>you compose pentameters, you the [heroic], it is your lot from the gods to compose tragedy?</w:t>
      </w:r>
      <w:r w:rsidR="00CC0615">
        <w:rPr>
          <w:rFonts w:cs="Times New Roman"/>
          <w:lang w:val="en-US"/>
        </w:rPr>
        <w:t>”</w:t>
      </w:r>
    </w:p>
    <w:p w14:paraId="1440F198" w14:textId="46BD36FB" w:rsidR="0097549B" w:rsidRDefault="0097549B" w:rsidP="003756AF">
      <w:pPr>
        <w:spacing w:before="120"/>
        <w:rPr>
          <w:lang w:val="en-US"/>
        </w:rPr>
      </w:pPr>
      <w:r w:rsidRPr="00F05F90">
        <w:rPr>
          <w:rFonts w:cs="Times New Roman"/>
          <w:lang w:val="en-US"/>
        </w:rPr>
        <w:t xml:space="preserve">The </w:t>
      </w:r>
      <w:r w:rsidRPr="00F05F90">
        <w:rPr>
          <w:rFonts w:cs="Times New Roman"/>
          <w:i/>
          <w:iCs/>
          <w:lang w:val="en-US"/>
        </w:rPr>
        <w:t>Iambi</w:t>
      </w:r>
      <w:r w:rsidRPr="00F05F90">
        <w:rPr>
          <w:rFonts w:cs="Times New Roman"/>
          <w:lang w:val="en-US"/>
        </w:rPr>
        <w:t xml:space="preserve"> is a compilation of poems that is diverse in terms of metre, dialect, and form, all which have some antecedents in the previous iambic tradition. It is a compilation </w:t>
      </w:r>
      <w:r w:rsidR="00A60D7B" w:rsidRPr="00F05F90">
        <w:rPr>
          <w:rFonts w:cs="Times New Roman"/>
          <w:lang w:val="en-US"/>
        </w:rPr>
        <w:t xml:space="preserve">which </w:t>
      </w:r>
      <w:r w:rsidRPr="00F05F90">
        <w:rPr>
          <w:rFonts w:cs="Times New Roman"/>
          <w:lang w:val="en-US"/>
        </w:rPr>
        <w:t>combines the traditional and the innovative, the elevated and the low, and at the same time redefines and refashions the iambic tradition. The criteria for determining genre classification are partly developed by Callimachus himself.</w:t>
      </w:r>
      <w:r w:rsidRPr="00F05F90">
        <w:rPr>
          <w:rStyle w:val="FootnoteReference"/>
          <w:rFonts w:cs="Times New Roman"/>
          <w:lang w:val="en-US"/>
        </w:rPr>
        <w:footnoteReference w:id="468"/>
      </w:r>
      <w:r>
        <w:rPr>
          <w:lang w:val="en-US"/>
        </w:rPr>
        <w:t xml:space="preserve"> </w:t>
      </w:r>
    </w:p>
    <w:p w14:paraId="10643574" w14:textId="3CFA3634" w:rsidR="005732E0" w:rsidRPr="004605D8" w:rsidRDefault="005732E0" w:rsidP="00825A39">
      <w:pPr>
        <w:pStyle w:val="Heading3"/>
      </w:pPr>
      <w:r>
        <w:t xml:space="preserve">4.2 </w:t>
      </w:r>
      <w:r w:rsidRPr="004605D8">
        <w:t xml:space="preserve">The Relationship </w:t>
      </w:r>
      <w:r w:rsidRPr="004605D8">
        <w:rPr>
          <w:i/>
        </w:rPr>
        <w:t>Aetia-Iambi</w:t>
      </w:r>
    </w:p>
    <w:p w14:paraId="58229B27" w14:textId="70242253" w:rsidR="0097549B" w:rsidRPr="003756AF" w:rsidRDefault="0097549B" w:rsidP="00F05F90">
      <w:pPr>
        <w:rPr>
          <w:rFonts w:cs="Times New Roman"/>
          <w:lang w:val="en-US"/>
        </w:rPr>
      </w:pPr>
      <w:r w:rsidRPr="00F05F90">
        <w:rPr>
          <w:rFonts w:cs="Times New Roman"/>
          <w:lang w:val="en-US"/>
        </w:rPr>
        <w:t xml:space="preserve">It is clear from the </w:t>
      </w:r>
      <w:r w:rsidRPr="00F05F90">
        <w:rPr>
          <w:rFonts w:cs="Times New Roman"/>
          <w:i/>
          <w:iCs/>
          <w:lang w:val="en-US"/>
        </w:rPr>
        <w:t>Iambi</w:t>
      </w:r>
      <w:r w:rsidRPr="00F05F90">
        <w:rPr>
          <w:rFonts w:cs="Times New Roman"/>
          <w:lang w:val="en-US"/>
        </w:rPr>
        <w:t xml:space="preserve"> that the poet is perceptive about the character and characteristics of traditional genres:</w:t>
      </w:r>
      <w:r w:rsidRPr="00F05F90">
        <w:rPr>
          <w:rStyle w:val="FootnoteReference"/>
          <w:rFonts w:cs="Times New Roman"/>
          <w:lang w:val="en-US"/>
        </w:rPr>
        <w:footnoteReference w:id="469"/>
      </w:r>
      <w:r w:rsidRPr="00F05F90">
        <w:rPr>
          <w:rFonts w:cs="Times New Roman"/>
          <w:lang w:val="en-US"/>
        </w:rPr>
        <w:t xml:space="preserve"> Callimachus introduces Hipponax in the first </w:t>
      </w:r>
      <w:r w:rsidRPr="00F05F90">
        <w:rPr>
          <w:rFonts w:cs="Times New Roman"/>
          <w:i/>
          <w:iCs/>
          <w:lang w:val="en-US"/>
        </w:rPr>
        <w:t>Iambi</w:t>
      </w:r>
      <w:r w:rsidRPr="00F05F90">
        <w:rPr>
          <w:rFonts w:cs="Times New Roman"/>
          <w:lang w:val="en-US"/>
        </w:rPr>
        <w:t xml:space="preserve"> as representative of the genre.</w:t>
      </w:r>
      <w:r w:rsidRPr="00F05F90">
        <w:rPr>
          <w:rStyle w:val="FootnoteReference"/>
          <w:rFonts w:cs="Times New Roman"/>
          <w:lang w:val="en-US"/>
        </w:rPr>
        <w:footnoteReference w:id="470"/>
      </w:r>
      <w:r w:rsidR="00A60D7B" w:rsidRPr="00F05F90">
        <w:rPr>
          <w:rFonts w:cs="Times New Roman"/>
          <w:lang w:val="en-US"/>
        </w:rPr>
        <w:t xml:space="preserve"> The poet</w:t>
      </w:r>
      <w:r w:rsidR="00075F5F">
        <w:rPr>
          <w:rFonts w:cs="Times New Roman"/>
          <w:lang w:val="en-US"/>
        </w:rPr>
        <w:t>’</w:t>
      </w:r>
      <w:r w:rsidR="00A60D7B" w:rsidRPr="00F05F90">
        <w:rPr>
          <w:rFonts w:cs="Times New Roman"/>
          <w:lang w:val="en-US"/>
        </w:rPr>
        <w:t>s perceptiveness</w:t>
      </w:r>
      <w:r w:rsidRPr="00F05F90">
        <w:rPr>
          <w:rFonts w:cs="Times New Roman"/>
          <w:lang w:val="en-US"/>
        </w:rPr>
        <w:t xml:space="preserve"> is also demonstrated in the way the poet evokes the occasions in all of the thirteen poems: in each of them, Callimachus creates an appropriate dramatic situation in a traditional setting,</w:t>
      </w:r>
      <w:r w:rsidRPr="00F05F90">
        <w:rPr>
          <w:rStyle w:val="FootnoteReference"/>
          <w:rFonts w:cs="Times New Roman"/>
          <w:lang w:val="en-US"/>
        </w:rPr>
        <w:footnoteReference w:id="471"/>
      </w:r>
      <w:r w:rsidRPr="00F05F90">
        <w:rPr>
          <w:rFonts w:cs="Times New Roman"/>
          <w:lang w:val="en-US"/>
        </w:rPr>
        <w:t xml:space="preserve"> so that the literary tradition cannot go unnoticed by the audience. </w:t>
      </w:r>
    </w:p>
    <w:p w14:paraId="42A6FBFD" w14:textId="404A722D" w:rsidR="0097549B" w:rsidRPr="00F05F90" w:rsidRDefault="0097549B" w:rsidP="003756AF">
      <w:pPr>
        <w:ind w:firstLine="426"/>
        <w:rPr>
          <w:rFonts w:cs="Times New Roman"/>
          <w:lang w:val="en-US"/>
        </w:rPr>
      </w:pPr>
      <w:r w:rsidRPr="003756AF">
        <w:rPr>
          <w:rFonts w:cs="Times New Roman"/>
          <w:lang w:val="en-US"/>
        </w:rPr>
        <w:t xml:space="preserve">It must be highlighted that the elegiac </w:t>
      </w:r>
      <w:r w:rsidRPr="003756AF">
        <w:rPr>
          <w:rFonts w:cs="Times New Roman"/>
          <w:i/>
          <w:iCs/>
          <w:lang w:val="en-US"/>
        </w:rPr>
        <w:t xml:space="preserve">Aetia </w:t>
      </w:r>
      <w:r w:rsidRPr="003756AF">
        <w:rPr>
          <w:rFonts w:cs="Times New Roman"/>
          <w:lang w:val="en-US"/>
        </w:rPr>
        <w:t>are followed by these iambic poems, and that Callimachus chose this order intentionally as a scholar and compiler of archaic verse. He was very aware of the close</w:t>
      </w:r>
      <w:r w:rsidRPr="00F05F90">
        <w:rPr>
          <w:rStyle w:val="FootnoteReference"/>
          <w:rFonts w:cs="Times New Roman"/>
          <w:lang w:val="en-US"/>
        </w:rPr>
        <w:footnoteReference w:id="472"/>
      </w:r>
      <w:r w:rsidRPr="00F05F90">
        <w:rPr>
          <w:rFonts w:cs="Times New Roman"/>
          <w:lang w:val="en-US"/>
        </w:rPr>
        <w:t xml:space="preserve"> relationship between the two genres.</w:t>
      </w:r>
      <w:r w:rsidRPr="00F05F90">
        <w:rPr>
          <w:rStyle w:val="FootnoteReference"/>
          <w:rFonts w:cs="Times New Roman"/>
          <w:lang w:val="en-US"/>
        </w:rPr>
        <w:footnoteReference w:id="473"/>
      </w:r>
      <w:r w:rsidRPr="00F05F90">
        <w:rPr>
          <w:rFonts w:cs="Times New Roman"/>
          <w:lang w:val="en-US"/>
        </w:rPr>
        <w:t xml:space="preserve"> In fact, the poet depicts this</w:t>
      </w:r>
      <w:r w:rsidR="00A60D7B" w:rsidRPr="00F05F90">
        <w:rPr>
          <w:rFonts w:cs="Times New Roman"/>
          <w:lang w:val="en-US"/>
        </w:rPr>
        <w:t xml:space="preserve"> close relationship</w:t>
      </w:r>
      <w:r w:rsidRPr="00F05F90">
        <w:rPr>
          <w:rFonts w:cs="Times New Roman"/>
          <w:lang w:val="en-US"/>
        </w:rPr>
        <w:t xml:space="preserve"> in a statement included in the in the </w:t>
      </w:r>
      <w:r w:rsidR="00CC0615">
        <w:rPr>
          <w:rFonts w:cs="Times New Roman"/>
          <w:lang w:val="en-US"/>
        </w:rPr>
        <w:t>“</w:t>
      </w:r>
      <w:r w:rsidRPr="00F05F90">
        <w:rPr>
          <w:rFonts w:cs="Times New Roman"/>
          <w:lang w:val="en-US"/>
        </w:rPr>
        <w:t>epilogue</w:t>
      </w:r>
      <w:r w:rsidR="00CC0615">
        <w:rPr>
          <w:rFonts w:cs="Times New Roman"/>
          <w:lang w:val="en-US"/>
        </w:rPr>
        <w:t>”</w:t>
      </w:r>
      <w:r w:rsidRPr="00F05F90">
        <w:rPr>
          <w:rFonts w:cs="Times New Roman"/>
          <w:lang w:val="en-US"/>
        </w:rPr>
        <w:t xml:space="preserve"> to the </w:t>
      </w:r>
      <w:r w:rsidRPr="00F05F90">
        <w:rPr>
          <w:rFonts w:cs="Times New Roman"/>
          <w:i/>
          <w:iCs/>
          <w:lang w:val="en-US"/>
        </w:rPr>
        <w:lastRenderedPageBreak/>
        <w:t>Aetia</w:t>
      </w:r>
      <w:r w:rsidRPr="00F05F90">
        <w:rPr>
          <w:rStyle w:val="FootnoteReference"/>
          <w:rFonts w:cs="Times New Roman"/>
          <w:lang w:val="en-US"/>
        </w:rPr>
        <w:footnoteReference w:id="474"/>
      </w:r>
      <w:r w:rsidRPr="00F05F90">
        <w:rPr>
          <w:rFonts w:cs="Times New Roman"/>
          <w:lang w:val="en-US"/>
        </w:rPr>
        <w:t xml:space="preserve"> (fr. 112) where he indicates that he will use a new poetic form: αὐτὰρ ἐγ</w:t>
      </w:r>
      <w:r w:rsidRPr="003756AF">
        <w:rPr>
          <w:rFonts w:cs="Times New Roman"/>
          <w:lang w:val="en-US"/>
        </w:rPr>
        <w:t>ὼ Μουσέων πεζὸν ἔ</w:t>
      </w:r>
      <w:r w:rsidRPr="00F05F90">
        <w:rPr>
          <w:rFonts w:cs="Times New Roman"/>
          <w:lang w:val="en-US"/>
        </w:rPr>
        <w:t xml:space="preserve">πειμι νομόν </w:t>
      </w:r>
      <w:r w:rsidR="00CC0615">
        <w:rPr>
          <w:rFonts w:cs="Times New Roman"/>
          <w:lang w:val="en-US"/>
        </w:rPr>
        <w:t>“</w:t>
      </w:r>
      <w:r w:rsidRPr="00F05F90">
        <w:rPr>
          <w:rFonts w:cs="Times New Roman"/>
          <w:lang w:val="en-US"/>
        </w:rPr>
        <w:t>but I will go to the prosaic pasture of the Muses</w:t>
      </w:r>
      <w:r w:rsidR="00CC0615">
        <w:rPr>
          <w:rFonts w:cs="Times New Roman"/>
          <w:lang w:val="en-US"/>
        </w:rPr>
        <w:t>”</w:t>
      </w:r>
      <w:r w:rsidRPr="00F05F90">
        <w:rPr>
          <w:rFonts w:cs="Times New Roman"/>
          <w:lang w:val="en-US"/>
        </w:rPr>
        <w:t xml:space="preserve"> (fr. 112.9). The statement, which varies the phrasing used in the traditional </w:t>
      </w:r>
      <w:r w:rsidRPr="00F05F90">
        <w:rPr>
          <w:rFonts w:cs="Times New Roman"/>
          <w:i/>
          <w:iCs/>
          <w:lang w:val="en-US"/>
        </w:rPr>
        <w:t>clausula</w:t>
      </w:r>
      <w:r w:rsidRPr="00F05F90">
        <w:rPr>
          <w:rFonts w:cs="Times New Roman"/>
          <w:lang w:val="en-US"/>
        </w:rPr>
        <w:t xml:space="preserve"> of hymns,</w:t>
      </w:r>
      <w:r w:rsidRPr="00F05F90">
        <w:rPr>
          <w:rStyle w:val="FootnoteReference"/>
          <w:rFonts w:cs="Times New Roman"/>
          <w:lang w:val="en-US"/>
        </w:rPr>
        <w:footnoteReference w:id="475"/>
      </w:r>
      <w:r w:rsidRPr="00F05F90">
        <w:rPr>
          <w:rFonts w:cs="Times New Roman"/>
          <w:lang w:val="en-US"/>
        </w:rPr>
        <w:t xml:space="preserve"> notifies the audience of the poet</w:t>
      </w:r>
      <w:r w:rsidR="00075F5F">
        <w:rPr>
          <w:rFonts w:cs="Times New Roman"/>
          <w:lang w:val="en-US"/>
        </w:rPr>
        <w:t>’</w:t>
      </w:r>
      <w:r w:rsidRPr="00F05F90">
        <w:rPr>
          <w:rFonts w:cs="Times New Roman"/>
          <w:lang w:val="en-US"/>
        </w:rPr>
        <w:t xml:space="preserve">s intention to enter the </w:t>
      </w:r>
      <w:r w:rsidR="00CC0615">
        <w:rPr>
          <w:rFonts w:cs="Times New Roman"/>
          <w:lang w:val="en-US"/>
        </w:rPr>
        <w:t>“</w:t>
      </w:r>
      <w:r w:rsidRPr="00F05F90">
        <w:rPr>
          <w:rFonts w:cs="Times New Roman"/>
          <w:lang w:val="en-US"/>
        </w:rPr>
        <w:t>pasture of the pedestrian Muses.</w:t>
      </w:r>
      <w:r w:rsidR="00CC0615">
        <w:rPr>
          <w:rFonts w:cs="Times New Roman"/>
          <w:lang w:val="en-US"/>
        </w:rPr>
        <w:t>”</w:t>
      </w:r>
      <w:r w:rsidRPr="00F05F90">
        <w:rPr>
          <w:rFonts w:cs="Times New Roman"/>
          <w:lang w:val="en-US"/>
        </w:rPr>
        <w:t xml:space="preserve"> This image may have referred to other kinds of poetry: the expression </w:t>
      </w:r>
      <w:r w:rsidR="00CC0615">
        <w:rPr>
          <w:rFonts w:cs="Times New Roman"/>
          <w:lang w:val="en-US"/>
        </w:rPr>
        <w:t>“</w:t>
      </w:r>
      <w:r w:rsidRPr="00F05F90">
        <w:rPr>
          <w:rFonts w:cs="Times New Roman"/>
          <w:lang w:val="en-US"/>
        </w:rPr>
        <w:t>foot-pasture of the Muses</w:t>
      </w:r>
      <w:r w:rsidR="00CC0615">
        <w:rPr>
          <w:rFonts w:cs="Times New Roman"/>
          <w:lang w:val="en-US"/>
        </w:rPr>
        <w:t>”</w:t>
      </w:r>
      <w:r w:rsidRPr="00F05F90">
        <w:rPr>
          <w:rFonts w:cs="Times New Roman"/>
          <w:lang w:val="en-US"/>
        </w:rPr>
        <w:t xml:space="preserve"> is used elsewhere to refer to poetry in a less elevated style, as suggested by ancient evidence as Pl. </w:t>
      </w:r>
      <w:r w:rsidRPr="003756AF">
        <w:rPr>
          <w:rFonts w:cs="Times New Roman"/>
          <w:i/>
          <w:iCs/>
          <w:lang w:val="en-US"/>
        </w:rPr>
        <w:t>Soph</w:t>
      </w:r>
      <w:r w:rsidRPr="003756AF">
        <w:rPr>
          <w:rFonts w:cs="Times New Roman"/>
          <w:lang w:val="en-US"/>
        </w:rPr>
        <w:t xml:space="preserve">. 237a, 6-7 (about Parmenides) πεζῇ τε ὧδε ἑκάστοτε λέγων καὶ μετὰ μέτρων </w:t>
      </w:r>
      <w:r w:rsidR="00CC0615">
        <w:rPr>
          <w:rFonts w:cs="Times New Roman"/>
          <w:lang w:val="en-US"/>
        </w:rPr>
        <w:t>“</w:t>
      </w:r>
      <w:r w:rsidRPr="003756AF">
        <w:rPr>
          <w:rFonts w:cs="Times New Roman"/>
          <w:lang w:val="en-US"/>
        </w:rPr>
        <w:t>constantly saying it both in prose and in verse</w:t>
      </w:r>
      <w:r w:rsidR="00CC0615">
        <w:rPr>
          <w:rFonts w:cs="Times New Roman"/>
          <w:lang w:val="en-US"/>
        </w:rPr>
        <w:t>”</w:t>
      </w:r>
      <w:r w:rsidRPr="003756AF">
        <w:rPr>
          <w:rFonts w:cs="Times New Roman"/>
          <w:lang w:val="en-US"/>
        </w:rPr>
        <w:t xml:space="preserve">; and Soph. fr 16 Radt καὶ πεζὰ καὶ φορμικτά </w:t>
      </w:r>
      <w:r w:rsidR="00CC0615">
        <w:rPr>
          <w:rFonts w:cs="Times New Roman"/>
          <w:lang w:val="en-US"/>
        </w:rPr>
        <w:t>“</w:t>
      </w:r>
      <w:r w:rsidRPr="003756AF">
        <w:rPr>
          <w:rFonts w:cs="Times New Roman"/>
          <w:lang w:val="en-US"/>
        </w:rPr>
        <w:t>both without music and with kithara accompaniment.</w:t>
      </w:r>
      <w:r w:rsidR="00CC0615">
        <w:rPr>
          <w:rFonts w:cs="Times New Roman"/>
          <w:lang w:val="en-US"/>
        </w:rPr>
        <w:t>”</w:t>
      </w:r>
      <w:r w:rsidRPr="00F05F90">
        <w:rPr>
          <w:rStyle w:val="FootnoteReference"/>
          <w:rFonts w:cs="Times New Roman"/>
          <w:lang w:val="en-US"/>
        </w:rPr>
        <w:footnoteReference w:id="476"/>
      </w:r>
      <w:r w:rsidRPr="00F05F90">
        <w:rPr>
          <w:rFonts w:cs="Times New Roman"/>
          <w:lang w:val="en-US"/>
        </w:rPr>
        <w:t xml:space="preserve"> </w:t>
      </w:r>
    </w:p>
    <w:p w14:paraId="1B1DE411" w14:textId="18392A7A" w:rsidR="0097549B" w:rsidRPr="00F05F90" w:rsidRDefault="0097549B" w:rsidP="003756AF">
      <w:pPr>
        <w:spacing w:after="120"/>
        <w:ind w:firstLine="425"/>
        <w:rPr>
          <w:rFonts w:cs="Times New Roman"/>
          <w:lang w:val="en-US"/>
        </w:rPr>
      </w:pPr>
      <w:r w:rsidRPr="00F05F90">
        <w:rPr>
          <w:rFonts w:cs="Times New Roman"/>
          <w:lang w:val="en-US"/>
        </w:rPr>
        <w:t xml:space="preserve">This declaration by Callimachus is twofold: it indicates the end of the </w:t>
      </w:r>
      <w:r w:rsidRPr="00F05F90">
        <w:rPr>
          <w:rFonts w:cs="Times New Roman"/>
          <w:i/>
          <w:iCs/>
          <w:lang w:val="en-US"/>
        </w:rPr>
        <w:t>Aetia</w:t>
      </w:r>
      <w:r w:rsidRPr="00F05F90">
        <w:rPr>
          <w:rFonts w:cs="Times New Roman"/>
          <w:lang w:val="en-US"/>
        </w:rPr>
        <w:t xml:space="preserve">, and at the same time it connects the </w:t>
      </w:r>
      <w:r w:rsidRPr="003756AF">
        <w:rPr>
          <w:rFonts w:cs="Times New Roman"/>
          <w:i/>
          <w:iCs/>
          <w:lang w:val="en-US"/>
        </w:rPr>
        <w:t>Aetia</w:t>
      </w:r>
      <w:r w:rsidRPr="003756AF">
        <w:rPr>
          <w:rFonts w:cs="Times New Roman"/>
          <w:lang w:val="en-US"/>
        </w:rPr>
        <w:t xml:space="preserve"> with other works,</w:t>
      </w:r>
      <w:r w:rsidRPr="00F05F90">
        <w:rPr>
          <w:rStyle w:val="FootnoteReference"/>
          <w:rFonts w:cs="Times New Roman"/>
          <w:lang w:val="en-US"/>
        </w:rPr>
        <w:footnoteReference w:id="477"/>
      </w:r>
      <w:r w:rsidRPr="00F05F90">
        <w:rPr>
          <w:rFonts w:cs="Times New Roman"/>
          <w:lang w:val="en-US"/>
        </w:rPr>
        <w:t xml:space="preserve"> particularly the </w:t>
      </w:r>
      <w:r w:rsidRPr="00F05F90">
        <w:rPr>
          <w:rFonts w:cs="Times New Roman"/>
          <w:i/>
          <w:iCs/>
          <w:lang w:val="en-US"/>
        </w:rPr>
        <w:t>Iambi</w:t>
      </w:r>
      <w:r w:rsidRPr="00F05F90">
        <w:rPr>
          <w:rFonts w:cs="Times New Roman"/>
          <w:lang w:val="en-US"/>
        </w:rPr>
        <w:t xml:space="preserve">. </w:t>
      </w:r>
      <w:r w:rsidR="009C6477">
        <w:rPr>
          <w:rFonts w:cs="Times New Roman"/>
          <w:lang w:val="en-US"/>
        </w:rPr>
        <w:t>N</w:t>
      </w:r>
      <w:r w:rsidRPr="00F05F90">
        <w:rPr>
          <w:rFonts w:cs="Times New Roman"/>
          <w:lang w:val="en-US"/>
        </w:rPr>
        <w:t xml:space="preserve">umerous features are characteristic and are employed by the poet in both the </w:t>
      </w:r>
      <w:r w:rsidRPr="00F05F90">
        <w:rPr>
          <w:rFonts w:cs="Times New Roman"/>
          <w:i/>
          <w:iCs/>
          <w:lang w:val="en-US"/>
        </w:rPr>
        <w:t>Aetia</w:t>
      </w:r>
      <w:r w:rsidRPr="00F05F90">
        <w:rPr>
          <w:rFonts w:cs="Times New Roman"/>
          <w:lang w:val="en-US"/>
        </w:rPr>
        <w:t xml:space="preserve"> and the </w:t>
      </w:r>
      <w:r w:rsidRPr="00F05F90">
        <w:rPr>
          <w:rFonts w:cs="Times New Roman"/>
          <w:i/>
          <w:iCs/>
          <w:lang w:val="en-US"/>
        </w:rPr>
        <w:t>Iambi</w:t>
      </w:r>
      <w:r w:rsidRPr="003756AF">
        <w:rPr>
          <w:rFonts w:cs="Times New Roman"/>
          <w:lang w:val="en-US"/>
        </w:rPr>
        <w:t xml:space="preserve"> such as animal fable, moralized statuary, varying modes of didactic voice, programmatic statement, and </w:t>
      </w:r>
      <w:r w:rsidRPr="003756AF">
        <w:rPr>
          <w:rFonts w:cs="Times New Roman"/>
          <w:i/>
          <w:iCs/>
          <w:lang w:val="en-US"/>
        </w:rPr>
        <w:t>aitia</w:t>
      </w:r>
      <w:r w:rsidRPr="003756AF">
        <w:rPr>
          <w:rFonts w:cs="Times New Roman"/>
          <w:lang w:val="en-US"/>
        </w:rPr>
        <w:t xml:space="preserve"> (origins or causes).</w:t>
      </w:r>
      <w:r w:rsidR="009C6477">
        <w:rPr>
          <w:rStyle w:val="FootnoteReference"/>
          <w:rFonts w:cs="Times New Roman"/>
          <w:lang w:val="en-US"/>
        </w:rPr>
        <w:footnoteReference w:id="478"/>
      </w:r>
      <w:r w:rsidRPr="003756AF">
        <w:rPr>
          <w:rFonts w:cs="Times New Roman"/>
          <w:lang w:val="en-US"/>
        </w:rPr>
        <w:t xml:space="preserve"> This indicates that Callima</w:t>
      </w:r>
      <w:r w:rsidR="00075F5F">
        <w:rPr>
          <w:rFonts w:cs="Times New Roman"/>
          <w:lang w:val="en-US"/>
        </w:rPr>
        <w:t>chus’</w:t>
      </w:r>
      <w:r w:rsidRPr="003756AF">
        <w:rPr>
          <w:rFonts w:cs="Times New Roman"/>
          <w:lang w:val="en-US"/>
        </w:rPr>
        <w:t xml:space="preserve"> ordering of </w:t>
      </w:r>
      <w:r w:rsidRPr="003756AF">
        <w:rPr>
          <w:rFonts w:cs="Times New Roman"/>
          <w:i/>
          <w:iCs/>
          <w:lang w:val="en-US"/>
        </w:rPr>
        <w:t xml:space="preserve">Aetia </w:t>
      </w:r>
      <w:r w:rsidRPr="003756AF">
        <w:rPr>
          <w:rFonts w:cs="Times New Roman"/>
          <w:lang w:val="en-US"/>
        </w:rPr>
        <w:t xml:space="preserve">followed by </w:t>
      </w:r>
      <w:r w:rsidRPr="003756AF">
        <w:rPr>
          <w:rFonts w:cs="Times New Roman"/>
          <w:i/>
          <w:iCs/>
          <w:lang w:val="en-US"/>
        </w:rPr>
        <w:t>Iambi</w:t>
      </w:r>
      <w:r w:rsidRPr="003756AF">
        <w:rPr>
          <w:rFonts w:cs="Times New Roman"/>
          <w:lang w:val="en-US"/>
        </w:rPr>
        <w:t xml:space="preserve"> is influenced by more factors than their Ionic origin and generic relationship. Two passages of </w:t>
      </w:r>
      <w:r w:rsidRPr="003756AF">
        <w:rPr>
          <w:rFonts w:cs="Times New Roman"/>
          <w:i/>
          <w:iCs/>
          <w:lang w:val="en-US"/>
        </w:rPr>
        <w:t>Iambus 1</w:t>
      </w:r>
      <w:r w:rsidRPr="003756AF">
        <w:rPr>
          <w:rFonts w:cs="Times New Roman"/>
          <w:lang w:val="en-US"/>
        </w:rPr>
        <w:t xml:space="preserve"> can be compared to demonstate that there is a close relationship between </w:t>
      </w:r>
      <w:r w:rsidRPr="003756AF">
        <w:rPr>
          <w:rFonts w:cs="Times New Roman"/>
          <w:i/>
          <w:iCs/>
          <w:lang w:val="en-US"/>
        </w:rPr>
        <w:t>Aetia</w:t>
      </w:r>
      <w:r w:rsidRPr="003756AF">
        <w:rPr>
          <w:rFonts w:cs="Times New Roman"/>
          <w:lang w:val="en-US"/>
        </w:rPr>
        <w:t xml:space="preserve"> and </w:t>
      </w:r>
      <w:r w:rsidRPr="003756AF">
        <w:rPr>
          <w:rFonts w:cs="Times New Roman"/>
          <w:i/>
          <w:iCs/>
          <w:lang w:val="en-US"/>
        </w:rPr>
        <w:t>Iambi</w:t>
      </w:r>
      <w:r w:rsidRPr="003756AF">
        <w:rPr>
          <w:rFonts w:cs="Times New Roman"/>
          <w:lang w:val="en-US"/>
        </w:rPr>
        <w:t>:</w:t>
      </w:r>
      <w:r w:rsidRPr="00F05F90">
        <w:rPr>
          <w:rStyle w:val="FootnoteReference"/>
          <w:rFonts w:cs="Times New Roman"/>
          <w:lang w:val="en-US"/>
        </w:rPr>
        <w:footnoteReference w:id="479"/>
      </w:r>
    </w:p>
    <w:p w14:paraId="64C31AC5" w14:textId="58B0BAF9" w:rsidR="0097549B" w:rsidRPr="003756AF" w:rsidRDefault="0097549B" w:rsidP="003756AF">
      <w:pPr>
        <w:widowControl w:val="0"/>
        <w:numPr>
          <w:ilvl w:val="0"/>
          <w:numId w:val="194"/>
        </w:numPr>
        <w:tabs>
          <w:tab w:val="left" w:pos="720"/>
          <w:tab w:val="center" w:pos="5387"/>
        </w:tabs>
        <w:rPr>
          <w:rFonts w:cs="Times New Roman"/>
          <w:lang w:val="en-US"/>
        </w:rPr>
      </w:pPr>
      <w:r w:rsidRPr="00F05F90">
        <w:rPr>
          <w:rFonts w:cs="Times New Roman"/>
          <w:lang w:val="en-US"/>
        </w:rPr>
        <w:t xml:space="preserve">The opening lines of </w:t>
      </w:r>
      <w:r w:rsidRPr="00F05F90">
        <w:rPr>
          <w:rFonts w:cs="Times New Roman"/>
          <w:i/>
          <w:iCs/>
          <w:lang w:val="en-US"/>
        </w:rPr>
        <w:t>Iambus</w:t>
      </w:r>
      <w:r w:rsidRPr="00F05F90">
        <w:rPr>
          <w:rFonts w:cs="Times New Roman"/>
          <w:lang w:val="en-US"/>
        </w:rPr>
        <w:t xml:space="preserve"> 1, ἀκούσαθ</w:t>
      </w:r>
      <w:r w:rsidR="00075F5F">
        <w:rPr>
          <w:rFonts w:cs="Times New Roman"/>
          <w:lang w:val="en-US"/>
        </w:rPr>
        <w:t>’</w:t>
      </w:r>
      <w:r w:rsidRPr="00F05F90">
        <w:rPr>
          <w:rFonts w:cs="Times New Roman"/>
          <w:lang w:val="en-US"/>
        </w:rPr>
        <w:t xml:space="preserve"> Ἱ</w:t>
      </w:r>
      <w:r w:rsidRPr="003756AF">
        <w:rPr>
          <w:rFonts w:cs="Times New Roman"/>
          <w:lang w:val="en-US"/>
        </w:rPr>
        <w:t>ππώνακτος· οὐ γὰρ ἀλλ</w:t>
      </w:r>
      <w:r w:rsidR="00075F5F">
        <w:rPr>
          <w:rFonts w:cs="Times New Roman"/>
          <w:lang w:val="en-US"/>
        </w:rPr>
        <w:t>’</w:t>
      </w:r>
      <w:r w:rsidRPr="003756AF">
        <w:rPr>
          <w:rFonts w:cs="Times New Roman"/>
          <w:lang w:val="en-US"/>
        </w:rPr>
        <w:t xml:space="preserve"> ἥκω / … / φέρων ἴαμβον (1-3) (spoken by Hipponax as he emerges from Hades) evoke Hesiod</w:t>
      </w:r>
      <w:r w:rsidR="00075F5F">
        <w:rPr>
          <w:rFonts w:cs="Times New Roman"/>
          <w:lang w:val="en-US"/>
        </w:rPr>
        <w:t>’</w:t>
      </w:r>
      <w:r w:rsidRPr="003756AF">
        <w:rPr>
          <w:rFonts w:cs="Times New Roman"/>
          <w:lang w:val="en-US"/>
        </w:rPr>
        <w:t xml:space="preserve">s meeting with the Muses on Mt. Helicon, in comic contrast with the reworking of this scene at the start of the </w:t>
      </w:r>
      <w:r w:rsidRPr="003756AF">
        <w:rPr>
          <w:rFonts w:cs="Times New Roman"/>
          <w:i/>
          <w:iCs/>
          <w:lang w:val="en-US"/>
        </w:rPr>
        <w:t>Aetia</w:t>
      </w:r>
      <w:r w:rsidRPr="003756AF">
        <w:rPr>
          <w:rFonts w:cs="Times New Roman"/>
          <w:lang w:val="en-US"/>
        </w:rPr>
        <w:t xml:space="preserve"> and its narrator</w:t>
      </w:r>
      <w:r w:rsidR="00075F5F">
        <w:rPr>
          <w:rFonts w:cs="Times New Roman"/>
          <w:lang w:val="en-US"/>
        </w:rPr>
        <w:t>’</w:t>
      </w:r>
      <w:r w:rsidRPr="003756AF">
        <w:rPr>
          <w:rFonts w:cs="Times New Roman"/>
          <w:lang w:val="en-US"/>
        </w:rPr>
        <w:t>s elevated farewell. Yet the initial ἀκούσαθ</w:t>
      </w:r>
      <w:r w:rsidR="00075F5F">
        <w:rPr>
          <w:rFonts w:cs="Times New Roman"/>
          <w:lang w:val="en-US"/>
        </w:rPr>
        <w:t>’</w:t>
      </w:r>
      <w:r w:rsidRPr="003756AF">
        <w:rPr>
          <w:rFonts w:cs="Times New Roman"/>
          <w:lang w:val="en-US"/>
        </w:rPr>
        <w:t xml:space="preserve"> may also evoke the high style of the opening of Pindar</w:t>
      </w:r>
      <w:r w:rsidR="00075F5F">
        <w:rPr>
          <w:rFonts w:cs="Times New Roman"/>
          <w:lang w:val="en-US"/>
        </w:rPr>
        <w:t>’</w:t>
      </w:r>
      <w:r w:rsidRPr="003756AF">
        <w:rPr>
          <w:rFonts w:cs="Times New Roman"/>
          <w:lang w:val="en-US"/>
        </w:rPr>
        <w:t xml:space="preserve">s </w:t>
      </w:r>
      <w:r w:rsidRPr="003756AF">
        <w:rPr>
          <w:rFonts w:cs="Times New Roman"/>
          <w:i/>
          <w:iCs/>
          <w:lang w:val="en-US"/>
        </w:rPr>
        <w:t>Pythian</w:t>
      </w:r>
      <w:r w:rsidRPr="003756AF">
        <w:rPr>
          <w:rFonts w:cs="Times New Roman"/>
          <w:lang w:val="en-US"/>
        </w:rPr>
        <w:t xml:space="preserve"> 6, ἀκούσατ</w:t>
      </w:r>
      <w:r w:rsidR="00075F5F">
        <w:rPr>
          <w:rFonts w:cs="Times New Roman"/>
          <w:lang w:val="en-US"/>
        </w:rPr>
        <w:t>’</w:t>
      </w:r>
      <w:r w:rsidRPr="003756AF">
        <w:rPr>
          <w:rFonts w:cs="Times New Roman"/>
          <w:lang w:val="en-US"/>
        </w:rPr>
        <w:t xml:space="preserve">· ἦ γὰρ ἑλικώπιδος Ἀφροδίτας (1), causing intentional generic confusion. </w:t>
      </w:r>
    </w:p>
    <w:p w14:paraId="2BE6D30E" w14:textId="36D0CDE3" w:rsidR="0097549B" w:rsidRPr="00F05F90" w:rsidRDefault="0097549B" w:rsidP="003756AF">
      <w:pPr>
        <w:widowControl w:val="0"/>
        <w:numPr>
          <w:ilvl w:val="0"/>
          <w:numId w:val="194"/>
        </w:numPr>
        <w:tabs>
          <w:tab w:val="left" w:pos="720"/>
          <w:tab w:val="center" w:pos="5387"/>
        </w:tabs>
        <w:rPr>
          <w:rFonts w:cs="Times New Roman"/>
          <w:lang w:val="en-US"/>
        </w:rPr>
      </w:pPr>
      <w:r w:rsidRPr="003756AF">
        <w:rPr>
          <w:rFonts w:cs="Times New Roman"/>
          <w:lang w:val="en-US"/>
        </w:rPr>
        <w:t xml:space="preserve">The Muses, who are said to nibble green figs in </w:t>
      </w:r>
      <w:r w:rsidRPr="003756AF">
        <w:rPr>
          <w:rFonts w:cs="Times New Roman"/>
          <w:i/>
          <w:iCs/>
          <w:lang w:val="en-US"/>
        </w:rPr>
        <w:t>Iambus</w:t>
      </w:r>
      <w:r w:rsidRPr="003756AF">
        <w:rPr>
          <w:rFonts w:cs="Times New Roman"/>
          <w:lang w:val="en-US"/>
        </w:rPr>
        <w:t xml:space="preserve"> 1.92-93 (τὰς </w:t>
      </w:r>
      <w:hyperlink r:id="rId82" w:history="1">
        <w:r w:rsidRPr="00F05F90">
          <w:rPr>
            <w:rFonts w:cs="Times New Roman"/>
            <w:lang w:val="en-US"/>
          </w:rPr>
          <w:t>[</w:t>
        </w:r>
      </w:hyperlink>
      <w:r w:rsidRPr="00F05F90">
        <w:rPr>
          <w:rFonts w:cs="Times New Roman"/>
          <w:lang w:val="en-US"/>
        </w:rPr>
        <w:t>Μο</w:t>
      </w:r>
      <w:hyperlink r:id="rId83" w:history="1">
        <w:r w:rsidRPr="00F05F90">
          <w:rPr>
            <w:rFonts w:cs="Times New Roman"/>
            <w:lang w:val="en-US"/>
          </w:rPr>
          <w:t>]</w:t>
        </w:r>
      </w:hyperlink>
      <w:r w:rsidRPr="00F05F90">
        <w:rPr>
          <w:rFonts w:cs="Times New Roman"/>
          <w:lang w:val="en-US"/>
        </w:rPr>
        <w:t xml:space="preserve">ύσας / </w:t>
      </w:r>
      <w:r w:rsidRPr="00F05F90">
        <w:rPr>
          <w:rFonts w:cs="Times New Roman"/>
          <w:lang w:val="en-US"/>
        </w:rPr>
        <w:lastRenderedPageBreak/>
        <w:t xml:space="preserve">… </w:t>
      </w:r>
      <w:hyperlink r:id="rId84" w:history="1">
        <w:r w:rsidRPr="00F05F90">
          <w:rPr>
            <w:rFonts w:cs="Times New Roman"/>
            <w:lang w:val="en-US"/>
          </w:rPr>
          <w:t>]</w:t>
        </w:r>
      </w:hyperlink>
      <w:hyperlink r:id="rId85" w:history="1">
        <w:r w:rsidRPr="00F05F90">
          <w:rPr>
            <w:rFonts w:cs="Times New Roman"/>
            <w:lang w:val="en-US"/>
          </w:rPr>
          <w:t>.</w:t>
        </w:r>
      </w:hyperlink>
      <w:r w:rsidRPr="00F05F90">
        <w:rPr>
          <w:rFonts w:cs="Times New Roman"/>
          <w:lang w:val="en-US"/>
        </w:rPr>
        <w:t>οι χλωρὰ σῦκα</w:t>
      </w:r>
      <w:r w:rsidRPr="003756AF">
        <w:rPr>
          <w:rFonts w:cs="Times New Roman"/>
          <w:lang w:val="en-US"/>
        </w:rPr>
        <w:t xml:space="preserve"> </w:t>
      </w:r>
      <w:r w:rsidRPr="00F05F90">
        <w:rPr>
          <w:rFonts w:cs="Times New Roman"/>
          <w:lang w:val="en-US"/>
        </w:rPr>
        <w:t>τρωγούσα</w:t>
      </w:r>
      <w:hyperlink r:id="rId86" w:history="1">
        <w:r w:rsidRPr="00F05F90">
          <w:rPr>
            <w:rFonts w:cs="Times New Roman"/>
            <w:lang w:val="en-US"/>
          </w:rPr>
          <w:t>[</w:t>
        </w:r>
      </w:hyperlink>
      <w:r w:rsidRPr="00F05F90">
        <w:rPr>
          <w:rFonts w:cs="Times New Roman"/>
          <w:lang w:val="en-US"/>
        </w:rPr>
        <w:t>ς) are still visiting pastures as the Heliconian Muses, but iambic pastures seems a little poorer than those portrayed by Hesiod of the elegiac Muses.</w:t>
      </w:r>
    </w:p>
    <w:p w14:paraId="513B919B" w14:textId="5389FFC9" w:rsidR="0097549B" w:rsidRPr="00F05F90" w:rsidRDefault="0097549B" w:rsidP="003756AF">
      <w:pPr>
        <w:spacing w:before="120"/>
        <w:rPr>
          <w:rFonts w:cs="Times New Roman"/>
          <w:lang w:val="en-US"/>
        </w:rPr>
      </w:pPr>
      <w:r w:rsidRPr="00F05F90">
        <w:rPr>
          <w:rFonts w:cs="Times New Roman"/>
          <w:lang w:val="en-US"/>
        </w:rPr>
        <w:t xml:space="preserve">Although Callimachus mixes elegiac and iambic themes and features </w:t>
      </w:r>
      <w:r w:rsidR="00075F5F">
        <w:rPr>
          <w:rFonts w:cs="Times New Roman"/>
          <w:lang w:val="en-US"/>
        </w:rPr>
        <w:t>–</w:t>
      </w:r>
      <w:r w:rsidRPr="00F05F90">
        <w:rPr>
          <w:rFonts w:cs="Times New Roman"/>
          <w:lang w:val="en-US"/>
        </w:rPr>
        <w:t xml:space="preserve"> something that is particularly evident in the </w:t>
      </w:r>
      <w:r w:rsidRPr="00F05F90">
        <w:rPr>
          <w:rFonts w:cs="Times New Roman"/>
          <w:i/>
          <w:iCs/>
          <w:lang w:val="en-US"/>
        </w:rPr>
        <w:t>Iambi</w:t>
      </w:r>
      <w:r w:rsidRPr="00F05F90">
        <w:rPr>
          <w:rFonts w:cs="Times New Roman"/>
          <w:lang w:val="en-US"/>
        </w:rPr>
        <w:t xml:space="preserve"> </w:t>
      </w:r>
      <w:r w:rsidR="00075F5F">
        <w:rPr>
          <w:rFonts w:cs="Times New Roman"/>
          <w:lang w:val="en-US"/>
        </w:rPr>
        <w:t>–</w:t>
      </w:r>
      <w:r w:rsidRPr="00F05F90">
        <w:rPr>
          <w:rFonts w:cs="Times New Roman"/>
          <w:lang w:val="en-US"/>
        </w:rPr>
        <w:t xml:space="preserve"> the composition of both the </w:t>
      </w:r>
      <w:r w:rsidRPr="00F05F90">
        <w:rPr>
          <w:rFonts w:cs="Times New Roman"/>
          <w:i/>
          <w:iCs/>
          <w:lang w:val="en-US"/>
        </w:rPr>
        <w:t>Aetia</w:t>
      </w:r>
      <w:r w:rsidRPr="003756AF">
        <w:rPr>
          <w:rFonts w:cs="Times New Roman"/>
          <w:lang w:val="en-US"/>
        </w:rPr>
        <w:t xml:space="preserve"> and the </w:t>
      </w:r>
      <w:r w:rsidRPr="003756AF">
        <w:rPr>
          <w:rFonts w:cs="Times New Roman"/>
          <w:i/>
          <w:iCs/>
          <w:lang w:val="en-US"/>
        </w:rPr>
        <w:t>Iambi</w:t>
      </w:r>
      <w:r w:rsidRPr="003756AF">
        <w:rPr>
          <w:rFonts w:cs="Times New Roman"/>
          <w:lang w:val="en-US"/>
        </w:rPr>
        <w:t xml:space="preserve"> reflects earlier literary tradition and earlier poets of their respective genres. The juxtaposing of the </w:t>
      </w:r>
      <w:r w:rsidRPr="003756AF">
        <w:rPr>
          <w:rFonts w:cs="Times New Roman"/>
          <w:i/>
          <w:iCs/>
          <w:lang w:val="en-US"/>
        </w:rPr>
        <w:t>Aetia</w:t>
      </w:r>
      <w:r w:rsidRPr="003756AF">
        <w:rPr>
          <w:rFonts w:cs="Times New Roman"/>
          <w:lang w:val="en-US"/>
        </w:rPr>
        <w:t xml:space="preserve"> and the </w:t>
      </w:r>
      <w:r w:rsidRPr="003756AF">
        <w:rPr>
          <w:rFonts w:cs="Times New Roman"/>
          <w:i/>
          <w:iCs/>
          <w:lang w:val="en-US"/>
        </w:rPr>
        <w:t>Iambi</w:t>
      </w:r>
      <w:r w:rsidRPr="003756AF">
        <w:rPr>
          <w:rFonts w:cs="Times New Roman"/>
          <w:lang w:val="en-US"/>
        </w:rPr>
        <w:t xml:space="preserve"> can therefore be thought of as a programmatic signal of the versatility and variety of Callimachus</w:t>
      </w:r>
      <w:r w:rsidR="00075F5F">
        <w:rPr>
          <w:rFonts w:cs="Times New Roman"/>
          <w:lang w:val="en-US"/>
        </w:rPr>
        <w:t>’</w:t>
      </w:r>
      <w:r w:rsidRPr="003756AF">
        <w:rPr>
          <w:rFonts w:cs="Times New Roman"/>
          <w:lang w:val="en-US"/>
        </w:rPr>
        <w:t xml:space="preserve"> </w:t>
      </w:r>
      <w:r w:rsidRPr="003756AF">
        <w:rPr>
          <w:rFonts w:cs="Times New Roman"/>
          <w:i/>
          <w:iCs/>
          <w:lang w:val="en-US"/>
        </w:rPr>
        <w:t>oeuvre</w:t>
      </w:r>
      <w:r w:rsidRPr="003756AF">
        <w:rPr>
          <w:rFonts w:cs="Times New Roman"/>
          <w:lang w:val="en-US"/>
        </w:rPr>
        <w:t>,</w:t>
      </w:r>
      <w:r w:rsidRPr="00F05F90">
        <w:rPr>
          <w:rStyle w:val="FootnoteReference"/>
          <w:rFonts w:cs="Times New Roman"/>
          <w:lang w:val="en-US"/>
        </w:rPr>
        <w:footnoteReference w:id="480"/>
      </w:r>
      <w:r w:rsidRPr="00F05F90">
        <w:rPr>
          <w:rFonts w:cs="Times New Roman"/>
          <w:lang w:val="en-US"/>
        </w:rPr>
        <w:t xml:space="preserve"> which presages these issues in the last poem of the</w:t>
      </w:r>
      <w:r w:rsidRPr="00F05F90">
        <w:rPr>
          <w:rFonts w:cs="Times New Roman"/>
          <w:i/>
          <w:iCs/>
          <w:lang w:val="en-US"/>
        </w:rPr>
        <w:t xml:space="preserve"> Iambi</w:t>
      </w:r>
      <w:r w:rsidRPr="00F05F90">
        <w:rPr>
          <w:rFonts w:cs="Times New Roman"/>
          <w:lang w:val="en-US"/>
        </w:rPr>
        <w:t xml:space="preserve">. </w:t>
      </w:r>
    </w:p>
    <w:p w14:paraId="7E422DE4" w14:textId="0BD7B16F" w:rsidR="005732E0" w:rsidRDefault="005732E0" w:rsidP="00757C56">
      <w:pPr>
        <w:pStyle w:val="Heading3"/>
      </w:pPr>
      <w:r>
        <w:t xml:space="preserve">4.3 </w:t>
      </w:r>
      <w:r w:rsidRPr="004605D8">
        <w:t>Hellenistic Theories of Genre</w:t>
      </w:r>
    </w:p>
    <w:p w14:paraId="65F04A5D" w14:textId="040CBE47" w:rsidR="0097549B" w:rsidRDefault="0097549B" w:rsidP="0097549B">
      <w:pPr>
        <w:rPr>
          <w:lang w:val="en-US"/>
        </w:rPr>
      </w:pPr>
      <w:r>
        <w:rPr>
          <w:lang w:val="en-US"/>
        </w:rPr>
        <w:t xml:space="preserve">The mixed style characteristic of the </w:t>
      </w:r>
      <w:r>
        <w:rPr>
          <w:i/>
          <w:iCs/>
          <w:lang w:val="en-US"/>
        </w:rPr>
        <w:t>Iambi</w:t>
      </w:r>
      <w:r>
        <w:rPr>
          <w:lang w:val="en-US"/>
        </w:rPr>
        <w:t xml:space="preserve"> partly reflects the new Hellenistic conceptualization of genres. In the Hellenistic period, genres are no longer considered to be closed sets of poetic types that are organized hierarchically. Philodemus of Gadara</w:t>
      </w:r>
      <w:r w:rsidR="00075F5F">
        <w:rPr>
          <w:lang w:val="en-US"/>
        </w:rPr>
        <w:t>’</w:t>
      </w:r>
      <w:r>
        <w:rPr>
          <w:lang w:val="en-US"/>
        </w:rPr>
        <w:t xml:space="preserve">s </w:t>
      </w:r>
      <w:r>
        <w:rPr>
          <w:i/>
          <w:iCs/>
          <w:lang w:val="en-US"/>
        </w:rPr>
        <w:t xml:space="preserve">On Poems </w:t>
      </w:r>
      <w:r>
        <w:rPr>
          <w:lang w:val="en-US"/>
        </w:rPr>
        <w:t>(Περὶ Ποιημάτων)</w:t>
      </w:r>
      <w:r w:rsidR="009C6477">
        <w:rPr>
          <w:lang w:val="en-US"/>
        </w:rPr>
        <w:t xml:space="preserve"> reveals </w:t>
      </w:r>
      <w:r>
        <w:rPr>
          <w:lang w:val="en-US"/>
        </w:rPr>
        <w:t>traces of the blossoming world of literary criticism of the third and fourth centuries BCE. Scholars such as Janko and Asmis have significantly contributed to modern understanding of the Stoic and Epicurean approaches to poetics.</w:t>
      </w:r>
      <w:r>
        <w:rPr>
          <w:rStyle w:val="FootnoteReference"/>
          <w:lang w:val="en-US"/>
        </w:rPr>
        <w:footnoteReference w:id="481"/>
      </w:r>
      <w:r>
        <w:rPr>
          <w:lang w:val="en-US"/>
        </w:rPr>
        <w:t xml:space="preserve"> An account of Philodemus</w:t>
      </w:r>
      <w:r w:rsidR="00075F5F">
        <w:rPr>
          <w:lang w:val="en-US"/>
        </w:rPr>
        <w:t>’</w:t>
      </w:r>
      <w:r>
        <w:rPr>
          <w:lang w:val="en-US"/>
        </w:rPr>
        <w:t xml:space="preserve"> views of genre</w:t>
      </w:r>
      <w:r w:rsidR="00A53A10">
        <w:rPr>
          <w:lang w:val="en-US"/>
        </w:rPr>
        <w:t xml:space="preserve"> – </w:t>
      </w:r>
      <w:r>
        <w:rPr>
          <w:lang w:val="en-US"/>
        </w:rPr>
        <w:t>and the views of those he criticized</w:t>
      </w:r>
      <w:r w:rsidR="00A53A10">
        <w:rPr>
          <w:lang w:val="en-US"/>
        </w:rPr>
        <w:t xml:space="preserve"> – </w:t>
      </w:r>
      <w:r>
        <w:rPr>
          <w:lang w:val="en-US"/>
        </w:rPr>
        <w:t>has been detailed in recent works by Fantuzzi and Hunter, which depict imbrications of both Hellenistic and Roman poetic practice.</w:t>
      </w:r>
      <w:r>
        <w:rPr>
          <w:rStyle w:val="FootnoteReference"/>
          <w:lang w:val="en-US"/>
        </w:rPr>
        <w:footnoteReference w:id="482"/>
      </w:r>
      <w:r>
        <w:rPr>
          <w:lang w:val="en-US"/>
        </w:rPr>
        <w:t xml:space="preserve"> </w:t>
      </w:r>
    </w:p>
    <w:p w14:paraId="141609E5" w14:textId="5A602EB3" w:rsidR="0097549B" w:rsidRDefault="0097549B" w:rsidP="00B03290">
      <w:pPr>
        <w:ind w:firstLine="426"/>
        <w:rPr>
          <w:lang w:val="en-US"/>
        </w:rPr>
      </w:pPr>
      <w:r>
        <w:rPr>
          <w:lang w:val="en-US"/>
        </w:rPr>
        <w:t xml:space="preserve">Philodemus in his work </w:t>
      </w:r>
      <w:r>
        <w:rPr>
          <w:i/>
          <w:iCs/>
          <w:lang w:val="en-US"/>
        </w:rPr>
        <w:t>On Poems</w:t>
      </w:r>
      <w:r>
        <w:rPr>
          <w:lang w:val="en-US"/>
        </w:rPr>
        <w:t xml:space="preserve"> elaborates on and </w:t>
      </w:r>
      <w:r w:rsidR="00075F5F">
        <w:rPr>
          <w:lang w:val="en-US"/>
        </w:rPr>
        <w:t xml:space="preserve">rejects </w:t>
      </w:r>
      <w:r>
        <w:rPr>
          <w:lang w:val="en-US"/>
        </w:rPr>
        <w:t xml:space="preserve">some poetic theories, especially those put forward by Stoic scholars, called </w:t>
      </w:r>
      <w:r w:rsidR="00CC0615">
        <w:rPr>
          <w:lang w:val="en-US"/>
        </w:rPr>
        <w:t>“</w:t>
      </w:r>
      <w:r>
        <w:rPr>
          <w:lang w:val="en-US"/>
        </w:rPr>
        <w:t>the critics</w:t>
      </w:r>
      <w:r w:rsidR="00CC0615">
        <w:rPr>
          <w:lang w:val="en-US"/>
        </w:rPr>
        <w:t>”</w:t>
      </w:r>
      <w:r>
        <w:rPr>
          <w:lang w:val="en-US"/>
        </w:rPr>
        <w:t xml:space="preserve"> (οἱ κριτικοί),</w:t>
      </w:r>
      <w:r>
        <w:rPr>
          <w:rStyle w:val="FootnoteReference"/>
          <w:lang w:val="en-US"/>
        </w:rPr>
        <w:footnoteReference w:id="483"/>
      </w:r>
      <w:r>
        <w:rPr>
          <w:lang w:val="en-US"/>
        </w:rPr>
        <w:t xml:space="preserve"> showing that an interest in genre theory flourished at the beginning of Hellenistic period.</w:t>
      </w:r>
      <w:r>
        <w:rPr>
          <w:rStyle w:val="FootnoteReference"/>
          <w:lang w:val="en-US"/>
        </w:rPr>
        <w:footnoteReference w:id="484"/>
      </w:r>
      <w:r>
        <w:rPr>
          <w:lang w:val="en-US"/>
        </w:rPr>
        <w:t xml:space="preserve"> Even though his presentation is disjointed and provisional, Philodemus</w:t>
      </w:r>
      <w:r w:rsidR="00075F5F">
        <w:rPr>
          <w:lang w:val="en-US"/>
        </w:rPr>
        <w:t>’</w:t>
      </w:r>
      <w:r>
        <w:rPr>
          <w:lang w:val="en-US"/>
        </w:rPr>
        <w:t xml:space="preserve"> views on the poetic genres provide an understanding of the alternative view in an intellectual context with regard to </w:t>
      </w:r>
      <w:r w:rsidR="00075F5F">
        <w:rPr>
          <w:lang w:val="en-US"/>
        </w:rPr>
        <w:t xml:space="preserve">iambic poetry </w:t>
      </w:r>
      <w:r>
        <w:rPr>
          <w:lang w:val="en-US"/>
        </w:rPr>
        <w:t xml:space="preserve">as well as the reason for the continuity that Callimachus felt </w:t>
      </w:r>
      <w:r>
        <w:rPr>
          <w:lang w:val="en-US"/>
        </w:rPr>
        <w:lastRenderedPageBreak/>
        <w:t>existed between elegy and iamb</w:t>
      </w:r>
      <w:r w:rsidR="00075F5F">
        <w:rPr>
          <w:lang w:val="en-US"/>
        </w:rPr>
        <w:t>o</w:t>
      </w:r>
      <w:r>
        <w:rPr>
          <w:lang w:val="en-US"/>
        </w:rPr>
        <w:t xml:space="preserve">s. There are </w:t>
      </w:r>
      <w:r>
        <w:rPr>
          <w:lang w:val="en-US"/>
        </w:rPr>
        <w:lastRenderedPageBreak/>
        <w:t xml:space="preserve">indications in some fragments of </w:t>
      </w:r>
      <w:r>
        <w:rPr>
          <w:i/>
          <w:iCs/>
          <w:lang w:val="en-US"/>
        </w:rPr>
        <w:t xml:space="preserve">On Poems </w:t>
      </w:r>
      <w:r>
        <w:rPr>
          <w:lang w:val="en-US"/>
        </w:rPr>
        <w:t>that Philodemus may have repudiated rigid generic distinctions:</w:t>
      </w:r>
      <w:r>
        <w:rPr>
          <w:rStyle w:val="FootnoteReference"/>
          <w:lang w:val="en-US"/>
        </w:rPr>
        <w:footnoteReference w:id="485"/>
      </w:r>
      <w:r>
        <w:rPr>
          <w:lang w:val="en-US"/>
        </w:rPr>
        <w:t xml:space="preserve"> the fourth book of</w:t>
      </w:r>
      <w:r>
        <w:rPr>
          <w:i/>
          <w:iCs/>
          <w:lang w:val="en-US"/>
        </w:rPr>
        <w:t xml:space="preserve"> On Poems</w:t>
      </w:r>
      <w:r>
        <w:rPr>
          <w:lang w:val="en-US"/>
        </w:rPr>
        <w:t>, according to an argument made by Gomperz in 1909 and repeated by Greenberg in 1955,</w:t>
      </w:r>
      <w:r>
        <w:rPr>
          <w:rStyle w:val="FootnoteReference"/>
          <w:lang w:val="en-US"/>
        </w:rPr>
        <w:footnoteReference w:id="486"/>
      </w:r>
      <w:r>
        <w:rPr>
          <w:lang w:val="en-US"/>
        </w:rPr>
        <w:t xml:space="preserve"> targeted and attacked the division of poems into genres </w:t>
      </w:r>
      <w:r w:rsidR="00075F5F">
        <w:rPr>
          <w:lang w:val="en-US"/>
        </w:rPr>
        <w:t>–</w:t>
      </w:r>
      <w:r>
        <w:rPr>
          <w:lang w:val="en-US"/>
        </w:rPr>
        <w:t xml:space="preserve"> like the division presented by Aristotle.</w:t>
      </w:r>
      <w:r>
        <w:rPr>
          <w:rStyle w:val="FootnoteReference"/>
          <w:lang w:val="en-US"/>
        </w:rPr>
        <w:footnoteReference w:id="487"/>
      </w:r>
      <w:r>
        <w:rPr>
          <w:lang w:val="en-US"/>
        </w:rPr>
        <w:t xml:space="preserve"> Recent work by Richard Janko reveals that the fourth book of </w:t>
      </w:r>
      <w:r>
        <w:rPr>
          <w:i/>
          <w:iCs/>
          <w:lang w:val="en-US"/>
        </w:rPr>
        <w:t>On Poems</w:t>
      </w:r>
      <w:r>
        <w:rPr>
          <w:lang w:val="en-US"/>
        </w:rPr>
        <w:t xml:space="preserve"> challenged the Peripatetic system of genres described in the patchy Aristotelian treatise </w:t>
      </w:r>
      <w:r>
        <w:rPr>
          <w:i/>
          <w:iCs/>
          <w:lang w:val="en-US"/>
        </w:rPr>
        <w:t>On Poets</w:t>
      </w:r>
      <w:r>
        <w:rPr>
          <w:lang w:val="en-US"/>
        </w:rPr>
        <w:t>.</w:t>
      </w:r>
      <w:r>
        <w:rPr>
          <w:rStyle w:val="FootnoteReference"/>
          <w:lang w:val="en-US"/>
        </w:rPr>
        <w:footnoteReference w:id="488"/>
      </w:r>
      <w:r>
        <w:rPr>
          <w:lang w:val="en-US"/>
        </w:rPr>
        <w:t xml:space="preserve"> Archilochus and Aristophanes are mentioned in a rather lacunose passage of </w:t>
      </w:r>
      <w:r>
        <w:rPr>
          <w:i/>
          <w:iCs/>
          <w:lang w:val="en-US"/>
        </w:rPr>
        <w:t>On Poems</w:t>
      </w:r>
      <w:r>
        <w:rPr>
          <w:lang w:val="en-US"/>
        </w:rPr>
        <w:t xml:space="preserve"> 4 (207 col. IV),</w:t>
      </w:r>
      <w:r>
        <w:rPr>
          <w:rStyle w:val="FootnoteReference"/>
          <w:lang w:val="en-US"/>
        </w:rPr>
        <w:footnoteReference w:id="489"/>
      </w:r>
      <w:r>
        <w:rPr>
          <w:lang w:val="en-US"/>
        </w:rPr>
        <w:t xml:space="preserve"> and the passage seems to reject the contraposition by object of representation of tragedy and epos on one side and comedy and iambs on the other.</w:t>
      </w:r>
      <w:r>
        <w:rPr>
          <w:rStyle w:val="FootnoteReference"/>
          <w:lang w:val="en-US"/>
        </w:rPr>
        <w:footnoteReference w:id="490"/>
      </w:r>
      <w:r>
        <w:rPr>
          <w:lang w:val="en-US"/>
        </w:rPr>
        <w:t xml:space="preserve"> </w:t>
      </w:r>
      <w:r w:rsidR="009C6477">
        <w:rPr>
          <w:lang w:val="en-US"/>
        </w:rPr>
        <w:t xml:space="preserve">Therefore, </w:t>
      </w:r>
      <w:r>
        <w:rPr>
          <w:lang w:val="en-US"/>
        </w:rPr>
        <w:t>Philodemus separates morality from the evaluation of poetry in accordance with his formalist views.</w:t>
      </w:r>
      <w:r>
        <w:rPr>
          <w:rStyle w:val="FootnoteReference"/>
          <w:lang w:val="en-US"/>
        </w:rPr>
        <w:footnoteReference w:id="491"/>
      </w:r>
      <w:r>
        <w:rPr>
          <w:lang w:val="en-US"/>
        </w:rPr>
        <w:t xml:space="preserve"> He refutes Aristotle</w:t>
      </w:r>
      <w:r w:rsidR="00075F5F">
        <w:rPr>
          <w:lang w:val="en-US"/>
        </w:rPr>
        <w:t>’</w:t>
      </w:r>
      <w:r>
        <w:rPr>
          <w:lang w:val="en-US"/>
        </w:rPr>
        <w:t xml:space="preserve">s dichotomy and the existence of a hierarchy of poetic genres. </w:t>
      </w:r>
    </w:p>
    <w:p w14:paraId="5434424E" w14:textId="1696ADBB" w:rsidR="00F05F90" w:rsidRDefault="0097549B" w:rsidP="00757A62">
      <w:pPr>
        <w:ind w:firstLine="426"/>
        <w:rPr>
          <w:rFonts w:cs="Times New Roman"/>
        </w:rPr>
      </w:pPr>
      <w:r>
        <w:rPr>
          <w:lang w:val="en-US"/>
        </w:rPr>
        <w:t xml:space="preserve">A fragment of </w:t>
      </w:r>
      <w:r>
        <w:rPr>
          <w:i/>
          <w:iCs/>
          <w:lang w:val="en-US"/>
        </w:rPr>
        <w:t>On Poems</w:t>
      </w:r>
      <w:r w:rsidR="00075F5F">
        <w:rPr>
          <w:i/>
          <w:iCs/>
          <w:lang w:val="en-US"/>
        </w:rPr>
        <w:t>’</w:t>
      </w:r>
      <w:r>
        <w:rPr>
          <w:lang w:val="en-US"/>
        </w:rPr>
        <w:t xml:space="preserve"> first book expresses the notion described by Asmis that all genres are alike</w:t>
      </w:r>
      <w:r w:rsidR="009C6477">
        <w:rPr>
          <w:lang w:val="en-US"/>
        </w:rPr>
        <w:t>,</w:t>
      </w:r>
      <w:r>
        <w:rPr>
          <w:rStyle w:val="FootnoteReference"/>
          <w:lang w:val="en-US"/>
        </w:rPr>
        <w:footnoteReference w:id="492"/>
      </w:r>
      <w:r w:rsidR="00B03290">
        <w:rPr>
          <w:lang w:val="en-US"/>
        </w:rPr>
        <w:t xml:space="preserve"> and that </w:t>
      </w:r>
      <w:r>
        <w:rPr>
          <w:lang w:val="en-US"/>
        </w:rPr>
        <w:t xml:space="preserve">poets composed in the genre with which they are associated not because it is their natural form of expression but merely by convention (Philodemus </w:t>
      </w:r>
      <w:r>
        <w:rPr>
          <w:i/>
          <w:iCs/>
          <w:lang w:val="en-US"/>
        </w:rPr>
        <w:t>On Poems</w:t>
      </w:r>
      <w:r>
        <w:rPr>
          <w:lang w:val="en-US"/>
        </w:rPr>
        <w:t xml:space="preserve"> 1, col. 117, ed. Janko).</w:t>
      </w:r>
      <w:r>
        <w:rPr>
          <w:rStyle w:val="FootnoteReference"/>
          <w:lang w:val="en-US"/>
        </w:rPr>
        <w:footnoteReference w:id="493"/>
      </w:r>
      <w:r>
        <w:rPr>
          <w:lang w:val="en-US"/>
        </w:rPr>
        <w:t xml:space="preserve"> </w:t>
      </w:r>
    </w:p>
    <w:p w14:paraId="6D829F9E" w14:textId="77777777" w:rsidR="005732E0" w:rsidRPr="00FF051C" w:rsidRDefault="005732E0" w:rsidP="003756AF">
      <w:pPr>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161"/>
        <w:gridCol w:w="3777"/>
      </w:tblGrid>
      <w:tr w:rsidR="005732E0" w:rsidRPr="00365089" w14:paraId="3432C9CD" w14:textId="77777777" w:rsidTr="00890EB4">
        <w:tc>
          <w:tcPr>
            <w:tcW w:w="0" w:type="auto"/>
          </w:tcPr>
          <w:p w14:paraId="2E22937D" w14:textId="10BFA439" w:rsidR="005732E0" w:rsidRPr="00365089" w:rsidRDefault="005732E0" w:rsidP="00757C56">
            <w:pPr>
              <w:pStyle w:val="Blockquote"/>
              <w:rPr>
                <w:sz w:val="22"/>
                <w:szCs w:val="22"/>
              </w:rPr>
            </w:pPr>
            <w:r w:rsidRPr="00365089">
              <w:rPr>
                <w:sz w:val="22"/>
                <w:szCs w:val="22"/>
              </w:rPr>
              <w:t xml:space="preserve">οἱ γ͙ὰρ ἰαμβοποιοὶ τραγικὰ ποιοῦσιν, </w:t>
            </w:r>
            <w:r w:rsidR="00527E18" w:rsidRPr="00365089">
              <w:rPr>
                <w:sz w:val="22"/>
                <w:szCs w:val="22"/>
              </w:rPr>
              <w:br/>
            </w:r>
            <w:r w:rsidRPr="00365089">
              <w:rPr>
                <w:sz w:val="22"/>
                <w:szCs w:val="22"/>
              </w:rPr>
              <w:t xml:space="preserve">καὶ οἱ τραγῳδοποιοὶ πάλιν ἰαμβικά, καὶ </w:t>
            </w:r>
            <w:r w:rsidR="00527E18" w:rsidRPr="00365089">
              <w:rPr>
                <w:sz w:val="22"/>
                <w:szCs w:val="22"/>
              </w:rPr>
              <w:br/>
            </w:r>
            <w:r w:rsidRPr="00365089">
              <w:rPr>
                <w:sz w:val="22"/>
                <w:szCs w:val="22"/>
              </w:rPr>
              <w:t xml:space="preserve">Σαπφώ τινα ἰαμβικῶς ποιεῖ, καὶ Ἀρχίλοχος </w:t>
            </w:r>
            <w:r w:rsidR="00527E18" w:rsidRPr="00365089">
              <w:rPr>
                <w:sz w:val="22"/>
                <w:szCs w:val="22"/>
              </w:rPr>
              <w:br/>
            </w:r>
            <w:r w:rsidRPr="00365089">
              <w:rPr>
                <w:sz w:val="22"/>
                <w:szCs w:val="22"/>
              </w:rPr>
              <w:t>οὐκ ἰαμβικῶς. ὥστε φύσει μὲν οὐ ῥητέον ἰαμβοποιὸν ἢ ἄλλο τι ποιοῦντα γένος,</w:t>
            </w:r>
            <w:r w:rsidRPr="00365089">
              <w:rPr>
                <w:i/>
                <w:iCs/>
                <w:sz w:val="22"/>
                <w:szCs w:val="22"/>
              </w:rPr>
              <w:t xml:space="preserve"> </w:t>
            </w:r>
            <w:r w:rsidRPr="00365089">
              <w:rPr>
                <w:sz w:val="22"/>
                <w:szCs w:val="22"/>
              </w:rPr>
              <w:t>ἀλλὰ νόμωι, φύσει δὲ ὅταν εἰς τὴν εὐγενῆ φωνὴν καὶ πρώτην καὶ εἰς πάντ</w:t>
            </w:r>
            <w:r w:rsidR="00075F5F">
              <w:rPr>
                <w:sz w:val="22"/>
                <w:szCs w:val="22"/>
              </w:rPr>
              <w:t>’</w:t>
            </w:r>
            <w:r w:rsidRPr="00365089">
              <w:rPr>
                <w:sz w:val="22"/>
                <w:szCs w:val="22"/>
              </w:rPr>
              <w:t xml:space="preserve"> ἐναρμόττουσαν οἱ ποηταὶ ἐμπεσόντες ὀνομάζωσιν, ὅταν τε ἐν παντὶ γένει ποήματος ὁ αὐτὸς λόγος διατείνηι, καὶ ἐν τῶι εὖ πεποημένωι καὶ τῶι </w:t>
            </w:r>
            <w:r w:rsidRPr="00365089">
              <w:rPr>
                <w:sz w:val="22"/>
                <w:szCs w:val="22"/>
              </w:rPr>
              <w:lastRenderedPageBreak/>
              <w:t>κακῶς·</w:t>
            </w:r>
          </w:p>
          <w:p w14:paraId="7F80EB63" w14:textId="77777777" w:rsidR="005732E0" w:rsidRPr="00365089" w:rsidRDefault="005732E0" w:rsidP="00757C56">
            <w:pPr>
              <w:pStyle w:val="Blockquote"/>
              <w:rPr>
                <w:sz w:val="22"/>
                <w:szCs w:val="22"/>
              </w:rPr>
            </w:pPr>
          </w:p>
        </w:tc>
        <w:tc>
          <w:tcPr>
            <w:tcW w:w="3777" w:type="dxa"/>
          </w:tcPr>
          <w:p w14:paraId="0FD33206" w14:textId="77777777" w:rsidR="005732E0" w:rsidRPr="00890EB4" w:rsidRDefault="005732E0" w:rsidP="00757C56">
            <w:pPr>
              <w:pStyle w:val="Blockquote"/>
              <w:rPr>
                <w:sz w:val="21"/>
                <w:szCs w:val="21"/>
              </w:rPr>
            </w:pPr>
            <w:r w:rsidRPr="00890EB4">
              <w:rPr>
                <w:sz w:val="21"/>
                <w:szCs w:val="21"/>
              </w:rPr>
              <w:lastRenderedPageBreak/>
              <w:t>For iambic poets compose tragic poems (</w:t>
            </w:r>
            <w:r w:rsidRPr="00890EB4">
              <w:rPr>
                <w:i/>
                <w:sz w:val="21"/>
                <w:szCs w:val="21"/>
              </w:rPr>
              <w:t>tragika</w:t>
            </w:r>
            <w:r w:rsidRPr="00890EB4">
              <w:rPr>
                <w:sz w:val="21"/>
                <w:szCs w:val="21"/>
              </w:rPr>
              <w:t>) and tragic poets compose iambic (</w:t>
            </w:r>
            <w:r w:rsidRPr="00890EB4">
              <w:rPr>
                <w:i/>
                <w:sz w:val="21"/>
                <w:szCs w:val="21"/>
              </w:rPr>
              <w:t>iambika)</w:t>
            </w:r>
            <w:r w:rsidRPr="00890EB4">
              <w:rPr>
                <w:sz w:val="21"/>
                <w:szCs w:val="21"/>
              </w:rPr>
              <w:t>, and Sappho composes some poems in an iambic manner (</w:t>
            </w:r>
            <w:r w:rsidRPr="00890EB4">
              <w:rPr>
                <w:i/>
                <w:sz w:val="21"/>
                <w:szCs w:val="21"/>
              </w:rPr>
              <w:t>iambikōs</w:t>
            </w:r>
            <w:r w:rsidRPr="00890EB4">
              <w:rPr>
                <w:sz w:val="21"/>
                <w:szCs w:val="21"/>
              </w:rPr>
              <w:t>) and Archilochus not in an iambic manner (</w:t>
            </w:r>
            <w:r w:rsidRPr="00890EB4">
              <w:rPr>
                <w:i/>
                <w:sz w:val="21"/>
                <w:szCs w:val="21"/>
              </w:rPr>
              <w:t>ouk iambikōs</w:t>
            </w:r>
            <w:r w:rsidRPr="00890EB4">
              <w:rPr>
                <w:sz w:val="21"/>
                <w:szCs w:val="21"/>
              </w:rPr>
              <w:t xml:space="preserve">). hence, one must not say that by nature he is an iambic poet or composes another kind of poem, but that he does so by convention, and that poets compose by nature whenever in their </w:t>
            </w:r>
            <w:r w:rsidRPr="00890EB4">
              <w:rPr>
                <w:sz w:val="21"/>
                <w:szCs w:val="21"/>
              </w:rPr>
              <w:lastRenderedPageBreak/>
              <w:t>wording they hit upon sound that is noble, first, and adapted to all things, and whenever in every kind of poem the same rational account extends, both in what is well and badly composed.</w:t>
            </w:r>
            <w:r w:rsidRPr="00890EB4">
              <w:rPr>
                <w:rStyle w:val="FootnoteReference"/>
                <w:sz w:val="21"/>
                <w:szCs w:val="21"/>
              </w:rPr>
              <w:footnoteReference w:id="494"/>
            </w:r>
          </w:p>
        </w:tc>
      </w:tr>
    </w:tbl>
    <w:p w14:paraId="1B748B1A" w14:textId="77777777" w:rsidR="005732E0" w:rsidRPr="00533C84" w:rsidRDefault="005732E0" w:rsidP="00757C56">
      <w:pPr>
        <w:pStyle w:val="Blockquote"/>
      </w:pPr>
    </w:p>
    <w:p w14:paraId="418D0D54" w14:textId="7D503A78" w:rsidR="0097549B" w:rsidRDefault="0097549B" w:rsidP="0097549B">
      <w:pPr>
        <w:rPr>
          <w:lang w:val="en-US"/>
        </w:rPr>
      </w:pPr>
      <w:r>
        <w:rPr>
          <w:lang w:val="en-US"/>
        </w:rPr>
        <w:t xml:space="preserve">To refute the notion that a natural inherent link exists between poets and the types of poetry they produce, Archilochus and Sappho </w:t>
      </w:r>
      <w:r w:rsidR="00B03290">
        <w:rPr>
          <w:lang w:val="en-US"/>
        </w:rPr>
        <w:t xml:space="preserve">are used </w:t>
      </w:r>
      <w:r>
        <w:rPr>
          <w:lang w:val="en-US"/>
        </w:rPr>
        <w:t xml:space="preserve">as </w:t>
      </w:r>
      <w:r w:rsidR="00B03290">
        <w:rPr>
          <w:lang w:val="en-US"/>
        </w:rPr>
        <w:t xml:space="preserve">examples. Even if </w:t>
      </w:r>
      <w:r>
        <w:rPr>
          <w:lang w:val="en-US"/>
        </w:rPr>
        <w:t xml:space="preserve">Archilochus is the representative </w:t>
      </w:r>
      <w:r>
        <w:rPr>
          <w:i/>
          <w:iCs/>
          <w:lang w:val="en-US"/>
        </w:rPr>
        <w:t>par excellence</w:t>
      </w:r>
      <w:r>
        <w:rPr>
          <w:lang w:val="en-US"/>
        </w:rPr>
        <w:t xml:space="preserve"> of the iambic genre, he is known to work in other genres, such as elegy</w:t>
      </w:r>
      <w:r w:rsidR="00B03290">
        <w:rPr>
          <w:lang w:val="en-US"/>
        </w:rPr>
        <w:t xml:space="preserve">, and </w:t>
      </w:r>
      <w:r>
        <w:rPr>
          <w:lang w:val="en-US"/>
        </w:rPr>
        <w:t>some of his iambic trochaic fragments</w:t>
      </w:r>
      <w:r w:rsidR="00B03290">
        <w:rPr>
          <w:lang w:val="en-US"/>
        </w:rPr>
        <w:t>, that show no traces of vituperation,</w:t>
      </w:r>
      <w:r>
        <w:rPr>
          <w:lang w:val="en-US"/>
        </w:rPr>
        <w:t xml:space="preserve"> </w:t>
      </w:r>
      <w:r w:rsidR="00B03290">
        <w:rPr>
          <w:lang w:val="en-US"/>
        </w:rPr>
        <w:t xml:space="preserve">cannot be classified as </w:t>
      </w:r>
      <w:r w:rsidR="00B03290" w:rsidRPr="00E60931">
        <w:rPr>
          <w:i/>
          <w:lang w:val="en-US"/>
        </w:rPr>
        <w:t>iambika</w:t>
      </w:r>
      <w:r>
        <w:rPr>
          <w:lang w:val="en-US"/>
        </w:rPr>
        <w:t>.</w:t>
      </w:r>
    </w:p>
    <w:p w14:paraId="5B4531AC" w14:textId="1BADE222" w:rsidR="0097549B" w:rsidRDefault="0097549B" w:rsidP="00757A62">
      <w:pPr>
        <w:ind w:firstLine="426"/>
        <w:rPr>
          <w:lang w:val="en-US"/>
        </w:rPr>
      </w:pPr>
      <w:r>
        <w:rPr>
          <w:lang w:val="en-US"/>
        </w:rPr>
        <w:t xml:space="preserve">Hence, </w:t>
      </w:r>
      <w:r w:rsidR="00B03290">
        <w:rPr>
          <w:lang w:val="en-US"/>
        </w:rPr>
        <w:t xml:space="preserve">emerges a </w:t>
      </w:r>
      <w:r>
        <w:rPr>
          <w:lang w:val="en-US"/>
        </w:rPr>
        <w:t xml:space="preserve">reading of poetry that goes beyond the principal features of genres and their rigid classification </w:t>
      </w:r>
      <w:r>
        <w:rPr>
          <w:i/>
          <w:iCs/>
          <w:lang w:val="en-US"/>
        </w:rPr>
        <w:t>per genus and differentia</w:t>
      </w:r>
      <w:r>
        <w:rPr>
          <w:lang w:val="en-US"/>
        </w:rPr>
        <w:t>: thus, it seems that for the first time the criterion of family resemblance is shaped in the categorisation of genres</w:t>
      </w:r>
      <w:r w:rsidR="00B03290">
        <w:rPr>
          <w:lang w:val="en-US"/>
        </w:rPr>
        <w:t>.</w:t>
      </w:r>
      <w:r>
        <w:rPr>
          <w:rStyle w:val="FootnoteReference"/>
          <w:lang w:val="en-US"/>
        </w:rPr>
        <w:footnoteReference w:id="495"/>
      </w:r>
      <w:r>
        <w:rPr>
          <w:lang w:val="en-US"/>
        </w:rPr>
        <w:t xml:space="preserve"> Given that a typically iambic poet like Archilochus composed non-iambic material and that the link between a poet and genre is conventional, various components are included in a literary genre which may also appear in other genres. Scholars such as Asmis assert that this argument is tacit acknowledgement of the corruption of genres.</w:t>
      </w:r>
      <w:r>
        <w:rPr>
          <w:rStyle w:val="FootnoteReference"/>
          <w:lang w:val="en-US"/>
        </w:rPr>
        <w:footnoteReference w:id="496"/>
      </w:r>
      <w:r>
        <w:rPr>
          <w:lang w:val="en-US"/>
        </w:rPr>
        <w:t xml:space="preserve"> It thus appears that Philodemus may have acknowledged that </w:t>
      </w:r>
      <w:r w:rsidR="00CC0615">
        <w:rPr>
          <w:lang w:val="en-US"/>
        </w:rPr>
        <w:t>“</w:t>
      </w:r>
      <w:r>
        <w:rPr>
          <w:lang w:val="en-US"/>
        </w:rPr>
        <w:t>genres were not completely discrete</w:t>
      </w:r>
      <w:r w:rsidR="00B03290">
        <w:rPr>
          <w:lang w:val="en-US"/>
        </w:rPr>
        <w:t>.</w:t>
      </w:r>
      <w:r w:rsidR="00CC0615">
        <w:rPr>
          <w:lang w:val="en-US"/>
        </w:rPr>
        <w:t>”</w:t>
      </w:r>
      <w:r>
        <w:rPr>
          <w:lang w:val="en-US"/>
        </w:rPr>
        <w:t xml:space="preserve"> (cf. </w:t>
      </w:r>
      <w:r>
        <w:rPr>
          <w:i/>
          <w:iCs/>
          <w:lang w:val="en-US"/>
        </w:rPr>
        <w:t>On Poems</w:t>
      </w:r>
      <w:r>
        <w:rPr>
          <w:lang w:val="en-US"/>
        </w:rPr>
        <w:t xml:space="preserve"> 1, fr. 83).</w:t>
      </w:r>
      <w:r>
        <w:rPr>
          <w:rStyle w:val="FootnoteReference"/>
          <w:lang w:val="en-US"/>
        </w:rPr>
        <w:footnoteReference w:id="497"/>
      </w:r>
      <w:r>
        <w:rPr>
          <w:lang w:val="en-US"/>
        </w:rPr>
        <w:t xml:space="preserve"> </w:t>
      </w:r>
    </w:p>
    <w:p w14:paraId="53039F1C" w14:textId="15B93474" w:rsidR="005732E0" w:rsidRDefault="0097549B" w:rsidP="00757A62">
      <w:pPr>
        <w:ind w:firstLine="426"/>
        <w:rPr>
          <w:rFonts w:cs="Times New Roman"/>
        </w:rPr>
      </w:pPr>
      <w:r>
        <w:rPr>
          <w:lang w:val="en-US"/>
        </w:rPr>
        <w:t xml:space="preserve">Hellenistic scholarship may have produced a formalist literary history which did not interpret genres in a teleological line of development and thus went beyond moral assumptions. There are strong indications that views of literary genres other than the dominant Aristotelian one existed. Hence, there is no proper hierarchy of genres where moral concerns are deemed irrelevant which implies that elegy and iambus are not viewed as significantly different in terms of hierarchy. The criterion of family resemblance makes it possible to discover iambic elements in other genres and authors, and elements of other genres in iambic. </w:t>
      </w:r>
      <w:r w:rsidR="005732E0" w:rsidRPr="00FF051C">
        <w:rPr>
          <w:rFonts w:cs="Times New Roman"/>
        </w:rPr>
        <w:t xml:space="preserve"> </w:t>
      </w:r>
    </w:p>
    <w:p w14:paraId="76AE3050" w14:textId="7BBB828A" w:rsidR="005732E0" w:rsidRPr="004605D8" w:rsidRDefault="005732E0" w:rsidP="00757C56">
      <w:pPr>
        <w:pStyle w:val="Heading3"/>
      </w:pPr>
      <w:r>
        <w:lastRenderedPageBreak/>
        <w:t xml:space="preserve">4.4 </w:t>
      </w:r>
      <w:r w:rsidRPr="004605D8">
        <w:t>Callimachus</w:t>
      </w:r>
      <w:r w:rsidR="00075F5F">
        <w:t>’</w:t>
      </w:r>
      <w:r w:rsidRPr="004605D8">
        <w:t xml:space="preserve"> </w:t>
      </w:r>
      <w:r w:rsidRPr="004605D8">
        <w:rPr>
          <w:i/>
        </w:rPr>
        <w:t>Iambus</w:t>
      </w:r>
      <w:r w:rsidRPr="004605D8">
        <w:t xml:space="preserve"> 13 and the Definition of the Genre of </w:t>
      </w:r>
      <w:r w:rsidRPr="004605D8">
        <w:rPr>
          <w:i/>
        </w:rPr>
        <w:t>Iambus</w:t>
      </w:r>
      <w:r w:rsidRPr="004605D8">
        <w:t xml:space="preserve"> </w:t>
      </w:r>
    </w:p>
    <w:p w14:paraId="2B75E292" w14:textId="5B236EBC" w:rsidR="0097549B" w:rsidRDefault="0097549B" w:rsidP="00E60931">
      <w:pPr>
        <w:rPr>
          <w:lang w:val="en-US"/>
        </w:rPr>
      </w:pPr>
      <w:r>
        <w:rPr>
          <w:lang w:val="en-US"/>
        </w:rPr>
        <w:t xml:space="preserve">It is not clear whether or to what extent the developing conceptualization of genres influenced Callimachus in composing the </w:t>
      </w:r>
      <w:r>
        <w:rPr>
          <w:i/>
          <w:iCs/>
          <w:lang w:val="en-US"/>
        </w:rPr>
        <w:t>Iambi</w:t>
      </w:r>
      <w:r w:rsidRPr="00227EE7">
        <w:rPr>
          <w:iCs/>
          <w:lang w:val="en-US"/>
        </w:rPr>
        <w:t>,</w:t>
      </w:r>
      <w:r>
        <w:rPr>
          <w:i/>
          <w:iCs/>
          <w:lang w:val="en-US"/>
        </w:rPr>
        <w:t xml:space="preserve"> </w:t>
      </w:r>
      <w:r w:rsidRPr="009877AA">
        <w:rPr>
          <w:lang w:val="en-US"/>
        </w:rPr>
        <w:t>but i</w:t>
      </w:r>
      <w:r>
        <w:rPr>
          <w:lang w:val="en-US"/>
        </w:rPr>
        <w:t xml:space="preserve">t is clear that no single genre dominates the collection. The fact that the poet chooses a specific conventional genre is highly significant. Callimachus chooses the iambic genre and chooses to write iambs. His iambs show a high degree of variety. Therefore, it may be suggested that Callimachus </w:t>
      </w:r>
      <w:r w:rsidR="007924CD">
        <w:rPr>
          <w:lang w:val="en-US"/>
        </w:rPr>
        <w:t>regards</w:t>
      </w:r>
      <w:r>
        <w:rPr>
          <w:lang w:val="en-US"/>
        </w:rPr>
        <w:t xml:space="preserve"> variety as a feature which is typical of the iambic genre. Callimachus defends this in his </w:t>
      </w:r>
      <w:r>
        <w:rPr>
          <w:i/>
          <w:iCs/>
          <w:lang w:val="en-US"/>
        </w:rPr>
        <w:t>Iambus</w:t>
      </w:r>
      <w:r>
        <w:rPr>
          <w:lang w:val="en-US"/>
        </w:rPr>
        <w:t xml:space="preserve"> 13, in which he claims variety is a great quality in the composition of poetry. </w:t>
      </w:r>
    </w:p>
    <w:p w14:paraId="59B8DC6E" w14:textId="43104785" w:rsidR="005732E0" w:rsidRPr="0039447D" w:rsidRDefault="0097549B" w:rsidP="0039447D">
      <w:pPr>
        <w:spacing w:after="240"/>
        <w:ind w:firstLine="425"/>
        <w:rPr>
          <w:lang w:val="en-US"/>
        </w:rPr>
      </w:pPr>
      <w:r>
        <w:rPr>
          <w:lang w:val="en-US"/>
        </w:rPr>
        <w:t>The poem opens with the invocation of Apollo by Callimachus. The poet appropriates divine inspiration to defend his own poetic voice</w:t>
      </w:r>
      <w:r w:rsidR="00E06A84">
        <w:rPr>
          <w:lang w:val="en-US"/>
        </w:rPr>
        <w:t xml:space="preserve">: </w:t>
      </w:r>
      <w:r>
        <w:rPr>
          <w:lang w:val="en-US"/>
        </w:rPr>
        <w:t>Apollo is invoked to justify Callimachus</w:t>
      </w:r>
      <w:r w:rsidR="00075F5F">
        <w:rPr>
          <w:lang w:val="en-US"/>
        </w:rPr>
        <w:t>’</w:t>
      </w:r>
      <w:r>
        <w:rPr>
          <w:lang w:val="en-US"/>
        </w:rPr>
        <w:t xml:space="preserve"> emblematic use of πολυείδεια in his iambic fragments. Variety is employed by Callimachus from the opening line of </w:t>
      </w:r>
      <w:r>
        <w:rPr>
          <w:i/>
          <w:iCs/>
          <w:lang w:val="en-US"/>
        </w:rPr>
        <w:t xml:space="preserve">Iambus </w:t>
      </w:r>
      <w:r>
        <w:rPr>
          <w:lang w:val="en-US"/>
        </w:rPr>
        <w:t>13</w:t>
      </w:r>
      <w:r w:rsidR="00E06A84">
        <w:rPr>
          <w:lang w:val="en-US"/>
        </w:rPr>
        <w:t xml:space="preserve">, since he uses </w:t>
      </w:r>
      <w:r>
        <w:rPr>
          <w:lang w:val="en-US"/>
        </w:rPr>
        <w:t xml:space="preserve">a hymnic apostrophe </w:t>
      </w:r>
      <w:r w:rsidR="00E06A84">
        <w:rPr>
          <w:lang w:val="en-US"/>
        </w:rPr>
        <w:t xml:space="preserve">in </w:t>
      </w:r>
      <w:r>
        <w:rPr>
          <w:lang w:val="en-US"/>
        </w:rPr>
        <w:t>a choliambic poem</w:t>
      </w:r>
      <w:r w:rsidR="00E06A84">
        <w:rPr>
          <w:lang w:val="en-US"/>
        </w:rPr>
        <w:t>, putting together</w:t>
      </w:r>
      <w:r>
        <w:rPr>
          <w:lang w:val="en-US"/>
        </w:rPr>
        <w:t xml:space="preserve"> </w:t>
      </w:r>
      <w:r w:rsidR="00E06A84">
        <w:rPr>
          <w:lang w:val="en-US"/>
        </w:rPr>
        <w:t xml:space="preserve">the language and imagery of conventionally high poetry and the metre of traditionally low poetry. This combination </w:t>
      </w:r>
      <w:r>
        <w:rPr>
          <w:lang w:val="en-US"/>
        </w:rPr>
        <w:t xml:space="preserve">encapsulates the central theme of </w:t>
      </w:r>
      <w:r>
        <w:rPr>
          <w:i/>
          <w:iCs/>
          <w:lang w:val="en-US"/>
        </w:rPr>
        <w:t>Iambus</w:t>
      </w:r>
      <w:r>
        <w:rPr>
          <w:lang w:val="en-US"/>
        </w:rPr>
        <w:t xml:space="preserve"> 13: poetic art</w:t>
      </w:r>
      <w:r w:rsidR="00075F5F">
        <w:rPr>
          <w:lang w:val="en-US"/>
        </w:rPr>
        <w:t>’</w:t>
      </w:r>
      <w:r>
        <w:rPr>
          <w:lang w:val="en-US"/>
        </w:rPr>
        <w:t xml:space="preserve">s variegation </w:t>
      </w:r>
      <w:r w:rsidR="00E06A84">
        <w:rPr>
          <w:lang w:val="en-US"/>
        </w:rPr>
        <w:t>is essential to the iambic poetry</w:t>
      </w:r>
      <w:r>
        <w:rPr>
          <w:lang w:val="en-US"/>
        </w:rPr>
        <w:t>.</w:t>
      </w:r>
      <w:r w:rsidR="00E06A84">
        <w:rPr>
          <w:lang w:val="en-US"/>
        </w:rPr>
        <w:t xml:space="preserve"> </w:t>
      </w:r>
      <w:r>
        <w:rPr>
          <w:lang w:val="en-US"/>
        </w:rPr>
        <w:t xml:space="preserve">Such combinations were sporadically used by Hipponax to contrast the diction and imagery of high and low poetry. For example, Hipponax used a hymnic tone in the first line of fr. 42 but the images in the lines that follow convey a less elevated tone (Hippon. fr. 42.1-3): </w:t>
      </w: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5732E0" w:rsidRPr="00365089" w14:paraId="24303C63" w14:textId="77777777" w:rsidTr="00890EB4">
        <w:tc>
          <w:tcPr>
            <w:tcW w:w="4258" w:type="dxa"/>
          </w:tcPr>
          <w:p w14:paraId="3B97CB76" w14:textId="3A3F6ACD" w:rsidR="005732E0" w:rsidRPr="00365089" w:rsidRDefault="005732E0" w:rsidP="00757C56">
            <w:pPr>
              <w:pStyle w:val="Blockquote"/>
              <w:rPr>
                <w:sz w:val="22"/>
                <w:szCs w:val="22"/>
              </w:rPr>
            </w:pPr>
            <w:r w:rsidRPr="00365089">
              <w:rPr>
                <w:sz w:val="22"/>
                <w:szCs w:val="22"/>
              </w:rPr>
              <w:t>Ἑρμῆ, φίλ</w:t>
            </w:r>
            <w:r w:rsidR="00075F5F">
              <w:rPr>
                <w:sz w:val="22"/>
                <w:szCs w:val="22"/>
              </w:rPr>
              <w:t>’</w:t>
            </w:r>
            <w:r w:rsidRPr="00365089">
              <w:rPr>
                <w:sz w:val="22"/>
                <w:szCs w:val="22"/>
              </w:rPr>
              <w:t xml:space="preserve"> Ἑρμῆ, Μαιαδεῦ, Κυλλήνιε,</w:t>
            </w:r>
          </w:p>
          <w:p w14:paraId="49654E73" w14:textId="77777777" w:rsidR="005732E0" w:rsidRPr="00365089" w:rsidRDefault="005732E0" w:rsidP="00757C56">
            <w:pPr>
              <w:pStyle w:val="Blockquote"/>
              <w:rPr>
                <w:sz w:val="22"/>
                <w:szCs w:val="22"/>
                <w:lang w:val="el-GR"/>
              </w:rPr>
            </w:pPr>
            <w:r w:rsidRPr="00365089">
              <w:rPr>
                <w:sz w:val="22"/>
                <w:szCs w:val="22"/>
                <w:lang w:val="el-GR"/>
              </w:rPr>
              <w:t>ἐπεύχομαί τοι, κάρτα γὰρ κακῶς ῥιγῶ</w:t>
            </w:r>
          </w:p>
          <w:p w14:paraId="4E7F70C9" w14:textId="77777777" w:rsidR="005732E0" w:rsidRPr="00365089" w:rsidRDefault="005732E0" w:rsidP="00757C56">
            <w:pPr>
              <w:pStyle w:val="Blockquote"/>
              <w:rPr>
                <w:sz w:val="22"/>
                <w:szCs w:val="22"/>
              </w:rPr>
            </w:pPr>
            <w:r w:rsidRPr="00365089">
              <w:rPr>
                <w:sz w:val="22"/>
                <w:szCs w:val="22"/>
              </w:rPr>
              <w:t>καὶ βαμβαλύζω</w:t>
            </w:r>
          </w:p>
        </w:tc>
        <w:tc>
          <w:tcPr>
            <w:tcW w:w="3680" w:type="dxa"/>
          </w:tcPr>
          <w:p w14:paraId="0A16B527" w14:textId="77777777" w:rsidR="005732E0" w:rsidRPr="00365089" w:rsidRDefault="005732E0" w:rsidP="00757C56">
            <w:pPr>
              <w:pStyle w:val="Blockquote"/>
              <w:rPr>
                <w:sz w:val="22"/>
                <w:szCs w:val="22"/>
              </w:rPr>
            </w:pPr>
            <w:r w:rsidRPr="00365089">
              <w:rPr>
                <w:sz w:val="22"/>
                <w:szCs w:val="22"/>
              </w:rPr>
              <w:t>Hermes, dear Hermes, son of Maia, Cyllenian one, I pray to you, for truly I am shivering terribly and my teeth are chattering</w:t>
            </w:r>
          </w:p>
        </w:tc>
      </w:tr>
    </w:tbl>
    <w:p w14:paraId="698963AD" w14:textId="77777777" w:rsidR="005732E0" w:rsidRDefault="005732E0" w:rsidP="00757C56">
      <w:pPr>
        <w:pStyle w:val="Blockquote"/>
      </w:pPr>
    </w:p>
    <w:p w14:paraId="634EA6D2" w14:textId="43417442" w:rsidR="005732E0" w:rsidRPr="0039447D" w:rsidRDefault="0097549B" w:rsidP="0039447D">
      <w:pPr>
        <w:spacing w:after="240"/>
        <w:rPr>
          <w:lang w:val="en-US"/>
        </w:rPr>
      </w:pPr>
      <w:r>
        <w:rPr>
          <w:lang w:val="en-US"/>
        </w:rPr>
        <w:t>Hipponax</w:t>
      </w:r>
      <w:r w:rsidR="00075F5F">
        <w:rPr>
          <w:lang w:val="en-US"/>
        </w:rPr>
        <w:t>’</w:t>
      </w:r>
      <w:r>
        <w:rPr>
          <w:lang w:val="en-US"/>
        </w:rPr>
        <w:t>s contrasting goes on for the rest of the poem through the juxtaposition of the grandeur in the first line with a variety of items that convey the image of the physicality of poverty (Hippon. fr. 42.4-6):</w:t>
      </w:r>
      <w:r>
        <w:rPr>
          <w:rStyle w:val="FootnoteReference"/>
          <w:lang w:val="en-US"/>
        </w:rPr>
        <w:footnoteReference w:id="498"/>
      </w:r>
      <w:r>
        <w:rPr>
          <w:lang w:val="en-US"/>
        </w:rPr>
        <w:t xml:space="preserve"> </w:t>
      </w: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5732E0" w:rsidRPr="00365089" w14:paraId="1F91F88E" w14:textId="77777777" w:rsidTr="00890EB4">
        <w:tc>
          <w:tcPr>
            <w:tcW w:w="4258" w:type="dxa"/>
          </w:tcPr>
          <w:p w14:paraId="58C3CDA0" w14:textId="77777777" w:rsidR="005732E0" w:rsidRPr="00365089" w:rsidRDefault="005732E0" w:rsidP="00757C56">
            <w:pPr>
              <w:pStyle w:val="Blockquote"/>
              <w:rPr>
                <w:sz w:val="22"/>
                <w:szCs w:val="22"/>
              </w:rPr>
            </w:pPr>
            <w:r w:rsidRPr="00365089">
              <w:rPr>
                <w:sz w:val="22"/>
                <w:szCs w:val="22"/>
              </w:rPr>
              <w:t>δὸς χλαῖναν Ἱππώνακτι καὶ κυπασσίσκον</w:t>
            </w:r>
          </w:p>
          <w:p w14:paraId="6AB46623" w14:textId="77777777" w:rsidR="005732E0" w:rsidRPr="00365089" w:rsidRDefault="005732E0" w:rsidP="00757C56">
            <w:pPr>
              <w:pStyle w:val="Blockquote"/>
              <w:rPr>
                <w:sz w:val="22"/>
                <w:szCs w:val="22"/>
              </w:rPr>
            </w:pPr>
            <w:r w:rsidRPr="00365089">
              <w:rPr>
                <w:sz w:val="22"/>
                <w:szCs w:val="22"/>
              </w:rPr>
              <w:t>καὶ σαμβαλίσκα κἀσκερίσκα</w:t>
            </w:r>
            <w:r w:rsidRPr="00365089">
              <w:rPr>
                <w:rStyle w:val="FootnoteReference"/>
                <w:sz w:val="22"/>
                <w:szCs w:val="22"/>
              </w:rPr>
              <w:footnoteReference w:id="499"/>
            </w:r>
            <w:r w:rsidRPr="00365089">
              <w:rPr>
                <w:sz w:val="22"/>
                <w:szCs w:val="22"/>
              </w:rPr>
              <w:t xml:space="preserve"> καὶ χρυσοῦ</w:t>
            </w:r>
          </w:p>
          <w:p w14:paraId="25BF45F3" w14:textId="77777777" w:rsidR="005732E0" w:rsidRPr="00365089" w:rsidRDefault="005732E0" w:rsidP="00757C56">
            <w:pPr>
              <w:pStyle w:val="Blockquote"/>
              <w:rPr>
                <w:sz w:val="22"/>
                <w:szCs w:val="22"/>
              </w:rPr>
            </w:pPr>
            <w:r w:rsidRPr="00365089">
              <w:rPr>
                <w:sz w:val="22"/>
                <w:szCs w:val="22"/>
              </w:rPr>
              <w:t>στατῆρας ἑξήκοντα τοὐτέρου τοίχου</w:t>
            </w:r>
            <w:r w:rsidRPr="00365089">
              <w:rPr>
                <w:rStyle w:val="FootnoteReference"/>
                <w:sz w:val="22"/>
                <w:szCs w:val="22"/>
              </w:rPr>
              <w:footnoteReference w:id="500"/>
            </w:r>
          </w:p>
        </w:tc>
        <w:tc>
          <w:tcPr>
            <w:tcW w:w="3680" w:type="dxa"/>
          </w:tcPr>
          <w:p w14:paraId="35EB5112" w14:textId="77777777" w:rsidR="005732E0" w:rsidRPr="00365089" w:rsidRDefault="005732E0" w:rsidP="00757C56">
            <w:pPr>
              <w:pStyle w:val="Blockquote"/>
              <w:rPr>
                <w:sz w:val="22"/>
                <w:szCs w:val="22"/>
              </w:rPr>
            </w:pPr>
            <w:r w:rsidRPr="00365089">
              <w:rPr>
                <w:sz w:val="22"/>
                <w:szCs w:val="22"/>
              </w:rPr>
              <w:t>Give Hipponax a cloak, tunic, sandals, felt shoes, and 60 gold staters on the other side</w:t>
            </w:r>
          </w:p>
        </w:tc>
      </w:tr>
    </w:tbl>
    <w:p w14:paraId="3DF93155" w14:textId="77777777" w:rsidR="005732E0" w:rsidRDefault="005732E0" w:rsidP="00757C56">
      <w:pPr>
        <w:pStyle w:val="Blockquote"/>
      </w:pPr>
    </w:p>
    <w:p w14:paraId="23D9199F" w14:textId="2305359B" w:rsidR="0097549B" w:rsidRDefault="0097549B" w:rsidP="0097549B">
      <w:pPr>
        <w:rPr>
          <w:lang w:val="en-US"/>
        </w:rPr>
      </w:pPr>
      <w:r>
        <w:rPr>
          <w:lang w:val="en-US"/>
        </w:rPr>
        <w:t>Degani observes that Hipponax</w:t>
      </w:r>
      <w:r w:rsidR="00075F5F">
        <w:rPr>
          <w:lang w:val="en-US"/>
        </w:rPr>
        <w:t>’</w:t>
      </w:r>
      <w:r>
        <w:rPr>
          <w:lang w:val="en-US"/>
        </w:rPr>
        <w:t>s use of hymnic language and imagery in this poem is meant to be largely humorous.</w:t>
      </w:r>
      <w:r>
        <w:rPr>
          <w:rStyle w:val="FootnoteReference"/>
          <w:lang w:val="en-US"/>
        </w:rPr>
        <w:footnoteReference w:id="501"/>
      </w:r>
      <w:r>
        <w:rPr>
          <w:lang w:val="en-US"/>
        </w:rPr>
        <w:t xml:space="preserve"> However, the use of the hymnic feature by Callimachus in the opening line of </w:t>
      </w:r>
      <w:r>
        <w:rPr>
          <w:i/>
          <w:iCs/>
          <w:lang w:val="en-US"/>
        </w:rPr>
        <w:t>Iambus</w:t>
      </w:r>
      <w:r>
        <w:rPr>
          <w:lang w:val="en-US"/>
        </w:rPr>
        <w:t xml:space="preserve"> 13 is meant to have a quite different effect. Callimachus employs hymnic language and imagery to </w:t>
      </w:r>
      <w:r w:rsidR="00E06A84">
        <w:rPr>
          <w:lang w:val="en-US"/>
        </w:rPr>
        <w:t xml:space="preserve">strengthen </w:t>
      </w:r>
      <w:r>
        <w:rPr>
          <w:lang w:val="en-US"/>
        </w:rPr>
        <w:t>his right to use multiple poetic genres in a single composition as well as multiple generic figures within a single genre. At the same time, the poet shows that the choliambic metre can be used for hymnic purposes and elevates choliambic verse to a higher level.</w:t>
      </w:r>
      <w:r>
        <w:rPr>
          <w:rStyle w:val="FootnoteReference"/>
          <w:lang w:val="en-US"/>
        </w:rPr>
        <w:footnoteReference w:id="502"/>
      </w:r>
    </w:p>
    <w:p w14:paraId="524B7BAF" w14:textId="7AFD63F0" w:rsidR="00F05F90" w:rsidRDefault="0097549B" w:rsidP="0097549B">
      <w:pPr>
        <w:ind w:firstLine="426"/>
        <w:rPr>
          <w:lang w:val="en-US"/>
        </w:rPr>
      </w:pPr>
      <w:r>
        <w:rPr>
          <w:lang w:val="en-US"/>
        </w:rPr>
        <w:t xml:space="preserve">The most frequently cited passage of </w:t>
      </w:r>
      <w:r>
        <w:rPr>
          <w:i/>
          <w:iCs/>
          <w:lang w:val="en-US"/>
        </w:rPr>
        <w:t>Iambus</w:t>
      </w:r>
      <w:r>
        <w:rPr>
          <w:lang w:val="en-US"/>
        </w:rPr>
        <w:t xml:space="preserve"> 13 are lines 31-33:</w:t>
      </w:r>
    </w:p>
    <w:p w14:paraId="4F2C2FD5" w14:textId="77777777" w:rsidR="005732E0" w:rsidRDefault="005732E0" w:rsidP="003756AF">
      <w:pPr>
        <w:ind w:firstLine="426"/>
      </w:pPr>
    </w:p>
    <w:tbl>
      <w:tblPr>
        <w:tblStyle w:val="TableGrid"/>
        <w:tblW w:w="8080" w:type="dxa"/>
        <w:tblInd w:w="25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822"/>
      </w:tblGrid>
      <w:tr w:rsidR="005732E0" w:rsidRPr="00365089" w14:paraId="3F35E1D3" w14:textId="77777777" w:rsidTr="00890EB4">
        <w:tc>
          <w:tcPr>
            <w:tcW w:w="4258" w:type="dxa"/>
          </w:tcPr>
          <w:p w14:paraId="12F2C7C2" w14:textId="6A568450" w:rsidR="005732E0" w:rsidRPr="00227EE7" w:rsidRDefault="005732E0" w:rsidP="00757C56">
            <w:pPr>
              <w:pStyle w:val="Blockquote"/>
              <w:rPr>
                <w:sz w:val="22"/>
                <w:szCs w:val="22"/>
                <w:lang w:val="el-GR"/>
              </w:rPr>
            </w:pPr>
            <w:r w:rsidRPr="00227EE7">
              <w:rPr>
                <w:sz w:val="22"/>
                <w:szCs w:val="22"/>
                <w:lang w:val="el-GR"/>
              </w:rPr>
              <w:t>σὺ πεντάμετρα συντίθει, σὺ δ̣</w:t>
            </w:r>
            <w:r w:rsidR="00075F5F" w:rsidRPr="00227EE7">
              <w:rPr>
                <w:sz w:val="22"/>
                <w:szCs w:val="22"/>
                <w:lang w:val="el-GR"/>
              </w:rPr>
              <w:t>’</w:t>
            </w:r>
            <w:r w:rsidRPr="00227EE7">
              <w:rPr>
                <w:sz w:val="22"/>
                <w:szCs w:val="22"/>
                <w:lang w:val="el-GR"/>
              </w:rPr>
              <w:t xml:space="preserve"> η̣ρῷον,</w:t>
            </w:r>
          </w:p>
          <w:p w14:paraId="06E61D52" w14:textId="77777777" w:rsidR="005732E0" w:rsidRPr="00227EE7" w:rsidRDefault="005732E0" w:rsidP="00757C56">
            <w:pPr>
              <w:pStyle w:val="Blockquote"/>
              <w:rPr>
                <w:sz w:val="22"/>
                <w:szCs w:val="22"/>
                <w:lang w:val="el-GR"/>
              </w:rPr>
            </w:pPr>
            <w:r w:rsidRPr="00227EE7">
              <w:rPr>
                <w:sz w:val="22"/>
                <w:szCs w:val="22"/>
                <w:lang w:val="el-GR"/>
              </w:rPr>
              <w:t>σὺ δὲ τραγῳδε̣ῖν ἐκ θεῶν ἐκληρώσω̣ ;</w:t>
            </w:r>
          </w:p>
          <w:p w14:paraId="44FF7CF9" w14:textId="77777777" w:rsidR="005732E0" w:rsidRPr="00365089" w:rsidRDefault="005732E0" w:rsidP="00757C56">
            <w:pPr>
              <w:pStyle w:val="Blockquote"/>
              <w:rPr>
                <w:sz w:val="22"/>
                <w:szCs w:val="22"/>
                <w:lang w:val="el-GR"/>
              </w:rPr>
            </w:pPr>
            <w:r w:rsidRPr="00227EE7">
              <w:rPr>
                <w:sz w:val="22"/>
                <w:szCs w:val="22"/>
                <w:lang w:val="el-GR"/>
              </w:rPr>
              <w:t>δοκέω μὲν οὐδείς, ἀλλὰ καὶ το .. δ .. σκεψαι</w:t>
            </w:r>
          </w:p>
        </w:tc>
        <w:tc>
          <w:tcPr>
            <w:tcW w:w="3822" w:type="dxa"/>
          </w:tcPr>
          <w:p w14:paraId="186A406A" w14:textId="0290F789" w:rsidR="005732E0" w:rsidRPr="00365089" w:rsidRDefault="005732E0" w:rsidP="00757C56">
            <w:pPr>
              <w:pStyle w:val="Blockquote"/>
              <w:rPr>
                <w:sz w:val="22"/>
                <w:szCs w:val="22"/>
              </w:rPr>
            </w:pPr>
            <w:r w:rsidRPr="00365089">
              <w:rPr>
                <w:sz w:val="22"/>
                <w:szCs w:val="22"/>
              </w:rPr>
              <w:t>you compose pentameters, you the heroic, it is your lot from the gods to compose tragedy? In my opinion no one, but consider also this</w:t>
            </w:r>
          </w:p>
        </w:tc>
      </w:tr>
    </w:tbl>
    <w:p w14:paraId="112521CA" w14:textId="77777777" w:rsidR="005732E0" w:rsidRDefault="005732E0" w:rsidP="00757C56">
      <w:pPr>
        <w:pStyle w:val="Blockquote"/>
      </w:pPr>
    </w:p>
    <w:p w14:paraId="22BE8E11" w14:textId="039DB762" w:rsidR="00F05F90" w:rsidRDefault="0097549B" w:rsidP="00695A7C">
      <w:pPr>
        <w:autoSpaceDE w:val="0"/>
        <w:autoSpaceDN w:val="0"/>
        <w:adjustRightInd w:val="0"/>
        <w:rPr>
          <w:rFonts w:cs="Times New Roman"/>
        </w:rPr>
      </w:pPr>
      <w:r>
        <w:rPr>
          <w:lang w:val="en-US"/>
        </w:rPr>
        <w:t>These three lines are the poet</w:t>
      </w:r>
      <w:r w:rsidR="00075F5F">
        <w:rPr>
          <w:lang w:val="en-US"/>
        </w:rPr>
        <w:t>’</w:t>
      </w:r>
      <w:r>
        <w:rPr>
          <w:lang w:val="en-US"/>
        </w:rPr>
        <w:t>s response to contemporary scholars</w:t>
      </w:r>
      <w:r w:rsidR="00075F5F">
        <w:rPr>
          <w:lang w:val="en-US"/>
        </w:rPr>
        <w:t>’</w:t>
      </w:r>
      <w:r>
        <w:rPr>
          <w:lang w:val="en-US"/>
        </w:rPr>
        <w:t xml:space="preserve"> views about the categorisation of poetic genres and the outlining of his own place within the iambic tradition. It has been argue</w:t>
      </w:r>
      <w:r w:rsidR="00BD06E6">
        <w:rPr>
          <w:lang w:val="en-US"/>
        </w:rPr>
        <w:t>d</w:t>
      </w:r>
      <w:r>
        <w:rPr>
          <w:lang w:val="en-US"/>
        </w:rPr>
        <w:t xml:space="preserve"> that here Callimachus remarks on his own innovative contribution to the customary style of iambic poetry. I want to distance myself from this point of view. I contend that Callimachus is claiming that variety is the main feature of iambic genre. Thus, he is not defending his right of using variety as his innovative way of producing iamb</w:t>
      </w:r>
      <w:r w:rsidR="00A21ADA">
        <w:rPr>
          <w:lang w:val="en-US"/>
        </w:rPr>
        <w:t>s</w:t>
      </w:r>
      <w:r>
        <w:rPr>
          <w:lang w:val="en-US"/>
        </w:rPr>
        <w:t xml:space="preserve">. This perspective offers a better explanation for the reference made by Callimachus to Ion of Chios. The </w:t>
      </w:r>
      <w:r>
        <w:rPr>
          <w:i/>
          <w:iCs/>
          <w:lang w:val="en-US"/>
        </w:rPr>
        <w:t>Diegesis</w:t>
      </w:r>
      <w:r>
        <w:rPr>
          <w:lang w:val="en-US"/>
        </w:rPr>
        <w:t xml:space="preserve"> points out that Callimachus introduces Ion of Chios as a poet who was successful in many genres. </w:t>
      </w:r>
      <w:r>
        <w:rPr>
          <w:lang w:val="en-US"/>
        </w:rPr>
        <w:lastRenderedPageBreak/>
        <w:t>Callimachus links poets to carpenters who cannot be blamed for producing different kinds of goods (</w:t>
      </w:r>
      <w:r>
        <w:rPr>
          <w:i/>
          <w:iCs/>
          <w:lang w:val="en-US"/>
        </w:rPr>
        <w:t>Dieg.</w:t>
      </w:r>
      <w:r>
        <w:rPr>
          <w:lang w:val="en-US"/>
        </w:rPr>
        <w:t xml:space="preserve"> 9.33-38): </w:t>
      </w:r>
    </w:p>
    <w:p w14:paraId="5934C98F" w14:textId="77777777" w:rsidR="005732E0" w:rsidRDefault="005732E0" w:rsidP="003756AF">
      <w:pPr>
        <w:autoSpaceDE w:val="0"/>
        <w:autoSpaceDN w:val="0"/>
        <w:adjustRightInd w:val="0"/>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822"/>
      </w:tblGrid>
      <w:tr w:rsidR="005732E0" w:rsidRPr="00365089" w14:paraId="487308E5" w14:textId="77777777" w:rsidTr="00890EB4">
        <w:tc>
          <w:tcPr>
            <w:tcW w:w="4258" w:type="dxa"/>
          </w:tcPr>
          <w:p w14:paraId="677A9DFD" w14:textId="52DC7F20" w:rsidR="005732E0" w:rsidRPr="00365089" w:rsidRDefault="005732E0" w:rsidP="00757C56">
            <w:pPr>
              <w:pStyle w:val="Blockquote"/>
              <w:rPr>
                <w:sz w:val="22"/>
                <w:szCs w:val="22"/>
              </w:rPr>
            </w:pPr>
            <w:r w:rsidRPr="00365089">
              <w:rPr>
                <w:sz w:val="22"/>
                <w:szCs w:val="22"/>
              </w:rPr>
              <w:t>Ἐν τούτῳ πρὸς τοὺ</w:t>
            </w:r>
            <w:r w:rsidR="001E6CE6" w:rsidRPr="00365089">
              <w:rPr>
                <w:sz w:val="22"/>
                <w:szCs w:val="22"/>
              </w:rPr>
              <w:t>ς καταμεμφομέ</w:t>
            </w:r>
            <w:r w:rsidRPr="00365089">
              <w:rPr>
                <w:sz w:val="22"/>
                <w:szCs w:val="22"/>
              </w:rPr>
              <w:t>νους αὐτὸν ἐπὶ τῇ πολυειδείᾳ ὧν</w:t>
            </w:r>
            <w:r w:rsidR="001E6CE6" w:rsidRPr="00365089">
              <w:rPr>
                <w:sz w:val="22"/>
                <w:szCs w:val="22"/>
              </w:rPr>
              <w:t xml:space="preserve"> </w:t>
            </w:r>
            <w:r w:rsidRPr="00365089">
              <w:rPr>
                <w:sz w:val="22"/>
                <w:szCs w:val="22"/>
                <w:lang w:val="el-GR"/>
              </w:rPr>
              <w:t>γράφει</w:t>
            </w:r>
            <w:r w:rsidRPr="00365089">
              <w:rPr>
                <w:sz w:val="22"/>
                <w:szCs w:val="22"/>
              </w:rPr>
              <w:t xml:space="preserve"> </w:t>
            </w:r>
            <w:r w:rsidRPr="00365089">
              <w:rPr>
                <w:sz w:val="22"/>
                <w:szCs w:val="22"/>
                <w:lang w:val="el-GR"/>
              </w:rPr>
              <w:t>ποιημάτων</w:t>
            </w:r>
            <w:r w:rsidRPr="00365089">
              <w:rPr>
                <w:sz w:val="22"/>
                <w:szCs w:val="22"/>
              </w:rPr>
              <w:t xml:space="preserve"> </w:t>
            </w:r>
            <w:r w:rsidRPr="00365089">
              <w:rPr>
                <w:sz w:val="22"/>
                <w:szCs w:val="22"/>
                <w:lang w:val="el-GR"/>
              </w:rPr>
              <w:t>ἀπαντῶν</w:t>
            </w:r>
            <w:r w:rsidRPr="00365089">
              <w:rPr>
                <w:sz w:val="22"/>
                <w:szCs w:val="22"/>
              </w:rPr>
              <w:t xml:space="preserve"> </w:t>
            </w:r>
            <w:r w:rsidRPr="00365089">
              <w:rPr>
                <w:sz w:val="22"/>
                <w:szCs w:val="22"/>
                <w:lang w:val="el-GR"/>
              </w:rPr>
              <w:t>φησιν</w:t>
            </w:r>
            <w:r w:rsidRPr="00365089">
              <w:rPr>
                <w:sz w:val="22"/>
                <w:szCs w:val="22"/>
              </w:rPr>
              <w:t xml:space="preserve"> </w:t>
            </w:r>
            <w:r w:rsidRPr="00365089">
              <w:rPr>
                <w:sz w:val="22"/>
                <w:szCs w:val="22"/>
                <w:lang w:val="el-GR"/>
              </w:rPr>
              <w:t>ὅτι</w:t>
            </w:r>
            <w:r w:rsidRPr="00365089">
              <w:rPr>
                <w:i/>
                <w:iCs/>
                <w:color w:val="6D6F03"/>
                <w:sz w:val="22"/>
                <w:szCs w:val="22"/>
              </w:rPr>
              <w:t xml:space="preserve"> </w:t>
            </w:r>
            <w:r w:rsidRPr="00365089">
              <w:rPr>
                <w:sz w:val="22"/>
                <w:szCs w:val="22"/>
                <w:lang w:val="el-GR"/>
              </w:rPr>
              <w:t>Ἴωνα</w:t>
            </w:r>
            <w:r w:rsidRPr="00365089">
              <w:rPr>
                <w:sz w:val="22"/>
                <w:szCs w:val="22"/>
              </w:rPr>
              <w:t xml:space="preserve"> </w:t>
            </w:r>
            <w:r w:rsidRPr="00365089">
              <w:rPr>
                <w:sz w:val="22"/>
                <w:szCs w:val="22"/>
                <w:lang w:val="el-GR"/>
              </w:rPr>
              <w:t>μιμεῖται</w:t>
            </w:r>
            <w:r w:rsidRPr="00365089">
              <w:rPr>
                <w:sz w:val="22"/>
                <w:szCs w:val="22"/>
              </w:rPr>
              <w:t xml:space="preserve"> </w:t>
            </w:r>
            <w:r w:rsidRPr="00365089">
              <w:rPr>
                <w:sz w:val="22"/>
                <w:szCs w:val="22"/>
                <w:lang w:val="el-GR"/>
              </w:rPr>
              <w:t>τὸν</w:t>
            </w:r>
            <w:r w:rsidRPr="00365089">
              <w:rPr>
                <w:sz w:val="22"/>
                <w:szCs w:val="22"/>
              </w:rPr>
              <w:t xml:space="preserve"> </w:t>
            </w:r>
            <w:r w:rsidRPr="00365089">
              <w:rPr>
                <w:sz w:val="22"/>
                <w:szCs w:val="22"/>
                <w:lang w:val="el-GR"/>
              </w:rPr>
              <w:t>τραγικόν</w:t>
            </w:r>
            <w:r w:rsidRPr="00365089">
              <w:rPr>
                <w:sz w:val="22"/>
                <w:szCs w:val="22"/>
              </w:rPr>
              <w:t>·</w:t>
            </w:r>
            <w:r w:rsidR="001E6CE6" w:rsidRPr="00365089">
              <w:rPr>
                <w:sz w:val="22"/>
                <w:szCs w:val="22"/>
              </w:rPr>
              <w:t xml:space="preserve"> </w:t>
            </w:r>
            <w:r w:rsidRPr="00365089">
              <w:rPr>
                <w:sz w:val="22"/>
                <w:szCs w:val="22"/>
                <w:lang w:val="el-GR"/>
              </w:rPr>
              <w:t>ἀλλ</w:t>
            </w:r>
            <w:r w:rsidR="00075F5F">
              <w:rPr>
                <w:sz w:val="22"/>
                <w:szCs w:val="22"/>
              </w:rPr>
              <w:t>’</w:t>
            </w:r>
            <w:r w:rsidRPr="00365089">
              <w:rPr>
                <w:sz w:val="22"/>
                <w:szCs w:val="22"/>
              </w:rPr>
              <w:t xml:space="preserve"> </w:t>
            </w:r>
            <w:r w:rsidRPr="00365089">
              <w:rPr>
                <w:sz w:val="22"/>
                <w:szCs w:val="22"/>
                <w:lang w:val="el-GR"/>
              </w:rPr>
              <w:t>οὐδὲ</w:t>
            </w:r>
            <w:r w:rsidRPr="00365089">
              <w:rPr>
                <w:sz w:val="22"/>
                <w:szCs w:val="22"/>
              </w:rPr>
              <w:t xml:space="preserve"> </w:t>
            </w:r>
            <w:r w:rsidRPr="00365089">
              <w:rPr>
                <w:sz w:val="22"/>
                <w:szCs w:val="22"/>
                <w:lang w:val="el-GR"/>
              </w:rPr>
              <w:t>τὸν</w:t>
            </w:r>
            <w:r w:rsidRPr="00365089">
              <w:rPr>
                <w:sz w:val="22"/>
                <w:szCs w:val="22"/>
              </w:rPr>
              <w:t xml:space="preserve"> </w:t>
            </w:r>
            <w:r w:rsidRPr="00365089">
              <w:rPr>
                <w:sz w:val="22"/>
                <w:szCs w:val="22"/>
                <w:lang w:val="el-GR"/>
              </w:rPr>
              <w:t>τέκτονά</w:t>
            </w:r>
            <w:r w:rsidRPr="00365089">
              <w:rPr>
                <w:sz w:val="22"/>
                <w:szCs w:val="22"/>
              </w:rPr>
              <w:t xml:space="preserve"> </w:t>
            </w:r>
            <w:r w:rsidRPr="00365089">
              <w:rPr>
                <w:sz w:val="22"/>
                <w:szCs w:val="22"/>
                <w:lang w:val="el-GR"/>
              </w:rPr>
              <w:t>τις</w:t>
            </w:r>
            <w:r w:rsidRPr="00365089">
              <w:rPr>
                <w:sz w:val="22"/>
                <w:szCs w:val="22"/>
              </w:rPr>
              <w:t xml:space="preserve"> </w:t>
            </w:r>
            <w:r w:rsidRPr="00365089">
              <w:rPr>
                <w:sz w:val="22"/>
                <w:szCs w:val="22"/>
                <w:lang w:val="el-GR"/>
              </w:rPr>
              <w:t>μέμφεται</w:t>
            </w:r>
            <w:r w:rsidRPr="00365089">
              <w:rPr>
                <w:sz w:val="22"/>
                <w:szCs w:val="22"/>
              </w:rPr>
              <w:t xml:space="preserve"> </w:t>
            </w:r>
            <w:r w:rsidRPr="00365089">
              <w:rPr>
                <w:sz w:val="22"/>
                <w:szCs w:val="22"/>
                <w:lang w:val="el-GR"/>
              </w:rPr>
              <w:t>πολυειδῆ</w:t>
            </w:r>
            <w:r w:rsidR="001E6CE6" w:rsidRPr="00365089">
              <w:rPr>
                <w:sz w:val="22"/>
                <w:szCs w:val="22"/>
              </w:rPr>
              <w:t xml:space="preserve"> </w:t>
            </w:r>
            <w:r w:rsidRPr="00365089">
              <w:rPr>
                <w:sz w:val="22"/>
                <w:szCs w:val="22"/>
              </w:rPr>
              <w:t xml:space="preserve">σκεύη τεκταινόμενον. </w:t>
            </w:r>
          </w:p>
        </w:tc>
        <w:tc>
          <w:tcPr>
            <w:tcW w:w="3822" w:type="dxa"/>
          </w:tcPr>
          <w:p w14:paraId="660BE493" w14:textId="77777777" w:rsidR="005732E0" w:rsidRPr="00365089" w:rsidRDefault="005732E0" w:rsidP="00757C56">
            <w:pPr>
              <w:pStyle w:val="Blockquote"/>
              <w:rPr>
                <w:sz w:val="22"/>
                <w:szCs w:val="22"/>
              </w:rPr>
            </w:pPr>
            <w:r w:rsidRPr="00365089">
              <w:rPr>
                <w:sz w:val="22"/>
                <w:szCs w:val="22"/>
              </w:rPr>
              <w:t xml:space="preserve">In this he says to those who fault him </w:t>
            </w:r>
          </w:p>
          <w:p w14:paraId="714CCA4B" w14:textId="77777777" w:rsidR="005732E0" w:rsidRPr="00365089" w:rsidRDefault="005732E0" w:rsidP="00757C56">
            <w:pPr>
              <w:pStyle w:val="Blockquote"/>
              <w:rPr>
                <w:sz w:val="22"/>
                <w:szCs w:val="22"/>
              </w:rPr>
            </w:pPr>
            <w:r w:rsidRPr="00365089">
              <w:rPr>
                <w:sz w:val="22"/>
                <w:szCs w:val="22"/>
              </w:rPr>
              <w:t xml:space="preserve">for the variety of poems he writes </w:t>
            </w:r>
          </w:p>
          <w:p w14:paraId="29F998DB" w14:textId="77777777" w:rsidR="005732E0" w:rsidRPr="00365089" w:rsidRDefault="005732E0" w:rsidP="00757C56">
            <w:pPr>
              <w:pStyle w:val="Blockquote"/>
              <w:rPr>
                <w:sz w:val="22"/>
                <w:szCs w:val="22"/>
              </w:rPr>
            </w:pPr>
            <w:r w:rsidRPr="00365089">
              <w:rPr>
                <w:sz w:val="22"/>
                <w:szCs w:val="22"/>
              </w:rPr>
              <w:t xml:space="preserve">that he is imitating Ion the tragic poet. </w:t>
            </w:r>
          </w:p>
          <w:p w14:paraId="63261EA8" w14:textId="0E750216" w:rsidR="005732E0" w:rsidRPr="00365089" w:rsidRDefault="005732E0" w:rsidP="00757C56">
            <w:pPr>
              <w:pStyle w:val="Blockquote"/>
              <w:rPr>
                <w:sz w:val="22"/>
                <w:szCs w:val="22"/>
              </w:rPr>
            </w:pPr>
            <w:r w:rsidRPr="00365089">
              <w:rPr>
                <w:sz w:val="22"/>
                <w:szCs w:val="22"/>
              </w:rPr>
              <w:t>Nor does anyone find fault with a builder for creating a variety of artifacts.</w:t>
            </w:r>
          </w:p>
        </w:tc>
      </w:tr>
    </w:tbl>
    <w:p w14:paraId="00290852" w14:textId="77777777" w:rsidR="005732E0" w:rsidRDefault="005732E0" w:rsidP="00757C56">
      <w:pPr>
        <w:pStyle w:val="Blockquote"/>
      </w:pPr>
    </w:p>
    <w:p w14:paraId="17104502" w14:textId="6EC96F89" w:rsidR="00A21ADA" w:rsidRDefault="0097549B" w:rsidP="00E60931">
      <w:pPr>
        <w:rPr>
          <w:lang w:val="en-US"/>
        </w:rPr>
      </w:pPr>
      <w:r>
        <w:rPr>
          <w:lang w:val="en-US"/>
        </w:rPr>
        <w:t xml:space="preserve">Substantial fragments exist which indicate that Ion of Chios composed both tragedy and elegy. Callimachus recalls these here in </w:t>
      </w:r>
      <w:r>
        <w:rPr>
          <w:i/>
          <w:iCs/>
          <w:lang w:val="en-US"/>
        </w:rPr>
        <w:t xml:space="preserve">Ia. </w:t>
      </w:r>
      <w:r>
        <w:rPr>
          <w:lang w:val="en-US"/>
        </w:rPr>
        <w:t>13.44-47</w:t>
      </w:r>
      <w:r w:rsidR="00A21ADA">
        <w:rPr>
          <w:lang w:val="en-US"/>
        </w:rPr>
        <w:t>:</w:t>
      </w:r>
      <w:r>
        <w:rPr>
          <w:lang w:val="en-US"/>
        </w:rPr>
        <w:t xml:space="preserve"> τραγῳδούς at line 44 and π</w:t>
      </w:r>
      <w:hyperlink r:id="rId87" w:history="1">
        <w:r>
          <w:rPr>
            <w:lang w:val="en-US"/>
          </w:rPr>
          <w:t>]</w:t>
        </w:r>
      </w:hyperlink>
      <w:r>
        <w:rPr>
          <w:lang w:val="en-US"/>
        </w:rPr>
        <w:t xml:space="preserve">εντάμετρον at line 45. If the conjectured reading ηρῷον here is correct, the intended genre is hexameter verse. </w:t>
      </w:r>
      <w:r w:rsidR="00A21ADA">
        <w:rPr>
          <w:lang w:val="en-US"/>
        </w:rPr>
        <w:t xml:space="preserve">The </w:t>
      </w:r>
      <w:r>
        <w:rPr>
          <w:lang w:val="en-US"/>
        </w:rPr>
        <w:t>paradigm</w:t>
      </w:r>
      <w:r w:rsidR="00A21ADA">
        <w:rPr>
          <w:lang w:val="en-US"/>
        </w:rPr>
        <w:t xml:space="preserve"> of</w:t>
      </w:r>
      <w:r>
        <w:rPr>
          <w:lang w:val="en-US"/>
        </w:rPr>
        <w:t xml:space="preserve"> Ion of Chios</w:t>
      </w:r>
      <w:r w:rsidR="00A21ADA">
        <w:rPr>
          <w:lang w:val="en-US"/>
        </w:rPr>
        <w:t xml:space="preserve"> is a </w:t>
      </w:r>
      <w:r>
        <w:rPr>
          <w:lang w:val="en-US"/>
        </w:rPr>
        <w:t xml:space="preserve">validation of </w:t>
      </w:r>
      <w:r w:rsidR="00A21ADA">
        <w:rPr>
          <w:lang w:val="en-US"/>
        </w:rPr>
        <w:t xml:space="preserve">Callimachus’ </w:t>
      </w:r>
      <w:r>
        <w:rPr>
          <w:lang w:val="en-US"/>
        </w:rPr>
        <w:t>standpoint as poetic voice</w:t>
      </w:r>
      <w:r w:rsidR="00A21ADA">
        <w:rPr>
          <w:lang w:val="en-US"/>
        </w:rPr>
        <w:t xml:space="preserve">, since the </w:t>
      </w:r>
      <w:r>
        <w:rPr>
          <w:lang w:val="en-US"/>
        </w:rPr>
        <w:t xml:space="preserve"> presentation of Ion of Chios, who is without doubt a valid poetic voice, as the paradigmatic figure, valorises the point of view of the singer of the poem. </w:t>
      </w:r>
    </w:p>
    <w:p w14:paraId="7209A429" w14:textId="6F859AF1" w:rsidR="0097549B" w:rsidRDefault="0097549B" w:rsidP="00A21ADA">
      <w:pPr>
        <w:ind w:firstLine="426"/>
        <w:rPr>
          <w:lang w:val="en-US"/>
        </w:rPr>
      </w:pPr>
      <w:r>
        <w:rPr>
          <w:lang w:val="en-US"/>
        </w:rPr>
        <w:t xml:space="preserve">There has long been debate among scholars on whether πολυείδεια and the paradigm of Ion of Chios refers to the Callimachean </w:t>
      </w:r>
      <w:r>
        <w:rPr>
          <w:i/>
          <w:iCs/>
          <w:lang w:val="en-US"/>
        </w:rPr>
        <w:t>corpus</w:t>
      </w:r>
      <w:r>
        <w:rPr>
          <w:lang w:val="en-US"/>
        </w:rPr>
        <w:t xml:space="preserve"> as a whole or to the collection of </w:t>
      </w:r>
      <w:r>
        <w:rPr>
          <w:i/>
          <w:iCs/>
          <w:lang w:val="en-US"/>
        </w:rPr>
        <w:t>Iambi</w:t>
      </w:r>
      <w:r>
        <w:rPr>
          <w:lang w:val="en-US"/>
        </w:rPr>
        <w:t xml:space="preserve"> (which consist of poems with a wide range of metres, tones, and subjects) alone. The analogy for application to a larger corpus is thus understood to respond to the argument that one poet is restricted to a single genre, since the paradigm of Ion of Chios shows a poet who composed poems in multiple genres. </w:t>
      </w:r>
    </w:p>
    <w:p w14:paraId="4A685A01" w14:textId="5A85F177" w:rsidR="0097549B" w:rsidRDefault="00A21ADA" w:rsidP="00A21ADA">
      <w:pPr>
        <w:ind w:firstLine="426"/>
        <w:rPr>
          <w:lang w:val="en-US"/>
        </w:rPr>
      </w:pPr>
      <w:r>
        <w:rPr>
          <w:lang w:val="en-US"/>
        </w:rPr>
        <w:t xml:space="preserve">However, I think that it is important </w:t>
      </w:r>
      <w:r w:rsidR="0097549B">
        <w:rPr>
          <w:lang w:val="en-US"/>
        </w:rPr>
        <w:t>that the paradigm of Ion of Chios appears in the last iambus of Callimachus</w:t>
      </w:r>
      <w:r w:rsidR="00075F5F">
        <w:rPr>
          <w:lang w:val="en-US"/>
        </w:rPr>
        <w:t>’</w:t>
      </w:r>
      <w:r w:rsidR="0097549B">
        <w:rPr>
          <w:lang w:val="en-US"/>
        </w:rPr>
        <w:t xml:space="preserve"> collection of iambic texts. It is highly plausible that it closely applies to </w:t>
      </w:r>
      <w:r w:rsidR="0097549B">
        <w:rPr>
          <w:i/>
          <w:iCs/>
          <w:lang w:val="en-US"/>
        </w:rPr>
        <w:t>Iambi</w:t>
      </w:r>
      <w:r>
        <w:rPr>
          <w:iCs/>
          <w:lang w:val="en-US"/>
        </w:rPr>
        <w:t xml:space="preserve">. </w:t>
      </w:r>
      <w:r>
        <w:rPr>
          <w:lang w:val="en-US"/>
        </w:rPr>
        <w:t xml:space="preserve">Therefore, </w:t>
      </w:r>
      <w:r w:rsidR="0097549B">
        <w:rPr>
          <w:lang w:val="en-US"/>
        </w:rPr>
        <w:t xml:space="preserve">I argue that Callimachus uses the paradigm of Ion of Chios to explain the variety which his </w:t>
      </w:r>
      <w:r w:rsidR="0097549B">
        <w:rPr>
          <w:i/>
          <w:iCs/>
          <w:lang w:val="en-US"/>
        </w:rPr>
        <w:t xml:space="preserve">Iambi </w:t>
      </w:r>
      <w:r w:rsidR="0097549B">
        <w:rPr>
          <w:lang w:val="en-US"/>
        </w:rPr>
        <w:t>show, since iambic poetry includes linguistic and thematic features that belong to other genres. Variety is intrinsic to the iambic genre</w:t>
      </w:r>
      <w:r>
        <w:rPr>
          <w:lang w:val="en-US"/>
        </w:rPr>
        <w:t>, and</w:t>
      </w:r>
      <w:r w:rsidR="0097549B">
        <w:rPr>
          <w:lang w:val="en-US"/>
        </w:rPr>
        <w:t xml:space="preserve"> an iambographer must be able to deal with a variety of genres. For this reason, I contend that the application of the paradigm of Ion of Chios and the term πολυείδεια specifically refers to Callimachus</w:t>
      </w:r>
      <w:r w:rsidR="00075F5F">
        <w:rPr>
          <w:lang w:val="en-US"/>
        </w:rPr>
        <w:t>’</w:t>
      </w:r>
      <w:r w:rsidR="0097549B">
        <w:rPr>
          <w:lang w:val="en-US"/>
        </w:rPr>
        <w:t xml:space="preserve"> </w:t>
      </w:r>
      <w:r w:rsidR="0097549B">
        <w:rPr>
          <w:i/>
          <w:iCs/>
          <w:lang w:val="en-US"/>
        </w:rPr>
        <w:t>Iambi</w:t>
      </w:r>
      <w:r w:rsidR="0097549B">
        <w:rPr>
          <w:lang w:val="en-US"/>
        </w:rPr>
        <w:t xml:space="preserve">, and more generally to the iambic genre. I believe that by using variety in his </w:t>
      </w:r>
      <w:r w:rsidR="0097549B">
        <w:rPr>
          <w:i/>
          <w:iCs/>
          <w:lang w:val="en-US"/>
        </w:rPr>
        <w:t>Iambi</w:t>
      </w:r>
      <w:r w:rsidR="0097549B">
        <w:rPr>
          <w:lang w:val="en-US"/>
        </w:rPr>
        <w:t xml:space="preserve">, Callimachus is not innovating but reviving and refashioning a feature that had belonged to the genre since its inception. Thus Ion of Chios may be a paradigm of Callimachus and also of Archilochus, or of Hipponax. </w:t>
      </w:r>
    </w:p>
    <w:p w14:paraId="747FE4D3" w14:textId="1C06C069" w:rsidR="00F05F90" w:rsidRPr="003756AF" w:rsidRDefault="0097549B" w:rsidP="00825A39">
      <w:pPr>
        <w:autoSpaceDE w:val="0"/>
        <w:autoSpaceDN w:val="0"/>
        <w:adjustRightInd w:val="0"/>
        <w:rPr>
          <w:lang w:val="en-US"/>
        </w:rPr>
      </w:pPr>
      <w:r>
        <w:rPr>
          <w:lang w:val="en-US"/>
        </w:rPr>
        <w:tab/>
        <w:t>Archilochus gives the impression of being a versatile author. He is mentioned twice in Pindar</w:t>
      </w:r>
      <w:r w:rsidR="00075F5F">
        <w:rPr>
          <w:lang w:val="en-US"/>
        </w:rPr>
        <w:t>’</w:t>
      </w:r>
      <w:r>
        <w:rPr>
          <w:lang w:val="en-US"/>
        </w:rPr>
        <w:t xml:space="preserve">s odes, namely in </w:t>
      </w:r>
      <w:r>
        <w:rPr>
          <w:i/>
          <w:iCs/>
          <w:lang w:val="en-US"/>
        </w:rPr>
        <w:t>Pyth</w:t>
      </w:r>
      <w:r>
        <w:rPr>
          <w:lang w:val="en-US"/>
        </w:rPr>
        <w:t xml:space="preserve">. 2.52-56 and </w:t>
      </w:r>
      <w:r>
        <w:rPr>
          <w:i/>
          <w:iCs/>
          <w:lang w:val="en-US"/>
        </w:rPr>
        <w:t>Ol.</w:t>
      </w:r>
      <w:r>
        <w:rPr>
          <w:lang w:val="en-US"/>
        </w:rPr>
        <w:t xml:space="preserve"> 9.1-4:</w:t>
      </w:r>
    </w:p>
    <w:p w14:paraId="687C7ECC" w14:textId="77777777" w:rsidR="005732E0" w:rsidRDefault="005732E0" w:rsidP="003756AF">
      <w:pPr>
        <w:autoSpaceDE w:val="0"/>
        <w:autoSpaceDN w:val="0"/>
        <w:adjustRightInd w:val="0"/>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5732E0" w:rsidRPr="00365089" w14:paraId="04A769C8" w14:textId="77777777" w:rsidTr="00890EB4">
        <w:tc>
          <w:tcPr>
            <w:tcW w:w="4258" w:type="dxa"/>
          </w:tcPr>
          <w:p w14:paraId="4C9A4541" w14:textId="77777777" w:rsidR="005732E0" w:rsidRPr="00365089" w:rsidRDefault="005732E0" w:rsidP="001E6CE6">
            <w:pPr>
              <w:pStyle w:val="Blockquote"/>
              <w:keepNext/>
              <w:keepLines/>
              <w:rPr>
                <w:sz w:val="22"/>
                <w:szCs w:val="22"/>
              </w:rPr>
            </w:pPr>
            <w:r w:rsidRPr="00365089">
              <w:rPr>
                <w:sz w:val="22"/>
                <w:szCs w:val="22"/>
              </w:rPr>
              <w:t xml:space="preserve">                               ἐμὲ δὲ χ</w:t>
            </w:r>
            <w:hyperlink r:id="rId88" w:history="1">
              <w:r w:rsidRPr="00365089">
                <w:rPr>
                  <w:color w:val="0F7001"/>
                  <w:sz w:val="22"/>
                  <w:szCs w:val="22"/>
                </w:rPr>
                <w:t>ˈ</w:t>
              </w:r>
            </w:hyperlink>
            <w:r w:rsidRPr="00365089">
              <w:rPr>
                <w:sz w:val="22"/>
                <w:szCs w:val="22"/>
              </w:rPr>
              <w:t>ρεών</w:t>
            </w:r>
          </w:p>
          <w:p w14:paraId="555FAA8D" w14:textId="77777777" w:rsidR="005732E0" w:rsidRPr="00365089" w:rsidRDefault="005732E0" w:rsidP="001E6CE6">
            <w:pPr>
              <w:pStyle w:val="Blockquote"/>
              <w:keepNext/>
              <w:keepLines/>
              <w:rPr>
                <w:sz w:val="22"/>
                <w:szCs w:val="22"/>
              </w:rPr>
            </w:pPr>
            <w:r w:rsidRPr="00365089">
              <w:rPr>
                <w:sz w:val="22"/>
                <w:szCs w:val="22"/>
              </w:rPr>
              <w:t>φεύγειν δάκος ἀδινὸν κακαγοριᾶν.</w:t>
            </w:r>
          </w:p>
          <w:p w14:paraId="521EB831" w14:textId="6B69E823" w:rsidR="005732E0" w:rsidRPr="00365089" w:rsidRDefault="005732E0" w:rsidP="001E6CE6">
            <w:pPr>
              <w:pStyle w:val="Blockquote"/>
              <w:keepNext/>
              <w:keepLines/>
              <w:rPr>
                <w:sz w:val="22"/>
                <w:szCs w:val="22"/>
              </w:rPr>
            </w:pPr>
            <w:r w:rsidRPr="00365089">
              <w:rPr>
                <w:sz w:val="22"/>
                <w:szCs w:val="22"/>
              </w:rPr>
              <w:t>εἶδον γὰρ ἑκὰς ἐὼν τὰ πόλλ</w:t>
            </w:r>
            <w:r w:rsidR="00075F5F">
              <w:rPr>
                <w:sz w:val="22"/>
                <w:szCs w:val="22"/>
              </w:rPr>
              <w:t>’</w:t>
            </w:r>
            <w:r w:rsidRPr="00365089">
              <w:rPr>
                <w:sz w:val="22"/>
                <w:szCs w:val="22"/>
              </w:rPr>
              <w:t xml:space="preserve"> ἐν ἀμαχανίᾳ</w:t>
            </w:r>
          </w:p>
          <w:p w14:paraId="7F8D08E3" w14:textId="77777777" w:rsidR="005732E0" w:rsidRPr="00365089" w:rsidRDefault="005732E0" w:rsidP="001E6CE6">
            <w:pPr>
              <w:pStyle w:val="Blockquote"/>
              <w:keepNext/>
              <w:keepLines/>
              <w:rPr>
                <w:sz w:val="22"/>
                <w:szCs w:val="22"/>
                <w:lang w:val="el-GR"/>
              </w:rPr>
            </w:pPr>
            <w:r w:rsidRPr="00365089">
              <w:rPr>
                <w:sz w:val="22"/>
                <w:szCs w:val="22"/>
                <w:lang w:val="el-GR"/>
              </w:rPr>
              <w:t xml:space="preserve">ψογερὸν Ἀρχίλοχον βαρυλόγοις ἔχθεσιν </w:t>
            </w:r>
          </w:p>
          <w:p w14:paraId="609AEB8B" w14:textId="77777777" w:rsidR="005732E0" w:rsidRPr="00365089" w:rsidRDefault="005732E0" w:rsidP="001E6CE6">
            <w:pPr>
              <w:pStyle w:val="Blockquote"/>
              <w:keepNext/>
              <w:keepLines/>
              <w:rPr>
                <w:sz w:val="22"/>
                <w:szCs w:val="22"/>
                <w:lang w:val="el-GR"/>
              </w:rPr>
            </w:pPr>
            <w:r w:rsidRPr="00365089">
              <w:rPr>
                <w:sz w:val="22"/>
                <w:szCs w:val="22"/>
                <w:lang w:val="el-GR"/>
              </w:rPr>
              <w:t>πιαινόμενον·</w:t>
            </w:r>
          </w:p>
        </w:tc>
        <w:tc>
          <w:tcPr>
            <w:tcW w:w="3680" w:type="dxa"/>
          </w:tcPr>
          <w:p w14:paraId="324B0FBC" w14:textId="77777777" w:rsidR="005732E0" w:rsidRPr="00365089" w:rsidRDefault="005732E0" w:rsidP="001E6CE6">
            <w:pPr>
              <w:pStyle w:val="Blockquote"/>
              <w:keepNext/>
              <w:keepLines/>
              <w:rPr>
                <w:sz w:val="22"/>
                <w:szCs w:val="22"/>
              </w:rPr>
            </w:pPr>
            <w:r w:rsidRPr="00365089">
              <w:rPr>
                <w:sz w:val="22"/>
                <w:szCs w:val="22"/>
              </w:rPr>
              <w:t>But I must shun the ravening bite of slander: for from afar I have seen that Archilochus, while faul-finding in poverty, became fat from heavy-words hatred.</w:t>
            </w:r>
          </w:p>
        </w:tc>
      </w:tr>
    </w:tbl>
    <w:p w14:paraId="1BD2B7B8" w14:textId="54540C22" w:rsidR="005732E0" w:rsidRPr="00F83667" w:rsidRDefault="005732E0" w:rsidP="00825A39">
      <w:pPr>
        <w:pStyle w:val="Blockquote"/>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5732E0" w:rsidRPr="00365089" w14:paraId="163C5E8B" w14:textId="77777777" w:rsidTr="00890EB4">
        <w:tc>
          <w:tcPr>
            <w:tcW w:w="4258" w:type="dxa"/>
          </w:tcPr>
          <w:p w14:paraId="7B0450E8" w14:textId="77777777" w:rsidR="005732E0" w:rsidRPr="00365089" w:rsidRDefault="005732E0" w:rsidP="00275E09">
            <w:pPr>
              <w:pStyle w:val="Blockquote"/>
              <w:rPr>
                <w:sz w:val="22"/>
                <w:szCs w:val="22"/>
              </w:rPr>
            </w:pPr>
            <w:r w:rsidRPr="00365089">
              <w:rPr>
                <w:sz w:val="22"/>
                <w:szCs w:val="22"/>
              </w:rPr>
              <w:t>Τὸ μὲν Ἀρχιλόχου μέλος φωνᾶεν Ὀλυμπίᾳ,</w:t>
            </w:r>
          </w:p>
          <w:p w14:paraId="6FA0E0C5" w14:textId="77777777" w:rsidR="005732E0" w:rsidRPr="00365089" w:rsidRDefault="005732E0" w:rsidP="00275E09">
            <w:pPr>
              <w:pStyle w:val="Blockquote"/>
              <w:rPr>
                <w:sz w:val="22"/>
                <w:szCs w:val="22"/>
              </w:rPr>
            </w:pPr>
            <w:r w:rsidRPr="00365089">
              <w:rPr>
                <w:sz w:val="22"/>
                <w:szCs w:val="22"/>
              </w:rPr>
              <w:t>  καλλίνικος ὁ τριπλόος κεχλαδώς</w:t>
            </w:r>
            <w:r w:rsidRPr="00365089">
              <w:rPr>
                <w:rStyle w:val="FootnoteReference"/>
                <w:sz w:val="22"/>
                <w:szCs w:val="22"/>
              </w:rPr>
              <w:footnoteReference w:id="503"/>
            </w:r>
            <w:r w:rsidRPr="00365089">
              <w:rPr>
                <w:i/>
                <w:iCs/>
                <w:color w:val="6D6F03"/>
                <w:sz w:val="22"/>
                <w:szCs w:val="22"/>
              </w:rPr>
              <w:t xml:space="preserve"> </w:t>
            </w:r>
          </w:p>
          <w:p w14:paraId="09DBD596" w14:textId="414EDB54" w:rsidR="005732E0" w:rsidRPr="00365089" w:rsidRDefault="005732E0" w:rsidP="00275E09">
            <w:pPr>
              <w:pStyle w:val="Blockquote"/>
              <w:rPr>
                <w:sz w:val="22"/>
                <w:szCs w:val="22"/>
              </w:rPr>
            </w:pPr>
            <w:r w:rsidRPr="00365089">
              <w:rPr>
                <w:sz w:val="22"/>
                <w:szCs w:val="22"/>
              </w:rPr>
              <w:t>ἄρκεσε Κρόνιον παρ</w:t>
            </w:r>
            <w:r w:rsidR="00075F5F">
              <w:rPr>
                <w:sz w:val="22"/>
                <w:szCs w:val="22"/>
              </w:rPr>
              <w:t>’</w:t>
            </w:r>
            <w:r w:rsidRPr="00365089">
              <w:rPr>
                <w:sz w:val="22"/>
                <w:szCs w:val="22"/>
              </w:rPr>
              <w:t xml:space="preserve"> ὄχθον ἁγεμονεῦσαι</w:t>
            </w:r>
          </w:p>
          <w:p w14:paraId="519DA43F" w14:textId="77777777" w:rsidR="005732E0" w:rsidRPr="00365089" w:rsidRDefault="005732E0" w:rsidP="00275E09">
            <w:pPr>
              <w:pStyle w:val="Blockquote"/>
              <w:rPr>
                <w:sz w:val="22"/>
                <w:szCs w:val="22"/>
                <w:lang w:val="el-GR"/>
              </w:rPr>
            </w:pPr>
            <w:r w:rsidRPr="00365089">
              <w:rPr>
                <w:sz w:val="22"/>
                <w:szCs w:val="22"/>
                <w:lang w:val="el-GR"/>
              </w:rPr>
              <w:t>κωμάζοντι φίλοις Ἐφαρμόστῳ σὺν ἑταίροις·</w:t>
            </w:r>
          </w:p>
        </w:tc>
        <w:tc>
          <w:tcPr>
            <w:tcW w:w="3680" w:type="dxa"/>
          </w:tcPr>
          <w:p w14:paraId="27B2ED0A" w14:textId="1EFE274F" w:rsidR="005732E0" w:rsidRPr="00365089" w:rsidRDefault="005732E0" w:rsidP="00275E09">
            <w:pPr>
              <w:pStyle w:val="Blockquote"/>
              <w:rPr>
                <w:sz w:val="22"/>
                <w:szCs w:val="22"/>
              </w:rPr>
            </w:pPr>
            <w:r w:rsidRPr="00365089">
              <w:rPr>
                <w:sz w:val="22"/>
                <w:szCs w:val="22"/>
              </w:rPr>
              <w:t>The song of Archilochus, resounding at Olympia, the three-refrained hymn of triumph, rising with loud swell, sufficed to lead Epharmostus</w:t>
            </w:r>
            <w:r w:rsidR="00075F5F">
              <w:rPr>
                <w:sz w:val="22"/>
                <w:szCs w:val="22"/>
              </w:rPr>
              <w:t>’</w:t>
            </w:r>
            <w:r w:rsidRPr="00365089">
              <w:rPr>
                <w:sz w:val="22"/>
                <w:szCs w:val="22"/>
              </w:rPr>
              <w:t xml:space="preserve"> way to the hill of Kronos in choral celebration with his friends and fellows</w:t>
            </w:r>
          </w:p>
        </w:tc>
      </w:tr>
    </w:tbl>
    <w:p w14:paraId="2503C008" w14:textId="77777777" w:rsidR="005732E0" w:rsidRDefault="005732E0" w:rsidP="00275E09">
      <w:pPr>
        <w:pStyle w:val="Blockquote"/>
      </w:pPr>
    </w:p>
    <w:p w14:paraId="14AFFF04" w14:textId="77777777" w:rsidR="0097549B" w:rsidRDefault="0097549B" w:rsidP="003756AF">
      <w:pPr>
        <w:rPr>
          <w:lang w:val="en-US"/>
        </w:rPr>
      </w:pPr>
      <w:r>
        <w:rPr>
          <w:lang w:val="en-US"/>
        </w:rPr>
        <w:t>These two references provide opposing but complementary views of Archilochus as a poet who composed works that praised and blamed.</w:t>
      </w:r>
      <w:r>
        <w:rPr>
          <w:rStyle w:val="FootnoteReference"/>
          <w:lang w:val="en-US"/>
        </w:rPr>
        <w:footnoteReference w:id="504"/>
      </w:r>
      <w:r>
        <w:rPr>
          <w:lang w:val="en-US"/>
        </w:rPr>
        <w:t xml:space="preserve"> </w:t>
      </w:r>
    </w:p>
    <w:p w14:paraId="3ED6E883" w14:textId="20E4E2E5" w:rsidR="0097549B" w:rsidRDefault="0097549B" w:rsidP="003756AF">
      <w:pPr>
        <w:ind w:firstLine="426"/>
        <w:rPr>
          <w:lang w:val="en-US"/>
        </w:rPr>
      </w:pPr>
      <w:r>
        <w:rPr>
          <w:lang w:val="en-US"/>
        </w:rPr>
        <w:t>Like Ion of Chios, Archilochus</w:t>
      </w:r>
      <w:r w:rsidR="00075F5F">
        <w:rPr>
          <w:lang w:val="en-US"/>
        </w:rPr>
        <w:t>’</w:t>
      </w:r>
      <w:r>
        <w:rPr>
          <w:lang w:val="en-US"/>
        </w:rPr>
        <w:t xml:space="preserve"> character was many-sided; though he was an iambographer, he also appeared as a character in Athenian comedy (Cratinus</w:t>
      </w:r>
      <w:r w:rsidR="00075F5F">
        <w:rPr>
          <w:lang w:val="en-US"/>
        </w:rPr>
        <w:t>’</w:t>
      </w:r>
      <w:r>
        <w:rPr>
          <w:lang w:val="en-US"/>
        </w:rPr>
        <w:t xml:space="preserve"> </w:t>
      </w:r>
      <w:r>
        <w:rPr>
          <w:i/>
          <w:iCs/>
          <w:lang w:val="en-US"/>
        </w:rPr>
        <w:t>Archilochuses</w:t>
      </w:r>
      <w:r>
        <w:rPr>
          <w:lang w:val="en-US"/>
        </w:rPr>
        <w:t>, Alexis</w:t>
      </w:r>
      <w:r w:rsidR="00075F5F">
        <w:rPr>
          <w:lang w:val="en-US"/>
        </w:rPr>
        <w:t>’</w:t>
      </w:r>
      <w:r>
        <w:rPr>
          <w:lang w:val="en-US"/>
        </w:rPr>
        <w:t xml:space="preserve"> </w:t>
      </w:r>
      <w:r>
        <w:rPr>
          <w:i/>
          <w:iCs/>
          <w:lang w:val="en-US"/>
        </w:rPr>
        <w:t>Archilochus</w:t>
      </w:r>
      <w:r>
        <w:rPr>
          <w:lang w:val="en-US"/>
        </w:rPr>
        <w:t>, Diphilus</w:t>
      </w:r>
      <w:r w:rsidR="00075F5F">
        <w:rPr>
          <w:lang w:val="en-US"/>
        </w:rPr>
        <w:t>’</w:t>
      </w:r>
      <w:r>
        <w:rPr>
          <w:lang w:val="en-US"/>
        </w:rPr>
        <w:t xml:space="preserve">s </w:t>
      </w:r>
      <w:r>
        <w:rPr>
          <w:i/>
          <w:iCs/>
          <w:lang w:val="en-US"/>
        </w:rPr>
        <w:t>Sappho</w:t>
      </w:r>
      <w:r>
        <w:rPr>
          <w:lang w:val="en-US"/>
        </w:rPr>
        <w:t xml:space="preserve">), as the author of praise songs and as a figure that deserved honour despite the need of legitimation in Paros (Alcidamas, </w:t>
      </w:r>
      <w:r>
        <w:rPr>
          <w:i/>
          <w:iCs/>
          <w:lang w:val="en-US"/>
        </w:rPr>
        <w:t>ap</w:t>
      </w:r>
      <w:r>
        <w:rPr>
          <w:lang w:val="en-US"/>
        </w:rPr>
        <w:t xml:space="preserve">. Ar. </w:t>
      </w:r>
      <w:r>
        <w:rPr>
          <w:i/>
          <w:iCs/>
          <w:lang w:val="en-US"/>
        </w:rPr>
        <w:t>Rh</w:t>
      </w:r>
      <w:r>
        <w:rPr>
          <w:lang w:val="en-US"/>
        </w:rPr>
        <w:t xml:space="preserve">. 1398b11-12, Mnesiepes inscription). His name was used as a sophisticated term of abuse (Hermippus, </w:t>
      </w:r>
      <w:r>
        <w:rPr>
          <w:i/>
          <w:iCs/>
          <w:lang w:val="en-US"/>
        </w:rPr>
        <w:t>ap</w:t>
      </w:r>
      <w:r>
        <w:rPr>
          <w:lang w:val="en-US"/>
        </w:rPr>
        <w:t xml:space="preserve">. Ath. 505d-e), and as democratic icon in Athens. Such a reputation would support the interpretation of Heraclitus 42 DK τόν τε Ὅμηρον ἔφασκεν ἄξιον ἐκ τῶν ἀγώνων / ἐκβάλλεσθαι καὶ ῥαπίζεσθαι καὶ Ἀρχίλοχον ὁμοίως </w:t>
      </w:r>
      <w:r w:rsidR="00CC0615">
        <w:rPr>
          <w:lang w:val="en-US"/>
        </w:rPr>
        <w:t>“</w:t>
      </w:r>
      <w:r>
        <w:rPr>
          <w:lang w:val="en-US"/>
        </w:rPr>
        <w:t>(said that) Homer deserves to be thrown out of the contests and flogged and Archilochus too</w:t>
      </w:r>
      <w:r w:rsidR="00CC0615">
        <w:rPr>
          <w:lang w:val="en-US"/>
        </w:rPr>
        <w:t>”</w:t>
      </w:r>
      <w:r>
        <w:rPr>
          <w:lang w:val="en-US"/>
        </w:rPr>
        <w:t xml:space="preserve"> as referring to a spectrum of Archilochus</w:t>
      </w:r>
      <w:r w:rsidR="00075F5F">
        <w:rPr>
          <w:lang w:val="en-US"/>
        </w:rPr>
        <w:t>’</w:t>
      </w:r>
      <w:r>
        <w:rPr>
          <w:lang w:val="en-US"/>
        </w:rPr>
        <w:t xml:space="preserve"> poetry rather than exclusively to the poetry of blame. </w:t>
      </w:r>
    </w:p>
    <w:p w14:paraId="55A2BBEF" w14:textId="0278A6E5" w:rsidR="0097549B" w:rsidRDefault="0097549B" w:rsidP="003756AF">
      <w:pPr>
        <w:ind w:firstLine="426"/>
        <w:rPr>
          <w:lang w:val="en-US"/>
        </w:rPr>
      </w:pPr>
      <w:r>
        <w:rPr>
          <w:lang w:val="en-US"/>
        </w:rPr>
        <w:t>The thematic and functional diversity of Archilochus</w:t>
      </w:r>
      <w:r w:rsidR="00075F5F">
        <w:rPr>
          <w:lang w:val="en-US"/>
        </w:rPr>
        <w:t>’</w:t>
      </w:r>
      <w:r>
        <w:rPr>
          <w:lang w:val="en-US"/>
        </w:rPr>
        <w:t xml:space="preserve"> poetry is clearly shown in the complexity of his image as well as </w:t>
      </w:r>
      <w:r w:rsidR="00A21ADA">
        <w:rPr>
          <w:lang w:val="en-US"/>
        </w:rPr>
        <w:t xml:space="preserve">by the </w:t>
      </w:r>
      <w:r>
        <w:rPr>
          <w:lang w:val="en-US"/>
        </w:rPr>
        <w:t>Alexandrian edition arranged Archilochus</w:t>
      </w:r>
      <w:r w:rsidR="00075F5F">
        <w:rPr>
          <w:lang w:val="en-US"/>
        </w:rPr>
        <w:t>’</w:t>
      </w:r>
      <w:r>
        <w:rPr>
          <w:lang w:val="en-US"/>
        </w:rPr>
        <w:t xml:space="preserve"> work into four sections (or books) according to metre: elegies, trimeters, tetrameters, and epodes.</w:t>
      </w:r>
      <w:r>
        <w:rPr>
          <w:rStyle w:val="FootnoteReference"/>
          <w:lang w:val="en-US"/>
        </w:rPr>
        <w:footnoteReference w:id="505"/>
      </w:r>
      <w:r>
        <w:rPr>
          <w:lang w:val="en-US"/>
        </w:rPr>
        <w:t xml:space="preserve"> It may be suggested that Callimachus while composing the </w:t>
      </w:r>
      <w:r>
        <w:rPr>
          <w:i/>
          <w:iCs/>
          <w:lang w:val="en-US"/>
        </w:rPr>
        <w:t>Iambi</w:t>
      </w:r>
      <w:r>
        <w:rPr>
          <w:lang w:val="en-US"/>
        </w:rPr>
        <w:t xml:space="preserve"> was proposing a paradigm similar to that of the other famous archaic iambographer, Archilochus. </w:t>
      </w:r>
    </w:p>
    <w:p w14:paraId="1BEABBF7" w14:textId="065F24A4" w:rsidR="005732E0" w:rsidRPr="00C737A8" w:rsidRDefault="0097549B" w:rsidP="003756AF">
      <w:pPr>
        <w:rPr>
          <w:szCs w:val="24"/>
        </w:rPr>
      </w:pPr>
      <w:r>
        <w:rPr>
          <w:lang w:val="en-US"/>
        </w:rPr>
        <w:t xml:space="preserve">I contend that archaic iambographers were versatile authors, who introduced different themes and who knew and applied multiple genres within their poems. Hipponax </w:t>
      </w:r>
      <w:r>
        <w:rPr>
          <w:lang w:val="en-US"/>
        </w:rPr>
        <w:lastRenderedPageBreak/>
        <w:t>includes heroic myths in his iambs, and the use of different metres could correspond to different kinds of narratives within the iambic frame. Hipponax</w:t>
      </w:r>
      <w:r w:rsidR="00075F5F">
        <w:rPr>
          <w:lang w:val="en-US"/>
        </w:rPr>
        <w:t>’</w:t>
      </w:r>
      <w:r>
        <w:rPr>
          <w:lang w:val="en-US"/>
        </w:rPr>
        <w:t xml:space="preserve">s main intertext is the </w:t>
      </w:r>
      <w:r>
        <w:rPr>
          <w:i/>
          <w:iCs/>
          <w:lang w:val="en-US"/>
        </w:rPr>
        <w:t>Odyssey</w:t>
      </w:r>
      <w:r>
        <w:rPr>
          <w:lang w:val="en-US"/>
        </w:rPr>
        <w:t xml:space="preserve"> so that the construction of Hipponax</w:t>
      </w:r>
      <w:r w:rsidR="00075F5F">
        <w:rPr>
          <w:lang w:val="en-US"/>
        </w:rPr>
        <w:t>’</w:t>
      </w:r>
      <w:r>
        <w:rPr>
          <w:lang w:val="en-US"/>
        </w:rPr>
        <w:t xml:space="preserve">s </w:t>
      </w:r>
      <w:r>
        <w:rPr>
          <w:i/>
          <w:iCs/>
          <w:lang w:val="en-US"/>
        </w:rPr>
        <w:t>persona</w:t>
      </w:r>
      <w:r>
        <w:rPr>
          <w:lang w:val="en-US"/>
        </w:rPr>
        <w:t xml:space="preserve"> is based on the figure of Odysseus and the </w:t>
      </w:r>
      <w:r>
        <w:rPr>
          <w:i/>
          <w:iCs/>
          <w:lang w:val="en-US"/>
        </w:rPr>
        <w:t>Odyssey</w:t>
      </w:r>
      <w:r>
        <w:rPr>
          <w:lang w:val="en-US"/>
        </w:rPr>
        <w:t xml:space="preserve"> lurks behind the hybrid (high/low) language of Hipponax</w:t>
      </w:r>
      <w:r w:rsidR="00075F5F">
        <w:rPr>
          <w:lang w:val="en-US"/>
        </w:rPr>
        <w:t>’</w:t>
      </w:r>
      <w:r>
        <w:rPr>
          <w:lang w:val="en-US"/>
        </w:rPr>
        <w:t xml:space="preserve">s iambs. In addition, some papyrological fragments of Hipponax seem to imply a direct use of myth in the form of straight mythic narrative or in the rhetorical form of </w:t>
      </w:r>
      <w:r>
        <w:rPr>
          <w:i/>
          <w:iCs/>
          <w:lang w:val="en-US"/>
        </w:rPr>
        <w:t>exempla</w:t>
      </w:r>
      <w:r>
        <w:rPr>
          <w:lang w:val="en-US"/>
        </w:rPr>
        <w:t>.</w:t>
      </w:r>
      <w:r>
        <w:rPr>
          <w:rStyle w:val="FootnoteReference"/>
          <w:lang w:val="en-US"/>
        </w:rPr>
        <w:footnoteReference w:id="506"/>
      </w:r>
      <w:r>
        <w:rPr>
          <w:lang w:val="en-US"/>
        </w:rPr>
        <w:t xml:space="preserve"> These clues suggest that Hipponax</w:t>
      </w:r>
      <w:r w:rsidR="00075F5F">
        <w:rPr>
          <w:lang w:val="en-US"/>
        </w:rPr>
        <w:t>’</w:t>
      </w:r>
      <w:r>
        <w:rPr>
          <w:lang w:val="en-US"/>
        </w:rPr>
        <w:t>s iambic fragments include different kinds of themes and languages in order to represent different kinds of narratives. Therefore, I contend that variety was a key feature of the iambic genre from its inception, and that the genre is not limited to the themes of the iambs, but also involves the language of the iambs. The continuous shifting of the language of iambic poetry from one code to another is illustrated below. In addition, I discuss the purposes of code-switching in the ancient Greek iambic poetry.</w:t>
      </w:r>
      <w:r>
        <w:rPr>
          <w:shd w:val="solid" w:color="FFFF00" w:fill="FFFF00"/>
          <w:lang w:val="en-US"/>
        </w:rPr>
        <w:t xml:space="preserve"> </w:t>
      </w:r>
    </w:p>
    <w:p w14:paraId="1A3CAA55" w14:textId="77777777" w:rsidR="005732E0" w:rsidRPr="00ED5EFE" w:rsidRDefault="005732E0" w:rsidP="00275E09">
      <w:pPr>
        <w:pStyle w:val="Heading3"/>
      </w:pPr>
      <w:r>
        <w:t xml:space="preserve">4.5 </w:t>
      </w:r>
      <w:r w:rsidRPr="00ED5EFE">
        <w:t>Code-switching</w:t>
      </w:r>
    </w:p>
    <w:p w14:paraId="48BE5E74" w14:textId="7D2FEA3F" w:rsidR="0097549B" w:rsidRDefault="0097549B" w:rsidP="0097549B">
      <w:pPr>
        <w:rPr>
          <w:lang w:val="en-US"/>
        </w:rPr>
      </w:pPr>
      <w:r>
        <w:rPr>
          <w:lang w:val="en-US"/>
        </w:rPr>
        <w:t xml:space="preserve">Oral code-switching </w:t>
      </w:r>
      <w:r w:rsidR="00F607AD">
        <w:rPr>
          <w:lang w:val="en-US"/>
        </w:rPr>
        <w:t>implies the use of two or more languages in the same speaking context;</w:t>
      </w:r>
      <w:r w:rsidR="00F607AD">
        <w:rPr>
          <w:rStyle w:val="FootnoteReference"/>
          <w:lang w:val="en-US"/>
        </w:rPr>
        <w:footnoteReference w:id="507"/>
      </w:r>
      <w:r w:rsidR="00F607AD">
        <w:rPr>
          <w:lang w:val="en-US"/>
        </w:rPr>
        <w:t xml:space="preserve"> recently </w:t>
      </w:r>
      <w:r>
        <w:rPr>
          <w:lang w:val="en-US"/>
        </w:rPr>
        <w:t xml:space="preserve">theoretical frameworks developed for the study of multilingual speech </w:t>
      </w:r>
      <w:r w:rsidR="00F607AD">
        <w:rPr>
          <w:lang w:val="en-US"/>
        </w:rPr>
        <w:t xml:space="preserve">have been </w:t>
      </w:r>
      <w:r>
        <w:rPr>
          <w:lang w:val="en-US"/>
        </w:rPr>
        <w:t>applied in the analysis of literary texts.</w:t>
      </w:r>
      <w:r>
        <w:rPr>
          <w:rStyle w:val="FootnoteReference"/>
          <w:lang w:val="en-US"/>
        </w:rPr>
        <w:footnoteReference w:id="508"/>
      </w:r>
      <w:r>
        <w:rPr>
          <w:lang w:val="en-US"/>
        </w:rPr>
        <w:t xml:space="preserve"> </w:t>
      </w:r>
    </w:p>
    <w:p w14:paraId="4A3A6461" w14:textId="62C8B431" w:rsidR="0097549B" w:rsidRDefault="0097549B" w:rsidP="0097549B">
      <w:pPr>
        <w:ind w:firstLine="426"/>
        <w:rPr>
          <w:lang w:val="en-US"/>
        </w:rPr>
      </w:pPr>
      <w:r>
        <w:rPr>
          <w:lang w:val="en-US"/>
        </w:rPr>
        <w:t>Code-switching is more visible in literature since written language makes where it occurs more explicit. A number of authors such as George, Rilke, or Eliot have applied several languages within their texts for specific effects</w:t>
      </w:r>
      <w:r>
        <w:rPr>
          <w:rStyle w:val="FootnoteReference"/>
          <w:lang w:val="en-US"/>
        </w:rPr>
        <w:footnoteReference w:id="509"/>
      </w:r>
      <w:r>
        <w:rPr>
          <w:lang w:val="en-US"/>
        </w:rPr>
        <w:t xml:space="preserve"> in a manner that cannot be imitated in spoken code-switching. Authors such as James Joyce and Ezra Pound have demonstrated the application of code-switching for more specific literary purposes. (Both authors learned other languages later in life and code-switching in their writings does not stem from a multilingual upbringing.) Other authors such as Raimbautz de Vaqueiras composed troubadour poetry using a mixture of Romance languages,</w:t>
      </w:r>
      <w:r>
        <w:rPr>
          <w:rStyle w:val="FootnoteReference"/>
          <w:lang w:val="en-US"/>
        </w:rPr>
        <w:footnoteReference w:id="510"/>
      </w:r>
      <w:r>
        <w:rPr>
          <w:lang w:val="en-US"/>
        </w:rPr>
        <w:t xml:space="preserve"> as well as the so-called </w:t>
      </w:r>
      <w:r w:rsidR="00075F5F">
        <w:rPr>
          <w:lang w:val="en-US"/>
        </w:rPr>
        <w:t>‘</w:t>
      </w:r>
      <w:r>
        <w:rPr>
          <w:lang w:val="en-US"/>
        </w:rPr>
        <w:t>macaronic</w:t>
      </w:r>
      <w:r w:rsidR="00075F5F">
        <w:rPr>
          <w:lang w:val="en-US"/>
        </w:rPr>
        <w:t>’</w:t>
      </w:r>
      <w:r>
        <w:rPr>
          <w:lang w:val="en-US"/>
        </w:rPr>
        <w:t xml:space="preserve"> writing. </w:t>
      </w:r>
      <w:r w:rsidR="00CC0615">
        <w:rPr>
          <w:lang w:val="en-US"/>
        </w:rPr>
        <w:t>“</w:t>
      </w:r>
      <w:r>
        <w:rPr>
          <w:lang w:val="en-US"/>
        </w:rPr>
        <w:t>Macaronic</w:t>
      </w:r>
      <w:r w:rsidR="00CC0615">
        <w:rPr>
          <w:lang w:val="en-US"/>
        </w:rPr>
        <w:t>”</w:t>
      </w:r>
      <w:r>
        <w:rPr>
          <w:lang w:val="en-US"/>
        </w:rPr>
        <w:t xml:space="preserve"> writing is a parodic form with dense code-switching that entails the combination of Latin and </w:t>
      </w:r>
      <w:r>
        <w:rPr>
          <w:lang w:val="en-US"/>
        </w:rPr>
        <w:lastRenderedPageBreak/>
        <w:t>other vernaculars. Other examples of macaronic writing can be found in Middle English</w:t>
      </w:r>
      <w:r>
        <w:rPr>
          <w:rStyle w:val="FootnoteReference"/>
          <w:lang w:val="en-US"/>
        </w:rPr>
        <w:footnoteReference w:id="511"/>
      </w:r>
      <w:r>
        <w:rPr>
          <w:lang w:val="en-US"/>
        </w:rPr>
        <w:t xml:space="preserve"> and in Renaissance Crete.</w:t>
      </w:r>
      <w:r>
        <w:rPr>
          <w:rStyle w:val="FootnoteReference"/>
          <w:lang w:val="en-US"/>
        </w:rPr>
        <w:footnoteReference w:id="512"/>
      </w:r>
      <w:r>
        <w:rPr>
          <w:lang w:val="en-US"/>
        </w:rPr>
        <w:t xml:space="preserve"> </w:t>
      </w:r>
    </w:p>
    <w:p w14:paraId="3D29A7B8" w14:textId="77777777" w:rsidR="0097549B" w:rsidRDefault="0097549B" w:rsidP="0097549B">
      <w:pPr>
        <w:ind w:firstLine="426"/>
        <w:rPr>
          <w:lang w:val="en-US"/>
        </w:rPr>
      </w:pPr>
      <w:r>
        <w:rPr>
          <w:lang w:val="en-US"/>
        </w:rPr>
        <w:t>This mixing of language seems to represent in some instances what happens in a spontaneous speech, since code-switching mostly occurs in dialogue and in stream of consciousness writing.</w:t>
      </w:r>
      <w:r>
        <w:rPr>
          <w:rStyle w:val="FootnoteReference"/>
          <w:lang w:val="en-US"/>
        </w:rPr>
        <w:footnoteReference w:id="513"/>
      </w:r>
      <w:r>
        <w:rPr>
          <w:lang w:val="en-US"/>
        </w:rPr>
        <w:t xml:space="preserve"> Such switching of codes in fiction gives the impression of a rejection of literary standards and thereby creates a sense of realism or piquancy. In other words, code-switching heightens the orality of a text.</w:t>
      </w:r>
    </w:p>
    <w:p w14:paraId="02140674" w14:textId="2976714B" w:rsidR="0097549B" w:rsidRDefault="0097549B" w:rsidP="0097549B">
      <w:pPr>
        <w:ind w:firstLine="426"/>
        <w:rPr>
          <w:lang w:val="en-US"/>
        </w:rPr>
      </w:pPr>
      <w:r>
        <w:rPr>
          <w:lang w:val="en-US"/>
        </w:rPr>
        <w:t>Code-switching has also been used by some authors to represent the speakers of other languages in literature, usually in a satirical or humorous manner. Examples of literature using code-switching to represent this include Shakespeare</w:t>
      </w:r>
      <w:r w:rsidR="00075F5F">
        <w:rPr>
          <w:lang w:val="en-US"/>
        </w:rPr>
        <w:t>’</w:t>
      </w:r>
      <w:r>
        <w:rPr>
          <w:lang w:val="en-US"/>
        </w:rPr>
        <w:t xml:space="preserve">s </w:t>
      </w:r>
      <w:r>
        <w:rPr>
          <w:i/>
          <w:iCs/>
          <w:lang w:val="en-US"/>
        </w:rPr>
        <w:t>Henry V</w:t>
      </w:r>
      <w:r>
        <w:rPr>
          <w:lang w:val="en-US"/>
        </w:rPr>
        <w:t>, Charlotte Brontë</w:t>
      </w:r>
      <w:r w:rsidR="00075F5F">
        <w:rPr>
          <w:lang w:val="en-US"/>
        </w:rPr>
        <w:t>’</w:t>
      </w:r>
      <w:r>
        <w:rPr>
          <w:lang w:val="en-US"/>
        </w:rPr>
        <w:t xml:space="preserve">s </w:t>
      </w:r>
      <w:r>
        <w:rPr>
          <w:i/>
          <w:iCs/>
          <w:lang w:val="en-US"/>
        </w:rPr>
        <w:t>Jane Eyre</w:t>
      </w:r>
      <w:r>
        <w:rPr>
          <w:lang w:val="en-US"/>
        </w:rPr>
        <w:t>; Tolstoy</w:t>
      </w:r>
      <w:r w:rsidR="00075F5F">
        <w:rPr>
          <w:lang w:val="en-US"/>
        </w:rPr>
        <w:t>’</w:t>
      </w:r>
      <w:r>
        <w:rPr>
          <w:lang w:val="en-US"/>
        </w:rPr>
        <w:t xml:space="preserve">s </w:t>
      </w:r>
      <w:r>
        <w:rPr>
          <w:i/>
          <w:iCs/>
          <w:lang w:val="en-US"/>
        </w:rPr>
        <w:t>War and Peace</w:t>
      </w:r>
      <w:r>
        <w:rPr>
          <w:lang w:val="en-US"/>
        </w:rPr>
        <w:t>, and Thomas Mann</w:t>
      </w:r>
      <w:r w:rsidR="00075F5F">
        <w:rPr>
          <w:lang w:val="en-US"/>
        </w:rPr>
        <w:t>’</w:t>
      </w:r>
      <w:r>
        <w:rPr>
          <w:lang w:val="en-US"/>
        </w:rPr>
        <w:t xml:space="preserve">s </w:t>
      </w:r>
      <w:r>
        <w:rPr>
          <w:i/>
          <w:iCs/>
          <w:lang w:val="en-US"/>
        </w:rPr>
        <w:t>The Magic Mountain</w:t>
      </w:r>
      <w:r>
        <w:rPr>
          <w:lang w:val="en-US"/>
        </w:rPr>
        <w:t xml:space="preserve">. Such representation provides more authenticity when compared to the employment of monolingual means to represent </w:t>
      </w:r>
      <w:r w:rsidR="00075F5F">
        <w:rPr>
          <w:lang w:val="en-US"/>
        </w:rPr>
        <w:t>‘</w:t>
      </w:r>
      <w:r>
        <w:rPr>
          <w:lang w:val="en-US"/>
        </w:rPr>
        <w:t>foreign</w:t>
      </w:r>
      <w:r w:rsidR="00075F5F">
        <w:rPr>
          <w:lang w:val="en-US"/>
        </w:rPr>
        <w:t>’</w:t>
      </w:r>
      <w:r>
        <w:rPr>
          <w:lang w:val="en-US"/>
        </w:rPr>
        <w:t xml:space="preserve"> speech, like that used by Roth in </w:t>
      </w:r>
      <w:r>
        <w:rPr>
          <w:i/>
          <w:iCs/>
          <w:lang w:val="en-US"/>
        </w:rPr>
        <w:t>Call it Sleep</w:t>
      </w:r>
      <w:r>
        <w:rPr>
          <w:lang w:val="en-US"/>
        </w:rPr>
        <w:t xml:space="preserve"> and Hemingway in </w:t>
      </w:r>
      <w:r>
        <w:rPr>
          <w:i/>
          <w:iCs/>
          <w:lang w:val="en-US"/>
        </w:rPr>
        <w:t>For Whom the Bell Tolls</w:t>
      </w:r>
      <w:r>
        <w:rPr>
          <w:lang w:val="en-US"/>
        </w:rPr>
        <w:t>.</w:t>
      </w:r>
      <w:r>
        <w:rPr>
          <w:rStyle w:val="FootnoteReference"/>
          <w:lang w:val="en-US"/>
        </w:rPr>
        <w:footnoteReference w:id="514"/>
      </w:r>
      <w:r>
        <w:rPr>
          <w:lang w:val="en-US"/>
        </w:rPr>
        <w:t xml:space="preserve"> Code-switching may be used in the representation of hesitant speech by characters who use a language other than their native one, such as the Scythian archer in Aristophanes</w:t>
      </w:r>
      <w:r w:rsidR="00075F5F">
        <w:rPr>
          <w:lang w:val="en-US"/>
        </w:rPr>
        <w:t>’</w:t>
      </w:r>
      <w:r>
        <w:rPr>
          <w:lang w:val="en-US"/>
        </w:rPr>
        <w:t xml:space="preserve"> </w:t>
      </w:r>
      <w:r>
        <w:rPr>
          <w:i/>
          <w:iCs/>
          <w:lang w:val="en-US"/>
        </w:rPr>
        <w:t>Thesmophoriazusae,</w:t>
      </w:r>
      <w:r>
        <w:rPr>
          <w:lang w:val="en-US"/>
        </w:rPr>
        <w:t xml:space="preserve"> or the travellers in Twain</w:t>
      </w:r>
      <w:r w:rsidR="00075F5F">
        <w:rPr>
          <w:lang w:val="en-US"/>
        </w:rPr>
        <w:t>’</w:t>
      </w:r>
      <w:r>
        <w:rPr>
          <w:lang w:val="en-US"/>
        </w:rPr>
        <w:t xml:space="preserve">s </w:t>
      </w:r>
      <w:r>
        <w:rPr>
          <w:i/>
          <w:iCs/>
          <w:lang w:val="en-US"/>
        </w:rPr>
        <w:t>The Innocents Abroad</w:t>
      </w:r>
      <w:r>
        <w:rPr>
          <w:lang w:val="en-US"/>
        </w:rPr>
        <w:t>. The use of idiosyncratic multilingual speech can draw attention to particularities of certain characters</w:t>
      </w:r>
      <w:r w:rsidDel="00173B1B">
        <w:rPr>
          <w:lang w:val="en-US"/>
        </w:rPr>
        <w:t xml:space="preserve"> </w:t>
      </w:r>
      <w:r>
        <w:rPr>
          <w:lang w:val="en-US"/>
        </w:rPr>
        <w:t xml:space="preserve">. For instance, Rabelais in </w:t>
      </w:r>
      <w:r>
        <w:rPr>
          <w:i/>
          <w:iCs/>
          <w:lang w:val="en-US"/>
        </w:rPr>
        <w:t xml:space="preserve">Pantagruel </w:t>
      </w:r>
      <w:r>
        <w:rPr>
          <w:lang w:val="en-US"/>
        </w:rPr>
        <w:t xml:space="preserve">VI mocks </w:t>
      </w:r>
      <w:r w:rsidR="00075F5F">
        <w:rPr>
          <w:lang w:val="en-US"/>
        </w:rPr>
        <w:t>‘</w:t>
      </w:r>
      <w:r>
        <w:rPr>
          <w:lang w:val="en-US"/>
        </w:rPr>
        <w:t>l</w:t>
      </w:r>
      <w:r w:rsidR="00075F5F">
        <w:rPr>
          <w:lang w:val="en-US"/>
        </w:rPr>
        <w:t>’</w:t>
      </w:r>
      <w:r>
        <w:rPr>
          <w:lang w:val="en-US"/>
        </w:rPr>
        <w:t>escholier limousin</w:t>
      </w:r>
      <w:r w:rsidR="00075F5F">
        <w:rPr>
          <w:lang w:val="en-US"/>
        </w:rPr>
        <w:t>’</w:t>
      </w:r>
      <w:r>
        <w:rPr>
          <w:lang w:val="en-US"/>
        </w:rPr>
        <w:t xml:space="preserve"> who attempts to speak Franco-Latin to show his learning. Another example is the troubling Salvatore</w:t>
      </w:r>
      <w:r w:rsidR="00075F5F">
        <w:rPr>
          <w:lang w:val="en-US"/>
        </w:rPr>
        <w:t>’</w:t>
      </w:r>
      <w:r>
        <w:rPr>
          <w:lang w:val="en-US"/>
        </w:rPr>
        <w:t>s multilingual jargon in Eco</w:t>
      </w:r>
      <w:r w:rsidR="00075F5F">
        <w:rPr>
          <w:lang w:val="en-US"/>
        </w:rPr>
        <w:t>’</w:t>
      </w:r>
      <w:r>
        <w:rPr>
          <w:lang w:val="en-US"/>
        </w:rPr>
        <w:t xml:space="preserve">s </w:t>
      </w:r>
      <w:r>
        <w:rPr>
          <w:i/>
          <w:iCs/>
          <w:lang w:val="en-US"/>
        </w:rPr>
        <w:t>The Name of the Rose.</w:t>
      </w:r>
      <w:r>
        <w:rPr>
          <w:rStyle w:val="FootnoteReference"/>
          <w:lang w:val="en-US"/>
        </w:rPr>
        <w:footnoteReference w:id="515"/>
      </w:r>
    </w:p>
    <w:p w14:paraId="7609DCF9" w14:textId="7A3CF8FA" w:rsidR="005732E0" w:rsidRPr="00FF051C" w:rsidRDefault="0097549B" w:rsidP="00F607AD">
      <w:pPr>
        <w:ind w:firstLine="426"/>
        <w:rPr>
          <w:rFonts w:cs="Times New Roman"/>
        </w:rPr>
      </w:pPr>
      <w:r>
        <w:rPr>
          <w:lang w:val="en-US"/>
        </w:rPr>
        <w:t>The application of concepts, models, and terminologies designed for multilingual speech to literary texts has been demonstrated by scholars. Lipski asserts that the grammar used in literature and normal speech is not discrete such that one is used only in its context and that the reader is somehow expected to bridge the gap.</w:t>
      </w:r>
      <w:r>
        <w:rPr>
          <w:rStyle w:val="FootnoteReference"/>
          <w:lang w:val="en-US"/>
        </w:rPr>
        <w:footnoteReference w:id="516"/>
      </w:r>
      <w:r>
        <w:rPr>
          <w:lang w:val="en-US"/>
        </w:rPr>
        <w:t xml:space="preserve"> Literary scholars have on occasion applied models developed by linguists to literature. One model that they have used is the Myers-Scotton</w:t>
      </w:r>
      <w:r w:rsidR="00075F5F">
        <w:rPr>
          <w:lang w:val="en-US"/>
        </w:rPr>
        <w:t>’</w:t>
      </w:r>
      <w:r>
        <w:rPr>
          <w:lang w:val="en-US"/>
        </w:rPr>
        <w:t xml:space="preserve">s </w:t>
      </w:r>
      <w:r w:rsidR="00CC0615">
        <w:rPr>
          <w:lang w:val="en-US"/>
        </w:rPr>
        <w:t>“</w:t>
      </w:r>
      <w:r>
        <w:rPr>
          <w:lang w:val="en-US"/>
        </w:rPr>
        <w:t>Matrix Language Frame</w:t>
      </w:r>
      <w:r w:rsidR="00CC0615">
        <w:rPr>
          <w:lang w:val="en-US"/>
        </w:rPr>
        <w:t>”</w:t>
      </w:r>
      <w:r>
        <w:rPr>
          <w:sz w:val="36"/>
          <w:szCs w:val="36"/>
          <w:vertAlign w:val="superscript"/>
          <w:lang w:val="en-US"/>
        </w:rPr>
        <w:t xml:space="preserve"> </w:t>
      </w:r>
      <w:r>
        <w:rPr>
          <w:lang w:val="en-US"/>
        </w:rPr>
        <w:t>model.</w:t>
      </w:r>
      <w:r>
        <w:rPr>
          <w:rStyle w:val="FootnoteReference"/>
          <w:lang w:val="en-US"/>
        </w:rPr>
        <w:footnoteReference w:id="517"/>
      </w:r>
      <w:r>
        <w:rPr>
          <w:lang w:val="en-US"/>
        </w:rPr>
        <w:t xml:space="preserve"> This model was applied to Medieval English drama by Diller</w:t>
      </w:r>
      <w:r>
        <w:rPr>
          <w:rStyle w:val="FootnoteReference"/>
          <w:lang w:val="en-US"/>
        </w:rPr>
        <w:footnoteReference w:id="518"/>
      </w:r>
      <w:r>
        <w:rPr>
          <w:lang w:val="en-US"/>
        </w:rPr>
        <w:t xml:space="preserve"> as well as in the analysis of narrative sections of Hispanic American literature by </w:t>
      </w:r>
      <w:r>
        <w:rPr>
          <w:lang w:val="en-US"/>
        </w:rPr>
        <w:lastRenderedPageBreak/>
        <w:t>Callahan.</w:t>
      </w:r>
      <w:r>
        <w:rPr>
          <w:rStyle w:val="FootnoteReference"/>
          <w:lang w:val="en-US"/>
        </w:rPr>
        <w:footnoteReference w:id="519"/>
      </w:r>
      <w:r w:rsidR="00F607AD">
        <w:rPr>
          <w:lang w:val="en-US"/>
        </w:rPr>
        <w:t>Although</w:t>
      </w:r>
      <w:r>
        <w:rPr>
          <w:lang w:val="en-US"/>
        </w:rPr>
        <w:t xml:space="preserve"> the application is not mechanical and, consequently, has led to problems in th</w:t>
      </w:r>
      <w:r w:rsidR="00F607AD">
        <w:rPr>
          <w:lang w:val="en-US"/>
        </w:rPr>
        <w:t>eir</w:t>
      </w:r>
      <w:r>
        <w:rPr>
          <w:lang w:val="en-US"/>
        </w:rPr>
        <w:t xml:space="preserve"> use</w:t>
      </w:r>
      <w:r w:rsidR="00F607AD">
        <w:rPr>
          <w:lang w:val="en-US"/>
        </w:rPr>
        <w:t xml:space="preserve">, </w:t>
      </w:r>
      <w:r>
        <w:rPr>
          <w:lang w:val="en-US"/>
        </w:rPr>
        <w:t>I think that th</w:t>
      </w:r>
      <w:r w:rsidR="00F607AD">
        <w:rPr>
          <w:lang w:val="en-US"/>
        </w:rPr>
        <w:t>is model</w:t>
      </w:r>
      <w:r>
        <w:rPr>
          <w:lang w:val="en-US"/>
        </w:rPr>
        <w:t xml:space="preserve"> facilitates the identification of some recurring functions of code-switching applied in writing including repetition, exclamation, quotations, clarification/elaboration, emphasis, commentary, idiomatic expression, directives, parenthesis, change of interlocutor, change of topic, interjection, triggered switch, symmetric alternation, stylistic and lexical need, and expletive, among others.</w:t>
      </w:r>
      <w:r>
        <w:rPr>
          <w:rStyle w:val="FootnoteReference"/>
          <w:lang w:val="en-US"/>
        </w:rPr>
        <w:footnoteReference w:id="520"/>
      </w:r>
      <w:r w:rsidR="005732E0" w:rsidRPr="00FF051C">
        <w:rPr>
          <w:rFonts w:cs="Times New Roman"/>
        </w:rPr>
        <w:t xml:space="preserve"> </w:t>
      </w:r>
    </w:p>
    <w:p w14:paraId="0D2F1474" w14:textId="77777777" w:rsidR="005732E0" w:rsidRPr="004605D8" w:rsidRDefault="005732E0" w:rsidP="00275E09">
      <w:pPr>
        <w:pStyle w:val="Heading4"/>
        <w:rPr>
          <w:u w:val="single"/>
        </w:rPr>
      </w:pPr>
      <w:r w:rsidRPr="004605D8">
        <w:t xml:space="preserve">4.5.1 The Purposes of Code-Switching in Iambic Poetry </w:t>
      </w:r>
    </w:p>
    <w:p w14:paraId="33C2A399" w14:textId="644C6164" w:rsidR="0097549B" w:rsidRDefault="007924CD" w:rsidP="0097549B">
      <w:pPr>
        <w:rPr>
          <w:lang w:val="en-US"/>
        </w:rPr>
      </w:pPr>
      <w:r>
        <w:rPr>
          <w:lang w:val="en-US"/>
        </w:rPr>
        <w:t>As we saw in Chapter 1, t</w:t>
      </w:r>
      <w:r w:rsidR="0097549B">
        <w:rPr>
          <w:lang w:val="en-US"/>
        </w:rPr>
        <w:t>he bas</w:t>
      </w:r>
      <w:r>
        <w:rPr>
          <w:lang w:val="en-US"/>
        </w:rPr>
        <w:t>e</w:t>
      </w:r>
      <w:r w:rsidR="0097549B">
        <w:rPr>
          <w:lang w:val="en-US"/>
        </w:rPr>
        <w:t xml:space="preserve"> language of iambos is the Ionic dialect, but not the epic one. At first glance, it appears that the first iambographers, such as Hipponax and Archilochus, used their own dialect, Eastern Ionic, including many elements drawn from spoken language. On closer examination, however, it becomes clear that we are dealing with an artificial literary language: iambic language fluctuates between spoken Eastern Ionic and epic diction, the latter itself a literary language, and is also open to further inclusions from foreign languages as well as other Greek (literary) idioms. Every author defined his own place within this range – for example, Archilochus steers relatively close to Homeric diction, while Hipponax</w:t>
      </w:r>
      <w:r w:rsidR="00075F5F">
        <w:rPr>
          <w:lang w:val="en-US"/>
        </w:rPr>
        <w:t>’</w:t>
      </w:r>
      <w:r w:rsidR="0097549B">
        <w:rPr>
          <w:lang w:val="en-US"/>
        </w:rPr>
        <w:t>s language contains more elements of spoken Eastern Ionic, vulgar words, foreign terms and neologisms, though still constantly referencing and reflecting on epic idiom. Callimachus, as stated at the beginning of this chapter, shifts from Ionic to Doric to Aeolic dialect.</w:t>
      </w:r>
    </w:p>
    <w:p w14:paraId="4D0B023E" w14:textId="5B2A2870" w:rsidR="0097549B" w:rsidRDefault="0097549B" w:rsidP="0097549B">
      <w:pPr>
        <w:ind w:firstLine="426"/>
        <w:rPr>
          <w:lang w:val="en-US"/>
        </w:rPr>
      </w:pPr>
      <w:r>
        <w:rPr>
          <w:lang w:val="en-US"/>
        </w:rPr>
        <w:t xml:space="preserve">Apart from employing epic language generically (typically in a base context, to great comic effect), iambic poets also allude to the canonical texts for epic idiom, notably the </w:t>
      </w:r>
      <w:r>
        <w:rPr>
          <w:i/>
          <w:iCs/>
          <w:lang w:val="en-US"/>
        </w:rPr>
        <w:t>Iliad</w:t>
      </w:r>
      <w:r>
        <w:rPr>
          <w:lang w:val="en-US"/>
        </w:rPr>
        <w:t xml:space="preserve">, the </w:t>
      </w:r>
      <w:r>
        <w:rPr>
          <w:i/>
          <w:iCs/>
          <w:lang w:val="en-US"/>
        </w:rPr>
        <w:t>Odyssey</w:t>
      </w:r>
      <w:r>
        <w:rPr>
          <w:lang w:val="en-US"/>
        </w:rPr>
        <w:t xml:space="preserve"> and the </w:t>
      </w:r>
      <w:r>
        <w:rPr>
          <w:i/>
          <w:iCs/>
          <w:lang w:val="en-US"/>
        </w:rPr>
        <w:t>Homeric Hymns</w:t>
      </w:r>
      <w:r>
        <w:rPr>
          <w:lang w:val="en-US"/>
        </w:rPr>
        <w:t xml:space="preserve">. There can be little doubt that for the creation of a fictional </w:t>
      </w:r>
      <w:r>
        <w:rPr>
          <w:i/>
          <w:iCs/>
          <w:lang w:val="en-US"/>
        </w:rPr>
        <w:t>persona</w:t>
      </w:r>
      <w:r>
        <w:rPr>
          <w:lang w:val="en-US"/>
        </w:rPr>
        <w:t xml:space="preserve"> and (ever-shifting) voice in their poetry, Archilochus and Hipponax were already fashioning themselves after figures such as Odysseus and Proteus in the </w:t>
      </w:r>
      <w:r>
        <w:rPr>
          <w:i/>
          <w:iCs/>
          <w:lang w:val="en-US"/>
        </w:rPr>
        <w:t>Odyssey</w:t>
      </w:r>
      <w:r>
        <w:rPr>
          <w:lang w:val="en-US"/>
        </w:rPr>
        <w:t xml:space="preserve"> and Hermes in the </w:t>
      </w:r>
      <w:r>
        <w:rPr>
          <w:i/>
          <w:iCs/>
          <w:lang w:val="en-US"/>
        </w:rPr>
        <w:t>Homeric Hymn to Hermes</w:t>
      </w:r>
      <w:r>
        <w:rPr>
          <w:lang w:val="en-US"/>
        </w:rPr>
        <w:t>, relying on their audience</w:t>
      </w:r>
      <w:r w:rsidR="00075F5F">
        <w:rPr>
          <w:lang w:val="en-US"/>
        </w:rPr>
        <w:t>’</w:t>
      </w:r>
      <w:r>
        <w:rPr>
          <w:lang w:val="en-US"/>
        </w:rPr>
        <w:t>s knowledge of these texts for appreciation of the conceit.</w:t>
      </w:r>
    </w:p>
    <w:p w14:paraId="3A61E050" w14:textId="77777777" w:rsidR="0097549B" w:rsidRDefault="0097549B" w:rsidP="0097549B">
      <w:pPr>
        <w:ind w:firstLine="426"/>
        <w:rPr>
          <w:lang w:val="en-US"/>
        </w:rPr>
      </w:pPr>
      <w:r>
        <w:rPr>
          <w:lang w:val="en-US"/>
        </w:rPr>
        <w:t>In sum, iambos from its earliest incarnations plays a complex literary game, in which linguistic variety and versatility play a crucial role.</w:t>
      </w:r>
    </w:p>
    <w:p w14:paraId="57E72418" w14:textId="6E6B961F" w:rsidR="0097549B" w:rsidRDefault="0097549B" w:rsidP="0097549B">
      <w:pPr>
        <w:ind w:firstLine="426"/>
        <w:rPr>
          <w:lang w:val="en-US"/>
        </w:rPr>
      </w:pPr>
      <w:r>
        <w:rPr>
          <w:lang w:val="en-US"/>
        </w:rPr>
        <w:lastRenderedPageBreak/>
        <w:t>The protean nature of iambic language is easy to spot but surprisingly difficult to pin down and describe. Variety and shifts appear, and must be analysed, at a number of different levels, including morphology, syntax, pragmatics, semantics, style, register, and ethnic and literary provenance. For example, in some of Hipponax</w:t>
      </w:r>
      <w:r w:rsidR="00075F5F">
        <w:rPr>
          <w:lang w:val="en-US"/>
        </w:rPr>
        <w:t>’</w:t>
      </w:r>
      <w:r>
        <w:rPr>
          <w:lang w:val="en-US"/>
        </w:rPr>
        <w:t xml:space="preserve">s fragments, we find an overall colloquial tone but with insertion of terms drawn from </w:t>
      </w:r>
      <w:r w:rsidR="00075F5F">
        <w:rPr>
          <w:lang w:val="en-US"/>
        </w:rPr>
        <w:t>‘</w:t>
      </w:r>
      <w:r>
        <w:rPr>
          <w:lang w:val="en-US"/>
        </w:rPr>
        <w:t>high</w:t>
      </w:r>
      <w:r w:rsidR="00075F5F">
        <w:rPr>
          <w:lang w:val="en-US"/>
        </w:rPr>
        <w:t>’</w:t>
      </w:r>
      <w:r>
        <w:rPr>
          <w:lang w:val="en-US"/>
        </w:rPr>
        <w:t xml:space="preserve"> epic diction alongside humble everyday words and Lydian terms, both presumably derived from Ephesus</w:t>
      </w:r>
      <w:r w:rsidR="00075F5F">
        <w:rPr>
          <w:lang w:val="en-US"/>
        </w:rPr>
        <w:t>’</w:t>
      </w:r>
      <w:r>
        <w:rPr>
          <w:lang w:val="en-US"/>
        </w:rPr>
        <w:t xml:space="preserve"> spoken language. The epic words may have unepic endings, the colloquial and foreign words epic endings. Syntactically Hipponax</w:t>
      </w:r>
      <w:r w:rsidR="00075F5F">
        <w:rPr>
          <w:lang w:val="en-US"/>
        </w:rPr>
        <w:t>’</w:t>
      </w:r>
      <w:r>
        <w:rPr>
          <w:lang w:val="en-US"/>
        </w:rPr>
        <w:t xml:space="preserve">s clauses and phrases may follow the rules of epic, of polished </w:t>
      </w:r>
      <w:r w:rsidR="00075F5F">
        <w:rPr>
          <w:lang w:val="en-US"/>
        </w:rPr>
        <w:t>‘</w:t>
      </w:r>
      <w:r>
        <w:rPr>
          <w:lang w:val="en-US"/>
        </w:rPr>
        <w:t>literary</w:t>
      </w:r>
      <w:r w:rsidR="00075F5F">
        <w:rPr>
          <w:lang w:val="en-US"/>
        </w:rPr>
        <w:t>’</w:t>
      </w:r>
      <w:r>
        <w:rPr>
          <w:lang w:val="en-US"/>
        </w:rPr>
        <w:t xml:space="preserve"> prose or of the spoken language. This variety increases over time, as the linguistic resources which iambographers have at their disposal grow: Callimachus, for his </w:t>
      </w:r>
      <w:r>
        <w:rPr>
          <w:i/>
          <w:iCs/>
          <w:lang w:val="en-US"/>
        </w:rPr>
        <w:t>Iambi</w:t>
      </w:r>
      <w:r>
        <w:rPr>
          <w:lang w:val="en-US"/>
        </w:rPr>
        <w:t xml:space="preserve">, can borrow from a much wider corpus and range of literature than his archaic predecessors, including comic and tragic drama, historical and philosophical prose, etc. </w:t>
      </w:r>
    </w:p>
    <w:p w14:paraId="59608E0D" w14:textId="5B7C590E" w:rsidR="0097549B" w:rsidRDefault="0097549B" w:rsidP="0097549B">
      <w:pPr>
        <w:ind w:firstLine="426"/>
        <w:rPr>
          <w:lang w:val="en-US"/>
        </w:rPr>
      </w:pPr>
      <w:r>
        <w:rPr>
          <w:lang w:val="en-US"/>
        </w:rPr>
        <w:t xml:space="preserve">In order to disentangle the variety within iambic fragments, I take advantage </w:t>
      </w:r>
      <w:r w:rsidR="00BD06E6">
        <w:rPr>
          <w:lang w:val="en-US"/>
        </w:rPr>
        <w:t>o</w:t>
      </w:r>
      <w:r>
        <w:rPr>
          <w:lang w:val="en-US"/>
        </w:rPr>
        <w:t>f the model of the Matrix Language, introduced for the oral code-switching by Myers-Scotton (1993): the Matrix Language Frame posits that multilingual utterances consist of a matrix language (ML) which serves as a morphosyntactic frame for embedded language (EL) constituents.</w:t>
      </w:r>
    </w:p>
    <w:p w14:paraId="683660B0" w14:textId="70568B86" w:rsidR="0097549B" w:rsidRDefault="0097549B" w:rsidP="0097549B">
      <w:pPr>
        <w:ind w:firstLine="426"/>
        <w:rPr>
          <w:lang w:val="en-US"/>
        </w:rPr>
      </w:pPr>
      <w:r>
        <w:rPr>
          <w:lang w:val="en-US"/>
        </w:rPr>
        <w:t xml:space="preserve">In the case of iambs, there is no fixed matrix language, since it varies over time, author by author and even fragment by fragment. One hypothesis is that iambic language is still building itself at the time of our earliest evidence: it was born in the riverbed of the traditional language, and from there it took its first steps. With regard to the traditional language, I mean in particular to the epic language, the hymnic language and the elegiac language. I argue that these are the linguistic varieties which archaic iambographers use, and against which they compare themselves. </w:t>
      </w:r>
    </w:p>
    <w:p w14:paraId="09282339" w14:textId="4D108820" w:rsidR="0097549B" w:rsidRDefault="0097549B" w:rsidP="0097549B">
      <w:pPr>
        <w:ind w:firstLine="426"/>
        <w:rPr>
          <w:lang w:val="en-US"/>
        </w:rPr>
      </w:pPr>
      <w:r>
        <w:rPr>
          <w:lang w:val="en-US"/>
        </w:rPr>
        <w:t>Archilochus and Hipponax take advantage of the traditional language in different extents, ways and with different purposes. The final result of their poetry is, however, similar: a mixed language, something new and distinct from the previous models, but not completely independent of them. The matrix language of Archilochus</w:t>
      </w:r>
      <w:r w:rsidR="00075F5F">
        <w:rPr>
          <w:lang w:val="en-US"/>
        </w:rPr>
        <w:t>’</w:t>
      </w:r>
      <w:r>
        <w:rPr>
          <w:lang w:val="en-US"/>
        </w:rPr>
        <w:t xml:space="preserve"> iambic fragments is mostly the language of the epic. Shifts from it are mostly lexical and thematic. The matrix language of Hipponax may already be called </w:t>
      </w:r>
      <w:r w:rsidR="00CC0615">
        <w:rPr>
          <w:lang w:val="en-US"/>
        </w:rPr>
        <w:t>“</w:t>
      </w:r>
      <w:r>
        <w:rPr>
          <w:lang w:val="en-US"/>
        </w:rPr>
        <w:t>iambic,</w:t>
      </w:r>
      <w:r w:rsidR="00CC0615">
        <w:rPr>
          <w:lang w:val="en-US"/>
        </w:rPr>
        <w:t>”</w:t>
      </w:r>
      <w:r>
        <w:rPr>
          <w:lang w:val="en-US"/>
        </w:rPr>
        <w:t xml:space="preserve"> even if there are still strong traditional influences, especially from the hymnic language and from the epic one. Shifts from these influences are not only lexical and thematic, but </w:t>
      </w:r>
      <w:r>
        <w:rPr>
          <w:lang w:val="en-US"/>
        </w:rPr>
        <w:lastRenderedPageBreak/>
        <w:t>also morphological. Callimachus</w:t>
      </w:r>
      <w:r w:rsidR="00075F5F">
        <w:rPr>
          <w:lang w:val="en-US"/>
        </w:rPr>
        <w:t>’</w:t>
      </w:r>
      <w:r>
        <w:rPr>
          <w:lang w:val="en-US"/>
        </w:rPr>
        <w:t xml:space="preserve"> shifts are more connected with the style and the tone of each iamb. He uses the language of epic, hymns, lyric, tragedy, comedy, and prose. </w:t>
      </w:r>
    </w:p>
    <w:p w14:paraId="7424517B" w14:textId="49EB2531" w:rsidR="005732E0" w:rsidRPr="00533C84" w:rsidRDefault="0097549B" w:rsidP="0097549B">
      <w:pPr>
        <w:rPr>
          <w:rFonts w:cs="Times New Roman"/>
        </w:rPr>
      </w:pPr>
      <w:r>
        <w:rPr>
          <w:lang w:val="en-US"/>
        </w:rPr>
        <w:tab/>
        <w:t xml:space="preserve">In the following pages, I aim to demonstrate that, beginning with Archilochus and continuing to Callimachus, the language of iambic fragments uses the other literary languages and builds itself from them. Sometimes it is possible to recognize a matrix language, but sometimes the lanugages are so interwoven that it is difficult to pick out a mother tongue. Sometimes the different linguistic codes show no conflict between each other, while sometimes they are set against each other. Code-switching in iambs is directly connected with the purpose and character of iambic poetry. I believe that the device of code-switching is used to represent a mixed speech mode which characterizes the whole community, since iambographers want to set moral standards for their audience. Furthermore, iambic texts often resort to the rhetorical device of </w:t>
      </w:r>
      <w:r>
        <w:rPr>
          <w:i/>
          <w:iCs/>
          <w:lang w:val="en-US"/>
        </w:rPr>
        <w:t>personae loquentes</w:t>
      </w:r>
      <w:r>
        <w:rPr>
          <w:lang w:val="en-US"/>
        </w:rPr>
        <w:t>, such as a rogue in Archilochus; a φαρμακός in Hipponax; or Zeus</w:t>
      </w:r>
      <w:r w:rsidR="00075F5F">
        <w:rPr>
          <w:lang w:val="en-US"/>
        </w:rPr>
        <w:t>’</w:t>
      </w:r>
      <w:r>
        <w:rPr>
          <w:lang w:val="en-US"/>
        </w:rPr>
        <w:t xml:space="preserve"> statue, a laurel, Hipponax, or an olive tree in Callimachus</w:t>
      </w:r>
      <w:r w:rsidR="00075F5F">
        <w:rPr>
          <w:lang w:val="en-US"/>
        </w:rPr>
        <w:t>’</w:t>
      </w:r>
      <w:r>
        <w:rPr>
          <w:lang w:val="en-US"/>
        </w:rPr>
        <w:t xml:space="preserve"> </w:t>
      </w:r>
      <w:r>
        <w:rPr>
          <w:i/>
          <w:iCs/>
          <w:lang w:val="en-US"/>
        </w:rPr>
        <w:t>Iambi</w:t>
      </w:r>
      <w:r>
        <w:rPr>
          <w:lang w:val="en-US"/>
        </w:rPr>
        <w:t xml:space="preserve">. All of these </w:t>
      </w:r>
      <w:r>
        <w:rPr>
          <w:i/>
          <w:iCs/>
          <w:lang w:val="en-US"/>
        </w:rPr>
        <w:t>personae</w:t>
      </w:r>
      <w:r>
        <w:rPr>
          <w:lang w:val="en-US"/>
        </w:rPr>
        <w:t xml:space="preserve"> come with their own linguistic codes, adding to the variety characteristic of iambic poetry. In order to explain these dynamics, I will analyse selected passages of Archilochus, Hipponax and Callimachus using the Matrix Language Frame parameters.</w:t>
      </w:r>
    </w:p>
    <w:p w14:paraId="152FBDF2" w14:textId="3EC9D056" w:rsidR="005732E0" w:rsidRPr="001E6CE6" w:rsidRDefault="005732E0" w:rsidP="00825A39">
      <w:pPr>
        <w:pStyle w:val="Heading4"/>
        <w:rPr>
          <w:i/>
        </w:rPr>
      </w:pPr>
      <w:r w:rsidRPr="00825A39">
        <w:rPr>
          <w:b w:val="0"/>
          <w:i/>
        </w:rPr>
        <w:t>Archilochus</w:t>
      </w:r>
    </w:p>
    <w:p w14:paraId="0C1C54DE" w14:textId="240CF941" w:rsidR="0097549B" w:rsidRDefault="0097549B" w:rsidP="003756AF">
      <w:pPr>
        <w:spacing w:after="120"/>
        <w:rPr>
          <w:lang w:val="en-US"/>
        </w:rPr>
      </w:pPr>
      <w:r>
        <w:rPr>
          <w:lang w:val="en-US"/>
        </w:rPr>
        <w:t>Most of Archilochus</w:t>
      </w:r>
      <w:r w:rsidR="00075F5F">
        <w:rPr>
          <w:lang w:val="en-US"/>
        </w:rPr>
        <w:t>’</w:t>
      </w:r>
      <w:r>
        <w:rPr>
          <w:lang w:val="en-US"/>
        </w:rPr>
        <w:t xml:space="preserve"> shifts from the epic language consist of adaptations of epic formulas to iambic meter. Fr. 54 (</w:t>
      </w:r>
      <w:r>
        <w:rPr>
          <w:b/>
          <w:bCs/>
          <w:lang w:val="en-US"/>
        </w:rPr>
        <w:t>5</w:t>
      </w:r>
      <w:r>
        <w:rPr>
          <w:lang w:val="en-US"/>
        </w:rPr>
        <w:t xml:space="preserve"> A.1) illustrates how Archilochus operates. In fr. 54 nearly every (decypherable) word is shared with Homer or Hesiod; therefore the poem</w:t>
      </w:r>
      <w:r w:rsidR="00075F5F">
        <w:rPr>
          <w:lang w:val="en-US"/>
        </w:rPr>
        <w:t>’</w:t>
      </w:r>
      <w:r>
        <w:rPr>
          <w:lang w:val="en-US"/>
        </w:rPr>
        <w:t xml:space="preserve">s matrix language is clearly the epic language. There are, however, two words </w:t>
      </w:r>
      <w:r w:rsidR="00A53A10">
        <w:rPr>
          <w:lang w:val="en-US"/>
        </w:rPr>
        <w:t xml:space="preserve"> – </w:t>
      </w:r>
      <w:r>
        <w:rPr>
          <w:lang w:val="en-US"/>
        </w:rPr>
        <w:t xml:space="preserve">the verbs τετραμαίνω </w:t>
      </w:r>
      <w:r w:rsidR="00CC0615">
        <w:rPr>
          <w:lang w:val="en-US"/>
        </w:rPr>
        <w:t>“</w:t>
      </w:r>
      <w:r>
        <w:rPr>
          <w:lang w:val="en-US"/>
        </w:rPr>
        <w:t>fear</w:t>
      </w:r>
      <w:r w:rsidR="00CC0615">
        <w:rPr>
          <w:lang w:val="en-US"/>
        </w:rPr>
        <w:t>”</w:t>
      </w:r>
      <w:r>
        <w:rPr>
          <w:lang w:val="en-US"/>
        </w:rPr>
        <w:t xml:space="preserve"> (9) and ἁρπαλίζομαι </w:t>
      </w:r>
      <w:r w:rsidR="00CC0615">
        <w:rPr>
          <w:lang w:val="en-US"/>
        </w:rPr>
        <w:t>“</w:t>
      </w:r>
      <w:r>
        <w:rPr>
          <w:lang w:val="en-US"/>
        </w:rPr>
        <w:t>be glad</w:t>
      </w:r>
      <w:r w:rsidR="00CC0615">
        <w:rPr>
          <w:lang w:val="en-US"/>
        </w:rPr>
        <w:t>”</w:t>
      </w:r>
      <w:r>
        <w:rPr>
          <w:lang w:val="en-US"/>
        </w:rPr>
        <w:t xml:space="preserve"> (25)</w:t>
      </w:r>
      <w:r w:rsidR="00A53A10">
        <w:rPr>
          <w:lang w:val="en-US"/>
        </w:rPr>
        <w:t xml:space="preserve"> – </w:t>
      </w:r>
      <w:r>
        <w:rPr>
          <w:lang w:val="en-US"/>
        </w:rPr>
        <w:t>which never appear in dactylic poetry, so they may be reasonably considered shifts away from the matrix language. It is also possible to trace small shifts in traditional epic phrases:</w:t>
      </w:r>
    </w:p>
    <w:p w14:paraId="35F07A8D" w14:textId="5380771F" w:rsidR="0097549B" w:rsidRDefault="0097549B" w:rsidP="003756AF">
      <w:pPr>
        <w:widowControl w:val="0"/>
        <w:numPr>
          <w:ilvl w:val="0"/>
          <w:numId w:val="82"/>
        </w:numPr>
        <w:tabs>
          <w:tab w:val="left" w:pos="360"/>
          <w:tab w:val="left" w:pos="720"/>
          <w:tab w:val="center" w:pos="5387"/>
        </w:tabs>
        <w:ind w:left="714" w:hanging="357"/>
        <w:rPr>
          <w:lang w:val="en-US"/>
        </w:rPr>
      </w:pPr>
      <w:r>
        <w:rPr>
          <w:lang w:val="en-US"/>
        </w:rPr>
        <w:t xml:space="preserve">φάτιν ἀνθρώπων </w:t>
      </w:r>
      <w:r w:rsidR="00CC0615">
        <w:rPr>
          <w:lang w:val="en-US"/>
        </w:rPr>
        <w:t>“</w:t>
      </w:r>
      <w:r>
        <w:rPr>
          <w:lang w:val="en-US"/>
        </w:rPr>
        <w:t>the rumour of the people</w:t>
      </w:r>
      <w:r w:rsidR="00CC0615">
        <w:rPr>
          <w:lang w:val="en-US"/>
        </w:rPr>
        <w:t>”</w:t>
      </w:r>
      <w:r>
        <w:rPr>
          <w:lang w:val="en-US"/>
        </w:rPr>
        <w:t xml:space="preserve"> (line 8) recalls φάτιν ἀνδρῶν in</w:t>
      </w:r>
      <w:r>
        <w:rPr>
          <w:i/>
          <w:iCs/>
          <w:lang w:val="en-US"/>
        </w:rPr>
        <w:t xml:space="preserve"> Od</w:t>
      </w:r>
      <w:r>
        <w:rPr>
          <w:lang w:val="en-US"/>
        </w:rPr>
        <w:t xml:space="preserve">. 21.323, but Archilochus has substituted the more generic ἄνθρωπος for the Homeric ἀνήρ. It is obvious that ἄνθρωπος better fits the iambic metre, but the substitution may also indicate a subtle paradigm shift. In Homeric epic ἀνήρ stands in opposition to γυνή, and generally, one might say that Homeric diction represents the world of war, where men and women had very different </w:t>
      </w:r>
      <w:r>
        <w:rPr>
          <w:lang w:val="en-US"/>
        </w:rPr>
        <w:lastRenderedPageBreak/>
        <w:t>roles. Archilochus, on the other hand, portrays the world of the city and the symposium.</w:t>
      </w:r>
    </w:p>
    <w:p w14:paraId="659A4C03" w14:textId="48A07C6E"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 xml:space="preserve">θυμὸν ἵλαον τίθεο </w:t>
      </w:r>
      <w:r w:rsidR="00CC0615">
        <w:rPr>
          <w:lang w:val="en-US"/>
        </w:rPr>
        <w:t>“</w:t>
      </w:r>
      <w:r>
        <w:rPr>
          <w:lang w:val="en-US"/>
        </w:rPr>
        <w:t>make your heart propitious</w:t>
      </w:r>
      <w:r w:rsidR="00CC0615">
        <w:rPr>
          <w:lang w:val="en-US"/>
        </w:rPr>
        <w:t>”</w:t>
      </w:r>
      <w:r>
        <w:rPr>
          <w:lang w:val="en-US"/>
        </w:rPr>
        <w:t xml:space="preserve"> (line 10) echoes </w:t>
      </w:r>
      <w:r>
        <w:rPr>
          <w:i/>
          <w:iCs/>
          <w:lang w:val="en-US"/>
        </w:rPr>
        <w:t>Il</w:t>
      </w:r>
      <w:r>
        <w:rPr>
          <w:lang w:val="en-US"/>
        </w:rPr>
        <w:t>. 9.639 σὺ δ</w:t>
      </w:r>
      <w:r w:rsidR="00075F5F">
        <w:rPr>
          <w:lang w:val="en-US"/>
        </w:rPr>
        <w:t>’</w:t>
      </w:r>
      <w:r>
        <w:rPr>
          <w:lang w:val="en-US"/>
        </w:rPr>
        <w:t xml:space="preserve"> ἵλαον ἔνθεο θυμόν </w:t>
      </w:r>
      <w:r w:rsidR="00CC0615">
        <w:rPr>
          <w:lang w:val="en-US"/>
        </w:rPr>
        <w:t>“</w:t>
      </w:r>
      <w:r>
        <w:rPr>
          <w:lang w:val="en-US"/>
        </w:rPr>
        <w:t>you must adopt a propitious heart.</w:t>
      </w:r>
      <w:r w:rsidR="00CC0615">
        <w:rPr>
          <w:lang w:val="en-US"/>
        </w:rPr>
        <w:t>”</w:t>
      </w:r>
      <w:r>
        <w:rPr>
          <w:lang w:val="en-US"/>
        </w:rPr>
        <w:t xml:space="preserve"> Changing the order of the words produces a slight change in their effect in the mind of the audience. Archilochus</w:t>
      </w:r>
      <w:r w:rsidR="00075F5F">
        <w:rPr>
          <w:lang w:val="en-US"/>
        </w:rPr>
        <w:t>’</w:t>
      </w:r>
      <w:r>
        <w:rPr>
          <w:lang w:val="en-US"/>
        </w:rPr>
        <w:t xml:space="preserve"> phrasing stresses the verb τίθημι, which is in its simplex form (not the compound one) and which is pushed at the very end of the line: this position makes the order, expressed by the verb, more weighty. The present tense (τίθεο) of the imperative, instead of the Homeric aorist (ἔνθεο), confirms Archilo</w:t>
      </w:r>
      <w:r w:rsidR="00075F5F">
        <w:rPr>
          <w:lang w:val="en-US"/>
        </w:rPr>
        <w:t>chus’</w:t>
      </w:r>
      <w:r>
        <w:rPr>
          <w:lang w:val="en-US"/>
        </w:rPr>
        <w:t xml:space="preserve"> intent to stress the action and the accomplishment of the order: in my previous chapter, I argue that present stem imperative are more marked orders than aorist stem imperatives. </w:t>
      </w:r>
    </w:p>
    <w:p w14:paraId="6B62F24B" w14:textId="72443BA0"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 xml:space="preserve">νηὶ σὺν </w:t>
      </w:r>
      <w:r w:rsidR="00CC0615">
        <w:rPr>
          <w:lang w:val="en-US"/>
        </w:rPr>
        <w:t>“</w:t>
      </w:r>
      <w:r>
        <w:rPr>
          <w:lang w:val="en-US"/>
        </w:rPr>
        <w:t>in a ship</w:t>
      </w:r>
      <w:r w:rsidR="00CC0615">
        <w:rPr>
          <w:lang w:val="en-US"/>
        </w:rPr>
        <w:t>”</w:t>
      </w:r>
      <w:r>
        <w:rPr>
          <w:lang w:val="en-US"/>
        </w:rPr>
        <w:t xml:space="preserve"> (line 22)  inverts the common epic expression σὺν νηί:  a very small change but a change nonetheless.</w:t>
      </w:r>
    </w:p>
    <w:p w14:paraId="4DF613F7" w14:textId="6A3ECF74"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κῦμ</w:t>
      </w:r>
      <w:r w:rsidR="00075F5F">
        <w:rPr>
          <w:lang w:val="en-US"/>
        </w:rPr>
        <w:t>’</w:t>
      </w:r>
      <w:r>
        <w:rPr>
          <w:lang w:val="en-US"/>
        </w:rPr>
        <w:t xml:space="preserve"> ἁλὸς κατέκλυσεν </w:t>
      </w:r>
      <w:r w:rsidR="00CC0615">
        <w:rPr>
          <w:lang w:val="en-US"/>
        </w:rPr>
        <w:t>“</w:t>
      </w:r>
      <w:r>
        <w:rPr>
          <w:lang w:val="en-US"/>
        </w:rPr>
        <w:t>the waves of the sea have washed over</w:t>
      </w:r>
      <w:r w:rsidR="00CC0615">
        <w:rPr>
          <w:lang w:val="en-US"/>
        </w:rPr>
        <w:t>”</w:t>
      </w:r>
      <w:r>
        <w:rPr>
          <w:lang w:val="en-US"/>
        </w:rPr>
        <w:t xml:space="preserve"> (line 33)  recalls </w:t>
      </w:r>
      <w:r>
        <w:rPr>
          <w:i/>
          <w:iCs/>
          <w:lang w:val="en-US"/>
        </w:rPr>
        <w:t>h. Ap.</w:t>
      </w:r>
      <w:r>
        <w:rPr>
          <w:lang w:val="en-US"/>
        </w:rPr>
        <w:t xml:space="preserve"> 74-75 κῦμα κατὰ κρατὸς ἅλις … κλύσσει. Archilochus also uses this formula in fr. 10.3-4 κατὰ κῦμα πολυφλοίσβοιο θαλάσσης / ἔκλυσεν. In that elegiac context, Archilochus maintains the tmesis of κατά and κλύζω of the model. In his iambic poem, Archilochus uses the compounded verb κατακλύζω, avoiding tmesis, perhaps as a traditional feature to be eliminated in the new poetic language which he is building.</w:t>
      </w:r>
    </w:p>
    <w:p w14:paraId="7468DA25" w14:textId="4C715E67"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 xml:space="preserve">χερσὶν αἰχμητέων ὕπο </w:t>
      </w:r>
      <w:r w:rsidR="00CC0615">
        <w:rPr>
          <w:lang w:val="en-US"/>
        </w:rPr>
        <w:t>“</w:t>
      </w:r>
      <w:r>
        <w:rPr>
          <w:lang w:val="en-US"/>
        </w:rPr>
        <w:t>at the hands of spearmen</w:t>
      </w:r>
      <w:r w:rsidR="00CC0615">
        <w:rPr>
          <w:lang w:val="en-US"/>
        </w:rPr>
        <w:t>”</w:t>
      </w:r>
      <w:r>
        <w:rPr>
          <w:lang w:val="en-US"/>
        </w:rPr>
        <w:t xml:space="preserve"> (line 34)  shows an anastrophe paralleled in </w:t>
      </w:r>
      <w:r>
        <w:rPr>
          <w:i/>
          <w:iCs/>
          <w:lang w:val="en-US"/>
        </w:rPr>
        <w:t>Il</w:t>
      </w:r>
      <w:r>
        <w:rPr>
          <w:lang w:val="en-US"/>
        </w:rPr>
        <w:t xml:space="preserve">. 19.62 δυσμενέων ὑπὸ χερσὶν and </w:t>
      </w:r>
      <w:r>
        <w:rPr>
          <w:i/>
          <w:iCs/>
          <w:lang w:val="en-US"/>
        </w:rPr>
        <w:t>Il</w:t>
      </w:r>
      <w:r>
        <w:rPr>
          <w:lang w:val="en-US"/>
        </w:rPr>
        <w:t xml:space="preserve">. 11.827 χερσὶν ὕπο Τρώων. Here, as in the case of νηὶ σὺν, Archilochus seems to prefer to put the preposition after the noun to which it refers. This adverbial use of the preposition is an old use of the Greek language rather than new one. However, in the case of </w:t>
      </w:r>
      <w:r>
        <w:rPr>
          <w:i/>
          <w:iCs/>
          <w:lang w:val="en-US"/>
        </w:rPr>
        <w:t>Il</w:t>
      </w:r>
      <w:r>
        <w:rPr>
          <w:lang w:val="en-US"/>
        </w:rPr>
        <w:t xml:space="preserve">. 11.827, Homer too use the preposition as an adverb, but it is put just after the noun to which it refers. Archilochus puts the preposition after not only the noun, but the whole expression to which it refers, so that the preposition is at the very end of the line. In this way the author creates a sort of expected enjambement, which is not real, since the line perfectly corresponds to the clause; the sound of a preposition at the end of the line may create this aural/oral illusion. </w:t>
      </w:r>
    </w:p>
    <w:p w14:paraId="7585C176" w14:textId="49FF428C"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 xml:space="preserve">ἥβην ἀγλαὴν ἀπώλεσας </w:t>
      </w:r>
      <w:r w:rsidR="00CC0615">
        <w:rPr>
          <w:lang w:val="en-US"/>
        </w:rPr>
        <w:t>“</w:t>
      </w:r>
      <w:r>
        <w:rPr>
          <w:lang w:val="en-US"/>
        </w:rPr>
        <w:t>you have lost the splendid prime of your youth</w:t>
      </w:r>
      <w:r w:rsidR="00CC0615">
        <w:rPr>
          <w:lang w:val="en-US"/>
        </w:rPr>
        <w:t>”</w:t>
      </w:r>
      <w:r>
        <w:rPr>
          <w:lang w:val="en-US"/>
        </w:rPr>
        <w:t xml:space="preserve"> (line </w:t>
      </w:r>
      <w:r>
        <w:rPr>
          <w:lang w:val="en-US"/>
        </w:rPr>
        <w:lastRenderedPageBreak/>
        <w:t xml:space="preserve">35): it is an elegiac expression, which is certified by </w:t>
      </w:r>
      <w:r>
        <w:rPr>
          <w:i/>
          <w:iCs/>
          <w:lang w:val="en-US"/>
        </w:rPr>
        <w:t>IG</w:t>
      </w:r>
      <w:r>
        <w:rPr>
          <w:lang w:val="en-US"/>
        </w:rPr>
        <w:t xml:space="preserve"> I</w:t>
      </w:r>
      <w:r>
        <w:rPr>
          <w:vertAlign w:val="superscript"/>
          <w:lang w:val="en-US"/>
        </w:rPr>
        <w:t>3</w:t>
      </w:r>
      <w:r>
        <w:rPr>
          <w:lang w:val="en-US"/>
        </w:rPr>
        <w:t xml:space="preserve"> suppl. 1162: ἀπώλεσαν ἀγλαὸν ἥβην and which has echoes in Simonides 105 ἀγλαὸν ὤλεσαν ἥβην. Archilochus prefers the feminine form of the adjective ἀγλαός, and rejects the traditional use of ἀγλαός both for masculine and feminine nouns.</w:t>
      </w:r>
    </w:p>
    <w:p w14:paraId="275BCE2B" w14:textId="36CB0263"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 xml:space="preserve">σε θεὸς ἐρρύσατο </w:t>
      </w:r>
      <w:r w:rsidR="00CC0615">
        <w:rPr>
          <w:lang w:val="en-US"/>
        </w:rPr>
        <w:t>“</w:t>
      </w:r>
      <w:r>
        <w:rPr>
          <w:lang w:val="en-US"/>
        </w:rPr>
        <w:t>a god saved you</w:t>
      </w:r>
      <w:r w:rsidR="00CC0615">
        <w:rPr>
          <w:lang w:val="en-US"/>
        </w:rPr>
        <w:t>”</w:t>
      </w:r>
      <w:r>
        <w:rPr>
          <w:lang w:val="en-US"/>
        </w:rPr>
        <w:t xml:space="preserve"> (line 36) mashes </w:t>
      </w:r>
      <w:r>
        <w:rPr>
          <w:i/>
          <w:iCs/>
          <w:lang w:val="en-US"/>
        </w:rPr>
        <w:t>Il</w:t>
      </w:r>
      <w:r>
        <w:rPr>
          <w:lang w:val="en-US"/>
        </w:rPr>
        <w:t xml:space="preserve">. 15.290 τις αὖτε θεῶν ἐρρύσατο and </w:t>
      </w:r>
      <w:r>
        <w:rPr>
          <w:i/>
          <w:iCs/>
          <w:lang w:val="en-US"/>
        </w:rPr>
        <w:t>Il</w:t>
      </w:r>
      <w:r>
        <w:rPr>
          <w:lang w:val="en-US"/>
        </w:rPr>
        <w:t>. 20.194 σὲ Ζεὺς ἐρρύσατο together. Instead of the partitive form τις θεῶν Archilochus uses the more immediate θεός: it is obvious that this replacement is a metrical adjustment. The shift represents a thematic change, since in the Iliadic passage there is a strong distinction between Ζεύς and the ἄλλοι θεοί, and, consequentely, a particular stress on the power of Zeus. In Archilochus</w:t>
      </w:r>
      <w:r w:rsidR="00075F5F">
        <w:rPr>
          <w:lang w:val="en-US"/>
        </w:rPr>
        <w:t>’</w:t>
      </w:r>
      <w:r>
        <w:rPr>
          <w:lang w:val="en-US"/>
        </w:rPr>
        <w:t xml:space="preserve"> fragment, on the contrary, salvation can come from any god, not one in particular. This linguistic shift might be a clue for a change of religious paradigm, that is: in Archilochus</w:t>
      </w:r>
      <w:r w:rsidR="00075F5F">
        <w:rPr>
          <w:lang w:val="en-US"/>
        </w:rPr>
        <w:t>’</w:t>
      </w:r>
      <w:r>
        <w:rPr>
          <w:lang w:val="en-US"/>
        </w:rPr>
        <w:t xml:space="preserve"> times and in the context of Archilochus</w:t>
      </w:r>
      <w:r w:rsidR="00075F5F">
        <w:rPr>
          <w:lang w:val="en-US"/>
        </w:rPr>
        <w:t>’</w:t>
      </w:r>
      <w:r>
        <w:rPr>
          <w:lang w:val="en-US"/>
        </w:rPr>
        <w:t xml:space="preserve"> city, was </w:t>
      </w:r>
      <w:r w:rsidR="00757A62">
        <w:rPr>
          <w:lang w:val="en-US"/>
        </w:rPr>
        <w:t xml:space="preserve">Zeus </w:t>
      </w:r>
      <w:r>
        <w:rPr>
          <w:lang w:val="en-US"/>
        </w:rPr>
        <w:t>still the most powerful god?</w:t>
      </w:r>
    </w:p>
    <w:p w14:paraId="08011CAB" w14:textId="7B64743A" w:rsidR="0097549B" w:rsidRDefault="0097549B" w:rsidP="003756AF">
      <w:pPr>
        <w:widowControl w:val="0"/>
        <w:numPr>
          <w:ilvl w:val="0"/>
          <w:numId w:val="83"/>
        </w:numPr>
        <w:tabs>
          <w:tab w:val="left" w:pos="360"/>
          <w:tab w:val="left" w:pos="720"/>
          <w:tab w:val="center" w:pos="5387"/>
        </w:tabs>
        <w:ind w:left="714" w:hanging="357"/>
        <w:rPr>
          <w:lang w:val="en-US"/>
        </w:rPr>
      </w:pPr>
      <w:r>
        <w:rPr>
          <w:lang w:val="en-US"/>
        </w:rPr>
        <w:t>ἀλλ</w:t>
      </w:r>
      <w:r w:rsidR="00075F5F">
        <w:rPr>
          <w:lang w:val="en-US"/>
        </w:rPr>
        <w:t>’</w:t>
      </w:r>
      <w:r>
        <w:rPr>
          <w:lang w:val="en-US"/>
        </w:rPr>
        <w:t xml:space="preserve"> ἄλλος ἄλλωι καρδίην ἰαίνεται </w:t>
      </w:r>
      <w:r w:rsidR="00CC0615">
        <w:rPr>
          <w:lang w:val="en-US"/>
        </w:rPr>
        <w:t>“</w:t>
      </w:r>
      <w:r>
        <w:rPr>
          <w:lang w:val="en-US"/>
        </w:rPr>
        <w:t>different people are warmed at heart by different things</w:t>
      </w:r>
      <w:r w:rsidR="00CC0615">
        <w:rPr>
          <w:lang w:val="en-US"/>
        </w:rPr>
        <w:t>”</w:t>
      </w:r>
      <w:r>
        <w:rPr>
          <w:lang w:val="en-US"/>
        </w:rPr>
        <w:t xml:space="preserve"> (line 42) mixes two epic and hymnic </w:t>
      </w:r>
      <w:r w:rsidRPr="00227EE7">
        <w:rPr>
          <w:iCs/>
          <w:lang w:val="en-US"/>
        </w:rPr>
        <w:t>formula</w:t>
      </w:r>
      <w:r w:rsidR="00DD1E0A" w:rsidRPr="00227EE7">
        <w:rPr>
          <w:iCs/>
          <w:lang w:val="en-US"/>
        </w:rPr>
        <w:t>’s</w:t>
      </w:r>
      <w:r>
        <w:rPr>
          <w:lang w:val="en-US"/>
        </w:rPr>
        <w:t xml:space="preserve">, respectively </w:t>
      </w:r>
      <w:r>
        <w:rPr>
          <w:i/>
          <w:iCs/>
          <w:lang w:val="en-US"/>
        </w:rPr>
        <w:t>Od</w:t>
      </w:r>
      <w:r>
        <w:rPr>
          <w:lang w:val="en-US"/>
        </w:rPr>
        <w:t>. 14.228 ἄλλος γάρ τ</w:t>
      </w:r>
      <w:r w:rsidR="00075F5F">
        <w:rPr>
          <w:lang w:val="en-US"/>
        </w:rPr>
        <w:t>’</w:t>
      </w:r>
      <w:r>
        <w:rPr>
          <w:lang w:val="en-US"/>
        </w:rPr>
        <w:t xml:space="preserve"> ἄλλοισιν ἀνὴρ ἐπιτέρπεται ἔργοις and </w:t>
      </w:r>
      <w:r>
        <w:rPr>
          <w:i/>
          <w:iCs/>
          <w:lang w:val="en-US"/>
        </w:rPr>
        <w:t>Od</w:t>
      </w:r>
      <w:r>
        <w:rPr>
          <w:lang w:val="en-US"/>
        </w:rPr>
        <w:t xml:space="preserve">. 4.548-549 κραδίη … ἰάνθη or </w:t>
      </w:r>
      <w:r w:rsidR="00DD1E0A">
        <w:rPr>
          <w:i/>
          <w:iCs/>
          <w:lang w:val="en-US"/>
        </w:rPr>
        <w:t>h</w:t>
      </w:r>
      <w:r>
        <w:rPr>
          <w:i/>
          <w:iCs/>
          <w:lang w:val="en-US"/>
        </w:rPr>
        <w:t>.</w:t>
      </w:r>
      <w:r w:rsidR="00F607AD">
        <w:rPr>
          <w:i/>
          <w:iCs/>
          <w:lang w:val="en-US"/>
        </w:rPr>
        <w:t xml:space="preserve"> </w:t>
      </w:r>
      <w:r>
        <w:rPr>
          <w:i/>
          <w:iCs/>
          <w:lang w:val="en-US"/>
        </w:rPr>
        <w:t>Cer</w:t>
      </w:r>
      <w:r>
        <w:rPr>
          <w:lang w:val="en-US"/>
        </w:rPr>
        <w:t xml:space="preserve">. 65 κραδίην … ἴηνα. It is worth noting that the verb ἰαίνω is in the present tense in Archilochus, while in both previous models it is in the aorist. The use of the present tense in the Archilochean context fits the gnomic use that iambographers, especially Archilochus, make of the present tense. The epic language prefers to express </w:t>
      </w:r>
      <w:r>
        <w:rPr>
          <w:i/>
          <w:iCs/>
          <w:lang w:val="en-US"/>
        </w:rPr>
        <w:t>gnomai</w:t>
      </w:r>
      <w:r>
        <w:rPr>
          <w:lang w:val="en-US"/>
        </w:rPr>
        <w:t xml:space="preserve"> </w:t>
      </w:r>
      <w:r w:rsidR="00DD1E0A">
        <w:rPr>
          <w:lang w:val="en-US"/>
        </w:rPr>
        <w:t xml:space="preserve">in </w:t>
      </w:r>
      <w:r>
        <w:rPr>
          <w:lang w:val="en-US"/>
        </w:rPr>
        <w:t>the aorist.</w:t>
      </w:r>
    </w:p>
    <w:p w14:paraId="2DB585D1" w14:textId="20E51546" w:rsidR="0097549B" w:rsidRDefault="0097549B" w:rsidP="003756AF">
      <w:pPr>
        <w:widowControl w:val="0"/>
        <w:numPr>
          <w:ilvl w:val="0"/>
          <w:numId w:val="83"/>
        </w:numPr>
        <w:tabs>
          <w:tab w:val="left" w:pos="360"/>
          <w:tab w:val="left" w:pos="720"/>
          <w:tab w:val="center" w:pos="5387"/>
        </w:tabs>
        <w:spacing w:after="120"/>
        <w:ind w:left="714" w:hanging="357"/>
        <w:rPr>
          <w:lang w:val="en-US"/>
        </w:rPr>
      </w:pPr>
      <w:r>
        <w:rPr>
          <w:lang w:val="en-US"/>
        </w:rPr>
        <w:t>ἔθηκε κἀγαθὸν μετ</w:t>
      </w:r>
      <w:r w:rsidR="00075F5F">
        <w:rPr>
          <w:lang w:val="en-US"/>
        </w:rPr>
        <w:t>’</w:t>
      </w:r>
      <w:r>
        <w:rPr>
          <w:lang w:val="en-US"/>
        </w:rPr>
        <w:t xml:space="preserve"> ἀνδράσι </w:t>
      </w:r>
      <w:r w:rsidR="00CC0615">
        <w:rPr>
          <w:lang w:val="en-US"/>
        </w:rPr>
        <w:t>“</w:t>
      </w:r>
      <w:r>
        <w:rPr>
          <w:lang w:val="en-US"/>
        </w:rPr>
        <w:t>made and good among men</w:t>
      </w:r>
      <w:r w:rsidR="00CC0615">
        <w:rPr>
          <w:lang w:val="en-US"/>
        </w:rPr>
        <w:t>”</w:t>
      </w:r>
      <w:r>
        <w:rPr>
          <w:lang w:val="en-US"/>
        </w:rPr>
        <w:t xml:space="preserve"> (line 47): Archilochus is mixing two epic phrasings, namely </w:t>
      </w:r>
      <w:r>
        <w:rPr>
          <w:i/>
          <w:iCs/>
          <w:lang w:val="en-US"/>
        </w:rPr>
        <w:t>Il</w:t>
      </w:r>
      <w:r>
        <w:rPr>
          <w:lang w:val="en-US"/>
        </w:rPr>
        <w:t>. 13.461 ἐσθλὸν ἐόντα μετ</w:t>
      </w:r>
      <w:r w:rsidR="00075F5F">
        <w:rPr>
          <w:lang w:val="en-US"/>
        </w:rPr>
        <w:t>’</w:t>
      </w:r>
      <w:r>
        <w:rPr>
          <w:lang w:val="en-US"/>
        </w:rPr>
        <w:t xml:space="preserve"> ἀνδράσιν and </w:t>
      </w:r>
      <w:r>
        <w:rPr>
          <w:i/>
          <w:iCs/>
          <w:lang w:val="en-US"/>
        </w:rPr>
        <w:t>Od</w:t>
      </w:r>
      <w:r>
        <w:rPr>
          <w:lang w:val="en-US"/>
        </w:rPr>
        <w:t>. 15.252-253 μάντιν … θῆκε.</w:t>
      </w:r>
    </w:p>
    <w:p w14:paraId="27DB7786" w14:textId="189589EC" w:rsidR="0097549B" w:rsidRDefault="0097549B" w:rsidP="003756AF">
      <w:pPr>
        <w:spacing w:before="200" w:after="120"/>
        <w:rPr>
          <w:lang w:val="en-US"/>
        </w:rPr>
      </w:pPr>
      <w:r>
        <w:rPr>
          <w:lang w:val="en-US"/>
        </w:rPr>
        <w:t>It is evident that the matrix language of Archil. fr. 54 is the epic language. Into this matrix language, the iambographer embeds some new elements, usually lexical one. As in the cases analysed above, most of Archilochus</w:t>
      </w:r>
      <w:r w:rsidR="00075F5F">
        <w:rPr>
          <w:lang w:val="en-US"/>
        </w:rPr>
        <w:t>’</w:t>
      </w:r>
      <w:r>
        <w:rPr>
          <w:lang w:val="en-US"/>
        </w:rPr>
        <w:t xml:space="preserve"> other extant fragments consist largely of Homeric phrases adapted to the new metre and, perhaps, to a new paradigm: they are either very brief (no longer than two lines) or very fragmentary; but that the epic language constitutes the the basic language is obvious, as shown by, among others:</w:t>
      </w:r>
    </w:p>
    <w:p w14:paraId="298505EE" w14:textId="77777777" w:rsidR="0097549B" w:rsidRDefault="0097549B" w:rsidP="003756AF">
      <w:pPr>
        <w:widowControl w:val="0"/>
        <w:numPr>
          <w:ilvl w:val="0"/>
          <w:numId w:val="82"/>
        </w:numPr>
        <w:tabs>
          <w:tab w:val="left" w:pos="360"/>
          <w:tab w:val="left" w:pos="720"/>
          <w:tab w:val="center" w:pos="5387"/>
        </w:tabs>
        <w:spacing w:after="120"/>
        <w:ind w:left="714" w:hanging="357"/>
        <w:rPr>
          <w:lang w:val="en-US"/>
        </w:rPr>
      </w:pPr>
      <w:r>
        <w:rPr>
          <w:lang w:val="en-US"/>
        </w:rPr>
        <w:t>fr. 31 (</w:t>
      </w:r>
      <w:r>
        <w:rPr>
          <w:b/>
          <w:bCs/>
          <w:lang w:val="en-US"/>
        </w:rPr>
        <w:t>5</w:t>
      </w:r>
      <w:r>
        <w:rPr>
          <w:lang w:val="en-US"/>
        </w:rPr>
        <w:t xml:space="preserve"> A.2): the phrase ὤμους … καὶ μετάφρενα comes directly from an epic </w:t>
      </w:r>
      <w:r>
        <w:rPr>
          <w:i/>
          <w:iCs/>
          <w:lang w:val="en-US"/>
        </w:rPr>
        <w:lastRenderedPageBreak/>
        <w:t>formula</w:t>
      </w:r>
      <w:r>
        <w:rPr>
          <w:lang w:val="en-US"/>
        </w:rPr>
        <w:t>: μετάφρενον ἠδὲ καὶ ὤμω (</w:t>
      </w:r>
      <w:r>
        <w:rPr>
          <w:i/>
          <w:iCs/>
          <w:lang w:val="en-US"/>
        </w:rPr>
        <w:t>Il</w:t>
      </w:r>
      <w:r>
        <w:rPr>
          <w:lang w:val="en-US"/>
        </w:rPr>
        <w:t>. 2.265), μετάφρενον ἠδὲ καὶ ὤμους (</w:t>
      </w:r>
      <w:r>
        <w:rPr>
          <w:i/>
          <w:iCs/>
          <w:lang w:val="en-US"/>
        </w:rPr>
        <w:t>Od</w:t>
      </w:r>
      <w:r>
        <w:rPr>
          <w:lang w:val="en-US"/>
        </w:rPr>
        <w:t xml:space="preserve">. 8.528). The plural form μετάφρενα, though refering to one person, is not an innovation of Archilochus, since it is found already in </w:t>
      </w:r>
      <w:r>
        <w:rPr>
          <w:i/>
          <w:iCs/>
          <w:lang w:val="en-US"/>
        </w:rPr>
        <w:t>Il</w:t>
      </w:r>
      <w:r>
        <w:rPr>
          <w:lang w:val="en-US"/>
        </w:rPr>
        <w:t xml:space="preserve">. 12.428, and the verb κατασκιάζω occurs in </w:t>
      </w:r>
      <w:r>
        <w:rPr>
          <w:i/>
          <w:iCs/>
          <w:lang w:val="en-US"/>
        </w:rPr>
        <w:t>Od</w:t>
      </w:r>
      <w:r>
        <w:rPr>
          <w:lang w:val="en-US"/>
        </w:rPr>
        <w:t>. 12.436.</w:t>
      </w:r>
    </w:p>
    <w:p w14:paraId="6F41426A" w14:textId="0A287593" w:rsidR="0097549B" w:rsidRDefault="0097549B" w:rsidP="003756AF">
      <w:pPr>
        <w:spacing w:after="120"/>
        <w:rPr>
          <w:lang w:val="en-US"/>
        </w:rPr>
      </w:pPr>
      <w:r>
        <w:rPr>
          <w:lang w:val="en-US"/>
        </w:rPr>
        <w:t>However, it seems clear that Archilochus</w:t>
      </w:r>
      <w:r w:rsidR="00075F5F">
        <w:rPr>
          <w:lang w:val="en-US"/>
        </w:rPr>
        <w:t>’</w:t>
      </w:r>
      <w:r>
        <w:rPr>
          <w:lang w:val="en-US"/>
        </w:rPr>
        <w:t xml:space="preserve"> iambic language is slowly but surely increasing its distance from epic. Throughout the extant fragments we find lines where the phrasing seems quite independent of the epic tradition. Examples include: </w:t>
      </w:r>
    </w:p>
    <w:p w14:paraId="359DDD3C" w14:textId="77777777" w:rsidR="0097549B" w:rsidRDefault="0097549B" w:rsidP="003756AF">
      <w:pPr>
        <w:widowControl w:val="0"/>
        <w:numPr>
          <w:ilvl w:val="0"/>
          <w:numId w:val="82"/>
        </w:numPr>
        <w:tabs>
          <w:tab w:val="left" w:pos="360"/>
          <w:tab w:val="left" w:pos="720"/>
          <w:tab w:val="center" w:pos="5387"/>
        </w:tabs>
        <w:spacing w:before="120"/>
        <w:ind w:left="714" w:hanging="357"/>
        <w:rPr>
          <w:lang w:val="en-US"/>
        </w:rPr>
      </w:pPr>
      <w:r>
        <w:rPr>
          <w:lang w:val="en-US"/>
        </w:rPr>
        <w:t>fr. 32 (</w:t>
      </w:r>
      <w:r>
        <w:rPr>
          <w:b/>
          <w:bCs/>
          <w:lang w:val="en-US"/>
        </w:rPr>
        <w:t>5</w:t>
      </w:r>
      <w:r>
        <w:rPr>
          <w:lang w:val="en-US"/>
        </w:rPr>
        <w:t xml:space="preserve"> A.3): the diction is half traditional and half new. The first half of the line is an adaptation of the epic phrase κατὰ μέγαρα στρωφᾶσθαι (</w:t>
      </w:r>
      <w:r>
        <w:rPr>
          <w:i/>
          <w:iCs/>
          <w:lang w:val="en-US"/>
        </w:rPr>
        <w:t>Il</w:t>
      </w:r>
      <w:r>
        <w:rPr>
          <w:lang w:val="en-US"/>
        </w:rPr>
        <w:t xml:space="preserve">. 9.463), with the replacement of the high-sounding and anachronistic μέγαρον with the contemporary οἶκος. This change testifies that Archilochus is interested in describing his present reality, and thus the linguistic shift also marks a change of paradigm from the epic one. The second half of the line is wholly new and its flavour is iambic, especially in the choice of the onomatopoieic word βάβαξ. </w:t>
      </w:r>
    </w:p>
    <w:p w14:paraId="043D230A" w14:textId="431C866F" w:rsidR="0097549B" w:rsidRDefault="0097549B" w:rsidP="003756AF">
      <w:pPr>
        <w:widowControl w:val="0"/>
        <w:numPr>
          <w:ilvl w:val="0"/>
          <w:numId w:val="82"/>
        </w:numPr>
        <w:tabs>
          <w:tab w:val="left" w:pos="360"/>
          <w:tab w:val="left" w:pos="720"/>
          <w:tab w:val="center" w:pos="5387"/>
        </w:tabs>
        <w:rPr>
          <w:lang w:val="en-US"/>
        </w:rPr>
      </w:pPr>
      <w:r>
        <w:rPr>
          <w:lang w:val="en-US"/>
        </w:rPr>
        <w:t>fr. 180</w:t>
      </w:r>
      <w:r>
        <w:rPr>
          <w:rStyle w:val="FootnoteReference"/>
          <w:lang w:val="en-US"/>
        </w:rPr>
        <w:footnoteReference w:id="521"/>
      </w:r>
      <w:r>
        <w:rPr>
          <w:lang w:val="en-US"/>
        </w:rPr>
        <w:t xml:space="preserve"> (</w:t>
      </w:r>
      <w:r>
        <w:rPr>
          <w:b/>
          <w:bCs/>
          <w:lang w:val="en-US"/>
        </w:rPr>
        <w:t>5</w:t>
      </w:r>
      <w:r>
        <w:rPr>
          <w:lang w:val="en-US"/>
        </w:rPr>
        <w:t xml:space="preserve"> A.4): far from traditional in content, vocabulary, and style. The unit here is not the phrase but the carefully selected word: σάθη, Πριηνεύς, κήλων, πλημύρω, ὀτρυγηφάγος. This example testifies that the shifts in Archilochus</w:t>
      </w:r>
      <w:r w:rsidR="00075F5F">
        <w:rPr>
          <w:lang w:val="en-US"/>
        </w:rPr>
        <w:t>’</w:t>
      </w:r>
      <w:r>
        <w:rPr>
          <w:lang w:val="en-US"/>
        </w:rPr>
        <w:t xml:space="preserve"> work are first and foremost lexical, and that the iambographer starts building the new language from the lexical level.</w:t>
      </w:r>
    </w:p>
    <w:p w14:paraId="3875DAC0" w14:textId="77777777" w:rsidR="0097549B" w:rsidRDefault="0097549B" w:rsidP="003756AF">
      <w:pPr>
        <w:widowControl w:val="0"/>
        <w:numPr>
          <w:ilvl w:val="0"/>
          <w:numId w:val="82"/>
        </w:numPr>
        <w:tabs>
          <w:tab w:val="left" w:pos="360"/>
          <w:tab w:val="left" w:pos="720"/>
          <w:tab w:val="center" w:pos="5387"/>
        </w:tabs>
        <w:rPr>
          <w:lang w:val="en-US"/>
        </w:rPr>
      </w:pPr>
      <w:r>
        <w:rPr>
          <w:lang w:val="en-US"/>
        </w:rPr>
        <w:t>fr. 36</w:t>
      </w:r>
      <w:r>
        <w:rPr>
          <w:rStyle w:val="FootnoteReference"/>
          <w:lang w:val="en-US"/>
        </w:rPr>
        <w:footnoteReference w:id="522"/>
      </w:r>
      <w:r>
        <w:rPr>
          <w:lang w:val="en-US"/>
        </w:rPr>
        <w:t xml:space="preserve"> (</w:t>
      </w:r>
      <w:r>
        <w:rPr>
          <w:b/>
          <w:bCs/>
          <w:lang w:val="en-US"/>
        </w:rPr>
        <w:t>5</w:t>
      </w:r>
      <w:r>
        <w:rPr>
          <w:lang w:val="en-US"/>
        </w:rPr>
        <w:t xml:space="preserve"> A.5): no parallels are found in the previous literary tradition of this phrasing setting;</w:t>
      </w:r>
    </w:p>
    <w:p w14:paraId="1C55C05C" w14:textId="77777777" w:rsidR="0097549B" w:rsidRDefault="0097549B" w:rsidP="003756AF">
      <w:pPr>
        <w:widowControl w:val="0"/>
        <w:numPr>
          <w:ilvl w:val="0"/>
          <w:numId w:val="82"/>
        </w:numPr>
        <w:tabs>
          <w:tab w:val="left" w:pos="360"/>
          <w:tab w:val="left" w:pos="720"/>
          <w:tab w:val="center" w:pos="5387"/>
        </w:tabs>
        <w:rPr>
          <w:lang w:val="en-US"/>
        </w:rPr>
      </w:pPr>
      <w:r>
        <w:rPr>
          <w:lang w:val="en-US"/>
        </w:rPr>
        <w:t>fr. 39</w:t>
      </w:r>
      <w:r>
        <w:rPr>
          <w:rStyle w:val="FootnoteReference"/>
          <w:lang w:val="en-US"/>
        </w:rPr>
        <w:footnoteReference w:id="523"/>
      </w:r>
      <w:r>
        <w:rPr>
          <w:lang w:val="en-US"/>
        </w:rPr>
        <w:t xml:space="preserve"> (</w:t>
      </w:r>
      <w:r>
        <w:rPr>
          <w:b/>
          <w:bCs/>
          <w:lang w:val="en-US"/>
        </w:rPr>
        <w:t>5</w:t>
      </w:r>
      <w:r>
        <w:rPr>
          <w:lang w:val="en-US"/>
        </w:rPr>
        <w:t xml:space="preserve"> A.6): the theme is completely new compared to the previous tradition. It is worth noting that the theme of the ship stuck in the storm later becomes quite widespread in Greek lyric tradition.</w:t>
      </w:r>
    </w:p>
    <w:p w14:paraId="20C13D46" w14:textId="0FD7BB2F" w:rsidR="0097549B" w:rsidRDefault="0097549B" w:rsidP="003756AF">
      <w:pPr>
        <w:spacing w:before="120"/>
        <w:rPr>
          <w:lang w:val="en-US"/>
        </w:rPr>
      </w:pPr>
      <w:r>
        <w:rPr>
          <w:lang w:val="en-US"/>
        </w:rPr>
        <w:t>The picture seems clear enough. The formular language of the traditional epic is the strongest formative element in the style of Archilochus</w:t>
      </w:r>
      <w:r w:rsidR="00075F5F">
        <w:rPr>
          <w:lang w:val="en-US"/>
        </w:rPr>
        <w:t>’</w:t>
      </w:r>
      <w:r>
        <w:rPr>
          <w:lang w:val="en-US"/>
        </w:rPr>
        <w:t xml:space="preserve"> iambics. Epic formulas almost unchanged, epic formulas ingeniously adapted to the new metre, isolated epic words and forms, all contribute significantly to the construction of the new literary language. And Homeric colour pervades the innovations: Archilochus quite freely </w:t>
      </w:r>
      <w:r>
        <w:rPr>
          <w:lang w:val="en-US"/>
        </w:rPr>
        <w:lastRenderedPageBreak/>
        <w:t>introduces new images and new vocabulary, but there is no conflict of styles or even imperfection of blend. The innovations are raised to the level of the predominant Homeric style. The phraseology is sometimes independent of the traditional models: a new literary language is in process of formation, still under the influence of epic, but slowly attaining a measure of independence. The new style in Archilochus is clearly evident in those places where the unit of composition is plainly the word, freely and carefully chosen for its aptness and accuracy. The shift from one style (genre) to another, from the epic style to the iambic one, was presumably gradual. It would have taken place at first on a small scale (especially on the lexical level), being experimental shift subordinate to the inherited traditional (epic) language.</w:t>
      </w:r>
    </w:p>
    <w:p w14:paraId="38CDEED9" w14:textId="4022D44F" w:rsidR="005732E0" w:rsidRPr="001E6CE6" w:rsidRDefault="00275E09" w:rsidP="00275E09">
      <w:pPr>
        <w:pStyle w:val="Heading4"/>
        <w:rPr>
          <w:b w:val="0"/>
          <w:i/>
        </w:rPr>
      </w:pPr>
      <w:r w:rsidRPr="001E6CE6">
        <w:rPr>
          <w:b w:val="0"/>
          <w:i/>
        </w:rPr>
        <w:t>Hipponax</w:t>
      </w:r>
    </w:p>
    <w:p w14:paraId="6E39D935" w14:textId="7656106E" w:rsidR="00E212BA" w:rsidRDefault="00E212BA" w:rsidP="003756AF">
      <w:pPr>
        <w:spacing w:after="120"/>
        <w:rPr>
          <w:lang w:val="en-US"/>
        </w:rPr>
      </w:pPr>
      <w:r>
        <w:rPr>
          <w:lang w:val="en-US"/>
        </w:rPr>
        <w:t>In Hipponax</w:t>
      </w:r>
      <w:r w:rsidR="00075F5F">
        <w:rPr>
          <w:lang w:val="en-US"/>
        </w:rPr>
        <w:t>’</w:t>
      </w:r>
      <w:r>
        <w:rPr>
          <w:lang w:val="en-US"/>
        </w:rPr>
        <w:t>s fragments it is more difficult to divine the matrix language: the epic language is still there, but it is well disguised. Hipponax</w:t>
      </w:r>
      <w:r w:rsidR="00075F5F">
        <w:rPr>
          <w:lang w:val="en-US"/>
        </w:rPr>
        <w:t>’</w:t>
      </w:r>
      <w:r>
        <w:rPr>
          <w:lang w:val="en-US"/>
        </w:rPr>
        <w:t>s fragments display not only lexical shifts, but also morphological ones. This makes it more difficult to identify the underlying traditional idioms, and to judge whether the matrix language is still epic. Unfortunately, Hipponax</w:t>
      </w:r>
      <w:r w:rsidR="00075F5F">
        <w:rPr>
          <w:lang w:val="en-US"/>
        </w:rPr>
        <w:t>’</w:t>
      </w:r>
      <w:r>
        <w:rPr>
          <w:lang w:val="en-US"/>
        </w:rPr>
        <w:t>s poetry is even more poorly preserved than Archilochus</w:t>
      </w:r>
      <w:r w:rsidR="00075F5F">
        <w:rPr>
          <w:lang w:val="en-US"/>
        </w:rPr>
        <w:t>’</w:t>
      </w:r>
      <w:r>
        <w:rPr>
          <w:lang w:val="en-US"/>
        </w:rPr>
        <w:t>, offering only a few longer fragments for analysis. One of these is Hippon. fr. 1 (</w:t>
      </w:r>
      <w:r>
        <w:rPr>
          <w:b/>
          <w:bCs/>
          <w:lang w:val="en-US"/>
        </w:rPr>
        <w:t>5</w:t>
      </w:r>
      <w:r>
        <w:rPr>
          <w:lang w:val="en-US"/>
        </w:rPr>
        <w:t xml:space="preserve"> B.1). It seems to be the beginning of an invocation or a hymn and has a clear epic flavour, but every word, once analysed, shows some discrepancies from its epic form.</w:t>
      </w:r>
    </w:p>
    <w:p w14:paraId="3C4EB2AD" w14:textId="343F79F9" w:rsidR="00E212BA" w:rsidRDefault="00E212BA" w:rsidP="003756AF">
      <w:pPr>
        <w:widowControl w:val="0"/>
        <w:numPr>
          <w:ilvl w:val="0"/>
          <w:numId w:val="84"/>
        </w:numPr>
        <w:tabs>
          <w:tab w:val="left" w:pos="360"/>
          <w:tab w:val="left" w:pos="720"/>
          <w:tab w:val="center" w:pos="5387"/>
        </w:tabs>
        <w:ind w:left="714" w:hanging="357"/>
        <w:rPr>
          <w:lang w:val="en-US"/>
        </w:rPr>
      </w:pPr>
      <w:r>
        <w:rPr>
          <w:lang w:val="en-US"/>
        </w:rPr>
        <w:t xml:space="preserve">βοάω is an epic and hymnic verb, found at </w:t>
      </w:r>
      <w:r>
        <w:rPr>
          <w:i/>
          <w:iCs/>
          <w:lang w:val="en-US"/>
        </w:rPr>
        <w:t>Il</w:t>
      </w:r>
      <w:r>
        <w:rPr>
          <w:lang w:val="en-US"/>
        </w:rPr>
        <w:t xml:space="preserve">. 12.337, </w:t>
      </w:r>
      <w:r>
        <w:rPr>
          <w:i/>
          <w:iCs/>
          <w:lang w:val="en-US"/>
        </w:rPr>
        <w:t>Od</w:t>
      </w:r>
      <w:r>
        <w:rPr>
          <w:lang w:val="en-US"/>
        </w:rPr>
        <w:t xml:space="preserve">. 9.403, </w:t>
      </w:r>
      <w:r>
        <w:rPr>
          <w:i/>
          <w:iCs/>
          <w:lang w:val="en-US"/>
        </w:rPr>
        <w:t>h. Cer.</w:t>
      </w:r>
      <w:r>
        <w:rPr>
          <w:lang w:val="en-US"/>
        </w:rPr>
        <w:t xml:space="preserve"> 432. However, in those cases, the form of the verb is always the non-contracted one, while Hipponax uses the contracted form, which seems to belong to the spoken Ionic dialect (cf. Anacr. fr. 20 Gentili; Hdt. 1.86.6; 9.53.3).</w:t>
      </w:r>
      <w:r>
        <w:rPr>
          <w:rStyle w:val="FootnoteReference"/>
          <w:lang w:val="en-US"/>
        </w:rPr>
        <w:footnoteReference w:id="524"/>
      </w:r>
      <w:r w:rsidR="00BD06E6">
        <w:rPr>
          <w:lang w:val="en-US"/>
        </w:rPr>
        <w:t xml:space="preserve"> </w:t>
      </w:r>
      <w:r>
        <w:rPr>
          <w:lang w:val="en-US"/>
        </w:rPr>
        <w:t>Hipponax is using an epic word but in a morphological form which is unknown in epic language.</w:t>
      </w:r>
    </w:p>
    <w:p w14:paraId="32296A65" w14:textId="13C79FC5" w:rsidR="00E212BA" w:rsidRDefault="00E212BA" w:rsidP="003756AF">
      <w:pPr>
        <w:widowControl w:val="0"/>
        <w:numPr>
          <w:ilvl w:val="0"/>
          <w:numId w:val="84"/>
        </w:numPr>
        <w:tabs>
          <w:tab w:val="left" w:pos="360"/>
          <w:tab w:val="left" w:pos="720"/>
          <w:tab w:val="center" w:pos="5387"/>
        </w:tabs>
        <w:ind w:left="714" w:hanging="357"/>
        <w:rPr>
          <w:lang w:val="en-US"/>
        </w:rPr>
      </w:pPr>
      <w:r>
        <w:rPr>
          <w:lang w:val="en-US"/>
        </w:rPr>
        <w:t xml:space="preserve">the expression Μαίης παῖς, though conveying a traditional image, is not the traditional expression. The genitive Μαίης is the genitive of the first declension personal name Μαίη, which is the Ionic form of the name of the goddess. Epic diction prefers the genitive Μαιάδος from the third declension personal name Μαιάς. Epic language use the word υἱός rather than παῖς to convey the notion of </w:t>
      </w:r>
      <w:r w:rsidR="00CC0615">
        <w:rPr>
          <w:lang w:val="en-US"/>
        </w:rPr>
        <w:t>“</w:t>
      </w:r>
      <w:r>
        <w:rPr>
          <w:lang w:val="en-US"/>
        </w:rPr>
        <w:t>being son of</w:t>
      </w:r>
      <w:r w:rsidR="00CC0615">
        <w:rPr>
          <w:lang w:val="en-US"/>
        </w:rPr>
        <w:t>”</w:t>
      </w:r>
      <w:r>
        <w:rPr>
          <w:lang w:val="en-US"/>
        </w:rPr>
        <w:t xml:space="preserve">: υἱός is the honorific term, which would </w:t>
      </w:r>
      <w:r>
        <w:rPr>
          <w:lang w:val="en-US"/>
        </w:rPr>
        <w:lastRenderedPageBreak/>
        <w:t>make more sense in the context of an invocation (like this fragment seems to be). Therefore, Hipponax conveys a traditional image (son of Maia) with a traditional personal name in a new morphological form (Μαίης) which is syntactically related to a non-traditional noun (παῖς). It is worth noting that the family of words connected with παῖς, such as παίγνιον, παιδιά, παίζω, are all terms related to the world of childish games and tricks. It is significant that the hymnic language calls Hermes παῖς at the very moment when he is described as about to steal Apollo</w:t>
      </w:r>
      <w:r w:rsidR="00075F5F">
        <w:rPr>
          <w:lang w:val="en-US"/>
        </w:rPr>
        <w:t>’</w:t>
      </w:r>
      <w:r>
        <w:rPr>
          <w:lang w:val="en-US"/>
        </w:rPr>
        <w:t xml:space="preserve">s cows, as shown by </w:t>
      </w:r>
      <w:r>
        <w:rPr>
          <w:i/>
          <w:iCs/>
          <w:lang w:val="en-US"/>
        </w:rPr>
        <w:t>H. Her.</w:t>
      </w:r>
      <w:r>
        <w:rPr>
          <w:lang w:val="en-US"/>
        </w:rPr>
        <w:t xml:space="preserve"> 336 παῖδά τιν</w:t>
      </w:r>
      <w:r w:rsidR="00075F5F">
        <w:rPr>
          <w:lang w:val="en-US"/>
        </w:rPr>
        <w:t>’</w:t>
      </w:r>
      <w:r>
        <w:rPr>
          <w:lang w:val="en-US"/>
        </w:rPr>
        <w:t>.</w:t>
      </w:r>
    </w:p>
    <w:p w14:paraId="79E36C78" w14:textId="2E1ACDF0" w:rsidR="00E212BA" w:rsidRDefault="00E212BA" w:rsidP="003756AF">
      <w:pPr>
        <w:widowControl w:val="0"/>
        <w:numPr>
          <w:ilvl w:val="0"/>
          <w:numId w:val="84"/>
        </w:numPr>
        <w:tabs>
          <w:tab w:val="left" w:pos="360"/>
          <w:tab w:val="left" w:pos="720"/>
          <w:tab w:val="center" w:pos="5387"/>
        </w:tabs>
        <w:spacing w:after="120"/>
        <w:ind w:left="714" w:hanging="357"/>
        <w:rPr>
          <w:lang w:val="en-US"/>
        </w:rPr>
      </w:pPr>
      <w:r>
        <w:rPr>
          <w:lang w:val="en-US"/>
        </w:rPr>
        <w:t xml:space="preserve">the expression Κυλλήνης πάλμυν puts together a traditional lexical element (Κυλλήνη) with a very new lexical one (πάλμυς). Hipponax is the first author in the literary Greek tradition to the Lydian word πάλμυς as a common noun.  (The word πάλμυς appears in </w:t>
      </w:r>
      <w:r>
        <w:rPr>
          <w:i/>
          <w:iCs/>
          <w:lang w:val="en-US"/>
        </w:rPr>
        <w:t>Il</w:t>
      </w:r>
      <w:r>
        <w:rPr>
          <w:lang w:val="en-US"/>
        </w:rPr>
        <w:t>. 13.792 as the personal name of a Trojan leader: Πάλμύν τ</w:t>
      </w:r>
      <w:r w:rsidR="00075F5F">
        <w:rPr>
          <w:lang w:val="en-US"/>
        </w:rPr>
        <w:t>’</w:t>
      </w:r>
      <w:r>
        <w:rPr>
          <w:lang w:val="en-US"/>
        </w:rPr>
        <w:t xml:space="preserve"> Ἀσκάνιόν τε Μόρυν θ</w:t>
      </w:r>
      <w:r w:rsidR="00075F5F">
        <w:rPr>
          <w:lang w:val="en-US"/>
        </w:rPr>
        <w:t>’</w:t>
      </w:r>
      <w:r>
        <w:rPr>
          <w:lang w:val="en-US"/>
        </w:rPr>
        <w:t xml:space="preserve"> υἷ</w:t>
      </w:r>
      <w:r w:rsidR="00075F5F">
        <w:rPr>
          <w:lang w:val="en-US"/>
        </w:rPr>
        <w:t>’</w:t>
      </w:r>
      <w:r>
        <w:rPr>
          <w:lang w:val="en-US"/>
        </w:rPr>
        <w:t xml:space="preserve"> Ἱπποτίωνος.) In Hipponax</w:t>
      </w:r>
      <w:r w:rsidR="00075F5F">
        <w:rPr>
          <w:lang w:val="en-US"/>
        </w:rPr>
        <w:t>’</w:t>
      </w:r>
      <w:r>
        <w:rPr>
          <w:lang w:val="en-US"/>
        </w:rPr>
        <w:t xml:space="preserve">s expression the term πάλμυς replaces the expected μεδέων </w:t>
      </w:r>
      <w:r w:rsidR="00CC0615">
        <w:rPr>
          <w:lang w:val="en-US"/>
        </w:rPr>
        <w:t>“</w:t>
      </w:r>
      <w:r>
        <w:rPr>
          <w:lang w:val="en-US"/>
        </w:rPr>
        <w:t>lord, ruler.</w:t>
      </w:r>
      <w:r w:rsidR="00CC0615">
        <w:rPr>
          <w:lang w:val="en-US"/>
        </w:rPr>
        <w:t>”</w:t>
      </w:r>
      <w:r>
        <w:rPr>
          <w:lang w:val="en-US"/>
        </w:rPr>
        <w:t xml:space="preserve"> The introduction at the end of the line of a foreign word which would be perceived as completely independent from the traditional language signifies that Hipponax distances himself from the epic language. Moreover, the genitive Κυλλήνης is not strictly traditional, since the hymnic diction would prefer the adjective Κυλλήνιος in a hymnic context. </w:t>
      </w:r>
    </w:p>
    <w:p w14:paraId="24C5383F" w14:textId="02371629" w:rsidR="00E212BA" w:rsidRDefault="00E212BA" w:rsidP="00E212BA">
      <w:pPr>
        <w:rPr>
          <w:lang w:val="en-US"/>
        </w:rPr>
      </w:pPr>
      <w:r>
        <w:rPr>
          <w:lang w:val="en-US"/>
        </w:rPr>
        <w:t xml:space="preserve">What is the matrix language of Hippon. fr. 1? It is not easy to answer this question. Disentangling it is very difficult. However, I suggest that from a lexical point of view, the matrix language is still the epic language. Most of the words are epic terms. Among the epic terms, the Ephesian iambographer places two new elements, namely παῖς and πάλμυς. These two new elements are not equally new. Παῖς is new compared to the hymnic traditional language, while πάλμυς is new compared to all of the literary Greek language. Therefore it may be said that the matrix language is still the epic one, but Hipponax deals with the morphology of the epic diction in such a way that epic words no longer sound quite so epic. In this way, the fragment still sounds traditional, and it conveying a hymnic traditional image, but a more careful examination reveals a heavy reshuffling of the hymnic language. </w:t>
      </w:r>
    </w:p>
    <w:p w14:paraId="3D0B9E15" w14:textId="0936C08F" w:rsidR="00E212BA" w:rsidRDefault="00E212BA" w:rsidP="00BD06E6">
      <w:pPr>
        <w:spacing w:after="120"/>
        <w:ind w:firstLine="425"/>
        <w:rPr>
          <w:lang w:val="en-US"/>
        </w:rPr>
      </w:pPr>
      <w:r>
        <w:rPr>
          <w:lang w:val="en-US"/>
        </w:rPr>
        <w:t>A description of Hipponax</w:t>
      </w:r>
      <w:r w:rsidR="00075F5F">
        <w:rPr>
          <w:lang w:val="en-US"/>
        </w:rPr>
        <w:t>’</w:t>
      </w:r>
      <w:r>
        <w:rPr>
          <w:lang w:val="en-US"/>
        </w:rPr>
        <w:t>s language would change completely if we consider another fragment, as Hippon. fr. 20 (</w:t>
      </w:r>
      <w:r>
        <w:rPr>
          <w:b/>
          <w:bCs/>
          <w:lang w:val="en-US"/>
        </w:rPr>
        <w:t>5</w:t>
      </w:r>
      <w:r>
        <w:rPr>
          <w:lang w:val="en-US"/>
        </w:rPr>
        <w:t xml:space="preserve"> B.2). This fragment is strongly iambic in content, style, and vocabulary. It conveys such an iambic image that one may legitimately claim that the fragment is wholly iambic. However, although the matrix </w:t>
      </w:r>
      <w:r>
        <w:rPr>
          <w:lang w:val="en-US"/>
        </w:rPr>
        <w:lastRenderedPageBreak/>
        <w:t>language in this case is certainly the iambic language, this fragment also contains some epic elements, namely the verb θηπέων and the adjective δυσώνυμος, which are significant in the arrangement of the entire fragment:</w:t>
      </w:r>
    </w:p>
    <w:p w14:paraId="01BC5344" w14:textId="56BDD110" w:rsidR="00E212BA" w:rsidRDefault="00E212BA" w:rsidP="003756AF">
      <w:pPr>
        <w:widowControl w:val="0"/>
        <w:numPr>
          <w:ilvl w:val="0"/>
          <w:numId w:val="85"/>
        </w:numPr>
        <w:tabs>
          <w:tab w:val="left" w:pos="360"/>
          <w:tab w:val="left" w:pos="720"/>
          <w:tab w:val="center" w:pos="5387"/>
        </w:tabs>
        <w:ind w:left="714" w:hanging="357"/>
        <w:rPr>
          <w:lang w:val="en-US"/>
        </w:rPr>
      </w:pPr>
      <w:r>
        <w:rPr>
          <w:lang w:val="en-US"/>
        </w:rPr>
        <w:t xml:space="preserve">the form θηπέων is a </w:t>
      </w:r>
      <w:r>
        <w:rPr>
          <w:i/>
          <w:iCs/>
          <w:lang w:val="en-US"/>
        </w:rPr>
        <w:t>uniquum</w:t>
      </w:r>
      <w:r>
        <w:rPr>
          <w:lang w:val="en-US"/>
        </w:rPr>
        <w:t xml:space="preserve"> in Greek literature, but it is connected to the epic words τέθηπα (perfect with present meaning) and ταφών (thematic aorist participle). Once again Hipponax is borrowing an epic word and changing its morphology. It is worth noting that the participle ταφών occurrs seven times in Homer, of which six are in the </w:t>
      </w:r>
      <w:r>
        <w:rPr>
          <w:i/>
          <w:iCs/>
          <w:lang w:val="en-US"/>
        </w:rPr>
        <w:t>Iliad</w:t>
      </w:r>
      <w:r>
        <w:rPr>
          <w:lang w:val="en-US"/>
        </w:rPr>
        <w:t xml:space="preserve"> and all refer to Achilleus. No contrast could be stronger: Hipponax uses the participle θηπέων to refer to Bupalus.</w:t>
      </w:r>
    </w:p>
    <w:p w14:paraId="295B4CAA" w14:textId="1659C810" w:rsidR="00E212BA" w:rsidRPr="00BD06E6" w:rsidRDefault="00E212BA" w:rsidP="003002D4">
      <w:pPr>
        <w:widowControl w:val="0"/>
        <w:numPr>
          <w:ilvl w:val="0"/>
          <w:numId w:val="85"/>
        </w:numPr>
        <w:tabs>
          <w:tab w:val="left" w:pos="360"/>
          <w:tab w:val="left" w:pos="720"/>
          <w:tab w:val="center" w:pos="5387"/>
        </w:tabs>
        <w:spacing w:after="120"/>
        <w:ind w:left="714" w:hanging="357"/>
        <w:rPr>
          <w:lang w:val="en-US"/>
        </w:rPr>
      </w:pPr>
      <w:r>
        <w:rPr>
          <w:lang w:val="en-US"/>
        </w:rPr>
        <w:t xml:space="preserve">δυσώνυμος is a high-sounding epic adjective that usually refers to the sons of the Achaeans, as shown by </w:t>
      </w:r>
      <w:r>
        <w:rPr>
          <w:i/>
          <w:iCs/>
          <w:lang w:val="en-US"/>
        </w:rPr>
        <w:t>Il</w:t>
      </w:r>
      <w:r>
        <w:rPr>
          <w:lang w:val="en-US"/>
        </w:rPr>
        <w:t>. 6.255 ἦ μάλα δὴ τείρουσι δυσώνυμοι υἷες Ἀχαιῶν. In Hipponax</w:t>
      </w:r>
      <w:r w:rsidR="00075F5F">
        <w:rPr>
          <w:lang w:val="en-US"/>
        </w:rPr>
        <w:t>’</w:t>
      </w:r>
      <w:r>
        <w:rPr>
          <w:lang w:val="en-US"/>
        </w:rPr>
        <w:t>s line, this adjective refers to Bupalus</w:t>
      </w:r>
      <w:r w:rsidR="00075F5F">
        <w:rPr>
          <w:lang w:val="en-US"/>
        </w:rPr>
        <w:t>’</w:t>
      </w:r>
      <w:r>
        <w:rPr>
          <w:lang w:val="en-US"/>
        </w:rPr>
        <w:t xml:space="preserve"> penis! </w:t>
      </w:r>
    </w:p>
    <w:p w14:paraId="0FE75D42" w14:textId="19FE4970" w:rsidR="00F05F90" w:rsidRDefault="00E212BA" w:rsidP="003756AF">
      <w:pPr>
        <w:rPr>
          <w:lang w:val="en-US"/>
        </w:rPr>
      </w:pPr>
      <w:r>
        <w:rPr>
          <w:lang w:val="en-US"/>
        </w:rPr>
        <w:t>The use of both θηπέων and δυσώνυμος is paradigmatic of the purpose which leads Hipponax to embed epic elements in his iambic poem: he wants to create astonishment and irony.</w:t>
      </w:r>
    </w:p>
    <w:p w14:paraId="3BBC774C" w14:textId="0D5CC4E4" w:rsidR="00E212BA" w:rsidRDefault="00E212BA" w:rsidP="003756AF">
      <w:pPr>
        <w:ind w:firstLine="425"/>
        <w:rPr>
          <w:lang w:val="en-US"/>
        </w:rPr>
      </w:pPr>
      <w:r>
        <w:rPr>
          <w:lang w:val="en-US"/>
        </w:rPr>
        <w:t>However, I do not think that Hipponax</w:t>
      </w:r>
      <w:r w:rsidR="00075F5F">
        <w:rPr>
          <w:lang w:val="en-US"/>
        </w:rPr>
        <w:t>’</w:t>
      </w:r>
      <w:r>
        <w:rPr>
          <w:lang w:val="en-US"/>
        </w:rPr>
        <w:t>s purpose is limited to parody. Hipponax does not use the language of tradition only with this intent of parody. I argue that Hipponax wants to put two languages in contact, the old and the new traditions, the old and the new system of values, in order to show what each of them represents, and to compare and contrast them. It should be noted that Hipponax does not consider one language to be better than</w:t>
      </w:r>
      <w:r w:rsidR="00BD06E6">
        <w:rPr>
          <w:lang w:val="en-US"/>
        </w:rPr>
        <w:t xml:space="preserve"> </w:t>
      </w:r>
      <w:r>
        <w:rPr>
          <w:lang w:val="en-US"/>
        </w:rPr>
        <w:t xml:space="preserve">the other, nor does he consider the two languages to be mutually exclusive (as many scholars have argued). Hipponax uses the iambic language as the language of realism, the language which better describes his world. Sometimes, however, the traditional language offers him a powerful instrument to convey his ideas in a much more powerful way. </w:t>
      </w:r>
    </w:p>
    <w:p w14:paraId="48397F44" w14:textId="77777777" w:rsidR="00E212BA" w:rsidRDefault="00E212BA" w:rsidP="003756AF">
      <w:pPr>
        <w:spacing w:after="120"/>
        <w:ind w:firstLine="425"/>
        <w:rPr>
          <w:lang w:val="en-US"/>
        </w:rPr>
      </w:pPr>
      <w:r>
        <w:rPr>
          <w:lang w:val="en-US"/>
        </w:rPr>
        <w:t>To elaborate on this, I will show two cases where embedding the epic language into iambic poetry does not only produce parody of the old epic language and of the dead epic world:</w:t>
      </w:r>
    </w:p>
    <w:p w14:paraId="60D439AE" w14:textId="3AFA165A" w:rsidR="00E212BA" w:rsidRDefault="00E212BA" w:rsidP="003756AF">
      <w:pPr>
        <w:widowControl w:val="0"/>
        <w:numPr>
          <w:ilvl w:val="0"/>
          <w:numId w:val="86"/>
        </w:numPr>
        <w:tabs>
          <w:tab w:val="left" w:pos="360"/>
          <w:tab w:val="left" w:pos="720"/>
          <w:tab w:val="center" w:pos="5387"/>
        </w:tabs>
        <w:ind w:left="714" w:hanging="357"/>
        <w:rPr>
          <w:lang w:val="en-US"/>
        </w:rPr>
      </w:pPr>
      <w:r>
        <w:rPr>
          <w:lang w:val="en-US"/>
        </w:rPr>
        <w:t>fr. 37 (</w:t>
      </w:r>
      <w:r>
        <w:rPr>
          <w:b/>
          <w:bCs/>
          <w:lang w:val="en-US"/>
        </w:rPr>
        <w:t>5</w:t>
      </w:r>
      <w:r>
        <w:rPr>
          <w:lang w:val="en-US"/>
        </w:rPr>
        <w:t xml:space="preserve"> B.3): the fragment is very iambic in vocabulary, content and style, but a closer analysis reveals that the epic language is still there, only hidden under the widespread iambic flavour. The matrix language here is the building up iambic language, as testified by some new lexical formations as τηγανίτη and ἀττανίτη, but the epic language is embedded in the fragment through the participles φαρμάσσων and ἐμβάπτων. </w:t>
      </w:r>
      <w:r>
        <w:rPr>
          <w:i/>
          <w:iCs/>
          <w:lang w:val="en-US"/>
        </w:rPr>
        <w:t>Od</w:t>
      </w:r>
      <w:r>
        <w:rPr>
          <w:lang w:val="en-US"/>
        </w:rPr>
        <w:t>. 9.391-393 says ὡς δ</w:t>
      </w:r>
      <w:r w:rsidR="00075F5F">
        <w:rPr>
          <w:lang w:val="en-US"/>
        </w:rPr>
        <w:t>’</w:t>
      </w:r>
      <w:r>
        <w:rPr>
          <w:lang w:val="en-US"/>
        </w:rPr>
        <w:t xml:space="preserve"> ὅτ</w:t>
      </w:r>
      <w:r w:rsidR="00075F5F">
        <w:rPr>
          <w:lang w:val="en-US"/>
        </w:rPr>
        <w:t>’</w:t>
      </w:r>
      <w:r>
        <w:rPr>
          <w:lang w:val="en-US"/>
        </w:rPr>
        <w:t xml:space="preserve"> ἀνὴρ </w:t>
      </w:r>
      <w:r>
        <w:rPr>
          <w:lang w:val="en-US"/>
        </w:rPr>
        <w:lastRenderedPageBreak/>
        <w:t xml:space="preserve">χαλκεὺς πέλεκυν μέγαν ἠὲ σκέπαρνον / εἰν ὕδατι ψυχρῷ βάπτῃ μεγάλα ἰάχοντα / φαρμάσσων· </w:t>
      </w:r>
      <w:r w:rsidR="00CC0615">
        <w:rPr>
          <w:lang w:val="en-US"/>
        </w:rPr>
        <w:t>“</w:t>
      </w:r>
      <w:r>
        <w:rPr>
          <w:lang w:val="en-US"/>
        </w:rPr>
        <w:t>and as when a smith dips a great axe or an adze in cold water amid loud hissing to temper it.</w:t>
      </w:r>
      <w:r w:rsidR="00CC0615">
        <w:rPr>
          <w:lang w:val="en-US"/>
        </w:rPr>
        <w:t>”</w:t>
      </w:r>
      <w:r>
        <w:rPr>
          <w:lang w:val="en-US"/>
        </w:rPr>
        <w:t xml:space="preserve"> Hipponax uses an epic image in describing the banquet of a glutton: as Degani explained, the insertion of an epic </w:t>
      </w:r>
      <w:r>
        <w:rPr>
          <w:i/>
          <w:iCs/>
          <w:lang w:val="en-US"/>
        </w:rPr>
        <w:t>formula</w:t>
      </w:r>
      <w:r>
        <w:rPr>
          <w:lang w:val="en-US"/>
        </w:rPr>
        <w:t xml:space="preserve"> in a totally different and lower context is a clear way to parody that epic expression. One may also consider the reverse: Hipponax is admitting that in his world an epic image as the one expressed by the epic </w:t>
      </w:r>
      <w:r>
        <w:rPr>
          <w:i/>
          <w:iCs/>
          <w:lang w:val="en-US"/>
        </w:rPr>
        <w:t>formula</w:t>
      </w:r>
      <w:r>
        <w:rPr>
          <w:lang w:val="en-US"/>
        </w:rPr>
        <w:t xml:space="preserve"> is applicable only to a glutton, or at least to a much lower context. Therefore, one may suggest that Hipponax, though the medium of the epic language, is marking the contrast between two worlds</w:t>
      </w:r>
      <w:r w:rsidR="00BD06E6">
        <w:rPr>
          <w:lang w:val="en-US"/>
        </w:rPr>
        <w:t>.</w:t>
      </w:r>
      <w:r>
        <w:rPr>
          <w:lang w:val="en-US"/>
        </w:rPr>
        <w:t xml:space="preserve"> In this way his judgement of his present can be seen as much more bitter. </w:t>
      </w:r>
    </w:p>
    <w:p w14:paraId="48B5AA38" w14:textId="5FBDF979" w:rsidR="00E212BA" w:rsidRDefault="00E212BA" w:rsidP="003756AF">
      <w:pPr>
        <w:widowControl w:val="0"/>
        <w:numPr>
          <w:ilvl w:val="0"/>
          <w:numId w:val="86"/>
        </w:numPr>
        <w:tabs>
          <w:tab w:val="left" w:pos="360"/>
          <w:tab w:val="left" w:pos="720"/>
          <w:tab w:val="center" w:pos="5387"/>
        </w:tabs>
        <w:spacing w:after="120"/>
        <w:ind w:left="714" w:hanging="357"/>
        <w:rPr>
          <w:lang w:val="en-US"/>
        </w:rPr>
      </w:pPr>
      <w:r>
        <w:rPr>
          <w:lang w:val="en-US"/>
        </w:rPr>
        <w:t>fr. 126 (</w:t>
      </w:r>
      <w:r>
        <w:rPr>
          <w:b/>
          <w:bCs/>
          <w:lang w:val="en-US"/>
        </w:rPr>
        <w:t>5</w:t>
      </w:r>
      <w:r>
        <w:rPr>
          <w:lang w:val="en-US"/>
        </w:rPr>
        <w:t xml:space="preserve"> B.4) is the famous invocation to the Muse. Again, since Degani 1984, parody of the epic language has always been remarked by all the scholars. There is obviously a significant degree of parody in using a high-sounding invocation to the Muse, which directly recalls the opening lines of both the </w:t>
      </w:r>
      <w:r>
        <w:rPr>
          <w:i/>
          <w:iCs/>
          <w:lang w:val="en-US"/>
        </w:rPr>
        <w:t xml:space="preserve">Iliad </w:t>
      </w:r>
      <w:r>
        <w:rPr>
          <w:lang w:val="en-US"/>
        </w:rPr>
        <w:t xml:space="preserve">and the </w:t>
      </w:r>
      <w:r>
        <w:rPr>
          <w:i/>
          <w:iCs/>
          <w:lang w:val="en-US"/>
        </w:rPr>
        <w:t>Odyssey</w:t>
      </w:r>
      <w:r>
        <w:rPr>
          <w:lang w:val="en-US"/>
        </w:rPr>
        <w:t xml:space="preserve">, to sing about a bottomless glutton. However, the epic expression οἶτον ὀλεῖται and the epic </w:t>
      </w:r>
      <w:r>
        <w:rPr>
          <w:i/>
          <w:iCs/>
          <w:lang w:val="en-US"/>
        </w:rPr>
        <w:t>formula</w:t>
      </w:r>
      <w:r>
        <w:rPr>
          <w:lang w:val="en-US"/>
        </w:rPr>
        <w:t xml:space="preserve"> παρὰ θῖν</w:t>
      </w:r>
      <w:r w:rsidR="00075F5F">
        <w:rPr>
          <w:lang w:val="en-US"/>
        </w:rPr>
        <w:t>’</w:t>
      </w:r>
      <w:r>
        <w:rPr>
          <w:lang w:val="en-US"/>
        </w:rPr>
        <w:t xml:space="preserve"> ἁλὸς ἀτρυγέτοιο are not only funny because they refer to a glutton, they are out of proportion to the described situation. They make the context more serious than it appears to be at first sight, and they convey the real judgement that Hipponax levies against his target.</w:t>
      </w:r>
    </w:p>
    <w:p w14:paraId="7C4FF04B" w14:textId="77777777" w:rsidR="00E212BA" w:rsidRDefault="00E212BA" w:rsidP="003756AF">
      <w:pPr>
        <w:rPr>
          <w:lang w:val="en-US"/>
        </w:rPr>
      </w:pPr>
      <w:r>
        <w:rPr>
          <w:lang w:val="en-US"/>
        </w:rPr>
        <w:t>Therefore, the use of epic language in Hipponax is structural not only from the linguistic point of view, but also from the thematic point of view, since Hipponax needs the authority of the traditional language to give authority to his new language and new poetry.</w:t>
      </w:r>
    </w:p>
    <w:p w14:paraId="23694BEB" w14:textId="5CEA6EB9" w:rsidR="005732E0" w:rsidRPr="001E6CE6" w:rsidRDefault="00275E09" w:rsidP="00275E09">
      <w:pPr>
        <w:pStyle w:val="Heading4"/>
        <w:rPr>
          <w:b w:val="0"/>
          <w:i/>
        </w:rPr>
      </w:pPr>
      <w:r w:rsidRPr="001E6CE6">
        <w:rPr>
          <w:b w:val="0"/>
          <w:i/>
        </w:rPr>
        <w:t>Callimachus</w:t>
      </w:r>
    </w:p>
    <w:p w14:paraId="7D88C417" w14:textId="45B710BC" w:rsidR="00E212BA" w:rsidRDefault="00E212BA" w:rsidP="00F05F90">
      <w:pPr>
        <w:rPr>
          <w:lang w:val="en-US"/>
        </w:rPr>
      </w:pPr>
      <w:r>
        <w:rPr>
          <w:lang w:val="en-US"/>
        </w:rPr>
        <w:t>Callimachus</w:t>
      </w:r>
      <w:r w:rsidR="00075F5F">
        <w:rPr>
          <w:lang w:val="en-US"/>
        </w:rPr>
        <w:t>’</w:t>
      </w:r>
      <w:r>
        <w:rPr>
          <w:lang w:val="en-US"/>
        </w:rPr>
        <w:t xml:space="preserve"> </w:t>
      </w:r>
      <w:r>
        <w:rPr>
          <w:i/>
          <w:iCs/>
          <w:lang w:val="en-US"/>
        </w:rPr>
        <w:t>Iambus</w:t>
      </w:r>
      <w:r>
        <w:rPr>
          <w:lang w:val="en-US"/>
        </w:rPr>
        <w:t xml:space="preserve"> 4 (</w:t>
      </w:r>
      <w:r>
        <w:rPr>
          <w:b/>
          <w:bCs/>
          <w:lang w:val="en-US"/>
        </w:rPr>
        <w:t>5</w:t>
      </w:r>
      <w:r>
        <w:rPr>
          <w:lang w:val="en-US"/>
        </w:rPr>
        <w:t xml:space="preserve"> C.1) shows a great variety of voices, thanks to its level of preservation, the number of characters involved, and the allegorical nature of the fragments. The main theme of the iamb is a contest between two trees, the laurel and the olive. </w:t>
      </w:r>
    </w:p>
    <w:p w14:paraId="252378E0" w14:textId="27384507" w:rsidR="00E212BA" w:rsidRDefault="00E212BA" w:rsidP="00684248">
      <w:pPr>
        <w:spacing w:after="120"/>
        <w:ind w:firstLine="425"/>
        <w:rPr>
          <w:lang w:val="en-US"/>
        </w:rPr>
      </w:pPr>
      <w:r>
        <w:rPr>
          <w:lang w:val="en-US"/>
        </w:rPr>
        <w:t>The first shift is Callimachus</w:t>
      </w:r>
      <w:r w:rsidR="00075F5F">
        <w:rPr>
          <w:lang w:val="en-US"/>
        </w:rPr>
        <w:t>’</w:t>
      </w:r>
      <w:r>
        <w:rPr>
          <w:lang w:val="en-US"/>
        </w:rPr>
        <w:t xml:space="preserve"> choice to use the genre of the fable. The fable is a humble genre well-known from a number of pre-Greek cultures in a context of </w:t>
      </w:r>
      <w:r>
        <w:rPr>
          <w:lang w:val="en-US"/>
        </w:rPr>
        <w:lastRenderedPageBreak/>
        <w:t>elevated rhetorical discourse.</w:t>
      </w:r>
      <w:r>
        <w:rPr>
          <w:rStyle w:val="FootnoteReference"/>
          <w:lang w:val="en-US"/>
        </w:rPr>
        <w:footnoteReference w:id="525"/>
      </w:r>
      <w:r>
        <w:rPr>
          <w:lang w:val="en-US"/>
        </w:rPr>
        <w:t xml:space="preserve"> The fable narrated by Callimachus in his </w:t>
      </w:r>
      <w:r>
        <w:rPr>
          <w:i/>
          <w:iCs/>
          <w:lang w:val="en-US"/>
        </w:rPr>
        <w:t>Iambus</w:t>
      </w:r>
      <w:r>
        <w:rPr>
          <w:lang w:val="en-US"/>
        </w:rPr>
        <w:t xml:space="preserve"> 4 imitates a Babylonian tale regarding a similar dispute between the tamarisk and the palm.</w:t>
      </w:r>
      <w:r>
        <w:rPr>
          <w:rStyle w:val="FootnoteReference"/>
          <w:lang w:val="en-US"/>
        </w:rPr>
        <w:footnoteReference w:id="526"/>
      </w:r>
      <w:r>
        <w:rPr>
          <w:lang w:val="en-US"/>
        </w:rPr>
        <w:t xml:space="preserve"> </w:t>
      </w:r>
      <w:r w:rsidR="00F607AD">
        <w:rPr>
          <w:lang w:val="en-US"/>
        </w:rPr>
        <w:t>T</w:t>
      </w:r>
      <w:r>
        <w:rPr>
          <w:lang w:val="en-US"/>
        </w:rPr>
        <w:t>he allegorical nature of the dispute lies in its representation of a debate between different aesthetics,</w:t>
      </w:r>
      <w:r w:rsidR="00F607AD">
        <w:rPr>
          <w:rStyle w:val="FootnoteReference"/>
          <w:lang w:val="en-US"/>
        </w:rPr>
        <w:footnoteReference w:id="527"/>
      </w:r>
      <w:r w:rsidR="00F607AD">
        <w:rPr>
          <w:lang w:val="en-US"/>
        </w:rPr>
        <w:t xml:space="preserve"> </w:t>
      </w:r>
      <w:r>
        <w:rPr>
          <w:lang w:val="en-US"/>
        </w:rPr>
        <w:t>corresponding to two different literary styles, where the victor is clearly the simple style (the olive), when attacked by the more elevated (the laurel).</w:t>
      </w:r>
      <w:r>
        <w:rPr>
          <w:rStyle w:val="FootnoteReference"/>
          <w:lang w:val="en-US"/>
        </w:rPr>
        <w:footnoteReference w:id="528"/>
      </w:r>
      <w:r>
        <w:rPr>
          <w:lang w:val="en-US"/>
        </w:rPr>
        <w:t xml:space="preserve"> Therefore, the iamb constantly shift</w:t>
      </w:r>
      <w:r w:rsidR="00BD06E6">
        <w:rPr>
          <w:lang w:val="en-US"/>
        </w:rPr>
        <w:t>s</w:t>
      </w:r>
      <w:r>
        <w:rPr>
          <w:lang w:val="en-US"/>
        </w:rPr>
        <w:t xml:space="preserve"> between different styles and tones:</w:t>
      </w:r>
    </w:p>
    <w:p w14:paraId="5CE0E9AA" w14:textId="29FCBBA5" w:rsidR="00E212BA" w:rsidRDefault="00E212BA" w:rsidP="003756AF">
      <w:pPr>
        <w:widowControl w:val="0"/>
        <w:numPr>
          <w:ilvl w:val="0"/>
          <w:numId w:val="87"/>
        </w:numPr>
        <w:tabs>
          <w:tab w:val="left" w:pos="709"/>
          <w:tab w:val="left" w:pos="786"/>
          <w:tab w:val="center" w:pos="5387"/>
        </w:tabs>
        <w:ind w:left="709" w:hanging="284"/>
        <w:rPr>
          <w:lang w:val="en-US"/>
        </w:rPr>
      </w:pPr>
      <w:r>
        <w:rPr>
          <w:lang w:val="en-US"/>
        </w:rPr>
        <w:t>The opening line has an iambic flavour, since the poet addresses a single individual in the manner of archaic iambic poetry: εἷς</w:t>
      </w:r>
      <w:r w:rsidR="00A53A10">
        <w:rPr>
          <w:lang w:val="en-US"/>
        </w:rPr>
        <w:t xml:space="preserve"> – </w:t>
      </w:r>
      <w:r>
        <w:rPr>
          <w:lang w:val="en-US"/>
        </w:rPr>
        <w:t>οὐ γάρ;</w:t>
      </w:r>
      <w:r w:rsidR="00A53A10">
        <w:rPr>
          <w:lang w:val="en-US"/>
        </w:rPr>
        <w:t xml:space="preserve"> – </w:t>
      </w:r>
      <w:r>
        <w:rPr>
          <w:lang w:val="en-US"/>
        </w:rPr>
        <w:t xml:space="preserve">ἡμέων, παῖ Χαριτάδεω, καὶ σύ </w:t>
      </w:r>
      <w:r w:rsidR="00CC0615">
        <w:rPr>
          <w:lang w:val="en-US"/>
        </w:rPr>
        <w:t>“</w:t>
      </w:r>
      <w:r>
        <w:rPr>
          <w:lang w:val="en-US"/>
        </w:rPr>
        <w:t>One</w:t>
      </w:r>
      <w:r w:rsidR="00A53A10">
        <w:rPr>
          <w:lang w:val="en-US"/>
        </w:rPr>
        <w:t xml:space="preserve"> – </w:t>
      </w:r>
      <w:r>
        <w:rPr>
          <w:lang w:val="en-US"/>
        </w:rPr>
        <w:t>surely not?</w:t>
      </w:r>
      <w:r w:rsidR="00A53A10">
        <w:rPr>
          <w:lang w:val="en-US"/>
        </w:rPr>
        <w:t xml:space="preserve"> – </w:t>
      </w:r>
      <w:r>
        <w:rPr>
          <w:lang w:val="en-US"/>
        </w:rPr>
        <w:t>of us, son of Charitades, even you</w:t>
      </w:r>
      <w:r w:rsidR="00CC0615">
        <w:rPr>
          <w:lang w:val="en-US"/>
        </w:rPr>
        <w:t>”</w:t>
      </w:r>
      <w:r>
        <w:rPr>
          <w:lang w:val="en-US"/>
        </w:rPr>
        <w:t xml:space="preserve"> (1) recalls Archil. fr. 166 πάτερ Λυκάμβα, ποῖον ἐφράσω τόδε; </w:t>
      </w:r>
      <w:r w:rsidR="00CC0615">
        <w:rPr>
          <w:lang w:val="en-US"/>
        </w:rPr>
        <w:t>“</w:t>
      </w:r>
      <w:r>
        <w:rPr>
          <w:lang w:val="en-US"/>
        </w:rPr>
        <w:t>father Lycambes, what did you mean by this?,</w:t>
      </w:r>
      <w:r w:rsidR="00CC0615">
        <w:rPr>
          <w:lang w:val="en-US"/>
        </w:rPr>
        <w:t>”</w:t>
      </w:r>
      <w:r>
        <w:rPr>
          <w:lang w:val="en-US"/>
        </w:rPr>
        <w:t xml:space="preserve"> or Hippon. fr. 42 Ἑρμῆ, φίλ</w:t>
      </w:r>
      <w:r w:rsidR="00075F5F">
        <w:rPr>
          <w:lang w:val="en-US"/>
        </w:rPr>
        <w:t>’</w:t>
      </w:r>
      <w:r>
        <w:rPr>
          <w:lang w:val="en-US"/>
        </w:rPr>
        <w:t xml:space="preserve"> Ἑρμῆ, Μαιαδεῦ, Κυλλήνιε, / ἐπεύχομαί τοι </w:t>
      </w:r>
      <w:r w:rsidR="00CC0615">
        <w:rPr>
          <w:lang w:val="en-US"/>
        </w:rPr>
        <w:t>“</w:t>
      </w:r>
      <w:r>
        <w:rPr>
          <w:lang w:val="en-US"/>
        </w:rPr>
        <w:t>Hermes, dear Hermes, son of Maia, Cyllenian, I pray to you.</w:t>
      </w:r>
      <w:r w:rsidR="00CC0615">
        <w:rPr>
          <w:lang w:val="en-US"/>
        </w:rPr>
        <w:t>”</w:t>
      </w:r>
      <w:r>
        <w:rPr>
          <w:lang w:val="en-US"/>
        </w:rPr>
        <w:t xml:space="preserve"> The tone is sarcastic, since the particle combination οὐ γάρ contributes to the ironic rhetorical effect, and the pronoun drags for emphasis all the way to the end of the verse. </w:t>
      </w:r>
    </w:p>
    <w:p w14:paraId="3B7109C2" w14:textId="358DA559" w:rsidR="00E212BA" w:rsidRDefault="00E212BA" w:rsidP="003756AF">
      <w:pPr>
        <w:widowControl w:val="0"/>
        <w:numPr>
          <w:ilvl w:val="0"/>
          <w:numId w:val="87"/>
        </w:numPr>
        <w:tabs>
          <w:tab w:val="left" w:pos="709"/>
          <w:tab w:val="left" w:pos="786"/>
          <w:tab w:val="center" w:pos="5387"/>
        </w:tabs>
        <w:ind w:left="709" w:hanging="284"/>
        <w:rPr>
          <w:lang w:val="en-US"/>
        </w:rPr>
      </w:pPr>
      <w:r>
        <w:rPr>
          <w:lang w:val="en-US"/>
        </w:rPr>
        <w:t xml:space="preserve">The introduction of the fable is didactic: ἄκουε δὴ τὸν αἶνον· </w:t>
      </w:r>
      <w:r w:rsidR="00CC0615">
        <w:rPr>
          <w:lang w:val="en-US"/>
        </w:rPr>
        <w:t>“</w:t>
      </w:r>
      <w:r>
        <w:rPr>
          <w:lang w:val="en-US"/>
        </w:rPr>
        <w:t>indeed hear the fable</w:t>
      </w:r>
      <w:r w:rsidR="00CC0615">
        <w:rPr>
          <w:lang w:val="en-US"/>
        </w:rPr>
        <w:t>”</w:t>
      </w:r>
      <w:r>
        <w:rPr>
          <w:lang w:val="en-US"/>
        </w:rPr>
        <w:t xml:space="preserve"> (6) and reminiscent of the opening of </w:t>
      </w:r>
      <w:r>
        <w:rPr>
          <w:i/>
          <w:iCs/>
          <w:lang w:val="en-US"/>
        </w:rPr>
        <w:t>Iambus</w:t>
      </w:r>
      <w:r>
        <w:rPr>
          <w:lang w:val="en-US"/>
        </w:rPr>
        <w:t xml:space="preserve"> 1 Ἀκούσαθ</w:t>
      </w:r>
      <w:r w:rsidR="00075F5F">
        <w:rPr>
          <w:lang w:val="en-US"/>
        </w:rPr>
        <w:t>’</w:t>
      </w:r>
      <w:r>
        <w:rPr>
          <w:lang w:val="en-US"/>
        </w:rPr>
        <w:t xml:space="preserve"> Ἱππώνακτος· </w:t>
      </w:r>
      <w:r w:rsidR="00CC0615">
        <w:rPr>
          <w:lang w:val="en-US"/>
        </w:rPr>
        <w:t>“</w:t>
      </w:r>
      <w:r>
        <w:rPr>
          <w:lang w:val="en-US"/>
        </w:rPr>
        <w:t>listen to Hipponax.</w:t>
      </w:r>
      <w:r w:rsidR="00CC0615">
        <w:rPr>
          <w:lang w:val="en-US"/>
        </w:rPr>
        <w:t>”</w:t>
      </w:r>
    </w:p>
    <w:p w14:paraId="7A9019A3" w14:textId="77777777" w:rsidR="00E212BA" w:rsidRDefault="00E212BA" w:rsidP="003756AF">
      <w:pPr>
        <w:widowControl w:val="0"/>
        <w:numPr>
          <w:ilvl w:val="0"/>
          <w:numId w:val="87"/>
        </w:numPr>
        <w:tabs>
          <w:tab w:val="left" w:pos="709"/>
          <w:tab w:val="left" w:pos="786"/>
          <w:tab w:val="center" w:pos="5387"/>
        </w:tabs>
        <w:ind w:left="709" w:hanging="284"/>
        <w:rPr>
          <w:lang w:val="en-US"/>
        </w:rPr>
      </w:pPr>
      <w:r>
        <w:rPr>
          <w:lang w:val="en-US"/>
        </w:rPr>
        <w:t xml:space="preserve">The speech of the bramble has a moralistic tone which is proper for the fable genre. The words of the bramble here echo those of the bramble in the Aesopic fable of the mulberry, the apple tree, and the bramble, which is a clear model for </w:t>
      </w:r>
      <w:r>
        <w:rPr>
          <w:i/>
          <w:iCs/>
          <w:lang w:val="en-US"/>
        </w:rPr>
        <w:t>Iambus</w:t>
      </w:r>
      <w:r>
        <w:rPr>
          <w:lang w:val="en-US"/>
        </w:rPr>
        <w:t xml:space="preserve"> 4 (233 Haus. = 213 Perry):</w:t>
      </w:r>
      <w:r>
        <w:rPr>
          <w:rStyle w:val="FootnoteReference"/>
          <w:lang w:val="en-US"/>
        </w:rPr>
        <w:footnoteReference w:id="529"/>
      </w:r>
    </w:p>
    <w:p w14:paraId="28A69B68" w14:textId="77777777" w:rsidR="00275E09" w:rsidRPr="002D6A37" w:rsidRDefault="00275E09" w:rsidP="002D6A37">
      <w:pPr>
        <w:pStyle w:val="Blockquote"/>
      </w:pPr>
    </w:p>
    <w:tbl>
      <w:tblPr>
        <w:tblStyle w:val="TableGrid"/>
        <w:tblW w:w="7758" w:type="dxa"/>
        <w:tblInd w:w="720"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878"/>
        <w:gridCol w:w="3880"/>
      </w:tblGrid>
      <w:tr w:rsidR="005732E0" w:rsidRPr="00365089" w14:paraId="2D3CF04D" w14:textId="77777777" w:rsidTr="00825A39">
        <w:trPr>
          <w:trHeight w:val="2456"/>
        </w:trPr>
        <w:tc>
          <w:tcPr>
            <w:tcW w:w="3878" w:type="dxa"/>
          </w:tcPr>
          <w:p w14:paraId="38018B53" w14:textId="5687100A" w:rsidR="005732E0" w:rsidRPr="00365089" w:rsidRDefault="005732E0" w:rsidP="002D6A37">
            <w:pPr>
              <w:pStyle w:val="Blockquote"/>
              <w:rPr>
                <w:sz w:val="22"/>
                <w:szCs w:val="22"/>
              </w:rPr>
            </w:pPr>
            <w:r w:rsidRPr="00365089">
              <w:rPr>
                <w:sz w:val="22"/>
                <w:szCs w:val="22"/>
              </w:rPr>
              <w:t xml:space="preserve">ῥοιὰ καὶ μηλέα περὶ εὐκαρπίας ἤριζον. πολλοῦ δὲ τοῦ νείκους ἀναφθέντος βάτος ἐκ τοῦ πλησίον φραγμοῦ ἀκούσασα εἶπεν· </w:t>
            </w:r>
            <w:r w:rsidR="00CC0615">
              <w:rPr>
                <w:sz w:val="22"/>
                <w:szCs w:val="22"/>
              </w:rPr>
              <w:t>“</w:t>
            </w:r>
            <w:r w:rsidRPr="00365089">
              <w:rPr>
                <w:sz w:val="22"/>
                <w:szCs w:val="22"/>
              </w:rPr>
              <w:t>ἀλλ</w:t>
            </w:r>
            <w:r w:rsidR="00075F5F">
              <w:rPr>
                <w:sz w:val="22"/>
                <w:szCs w:val="22"/>
              </w:rPr>
              <w:t>’</w:t>
            </w:r>
            <w:r w:rsidRPr="00365089">
              <w:rPr>
                <w:sz w:val="22"/>
                <w:szCs w:val="22"/>
              </w:rPr>
              <w:t>, ὦ φίλαι, παυσώμεθά ποτε μαχόμεναι.</w:t>
            </w:r>
            <w:r w:rsidR="00CC0615">
              <w:rPr>
                <w:sz w:val="22"/>
                <w:szCs w:val="22"/>
              </w:rPr>
              <w:t>”</w:t>
            </w:r>
            <w:r w:rsidRPr="00365089">
              <w:rPr>
                <w:sz w:val="22"/>
                <w:szCs w:val="22"/>
              </w:rPr>
              <w:t xml:space="preserve"> οὕτω παρὰ τὰς τῶν ἀμεινόνων στάσεις καὶ οἱ μηδενὸς ἄξιοι πειρῶνται δοκεῖν τινες εἶναι.</w:t>
            </w:r>
          </w:p>
        </w:tc>
        <w:tc>
          <w:tcPr>
            <w:tcW w:w="3880" w:type="dxa"/>
          </w:tcPr>
          <w:p w14:paraId="049D9A81" w14:textId="4E1F0FC1" w:rsidR="005732E0" w:rsidRPr="00365089" w:rsidRDefault="005732E0" w:rsidP="002D6A37">
            <w:pPr>
              <w:pStyle w:val="Blockquote"/>
              <w:rPr>
                <w:sz w:val="22"/>
                <w:szCs w:val="22"/>
              </w:rPr>
            </w:pPr>
            <w:r w:rsidRPr="00365089">
              <w:rPr>
                <w:sz w:val="22"/>
                <w:szCs w:val="22"/>
              </w:rPr>
              <w:t xml:space="preserve">A mulberry tree and an apple tree were quarreling over their fruitfulness. When the argument had flared up and become great, a bramble from the near enclosure having heard them spoke: </w:t>
            </w:r>
            <w:r w:rsidR="00CC0615">
              <w:rPr>
                <w:sz w:val="22"/>
                <w:szCs w:val="22"/>
              </w:rPr>
              <w:t>“</w:t>
            </w:r>
            <w:r w:rsidRPr="00365089">
              <w:rPr>
                <w:sz w:val="22"/>
                <w:szCs w:val="22"/>
              </w:rPr>
              <w:t>But, friends, let us at some point cease fighting.</w:t>
            </w:r>
            <w:r w:rsidR="00CC0615">
              <w:rPr>
                <w:sz w:val="22"/>
                <w:szCs w:val="22"/>
              </w:rPr>
              <w:t>”</w:t>
            </w:r>
            <w:r w:rsidRPr="00365089">
              <w:rPr>
                <w:sz w:val="22"/>
                <w:szCs w:val="22"/>
              </w:rPr>
              <w:t xml:space="preserve"> So on the occasion of strife among their betters even those worth nothing attempt to seem to be somebodies.</w:t>
            </w:r>
          </w:p>
        </w:tc>
      </w:tr>
    </w:tbl>
    <w:p w14:paraId="15DB7E9C" w14:textId="77777777" w:rsidR="005732E0" w:rsidRPr="002D6A37" w:rsidRDefault="005732E0" w:rsidP="002D6A37">
      <w:pPr>
        <w:pStyle w:val="Blockquote"/>
      </w:pPr>
    </w:p>
    <w:p w14:paraId="23F30673" w14:textId="013B4C5F" w:rsidR="00E212BA" w:rsidRDefault="00E212BA" w:rsidP="00F05F90">
      <w:pPr>
        <w:tabs>
          <w:tab w:val="center" w:pos="5387"/>
        </w:tabs>
        <w:ind w:left="709"/>
        <w:rPr>
          <w:lang w:val="en-US"/>
        </w:rPr>
      </w:pPr>
      <w:r>
        <w:rPr>
          <w:lang w:val="en-US"/>
        </w:rPr>
        <w:t>There are two verbal similarities. The first is the hortatory subjunctive παυσώμεθα, which conveys in both cases the bramble</w:t>
      </w:r>
      <w:r w:rsidR="00075F5F">
        <w:rPr>
          <w:lang w:val="en-US"/>
        </w:rPr>
        <w:t>’</w:t>
      </w:r>
      <w:r>
        <w:rPr>
          <w:lang w:val="en-US"/>
        </w:rPr>
        <w:t xml:space="preserve">s self-insertion into the arena. The second echo is that of the enclosure ἐκ τοῦ πλησίον φραγμοῦ in the Aesopic fable. Pfeiffer suggested for the lacuna at line 96 βάτος τὸ τρηχὺ τειχέων </w:t>
      </w:r>
      <w:r w:rsidRPr="008C003F">
        <w:t>π</w:t>
      </w:r>
      <w:hyperlink r:id="rId89" w:history="1">
        <w:r w:rsidRPr="008C003F">
          <w:t>..</w:t>
        </w:r>
      </w:hyperlink>
      <w:r w:rsidRPr="008C003F">
        <w:t>δ</w:t>
      </w:r>
      <w:hyperlink r:id="rId90" w:history="1">
        <w:r w:rsidRPr="008C003F">
          <w:t>.</w:t>
        </w:r>
      </w:hyperlink>
      <w:hyperlink r:id="rId91" w:history="1">
        <w:r w:rsidRPr="008C003F">
          <w:t>[</w:t>
        </w:r>
      </w:hyperlink>
      <w:hyperlink r:id="rId92" w:history="1">
        <w:r w:rsidRPr="008C003F">
          <w:t>.</w:t>
        </w:r>
      </w:hyperlink>
      <w:hyperlink r:id="rId93" w:history="1">
        <w:r w:rsidRPr="008C003F">
          <w:t>]</w:t>
        </w:r>
      </w:hyperlink>
      <w:r w:rsidRPr="008C003F">
        <w:t>υα</w:t>
      </w:r>
      <w:r>
        <w:rPr>
          <w:lang w:val="en-US"/>
        </w:rPr>
        <w:t xml:space="preserve"> the word περίφραγμα; even the mention of the place of enclosure of the bramble in this tale set on Mt. Tmolus seems unnecessary except as an echo of the enclosure in an earlier Aesopic version.</w:t>
      </w:r>
      <w:r>
        <w:rPr>
          <w:rStyle w:val="FootnoteReference"/>
          <w:lang w:val="en-US"/>
        </w:rPr>
        <w:footnoteReference w:id="530"/>
      </w:r>
      <w:r>
        <w:rPr>
          <w:lang w:val="en-US"/>
        </w:rPr>
        <w:t xml:space="preserve"> </w:t>
      </w:r>
    </w:p>
    <w:p w14:paraId="3D4B39F3" w14:textId="2610B4F7" w:rsidR="00E212BA" w:rsidRDefault="00E212BA" w:rsidP="003756AF">
      <w:pPr>
        <w:widowControl w:val="0"/>
        <w:numPr>
          <w:ilvl w:val="0"/>
          <w:numId w:val="88"/>
        </w:numPr>
        <w:tabs>
          <w:tab w:val="left" w:pos="709"/>
          <w:tab w:val="left" w:pos="786"/>
          <w:tab w:val="center" w:pos="5387"/>
        </w:tabs>
        <w:spacing w:after="120"/>
        <w:ind w:left="709" w:hanging="284"/>
        <w:rPr>
          <w:lang w:val="en-US"/>
        </w:rPr>
      </w:pPr>
      <w:r>
        <w:rPr>
          <w:lang w:val="en-US"/>
        </w:rPr>
        <w:t>At line 22 the continuous text takes up in the laurel</w:t>
      </w:r>
      <w:r w:rsidR="00075F5F">
        <w:rPr>
          <w:lang w:val="en-US"/>
        </w:rPr>
        <w:t>’</w:t>
      </w:r>
      <w:r>
        <w:rPr>
          <w:lang w:val="en-US"/>
        </w:rPr>
        <w:t>s long oration. It is possible to discern in lines 18-21 several features of the laurel</w:t>
      </w:r>
      <w:r w:rsidR="00075F5F">
        <w:rPr>
          <w:lang w:val="en-US"/>
        </w:rPr>
        <w:t>’</w:t>
      </w:r>
      <w:r>
        <w:rPr>
          <w:lang w:val="en-US"/>
        </w:rPr>
        <w:t>s rhetoric that remain consistent throughout the fable, and that contrast with the characteristics of the olive</w:t>
      </w:r>
      <w:r w:rsidR="00075F5F">
        <w:rPr>
          <w:lang w:val="en-US"/>
        </w:rPr>
        <w:t>’</w:t>
      </w:r>
      <w:r>
        <w:rPr>
          <w:lang w:val="en-US"/>
        </w:rPr>
        <w:t>s rhetoric. The poet consistently associates the laurel with an arrogant, even angry manner of behaviour and speech. The laurel has at least three voices, an iambic one when he derides its opponent, an epic one when he describes his allies with heightened poetic expression, and a hymnic one:</w:t>
      </w:r>
    </w:p>
    <w:p w14:paraId="09FB06C2" w14:textId="79A1C473" w:rsidR="00E212BA" w:rsidRPr="003756AF" w:rsidRDefault="00E212BA" w:rsidP="003756AF">
      <w:pPr>
        <w:widowControl w:val="0"/>
        <w:numPr>
          <w:ilvl w:val="0"/>
          <w:numId w:val="89"/>
        </w:numPr>
        <w:tabs>
          <w:tab w:val="clear" w:pos="424"/>
          <w:tab w:val="left" w:pos="425"/>
          <w:tab w:val="left" w:pos="993"/>
          <w:tab w:val="center" w:pos="5387"/>
        </w:tabs>
        <w:ind w:left="993" w:hanging="284"/>
        <w:rPr>
          <w:rFonts w:cs="Times New Roman"/>
          <w:lang w:val="en-US"/>
        </w:rPr>
      </w:pPr>
      <w:r w:rsidRPr="00F05F90">
        <w:rPr>
          <w:rFonts w:cs="Times New Roman"/>
          <w:lang w:val="en-US"/>
        </w:rPr>
        <w:t xml:space="preserve">The iambic voice emerges when the laurel calls the olive ὤφρων </w:t>
      </w:r>
      <w:r w:rsidRPr="003756AF">
        <w:rPr>
          <w:rFonts w:cs="Times New Roman"/>
          <w:lang w:val="en-US"/>
        </w:rPr>
        <w:t>ἐλαίη (18, repeated at 28, and 37-40), or when he looks at the bramble τὴν δ</w:t>
      </w:r>
      <w:r w:rsidR="00075F5F">
        <w:rPr>
          <w:rFonts w:cs="Times New Roman"/>
          <w:lang w:val="en-US"/>
        </w:rPr>
        <w:t>’</w:t>
      </w:r>
      <w:r w:rsidRPr="003756AF">
        <w:rPr>
          <w:rFonts w:cs="Times New Roman"/>
          <w:lang w:val="en-US"/>
        </w:rPr>
        <w:t xml:space="preserve"> ἆρ</w:t>
      </w:r>
      <w:r w:rsidR="00075F5F">
        <w:rPr>
          <w:rFonts w:cs="Times New Roman"/>
          <w:lang w:val="en-US"/>
        </w:rPr>
        <w:t>’</w:t>
      </w:r>
      <w:r w:rsidRPr="003756AF">
        <w:rPr>
          <w:rFonts w:cs="Times New Roman"/>
          <w:lang w:val="en-US"/>
        </w:rPr>
        <w:t xml:space="preserve"> ὑποδρὰξ οἷα ταῦρος ἡ δάφνη (101), where the image recalls Aristophanes</w:t>
      </w:r>
      <w:r w:rsidR="00075F5F">
        <w:rPr>
          <w:rFonts w:cs="Times New Roman"/>
          <w:lang w:val="en-US"/>
        </w:rPr>
        <w:t>’</w:t>
      </w:r>
      <w:r w:rsidRPr="003756AF">
        <w:rPr>
          <w:rFonts w:cs="Times New Roman"/>
          <w:lang w:val="en-US"/>
        </w:rPr>
        <w:t xml:space="preserve"> </w:t>
      </w:r>
      <w:r w:rsidRPr="003756AF">
        <w:rPr>
          <w:rFonts w:cs="Times New Roman"/>
          <w:i/>
          <w:iCs/>
          <w:lang w:val="en-US"/>
        </w:rPr>
        <w:t>Ranae</w:t>
      </w:r>
      <w:r w:rsidRPr="003756AF">
        <w:rPr>
          <w:rFonts w:cs="Times New Roman"/>
          <w:lang w:val="en-US"/>
        </w:rPr>
        <w:t xml:space="preserve"> 804 ἔβλεψε γοῦν ταυρηδὸν ἐγκύψας κάτω. </w:t>
      </w:r>
    </w:p>
    <w:p w14:paraId="7E3EEE08" w14:textId="305CD66A" w:rsidR="00E212BA" w:rsidRPr="003756AF" w:rsidRDefault="00E212BA" w:rsidP="003756AF">
      <w:pPr>
        <w:widowControl w:val="0"/>
        <w:numPr>
          <w:ilvl w:val="0"/>
          <w:numId w:val="89"/>
        </w:numPr>
        <w:tabs>
          <w:tab w:val="clear" w:pos="424"/>
          <w:tab w:val="left" w:pos="425"/>
          <w:tab w:val="left" w:pos="993"/>
          <w:tab w:val="center" w:pos="5387"/>
        </w:tabs>
        <w:ind w:left="993" w:hanging="284"/>
        <w:rPr>
          <w:rFonts w:cs="Times New Roman"/>
          <w:lang w:val="en-US"/>
        </w:rPr>
      </w:pPr>
      <w:r w:rsidRPr="003756AF">
        <w:rPr>
          <w:rFonts w:cs="Times New Roman"/>
          <w:lang w:val="en-US"/>
        </w:rPr>
        <w:t xml:space="preserve">The epic voice is visible when the laurel refers to Apollo as ὁ </w:t>
      </w:r>
      <w:r w:rsidRPr="00F05F90">
        <w:rPr>
          <w:rFonts w:cs="Times New Roman"/>
          <w:lang w:val="en-US"/>
        </w:rPr>
        <w:t>Δῆλον οἰ</w:t>
      </w:r>
      <w:r w:rsidRPr="003756AF">
        <w:rPr>
          <w:rFonts w:cs="Times New Roman"/>
          <w:lang w:val="en-US"/>
        </w:rPr>
        <w:t xml:space="preserve">κέων </w:t>
      </w:r>
      <w:r w:rsidR="00CC0615">
        <w:rPr>
          <w:rFonts w:cs="Times New Roman"/>
          <w:lang w:val="en-US"/>
        </w:rPr>
        <w:t>“</w:t>
      </w:r>
      <w:r w:rsidRPr="003756AF">
        <w:rPr>
          <w:rFonts w:cs="Times New Roman"/>
          <w:lang w:val="en-US"/>
        </w:rPr>
        <w:t>the one who dwells in Delos</w:t>
      </w:r>
      <w:r w:rsidR="00CC0615">
        <w:rPr>
          <w:rFonts w:cs="Times New Roman"/>
          <w:lang w:val="en-US"/>
        </w:rPr>
        <w:t>”</w:t>
      </w:r>
      <w:r w:rsidRPr="003756AF">
        <w:rPr>
          <w:rFonts w:cs="Times New Roman"/>
          <w:lang w:val="en-US"/>
        </w:rPr>
        <w:t xml:space="preserve"> (20). </w:t>
      </w:r>
    </w:p>
    <w:p w14:paraId="4F3E9387" w14:textId="27DD0759" w:rsidR="00E212BA" w:rsidRPr="003756AF" w:rsidRDefault="00E212BA" w:rsidP="003756AF">
      <w:pPr>
        <w:widowControl w:val="0"/>
        <w:numPr>
          <w:ilvl w:val="0"/>
          <w:numId w:val="89"/>
        </w:numPr>
        <w:tabs>
          <w:tab w:val="clear" w:pos="424"/>
          <w:tab w:val="left" w:pos="425"/>
          <w:tab w:val="left" w:pos="993"/>
          <w:tab w:val="center" w:pos="5387"/>
        </w:tabs>
        <w:spacing w:after="120"/>
        <w:ind w:left="993" w:hanging="284"/>
        <w:rPr>
          <w:rFonts w:cs="Times New Roman"/>
          <w:lang w:val="en-US"/>
        </w:rPr>
      </w:pPr>
      <w:r w:rsidRPr="003756AF">
        <w:rPr>
          <w:rFonts w:cs="Times New Roman"/>
          <w:lang w:val="en-US"/>
        </w:rPr>
        <w:t>Finally, the self-description in the laurel</w:t>
      </w:r>
      <w:r w:rsidR="00075F5F">
        <w:rPr>
          <w:rFonts w:cs="Times New Roman"/>
          <w:lang w:val="en-US"/>
        </w:rPr>
        <w:t>’</w:t>
      </w:r>
      <w:r w:rsidRPr="003756AF">
        <w:rPr>
          <w:rFonts w:cs="Times New Roman"/>
          <w:lang w:val="en-US"/>
        </w:rPr>
        <w:t xml:space="preserve">s speech has marked hymnic </w:t>
      </w:r>
      <w:r w:rsidRPr="003756AF">
        <w:rPr>
          <w:rFonts w:cs="Times New Roman"/>
          <w:lang w:val="en-US"/>
        </w:rPr>
        <w:lastRenderedPageBreak/>
        <w:t>overtones, particularly in the anaphora: δάφνῃ … δάφνην … δάφνην (26-27); in the repetitions of terms of praise: ἱρὴ γάρ εἰμι (37), ἁγνὴ γάρ εἰμι (39); and most strikingly perhaps in the phrase δάφνην δ</w:t>
      </w:r>
      <w:r w:rsidR="00075F5F">
        <w:rPr>
          <w:rFonts w:cs="Times New Roman"/>
          <w:lang w:val="en-US"/>
        </w:rPr>
        <w:t>’</w:t>
      </w:r>
      <w:r w:rsidRPr="003756AF">
        <w:rPr>
          <w:rFonts w:cs="Times New Roman"/>
          <w:lang w:val="en-US"/>
        </w:rPr>
        <w:t xml:space="preserve"> ἀείδει (27).</w:t>
      </w:r>
    </w:p>
    <w:p w14:paraId="3628A773" w14:textId="34BCD836" w:rsidR="00BD06E6" w:rsidRDefault="00E212BA" w:rsidP="003756AF">
      <w:pPr>
        <w:widowControl w:val="0"/>
        <w:numPr>
          <w:ilvl w:val="0"/>
          <w:numId w:val="88"/>
        </w:numPr>
        <w:tabs>
          <w:tab w:val="left" w:pos="709"/>
          <w:tab w:val="left" w:pos="786"/>
          <w:tab w:val="center" w:pos="5387"/>
        </w:tabs>
        <w:ind w:left="709" w:hanging="284"/>
        <w:rPr>
          <w:lang w:val="en-US"/>
        </w:rPr>
      </w:pPr>
      <w:r>
        <w:rPr>
          <w:lang w:val="en-US"/>
        </w:rPr>
        <w:t>Lines 44-45 mark the opening of the olive</w:t>
      </w:r>
      <w:r w:rsidR="00075F5F">
        <w:rPr>
          <w:lang w:val="en-US"/>
        </w:rPr>
        <w:t>’</w:t>
      </w:r>
      <w:r>
        <w:rPr>
          <w:lang w:val="en-US"/>
        </w:rPr>
        <w:t>s speech. It has its own share of elevation and divine associations, even if the general tone is humble and low:</w:t>
      </w:r>
    </w:p>
    <w:p w14:paraId="469A9F6C" w14:textId="4BBF7213" w:rsidR="00BD06E6" w:rsidRPr="00BD06E6" w:rsidRDefault="00E212BA" w:rsidP="003002D4">
      <w:pPr>
        <w:pStyle w:val="ListParagraph"/>
        <w:widowControl w:val="0"/>
        <w:numPr>
          <w:ilvl w:val="0"/>
          <w:numId w:val="205"/>
        </w:numPr>
        <w:tabs>
          <w:tab w:val="left" w:pos="709"/>
        </w:tabs>
        <w:ind w:left="993" w:hanging="284"/>
        <w:rPr>
          <w:lang w:val="en-US"/>
        </w:rPr>
      </w:pPr>
      <w:r w:rsidRPr="00BD06E6">
        <w:rPr>
          <w:lang w:val="en-US"/>
        </w:rPr>
        <w:t xml:space="preserve">The introduction of the olive tree recollects a hymnic image: ἡ τεκοῦσα τὸ χρῖμα </w:t>
      </w:r>
      <w:r w:rsidR="00CC0615" w:rsidRPr="00BD06E6">
        <w:rPr>
          <w:lang w:val="en-US"/>
        </w:rPr>
        <w:t>“</w:t>
      </w:r>
      <w:r w:rsidRPr="00BD06E6">
        <w:rPr>
          <w:lang w:val="en-US"/>
        </w:rPr>
        <w:t>she who gave birth to oil</w:t>
      </w:r>
      <w:r w:rsidR="00CC0615" w:rsidRPr="00BD06E6">
        <w:rPr>
          <w:lang w:val="en-US"/>
        </w:rPr>
        <w:t>”</w:t>
      </w:r>
      <w:r w:rsidRPr="00BD06E6">
        <w:rPr>
          <w:lang w:val="en-US"/>
        </w:rPr>
        <w:t xml:space="preserve"> (45) has a parallel in Athena</w:t>
      </w:r>
      <w:r w:rsidR="00075F5F" w:rsidRPr="00BD06E6">
        <w:rPr>
          <w:lang w:val="en-US"/>
        </w:rPr>
        <w:t>’</w:t>
      </w:r>
      <w:r w:rsidRPr="00BD06E6">
        <w:rPr>
          <w:lang w:val="en-US"/>
        </w:rPr>
        <w:t xml:space="preserve">s simple adornment in </w:t>
      </w:r>
      <w:r w:rsidRPr="003002D4">
        <w:rPr>
          <w:i/>
          <w:iCs/>
          <w:lang w:val="en-US"/>
        </w:rPr>
        <w:t>Hymn</w:t>
      </w:r>
      <w:r w:rsidRPr="003002D4">
        <w:rPr>
          <w:lang w:val="en-US"/>
        </w:rPr>
        <w:t xml:space="preserve"> 5.26 χρίματα, τᾶς ἰδίας ἔκγονα φυταλιᾶς </w:t>
      </w:r>
      <w:r w:rsidR="00CC0615" w:rsidRPr="003002D4">
        <w:rPr>
          <w:lang w:val="en-US"/>
        </w:rPr>
        <w:t>“</w:t>
      </w:r>
      <w:r w:rsidRPr="003002D4">
        <w:rPr>
          <w:lang w:val="en-US"/>
        </w:rPr>
        <w:t>unguents, the produce of her own growing.</w:t>
      </w:r>
      <w:r w:rsidR="00CC0615" w:rsidRPr="003002D4">
        <w:rPr>
          <w:lang w:val="en-US"/>
        </w:rPr>
        <w:t>”</w:t>
      </w:r>
      <w:r w:rsidRPr="003002D4">
        <w:rPr>
          <w:lang w:val="en-US"/>
        </w:rPr>
        <w:t xml:space="preserve"> The olive, like Athena, is redolent of the divine. </w:t>
      </w:r>
    </w:p>
    <w:p w14:paraId="0D5ED7A5" w14:textId="0A88104F" w:rsidR="00BD06E6" w:rsidRPr="00BD06E6" w:rsidRDefault="00E212BA" w:rsidP="003002D4">
      <w:pPr>
        <w:pStyle w:val="ListParagraph"/>
        <w:widowControl w:val="0"/>
        <w:numPr>
          <w:ilvl w:val="0"/>
          <w:numId w:val="205"/>
        </w:numPr>
        <w:tabs>
          <w:tab w:val="left" w:pos="709"/>
        </w:tabs>
        <w:ind w:left="993" w:hanging="284"/>
        <w:rPr>
          <w:lang w:val="en-US"/>
        </w:rPr>
      </w:pPr>
      <w:r w:rsidRPr="003002D4">
        <w:rPr>
          <w:lang w:val="en-US"/>
        </w:rPr>
        <w:t>However, olive</w:t>
      </w:r>
      <w:r w:rsidR="00075F5F" w:rsidRPr="003002D4">
        <w:rPr>
          <w:lang w:val="en-US"/>
        </w:rPr>
        <w:t>’</w:t>
      </w:r>
      <w:r w:rsidRPr="003002D4">
        <w:rPr>
          <w:lang w:val="en-US"/>
        </w:rPr>
        <w:t xml:space="preserve">s vocabulary is mostly drawn from decidedly unelevated sources, as shown by the humorous denomination of Poseidon as ὁ φυκίοικος </w:t>
      </w:r>
      <w:r w:rsidR="00CC0615" w:rsidRPr="003002D4">
        <w:rPr>
          <w:lang w:val="en-US"/>
        </w:rPr>
        <w:t>“</w:t>
      </w:r>
      <w:r w:rsidRPr="003002D4">
        <w:rPr>
          <w:lang w:val="en-US"/>
        </w:rPr>
        <w:t>the seaweed dweller</w:t>
      </w:r>
      <w:r w:rsidR="00CC0615" w:rsidRPr="003002D4">
        <w:rPr>
          <w:lang w:val="en-US"/>
        </w:rPr>
        <w:t>”</w:t>
      </w:r>
      <w:r w:rsidRPr="003002D4">
        <w:rPr>
          <w:lang w:val="en-US"/>
        </w:rPr>
        <w:t xml:space="preserve"> (67), and by the humble ki</w:t>
      </w:r>
      <w:r w:rsidR="00A53A10" w:rsidRPr="003002D4">
        <w:rPr>
          <w:lang w:val="en-US"/>
        </w:rPr>
        <w:t>nd of food the olive provides</w:t>
      </w:r>
      <w:r w:rsidR="00BD06E6">
        <w:rPr>
          <w:lang w:val="en-US"/>
        </w:rPr>
        <w:t>.</w:t>
      </w:r>
    </w:p>
    <w:p w14:paraId="410498A4" w14:textId="316B8BDF" w:rsidR="00E212BA" w:rsidRPr="00BD06E6" w:rsidRDefault="00E212BA" w:rsidP="003002D4">
      <w:pPr>
        <w:pStyle w:val="ListParagraph"/>
        <w:widowControl w:val="0"/>
        <w:numPr>
          <w:ilvl w:val="0"/>
          <w:numId w:val="205"/>
        </w:numPr>
        <w:tabs>
          <w:tab w:val="left" w:pos="709"/>
        </w:tabs>
        <w:spacing w:after="120"/>
        <w:ind w:left="993" w:hanging="284"/>
        <w:rPr>
          <w:lang w:val="en-US"/>
        </w:rPr>
      </w:pPr>
      <w:r w:rsidRPr="00BD06E6">
        <w:rPr>
          <w:lang w:val="en-US"/>
        </w:rPr>
        <w:t>στέμφυλον (76), which is a word found almost entirely in comedy.</w:t>
      </w:r>
      <w:r>
        <w:rPr>
          <w:rStyle w:val="FootnoteReference"/>
          <w:lang w:val="en-US"/>
        </w:rPr>
        <w:footnoteReference w:id="531"/>
      </w:r>
    </w:p>
    <w:p w14:paraId="6860A890" w14:textId="77777777" w:rsidR="00E212BA" w:rsidRDefault="00E212BA" w:rsidP="003756AF">
      <w:pPr>
        <w:rPr>
          <w:lang w:val="en-US"/>
        </w:rPr>
      </w:pPr>
      <w:r>
        <w:rPr>
          <w:lang w:val="en-US"/>
        </w:rPr>
        <w:t>Thus Callimachus uses different codes to mark the different voices of his characters, and to better characterize the personae of his iambs from a psychological point of view.</w:t>
      </w:r>
    </w:p>
    <w:p w14:paraId="5F2F861C" w14:textId="77777777" w:rsidR="00E212BA" w:rsidRDefault="00E212BA" w:rsidP="003756AF">
      <w:pPr>
        <w:rPr>
          <w:b/>
          <w:bCs/>
          <w:i/>
          <w:iCs/>
          <w:lang w:val="en-US"/>
        </w:rPr>
      </w:pPr>
    </w:p>
    <w:p w14:paraId="3D38CC4B" w14:textId="77777777" w:rsidR="00E212BA" w:rsidRDefault="00E212BA" w:rsidP="003756AF">
      <w:pPr>
        <w:spacing w:after="120"/>
        <w:rPr>
          <w:lang w:val="en-US"/>
        </w:rPr>
      </w:pPr>
      <w:r>
        <w:rPr>
          <w:lang w:val="en-US"/>
        </w:rPr>
        <w:t xml:space="preserve">The previous examples show that variety is a constant feature of the iambic language. Furthermore, it is evident that code-switching in iambic fragments has the following purposes: </w:t>
      </w:r>
    </w:p>
    <w:p w14:paraId="47023735" w14:textId="77777777" w:rsidR="00E212BA" w:rsidRDefault="00E212BA" w:rsidP="003756AF">
      <w:pPr>
        <w:widowControl w:val="0"/>
        <w:numPr>
          <w:ilvl w:val="0"/>
          <w:numId w:val="195"/>
        </w:numPr>
        <w:tabs>
          <w:tab w:val="left" w:pos="720"/>
          <w:tab w:val="center" w:pos="5387"/>
        </w:tabs>
        <w:ind w:left="714" w:hanging="357"/>
        <w:rPr>
          <w:lang w:val="en-US"/>
        </w:rPr>
      </w:pPr>
      <w:r>
        <w:rPr>
          <w:lang w:val="en-US"/>
        </w:rPr>
        <w:t xml:space="preserve">differentiating characters or voices; </w:t>
      </w:r>
    </w:p>
    <w:p w14:paraId="3B0CBD8D" w14:textId="77777777" w:rsidR="00E212BA" w:rsidRDefault="00E212BA" w:rsidP="003756AF">
      <w:pPr>
        <w:widowControl w:val="0"/>
        <w:numPr>
          <w:ilvl w:val="0"/>
          <w:numId w:val="195"/>
        </w:numPr>
        <w:tabs>
          <w:tab w:val="left" w:pos="720"/>
          <w:tab w:val="center" w:pos="5387"/>
        </w:tabs>
        <w:ind w:left="714" w:hanging="357"/>
        <w:rPr>
          <w:lang w:val="en-US"/>
        </w:rPr>
      </w:pPr>
      <w:r>
        <w:rPr>
          <w:lang w:val="en-US"/>
        </w:rPr>
        <w:t>bringing in different registers or sets of allusions: in the case of intense switching within the grammatical unit (sentence or word), it may be used for deliberate comic effect;</w:t>
      </w:r>
    </w:p>
    <w:p w14:paraId="49A8A62F" w14:textId="4B540D27" w:rsidR="00E212BA" w:rsidRPr="003756AF" w:rsidRDefault="00E212BA" w:rsidP="003756AF">
      <w:pPr>
        <w:widowControl w:val="0"/>
        <w:numPr>
          <w:ilvl w:val="0"/>
          <w:numId w:val="195"/>
        </w:numPr>
        <w:tabs>
          <w:tab w:val="left" w:pos="720"/>
          <w:tab w:val="center" w:pos="5387"/>
        </w:tabs>
        <w:spacing w:after="120"/>
        <w:ind w:left="714" w:hanging="357"/>
        <w:rPr>
          <w:lang w:val="en-US"/>
        </w:rPr>
      </w:pPr>
      <w:r>
        <w:rPr>
          <w:lang w:val="en-US"/>
        </w:rPr>
        <w:t>representing a mixed speech mode which characterizes the community.</w:t>
      </w:r>
    </w:p>
    <w:p w14:paraId="65FC2307" w14:textId="35D3EA51" w:rsidR="00E212BA" w:rsidRDefault="00E212BA" w:rsidP="003756AF">
      <w:pPr>
        <w:rPr>
          <w:lang w:val="en-US"/>
        </w:rPr>
      </w:pPr>
      <w:r>
        <w:rPr>
          <w:lang w:val="en-US"/>
        </w:rPr>
        <w:t xml:space="preserve">Code-switching may be viewed as a rhetorical device that takes away the </w:t>
      </w:r>
      <w:r w:rsidR="00CC0615">
        <w:rPr>
          <w:lang w:val="en-US"/>
        </w:rPr>
        <w:t>“</w:t>
      </w:r>
      <w:r>
        <w:rPr>
          <w:lang w:val="en-US"/>
        </w:rPr>
        <w:t>authorial</w:t>
      </w:r>
      <w:r w:rsidR="00CC0615">
        <w:rPr>
          <w:lang w:val="en-US"/>
        </w:rPr>
        <w:t>”</w:t>
      </w:r>
      <w:r>
        <w:rPr>
          <w:lang w:val="en-US"/>
        </w:rPr>
        <w:t xml:space="preserve"> responsibility of what iambographers say.</w:t>
      </w:r>
      <w:r>
        <w:rPr>
          <w:rStyle w:val="FootnoteReference"/>
          <w:lang w:val="en-US"/>
        </w:rPr>
        <w:footnoteReference w:id="532"/>
      </w:r>
      <w:r>
        <w:rPr>
          <w:lang w:val="en-US"/>
        </w:rPr>
        <w:t xml:space="preserve"> The mixture of codes used by iambographers in their compositions facilitates the distribution of this responsibility to </w:t>
      </w:r>
      <w:r>
        <w:rPr>
          <w:lang w:val="en-US"/>
        </w:rPr>
        <w:lastRenderedPageBreak/>
        <w:t xml:space="preserve">their </w:t>
      </w:r>
      <w:r>
        <w:rPr>
          <w:i/>
          <w:iCs/>
          <w:lang w:val="en-US"/>
        </w:rPr>
        <w:t>personae loquentes</w:t>
      </w:r>
      <w:r>
        <w:rPr>
          <w:lang w:val="en-US"/>
        </w:rPr>
        <w:t xml:space="preserve"> for their audience. This is because the audience is able to distinguish over time the speaking authority based on the linguistic code used. </w:t>
      </w:r>
    </w:p>
    <w:p w14:paraId="0251B11E" w14:textId="20174CEF" w:rsidR="00684248" w:rsidRDefault="005122E4" w:rsidP="00E60931">
      <w:pPr>
        <w:ind w:firstLine="425"/>
        <w:rPr>
          <w:lang w:val="en-US"/>
        </w:rPr>
      </w:pPr>
      <w:r>
        <w:rPr>
          <w:lang w:val="en-US"/>
        </w:rPr>
        <w:t xml:space="preserve">Furthermore, code-switching helps </w:t>
      </w:r>
      <w:r w:rsidR="00E212BA">
        <w:rPr>
          <w:lang w:val="en-US"/>
        </w:rPr>
        <w:t>to differentiate an enunciative level that is of the descriptive or narrative assertions from the enunciative level that concerns the enunciation</w:t>
      </w:r>
      <w:r w:rsidR="00075F5F">
        <w:rPr>
          <w:lang w:val="en-US"/>
        </w:rPr>
        <w:t>’</w:t>
      </w:r>
      <w:r w:rsidR="00E212BA">
        <w:rPr>
          <w:lang w:val="en-US"/>
        </w:rPr>
        <w:t>s assumption of authority for the utterances</w:t>
      </w:r>
      <w:r>
        <w:rPr>
          <w:rStyle w:val="FootnoteReference"/>
          <w:lang w:val="en-US"/>
        </w:rPr>
        <w:footnoteReference w:id="533"/>
      </w:r>
      <w:r w:rsidR="00E212BA">
        <w:rPr>
          <w:lang w:val="en-US"/>
        </w:rPr>
        <w:t xml:space="preserve"> on the basis of the notions of </w:t>
      </w:r>
      <w:r w:rsidR="00CC0615">
        <w:rPr>
          <w:lang w:val="en-US"/>
        </w:rPr>
        <w:t>“</w:t>
      </w:r>
      <w:r w:rsidR="00E212BA">
        <w:rPr>
          <w:lang w:val="en-US"/>
        </w:rPr>
        <w:t>shifting in</w:t>
      </w:r>
      <w:r w:rsidR="00CC0615">
        <w:rPr>
          <w:lang w:val="en-US"/>
        </w:rPr>
        <w:t>”</w:t>
      </w:r>
      <w:r w:rsidR="00E212BA">
        <w:rPr>
          <w:lang w:val="en-US"/>
        </w:rPr>
        <w:t xml:space="preserve"> and </w:t>
      </w:r>
      <w:r w:rsidR="00CC0615">
        <w:rPr>
          <w:lang w:val="en-US"/>
        </w:rPr>
        <w:t>“</w:t>
      </w:r>
      <w:r w:rsidR="00E212BA">
        <w:rPr>
          <w:lang w:val="en-US"/>
        </w:rPr>
        <w:t>shifting out</w:t>
      </w:r>
      <w:r w:rsidR="00CC0615">
        <w:rPr>
          <w:lang w:val="en-US"/>
        </w:rPr>
        <w:t>”</w:t>
      </w:r>
      <w:r w:rsidR="00E212BA">
        <w:rPr>
          <w:lang w:val="en-US"/>
        </w:rPr>
        <w:t xml:space="preserve"> formulated by Roman Jacobson.</w:t>
      </w:r>
      <w:r w:rsidRPr="005122E4">
        <w:rPr>
          <w:rStyle w:val="FootnoteReference"/>
          <w:lang w:val="en-US"/>
        </w:rPr>
        <w:t xml:space="preserve"> </w:t>
      </w:r>
      <w:r>
        <w:rPr>
          <w:rStyle w:val="FootnoteReference"/>
          <w:lang w:val="en-US"/>
        </w:rPr>
        <w:footnoteReference w:id="534"/>
      </w:r>
      <w:r>
        <w:rPr>
          <w:lang w:val="en-US"/>
        </w:rPr>
        <w:t xml:space="preserve"> The</w:t>
      </w:r>
      <w:r w:rsidR="00E212BA">
        <w:rPr>
          <w:lang w:val="en-US"/>
        </w:rPr>
        <w:t xml:space="preserve"> </w:t>
      </w:r>
      <w:r>
        <w:rPr>
          <w:lang w:val="en-US"/>
        </w:rPr>
        <w:t xml:space="preserve">consequent </w:t>
      </w:r>
      <w:r w:rsidR="00E212BA">
        <w:rPr>
          <w:lang w:val="en-US"/>
        </w:rPr>
        <w:t xml:space="preserve">distinction between the real author or reader and the speaker-narrator with her or his </w:t>
      </w:r>
      <w:r w:rsidR="00CC0615">
        <w:rPr>
          <w:lang w:val="en-US"/>
        </w:rPr>
        <w:t>“</w:t>
      </w:r>
      <w:r w:rsidR="00E212BA">
        <w:rPr>
          <w:lang w:val="en-US"/>
        </w:rPr>
        <w:t>intradiegetic</w:t>
      </w:r>
      <w:r w:rsidR="00CC0615">
        <w:rPr>
          <w:lang w:val="en-US"/>
        </w:rPr>
        <w:t>”</w:t>
      </w:r>
      <w:r w:rsidR="00E212BA">
        <w:rPr>
          <w:lang w:val="en-US"/>
        </w:rPr>
        <w:t xml:space="preserve"> addressee-narratee</w:t>
      </w:r>
      <w:r>
        <w:rPr>
          <w:rStyle w:val="FootnoteReference"/>
          <w:lang w:val="en-US"/>
        </w:rPr>
        <w:footnoteReference w:id="535"/>
      </w:r>
      <w:r>
        <w:rPr>
          <w:lang w:val="en-US"/>
        </w:rPr>
        <w:t xml:space="preserve"> reduces the roles of author and listener/reader</w:t>
      </w:r>
      <w:r w:rsidR="00684248">
        <w:rPr>
          <w:lang w:val="en-US"/>
        </w:rPr>
        <w:t xml:space="preserve"> </w:t>
      </w:r>
      <w:r w:rsidR="00075F5F">
        <w:rPr>
          <w:lang w:val="en-US"/>
        </w:rPr>
        <w:t>–</w:t>
      </w:r>
      <w:r w:rsidR="00E212BA">
        <w:rPr>
          <w:lang w:val="en-US"/>
        </w:rPr>
        <w:t xml:space="preserve"> and thereby the referential function of the message </w:t>
      </w:r>
      <w:r w:rsidR="00075F5F">
        <w:rPr>
          <w:lang w:val="en-US"/>
        </w:rPr>
        <w:t>–</w:t>
      </w:r>
      <w:r>
        <w:rPr>
          <w:rStyle w:val="FootnoteReference"/>
          <w:lang w:val="en-US"/>
        </w:rPr>
        <w:footnoteReference w:id="536"/>
      </w:r>
      <w:r w:rsidR="00E212BA">
        <w:rPr>
          <w:lang w:val="en-US"/>
        </w:rPr>
        <w:t xml:space="preserve"> </w:t>
      </w:r>
      <w:r w:rsidR="00684248">
        <w:rPr>
          <w:lang w:val="en-US"/>
        </w:rPr>
        <w:t xml:space="preserve"> so that </w:t>
      </w:r>
      <w:r w:rsidR="00E212BA">
        <w:rPr>
          <w:lang w:val="en-US"/>
        </w:rPr>
        <w:t xml:space="preserve">the message </w:t>
      </w:r>
      <w:r w:rsidR="00684248">
        <w:rPr>
          <w:lang w:val="en-US"/>
        </w:rPr>
        <w:t xml:space="preserve">becomes </w:t>
      </w:r>
      <w:r w:rsidR="00E212BA">
        <w:rPr>
          <w:lang w:val="en-US"/>
        </w:rPr>
        <w:t xml:space="preserve">autonomous. </w:t>
      </w:r>
    </w:p>
    <w:p w14:paraId="56B597C7" w14:textId="4A7A2414" w:rsidR="00E212BA" w:rsidRDefault="00E212BA" w:rsidP="00684248">
      <w:pPr>
        <w:spacing w:after="120"/>
        <w:ind w:firstLine="425"/>
        <w:rPr>
          <w:lang w:val="en-US"/>
        </w:rPr>
      </w:pPr>
      <w:r>
        <w:rPr>
          <w:lang w:val="en-US"/>
        </w:rPr>
        <w:t xml:space="preserve">The autonomy of the iambic message is </w:t>
      </w:r>
      <w:r w:rsidR="00684248">
        <w:rPr>
          <w:lang w:val="en-US"/>
        </w:rPr>
        <w:t xml:space="preserve">gained through the </w:t>
      </w:r>
      <w:r>
        <w:rPr>
          <w:lang w:val="en-US"/>
        </w:rPr>
        <w:t>following</w:t>
      </w:r>
      <w:r w:rsidR="00684248">
        <w:rPr>
          <w:lang w:val="en-US"/>
        </w:rPr>
        <w:t xml:space="preserve"> passages</w:t>
      </w:r>
      <w:r>
        <w:rPr>
          <w:lang w:val="en-US"/>
        </w:rPr>
        <w:t>:</w:t>
      </w:r>
    </w:p>
    <w:p w14:paraId="0F8C9F30" w14:textId="3BF52D65" w:rsidR="00E212BA" w:rsidRDefault="00E212BA" w:rsidP="003756AF">
      <w:pPr>
        <w:widowControl w:val="0"/>
        <w:numPr>
          <w:ilvl w:val="0"/>
          <w:numId w:val="92"/>
        </w:numPr>
        <w:tabs>
          <w:tab w:val="left" w:pos="360"/>
          <w:tab w:val="left" w:pos="720"/>
          <w:tab w:val="center" w:pos="5387"/>
        </w:tabs>
        <w:ind w:left="714" w:hanging="357"/>
        <w:rPr>
          <w:lang w:val="en-US"/>
        </w:rPr>
      </w:pPr>
      <w:r>
        <w:rPr>
          <w:lang w:val="en-US"/>
        </w:rPr>
        <w:t xml:space="preserve">The </w:t>
      </w:r>
      <w:r>
        <w:rPr>
          <w:i/>
          <w:iCs/>
          <w:lang w:val="en-US"/>
        </w:rPr>
        <w:t>persona loquens</w:t>
      </w:r>
      <w:r>
        <w:rPr>
          <w:lang w:val="en-US"/>
        </w:rPr>
        <w:t xml:space="preserve"> requires the reader to imaginatively </w:t>
      </w:r>
      <w:r w:rsidR="00CC0615">
        <w:rPr>
          <w:lang w:val="en-US"/>
        </w:rPr>
        <w:t>“</w:t>
      </w:r>
      <w:r>
        <w:rPr>
          <w:lang w:val="en-US"/>
        </w:rPr>
        <w:t>hear</w:t>
      </w:r>
      <w:r w:rsidR="00CC0615">
        <w:rPr>
          <w:lang w:val="en-US"/>
        </w:rPr>
        <w:t>”</w:t>
      </w:r>
      <w:r>
        <w:rPr>
          <w:lang w:val="en-US"/>
        </w:rPr>
        <w:t xml:space="preserve"> him. The process is magnified by the use of many different linguistic codes: other speakers are </w:t>
      </w:r>
      <w:r w:rsidR="00CC0615">
        <w:rPr>
          <w:lang w:val="en-US"/>
        </w:rPr>
        <w:t>“</w:t>
      </w:r>
      <w:r>
        <w:rPr>
          <w:lang w:val="en-US"/>
        </w:rPr>
        <w:t>quoted</w:t>
      </w:r>
      <w:r w:rsidR="00CC0615">
        <w:rPr>
          <w:lang w:val="en-US"/>
        </w:rPr>
        <w:t>”</w:t>
      </w:r>
      <w:r>
        <w:rPr>
          <w:lang w:val="en-US"/>
        </w:rPr>
        <w:t xml:space="preserve"> by the </w:t>
      </w:r>
      <w:r>
        <w:rPr>
          <w:i/>
          <w:iCs/>
          <w:lang w:val="en-US"/>
        </w:rPr>
        <w:t>persona</w:t>
      </w:r>
      <w:r>
        <w:rPr>
          <w:lang w:val="en-US"/>
        </w:rPr>
        <w:t xml:space="preserve"> and their various voices have to be heard and distinguished.</w:t>
      </w:r>
    </w:p>
    <w:p w14:paraId="20C3AB83" w14:textId="77777777" w:rsidR="00E212BA" w:rsidRDefault="00E212BA" w:rsidP="003756AF">
      <w:pPr>
        <w:widowControl w:val="0"/>
        <w:numPr>
          <w:ilvl w:val="0"/>
          <w:numId w:val="92"/>
        </w:numPr>
        <w:tabs>
          <w:tab w:val="left" w:pos="360"/>
          <w:tab w:val="left" w:pos="720"/>
          <w:tab w:val="center" w:pos="5387"/>
        </w:tabs>
        <w:ind w:left="714" w:hanging="357"/>
        <w:rPr>
          <w:lang w:val="en-US"/>
        </w:rPr>
      </w:pPr>
      <w:r>
        <w:rPr>
          <w:lang w:val="en-US"/>
        </w:rPr>
        <w:t>The use of various different codes implies that the author refers indistinctly to most of the community but not specifically to any particular social group within that community. The addressee becomes unimportant. This makes the message self-reflexive and thus qualifies the speaker and his situation. The very low amount of interactional particles in the iambic fragments provides proof of this process.</w:t>
      </w:r>
    </w:p>
    <w:p w14:paraId="0D97877A" w14:textId="77777777" w:rsidR="00E212BA" w:rsidRDefault="00E212BA" w:rsidP="003756AF">
      <w:pPr>
        <w:widowControl w:val="0"/>
        <w:numPr>
          <w:ilvl w:val="0"/>
          <w:numId w:val="92"/>
        </w:numPr>
        <w:tabs>
          <w:tab w:val="left" w:pos="360"/>
          <w:tab w:val="left" w:pos="720"/>
          <w:tab w:val="center" w:pos="5387"/>
        </w:tabs>
        <w:spacing w:after="120"/>
        <w:ind w:left="714" w:hanging="357"/>
        <w:rPr>
          <w:lang w:val="en-US"/>
        </w:rPr>
      </w:pPr>
      <w:r>
        <w:rPr>
          <w:lang w:val="en-US"/>
        </w:rPr>
        <w:t>The subtle intertextual gestures characteristic of all iambic poems strengthens the autonomy of the message.</w:t>
      </w:r>
    </w:p>
    <w:p w14:paraId="78A9FCF3" w14:textId="674EB66F" w:rsidR="005732E0" w:rsidRDefault="00E212BA" w:rsidP="00227EE7">
      <w:pPr>
        <w:autoSpaceDE w:val="0"/>
        <w:autoSpaceDN w:val="0"/>
        <w:adjustRightInd w:val="0"/>
        <w:rPr>
          <w:rFonts w:cs="Times New Roman"/>
        </w:rPr>
      </w:pPr>
      <w:r>
        <w:rPr>
          <w:lang w:val="en-US"/>
        </w:rPr>
        <w:t xml:space="preserve">The </w:t>
      </w:r>
      <w:r>
        <w:rPr>
          <w:i/>
          <w:iCs/>
          <w:lang w:val="en-US"/>
        </w:rPr>
        <w:t>persona loquens</w:t>
      </w:r>
      <w:r>
        <w:rPr>
          <w:lang w:val="en-US"/>
        </w:rPr>
        <w:t xml:space="preserve"> found in archaic iambic poetry</w:t>
      </w:r>
      <w:r w:rsidR="00BD06E6">
        <w:rPr>
          <w:lang w:val="en-US"/>
        </w:rPr>
        <w:t xml:space="preserve"> </w:t>
      </w:r>
      <w:r>
        <w:rPr>
          <w:lang w:val="en-US"/>
        </w:rPr>
        <w:t xml:space="preserve">is sometimes distinguishable from the poet and can be recognised as a type. In Archilochus, the </w:t>
      </w:r>
      <w:r w:rsidRPr="009877AA">
        <w:rPr>
          <w:i/>
          <w:iCs/>
          <w:lang w:val="en-US"/>
        </w:rPr>
        <w:t>persona loquens</w:t>
      </w:r>
      <w:r>
        <w:rPr>
          <w:lang w:val="en-US"/>
        </w:rPr>
        <w:t xml:space="preserve"> is recognised as a rogue.</w:t>
      </w:r>
      <w:r>
        <w:rPr>
          <w:rStyle w:val="FootnoteReference"/>
          <w:lang w:val="en-US"/>
        </w:rPr>
        <w:footnoteReference w:id="537"/>
      </w:r>
      <w:r>
        <w:rPr>
          <w:lang w:val="en-US"/>
        </w:rPr>
        <w:t xml:space="preserve"> Code-switching makes these techniques of orally performed poetry </w:t>
      </w:r>
      <w:r w:rsidR="00CC0615">
        <w:rPr>
          <w:lang w:val="en-US"/>
        </w:rPr>
        <w:t>“</w:t>
      </w:r>
      <w:r>
        <w:rPr>
          <w:lang w:val="en-US"/>
        </w:rPr>
        <w:t>grammatological,</w:t>
      </w:r>
      <w:r w:rsidR="00CC0615">
        <w:rPr>
          <w:lang w:val="en-US"/>
        </w:rPr>
        <w:t>”</w:t>
      </w:r>
      <w:r>
        <w:rPr>
          <w:lang w:val="en-US"/>
        </w:rPr>
        <w:t xml:space="preserve"> which is the potential deferral of the voice of the poet or performer(s) to other voice(s). In relation to archaic iambic poetry, Callimachus</w:t>
      </w:r>
      <w:r w:rsidR="00075F5F">
        <w:rPr>
          <w:lang w:val="en-US"/>
        </w:rPr>
        <w:t>’</w:t>
      </w:r>
      <w:r>
        <w:rPr>
          <w:lang w:val="en-US"/>
        </w:rPr>
        <w:t xml:space="preserve"> </w:t>
      </w:r>
      <w:r>
        <w:rPr>
          <w:i/>
          <w:iCs/>
          <w:lang w:val="en-US"/>
        </w:rPr>
        <w:t xml:space="preserve">Iambi </w:t>
      </w:r>
      <w:r>
        <w:rPr>
          <w:lang w:val="en-US"/>
        </w:rPr>
        <w:t xml:space="preserve">contains a set of attitudes that is already conventionalized, as well as an already inscribed flexibility of poetic voice. These are elements that paved the way for written </w:t>
      </w:r>
      <w:r>
        <w:rPr>
          <w:lang w:val="en-US"/>
        </w:rPr>
        <w:lastRenderedPageBreak/>
        <w:t>iambic poems in Alexandria. The overwhelming linguistic variety used by Calllimachus</w:t>
      </w:r>
      <w:r>
        <w:rPr>
          <w:rStyle w:val="FootnoteReference"/>
          <w:lang w:val="en-US"/>
        </w:rPr>
        <w:footnoteReference w:id="538"/>
      </w:r>
      <w:r>
        <w:rPr>
          <w:lang w:val="en-US"/>
        </w:rPr>
        <w:t xml:space="preserve"> is associated with the poet</w:t>
      </w:r>
      <w:r w:rsidR="00075F5F">
        <w:rPr>
          <w:lang w:val="en-US"/>
        </w:rPr>
        <w:t>’</w:t>
      </w:r>
      <w:r>
        <w:rPr>
          <w:lang w:val="en-US"/>
        </w:rPr>
        <w:t xml:space="preserve">s interests in speaking </w:t>
      </w:r>
      <w:r w:rsidRPr="009877AA">
        <w:rPr>
          <w:i/>
          <w:iCs/>
          <w:lang w:val="en-US"/>
        </w:rPr>
        <w:t>for</w:t>
      </w:r>
      <w:r>
        <w:rPr>
          <w:lang w:val="en-US"/>
        </w:rPr>
        <w:t xml:space="preserve"> everybody </w:t>
      </w:r>
      <w:r w:rsidRPr="009877AA">
        <w:rPr>
          <w:i/>
          <w:iCs/>
          <w:lang w:val="en-US"/>
        </w:rPr>
        <w:t>to</w:t>
      </w:r>
      <w:r>
        <w:rPr>
          <w:lang w:val="en-US"/>
        </w:rPr>
        <w:t xml:space="preserve"> everybody, and his interest in community, exhortation, mockery, judgments and views. As such, I contend that the iambic </w:t>
      </w:r>
      <w:r w:rsidR="00CC0615">
        <w:rPr>
          <w:lang w:val="en-US"/>
        </w:rPr>
        <w:t>“</w:t>
      </w:r>
      <w:r>
        <w:rPr>
          <w:lang w:val="en-US"/>
        </w:rPr>
        <w:t>I</w:t>
      </w:r>
      <w:r w:rsidR="00CC0615">
        <w:rPr>
          <w:lang w:val="en-US"/>
        </w:rPr>
        <w:t>”</w:t>
      </w:r>
      <w:r>
        <w:rPr>
          <w:lang w:val="en-US"/>
        </w:rPr>
        <w:t xml:space="preserve"> is a public </w:t>
      </w:r>
      <w:r w:rsidR="00CC0615">
        <w:rPr>
          <w:lang w:val="en-US"/>
        </w:rPr>
        <w:t>“</w:t>
      </w:r>
      <w:r>
        <w:rPr>
          <w:lang w:val="en-US"/>
        </w:rPr>
        <w:t>I</w:t>
      </w:r>
      <w:r w:rsidR="00CC0615">
        <w:rPr>
          <w:lang w:val="en-US"/>
        </w:rPr>
        <w:t>”</w:t>
      </w:r>
      <w:r>
        <w:rPr>
          <w:lang w:val="en-US"/>
        </w:rPr>
        <w:t xml:space="preserve"> and that </w:t>
      </w:r>
      <w:r>
        <w:rPr>
          <w:i/>
          <w:iCs/>
          <w:lang w:val="en-US"/>
        </w:rPr>
        <w:t>personae</w:t>
      </w:r>
      <w:r>
        <w:rPr>
          <w:lang w:val="en-US"/>
        </w:rPr>
        <w:t xml:space="preserve"> used by iambographers represent the average person in the community. In addition, I suggest that code-switching provides a clue to the performative context of iambic poetry, that is, the iambus was meant for public gatherings. </w:t>
      </w:r>
      <w:r w:rsidR="005732E0" w:rsidRPr="00FF051C">
        <w:rPr>
          <w:rFonts w:cs="Times New Roman"/>
        </w:rPr>
        <w:t xml:space="preserve"> </w:t>
      </w:r>
    </w:p>
    <w:p w14:paraId="115A698E" w14:textId="77777777" w:rsidR="005732E0" w:rsidRPr="004605D8" w:rsidRDefault="005732E0" w:rsidP="004819D9">
      <w:pPr>
        <w:pStyle w:val="Heading3"/>
      </w:pPr>
      <w:r>
        <w:t xml:space="preserve">4.6 </w:t>
      </w:r>
      <w:r w:rsidRPr="004605D8">
        <w:t xml:space="preserve">Why and Where Iambic Poetry Was Performed </w:t>
      </w:r>
    </w:p>
    <w:p w14:paraId="2B885B1E" w14:textId="51B99D29" w:rsidR="00E212BA" w:rsidRDefault="00E212BA" w:rsidP="003756AF">
      <w:pPr>
        <w:rPr>
          <w:lang w:val="en-US"/>
        </w:rPr>
      </w:pPr>
      <w:r>
        <w:rPr>
          <w:lang w:val="en-US"/>
        </w:rPr>
        <w:t xml:space="preserve">The context of performance of iambic poetry is still in question among scholars. Most of them think that the </w:t>
      </w:r>
      <w:r w:rsidR="00CC0615">
        <w:rPr>
          <w:lang w:val="en-US"/>
        </w:rPr>
        <w:t>“</w:t>
      </w:r>
      <w:r>
        <w:rPr>
          <w:lang w:val="en-US"/>
        </w:rPr>
        <w:t>default</w:t>
      </w:r>
      <w:r w:rsidR="00CC0615">
        <w:rPr>
          <w:lang w:val="en-US"/>
        </w:rPr>
        <w:t>”</w:t>
      </w:r>
      <w:r>
        <w:rPr>
          <w:lang w:val="en-US"/>
        </w:rPr>
        <w:t xml:space="preserve"> occasion for the performance of iambs was the symposium.</w:t>
      </w:r>
      <w:r>
        <w:rPr>
          <w:rStyle w:val="FootnoteReference"/>
          <w:lang w:val="en-US"/>
        </w:rPr>
        <w:footnoteReference w:id="539"/>
      </w:r>
      <w:r>
        <w:rPr>
          <w:lang w:val="en-US"/>
        </w:rPr>
        <w:t xml:space="preserve"> West formulated a hypothesis that stipulates that the iamb was a </w:t>
      </w:r>
      <w:r w:rsidR="00CC0615">
        <w:rPr>
          <w:lang w:val="en-US"/>
        </w:rPr>
        <w:t>“</w:t>
      </w:r>
      <w:r>
        <w:rPr>
          <w:lang w:val="en-US"/>
        </w:rPr>
        <w:t>traditional entertainment with some (perhaps forgotten) ritual basis.</w:t>
      </w:r>
      <w:r w:rsidR="00CC0615">
        <w:rPr>
          <w:lang w:val="en-US"/>
        </w:rPr>
        <w:t>”</w:t>
      </w:r>
      <w:r>
        <w:rPr>
          <w:lang w:val="en-US"/>
        </w:rPr>
        <w:t xml:space="preserve"> </w:t>
      </w:r>
      <w:r>
        <w:rPr>
          <w:rStyle w:val="FootnoteReference"/>
          <w:lang w:val="en-US"/>
        </w:rPr>
        <w:footnoteReference w:id="540"/>
      </w:r>
      <w:r>
        <w:rPr>
          <w:lang w:val="en-US"/>
        </w:rPr>
        <w:t xml:space="preserve"> However, Bartol asserted that </w:t>
      </w:r>
      <w:r w:rsidR="00CC0615">
        <w:rPr>
          <w:lang w:val="en-US"/>
        </w:rPr>
        <w:t>“</w:t>
      </w:r>
      <w:r>
        <w:rPr>
          <w:lang w:val="en-US"/>
        </w:rPr>
        <w:t>no surviving ancient testimony describes directly the circumstances of performance of literary iambus in the archaic period</w:t>
      </w:r>
      <w:r w:rsidR="00684248">
        <w:rPr>
          <w:lang w:val="en-US"/>
        </w:rPr>
        <w:t>,</w:t>
      </w:r>
      <w:r w:rsidR="00CC0615">
        <w:rPr>
          <w:lang w:val="en-US"/>
        </w:rPr>
        <w:t>”</w:t>
      </w:r>
      <w:r>
        <w:rPr>
          <w:rStyle w:val="FootnoteReference"/>
          <w:lang w:val="en-US"/>
        </w:rPr>
        <w:footnoteReference w:id="541"/>
      </w:r>
      <w:r w:rsidR="00684248">
        <w:rPr>
          <w:lang w:val="en-US"/>
        </w:rPr>
        <w:t xml:space="preserve"> therefore </w:t>
      </w:r>
      <w:r w:rsidR="00CC0615">
        <w:rPr>
          <w:lang w:val="en-US"/>
        </w:rPr>
        <w:t>“</w:t>
      </w:r>
      <w:r>
        <w:rPr>
          <w:lang w:val="en-US"/>
        </w:rPr>
        <w:t>there was more than one type of occasion for the presentation of iambic poetry.</w:t>
      </w:r>
      <w:r w:rsidR="00CC0615">
        <w:rPr>
          <w:lang w:val="en-US"/>
        </w:rPr>
        <w:t>”</w:t>
      </w:r>
      <w:r>
        <w:rPr>
          <w:rStyle w:val="FootnoteReference"/>
          <w:lang w:val="en-US"/>
        </w:rPr>
        <w:footnoteReference w:id="542"/>
      </w:r>
    </w:p>
    <w:p w14:paraId="291C5C6D" w14:textId="147F9DD0" w:rsidR="00E212BA" w:rsidRDefault="00E212BA" w:rsidP="003756AF">
      <w:pPr>
        <w:ind w:firstLine="426"/>
        <w:rPr>
          <w:lang w:val="en-US"/>
        </w:rPr>
      </w:pPr>
      <w:r>
        <w:rPr>
          <w:lang w:val="en-US"/>
        </w:rPr>
        <w:t xml:space="preserve">The views of various scholars regarding the performance of </w:t>
      </w:r>
      <w:r>
        <w:rPr>
          <w:i/>
          <w:iCs/>
          <w:lang w:val="en-US"/>
        </w:rPr>
        <w:t>iamboi</w:t>
      </w:r>
      <w:r>
        <w:rPr>
          <w:lang w:val="en-US"/>
        </w:rPr>
        <w:t xml:space="preserve"> and their relation or lack of it to ritual function were examined by Kantzios, who differentiated between the </w:t>
      </w:r>
      <w:r w:rsidR="00CC0615">
        <w:rPr>
          <w:lang w:val="en-US"/>
        </w:rPr>
        <w:t>“</w:t>
      </w:r>
      <w:r>
        <w:rPr>
          <w:lang w:val="en-US"/>
        </w:rPr>
        <w:t>ritual model</w:t>
      </w:r>
      <w:r w:rsidR="00CC0615">
        <w:rPr>
          <w:lang w:val="en-US"/>
        </w:rPr>
        <w:t>”</w:t>
      </w:r>
      <w:r>
        <w:rPr>
          <w:lang w:val="en-US"/>
        </w:rPr>
        <w:t xml:space="preserve"> and the </w:t>
      </w:r>
      <w:r w:rsidR="00CC0615">
        <w:rPr>
          <w:lang w:val="en-US"/>
        </w:rPr>
        <w:t>“</w:t>
      </w:r>
      <w:r>
        <w:rPr>
          <w:lang w:val="en-US"/>
        </w:rPr>
        <w:t>sympotic model.</w:t>
      </w:r>
      <w:r w:rsidR="00CC0615">
        <w:rPr>
          <w:lang w:val="en-US"/>
        </w:rPr>
        <w:t>”</w:t>
      </w:r>
      <w:r>
        <w:rPr>
          <w:rStyle w:val="FootnoteReference"/>
          <w:lang w:val="en-US"/>
        </w:rPr>
        <w:footnoteReference w:id="543"/>
      </w:r>
      <w:r>
        <w:rPr>
          <w:lang w:val="en-US"/>
        </w:rPr>
        <w:t xml:space="preserve"> The ritual model associates archaic iambos with the cults of Demeter and Dionysus, and emphasizes the genre</w:t>
      </w:r>
      <w:r w:rsidR="00075F5F">
        <w:rPr>
          <w:lang w:val="en-US"/>
        </w:rPr>
        <w:t>’</w:t>
      </w:r>
      <w:r>
        <w:rPr>
          <w:lang w:val="en-US"/>
        </w:rPr>
        <w:t xml:space="preserve">s scurrilous character. The sympotic model, in contrast, assigns no cultic function to iambos and maintains that invective is not integral to it. However significant its ritual roots may originally have been, it appears that by the time of Archilochus iambic </w:t>
      </w:r>
      <w:r>
        <w:rPr>
          <w:lang w:val="en-US"/>
        </w:rPr>
        <w:lastRenderedPageBreak/>
        <w:t>poetry had broken free from any direct connections with ritual.</w:t>
      </w:r>
      <w:r>
        <w:rPr>
          <w:rStyle w:val="FootnoteReference"/>
          <w:lang w:val="en-US"/>
        </w:rPr>
        <w:footnoteReference w:id="544"/>
      </w:r>
      <w:r>
        <w:rPr>
          <w:lang w:val="en-US"/>
        </w:rPr>
        <w:t xml:space="preserve"> Aristotle also points in this direction (</w:t>
      </w:r>
      <w:r>
        <w:rPr>
          <w:i/>
          <w:iCs/>
          <w:lang w:val="en-US"/>
        </w:rPr>
        <w:t>Pol.</w:t>
      </w:r>
      <w:r>
        <w:rPr>
          <w:lang w:val="en-US"/>
        </w:rPr>
        <w:t xml:space="preserve"> 1336b20-23):</w:t>
      </w:r>
    </w:p>
    <w:p w14:paraId="3A839C75" w14:textId="77777777" w:rsidR="005732E0" w:rsidRPr="000B356B" w:rsidRDefault="005732E0" w:rsidP="000B356B">
      <w:pPr>
        <w:pStyle w:val="Blockquote"/>
      </w:pPr>
    </w:p>
    <w:tbl>
      <w:tblPr>
        <w:tblStyle w:val="TableGrid"/>
        <w:tblW w:w="8080"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822"/>
      </w:tblGrid>
      <w:tr w:rsidR="005732E0" w:rsidRPr="00365089" w14:paraId="2373EBCD" w14:textId="77777777" w:rsidTr="00890EB4">
        <w:tc>
          <w:tcPr>
            <w:tcW w:w="4258" w:type="dxa"/>
          </w:tcPr>
          <w:p w14:paraId="74B20343" w14:textId="784D95ED" w:rsidR="005732E0" w:rsidRPr="00365089" w:rsidRDefault="005732E0" w:rsidP="000B356B">
            <w:pPr>
              <w:pStyle w:val="Blockquote"/>
              <w:rPr>
                <w:sz w:val="22"/>
                <w:szCs w:val="22"/>
              </w:rPr>
            </w:pPr>
            <w:r w:rsidRPr="00365089">
              <w:rPr>
                <w:sz w:val="22"/>
                <w:szCs w:val="22"/>
              </w:rPr>
              <w:t>τοὺς δὲ νεωτέρους οὔτ</w:t>
            </w:r>
            <w:r w:rsidR="00075F5F">
              <w:rPr>
                <w:sz w:val="22"/>
                <w:szCs w:val="22"/>
              </w:rPr>
              <w:t>’</w:t>
            </w:r>
            <w:r w:rsidRPr="00365089">
              <w:rPr>
                <w:sz w:val="22"/>
                <w:szCs w:val="22"/>
              </w:rPr>
              <w:t xml:space="preserve"> ἰάμβων οὔτε κωμῳδίας θεατὰς θετέον, πρὶν ἢ τὴν ἡλικίαν λάβωσιν ἐν ᾗ καὶ κατακλίσεως ὑπάρξει κοινωνεῖν ἤδη καὶ μέθης, καὶ τῆς ἀπὸ τῶν τοιούτων γιγνομένης βλάβης ἀπαθεῖς ἡ παιδεία ποιήσει πάντως</w:t>
            </w:r>
          </w:p>
        </w:tc>
        <w:tc>
          <w:tcPr>
            <w:tcW w:w="3822" w:type="dxa"/>
          </w:tcPr>
          <w:p w14:paraId="6C340A16" w14:textId="77777777" w:rsidR="005732E0" w:rsidRPr="00365089" w:rsidRDefault="005732E0" w:rsidP="000B356B">
            <w:pPr>
              <w:pStyle w:val="Blockquote"/>
              <w:rPr>
                <w:sz w:val="22"/>
                <w:szCs w:val="22"/>
              </w:rPr>
            </w:pPr>
            <w:r w:rsidRPr="00365089">
              <w:rPr>
                <w:sz w:val="22"/>
                <w:szCs w:val="22"/>
              </w:rPr>
              <w:t>But the younger ones must not be allowed in the audience at lampoons and at comedy, before they reach the age at which they will now have the right to recline at table in company and to drink deeply, and at which their education will render all of them immune to the harmful effects of such things</w:t>
            </w:r>
          </w:p>
        </w:tc>
      </w:tr>
    </w:tbl>
    <w:p w14:paraId="3129CA0D" w14:textId="77777777" w:rsidR="005732E0" w:rsidRPr="000B356B" w:rsidRDefault="005732E0" w:rsidP="000B356B">
      <w:pPr>
        <w:pStyle w:val="Blockquote"/>
      </w:pPr>
    </w:p>
    <w:p w14:paraId="0E1C62DF" w14:textId="1F47F378" w:rsidR="003756AF" w:rsidRPr="003756AF" w:rsidRDefault="00E212BA" w:rsidP="003756AF">
      <w:pPr>
        <w:rPr>
          <w:rFonts w:cs="Times New Roman"/>
          <w:lang w:val="en-US"/>
        </w:rPr>
      </w:pPr>
      <w:r w:rsidRPr="003756AF">
        <w:rPr>
          <w:rFonts w:cs="Times New Roman"/>
          <w:lang w:val="en-US"/>
        </w:rPr>
        <w:t>Aristotle</w:t>
      </w:r>
      <w:r w:rsidR="00075F5F">
        <w:rPr>
          <w:rFonts w:cs="Times New Roman"/>
          <w:lang w:val="en-US"/>
        </w:rPr>
        <w:t>’</w:t>
      </w:r>
      <w:r w:rsidRPr="003756AF">
        <w:rPr>
          <w:rFonts w:cs="Times New Roman"/>
          <w:lang w:val="en-US"/>
        </w:rPr>
        <w:t xml:space="preserve">s injunction implies that by the fourth century, at least, iambic poetry was performed at symposia, and it seem reasonable to assume that the symposium was the </w:t>
      </w:r>
      <w:r w:rsidR="00CC0615">
        <w:rPr>
          <w:rFonts w:cs="Times New Roman"/>
          <w:lang w:val="en-US"/>
        </w:rPr>
        <w:t>“</w:t>
      </w:r>
      <w:r w:rsidRPr="003756AF">
        <w:rPr>
          <w:rFonts w:cs="Times New Roman"/>
          <w:lang w:val="en-US"/>
        </w:rPr>
        <w:t>default</w:t>
      </w:r>
      <w:r w:rsidR="00CC0615">
        <w:rPr>
          <w:rFonts w:cs="Times New Roman"/>
          <w:lang w:val="en-US"/>
        </w:rPr>
        <w:t>”</w:t>
      </w:r>
      <w:r w:rsidRPr="003756AF">
        <w:rPr>
          <w:rFonts w:cs="Times New Roman"/>
          <w:lang w:val="en-US"/>
        </w:rPr>
        <w:t xml:space="preserve"> performance venue for our extant archaic iambic poetry. </w:t>
      </w:r>
    </w:p>
    <w:p w14:paraId="516CC454" w14:textId="456C7A47" w:rsidR="00684248" w:rsidRPr="003756AF" w:rsidRDefault="00E212BA" w:rsidP="003756AF">
      <w:pPr>
        <w:ind w:firstLine="426"/>
        <w:rPr>
          <w:rFonts w:cs="Times New Roman"/>
          <w:lang w:val="en-US"/>
        </w:rPr>
      </w:pPr>
      <w:r w:rsidRPr="003756AF">
        <w:rPr>
          <w:rFonts w:cs="Times New Roman"/>
          <w:lang w:val="en-US"/>
        </w:rPr>
        <w:t>Understanding the symposium or banquet as a key performance venue for iambic poetry may also help us make sense of Callimachus</w:t>
      </w:r>
      <w:r w:rsidR="00075F5F">
        <w:rPr>
          <w:rFonts w:cs="Times New Roman"/>
          <w:lang w:val="en-US"/>
        </w:rPr>
        <w:t>’</w:t>
      </w:r>
      <w:r w:rsidRPr="003756AF">
        <w:rPr>
          <w:rFonts w:cs="Times New Roman"/>
          <w:lang w:val="en-US"/>
        </w:rPr>
        <w:t xml:space="preserve"> </w:t>
      </w:r>
      <w:r w:rsidRPr="003756AF">
        <w:rPr>
          <w:rFonts w:cs="Times New Roman"/>
          <w:i/>
          <w:iCs/>
          <w:lang w:val="en-US"/>
        </w:rPr>
        <w:t>Iambi</w:t>
      </w:r>
      <w:r w:rsidRPr="003756AF">
        <w:rPr>
          <w:rFonts w:cs="Times New Roman"/>
          <w:lang w:val="en-US"/>
        </w:rPr>
        <w:t>.</w:t>
      </w:r>
      <w:r w:rsidRPr="003756AF">
        <w:rPr>
          <w:rFonts w:cs="Times New Roman"/>
          <w:vertAlign w:val="superscript"/>
          <w:lang w:val="en-US"/>
        </w:rPr>
        <w:t xml:space="preserve"> </w:t>
      </w:r>
      <w:r w:rsidRPr="003756AF">
        <w:rPr>
          <w:rStyle w:val="FootnoteReference"/>
          <w:rFonts w:cs="Times New Roman"/>
          <w:lang w:val="en-US"/>
        </w:rPr>
        <w:footnoteReference w:id="545"/>
      </w:r>
      <w:r w:rsidRPr="003756AF">
        <w:rPr>
          <w:rFonts w:cs="Times New Roman"/>
          <w:lang w:val="en-US"/>
        </w:rPr>
        <w:t xml:space="preserve"> Hellenistic scholars gave considerable attention to the origins, practice, and political significance of the Archaic and Classical symposium. </w:t>
      </w:r>
    </w:p>
    <w:p w14:paraId="1E003A7D" w14:textId="742C5240" w:rsidR="00E212BA" w:rsidRPr="003756AF" w:rsidRDefault="00E212BA" w:rsidP="00E60931">
      <w:pPr>
        <w:ind w:firstLine="426"/>
        <w:rPr>
          <w:rFonts w:cs="Times New Roman"/>
          <w:lang w:val="en-US"/>
        </w:rPr>
      </w:pPr>
      <w:r w:rsidRPr="003756AF">
        <w:rPr>
          <w:rFonts w:cs="Times New Roman"/>
          <w:lang w:val="en-US"/>
        </w:rPr>
        <w:t>The symposium operated across a broad social spectrum during the Hellenistic period from private gatherings to monarchs</w:t>
      </w:r>
      <w:r w:rsidR="00075F5F">
        <w:rPr>
          <w:rFonts w:cs="Times New Roman"/>
          <w:lang w:val="en-US"/>
        </w:rPr>
        <w:t>’</w:t>
      </w:r>
      <w:r w:rsidRPr="003756AF">
        <w:rPr>
          <w:rFonts w:cs="Times New Roman"/>
          <w:lang w:val="en-US"/>
        </w:rPr>
        <w:t xml:space="preserve"> courts</w:t>
      </w:r>
      <w:r w:rsidR="00684248">
        <w:rPr>
          <w:rFonts w:cs="Times New Roman"/>
          <w:lang w:val="en-US"/>
        </w:rPr>
        <w:t>.</w:t>
      </w:r>
      <w:r w:rsidRPr="003756AF">
        <w:rPr>
          <w:rStyle w:val="FootnoteReference"/>
          <w:rFonts w:cs="Times New Roman"/>
          <w:lang w:val="en-US"/>
        </w:rPr>
        <w:footnoteReference w:id="546"/>
      </w:r>
      <w:r w:rsidRPr="003756AF">
        <w:rPr>
          <w:rFonts w:cs="Times New Roman"/>
          <w:lang w:val="en-US"/>
        </w:rPr>
        <w:t xml:space="preserve"> The boundary between public and private events during Hellenistic period is blurred since many public events were funded by monarchs in this era such as tragic competitions, while others hosted dinner parties during some festival occasions such as the </w:t>
      </w:r>
      <w:r w:rsidRPr="003756AF">
        <w:rPr>
          <w:rFonts w:cs="Times New Roman"/>
          <w:i/>
          <w:iCs/>
          <w:lang w:val="en-US"/>
        </w:rPr>
        <w:t>Ptolemaia</w:t>
      </w:r>
      <w:r w:rsidRPr="003756AF">
        <w:rPr>
          <w:rFonts w:cs="Times New Roman"/>
          <w:lang w:val="en-US"/>
        </w:rPr>
        <w:t>. There are a number of examples that clearly illustrate the convergence of the two performance venues</w:t>
      </w:r>
      <w:r w:rsidR="007358E4" w:rsidRPr="003756AF">
        <w:rPr>
          <w:rFonts w:cs="Times New Roman"/>
          <w:lang w:val="en-US"/>
        </w:rPr>
        <w:t xml:space="preserve"> (public and private)</w:t>
      </w:r>
      <w:r w:rsidRPr="003756AF">
        <w:rPr>
          <w:rFonts w:cs="Times New Roman"/>
          <w:lang w:val="en-US"/>
        </w:rPr>
        <w:t>. For instance, Athenaeus</w:t>
      </w:r>
      <w:r w:rsidR="00684248" w:rsidRPr="003756AF">
        <w:rPr>
          <w:rStyle w:val="FootnoteReference"/>
          <w:rFonts w:cs="Times New Roman"/>
          <w:lang w:val="en-US"/>
        </w:rPr>
        <w:footnoteReference w:id="547"/>
      </w:r>
      <w:r w:rsidRPr="003756AF">
        <w:rPr>
          <w:rFonts w:cs="Times New Roman"/>
          <w:lang w:val="en-US"/>
        </w:rPr>
        <w:t xml:space="preserve"> described a tent pavilion for a symposium held as part of the festival whereby participants played in the symposium as characters from tragedy, comedy, and satyr in one set of decorative entablatures</w:t>
      </w:r>
      <w:r w:rsidR="00684248">
        <w:rPr>
          <w:rFonts w:cs="Times New Roman"/>
          <w:lang w:val="en-US"/>
        </w:rPr>
        <w:t xml:space="preserve">. </w:t>
      </w:r>
      <w:r w:rsidRPr="003756AF">
        <w:rPr>
          <w:rFonts w:cs="Times New Roman"/>
          <w:lang w:val="en-US"/>
        </w:rPr>
        <w:t>Events involving aristocrats or royals, including weddings, functioned both as public and private occasions.</w:t>
      </w:r>
      <w:r w:rsidRPr="003756AF">
        <w:rPr>
          <w:rStyle w:val="FootnoteReference"/>
          <w:rFonts w:cs="Times New Roman"/>
          <w:lang w:val="en-US"/>
        </w:rPr>
        <w:footnoteReference w:id="548"/>
      </w:r>
      <w:r w:rsidRPr="003756AF">
        <w:rPr>
          <w:rFonts w:cs="Times New Roman"/>
          <w:lang w:val="en-US"/>
        </w:rPr>
        <w:t xml:space="preserve"> An Aristocratic symposium was a place for class bonding and included performance by both amateur and professional actors.</w:t>
      </w:r>
      <w:r w:rsidRPr="003756AF">
        <w:rPr>
          <w:rStyle w:val="FootnoteReference"/>
          <w:rFonts w:cs="Times New Roman"/>
          <w:lang w:val="en-US"/>
        </w:rPr>
        <w:footnoteReference w:id="549"/>
      </w:r>
      <w:r w:rsidRPr="003756AF">
        <w:rPr>
          <w:rFonts w:cs="Times New Roman"/>
          <w:lang w:val="en-US"/>
        </w:rPr>
        <w:t xml:space="preserve"> Ewen Bowie, </w:t>
      </w:r>
      <w:r w:rsidRPr="003756AF">
        <w:rPr>
          <w:rFonts w:cs="Times New Roman"/>
          <w:lang w:val="en-US"/>
        </w:rPr>
        <w:lastRenderedPageBreak/>
        <w:t xml:space="preserve">commenting on the picture of sympotic song that emerges from Theognis, stated that it </w:t>
      </w:r>
      <w:r w:rsidR="00CC0615">
        <w:rPr>
          <w:rFonts w:cs="Times New Roman"/>
          <w:lang w:val="en-US"/>
        </w:rPr>
        <w:t>“</w:t>
      </w:r>
      <w:r w:rsidRPr="003756AF">
        <w:rPr>
          <w:rFonts w:cs="Times New Roman"/>
          <w:lang w:val="en-US"/>
        </w:rPr>
        <w:t xml:space="preserve">involves praise, </w:t>
      </w:r>
      <w:r w:rsidRPr="003002D4">
        <w:rPr>
          <w:rFonts w:cs="Times New Roman"/>
          <w:i/>
          <w:lang w:val="en-US"/>
        </w:rPr>
        <w:t>gnomai</w:t>
      </w:r>
      <w:r w:rsidRPr="003756AF">
        <w:rPr>
          <w:rFonts w:cs="Times New Roman"/>
          <w:lang w:val="en-US"/>
        </w:rPr>
        <w:t>, reflection, banter, games in which one song capped another.</w:t>
      </w:r>
      <w:r w:rsidR="00CC0615">
        <w:rPr>
          <w:rFonts w:cs="Times New Roman"/>
          <w:lang w:val="en-US"/>
        </w:rPr>
        <w:t>”</w:t>
      </w:r>
      <w:r w:rsidRPr="003756AF">
        <w:rPr>
          <w:rStyle w:val="FootnoteReference"/>
          <w:rFonts w:cs="Times New Roman"/>
          <w:lang w:val="en-US"/>
        </w:rPr>
        <w:footnoteReference w:id="550"/>
      </w:r>
      <w:r w:rsidRPr="003756AF">
        <w:rPr>
          <w:rFonts w:cs="Times New Roman"/>
          <w:lang w:val="en-US"/>
        </w:rPr>
        <w:t xml:space="preserve"> Thus, professional lyric, iambic or elegy performance was included in symposium entertainment. These events were traditionally used in influencing opinion that had a broad social impact as well as regulation and measurement of behaviour.</w:t>
      </w:r>
    </w:p>
    <w:p w14:paraId="21E433FF" w14:textId="77777777" w:rsidR="00E212BA" w:rsidRPr="003756AF" w:rsidRDefault="00E212BA" w:rsidP="003756AF">
      <w:pPr>
        <w:ind w:firstLine="426"/>
        <w:rPr>
          <w:rFonts w:cs="Times New Roman"/>
          <w:lang w:val="en-US"/>
        </w:rPr>
      </w:pPr>
      <w:r w:rsidRPr="003756AF">
        <w:rPr>
          <w:rFonts w:cs="Times New Roman"/>
          <w:lang w:val="en-US"/>
        </w:rPr>
        <w:t xml:space="preserve">Callimachus uses symposia and/or banqueting in his poetry in a number of ways. They are used for praising the monarchs, public events related to religious worship, private events, and scholarly or philosophical disputation. Callimachus uses symposia to begin the first </w:t>
      </w:r>
      <w:r w:rsidRPr="003756AF">
        <w:rPr>
          <w:rFonts w:cs="Times New Roman"/>
          <w:i/>
          <w:iCs/>
          <w:lang w:val="en-US"/>
        </w:rPr>
        <w:t>Iambus</w:t>
      </w:r>
      <w:r w:rsidRPr="003756AF">
        <w:rPr>
          <w:rFonts w:cs="Times New Roman"/>
          <w:lang w:val="en-US"/>
        </w:rPr>
        <w:t xml:space="preserve"> and the first of his </w:t>
      </w:r>
      <w:r w:rsidRPr="003756AF">
        <w:rPr>
          <w:rFonts w:cs="Times New Roman"/>
          <w:i/>
          <w:iCs/>
          <w:lang w:val="en-US"/>
        </w:rPr>
        <w:t>Hymns.</w:t>
      </w:r>
      <w:r w:rsidRPr="003756AF">
        <w:rPr>
          <w:rFonts w:cs="Times New Roman"/>
          <w:lang w:val="en-US"/>
        </w:rPr>
        <w:t xml:space="preserve"> A symposium as depicted in </w:t>
      </w:r>
      <w:r w:rsidRPr="003756AF">
        <w:rPr>
          <w:rFonts w:cs="Times New Roman"/>
          <w:i/>
          <w:iCs/>
          <w:lang w:val="en-US"/>
        </w:rPr>
        <w:t>Aetia</w:t>
      </w:r>
      <w:r w:rsidRPr="003756AF">
        <w:rPr>
          <w:rFonts w:cs="Times New Roman"/>
          <w:lang w:val="en-US"/>
        </w:rPr>
        <w:t xml:space="preserve"> 2 and the </w:t>
      </w:r>
      <w:r w:rsidRPr="003756AF">
        <w:rPr>
          <w:rFonts w:cs="Times New Roman"/>
          <w:i/>
          <w:iCs/>
          <w:lang w:val="en-US"/>
        </w:rPr>
        <w:t>Pannychis</w:t>
      </w:r>
      <w:r w:rsidRPr="003756AF">
        <w:rPr>
          <w:rFonts w:cs="Times New Roman"/>
          <w:lang w:val="en-US"/>
        </w:rPr>
        <w:t xml:space="preserve"> (fr. 227 Pf.) has a sympotic setting.</w:t>
      </w:r>
      <w:r w:rsidRPr="003756AF">
        <w:rPr>
          <w:rStyle w:val="FootnoteReference"/>
          <w:rFonts w:cs="Times New Roman"/>
          <w:lang w:val="en-US"/>
        </w:rPr>
        <w:footnoteReference w:id="551"/>
      </w:r>
      <w:r w:rsidRPr="003756AF">
        <w:rPr>
          <w:rFonts w:cs="Times New Roman"/>
          <w:lang w:val="en-US"/>
        </w:rPr>
        <w:t xml:space="preserve"> All of the poetry mentioned above offers various intertwined themes, such as guest-host relationships, excess versus moderation, and the central role played by the poet in maintaining and transmitting cultural values. The performance option is presented by Callimachus either because he constructed his poems as sites of performance or he wrote for actual poetic performance.</w:t>
      </w:r>
      <w:r w:rsidRPr="003756AF">
        <w:rPr>
          <w:rStyle w:val="FootnoteReference"/>
          <w:rFonts w:cs="Times New Roman"/>
          <w:lang w:val="en-US"/>
        </w:rPr>
        <w:footnoteReference w:id="552"/>
      </w:r>
    </w:p>
    <w:p w14:paraId="0ACF08EA" w14:textId="58CF09C1" w:rsidR="003756AF" w:rsidRPr="003756AF" w:rsidRDefault="00E212BA" w:rsidP="003756AF">
      <w:pPr>
        <w:ind w:firstLine="426"/>
        <w:rPr>
          <w:rFonts w:cs="Times New Roman"/>
          <w:lang w:val="en-US"/>
        </w:rPr>
      </w:pPr>
      <w:r w:rsidRPr="003756AF">
        <w:rPr>
          <w:rFonts w:cs="Times New Roman"/>
          <w:lang w:val="en-US"/>
        </w:rPr>
        <w:t>Callimachus</w:t>
      </w:r>
      <w:r w:rsidR="00075F5F">
        <w:rPr>
          <w:rFonts w:cs="Times New Roman"/>
          <w:lang w:val="en-US"/>
        </w:rPr>
        <w:t>’</w:t>
      </w:r>
      <w:r w:rsidRPr="003756AF">
        <w:rPr>
          <w:rFonts w:cs="Times New Roman"/>
          <w:lang w:val="en-US"/>
        </w:rPr>
        <w:t xml:space="preserve"> self-proclaimed models, Hipponax and Ion of Chios, are characterised by their roles as performers. Callimachus consistently identifies himself as an </w:t>
      </w:r>
      <w:r w:rsidRPr="003756AF">
        <w:rPr>
          <w:rFonts w:cs="Times New Roman"/>
          <w:i/>
          <w:iCs/>
          <w:lang w:val="en-US"/>
        </w:rPr>
        <w:t>aoidos</w:t>
      </w:r>
      <w:r w:rsidRPr="003756AF">
        <w:rPr>
          <w:rFonts w:cs="Times New Roman"/>
          <w:lang w:val="en-US"/>
        </w:rPr>
        <w:t xml:space="preserve">, a performer. It seems the </w:t>
      </w:r>
      <w:r w:rsidRPr="003756AF">
        <w:rPr>
          <w:rFonts w:cs="Times New Roman"/>
          <w:i/>
          <w:iCs/>
          <w:lang w:val="en-US"/>
        </w:rPr>
        <w:t>Iambi</w:t>
      </w:r>
      <w:r w:rsidRPr="003756AF">
        <w:rPr>
          <w:rFonts w:cs="Times New Roman"/>
          <w:lang w:val="en-US"/>
        </w:rPr>
        <w:t xml:space="preserve"> were framed as symposia </w:t>
      </w:r>
      <w:r w:rsidR="007B344D">
        <w:rPr>
          <w:rFonts w:cs="Times New Roman"/>
          <w:lang w:val="en-US"/>
        </w:rPr>
        <w:t xml:space="preserve">perhaps </w:t>
      </w:r>
      <w:r w:rsidRPr="003756AF">
        <w:rPr>
          <w:rFonts w:cs="Times New Roman"/>
          <w:lang w:val="en-US"/>
        </w:rPr>
        <w:t>because they were influenced by philosophical symposia such as that of Plato</w:t>
      </w:r>
      <w:r w:rsidR="007B344D">
        <w:rPr>
          <w:rFonts w:cs="Times New Roman"/>
          <w:lang w:val="en-US"/>
        </w:rPr>
        <w:t>.</w:t>
      </w:r>
      <w:r w:rsidR="007B344D" w:rsidRPr="003756AF">
        <w:rPr>
          <w:rStyle w:val="FootnoteReference"/>
          <w:rFonts w:cs="Times New Roman"/>
          <w:lang w:val="en-US"/>
        </w:rPr>
        <w:footnoteReference w:id="553"/>
      </w:r>
      <w:r w:rsidR="007B344D" w:rsidRPr="003756AF">
        <w:rPr>
          <w:rFonts w:cs="Times New Roman"/>
          <w:lang w:val="en-US"/>
        </w:rPr>
        <w:t xml:space="preserve"> </w:t>
      </w:r>
      <w:r w:rsidRPr="003756AF">
        <w:rPr>
          <w:rFonts w:cs="Times New Roman"/>
          <w:lang w:val="en-US"/>
        </w:rPr>
        <w:t xml:space="preserve">The first lines of </w:t>
      </w:r>
      <w:r w:rsidRPr="003756AF">
        <w:rPr>
          <w:rFonts w:cs="Times New Roman"/>
          <w:i/>
          <w:iCs/>
          <w:lang w:val="en-US"/>
        </w:rPr>
        <w:t>Iambus</w:t>
      </w:r>
      <w:r w:rsidRPr="003756AF">
        <w:rPr>
          <w:rFonts w:cs="Times New Roman"/>
          <w:lang w:val="en-US"/>
        </w:rPr>
        <w:t xml:space="preserve"> 1 feature Hipponax, conjured up from the dead. Hipponax</w:t>
      </w:r>
      <w:r w:rsidR="00075F5F">
        <w:rPr>
          <w:rFonts w:cs="Times New Roman"/>
          <w:lang w:val="en-US"/>
        </w:rPr>
        <w:t>’</w:t>
      </w:r>
      <w:r w:rsidRPr="003756AF">
        <w:rPr>
          <w:rFonts w:cs="Times New Roman"/>
          <w:lang w:val="en-US"/>
        </w:rPr>
        <w:t xml:space="preserve">s address in this poem concerns the gracious behaviour of seven wise men. The poem depicts a dying Bathycles who raises himself </w:t>
      </w:r>
      <w:r w:rsidR="00CC0615">
        <w:rPr>
          <w:rFonts w:cs="Times New Roman"/>
          <w:lang w:val="en-US"/>
        </w:rPr>
        <w:t>“</w:t>
      </w:r>
      <w:r w:rsidRPr="003756AF">
        <w:rPr>
          <w:rFonts w:cs="Times New Roman"/>
          <w:lang w:val="en-US"/>
        </w:rPr>
        <w:t>like a drinker on his elbow</w:t>
      </w:r>
      <w:r w:rsidR="00CC0615">
        <w:rPr>
          <w:rFonts w:cs="Times New Roman"/>
          <w:lang w:val="en-US"/>
        </w:rPr>
        <w:t>”</w:t>
      </w:r>
      <w:r w:rsidRPr="003756AF">
        <w:rPr>
          <w:rFonts w:cs="Times New Roman"/>
          <w:lang w:val="en-US"/>
        </w:rPr>
        <w:t xml:space="preserve"> (μόλις δ</w:t>
      </w:r>
      <w:r w:rsidR="00075F5F">
        <w:rPr>
          <w:rFonts w:cs="Times New Roman"/>
          <w:lang w:val="en-US"/>
        </w:rPr>
        <w:t>’</w:t>
      </w:r>
      <w:r w:rsidRPr="003756AF">
        <w:rPr>
          <w:rFonts w:cs="Times New Roman"/>
          <w:lang w:val="en-US"/>
        </w:rPr>
        <w:t xml:space="preserve"> ἐπάρας ὡς πότης ἐπ</w:t>
      </w:r>
      <w:r w:rsidR="00075F5F">
        <w:rPr>
          <w:rFonts w:cs="Times New Roman"/>
          <w:lang w:val="en-US"/>
        </w:rPr>
        <w:t>’</w:t>
      </w:r>
      <w:r w:rsidRPr="003756AF">
        <w:rPr>
          <w:rFonts w:cs="Times New Roman"/>
          <w:lang w:val="en-US"/>
        </w:rPr>
        <w:t xml:space="preserve"> ἀγκῶνα, 43) and tries to pass his cup (symbol of symposium), which is meant for the wisest. However, each of the seven wise men decline</w:t>
      </w:r>
      <w:r w:rsidR="007B344D">
        <w:rPr>
          <w:rFonts w:cs="Times New Roman"/>
          <w:lang w:val="en-US"/>
        </w:rPr>
        <w:t>s</w:t>
      </w:r>
      <w:r w:rsidRPr="003756AF">
        <w:rPr>
          <w:rFonts w:cs="Times New Roman"/>
          <w:lang w:val="en-US"/>
        </w:rPr>
        <w:t xml:space="preserve"> to take the cup in favour of another candidate. Callimachus thus begins the </w:t>
      </w:r>
      <w:r w:rsidRPr="003756AF">
        <w:rPr>
          <w:rFonts w:cs="Times New Roman"/>
          <w:i/>
          <w:iCs/>
          <w:lang w:val="en-US"/>
        </w:rPr>
        <w:t>iambi</w:t>
      </w:r>
      <w:r w:rsidRPr="003756AF">
        <w:rPr>
          <w:rFonts w:cs="Times New Roman"/>
          <w:lang w:val="en-US"/>
        </w:rPr>
        <w:t xml:space="preserve"> with the instructive model of a poet who is attempting to convey the moral lessons attached to Bathycles</w:t>
      </w:r>
      <w:r w:rsidR="00075F5F">
        <w:rPr>
          <w:rFonts w:cs="Times New Roman"/>
          <w:lang w:val="en-US"/>
        </w:rPr>
        <w:t>’</w:t>
      </w:r>
      <w:r w:rsidRPr="003756AF">
        <w:rPr>
          <w:rFonts w:cs="Times New Roman"/>
          <w:lang w:val="en-US"/>
        </w:rPr>
        <w:t xml:space="preserve"> dying gift (unlike Plato, who would banish poets as teachers of men). </w:t>
      </w:r>
    </w:p>
    <w:p w14:paraId="31BCCD91" w14:textId="51171055" w:rsidR="00E212BA" w:rsidRPr="003756AF" w:rsidRDefault="00E212BA" w:rsidP="003756AF">
      <w:pPr>
        <w:ind w:firstLine="426"/>
        <w:rPr>
          <w:rFonts w:cs="Times New Roman"/>
          <w:lang w:val="en-US"/>
        </w:rPr>
      </w:pPr>
      <w:r w:rsidRPr="003756AF">
        <w:rPr>
          <w:rFonts w:cs="Times New Roman"/>
          <w:i/>
          <w:iCs/>
          <w:lang w:val="en-US"/>
        </w:rPr>
        <w:lastRenderedPageBreak/>
        <w:t>Iambus</w:t>
      </w:r>
      <w:r w:rsidRPr="003756AF">
        <w:rPr>
          <w:rFonts w:cs="Times New Roman"/>
          <w:lang w:val="en-US"/>
        </w:rPr>
        <w:t xml:space="preserve"> 13 begins with the speaker pouring a libation to Apollo and the Muses. Though a symposium setting was not required in the composition of the poem, such a setting would be appropriate given the clear parallels with </w:t>
      </w:r>
      <w:r w:rsidRPr="003756AF">
        <w:rPr>
          <w:rFonts w:cs="Times New Roman"/>
          <w:i/>
          <w:iCs/>
          <w:lang w:val="en-US"/>
        </w:rPr>
        <w:t>Iambus</w:t>
      </w:r>
      <w:r w:rsidRPr="003756AF">
        <w:rPr>
          <w:rFonts w:cs="Times New Roman"/>
          <w:lang w:val="en-US"/>
        </w:rPr>
        <w:t xml:space="preserve"> 1 and the ensuing dispute about proper poetry writing. Callimachus was thus conscious of his position and influence in such an environment just like his archaic predecessors. Moral and aesthetic judgments can be found in Callimachus</w:t>
      </w:r>
      <w:r w:rsidR="00075F5F">
        <w:rPr>
          <w:rFonts w:cs="Times New Roman"/>
          <w:lang w:val="en-US"/>
        </w:rPr>
        <w:t>’</w:t>
      </w:r>
      <w:r w:rsidRPr="003756AF">
        <w:rPr>
          <w:rFonts w:cs="Times New Roman"/>
          <w:lang w:val="en-US"/>
        </w:rPr>
        <w:t xml:space="preserve"> </w:t>
      </w:r>
      <w:r w:rsidRPr="003756AF">
        <w:rPr>
          <w:rFonts w:cs="Times New Roman"/>
          <w:i/>
          <w:iCs/>
          <w:lang w:val="en-US"/>
        </w:rPr>
        <w:t>Iambi</w:t>
      </w:r>
      <w:r w:rsidRPr="003756AF">
        <w:rPr>
          <w:rFonts w:cs="Times New Roman"/>
          <w:lang w:val="en-US"/>
        </w:rPr>
        <w:t xml:space="preserve">, </w:t>
      </w:r>
      <w:r w:rsidR="007B344D">
        <w:rPr>
          <w:rFonts w:cs="Times New Roman"/>
          <w:lang w:val="en-US"/>
        </w:rPr>
        <w:t xml:space="preserve">as well in Archilochus’ and Hipponax’s fragments. </w:t>
      </w:r>
      <w:r w:rsidRPr="003756AF">
        <w:rPr>
          <w:rFonts w:cs="Times New Roman"/>
          <w:i/>
          <w:iCs/>
          <w:lang w:val="en-US"/>
        </w:rPr>
        <w:t>Iambus</w:t>
      </w:r>
      <w:r w:rsidRPr="003756AF">
        <w:rPr>
          <w:rFonts w:cs="Times New Roman"/>
          <w:lang w:val="en-US"/>
        </w:rPr>
        <w:t xml:space="preserve"> 1 provides a general academic reflection on morals</w:t>
      </w:r>
      <w:r w:rsidR="007B344D">
        <w:rPr>
          <w:rFonts w:cs="Times New Roman"/>
          <w:lang w:val="en-US"/>
        </w:rPr>
        <w:t>, and</w:t>
      </w:r>
      <w:r w:rsidRPr="003756AF">
        <w:rPr>
          <w:rFonts w:cs="Times New Roman"/>
          <w:lang w:val="en-US"/>
        </w:rPr>
        <w:t xml:space="preserve"> Hipponax is the medium for the διάνοια of the poet. </w:t>
      </w:r>
    </w:p>
    <w:p w14:paraId="3326F670" w14:textId="35410D09" w:rsidR="00E212BA" w:rsidRPr="003756AF" w:rsidRDefault="00E212BA" w:rsidP="003756AF">
      <w:pPr>
        <w:spacing w:after="120"/>
        <w:ind w:firstLine="425"/>
        <w:rPr>
          <w:rFonts w:cs="Times New Roman"/>
          <w:lang w:val="en-US"/>
        </w:rPr>
      </w:pPr>
      <w:r w:rsidRPr="003756AF">
        <w:rPr>
          <w:rFonts w:cs="Times New Roman"/>
          <w:lang w:val="en-US"/>
        </w:rPr>
        <w:t xml:space="preserve">A number of </w:t>
      </w:r>
      <w:r w:rsidRPr="003756AF">
        <w:rPr>
          <w:rFonts w:cs="Times New Roman"/>
          <w:i/>
          <w:iCs/>
          <w:lang w:val="en-US"/>
        </w:rPr>
        <w:t>Iambi</w:t>
      </w:r>
      <w:r w:rsidRPr="003756AF">
        <w:rPr>
          <w:rFonts w:cs="Times New Roman"/>
          <w:lang w:val="en-US"/>
        </w:rPr>
        <w:t xml:space="preserve"> reflect a challenge to philosophy</w:t>
      </w:r>
      <w:r w:rsidR="00075F5F">
        <w:rPr>
          <w:rFonts w:cs="Times New Roman"/>
          <w:lang w:val="en-US"/>
        </w:rPr>
        <w:t>’</w:t>
      </w:r>
      <w:r w:rsidRPr="003756AF">
        <w:rPr>
          <w:rFonts w:cs="Times New Roman"/>
          <w:lang w:val="en-US"/>
        </w:rPr>
        <w:t>s superior claim with regard to preaching or teaching moral values. For instance:</w:t>
      </w:r>
    </w:p>
    <w:p w14:paraId="78C8FA74" w14:textId="77777777" w:rsidR="00E212BA" w:rsidRDefault="00E212BA" w:rsidP="003756AF">
      <w:pPr>
        <w:widowControl w:val="0"/>
        <w:numPr>
          <w:ilvl w:val="0"/>
          <w:numId w:val="196"/>
        </w:numPr>
        <w:tabs>
          <w:tab w:val="left" w:pos="720"/>
          <w:tab w:val="center" w:pos="5387"/>
        </w:tabs>
        <w:rPr>
          <w:lang w:val="en-US"/>
        </w:rPr>
      </w:pPr>
      <w:r>
        <w:rPr>
          <w:lang w:val="en-US"/>
        </w:rPr>
        <w:t xml:space="preserve">The preference of wealth over virtue is condemned in </w:t>
      </w:r>
      <w:r>
        <w:rPr>
          <w:i/>
          <w:iCs/>
          <w:lang w:val="en-US"/>
        </w:rPr>
        <w:t>Iambus</w:t>
      </w:r>
      <w:r>
        <w:rPr>
          <w:lang w:val="en-US"/>
        </w:rPr>
        <w:t xml:space="preserve"> 3, which features a young man named Euthydemus (sic) who is prostituted by his own mother to a rich old man.</w:t>
      </w:r>
    </w:p>
    <w:p w14:paraId="513D3731" w14:textId="3835B58F" w:rsidR="00E212BA" w:rsidRDefault="00E212BA" w:rsidP="003756AF">
      <w:pPr>
        <w:widowControl w:val="0"/>
        <w:numPr>
          <w:ilvl w:val="0"/>
          <w:numId w:val="196"/>
        </w:numPr>
        <w:tabs>
          <w:tab w:val="left" w:pos="720"/>
          <w:tab w:val="center" w:pos="5387"/>
        </w:tabs>
        <w:spacing w:after="120"/>
        <w:ind w:left="714" w:hanging="357"/>
        <w:rPr>
          <w:lang w:val="en-US"/>
        </w:rPr>
      </w:pPr>
      <w:r>
        <w:rPr>
          <w:lang w:val="en-US"/>
        </w:rPr>
        <w:t xml:space="preserve">The theme of promiscuous behaviour is reflected in </w:t>
      </w:r>
      <w:r>
        <w:rPr>
          <w:i/>
          <w:iCs/>
          <w:lang w:val="en-US"/>
        </w:rPr>
        <w:t>Iambus</w:t>
      </w:r>
      <w:r>
        <w:rPr>
          <w:lang w:val="en-US"/>
        </w:rPr>
        <w:t xml:space="preserve"> 5. According to the </w:t>
      </w:r>
      <w:r w:rsidRPr="009877AA">
        <w:rPr>
          <w:i/>
          <w:iCs/>
          <w:lang w:val="en-US"/>
        </w:rPr>
        <w:t>Diegesis</w:t>
      </w:r>
      <w:r>
        <w:rPr>
          <w:lang w:val="en-US"/>
        </w:rPr>
        <w:t>, Callimachus chastised a schoolmaster for sexually abusing his own students (τοὺς ἰδίους μαθητὰς καταισχύνοντα).</w:t>
      </w:r>
      <w:r>
        <w:rPr>
          <w:rStyle w:val="FootnoteReference"/>
          <w:lang w:val="en-US"/>
        </w:rPr>
        <w:footnoteReference w:id="554"/>
      </w:r>
      <w:r>
        <w:rPr>
          <w:lang w:val="en-US"/>
        </w:rPr>
        <w:t xml:space="preserve"> The poet uses a proverb: συμβουλὴ γὰρ ἕν τι τῶν ἱρῶν </w:t>
      </w:r>
      <w:r w:rsidR="00CC0615">
        <w:rPr>
          <w:lang w:val="en-US"/>
        </w:rPr>
        <w:t>“</w:t>
      </w:r>
      <w:r>
        <w:rPr>
          <w:lang w:val="en-US"/>
        </w:rPr>
        <w:t>advice is something sacred</w:t>
      </w:r>
      <w:r w:rsidR="00CC0615">
        <w:rPr>
          <w:lang w:val="en-US"/>
        </w:rPr>
        <w:t>”</w:t>
      </w:r>
      <w:r>
        <w:rPr>
          <w:lang w:val="en-US"/>
        </w:rPr>
        <w:t xml:space="preserve"> (1), where γάρ marks the didactic goal. This motto opens </w:t>
      </w:r>
      <w:r>
        <w:rPr>
          <w:i/>
          <w:iCs/>
          <w:lang w:val="en-US"/>
        </w:rPr>
        <w:t>Iambus</w:t>
      </w:r>
      <w:r>
        <w:rPr>
          <w:lang w:val="en-US"/>
        </w:rPr>
        <w:t xml:space="preserve"> 5, immediately reflecting the moralising and didactic purpose of the iamb. </w:t>
      </w:r>
    </w:p>
    <w:p w14:paraId="347B20CD" w14:textId="348AD211" w:rsidR="00E212BA" w:rsidRDefault="00E212BA" w:rsidP="003756AF">
      <w:pPr>
        <w:spacing w:after="120"/>
        <w:rPr>
          <w:lang w:val="en-US"/>
        </w:rPr>
      </w:pPr>
      <w:r>
        <w:rPr>
          <w:lang w:val="en-US"/>
        </w:rPr>
        <w:t>Callimachus</w:t>
      </w:r>
      <w:r w:rsidR="00075F5F">
        <w:rPr>
          <w:lang w:val="en-US"/>
        </w:rPr>
        <w:t>’</w:t>
      </w:r>
      <w:r>
        <w:rPr>
          <w:lang w:val="en-US"/>
        </w:rPr>
        <w:t xml:space="preserve"> </w:t>
      </w:r>
      <w:r>
        <w:rPr>
          <w:i/>
          <w:iCs/>
          <w:lang w:val="en-US"/>
        </w:rPr>
        <w:t xml:space="preserve">Iambi </w:t>
      </w:r>
      <w:r>
        <w:rPr>
          <w:lang w:val="en-US"/>
        </w:rPr>
        <w:t xml:space="preserve">and fragments from Archilochus and Hipponax illustrate the purpose for which </w:t>
      </w:r>
      <w:r>
        <w:rPr>
          <w:i/>
          <w:iCs/>
          <w:lang w:val="en-US"/>
        </w:rPr>
        <w:t>paideusis</w:t>
      </w:r>
      <w:r>
        <w:rPr>
          <w:lang w:val="en-US"/>
        </w:rPr>
        <w:t xml:space="preserve"> was used. Moral exhortation has been shown to be a prominent generic marker by Degani</w:t>
      </w:r>
      <w:r>
        <w:rPr>
          <w:rStyle w:val="FootnoteReference"/>
          <w:lang w:val="en-US"/>
        </w:rPr>
        <w:footnoteReference w:id="555"/>
      </w:r>
      <w:r>
        <w:rPr>
          <w:lang w:val="en-US"/>
        </w:rPr>
        <w:t xml:space="preserve"> and Bartol.</w:t>
      </w:r>
      <w:r>
        <w:rPr>
          <w:rStyle w:val="FootnoteReference"/>
          <w:lang w:val="en-US"/>
        </w:rPr>
        <w:footnoteReference w:id="556"/>
      </w:r>
      <w:r>
        <w:rPr>
          <w:lang w:val="en-US"/>
        </w:rPr>
        <w:t xml:space="preserve"> It seems likely that </w:t>
      </w:r>
      <w:r>
        <w:rPr>
          <w:i/>
          <w:iCs/>
          <w:lang w:val="en-US"/>
        </w:rPr>
        <w:t>gnomologia</w:t>
      </w:r>
      <w:r>
        <w:rPr>
          <w:lang w:val="en-US"/>
        </w:rPr>
        <w:t xml:space="preserve"> also circulated some of the poems by the iambographers as suggested for Plutarch</w:t>
      </w:r>
      <w:r w:rsidR="00075F5F">
        <w:rPr>
          <w:lang w:val="en-US"/>
        </w:rPr>
        <w:t>’</w:t>
      </w:r>
      <w:r>
        <w:rPr>
          <w:lang w:val="en-US"/>
        </w:rPr>
        <w:t>s citation of Semonides fr. 5 W by Bowie</w:t>
      </w:r>
      <w:r>
        <w:rPr>
          <w:rStyle w:val="FootnoteReference"/>
          <w:lang w:val="en-US"/>
        </w:rPr>
        <w:footnoteReference w:id="557"/>
      </w:r>
      <w:r>
        <w:rPr>
          <w:lang w:val="en-US"/>
        </w:rPr>
        <w:t xml:space="preserve"> and Tzetzes</w:t>
      </w:r>
      <w:r w:rsidR="00075F5F">
        <w:rPr>
          <w:lang w:val="en-US"/>
        </w:rPr>
        <w:t>’</w:t>
      </w:r>
      <w:r>
        <w:rPr>
          <w:lang w:val="en-US"/>
        </w:rPr>
        <w:t xml:space="preserve"> citation of Archilochus fr. 20 by Rotstein.</w:t>
      </w:r>
      <w:r>
        <w:rPr>
          <w:rStyle w:val="FootnoteReference"/>
          <w:lang w:val="en-US"/>
        </w:rPr>
        <w:footnoteReference w:id="558"/>
      </w:r>
      <w:r>
        <w:rPr>
          <w:lang w:val="en-US"/>
        </w:rPr>
        <w:t xml:space="preserve"> The paideutic and moralising aim of the iambic poetry is clearly shown by the main iambic themes in various ways:</w:t>
      </w:r>
    </w:p>
    <w:p w14:paraId="72A635AE" w14:textId="08D8A981" w:rsidR="00E212BA" w:rsidRDefault="00E212BA" w:rsidP="003756AF">
      <w:pPr>
        <w:widowControl w:val="0"/>
        <w:numPr>
          <w:ilvl w:val="0"/>
          <w:numId w:val="196"/>
        </w:numPr>
        <w:tabs>
          <w:tab w:val="left" w:pos="720"/>
          <w:tab w:val="center" w:pos="5387"/>
        </w:tabs>
        <w:ind w:left="714" w:hanging="357"/>
        <w:rPr>
          <w:lang w:val="en-US"/>
        </w:rPr>
      </w:pPr>
      <w:r>
        <w:rPr>
          <w:lang w:val="en-US"/>
        </w:rPr>
        <w:t xml:space="preserve">exclusion of those who are different: condemnation of the </w:t>
      </w:r>
      <w:r w:rsidR="00CC0615">
        <w:rPr>
          <w:lang w:val="en-US"/>
        </w:rPr>
        <w:t>“</w:t>
      </w:r>
      <w:r>
        <w:rPr>
          <w:lang w:val="en-US"/>
        </w:rPr>
        <w:t>other</w:t>
      </w:r>
      <w:r w:rsidR="00CC0615">
        <w:rPr>
          <w:lang w:val="en-US"/>
        </w:rPr>
        <w:t>”</w:t>
      </w:r>
      <w:r>
        <w:rPr>
          <w:lang w:val="en-US"/>
        </w:rPr>
        <w:t xml:space="preserve"> is typical of the iambic poetry as shown by the meaning of deictic οὕτος;</w:t>
      </w:r>
    </w:p>
    <w:p w14:paraId="6D6652EA" w14:textId="77777777" w:rsidR="00E212BA" w:rsidRDefault="00E212BA" w:rsidP="003756AF">
      <w:pPr>
        <w:widowControl w:val="0"/>
        <w:numPr>
          <w:ilvl w:val="0"/>
          <w:numId w:val="196"/>
        </w:numPr>
        <w:tabs>
          <w:tab w:val="left" w:pos="720"/>
          <w:tab w:val="center" w:pos="5387"/>
        </w:tabs>
        <w:ind w:left="714" w:hanging="357"/>
        <w:rPr>
          <w:lang w:val="en-US"/>
        </w:rPr>
      </w:pPr>
      <w:r>
        <w:rPr>
          <w:lang w:val="en-US"/>
        </w:rPr>
        <w:t>satire on physical defects;</w:t>
      </w:r>
    </w:p>
    <w:p w14:paraId="0987BAD8" w14:textId="77777777" w:rsidR="00E212BA" w:rsidRDefault="00E212BA" w:rsidP="003756AF">
      <w:pPr>
        <w:widowControl w:val="0"/>
        <w:numPr>
          <w:ilvl w:val="0"/>
          <w:numId w:val="196"/>
        </w:numPr>
        <w:tabs>
          <w:tab w:val="left" w:pos="720"/>
          <w:tab w:val="center" w:pos="5387"/>
        </w:tabs>
        <w:spacing w:after="120"/>
        <w:ind w:left="714" w:hanging="357"/>
        <w:rPr>
          <w:lang w:val="en-US"/>
        </w:rPr>
      </w:pPr>
      <w:r>
        <w:rPr>
          <w:lang w:val="en-US"/>
        </w:rPr>
        <w:lastRenderedPageBreak/>
        <w:t>sex: often the targets of the iambographers are upbraided for their sexual behaviour.</w:t>
      </w:r>
    </w:p>
    <w:p w14:paraId="3717B03C" w14:textId="326F1654" w:rsidR="00E212BA" w:rsidRDefault="00E212BA" w:rsidP="003756AF">
      <w:pPr>
        <w:rPr>
          <w:lang w:val="en-US"/>
        </w:rPr>
      </w:pPr>
      <w:r>
        <w:rPr>
          <w:lang w:val="en-US"/>
        </w:rPr>
        <w:t xml:space="preserve">The denunciation of individuals by the archaic iambographers should be considered as stigmatising examples of anti-social behaviour, rather than as violent attacks against a personal enemy. The central idea of iambic compositions after the Hellenistic period was the moralising aspect. This clearly did not take place by happenstance, according to </w:t>
      </w:r>
      <w:r w:rsidR="00CC0615">
        <w:rPr>
          <w:lang w:val="en-US"/>
        </w:rPr>
        <w:t>“</w:t>
      </w:r>
      <w:r>
        <w:rPr>
          <w:lang w:val="en-US"/>
        </w:rPr>
        <w:t>Menandrean</w:t>
      </w:r>
      <w:r w:rsidR="00CC0615">
        <w:rPr>
          <w:lang w:val="en-US"/>
        </w:rPr>
        <w:t>”</w:t>
      </w:r>
      <w:r>
        <w:rPr>
          <w:rStyle w:val="FootnoteReference"/>
          <w:lang w:val="en-US"/>
        </w:rPr>
        <w:footnoteReference w:id="559"/>
      </w:r>
      <w:r>
        <w:rPr>
          <w:lang w:val="en-US"/>
        </w:rPr>
        <w:t xml:space="preserve"> sentences as well as Babrius. Babrius declared that he renounced the roughness of the Hipponactean choliambics </w:t>
      </w:r>
      <w:r w:rsidR="00CC0615">
        <w:rPr>
          <w:lang w:val="en-US"/>
        </w:rPr>
        <w:t>“</w:t>
      </w:r>
      <w:r>
        <w:rPr>
          <w:lang w:val="en-US"/>
        </w:rPr>
        <w:t>without sharpening the iambics</w:t>
      </w:r>
      <w:r w:rsidR="00075F5F">
        <w:rPr>
          <w:lang w:val="en-US"/>
        </w:rPr>
        <w:t>’</w:t>
      </w:r>
      <w:r>
        <w:rPr>
          <w:lang w:val="en-US"/>
        </w:rPr>
        <w:t xml:space="preserve"> tusks.</w:t>
      </w:r>
      <w:r w:rsidR="00CC0615">
        <w:rPr>
          <w:lang w:val="en-US"/>
        </w:rPr>
        <w:t>”</w:t>
      </w:r>
      <w:r>
        <w:rPr>
          <w:rStyle w:val="FootnoteReference"/>
          <w:lang w:val="en-US"/>
        </w:rPr>
        <w:footnoteReference w:id="560"/>
      </w:r>
      <w:r>
        <w:rPr>
          <w:lang w:val="en-US"/>
        </w:rPr>
        <w:t xml:space="preserve"> It is highly plausible that the use of scazon metre in later narrative poetry imitates a group of third-century iambographers (Phoenix of Colophon, Hermeias of Curium, Parmeno of Byzantium, and Cercidas), whose moralising iambs are distincltly Hipponactean. In addition, the Christian poetry of the fourth century reflects the moralising purpose of the iambs by depicting them as a vehicle for moral doctrine. Examples of such poems include Amphilochius of Iconius</w:t>
      </w:r>
      <w:r w:rsidR="00075F5F">
        <w:rPr>
          <w:lang w:val="en-US"/>
        </w:rPr>
        <w:t>’</w:t>
      </w:r>
      <w:r>
        <w:rPr>
          <w:lang w:val="en-US"/>
        </w:rPr>
        <w:t xml:space="preserve"> </w:t>
      </w:r>
      <w:r>
        <w:rPr>
          <w:i/>
          <w:iCs/>
          <w:lang w:val="en-US"/>
        </w:rPr>
        <w:t>Iambi ad Seleucum</w:t>
      </w:r>
      <w:r>
        <w:rPr>
          <w:lang w:val="en-US"/>
        </w:rPr>
        <w:t xml:space="preserve"> and poems by Gregory of Nazianzus such as </w:t>
      </w:r>
      <w:r>
        <w:rPr>
          <w:i/>
          <w:iCs/>
          <w:lang w:val="en-US"/>
        </w:rPr>
        <w:t>On Virtue.</w:t>
      </w:r>
      <w:r>
        <w:rPr>
          <w:lang w:val="en-US"/>
        </w:rPr>
        <w:t xml:space="preserve"> </w:t>
      </w:r>
    </w:p>
    <w:p w14:paraId="4837A3D8" w14:textId="2DACE575" w:rsidR="005732E0" w:rsidRPr="008D5F6F" w:rsidRDefault="005732E0" w:rsidP="00825A39">
      <w:pPr>
        <w:pStyle w:val="Heading3"/>
      </w:pPr>
      <w:r w:rsidRPr="008D5F6F">
        <w:t xml:space="preserve">4.7 </w:t>
      </w:r>
      <w:r w:rsidRPr="00825A39">
        <w:rPr>
          <w:i/>
        </w:rPr>
        <w:t>Paideusis</w:t>
      </w:r>
      <w:r w:rsidRPr="008D5F6F">
        <w:t xml:space="preserve"> vs </w:t>
      </w:r>
      <w:r w:rsidR="008D5F6F">
        <w:t>Invective</w:t>
      </w:r>
      <w:r w:rsidRPr="00825A39">
        <w:t xml:space="preserve"> as Main Purpose of Iambic Poetry</w:t>
      </w:r>
      <w:r w:rsidRPr="008D5F6F">
        <w:t xml:space="preserve"> </w:t>
      </w:r>
    </w:p>
    <w:p w14:paraId="086985BE" w14:textId="1B9DED63" w:rsidR="00E212BA" w:rsidRDefault="00E212BA" w:rsidP="003756AF">
      <w:pPr>
        <w:rPr>
          <w:lang w:val="en-US"/>
        </w:rPr>
      </w:pPr>
      <w:r>
        <w:rPr>
          <w:lang w:val="en-US"/>
        </w:rPr>
        <w:t>I contend that employment of both code-switching and the sympotic context of iambic was meant to be paideusis and not invective. In this regard, Callimachus</w:t>
      </w:r>
      <w:r w:rsidR="00075F5F">
        <w:rPr>
          <w:lang w:val="en-US"/>
        </w:rPr>
        <w:t>’</w:t>
      </w:r>
      <w:r>
        <w:rPr>
          <w:lang w:val="en-US"/>
        </w:rPr>
        <w:t xml:space="preserve"> </w:t>
      </w:r>
      <w:r>
        <w:rPr>
          <w:i/>
          <w:iCs/>
          <w:lang w:val="en-US"/>
        </w:rPr>
        <w:t>Iambi</w:t>
      </w:r>
      <w:r>
        <w:rPr>
          <w:lang w:val="en-US"/>
        </w:rPr>
        <w:t xml:space="preserve"> reflect the authentic character of the iambic genre as opposed to a mitigated version of archaic iambs. I believe the poet understood the purpose and features of the genre, which are revived in his </w:t>
      </w:r>
      <w:r>
        <w:rPr>
          <w:i/>
          <w:iCs/>
          <w:lang w:val="en-US"/>
        </w:rPr>
        <w:t>Iambi</w:t>
      </w:r>
      <w:r>
        <w:rPr>
          <w:lang w:val="en-US"/>
        </w:rPr>
        <w:t xml:space="preserve">. Callimachus goes against the generally accepted perception of the iambs </w:t>
      </w:r>
      <w:r w:rsidR="007B344D">
        <w:rPr>
          <w:lang w:val="en-US"/>
        </w:rPr>
        <w:t xml:space="preserve">as invective poetry. </w:t>
      </w:r>
      <w:r>
        <w:rPr>
          <w:lang w:val="en-US"/>
        </w:rPr>
        <w:t xml:space="preserve">It is not surprising, therefore, that the </w:t>
      </w:r>
      <w:r>
        <w:rPr>
          <w:i/>
          <w:iCs/>
          <w:lang w:val="en-US"/>
        </w:rPr>
        <w:t xml:space="preserve">Iambi </w:t>
      </w:r>
      <w:r>
        <w:rPr>
          <w:lang w:val="en-US"/>
        </w:rPr>
        <w:t xml:space="preserve">are considered by many scholars to have deviated from the genre and to thus be an iambic anomaly. </w:t>
      </w:r>
    </w:p>
    <w:p w14:paraId="533C6EAA" w14:textId="3090093D" w:rsidR="00E212BA" w:rsidRDefault="00E212BA" w:rsidP="003756AF">
      <w:pPr>
        <w:ind w:firstLine="426"/>
        <w:rPr>
          <w:lang w:val="en-US"/>
        </w:rPr>
      </w:pPr>
      <w:r>
        <w:rPr>
          <w:lang w:val="en-US"/>
        </w:rPr>
        <w:t xml:space="preserve">It is worth noting that iambs did not begin as invective poetry and invective is not found only in </w:t>
      </w:r>
      <w:r>
        <w:rPr>
          <w:i/>
          <w:iCs/>
          <w:lang w:val="en-US"/>
        </w:rPr>
        <w:t>iamboi</w:t>
      </w:r>
      <w:r>
        <w:rPr>
          <w:lang w:val="en-US"/>
        </w:rPr>
        <w:t>.</w:t>
      </w:r>
      <w:r>
        <w:rPr>
          <w:rStyle w:val="FootnoteReference"/>
          <w:lang w:val="en-US"/>
        </w:rPr>
        <w:footnoteReference w:id="561"/>
      </w:r>
      <w:r>
        <w:rPr>
          <w:lang w:val="en-US"/>
        </w:rPr>
        <w:t xml:space="preserve"> Iambic poetry is not the only invective poetry and poets before Aristotle did not regard it as such. The idea that iambos was essentially abusive was highlighted by Aristotle, particularly in the </w:t>
      </w:r>
      <w:r>
        <w:rPr>
          <w:i/>
          <w:iCs/>
          <w:lang w:val="en-US"/>
        </w:rPr>
        <w:t>Poetics</w:t>
      </w:r>
      <w:r>
        <w:rPr>
          <w:lang w:val="en-US"/>
        </w:rPr>
        <w:t>.</w:t>
      </w:r>
      <w:r>
        <w:rPr>
          <w:rStyle w:val="FootnoteReference"/>
          <w:lang w:val="en-US"/>
        </w:rPr>
        <w:footnoteReference w:id="562"/>
      </w:r>
      <w:r>
        <w:rPr>
          <w:lang w:val="en-US"/>
        </w:rPr>
        <w:t xml:space="preserve"> According to Aristotle</w:t>
      </w:r>
      <w:r w:rsidR="00075F5F">
        <w:rPr>
          <w:lang w:val="en-US"/>
        </w:rPr>
        <w:t>’</w:t>
      </w:r>
      <w:r>
        <w:rPr>
          <w:lang w:val="en-US"/>
        </w:rPr>
        <w:t xml:space="preserve">s </w:t>
      </w:r>
      <w:r>
        <w:rPr>
          <w:lang w:val="en-US"/>
        </w:rPr>
        <w:lastRenderedPageBreak/>
        <w:t>interpretation, Pindar</w:t>
      </w:r>
      <w:r w:rsidR="00075F5F">
        <w:rPr>
          <w:lang w:val="en-US"/>
        </w:rPr>
        <w:t>’</w:t>
      </w:r>
      <w:r>
        <w:rPr>
          <w:lang w:val="en-US"/>
        </w:rPr>
        <w:t xml:space="preserve">s </w:t>
      </w:r>
      <w:r>
        <w:rPr>
          <w:i/>
          <w:iCs/>
          <w:lang w:val="en-US"/>
        </w:rPr>
        <w:t>Pythian</w:t>
      </w:r>
      <w:r>
        <w:rPr>
          <w:lang w:val="en-US"/>
        </w:rPr>
        <w:t xml:space="preserve"> ode (II 52-56) is often taken as programmatic, and the reference to Archilochus is understood as an allusion to iamb. However, </w:t>
      </w:r>
      <w:r w:rsidR="007B344D">
        <w:rPr>
          <w:lang w:val="en-US"/>
        </w:rPr>
        <w:t xml:space="preserve">Archilochus as the archetype of invective poetry (a dominant feature of iambs as a genre), emerged towards the end of the fourth century BCE. The definition of iambos as “invective in metre” arose from the consolidation of </w:t>
      </w:r>
      <w:r w:rsidR="007B344D">
        <w:rPr>
          <w:i/>
          <w:iCs/>
          <w:lang w:val="en-US"/>
        </w:rPr>
        <w:t>psogos</w:t>
      </w:r>
      <w:r w:rsidR="007B344D">
        <w:rPr>
          <w:lang w:val="en-US"/>
        </w:rPr>
        <w:t xml:space="preserve"> and </w:t>
      </w:r>
      <w:r w:rsidR="007B344D">
        <w:rPr>
          <w:i/>
          <w:iCs/>
          <w:lang w:val="en-US"/>
        </w:rPr>
        <w:t>kakegoria</w:t>
      </w:r>
      <w:r w:rsidR="007B344D">
        <w:rPr>
          <w:lang w:val="en-US"/>
        </w:rPr>
        <w:t xml:space="preserve"> as </w:t>
      </w:r>
      <w:r>
        <w:rPr>
          <w:lang w:val="en-US"/>
        </w:rPr>
        <w:t>the dominant feature</w:t>
      </w:r>
      <w:r w:rsidR="007B344D">
        <w:rPr>
          <w:lang w:val="en-US"/>
        </w:rPr>
        <w:t>s</w:t>
      </w:r>
      <w:r>
        <w:rPr>
          <w:lang w:val="en-US"/>
        </w:rPr>
        <w:t xml:space="preserve"> of Archilochus</w:t>
      </w:r>
      <w:r w:rsidR="00075F5F">
        <w:rPr>
          <w:lang w:val="en-US"/>
        </w:rPr>
        <w:t>’</w:t>
      </w:r>
      <w:r>
        <w:rPr>
          <w:lang w:val="en-US"/>
        </w:rPr>
        <w:t xml:space="preserve"> poetry. </w:t>
      </w:r>
    </w:p>
    <w:p w14:paraId="1BE1A6F4" w14:textId="4719CF69" w:rsidR="00E212BA" w:rsidRDefault="00493904" w:rsidP="00493904">
      <w:pPr>
        <w:ind w:firstLine="426"/>
        <w:rPr>
          <w:lang w:val="en-US"/>
        </w:rPr>
      </w:pPr>
      <w:r>
        <w:rPr>
          <w:lang w:val="en-US"/>
        </w:rPr>
        <w:t xml:space="preserve">Furthermore, </w:t>
      </w:r>
      <w:r w:rsidR="00E212BA">
        <w:rPr>
          <w:lang w:val="en-US"/>
        </w:rPr>
        <w:t xml:space="preserve">Hellenistic perception of Archilochus, Hipponax, and Semonides </w:t>
      </w:r>
      <w:r>
        <w:rPr>
          <w:lang w:val="en-US"/>
        </w:rPr>
        <w:t xml:space="preserve">is influenced by their biographies, since </w:t>
      </w:r>
      <w:r w:rsidR="007B344D" w:rsidRPr="003756AF">
        <w:rPr>
          <w:rFonts w:cs="Times New Roman"/>
          <w:lang w:val="en-US"/>
        </w:rPr>
        <w:t xml:space="preserve">archaic poets were not always separable from their biographies. </w:t>
      </w:r>
      <w:r w:rsidR="00E212BA">
        <w:rPr>
          <w:lang w:val="en-US"/>
        </w:rPr>
        <w:t>Archilochus is a great hater (βλάσφημος) and a reviler whose abusive slander (λοιδορία) and disgraceful frankness (παρρησία) drove Lycambes and his daughters into suicide.</w:t>
      </w:r>
      <w:r w:rsidR="00E212BA">
        <w:rPr>
          <w:rStyle w:val="FootnoteReference"/>
          <w:lang w:val="en-US"/>
        </w:rPr>
        <w:footnoteReference w:id="563"/>
      </w:r>
      <w:r>
        <w:rPr>
          <w:lang w:val="en-US"/>
        </w:rPr>
        <w:t xml:space="preserve"> </w:t>
      </w:r>
      <w:r w:rsidR="00075F5F">
        <w:rPr>
          <w:lang w:val="en-US"/>
        </w:rPr>
        <w:t xml:space="preserve">Hipponax’s </w:t>
      </w:r>
      <w:r w:rsidR="00E212BA">
        <w:rPr>
          <w:lang w:val="en-US"/>
        </w:rPr>
        <w:t>image in the Hellenistic epigrams is similar to that of Archilochus.</w:t>
      </w:r>
      <w:r w:rsidR="00E212BA">
        <w:rPr>
          <w:rStyle w:val="FootnoteReference"/>
          <w:lang w:val="en-US"/>
        </w:rPr>
        <w:footnoteReference w:id="564"/>
      </w:r>
      <w:r w:rsidR="00E212BA">
        <w:rPr>
          <w:lang w:val="en-US"/>
        </w:rPr>
        <w:t xml:space="preserve"> His biographical legend tells that he composed poems reviling his personal enemies (Bupalus and Athenis), which drove them to suicide.</w:t>
      </w:r>
      <w:r w:rsidR="00E212BA">
        <w:rPr>
          <w:rStyle w:val="FootnoteReference"/>
          <w:lang w:val="en-US"/>
        </w:rPr>
        <w:footnoteReference w:id="565"/>
      </w:r>
      <w:r w:rsidR="00E212BA">
        <w:rPr>
          <w:lang w:val="en-US"/>
        </w:rPr>
        <w:t xml:space="preserve"> </w:t>
      </w:r>
    </w:p>
    <w:p w14:paraId="0F039525" w14:textId="52CA49C4" w:rsidR="005732E0" w:rsidRPr="008D5F6F" w:rsidRDefault="005732E0" w:rsidP="003756AF">
      <w:pPr>
        <w:pStyle w:val="Heading3"/>
      </w:pPr>
      <w:r w:rsidRPr="008D5F6F">
        <w:t xml:space="preserve">4.8 Hipponax as a </w:t>
      </w:r>
      <w:r w:rsidRPr="001E6CE6">
        <w:rPr>
          <w:i/>
        </w:rPr>
        <w:t>Persona</w:t>
      </w:r>
      <w:r w:rsidRPr="008D5F6F">
        <w:t xml:space="preserve"> in Callimachus</w:t>
      </w:r>
      <w:r w:rsidR="00075F5F">
        <w:t>’</w:t>
      </w:r>
      <w:r w:rsidRPr="008D5F6F">
        <w:t xml:space="preserve"> </w:t>
      </w:r>
      <w:r w:rsidRPr="001E6CE6">
        <w:rPr>
          <w:i/>
        </w:rPr>
        <w:t>Iambus</w:t>
      </w:r>
      <w:r w:rsidRPr="008D5F6F">
        <w:t xml:space="preserve"> 1</w:t>
      </w:r>
    </w:p>
    <w:p w14:paraId="2EFFA9D1" w14:textId="7B8FA8AB" w:rsidR="00E212BA" w:rsidRDefault="00E212BA" w:rsidP="003756AF">
      <w:pPr>
        <w:rPr>
          <w:lang w:val="en-US"/>
        </w:rPr>
      </w:pPr>
      <w:r>
        <w:rPr>
          <w:lang w:val="en-US"/>
        </w:rPr>
        <w:t>The image of the iamb classics, particularly those of Archilochus, determines the image of iambic poetry. The question thus arises: why was Hipponax used as a model in Callimachus</w:t>
      </w:r>
      <w:r w:rsidR="00075F5F">
        <w:rPr>
          <w:lang w:val="en-US"/>
        </w:rPr>
        <w:t>’</w:t>
      </w:r>
      <w:r>
        <w:rPr>
          <w:lang w:val="en-US"/>
        </w:rPr>
        <w:t xml:space="preserve"> </w:t>
      </w:r>
      <w:r>
        <w:rPr>
          <w:i/>
          <w:iCs/>
          <w:lang w:val="en-US"/>
        </w:rPr>
        <w:t>Iambi</w:t>
      </w:r>
      <w:r>
        <w:rPr>
          <w:lang w:val="en-US"/>
        </w:rPr>
        <w:t xml:space="preserve"> instead of Archilochus? Archilochus was the founder (ἥρως κτίστης) of iambic poetry.</w:t>
      </w:r>
      <w:r>
        <w:rPr>
          <w:rStyle w:val="FootnoteReference"/>
          <w:lang w:val="en-US"/>
        </w:rPr>
        <w:footnoteReference w:id="566"/>
      </w:r>
      <w:r>
        <w:rPr>
          <w:lang w:val="en-US"/>
        </w:rPr>
        <w:t xml:space="preserve"> Another question: to what extent </w:t>
      </w:r>
      <w:r w:rsidRPr="009877AA">
        <w:rPr>
          <w:i/>
          <w:iCs/>
          <w:lang w:val="en-US"/>
        </w:rPr>
        <w:t>is</w:t>
      </w:r>
      <w:r>
        <w:rPr>
          <w:lang w:val="en-US"/>
        </w:rPr>
        <w:t xml:space="preserve"> Hipponax a model for Callimachus</w:t>
      </w:r>
      <w:r w:rsidR="00075F5F">
        <w:rPr>
          <w:lang w:val="en-US"/>
        </w:rPr>
        <w:t>’</w:t>
      </w:r>
      <w:r>
        <w:rPr>
          <w:lang w:val="en-US"/>
        </w:rPr>
        <w:t xml:space="preserve"> </w:t>
      </w:r>
      <w:r>
        <w:rPr>
          <w:i/>
          <w:iCs/>
          <w:lang w:val="en-US"/>
        </w:rPr>
        <w:t>Iambi</w:t>
      </w:r>
      <w:r>
        <w:rPr>
          <w:lang w:val="en-US"/>
        </w:rPr>
        <w:t>?</w:t>
      </w:r>
    </w:p>
    <w:p w14:paraId="6B843B03" w14:textId="30F20189" w:rsidR="003756AF" w:rsidRPr="00E67FCC" w:rsidRDefault="00E212BA" w:rsidP="003756AF">
      <w:pPr>
        <w:autoSpaceDE w:val="0"/>
        <w:autoSpaceDN w:val="0"/>
        <w:adjustRightInd w:val="0"/>
        <w:ind w:firstLine="426"/>
        <w:rPr>
          <w:rFonts w:cs="Times New Roman"/>
        </w:rPr>
      </w:pPr>
      <w:r>
        <w:rPr>
          <w:lang w:val="en-US"/>
        </w:rPr>
        <w:t>The image of the three canonical iambiographers</w:t>
      </w:r>
      <w:r w:rsidR="00493904">
        <w:rPr>
          <w:lang w:val="en-US"/>
        </w:rPr>
        <w:t xml:space="preserve"> (Archilochus, Hipponax, and Semonides)</w:t>
      </w:r>
      <w:r>
        <w:rPr>
          <w:lang w:val="en-US"/>
        </w:rPr>
        <w:t xml:space="preserve"> is homogeneous in terms of character, temper, and mood. There is, however, a clear distinction between the three with regard to prominence. For instance, Theocritus treats Archilochus and Hipponax alike while setting himself against the </w:t>
      </w:r>
      <w:r>
        <w:rPr>
          <w:i/>
          <w:iCs/>
          <w:lang w:val="en-US"/>
        </w:rPr>
        <w:t>communis opinion</w:t>
      </w:r>
      <w:r>
        <w:rPr>
          <w:lang w:val="en-US"/>
        </w:rPr>
        <w:t>. Diphilus in his play</w:t>
      </w:r>
      <w:r>
        <w:rPr>
          <w:i/>
          <w:iCs/>
          <w:lang w:val="en-US"/>
        </w:rPr>
        <w:t xml:space="preserve"> Sappho</w:t>
      </w:r>
      <w:r>
        <w:rPr>
          <w:rStyle w:val="FootnoteReference"/>
          <w:lang w:val="en-US"/>
        </w:rPr>
        <w:footnoteReference w:id="567"/>
      </w:r>
      <w:r>
        <w:rPr>
          <w:lang w:val="en-US"/>
        </w:rPr>
        <w:t xml:space="preserve"> places Archilochus and </w:t>
      </w:r>
      <w:r>
        <w:rPr>
          <w:lang w:val="en-US"/>
        </w:rPr>
        <w:lastRenderedPageBreak/>
        <w:t xml:space="preserve">Hipponax together as characters, implying that they belonged to the same group (Ath. 599d): </w:t>
      </w:r>
    </w:p>
    <w:p w14:paraId="438461A0" w14:textId="77777777" w:rsidR="005732E0" w:rsidRPr="008D5F6F" w:rsidRDefault="005732E0" w:rsidP="003756AF">
      <w:pPr>
        <w:autoSpaceDE w:val="0"/>
        <w:autoSpaceDN w:val="0"/>
        <w:adjustRightInd w:val="0"/>
        <w:ind w:firstLine="426"/>
      </w:pP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58"/>
        <w:gridCol w:w="3680"/>
      </w:tblGrid>
      <w:tr w:rsidR="005732E0" w:rsidRPr="00365089" w14:paraId="3C681F76" w14:textId="77777777" w:rsidTr="00890EB4">
        <w:tc>
          <w:tcPr>
            <w:tcW w:w="4258" w:type="dxa"/>
          </w:tcPr>
          <w:p w14:paraId="4E9E0EE0" w14:textId="77777777" w:rsidR="005732E0" w:rsidRPr="00365089" w:rsidRDefault="005732E0" w:rsidP="008D5F6F">
            <w:pPr>
              <w:pStyle w:val="Blockquote"/>
              <w:rPr>
                <w:sz w:val="22"/>
                <w:szCs w:val="22"/>
              </w:rPr>
            </w:pPr>
            <w:r w:rsidRPr="00365089">
              <w:rPr>
                <w:sz w:val="22"/>
                <w:szCs w:val="22"/>
              </w:rPr>
              <w:t>καὶ γὰρ Δίφιλος ὁ κωμῳδιοποιὸς πεποίηκεν ἐν Σαπφοῖ δράματι Σαπφοῦς ἐραστὰς Ἀρχίλοχον καὶ Ἱππώνακτα.</w:t>
            </w:r>
          </w:p>
        </w:tc>
        <w:tc>
          <w:tcPr>
            <w:tcW w:w="3680" w:type="dxa"/>
          </w:tcPr>
          <w:p w14:paraId="20AD88DC" w14:textId="1FBCBE01" w:rsidR="005732E0" w:rsidRPr="00365089" w:rsidRDefault="005732E0" w:rsidP="008D5F6F">
            <w:pPr>
              <w:pStyle w:val="Blockquote"/>
              <w:rPr>
                <w:sz w:val="22"/>
                <w:szCs w:val="22"/>
              </w:rPr>
            </w:pPr>
            <w:r w:rsidRPr="00365089">
              <w:rPr>
                <w:sz w:val="22"/>
                <w:szCs w:val="22"/>
              </w:rPr>
              <w:t>In the play entitled Sappho Diphilus, the comedy writer, made Archilochus and Hipponax Sappho</w:t>
            </w:r>
            <w:r w:rsidR="00075F5F">
              <w:rPr>
                <w:sz w:val="22"/>
                <w:szCs w:val="22"/>
              </w:rPr>
              <w:t>’</w:t>
            </w:r>
            <w:r w:rsidRPr="00365089">
              <w:rPr>
                <w:sz w:val="22"/>
                <w:szCs w:val="22"/>
              </w:rPr>
              <w:t>s lovers</w:t>
            </w:r>
          </w:p>
        </w:tc>
      </w:tr>
    </w:tbl>
    <w:p w14:paraId="018BCCE9" w14:textId="77777777" w:rsidR="005732E0" w:rsidRPr="008D5F6F" w:rsidRDefault="005732E0" w:rsidP="008D5F6F">
      <w:pPr>
        <w:pStyle w:val="Blockquote"/>
      </w:pPr>
    </w:p>
    <w:p w14:paraId="6C1392EC" w14:textId="3BE47E4C" w:rsidR="00E212BA" w:rsidRDefault="00E212BA" w:rsidP="003756AF">
      <w:pPr>
        <w:rPr>
          <w:lang w:val="en-US"/>
        </w:rPr>
      </w:pPr>
      <w:r>
        <w:rPr>
          <w:lang w:val="en-US"/>
        </w:rPr>
        <w:t>Archilochus and Hipponax in Diphilus of Sinope</w:t>
      </w:r>
      <w:r w:rsidR="00075F5F">
        <w:rPr>
          <w:lang w:val="en-US"/>
        </w:rPr>
        <w:t>’</w:t>
      </w:r>
      <w:r>
        <w:rPr>
          <w:lang w:val="en-US"/>
        </w:rPr>
        <w:t xml:space="preserve">s play </w:t>
      </w:r>
      <w:r>
        <w:rPr>
          <w:i/>
          <w:iCs/>
          <w:lang w:val="en-US"/>
        </w:rPr>
        <w:t xml:space="preserve">Sappho </w:t>
      </w:r>
      <w:r>
        <w:rPr>
          <w:lang w:val="en-US"/>
        </w:rPr>
        <w:t>might have been rival suitors, as suggested by the word ἐρασταί. The two iambic poets were taken as representatives of one and the same type of poetry in a parody of their style and diction, which was then contrasted with that of Sappho.</w:t>
      </w:r>
      <w:r>
        <w:rPr>
          <w:rStyle w:val="FootnoteReference"/>
          <w:lang w:val="en-US"/>
        </w:rPr>
        <w:footnoteReference w:id="568"/>
      </w:r>
      <w:r>
        <w:rPr>
          <w:lang w:val="en-US"/>
        </w:rPr>
        <w:t xml:space="preserve"> Diphilus</w:t>
      </w:r>
      <w:r w:rsidR="00075F5F">
        <w:rPr>
          <w:lang w:val="en-US"/>
        </w:rPr>
        <w:t>’</w:t>
      </w:r>
      <w:r>
        <w:rPr>
          <w:lang w:val="en-US"/>
        </w:rPr>
        <w:t xml:space="preserve"> </w:t>
      </w:r>
      <w:r>
        <w:rPr>
          <w:i/>
          <w:iCs/>
          <w:lang w:val="en-US"/>
        </w:rPr>
        <w:t>Sappho</w:t>
      </w:r>
      <w:r>
        <w:rPr>
          <w:lang w:val="en-US"/>
        </w:rPr>
        <w:t xml:space="preserve"> represents the earliest joint reference of Archilochus and Hipponax together. The fact that Diphilus placed the two poets as characters in the same play probably implies that both were perceived to belong to the same generic category or group. Diphilus</w:t>
      </w:r>
      <w:r w:rsidR="00075F5F">
        <w:rPr>
          <w:lang w:val="en-US"/>
        </w:rPr>
        <w:t>’</w:t>
      </w:r>
      <w:r>
        <w:rPr>
          <w:lang w:val="en-US"/>
        </w:rPr>
        <w:t xml:space="preserve">s use of these two iambic poets, who later appear as canonic iambiographers, indicates a transition occurred at the end of the fourth century BCE from the idea of iambos as a genre defined by an archetypal model towards the perception of iambos as a genre defined by its dominant features. It is likely that this transition took place simultaneously with a growing perception that </w:t>
      </w:r>
      <w:r>
        <w:rPr>
          <w:i/>
          <w:iCs/>
          <w:lang w:val="en-US"/>
        </w:rPr>
        <w:t>iambos</w:t>
      </w:r>
      <w:r>
        <w:rPr>
          <w:lang w:val="en-US"/>
        </w:rPr>
        <w:t xml:space="preserve"> belonged to the general broader category of </w:t>
      </w:r>
      <w:r>
        <w:rPr>
          <w:i/>
          <w:iCs/>
          <w:lang w:val="en-US"/>
        </w:rPr>
        <w:t>psogos</w:t>
      </w:r>
      <w:r>
        <w:rPr>
          <w:lang w:val="en-US"/>
        </w:rPr>
        <w:t xml:space="preserve">. From Plato onwards </w:t>
      </w:r>
      <w:r>
        <w:rPr>
          <w:i/>
          <w:iCs/>
          <w:lang w:val="en-US"/>
        </w:rPr>
        <w:t>iambos</w:t>
      </w:r>
      <w:r>
        <w:rPr>
          <w:lang w:val="en-US"/>
        </w:rPr>
        <w:t xml:space="preserve"> had been linked frequently with invective poetry and was grouped together with comedy. </w:t>
      </w:r>
    </w:p>
    <w:p w14:paraId="45F8634B" w14:textId="41BB2EBD" w:rsidR="00E212BA" w:rsidRDefault="00E212BA" w:rsidP="003756AF">
      <w:pPr>
        <w:ind w:firstLine="426"/>
        <w:rPr>
          <w:lang w:val="en-US"/>
        </w:rPr>
      </w:pPr>
      <w:r>
        <w:rPr>
          <w:lang w:val="en-US"/>
        </w:rPr>
        <w:t>The fact that Archilochus and Hipponax were presented as belonging to the same kind of poetry in spite of their differences, a kind of poetry which contrasted to Sappho</w:t>
      </w:r>
      <w:r w:rsidR="00075F5F">
        <w:rPr>
          <w:lang w:val="en-US"/>
        </w:rPr>
        <w:t>’</w:t>
      </w:r>
      <w:r>
        <w:rPr>
          <w:lang w:val="en-US"/>
        </w:rPr>
        <w:t xml:space="preserve">s, indicates a change from the view of Archilochus as the almost univocal archetypal model for invective poetry. The dominant feature of invective came to be identified with the </w:t>
      </w:r>
      <w:r>
        <w:rPr>
          <w:i/>
          <w:iCs/>
          <w:lang w:val="en-US"/>
        </w:rPr>
        <w:t>iambos</w:t>
      </w:r>
      <w:r>
        <w:rPr>
          <w:lang w:val="en-US"/>
        </w:rPr>
        <w:t xml:space="preserve"> genre.</w:t>
      </w:r>
    </w:p>
    <w:p w14:paraId="6505FBF3" w14:textId="3533B28B" w:rsidR="00E212BA" w:rsidRDefault="00E212BA" w:rsidP="003756AF">
      <w:pPr>
        <w:ind w:firstLine="426"/>
        <w:rPr>
          <w:lang w:val="en-US"/>
        </w:rPr>
      </w:pPr>
      <w:r>
        <w:rPr>
          <w:lang w:val="en-US"/>
        </w:rPr>
        <w:t xml:space="preserve">In this way, the identification of Archilochus as a prototype for the genre lessened, and Hipponax was introduced as a second prototype who was perceived to share the dominant feature. It seems that we are witnessing a development from a concept of the genre which depends primarily on its archetypical representative towards </w:t>
      </w:r>
      <w:r>
        <w:rPr>
          <w:i/>
          <w:iCs/>
          <w:lang w:val="en-US"/>
        </w:rPr>
        <w:t>iambos</w:t>
      </w:r>
      <w:r>
        <w:rPr>
          <w:lang w:val="en-US"/>
        </w:rPr>
        <w:t xml:space="preserve"> as a genre defined by virtue of its dominant features. But the dominant feature of the iambic genre may have been variety and not invective: Callimachus was aware of the dominant features of the genre and he gave precedence </w:t>
      </w:r>
      <w:r>
        <w:rPr>
          <w:lang w:val="en-US"/>
        </w:rPr>
        <w:lastRenderedPageBreak/>
        <w:t xml:space="preserve">to variety in his </w:t>
      </w:r>
      <w:r>
        <w:rPr>
          <w:i/>
          <w:iCs/>
          <w:lang w:val="en-US"/>
        </w:rPr>
        <w:t>Iambi</w:t>
      </w:r>
      <w:r>
        <w:rPr>
          <w:lang w:val="en-US"/>
        </w:rPr>
        <w:t>. Callimachus</w:t>
      </w:r>
      <w:r w:rsidR="00075F5F">
        <w:rPr>
          <w:lang w:val="en-US"/>
        </w:rPr>
        <w:t>’</w:t>
      </w:r>
      <w:r>
        <w:rPr>
          <w:lang w:val="en-US"/>
        </w:rPr>
        <w:t xml:space="preserve"> Hipponax does not bring on scene the battle against Bupalus, but </w:t>
      </w:r>
      <w:r w:rsidR="007358E4">
        <w:rPr>
          <w:lang w:val="en-US"/>
        </w:rPr>
        <w:t xml:space="preserve">his </w:t>
      </w:r>
      <w:r>
        <w:rPr>
          <w:lang w:val="en-US"/>
        </w:rPr>
        <w:t>varying language.</w:t>
      </w:r>
    </w:p>
    <w:p w14:paraId="319F92F6" w14:textId="32282411" w:rsidR="00E212BA" w:rsidRDefault="00E212BA" w:rsidP="003756AF">
      <w:pPr>
        <w:ind w:firstLine="426"/>
        <w:rPr>
          <w:lang w:val="en-US"/>
        </w:rPr>
      </w:pPr>
      <w:r>
        <w:rPr>
          <w:lang w:val="en-US"/>
        </w:rPr>
        <w:t>It is clear that the language used by Hipponax is more varied and mixed in comparison to that used by Archilochus. While Archilochus uses a language that is close to the epic language, Hipponax uses many elements from the spoken language of his Ephesus, a city on the border between Greece and Asia. In addition, the fragments by Hipponax reflect a wider variety of themes when compared with those by Archilochus. While the later focused mostly on his political and social environment, Hipponax is less concerned with these elements in Ephesus (though they are mentioned in some sections). Thus, Callimachus may have chosen to use Hipponax because of Hipponax</w:t>
      </w:r>
      <w:r w:rsidR="00075F5F">
        <w:rPr>
          <w:lang w:val="en-US"/>
        </w:rPr>
        <w:t>’</w:t>
      </w:r>
      <w:r>
        <w:rPr>
          <w:lang w:val="en-US"/>
        </w:rPr>
        <w:t xml:space="preserve">s variety in thematic and linguistic aspects. Callimachus portrays him in a way that highlights this. The poet demonstrates loyalty to the model in his iambic journey (though Ephesus is avoided for the sake of variety). </w:t>
      </w:r>
    </w:p>
    <w:p w14:paraId="57567253" w14:textId="5CEB7CA3" w:rsidR="005732E0" w:rsidRPr="004819D9" w:rsidRDefault="00A1009F" w:rsidP="004819D9">
      <w:pPr>
        <w:pStyle w:val="Heading3"/>
      </w:pPr>
      <w:r w:rsidRPr="004819D9">
        <w:t>Summary</w:t>
      </w:r>
    </w:p>
    <w:p w14:paraId="00982F4F" w14:textId="7C23BD7E" w:rsidR="00E212BA" w:rsidRDefault="00E212BA" w:rsidP="003756AF">
      <w:pPr>
        <w:rPr>
          <w:lang w:val="en-US"/>
        </w:rPr>
      </w:pPr>
      <w:r>
        <w:rPr>
          <w:lang w:val="en-US"/>
        </w:rPr>
        <w:t>The over-arching aim of this chapter was to show the complex of elements which contribute to the multifarious structure of Callimachus</w:t>
      </w:r>
      <w:r w:rsidR="00075F5F">
        <w:rPr>
          <w:lang w:val="en-US"/>
        </w:rPr>
        <w:t>’</w:t>
      </w:r>
      <w:r>
        <w:rPr>
          <w:lang w:val="en-US"/>
        </w:rPr>
        <w:t xml:space="preserve"> </w:t>
      </w:r>
      <w:r>
        <w:rPr>
          <w:i/>
          <w:iCs/>
          <w:lang w:val="en-US"/>
        </w:rPr>
        <w:t>Iambi</w:t>
      </w:r>
      <w:r>
        <w:rPr>
          <w:lang w:val="en-US"/>
        </w:rPr>
        <w:t>. I argued in particular that the Alexandrian poet recognises variety in language and content as a fundamental and characteristic feature of the iambic genre. For this reason, I suggest, ancient Greek iambs can be studied through methodologies that detect code-switching, such as Myers-Scotton</w:t>
      </w:r>
      <w:r w:rsidR="00075F5F">
        <w:rPr>
          <w:lang w:val="en-US"/>
        </w:rPr>
        <w:t>’</w:t>
      </w:r>
      <w:r>
        <w:rPr>
          <w:lang w:val="en-US"/>
        </w:rPr>
        <w:t xml:space="preserve">s </w:t>
      </w:r>
      <w:r w:rsidR="00075F5F">
        <w:rPr>
          <w:lang w:val="en-US"/>
        </w:rPr>
        <w:t>‘</w:t>
      </w:r>
      <w:r>
        <w:rPr>
          <w:lang w:val="en-US"/>
        </w:rPr>
        <w:t>Matrix Language Frame</w:t>
      </w:r>
      <w:r w:rsidR="00075F5F">
        <w:rPr>
          <w:lang w:val="en-US"/>
        </w:rPr>
        <w:t>’</w:t>
      </w:r>
      <w:r>
        <w:rPr>
          <w:lang w:val="en-US"/>
        </w:rPr>
        <w:t xml:space="preserve"> model. This kind of analysis highlights linguistic shifts, and reveals the pragmatic functions of variety in iambic poetry. Iambographers are well-disguised moralisers who adapt their language to the world they share with their audience, in order to make their message both easily understandable and attractive to the audience</w:t>
      </w:r>
      <w:r w:rsidR="00075F5F">
        <w:rPr>
          <w:lang w:val="en-US"/>
        </w:rPr>
        <w:t>’</w:t>
      </w:r>
      <w:r>
        <w:rPr>
          <w:lang w:val="en-US"/>
        </w:rPr>
        <w:t>s ears. Therefore, iambic variety has the function of satisfying the majority. Because each listener identifies himself with the speaker, the iambographers</w:t>
      </w:r>
      <w:r w:rsidR="00075F5F">
        <w:rPr>
          <w:lang w:val="en-US"/>
        </w:rPr>
        <w:t>’</w:t>
      </w:r>
      <w:r>
        <w:rPr>
          <w:lang w:val="en-US"/>
        </w:rPr>
        <w:t xml:space="preserve"> words could be his words, and iambographers</w:t>
      </w:r>
      <w:r w:rsidR="00075F5F">
        <w:rPr>
          <w:lang w:val="en-US"/>
        </w:rPr>
        <w:t>’</w:t>
      </w:r>
      <w:r>
        <w:rPr>
          <w:lang w:val="en-US"/>
        </w:rPr>
        <w:t xml:space="preserve"> message could be his own opinion. Finally, one may legitimately think that iambographers were not poets of opposition, literary rebels, but rather popularisers of the common opinion, and consequently supporters of the </w:t>
      </w:r>
      <w:r>
        <w:rPr>
          <w:i/>
          <w:iCs/>
          <w:lang w:val="en-US"/>
        </w:rPr>
        <w:t>status quo</w:t>
      </w:r>
      <w:r>
        <w:rPr>
          <w:lang w:val="en-US"/>
        </w:rPr>
        <w:t>.</w:t>
      </w:r>
    </w:p>
    <w:p w14:paraId="18B4D394" w14:textId="77777777" w:rsidR="000D513A" w:rsidRDefault="000D513A" w:rsidP="00695A7C">
      <w:pPr>
        <w:tabs>
          <w:tab w:val="clear" w:pos="425"/>
          <w:tab w:val="left" w:pos="426"/>
        </w:tabs>
        <w:textAlignment w:val="bottom"/>
        <w:rPr>
          <w:rFonts w:cs="Times New Roman"/>
        </w:rPr>
        <w:sectPr w:rsidR="000D513A" w:rsidSect="00033A07">
          <w:footerReference w:type="even" r:id="rId94"/>
          <w:footerReference w:type="default" r:id="rId95"/>
          <w:footnotePr>
            <w:numRestart w:val="eachSect"/>
          </w:footnotePr>
          <w:pgSz w:w="11901" w:h="16817"/>
          <w:pgMar w:top="1440" w:right="1440" w:bottom="1440" w:left="1797" w:header="851" w:footer="851" w:gutter="0"/>
          <w:cols w:space="708"/>
          <w:docGrid w:linePitch="360"/>
          <w:printerSettings r:id="rId96"/>
        </w:sectPr>
      </w:pPr>
    </w:p>
    <w:p w14:paraId="28D5F935" w14:textId="15D18F25" w:rsidR="00A1009F" w:rsidRPr="004819D9" w:rsidRDefault="00A1009F" w:rsidP="004819D9">
      <w:pPr>
        <w:spacing w:before="400" w:after="800"/>
        <w:jc w:val="center"/>
        <w:rPr>
          <w:rFonts w:cs="Times New Roman"/>
          <w:b/>
          <w:sz w:val="36"/>
          <w:szCs w:val="36"/>
        </w:rPr>
      </w:pPr>
      <w:r w:rsidRPr="004819D9">
        <w:rPr>
          <w:rFonts w:cs="Times New Roman"/>
          <w:b/>
          <w:sz w:val="36"/>
          <w:szCs w:val="36"/>
        </w:rPr>
        <w:lastRenderedPageBreak/>
        <w:t>Conclusion</w:t>
      </w:r>
    </w:p>
    <w:p w14:paraId="33950424" w14:textId="77777777" w:rsidR="00BA6C80" w:rsidRPr="00EC408F" w:rsidRDefault="00BA6C80" w:rsidP="00BA6C80">
      <w:pPr>
        <w:spacing w:after="200"/>
        <w:rPr>
          <w:rFonts w:cs="Times New Roman"/>
        </w:rPr>
      </w:pPr>
      <w:r w:rsidRPr="003D75FA">
        <w:rPr>
          <w:rFonts w:cs="Times New Roman"/>
        </w:rPr>
        <w:t>A</w:t>
      </w:r>
      <w:r w:rsidRPr="00EC408F">
        <w:rPr>
          <w:rFonts w:cs="Times New Roman"/>
        </w:rPr>
        <w:t xml:space="preserve">s set out in the Introduction, this thesis started from two hypotheses: that Callimachus’ </w:t>
      </w:r>
      <w:r w:rsidRPr="00EC408F">
        <w:rPr>
          <w:rFonts w:cs="Times New Roman"/>
          <w:i/>
        </w:rPr>
        <w:t>Iambi</w:t>
      </w:r>
      <w:r w:rsidRPr="00EC408F">
        <w:rPr>
          <w:rFonts w:cs="Times New Roman"/>
        </w:rPr>
        <w:t xml:space="preserve"> may be used as a touchstone to examine the language of Greek </w:t>
      </w:r>
      <w:r w:rsidRPr="00EC408F">
        <w:rPr>
          <w:rFonts w:cs="Times New Roman"/>
          <w:i/>
        </w:rPr>
        <w:t>iambos</w:t>
      </w:r>
      <w:r w:rsidRPr="00EC408F">
        <w:rPr>
          <w:rFonts w:cs="Times New Roman"/>
        </w:rPr>
        <w:t>; and that contemporary methodologies to analyse the phenomenon of code-switching can be usefully applied to Greek iambic poetry. Consequently, my conclusions are also twofold:</w:t>
      </w:r>
    </w:p>
    <w:p w14:paraId="76CCB037" w14:textId="5EDE5A24" w:rsidR="00BA6C80" w:rsidRPr="00EC408F" w:rsidRDefault="00BA6C80" w:rsidP="00BA6C80">
      <w:pPr>
        <w:pStyle w:val="ListParagraph"/>
        <w:numPr>
          <w:ilvl w:val="0"/>
          <w:numId w:val="201"/>
        </w:numPr>
      </w:pPr>
      <w:r w:rsidRPr="00EC408F">
        <w:t xml:space="preserve">I have </w:t>
      </w:r>
      <w:r w:rsidR="00A167F5">
        <w:t>put forward</w:t>
      </w:r>
      <w:r w:rsidR="00A167F5" w:rsidRPr="00EC408F">
        <w:t xml:space="preserve"> </w:t>
      </w:r>
      <w:r w:rsidRPr="00EC408F">
        <w:t>a</w:t>
      </w:r>
      <w:r w:rsidR="00A167F5">
        <w:t xml:space="preserve">n </w:t>
      </w:r>
      <w:r w:rsidRPr="00EC408F">
        <w:t xml:space="preserve">interpretation of Callimachus’ overall aims in the </w:t>
      </w:r>
      <w:r w:rsidRPr="00EC408F">
        <w:rPr>
          <w:i/>
        </w:rPr>
        <w:t>Iambi</w:t>
      </w:r>
      <w:r w:rsidRPr="00EC408F">
        <w:t xml:space="preserve"> that is somewhat different from existing ones</w:t>
      </w:r>
      <w:r w:rsidR="00A167F5">
        <w:t xml:space="preserve">: </w:t>
      </w:r>
      <w:r w:rsidRPr="00EC408F">
        <w:t xml:space="preserve">that Callimachus’ iambic collection is not radically innovative in its conception but </w:t>
      </w:r>
      <w:r w:rsidR="00A167F5">
        <w:t>in fact</w:t>
      </w:r>
      <w:r w:rsidRPr="00EC408F">
        <w:t xml:space="preserve"> fits neatly into the tradition of iambic poetry</w:t>
      </w:r>
      <w:r w:rsidR="00A167F5">
        <w:t>,</w:t>
      </w:r>
      <w:r w:rsidRPr="00EC408F">
        <w:t xml:space="preserve"> and that Callimachus follows</w:t>
      </w:r>
      <w:r w:rsidR="00A167F5">
        <w:t xml:space="preserve"> </w:t>
      </w:r>
      <w:r w:rsidRPr="00EC408F">
        <w:t>his predecessors</w:t>
      </w:r>
      <w:r w:rsidR="00A167F5">
        <w:t xml:space="preserve"> more closely than might appear at first sight</w:t>
      </w:r>
      <w:r w:rsidRPr="00EC408F">
        <w:t>.</w:t>
      </w:r>
    </w:p>
    <w:p w14:paraId="259137B3" w14:textId="13350D3E" w:rsidR="00BA6C80" w:rsidRPr="00EC408F" w:rsidRDefault="00BA6C80" w:rsidP="00BA6C80">
      <w:pPr>
        <w:pStyle w:val="ListParagraph"/>
        <w:numPr>
          <w:ilvl w:val="0"/>
          <w:numId w:val="201"/>
        </w:numPr>
      </w:pPr>
      <w:r w:rsidRPr="00EC408F">
        <w:t xml:space="preserve">Application of methodologies drawn from current studies of code-switching to Greek iambic texts shows that variety of linguistic codes is a feature shared by the iambic poets examined in this thesis; </w:t>
      </w:r>
      <w:r w:rsidR="00A167F5">
        <w:t>and</w:t>
      </w:r>
      <w:r w:rsidRPr="00EC408F">
        <w:t xml:space="preserve"> transferring interpretations of the phenomenon of code-switching to Greek iambs helps to better understand the purposes of iambic poetry, its audience, and performance context. </w:t>
      </w:r>
    </w:p>
    <w:p w14:paraId="15C9128E" w14:textId="4C497B7C" w:rsidR="00305940" w:rsidRDefault="00BA6C80" w:rsidP="00BA6C80">
      <w:pPr>
        <w:spacing w:before="200"/>
        <w:rPr>
          <w:rFonts w:cs="Times New Roman"/>
        </w:rPr>
      </w:pPr>
      <w:r w:rsidRPr="00EC408F">
        <w:rPr>
          <w:rFonts w:cs="Times New Roman"/>
        </w:rPr>
        <w:t xml:space="preserve">Regarding </w:t>
      </w:r>
      <w:r w:rsidR="008F4234">
        <w:rPr>
          <w:rFonts w:cs="Times New Roman"/>
        </w:rPr>
        <w:t xml:space="preserve">the first </w:t>
      </w:r>
      <w:r w:rsidRPr="00EC408F">
        <w:rPr>
          <w:rFonts w:cs="Times New Roman"/>
        </w:rPr>
        <w:t xml:space="preserve">point, Chapters 1-3 show that Callimachus </w:t>
      </w:r>
      <w:r w:rsidR="00830A21">
        <w:rPr>
          <w:rFonts w:cs="Times New Roman"/>
        </w:rPr>
        <w:t xml:space="preserve">was </w:t>
      </w:r>
      <w:r>
        <w:rPr>
          <w:rFonts w:cs="Times New Roman"/>
        </w:rPr>
        <w:t>constantly</w:t>
      </w:r>
      <w:r w:rsidRPr="00EC408F">
        <w:rPr>
          <w:rFonts w:cs="Times New Roman"/>
        </w:rPr>
        <w:t xml:space="preserve"> </w:t>
      </w:r>
      <w:r w:rsidR="00830A21">
        <w:rPr>
          <w:rFonts w:cs="Times New Roman"/>
        </w:rPr>
        <w:t>looking at</w:t>
      </w:r>
      <w:r w:rsidRPr="00EC408F">
        <w:rPr>
          <w:rFonts w:cs="Times New Roman"/>
        </w:rPr>
        <w:t xml:space="preserve"> his iambic predecessors </w:t>
      </w:r>
      <w:r>
        <w:rPr>
          <w:rFonts w:cs="Times New Roman"/>
        </w:rPr>
        <w:t>while</w:t>
      </w:r>
      <w:r w:rsidRPr="00EC408F">
        <w:rPr>
          <w:rFonts w:cs="Times New Roman"/>
        </w:rPr>
        <w:t xml:space="preserve"> composing his </w:t>
      </w:r>
      <w:r w:rsidRPr="00EC408F">
        <w:rPr>
          <w:rFonts w:cs="Times New Roman"/>
          <w:i/>
        </w:rPr>
        <w:t>Iambi</w:t>
      </w:r>
      <w:r w:rsidRPr="00EC408F">
        <w:rPr>
          <w:rFonts w:cs="Times New Roman"/>
        </w:rPr>
        <w:t xml:space="preserve">. The collected data show that in both language (esp. Chapters 1 and 2) and content (Chapter 3), Callimachus’ </w:t>
      </w:r>
      <w:r w:rsidRPr="00592CB3">
        <w:rPr>
          <w:rFonts w:cs="Times New Roman"/>
          <w:i/>
        </w:rPr>
        <w:t>Iambi</w:t>
      </w:r>
      <w:r w:rsidRPr="00EC408F">
        <w:rPr>
          <w:rFonts w:cs="Times New Roman"/>
        </w:rPr>
        <w:t xml:space="preserve"> </w:t>
      </w:r>
      <w:r w:rsidRPr="003D75FA">
        <w:rPr>
          <w:rFonts w:cs="Times New Roman"/>
        </w:rPr>
        <w:t xml:space="preserve">are remarkably consistent with what survives of the poetry of Archilochus and Hipponax. </w:t>
      </w:r>
      <w:r w:rsidRPr="00EC408F">
        <w:rPr>
          <w:rFonts w:cs="Times New Roman"/>
        </w:rPr>
        <w:t xml:space="preserve">Scholarship on the </w:t>
      </w:r>
      <w:r w:rsidRPr="00592CB3">
        <w:rPr>
          <w:rFonts w:cs="Times New Roman"/>
          <w:i/>
        </w:rPr>
        <w:t>Iambi</w:t>
      </w:r>
      <w:r w:rsidRPr="00EC408F">
        <w:rPr>
          <w:rFonts w:cs="Times New Roman"/>
        </w:rPr>
        <w:t xml:space="preserve"> </w:t>
      </w:r>
      <w:r w:rsidRPr="007E3BEE">
        <w:rPr>
          <w:rFonts w:cs="Times New Roman"/>
        </w:rPr>
        <w:t xml:space="preserve">has more often focused on </w:t>
      </w:r>
      <w:r w:rsidRPr="003D75FA">
        <w:rPr>
          <w:rFonts w:cs="Times New Roman"/>
        </w:rPr>
        <w:t xml:space="preserve">their content than their language. It tends to </w:t>
      </w:r>
      <w:r w:rsidRPr="00EC408F">
        <w:rPr>
          <w:rFonts w:cs="Times New Roman"/>
        </w:rPr>
        <w:t>describe Callimachus’ work as self-effacing, self-analytical, and wr</w:t>
      </w:r>
      <w:r w:rsidR="008F4234">
        <w:rPr>
          <w:rFonts w:cs="Times New Roman"/>
        </w:rPr>
        <w:t>y</w:t>
      </w:r>
      <w:r w:rsidRPr="00EC408F">
        <w:rPr>
          <w:rFonts w:cs="Times New Roman"/>
        </w:rPr>
        <w:t>ly self-critical:</w:t>
      </w:r>
      <w:r w:rsidR="008F4234">
        <w:rPr>
          <w:rStyle w:val="FootnoteReference"/>
          <w:rFonts w:cs="Times New Roman"/>
        </w:rPr>
        <w:footnoteReference w:id="569"/>
      </w:r>
      <w:r w:rsidRPr="00EC408F">
        <w:rPr>
          <w:rFonts w:cs="Times New Roman"/>
        </w:rPr>
        <w:t xml:space="preserve"> consequently, his </w:t>
      </w:r>
      <w:r w:rsidRPr="00EC408F">
        <w:rPr>
          <w:rFonts w:cs="Times New Roman"/>
          <w:i/>
        </w:rPr>
        <w:t>Iambi</w:t>
      </w:r>
      <w:r w:rsidRPr="00EC408F">
        <w:rPr>
          <w:rFonts w:cs="Times New Roman"/>
        </w:rPr>
        <w:t xml:space="preserve"> are considered </w:t>
      </w:r>
      <w:r w:rsidR="00305940">
        <w:rPr>
          <w:rFonts w:cs="Times New Roman"/>
        </w:rPr>
        <w:t xml:space="preserve">to be </w:t>
      </w:r>
      <w:r w:rsidRPr="00EC408F">
        <w:rPr>
          <w:rFonts w:cs="Times New Roman"/>
        </w:rPr>
        <w:t>not public, not concerned with the outside world of politics, nor with the big questions of man and god, justice and betrayal. Callimachus, it is held, says “I” to account for himself,</w:t>
      </w:r>
      <w:r w:rsidRPr="00EC408F">
        <w:rPr>
          <w:rStyle w:val="FootnoteReference"/>
          <w:rFonts w:cs="Times New Roman"/>
        </w:rPr>
        <w:footnoteReference w:id="570"/>
      </w:r>
      <w:r w:rsidRPr="00EC408F">
        <w:rPr>
          <w:rFonts w:cs="Times New Roman"/>
        </w:rPr>
        <w:t xml:space="preserve"> since his is private poetry, an individual sensibility </w:t>
      </w:r>
      <w:r w:rsidRPr="007E3BEE">
        <w:rPr>
          <w:rFonts w:cs="Times New Roman"/>
        </w:rPr>
        <w:t xml:space="preserve">that is diametrically </w:t>
      </w:r>
      <w:r w:rsidRPr="003D75FA">
        <w:rPr>
          <w:rFonts w:cs="Times New Roman"/>
        </w:rPr>
        <w:t>opposed to Archilochean or Hipponactean indignation: when Callimachus says “I,”</w:t>
      </w:r>
      <w:r w:rsidRPr="00EC408F">
        <w:rPr>
          <w:rFonts w:cs="Times New Roman"/>
        </w:rPr>
        <w:t xml:space="preserve"> he does not do so in protest, and his </w:t>
      </w:r>
      <w:r w:rsidRPr="00EC408F">
        <w:rPr>
          <w:rFonts w:cs="Times New Roman"/>
          <w:i/>
        </w:rPr>
        <w:t>Iambi</w:t>
      </w:r>
      <w:r w:rsidRPr="00EC408F">
        <w:rPr>
          <w:rFonts w:cs="Times New Roman"/>
        </w:rPr>
        <w:t xml:space="preserve"> are no outraged cries for justice. </w:t>
      </w:r>
    </w:p>
    <w:p w14:paraId="4F12A279" w14:textId="7FD2C631" w:rsidR="00BA6C80" w:rsidRPr="00EC408F" w:rsidRDefault="00305940" w:rsidP="00BA6C80">
      <w:pPr>
        <w:spacing w:before="200"/>
        <w:rPr>
          <w:rFonts w:cs="Times New Roman"/>
          <w:lang w:val="en-US"/>
        </w:rPr>
      </w:pPr>
      <w:r>
        <w:rPr>
          <w:rFonts w:cs="Times New Roman"/>
        </w:rPr>
        <w:lastRenderedPageBreak/>
        <w:tab/>
      </w:r>
      <w:r w:rsidR="00BA6C80" w:rsidRPr="00EC408F">
        <w:rPr>
          <w:rFonts w:cs="Times New Roman"/>
        </w:rPr>
        <w:t xml:space="preserve">It is true that </w:t>
      </w:r>
      <w:r w:rsidR="00BA6C80" w:rsidRPr="00EC408F">
        <w:rPr>
          <w:rFonts w:cs="Times New Roman"/>
          <w:lang w:val="en-US"/>
        </w:rPr>
        <w:t xml:space="preserve">Callimachus’ </w:t>
      </w:r>
      <w:r w:rsidR="00BA6C80" w:rsidRPr="00EC408F">
        <w:rPr>
          <w:rFonts w:cs="Times New Roman"/>
          <w:i/>
          <w:lang w:val="en-US"/>
        </w:rPr>
        <w:t>Iambi</w:t>
      </w:r>
      <w:r w:rsidR="00BA6C80" w:rsidRPr="00EC408F">
        <w:rPr>
          <w:rFonts w:cs="Times New Roman"/>
          <w:lang w:val="en-US"/>
        </w:rPr>
        <w:t xml:space="preserve"> do not display the aggression and abuse that we find in Archilochus and Hipponax; however, as </w:t>
      </w:r>
      <w:r w:rsidR="00150D9F">
        <w:rPr>
          <w:rFonts w:cs="Times New Roman"/>
          <w:lang w:val="en-US"/>
        </w:rPr>
        <w:t xml:space="preserve">was </w:t>
      </w:r>
      <w:r w:rsidR="00BA6C80" w:rsidRPr="00EC408F">
        <w:rPr>
          <w:rFonts w:cs="Times New Roman"/>
          <w:lang w:val="en-US"/>
        </w:rPr>
        <w:t xml:space="preserve">discussed in Chapter 4, the definition of iambos as a genre of abuse is a later interpretation, and one may argue that abuse is not essential to the genre and other aspects are more central. In the </w:t>
      </w:r>
      <w:r w:rsidR="00BA6C80" w:rsidRPr="00EC408F">
        <w:rPr>
          <w:rFonts w:cs="Times New Roman"/>
          <w:i/>
          <w:lang w:val="en-US"/>
        </w:rPr>
        <w:t>Poetics</w:t>
      </w:r>
      <w:r w:rsidR="00BA6C80">
        <w:rPr>
          <w:rFonts w:cs="Times New Roman"/>
          <w:lang w:val="en-US"/>
        </w:rPr>
        <w:t xml:space="preserve"> (1447a16-18)</w:t>
      </w:r>
      <w:r w:rsidR="00BA6C80" w:rsidRPr="00EC408F">
        <w:rPr>
          <w:rFonts w:cs="Times New Roman"/>
          <w:lang w:val="en-US"/>
        </w:rPr>
        <w:t xml:space="preserve"> Aristotle proposes that literary genres can be classified </w:t>
      </w:r>
      <w:r w:rsidR="00BA6C80" w:rsidRPr="00EC408F">
        <w:rPr>
          <w:rFonts w:cs="Times New Roman"/>
          <w:i/>
          <w:lang w:val="en-US"/>
        </w:rPr>
        <w:t>per genus et differentiam</w:t>
      </w:r>
      <w:r w:rsidR="00BA6C80" w:rsidRPr="00EC408F">
        <w:rPr>
          <w:rFonts w:cs="Times New Roman"/>
          <w:lang w:val="en-US"/>
        </w:rPr>
        <w:t xml:space="preserve"> in a way similar to classification in the biological world</w:t>
      </w:r>
      <w:r w:rsidR="00BA6C80" w:rsidRPr="007E3BEE">
        <w:rPr>
          <w:rFonts w:cs="Times New Roman"/>
          <w:lang w:val="en-US"/>
        </w:rPr>
        <w:t>. This appr</w:t>
      </w:r>
      <w:r w:rsidR="00BA6C80" w:rsidRPr="003D75FA">
        <w:rPr>
          <w:rFonts w:cs="Times New Roman"/>
          <w:lang w:val="en-US"/>
        </w:rPr>
        <w:t xml:space="preserve">oach to genres reflects the classical view of categorization, </w:t>
      </w:r>
      <w:r w:rsidR="00BA6C80" w:rsidRPr="00EC408F">
        <w:rPr>
          <w:rFonts w:cs="Times New Roman"/>
          <w:lang w:val="en-US"/>
        </w:rPr>
        <w:t>which focuses on dominant features and prototypes.</w:t>
      </w:r>
      <w:r w:rsidR="00BA6C80" w:rsidRPr="00EC408F">
        <w:rPr>
          <w:rStyle w:val="FootnoteReference"/>
          <w:rFonts w:cs="Times New Roman"/>
          <w:lang w:val="el-GR"/>
        </w:rPr>
        <w:footnoteReference w:id="571"/>
      </w:r>
    </w:p>
    <w:p w14:paraId="18EFCAA2" w14:textId="639354B9" w:rsidR="00BA6C80" w:rsidRPr="00EC408F" w:rsidRDefault="00BA6C80" w:rsidP="00BA6C80">
      <w:pPr>
        <w:ind w:firstLine="425"/>
        <w:rPr>
          <w:rFonts w:cs="Times New Roman"/>
        </w:rPr>
      </w:pPr>
      <w:r w:rsidRPr="007E3BEE">
        <w:rPr>
          <w:rFonts w:cs="Times New Roman"/>
          <w:lang w:val="en-US"/>
        </w:rPr>
        <w:t xml:space="preserve">I suggest that Callimachus, </w:t>
      </w:r>
      <w:r w:rsidRPr="003D75FA">
        <w:rPr>
          <w:rFonts w:cs="Times New Roman"/>
          <w:lang w:val="en-US"/>
        </w:rPr>
        <w:t>perhaps under the influence of Stoic and Epicurean approaches to genre</w:t>
      </w:r>
      <w:r w:rsidR="00150D9F">
        <w:rPr>
          <w:rFonts w:cs="Times New Roman"/>
          <w:lang w:val="en-US"/>
        </w:rPr>
        <w:t>,</w:t>
      </w:r>
      <w:r w:rsidRPr="00EC408F">
        <w:rPr>
          <w:rStyle w:val="FootnoteReference"/>
          <w:rFonts w:cs="Times New Roman"/>
          <w:lang w:val="el-GR"/>
        </w:rPr>
        <w:footnoteReference w:id="572"/>
      </w:r>
      <w:r w:rsidRPr="00EC408F">
        <w:rPr>
          <w:rFonts w:cs="Times New Roman"/>
          <w:lang w:val="en-US"/>
        </w:rPr>
        <w:t xml:space="preserve"> </w:t>
      </w:r>
      <w:r w:rsidR="00E0441F">
        <w:rPr>
          <w:rFonts w:cs="Times New Roman"/>
          <w:lang w:val="en-US"/>
        </w:rPr>
        <w:t>defined</w:t>
      </w:r>
      <w:r w:rsidRPr="003D75FA">
        <w:rPr>
          <w:rFonts w:cs="Times New Roman"/>
          <w:lang w:val="en-US"/>
        </w:rPr>
        <w:t xml:space="preserve"> iambic </w:t>
      </w:r>
      <w:r w:rsidR="00E0441F">
        <w:rPr>
          <w:rFonts w:cs="Times New Roman"/>
          <w:lang w:val="en-US"/>
        </w:rPr>
        <w:t>poetry</w:t>
      </w:r>
      <w:r w:rsidR="00E0441F" w:rsidRPr="003D75FA">
        <w:rPr>
          <w:rFonts w:cs="Times New Roman"/>
          <w:lang w:val="en-US"/>
        </w:rPr>
        <w:t xml:space="preserve"> </w:t>
      </w:r>
      <w:r w:rsidRPr="003D75FA">
        <w:rPr>
          <w:rFonts w:cs="Times New Roman"/>
          <w:lang w:val="en-US"/>
        </w:rPr>
        <w:t xml:space="preserve">on the basis of </w:t>
      </w:r>
      <w:r w:rsidR="00150D9F">
        <w:rPr>
          <w:rFonts w:cs="Times New Roman"/>
          <w:lang w:val="en-US"/>
        </w:rPr>
        <w:t xml:space="preserve">the </w:t>
      </w:r>
      <w:r w:rsidRPr="003D75FA">
        <w:rPr>
          <w:rFonts w:cs="Times New Roman"/>
          <w:lang w:val="en-US"/>
        </w:rPr>
        <w:t>criterion of family resemblance, since he recognised that iambic poetry shares features with other genres, and downrated features such as abuse</w:t>
      </w:r>
      <w:r w:rsidR="00E0441F">
        <w:rPr>
          <w:rFonts w:cs="Times New Roman"/>
          <w:lang w:val="en-US"/>
        </w:rPr>
        <w:t xml:space="preserve"> that to us might seem central</w:t>
      </w:r>
      <w:r w:rsidRPr="003D75FA">
        <w:rPr>
          <w:rFonts w:cs="Times New Roman"/>
          <w:lang w:val="en-US"/>
        </w:rPr>
        <w:t xml:space="preserve">. </w:t>
      </w:r>
      <w:r w:rsidRPr="00EC408F">
        <w:rPr>
          <w:rFonts w:cs="Times New Roman"/>
          <w:lang w:val="en-US"/>
        </w:rPr>
        <w:t>This is not to say that abuse is complet</w:t>
      </w:r>
      <w:r w:rsidR="00E0441F">
        <w:rPr>
          <w:rFonts w:cs="Times New Roman"/>
          <w:lang w:val="en-US"/>
        </w:rPr>
        <w:t>e</w:t>
      </w:r>
      <w:r w:rsidRPr="00EC408F">
        <w:rPr>
          <w:rFonts w:cs="Times New Roman"/>
          <w:lang w:val="en-US"/>
        </w:rPr>
        <w:t xml:space="preserve">ly absent from Callimachus’ </w:t>
      </w:r>
      <w:r w:rsidRPr="00EC408F">
        <w:rPr>
          <w:rFonts w:cs="Times New Roman"/>
          <w:i/>
          <w:lang w:val="en-US"/>
        </w:rPr>
        <w:t>Iambi</w:t>
      </w:r>
      <w:r w:rsidRPr="00EC408F">
        <w:rPr>
          <w:rFonts w:cs="Times New Roman"/>
          <w:lang w:val="en-US"/>
        </w:rPr>
        <w:t xml:space="preserve">. The Alexandrian poet, too, </w:t>
      </w:r>
      <w:r w:rsidRPr="00EC408F">
        <w:rPr>
          <w:rFonts w:cs="Times New Roman"/>
        </w:rPr>
        <w:t>uses invective as a rhetorical means to ridicule targets and stigmatise bad behavio</w:t>
      </w:r>
      <w:r w:rsidR="00E0441F">
        <w:rPr>
          <w:rFonts w:cs="Times New Roman"/>
        </w:rPr>
        <w:t>u</w:t>
      </w:r>
      <w:r w:rsidRPr="00EC408F">
        <w:rPr>
          <w:rFonts w:cs="Times New Roman"/>
        </w:rPr>
        <w:t xml:space="preserve">r, in lines such as </w:t>
      </w:r>
      <w:r w:rsidRPr="00EC408F">
        <w:rPr>
          <w:rFonts w:cs="Times New Roman"/>
          <w:i/>
        </w:rPr>
        <w:t>Iambus</w:t>
      </w:r>
      <w:r w:rsidRPr="00EC408F">
        <w:rPr>
          <w:rFonts w:cs="Times New Roman"/>
        </w:rPr>
        <w:t xml:space="preserve"> 1.29-30 “the bald-headed one will waste his breath blowing that he not be stripped of his threadbare cloak.” </w:t>
      </w:r>
      <w:r w:rsidR="00E0441F">
        <w:rPr>
          <w:rFonts w:cs="Times New Roman"/>
        </w:rPr>
        <w:t>We may well be to some extent deceived in our</w:t>
      </w:r>
      <w:r w:rsidR="00E0441F" w:rsidRPr="00EC408F">
        <w:rPr>
          <w:rFonts w:cs="Times New Roman"/>
        </w:rPr>
        <w:t xml:space="preserve"> </w:t>
      </w:r>
      <w:r w:rsidRPr="00EC408F">
        <w:rPr>
          <w:rFonts w:cs="Times New Roman"/>
        </w:rPr>
        <w:t xml:space="preserve">impression that Callimachus’ humor is unaggressive and detached compared to the archaic iambographers, due to two factors: the more substantial length of Callimachus’ iambic </w:t>
      </w:r>
      <w:r w:rsidR="00E0441F">
        <w:rPr>
          <w:rFonts w:cs="Times New Roman"/>
        </w:rPr>
        <w:t>remains (compared to the archaic evidence)</w:t>
      </w:r>
      <w:r w:rsidR="00E0441F" w:rsidRPr="00EC408F">
        <w:rPr>
          <w:rFonts w:cs="Times New Roman"/>
        </w:rPr>
        <w:t xml:space="preserve"> </w:t>
      </w:r>
      <w:r w:rsidRPr="00EC408F">
        <w:rPr>
          <w:rFonts w:cs="Times New Roman"/>
        </w:rPr>
        <w:t>dilutes the aggressiveness of the tone; and in his invectives the target</w:t>
      </w:r>
      <w:r w:rsidR="00E0441F">
        <w:rPr>
          <w:rFonts w:cs="Times New Roman"/>
        </w:rPr>
        <w:t>s</w:t>
      </w:r>
      <w:r w:rsidRPr="00EC408F">
        <w:rPr>
          <w:rFonts w:cs="Times New Roman"/>
        </w:rPr>
        <w:t xml:space="preserve"> </w:t>
      </w:r>
      <w:r w:rsidR="00E0441F">
        <w:rPr>
          <w:rFonts w:cs="Times New Roman"/>
        </w:rPr>
        <w:t xml:space="preserve">either </w:t>
      </w:r>
      <w:r w:rsidRPr="00EC408F">
        <w:rPr>
          <w:rFonts w:cs="Times New Roman"/>
        </w:rPr>
        <w:t xml:space="preserve">cannot be identified because we lack information, or </w:t>
      </w:r>
      <w:r w:rsidR="00E0441F">
        <w:rPr>
          <w:rFonts w:cs="Times New Roman"/>
        </w:rPr>
        <w:t xml:space="preserve">they are </w:t>
      </w:r>
      <w:r w:rsidRPr="00EC408F">
        <w:rPr>
          <w:rFonts w:cs="Times New Roman"/>
        </w:rPr>
        <w:t>fictional character</w:t>
      </w:r>
      <w:r w:rsidR="00E0441F">
        <w:rPr>
          <w:rFonts w:cs="Times New Roman"/>
        </w:rPr>
        <w:t>s</w:t>
      </w:r>
      <w:r w:rsidRPr="00EC408F">
        <w:rPr>
          <w:rFonts w:cs="Times New Roman"/>
        </w:rPr>
        <w:t xml:space="preserve">. </w:t>
      </w:r>
    </w:p>
    <w:p w14:paraId="423D780D" w14:textId="0105DF72" w:rsidR="00BA6C80" w:rsidRPr="00592CB3" w:rsidRDefault="00BA6C80" w:rsidP="00BA6C80">
      <w:pPr>
        <w:ind w:firstLine="425"/>
        <w:rPr>
          <w:rFonts w:cs="Times New Roman"/>
        </w:rPr>
      </w:pPr>
      <w:r w:rsidRPr="00EC408F">
        <w:rPr>
          <w:rFonts w:cs="Times New Roman"/>
        </w:rPr>
        <w:t xml:space="preserve">However this may, the evidence provided by the </w:t>
      </w:r>
      <w:r w:rsidRPr="00592CB3">
        <w:rPr>
          <w:rFonts w:cs="Times New Roman"/>
          <w:i/>
        </w:rPr>
        <w:t>Iambi</w:t>
      </w:r>
      <w:r w:rsidRPr="00EC408F">
        <w:rPr>
          <w:rFonts w:cs="Times New Roman"/>
        </w:rPr>
        <w:t xml:space="preserve"> </w:t>
      </w:r>
      <w:r w:rsidRPr="007E3BEE">
        <w:rPr>
          <w:rFonts w:cs="Times New Roman"/>
        </w:rPr>
        <w:t xml:space="preserve">suggests that </w:t>
      </w:r>
      <w:r w:rsidRPr="003D75FA">
        <w:rPr>
          <w:rFonts w:cs="Times New Roman"/>
        </w:rPr>
        <w:t xml:space="preserve">Callimachus </w:t>
      </w:r>
      <w:r w:rsidR="007B3D6C">
        <w:rPr>
          <w:rFonts w:cs="Times New Roman"/>
        </w:rPr>
        <w:t>regarded</w:t>
      </w:r>
      <w:r w:rsidRPr="003D75FA">
        <w:rPr>
          <w:rFonts w:cs="Times New Roman"/>
        </w:rPr>
        <w:t xml:space="preserve"> variety as a defining feature of the iambic genre, combining in his work styles, tones, registers, even metres drawn from different literary traditions. </w:t>
      </w:r>
      <w:r w:rsidRPr="00EC408F">
        <w:rPr>
          <w:rFonts w:cs="Times New Roman"/>
          <w:lang w:val="en-US"/>
        </w:rPr>
        <w:t xml:space="preserve">It is for this reason that he defends </w:t>
      </w:r>
      <w:r w:rsidRPr="00EC408F">
        <w:rPr>
          <w:rFonts w:cs="Times New Roman"/>
          <w:i/>
          <w:lang w:val="en-US"/>
        </w:rPr>
        <w:t>polyeídeia</w:t>
      </w:r>
      <w:r w:rsidRPr="00EC408F">
        <w:rPr>
          <w:rFonts w:cs="Times New Roman"/>
          <w:lang w:val="en-US"/>
        </w:rPr>
        <w:t xml:space="preserve"> in form and content in </w:t>
      </w:r>
      <w:r w:rsidRPr="00EC408F">
        <w:rPr>
          <w:rFonts w:cs="Times New Roman"/>
          <w:i/>
          <w:lang w:val="en-US"/>
        </w:rPr>
        <w:t>Iambus</w:t>
      </w:r>
      <w:r w:rsidRPr="00EC408F">
        <w:rPr>
          <w:rFonts w:cs="Times New Roman"/>
          <w:lang w:val="en-US"/>
        </w:rPr>
        <w:t xml:space="preserve"> 13, where we can be fairly sure that he is referring to his iambic collection, and not his entire </w:t>
      </w:r>
      <w:r w:rsidR="007B3D6C">
        <w:rPr>
          <w:rFonts w:cs="Times New Roman"/>
          <w:lang w:val="en-US"/>
        </w:rPr>
        <w:t xml:space="preserve">poetic </w:t>
      </w:r>
      <w:r w:rsidRPr="00EC408F">
        <w:rPr>
          <w:rFonts w:cs="Times New Roman"/>
          <w:lang w:val="en-US"/>
        </w:rPr>
        <w:t xml:space="preserve">oeuvre. </w:t>
      </w:r>
      <w:r w:rsidRPr="00EC408F">
        <w:rPr>
          <w:rFonts w:cs="Times New Roman"/>
          <w:i/>
          <w:lang w:val="en-US"/>
        </w:rPr>
        <w:t>Iambus</w:t>
      </w:r>
      <w:r w:rsidRPr="00EC408F">
        <w:rPr>
          <w:rFonts w:cs="Times New Roman"/>
          <w:lang w:val="en-US"/>
        </w:rPr>
        <w:t xml:space="preserve"> 13, which represents the circular closure of the book of </w:t>
      </w:r>
      <w:r w:rsidRPr="00EC408F">
        <w:rPr>
          <w:rFonts w:cs="Times New Roman"/>
          <w:i/>
          <w:lang w:val="en-US"/>
        </w:rPr>
        <w:t>Iambi</w:t>
      </w:r>
      <w:r w:rsidRPr="00EC408F">
        <w:rPr>
          <w:rFonts w:cs="Times New Roman"/>
          <w:lang w:val="en-US"/>
        </w:rPr>
        <w:t>,</w:t>
      </w:r>
      <w:r w:rsidRPr="00EC408F">
        <w:rPr>
          <w:rStyle w:val="FootnoteReference"/>
          <w:rFonts w:cs="Times New Roman"/>
          <w:lang w:val="el-GR"/>
        </w:rPr>
        <w:footnoteReference w:id="573"/>
      </w:r>
      <w:r w:rsidRPr="00EC408F">
        <w:rPr>
          <w:rFonts w:cs="Times New Roman"/>
        </w:rPr>
        <w:t xml:space="preserve"> </w:t>
      </w:r>
      <w:r w:rsidRPr="007E3BEE">
        <w:rPr>
          <w:rFonts w:cs="Times New Roman"/>
        </w:rPr>
        <w:t>culminat</w:t>
      </w:r>
      <w:r w:rsidRPr="003D75FA">
        <w:rPr>
          <w:rFonts w:cs="Times New Roman"/>
        </w:rPr>
        <w:t xml:space="preserve">es in a </w:t>
      </w:r>
      <w:r>
        <w:rPr>
          <w:rFonts w:cs="Times New Roman"/>
        </w:rPr>
        <w:t xml:space="preserve">defence of variety. </w:t>
      </w:r>
      <w:r w:rsidR="007B3D6C">
        <w:rPr>
          <w:rFonts w:cs="Times New Roman"/>
        </w:rPr>
        <w:t xml:space="preserve">Here, </w:t>
      </w:r>
      <w:r>
        <w:rPr>
          <w:rFonts w:cs="Times New Roman"/>
        </w:rPr>
        <w:t xml:space="preserve">Callimachus stresses that who wants to write iambs </w:t>
      </w:r>
      <w:r w:rsidR="006A7B22">
        <w:rPr>
          <w:rFonts w:cs="Times New Roman"/>
        </w:rPr>
        <w:t>needs to engage in learning (</w:t>
      </w:r>
      <w:r w:rsidRPr="00EC408F">
        <w:rPr>
          <w:rFonts w:cs="Times New Roman"/>
          <w:lang w:val="el-GR"/>
        </w:rPr>
        <w:t>μὴ</w:t>
      </w:r>
      <w:r w:rsidRPr="00EC408F">
        <w:rPr>
          <w:rFonts w:cs="Times New Roman"/>
          <w:lang w:val="en-US"/>
        </w:rPr>
        <w:t xml:space="preserve"> </w:t>
      </w:r>
      <w:r w:rsidRPr="00EC408F">
        <w:rPr>
          <w:rFonts w:cs="Times New Roman"/>
          <w:lang w:val="el-GR"/>
        </w:rPr>
        <w:t>ἀμαθῶς</w:t>
      </w:r>
      <w:r w:rsidR="006A7B22" w:rsidRPr="00227EE7">
        <w:rPr>
          <w:rFonts w:cs="Times New Roman"/>
          <w:lang w:val="en-US"/>
        </w:rPr>
        <w:t xml:space="preserve">, </w:t>
      </w:r>
      <w:r w:rsidR="006A7B22">
        <w:rPr>
          <w:rFonts w:cs="Times New Roman"/>
          <w:lang w:val="en-US"/>
        </w:rPr>
        <w:t>“</w:t>
      </w:r>
      <w:r w:rsidR="006A7B22">
        <w:rPr>
          <w:rFonts w:cs="Times New Roman"/>
        </w:rPr>
        <w:t>not without [the right] knowledge”</w:t>
      </w:r>
      <w:r>
        <w:rPr>
          <w:rFonts w:cs="Times New Roman"/>
        </w:rPr>
        <w:t xml:space="preserve">) </w:t>
      </w:r>
      <w:r w:rsidR="006A7B22">
        <w:rPr>
          <w:rFonts w:cs="Times New Roman"/>
        </w:rPr>
        <w:t xml:space="preserve">rather than seek a naïve kind of inspiration. </w:t>
      </w:r>
      <w:r>
        <w:rPr>
          <w:rFonts w:cs="Times New Roman"/>
        </w:rPr>
        <w:t xml:space="preserve">Therefore, Callimachus cannot merely </w:t>
      </w:r>
      <w:r>
        <w:rPr>
          <w:rFonts w:cs="Times New Roman"/>
        </w:rPr>
        <w:lastRenderedPageBreak/>
        <w:t xml:space="preserve">imitate Hipponax, since he is aware of the meaning of writing iambs, and he uses and defends variety since he knows that it is a fundamental characteristic of iambic poetry. </w:t>
      </w:r>
      <w:r w:rsidRPr="003D75FA">
        <w:rPr>
          <w:rFonts w:cs="Times New Roman"/>
        </w:rPr>
        <w:t xml:space="preserve">The iambic tradition </w:t>
      </w:r>
      <w:r w:rsidRPr="00592CB3">
        <w:rPr>
          <w:rFonts w:cs="Times New Roman"/>
          <w:i/>
        </w:rPr>
        <w:t>per se</w:t>
      </w:r>
      <w:r w:rsidRPr="00EC408F">
        <w:rPr>
          <w:rFonts w:cs="Times New Roman"/>
        </w:rPr>
        <w:t xml:space="preserve"> </w:t>
      </w:r>
      <w:r w:rsidRPr="007E3BEE">
        <w:rPr>
          <w:rFonts w:cs="Times New Roman"/>
        </w:rPr>
        <w:t>urges Callimachus to</w:t>
      </w:r>
      <w:r w:rsidRPr="003D75FA">
        <w:rPr>
          <w:rFonts w:cs="Times New Roman"/>
        </w:rPr>
        <w:t xml:space="preserve"> innovation and experimentation:</w:t>
      </w:r>
      <w:r w:rsidRPr="003D75FA">
        <w:rPr>
          <w:rFonts w:cs="Times New Roman"/>
          <w:lang w:val="en-US"/>
        </w:rPr>
        <w:t xml:space="preserve"> he is defending his right to vary within the genre of iamb</w:t>
      </w:r>
      <w:r w:rsidRPr="00EC408F">
        <w:rPr>
          <w:rFonts w:cs="Times New Roman"/>
          <w:lang w:val="en-US"/>
        </w:rPr>
        <w:t xml:space="preserve">ic poetry; or even saying that composing iambs implies embracing variety and including features characteristic of other genres. Thus, I propose a new key to reading the ring composition of the </w:t>
      </w:r>
      <w:r w:rsidRPr="00592CB3">
        <w:rPr>
          <w:rFonts w:cs="Times New Roman"/>
          <w:i/>
          <w:lang w:val="en-US"/>
        </w:rPr>
        <w:t>Iambi</w:t>
      </w:r>
      <w:r w:rsidRPr="00EC408F">
        <w:rPr>
          <w:rFonts w:cs="Times New Roman"/>
          <w:lang w:val="en-US"/>
        </w:rPr>
        <w:t xml:space="preserve">: in the first poem of his collection, Callimachus put on stage the strong character of Hipponax, </w:t>
      </w:r>
      <w:r w:rsidRPr="007E3BEE">
        <w:rPr>
          <w:rFonts w:cs="Times New Roman"/>
          <w:lang w:val="en-US"/>
        </w:rPr>
        <w:t xml:space="preserve">who is </w:t>
      </w:r>
      <w:r w:rsidRPr="003D75FA">
        <w:rPr>
          <w:rFonts w:cs="Times New Roman"/>
          <w:lang w:val="en-US"/>
        </w:rPr>
        <w:t xml:space="preserve">the landmark of iambic poetry; in the last poems, he states that he did </w:t>
      </w:r>
      <w:r w:rsidRPr="00592CB3">
        <w:rPr>
          <w:rFonts w:cs="Times New Roman"/>
          <w:i/>
          <w:lang w:val="en-US"/>
        </w:rPr>
        <w:t>not</w:t>
      </w:r>
      <w:r w:rsidRPr="00EC408F">
        <w:rPr>
          <w:rFonts w:cs="Times New Roman"/>
          <w:lang w:val="en-US"/>
        </w:rPr>
        <w:t xml:space="preserve"> go to Hipponax’s birth </w:t>
      </w:r>
      <w:r w:rsidRPr="007E3BEE">
        <w:rPr>
          <w:rFonts w:cs="Times New Roman"/>
          <w:lang w:val="en-US"/>
        </w:rPr>
        <w:t xml:space="preserve">city Ephesus, from where </w:t>
      </w:r>
      <w:r w:rsidRPr="003D75FA">
        <w:rPr>
          <w:rFonts w:cs="Times New Roman"/>
          <w:lang w:val="en-US"/>
        </w:rPr>
        <w:t xml:space="preserve">the archaic poet’s limping meters come. </w:t>
      </w:r>
      <w:r w:rsidR="00313EE6">
        <w:rPr>
          <w:rFonts w:cs="Times New Roman"/>
          <w:lang w:val="en-US"/>
        </w:rPr>
        <w:t xml:space="preserve">Therefore, Callimachus’ </w:t>
      </w:r>
      <w:r w:rsidR="00313EE6" w:rsidRPr="00E60931">
        <w:rPr>
          <w:rFonts w:cs="Times New Roman"/>
          <w:i/>
          <w:lang w:val="en-US"/>
        </w:rPr>
        <w:t>Iambi</w:t>
      </w:r>
      <w:r w:rsidR="00313EE6">
        <w:rPr>
          <w:rFonts w:cs="Times New Roman"/>
          <w:lang w:val="en-US"/>
        </w:rPr>
        <w:t xml:space="preserve"> constitute the concrete exemple of a shift, and the ring composition stresses this, since the new Hipponax does not need to go to Ephesus.</w:t>
      </w:r>
    </w:p>
    <w:p w14:paraId="4B336456" w14:textId="057479FF" w:rsidR="00BA6C80" w:rsidRPr="003D75FA" w:rsidRDefault="00BA6C80" w:rsidP="00BA6C80">
      <w:pPr>
        <w:spacing w:after="200"/>
        <w:ind w:firstLine="425"/>
        <w:rPr>
          <w:rFonts w:cs="Times New Roman"/>
        </w:rPr>
      </w:pPr>
      <w:r w:rsidRPr="00EC408F">
        <w:rPr>
          <w:rFonts w:cs="Times New Roman"/>
          <w:lang w:val="en-US"/>
        </w:rPr>
        <w:t xml:space="preserve">Paradoxically, </w:t>
      </w:r>
      <w:r w:rsidRPr="007E3BEE">
        <w:rPr>
          <w:rFonts w:cs="Times New Roman"/>
          <w:i/>
          <w:lang w:val="en-US"/>
        </w:rPr>
        <w:t>Iambus</w:t>
      </w:r>
      <w:r w:rsidRPr="007E3BEE">
        <w:rPr>
          <w:rFonts w:cs="Times New Roman"/>
          <w:lang w:val="en-US"/>
        </w:rPr>
        <w:t xml:space="preserve"> 1 and </w:t>
      </w:r>
      <w:r w:rsidRPr="003D75FA">
        <w:rPr>
          <w:rFonts w:cs="Times New Roman"/>
          <w:i/>
          <w:lang w:val="en-US"/>
        </w:rPr>
        <w:t>Iambus</w:t>
      </w:r>
      <w:r w:rsidRPr="003D75FA">
        <w:rPr>
          <w:rFonts w:cs="Times New Roman"/>
          <w:lang w:val="en-US"/>
        </w:rPr>
        <w:t xml:space="preserve"> 13 are the two poems which have most contributed to the notion that</w:t>
      </w:r>
      <w:r w:rsidRPr="00EC408F">
        <w:rPr>
          <w:rFonts w:cs="Times New Roman"/>
          <w:lang w:val="en-US"/>
        </w:rPr>
        <w:t xml:space="preserve"> Callimachus</w:t>
      </w:r>
      <w:r w:rsidR="000C3C8E">
        <w:rPr>
          <w:rFonts w:cs="Times New Roman"/>
          <w:lang w:val="en-US"/>
        </w:rPr>
        <w:t>’</w:t>
      </w:r>
      <w:r w:rsidRPr="00EC408F">
        <w:rPr>
          <w:rFonts w:cs="Times New Roman"/>
          <w:lang w:val="en-US"/>
        </w:rPr>
        <w:t xml:space="preserve"> </w:t>
      </w:r>
      <w:r w:rsidR="006A7B22" w:rsidRPr="00227EE7">
        <w:rPr>
          <w:rFonts w:cs="Times New Roman"/>
          <w:i/>
          <w:lang w:val="en-US"/>
        </w:rPr>
        <w:t>Iambi</w:t>
      </w:r>
      <w:r w:rsidR="006A7B22">
        <w:rPr>
          <w:rFonts w:cs="Times New Roman"/>
          <w:lang w:val="en-US"/>
        </w:rPr>
        <w:t xml:space="preserve"> are</w:t>
      </w:r>
      <w:r w:rsidRPr="00EC408F">
        <w:rPr>
          <w:rFonts w:cs="Times New Roman"/>
          <w:lang w:val="en-US"/>
        </w:rPr>
        <w:t xml:space="preserve"> far removed from the iambic tradition. </w:t>
      </w:r>
      <w:r w:rsidRPr="00EC408F">
        <w:rPr>
          <w:rFonts w:cs="Times New Roman"/>
          <w:i/>
          <w:lang w:val="en-US"/>
        </w:rPr>
        <w:t>Iambus</w:t>
      </w:r>
      <w:r w:rsidRPr="00EC408F">
        <w:rPr>
          <w:rFonts w:cs="Times New Roman"/>
          <w:lang w:val="en-US"/>
        </w:rPr>
        <w:t xml:space="preserve"> 1 is usually read as </w:t>
      </w:r>
      <w:r w:rsidR="000C3C8E">
        <w:rPr>
          <w:rFonts w:cs="Times New Roman"/>
          <w:lang w:val="en-US"/>
        </w:rPr>
        <w:t>emblematic</w:t>
      </w:r>
      <w:r w:rsidRPr="00EC408F">
        <w:rPr>
          <w:rFonts w:cs="Times New Roman"/>
          <w:lang w:val="en-US"/>
        </w:rPr>
        <w:t xml:space="preserve"> of the </w:t>
      </w:r>
      <w:r w:rsidR="000C3C8E">
        <w:rPr>
          <w:rFonts w:cs="Times New Roman"/>
          <w:lang w:val="en-US"/>
        </w:rPr>
        <w:t xml:space="preserve">collection’s </w:t>
      </w:r>
      <w:r w:rsidRPr="00EC408F">
        <w:rPr>
          <w:rFonts w:cs="Times New Roman"/>
        </w:rPr>
        <w:t xml:space="preserve">new outlook: here, Callimachus promotes an attitude of peacefulness and detached humor; an atmosphere of </w:t>
      </w:r>
      <w:r w:rsidRPr="00EC408F">
        <w:rPr>
          <w:rFonts w:cs="Times New Roman"/>
          <w:lang w:val="el-GR"/>
        </w:rPr>
        <w:t>εὔνοια</w:t>
      </w:r>
      <w:r w:rsidRPr="00EC408F">
        <w:rPr>
          <w:rFonts w:cs="Times New Roman"/>
        </w:rPr>
        <w:t xml:space="preserve"> and friendship; an emancipation of man from the gods; a concern for personal morality and manners so that the author himself is no longer immune from criticism.</w:t>
      </w:r>
      <w:r w:rsidRPr="00EC408F">
        <w:rPr>
          <w:rStyle w:val="FootnoteReference"/>
          <w:rFonts w:cs="Times New Roman"/>
        </w:rPr>
        <w:footnoteReference w:id="574"/>
      </w:r>
      <w:r w:rsidRPr="00EC408F">
        <w:rPr>
          <w:rFonts w:cs="Times New Roman"/>
        </w:rPr>
        <w:t xml:space="preserve"> But </w:t>
      </w:r>
      <w:r w:rsidR="000C3C8E">
        <w:rPr>
          <w:rFonts w:cs="Times New Roman"/>
        </w:rPr>
        <w:t xml:space="preserve">in fact, </w:t>
      </w:r>
      <w:r w:rsidRPr="00EC408F">
        <w:rPr>
          <w:rFonts w:cs="Times New Roman"/>
        </w:rPr>
        <w:t xml:space="preserve">friendship, emancipation from </w:t>
      </w:r>
      <w:r w:rsidRPr="007E3BEE">
        <w:rPr>
          <w:rFonts w:cs="Times New Roman"/>
        </w:rPr>
        <w:t xml:space="preserve">the gods, self-criticism, and morality are already </w:t>
      </w:r>
      <w:r w:rsidRPr="003D75FA">
        <w:rPr>
          <w:rFonts w:cs="Times New Roman"/>
        </w:rPr>
        <w:t>at home in archaic iambic:</w:t>
      </w:r>
    </w:p>
    <w:p w14:paraId="0D9D1A60" w14:textId="6078DCDD" w:rsidR="00BA6C80" w:rsidRPr="00EC408F" w:rsidRDefault="00BA6C80" w:rsidP="00BA6C80">
      <w:pPr>
        <w:pStyle w:val="ListParagraph"/>
        <w:numPr>
          <w:ilvl w:val="0"/>
          <w:numId w:val="202"/>
        </w:numPr>
        <w:rPr>
          <w:lang w:val="en-US"/>
        </w:rPr>
      </w:pPr>
      <w:r w:rsidRPr="00EC408F">
        <w:t xml:space="preserve">Friendship is </w:t>
      </w:r>
      <w:r w:rsidR="000C3C8E">
        <w:t>strongly</w:t>
      </w:r>
      <w:r w:rsidR="000C3C8E" w:rsidRPr="00EC408F">
        <w:t xml:space="preserve"> </w:t>
      </w:r>
      <w:r w:rsidRPr="00EC408F">
        <w:t xml:space="preserve">emphasized in the archaic fragments, and Archilochus in particular often represents himself as belonging to a community of “we,” of friends. In Callimachus, however, friendship seems to be diffused into a shared atmosphere of </w:t>
      </w:r>
      <w:r w:rsidRPr="00EC408F">
        <w:rPr>
          <w:lang w:val="el-GR"/>
        </w:rPr>
        <w:t>εὔνοια</w:t>
      </w:r>
      <w:r w:rsidRPr="00EC408F">
        <w:rPr>
          <w:lang w:val="en-US"/>
        </w:rPr>
        <w:t>, inspired by the lessons of Plato and the new Hellenistic philosophies.</w:t>
      </w:r>
    </w:p>
    <w:p w14:paraId="5F099443" w14:textId="4436C7C9" w:rsidR="00BA6C80" w:rsidRPr="00EC408F" w:rsidRDefault="00BA6C80" w:rsidP="00BA6C80">
      <w:pPr>
        <w:pStyle w:val="ListParagraph"/>
        <w:numPr>
          <w:ilvl w:val="0"/>
          <w:numId w:val="202"/>
        </w:numPr>
        <w:rPr>
          <w:lang w:val="en-US"/>
        </w:rPr>
      </w:pPr>
      <w:r w:rsidRPr="00EC408F">
        <w:rPr>
          <w:lang w:val="en-US"/>
        </w:rPr>
        <w:t xml:space="preserve">Already in the archaic fragments, gods are </w:t>
      </w:r>
      <w:r>
        <w:rPr>
          <w:lang w:val="en-US"/>
        </w:rPr>
        <w:t xml:space="preserve">often reproached </w:t>
      </w:r>
      <w:r w:rsidR="000C3C8E">
        <w:rPr>
          <w:lang w:val="en-US"/>
        </w:rPr>
        <w:t>for being</w:t>
      </w:r>
      <w:r>
        <w:rPr>
          <w:lang w:val="en-US"/>
        </w:rPr>
        <w:t xml:space="preserve"> greedy (Hippon. frs. </w:t>
      </w:r>
      <w:r w:rsidR="00313EE6">
        <w:rPr>
          <w:lang w:val="en-US"/>
        </w:rPr>
        <w:t>42, 43</w:t>
      </w:r>
      <w:r w:rsidR="00E60931">
        <w:rPr>
          <w:lang w:val="en-US"/>
        </w:rPr>
        <w:t>, 44, 47</w:t>
      </w:r>
      <w:r>
        <w:rPr>
          <w:lang w:val="en-US"/>
        </w:rPr>
        <w:t>), fool</w:t>
      </w:r>
      <w:r w:rsidR="000C3C8E">
        <w:rPr>
          <w:lang w:val="en-US"/>
        </w:rPr>
        <w:t>ish</w:t>
      </w:r>
      <w:r>
        <w:rPr>
          <w:lang w:val="en-US"/>
        </w:rPr>
        <w:t xml:space="preserve"> and thoughtless (Archil. fr. 168)</w:t>
      </w:r>
      <w:r w:rsidR="000C3C8E">
        <w:rPr>
          <w:lang w:val="en-US"/>
        </w:rPr>
        <w:t>; s</w:t>
      </w:r>
      <w:r>
        <w:rPr>
          <w:lang w:val="en-US"/>
        </w:rPr>
        <w:t>colding gods</w:t>
      </w:r>
      <w:r w:rsidR="000C3C8E">
        <w:rPr>
          <w:lang w:val="en-US"/>
        </w:rPr>
        <w:t>,</w:t>
      </w:r>
      <w:r>
        <w:rPr>
          <w:lang w:val="en-US"/>
        </w:rPr>
        <w:t xml:space="preserve"> as Callimachus does in </w:t>
      </w:r>
      <w:r w:rsidRPr="00EC408F">
        <w:rPr>
          <w:i/>
          <w:lang w:val="en-US"/>
        </w:rPr>
        <w:t>Iambus</w:t>
      </w:r>
      <w:r w:rsidRPr="00EC408F">
        <w:rPr>
          <w:lang w:val="en-US"/>
        </w:rPr>
        <w:t xml:space="preserve"> 2.6</w:t>
      </w:r>
      <w:r w:rsidR="000C3C8E">
        <w:rPr>
          <w:lang w:val="en-US"/>
        </w:rPr>
        <w:t>,</w:t>
      </w:r>
      <w:r>
        <w:rPr>
          <w:lang w:val="en-US"/>
        </w:rPr>
        <w:t xml:space="preserve"> is not a Callimachean innovation. </w:t>
      </w:r>
    </w:p>
    <w:p w14:paraId="0D89C1CF" w14:textId="7EF6CA92" w:rsidR="00BA6C80" w:rsidRPr="00EC408F" w:rsidRDefault="00BA6C80" w:rsidP="00BA6C80">
      <w:pPr>
        <w:pStyle w:val="ListParagraph"/>
        <w:numPr>
          <w:ilvl w:val="0"/>
          <w:numId w:val="202"/>
        </w:numPr>
      </w:pPr>
      <w:r w:rsidRPr="00EC408F">
        <w:t xml:space="preserve">Callimachus is not the first to practise self-criticism in </w:t>
      </w:r>
      <w:r>
        <w:t xml:space="preserve">his </w:t>
      </w:r>
      <w:r w:rsidRPr="00EC408F">
        <w:t>iambic</w:t>
      </w:r>
      <w:r>
        <w:t xml:space="preserve"> lines, since already </w:t>
      </w:r>
      <w:r w:rsidRPr="00EC408F">
        <w:t>Archilochus</w:t>
      </w:r>
      <w:r>
        <w:t xml:space="preserve"> </w:t>
      </w:r>
      <w:r w:rsidR="000C3C8E">
        <w:t xml:space="preserve">vituperated </w:t>
      </w:r>
      <w:r>
        <w:t>himself, according to Critias.</w:t>
      </w:r>
      <w:r w:rsidRPr="007E3BEE">
        <w:rPr>
          <w:rStyle w:val="FootnoteReference"/>
        </w:rPr>
        <w:footnoteReference w:id="575"/>
      </w:r>
      <w:r w:rsidRPr="00EC408F" w:rsidDel="00C6009B">
        <w:t xml:space="preserve"> </w:t>
      </w:r>
    </w:p>
    <w:p w14:paraId="78DCD226" w14:textId="3FA8B70F" w:rsidR="00BA6C80" w:rsidRPr="00EC408F" w:rsidRDefault="00BA6C80" w:rsidP="00BA6C80">
      <w:pPr>
        <w:pStyle w:val="ListParagraph"/>
        <w:numPr>
          <w:ilvl w:val="0"/>
          <w:numId w:val="202"/>
        </w:numPr>
      </w:pPr>
      <w:r w:rsidRPr="00EC408F">
        <w:rPr>
          <w:lang w:val="en-US"/>
        </w:rPr>
        <w:lastRenderedPageBreak/>
        <w:t xml:space="preserve">Concern for morality already belongs to the archaic iambographers, if we think, for example, of Hippon. fr. 126, or Archil. fr. 54. Furthermore, </w:t>
      </w:r>
      <w:r w:rsidRPr="00EC408F">
        <w:t xml:space="preserve">it is reductive to say that the </w:t>
      </w:r>
      <w:r w:rsidRPr="00EC408F">
        <w:rPr>
          <w:i/>
        </w:rPr>
        <w:t>Iambi</w:t>
      </w:r>
      <w:r w:rsidRPr="00EC408F">
        <w:t xml:space="preserve"> are only concerned </w:t>
      </w:r>
      <w:r w:rsidR="000C3C8E">
        <w:t>with</w:t>
      </w:r>
      <w:r w:rsidR="000C3C8E" w:rsidRPr="00EC408F">
        <w:t xml:space="preserve"> </w:t>
      </w:r>
      <w:r w:rsidRPr="00EC408F">
        <w:t xml:space="preserve">personal </w:t>
      </w:r>
      <w:r w:rsidR="000C3C8E">
        <w:t>norms</w:t>
      </w:r>
      <w:r w:rsidR="000C3C8E" w:rsidRPr="00EC408F">
        <w:t xml:space="preserve"> </w:t>
      </w:r>
      <w:r w:rsidRPr="00EC408F">
        <w:t xml:space="preserve">and manners: they pose social questions, questions of demeanour, as is clearly shown by </w:t>
      </w:r>
      <w:r w:rsidRPr="00EC408F">
        <w:rPr>
          <w:i/>
        </w:rPr>
        <w:t>Iambus</w:t>
      </w:r>
      <w:r w:rsidRPr="00EC408F">
        <w:t xml:space="preserve"> 5.</w:t>
      </w:r>
      <w:r w:rsidR="000C3C8E">
        <w:t xml:space="preserve"> Even so, </w:t>
      </w:r>
      <w:r w:rsidRPr="00EC408F">
        <w:t xml:space="preserve">Callimachus’ concerns are not those of the </w:t>
      </w:r>
      <w:r w:rsidRPr="00EC408F">
        <w:rPr>
          <w:lang w:val="el-GR"/>
        </w:rPr>
        <w:t>πολίτης</w:t>
      </w:r>
      <w:r w:rsidRPr="00EC408F">
        <w:t xml:space="preserve"> Archilochus, because the historical conditions have changed. </w:t>
      </w:r>
    </w:p>
    <w:p w14:paraId="531E99EB" w14:textId="6F58312B" w:rsidR="00BA6C80" w:rsidRPr="00EC408F" w:rsidRDefault="00BA6C80" w:rsidP="00227EE7">
      <w:pPr>
        <w:spacing w:before="200"/>
        <w:rPr>
          <w:rFonts w:cs="Times New Roman"/>
        </w:rPr>
      </w:pPr>
      <w:r w:rsidRPr="00EC408F">
        <w:rPr>
          <w:rFonts w:cs="Times New Roman"/>
          <w:i/>
        </w:rPr>
        <w:t>Iambus</w:t>
      </w:r>
      <w:r w:rsidRPr="00EC408F">
        <w:rPr>
          <w:rFonts w:cs="Times New Roman"/>
        </w:rPr>
        <w:t xml:space="preserve"> 1 situates Callimachus’ collection in the tradition of iambic poetry by bringing its most colourful representative, the poet Hipponax, back from the dead</w:t>
      </w:r>
      <w:r w:rsidR="000C3C8E">
        <w:rPr>
          <w:rFonts w:cs="Times New Roman"/>
        </w:rPr>
        <w:t xml:space="preserve">; but </w:t>
      </w:r>
      <w:r w:rsidRPr="00EC408F">
        <w:rPr>
          <w:rFonts w:cs="Times New Roman"/>
        </w:rPr>
        <w:t>we should not forget that the genre’s prototype was</w:t>
      </w:r>
      <w:r w:rsidR="000C3C8E">
        <w:rPr>
          <w:rFonts w:cs="Times New Roman"/>
        </w:rPr>
        <w:t xml:space="preserve">, in fact, </w:t>
      </w:r>
      <w:r w:rsidRPr="00EC408F">
        <w:rPr>
          <w:rFonts w:cs="Times New Roman"/>
        </w:rPr>
        <w:t xml:space="preserve">Archilochus. My semantic and linguistic analyses have </w:t>
      </w:r>
      <w:r w:rsidRPr="00EC408F">
        <w:rPr>
          <w:rFonts w:cs="Times New Roman"/>
          <w:lang w:val="en-US"/>
        </w:rPr>
        <w:t xml:space="preserve">highlighted that Callimachus’ content and language are, overall, closer to Archilochus than to Hipponax. The reason for this may be that the language and, to some extent, the content of Hipponax are too extreme and too specifically Hipponactean, and therefore difficult to re-use and adapt to new contexts. Archilochus’ language and situations, on the contrary, are more neutral while at the same time being manifestly iambic. </w:t>
      </w:r>
      <w:r w:rsidR="00905F36">
        <w:rPr>
          <w:rFonts w:cs="Times New Roman"/>
          <w:lang w:val="en-US"/>
        </w:rPr>
        <w:t xml:space="preserve">But if </w:t>
      </w:r>
      <w:r w:rsidRPr="00EC408F">
        <w:rPr>
          <w:rFonts w:cs="Times New Roman"/>
          <w:lang w:val="en-US"/>
        </w:rPr>
        <w:t xml:space="preserve">Callimachus’ </w:t>
      </w:r>
      <w:r w:rsidRPr="00592CB3">
        <w:rPr>
          <w:rFonts w:cs="Times New Roman"/>
          <w:i/>
          <w:lang w:val="en-US"/>
        </w:rPr>
        <w:t>Iambi</w:t>
      </w:r>
      <w:r w:rsidRPr="00EC408F">
        <w:rPr>
          <w:rFonts w:cs="Times New Roman"/>
          <w:lang w:val="en-US"/>
        </w:rPr>
        <w:t xml:space="preserve"> are so much closer to Archilochus, we </w:t>
      </w:r>
      <w:r w:rsidR="00905F36">
        <w:rPr>
          <w:rFonts w:cs="Times New Roman"/>
          <w:lang w:val="en-US"/>
        </w:rPr>
        <w:t>should</w:t>
      </w:r>
      <w:r w:rsidRPr="00EC408F">
        <w:rPr>
          <w:rFonts w:cs="Times New Roman"/>
          <w:lang w:val="en-US"/>
        </w:rPr>
        <w:t xml:space="preserve"> </w:t>
      </w:r>
      <w:r w:rsidRPr="007E3BEE">
        <w:rPr>
          <w:rFonts w:cs="Times New Roman"/>
          <w:lang w:val="en-US"/>
        </w:rPr>
        <w:t xml:space="preserve">ask </w:t>
      </w:r>
      <w:r w:rsidRPr="003D75FA">
        <w:rPr>
          <w:rFonts w:cs="Times New Roman"/>
          <w:lang w:val="en-US"/>
        </w:rPr>
        <w:t xml:space="preserve">why Callimachus chose to stage Hipponax as his model. One answer </w:t>
      </w:r>
      <w:r w:rsidRPr="00EC408F">
        <w:rPr>
          <w:rFonts w:cs="Times New Roman"/>
          <w:lang w:val="en-US"/>
        </w:rPr>
        <w:t>to this question could be that Archilochus was too closely connected with his specific historical context, while Hipponax was less involved in the politics of his time; this made Hipponax a safer comic-didactic persona to adopt. But a linguistic motivation may have been equally</w:t>
      </w:r>
      <w:r w:rsidR="00905F36">
        <w:rPr>
          <w:rFonts w:cs="Times New Roman"/>
          <w:lang w:val="en-US"/>
        </w:rPr>
        <w:t>,</w:t>
      </w:r>
      <w:r w:rsidRPr="00EC408F">
        <w:rPr>
          <w:rFonts w:cs="Times New Roman"/>
          <w:lang w:val="en-US"/>
        </w:rPr>
        <w:t xml:space="preserve"> </w:t>
      </w:r>
      <w:r w:rsidR="00905F36">
        <w:rPr>
          <w:rFonts w:cs="Times New Roman"/>
          <w:lang w:val="en-US"/>
        </w:rPr>
        <w:t>if not</w:t>
      </w:r>
      <w:r w:rsidR="00905F36" w:rsidRPr="00EC408F">
        <w:rPr>
          <w:rFonts w:cs="Times New Roman"/>
          <w:lang w:val="en-US"/>
        </w:rPr>
        <w:t xml:space="preserve"> </w:t>
      </w:r>
      <w:r w:rsidRPr="00EC408F">
        <w:rPr>
          <w:rFonts w:cs="Times New Roman"/>
          <w:lang w:val="en-US"/>
        </w:rPr>
        <w:t xml:space="preserve">more important: Hipponax’s language is much more varied than Archilochus’ language, and as we have seen, Callimachus has made variety into </w:t>
      </w:r>
      <w:r w:rsidR="00905F36">
        <w:rPr>
          <w:rFonts w:cs="Times New Roman"/>
          <w:lang w:val="en-US"/>
        </w:rPr>
        <w:t>a</w:t>
      </w:r>
      <w:r w:rsidR="00905F36" w:rsidRPr="00EC408F">
        <w:rPr>
          <w:rFonts w:cs="Times New Roman"/>
          <w:lang w:val="en-US"/>
        </w:rPr>
        <w:t xml:space="preserve"> </w:t>
      </w:r>
      <w:r w:rsidRPr="00EC408F">
        <w:rPr>
          <w:rFonts w:cs="Times New Roman"/>
          <w:lang w:val="en-US"/>
        </w:rPr>
        <w:t xml:space="preserve">key feature of his </w:t>
      </w:r>
      <w:r w:rsidRPr="00EC408F">
        <w:rPr>
          <w:rFonts w:cs="Times New Roman"/>
          <w:i/>
          <w:lang w:val="en-US"/>
        </w:rPr>
        <w:t>Iambi</w:t>
      </w:r>
      <w:r w:rsidRPr="00EC408F">
        <w:rPr>
          <w:rFonts w:cs="Times New Roman"/>
          <w:lang w:val="en-US"/>
        </w:rPr>
        <w:t xml:space="preserve">. </w:t>
      </w:r>
      <w:r w:rsidRPr="00EC408F">
        <w:rPr>
          <w:rFonts w:cs="Times New Roman"/>
        </w:rPr>
        <w:t>Although we are told</w:t>
      </w:r>
      <w:r>
        <w:rPr>
          <w:rStyle w:val="FootnoteReference"/>
          <w:rFonts w:cs="Times New Roman"/>
        </w:rPr>
        <w:footnoteReference w:id="576"/>
      </w:r>
      <w:r w:rsidRPr="00EC408F">
        <w:rPr>
          <w:rFonts w:cs="Times New Roman"/>
        </w:rPr>
        <w:t xml:space="preserve"> </w:t>
      </w:r>
      <w:r w:rsidRPr="007E3BEE">
        <w:rPr>
          <w:rFonts w:cs="Times New Roman"/>
        </w:rPr>
        <w:t xml:space="preserve">that an </w:t>
      </w:r>
      <w:r w:rsidRPr="003D75FA">
        <w:rPr>
          <w:rFonts w:cs="Times New Roman"/>
          <w:lang w:val="en-US"/>
        </w:rPr>
        <w:t xml:space="preserve">interest in individuality is the hallmark of the </w:t>
      </w:r>
      <w:r w:rsidRPr="003D75FA">
        <w:rPr>
          <w:rFonts w:cs="Times New Roman"/>
          <w:i/>
          <w:lang w:val="en-US"/>
        </w:rPr>
        <w:t>Iambi</w:t>
      </w:r>
      <w:r w:rsidRPr="003D75FA">
        <w:rPr>
          <w:rFonts w:cs="Times New Roman"/>
          <w:lang w:val="en-US"/>
        </w:rPr>
        <w:t xml:space="preserve">, Callimachus is not completely absorbed in self-depiction: he is concerned with </w:t>
      </w:r>
      <w:r w:rsidRPr="00EC408F">
        <w:rPr>
          <w:rFonts w:cs="Times New Roman"/>
          <w:lang w:val="en-US"/>
        </w:rPr>
        <w:t>intriguing speakers of all sorts</w:t>
      </w:r>
      <w:r>
        <w:rPr>
          <w:rFonts w:cs="Times New Roman"/>
          <w:lang w:val="en-US"/>
        </w:rPr>
        <w:t>, and he deals with social, political, literary issues</w:t>
      </w:r>
      <w:r w:rsidRPr="00EC408F">
        <w:rPr>
          <w:rFonts w:cs="Times New Roman"/>
          <w:lang w:val="en-US"/>
        </w:rPr>
        <w:t xml:space="preserve">. The </w:t>
      </w:r>
      <w:r w:rsidRPr="007E3BEE">
        <w:rPr>
          <w:rFonts w:cs="Times New Roman"/>
          <w:lang w:val="en-US"/>
        </w:rPr>
        <w:t>employment</w:t>
      </w:r>
      <w:r w:rsidRPr="003D75FA">
        <w:rPr>
          <w:rFonts w:cs="Times New Roman"/>
          <w:lang w:val="en-US"/>
        </w:rPr>
        <w:t xml:space="preserve"> of a </w:t>
      </w:r>
      <w:r w:rsidRPr="003D75FA">
        <w:rPr>
          <w:rFonts w:cs="Times New Roman"/>
          <w:i/>
          <w:lang w:val="en-US"/>
        </w:rPr>
        <w:t>persona loquens</w:t>
      </w:r>
      <w:r w:rsidRPr="003D75FA">
        <w:rPr>
          <w:rFonts w:cs="Times New Roman"/>
          <w:lang w:val="en-US"/>
        </w:rPr>
        <w:t xml:space="preserve"> is already typical of archaic iambs: </w:t>
      </w:r>
      <w:r w:rsidRPr="00EC408F">
        <w:rPr>
          <w:rFonts w:cs="Times New Roman"/>
          <w:lang w:val="en-US"/>
        </w:rPr>
        <w:t xml:space="preserve">Archilochus describes his </w:t>
      </w:r>
      <w:r w:rsidRPr="00EC408F">
        <w:rPr>
          <w:rFonts w:cs="Times New Roman"/>
          <w:lang w:val="it-IT"/>
        </w:rPr>
        <w:t>“</w:t>
      </w:r>
      <w:r w:rsidRPr="00EC408F">
        <w:rPr>
          <w:rFonts w:cs="Times New Roman"/>
          <w:lang w:val="en-US"/>
        </w:rPr>
        <w:t>I</w:t>
      </w:r>
      <w:r w:rsidRPr="00EC408F">
        <w:rPr>
          <w:rFonts w:cs="Times New Roman"/>
        </w:rPr>
        <w:t>”</w:t>
      </w:r>
      <w:r w:rsidRPr="00EC408F">
        <w:rPr>
          <w:rFonts w:cs="Times New Roman"/>
          <w:lang w:val="en-US"/>
        </w:rPr>
        <w:t xml:space="preserve"> as a rogue, and Hipponax presents himself as “Hipponax,” not as </w:t>
      </w:r>
      <w:r w:rsidRPr="00EC408F">
        <w:rPr>
          <w:rFonts w:cs="Times New Roman"/>
          <w:lang w:val="it-IT"/>
        </w:rPr>
        <w:t xml:space="preserve">“I.” </w:t>
      </w:r>
    </w:p>
    <w:p w14:paraId="5803B652" w14:textId="66B0ECF9" w:rsidR="00BA6C80" w:rsidRPr="00EC408F" w:rsidRDefault="00BA6C80" w:rsidP="00BA6C80">
      <w:pPr>
        <w:ind w:firstLine="426"/>
        <w:rPr>
          <w:rFonts w:cs="Times New Roman"/>
        </w:rPr>
      </w:pPr>
      <w:r w:rsidRPr="007E3BEE">
        <w:rPr>
          <w:rFonts w:cs="Times New Roman"/>
        </w:rPr>
        <w:t>For all these reasons</w:t>
      </w:r>
      <w:r w:rsidRPr="003D75FA">
        <w:rPr>
          <w:rFonts w:cs="Times New Roman"/>
        </w:rPr>
        <w:t>, I reject scholarly interpretations which hold that</w:t>
      </w:r>
      <w:r w:rsidRPr="00EC408F">
        <w:rPr>
          <w:rFonts w:cs="Times New Roman"/>
        </w:rPr>
        <w:t xml:space="preserve">, in the </w:t>
      </w:r>
      <w:r w:rsidRPr="00EC408F">
        <w:rPr>
          <w:rFonts w:cs="Times New Roman"/>
          <w:i/>
        </w:rPr>
        <w:t>Iambi</w:t>
      </w:r>
      <w:r w:rsidRPr="00EC408F">
        <w:rPr>
          <w:rFonts w:cs="Times New Roman"/>
        </w:rPr>
        <w:t>, Callimachus departs from the tradition and conscious</w:t>
      </w:r>
      <w:r w:rsidR="00905F36">
        <w:rPr>
          <w:rFonts w:cs="Times New Roman"/>
        </w:rPr>
        <w:t>ly</w:t>
      </w:r>
      <w:r w:rsidRPr="00EC408F">
        <w:rPr>
          <w:rFonts w:cs="Times New Roman"/>
        </w:rPr>
        <w:t xml:space="preserve"> separates himself from his previous models; or at least, I suggest a mitigation of this point of view: what truly matters is that Callimachus tries to recapture and to give new life to the old </w:t>
      </w:r>
      <w:r w:rsidRPr="00227EE7">
        <w:rPr>
          <w:rFonts w:cs="Times New Roman"/>
          <w:i/>
        </w:rPr>
        <w:t>iambos</w:t>
      </w:r>
      <w:r w:rsidRPr="00EC408F">
        <w:rPr>
          <w:rFonts w:cs="Times New Roman"/>
        </w:rPr>
        <w:t>.</w:t>
      </w:r>
    </w:p>
    <w:p w14:paraId="21763B7C" w14:textId="77777777" w:rsidR="00BA6C80" w:rsidRPr="00EC408F" w:rsidRDefault="00BA6C80" w:rsidP="00BA6C80">
      <w:pPr>
        <w:rPr>
          <w:rFonts w:cs="Times New Roman"/>
          <w:lang w:val="en-US"/>
        </w:rPr>
      </w:pPr>
    </w:p>
    <w:p w14:paraId="4FD4D9C4" w14:textId="3CE83E5B" w:rsidR="00BA6C80" w:rsidRPr="003D75FA" w:rsidRDefault="00BA6C80" w:rsidP="00BA6C80">
      <w:pPr>
        <w:rPr>
          <w:rFonts w:cs="Times New Roman"/>
          <w:lang w:val="en-US"/>
        </w:rPr>
      </w:pPr>
      <w:r w:rsidRPr="00EC408F">
        <w:rPr>
          <w:rFonts w:cs="Times New Roman"/>
          <w:lang w:val="en-US"/>
        </w:rPr>
        <w:lastRenderedPageBreak/>
        <w:t xml:space="preserve">Regarding </w:t>
      </w:r>
      <w:r w:rsidR="00A167F5">
        <w:rPr>
          <w:rFonts w:cs="Times New Roman"/>
          <w:lang w:val="en-US"/>
        </w:rPr>
        <w:t xml:space="preserve">the second </w:t>
      </w:r>
      <w:r w:rsidRPr="00EC408F">
        <w:rPr>
          <w:rFonts w:cs="Times New Roman"/>
          <w:lang w:val="en-US"/>
        </w:rPr>
        <w:t xml:space="preserve">point outlined at the start of this conclusion, I have argued in this thesis that </w:t>
      </w:r>
      <w:r w:rsidRPr="00EC408F">
        <w:rPr>
          <w:rFonts w:cs="Times New Roman"/>
        </w:rPr>
        <w:t xml:space="preserve">iambs use different linguistic codes, styles, and tones according their concomitant moral attitudes, and that the focus of these experiments is the ever-shifting iambic </w:t>
      </w:r>
      <w:r w:rsidRPr="00EC408F">
        <w:rPr>
          <w:rFonts w:cs="Times New Roman"/>
          <w:i/>
        </w:rPr>
        <w:t>persona</w:t>
      </w:r>
      <w:r w:rsidRPr="00EC408F">
        <w:rPr>
          <w:rFonts w:cs="Times New Roman"/>
        </w:rPr>
        <w:t xml:space="preserve">. Dazzling thematic and </w:t>
      </w:r>
      <w:r w:rsidR="003002D4">
        <w:rPr>
          <w:rFonts w:cs="Times New Roman"/>
        </w:rPr>
        <w:t>l</w:t>
      </w:r>
      <w:r w:rsidRPr="00EC408F">
        <w:rPr>
          <w:rFonts w:cs="Times New Roman"/>
        </w:rPr>
        <w:t xml:space="preserve">inguistic variety are held together by the iambographer’s </w:t>
      </w:r>
      <w:r w:rsidRPr="00EC408F">
        <w:rPr>
          <w:rFonts w:cs="Times New Roman"/>
          <w:lang w:val="en-US"/>
        </w:rPr>
        <w:t xml:space="preserve">experiment with his own </w:t>
      </w:r>
      <w:r w:rsidRPr="00EC408F">
        <w:rPr>
          <w:rFonts w:cs="Times New Roman"/>
          <w:i/>
          <w:lang w:val="en-US"/>
        </w:rPr>
        <w:t>persona</w:t>
      </w:r>
      <w:r w:rsidRPr="00EC408F">
        <w:rPr>
          <w:rFonts w:cs="Times New Roman"/>
          <w:lang w:val="en-US"/>
        </w:rPr>
        <w:t xml:space="preserve">, and </w:t>
      </w:r>
      <w:r w:rsidRPr="00EC408F">
        <w:rPr>
          <w:rFonts w:cs="Times New Roman"/>
        </w:rPr>
        <w:t>his interest in judgments and views, mockery and exhortation</w:t>
      </w:r>
      <w:r w:rsidR="00905F36">
        <w:rPr>
          <w:rFonts w:cs="Times New Roman"/>
        </w:rPr>
        <w:t>. T</w:t>
      </w:r>
      <w:r w:rsidRPr="00EC408F">
        <w:rPr>
          <w:rFonts w:cs="Times New Roman"/>
        </w:rPr>
        <w:t xml:space="preserve">hus, this subtly orchestrated change goes hand in hand with the purpose of the genre, namely </w:t>
      </w:r>
      <w:r w:rsidRPr="00EC408F">
        <w:rPr>
          <w:rFonts w:cs="Times New Roman"/>
          <w:lang w:val="el-GR"/>
        </w:rPr>
        <w:t>προκόπτειν</w:t>
      </w:r>
      <w:r w:rsidRPr="00EC408F">
        <w:rPr>
          <w:rFonts w:cs="Times New Roman"/>
          <w:lang w:val="en-US"/>
        </w:rPr>
        <w:t xml:space="preserve"> </w:t>
      </w:r>
      <w:r w:rsidRPr="00EC408F">
        <w:rPr>
          <w:rFonts w:cs="Times New Roman"/>
          <w:lang w:val="el-GR"/>
        </w:rPr>
        <w:t>ἐπ</w:t>
      </w:r>
      <w:r w:rsidRPr="00EC408F">
        <w:rPr>
          <w:rFonts w:cs="Times New Roman"/>
        </w:rPr>
        <w:t>’</w:t>
      </w:r>
      <w:r w:rsidRPr="00EC408F">
        <w:rPr>
          <w:rFonts w:cs="Times New Roman"/>
          <w:lang w:val="en-US"/>
        </w:rPr>
        <w:t xml:space="preserve"> </w:t>
      </w:r>
      <w:r w:rsidRPr="00EC408F">
        <w:rPr>
          <w:rFonts w:cs="Times New Roman"/>
          <w:lang w:val="el-GR"/>
        </w:rPr>
        <w:t>ἀρετῆι</w:t>
      </w:r>
      <w:r w:rsidRPr="00227EE7">
        <w:rPr>
          <w:rFonts w:cs="Times New Roman"/>
          <w:lang w:val="en-US"/>
        </w:rPr>
        <w:t xml:space="preserve"> </w:t>
      </w:r>
      <w:r>
        <w:rPr>
          <w:rFonts w:cs="Times New Roman"/>
          <w:lang w:val="it-IT"/>
        </w:rPr>
        <w:t>“urging towards righteousness.”</w:t>
      </w:r>
      <w:r w:rsidRPr="007E3BEE">
        <w:rPr>
          <w:rFonts w:cs="Times New Roman"/>
          <w:lang w:val="en-US"/>
        </w:rPr>
        <w:t xml:space="preserve"> </w:t>
      </w:r>
      <w:r w:rsidR="00905F36">
        <w:rPr>
          <w:rFonts w:cs="Times New Roman"/>
          <w:lang w:val="en-US"/>
        </w:rPr>
        <w:t>Because</w:t>
      </w:r>
      <w:r w:rsidR="00905F36" w:rsidRPr="003D75FA">
        <w:rPr>
          <w:rFonts w:cs="Times New Roman"/>
          <w:lang w:val="en-US"/>
        </w:rPr>
        <w:t xml:space="preserve"> </w:t>
      </w:r>
      <w:r w:rsidRPr="003D75FA">
        <w:rPr>
          <w:rFonts w:cs="Times New Roman"/>
          <w:lang w:val="en-US"/>
        </w:rPr>
        <w:t>the iambic genre ha</w:t>
      </w:r>
      <w:r w:rsidR="00905F36">
        <w:rPr>
          <w:rFonts w:cs="Times New Roman"/>
          <w:lang w:val="en-US"/>
        </w:rPr>
        <w:t>d</w:t>
      </w:r>
      <w:r w:rsidRPr="003D75FA">
        <w:rPr>
          <w:rFonts w:cs="Times New Roman"/>
          <w:lang w:val="en-US"/>
        </w:rPr>
        <w:t xml:space="preserve"> a didactic purpose</w:t>
      </w:r>
      <w:r w:rsidRPr="00EC408F">
        <w:rPr>
          <w:rFonts w:cs="Times New Roman"/>
          <w:lang w:val="en-US"/>
        </w:rPr>
        <w:t xml:space="preserve">, and had as its primary occasion the symposium; and just as the device of </w:t>
      </w:r>
      <w:r w:rsidRPr="00EC408F">
        <w:rPr>
          <w:rFonts w:cs="Times New Roman"/>
          <w:i/>
          <w:lang w:val="en-US"/>
        </w:rPr>
        <w:t>persona loquens</w:t>
      </w:r>
      <w:r w:rsidRPr="00EC408F">
        <w:rPr>
          <w:rFonts w:cs="Times New Roman"/>
          <w:lang w:val="en-US"/>
        </w:rPr>
        <w:t xml:space="preserve"> moves the responsibility for what is said from the poet to the occasional speaker, the device of code-switching moves the responsibility from the poet to the text, and to the audience who receive it</w:t>
      </w:r>
      <w:r w:rsidRPr="007E3BEE">
        <w:rPr>
          <w:rFonts w:cs="Times New Roman"/>
          <w:lang w:val="en-US"/>
        </w:rPr>
        <w:t xml:space="preserve">. Switching among codes allows the poet to escape the responsibility and the authority of teaching, conveying his views and judgements as advice </w:t>
      </w:r>
      <w:r w:rsidRPr="003D75FA">
        <w:rPr>
          <w:rFonts w:cs="Times New Roman"/>
          <w:lang w:val="en-US"/>
        </w:rPr>
        <w:t>based on common sense</w:t>
      </w:r>
      <w:r w:rsidR="00905F36">
        <w:rPr>
          <w:rFonts w:cs="Times New Roman"/>
          <w:lang w:val="en-US"/>
        </w:rPr>
        <w:t>,</w:t>
      </w:r>
      <w:r w:rsidRPr="003D75FA">
        <w:rPr>
          <w:rFonts w:cs="Times New Roman"/>
          <w:lang w:val="en-US"/>
        </w:rPr>
        <w:t xml:space="preserve"> shared and approved by everyone in the audience. </w:t>
      </w:r>
    </w:p>
    <w:p w14:paraId="33B30640" w14:textId="34BF2D5D" w:rsidR="00BA6C80" w:rsidRPr="007E3BEE" w:rsidRDefault="00BA6C80" w:rsidP="00BA6C80">
      <w:pPr>
        <w:ind w:firstLine="426"/>
        <w:rPr>
          <w:rFonts w:cs="Times New Roman"/>
        </w:rPr>
      </w:pPr>
      <w:r w:rsidRPr="00EC408F">
        <w:rPr>
          <w:rFonts w:cs="Times New Roman"/>
          <w:lang w:val="en-US"/>
        </w:rPr>
        <w:t xml:space="preserve">Variety implies a dialogue between different voices, namely different linguistic codes in the iambic texts. Drawing on the notion of </w:t>
      </w:r>
      <w:r w:rsidRPr="00EC408F">
        <w:rPr>
          <w:rFonts w:cs="Times New Roman"/>
          <w:lang w:val="it-IT"/>
        </w:rPr>
        <w:t>“dialogism”</w:t>
      </w:r>
      <w:r w:rsidRPr="00EC408F">
        <w:rPr>
          <w:rFonts w:cs="Times New Roman"/>
        </w:rPr>
        <w:t xml:space="preserve"> developed by Mikhail Bakthin, </w:t>
      </w:r>
      <w:r>
        <w:rPr>
          <w:rFonts w:cs="Times New Roman"/>
        </w:rPr>
        <w:t xml:space="preserve">I </w:t>
      </w:r>
      <w:r w:rsidR="00905F36">
        <w:rPr>
          <w:rFonts w:cs="Times New Roman"/>
        </w:rPr>
        <w:t xml:space="preserve">have </w:t>
      </w:r>
      <w:r>
        <w:rPr>
          <w:rFonts w:cs="Times New Roman"/>
        </w:rPr>
        <w:t xml:space="preserve">tried to answer the question why iambographers recurred to </w:t>
      </w:r>
      <w:r w:rsidRPr="007E3BEE">
        <w:rPr>
          <w:rFonts w:cs="Times New Roman"/>
        </w:rPr>
        <w:t>code-switching</w:t>
      </w:r>
      <w:r>
        <w:rPr>
          <w:rFonts w:cs="Times New Roman"/>
        </w:rPr>
        <w:t xml:space="preserve">. </w:t>
      </w:r>
      <w:r w:rsidRPr="007E3BEE">
        <w:rPr>
          <w:rFonts w:cs="Times New Roman"/>
        </w:rPr>
        <w:t>I posit that</w:t>
      </w:r>
      <w:r>
        <w:rPr>
          <w:rFonts w:cs="Times New Roman"/>
        </w:rPr>
        <w:t xml:space="preserve"> the language which</w:t>
      </w:r>
      <w:r w:rsidRPr="007E3BEE">
        <w:rPr>
          <w:rFonts w:cs="Times New Roman"/>
        </w:rPr>
        <w:t xml:space="preserve"> iambographers use a</w:t>
      </w:r>
      <w:r>
        <w:rPr>
          <w:rFonts w:cs="Times New Roman"/>
        </w:rPr>
        <w:t>s base language</w:t>
      </w:r>
      <w:r w:rsidRPr="007E3BEE">
        <w:rPr>
          <w:rFonts w:cs="Times New Roman"/>
        </w:rPr>
        <w:t xml:space="preserve"> (the Matrix) </w:t>
      </w:r>
      <w:r>
        <w:rPr>
          <w:rFonts w:cs="Times New Roman"/>
        </w:rPr>
        <w:t xml:space="preserve">constitutes the base relationship which they establish with their audience. Everytime they make a switch from the base language, it means that they are changing their relationship with their audience. Furthermore, through the device of code-switching, iambographers </w:t>
      </w:r>
      <w:r w:rsidR="00905F36">
        <w:rPr>
          <w:rFonts w:cs="Times New Roman"/>
        </w:rPr>
        <w:t xml:space="preserve">also </w:t>
      </w:r>
      <w:r>
        <w:rPr>
          <w:rFonts w:cs="Times New Roman"/>
        </w:rPr>
        <w:t xml:space="preserve">change the relationship between their poems and the previous literary tradition, since language shifts change the perception about the inspirational model of a text. </w:t>
      </w:r>
      <w:r w:rsidRPr="007E3BEE">
        <w:rPr>
          <w:rFonts w:cs="Times New Roman"/>
        </w:rPr>
        <w:t>From the perspective of the audience, it is especially memory that weaves</w:t>
      </w:r>
      <w:r w:rsidRPr="003D75FA">
        <w:rPr>
          <w:rFonts w:cs="Times New Roman"/>
        </w:rPr>
        <w:t xml:space="preserve"> code-switching relationships into a given broad literary tradition. </w:t>
      </w:r>
    </w:p>
    <w:p w14:paraId="65AC23D0" w14:textId="483595A4" w:rsidR="00D640CB" w:rsidRDefault="00BA6C80" w:rsidP="00227EE7">
      <w:pPr>
        <w:ind w:firstLine="425"/>
        <w:rPr>
          <w:rFonts w:cs="Times New Roman"/>
        </w:rPr>
      </w:pPr>
      <w:r w:rsidRPr="007E3BEE">
        <w:rPr>
          <w:rFonts w:cs="Times New Roman"/>
        </w:rPr>
        <w:t xml:space="preserve">Furthermore, in Greek literature </w:t>
      </w:r>
      <w:r w:rsidRPr="003D75FA">
        <w:rPr>
          <w:rFonts w:cs="Times New Roman"/>
        </w:rPr>
        <w:t>composition of poems is closely associated with “performance</w:t>
      </w:r>
      <w:r w:rsidRPr="00EC408F">
        <w:rPr>
          <w:rFonts w:cs="Times New Roman"/>
        </w:rPr>
        <w:t xml:space="preserve">” </w:t>
      </w:r>
      <w:r w:rsidR="00F5573B">
        <w:rPr>
          <w:rFonts w:cs="Times New Roman"/>
        </w:rPr>
        <w:t>–</w:t>
      </w:r>
      <w:r w:rsidR="00D640CB">
        <w:rPr>
          <w:rFonts w:cs="Times New Roman"/>
        </w:rPr>
        <w:t xml:space="preserve"> regardless</w:t>
      </w:r>
      <w:r w:rsidR="00D640CB" w:rsidRPr="00EC408F">
        <w:rPr>
          <w:rFonts w:cs="Times New Roman"/>
        </w:rPr>
        <w:t xml:space="preserve"> </w:t>
      </w:r>
      <w:r w:rsidRPr="00EC408F">
        <w:rPr>
          <w:rFonts w:cs="Times New Roman"/>
        </w:rPr>
        <w:t xml:space="preserve">of </w:t>
      </w:r>
      <w:r w:rsidR="00D640CB">
        <w:rPr>
          <w:rFonts w:cs="Times New Roman"/>
        </w:rPr>
        <w:t xml:space="preserve">the importance of writing in the </w:t>
      </w:r>
      <w:r w:rsidRPr="00EC408F">
        <w:rPr>
          <w:rFonts w:cs="Times New Roman"/>
        </w:rPr>
        <w:t>Hellenistic period</w:t>
      </w:r>
      <w:r w:rsidR="00D640CB">
        <w:rPr>
          <w:rFonts w:cs="Times New Roman"/>
        </w:rPr>
        <w:t xml:space="preserve"> and </w:t>
      </w:r>
      <w:r w:rsidR="00D640CB" w:rsidRPr="00EC408F">
        <w:rPr>
          <w:rFonts w:cs="Times New Roman"/>
        </w:rPr>
        <w:t xml:space="preserve">any </w:t>
      </w:r>
      <w:r w:rsidR="00D640CB">
        <w:rPr>
          <w:rFonts w:cs="Times New Roman"/>
        </w:rPr>
        <w:t xml:space="preserve">role it may already have played in the archaic period. In </w:t>
      </w:r>
      <w:r>
        <w:rPr>
          <w:rFonts w:cs="Times New Roman"/>
        </w:rPr>
        <w:t>perform</w:t>
      </w:r>
      <w:r w:rsidR="00D640CB">
        <w:rPr>
          <w:rFonts w:cs="Times New Roman"/>
        </w:rPr>
        <w:t>ance</w:t>
      </w:r>
      <w:r>
        <w:rPr>
          <w:rFonts w:cs="Times New Roman"/>
        </w:rPr>
        <w:t>,</w:t>
      </w:r>
      <w:r w:rsidRPr="00EC408F">
        <w:rPr>
          <w:rFonts w:cs="Times New Roman"/>
        </w:rPr>
        <w:t xml:space="preserve"> </w:t>
      </w:r>
      <w:r w:rsidRPr="00592CB3">
        <w:rPr>
          <w:rFonts w:cs="Times New Roman"/>
          <w:i/>
          <w:iCs/>
        </w:rPr>
        <w:t>code-switching</w:t>
      </w:r>
      <w:r w:rsidRPr="00592CB3">
        <w:rPr>
          <w:rFonts w:cs="Times New Roman"/>
        </w:rPr>
        <w:t xml:space="preserve"> </w:t>
      </w:r>
      <w:r>
        <w:rPr>
          <w:rFonts w:cs="Times New Roman"/>
        </w:rPr>
        <w:t>mark</w:t>
      </w:r>
      <w:r w:rsidR="00D640CB">
        <w:rPr>
          <w:rFonts w:cs="Times New Roman"/>
        </w:rPr>
        <w:t xml:space="preserve">s a text’s </w:t>
      </w:r>
      <w:hyperlink r:id="rId97" w:history="1">
        <w:r w:rsidRPr="00592CB3">
          <w:rPr>
            <w:rFonts w:cs="Times New Roman"/>
          </w:rPr>
          <w:t>pragmatic</w:t>
        </w:r>
      </w:hyperlink>
      <w:r w:rsidRPr="00592CB3">
        <w:rPr>
          <w:rFonts w:cs="Times New Roman"/>
        </w:rPr>
        <w:t xml:space="preserve"> effects</w:t>
      </w:r>
      <w:r>
        <w:rPr>
          <w:rFonts w:cs="Times New Roman"/>
        </w:rPr>
        <w:t xml:space="preserve"> and</w:t>
      </w:r>
      <w:r w:rsidRPr="00592CB3">
        <w:rPr>
          <w:rFonts w:cs="Times New Roman"/>
        </w:rPr>
        <w:t xml:space="preserve"> </w:t>
      </w:r>
      <w:hyperlink r:id="rId98" w:history="1">
        <w:r w:rsidRPr="00592CB3">
          <w:rPr>
            <w:rFonts w:cs="Times New Roman"/>
          </w:rPr>
          <w:t>discourse</w:t>
        </w:r>
      </w:hyperlink>
      <w:r w:rsidRPr="00592CB3">
        <w:rPr>
          <w:rFonts w:cs="Times New Roman"/>
        </w:rPr>
        <w:t xml:space="preserve"> functions</w:t>
      </w:r>
      <w:r>
        <w:rPr>
          <w:rFonts w:cs="Times New Roman"/>
        </w:rPr>
        <w:t xml:space="preserve">. Moreover, </w:t>
      </w:r>
      <w:r w:rsidRPr="007E3BEE">
        <w:rPr>
          <w:rFonts w:cs="Times New Roman"/>
        </w:rPr>
        <w:t xml:space="preserve">I argue that the operative value of code-switching </w:t>
      </w:r>
      <w:r>
        <w:rPr>
          <w:rFonts w:cs="Times New Roman"/>
        </w:rPr>
        <w:t xml:space="preserve">in </w:t>
      </w:r>
      <w:r w:rsidRPr="007E3BEE">
        <w:rPr>
          <w:rFonts w:cs="Times New Roman"/>
        </w:rPr>
        <w:t xml:space="preserve">Greek </w:t>
      </w:r>
      <w:r>
        <w:rPr>
          <w:rFonts w:cs="Times New Roman"/>
        </w:rPr>
        <w:t xml:space="preserve">iambic </w:t>
      </w:r>
      <w:r w:rsidRPr="007E3BEE">
        <w:rPr>
          <w:rFonts w:cs="Times New Roman"/>
        </w:rPr>
        <w:t>poetry</w:t>
      </w:r>
      <w:r>
        <w:rPr>
          <w:rFonts w:cs="Times New Roman"/>
        </w:rPr>
        <w:t xml:space="preserve"> consists </w:t>
      </w:r>
      <w:r w:rsidR="00D640CB">
        <w:rPr>
          <w:rFonts w:cs="Times New Roman"/>
        </w:rPr>
        <w:t xml:space="preserve">in </w:t>
      </w:r>
      <w:r>
        <w:rPr>
          <w:rFonts w:cs="Times New Roman"/>
        </w:rPr>
        <w:t>challenging the notions of “author</w:t>
      </w:r>
      <w:r w:rsidR="00D640CB">
        <w:rPr>
          <w:rFonts w:cs="Times New Roman"/>
        </w:rPr>
        <w:t>,</w:t>
      </w:r>
      <w:r>
        <w:rPr>
          <w:rFonts w:cs="Times New Roman"/>
        </w:rPr>
        <w:t>” and “authority</w:t>
      </w:r>
      <w:r w:rsidR="00D640CB">
        <w:rPr>
          <w:rFonts w:cs="Times New Roman"/>
        </w:rPr>
        <w:t>,</w:t>
      </w:r>
      <w:r>
        <w:rPr>
          <w:rFonts w:cs="Times New Roman"/>
        </w:rPr>
        <w:t xml:space="preserve">” far beyond what the device of </w:t>
      </w:r>
      <w:r w:rsidR="00D640CB">
        <w:rPr>
          <w:rFonts w:cs="Times New Roman"/>
        </w:rPr>
        <w:t xml:space="preserve">the </w:t>
      </w:r>
      <w:r w:rsidRPr="00411619">
        <w:rPr>
          <w:rFonts w:cs="Times New Roman"/>
          <w:i/>
        </w:rPr>
        <w:t>persona loquens</w:t>
      </w:r>
      <w:r>
        <w:rPr>
          <w:rFonts w:cs="Times New Roman"/>
        </w:rPr>
        <w:t xml:space="preserve"> does. Indeed, the mix of different linguistic codes not only mirrors more than one speakers, but also calls into question the origin of the poet’s inspiration: from which Muses do iambographers receive their knowledge? Therefore, </w:t>
      </w:r>
      <w:r>
        <w:rPr>
          <w:rFonts w:cs="Times New Roman"/>
        </w:rPr>
        <w:lastRenderedPageBreak/>
        <w:t xml:space="preserve">authorial identity is easily diffracted, and the author’s </w:t>
      </w:r>
      <w:r w:rsidR="00D640CB">
        <w:rPr>
          <w:rFonts w:cs="Times New Roman"/>
        </w:rPr>
        <w:t xml:space="preserve">credibility </w:t>
      </w:r>
      <w:r>
        <w:rPr>
          <w:rFonts w:cs="Times New Roman"/>
        </w:rPr>
        <w:t xml:space="preserve">is </w:t>
      </w:r>
      <w:r w:rsidR="00D640CB">
        <w:rPr>
          <w:rFonts w:cs="Times New Roman"/>
        </w:rPr>
        <w:t>severely compromised</w:t>
      </w:r>
      <w:r>
        <w:rPr>
          <w:rFonts w:cs="Times New Roman"/>
        </w:rPr>
        <w:t xml:space="preserve">. </w:t>
      </w:r>
    </w:p>
    <w:p w14:paraId="76039B1D" w14:textId="17E6C9F8" w:rsidR="00BA6C80" w:rsidRDefault="00BA6C80" w:rsidP="00227EE7">
      <w:pPr>
        <w:spacing w:after="200"/>
        <w:ind w:firstLine="425"/>
        <w:rPr>
          <w:rFonts w:cs="Times New Roman"/>
        </w:rPr>
      </w:pPr>
      <w:r>
        <w:rPr>
          <w:rFonts w:cs="Times New Roman"/>
        </w:rPr>
        <w:t xml:space="preserve">The </w:t>
      </w:r>
      <w:r w:rsidRPr="00592CB3">
        <w:rPr>
          <w:rFonts w:cs="Times New Roman"/>
        </w:rPr>
        <w:t xml:space="preserve">absence of </w:t>
      </w:r>
      <w:r>
        <w:rPr>
          <w:rFonts w:cs="Times New Roman"/>
        </w:rPr>
        <w:t xml:space="preserve">any </w:t>
      </w:r>
      <w:r w:rsidRPr="00592CB3">
        <w:rPr>
          <w:rFonts w:cs="Times New Roman"/>
        </w:rPr>
        <w:t>“authorial” identification</w:t>
      </w:r>
      <w:r>
        <w:rPr>
          <w:rFonts w:cs="Times New Roman"/>
        </w:rPr>
        <w:t xml:space="preserve"> has three main consequences: </w:t>
      </w:r>
    </w:p>
    <w:p w14:paraId="0362ADE3" w14:textId="7507EB36" w:rsidR="00BA6C80" w:rsidRDefault="00BA6C80" w:rsidP="00227EE7">
      <w:pPr>
        <w:pStyle w:val="ListParagraph"/>
        <w:keepNext/>
        <w:numPr>
          <w:ilvl w:val="0"/>
          <w:numId w:val="203"/>
        </w:numPr>
        <w:ind w:left="1196" w:hanging="357"/>
      </w:pPr>
      <w:r>
        <w:t xml:space="preserve">it takes responsibility </w:t>
      </w:r>
      <w:r w:rsidR="00A167F5">
        <w:t xml:space="preserve">for </w:t>
      </w:r>
      <w:r>
        <w:t xml:space="preserve">what </w:t>
      </w:r>
      <w:r w:rsidR="00D640CB">
        <w:t xml:space="preserve">the speaker </w:t>
      </w:r>
      <w:r>
        <w:t>says</w:t>
      </w:r>
      <w:r w:rsidR="00D640CB">
        <w:t xml:space="preserve"> away from him</w:t>
      </w:r>
      <w:r>
        <w:t>;</w:t>
      </w:r>
    </w:p>
    <w:p w14:paraId="7BB584CD" w14:textId="51A294C8" w:rsidR="00BA6C80" w:rsidRDefault="00BA6C80" w:rsidP="00BA6C80">
      <w:pPr>
        <w:pStyle w:val="ListParagraph"/>
        <w:numPr>
          <w:ilvl w:val="0"/>
          <w:numId w:val="203"/>
        </w:numPr>
      </w:pPr>
      <w:r>
        <w:t xml:space="preserve">many listeners can recognise themselves in this loose kind of text, so that everyone may subscribe </w:t>
      </w:r>
      <w:r w:rsidR="00A167F5">
        <w:t xml:space="preserve">to </w:t>
      </w:r>
      <w:r>
        <w:t xml:space="preserve">what </w:t>
      </w:r>
      <w:r w:rsidR="00D640CB">
        <w:t>the text</w:t>
      </w:r>
      <w:r w:rsidR="00A167F5">
        <w:t xml:space="preserve"> says</w:t>
      </w:r>
      <w:r>
        <w:t>;</w:t>
      </w:r>
    </w:p>
    <w:p w14:paraId="7DB4942C" w14:textId="77777777" w:rsidR="00BA6C80" w:rsidRDefault="00BA6C80" w:rsidP="00227EE7">
      <w:pPr>
        <w:pStyle w:val="ListParagraph"/>
        <w:numPr>
          <w:ilvl w:val="0"/>
          <w:numId w:val="203"/>
        </w:numPr>
        <w:spacing w:after="200"/>
        <w:ind w:left="1196" w:hanging="357"/>
        <w:contextualSpacing w:val="0"/>
      </w:pPr>
      <w:r>
        <w:t>the text gains its own authority, and, once shared by the majority, becomes a model to follow. Consequently, iambs can be considered, to a certain extent, didactic poetry.</w:t>
      </w:r>
    </w:p>
    <w:p w14:paraId="13A544D0" w14:textId="61A48DB8" w:rsidR="00BA6C80" w:rsidRDefault="00BA6C80" w:rsidP="00A167F5">
      <w:pPr>
        <w:pStyle w:val="ListParagraph"/>
        <w:contextualSpacing w:val="0"/>
      </w:pPr>
      <w:r w:rsidRPr="00411619">
        <w:t xml:space="preserve">In conclusion, my thesis has shown that Callimachus’ </w:t>
      </w:r>
      <w:r w:rsidRPr="00411619">
        <w:rPr>
          <w:i/>
        </w:rPr>
        <w:t>Iambi</w:t>
      </w:r>
      <w:r w:rsidRPr="00411619">
        <w:t xml:space="preserve"> owe much in terms of themes and language to Archilochus and Hipponax and that his work follows and reflects the Greek iambic tradition more closely than has generally been assumed. Close analysis of the remains of archaic iambic poetry from the perspective of Callimachus’ </w:t>
      </w:r>
      <w:r w:rsidRPr="00411619">
        <w:rPr>
          <w:i/>
        </w:rPr>
        <w:t>Iambi</w:t>
      </w:r>
      <w:r w:rsidRPr="00411619">
        <w:t xml:space="preserve"> reveals that Archilochus and Hipponax share Callimachus’ </w:t>
      </w:r>
      <w:r w:rsidRPr="00411619">
        <w:rPr>
          <w:i/>
        </w:rPr>
        <w:t>polyeídeia</w:t>
      </w:r>
      <w:r w:rsidRPr="00411619">
        <w:t xml:space="preserve">, which should be </w:t>
      </w:r>
      <w:r w:rsidR="00D640CB">
        <w:t>regarded</w:t>
      </w:r>
      <w:r w:rsidR="00A20FD2">
        <w:t xml:space="preserve">, </w:t>
      </w:r>
      <w:r w:rsidR="00D640CB">
        <w:t xml:space="preserve">not as a </w:t>
      </w:r>
      <w:r w:rsidR="00A20FD2">
        <w:t>Hellenistic</w:t>
      </w:r>
      <w:r w:rsidR="00D640CB">
        <w:t xml:space="preserve"> </w:t>
      </w:r>
      <w:r w:rsidR="00A20FD2">
        <w:t xml:space="preserve">innovation, but </w:t>
      </w:r>
      <w:r w:rsidR="00D640CB">
        <w:t>as</w:t>
      </w:r>
      <w:r w:rsidR="00D640CB" w:rsidRPr="00411619">
        <w:t xml:space="preserve"> </w:t>
      </w:r>
      <w:r w:rsidRPr="00411619">
        <w:t>an innate</w:t>
      </w:r>
      <w:r w:rsidR="00D640CB">
        <w:t xml:space="preserve"> </w:t>
      </w:r>
      <w:r w:rsidRPr="00411619">
        <w:t>and central feature of the ancient Greek genre of iambic poetry.</w:t>
      </w:r>
    </w:p>
    <w:p w14:paraId="5AFE329C" w14:textId="77777777" w:rsidR="003B2A46" w:rsidRDefault="003B2A46" w:rsidP="00695A7C">
      <w:pPr>
        <w:tabs>
          <w:tab w:val="clear" w:pos="425"/>
          <w:tab w:val="left" w:pos="426"/>
        </w:tabs>
        <w:textAlignment w:val="bottom"/>
        <w:rPr>
          <w:rFonts w:cs="Times New Roman"/>
        </w:rPr>
      </w:pPr>
    </w:p>
    <w:p w14:paraId="4D5A3CB7" w14:textId="77777777" w:rsidR="00A167F5" w:rsidRDefault="00A167F5" w:rsidP="00695A7C">
      <w:pPr>
        <w:tabs>
          <w:tab w:val="clear" w:pos="425"/>
          <w:tab w:val="left" w:pos="426"/>
        </w:tabs>
        <w:textAlignment w:val="bottom"/>
        <w:rPr>
          <w:rFonts w:cs="Times New Roman"/>
        </w:rPr>
        <w:sectPr w:rsidR="00A167F5" w:rsidSect="00033A07">
          <w:footerReference w:type="even" r:id="rId99"/>
          <w:footerReference w:type="default" r:id="rId100"/>
          <w:footnotePr>
            <w:numRestart w:val="eachSect"/>
          </w:footnotePr>
          <w:pgSz w:w="11901" w:h="16817"/>
          <w:pgMar w:top="1440" w:right="1440" w:bottom="1440" w:left="1797" w:header="708" w:footer="708" w:gutter="0"/>
          <w:cols w:space="708"/>
          <w:docGrid w:linePitch="360"/>
          <w:printerSettings r:id="rId101"/>
        </w:sectPr>
      </w:pPr>
    </w:p>
    <w:p w14:paraId="15CC9870" w14:textId="77777777" w:rsidR="003B2A46" w:rsidRPr="004819D9" w:rsidRDefault="003B2A46" w:rsidP="004819D9">
      <w:pPr>
        <w:spacing w:before="400" w:after="800"/>
        <w:ind w:left="567" w:hanging="567"/>
        <w:jc w:val="center"/>
        <w:rPr>
          <w:rFonts w:cs="Times New Roman"/>
          <w:b/>
          <w:sz w:val="36"/>
          <w:szCs w:val="36"/>
        </w:rPr>
      </w:pPr>
      <w:r w:rsidRPr="004819D9">
        <w:rPr>
          <w:rFonts w:cs="Times New Roman"/>
          <w:b/>
          <w:sz w:val="36"/>
          <w:szCs w:val="36"/>
        </w:rPr>
        <w:lastRenderedPageBreak/>
        <w:t>Bibliography</w:t>
      </w:r>
    </w:p>
    <w:p w14:paraId="69A762ED" w14:textId="77777777" w:rsidR="003B2A46" w:rsidRPr="006F6F21" w:rsidRDefault="003B2A46" w:rsidP="004819D9">
      <w:pPr>
        <w:spacing w:before="100" w:after="100" w:line="300" w:lineRule="exact"/>
        <w:ind w:left="567" w:hanging="567"/>
        <w:rPr>
          <w:rFonts w:cs="Times New Roman"/>
        </w:rPr>
      </w:pPr>
      <w:r w:rsidRPr="006F6F21">
        <w:rPr>
          <w:rFonts w:cs="Times New Roman"/>
        </w:rPr>
        <w:t>Adrados, F. R.</w:t>
      </w:r>
      <w:r>
        <w:rPr>
          <w:rFonts w:cs="Times New Roman"/>
        </w:rPr>
        <w:t>,</w:t>
      </w:r>
      <w:r w:rsidRPr="006F6F21">
        <w:rPr>
          <w:rFonts w:cs="Times New Roman"/>
        </w:rPr>
        <w:t xml:space="preserve"> and Reverdin</w:t>
      </w:r>
      <w:r>
        <w:rPr>
          <w:rFonts w:cs="Times New Roman"/>
        </w:rPr>
        <w:t>, O.</w:t>
      </w:r>
      <w:r w:rsidRPr="006F6F21">
        <w:rPr>
          <w:rFonts w:cs="Times New Roman"/>
        </w:rPr>
        <w:t xml:space="preserve"> (eds.) 1984, </w:t>
      </w:r>
      <w:r w:rsidRPr="006F6F21">
        <w:rPr>
          <w:rFonts w:cs="Times New Roman"/>
          <w:i/>
        </w:rPr>
        <w:t>La fable</w:t>
      </w:r>
      <w:r w:rsidRPr="006F6F21">
        <w:rPr>
          <w:rFonts w:cs="Times New Roman"/>
        </w:rPr>
        <w:t xml:space="preserve">, Vandœuvres </w:t>
      </w:r>
      <w:r>
        <w:rPr>
          <w:rFonts w:cs="Times New Roman"/>
        </w:rPr>
        <w:t>-</w:t>
      </w:r>
      <w:r w:rsidRPr="006F6F21">
        <w:rPr>
          <w:rFonts w:cs="Times New Roman"/>
        </w:rPr>
        <w:t xml:space="preserve"> Gen</w:t>
      </w:r>
      <w:r>
        <w:rPr>
          <w:rFonts w:cs="Times New Roman"/>
        </w:rPr>
        <w:t>eva</w:t>
      </w:r>
      <w:r w:rsidRPr="006F6F21">
        <w:rPr>
          <w:rFonts w:cs="Times New Roman"/>
        </w:rPr>
        <w:t>.</w:t>
      </w:r>
    </w:p>
    <w:p w14:paraId="558AFA7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Aloni, A. 1993, </w:t>
      </w:r>
      <w:r w:rsidRPr="006F6F21">
        <w:rPr>
          <w:rFonts w:cs="Times New Roman"/>
          <w:i/>
        </w:rPr>
        <w:t xml:space="preserve">Lirici greci: </w:t>
      </w:r>
      <w:r>
        <w:rPr>
          <w:rFonts w:cs="Times New Roman"/>
          <w:i/>
        </w:rPr>
        <w:t>p</w:t>
      </w:r>
      <w:r w:rsidRPr="006F6F21">
        <w:rPr>
          <w:rFonts w:cs="Times New Roman"/>
          <w:i/>
        </w:rPr>
        <w:t>oeti giambici</w:t>
      </w:r>
      <w:r w:rsidRPr="006F6F21">
        <w:rPr>
          <w:rFonts w:cs="Times New Roman"/>
        </w:rPr>
        <w:t>, Milan.</w:t>
      </w:r>
    </w:p>
    <w:p w14:paraId="4FB83F76" w14:textId="15666025" w:rsidR="003B2A46" w:rsidRPr="006F6F21" w:rsidRDefault="003B2A46" w:rsidP="004819D9">
      <w:pPr>
        <w:spacing w:before="100" w:after="100" w:line="300" w:lineRule="exact"/>
        <w:ind w:left="567" w:hanging="567"/>
        <w:rPr>
          <w:rFonts w:cs="Times New Roman"/>
        </w:rPr>
      </w:pPr>
      <w:r w:rsidRPr="006F6F21">
        <w:rPr>
          <w:rFonts w:cs="Times New Roman"/>
        </w:rPr>
        <w:t xml:space="preserve">— 2006, </w:t>
      </w:r>
      <w:r w:rsidR="00CC0615">
        <w:rPr>
          <w:rFonts w:cs="Times New Roman"/>
        </w:rPr>
        <w:t>“</w:t>
      </w:r>
      <w:r w:rsidRPr="006F6F21">
        <w:rPr>
          <w:rFonts w:cs="Times New Roman"/>
        </w:rPr>
        <w:t>La performance giambica nella Grecia arcaica,</w:t>
      </w:r>
      <w:r w:rsidR="00CC0615">
        <w:rPr>
          <w:rFonts w:cs="Times New Roman"/>
        </w:rPr>
        <w:t>”</w:t>
      </w:r>
      <w:r w:rsidRPr="006F6F21">
        <w:rPr>
          <w:rFonts w:cs="Times New Roman"/>
        </w:rPr>
        <w:t xml:space="preserve"> </w:t>
      </w:r>
      <w:r w:rsidRPr="006F6F21">
        <w:rPr>
          <w:rFonts w:cs="Times New Roman"/>
          <w:i/>
        </w:rPr>
        <w:t>Annali Online-Lettere (Unife)</w:t>
      </w:r>
      <w:r w:rsidRPr="006F6F21">
        <w:rPr>
          <w:rFonts w:cs="Times New Roman"/>
        </w:rPr>
        <w:t xml:space="preserve"> 1.1: 83-107.</w:t>
      </w:r>
    </w:p>
    <w:p w14:paraId="6A677897" w14:textId="1695A92F" w:rsidR="003B2A46" w:rsidRPr="006F6F21" w:rsidRDefault="003B2A46" w:rsidP="004819D9">
      <w:pPr>
        <w:spacing w:before="100" w:after="100" w:line="300" w:lineRule="exact"/>
        <w:ind w:left="567" w:hanging="567"/>
        <w:rPr>
          <w:rFonts w:cs="Times New Roman"/>
        </w:rPr>
      </w:pPr>
      <w:r w:rsidRPr="006F6F21">
        <w:rPr>
          <w:rFonts w:cs="Times New Roman"/>
        </w:rPr>
        <w:t xml:space="preserve">Acosta-Hughes, B. 1996, </w:t>
      </w:r>
      <w:r w:rsidR="00CC0615">
        <w:rPr>
          <w:rFonts w:cs="Times New Roman"/>
        </w:rPr>
        <w:t>“</w:t>
      </w:r>
      <w:r w:rsidRPr="006F6F21">
        <w:rPr>
          <w:rFonts w:cs="Times New Roman"/>
        </w:rPr>
        <w:t>Callimachus, Hipponax, and the Persona of the Iambographer,</w:t>
      </w:r>
      <w:r w:rsidR="00CC0615">
        <w:rPr>
          <w:rFonts w:cs="Times New Roman"/>
        </w:rPr>
        <w:t>”</w:t>
      </w:r>
      <w:r w:rsidRPr="006F6F21">
        <w:rPr>
          <w:rFonts w:cs="Times New Roman"/>
        </w:rPr>
        <w:t xml:space="preserve"> </w:t>
      </w:r>
      <w:r w:rsidRPr="006F6F21">
        <w:rPr>
          <w:rFonts w:cs="Times New Roman"/>
          <w:i/>
        </w:rPr>
        <w:t>M</w:t>
      </w:r>
      <w:r>
        <w:rPr>
          <w:rFonts w:cs="Times New Roman"/>
          <w:i/>
        </w:rPr>
        <w:t>ateriali e discussioni</w:t>
      </w:r>
      <w:r w:rsidRPr="006F6F21">
        <w:rPr>
          <w:rFonts w:cs="Times New Roman"/>
        </w:rPr>
        <w:t xml:space="preserve"> 37: 205-216.</w:t>
      </w:r>
    </w:p>
    <w:p w14:paraId="1E8A3A2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2002, </w:t>
      </w:r>
      <w:r w:rsidRPr="006F6F21">
        <w:rPr>
          <w:rFonts w:cs="Times New Roman"/>
          <w:i/>
        </w:rPr>
        <w:t xml:space="preserve">Polyeideia: The </w:t>
      </w:r>
      <w:r w:rsidRPr="006B7426">
        <w:rPr>
          <w:rFonts w:cs="Times New Roman"/>
          <w:i/>
        </w:rPr>
        <w:t>Iambi</w:t>
      </w:r>
      <w:r w:rsidRPr="006F6F21">
        <w:rPr>
          <w:rFonts w:cs="Times New Roman"/>
          <w:i/>
        </w:rPr>
        <w:t xml:space="preserve"> of Callimachus and the Archaic Iambic Tradition</w:t>
      </w:r>
      <w:r w:rsidRPr="006F6F21">
        <w:rPr>
          <w:rFonts w:cs="Times New Roman"/>
        </w:rPr>
        <w:t>, Berkeley and Los Angeles.</w:t>
      </w:r>
    </w:p>
    <w:p w14:paraId="37E6E42F" w14:textId="3122B35C" w:rsidR="003B2A46" w:rsidRPr="006F6F21" w:rsidRDefault="003B2A46" w:rsidP="004819D9">
      <w:pPr>
        <w:spacing w:before="100" w:after="100" w:line="300" w:lineRule="exact"/>
        <w:ind w:left="567" w:hanging="567"/>
        <w:rPr>
          <w:rFonts w:cs="Times New Roman"/>
        </w:rPr>
      </w:pPr>
      <w:r w:rsidRPr="006F6F21">
        <w:rPr>
          <w:rFonts w:cs="Times New Roman"/>
        </w:rPr>
        <w:t>Acosta-Hughes, B.,</w:t>
      </w:r>
      <w:r>
        <w:rPr>
          <w:rFonts w:cs="Times New Roman"/>
        </w:rPr>
        <w:t xml:space="preserve"> </w:t>
      </w:r>
      <w:r w:rsidRPr="006F6F21">
        <w:rPr>
          <w:rFonts w:cs="Times New Roman"/>
        </w:rPr>
        <w:t xml:space="preserve">Lehnus, </w:t>
      </w:r>
      <w:r>
        <w:rPr>
          <w:rFonts w:cs="Times New Roman"/>
        </w:rPr>
        <w:t xml:space="preserve">L., </w:t>
      </w:r>
      <w:r w:rsidRPr="006F6F21">
        <w:rPr>
          <w:rFonts w:cs="Times New Roman"/>
        </w:rPr>
        <w:t>and Stephens</w:t>
      </w:r>
      <w:r>
        <w:rPr>
          <w:rFonts w:cs="Times New Roman"/>
        </w:rPr>
        <w:t xml:space="preserve">, </w:t>
      </w:r>
      <w:r w:rsidRPr="006F6F21">
        <w:rPr>
          <w:rFonts w:cs="Times New Roman"/>
        </w:rPr>
        <w:t xml:space="preserve">S. A. (eds.) 2011, </w:t>
      </w:r>
      <w:r w:rsidRPr="006F6F21">
        <w:rPr>
          <w:rFonts w:cs="Times New Roman"/>
          <w:i/>
        </w:rPr>
        <w:t>Brill</w:t>
      </w:r>
      <w:r w:rsidR="00075F5F">
        <w:rPr>
          <w:rFonts w:cs="Times New Roman"/>
          <w:i/>
        </w:rPr>
        <w:t>’</w:t>
      </w:r>
      <w:r w:rsidRPr="006F6F21">
        <w:rPr>
          <w:rFonts w:cs="Times New Roman"/>
          <w:i/>
        </w:rPr>
        <w:t>s Companion to Callimachus</w:t>
      </w:r>
      <w:r w:rsidRPr="006F6F21">
        <w:rPr>
          <w:rFonts w:cs="Times New Roman"/>
        </w:rPr>
        <w:t>, Leiden.</w:t>
      </w:r>
    </w:p>
    <w:p w14:paraId="2FCCA103" w14:textId="77777777" w:rsidR="003B2A46" w:rsidRPr="006F6F21" w:rsidRDefault="003B2A46" w:rsidP="004819D9">
      <w:pPr>
        <w:spacing w:before="100" w:after="100" w:line="300" w:lineRule="exact"/>
        <w:ind w:left="567" w:hanging="567"/>
        <w:rPr>
          <w:rFonts w:cs="Times New Roman"/>
        </w:rPr>
      </w:pPr>
      <w:r w:rsidRPr="006F6F21">
        <w:rPr>
          <w:rFonts w:cs="Times New Roman"/>
        </w:rPr>
        <w:t>Acosta-Hughes, B., and Stephens</w:t>
      </w:r>
      <w:r>
        <w:rPr>
          <w:rFonts w:cs="Times New Roman"/>
        </w:rPr>
        <w:t>, S. A.</w:t>
      </w:r>
      <w:r w:rsidRPr="006F6F21">
        <w:rPr>
          <w:rFonts w:cs="Times New Roman"/>
        </w:rPr>
        <w:t xml:space="preserve"> 2012, </w:t>
      </w:r>
      <w:r w:rsidRPr="006F6F21">
        <w:rPr>
          <w:rFonts w:cs="Times New Roman"/>
          <w:i/>
        </w:rPr>
        <w:t>Callimachus in Context: From Plato to the Augustan Poets</w:t>
      </w:r>
      <w:r w:rsidRPr="006F6F21">
        <w:rPr>
          <w:rFonts w:cs="Times New Roman"/>
        </w:rPr>
        <w:t>, Cambridge.</w:t>
      </w:r>
    </w:p>
    <w:p w14:paraId="5849C3EF" w14:textId="261C8C5E" w:rsidR="003B2A46" w:rsidRPr="007F1E99" w:rsidRDefault="003B2A46" w:rsidP="004819D9">
      <w:pPr>
        <w:spacing w:before="100" w:after="100" w:line="300" w:lineRule="exact"/>
        <w:ind w:left="567" w:hanging="567"/>
        <w:rPr>
          <w:szCs w:val="24"/>
          <w:lang w:val="nl-NL"/>
        </w:rPr>
      </w:pPr>
      <w:r w:rsidRPr="007F1E99">
        <w:rPr>
          <w:szCs w:val="24"/>
          <w:lang w:val="nl-NL"/>
        </w:rPr>
        <w:t xml:space="preserve">Adam, J.-M. 1990, </w:t>
      </w:r>
      <w:r w:rsidRPr="007F1E99">
        <w:rPr>
          <w:i/>
          <w:szCs w:val="24"/>
          <w:lang w:val="nl-NL"/>
        </w:rPr>
        <w:t>Éléments de linguistique textuelle: théorie et pratique de l</w:t>
      </w:r>
      <w:r w:rsidR="00075F5F">
        <w:rPr>
          <w:i/>
          <w:szCs w:val="24"/>
          <w:lang w:val="nl-NL"/>
        </w:rPr>
        <w:t>’</w:t>
      </w:r>
      <w:r w:rsidRPr="007F1E99">
        <w:rPr>
          <w:i/>
          <w:szCs w:val="24"/>
          <w:lang w:val="nl-NL"/>
        </w:rPr>
        <w:t>analyse textuelle</w:t>
      </w:r>
      <w:r w:rsidRPr="007F1E99">
        <w:rPr>
          <w:szCs w:val="24"/>
          <w:lang w:val="nl-NL"/>
        </w:rPr>
        <w:t xml:space="preserve">, Liège. </w:t>
      </w:r>
    </w:p>
    <w:p w14:paraId="20EE8B7B" w14:textId="0A2F29A7" w:rsidR="003B2A46" w:rsidRPr="006F6F21" w:rsidRDefault="003B2A46" w:rsidP="004819D9">
      <w:pPr>
        <w:spacing w:before="100" w:after="100" w:line="300" w:lineRule="exact"/>
        <w:ind w:left="567" w:hanging="567"/>
        <w:rPr>
          <w:szCs w:val="24"/>
        </w:rPr>
      </w:pPr>
      <w:r w:rsidRPr="006F6F21">
        <w:rPr>
          <w:szCs w:val="24"/>
        </w:rPr>
        <w:t xml:space="preserve">Alexandrou, M. 2016, </w:t>
      </w:r>
      <w:r w:rsidR="00CC0615">
        <w:rPr>
          <w:szCs w:val="24"/>
        </w:rPr>
        <w:t>“</w:t>
      </w:r>
      <w:r w:rsidRPr="006F6F21">
        <w:rPr>
          <w:szCs w:val="24"/>
        </w:rPr>
        <w:t>Mythological Narratives in Hipponax,</w:t>
      </w:r>
      <w:r w:rsidR="00CC0615">
        <w:rPr>
          <w:szCs w:val="24"/>
        </w:rPr>
        <w:t>”</w:t>
      </w:r>
      <w:r w:rsidRPr="006F6F21">
        <w:rPr>
          <w:szCs w:val="24"/>
        </w:rPr>
        <w:t xml:space="preserve"> in L. Swift and C. Carey (eds.), </w:t>
      </w:r>
      <w:r w:rsidRPr="006F6F21">
        <w:rPr>
          <w:i/>
          <w:szCs w:val="24"/>
        </w:rPr>
        <w:t>Iambus and Elegy: New Appr</w:t>
      </w:r>
      <w:r>
        <w:rPr>
          <w:i/>
          <w:szCs w:val="24"/>
        </w:rPr>
        <w:t>oa</w:t>
      </w:r>
      <w:r w:rsidRPr="006F6F21">
        <w:rPr>
          <w:i/>
          <w:szCs w:val="24"/>
        </w:rPr>
        <w:t>ches</w:t>
      </w:r>
      <w:r w:rsidRPr="006F6F21">
        <w:rPr>
          <w:szCs w:val="24"/>
        </w:rPr>
        <w:t>, Oxford: 210-228.</w:t>
      </w:r>
    </w:p>
    <w:p w14:paraId="7A69B77C" w14:textId="3D898435"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lang w:val="en-IE"/>
        </w:rPr>
        <w:t xml:space="preserve">Alvarez-Caccamo, C. </w:t>
      </w:r>
      <w:r w:rsidRPr="006F6F21">
        <w:rPr>
          <w:rFonts w:cs="Times New Roman"/>
        </w:rPr>
        <w:t xml:space="preserve">1998, </w:t>
      </w:r>
      <w:r w:rsidR="00CC0615">
        <w:rPr>
          <w:rFonts w:cs="Times New Roman"/>
        </w:rPr>
        <w:t>“</w:t>
      </w:r>
      <w:r w:rsidRPr="006F6F21">
        <w:rPr>
          <w:rFonts w:cs="Times New Roman"/>
        </w:rPr>
        <w:t xml:space="preserve">From </w:t>
      </w:r>
      <w:r w:rsidR="00075F5F">
        <w:rPr>
          <w:rFonts w:cs="Times New Roman"/>
        </w:rPr>
        <w:t>‘</w:t>
      </w:r>
      <w:r>
        <w:rPr>
          <w:rFonts w:cs="Times New Roman"/>
        </w:rPr>
        <w:t>S</w:t>
      </w:r>
      <w:r w:rsidRPr="006F6F21">
        <w:rPr>
          <w:rFonts w:cs="Times New Roman"/>
        </w:rPr>
        <w:t xml:space="preserve">witching </w:t>
      </w:r>
      <w:r>
        <w:rPr>
          <w:rFonts w:cs="Times New Roman"/>
        </w:rPr>
        <w:t>C</w:t>
      </w:r>
      <w:r w:rsidRPr="006F6F21">
        <w:rPr>
          <w:rFonts w:cs="Times New Roman"/>
        </w:rPr>
        <w:t>ode</w:t>
      </w:r>
      <w:r w:rsidR="00075F5F">
        <w:rPr>
          <w:rFonts w:cs="Times New Roman"/>
        </w:rPr>
        <w:t>’</w:t>
      </w:r>
      <w:r w:rsidRPr="006F6F21">
        <w:rPr>
          <w:rFonts w:cs="Times New Roman"/>
        </w:rPr>
        <w:t xml:space="preserve"> to </w:t>
      </w:r>
      <w:r w:rsidR="00075F5F">
        <w:rPr>
          <w:rFonts w:cs="Times New Roman"/>
        </w:rPr>
        <w:t>‘</w:t>
      </w:r>
      <w:r>
        <w:rPr>
          <w:rFonts w:cs="Times New Roman"/>
        </w:rPr>
        <w:t>C</w:t>
      </w:r>
      <w:r w:rsidRPr="006F6F21">
        <w:rPr>
          <w:rFonts w:cs="Times New Roman"/>
        </w:rPr>
        <w:t>ode-</w:t>
      </w:r>
      <w:r>
        <w:rPr>
          <w:rFonts w:cs="Times New Roman"/>
        </w:rPr>
        <w:t>S</w:t>
      </w:r>
      <w:r w:rsidRPr="006F6F21">
        <w:rPr>
          <w:rFonts w:cs="Times New Roman"/>
        </w:rPr>
        <w:t>witching</w:t>
      </w:r>
      <w:r w:rsidR="00075F5F">
        <w:rPr>
          <w:rFonts w:cs="Times New Roman"/>
        </w:rPr>
        <w:t>’</w:t>
      </w:r>
      <w:r w:rsidRPr="006F6F21">
        <w:rPr>
          <w:rFonts w:cs="Times New Roman"/>
        </w:rPr>
        <w:t xml:space="preserve">: Towards a </w:t>
      </w:r>
      <w:r>
        <w:rPr>
          <w:rFonts w:cs="Times New Roman"/>
        </w:rPr>
        <w:t>R</w:t>
      </w:r>
      <w:r w:rsidRPr="006F6F21">
        <w:rPr>
          <w:rFonts w:cs="Times New Roman"/>
        </w:rPr>
        <w:t xml:space="preserve">econceptualisation of </w:t>
      </w:r>
      <w:r>
        <w:rPr>
          <w:rFonts w:cs="Times New Roman"/>
        </w:rPr>
        <w:t>C</w:t>
      </w:r>
      <w:r w:rsidRPr="006F6F21">
        <w:rPr>
          <w:rFonts w:cs="Times New Roman"/>
        </w:rPr>
        <w:t xml:space="preserve">ommunicative </w:t>
      </w:r>
      <w:r>
        <w:rPr>
          <w:rFonts w:cs="Times New Roman"/>
        </w:rPr>
        <w:t>C</w:t>
      </w:r>
      <w:r w:rsidRPr="006F6F21">
        <w:rPr>
          <w:rFonts w:cs="Times New Roman"/>
        </w:rPr>
        <w:t>odes,</w:t>
      </w:r>
      <w:r w:rsidR="00CC0615">
        <w:rPr>
          <w:rFonts w:cs="Times New Roman"/>
        </w:rPr>
        <w:t>”</w:t>
      </w:r>
      <w:r w:rsidRPr="006F6F21">
        <w:rPr>
          <w:rFonts w:cs="Times New Roman"/>
        </w:rPr>
        <w:t xml:space="preserve"> in P. Auer (ed.), </w:t>
      </w:r>
      <w:r w:rsidRPr="006F6F21">
        <w:rPr>
          <w:rFonts w:cs="Times New Roman"/>
          <w:i/>
        </w:rPr>
        <w:t>Code-</w:t>
      </w:r>
      <w:r>
        <w:rPr>
          <w:rFonts w:cs="Times New Roman"/>
          <w:i/>
        </w:rPr>
        <w:t>S</w:t>
      </w:r>
      <w:r w:rsidRPr="006F6F21">
        <w:rPr>
          <w:rFonts w:cs="Times New Roman"/>
          <w:i/>
        </w:rPr>
        <w:t>witching in Conversation: Language, Interaction and Identity</w:t>
      </w:r>
      <w:r w:rsidRPr="006F6F21">
        <w:rPr>
          <w:rFonts w:cs="Times New Roman"/>
        </w:rPr>
        <w:t>, London - New York: 29-50.</w:t>
      </w:r>
    </w:p>
    <w:p w14:paraId="44B10D07" w14:textId="77777777" w:rsidR="003B2A46" w:rsidRPr="006F6F21" w:rsidRDefault="003B2A46" w:rsidP="004819D9">
      <w:pPr>
        <w:spacing w:before="100" w:after="100" w:line="300" w:lineRule="exact"/>
        <w:ind w:left="567" w:hanging="567"/>
        <w:rPr>
          <w:szCs w:val="24"/>
        </w:rPr>
      </w:pPr>
      <w:r w:rsidRPr="006F6F21">
        <w:rPr>
          <w:szCs w:val="24"/>
        </w:rPr>
        <w:t>Appadurai, A. (ed.) 1986</w:t>
      </w:r>
      <w:r>
        <w:rPr>
          <w:szCs w:val="24"/>
        </w:rPr>
        <w:t>a</w:t>
      </w:r>
      <w:r w:rsidRPr="006F6F21">
        <w:rPr>
          <w:szCs w:val="24"/>
        </w:rPr>
        <w:t xml:space="preserve">, </w:t>
      </w:r>
      <w:r w:rsidRPr="006F6F21">
        <w:rPr>
          <w:i/>
          <w:szCs w:val="24"/>
        </w:rPr>
        <w:t>The Social Life of Things: Commedities in Cultural Perspective</w:t>
      </w:r>
      <w:r w:rsidRPr="006F6F21">
        <w:rPr>
          <w:szCs w:val="24"/>
        </w:rPr>
        <w:t>, New York.</w:t>
      </w:r>
    </w:p>
    <w:p w14:paraId="574D9E7B" w14:textId="5E893985" w:rsidR="003B2A46" w:rsidRPr="006F6F21" w:rsidRDefault="003B2A46" w:rsidP="004819D9">
      <w:pPr>
        <w:spacing w:before="100" w:after="100" w:line="300" w:lineRule="exact"/>
        <w:ind w:left="567" w:hanging="567"/>
        <w:rPr>
          <w:szCs w:val="24"/>
        </w:rPr>
      </w:pPr>
      <w:r w:rsidRPr="006F6F21">
        <w:rPr>
          <w:szCs w:val="24"/>
        </w:rPr>
        <w:t>— 1986</w:t>
      </w:r>
      <w:r>
        <w:rPr>
          <w:szCs w:val="24"/>
        </w:rPr>
        <w:t>b</w:t>
      </w:r>
      <w:r w:rsidRPr="006F6F21">
        <w:rPr>
          <w:szCs w:val="24"/>
        </w:rPr>
        <w:t xml:space="preserve">, </w:t>
      </w:r>
      <w:r w:rsidR="00CC0615">
        <w:rPr>
          <w:szCs w:val="24"/>
        </w:rPr>
        <w:t>“</w:t>
      </w:r>
      <w:r w:rsidRPr="006F6F21">
        <w:rPr>
          <w:szCs w:val="24"/>
        </w:rPr>
        <w:t xml:space="preserve">Introduction: </w:t>
      </w:r>
      <w:r>
        <w:rPr>
          <w:szCs w:val="24"/>
        </w:rPr>
        <w:t>C</w:t>
      </w:r>
      <w:r w:rsidRPr="006F6F21">
        <w:rPr>
          <w:szCs w:val="24"/>
        </w:rPr>
        <w:t xml:space="preserve">ommodities and the </w:t>
      </w:r>
      <w:r>
        <w:rPr>
          <w:szCs w:val="24"/>
        </w:rPr>
        <w:t>P</w:t>
      </w:r>
      <w:r w:rsidRPr="006F6F21">
        <w:rPr>
          <w:szCs w:val="24"/>
        </w:rPr>
        <w:t xml:space="preserve">olitics of </w:t>
      </w:r>
      <w:r>
        <w:rPr>
          <w:szCs w:val="24"/>
        </w:rPr>
        <w:t>V</w:t>
      </w:r>
      <w:r w:rsidRPr="006F6F21">
        <w:rPr>
          <w:szCs w:val="24"/>
        </w:rPr>
        <w:t>alue,</w:t>
      </w:r>
      <w:r w:rsidR="00CC0615">
        <w:rPr>
          <w:szCs w:val="24"/>
        </w:rPr>
        <w:t>”</w:t>
      </w:r>
      <w:r w:rsidRPr="006F6F21">
        <w:rPr>
          <w:szCs w:val="24"/>
        </w:rPr>
        <w:t xml:space="preserve"> in A. Appaudari (ed.), </w:t>
      </w:r>
      <w:r w:rsidRPr="006F6F21">
        <w:rPr>
          <w:i/>
          <w:szCs w:val="24"/>
        </w:rPr>
        <w:t>The Social Life of Things: Commedities in Cultural Perspective</w:t>
      </w:r>
      <w:r w:rsidRPr="006F6F21">
        <w:rPr>
          <w:szCs w:val="24"/>
        </w:rPr>
        <w:t>, New York: 3-63.</w:t>
      </w:r>
    </w:p>
    <w:p w14:paraId="57C5C5D3" w14:textId="2EBFBA61" w:rsidR="003B2A46" w:rsidRPr="006F6F21" w:rsidRDefault="003B2A46" w:rsidP="004819D9">
      <w:pPr>
        <w:spacing w:before="100" w:after="100" w:line="300" w:lineRule="exact"/>
        <w:ind w:left="567" w:hanging="567"/>
        <w:rPr>
          <w:szCs w:val="24"/>
        </w:rPr>
      </w:pPr>
      <w:r w:rsidRPr="006F6F21">
        <w:rPr>
          <w:szCs w:val="24"/>
        </w:rPr>
        <w:t xml:space="preserve">Ardizzoni, A. 1960, </w:t>
      </w:r>
      <w:r w:rsidR="00CC0615">
        <w:rPr>
          <w:szCs w:val="24"/>
        </w:rPr>
        <w:t>“</w:t>
      </w:r>
      <w:r w:rsidRPr="006F6F21">
        <w:rPr>
          <w:szCs w:val="24"/>
        </w:rPr>
        <w:t>Callimaco Ipponatteo,</w:t>
      </w:r>
      <w:r w:rsidR="00CC0615">
        <w:rPr>
          <w:szCs w:val="24"/>
        </w:rPr>
        <w:t>”</w:t>
      </w:r>
      <w:r w:rsidRPr="006F6F21">
        <w:rPr>
          <w:szCs w:val="24"/>
        </w:rPr>
        <w:t xml:space="preserve"> </w:t>
      </w:r>
      <w:r w:rsidRPr="006F6F21">
        <w:rPr>
          <w:i/>
          <w:szCs w:val="24"/>
        </w:rPr>
        <w:t>A</w:t>
      </w:r>
      <w:r>
        <w:rPr>
          <w:i/>
          <w:szCs w:val="24"/>
        </w:rPr>
        <w:t>nnali della facoltà di lettere e filosofia dell</w:t>
      </w:r>
      <w:r w:rsidR="00075F5F">
        <w:rPr>
          <w:i/>
          <w:szCs w:val="24"/>
        </w:rPr>
        <w:t>’</w:t>
      </w:r>
      <w:r>
        <w:rPr>
          <w:i/>
          <w:szCs w:val="24"/>
        </w:rPr>
        <w:t xml:space="preserve">università di </w:t>
      </w:r>
      <w:r w:rsidRPr="006F6F21">
        <w:rPr>
          <w:i/>
          <w:szCs w:val="24"/>
        </w:rPr>
        <w:t>C</w:t>
      </w:r>
      <w:r>
        <w:rPr>
          <w:i/>
          <w:szCs w:val="24"/>
        </w:rPr>
        <w:t>agliari</w:t>
      </w:r>
      <w:r w:rsidRPr="006F6F21">
        <w:rPr>
          <w:szCs w:val="24"/>
        </w:rPr>
        <w:t xml:space="preserve"> 28: 7-20.</w:t>
      </w:r>
    </w:p>
    <w:p w14:paraId="59431421" w14:textId="288B61B1" w:rsidR="003B2A46" w:rsidRPr="006F6F21" w:rsidRDefault="003B2A46" w:rsidP="004819D9">
      <w:pPr>
        <w:spacing w:before="100" w:after="100" w:line="300" w:lineRule="exact"/>
        <w:ind w:left="567" w:hanging="567"/>
        <w:rPr>
          <w:szCs w:val="24"/>
        </w:rPr>
      </w:pPr>
      <w:r w:rsidRPr="006F6F21">
        <w:rPr>
          <w:szCs w:val="24"/>
        </w:rPr>
        <w:t xml:space="preserve">— 1980, </w:t>
      </w:r>
      <w:r w:rsidR="00CC0615">
        <w:rPr>
          <w:szCs w:val="24"/>
        </w:rPr>
        <w:t>“</w:t>
      </w:r>
      <w:r w:rsidRPr="006F6F21">
        <w:rPr>
          <w:szCs w:val="24"/>
        </w:rPr>
        <w:t>Riflessioni sul primo Giambo di Callimaco,</w:t>
      </w:r>
      <w:r w:rsidR="00CC0615">
        <w:rPr>
          <w:szCs w:val="24"/>
        </w:rPr>
        <w:t>”</w:t>
      </w:r>
      <w:r w:rsidRPr="006F6F21">
        <w:rPr>
          <w:szCs w:val="24"/>
        </w:rPr>
        <w:t xml:space="preserve"> </w:t>
      </w:r>
      <w:r w:rsidRPr="006F6F21">
        <w:rPr>
          <w:i/>
          <w:szCs w:val="24"/>
        </w:rPr>
        <w:t>G</w:t>
      </w:r>
      <w:r>
        <w:rPr>
          <w:i/>
          <w:szCs w:val="24"/>
        </w:rPr>
        <w:t>iornale italiano di filologia</w:t>
      </w:r>
      <w:r w:rsidRPr="006F6F21">
        <w:rPr>
          <w:szCs w:val="24"/>
        </w:rPr>
        <w:t xml:space="preserve"> 11: 145-155.</w:t>
      </w:r>
    </w:p>
    <w:p w14:paraId="7D682614" w14:textId="6BC88E80" w:rsidR="003B2A46" w:rsidRPr="006F6F21" w:rsidRDefault="003B2A46" w:rsidP="004819D9">
      <w:pPr>
        <w:spacing w:before="100" w:after="100" w:line="300" w:lineRule="exact"/>
        <w:ind w:left="567" w:hanging="567"/>
        <w:rPr>
          <w:rFonts w:cs="Times New Roman"/>
        </w:rPr>
      </w:pPr>
      <w:r w:rsidRPr="006F6F21">
        <w:rPr>
          <w:rFonts w:cs="Times New Roman"/>
        </w:rPr>
        <w:t xml:space="preserve">Armstrong, D. 1995, </w:t>
      </w:r>
      <w:r w:rsidR="00CC0615">
        <w:rPr>
          <w:rFonts w:cs="Times New Roman"/>
        </w:rPr>
        <w:t>“</w:t>
      </w:r>
      <w:r w:rsidRPr="006F6F21">
        <w:rPr>
          <w:rFonts w:cs="Times New Roman"/>
        </w:rPr>
        <w:t>The Impossibility of Metathesis: Philodemus and Lucretius on Form and Content in Poetry,</w:t>
      </w:r>
      <w:r w:rsidR="00CC0615">
        <w:rPr>
          <w:rFonts w:cs="Times New Roman"/>
        </w:rPr>
        <w:t>”</w:t>
      </w:r>
      <w:r w:rsidRPr="006F6F21">
        <w:rPr>
          <w:rFonts w:cs="Times New Roman"/>
        </w:rPr>
        <w:t xml:space="preserve"> in D. Obbink (ed.), </w:t>
      </w:r>
      <w:r w:rsidRPr="006F6F21">
        <w:rPr>
          <w:rFonts w:cs="Times New Roman"/>
          <w:i/>
        </w:rPr>
        <w:t>Philodemus and Poetry: Poetic Theory and Practice in Lucretius, Philodemus, and Horace</w:t>
      </w:r>
      <w:r w:rsidRPr="006F6F21">
        <w:rPr>
          <w:rFonts w:cs="Times New Roman"/>
        </w:rPr>
        <w:t>, New York - Oxford: 210-232.</w:t>
      </w:r>
    </w:p>
    <w:p w14:paraId="1F89C348" w14:textId="77777777" w:rsidR="003B2A46" w:rsidRPr="006F6F21" w:rsidRDefault="003B2A46" w:rsidP="004819D9">
      <w:pPr>
        <w:spacing w:before="100" w:after="100" w:line="300" w:lineRule="exact"/>
        <w:ind w:left="567" w:hanging="567"/>
        <w:rPr>
          <w:szCs w:val="24"/>
        </w:rPr>
      </w:pPr>
      <w:r w:rsidRPr="006F6F21">
        <w:rPr>
          <w:szCs w:val="24"/>
        </w:rPr>
        <w:t xml:space="preserve">Arnott, W. G. 2007, </w:t>
      </w:r>
      <w:r w:rsidRPr="006F6F21">
        <w:rPr>
          <w:i/>
          <w:szCs w:val="24"/>
        </w:rPr>
        <w:t>Birds in the Ancient World from A to Z</w:t>
      </w:r>
      <w:r w:rsidRPr="006F6F21">
        <w:rPr>
          <w:szCs w:val="24"/>
        </w:rPr>
        <w:t>, London - New York.</w:t>
      </w:r>
    </w:p>
    <w:p w14:paraId="031557EF" w14:textId="586AB1C1" w:rsidR="003B2A46" w:rsidRPr="006F6F21" w:rsidRDefault="003B2A46" w:rsidP="004819D9">
      <w:pPr>
        <w:spacing w:before="100" w:after="100" w:line="300" w:lineRule="exact"/>
        <w:ind w:left="567" w:hanging="567"/>
        <w:rPr>
          <w:rFonts w:cs="Times New Roman"/>
        </w:rPr>
      </w:pPr>
      <w:r w:rsidRPr="006F6F21">
        <w:rPr>
          <w:rFonts w:cs="Times New Roman"/>
        </w:rPr>
        <w:t xml:space="preserve">Asmis, E. 1990, </w:t>
      </w:r>
      <w:r w:rsidR="00CC0615">
        <w:rPr>
          <w:rFonts w:cs="Times New Roman"/>
        </w:rPr>
        <w:t>“</w:t>
      </w:r>
      <w:r w:rsidRPr="006F6F21">
        <w:rPr>
          <w:rFonts w:cs="Times New Roman"/>
        </w:rPr>
        <w:t xml:space="preserve">The Poetic Theory of the Stoic </w:t>
      </w:r>
      <w:r w:rsidR="00075F5F">
        <w:rPr>
          <w:rFonts w:cs="Times New Roman"/>
        </w:rPr>
        <w:t>‘</w:t>
      </w:r>
      <w:r w:rsidRPr="006F6F21">
        <w:rPr>
          <w:rFonts w:cs="Times New Roman"/>
        </w:rPr>
        <w:t>Aristo</w:t>
      </w:r>
      <w:r>
        <w:rPr>
          <w:rFonts w:cs="Times New Roman"/>
        </w:rPr>
        <w:t>,</w:t>
      </w:r>
      <w:r w:rsidR="00075F5F">
        <w:rPr>
          <w:rFonts w:cs="Times New Roman"/>
        </w:rPr>
        <w:t>’</w:t>
      </w:r>
      <w:r w:rsidR="00CC0615">
        <w:rPr>
          <w:rFonts w:cs="Times New Roman"/>
        </w:rPr>
        <w:t>”</w:t>
      </w:r>
      <w:r w:rsidRPr="006F6F21">
        <w:rPr>
          <w:rFonts w:cs="Times New Roman"/>
        </w:rPr>
        <w:t xml:space="preserve"> </w:t>
      </w:r>
      <w:r w:rsidRPr="006F6F21">
        <w:rPr>
          <w:rFonts w:cs="Times New Roman"/>
          <w:i/>
        </w:rPr>
        <w:t>Apeiron</w:t>
      </w:r>
      <w:r w:rsidRPr="006F6F21">
        <w:rPr>
          <w:rFonts w:cs="Times New Roman"/>
        </w:rPr>
        <w:t xml:space="preserve"> 23: 147-201.</w:t>
      </w:r>
    </w:p>
    <w:p w14:paraId="64DB16D5" w14:textId="093705DB" w:rsidR="003B2A46" w:rsidRPr="006F6F21" w:rsidRDefault="003B2A46" w:rsidP="004819D9">
      <w:pPr>
        <w:spacing w:before="100" w:after="100" w:line="300" w:lineRule="exact"/>
        <w:ind w:left="567" w:hanging="567"/>
        <w:rPr>
          <w:rFonts w:cs="Times New Roman"/>
        </w:rPr>
      </w:pPr>
      <w:r>
        <w:rPr>
          <w:rFonts w:cs="Times New Roman"/>
        </w:rPr>
        <w:lastRenderedPageBreak/>
        <w:t xml:space="preserve">— </w:t>
      </w:r>
      <w:r w:rsidRPr="006F6F21">
        <w:rPr>
          <w:rFonts w:cs="Times New Roman"/>
        </w:rPr>
        <w:t xml:space="preserve">1992a, </w:t>
      </w:r>
      <w:r w:rsidR="00CC0615">
        <w:rPr>
          <w:rFonts w:cs="Times New Roman"/>
        </w:rPr>
        <w:t>“</w:t>
      </w:r>
      <w:r w:rsidRPr="006F6F21">
        <w:rPr>
          <w:rFonts w:cs="Times New Roman"/>
        </w:rPr>
        <w:t xml:space="preserve">Crates on </w:t>
      </w:r>
      <w:r>
        <w:rPr>
          <w:rFonts w:cs="Times New Roman"/>
        </w:rPr>
        <w:t>P</w:t>
      </w:r>
      <w:r w:rsidRPr="006F6F21">
        <w:rPr>
          <w:rFonts w:cs="Times New Roman"/>
        </w:rPr>
        <w:t xml:space="preserve">oetic </w:t>
      </w:r>
      <w:r>
        <w:rPr>
          <w:rFonts w:cs="Times New Roman"/>
        </w:rPr>
        <w:t>C</w:t>
      </w:r>
      <w:r w:rsidRPr="006F6F21">
        <w:rPr>
          <w:rFonts w:cs="Times New Roman"/>
        </w:rPr>
        <w:t>riticism,</w:t>
      </w:r>
      <w:r w:rsidR="00CC0615">
        <w:rPr>
          <w:rFonts w:cs="Times New Roman"/>
        </w:rPr>
        <w:t>”</w:t>
      </w:r>
      <w:r w:rsidRPr="006F6F21">
        <w:rPr>
          <w:rFonts w:cs="Times New Roman"/>
        </w:rPr>
        <w:t xml:space="preserve"> </w:t>
      </w:r>
      <w:r w:rsidRPr="006F6F21">
        <w:rPr>
          <w:rFonts w:cs="Times New Roman"/>
          <w:i/>
        </w:rPr>
        <w:t xml:space="preserve">Phoenix </w:t>
      </w:r>
      <w:r w:rsidRPr="006F6F21">
        <w:rPr>
          <w:rFonts w:cs="Times New Roman"/>
        </w:rPr>
        <w:t>46: 138-169.</w:t>
      </w:r>
    </w:p>
    <w:p w14:paraId="4407CD43" w14:textId="7EBE2CED" w:rsidR="003B2A46" w:rsidRPr="006F6F21" w:rsidRDefault="003B2A46" w:rsidP="004819D9">
      <w:pPr>
        <w:spacing w:before="100" w:after="100" w:line="300" w:lineRule="exact"/>
        <w:ind w:left="567" w:hanging="567"/>
        <w:rPr>
          <w:rFonts w:cs="Times New Roman"/>
        </w:rPr>
      </w:pPr>
      <w:r w:rsidRPr="006F6F21">
        <w:rPr>
          <w:rFonts w:cs="Times New Roman"/>
        </w:rPr>
        <w:t xml:space="preserve">— 1992b, </w:t>
      </w:r>
      <w:r w:rsidR="00CC0615">
        <w:rPr>
          <w:rFonts w:cs="Times New Roman"/>
        </w:rPr>
        <w:t>“</w:t>
      </w:r>
      <w:r w:rsidRPr="006F6F21">
        <w:rPr>
          <w:rFonts w:cs="Times New Roman"/>
        </w:rPr>
        <w:t xml:space="preserve">An Epicurean </w:t>
      </w:r>
      <w:r>
        <w:rPr>
          <w:rFonts w:cs="Times New Roman"/>
        </w:rPr>
        <w:t>S</w:t>
      </w:r>
      <w:r w:rsidRPr="006F6F21">
        <w:rPr>
          <w:rFonts w:cs="Times New Roman"/>
        </w:rPr>
        <w:t xml:space="preserve">urvey of </w:t>
      </w:r>
      <w:r>
        <w:rPr>
          <w:rFonts w:cs="Times New Roman"/>
        </w:rPr>
        <w:t>P</w:t>
      </w:r>
      <w:r w:rsidRPr="006F6F21">
        <w:rPr>
          <w:rFonts w:cs="Times New Roman"/>
        </w:rPr>
        <w:t xml:space="preserve">oetic </w:t>
      </w:r>
      <w:r>
        <w:rPr>
          <w:rFonts w:cs="Times New Roman"/>
        </w:rPr>
        <w:t>T</w:t>
      </w:r>
      <w:r w:rsidRPr="006F6F21">
        <w:rPr>
          <w:rFonts w:cs="Times New Roman"/>
        </w:rPr>
        <w:t xml:space="preserve">heories (Philodemus </w:t>
      </w:r>
      <w:r w:rsidRPr="006F6F21">
        <w:rPr>
          <w:rFonts w:cs="Times New Roman"/>
          <w:i/>
        </w:rPr>
        <w:t>On Poems</w:t>
      </w:r>
      <w:r w:rsidRPr="006F6F21">
        <w:rPr>
          <w:rFonts w:cs="Times New Roman"/>
        </w:rPr>
        <w:t xml:space="preserve"> 5, cols. 26-36),</w:t>
      </w:r>
      <w:r w:rsidR="00CC0615">
        <w:rPr>
          <w:rFonts w:cs="Times New Roman"/>
        </w:rPr>
        <w:t>”</w:t>
      </w:r>
      <w:r w:rsidRPr="006F6F21">
        <w:rPr>
          <w:rFonts w:cs="Times New Roman"/>
        </w:rPr>
        <w:t xml:space="preserve"> </w:t>
      </w:r>
      <w:r>
        <w:rPr>
          <w:rFonts w:cs="Times New Roman"/>
          <w:i/>
        </w:rPr>
        <w:t>Classical Quarterly</w:t>
      </w:r>
      <w:r w:rsidRPr="006F6F21">
        <w:rPr>
          <w:rFonts w:cs="Times New Roman"/>
        </w:rPr>
        <w:t xml:space="preserve"> 42: 395-415</w:t>
      </w:r>
    </w:p>
    <w:p w14:paraId="7A5A52B0" w14:textId="07F6FDB3" w:rsidR="003B2A46" w:rsidRPr="006F6F21" w:rsidRDefault="003B2A46" w:rsidP="004819D9">
      <w:pPr>
        <w:spacing w:before="100" w:after="100" w:line="300" w:lineRule="exact"/>
        <w:ind w:left="567" w:hanging="567"/>
        <w:rPr>
          <w:rFonts w:cs="Times New Roman"/>
        </w:rPr>
      </w:pPr>
      <w:r w:rsidRPr="006F6F21">
        <w:rPr>
          <w:rFonts w:cs="Times New Roman"/>
        </w:rPr>
        <w:t xml:space="preserve">— 1995a, </w:t>
      </w:r>
      <w:r w:rsidR="00CC0615">
        <w:rPr>
          <w:rFonts w:cs="Times New Roman"/>
        </w:rPr>
        <w:t>“</w:t>
      </w:r>
      <w:r w:rsidRPr="006F6F21">
        <w:rPr>
          <w:rFonts w:cs="Times New Roman"/>
        </w:rPr>
        <w:t>Epicurean Poetics,</w:t>
      </w:r>
      <w:r w:rsidR="00CC0615">
        <w:rPr>
          <w:rFonts w:cs="Times New Roman"/>
        </w:rPr>
        <w:t>”</w:t>
      </w:r>
      <w:r w:rsidRPr="006F6F21">
        <w:rPr>
          <w:rFonts w:cs="Times New Roman"/>
        </w:rPr>
        <w:t xml:space="preserve"> in D. Obbink (ed.)</w:t>
      </w:r>
      <w:r>
        <w:rPr>
          <w:rFonts w:cs="Times New Roman"/>
        </w:rPr>
        <w:t>,</w:t>
      </w:r>
      <w:r w:rsidRPr="006F6F21">
        <w:rPr>
          <w:rFonts w:cs="Times New Roman"/>
          <w:i/>
        </w:rPr>
        <w:t xml:space="preserve"> Philodemus and Poetry: Poetic Theory and Practice in Lucretius, Philodemus, and Horace</w:t>
      </w:r>
      <w:r w:rsidRPr="006F6F21">
        <w:rPr>
          <w:rFonts w:cs="Times New Roman"/>
        </w:rPr>
        <w:t>, New York</w:t>
      </w:r>
      <w:r>
        <w:rPr>
          <w:rFonts w:cs="Times New Roman"/>
        </w:rPr>
        <w:t xml:space="preserve"> </w:t>
      </w:r>
      <w:r w:rsidRPr="006F6F21">
        <w:rPr>
          <w:rFonts w:cs="Times New Roman"/>
        </w:rPr>
        <w:t>- Oxford: 14-35.</w:t>
      </w:r>
    </w:p>
    <w:p w14:paraId="7623117C" w14:textId="0217166A" w:rsidR="003B2A46" w:rsidRPr="006F6F21" w:rsidRDefault="003B2A46" w:rsidP="004819D9">
      <w:pPr>
        <w:spacing w:before="100" w:after="100" w:line="300" w:lineRule="exact"/>
        <w:ind w:left="567" w:hanging="567"/>
        <w:rPr>
          <w:rFonts w:cs="Times New Roman"/>
        </w:rPr>
      </w:pPr>
      <w:r w:rsidRPr="006F6F21">
        <w:rPr>
          <w:rFonts w:cs="Times New Roman"/>
        </w:rPr>
        <w:t xml:space="preserve">— 1995b, </w:t>
      </w:r>
      <w:r w:rsidR="00CC0615">
        <w:rPr>
          <w:rFonts w:cs="Times New Roman"/>
        </w:rPr>
        <w:t>“</w:t>
      </w:r>
      <w:r w:rsidRPr="006F6F21">
        <w:rPr>
          <w:rFonts w:cs="Times New Roman"/>
        </w:rPr>
        <w:t>Philodemus on Censorship, Moral Utility, and Formalism in Poetry,</w:t>
      </w:r>
      <w:r w:rsidR="00CC0615">
        <w:rPr>
          <w:rFonts w:cs="Times New Roman"/>
        </w:rPr>
        <w:t>”</w:t>
      </w:r>
      <w:r w:rsidRPr="006F6F21">
        <w:rPr>
          <w:rFonts w:cs="Times New Roman"/>
        </w:rPr>
        <w:t xml:space="preserve"> in D. Obbink (ed.)</w:t>
      </w:r>
      <w:r>
        <w:rPr>
          <w:rFonts w:cs="Times New Roman"/>
        </w:rPr>
        <w:t>,</w:t>
      </w:r>
      <w:r w:rsidRPr="006F6F21">
        <w:rPr>
          <w:rFonts w:cs="Times New Roman"/>
          <w:i/>
        </w:rPr>
        <w:t xml:space="preserve"> Philodemus and Poetry: Poetic Theory and Practice in Lucretius, Philodemus, and Horace</w:t>
      </w:r>
      <w:r w:rsidRPr="006F6F21">
        <w:rPr>
          <w:rFonts w:cs="Times New Roman"/>
        </w:rPr>
        <w:t>, New York - Oxford: 148-177.</w:t>
      </w:r>
    </w:p>
    <w:p w14:paraId="3A62C373" w14:textId="59DD8736" w:rsidR="003B2A46" w:rsidRPr="006F6F21" w:rsidRDefault="003B2A46" w:rsidP="004819D9">
      <w:pPr>
        <w:spacing w:before="100" w:after="100" w:line="300" w:lineRule="exact"/>
        <w:ind w:left="567" w:hanging="567"/>
        <w:rPr>
          <w:rFonts w:cs="Times New Roman"/>
        </w:rPr>
      </w:pPr>
      <w:r w:rsidRPr="006F6F21">
        <w:rPr>
          <w:rFonts w:cs="Times New Roman"/>
        </w:rPr>
        <w:t xml:space="preserve">— 2004, </w:t>
      </w:r>
      <w:r w:rsidR="00CC0615">
        <w:rPr>
          <w:rFonts w:cs="Times New Roman"/>
        </w:rPr>
        <w:t>“</w:t>
      </w:r>
      <w:r w:rsidRPr="006F6F21">
        <w:rPr>
          <w:rFonts w:cs="Times New Roman"/>
        </w:rPr>
        <w:t>Philodemus on Sound and Sense in Poetry,</w:t>
      </w:r>
      <w:r w:rsidR="00CC0615">
        <w:rPr>
          <w:rFonts w:cs="Times New Roman"/>
        </w:rPr>
        <w:t>”</w:t>
      </w:r>
      <w:r w:rsidRPr="006F6F21">
        <w:rPr>
          <w:rFonts w:cs="Times New Roman"/>
        </w:rPr>
        <w:t xml:space="preserve"> </w:t>
      </w:r>
      <w:r w:rsidRPr="006F6F21">
        <w:rPr>
          <w:rFonts w:cs="Times New Roman"/>
          <w:i/>
        </w:rPr>
        <w:t xml:space="preserve">Cronache </w:t>
      </w:r>
      <w:r>
        <w:rPr>
          <w:rFonts w:cs="Times New Roman"/>
          <w:i/>
        </w:rPr>
        <w:t>er</w:t>
      </w:r>
      <w:r w:rsidRPr="006F6F21">
        <w:rPr>
          <w:rFonts w:cs="Times New Roman"/>
          <w:i/>
        </w:rPr>
        <w:t>colanesi</w:t>
      </w:r>
      <w:r w:rsidRPr="006F6F21">
        <w:rPr>
          <w:rFonts w:cs="Times New Roman"/>
        </w:rPr>
        <w:t xml:space="preserve"> 34: 5-27.</w:t>
      </w:r>
    </w:p>
    <w:p w14:paraId="79F0E0ED" w14:textId="77777777" w:rsidR="003B2A46" w:rsidRPr="006F6F21" w:rsidRDefault="003B2A46" w:rsidP="004819D9">
      <w:pPr>
        <w:spacing w:before="100" w:after="100" w:line="300" w:lineRule="exact"/>
        <w:ind w:left="567" w:hanging="567"/>
        <w:rPr>
          <w:szCs w:val="24"/>
        </w:rPr>
      </w:pPr>
      <w:r w:rsidRPr="006F6F21">
        <w:rPr>
          <w:szCs w:val="24"/>
        </w:rPr>
        <w:t xml:space="preserve">Attardo, S. 1994, </w:t>
      </w:r>
      <w:r w:rsidRPr="006F6F21">
        <w:rPr>
          <w:i/>
          <w:szCs w:val="24"/>
        </w:rPr>
        <w:t>Linguistic Theories of Humor</w:t>
      </w:r>
      <w:r w:rsidRPr="006F6F21">
        <w:rPr>
          <w:szCs w:val="24"/>
        </w:rPr>
        <w:t>, Berlin.</w:t>
      </w:r>
    </w:p>
    <w:p w14:paraId="28F1CF3F"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Auer, P. (ed.) 1998, </w:t>
      </w:r>
      <w:r w:rsidRPr="006F6F21">
        <w:rPr>
          <w:rFonts w:cs="Times New Roman"/>
          <w:i/>
        </w:rPr>
        <w:t>Code-</w:t>
      </w:r>
      <w:r>
        <w:rPr>
          <w:rFonts w:cs="Times New Roman"/>
          <w:i/>
        </w:rPr>
        <w:t>S</w:t>
      </w:r>
      <w:r w:rsidRPr="006F6F21">
        <w:rPr>
          <w:rFonts w:cs="Times New Roman"/>
          <w:i/>
        </w:rPr>
        <w:t>witching in Conversation: Language, Interaction and Identity</w:t>
      </w:r>
      <w:r w:rsidRPr="006F6F21">
        <w:rPr>
          <w:rFonts w:cs="Times New Roman"/>
        </w:rPr>
        <w:t>, London - New York.</w:t>
      </w:r>
    </w:p>
    <w:p w14:paraId="5FA87422" w14:textId="22194A96"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2000, </w:t>
      </w:r>
      <w:r w:rsidR="00CC0615">
        <w:rPr>
          <w:rFonts w:cs="Times New Roman"/>
        </w:rPr>
        <w:t>“</w:t>
      </w:r>
      <w:r w:rsidRPr="006F6F21">
        <w:rPr>
          <w:rFonts w:cs="Times New Roman"/>
        </w:rPr>
        <w:t xml:space="preserve">Why </w:t>
      </w:r>
      <w:r>
        <w:rPr>
          <w:rFonts w:cs="Times New Roman"/>
        </w:rPr>
        <w:t>S</w:t>
      </w:r>
      <w:r w:rsidRPr="006F6F21">
        <w:rPr>
          <w:rFonts w:cs="Times New Roman"/>
        </w:rPr>
        <w:t xml:space="preserve">hould </w:t>
      </w:r>
      <w:r>
        <w:rPr>
          <w:rFonts w:cs="Times New Roman"/>
        </w:rPr>
        <w:t>W</w:t>
      </w:r>
      <w:r w:rsidRPr="006F6F21">
        <w:rPr>
          <w:rFonts w:cs="Times New Roman"/>
        </w:rPr>
        <w:t xml:space="preserve">e and </w:t>
      </w:r>
      <w:r>
        <w:rPr>
          <w:rFonts w:cs="Times New Roman"/>
        </w:rPr>
        <w:t>H</w:t>
      </w:r>
      <w:r w:rsidRPr="006F6F21">
        <w:rPr>
          <w:rFonts w:cs="Times New Roman"/>
        </w:rPr>
        <w:t xml:space="preserve">ow </w:t>
      </w:r>
      <w:r>
        <w:rPr>
          <w:rFonts w:cs="Times New Roman"/>
        </w:rPr>
        <w:t>C</w:t>
      </w:r>
      <w:r w:rsidRPr="006F6F21">
        <w:rPr>
          <w:rFonts w:cs="Times New Roman"/>
        </w:rPr>
        <w:t xml:space="preserve">an </w:t>
      </w:r>
      <w:r>
        <w:rPr>
          <w:rFonts w:cs="Times New Roman"/>
        </w:rPr>
        <w:t>W</w:t>
      </w:r>
      <w:r w:rsidRPr="006F6F21">
        <w:rPr>
          <w:rFonts w:cs="Times New Roman"/>
        </w:rPr>
        <w:t xml:space="preserve">e </w:t>
      </w:r>
      <w:r>
        <w:rPr>
          <w:rFonts w:cs="Times New Roman"/>
        </w:rPr>
        <w:t>D</w:t>
      </w:r>
      <w:r w:rsidRPr="006F6F21">
        <w:rPr>
          <w:rFonts w:cs="Times New Roman"/>
        </w:rPr>
        <w:t xml:space="preserve">etermine the </w:t>
      </w:r>
      <w:r w:rsidR="00075F5F">
        <w:rPr>
          <w:rFonts w:cs="Times New Roman"/>
        </w:rPr>
        <w:t>‘</w:t>
      </w:r>
      <w:r>
        <w:rPr>
          <w:rFonts w:cs="Times New Roman"/>
        </w:rPr>
        <w:t>B</w:t>
      </w:r>
      <w:r w:rsidRPr="006F6F21">
        <w:rPr>
          <w:rFonts w:cs="Times New Roman"/>
        </w:rPr>
        <w:t xml:space="preserve">ase </w:t>
      </w:r>
      <w:r>
        <w:rPr>
          <w:rFonts w:cs="Times New Roman"/>
        </w:rPr>
        <w:t>L</w:t>
      </w:r>
      <w:r w:rsidRPr="006F6F21">
        <w:rPr>
          <w:rFonts w:cs="Times New Roman"/>
        </w:rPr>
        <w:t>anguage</w:t>
      </w:r>
      <w:r w:rsidR="00075F5F">
        <w:rPr>
          <w:rFonts w:cs="Times New Roman"/>
        </w:rPr>
        <w:t>’</w:t>
      </w:r>
      <w:r w:rsidRPr="006F6F21">
        <w:rPr>
          <w:rFonts w:cs="Times New Roman"/>
        </w:rPr>
        <w:t xml:space="preserve"> of a </w:t>
      </w:r>
      <w:r>
        <w:rPr>
          <w:rFonts w:cs="Times New Roman"/>
        </w:rPr>
        <w:t>B</w:t>
      </w:r>
      <w:r w:rsidRPr="006F6F21">
        <w:rPr>
          <w:rFonts w:cs="Times New Roman"/>
        </w:rPr>
        <w:t xml:space="preserve">ilingual </w:t>
      </w:r>
      <w:r>
        <w:rPr>
          <w:rFonts w:cs="Times New Roman"/>
        </w:rPr>
        <w:t>C</w:t>
      </w:r>
      <w:r w:rsidRPr="006F6F21">
        <w:rPr>
          <w:rFonts w:cs="Times New Roman"/>
        </w:rPr>
        <w:t>onversation?</w:t>
      </w:r>
      <w:r w:rsidR="00CC0615">
        <w:rPr>
          <w:rFonts w:cs="Times New Roman"/>
        </w:rPr>
        <w:t>”</w:t>
      </w:r>
      <w:r w:rsidRPr="006F6F21">
        <w:rPr>
          <w:rFonts w:cs="Times New Roman"/>
        </w:rPr>
        <w:t xml:space="preserve"> </w:t>
      </w:r>
      <w:r w:rsidRPr="006F6F21">
        <w:rPr>
          <w:rFonts w:cs="Times New Roman"/>
          <w:i/>
        </w:rPr>
        <w:t xml:space="preserve">Estudios de </w:t>
      </w:r>
      <w:r w:rsidRPr="009B132F">
        <w:rPr>
          <w:rFonts w:cs="Times New Roman"/>
          <w:i/>
        </w:rPr>
        <w:t>Sociolingüística</w:t>
      </w:r>
      <w:r w:rsidRPr="009B132F">
        <w:rPr>
          <w:rFonts w:cs="Times New Roman"/>
        </w:rPr>
        <w:t xml:space="preserve"> 1.1: 129-</w:t>
      </w:r>
      <w:r w:rsidRPr="006F6F21">
        <w:rPr>
          <w:rFonts w:cs="Times New Roman"/>
        </w:rPr>
        <w:t>144.</w:t>
      </w:r>
    </w:p>
    <w:p w14:paraId="5C7C2ACB" w14:textId="4FB0ACC5"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Backus, A. 2003, </w:t>
      </w:r>
      <w:r w:rsidR="00CC0615">
        <w:rPr>
          <w:rFonts w:cs="Times New Roman"/>
        </w:rPr>
        <w:t>“</w:t>
      </w:r>
      <w:r w:rsidRPr="006F6F21">
        <w:rPr>
          <w:rFonts w:cs="Times New Roman"/>
        </w:rPr>
        <w:t xml:space="preserve">Units in </w:t>
      </w:r>
      <w:r>
        <w:rPr>
          <w:rFonts w:cs="Times New Roman"/>
        </w:rPr>
        <w:t>C</w:t>
      </w:r>
      <w:r w:rsidRPr="006F6F21">
        <w:rPr>
          <w:rFonts w:cs="Times New Roman"/>
        </w:rPr>
        <w:t xml:space="preserve">ode </w:t>
      </w:r>
      <w:r>
        <w:rPr>
          <w:rFonts w:cs="Times New Roman"/>
        </w:rPr>
        <w:t>S</w:t>
      </w:r>
      <w:r w:rsidRPr="006F6F21">
        <w:rPr>
          <w:rFonts w:cs="Times New Roman"/>
        </w:rPr>
        <w:t xml:space="preserve">witching: Evidence for </w:t>
      </w:r>
      <w:r>
        <w:rPr>
          <w:rFonts w:cs="Times New Roman"/>
        </w:rPr>
        <w:t>M</w:t>
      </w:r>
      <w:r w:rsidRPr="006F6F21">
        <w:rPr>
          <w:rFonts w:cs="Times New Roman"/>
        </w:rPr>
        <w:t xml:space="preserve">ultimorphemic </w:t>
      </w:r>
      <w:r>
        <w:rPr>
          <w:rFonts w:cs="Times New Roman"/>
        </w:rPr>
        <w:t>E</w:t>
      </w:r>
      <w:r w:rsidRPr="006F6F21">
        <w:rPr>
          <w:rFonts w:cs="Times New Roman"/>
        </w:rPr>
        <w:t xml:space="preserve">lements in the </w:t>
      </w:r>
      <w:r>
        <w:rPr>
          <w:rFonts w:cs="Times New Roman"/>
        </w:rPr>
        <w:t>L</w:t>
      </w:r>
      <w:r w:rsidRPr="006F6F21">
        <w:rPr>
          <w:rFonts w:cs="Times New Roman"/>
        </w:rPr>
        <w:t>exicon,</w:t>
      </w:r>
      <w:r w:rsidR="00CC0615">
        <w:rPr>
          <w:rFonts w:cs="Times New Roman"/>
        </w:rPr>
        <w:t>”</w:t>
      </w:r>
      <w:r w:rsidRPr="006F6F21">
        <w:rPr>
          <w:rFonts w:cs="Times New Roman"/>
        </w:rPr>
        <w:t xml:space="preserve"> </w:t>
      </w:r>
      <w:r w:rsidRPr="006F6F21">
        <w:rPr>
          <w:rFonts w:cs="Times New Roman"/>
          <w:i/>
        </w:rPr>
        <w:t>Linguistics</w:t>
      </w:r>
      <w:r w:rsidRPr="006F6F21">
        <w:rPr>
          <w:rFonts w:cs="Times New Roman"/>
        </w:rPr>
        <w:t xml:space="preserve"> 41</w:t>
      </w:r>
      <w:r w:rsidRPr="009B132F">
        <w:rPr>
          <w:rFonts w:cs="Times New Roman"/>
        </w:rPr>
        <w:t>.1</w:t>
      </w:r>
      <w:r w:rsidRPr="006F6F21">
        <w:rPr>
          <w:rFonts w:cs="Times New Roman"/>
        </w:rPr>
        <w:t>: 83-132.</w:t>
      </w:r>
    </w:p>
    <w:p w14:paraId="2282A3E9" w14:textId="62BE3FD6" w:rsidR="003B2A46" w:rsidRPr="006F6F21" w:rsidRDefault="003B2A46" w:rsidP="004819D9">
      <w:pPr>
        <w:spacing w:before="100" w:after="100" w:line="300" w:lineRule="exact"/>
        <w:ind w:left="567" w:hanging="567"/>
        <w:rPr>
          <w:rFonts w:cs="Times New Roman"/>
        </w:rPr>
      </w:pPr>
      <w:r w:rsidRPr="006F6F21">
        <w:rPr>
          <w:rFonts w:cs="Times New Roman"/>
        </w:rPr>
        <w:t xml:space="preserve">Bagnall, R. S. 2002, </w:t>
      </w:r>
      <w:r w:rsidR="00CC0615">
        <w:rPr>
          <w:rFonts w:cs="Times New Roman"/>
        </w:rPr>
        <w:t>“</w:t>
      </w:r>
      <w:r w:rsidRPr="006F6F21">
        <w:rPr>
          <w:rFonts w:cs="Times New Roman"/>
        </w:rPr>
        <w:t xml:space="preserve">Alexandria: </w:t>
      </w:r>
      <w:r>
        <w:rPr>
          <w:rFonts w:cs="Times New Roman"/>
        </w:rPr>
        <w:t>L</w:t>
      </w:r>
      <w:r w:rsidRPr="006F6F21">
        <w:rPr>
          <w:rFonts w:cs="Times New Roman"/>
        </w:rPr>
        <w:t xml:space="preserve">ibrary of </w:t>
      </w:r>
      <w:r>
        <w:rPr>
          <w:rFonts w:cs="Times New Roman"/>
        </w:rPr>
        <w:t>D</w:t>
      </w:r>
      <w:r w:rsidRPr="006F6F21">
        <w:rPr>
          <w:rFonts w:cs="Times New Roman"/>
        </w:rPr>
        <w:t>reams,</w:t>
      </w:r>
      <w:r w:rsidR="00CC0615">
        <w:rPr>
          <w:rFonts w:cs="Times New Roman"/>
        </w:rPr>
        <w:t>”</w:t>
      </w:r>
      <w:r w:rsidRPr="006F6F21">
        <w:rPr>
          <w:rFonts w:cs="Times New Roman"/>
        </w:rPr>
        <w:t xml:space="preserve"> </w:t>
      </w:r>
      <w:r w:rsidRPr="006F6F21">
        <w:rPr>
          <w:rFonts w:cs="Times New Roman"/>
          <w:i/>
        </w:rPr>
        <w:t>Proceedings of the American Philosophical Society</w:t>
      </w:r>
      <w:r w:rsidRPr="006F6F21">
        <w:rPr>
          <w:rFonts w:cs="Times New Roman"/>
        </w:rPr>
        <w:t xml:space="preserve"> 146: 348-362.</w:t>
      </w:r>
    </w:p>
    <w:p w14:paraId="08D6E648"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Baker, M. C. 1988, </w:t>
      </w:r>
      <w:r w:rsidRPr="006F6F21">
        <w:rPr>
          <w:rFonts w:cs="Times New Roman"/>
          <w:i/>
        </w:rPr>
        <w:t>Incorporation: A Theory of Grammatical Functioning Changing</w:t>
      </w:r>
      <w:r w:rsidRPr="006F6F21">
        <w:rPr>
          <w:rFonts w:cs="Times New Roman"/>
        </w:rPr>
        <w:t>, Chicago.</w:t>
      </w:r>
    </w:p>
    <w:p w14:paraId="374D1A52" w14:textId="77777777" w:rsidR="003B2A46" w:rsidRPr="006B7426" w:rsidRDefault="003B2A46" w:rsidP="004819D9">
      <w:pPr>
        <w:spacing w:before="100" w:after="100" w:line="300" w:lineRule="exact"/>
        <w:ind w:left="567" w:hanging="567"/>
        <w:rPr>
          <w:rFonts w:cs="Times New Roman"/>
        </w:rPr>
      </w:pPr>
      <w:r w:rsidRPr="006F6F21">
        <w:rPr>
          <w:rFonts w:cs="Times New Roman"/>
        </w:rPr>
        <w:t xml:space="preserve">Bakhtin, M. M. </w:t>
      </w:r>
      <w:r w:rsidRPr="001743E3">
        <w:rPr>
          <w:rFonts w:cs="Times New Roman"/>
        </w:rPr>
        <w:t>196</w:t>
      </w:r>
      <w:r>
        <w:rPr>
          <w:rFonts w:cs="Times New Roman"/>
        </w:rPr>
        <w:t>8</w:t>
      </w:r>
      <w:r w:rsidRPr="001743E3">
        <w:rPr>
          <w:rFonts w:cs="Times New Roman"/>
        </w:rPr>
        <w:t xml:space="preserve">, </w:t>
      </w:r>
      <w:r w:rsidRPr="001743E3">
        <w:rPr>
          <w:rFonts w:cs="Times New Roman"/>
          <w:i/>
        </w:rPr>
        <w:t>Rabelais and His World</w:t>
      </w:r>
      <w:r>
        <w:rPr>
          <w:rFonts w:cs="Times New Roman"/>
        </w:rPr>
        <w:t xml:space="preserve"> </w:t>
      </w:r>
      <w:r w:rsidRPr="00425B6A">
        <w:rPr>
          <w:rFonts w:cs="Times New Roman"/>
        </w:rPr>
        <w:t xml:space="preserve">(transl. </w:t>
      </w:r>
      <w:r w:rsidRPr="006B7426">
        <w:rPr>
          <w:rFonts w:cs="Times New Roman"/>
          <w:color w:val="1C1C1C"/>
        </w:rPr>
        <w:t>H. Iswolsky),</w:t>
      </w:r>
      <w:r w:rsidRPr="006B7426">
        <w:rPr>
          <w:rFonts w:cs="Times New Roman"/>
        </w:rPr>
        <w:t xml:space="preserve"> Cambridge - London.</w:t>
      </w:r>
    </w:p>
    <w:p w14:paraId="23F77E2D" w14:textId="77777777" w:rsidR="003B2A46" w:rsidRPr="006F6F21"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w:t>
      </w:r>
      <w:r w:rsidRPr="006F6F21">
        <w:rPr>
          <w:rFonts w:cs="Times New Roman"/>
        </w:rPr>
        <w:t xml:space="preserve">1981, </w:t>
      </w:r>
      <w:r w:rsidRPr="006F6F21">
        <w:rPr>
          <w:rFonts w:cs="Times New Roman"/>
          <w:i/>
        </w:rPr>
        <w:t>The Dialogic Imagination: Four Essays</w:t>
      </w:r>
      <w:r w:rsidRPr="006F6F21">
        <w:rPr>
          <w:rFonts w:cs="Times New Roman"/>
        </w:rPr>
        <w:t xml:space="preserve"> (</w:t>
      </w:r>
      <w:r>
        <w:rPr>
          <w:rFonts w:cs="Times New Roman"/>
          <w:color w:val="1C1C1C"/>
        </w:rPr>
        <w:t>t</w:t>
      </w:r>
      <w:r w:rsidRPr="006F6F21">
        <w:rPr>
          <w:rFonts w:cs="Times New Roman"/>
          <w:color w:val="1C1C1C"/>
        </w:rPr>
        <w:t>ransl. C. Emerson and M. Holquist), Austin - London.</w:t>
      </w:r>
    </w:p>
    <w:p w14:paraId="68B05BA3" w14:textId="1CF8827C"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Bakker, E. J. 1993, </w:t>
      </w:r>
      <w:r w:rsidR="00CC0615">
        <w:rPr>
          <w:rFonts w:cs="Times New Roman"/>
        </w:rPr>
        <w:t>“</w:t>
      </w:r>
      <w:r w:rsidRPr="006F6F21">
        <w:rPr>
          <w:rFonts w:cs="Times New Roman"/>
        </w:rPr>
        <w:t>Activation and Preservation: The Interdependence of Text and Performance in an Oral Tradition,</w:t>
      </w:r>
      <w:r w:rsidR="00CC0615">
        <w:rPr>
          <w:rFonts w:cs="Times New Roman"/>
        </w:rPr>
        <w:t>”</w:t>
      </w:r>
      <w:r w:rsidRPr="006F6F21">
        <w:rPr>
          <w:rFonts w:cs="Times New Roman"/>
        </w:rPr>
        <w:t xml:space="preserve"> </w:t>
      </w:r>
      <w:r w:rsidRPr="006F6F21">
        <w:rPr>
          <w:rFonts w:cs="Times New Roman"/>
          <w:i/>
        </w:rPr>
        <w:t>Oral Tradition</w:t>
      </w:r>
      <w:r w:rsidRPr="006F6F21">
        <w:rPr>
          <w:rFonts w:cs="Times New Roman"/>
        </w:rPr>
        <w:t xml:space="preserve"> 8: 5-20.</w:t>
      </w:r>
    </w:p>
    <w:p w14:paraId="50B86D81"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1997a, </w:t>
      </w:r>
      <w:r w:rsidRPr="006F6F21">
        <w:rPr>
          <w:rFonts w:cs="Times New Roman"/>
          <w:i/>
        </w:rPr>
        <w:t>Poetry in Speech: Orality and Homeric Discourse</w:t>
      </w:r>
      <w:r w:rsidRPr="006F6F21">
        <w:rPr>
          <w:rFonts w:cs="Times New Roman"/>
        </w:rPr>
        <w:t>, Ithaca - London.</w:t>
      </w:r>
    </w:p>
    <w:p w14:paraId="4E4DE047" w14:textId="70968206" w:rsidR="003B2A46" w:rsidRPr="006F6F21" w:rsidRDefault="003B2A46" w:rsidP="004819D9">
      <w:pPr>
        <w:spacing w:before="100" w:after="100" w:line="300" w:lineRule="exact"/>
        <w:ind w:left="567" w:hanging="567"/>
        <w:rPr>
          <w:rFonts w:cs="Times New Roman"/>
        </w:rPr>
      </w:pPr>
      <w:r w:rsidRPr="006F6F21">
        <w:rPr>
          <w:rFonts w:cs="Times New Roman"/>
        </w:rPr>
        <w:t xml:space="preserve">— 1997b, </w:t>
      </w:r>
      <w:r w:rsidR="00CC0615">
        <w:rPr>
          <w:rFonts w:cs="Times New Roman"/>
        </w:rPr>
        <w:t>“</w:t>
      </w:r>
      <w:r w:rsidRPr="006F6F21">
        <w:rPr>
          <w:rFonts w:cs="Times New Roman"/>
        </w:rPr>
        <w:t>Storytelling in the Future: Truth, Time, and Tense in Homeric Epic,</w:t>
      </w:r>
      <w:r w:rsidR="00CC0615">
        <w:rPr>
          <w:rFonts w:cs="Times New Roman"/>
        </w:rPr>
        <w:t>”</w:t>
      </w:r>
      <w:r w:rsidRPr="006F6F21">
        <w:rPr>
          <w:rFonts w:cs="Times New Roman"/>
        </w:rPr>
        <w:t xml:space="preserve"> in </w:t>
      </w:r>
      <w:r>
        <w:rPr>
          <w:rFonts w:cs="Times New Roman"/>
        </w:rPr>
        <w:br/>
      </w:r>
      <w:r w:rsidRPr="006F6F21">
        <w:rPr>
          <w:rFonts w:cs="Times New Roman"/>
        </w:rPr>
        <w:t xml:space="preserve">E. J. Bakker and A. Kahane (eds.), </w:t>
      </w:r>
      <w:r w:rsidRPr="006F6F21">
        <w:rPr>
          <w:rFonts w:cs="Times New Roman"/>
          <w:i/>
        </w:rPr>
        <w:t>Written Voices, Spoken Signs: Performance, Tradition, and the Epic Text</w:t>
      </w:r>
      <w:r w:rsidRPr="006F6F21">
        <w:rPr>
          <w:rFonts w:cs="Times New Roman"/>
        </w:rPr>
        <w:t>, Cambridge (MA)</w:t>
      </w:r>
      <w:r>
        <w:rPr>
          <w:rFonts w:cs="Times New Roman"/>
        </w:rPr>
        <w:t>: 11-36.</w:t>
      </w:r>
    </w:p>
    <w:p w14:paraId="1CA1EBA5" w14:textId="346C8673" w:rsidR="003B2A46" w:rsidRPr="00AF6182" w:rsidRDefault="003B2A46" w:rsidP="004819D9">
      <w:pPr>
        <w:spacing w:before="100" w:after="100" w:line="300" w:lineRule="exact"/>
        <w:ind w:left="567" w:hanging="567"/>
        <w:rPr>
          <w:rFonts w:cs="Times New Roman"/>
        </w:rPr>
      </w:pPr>
      <w:r w:rsidRPr="00BB7E02">
        <w:rPr>
          <w:rFonts w:cs="Times New Roman"/>
        </w:rPr>
        <w:t>—</w:t>
      </w:r>
      <w:r>
        <w:rPr>
          <w:rFonts w:cs="Times New Roman"/>
        </w:rPr>
        <w:t xml:space="preserve"> </w:t>
      </w:r>
      <w:r w:rsidRPr="00AF6182">
        <w:rPr>
          <w:rFonts w:cs="Times New Roman"/>
        </w:rPr>
        <w:t xml:space="preserve">1997c, </w:t>
      </w:r>
      <w:r w:rsidR="00CC0615">
        <w:rPr>
          <w:rFonts w:cs="Times New Roman"/>
        </w:rPr>
        <w:t>“</w:t>
      </w:r>
      <w:r w:rsidRPr="00AF6182">
        <w:rPr>
          <w:rFonts w:cs="Times New Roman"/>
        </w:rPr>
        <w:t>Verbal Aspect and Mimetic Description in Thucydides,</w:t>
      </w:r>
      <w:r w:rsidR="00CC0615">
        <w:rPr>
          <w:rFonts w:cs="Times New Roman"/>
        </w:rPr>
        <w:t>”</w:t>
      </w:r>
      <w:r w:rsidRPr="00AF6182">
        <w:rPr>
          <w:rFonts w:cs="Times New Roman"/>
        </w:rPr>
        <w:t xml:space="preserve"> in E. J. Bakker (ed.), </w:t>
      </w:r>
      <w:r w:rsidRPr="00AF6182">
        <w:rPr>
          <w:rFonts w:cs="Times New Roman"/>
          <w:i/>
        </w:rPr>
        <w:t>Grammar as Interpretation: Greek Literature in its Linguistics Contexts</w:t>
      </w:r>
      <w:r w:rsidRPr="00AF6182">
        <w:rPr>
          <w:rFonts w:cs="Times New Roman"/>
        </w:rPr>
        <w:t>, Leiden: 7-54.</w:t>
      </w:r>
    </w:p>
    <w:p w14:paraId="0AD9E958" w14:textId="7D5C5118" w:rsidR="003B2A46" w:rsidRPr="00BB7E02" w:rsidRDefault="003B2A46" w:rsidP="004819D9">
      <w:pPr>
        <w:spacing w:before="100" w:after="100" w:line="300" w:lineRule="exact"/>
        <w:ind w:left="567" w:hanging="567"/>
      </w:pPr>
      <w:r w:rsidRPr="00BB7E02">
        <w:rPr>
          <w:rFonts w:cs="Times New Roman"/>
        </w:rPr>
        <w:t>—</w:t>
      </w:r>
      <w:r>
        <w:rPr>
          <w:rFonts w:cs="Times New Roman"/>
        </w:rPr>
        <w:t xml:space="preserve"> 1997d, </w:t>
      </w:r>
      <w:r w:rsidR="00CC0615">
        <w:rPr>
          <w:rFonts w:cs="Times New Roman"/>
        </w:rPr>
        <w:t>“</w:t>
      </w:r>
      <w:r>
        <w:rPr>
          <w:rFonts w:cs="Times New Roman"/>
        </w:rPr>
        <w:t>The Study of Homeric Discourse,</w:t>
      </w:r>
      <w:r w:rsidR="00CC0615">
        <w:rPr>
          <w:rFonts w:cs="Times New Roman"/>
        </w:rPr>
        <w:t>”</w:t>
      </w:r>
      <w:r>
        <w:rPr>
          <w:rFonts w:cs="Times New Roman"/>
        </w:rPr>
        <w:t xml:space="preserve"> in I. Morris and B. B. Powell (eds.), </w:t>
      </w:r>
      <w:r w:rsidRPr="00AF6182">
        <w:rPr>
          <w:rFonts w:cs="Times New Roman"/>
          <w:i/>
        </w:rPr>
        <w:t>A New Companion to Homer</w:t>
      </w:r>
      <w:r>
        <w:rPr>
          <w:rFonts w:cs="Times New Roman"/>
        </w:rPr>
        <w:t>, Leiden: 284-304.</w:t>
      </w:r>
    </w:p>
    <w:p w14:paraId="64D9849F" w14:textId="1D4E90FE"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1999a, </w:t>
      </w:r>
      <w:r w:rsidR="00CC0615">
        <w:rPr>
          <w:rFonts w:cs="Times New Roman"/>
        </w:rPr>
        <w:t>“</w:t>
      </w:r>
      <w:r w:rsidRPr="006F6F21">
        <w:rPr>
          <w:rFonts w:cs="Times New Roman"/>
        </w:rPr>
        <w:t xml:space="preserve">Homeric </w:t>
      </w:r>
      <w:r>
        <w:rPr>
          <w:rFonts w:cs="Times New Roman"/>
        </w:rPr>
        <w:t>οὗτος</w:t>
      </w:r>
      <w:r w:rsidRPr="006F6F21">
        <w:rPr>
          <w:rFonts w:cs="Times New Roman"/>
        </w:rPr>
        <w:t xml:space="preserve"> and the Poetics of Deixis,</w:t>
      </w:r>
      <w:r w:rsidR="00CC0615">
        <w:rPr>
          <w:rFonts w:cs="Times New Roman"/>
        </w:rPr>
        <w:t>”</w:t>
      </w:r>
      <w:r w:rsidRPr="006F6F21">
        <w:rPr>
          <w:rFonts w:cs="Times New Roman"/>
        </w:rPr>
        <w:t xml:space="preserve"> </w:t>
      </w:r>
      <w:r w:rsidRPr="006F6F21">
        <w:rPr>
          <w:rFonts w:cs="Times New Roman"/>
          <w:i/>
          <w:iCs/>
        </w:rPr>
        <w:t>C</w:t>
      </w:r>
      <w:r>
        <w:rPr>
          <w:rFonts w:cs="Times New Roman"/>
          <w:i/>
          <w:iCs/>
        </w:rPr>
        <w:t>lassical Philology</w:t>
      </w:r>
      <w:r w:rsidRPr="006F6F21">
        <w:rPr>
          <w:rFonts w:cs="Times New Roman"/>
          <w:i/>
          <w:iCs/>
        </w:rPr>
        <w:t xml:space="preserve"> </w:t>
      </w:r>
      <w:r w:rsidRPr="006F6F21">
        <w:rPr>
          <w:rFonts w:cs="Times New Roman"/>
        </w:rPr>
        <w:t xml:space="preserve">94: 1-19. </w:t>
      </w:r>
    </w:p>
    <w:p w14:paraId="07C1B5AF" w14:textId="2DC469E9" w:rsidR="003B2A46" w:rsidRPr="006F6F21" w:rsidRDefault="003B2A46" w:rsidP="004819D9">
      <w:pPr>
        <w:spacing w:before="100" w:after="100" w:line="300" w:lineRule="exact"/>
        <w:ind w:left="567" w:hanging="567"/>
        <w:rPr>
          <w:rFonts w:cs="Times New Roman"/>
        </w:rPr>
      </w:pPr>
      <w:r w:rsidRPr="006F6F21">
        <w:rPr>
          <w:rFonts w:cs="Times New Roman"/>
        </w:rPr>
        <w:t xml:space="preserve">— 1999b, </w:t>
      </w:r>
      <w:r w:rsidR="00CC0615">
        <w:rPr>
          <w:rFonts w:cs="Times New Roman"/>
        </w:rPr>
        <w:t>“</w:t>
      </w:r>
      <w:r w:rsidRPr="006F6F21">
        <w:rPr>
          <w:rFonts w:cs="Times New Roman"/>
        </w:rPr>
        <w:t>How Oral i</w:t>
      </w:r>
      <w:r>
        <w:rPr>
          <w:rFonts w:cs="Times New Roman"/>
        </w:rPr>
        <w:t>s</w:t>
      </w:r>
      <w:r w:rsidRPr="006F6F21">
        <w:rPr>
          <w:rFonts w:cs="Times New Roman"/>
        </w:rPr>
        <w:t xml:space="preserve"> Oral Composition?</w:t>
      </w:r>
      <w:r w:rsidR="00CC0615">
        <w:rPr>
          <w:rFonts w:cs="Times New Roman"/>
        </w:rPr>
        <w:t>”</w:t>
      </w:r>
      <w:r w:rsidRPr="006F6F21">
        <w:rPr>
          <w:rFonts w:cs="Times New Roman"/>
        </w:rPr>
        <w:t xml:space="preserve"> in E. A. Mackay (ed.), </w:t>
      </w:r>
      <w:r w:rsidRPr="006F6F21">
        <w:rPr>
          <w:rFonts w:cs="Times New Roman"/>
          <w:i/>
        </w:rPr>
        <w:t>Signs of Orality: The Oral Tradition and its Influence in the Greek and Roman World</w:t>
      </w:r>
      <w:r w:rsidRPr="006F6F21">
        <w:rPr>
          <w:rFonts w:cs="Times New Roman"/>
        </w:rPr>
        <w:t>, Leiden: 29-47.</w:t>
      </w:r>
    </w:p>
    <w:p w14:paraId="2D63BFF6" w14:textId="1D9DA55E"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 1999c, </w:t>
      </w:r>
      <w:r w:rsidR="00CC0615">
        <w:rPr>
          <w:rFonts w:cs="Times New Roman"/>
        </w:rPr>
        <w:t>“</w:t>
      </w:r>
      <w:r w:rsidRPr="006F6F21">
        <w:rPr>
          <w:rFonts w:cs="Times New Roman"/>
        </w:rPr>
        <w:t>Pointing to the Past: Verbal Augment and Temporal Deixis in Homer,</w:t>
      </w:r>
      <w:r w:rsidR="00CC0615">
        <w:rPr>
          <w:rFonts w:cs="Times New Roman"/>
        </w:rPr>
        <w:t>”</w:t>
      </w:r>
      <w:r w:rsidRPr="006F6F21">
        <w:rPr>
          <w:rFonts w:cs="Times New Roman"/>
        </w:rPr>
        <w:t xml:space="preserve"> in J. N. Kazazis and A. Rengakos (eds.), </w:t>
      </w:r>
      <w:r w:rsidRPr="006F6F21">
        <w:rPr>
          <w:rFonts w:cs="Times New Roman"/>
          <w:i/>
        </w:rPr>
        <w:t>Euphrosyne: Studies in Ancient Epic and its Legacy in Honor of Dimitris N. Maronitis</w:t>
      </w:r>
      <w:r w:rsidRPr="006F6F21">
        <w:rPr>
          <w:rFonts w:cs="Times New Roman"/>
        </w:rPr>
        <w:t>, Stuttgart: 50-65.</w:t>
      </w:r>
    </w:p>
    <w:p w14:paraId="66C7FB7C" w14:textId="62BB0BA7" w:rsidR="003B2A46" w:rsidRPr="006F6F21" w:rsidRDefault="003B2A46" w:rsidP="004819D9">
      <w:pPr>
        <w:spacing w:before="100" w:after="100" w:line="300" w:lineRule="exact"/>
        <w:ind w:left="567" w:hanging="567"/>
        <w:rPr>
          <w:rFonts w:cs="Times New Roman"/>
        </w:rPr>
      </w:pPr>
      <w:r w:rsidRPr="006F6F21">
        <w:rPr>
          <w:rFonts w:cs="Times New Roman"/>
        </w:rPr>
        <w:t xml:space="preserve">— 2001, </w:t>
      </w:r>
      <w:r w:rsidR="00CC0615">
        <w:rPr>
          <w:rFonts w:cs="Times New Roman"/>
        </w:rPr>
        <w:t>“</w:t>
      </w:r>
      <w:r w:rsidRPr="006F6F21">
        <w:rPr>
          <w:rFonts w:cs="Times New Roman"/>
        </w:rPr>
        <w:t>Similes, Augment, and the Language of Immediacy,</w:t>
      </w:r>
      <w:r w:rsidR="00CC0615">
        <w:rPr>
          <w:rFonts w:cs="Times New Roman"/>
        </w:rPr>
        <w:t>”</w:t>
      </w:r>
      <w:r w:rsidRPr="006F6F21">
        <w:rPr>
          <w:rFonts w:cs="Times New Roman"/>
        </w:rPr>
        <w:t xml:space="preserve"> in J. Watson (ed.), </w:t>
      </w:r>
      <w:r w:rsidRPr="006F6F21">
        <w:rPr>
          <w:rFonts w:cs="Times New Roman"/>
          <w:i/>
        </w:rPr>
        <w:t>Speaking Volumes</w:t>
      </w:r>
      <w:r>
        <w:rPr>
          <w:rFonts w:cs="Times New Roman"/>
          <w:i/>
        </w:rPr>
        <w:t>: Orality and Literacy in the Greek and Roman World</w:t>
      </w:r>
      <w:r w:rsidRPr="006F6F21">
        <w:rPr>
          <w:rFonts w:cs="Times New Roman"/>
        </w:rPr>
        <w:t>, Leiden: 1-23.</w:t>
      </w:r>
    </w:p>
    <w:p w14:paraId="2107A9F4"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2005, </w:t>
      </w:r>
      <w:r w:rsidRPr="006F6F21">
        <w:rPr>
          <w:rFonts w:cs="Times New Roman"/>
          <w:i/>
        </w:rPr>
        <w:t>Pointing at the Past: From Formula to Performance in Homeric Poetics</w:t>
      </w:r>
      <w:r w:rsidRPr="006F6F21">
        <w:rPr>
          <w:rFonts w:cs="Times New Roman"/>
        </w:rPr>
        <w:t>, Cambridge (MA) - London.</w:t>
      </w:r>
    </w:p>
    <w:p w14:paraId="3E0FAA51" w14:textId="732FF973" w:rsidR="003B2A46" w:rsidRPr="006F6F21" w:rsidRDefault="003B2A46" w:rsidP="004819D9">
      <w:pPr>
        <w:spacing w:before="100" w:after="100" w:line="300" w:lineRule="exact"/>
        <w:ind w:left="567" w:hanging="567"/>
        <w:rPr>
          <w:rFonts w:cs="Times New Roman"/>
        </w:rPr>
      </w:pPr>
      <w:r w:rsidRPr="006F6F21">
        <w:rPr>
          <w:rFonts w:cs="Times New Roman"/>
        </w:rPr>
        <w:t xml:space="preserve">— 2007, </w:t>
      </w:r>
      <w:r w:rsidR="00CC0615">
        <w:rPr>
          <w:rFonts w:cs="Times New Roman"/>
        </w:rPr>
        <w:t>“</w:t>
      </w:r>
      <w:r w:rsidRPr="006F6F21">
        <w:rPr>
          <w:rFonts w:cs="Times New Roman"/>
        </w:rPr>
        <w:t>Time, Tense, and Thucydides,</w:t>
      </w:r>
      <w:r w:rsidR="00CC0615">
        <w:rPr>
          <w:rFonts w:cs="Times New Roman"/>
        </w:rPr>
        <w:t>”</w:t>
      </w:r>
      <w:r w:rsidRPr="006F6F21">
        <w:rPr>
          <w:rFonts w:cs="Times New Roman"/>
        </w:rPr>
        <w:t xml:space="preserve"> </w:t>
      </w:r>
      <w:r w:rsidRPr="006F6F21">
        <w:rPr>
          <w:rFonts w:cs="Times New Roman"/>
          <w:i/>
        </w:rPr>
        <w:t>The Classical World</w:t>
      </w:r>
      <w:r w:rsidRPr="006F6F21">
        <w:rPr>
          <w:rFonts w:cs="Times New Roman"/>
        </w:rPr>
        <w:t xml:space="preserve"> 100: 113-122.</w:t>
      </w:r>
    </w:p>
    <w:p w14:paraId="7A05B37F" w14:textId="35E04F54"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2010</w:t>
      </w:r>
      <w:r>
        <w:rPr>
          <w:rFonts w:cs="Times New Roman"/>
        </w:rPr>
        <w:t>a</w:t>
      </w:r>
      <w:r w:rsidRPr="006F6F21">
        <w:rPr>
          <w:rFonts w:cs="Times New Roman"/>
        </w:rPr>
        <w:t xml:space="preserve">, </w:t>
      </w:r>
      <w:r w:rsidR="00CC0615">
        <w:rPr>
          <w:rFonts w:cs="Times New Roman"/>
        </w:rPr>
        <w:t>“</w:t>
      </w:r>
      <w:r w:rsidRPr="006F6F21">
        <w:rPr>
          <w:rFonts w:cs="Times New Roman"/>
        </w:rPr>
        <w:t>Pragmatics: Speech and Text,</w:t>
      </w:r>
      <w:r w:rsidR="00CC0615">
        <w:rPr>
          <w:rFonts w:cs="Times New Roman"/>
        </w:rPr>
        <w:t>”</w:t>
      </w:r>
      <w:r w:rsidRPr="006F6F21">
        <w:rPr>
          <w:rFonts w:cs="Times New Roman"/>
        </w:rPr>
        <w:t xml:space="preserve"> in E. J. Bakker (ed.), </w:t>
      </w:r>
      <w:r w:rsidRPr="006F6F21">
        <w:rPr>
          <w:rFonts w:cs="Times New Roman"/>
          <w:i/>
          <w:iCs/>
        </w:rPr>
        <w:t>A Companion to</w:t>
      </w:r>
      <w:r w:rsidRPr="006F6F21">
        <w:rPr>
          <w:rFonts w:cs="Times New Roman"/>
        </w:rPr>
        <w:t xml:space="preserve"> </w:t>
      </w:r>
      <w:r w:rsidRPr="006F6F21">
        <w:rPr>
          <w:rFonts w:cs="Times New Roman"/>
          <w:i/>
          <w:iCs/>
        </w:rPr>
        <w:t>the Ancient Greek Language</w:t>
      </w:r>
      <w:r w:rsidRPr="006F6F21">
        <w:rPr>
          <w:rFonts w:cs="Times New Roman"/>
        </w:rPr>
        <w:t>, Chichester</w:t>
      </w:r>
      <w:r>
        <w:rPr>
          <w:rFonts w:cs="Times New Roman"/>
        </w:rPr>
        <w:t xml:space="preserve"> - Malden: 151-167</w:t>
      </w:r>
      <w:r w:rsidRPr="006F6F21">
        <w:rPr>
          <w:rFonts w:cs="Times New Roman"/>
        </w:rPr>
        <w:t>. </w:t>
      </w:r>
    </w:p>
    <w:p w14:paraId="47C419AE"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(ed.) 2010</w:t>
      </w:r>
      <w:r>
        <w:rPr>
          <w:rFonts w:cs="Times New Roman"/>
        </w:rPr>
        <w:t>b</w:t>
      </w:r>
      <w:r w:rsidRPr="006F6F21">
        <w:rPr>
          <w:rFonts w:cs="Times New Roman"/>
        </w:rPr>
        <w:t xml:space="preserve">, </w:t>
      </w:r>
      <w:r w:rsidRPr="006F6F21">
        <w:rPr>
          <w:rFonts w:cs="Times New Roman"/>
          <w:i/>
          <w:iCs/>
        </w:rPr>
        <w:t>A Companion to</w:t>
      </w:r>
      <w:r w:rsidRPr="006F6F21">
        <w:rPr>
          <w:rFonts w:cs="Times New Roman"/>
        </w:rPr>
        <w:t xml:space="preserve"> </w:t>
      </w:r>
      <w:r w:rsidRPr="006F6F21">
        <w:rPr>
          <w:rFonts w:cs="Times New Roman"/>
          <w:i/>
          <w:iCs/>
        </w:rPr>
        <w:t>the Ancient Greek Language</w:t>
      </w:r>
      <w:r w:rsidRPr="006F6F21">
        <w:rPr>
          <w:rFonts w:cs="Times New Roman"/>
        </w:rPr>
        <w:t>, Chichester</w:t>
      </w:r>
      <w:r>
        <w:rPr>
          <w:rFonts w:cs="Times New Roman"/>
        </w:rPr>
        <w:t xml:space="preserve"> - Malden</w:t>
      </w:r>
      <w:r w:rsidRPr="006F6F21">
        <w:rPr>
          <w:rFonts w:cs="Times New Roman"/>
        </w:rPr>
        <w:t>. </w:t>
      </w:r>
    </w:p>
    <w:p w14:paraId="4919FC8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2013, </w:t>
      </w:r>
      <w:r w:rsidRPr="006F6F21">
        <w:rPr>
          <w:rFonts w:cs="Times New Roman"/>
          <w:i/>
        </w:rPr>
        <w:t>The Meaning of Meat and the Structure of the Odyssey</w:t>
      </w:r>
      <w:r w:rsidRPr="006F6F21">
        <w:rPr>
          <w:rFonts w:cs="Times New Roman"/>
        </w:rPr>
        <w:t>, Cambridge - New York.</w:t>
      </w:r>
    </w:p>
    <w:p w14:paraId="04F8C7F8" w14:textId="77777777" w:rsidR="003B2A46" w:rsidRPr="006F6F21" w:rsidRDefault="003B2A46" w:rsidP="004819D9">
      <w:pPr>
        <w:spacing w:before="100" w:after="100" w:line="300" w:lineRule="exact"/>
        <w:ind w:left="567" w:hanging="567"/>
        <w:rPr>
          <w:rFonts w:cs="Times New Roman"/>
        </w:rPr>
      </w:pPr>
      <w:r w:rsidRPr="006F6F21">
        <w:rPr>
          <w:rFonts w:cs="Times New Roman"/>
        </w:rPr>
        <w:t>Bakker, E. J., and Kahane</w:t>
      </w:r>
      <w:r>
        <w:rPr>
          <w:rFonts w:cs="Times New Roman"/>
        </w:rPr>
        <w:t>, A.</w:t>
      </w:r>
      <w:r w:rsidRPr="006F6F21">
        <w:rPr>
          <w:rFonts w:cs="Times New Roman"/>
        </w:rPr>
        <w:t xml:space="preserve"> (eds.) 1997, </w:t>
      </w:r>
      <w:r w:rsidRPr="006F6F21">
        <w:rPr>
          <w:rFonts w:cs="Times New Roman"/>
          <w:i/>
        </w:rPr>
        <w:t>Written Voices, Spoken Signs: Tradition, Performance, and the Epic Text</w:t>
      </w:r>
      <w:r w:rsidRPr="006F6F21">
        <w:rPr>
          <w:rFonts w:cs="Times New Roman"/>
        </w:rPr>
        <w:t>, Cambridge (MA).</w:t>
      </w:r>
    </w:p>
    <w:p w14:paraId="571C262C" w14:textId="70C8A905" w:rsidR="003B2A46" w:rsidRPr="006F6F21" w:rsidRDefault="003B2A46" w:rsidP="004819D9">
      <w:pPr>
        <w:spacing w:before="100" w:after="100" w:line="300" w:lineRule="exact"/>
        <w:ind w:left="567" w:hanging="567"/>
        <w:rPr>
          <w:rFonts w:cs="Times New Roman"/>
        </w:rPr>
      </w:pPr>
      <w:r w:rsidRPr="006F6F21">
        <w:rPr>
          <w:rFonts w:cs="Times New Roman"/>
        </w:rPr>
        <w:t xml:space="preserve">Baldi, P. 1979, </w:t>
      </w:r>
      <w:r w:rsidR="00CC0615">
        <w:rPr>
          <w:rFonts w:cs="Times New Roman"/>
        </w:rPr>
        <w:t>“</w:t>
      </w:r>
      <w:r w:rsidRPr="006F6F21">
        <w:rPr>
          <w:rFonts w:cs="Times New Roman"/>
        </w:rPr>
        <w:t>Typology and the Indo-European Prepositions,</w:t>
      </w:r>
      <w:r w:rsidR="00CC0615">
        <w:rPr>
          <w:rFonts w:cs="Times New Roman"/>
        </w:rPr>
        <w:t>”</w:t>
      </w:r>
      <w:r w:rsidRPr="006F6F21">
        <w:rPr>
          <w:rFonts w:cs="Times New Roman"/>
        </w:rPr>
        <w:t xml:space="preserve"> </w:t>
      </w:r>
      <w:r w:rsidRPr="006F6F21">
        <w:rPr>
          <w:rFonts w:cs="Times New Roman"/>
          <w:i/>
        </w:rPr>
        <w:t>Indogermanische Forschungen</w:t>
      </w:r>
      <w:r w:rsidR="00E05ADC">
        <w:rPr>
          <w:rFonts w:cs="Times New Roman"/>
          <w:i/>
        </w:rPr>
        <w:t xml:space="preserve"> </w:t>
      </w:r>
      <w:r w:rsidRPr="006F6F21">
        <w:rPr>
          <w:rFonts w:cs="Times New Roman"/>
        </w:rPr>
        <w:t>84: 49-61.</w:t>
      </w:r>
    </w:p>
    <w:p w14:paraId="6DF13ED9" w14:textId="37E13B32" w:rsidR="003B2A46" w:rsidRPr="006F6F21" w:rsidRDefault="003B2A46" w:rsidP="004819D9">
      <w:pPr>
        <w:spacing w:before="100" w:after="100" w:line="300" w:lineRule="exact"/>
        <w:ind w:left="567" w:hanging="567"/>
        <w:rPr>
          <w:rFonts w:cs="Times New Roman"/>
        </w:rPr>
      </w:pPr>
      <w:r w:rsidRPr="006F6F21">
        <w:rPr>
          <w:rFonts w:cs="Times New Roman"/>
        </w:rPr>
        <w:t xml:space="preserve">Barbantani, S. 1993, </w:t>
      </w:r>
      <w:r w:rsidR="00CC0615">
        <w:rPr>
          <w:rFonts w:cs="Times New Roman"/>
        </w:rPr>
        <w:t>“</w:t>
      </w:r>
      <w:r w:rsidRPr="006F6F21">
        <w:rPr>
          <w:rFonts w:cs="Times New Roman"/>
        </w:rPr>
        <w:t>I poeti lirici del canone alessandrino nell</w:t>
      </w:r>
      <w:r w:rsidR="00075F5F">
        <w:rPr>
          <w:rFonts w:cs="Times New Roman"/>
        </w:rPr>
        <w:t>’</w:t>
      </w:r>
      <w:r w:rsidRPr="006F6F21">
        <w:rPr>
          <w:rFonts w:cs="Times New Roman"/>
        </w:rPr>
        <w:t>epigram</w:t>
      </w:r>
      <w:r>
        <w:rPr>
          <w:rFonts w:cs="Times New Roman"/>
        </w:rPr>
        <w:t>mat</w:t>
      </w:r>
      <w:r w:rsidRPr="006F6F21">
        <w:rPr>
          <w:rFonts w:cs="Times New Roman"/>
        </w:rPr>
        <w:t>istica,</w:t>
      </w:r>
      <w:r w:rsidR="00CC0615">
        <w:rPr>
          <w:rFonts w:cs="Times New Roman"/>
        </w:rPr>
        <w:t>”</w:t>
      </w:r>
      <w:r w:rsidRPr="006F6F21">
        <w:rPr>
          <w:rFonts w:cs="Times New Roman"/>
        </w:rPr>
        <w:t xml:space="preserve"> </w:t>
      </w:r>
      <w:r w:rsidRPr="006F6F21">
        <w:rPr>
          <w:rFonts w:cs="Times New Roman"/>
          <w:i/>
        </w:rPr>
        <w:t>Aevum antiquum</w:t>
      </w:r>
      <w:r w:rsidRPr="006F6F21">
        <w:rPr>
          <w:rFonts w:cs="Times New Roman"/>
        </w:rPr>
        <w:t xml:space="preserve"> 6: 5-97.</w:t>
      </w:r>
    </w:p>
    <w:p w14:paraId="5B04F501" w14:textId="1ABB9334" w:rsidR="003B2A46" w:rsidRPr="006F6F21" w:rsidRDefault="003B2A46" w:rsidP="004819D9">
      <w:pPr>
        <w:spacing w:before="100" w:after="100" w:line="300" w:lineRule="exact"/>
        <w:ind w:left="567" w:hanging="567"/>
        <w:rPr>
          <w:rFonts w:cs="Times New Roman"/>
        </w:rPr>
      </w:pPr>
      <w:r w:rsidRPr="006F6F21">
        <w:rPr>
          <w:rFonts w:cs="Times New Roman"/>
        </w:rPr>
        <w:t xml:space="preserve">Barnouw, J. 2004, </w:t>
      </w:r>
      <w:r w:rsidRPr="006F6F21">
        <w:rPr>
          <w:rFonts w:cs="Times New Roman"/>
          <w:i/>
        </w:rPr>
        <w:t>Odysseus, Hero of Practical Intelligence: Deliberation and Signs in Homer</w:t>
      </w:r>
      <w:r w:rsidR="00075F5F">
        <w:rPr>
          <w:rFonts w:cs="Times New Roman"/>
          <w:i/>
        </w:rPr>
        <w:t>’</w:t>
      </w:r>
      <w:r w:rsidRPr="006F6F21">
        <w:rPr>
          <w:rFonts w:cs="Times New Roman"/>
          <w:i/>
        </w:rPr>
        <w:t>s Odyssey</w:t>
      </w:r>
      <w:r w:rsidRPr="006F6F21">
        <w:rPr>
          <w:rFonts w:cs="Times New Roman"/>
        </w:rPr>
        <w:t>, L</w:t>
      </w:r>
      <w:r>
        <w:rPr>
          <w:rFonts w:cs="Times New Roman"/>
        </w:rPr>
        <w:t>a</w:t>
      </w:r>
      <w:r w:rsidRPr="006F6F21">
        <w:rPr>
          <w:rFonts w:cs="Times New Roman"/>
        </w:rPr>
        <w:t>nham.</w:t>
      </w:r>
    </w:p>
    <w:p w14:paraId="68381009" w14:textId="5996F46D" w:rsidR="003B2A46" w:rsidRPr="006F6F21" w:rsidRDefault="003B2A46" w:rsidP="004819D9">
      <w:pPr>
        <w:spacing w:before="100" w:after="100" w:line="300" w:lineRule="exact"/>
        <w:ind w:left="567" w:hanging="567"/>
        <w:rPr>
          <w:rFonts w:cs="Times New Roman"/>
        </w:rPr>
      </w:pPr>
      <w:r w:rsidRPr="006F6F21">
        <w:rPr>
          <w:rFonts w:cs="Times New Roman"/>
        </w:rPr>
        <w:t xml:space="preserve">Bartól, K. 1992a, </w:t>
      </w:r>
      <w:r w:rsidR="00CC0615">
        <w:rPr>
          <w:rFonts w:cs="Times New Roman"/>
        </w:rPr>
        <w:t>“</w:t>
      </w:r>
      <w:r w:rsidRPr="006F6F21">
        <w:rPr>
          <w:rFonts w:cs="Times New Roman"/>
        </w:rPr>
        <w:t>Where was Iambic Poetry Performed? Some Evidence from the Fourth Century BC,</w:t>
      </w:r>
      <w:r w:rsidR="00CC0615">
        <w:rPr>
          <w:rFonts w:cs="Times New Roman"/>
        </w:rPr>
        <w:t>”</w:t>
      </w:r>
      <w:r w:rsidRPr="006F6F21">
        <w:rPr>
          <w:rFonts w:cs="Times New Roman"/>
        </w:rPr>
        <w:t xml:space="preserve"> </w:t>
      </w:r>
      <w:r>
        <w:rPr>
          <w:rFonts w:cs="Times New Roman"/>
          <w:i/>
        </w:rPr>
        <w:t>Classical Quarterly</w:t>
      </w:r>
      <w:r w:rsidRPr="006F6F21">
        <w:rPr>
          <w:rFonts w:cs="Times New Roman"/>
        </w:rPr>
        <w:t xml:space="preserve"> 42: 65-71.</w:t>
      </w:r>
    </w:p>
    <w:p w14:paraId="49CC1FF5" w14:textId="4EB21B2F" w:rsidR="003B2A46" w:rsidRPr="006F6F21" w:rsidRDefault="003B2A46" w:rsidP="004819D9">
      <w:pPr>
        <w:spacing w:before="100" w:after="100" w:line="300" w:lineRule="exact"/>
        <w:ind w:left="567" w:hanging="567"/>
        <w:rPr>
          <w:rFonts w:cs="Times New Roman"/>
        </w:rPr>
      </w:pPr>
      <w:r w:rsidRPr="006F6F21">
        <w:rPr>
          <w:rFonts w:cs="Times New Roman"/>
        </w:rPr>
        <w:t xml:space="preserve">— 1992b, </w:t>
      </w:r>
      <w:r w:rsidR="00CC0615">
        <w:rPr>
          <w:rFonts w:cs="Times New Roman"/>
        </w:rPr>
        <w:t>“</w:t>
      </w:r>
      <w:r w:rsidRPr="006F6F21">
        <w:rPr>
          <w:rFonts w:cs="Times New Roman"/>
        </w:rPr>
        <w:t>How was Iambic Poetry Performed? A Question of Ps.-Plutarch</w:t>
      </w:r>
      <w:r w:rsidR="00075F5F">
        <w:rPr>
          <w:rFonts w:cs="Times New Roman"/>
        </w:rPr>
        <w:t>’</w:t>
      </w:r>
      <w:r w:rsidRPr="006F6F21">
        <w:rPr>
          <w:rFonts w:cs="Times New Roman"/>
        </w:rPr>
        <w:t>s Reliability (</w:t>
      </w:r>
      <w:r w:rsidRPr="006F6F21">
        <w:rPr>
          <w:rFonts w:cs="Times New Roman"/>
          <w:i/>
        </w:rPr>
        <w:t>Mus</w:t>
      </w:r>
      <w:r w:rsidRPr="006F6F21">
        <w:rPr>
          <w:rFonts w:cs="Times New Roman"/>
        </w:rPr>
        <w:t>. 1141a),</w:t>
      </w:r>
      <w:r w:rsidR="00CC0615">
        <w:rPr>
          <w:rFonts w:cs="Times New Roman"/>
        </w:rPr>
        <w:t>”</w:t>
      </w:r>
      <w:r w:rsidRPr="006F6F21">
        <w:rPr>
          <w:rFonts w:cs="Times New Roman"/>
        </w:rPr>
        <w:t xml:space="preserve"> </w:t>
      </w:r>
      <w:r w:rsidRPr="006F6F21">
        <w:rPr>
          <w:rFonts w:cs="Times New Roman"/>
          <w:i/>
        </w:rPr>
        <w:t>Euphrosyne</w:t>
      </w:r>
      <w:r w:rsidRPr="006F6F21">
        <w:rPr>
          <w:rFonts w:cs="Times New Roman"/>
        </w:rPr>
        <w:t xml:space="preserve"> 20: 269-276.</w:t>
      </w:r>
    </w:p>
    <w:p w14:paraId="36F2C90E"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1993, </w:t>
      </w:r>
      <w:r w:rsidRPr="006F6F21">
        <w:rPr>
          <w:rFonts w:cs="Times New Roman"/>
          <w:i/>
        </w:rPr>
        <w:t>Greek Elegy and Iambus: Studies in Ancient Literary Sources</w:t>
      </w:r>
      <w:r w:rsidRPr="006F6F21">
        <w:rPr>
          <w:rFonts w:cs="Times New Roman"/>
        </w:rPr>
        <w:t>, Poznań.</w:t>
      </w:r>
    </w:p>
    <w:p w14:paraId="1B17E9C4" w14:textId="77777777" w:rsidR="003B2A46" w:rsidRDefault="003B2A46" w:rsidP="004819D9">
      <w:pPr>
        <w:spacing w:before="100" w:after="100" w:line="300" w:lineRule="exact"/>
        <w:ind w:left="567" w:hanging="567"/>
        <w:rPr>
          <w:rFonts w:cs="Times New Roman"/>
        </w:rPr>
      </w:pPr>
      <w:r w:rsidRPr="006F6F21">
        <w:rPr>
          <w:rFonts w:cs="Times New Roman"/>
        </w:rPr>
        <w:t xml:space="preserve">Bary, C. 2009, </w:t>
      </w:r>
      <w:r w:rsidRPr="006F6F21">
        <w:rPr>
          <w:rFonts w:cs="Times New Roman"/>
          <w:i/>
        </w:rPr>
        <w:t xml:space="preserve">Aspect in Ancient Greek: </w:t>
      </w:r>
      <w:r>
        <w:rPr>
          <w:rFonts w:cs="Times New Roman"/>
          <w:i/>
        </w:rPr>
        <w:t>A</w:t>
      </w:r>
      <w:r w:rsidRPr="006F6F21">
        <w:rPr>
          <w:rFonts w:cs="Times New Roman"/>
          <w:i/>
        </w:rPr>
        <w:t xml:space="preserve"> </w:t>
      </w:r>
      <w:r>
        <w:rPr>
          <w:rFonts w:cs="Times New Roman"/>
          <w:i/>
        </w:rPr>
        <w:t>S</w:t>
      </w:r>
      <w:r w:rsidRPr="006F6F21">
        <w:rPr>
          <w:rFonts w:cs="Times New Roman"/>
          <w:i/>
        </w:rPr>
        <w:t xml:space="preserve">emantic </w:t>
      </w:r>
      <w:r>
        <w:rPr>
          <w:rFonts w:cs="Times New Roman"/>
          <w:i/>
        </w:rPr>
        <w:t>A</w:t>
      </w:r>
      <w:r w:rsidRPr="006F6F21">
        <w:rPr>
          <w:rFonts w:cs="Times New Roman"/>
          <w:i/>
        </w:rPr>
        <w:t xml:space="preserve">nalysis of the </w:t>
      </w:r>
      <w:r>
        <w:rPr>
          <w:rFonts w:cs="Times New Roman"/>
          <w:i/>
        </w:rPr>
        <w:t>A</w:t>
      </w:r>
      <w:r w:rsidRPr="006F6F21">
        <w:rPr>
          <w:rFonts w:cs="Times New Roman"/>
          <w:i/>
        </w:rPr>
        <w:t xml:space="preserve">orist and </w:t>
      </w:r>
      <w:r>
        <w:rPr>
          <w:rFonts w:cs="Times New Roman"/>
          <w:i/>
        </w:rPr>
        <w:t>I</w:t>
      </w:r>
      <w:r w:rsidRPr="006F6F21">
        <w:rPr>
          <w:rFonts w:cs="Times New Roman"/>
          <w:i/>
        </w:rPr>
        <w:t>mperfective</w:t>
      </w:r>
      <w:r w:rsidRPr="006F6F21">
        <w:rPr>
          <w:rFonts w:cs="Times New Roman"/>
        </w:rPr>
        <w:t xml:space="preserve">, </w:t>
      </w:r>
      <w:r>
        <w:rPr>
          <w:rFonts w:cs="Times New Roman"/>
        </w:rPr>
        <w:t xml:space="preserve">Diss. University of </w:t>
      </w:r>
      <w:r w:rsidRPr="006F6F21">
        <w:rPr>
          <w:rFonts w:cs="Times New Roman"/>
        </w:rPr>
        <w:t>Nijmegen</w:t>
      </w:r>
    </w:p>
    <w:p w14:paraId="7F6FC93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w:t>
      </w:r>
      <w:r>
        <w:rPr>
          <w:rFonts w:cs="Times New Roman"/>
        </w:rPr>
        <w:tab/>
      </w:r>
      <w:r w:rsidRPr="006F6F21">
        <w:rPr>
          <w:rFonts w:cs="Times New Roman"/>
        </w:rPr>
        <w:t xml:space="preserve">http://repository.ubn.ru.nl/bitstream/2066/74432/1/74432.pdf </w:t>
      </w:r>
    </w:p>
    <w:p w14:paraId="7E87019E" w14:textId="18210B23" w:rsidR="003B2A46" w:rsidRPr="006F6F21" w:rsidRDefault="003B2A46" w:rsidP="004819D9">
      <w:pPr>
        <w:spacing w:before="100" w:after="100" w:line="300" w:lineRule="exact"/>
        <w:ind w:left="567" w:hanging="567"/>
        <w:rPr>
          <w:rFonts w:cs="Times New Roman"/>
        </w:rPr>
      </w:pPr>
      <w:r w:rsidRPr="006F6F21">
        <w:rPr>
          <w:rFonts w:cs="Times New Roman"/>
        </w:rPr>
        <w:t xml:space="preserve">Bary, C., and Egg, M. 2012, </w:t>
      </w:r>
      <w:r w:rsidR="00CC0615">
        <w:rPr>
          <w:rFonts w:cs="Times New Roman"/>
        </w:rPr>
        <w:t>“</w:t>
      </w:r>
      <w:r w:rsidRPr="006F6F21">
        <w:rPr>
          <w:rFonts w:cs="Times New Roman"/>
        </w:rPr>
        <w:t xml:space="preserve">Variety in Ancient Greek </w:t>
      </w:r>
      <w:r>
        <w:rPr>
          <w:rFonts w:cs="Times New Roman"/>
        </w:rPr>
        <w:t>A</w:t>
      </w:r>
      <w:r w:rsidRPr="006F6F21">
        <w:rPr>
          <w:rFonts w:cs="Times New Roman"/>
        </w:rPr>
        <w:t xml:space="preserve">spect </w:t>
      </w:r>
      <w:r>
        <w:rPr>
          <w:rFonts w:cs="Times New Roman"/>
        </w:rPr>
        <w:t>I</w:t>
      </w:r>
      <w:r w:rsidRPr="006F6F21">
        <w:rPr>
          <w:rFonts w:cs="Times New Roman"/>
        </w:rPr>
        <w:t>nterpretation,</w:t>
      </w:r>
      <w:r w:rsidR="00CC0615">
        <w:rPr>
          <w:rFonts w:cs="Times New Roman"/>
        </w:rPr>
        <w:t>”</w:t>
      </w:r>
      <w:r w:rsidRPr="006F6F21">
        <w:rPr>
          <w:rFonts w:cs="Times New Roman"/>
        </w:rPr>
        <w:t xml:space="preserve"> </w:t>
      </w:r>
      <w:r w:rsidRPr="006F6F21">
        <w:rPr>
          <w:rFonts w:cs="Times New Roman"/>
          <w:i/>
        </w:rPr>
        <w:t>Linguist</w:t>
      </w:r>
      <w:r>
        <w:rPr>
          <w:rFonts w:cs="Times New Roman"/>
          <w:i/>
        </w:rPr>
        <w:t>ics</w:t>
      </w:r>
      <w:r w:rsidRPr="006F6F21">
        <w:rPr>
          <w:rFonts w:cs="Times New Roman"/>
          <w:i/>
        </w:rPr>
        <w:t xml:space="preserve"> and Philos</w:t>
      </w:r>
      <w:r>
        <w:rPr>
          <w:rFonts w:cs="Times New Roman"/>
          <w:i/>
        </w:rPr>
        <w:t>ophy</w:t>
      </w:r>
      <w:r w:rsidRPr="006F6F21">
        <w:rPr>
          <w:rFonts w:cs="Times New Roman"/>
        </w:rPr>
        <w:t xml:space="preserve"> 35: 111-134.</w:t>
      </w:r>
    </w:p>
    <w:p w14:paraId="1C5604E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Basset, L. 1979, </w:t>
      </w:r>
      <w:r w:rsidRPr="006F6F21">
        <w:rPr>
          <w:rFonts w:cs="Times New Roman"/>
          <w:i/>
        </w:rPr>
        <w:t>Les emplois périphrastiqu</w:t>
      </w:r>
      <w:r>
        <w:rPr>
          <w:rFonts w:cs="Times New Roman"/>
          <w:i/>
        </w:rPr>
        <w:t>es</w:t>
      </w:r>
      <w:r w:rsidRPr="006F6F21">
        <w:rPr>
          <w:rFonts w:cs="Times New Roman"/>
          <w:i/>
        </w:rPr>
        <w:t xml:space="preserve"> du ver</w:t>
      </w:r>
      <w:r>
        <w:rPr>
          <w:rFonts w:cs="Times New Roman"/>
          <w:i/>
        </w:rPr>
        <w:t>be</w:t>
      </w:r>
      <w:r w:rsidRPr="006F6F21">
        <w:rPr>
          <w:rFonts w:cs="Times New Roman"/>
          <w:i/>
        </w:rPr>
        <w:t xml:space="preserve"> grec </w:t>
      </w:r>
      <w:r w:rsidRPr="006F6F21">
        <w:rPr>
          <w:rFonts w:cs="Times New Roman"/>
          <w:i/>
          <w:lang w:val="el-GR"/>
        </w:rPr>
        <w:t>μέλλειν</w:t>
      </w:r>
      <w:r>
        <w:rPr>
          <w:rFonts w:cs="Times New Roman"/>
          <w:i/>
        </w:rPr>
        <w:t>: é</w:t>
      </w:r>
      <w:r w:rsidRPr="006F6F21">
        <w:rPr>
          <w:rFonts w:cs="Times New Roman"/>
          <w:i/>
        </w:rPr>
        <w:t>tude</w:t>
      </w:r>
      <w:r>
        <w:rPr>
          <w:rFonts w:cs="Times New Roman"/>
          <w:i/>
        </w:rPr>
        <w:t xml:space="preserve"> </w:t>
      </w:r>
      <w:r w:rsidRPr="006F6F21">
        <w:rPr>
          <w:rFonts w:cs="Times New Roman"/>
          <w:i/>
        </w:rPr>
        <w:t>de linguistique grecque et essai de linguistique générale</w:t>
      </w:r>
      <w:r w:rsidRPr="006F6F21">
        <w:rPr>
          <w:rFonts w:cs="Times New Roman"/>
        </w:rPr>
        <w:t xml:space="preserve">, Lyon. </w:t>
      </w:r>
    </w:p>
    <w:p w14:paraId="2B071186" w14:textId="1CEA5045" w:rsidR="003B2A46" w:rsidRPr="006F6F21" w:rsidRDefault="003B2A46" w:rsidP="004819D9">
      <w:pPr>
        <w:spacing w:before="100" w:after="100" w:line="300" w:lineRule="exact"/>
        <w:ind w:left="567" w:hanging="567"/>
        <w:rPr>
          <w:rFonts w:cs="Times New Roman"/>
        </w:rPr>
      </w:pPr>
      <w:r w:rsidRPr="006F6F21">
        <w:rPr>
          <w:rFonts w:cs="Times New Roman"/>
        </w:rPr>
        <w:t xml:space="preserve">— 1989, </w:t>
      </w:r>
      <w:r w:rsidR="00CC0615">
        <w:rPr>
          <w:rFonts w:cs="Times New Roman"/>
        </w:rPr>
        <w:t>“</w:t>
      </w:r>
      <w:r w:rsidRPr="006F6F21">
        <w:rPr>
          <w:rFonts w:cs="Times New Roman"/>
        </w:rPr>
        <w:t>L</w:t>
      </w:r>
      <w:r w:rsidR="00075F5F">
        <w:rPr>
          <w:rFonts w:cs="Times New Roman"/>
        </w:rPr>
        <w:t>’</w:t>
      </w:r>
      <w:r w:rsidRPr="006F6F21">
        <w:rPr>
          <w:rFonts w:cs="Times New Roman"/>
        </w:rPr>
        <w:t>augment et la distinction discours / récit dans l</w:t>
      </w:r>
      <w:r w:rsidR="00075F5F">
        <w:rPr>
          <w:rFonts w:cs="Times New Roman"/>
        </w:rPr>
        <w:t>’</w:t>
      </w:r>
      <w:r w:rsidRPr="00AF6182">
        <w:rPr>
          <w:rFonts w:cs="Times New Roman"/>
          <w:i/>
        </w:rPr>
        <w:t>Iliade</w:t>
      </w:r>
      <w:r w:rsidRPr="006F6F21">
        <w:rPr>
          <w:rFonts w:cs="Times New Roman"/>
        </w:rPr>
        <w:t xml:space="preserve"> et l</w:t>
      </w:r>
      <w:r w:rsidR="00075F5F">
        <w:rPr>
          <w:rFonts w:cs="Times New Roman"/>
        </w:rPr>
        <w:t>’</w:t>
      </w:r>
      <w:r w:rsidRPr="00AF6182">
        <w:rPr>
          <w:rFonts w:cs="Times New Roman"/>
          <w:i/>
        </w:rPr>
        <w:t>Odyssée</w:t>
      </w:r>
      <w:r w:rsidRPr="006F6F21">
        <w:rPr>
          <w:rFonts w:cs="Times New Roman"/>
        </w:rPr>
        <w:t>,</w:t>
      </w:r>
      <w:r w:rsidR="00CC0615">
        <w:rPr>
          <w:rFonts w:cs="Times New Roman"/>
        </w:rPr>
        <w:t>”</w:t>
      </w:r>
      <w:r w:rsidRPr="006F6F21">
        <w:rPr>
          <w:rFonts w:cs="Times New Roman"/>
        </w:rPr>
        <w:t xml:space="preserve"> in </w:t>
      </w:r>
      <w:r w:rsidRPr="00AF6182">
        <w:rPr>
          <w:rFonts w:cs="Times New Roman"/>
        </w:rPr>
        <w:t>Michel Casevitz (ed.),</w:t>
      </w:r>
      <w:r>
        <w:rPr>
          <w:rFonts w:cs="Times New Roman"/>
          <w:i/>
        </w:rPr>
        <w:t xml:space="preserve"> </w:t>
      </w:r>
      <w:r w:rsidRPr="006F6F21">
        <w:rPr>
          <w:rFonts w:cs="Times New Roman"/>
          <w:i/>
        </w:rPr>
        <w:t>Études homeriques</w:t>
      </w:r>
      <w:r w:rsidRPr="006F6F21">
        <w:rPr>
          <w:rFonts w:cs="Times New Roman"/>
        </w:rPr>
        <w:t>, Lyon: 9-16.</w:t>
      </w:r>
    </w:p>
    <w:p w14:paraId="493801F8" w14:textId="4591BCD0" w:rsidR="003B2A46" w:rsidRDefault="003B2A46" w:rsidP="004819D9">
      <w:pPr>
        <w:spacing w:before="100" w:after="100" w:line="300" w:lineRule="exact"/>
        <w:ind w:left="567" w:hanging="567"/>
        <w:rPr>
          <w:rFonts w:cs="Times New Roman"/>
        </w:rPr>
      </w:pPr>
      <w:r w:rsidRPr="006F6F21">
        <w:rPr>
          <w:rFonts w:cs="Times New Roman"/>
        </w:rPr>
        <w:t xml:space="preserve">Bauman, R., and Briggs, C. L. 1990, </w:t>
      </w:r>
      <w:r w:rsidR="00CC0615">
        <w:rPr>
          <w:rFonts w:cs="Times New Roman"/>
        </w:rPr>
        <w:t>“</w:t>
      </w:r>
      <w:r w:rsidRPr="006F6F21">
        <w:rPr>
          <w:rFonts w:cs="Times New Roman"/>
        </w:rPr>
        <w:t>Poetics and Performance as Critical Perspectives on Language and Social Life,</w:t>
      </w:r>
      <w:r w:rsidR="00CC0615">
        <w:rPr>
          <w:rFonts w:cs="Times New Roman"/>
        </w:rPr>
        <w:t>”</w:t>
      </w:r>
      <w:r w:rsidRPr="006F6F21">
        <w:rPr>
          <w:rFonts w:cs="Times New Roman"/>
        </w:rPr>
        <w:t xml:space="preserve"> </w:t>
      </w:r>
      <w:r w:rsidRPr="006F6F21">
        <w:rPr>
          <w:rFonts w:cs="Times New Roman"/>
          <w:i/>
        </w:rPr>
        <w:t>Annual Review of Anthropology</w:t>
      </w:r>
      <w:r w:rsidRPr="006F6F21">
        <w:rPr>
          <w:rFonts w:cs="Times New Roman"/>
        </w:rPr>
        <w:t xml:space="preserve"> 19: 59-88.</w:t>
      </w:r>
    </w:p>
    <w:p w14:paraId="04B05B18" w14:textId="3176ECF9" w:rsidR="003B2A46" w:rsidRDefault="003B2A46" w:rsidP="004819D9">
      <w:pPr>
        <w:spacing w:before="100" w:after="100" w:line="300" w:lineRule="exact"/>
        <w:ind w:left="567" w:hanging="567"/>
        <w:rPr>
          <w:rFonts w:cs="Times New Roman"/>
        </w:rPr>
      </w:pPr>
      <w:r>
        <w:rPr>
          <w:rFonts w:cs="Times New Roman"/>
        </w:rPr>
        <w:lastRenderedPageBreak/>
        <w:t xml:space="preserve">Beekes, R. S. P. 2003, </w:t>
      </w:r>
      <w:r w:rsidR="00CC0615">
        <w:rPr>
          <w:rFonts w:cs="Times New Roman"/>
        </w:rPr>
        <w:t>“</w:t>
      </w:r>
      <w:r>
        <w:rPr>
          <w:rFonts w:cs="Times New Roman"/>
        </w:rPr>
        <w:t>Luwians and Lydians,</w:t>
      </w:r>
      <w:r w:rsidR="00CC0615">
        <w:rPr>
          <w:rFonts w:cs="Times New Roman"/>
        </w:rPr>
        <w:t>”</w:t>
      </w:r>
      <w:r>
        <w:rPr>
          <w:rFonts w:cs="Times New Roman"/>
        </w:rPr>
        <w:t xml:space="preserve"> </w:t>
      </w:r>
      <w:r w:rsidRPr="006B7426">
        <w:rPr>
          <w:rFonts w:cs="Times New Roman"/>
          <w:i/>
        </w:rPr>
        <w:t>Kadmos</w:t>
      </w:r>
      <w:r>
        <w:rPr>
          <w:rFonts w:cs="Times New Roman"/>
        </w:rPr>
        <w:t xml:space="preserve"> 42: 4-7.</w:t>
      </w:r>
    </w:p>
    <w:p w14:paraId="7CA34C95" w14:textId="031E28D8" w:rsidR="003B2A46" w:rsidRPr="002F1E35" w:rsidRDefault="003B2A46" w:rsidP="004819D9">
      <w:pPr>
        <w:spacing w:before="100" w:after="100" w:line="300" w:lineRule="exact"/>
        <w:ind w:left="567" w:hanging="567"/>
        <w:rPr>
          <w:rFonts w:cs="Times New Roman"/>
        </w:rPr>
      </w:pPr>
      <w:r w:rsidRPr="00633D32">
        <w:rPr>
          <w:rFonts w:cs="Times New Roman"/>
        </w:rPr>
        <w:t>—</w:t>
      </w:r>
      <w:r>
        <w:rPr>
          <w:rFonts w:cs="Times New Roman"/>
        </w:rPr>
        <w:t xml:space="preserve"> </w:t>
      </w:r>
      <w:r w:rsidRPr="00AF6182">
        <w:rPr>
          <w:rFonts w:cs="Times New Roman"/>
        </w:rPr>
        <w:t xml:space="preserve">2004, </w:t>
      </w:r>
      <w:r w:rsidR="00CC0615">
        <w:rPr>
          <w:rFonts w:cs="Times New Roman"/>
        </w:rPr>
        <w:t>“</w:t>
      </w:r>
      <w:r w:rsidRPr="00AF6182">
        <w:rPr>
          <w:rFonts w:cs="Times New Roman"/>
        </w:rPr>
        <w:t>The Origin of the Kabeiroi,</w:t>
      </w:r>
      <w:r w:rsidR="00CC0615">
        <w:rPr>
          <w:rFonts w:cs="Times New Roman"/>
        </w:rPr>
        <w:t>”</w:t>
      </w:r>
      <w:r w:rsidRPr="00AF6182">
        <w:rPr>
          <w:rFonts w:cs="Times New Roman"/>
        </w:rPr>
        <w:t xml:space="preserve"> </w:t>
      </w:r>
      <w:r w:rsidRPr="006B7426">
        <w:rPr>
          <w:rFonts w:cs="Times New Roman"/>
          <w:i/>
        </w:rPr>
        <w:t>Mnemosyne</w:t>
      </w:r>
      <w:r w:rsidRPr="00AF6182">
        <w:rPr>
          <w:rFonts w:cs="Times New Roman"/>
        </w:rPr>
        <w:t xml:space="preserve"> 57</w:t>
      </w:r>
      <w:r w:rsidRPr="002F1E35">
        <w:rPr>
          <w:rFonts w:cs="Times New Roman"/>
        </w:rPr>
        <w:t>: 465-477.</w:t>
      </w:r>
    </w:p>
    <w:p w14:paraId="1FBDD80F" w14:textId="77777777" w:rsidR="003B2A46" w:rsidRPr="00633D32" w:rsidRDefault="003B2A46" w:rsidP="004819D9">
      <w:pPr>
        <w:spacing w:before="100" w:after="100" w:line="300" w:lineRule="exact"/>
        <w:ind w:left="567" w:hanging="567"/>
      </w:pPr>
      <w:r w:rsidRPr="006F6F21">
        <w:rPr>
          <w:rFonts w:cs="Times New Roman"/>
        </w:rPr>
        <w:t>—</w:t>
      </w:r>
      <w:r>
        <w:rPr>
          <w:rFonts w:cs="Times New Roman"/>
        </w:rPr>
        <w:t xml:space="preserve"> 2010, </w:t>
      </w:r>
      <w:r w:rsidRPr="006B7426">
        <w:rPr>
          <w:rFonts w:cs="Times New Roman"/>
          <w:i/>
        </w:rPr>
        <w:t>Etymological Dictionary of Greek</w:t>
      </w:r>
      <w:r>
        <w:rPr>
          <w:rFonts w:cs="Times New Roman"/>
        </w:rPr>
        <w:t xml:space="preserve"> (2 vols.), Leiden - </w:t>
      </w:r>
      <w:r w:rsidRPr="001743E3">
        <w:rPr>
          <w:rFonts w:cs="Times New Roman"/>
        </w:rPr>
        <w:t>Boston.</w:t>
      </w:r>
    </w:p>
    <w:p w14:paraId="51166887" w14:textId="7DB3BFE3" w:rsidR="003B2A46" w:rsidRPr="006F6F21" w:rsidRDefault="003B2A46" w:rsidP="004819D9">
      <w:pPr>
        <w:spacing w:before="100" w:after="100" w:line="300" w:lineRule="exact"/>
        <w:ind w:left="567" w:hanging="567"/>
        <w:rPr>
          <w:rFonts w:cs="Times New Roman"/>
        </w:rPr>
      </w:pPr>
      <w:r w:rsidRPr="006F6F21">
        <w:rPr>
          <w:rFonts w:cs="Times New Roman"/>
        </w:rPr>
        <w:t xml:space="preserve">Bellocchi, M. 2008, </w:t>
      </w:r>
      <w:r w:rsidR="00CC0615">
        <w:rPr>
          <w:rFonts w:cs="Times New Roman"/>
        </w:rPr>
        <w:t>“</w:t>
      </w:r>
      <w:r w:rsidRPr="006F6F21">
        <w:rPr>
          <w:rFonts w:cs="Times New Roman"/>
        </w:rPr>
        <w:t>Epicarmo e la commedia attica antica,</w:t>
      </w:r>
      <w:r w:rsidR="00CC0615">
        <w:rPr>
          <w:rFonts w:cs="Times New Roman"/>
        </w:rPr>
        <w:t>”</w:t>
      </w:r>
      <w:r w:rsidRPr="006F6F21">
        <w:rPr>
          <w:rFonts w:cs="Times New Roman"/>
        </w:rPr>
        <w:t xml:space="preserve"> in A. C. Cassio (ed.), </w:t>
      </w:r>
      <w:r w:rsidRPr="00AF6182">
        <w:rPr>
          <w:rFonts w:cs="Times New Roman"/>
          <w:i/>
        </w:rPr>
        <w:t>Storia delle lingue letterarie greche</w:t>
      </w:r>
      <w:r w:rsidRPr="006F6F21">
        <w:rPr>
          <w:rFonts w:cs="Times New Roman"/>
        </w:rPr>
        <w:t>, Milan: 260-291.</w:t>
      </w:r>
    </w:p>
    <w:p w14:paraId="63B4DBE8" w14:textId="77777777" w:rsidR="003B2A46" w:rsidRPr="006F6F21" w:rsidRDefault="003B2A46" w:rsidP="004819D9">
      <w:pPr>
        <w:spacing w:before="100" w:after="100" w:line="300" w:lineRule="exact"/>
        <w:ind w:left="567" w:hanging="567"/>
        <w:rPr>
          <w:rFonts w:cs="Times New Roman"/>
          <w:color w:val="262626"/>
        </w:rPr>
      </w:pPr>
      <w:r w:rsidRPr="006F6F21">
        <w:rPr>
          <w:rFonts w:cs="Times New Roman"/>
          <w:bCs/>
          <w:color w:val="262626"/>
        </w:rPr>
        <w:t>Benveniste</w:t>
      </w:r>
      <w:r w:rsidRPr="006F6F21">
        <w:rPr>
          <w:rFonts w:cs="Times New Roman"/>
          <w:color w:val="262626"/>
        </w:rPr>
        <w:t xml:space="preserve">, E. 1966, </w:t>
      </w:r>
      <w:r w:rsidRPr="006F6F21">
        <w:rPr>
          <w:rFonts w:cs="Times New Roman"/>
          <w:i/>
          <w:color w:val="262626"/>
        </w:rPr>
        <w:t xml:space="preserve">Problèmes de linguistique générale, </w:t>
      </w:r>
      <w:r w:rsidRPr="006F6F21">
        <w:rPr>
          <w:rFonts w:cs="Times New Roman"/>
          <w:color w:val="262626"/>
        </w:rPr>
        <w:t>tome 1, Paris.</w:t>
      </w:r>
    </w:p>
    <w:p w14:paraId="2C653D75" w14:textId="77777777" w:rsidR="003B2A46" w:rsidRPr="006F6F21" w:rsidRDefault="003B2A46" w:rsidP="004819D9">
      <w:pPr>
        <w:spacing w:before="100" w:after="100" w:line="300" w:lineRule="exact"/>
        <w:ind w:left="567" w:hanging="567"/>
        <w:rPr>
          <w:rFonts w:cs="Times New Roman"/>
          <w:color w:val="262626"/>
        </w:rPr>
      </w:pPr>
      <w:r w:rsidRPr="006F6F21">
        <w:rPr>
          <w:rFonts w:cs="Times New Roman"/>
        </w:rPr>
        <w:t xml:space="preserve">— 1971, </w:t>
      </w:r>
      <w:r w:rsidRPr="006F6F21">
        <w:rPr>
          <w:rFonts w:cs="Times New Roman"/>
          <w:i/>
        </w:rPr>
        <w:t>Problems in General Linguistics</w:t>
      </w:r>
      <w:r w:rsidRPr="006F6F21">
        <w:rPr>
          <w:rFonts w:cs="Times New Roman"/>
        </w:rPr>
        <w:t>, Coral Gables.</w:t>
      </w:r>
    </w:p>
    <w:p w14:paraId="42F373BE" w14:textId="77777777" w:rsidR="003B2A46" w:rsidRPr="006F6F21" w:rsidRDefault="003B2A46" w:rsidP="004819D9">
      <w:pPr>
        <w:spacing w:before="100" w:after="100" w:line="300" w:lineRule="exact"/>
        <w:ind w:left="567" w:hanging="567"/>
        <w:rPr>
          <w:rFonts w:cs="Times New Roman"/>
          <w:color w:val="262626"/>
        </w:rPr>
      </w:pPr>
      <w:r w:rsidRPr="006F6F21">
        <w:rPr>
          <w:rFonts w:cs="Times New Roman"/>
        </w:rPr>
        <w:t xml:space="preserve">— 1974, </w:t>
      </w:r>
      <w:r w:rsidRPr="006F6F21">
        <w:rPr>
          <w:rFonts w:cs="Times New Roman"/>
          <w:i/>
          <w:color w:val="262626"/>
        </w:rPr>
        <w:t xml:space="preserve">Problèmes de linguistique générale, </w:t>
      </w:r>
      <w:r w:rsidRPr="006F6F21">
        <w:rPr>
          <w:rFonts w:cs="Times New Roman"/>
          <w:color w:val="262626"/>
        </w:rPr>
        <w:t>tome 2, Paris.</w:t>
      </w:r>
    </w:p>
    <w:p w14:paraId="10AC0962" w14:textId="1C2DA215" w:rsidR="003B2A46" w:rsidRPr="006F6F21" w:rsidRDefault="003B2A46" w:rsidP="004819D9">
      <w:pPr>
        <w:spacing w:before="100" w:after="100" w:line="300" w:lineRule="exact"/>
        <w:ind w:left="567" w:hanging="567"/>
        <w:rPr>
          <w:rFonts w:cs="Times New Roman"/>
          <w:bCs/>
          <w:color w:val="262626"/>
        </w:rPr>
      </w:pPr>
      <w:r w:rsidRPr="006F6F21">
        <w:rPr>
          <w:rFonts w:cs="Times New Roman"/>
        </w:rPr>
        <w:t xml:space="preserve">Bernardelli, A. 2010, </w:t>
      </w:r>
      <w:r w:rsidR="00CC0615">
        <w:rPr>
          <w:rFonts w:cs="Times New Roman"/>
        </w:rPr>
        <w:t>“</w:t>
      </w:r>
      <w:r w:rsidRPr="006F6F21">
        <w:rPr>
          <w:rFonts w:cs="Times New Roman"/>
        </w:rPr>
        <w:t>Il concetto di intertestualità,</w:t>
      </w:r>
      <w:r w:rsidR="00CC0615">
        <w:rPr>
          <w:rFonts w:cs="Times New Roman"/>
        </w:rPr>
        <w:t>”</w:t>
      </w:r>
      <w:r w:rsidRPr="006F6F21">
        <w:rPr>
          <w:rFonts w:cs="Times New Roman"/>
        </w:rPr>
        <w:t xml:space="preserve"> in A. Bernardelli (ed.), </w:t>
      </w:r>
      <w:r w:rsidRPr="006F6F21">
        <w:rPr>
          <w:rFonts w:cs="Times New Roman"/>
          <w:bCs/>
          <w:i/>
          <w:color w:val="262626"/>
        </w:rPr>
        <w:t>La rete intertestuale: percorsi tra testi, discorsi e immagini</w:t>
      </w:r>
      <w:r w:rsidRPr="006F6F21">
        <w:rPr>
          <w:rFonts w:cs="Times New Roman"/>
          <w:bCs/>
          <w:color w:val="262626"/>
        </w:rPr>
        <w:t>, Perugia: 9-62.</w:t>
      </w:r>
    </w:p>
    <w:p w14:paraId="32F0A169" w14:textId="58ED0F2F" w:rsidR="003B2A46" w:rsidRPr="006F6F21" w:rsidRDefault="003B2A46" w:rsidP="004819D9">
      <w:pPr>
        <w:spacing w:before="100" w:after="100" w:line="300" w:lineRule="exact"/>
        <w:ind w:left="567" w:hanging="567"/>
        <w:rPr>
          <w:rFonts w:cs="Times New Roman"/>
          <w:bCs/>
          <w:color w:val="262626"/>
        </w:rPr>
      </w:pPr>
      <w:r w:rsidRPr="006F6F21">
        <w:rPr>
          <w:rFonts w:cs="Times New Roman"/>
        </w:rPr>
        <w:t xml:space="preserve">Bertrand, N. 2014, </w:t>
      </w:r>
      <w:r w:rsidR="00CC0615">
        <w:rPr>
          <w:rFonts w:cs="Times New Roman"/>
        </w:rPr>
        <w:t>“</w:t>
      </w:r>
      <w:r w:rsidRPr="006F6F21">
        <w:rPr>
          <w:rFonts w:cs="Times New Roman"/>
        </w:rPr>
        <w:t xml:space="preserve">On </w:t>
      </w:r>
      <w:r>
        <w:rPr>
          <w:rFonts w:cs="Times New Roman"/>
        </w:rPr>
        <w:t>T</w:t>
      </w:r>
      <w:r w:rsidRPr="006F6F21">
        <w:rPr>
          <w:rFonts w:cs="Times New Roman"/>
        </w:rPr>
        <w:t xml:space="preserve">mesis, </w:t>
      </w:r>
      <w:r>
        <w:rPr>
          <w:rFonts w:cs="Times New Roman"/>
        </w:rPr>
        <w:t>W</w:t>
      </w:r>
      <w:r w:rsidRPr="006F6F21">
        <w:rPr>
          <w:rFonts w:cs="Times New Roman"/>
        </w:rPr>
        <w:t xml:space="preserve">ord </w:t>
      </w:r>
      <w:r>
        <w:rPr>
          <w:rFonts w:cs="Times New Roman"/>
        </w:rPr>
        <w:t>O</w:t>
      </w:r>
      <w:r w:rsidRPr="006F6F21">
        <w:rPr>
          <w:rFonts w:cs="Times New Roman"/>
        </w:rPr>
        <w:t xml:space="preserve">rder, and </w:t>
      </w:r>
      <w:r>
        <w:rPr>
          <w:rFonts w:cs="Times New Roman"/>
        </w:rPr>
        <w:t>N</w:t>
      </w:r>
      <w:r w:rsidRPr="006F6F21">
        <w:rPr>
          <w:rFonts w:cs="Times New Roman"/>
        </w:rPr>
        <w:t xml:space="preserve">oun </w:t>
      </w:r>
      <w:r>
        <w:rPr>
          <w:rFonts w:cs="Times New Roman"/>
        </w:rPr>
        <w:t>I</w:t>
      </w:r>
      <w:r w:rsidRPr="006F6F21">
        <w:rPr>
          <w:rFonts w:cs="Times New Roman"/>
        </w:rPr>
        <w:t>ncorporation in Homeric Greek,</w:t>
      </w:r>
      <w:r w:rsidR="00CC0615">
        <w:rPr>
          <w:rFonts w:cs="Times New Roman"/>
        </w:rPr>
        <w:t>”</w:t>
      </w:r>
      <w:r>
        <w:rPr>
          <w:rFonts w:cs="Times New Roman"/>
        </w:rPr>
        <w:t xml:space="preserve"> </w:t>
      </w:r>
      <w:r w:rsidRPr="006F6F21">
        <w:rPr>
          <w:rFonts w:cs="Times New Roman"/>
        </w:rPr>
        <w:t xml:space="preserve">in A. Bartolotta (ed.), </w:t>
      </w:r>
      <w:r w:rsidRPr="006F6F21">
        <w:rPr>
          <w:rFonts w:cs="Times New Roman"/>
          <w:i/>
        </w:rPr>
        <w:t>The Greek Verb: Morphology, Syntax, and Sem</w:t>
      </w:r>
      <w:r>
        <w:rPr>
          <w:rFonts w:cs="Times New Roman"/>
          <w:i/>
        </w:rPr>
        <w:t>an</w:t>
      </w:r>
      <w:r w:rsidRPr="006F6F21">
        <w:rPr>
          <w:rFonts w:cs="Times New Roman"/>
          <w:i/>
        </w:rPr>
        <w:t>tics</w:t>
      </w:r>
      <w:r w:rsidRPr="006F6F21">
        <w:rPr>
          <w:rFonts w:cs="Times New Roman"/>
        </w:rPr>
        <w:t>, Louvain-</w:t>
      </w:r>
      <w:r>
        <w:rPr>
          <w:rFonts w:cs="Times New Roman"/>
        </w:rPr>
        <w:t>l</w:t>
      </w:r>
      <w:r w:rsidRPr="006F6F21">
        <w:rPr>
          <w:rFonts w:cs="Times New Roman"/>
        </w:rPr>
        <w:t>a-Neuve - Walpole (MA): 11-30.</w:t>
      </w:r>
    </w:p>
    <w:p w14:paraId="546D047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Bing, P. 1988a, </w:t>
      </w:r>
      <w:r w:rsidRPr="006F6F21">
        <w:rPr>
          <w:rFonts w:cs="Times New Roman"/>
          <w:i/>
        </w:rPr>
        <w:t>The Well-Read Muse: Past and Present in Callimachus and the Hellenistic Poets</w:t>
      </w:r>
      <w:r w:rsidRPr="006F6F21">
        <w:rPr>
          <w:rFonts w:cs="Times New Roman"/>
        </w:rPr>
        <w:t>, Göttingen (</w:t>
      </w:r>
      <w:r>
        <w:rPr>
          <w:rFonts w:cs="Times New Roman"/>
        </w:rPr>
        <w:t xml:space="preserve">reprinted </w:t>
      </w:r>
      <w:r w:rsidRPr="006F6F21">
        <w:rPr>
          <w:rFonts w:cs="Times New Roman"/>
        </w:rPr>
        <w:t>Ann Arbor</w:t>
      </w:r>
      <w:r>
        <w:rPr>
          <w:rFonts w:cs="Times New Roman"/>
        </w:rPr>
        <w:t xml:space="preserve"> 2008</w:t>
      </w:r>
      <w:r w:rsidRPr="006F6F21">
        <w:rPr>
          <w:rFonts w:cs="Times New Roman"/>
        </w:rPr>
        <w:t>).</w:t>
      </w:r>
    </w:p>
    <w:p w14:paraId="7550784E" w14:textId="627F92A7" w:rsidR="003B2A46" w:rsidRPr="006F6F21" w:rsidRDefault="003B2A46" w:rsidP="004819D9">
      <w:pPr>
        <w:spacing w:before="100" w:after="100" w:line="300" w:lineRule="exact"/>
        <w:ind w:left="567" w:hanging="567"/>
        <w:rPr>
          <w:rFonts w:cs="Times New Roman"/>
        </w:rPr>
      </w:pPr>
      <w:r w:rsidRPr="006F6F21">
        <w:rPr>
          <w:rFonts w:cs="Times New Roman"/>
        </w:rPr>
        <w:t xml:space="preserve">— 1988b, </w:t>
      </w:r>
      <w:r w:rsidR="00CC0615">
        <w:rPr>
          <w:rFonts w:cs="Times New Roman"/>
        </w:rPr>
        <w:t>“</w:t>
      </w:r>
      <w:r w:rsidRPr="006F6F21">
        <w:rPr>
          <w:rFonts w:cs="Times New Roman"/>
        </w:rPr>
        <w:t>Theocritus</w:t>
      </w:r>
      <w:r w:rsidR="00075F5F">
        <w:rPr>
          <w:rFonts w:cs="Times New Roman"/>
        </w:rPr>
        <w:t>’</w:t>
      </w:r>
      <w:r w:rsidRPr="006F6F21">
        <w:rPr>
          <w:rFonts w:cs="Times New Roman"/>
        </w:rPr>
        <w:t xml:space="preserve"> Epigrams on the Statues of Ancient Poets,</w:t>
      </w:r>
      <w:r w:rsidR="00CC0615">
        <w:rPr>
          <w:rFonts w:cs="Times New Roman"/>
        </w:rPr>
        <w:t>”</w:t>
      </w:r>
      <w:r w:rsidRPr="006F6F21">
        <w:rPr>
          <w:rFonts w:cs="Times New Roman"/>
        </w:rPr>
        <w:t xml:space="preserve"> </w:t>
      </w:r>
      <w:r>
        <w:rPr>
          <w:rFonts w:cs="Times New Roman"/>
          <w:i/>
        </w:rPr>
        <w:t>Antike und Abendland</w:t>
      </w:r>
      <w:r w:rsidRPr="006F6F21">
        <w:rPr>
          <w:rFonts w:cs="Times New Roman"/>
        </w:rPr>
        <w:t xml:space="preserve"> 34: 117-123.</w:t>
      </w:r>
    </w:p>
    <w:p w14:paraId="2B2441F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Blakely, S. 2006, </w:t>
      </w:r>
      <w:r w:rsidRPr="006F6F21">
        <w:rPr>
          <w:rFonts w:cs="Times New Roman"/>
          <w:i/>
        </w:rPr>
        <w:t>Myth, Ritual, and Metallurgy in Ancient Greece and Recent Africa</w:t>
      </w:r>
      <w:r w:rsidRPr="006F6F21">
        <w:rPr>
          <w:rFonts w:cs="Times New Roman"/>
        </w:rPr>
        <w:t>, Cambridge.</w:t>
      </w:r>
    </w:p>
    <w:p w14:paraId="2902B343"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Blass, F., and Debrunner, A. 1896, </w:t>
      </w:r>
      <w:r w:rsidRPr="007F1E99">
        <w:rPr>
          <w:rFonts w:cs="Times New Roman"/>
          <w:i/>
          <w:lang w:val="nl-NL"/>
        </w:rPr>
        <w:t>Grammatik des neutestamentlichen Griechisch</w:t>
      </w:r>
      <w:r w:rsidRPr="007F1E99">
        <w:rPr>
          <w:rFonts w:cs="Times New Roman"/>
          <w:lang w:val="nl-NL"/>
        </w:rPr>
        <w:t>, Göttingen.</w:t>
      </w:r>
    </w:p>
    <w:p w14:paraId="67A3DCB7" w14:textId="1D3CC721" w:rsidR="003B2A46" w:rsidRPr="006F6F21" w:rsidRDefault="003B2A46" w:rsidP="004819D9">
      <w:pPr>
        <w:spacing w:before="100" w:after="100" w:line="300" w:lineRule="exact"/>
        <w:ind w:left="567" w:hanging="567"/>
        <w:rPr>
          <w:rFonts w:cs="Times New Roman"/>
        </w:rPr>
      </w:pPr>
      <w:r w:rsidRPr="006F6F21">
        <w:rPr>
          <w:rFonts w:cs="Times New Roman"/>
        </w:rPr>
        <w:t xml:space="preserve">Blomqvist, J. 1993, </w:t>
      </w:r>
      <w:r w:rsidR="00CC0615">
        <w:rPr>
          <w:rFonts w:cs="Times New Roman"/>
        </w:rPr>
        <w:t>“</w:t>
      </w:r>
      <w:r w:rsidRPr="006F6F21">
        <w:rPr>
          <w:rFonts w:cs="Times New Roman"/>
          <w:color w:val="262626"/>
        </w:rPr>
        <w:t xml:space="preserve">On </w:t>
      </w:r>
      <w:r>
        <w:rPr>
          <w:rFonts w:cs="Times New Roman"/>
          <w:color w:val="262626"/>
        </w:rPr>
        <w:t>A</w:t>
      </w:r>
      <w:r w:rsidRPr="006F6F21">
        <w:rPr>
          <w:rFonts w:cs="Times New Roman"/>
          <w:color w:val="262626"/>
        </w:rPr>
        <w:t xml:space="preserve">dverbs in </w:t>
      </w:r>
      <w:r w:rsidRPr="006F6F21">
        <w:rPr>
          <w:rFonts w:cs="Times New Roman"/>
          <w:bCs/>
          <w:color w:val="262626"/>
        </w:rPr>
        <w:t>Callimachus</w:t>
      </w:r>
      <w:r w:rsidRPr="006F6F21">
        <w:rPr>
          <w:rFonts w:cs="Times New Roman"/>
          <w:color w:val="262626"/>
        </w:rPr>
        <w:t xml:space="preserve">: </w:t>
      </w:r>
      <w:r>
        <w:rPr>
          <w:rFonts w:cs="Times New Roman"/>
          <w:color w:val="262626"/>
        </w:rPr>
        <w:t>A</w:t>
      </w:r>
      <w:r w:rsidRPr="006F6F21">
        <w:rPr>
          <w:rFonts w:cs="Times New Roman"/>
          <w:color w:val="262626"/>
        </w:rPr>
        <w:t xml:space="preserve"> </w:t>
      </w:r>
      <w:r>
        <w:rPr>
          <w:rFonts w:cs="Times New Roman"/>
          <w:color w:val="262626"/>
        </w:rPr>
        <w:t>C</w:t>
      </w:r>
      <w:r w:rsidRPr="006F6F21">
        <w:rPr>
          <w:rFonts w:cs="Times New Roman"/>
          <w:color w:val="262626"/>
        </w:rPr>
        <w:t xml:space="preserve">ontribution to Greek </w:t>
      </w:r>
      <w:r>
        <w:rPr>
          <w:rFonts w:cs="Times New Roman"/>
          <w:color w:val="262626"/>
        </w:rPr>
        <w:t>P</w:t>
      </w:r>
      <w:r w:rsidRPr="006F6F21">
        <w:rPr>
          <w:rFonts w:cs="Times New Roman"/>
          <w:color w:val="262626"/>
        </w:rPr>
        <w:t xml:space="preserve">oetical </w:t>
      </w:r>
      <w:r>
        <w:rPr>
          <w:rFonts w:cs="Times New Roman"/>
          <w:color w:val="262626"/>
        </w:rPr>
        <w:t>L</w:t>
      </w:r>
      <w:r w:rsidRPr="006F6F21">
        <w:rPr>
          <w:rFonts w:cs="Times New Roman"/>
          <w:color w:val="262626"/>
        </w:rPr>
        <w:t>anguage,</w:t>
      </w:r>
      <w:r w:rsidR="00CC0615">
        <w:rPr>
          <w:rFonts w:cs="Times New Roman"/>
          <w:color w:val="262626"/>
        </w:rPr>
        <w:t>”</w:t>
      </w:r>
      <w:r w:rsidRPr="006F6F21">
        <w:rPr>
          <w:rFonts w:cs="Times New Roman"/>
          <w:color w:val="262626"/>
        </w:rPr>
        <w:t xml:space="preserve"> in </w:t>
      </w:r>
      <w:r w:rsidRPr="006F6F21">
        <w:rPr>
          <w:rFonts w:cs="Times New Roman"/>
        </w:rPr>
        <w:t xml:space="preserve">M. A. Harder, R. F. Regtuit, and G. C. Wakker (eds.), </w:t>
      </w:r>
      <w:r w:rsidRPr="006F6F21">
        <w:rPr>
          <w:rFonts w:cs="Times New Roman"/>
          <w:i/>
        </w:rPr>
        <w:t>Callimachus</w:t>
      </w:r>
      <w:r w:rsidRPr="006F6F21">
        <w:rPr>
          <w:rFonts w:cs="Times New Roman"/>
        </w:rPr>
        <w:t>, Groningen: 17-36.</w:t>
      </w:r>
    </w:p>
    <w:p w14:paraId="14574E58"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Blumenthal, A. von 1922, </w:t>
      </w:r>
      <w:r w:rsidRPr="006F6F21">
        <w:rPr>
          <w:rFonts w:cs="Times New Roman"/>
          <w:i/>
        </w:rPr>
        <w:t>Die Schätzung des Archilochos im Altertume</w:t>
      </w:r>
      <w:r w:rsidRPr="006F6F21">
        <w:rPr>
          <w:rFonts w:cs="Times New Roman"/>
        </w:rPr>
        <w:t>, Stuttgart.</w:t>
      </w:r>
    </w:p>
    <w:p w14:paraId="74655517" w14:textId="78035014" w:rsidR="003B2A46" w:rsidRPr="006F6F21" w:rsidRDefault="003B2A46" w:rsidP="004819D9">
      <w:pPr>
        <w:spacing w:before="100" w:after="100" w:line="300" w:lineRule="exact"/>
        <w:ind w:left="567" w:hanging="567"/>
        <w:rPr>
          <w:rFonts w:cs="Times New Roman"/>
        </w:rPr>
      </w:pPr>
      <w:r w:rsidRPr="006F6F21">
        <w:rPr>
          <w:rFonts w:cs="Times New Roman"/>
        </w:rPr>
        <w:t xml:space="preserve">Boedeker, D. 2016, </w:t>
      </w:r>
      <w:r w:rsidR="00CC0615">
        <w:rPr>
          <w:rFonts w:cs="Times New Roman"/>
        </w:rPr>
        <w:t>“</w:t>
      </w:r>
      <w:r w:rsidRPr="006F6F21">
        <w:rPr>
          <w:rFonts w:cs="Times New Roman"/>
        </w:rPr>
        <w:t>Coarse Poeti</w:t>
      </w:r>
      <w:r>
        <w:rPr>
          <w:rFonts w:cs="Times New Roman"/>
        </w:rPr>
        <w:t>cs</w:t>
      </w:r>
      <w:r w:rsidRPr="006F6F21">
        <w:rPr>
          <w:rFonts w:cs="Times New Roman"/>
        </w:rPr>
        <w:t>: List</w:t>
      </w:r>
      <w:r>
        <w:rPr>
          <w:rFonts w:cs="Times New Roman"/>
        </w:rPr>
        <w:t>e</w:t>
      </w:r>
      <w:r w:rsidRPr="006F6F21">
        <w:rPr>
          <w:rFonts w:cs="Times New Roman"/>
        </w:rPr>
        <w:t>ning to Hipponax,</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56-73.</w:t>
      </w:r>
    </w:p>
    <w:p w14:paraId="6E7E4C5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Bortone, P. 2010, </w:t>
      </w:r>
      <w:r w:rsidRPr="006F6F21">
        <w:rPr>
          <w:rFonts w:cs="Times New Roman"/>
          <w:i/>
        </w:rPr>
        <w:t xml:space="preserve">Greek </w:t>
      </w:r>
      <w:r>
        <w:rPr>
          <w:rFonts w:cs="Times New Roman"/>
          <w:i/>
        </w:rPr>
        <w:t>P</w:t>
      </w:r>
      <w:r w:rsidRPr="006F6F21">
        <w:rPr>
          <w:rFonts w:cs="Times New Roman"/>
          <w:i/>
        </w:rPr>
        <w:t xml:space="preserve">repositions: </w:t>
      </w:r>
      <w:r>
        <w:rPr>
          <w:rFonts w:cs="Times New Roman"/>
          <w:i/>
        </w:rPr>
        <w:t>F</w:t>
      </w:r>
      <w:r w:rsidRPr="006F6F21">
        <w:rPr>
          <w:rFonts w:cs="Times New Roman"/>
          <w:i/>
        </w:rPr>
        <w:t xml:space="preserve">rom </w:t>
      </w:r>
      <w:r>
        <w:rPr>
          <w:rFonts w:cs="Times New Roman"/>
          <w:i/>
        </w:rPr>
        <w:t>A</w:t>
      </w:r>
      <w:r w:rsidRPr="006F6F21">
        <w:rPr>
          <w:rFonts w:cs="Times New Roman"/>
          <w:i/>
        </w:rPr>
        <w:t xml:space="preserve">ntiquity to the </w:t>
      </w:r>
      <w:r>
        <w:rPr>
          <w:rFonts w:cs="Times New Roman"/>
          <w:i/>
        </w:rPr>
        <w:t>P</w:t>
      </w:r>
      <w:r w:rsidRPr="006F6F21">
        <w:rPr>
          <w:rFonts w:cs="Times New Roman"/>
          <w:i/>
        </w:rPr>
        <w:t>resent</w:t>
      </w:r>
      <w:r w:rsidRPr="006F6F21">
        <w:rPr>
          <w:rFonts w:cs="Times New Roman"/>
        </w:rPr>
        <w:t>, Oxford.</w:t>
      </w:r>
    </w:p>
    <w:p w14:paraId="7E44731C" w14:textId="7BF9C33F" w:rsidR="003B2A46" w:rsidRPr="006F6F21" w:rsidRDefault="003B2A46" w:rsidP="004819D9">
      <w:pPr>
        <w:spacing w:before="100" w:after="100" w:line="300" w:lineRule="exact"/>
        <w:ind w:left="567" w:hanging="567"/>
        <w:rPr>
          <w:rFonts w:cs="Times New Roman"/>
        </w:rPr>
      </w:pPr>
      <w:r w:rsidRPr="006F6F21">
        <w:rPr>
          <w:rFonts w:cs="Times New Roman"/>
        </w:rPr>
        <w:t xml:space="preserve">Bossi, F. 1978/9, </w:t>
      </w:r>
      <w:r w:rsidR="00CC0615">
        <w:rPr>
          <w:rFonts w:cs="Times New Roman"/>
        </w:rPr>
        <w:t>“</w:t>
      </w:r>
      <w:r w:rsidRPr="006F6F21">
        <w:rPr>
          <w:rFonts w:cs="Times New Roman"/>
        </w:rPr>
        <w:t>Hippon. fr. 79, 16 W,</w:t>
      </w:r>
      <w:r w:rsidR="00CC0615">
        <w:rPr>
          <w:rFonts w:cs="Times New Roman"/>
        </w:rPr>
        <w:t>”</w:t>
      </w:r>
      <w:r w:rsidRPr="006F6F21">
        <w:rPr>
          <w:rFonts w:cs="Times New Roman"/>
        </w:rPr>
        <w:t xml:space="preserve"> </w:t>
      </w:r>
      <w:r w:rsidRPr="006F6F21">
        <w:rPr>
          <w:rFonts w:cs="Times New Roman"/>
          <w:i/>
        </w:rPr>
        <w:t>Museum Criticum</w:t>
      </w:r>
      <w:r w:rsidRPr="006F6F21">
        <w:rPr>
          <w:rFonts w:cs="Times New Roman"/>
        </w:rPr>
        <w:t xml:space="preserve"> 13/14: 149-151.</w:t>
      </w:r>
    </w:p>
    <w:p w14:paraId="2300E598" w14:textId="2C1E33A1" w:rsidR="003B2A46" w:rsidRPr="006F6F21" w:rsidRDefault="003B2A46" w:rsidP="004819D9">
      <w:pPr>
        <w:spacing w:before="100" w:after="100" w:line="300" w:lineRule="exact"/>
        <w:ind w:left="567" w:hanging="567"/>
        <w:rPr>
          <w:rFonts w:cs="Times New Roman"/>
        </w:rPr>
      </w:pPr>
      <w:r w:rsidRPr="006F6F21">
        <w:rPr>
          <w:rFonts w:cs="Times New Roman"/>
        </w:rPr>
        <w:t xml:space="preserve">— 1981, </w:t>
      </w:r>
      <w:r w:rsidR="00CC0615">
        <w:rPr>
          <w:rFonts w:cs="Times New Roman"/>
        </w:rPr>
        <w:t>“</w:t>
      </w:r>
      <w:r w:rsidRPr="006F6F21">
        <w:rPr>
          <w:rFonts w:cs="Times New Roman"/>
        </w:rPr>
        <w:t>Appunti per un profile di Archiloco,</w:t>
      </w:r>
      <w:r w:rsidR="00CC0615">
        <w:rPr>
          <w:rFonts w:cs="Times New Roman"/>
        </w:rPr>
        <w:t>”</w:t>
      </w:r>
      <w:r w:rsidRPr="006F6F21">
        <w:rPr>
          <w:rFonts w:cs="Times New Roman"/>
        </w:rPr>
        <w:t xml:space="preserve"> </w:t>
      </w:r>
      <w:r w:rsidRPr="006F6F21">
        <w:rPr>
          <w:rFonts w:cs="Times New Roman"/>
          <w:i/>
        </w:rPr>
        <w:t>Q</w:t>
      </w:r>
      <w:r>
        <w:rPr>
          <w:rFonts w:cs="Times New Roman"/>
          <w:i/>
        </w:rPr>
        <w:t>uaderni di storia</w:t>
      </w:r>
      <w:r w:rsidRPr="006F6F21">
        <w:rPr>
          <w:rFonts w:cs="Times New Roman"/>
        </w:rPr>
        <w:t xml:space="preserve"> 13: 117-142.</w:t>
      </w:r>
    </w:p>
    <w:p w14:paraId="7474CBC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1990, </w:t>
      </w:r>
      <w:r w:rsidRPr="006F6F21">
        <w:rPr>
          <w:rFonts w:cs="Times New Roman"/>
          <w:i/>
        </w:rPr>
        <w:t>Studi su Archiloco</w:t>
      </w:r>
      <w:r w:rsidRPr="006F6F21">
        <w:rPr>
          <w:rFonts w:cs="Times New Roman"/>
        </w:rPr>
        <w:t>, Bari</w:t>
      </w:r>
      <w:r>
        <w:rPr>
          <w:rFonts w:cs="Times New Roman"/>
        </w:rPr>
        <w:t xml:space="preserve"> (2</w:t>
      </w:r>
      <w:r w:rsidRPr="002F1E35">
        <w:rPr>
          <w:rFonts w:cs="Times New Roman"/>
          <w:vertAlign w:val="superscript"/>
        </w:rPr>
        <w:t>nd</w:t>
      </w:r>
      <w:r>
        <w:rPr>
          <w:rFonts w:cs="Times New Roman"/>
        </w:rPr>
        <w:t xml:space="preserve"> edition).</w:t>
      </w:r>
    </w:p>
    <w:p w14:paraId="3FB9E5FC" w14:textId="78F5697B" w:rsidR="003B2A46" w:rsidRPr="006F6F21" w:rsidRDefault="003B2A46" w:rsidP="004819D9">
      <w:pPr>
        <w:spacing w:before="100" w:after="100" w:line="300" w:lineRule="exact"/>
        <w:ind w:left="567" w:hanging="567"/>
        <w:rPr>
          <w:rFonts w:cs="Times New Roman"/>
        </w:rPr>
      </w:pPr>
      <w:r w:rsidRPr="006F6F21">
        <w:rPr>
          <w:rFonts w:cs="Times New Roman"/>
        </w:rPr>
        <w:t>— 2003,</w:t>
      </w:r>
      <w:r w:rsidR="00E05ADC">
        <w:rPr>
          <w:rFonts w:cs="Times New Roman"/>
        </w:rPr>
        <w:t xml:space="preserve"> </w:t>
      </w:r>
      <w:r w:rsidR="00CC0615">
        <w:rPr>
          <w:rFonts w:cs="Times New Roman"/>
        </w:rPr>
        <w:t>“</w:t>
      </w:r>
      <w:r w:rsidRPr="006F6F21">
        <w:rPr>
          <w:rFonts w:cs="Times New Roman"/>
        </w:rPr>
        <w:t>Ananio, Ipponatte (ed Aristofane),</w:t>
      </w:r>
      <w:r w:rsidR="00CC0615">
        <w:rPr>
          <w:rFonts w:cs="Times New Roman"/>
        </w:rPr>
        <w:t>”</w:t>
      </w:r>
      <w:r w:rsidRPr="006F6F21">
        <w:rPr>
          <w:rFonts w:cs="Times New Roman"/>
        </w:rPr>
        <w:t xml:space="preserve"> </w:t>
      </w:r>
      <w:r w:rsidRPr="006F6F21">
        <w:rPr>
          <w:rFonts w:cs="Times New Roman"/>
          <w:i/>
        </w:rPr>
        <w:t>Eikasmos</w:t>
      </w:r>
      <w:r w:rsidRPr="006F6F21">
        <w:rPr>
          <w:rFonts w:cs="Times New Roman"/>
        </w:rPr>
        <w:t xml:space="preserve"> 14: 27-31.</w:t>
      </w:r>
    </w:p>
    <w:p w14:paraId="59B8CEFC" w14:textId="7D7FA367" w:rsidR="003B2A46" w:rsidRPr="006F6F21" w:rsidRDefault="003B2A46" w:rsidP="004819D9">
      <w:pPr>
        <w:spacing w:before="100" w:after="100" w:line="300" w:lineRule="exact"/>
        <w:ind w:left="567" w:hanging="567"/>
        <w:rPr>
          <w:rFonts w:cs="Times New Roman"/>
        </w:rPr>
      </w:pPr>
      <w:r w:rsidRPr="006F6F21">
        <w:rPr>
          <w:rFonts w:cs="Times New Roman"/>
        </w:rPr>
        <w:t xml:space="preserve">Bowie, E. L. 1986, </w:t>
      </w:r>
      <w:r w:rsidR="00CC0615">
        <w:rPr>
          <w:rFonts w:cs="Times New Roman"/>
        </w:rPr>
        <w:t>“</w:t>
      </w:r>
      <w:r w:rsidRPr="006F6F21">
        <w:rPr>
          <w:rFonts w:cs="Times New Roman"/>
        </w:rPr>
        <w:t xml:space="preserve">Early Greek </w:t>
      </w:r>
      <w:r>
        <w:rPr>
          <w:rFonts w:cs="Times New Roman"/>
        </w:rPr>
        <w:t>E</w:t>
      </w:r>
      <w:r w:rsidRPr="006F6F21">
        <w:rPr>
          <w:rFonts w:cs="Times New Roman"/>
        </w:rPr>
        <w:t xml:space="preserve">legy, </w:t>
      </w:r>
      <w:r>
        <w:rPr>
          <w:rFonts w:cs="Times New Roman"/>
        </w:rPr>
        <w:t>S</w:t>
      </w:r>
      <w:r w:rsidRPr="006F6F21">
        <w:rPr>
          <w:rFonts w:cs="Times New Roman"/>
        </w:rPr>
        <w:t xml:space="preserve">ymposium and </w:t>
      </w:r>
      <w:r>
        <w:rPr>
          <w:rFonts w:cs="Times New Roman"/>
        </w:rPr>
        <w:t>P</w:t>
      </w:r>
      <w:r w:rsidRPr="006F6F21">
        <w:rPr>
          <w:rFonts w:cs="Times New Roman"/>
        </w:rPr>
        <w:t xml:space="preserve">ublic </w:t>
      </w:r>
      <w:r>
        <w:rPr>
          <w:rFonts w:cs="Times New Roman"/>
        </w:rPr>
        <w:t>F</w:t>
      </w:r>
      <w:r w:rsidRPr="006F6F21">
        <w:rPr>
          <w:rFonts w:cs="Times New Roman"/>
        </w:rPr>
        <w:t>estival,</w:t>
      </w:r>
      <w:r w:rsidR="00CC0615">
        <w:rPr>
          <w:rFonts w:cs="Times New Roman"/>
        </w:rPr>
        <w:t>”</w:t>
      </w:r>
      <w:r w:rsidRPr="006F6F21">
        <w:rPr>
          <w:rFonts w:cs="Times New Roman"/>
        </w:rPr>
        <w:t xml:space="preserve"> </w:t>
      </w:r>
      <w:r w:rsidRPr="006F6F21">
        <w:rPr>
          <w:rFonts w:cs="Times New Roman"/>
          <w:i/>
        </w:rPr>
        <w:t>J</w:t>
      </w:r>
      <w:r>
        <w:rPr>
          <w:rFonts w:cs="Times New Roman"/>
          <w:i/>
        </w:rPr>
        <w:t>ournal of Hellenic Studies</w:t>
      </w:r>
      <w:r w:rsidRPr="006F6F21">
        <w:rPr>
          <w:rFonts w:cs="Times New Roman"/>
        </w:rPr>
        <w:t xml:space="preserve"> 106: 13-35.</w:t>
      </w:r>
    </w:p>
    <w:p w14:paraId="21E97C9B" w14:textId="7FA394D3" w:rsidR="003B2A46" w:rsidRPr="006F6F21" w:rsidRDefault="003B2A46" w:rsidP="004819D9">
      <w:pPr>
        <w:spacing w:before="100" w:after="100" w:line="300" w:lineRule="exact"/>
        <w:ind w:left="567" w:hanging="567"/>
        <w:rPr>
          <w:rFonts w:cs="Times New Roman"/>
        </w:rPr>
      </w:pPr>
      <w:r w:rsidRPr="006F6F21">
        <w:rPr>
          <w:rFonts w:cs="Times New Roman"/>
        </w:rPr>
        <w:t xml:space="preserve">— 1997, </w:t>
      </w:r>
      <w:r w:rsidR="00CC0615">
        <w:rPr>
          <w:rFonts w:cs="Times New Roman"/>
        </w:rPr>
        <w:t>“</w:t>
      </w:r>
      <w:r w:rsidRPr="006F6F21">
        <w:rPr>
          <w:rFonts w:cs="Times New Roman"/>
        </w:rPr>
        <w:t>Plutarch</w:t>
      </w:r>
      <w:r w:rsidR="00075F5F">
        <w:rPr>
          <w:rFonts w:cs="Times New Roman"/>
        </w:rPr>
        <w:t>’</w:t>
      </w:r>
      <w:r w:rsidRPr="006F6F21">
        <w:rPr>
          <w:rFonts w:cs="Times New Roman"/>
        </w:rPr>
        <w:t>s Citations of Early Elegiac and Iambic Poetry,</w:t>
      </w:r>
      <w:r w:rsidR="00CC0615">
        <w:rPr>
          <w:rFonts w:cs="Times New Roman"/>
        </w:rPr>
        <w:t>”</w:t>
      </w:r>
      <w:r w:rsidRPr="006F6F21">
        <w:rPr>
          <w:rFonts w:cs="Times New Roman"/>
        </w:rPr>
        <w:t xml:space="preserve"> in C. Schrader, V. Ramón, and I. Vela (eds.), </w:t>
      </w:r>
      <w:r w:rsidRPr="006F6F21">
        <w:rPr>
          <w:rFonts w:cs="Times New Roman"/>
          <w:i/>
        </w:rPr>
        <w:t xml:space="preserve">Plutarco y </w:t>
      </w:r>
      <w:r>
        <w:rPr>
          <w:rFonts w:cs="Times New Roman"/>
          <w:i/>
        </w:rPr>
        <w:t>l</w:t>
      </w:r>
      <w:r w:rsidRPr="006F6F21">
        <w:rPr>
          <w:rFonts w:cs="Times New Roman"/>
          <w:i/>
        </w:rPr>
        <w:t>a Historia</w:t>
      </w:r>
      <w:r>
        <w:rPr>
          <w:rFonts w:cs="Times New Roman"/>
          <w:i/>
        </w:rPr>
        <w:t xml:space="preserve">: </w:t>
      </w:r>
      <w:r w:rsidRPr="006F6F21">
        <w:rPr>
          <w:rFonts w:cs="Times New Roman"/>
          <w:i/>
        </w:rPr>
        <w:t>Actas del V Symposio Español sobre Plutarco</w:t>
      </w:r>
      <w:r w:rsidRPr="006F6F21">
        <w:rPr>
          <w:rFonts w:cs="Times New Roman"/>
        </w:rPr>
        <w:t>, Zaragoza: 99-108.</w:t>
      </w:r>
    </w:p>
    <w:p w14:paraId="155DFEBC" w14:textId="5B095760"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 2001, </w:t>
      </w:r>
      <w:r w:rsidR="00CC0615">
        <w:rPr>
          <w:rFonts w:cs="Times New Roman"/>
        </w:rPr>
        <w:t>“</w:t>
      </w:r>
      <w:r w:rsidRPr="006F6F21">
        <w:rPr>
          <w:rFonts w:cs="Times New Roman"/>
        </w:rPr>
        <w:t>Early Greek Iambic Poetry: The Importance of Narrative,</w:t>
      </w:r>
      <w:r w:rsidR="00CC0615">
        <w:rPr>
          <w:rFonts w:cs="Times New Roman"/>
        </w:rPr>
        <w:t>”</w:t>
      </w:r>
      <w:r w:rsidRPr="006F6F21">
        <w:rPr>
          <w:rFonts w:cs="Times New Roman"/>
        </w:rPr>
        <w:t xml:space="preserve"> in A. Cavarzese, A. Aloni and A. Barchiesi (eds.), </w:t>
      </w:r>
      <w:r w:rsidRPr="006F6F21">
        <w:rPr>
          <w:rFonts w:cs="Times New Roman"/>
          <w:i/>
        </w:rPr>
        <w:t>Iambic Ideas: Essays on a Poetic Tradition from Archaic Greece to the Late Roman Empire</w:t>
      </w:r>
      <w:r w:rsidRPr="006F6F21">
        <w:rPr>
          <w:rFonts w:cs="Times New Roman"/>
        </w:rPr>
        <w:t>, Lanham: 1-27.</w:t>
      </w:r>
    </w:p>
    <w:p w14:paraId="52021D28" w14:textId="77445E06" w:rsidR="003B2A46" w:rsidRPr="006F6F21" w:rsidRDefault="003B2A46" w:rsidP="004819D9">
      <w:pPr>
        <w:spacing w:before="100" w:after="100" w:line="300" w:lineRule="exact"/>
        <w:ind w:left="567" w:hanging="567"/>
        <w:rPr>
          <w:rFonts w:cs="Times New Roman"/>
        </w:rPr>
      </w:pPr>
      <w:r w:rsidRPr="006F6F21">
        <w:rPr>
          <w:rFonts w:cs="Times New Roman"/>
        </w:rPr>
        <w:t xml:space="preserve">— 2016, </w:t>
      </w:r>
      <w:r w:rsidR="00CC0615">
        <w:rPr>
          <w:rFonts w:cs="Times New Roman"/>
        </w:rPr>
        <w:t>“</w:t>
      </w:r>
      <w:r w:rsidRPr="006F6F21">
        <w:rPr>
          <w:rFonts w:cs="Times New Roman"/>
        </w:rPr>
        <w:t>Cultic Contex</w:t>
      </w:r>
      <w:r>
        <w:rPr>
          <w:rFonts w:cs="Times New Roman"/>
        </w:rPr>
        <w:t>ts for</w:t>
      </w:r>
      <w:r w:rsidRPr="006F6F21">
        <w:rPr>
          <w:rFonts w:cs="Times New Roman"/>
        </w:rPr>
        <w:t xml:space="preserve"> El</w:t>
      </w:r>
      <w:r>
        <w:rPr>
          <w:rFonts w:cs="Times New Roman"/>
        </w:rPr>
        <w:t>e</w:t>
      </w:r>
      <w:r w:rsidRPr="006F6F21">
        <w:rPr>
          <w:rFonts w:cs="Times New Roman"/>
        </w:rPr>
        <w:t>giac Performance,</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15-32.</w:t>
      </w:r>
    </w:p>
    <w:p w14:paraId="36255D7A" w14:textId="77777777" w:rsidR="003B2A46" w:rsidRPr="006F6F21" w:rsidRDefault="003B2A46" w:rsidP="004819D9">
      <w:pPr>
        <w:spacing w:before="100" w:after="100" w:line="300" w:lineRule="exact"/>
        <w:ind w:left="567" w:hanging="567"/>
        <w:rPr>
          <w:rFonts w:cs="Times New Roman"/>
        </w:rPr>
      </w:pPr>
      <w:r w:rsidRPr="006F6F21">
        <w:rPr>
          <w:rFonts w:cs="Times New Roman"/>
        </w:rPr>
        <w:t>Bradley, M. (ed.) 2014</w:t>
      </w:r>
      <w:r>
        <w:rPr>
          <w:rFonts w:cs="Times New Roman"/>
        </w:rPr>
        <w:t>a</w:t>
      </w:r>
      <w:r w:rsidRPr="006F6F21">
        <w:rPr>
          <w:rFonts w:cs="Times New Roman"/>
        </w:rPr>
        <w:t xml:space="preserve">, </w:t>
      </w:r>
      <w:r w:rsidRPr="006F6F21">
        <w:rPr>
          <w:rFonts w:cs="Times New Roman"/>
          <w:i/>
        </w:rPr>
        <w:t>Smell and the Ancient Senses</w:t>
      </w:r>
      <w:r w:rsidRPr="006F6F21">
        <w:rPr>
          <w:rFonts w:cs="Times New Roman"/>
        </w:rPr>
        <w:t xml:space="preserve">, </w:t>
      </w:r>
      <w:r>
        <w:rPr>
          <w:rFonts w:cs="Times New Roman"/>
        </w:rPr>
        <w:t xml:space="preserve">London - </w:t>
      </w:r>
      <w:r w:rsidRPr="006F6F21">
        <w:rPr>
          <w:rFonts w:cs="Times New Roman"/>
        </w:rPr>
        <w:t>New York.</w:t>
      </w:r>
    </w:p>
    <w:p w14:paraId="527FD1E8" w14:textId="756701BC" w:rsidR="003B2A46" w:rsidRPr="006F6F21" w:rsidRDefault="003B2A46" w:rsidP="004819D9">
      <w:pPr>
        <w:spacing w:before="100" w:after="100" w:line="300" w:lineRule="exact"/>
        <w:ind w:left="567" w:hanging="567"/>
        <w:rPr>
          <w:rFonts w:cs="Times New Roman"/>
        </w:rPr>
      </w:pPr>
      <w:r w:rsidRPr="006F6F21">
        <w:rPr>
          <w:rFonts w:cs="Times New Roman"/>
        </w:rPr>
        <w:t>— 2014</w:t>
      </w:r>
      <w:r>
        <w:rPr>
          <w:rFonts w:cs="Times New Roman"/>
        </w:rPr>
        <w:t>b</w:t>
      </w:r>
      <w:r w:rsidRPr="006F6F21">
        <w:rPr>
          <w:rFonts w:cs="Times New Roman"/>
        </w:rPr>
        <w:t xml:space="preserve">, </w:t>
      </w:r>
      <w:r w:rsidR="00CC0615">
        <w:rPr>
          <w:rFonts w:cs="Times New Roman"/>
        </w:rPr>
        <w:t>“</w:t>
      </w:r>
      <w:r w:rsidRPr="006F6F21">
        <w:rPr>
          <w:rFonts w:cs="Times New Roman"/>
        </w:rPr>
        <w:t xml:space="preserve">Introduction: </w:t>
      </w:r>
      <w:r>
        <w:rPr>
          <w:rFonts w:cs="Times New Roman"/>
        </w:rPr>
        <w:t>S</w:t>
      </w:r>
      <w:r w:rsidRPr="006F6F21">
        <w:rPr>
          <w:rFonts w:cs="Times New Roman"/>
        </w:rPr>
        <w:t xml:space="preserve">mell and the </w:t>
      </w:r>
      <w:r>
        <w:rPr>
          <w:rFonts w:cs="Times New Roman"/>
        </w:rPr>
        <w:t>A</w:t>
      </w:r>
      <w:r w:rsidRPr="006F6F21">
        <w:rPr>
          <w:rFonts w:cs="Times New Roman"/>
        </w:rPr>
        <w:t xml:space="preserve">ncient </w:t>
      </w:r>
      <w:r>
        <w:rPr>
          <w:rFonts w:cs="Times New Roman"/>
        </w:rPr>
        <w:t>S</w:t>
      </w:r>
      <w:r w:rsidRPr="006F6F21">
        <w:rPr>
          <w:rFonts w:cs="Times New Roman"/>
        </w:rPr>
        <w:t>enses,</w:t>
      </w:r>
      <w:r w:rsidR="00CC0615">
        <w:rPr>
          <w:rFonts w:cs="Times New Roman"/>
        </w:rPr>
        <w:t>”</w:t>
      </w:r>
      <w:r w:rsidRPr="006F6F21">
        <w:rPr>
          <w:rFonts w:cs="Times New Roman"/>
        </w:rPr>
        <w:t xml:space="preserve"> in M. Bradley (ed.), </w:t>
      </w:r>
      <w:r w:rsidRPr="006F6F21">
        <w:rPr>
          <w:rFonts w:cs="Times New Roman"/>
          <w:i/>
        </w:rPr>
        <w:t>Smell and the Ancient Senses</w:t>
      </w:r>
      <w:r w:rsidRPr="006F6F21">
        <w:rPr>
          <w:rFonts w:cs="Times New Roman"/>
        </w:rPr>
        <w:t>, London - New York: 1-16.</w:t>
      </w:r>
    </w:p>
    <w:p w14:paraId="0CA4A127" w14:textId="5E276F23" w:rsidR="003B2A46" w:rsidRPr="006F6F21" w:rsidRDefault="003B2A46" w:rsidP="004819D9">
      <w:pPr>
        <w:spacing w:before="100" w:after="100" w:line="300" w:lineRule="exact"/>
        <w:ind w:left="567" w:hanging="567"/>
        <w:rPr>
          <w:rFonts w:cs="Times New Roman"/>
        </w:rPr>
      </w:pPr>
      <w:r w:rsidRPr="006F6F21">
        <w:rPr>
          <w:rFonts w:cs="Times New Roman"/>
        </w:rPr>
        <w:t xml:space="preserve">Bremmer, J. N. 1983, </w:t>
      </w:r>
      <w:r w:rsidR="00CC0615">
        <w:rPr>
          <w:rFonts w:cs="Times New Roman"/>
        </w:rPr>
        <w:t>“</w:t>
      </w:r>
      <w:r w:rsidRPr="006F6F21">
        <w:rPr>
          <w:rFonts w:cs="Times New Roman"/>
        </w:rPr>
        <w:t>Scapegoat Rituals in Ancient Greece,</w:t>
      </w:r>
      <w:r w:rsidR="00CC0615">
        <w:rPr>
          <w:rFonts w:cs="Times New Roman"/>
        </w:rPr>
        <w:t>”</w:t>
      </w:r>
      <w:r w:rsidRPr="006F6F21">
        <w:rPr>
          <w:rFonts w:cs="Times New Roman"/>
        </w:rPr>
        <w:t xml:space="preserve"> </w:t>
      </w:r>
      <w:r w:rsidRPr="00AF6182">
        <w:rPr>
          <w:rFonts w:cs="Times New Roman"/>
          <w:i/>
        </w:rPr>
        <w:t>Harvard Studies in Classical Philology</w:t>
      </w:r>
      <w:r w:rsidRPr="006F6F21">
        <w:rPr>
          <w:rFonts w:cs="Times New Roman"/>
        </w:rPr>
        <w:t xml:space="preserve"> 87: 299-320.</w:t>
      </w:r>
    </w:p>
    <w:p w14:paraId="22C70FEA" w14:textId="575B6AB8" w:rsidR="003B2A46" w:rsidRPr="006F6F21" w:rsidRDefault="003B2A46" w:rsidP="004819D9">
      <w:pPr>
        <w:spacing w:before="100" w:after="100" w:line="300" w:lineRule="exact"/>
        <w:ind w:left="567" w:hanging="567"/>
        <w:rPr>
          <w:rFonts w:cs="Times New Roman"/>
        </w:rPr>
      </w:pPr>
      <w:r w:rsidRPr="006F6F21">
        <w:rPr>
          <w:rFonts w:cs="Times New Roman"/>
        </w:rPr>
        <w:t xml:space="preserve">Brixhe, C. 2010, </w:t>
      </w:r>
      <w:r w:rsidR="00CC0615">
        <w:rPr>
          <w:rFonts w:cs="Times New Roman"/>
        </w:rPr>
        <w:t>“</w:t>
      </w:r>
      <w:r w:rsidRPr="006F6F21">
        <w:rPr>
          <w:rFonts w:cs="Times New Roman"/>
        </w:rPr>
        <w:t>Linguistic Diversity in Asia Minor during the Empire: Koine and Non-Greek Languages,</w:t>
      </w:r>
      <w:r w:rsidR="00CC0615">
        <w:rPr>
          <w:rFonts w:cs="Times New Roman"/>
        </w:rPr>
        <w:t>”</w:t>
      </w:r>
      <w:r w:rsidRPr="006F6F21">
        <w:rPr>
          <w:rFonts w:cs="Times New Roman"/>
        </w:rPr>
        <w:t xml:space="preserve"> in E. J. Bakker (ed.), </w:t>
      </w:r>
      <w:r w:rsidRPr="006F6F21">
        <w:rPr>
          <w:rFonts w:cs="Times New Roman"/>
          <w:i/>
        </w:rPr>
        <w:t>A Companion to</w:t>
      </w:r>
      <w:r>
        <w:rPr>
          <w:rFonts w:cs="Times New Roman"/>
          <w:i/>
        </w:rPr>
        <w:t xml:space="preserve"> the </w:t>
      </w:r>
      <w:r w:rsidRPr="006F6F21">
        <w:rPr>
          <w:rFonts w:cs="Times New Roman"/>
          <w:i/>
        </w:rPr>
        <w:t>Ancient Greek Language</w:t>
      </w:r>
      <w:r w:rsidRPr="006F6F21">
        <w:rPr>
          <w:rFonts w:cs="Times New Roman"/>
        </w:rPr>
        <w:t xml:space="preserve">, </w:t>
      </w:r>
      <w:r>
        <w:rPr>
          <w:rFonts w:cs="Times New Roman"/>
        </w:rPr>
        <w:t>Chichester - Malden</w:t>
      </w:r>
      <w:r w:rsidRPr="006F6F21">
        <w:rPr>
          <w:rFonts w:cs="Times New Roman"/>
        </w:rPr>
        <w:t>: 238-252.</w:t>
      </w:r>
    </w:p>
    <w:p w14:paraId="49BA471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Broggiato, M. 2001, </w:t>
      </w:r>
      <w:r w:rsidRPr="006F6F21">
        <w:rPr>
          <w:rFonts w:cs="Times New Roman"/>
          <w:i/>
        </w:rPr>
        <w:t>Cratete di Mallo</w:t>
      </w:r>
      <w:r>
        <w:rPr>
          <w:rFonts w:cs="Times New Roman"/>
          <w:i/>
        </w:rPr>
        <w:t>, I</w:t>
      </w:r>
      <w:r w:rsidRPr="006F6F21">
        <w:rPr>
          <w:rFonts w:cs="Times New Roman"/>
          <w:i/>
        </w:rPr>
        <w:t xml:space="preserve"> frammenti</w:t>
      </w:r>
      <w:r>
        <w:rPr>
          <w:rFonts w:cs="Times New Roman"/>
          <w:i/>
        </w:rPr>
        <w:t xml:space="preserve">: </w:t>
      </w:r>
      <w:r w:rsidRPr="006F6F21">
        <w:rPr>
          <w:rFonts w:cs="Times New Roman"/>
          <w:i/>
        </w:rPr>
        <w:t>Edizione, introduzione e note</w:t>
      </w:r>
      <w:r w:rsidRPr="006F6F21">
        <w:rPr>
          <w:rFonts w:cs="Times New Roman"/>
        </w:rPr>
        <w:t>, La Spezia.</w:t>
      </w:r>
    </w:p>
    <w:p w14:paraId="0A4546D3" w14:textId="66AD396C" w:rsidR="003B2A46" w:rsidRPr="006F6F21" w:rsidRDefault="003B2A46" w:rsidP="004819D9">
      <w:pPr>
        <w:spacing w:before="100" w:after="100" w:line="300" w:lineRule="exact"/>
        <w:ind w:left="567" w:hanging="567"/>
        <w:rPr>
          <w:rFonts w:cs="Times New Roman"/>
        </w:rPr>
      </w:pPr>
      <w:r w:rsidRPr="006F6F21">
        <w:rPr>
          <w:rFonts w:cs="Times New Roman"/>
        </w:rPr>
        <w:t xml:space="preserve">Brown, C. G. 1988, </w:t>
      </w:r>
      <w:r w:rsidR="00CC0615">
        <w:rPr>
          <w:rFonts w:cs="Times New Roman"/>
        </w:rPr>
        <w:t>“</w:t>
      </w:r>
      <w:r w:rsidRPr="006F6F21">
        <w:rPr>
          <w:rFonts w:cs="Times New Roman"/>
        </w:rPr>
        <w:t>Hipponax and Iambe,</w:t>
      </w:r>
      <w:r w:rsidR="00CC0615">
        <w:rPr>
          <w:rFonts w:cs="Times New Roman"/>
        </w:rPr>
        <w:t>”</w:t>
      </w:r>
      <w:r w:rsidRPr="006F6F21">
        <w:rPr>
          <w:rFonts w:cs="Times New Roman"/>
        </w:rPr>
        <w:t xml:space="preserve"> </w:t>
      </w:r>
      <w:r w:rsidRPr="006F6F21">
        <w:rPr>
          <w:rFonts w:cs="Times New Roman"/>
          <w:i/>
        </w:rPr>
        <w:t>Hermes</w:t>
      </w:r>
      <w:r w:rsidRPr="006F6F21">
        <w:rPr>
          <w:rFonts w:cs="Times New Roman"/>
        </w:rPr>
        <w:t xml:space="preserve"> 117: 478-481. </w:t>
      </w:r>
    </w:p>
    <w:p w14:paraId="1EBAB27E" w14:textId="0EA1B0ED" w:rsidR="003B2A46" w:rsidRPr="006F6F21" w:rsidRDefault="003B2A46" w:rsidP="004819D9">
      <w:pPr>
        <w:spacing w:before="100" w:after="100" w:line="300" w:lineRule="exact"/>
        <w:ind w:left="567" w:hanging="567"/>
        <w:rPr>
          <w:rFonts w:cs="Times New Roman"/>
        </w:rPr>
      </w:pPr>
      <w:r w:rsidRPr="006F6F21">
        <w:rPr>
          <w:rFonts w:cs="Times New Roman"/>
        </w:rPr>
        <w:t xml:space="preserve">— 1997, </w:t>
      </w:r>
      <w:r w:rsidR="00CC0615">
        <w:rPr>
          <w:rFonts w:cs="Times New Roman"/>
        </w:rPr>
        <w:t>“</w:t>
      </w:r>
      <w:r w:rsidRPr="006F6F21">
        <w:rPr>
          <w:rFonts w:cs="Times New Roman"/>
        </w:rPr>
        <w:t>Iambos,</w:t>
      </w:r>
      <w:r w:rsidR="00CC0615">
        <w:rPr>
          <w:rFonts w:cs="Times New Roman"/>
        </w:rPr>
        <w:t>”</w:t>
      </w:r>
      <w:r w:rsidRPr="006F6F21">
        <w:rPr>
          <w:rFonts w:cs="Times New Roman"/>
        </w:rPr>
        <w:t xml:space="preserve"> in D. E. Gerber (ed.), </w:t>
      </w:r>
      <w:r w:rsidRPr="006F6F21">
        <w:rPr>
          <w:rFonts w:cs="Times New Roman"/>
          <w:i/>
        </w:rPr>
        <w:t>A Companion to the Greek Lyric Poets</w:t>
      </w:r>
      <w:r w:rsidRPr="006F6F21">
        <w:rPr>
          <w:rFonts w:cs="Times New Roman"/>
        </w:rPr>
        <w:t>, Leiden: 13-88.</w:t>
      </w:r>
    </w:p>
    <w:p w14:paraId="7B5E5B32" w14:textId="1F429000" w:rsidR="003B2A46" w:rsidRPr="006F6F21" w:rsidRDefault="003B2A46" w:rsidP="004819D9">
      <w:pPr>
        <w:spacing w:before="100" w:after="100" w:line="300" w:lineRule="exact"/>
        <w:ind w:left="567" w:hanging="567"/>
        <w:rPr>
          <w:rFonts w:cs="Times New Roman"/>
        </w:rPr>
      </w:pPr>
      <w:r w:rsidRPr="006F6F21">
        <w:rPr>
          <w:rFonts w:cs="Times New Roman"/>
        </w:rPr>
        <w:t xml:space="preserve">— 2006, </w:t>
      </w:r>
      <w:r w:rsidR="00CC0615">
        <w:rPr>
          <w:rFonts w:cs="Times New Roman"/>
        </w:rPr>
        <w:t>“</w:t>
      </w:r>
      <w:r w:rsidRPr="006F6F21">
        <w:rPr>
          <w:rFonts w:cs="Times New Roman"/>
        </w:rPr>
        <w:t>Pindar on Archilochus and the Gluttony of Blame (</w:t>
      </w:r>
      <w:r w:rsidRPr="006F6F21">
        <w:rPr>
          <w:rFonts w:cs="Times New Roman"/>
          <w:i/>
        </w:rPr>
        <w:t>Pyth</w:t>
      </w:r>
      <w:r w:rsidRPr="006F6F21">
        <w:rPr>
          <w:rFonts w:cs="Times New Roman"/>
        </w:rPr>
        <w:t>. 2.52-6),</w:t>
      </w:r>
      <w:r w:rsidR="00CC0615">
        <w:rPr>
          <w:rFonts w:cs="Times New Roman"/>
        </w:rPr>
        <w:t>”</w:t>
      </w:r>
      <w:r w:rsidRPr="006F6F21">
        <w:rPr>
          <w:rFonts w:cs="Times New Roman"/>
        </w:rPr>
        <w:t xml:space="preserve"> </w:t>
      </w:r>
      <w:r w:rsidRPr="006F6F21">
        <w:rPr>
          <w:rFonts w:cs="Times New Roman"/>
          <w:i/>
        </w:rPr>
        <w:t>J</w:t>
      </w:r>
      <w:r>
        <w:rPr>
          <w:rFonts w:cs="Times New Roman"/>
          <w:i/>
        </w:rPr>
        <w:t>ournal of Hellenic Studies</w:t>
      </w:r>
      <w:r w:rsidRPr="006F6F21">
        <w:rPr>
          <w:rFonts w:cs="Times New Roman"/>
        </w:rPr>
        <w:t xml:space="preserve"> 126: 36-46.</w:t>
      </w:r>
    </w:p>
    <w:p w14:paraId="6DDD7BAE"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Buck, C. D. 1955, </w:t>
      </w:r>
      <w:r w:rsidRPr="006F6F21">
        <w:rPr>
          <w:rFonts w:cs="Times New Roman"/>
          <w:i/>
        </w:rPr>
        <w:t>The Greek Dialects</w:t>
      </w:r>
      <w:r w:rsidRPr="006F6F21">
        <w:rPr>
          <w:rFonts w:cs="Times New Roman"/>
        </w:rPr>
        <w:t xml:space="preserve">, Chicago. </w:t>
      </w:r>
    </w:p>
    <w:p w14:paraId="64DEBF6A" w14:textId="77777777" w:rsidR="003B2A46" w:rsidRPr="006F6F21" w:rsidRDefault="003B2A46" w:rsidP="004819D9">
      <w:pPr>
        <w:spacing w:before="100" w:after="100" w:line="300" w:lineRule="exact"/>
        <w:ind w:left="567" w:hanging="567"/>
        <w:rPr>
          <w:rFonts w:cs="Times New Roman"/>
        </w:rPr>
      </w:pPr>
      <w:r w:rsidRPr="006F6F21">
        <w:rPr>
          <w:rFonts w:cs="Times New Roman"/>
        </w:rPr>
        <w:t>Budelmann, F. (ed.) 2009,</w:t>
      </w:r>
      <w:r w:rsidRPr="006F6F21">
        <w:rPr>
          <w:rFonts w:cs="Times New Roman"/>
          <w:i/>
        </w:rPr>
        <w:t xml:space="preserve"> The Cambridge Companion to Greek Lyric</w:t>
      </w:r>
      <w:r w:rsidRPr="006F6F21">
        <w:rPr>
          <w:rFonts w:cs="Times New Roman"/>
        </w:rPr>
        <w:t>, Cambridge.</w:t>
      </w:r>
    </w:p>
    <w:p w14:paraId="5062336D"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Bühler, K. 1982 (= 1934), </w:t>
      </w:r>
      <w:r w:rsidRPr="007F1E99">
        <w:rPr>
          <w:rFonts w:cs="Times New Roman"/>
          <w:i/>
          <w:lang w:val="nl-NL"/>
        </w:rPr>
        <w:t>Sprachtheorie: Die Darstellungsfunktion der Sprache</w:t>
      </w:r>
      <w:r w:rsidRPr="007F1E99">
        <w:rPr>
          <w:rFonts w:cs="Times New Roman"/>
          <w:lang w:val="nl-NL"/>
        </w:rPr>
        <w:t>, Stuttgart - New York.</w:t>
      </w:r>
    </w:p>
    <w:p w14:paraId="625BC858" w14:textId="3C799D0F" w:rsidR="003B2A46" w:rsidRPr="006F6F21" w:rsidRDefault="003B2A46" w:rsidP="004819D9">
      <w:pPr>
        <w:spacing w:before="100" w:after="100" w:line="300" w:lineRule="exact"/>
        <w:ind w:left="567" w:hanging="567"/>
        <w:rPr>
          <w:rFonts w:cs="Times New Roman"/>
        </w:rPr>
      </w:pPr>
      <w:r w:rsidRPr="006F6F21">
        <w:rPr>
          <w:rFonts w:cs="Times New Roman"/>
        </w:rPr>
        <w:t xml:space="preserve">Bühler, W. 1964, </w:t>
      </w:r>
      <w:r w:rsidR="00CC0615">
        <w:rPr>
          <w:rFonts w:cs="Times New Roman"/>
        </w:rPr>
        <w:t>“</w:t>
      </w:r>
      <w:r w:rsidRPr="006F6F21">
        <w:rPr>
          <w:rFonts w:cs="Times New Roman"/>
        </w:rPr>
        <w:t>Archilochos und Kallimachos,</w:t>
      </w:r>
      <w:r w:rsidR="00CC0615">
        <w:rPr>
          <w:rFonts w:cs="Times New Roman"/>
        </w:rPr>
        <w:t>”</w:t>
      </w:r>
      <w:r w:rsidRPr="006F6F21">
        <w:rPr>
          <w:rFonts w:cs="Times New Roman"/>
        </w:rPr>
        <w:t xml:space="preserve"> in K. J. Dover and J. Pouilloux (eds.), </w:t>
      </w:r>
      <w:r w:rsidRPr="006F6F21">
        <w:rPr>
          <w:rFonts w:cs="Times New Roman"/>
          <w:i/>
        </w:rPr>
        <w:t>Archiloque</w:t>
      </w:r>
      <w:r>
        <w:rPr>
          <w:rFonts w:cs="Times New Roman"/>
          <w:i/>
        </w:rPr>
        <w:t>: sept exposés et discussions</w:t>
      </w:r>
      <w:r>
        <w:rPr>
          <w:rFonts w:cs="Times New Roman"/>
        </w:rPr>
        <w:t>, Vandoeuvres - Geneva</w:t>
      </w:r>
      <w:r w:rsidRPr="006F6F21">
        <w:rPr>
          <w:rFonts w:cs="Times New Roman"/>
        </w:rPr>
        <w:t>: 223-252.</w:t>
      </w:r>
    </w:p>
    <w:p w14:paraId="7621B973" w14:textId="2D5AF3C9" w:rsidR="003B2A46" w:rsidRPr="006F6F21" w:rsidRDefault="003B2A46" w:rsidP="004819D9">
      <w:pPr>
        <w:spacing w:before="100" w:after="100" w:line="300" w:lineRule="exact"/>
        <w:ind w:left="567" w:hanging="567"/>
        <w:rPr>
          <w:rFonts w:cs="Times New Roman"/>
        </w:rPr>
      </w:pPr>
      <w:r w:rsidRPr="006F6F21">
        <w:rPr>
          <w:rFonts w:cs="Times New Roman"/>
        </w:rPr>
        <w:t xml:space="preserve">Bulloch, A. W. 1992, </w:t>
      </w:r>
      <w:r w:rsidR="00CC0615">
        <w:rPr>
          <w:rFonts w:cs="Times New Roman"/>
        </w:rPr>
        <w:t>“</w:t>
      </w:r>
      <w:r w:rsidRPr="006F6F21">
        <w:rPr>
          <w:rFonts w:cs="Times New Roman"/>
        </w:rPr>
        <w:t>Difference and Dissonance in Hellenistic Poetry,</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Association</w:t>
      </w:r>
      <w:r w:rsidRPr="006F6F21">
        <w:rPr>
          <w:rFonts w:cs="Times New Roman"/>
        </w:rPr>
        <w:t xml:space="preserve"> 122: 331-334.</w:t>
      </w:r>
    </w:p>
    <w:p w14:paraId="06D456AF" w14:textId="77777777" w:rsidR="003B2A46" w:rsidRPr="006F6F21" w:rsidRDefault="003B2A46" w:rsidP="004819D9">
      <w:pPr>
        <w:tabs>
          <w:tab w:val="left" w:pos="567"/>
          <w:tab w:val="left" w:pos="7080"/>
        </w:tabs>
        <w:spacing w:before="100" w:after="100" w:line="300" w:lineRule="exact"/>
        <w:ind w:left="567" w:hanging="567"/>
        <w:rPr>
          <w:rFonts w:cs="Times New Roman"/>
        </w:rPr>
      </w:pPr>
      <w:r w:rsidRPr="006F6F21">
        <w:rPr>
          <w:rFonts w:cs="Times New Roman"/>
        </w:rPr>
        <w:t>Bullock, B. E.</w:t>
      </w:r>
      <w:r>
        <w:rPr>
          <w:rFonts w:cs="Times New Roman"/>
        </w:rPr>
        <w:t xml:space="preserve">, </w:t>
      </w:r>
      <w:r w:rsidRPr="006F6F21">
        <w:rPr>
          <w:rFonts w:cs="Times New Roman"/>
        </w:rPr>
        <w:t>and Toribio</w:t>
      </w:r>
      <w:r>
        <w:rPr>
          <w:rFonts w:cs="Times New Roman"/>
        </w:rPr>
        <w:t xml:space="preserve">, </w:t>
      </w:r>
      <w:r w:rsidRPr="006F6F21">
        <w:rPr>
          <w:rFonts w:cs="Times New Roman"/>
        </w:rPr>
        <w:t>A. J.</w:t>
      </w:r>
      <w:r>
        <w:rPr>
          <w:rFonts w:cs="Times New Roman"/>
        </w:rPr>
        <w:t xml:space="preserve"> (eds.)</w:t>
      </w:r>
      <w:r w:rsidRPr="006F6F21">
        <w:rPr>
          <w:rFonts w:cs="Times New Roman"/>
        </w:rPr>
        <w:t xml:space="preserve"> 2009, </w:t>
      </w:r>
      <w:r w:rsidRPr="006F6F21">
        <w:rPr>
          <w:rFonts w:cs="Times New Roman"/>
          <w:i/>
        </w:rPr>
        <w:t>The Cambridge Handbook of Linguistic Code Switching</w:t>
      </w:r>
      <w:r w:rsidRPr="006F6F21">
        <w:rPr>
          <w:rFonts w:cs="Times New Roman"/>
        </w:rPr>
        <w:t>, Cambridge.</w:t>
      </w:r>
    </w:p>
    <w:p w14:paraId="1B0E2C40"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Burkert, W. 1985, </w:t>
      </w:r>
      <w:r w:rsidRPr="00AF6182">
        <w:rPr>
          <w:rFonts w:cs="Times New Roman"/>
          <w:i/>
        </w:rPr>
        <w:t>Greek Religion</w:t>
      </w:r>
      <w:r w:rsidRPr="006F6F21">
        <w:rPr>
          <w:rFonts w:cs="Times New Roman"/>
        </w:rPr>
        <w:t xml:space="preserve"> (</w:t>
      </w:r>
      <w:r>
        <w:rPr>
          <w:rFonts w:cs="Times New Roman"/>
        </w:rPr>
        <w:t>t</w:t>
      </w:r>
      <w:r w:rsidRPr="006F6F21">
        <w:rPr>
          <w:rFonts w:cs="Times New Roman"/>
        </w:rPr>
        <w:t>ransl. J. Raffan), Cambridge (MA).</w:t>
      </w:r>
    </w:p>
    <w:p w14:paraId="09C46154"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1992, </w:t>
      </w:r>
      <w:r w:rsidRPr="00AF6182">
        <w:rPr>
          <w:rFonts w:cs="Times New Roman"/>
          <w:i/>
        </w:rPr>
        <w:t>The Orientalizing Revolution: Near Eastern Influence on Greek Culture in the Early Archaic Age</w:t>
      </w:r>
      <w:r w:rsidRPr="006F6F21">
        <w:rPr>
          <w:rFonts w:cs="Times New Roman"/>
        </w:rPr>
        <w:t xml:space="preserve"> (</w:t>
      </w:r>
      <w:r>
        <w:rPr>
          <w:rFonts w:cs="Times New Roman"/>
        </w:rPr>
        <w:t>t</w:t>
      </w:r>
      <w:r w:rsidRPr="006F6F21">
        <w:rPr>
          <w:rFonts w:cs="Times New Roman"/>
        </w:rPr>
        <w:t>ransl. E. Pinder), Cambridge (MA).</w:t>
      </w:r>
    </w:p>
    <w:p w14:paraId="4DD69155" w14:textId="708AF7C3"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Burton, J. B. 1995, </w:t>
      </w:r>
      <w:r w:rsidRPr="006F6F21">
        <w:rPr>
          <w:rFonts w:cs="Times New Roman"/>
          <w:i/>
        </w:rPr>
        <w:t>Theocritus</w:t>
      </w:r>
      <w:r w:rsidR="00075F5F">
        <w:rPr>
          <w:rFonts w:cs="Times New Roman"/>
          <w:i/>
        </w:rPr>
        <w:t>’</w:t>
      </w:r>
      <w:r w:rsidRPr="006F6F21">
        <w:rPr>
          <w:rFonts w:cs="Times New Roman"/>
          <w:i/>
        </w:rPr>
        <w:t xml:space="preserve"> Urban Mimes</w:t>
      </w:r>
      <w:r>
        <w:rPr>
          <w:rFonts w:cs="Times New Roman"/>
          <w:i/>
        </w:rPr>
        <w:t xml:space="preserve">: </w:t>
      </w:r>
      <w:r w:rsidRPr="006F6F21">
        <w:rPr>
          <w:rFonts w:cs="Times New Roman"/>
          <w:i/>
        </w:rPr>
        <w:t>Mobility, Gender, and Patronage</w:t>
      </w:r>
      <w:r w:rsidRPr="006F6F21">
        <w:rPr>
          <w:rFonts w:cs="Times New Roman"/>
        </w:rPr>
        <w:t>, Berkeley - Los Angeles.</w:t>
      </w:r>
    </w:p>
    <w:p w14:paraId="3B923E19" w14:textId="191DA7C9"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Calame, C. 1991, </w:t>
      </w:r>
      <w:r w:rsidR="00CC0615">
        <w:rPr>
          <w:rFonts w:cs="Times New Roman"/>
        </w:rPr>
        <w:t>“</w:t>
      </w:r>
      <w:r w:rsidRPr="006F6F21">
        <w:rPr>
          <w:rFonts w:cs="Times New Roman"/>
        </w:rPr>
        <w:t>Quand dire c</w:t>
      </w:r>
      <w:r w:rsidR="00075F5F">
        <w:rPr>
          <w:rFonts w:cs="Times New Roman"/>
        </w:rPr>
        <w:t>’</w:t>
      </w:r>
      <w:r w:rsidRPr="006F6F21">
        <w:rPr>
          <w:rFonts w:cs="Times New Roman"/>
        </w:rPr>
        <w:t>est faire voir: l</w:t>
      </w:r>
      <w:r w:rsidR="00075F5F">
        <w:rPr>
          <w:rFonts w:cs="Times New Roman"/>
        </w:rPr>
        <w:t>’</w:t>
      </w:r>
      <w:r w:rsidRPr="006F6F21">
        <w:rPr>
          <w:rFonts w:cs="Times New Roman"/>
        </w:rPr>
        <w:t>évidence dans la rhétorique antique,</w:t>
      </w:r>
      <w:r w:rsidR="00CC0615">
        <w:rPr>
          <w:rFonts w:cs="Times New Roman"/>
        </w:rPr>
        <w:t>”</w:t>
      </w:r>
      <w:r w:rsidRPr="006F6F21">
        <w:rPr>
          <w:rFonts w:cs="Times New Roman"/>
        </w:rPr>
        <w:t xml:space="preserve"> </w:t>
      </w:r>
      <w:r w:rsidRPr="006F6F21">
        <w:rPr>
          <w:rFonts w:cs="Times New Roman"/>
          <w:i/>
        </w:rPr>
        <w:t>Études de Lettres</w:t>
      </w:r>
      <w:r w:rsidRPr="006F6F21">
        <w:rPr>
          <w:rFonts w:cs="Times New Roman"/>
        </w:rPr>
        <w:t xml:space="preserve"> 4: 3-22.</w:t>
      </w:r>
    </w:p>
    <w:p w14:paraId="74652536" w14:textId="5171371F" w:rsidR="003B2A46" w:rsidRPr="00AF6182" w:rsidRDefault="003B2A46" w:rsidP="004819D9">
      <w:pPr>
        <w:autoSpaceDE w:val="0"/>
        <w:autoSpaceDN w:val="0"/>
        <w:adjustRightInd w:val="0"/>
        <w:spacing w:before="100" w:after="100" w:line="300" w:lineRule="exact"/>
        <w:ind w:left="567" w:hanging="567"/>
        <w:rPr>
          <w:rFonts w:cs="Times New Roman"/>
        </w:rPr>
      </w:pPr>
      <w:r w:rsidRPr="00E62762">
        <w:rPr>
          <w:rFonts w:cs="Times New Roman"/>
        </w:rPr>
        <w:lastRenderedPageBreak/>
        <w:t>—</w:t>
      </w:r>
      <w:r>
        <w:rPr>
          <w:rFonts w:cs="Times New Roman"/>
        </w:rPr>
        <w:t xml:space="preserve"> </w:t>
      </w:r>
      <w:r w:rsidRPr="00AF6182">
        <w:rPr>
          <w:rFonts w:cs="Times New Roman"/>
        </w:rPr>
        <w:t xml:space="preserve">2004, </w:t>
      </w:r>
      <w:r w:rsidR="00CC0615">
        <w:rPr>
          <w:rFonts w:cs="Times New Roman"/>
        </w:rPr>
        <w:t>“</w:t>
      </w:r>
      <w:r w:rsidRPr="00AF6182">
        <w:rPr>
          <w:rFonts w:cs="Times New Roman"/>
        </w:rPr>
        <w:t>Deictic Ambiguity and Auto-Referentiality: Some Examples from Greek Poetics,</w:t>
      </w:r>
      <w:r w:rsidR="00CC0615">
        <w:rPr>
          <w:rFonts w:cs="Times New Roman"/>
        </w:rPr>
        <w:t>”</w:t>
      </w:r>
      <w:r w:rsidRPr="00AF6182">
        <w:rPr>
          <w:rFonts w:cs="Times New Roman"/>
        </w:rPr>
        <w:t xml:space="preserve"> </w:t>
      </w:r>
      <w:r w:rsidRPr="006B7426">
        <w:rPr>
          <w:rFonts w:cs="Times New Roman"/>
          <w:i/>
        </w:rPr>
        <w:t>Arethusa</w:t>
      </w:r>
      <w:r w:rsidRPr="00AF6182">
        <w:rPr>
          <w:rFonts w:cs="Times New Roman"/>
        </w:rPr>
        <w:t xml:space="preserve"> 37: 415-443.</w:t>
      </w:r>
    </w:p>
    <w:p w14:paraId="67518A8A" w14:textId="77777777" w:rsidR="003B2A46" w:rsidRPr="00E62762" w:rsidRDefault="003B2A46" w:rsidP="004819D9">
      <w:pPr>
        <w:spacing w:before="100" w:after="100" w:line="300" w:lineRule="exact"/>
        <w:ind w:left="567" w:hanging="567"/>
      </w:pPr>
      <w:r w:rsidRPr="00E62762">
        <w:rPr>
          <w:rFonts w:cs="Times New Roman"/>
        </w:rPr>
        <w:t>—</w:t>
      </w:r>
      <w:r>
        <w:rPr>
          <w:rFonts w:cs="Times New Roman"/>
        </w:rPr>
        <w:t xml:space="preserve"> 2005, </w:t>
      </w:r>
      <w:r w:rsidRPr="00AF6182">
        <w:rPr>
          <w:rFonts w:cs="Times New Roman"/>
          <w:i/>
        </w:rPr>
        <w:t>Masks of Authority: Fictions and Pragmatics in Ancient Greeks Poetics</w:t>
      </w:r>
      <w:r>
        <w:rPr>
          <w:rFonts w:cs="Times New Roman"/>
        </w:rPr>
        <w:t xml:space="preserve"> (transl. P. M. Burk), Ithaca - London.</w:t>
      </w:r>
    </w:p>
    <w:p w14:paraId="3E3CCF23"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Callahan, L. 2004, </w:t>
      </w:r>
      <w:r w:rsidRPr="006F6F21">
        <w:rPr>
          <w:rFonts w:cs="Times New Roman"/>
          <w:i/>
        </w:rPr>
        <w:t>Spanish/English Codeswitching in a Written Corpus</w:t>
      </w:r>
      <w:r w:rsidRPr="006F6F21">
        <w:rPr>
          <w:rFonts w:cs="Times New Roman"/>
        </w:rPr>
        <w:t>, Amsterdam</w:t>
      </w:r>
      <w:r>
        <w:rPr>
          <w:rFonts w:cs="Times New Roman"/>
        </w:rPr>
        <w:t xml:space="preserve"> </w:t>
      </w:r>
      <w:r w:rsidRPr="006F6F21">
        <w:rPr>
          <w:rFonts w:cs="Times New Roman"/>
        </w:rPr>
        <w:t>-</w:t>
      </w:r>
      <w:r>
        <w:rPr>
          <w:rFonts w:cs="Times New Roman"/>
        </w:rPr>
        <w:t xml:space="preserve"> </w:t>
      </w:r>
      <w:r w:rsidRPr="006F6F21">
        <w:rPr>
          <w:rFonts w:cs="Times New Roman"/>
        </w:rPr>
        <w:t>Philadelphia.</w:t>
      </w:r>
    </w:p>
    <w:p w14:paraId="3DE346FC" w14:textId="76E76E24" w:rsidR="003B2A46" w:rsidRPr="006F6F21" w:rsidRDefault="003B2A46" w:rsidP="004819D9">
      <w:pPr>
        <w:spacing w:before="100" w:after="100" w:line="300" w:lineRule="exact"/>
        <w:ind w:left="567" w:hanging="567"/>
        <w:rPr>
          <w:rFonts w:cs="Times New Roman"/>
        </w:rPr>
      </w:pPr>
      <w:r w:rsidRPr="006F6F21">
        <w:rPr>
          <w:rFonts w:cs="Times New Roman"/>
        </w:rPr>
        <w:t xml:space="preserve">Cameron, A. 1992, </w:t>
      </w:r>
      <w:r w:rsidR="00CC0615">
        <w:rPr>
          <w:rFonts w:cs="Times New Roman"/>
        </w:rPr>
        <w:t>“</w:t>
      </w:r>
      <w:r w:rsidRPr="006F6F21">
        <w:rPr>
          <w:rFonts w:cs="Times New Roman"/>
        </w:rPr>
        <w:t>Genre and Style in Callimachus,</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Association</w:t>
      </w:r>
      <w:r w:rsidRPr="006F6F21">
        <w:rPr>
          <w:rFonts w:cs="Times New Roman"/>
        </w:rPr>
        <w:t xml:space="preserve"> 122: 305-312</w:t>
      </w:r>
    </w:p>
    <w:p w14:paraId="53270025" w14:textId="77777777" w:rsidR="003B2A46" w:rsidRDefault="003B2A46" w:rsidP="004819D9">
      <w:pPr>
        <w:spacing w:before="100" w:after="100" w:line="300" w:lineRule="exact"/>
        <w:ind w:left="567" w:hanging="567"/>
        <w:rPr>
          <w:rFonts w:cs="Times New Roman"/>
        </w:rPr>
      </w:pPr>
      <w:r w:rsidRPr="006F6F21">
        <w:rPr>
          <w:rFonts w:cs="Times New Roman"/>
        </w:rPr>
        <w:t xml:space="preserve">— 1995, </w:t>
      </w:r>
      <w:r w:rsidRPr="006F6F21">
        <w:rPr>
          <w:rFonts w:cs="Times New Roman"/>
          <w:i/>
        </w:rPr>
        <w:t>Callimachus and His Critics</w:t>
      </w:r>
      <w:r w:rsidRPr="006F6F21">
        <w:rPr>
          <w:rFonts w:cs="Times New Roman"/>
        </w:rPr>
        <w:t>, Princeton.</w:t>
      </w:r>
    </w:p>
    <w:p w14:paraId="1A3D7A0A" w14:textId="4F275B47" w:rsidR="003B2A46" w:rsidRPr="006F6F21" w:rsidRDefault="003B2A46" w:rsidP="004819D9">
      <w:pPr>
        <w:spacing w:before="100" w:after="100" w:line="300" w:lineRule="exact"/>
        <w:ind w:left="567" w:hanging="567"/>
        <w:rPr>
          <w:rFonts w:cs="Times New Roman"/>
        </w:rPr>
      </w:pPr>
      <w:r w:rsidRPr="006F6F21">
        <w:rPr>
          <w:rFonts w:cs="Times New Roman"/>
        </w:rPr>
        <w:t xml:space="preserve">Carey, C. 1986, </w:t>
      </w:r>
      <w:r w:rsidR="00CC0615">
        <w:rPr>
          <w:rFonts w:cs="Times New Roman"/>
        </w:rPr>
        <w:t>“</w:t>
      </w:r>
      <w:r w:rsidRPr="006F6F21">
        <w:rPr>
          <w:rFonts w:cs="Times New Roman"/>
        </w:rPr>
        <w:t>Archilochus and Lycambes,</w:t>
      </w:r>
      <w:r w:rsidR="00CC0615">
        <w:rPr>
          <w:rFonts w:cs="Times New Roman"/>
        </w:rPr>
        <w:t>”</w:t>
      </w:r>
      <w:r w:rsidRPr="006F6F21">
        <w:rPr>
          <w:rFonts w:cs="Times New Roman"/>
        </w:rPr>
        <w:t xml:space="preserve"> </w:t>
      </w:r>
      <w:r>
        <w:rPr>
          <w:rFonts w:cs="Times New Roman"/>
          <w:i/>
        </w:rPr>
        <w:t>Classical Quarterly</w:t>
      </w:r>
      <w:r w:rsidRPr="006F6F21">
        <w:rPr>
          <w:rFonts w:cs="Times New Roman"/>
        </w:rPr>
        <w:t xml:space="preserve"> 36: 60-67.</w:t>
      </w:r>
    </w:p>
    <w:p w14:paraId="437F8901" w14:textId="0B2F3765" w:rsidR="003B2A46" w:rsidRPr="006F6F21" w:rsidRDefault="003B2A46" w:rsidP="004819D9">
      <w:pPr>
        <w:spacing w:before="100" w:after="100" w:line="300" w:lineRule="exact"/>
        <w:ind w:left="567" w:hanging="567"/>
        <w:rPr>
          <w:rFonts w:cs="Times New Roman"/>
        </w:rPr>
      </w:pPr>
      <w:r w:rsidRPr="006F6F21">
        <w:rPr>
          <w:rFonts w:cs="Times New Roman"/>
        </w:rPr>
        <w:t>—</w:t>
      </w:r>
      <w:r w:rsidR="00E05ADC">
        <w:rPr>
          <w:rFonts w:cs="Times New Roman"/>
        </w:rPr>
        <w:t xml:space="preserve"> </w:t>
      </w:r>
      <w:r w:rsidRPr="006F6F21">
        <w:rPr>
          <w:rFonts w:cs="Times New Roman"/>
        </w:rPr>
        <w:t xml:space="preserve">2008, </w:t>
      </w:r>
      <w:r w:rsidR="00CC0615">
        <w:rPr>
          <w:rFonts w:cs="Times New Roman"/>
        </w:rPr>
        <w:t>“</w:t>
      </w:r>
      <w:r w:rsidRPr="006F6F21">
        <w:rPr>
          <w:rFonts w:cs="Times New Roman"/>
        </w:rPr>
        <w:t>Hipponax Narrator,</w:t>
      </w:r>
      <w:r w:rsidR="00CC0615">
        <w:rPr>
          <w:rFonts w:cs="Times New Roman"/>
        </w:rPr>
        <w:t>”</w:t>
      </w:r>
      <w:r w:rsidRPr="006F6F21">
        <w:rPr>
          <w:rFonts w:cs="Times New Roman"/>
        </w:rPr>
        <w:t xml:space="preserve"> </w:t>
      </w:r>
      <w:r w:rsidRPr="006F6F21">
        <w:rPr>
          <w:rFonts w:cs="Times New Roman"/>
          <w:i/>
        </w:rPr>
        <w:t>A</w:t>
      </w:r>
      <w:r>
        <w:rPr>
          <w:rFonts w:cs="Times New Roman"/>
          <w:i/>
        </w:rPr>
        <w:t xml:space="preserve">cta </w:t>
      </w:r>
      <w:r w:rsidRPr="006F6F21">
        <w:rPr>
          <w:rFonts w:cs="Times New Roman"/>
          <w:i/>
        </w:rPr>
        <w:t>Ant</w:t>
      </w:r>
      <w:r>
        <w:rPr>
          <w:rFonts w:cs="Times New Roman"/>
          <w:i/>
        </w:rPr>
        <w:t xml:space="preserve">iqua Academiae Scientiarum </w:t>
      </w:r>
      <w:r w:rsidRPr="006F6F21">
        <w:rPr>
          <w:rFonts w:cs="Times New Roman"/>
          <w:i/>
        </w:rPr>
        <w:t>Hung</w:t>
      </w:r>
      <w:r>
        <w:rPr>
          <w:rFonts w:cs="Times New Roman"/>
          <w:i/>
        </w:rPr>
        <w:t>aricae</w:t>
      </w:r>
      <w:r w:rsidRPr="006F6F21">
        <w:rPr>
          <w:rFonts w:cs="Times New Roman"/>
        </w:rPr>
        <w:t xml:space="preserve"> 48: 89-102.</w:t>
      </w:r>
    </w:p>
    <w:p w14:paraId="0EB7CE1F" w14:textId="63C5FCE7" w:rsidR="003B2A46" w:rsidRPr="006F6F21" w:rsidRDefault="003B2A46" w:rsidP="004819D9">
      <w:pPr>
        <w:spacing w:before="100" w:after="100" w:line="300" w:lineRule="exact"/>
        <w:ind w:left="567" w:hanging="567"/>
        <w:rPr>
          <w:rFonts w:cs="Times New Roman"/>
        </w:rPr>
      </w:pPr>
      <w:r w:rsidRPr="006F6F21">
        <w:rPr>
          <w:rFonts w:cs="Times New Roman"/>
        </w:rPr>
        <w:t xml:space="preserve">— 2009, </w:t>
      </w:r>
      <w:r w:rsidR="00CC0615">
        <w:rPr>
          <w:rFonts w:cs="Times New Roman"/>
        </w:rPr>
        <w:t>“</w:t>
      </w:r>
      <w:r w:rsidRPr="006F6F21">
        <w:rPr>
          <w:rFonts w:cs="Times New Roman"/>
        </w:rPr>
        <w:t>Iambos,</w:t>
      </w:r>
      <w:r w:rsidR="00CC0615">
        <w:rPr>
          <w:rFonts w:cs="Times New Roman"/>
        </w:rPr>
        <w:t>”</w:t>
      </w:r>
      <w:r w:rsidRPr="006F6F21">
        <w:rPr>
          <w:rFonts w:cs="Times New Roman"/>
        </w:rPr>
        <w:t xml:space="preserve"> in F. Budelmann (ed.),</w:t>
      </w:r>
      <w:r w:rsidRPr="006F6F21">
        <w:rPr>
          <w:rFonts w:cs="Times New Roman"/>
          <w:i/>
        </w:rPr>
        <w:t xml:space="preserve"> The Cambridge Companion to Greek Lyric</w:t>
      </w:r>
      <w:r w:rsidRPr="006F6F21">
        <w:rPr>
          <w:rFonts w:cs="Times New Roman"/>
        </w:rPr>
        <w:t>, Cambridge: 149-167.</w:t>
      </w:r>
    </w:p>
    <w:p w14:paraId="3C6B3E2C" w14:textId="46CA738D" w:rsidR="003B2A46" w:rsidRPr="006F6F21" w:rsidRDefault="003B2A46" w:rsidP="004819D9">
      <w:pPr>
        <w:spacing w:before="100" w:after="100" w:line="300" w:lineRule="exact"/>
        <w:ind w:left="567" w:hanging="567"/>
        <w:rPr>
          <w:rFonts w:cs="Times New Roman"/>
        </w:rPr>
      </w:pPr>
      <w:r w:rsidRPr="006F6F21">
        <w:rPr>
          <w:rFonts w:cs="Times New Roman"/>
        </w:rPr>
        <w:t xml:space="preserve">— 2016, </w:t>
      </w:r>
      <w:r w:rsidR="00CC0615">
        <w:rPr>
          <w:rFonts w:cs="Times New Roman"/>
        </w:rPr>
        <w:t>“</w:t>
      </w:r>
      <w:r w:rsidRPr="006F6F21">
        <w:rPr>
          <w:rFonts w:cs="Times New Roman"/>
        </w:rPr>
        <w:t xml:space="preserve">Mapping </w:t>
      </w:r>
      <w:r w:rsidRPr="006F6F21">
        <w:rPr>
          <w:rFonts w:cs="Times New Roman"/>
          <w:i/>
        </w:rPr>
        <w:t>Iambos</w:t>
      </w:r>
      <w:r w:rsidRPr="006F6F21">
        <w:rPr>
          <w:rFonts w:cs="Times New Roman"/>
        </w:rPr>
        <w:t>: Mining the Minor Talents,</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122-139.</w:t>
      </w:r>
    </w:p>
    <w:p w14:paraId="793CFFB0" w14:textId="68D6BA85"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Carrière, J. C. 1979, </w:t>
      </w:r>
      <w:r w:rsidRPr="006F6F21">
        <w:rPr>
          <w:rFonts w:cs="Times New Roman"/>
          <w:i/>
        </w:rPr>
        <w:t>Le carnaval et la politique</w:t>
      </w:r>
      <w:r>
        <w:rPr>
          <w:rFonts w:cs="Times New Roman"/>
          <w:i/>
        </w:rPr>
        <w:t>: u</w:t>
      </w:r>
      <w:r w:rsidRPr="006F6F21">
        <w:rPr>
          <w:rFonts w:cs="Times New Roman"/>
          <w:i/>
        </w:rPr>
        <w:t>ne introduction à la comédie grecque suivie d</w:t>
      </w:r>
      <w:r w:rsidR="00075F5F">
        <w:rPr>
          <w:rFonts w:cs="Times New Roman"/>
          <w:i/>
        </w:rPr>
        <w:t>’</w:t>
      </w:r>
      <w:r w:rsidRPr="006F6F21">
        <w:rPr>
          <w:rFonts w:cs="Times New Roman"/>
          <w:i/>
        </w:rPr>
        <w:t>un choix de fragments</w:t>
      </w:r>
      <w:r w:rsidRPr="006F6F21">
        <w:rPr>
          <w:rFonts w:cs="Times New Roman"/>
        </w:rPr>
        <w:t>, Paris.</w:t>
      </w:r>
    </w:p>
    <w:p w14:paraId="3429FDB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Cassio, A. C. (ed.) 2008, </w:t>
      </w:r>
      <w:r w:rsidRPr="006F6F21">
        <w:rPr>
          <w:rFonts w:cs="Times New Roman"/>
          <w:i/>
        </w:rPr>
        <w:t>Storia delle lingue letterarie greche</w:t>
      </w:r>
      <w:r w:rsidRPr="006F6F21">
        <w:rPr>
          <w:rFonts w:cs="Times New Roman"/>
        </w:rPr>
        <w:t>, Milan.</w:t>
      </w:r>
    </w:p>
    <w:p w14:paraId="49F85723" w14:textId="3BA50E06" w:rsidR="003B2A46" w:rsidRPr="006F6F21" w:rsidRDefault="003B2A46" w:rsidP="004819D9">
      <w:pPr>
        <w:spacing w:before="100" w:after="100" w:line="300" w:lineRule="exact"/>
        <w:ind w:left="567" w:hanging="567"/>
        <w:rPr>
          <w:rFonts w:cs="Times New Roman"/>
        </w:rPr>
      </w:pPr>
      <w:r w:rsidRPr="006F6F21">
        <w:rPr>
          <w:rFonts w:cs="Times New Roman"/>
        </w:rPr>
        <w:t xml:space="preserve">— 2008, </w:t>
      </w:r>
      <w:r w:rsidR="00CC0615">
        <w:rPr>
          <w:rFonts w:cs="Times New Roman"/>
        </w:rPr>
        <w:t>“</w:t>
      </w:r>
      <w:r w:rsidRPr="006F6F21">
        <w:rPr>
          <w:rFonts w:cs="Times New Roman"/>
        </w:rPr>
        <w:t>Introduzione generale,</w:t>
      </w:r>
      <w:r w:rsidR="00CC0615">
        <w:rPr>
          <w:rFonts w:cs="Times New Roman"/>
        </w:rPr>
        <w:t>”</w:t>
      </w:r>
      <w:r w:rsidRPr="006F6F21">
        <w:rPr>
          <w:rFonts w:cs="Times New Roman"/>
        </w:rPr>
        <w:t xml:space="preserve"> in A. C. Cassio (ed.), </w:t>
      </w:r>
      <w:r w:rsidRPr="006F6F21">
        <w:rPr>
          <w:rFonts w:cs="Times New Roman"/>
          <w:i/>
        </w:rPr>
        <w:t>Storia delle lingue letterarie greche</w:t>
      </w:r>
      <w:r w:rsidRPr="006F6F21">
        <w:rPr>
          <w:rFonts w:cs="Times New Roman"/>
        </w:rPr>
        <w:t>, Milan: 3-96.</w:t>
      </w:r>
    </w:p>
    <w:p w14:paraId="5733AFE2" w14:textId="77777777" w:rsidR="003B2A46" w:rsidRPr="006F6F21" w:rsidRDefault="003B2A46" w:rsidP="004819D9">
      <w:pPr>
        <w:spacing w:before="100" w:after="100" w:line="300" w:lineRule="exact"/>
        <w:ind w:left="567" w:hanging="567"/>
        <w:rPr>
          <w:rFonts w:cs="Times New Roman"/>
        </w:rPr>
      </w:pPr>
      <w:r w:rsidRPr="006F6F21">
        <w:rPr>
          <w:rFonts w:cs="Times New Roman"/>
        </w:rPr>
        <w:t>Cavarzese, A., Aloni, A.</w:t>
      </w:r>
      <w:r>
        <w:rPr>
          <w:rFonts w:cs="Times New Roman"/>
        </w:rPr>
        <w:t>,</w:t>
      </w:r>
      <w:r w:rsidRPr="006F6F21">
        <w:rPr>
          <w:rFonts w:cs="Times New Roman"/>
        </w:rPr>
        <w:t xml:space="preserve"> and Barchiesi</w:t>
      </w:r>
      <w:r>
        <w:rPr>
          <w:rFonts w:cs="Times New Roman"/>
        </w:rPr>
        <w:t>, A.</w:t>
      </w:r>
      <w:r w:rsidRPr="006F6F21">
        <w:rPr>
          <w:rFonts w:cs="Times New Roman"/>
        </w:rPr>
        <w:t xml:space="preserve"> (eds.) 2001, </w:t>
      </w:r>
      <w:r w:rsidRPr="006F6F21">
        <w:rPr>
          <w:rFonts w:cs="Times New Roman"/>
          <w:i/>
        </w:rPr>
        <w:t>Iambic Ideas: Essays on a Poetic Tradition from Archaic Greece to the Late Roman Empire</w:t>
      </w:r>
      <w:r w:rsidRPr="006F6F21">
        <w:rPr>
          <w:rFonts w:cs="Times New Roman"/>
        </w:rPr>
        <w:t>, Lanham.</w:t>
      </w:r>
    </w:p>
    <w:p w14:paraId="74EF4698" w14:textId="34010DA5" w:rsidR="003B2A46" w:rsidRPr="006F6F21" w:rsidRDefault="003B2A46" w:rsidP="004819D9">
      <w:pPr>
        <w:spacing w:before="100" w:after="100" w:line="300" w:lineRule="exact"/>
        <w:ind w:left="567" w:hanging="567"/>
        <w:rPr>
          <w:rFonts w:cs="Times New Roman"/>
        </w:rPr>
      </w:pPr>
      <w:r w:rsidRPr="006F6F21">
        <w:rPr>
          <w:rFonts w:cs="Times New Roman"/>
        </w:rPr>
        <w:t xml:space="preserve">Chafe, W. L. 1980, </w:t>
      </w:r>
      <w:r w:rsidR="00CC0615">
        <w:rPr>
          <w:rFonts w:cs="Times New Roman"/>
        </w:rPr>
        <w:t>“</w:t>
      </w:r>
      <w:r w:rsidRPr="006F6F21">
        <w:rPr>
          <w:rFonts w:cs="Times New Roman"/>
        </w:rPr>
        <w:t>The Deployment of Consciousness in the Production of a Narrative,</w:t>
      </w:r>
      <w:r w:rsidR="00CC0615">
        <w:rPr>
          <w:rFonts w:cs="Times New Roman"/>
        </w:rPr>
        <w:t>”</w:t>
      </w:r>
      <w:r w:rsidRPr="006F6F21">
        <w:rPr>
          <w:rFonts w:cs="Times New Roman"/>
        </w:rPr>
        <w:t xml:space="preserve"> in W. L. Chafe (ed.), </w:t>
      </w:r>
      <w:r w:rsidRPr="006F6F21">
        <w:rPr>
          <w:rFonts w:cs="Times New Roman"/>
          <w:i/>
        </w:rPr>
        <w:t>The Pear Stories: Cognitive, Cultural, and Linguistic Aspects of Narrative Production</w:t>
      </w:r>
      <w:r w:rsidRPr="006F6F21">
        <w:rPr>
          <w:rFonts w:cs="Times New Roman"/>
        </w:rPr>
        <w:t>, Norwood (NJ): 9-50.</w:t>
      </w:r>
    </w:p>
    <w:p w14:paraId="1A7418BA"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1994, </w:t>
      </w:r>
      <w:r w:rsidRPr="006F6F21">
        <w:rPr>
          <w:rFonts w:cs="Times New Roman"/>
          <w:i/>
        </w:rPr>
        <w:t>Discourse, Consciousness, and Time: The Flow and Displacement of Conscious Experience in Speaking and Writing</w:t>
      </w:r>
      <w:r w:rsidRPr="006F6F21">
        <w:rPr>
          <w:rFonts w:cs="Times New Roman"/>
        </w:rPr>
        <w:t>, Chicago - London.</w:t>
      </w:r>
    </w:p>
    <w:p w14:paraId="72E5536F" w14:textId="6736C45A" w:rsidR="003B2A46" w:rsidRPr="006F6F21" w:rsidRDefault="003B2A46" w:rsidP="004819D9">
      <w:pPr>
        <w:spacing w:before="100" w:after="100" w:line="300" w:lineRule="exact"/>
        <w:ind w:left="567" w:hanging="567"/>
        <w:rPr>
          <w:rFonts w:cs="Times New Roman"/>
        </w:rPr>
      </w:pPr>
      <w:r w:rsidRPr="006F6F21">
        <w:rPr>
          <w:rFonts w:cs="Times New Roman"/>
        </w:rPr>
        <w:t xml:space="preserve">Chahoud, A. 2010, </w:t>
      </w:r>
      <w:r w:rsidR="00CC0615">
        <w:rPr>
          <w:rFonts w:cs="Times New Roman"/>
        </w:rPr>
        <w:t>“</w:t>
      </w:r>
      <w:r w:rsidRPr="006F6F21">
        <w:rPr>
          <w:rFonts w:cs="Times New Roman"/>
        </w:rPr>
        <w:t xml:space="preserve">Idiom(s) and </w:t>
      </w:r>
      <w:r>
        <w:rPr>
          <w:rFonts w:cs="Times New Roman"/>
        </w:rPr>
        <w:t>L</w:t>
      </w:r>
      <w:r w:rsidRPr="006F6F21">
        <w:rPr>
          <w:rFonts w:cs="Times New Roman"/>
        </w:rPr>
        <w:t xml:space="preserve">iterariness in </w:t>
      </w:r>
      <w:r>
        <w:rPr>
          <w:rFonts w:cs="Times New Roman"/>
        </w:rPr>
        <w:t>C</w:t>
      </w:r>
      <w:r w:rsidRPr="006F6F21">
        <w:rPr>
          <w:rFonts w:cs="Times New Roman"/>
        </w:rPr>
        <w:t xml:space="preserve">lassical </w:t>
      </w:r>
      <w:r>
        <w:rPr>
          <w:rFonts w:cs="Times New Roman"/>
        </w:rPr>
        <w:t>L</w:t>
      </w:r>
      <w:r w:rsidRPr="006F6F21">
        <w:rPr>
          <w:rFonts w:cs="Times New Roman"/>
        </w:rPr>
        <w:t xml:space="preserve">iterary </w:t>
      </w:r>
      <w:r>
        <w:rPr>
          <w:rFonts w:cs="Times New Roman"/>
        </w:rPr>
        <w:t>C</w:t>
      </w:r>
      <w:r w:rsidRPr="006F6F21">
        <w:rPr>
          <w:rFonts w:cs="Times New Roman"/>
        </w:rPr>
        <w:t>riticism,</w:t>
      </w:r>
      <w:r w:rsidR="00CC0615">
        <w:rPr>
          <w:rFonts w:cs="Times New Roman"/>
        </w:rPr>
        <w:t>”</w:t>
      </w:r>
      <w:r w:rsidRPr="006F6F21">
        <w:rPr>
          <w:rFonts w:cs="Times New Roman"/>
        </w:rPr>
        <w:t xml:space="preserve"> in E. Dickey and A. Chahoud (eds.), </w:t>
      </w:r>
      <w:r w:rsidRPr="006F6F21">
        <w:rPr>
          <w:rFonts w:cs="Times New Roman"/>
          <w:i/>
        </w:rPr>
        <w:t>Colloquial and Literary Latin</w:t>
      </w:r>
      <w:r w:rsidRPr="006F6F21">
        <w:rPr>
          <w:rFonts w:cs="Times New Roman"/>
        </w:rPr>
        <w:t>, Cambridge: 42-64.</w:t>
      </w:r>
    </w:p>
    <w:p w14:paraId="62BECE8C" w14:textId="749976BA"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Chan, B. H.-S. 2008, </w:t>
      </w:r>
      <w:r w:rsidR="00CC0615">
        <w:rPr>
          <w:rFonts w:cs="Times New Roman"/>
        </w:rPr>
        <w:t>“</w:t>
      </w:r>
      <w:r w:rsidRPr="006F6F21">
        <w:rPr>
          <w:rFonts w:cs="Times New Roman"/>
        </w:rPr>
        <w:t>Code-</w:t>
      </w:r>
      <w:r>
        <w:rPr>
          <w:rFonts w:cs="Times New Roman"/>
        </w:rPr>
        <w:t>S</w:t>
      </w:r>
      <w:r w:rsidRPr="006F6F21">
        <w:rPr>
          <w:rFonts w:cs="Times New Roman"/>
        </w:rPr>
        <w:t xml:space="preserve">witching, </w:t>
      </w:r>
      <w:r>
        <w:rPr>
          <w:rFonts w:cs="Times New Roman"/>
        </w:rPr>
        <w:t>W</w:t>
      </w:r>
      <w:r w:rsidRPr="006F6F21">
        <w:rPr>
          <w:rFonts w:cs="Times New Roman"/>
        </w:rPr>
        <w:t xml:space="preserve">ord </w:t>
      </w:r>
      <w:r>
        <w:rPr>
          <w:rFonts w:cs="Times New Roman"/>
        </w:rPr>
        <w:t>O</w:t>
      </w:r>
      <w:r w:rsidRPr="006F6F21">
        <w:rPr>
          <w:rFonts w:cs="Times New Roman"/>
        </w:rPr>
        <w:t xml:space="preserve">rder and the </w:t>
      </w:r>
      <w:r>
        <w:rPr>
          <w:rFonts w:cs="Times New Roman"/>
        </w:rPr>
        <w:t>L</w:t>
      </w:r>
      <w:r w:rsidRPr="006F6F21">
        <w:rPr>
          <w:rFonts w:cs="Times New Roman"/>
        </w:rPr>
        <w:t>exical/</w:t>
      </w:r>
      <w:r>
        <w:rPr>
          <w:rFonts w:cs="Times New Roman"/>
        </w:rPr>
        <w:t>F</w:t>
      </w:r>
      <w:r w:rsidRPr="006F6F21">
        <w:rPr>
          <w:rFonts w:cs="Times New Roman"/>
        </w:rPr>
        <w:t xml:space="preserve">unctional </w:t>
      </w:r>
      <w:r>
        <w:rPr>
          <w:rFonts w:cs="Times New Roman"/>
        </w:rPr>
        <w:t>C</w:t>
      </w:r>
      <w:r w:rsidRPr="006F6F21">
        <w:rPr>
          <w:rFonts w:cs="Times New Roman"/>
        </w:rPr>
        <w:t xml:space="preserve">ategory </w:t>
      </w:r>
      <w:r>
        <w:rPr>
          <w:rFonts w:cs="Times New Roman"/>
        </w:rPr>
        <w:t>D</w:t>
      </w:r>
      <w:r w:rsidRPr="006F6F21">
        <w:rPr>
          <w:rFonts w:cs="Times New Roman"/>
        </w:rPr>
        <w:t>istinction,</w:t>
      </w:r>
      <w:r w:rsidR="00CC0615">
        <w:rPr>
          <w:rFonts w:cs="Times New Roman"/>
        </w:rPr>
        <w:t>”</w:t>
      </w:r>
      <w:r w:rsidRPr="006F6F21">
        <w:rPr>
          <w:rFonts w:cs="Times New Roman"/>
        </w:rPr>
        <w:t xml:space="preserve"> </w:t>
      </w:r>
      <w:r w:rsidRPr="006F6F21">
        <w:rPr>
          <w:rFonts w:cs="Times New Roman"/>
          <w:i/>
        </w:rPr>
        <w:t>Lingua</w:t>
      </w:r>
      <w:r w:rsidRPr="006F6F21">
        <w:rPr>
          <w:rFonts w:cs="Times New Roman"/>
        </w:rPr>
        <w:t xml:space="preserve"> 118</w:t>
      </w:r>
      <w:r>
        <w:rPr>
          <w:rFonts w:cs="Times New Roman"/>
        </w:rPr>
        <w:t>.6</w:t>
      </w:r>
      <w:r w:rsidRPr="006F6F21">
        <w:rPr>
          <w:rFonts w:cs="Times New Roman"/>
        </w:rPr>
        <w:t>: 777-809.</w:t>
      </w:r>
    </w:p>
    <w:p w14:paraId="4D06A933" w14:textId="77777777" w:rsidR="003B2A46" w:rsidRDefault="003B2A46" w:rsidP="004819D9">
      <w:pPr>
        <w:spacing w:before="100" w:after="100" w:line="300" w:lineRule="exact"/>
        <w:ind w:left="567" w:hanging="567"/>
        <w:rPr>
          <w:rFonts w:cs="Times New Roman"/>
        </w:rPr>
      </w:pPr>
      <w:r w:rsidRPr="006F6F21">
        <w:rPr>
          <w:rFonts w:cs="Times New Roman"/>
        </w:rPr>
        <w:t xml:space="preserve">Chantraine, P. 1942, </w:t>
      </w:r>
      <w:r w:rsidRPr="006F6F21">
        <w:rPr>
          <w:rFonts w:cs="Times New Roman"/>
          <w:i/>
        </w:rPr>
        <w:t>Grammaire hom</w:t>
      </w:r>
      <w:r>
        <w:rPr>
          <w:rFonts w:cs="Times New Roman"/>
          <w:i/>
        </w:rPr>
        <w:t>é</w:t>
      </w:r>
      <w:r w:rsidRPr="006F6F21">
        <w:rPr>
          <w:rFonts w:cs="Times New Roman"/>
          <w:i/>
        </w:rPr>
        <w:t>rique</w:t>
      </w:r>
      <w:r>
        <w:rPr>
          <w:rFonts w:cs="Times New Roman"/>
          <w:i/>
        </w:rPr>
        <w:t>. Phonétique et Morphologie</w:t>
      </w:r>
      <w:r w:rsidRPr="006F6F21">
        <w:rPr>
          <w:rFonts w:cs="Times New Roman"/>
        </w:rPr>
        <w:t>, Paris.</w:t>
      </w:r>
    </w:p>
    <w:p w14:paraId="1395E94A" w14:textId="77777777" w:rsidR="003B2A46" w:rsidRPr="006F6F21"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1948-1953, </w:t>
      </w:r>
      <w:r w:rsidRPr="006F6F21">
        <w:rPr>
          <w:rFonts w:cs="Times New Roman"/>
          <w:i/>
        </w:rPr>
        <w:t>Grammaire hom</w:t>
      </w:r>
      <w:r>
        <w:rPr>
          <w:rFonts w:cs="Times New Roman"/>
          <w:i/>
        </w:rPr>
        <w:t>é</w:t>
      </w:r>
      <w:r w:rsidRPr="006F6F21">
        <w:rPr>
          <w:rFonts w:cs="Times New Roman"/>
          <w:i/>
        </w:rPr>
        <w:t>rique</w:t>
      </w:r>
      <w:r>
        <w:rPr>
          <w:rFonts w:cs="Times New Roman"/>
          <w:i/>
        </w:rPr>
        <w:t xml:space="preserve">, </w:t>
      </w:r>
      <w:r w:rsidRPr="006B7426">
        <w:rPr>
          <w:rFonts w:cs="Times New Roman"/>
        </w:rPr>
        <w:t>Paris.</w:t>
      </w:r>
    </w:p>
    <w:p w14:paraId="7923749A" w14:textId="694147D9" w:rsidR="003B2A46" w:rsidRPr="006F6F21" w:rsidRDefault="003B2A46" w:rsidP="004819D9">
      <w:pPr>
        <w:spacing w:before="100" w:after="100" w:line="300" w:lineRule="exact"/>
        <w:ind w:left="567" w:hanging="567"/>
        <w:rPr>
          <w:rFonts w:cs="Times New Roman"/>
        </w:rPr>
      </w:pPr>
      <w:r w:rsidRPr="006F6F21">
        <w:rPr>
          <w:rFonts w:cs="Times New Roman"/>
        </w:rPr>
        <w:t xml:space="preserve">— 1974, </w:t>
      </w:r>
      <w:r w:rsidR="00CC0615">
        <w:rPr>
          <w:rFonts w:cs="Times New Roman"/>
        </w:rPr>
        <w:t>“</w:t>
      </w:r>
      <w:r w:rsidRPr="006F6F21">
        <w:rPr>
          <w:rFonts w:cs="Times New Roman"/>
        </w:rPr>
        <w:t>Hermès Généiolès</w:t>
      </w:r>
      <w:r>
        <w:rPr>
          <w:rFonts w:cs="Times New Roman"/>
        </w:rPr>
        <w:t>: à</w:t>
      </w:r>
      <w:r w:rsidRPr="006F6F21">
        <w:rPr>
          <w:rFonts w:cs="Times New Roman"/>
        </w:rPr>
        <w:t xml:space="preserve"> propos de Callimaque fr. 199 (Pfeiffer),</w:t>
      </w:r>
      <w:r w:rsidR="00CC0615">
        <w:rPr>
          <w:rFonts w:cs="Times New Roman"/>
        </w:rPr>
        <w:t>”</w:t>
      </w:r>
      <w:r w:rsidRPr="006F6F21">
        <w:rPr>
          <w:rFonts w:cs="Times New Roman"/>
        </w:rPr>
        <w:t xml:space="preserve"> in </w:t>
      </w:r>
      <w:r w:rsidRPr="006F6F21">
        <w:rPr>
          <w:rFonts w:cs="Times New Roman"/>
          <w:i/>
        </w:rPr>
        <w:t>Mélanges d</w:t>
      </w:r>
      <w:r w:rsidR="00075F5F">
        <w:rPr>
          <w:rFonts w:cs="Times New Roman"/>
          <w:i/>
        </w:rPr>
        <w:t>’</w:t>
      </w:r>
      <w:r w:rsidRPr="006F6F21">
        <w:rPr>
          <w:rFonts w:cs="Times New Roman"/>
          <w:i/>
        </w:rPr>
        <w:t>histoire des religions</w:t>
      </w:r>
      <w:r>
        <w:rPr>
          <w:rFonts w:cs="Times New Roman"/>
          <w:i/>
        </w:rPr>
        <w:t xml:space="preserve"> offerts </w:t>
      </w:r>
      <w:r w:rsidRPr="00B43F7F">
        <w:rPr>
          <w:rFonts w:cs="Times New Roman"/>
          <w:i/>
        </w:rPr>
        <w:t>à</w:t>
      </w:r>
      <w:r w:rsidRPr="00AF6182">
        <w:rPr>
          <w:rFonts w:cs="Times New Roman"/>
          <w:i/>
        </w:rPr>
        <w:t xml:space="preserve"> Henri-Charles Puech</w:t>
      </w:r>
      <w:r w:rsidRPr="006F6F21">
        <w:rPr>
          <w:rFonts w:cs="Times New Roman"/>
        </w:rPr>
        <w:t>, Paris: 125-128.</w:t>
      </w:r>
    </w:p>
    <w:p w14:paraId="603D250A" w14:textId="6F6B0A06" w:rsidR="003B2A46" w:rsidRPr="006F6F21" w:rsidRDefault="003B2A46" w:rsidP="004819D9">
      <w:pPr>
        <w:spacing w:before="100" w:after="100" w:line="300" w:lineRule="exact"/>
        <w:ind w:left="567" w:hanging="567"/>
        <w:rPr>
          <w:rFonts w:cs="Times New Roman"/>
        </w:rPr>
      </w:pPr>
      <w:r w:rsidRPr="006F6F21">
        <w:rPr>
          <w:rFonts w:cs="Times New Roman"/>
        </w:rPr>
        <w:t xml:space="preserve">Chiou, M. 2014, </w:t>
      </w:r>
      <w:r w:rsidR="00CC0615">
        <w:rPr>
          <w:rFonts w:cs="Times New Roman"/>
        </w:rPr>
        <w:t>“</w:t>
      </w:r>
      <w:r w:rsidRPr="006F6F21">
        <w:rPr>
          <w:rFonts w:cs="Times New Roman"/>
        </w:rPr>
        <w:t xml:space="preserve">What is the </w:t>
      </w:r>
      <w:r w:rsidR="00075F5F">
        <w:rPr>
          <w:rFonts w:cs="Times New Roman"/>
        </w:rPr>
        <w:t>‘</w:t>
      </w:r>
      <w:r w:rsidRPr="006F6F21">
        <w:rPr>
          <w:rFonts w:cs="Times New Roman"/>
        </w:rPr>
        <w:t>Future</w:t>
      </w:r>
      <w:r w:rsidR="00075F5F">
        <w:rPr>
          <w:rFonts w:cs="Times New Roman"/>
        </w:rPr>
        <w:t>’</w:t>
      </w:r>
      <w:r w:rsidRPr="006F6F21">
        <w:rPr>
          <w:rFonts w:cs="Times New Roman"/>
        </w:rPr>
        <w:t xml:space="preserve"> of Greek? Towards a Pragmatic Analysis,</w:t>
      </w:r>
      <w:r w:rsidR="00CC0615">
        <w:rPr>
          <w:rFonts w:cs="Times New Roman"/>
        </w:rPr>
        <w:t>”</w:t>
      </w:r>
      <w:r w:rsidRPr="006F6F21">
        <w:rPr>
          <w:rFonts w:cs="Times New Roman"/>
        </w:rPr>
        <w:t xml:space="preserve"> </w:t>
      </w:r>
      <w:r w:rsidRPr="006F6F21">
        <w:rPr>
          <w:rFonts w:cs="Times New Roman"/>
          <w:i/>
        </w:rPr>
        <w:t>Research in Language</w:t>
      </w:r>
      <w:r w:rsidRPr="006F6F21">
        <w:rPr>
          <w:rFonts w:cs="Times New Roman"/>
        </w:rPr>
        <w:t xml:space="preserve"> 12</w:t>
      </w:r>
      <w:r>
        <w:rPr>
          <w:rFonts w:cs="Times New Roman"/>
        </w:rPr>
        <w:t>.4</w:t>
      </w:r>
      <w:r w:rsidRPr="006F6F21">
        <w:rPr>
          <w:rFonts w:cs="Times New Roman"/>
        </w:rPr>
        <w:t>: 355-375.</w:t>
      </w:r>
    </w:p>
    <w:p w14:paraId="24C2DC75" w14:textId="4E6B9BDB"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Cingano, E. 1995, </w:t>
      </w:r>
      <w:r w:rsidR="00CC0615">
        <w:rPr>
          <w:rFonts w:cs="Times New Roman"/>
        </w:rPr>
        <w:t>“</w:t>
      </w:r>
      <w:r w:rsidRPr="006F6F21">
        <w:rPr>
          <w:rFonts w:cs="Times New Roman"/>
        </w:rPr>
        <w:t>Pitica Seconda,</w:t>
      </w:r>
      <w:r w:rsidR="00CC0615">
        <w:rPr>
          <w:rFonts w:cs="Times New Roman"/>
        </w:rPr>
        <w:t>”</w:t>
      </w:r>
      <w:r w:rsidRPr="006F6F21">
        <w:rPr>
          <w:rFonts w:cs="Times New Roman"/>
        </w:rPr>
        <w:t xml:space="preserve"> in B. Gentili (ed.), </w:t>
      </w:r>
      <w:r w:rsidRPr="006F6F21">
        <w:rPr>
          <w:rFonts w:cs="Times New Roman"/>
          <w:i/>
        </w:rPr>
        <w:t>Pindaro</w:t>
      </w:r>
      <w:r>
        <w:rPr>
          <w:rFonts w:cs="Times New Roman"/>
          <w:i/>
        </w:rPr>
        <w:t xml:space="preserve">: </w:t>
      </w:r>
      <w:r w:rsidRPr="006F6F21">
        <w:rPr>
          <w:rFonts w:cs="Times New Roman"/>
          <w:i/>
        </w:rPr>
        <w:t>Le Pitiche</w:t>
      </w:r>
      <w:r w:rsidRPr="006F6F21">
        <w:rPr>
          <w:rFonts w:cs="Times New Roman"/>
        </w:rPr>
        <w:t>, Verona.</w:t>
      </w:r>
    </w:p>
    <w:p w14:paraId="62903697" w14:textId="7BBA82A1" w:rsidR="003B2A46" w:rsidRPr="006F6F21" w:rsidRDefault="003B2A46" w:rsidP="004819D9">
      <w:pPr>
        <w:spacing w:before="100" w:after="100" w:line="300" w:lineRule="exact"/>
        <w:ind w:left="567" w:hanging="567"/>
        <w:rPr>
          <w:rFonts w:cs="Times New Roman"/>
        </w:rPr>
      </w:pPr>
      <w:r w:rsidRPr="006F6F21">
        <w:rPr>
          <w:rFonts w:cs="Times New Roman"/>
        </w:rPr>
        <w:t xml:space="preserve">Clackson, J. 2010, </w:t>
      </w:r>
      <w:r w:rsidR="00CC0615">
        <w:rPr>
          <w:rFonts w:cs="Times New Roman"/>
        </w:rPr>
        <w:t>“</w:t>
      </w:r>
      <w:r w:rsidRPr="006F6F21">
        <w:rPr>
          <w:rFonts w:cs="Times New Roman"/>
        </w:rPr>
        <w:t xml:space="preserve">Colloquial </w:t>
      </w:r>
      <w:r>
        <w:rPr>
          <w:rFonts w:cs="Times New Roman"/>
        </w:rPr>
        <w:t>L</w:t>
      </w:r>
      <w:r w:rsidRPr="006F6F21">
        <w:rPr>
          <w:rFonts w:cs="Times New Roman"/>
        </w:rPr>
        <w:t xml:space="preserve">anguage in </w:t>
      </w:r>
      <w:r>
        <w:rPr>
          <w:rFonts w:cs="Times New Roman"/>
        </w:rPr>
        <w:t>L</w:t>
      </w:r>
      <w:r w:rsidRPr="006F6F21">
        <w:rPr>
          <w:rFonts w:cs="Times New Roman"/>
        </w:rPr>
        <w:t xml:space="preserve">inguistic </w:t>
      </w:r>
      <w:r>
        <w:rPr>
          <w:rFonts w:cs="Times New Roman"/>
        </w:rPr>
        <w:t>S</w:t>
      </w:r>
      <w:r w:rsidRPr="006F6F21">
        <w:rPr>
          <w:rFonts w:cs="Times New Roman"/>
        </w:rPr>
        <w:t>tudies,</w:t>
      </w:r>
      <w:r w:rsidR="00CC0615">
        <w:rPr>
          <w:rFonts w:cs="Times New Roman"/>
        </w:rPr>
        <w:t>”</w:t>
      </w:r>
      <w:r w:rsidRPr="006F6F21">
        <w:rPr>
          <w:rFonts w:cs="Times New Roman"/>
        </w:rPr>
        <w:t xml:space="preserve"> in E. Dickey and A. Chahoud (eds.), </w:t>
      </w:r>
      <w:r w:rsidRPr="006F6F21">
        <w:rPr>
          <w:rFonts w:cs="Times New Roman"/>
          <w:i/>
        </w:rPr>
        <w:t>Colloquial and Literary Latin</w:t>
      </w:r>
      <w:r w:rsidRPr="006F6F21">
        <w:rPr>
          <w:rFonts w:cs="Times New Roman"/>
        </w:rPr>
        <w:t>, Cambridge: 7-11.</w:t>
      </w:r>
    </w:p>
    <w:p w14:paraId="518B20A3" w14:textId="77802766"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Clarke, M. 2014,</w:t>
      </w:r>
      <w:r>
        <w:rPr>
          <w:rFonts w:cs="Times New Roman"/>
        </w:rPr>
        <w:t xml:space="preserve"> </w:t>
      </w:r>
      <w:r w:rsidR="00CC0615">
        <w:rPr>
          <w:rFonts w:cs="Times New Roman"/>
        </w:rPr>
        <w:t>“</w:t>
      </w:r>
      <w:r w:rsidRPr="006F6F21">
        <w:rPr>
          <w:rFonts w:cs="Times New Roman"/>
        </w:rPr>
        <w:t>Semantics and Vocabulary,</w:t>
      </w:r>
      <w:r w:rsidR="00CC0615">
        <w:rPr>
          <w:rFonts w:cs="Times New Roman"/>
        </w:rPr>
        <w:t>”</w:t>
      </w:r>
      <w:r w:rsidRPr="006F6F21">
        <w:rPr>
          <w:rFonts w:cs="Times New Roman"/>
        </w:rPr>
        <w:t xml:space="preserve"> in 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120-134.</w:t>
      </w:r>
    </w:p>
    <w:p w14:paraId="616FE8A0" w14:textId="79BD3A28" w:rsidR="003B2A46" w:rsidRPr="006F6F21" w:rsidRDefault="003B2A46" w:rsidP="004819D9">
      <w:pPr>
        <w:spacing w:before="100" w:after="100" w:line="300" w:lineRule="exact"/>
        <w:ind w:left="567" w:hanging="567"/>
        <w:rPr>
          <w:rFonts w:cs="Times New Roman"/>
        </w:rPr>
      </w:pPr>
      <w:r w:rsidRPr="006F6F21">
        <w:rPr>
          <w:rFonts w:cs="Times New Roman"/>
        </w:rPr>
        <w:t xml:space="preserve">Clayman, D. L. 1976, </w:t>
      </w:r>
      <w:r w:rsidR="00CC0615">
        <w:rPr>
          <w:rFonts w:cs="Times New Roman"/>
        </w:rPr>
        <w:t>“</w:t>
      </w:r>
      <w:r w:rsidRPr="006F6F21">
        <w:rPr>
          <w:rFonts w:cs="Times New Roman"/>
        </w:rPr>
        <w:t>Callimachus</w:t>
      </w:r>
      <w:r w:rsidR="00075F5F">
        <w:rPr>
          <w:rFonts w:cs="Times New Roman"/>
        </w:rPr>
        <w:t>’</w:t>
      </w:r>
      <w:r w:rsidRPr="006F6F21">
        <w:rPr>
          <w:rFonts w:cs="Times New Roman"/>
        </w:rPr>
        <w:t xml:space="preserve"> Thirteen Iamb: The Last Word,</w:t>
      </w:r>
      <w:r w:rsidR="00CC0615">
        <w:rPr>
          <w:rFonts w:cs="Times New Roman"/>
        </w:rPr>
        <w:t>”</w:t>
      </w:r>
      <w:r w:rsidRPr="006F6F21">
        <w:rPr>
          <w:rFonts w:cs="Times New Roman"/>
        </w:rPr>
        <w:t xml:space="preserve"> </w:t>
      </w:r>
      <w:r w:rsidRPr="006F6F21">
        <w:rPr>
          <w:rFonts w:cs="Times New Roman"/>
          <w:i/>
        </w:rPr>
        <w:t>Hermes</w:t>
      </w:r>
      <w:r w:rsidRPr="006F6F21">
        <w:rPr>
          <w:rFonts w:cs="Times New Roman"/>
        </w:rPr>
        <w:t xml:space="preserve"> 104: 29-35.</w:t>
      </w:r>
    </w:p>
    <w:p w14:paraId="1D3C330B" w14:textId="57AEF060" w:rsidR="003B2A46" w:rsidRPr="006F6F21" w:rsidRDefault="003B2A46" w:rsidP="004819D9">
      <w:pPr>
        <w:spacing w:before="100" w:after="100" w:line="300" w:lineRule="exact"/>
        <w:ind w:left="567" w:hanging="567"/>
        <w:rPr>
          <w:rFonts w:cs="Times New Roman"/>
        </w:rPr>
      </w:pPr>
      <w:r w:rsidRPr="006F6F21">
        <w:rPr>
          <w:rFonts w:cs="Times New Roman"/>
        </w:rPr>
        <w:t xml:space="preserve">— 1978/79, </w:t>
      </w:r>
      <w:r w:rsidR="00CC0615">
        <w:rPr>
          <w:rFonts w:cs="Times New Roman"/>
        </w:rPr>
        <w:t>“</w:t>
      </w:r>
      <w:r w:rsidRPr="006F6F21">
        <w:rPr>
          <w:rFonts w:cs="Times New Roman"/>
        </w:rPr>
        <w:t>Callimachus</w:t>
      </w:r>
      <w:r w:rsidR="00075F5F">
        <w:rPr>
          <w:rFonts w:cs="Times New Roman"/>
        </w:rPr>
        <w:t>’</w:t>
      </w:r>
      <w:r w:rsidRPr="006F6F21">
        <w:rPr>
          <w:rFonts w:cs="Times New Roman"/>
        </w:rPr>
        <w:t xml:space="preserve"> Fourth Iamb,</w:t>
      </w:r>
      <w:r w:rsidR="00CC0615">
        <w:rPr>
          <w:rFonts w:cs="Times New Roman"/>
        </w:rPr>
        <w:t>”</w:t>
      </w:r>
      <w:r w:rsidRPr="006F6F21">
        <w:rPr>
          <w:rFonts w:cs="Times New Roman"/>
        </w:rPr>
        <w:t xml:space="preserve"> </w:t>
      </w:r>
      <w:r w:rsidRPr="006F6F21">
        <w:rPr>
          <w:rFonts w:cs="Times New Roman"/>
          <w:i/>
        </w:rPr>
        <w:t>C</w:t>
      </w:r>
      <w:r>
        <w:rPr>
          <w:rFonts w:cs="Times New Roman"/>
          <w:i/>
        </w:rPr>
        <w:t>lassical Journal</w:t>
      </w:r>
      <w:r w:rsidRPr="006F6F21">
        <w:rPr>
          <w:rFonts w:cs="Times New Roman"/>
        </w:rPr>
        <w:t xml:space="preserve"> 74: 142-148.</w:t>
      </w:r>
    </w:p>
    <w:p w14:paraId="297EFC92" w14:textId="4822DA69" w:rsidR="003B2A46" w:rsidRPr="006F6F21" w:rsidRDefault="003B2A46" w:rsidP="004819D9">
      <w:pPr>
        <w:spacing w:before="100" w:after="100" w:line="300" w:lineRule="exact"/>
        <w:ind w:left="567" w:hanging="567"/>
        <w:rPr>
          <w:rFonts w:cs="Times New Roman"/>
        </w:rPr>
      </w:pPr>
      <w:r w:rsidRPr="006F6F21">
        <w:rPr>
          <w:rFonts w:cs="Times New Roman"/>
        </w:rPr>
        <w:t xml:space="preserve">— 1980, </w:t>
      </w:r>
      <w:r w:rsidRPr="006F6F21">
        <w:rPr>
          <w:rFonts w:cs="Times New Roman"/>
          <w:i/>
        </w:rPr>
        <w:t>Callimachus</w:t>
      </w:r>
      <w:r w:rsidR="00075F5F">
        <w:rPr>
          <w:rFonts w:cs="Times New Roman"/>
          <w:i/>
        </w:rPr>
        <w:t>’</w:t>
      </w:r>
      <w:r w:rsidRPr="006F6F21">
        <w:rPr>
          <w:rFonts w:cs="Times New Roman"/>
          <w:i/>
        </w:rPr>
        <w:t xml:space="preserve"> Iambi</w:t>
      </w:r>
      <w:r w:rsidRPr="006F6F21">
        <w:rPr>
          <w:rFonts w:cs="Times New Roman"/>
        </w:rPr>
        <w:t>, Leiden.</w:t>
      </w:r>
    </w:p>
    <w:p w14:paraId="07AC4323" w14:textId="07459E59" w:rsidR="003B2A46" w:rsidRPr="006F6F21" w:rsidRDefault="003B2A46" w:rsidP="004819D9">
      <w:pPr>
        <w:spacing w:before="100" w:after="100" w:line="300" w:lineRule="exact"/>
        <w:ind w:left="567" w:hanging="567"/>
        <w:rPr>
          <w:rFonts w:cs="Times New Roman"/>
        </w:rPr>
      </w:pPr>
      <w:r w:rsidRPr="006F6F21">
        <w:rPr>
          <w:rFonts w:cs="Times New Roman"/>
        </w:rPr>
        <w:t xml:space="preserve">— 1988, </w:t>
      </w:r>
      <w:r w:rsidR="00CC0615">
        <w:rPr>
          <w:rFonts w:cs="Times New Roman"/>
        </w:rPr>
        <w:t>“</w:t>
      </w:r>
      <w:r w:rsidRPr="006F6F21">
        <w:rPr>
          <w:rFonts w:cs="Times New Roman"/>
        </w:rPr>
        <w:t>Callimachus</w:t>
      </w:r>
      <w:r w:rsidR="00075F5F">
        <w:rPr>
          <w:rFonts w:cs="Times New Roman"/>
        </w:rPr>
        <w:t>’</w:t>
      </w:r>
      <w:r w:rsidRPr="006F6F21">
        <w:rPr>
          <w:rFonts w:cs="Times New Roman"/>
        </w:rPr>
        <w:t xml:space="preserve"> </w:t>
      </w:r>
      <w:r w:rsidRPr="006F6F21">
        <w:rPr>
          <w:rFonts w:cs="Times New Roman"/>
          <w:i/>
        </w:rPr>
        <w:t xml:space="preserve">Iambi </w:t>
      </w:r>
      <w:r w:rsidRPr="006F6F21">
        <w:rPr>
          <w:rFonts w:cs="Times New Roman"/>
        </w:rPr>
        <w:t xml:space="preserve">and </w:t>
      </w:r>
      <w:r w:rsidRPr="006F6F21">
        <w:rPr>
          <w:rFonts w:cs="Times New Roman"/>
          <w:i/>
        </w:rPr>
        <w:t>Aitia</w:t>
      </w:r>
      <w:r w:rsidRPr="006F6F21">
        <w:rPr>
          <w:rFonts w:cs="Times New Roman"/>
        </w:rPr>
        <w:t>,</w:t>
      </w:r>
      <w:r w:rsidR="00CC0615">
        <w:rPr>
          <w:rFonts w:cs="Times New Roman"/>
        </w:rPr>
        <w:t>”</w:t>
      </w:r>
      <w:r w:rsidRPr="006F6F21">
        <w:rPr>
          <w:rFonts w:cs="Times New Roman"/>
        </w:rPr>
        <w:t xml:space="preserve"> </w:t>
      </w:r>
      <w:r>
        <w:rPr>
          <w:rFonts w:cs="Times New Roman"/>
          <w:i/>
        </w:rPr>
        <w:t>Zeitschrift für Papyrologie und Epigraphik</w:t>
      </w:r>
      <w:r w:rsidRPr="006F6F21">
        <w:rPr>
          <w:rFonts w:cs="Times New Roman"/>
        </w:rPr>
        <w:t xml:space="preserve"> 74: 277-286.</w:t>
      </w:r>
    </w:p>
    <w:p w14:paraId="76983DE0" w14:textId="78815E9F" w:rsidR="003B2A46" w:rsidRPr="006F6F21" w:rsidRDefault="003B2A46" w:rsidP="004819D9">
      <w:pPr>
        <w:spacing w:before="100" w:after="100" w:line="300" w:lineRule="exact"/>
        <w:ind w:left="567" w:hanging="567"/>
        <w:rPr>
          <w:rFonts w:cs="Times New Roman"/>
        </w:rPr>
      </w:pPr>
      <w:r w:rsidRPr="006F6F21">
        <w:rPr>
          <w:rFonts w:cs="Times New Roman"/>
        </w:rPr>
        <w:t xml:space="preserve">Clements, A. 2014, </w:t>
      </w:r>
      <w:r w:rsidR="00CC0615">
        <w:rPr>
          <w:rFonts w:cs="Times New Roman"/>
        </w:rPr>
        <w:t>“</w:t>
      </w:r>
      <w:r w:rsidRPr="006F6F21">
        <w:rPr>
          <w:rFonts w:cs="Times New Roman"/>
        </w:rPr>
        <w:t xml:space="preserve">Divine </w:t>
      </w:r>
      <w:r>
        <w:rPr>
          <w:rFonts w:cs="Times New Roman"/>
        </w:rPr>
        <w:t>S</w:t>
      </w:r>
      <w:r w:rsidRPr="006F6F21">
        <w:rPr>
          <w:rFonts w:cs="Times New Roman"/>
        </w:rPr>
        <w:t xml:space="preserve">cents and </w:t>
      </w:r>
      <w:r>
        <w:rPr>
          <w:rFonts w:cs="Times New Roman"/>
        </w:rPr>
        <w:t>P</w:t>
      </w:r>
      <w:r w:rsidRPr="006F6F21">
        <w:rPr>
          <w:rFonts w:cs="Times New Roman"/>
        </w:rPr>
        <w:t>resence,</w:t>
      </w:r>
      <w:r w:rsidR="00CC0615">
        <w:rPr>
          <w:rFonts w:cs="Times New Roman"/>
        </w:rPr>
        <w:t>”</w:t>
      </w:r>
      <w:r w:rsidRPr="006F6F21">
        <w:rPr>
          <w:rFonts w:cs="Times New Roman"/>
        </w:rPr>
        <w:t xml:space="preserve"> in M. Bradley (ed.), </w:t>
      </w:r>
      <w:r w:rsidRPr="006F6F21">
        <w:rPr>
          <w:rFonts w:cs="Times New Roman"/>
          <w:i/>
        </w:rPr>
        <w:t>Smell and the Ancient Senses</w:t>
      </w:r>
      <w:r w:rsidRPr="006F6F21">
        <w:rPr>
          <w:rFonts w:cs="Times New Roman"/>
        </w:rPr>
        <w:t>, London - New York: 46-59.</w:t>
      </w:r>
    </w:p>
    <w:p w14:paraId="498AA200" w14:textId="4D6BDBAA" w:rsidR="003B2A46" w:rsidRPr="006F6F21" w:rsidRDefault="003B2A46" w:rsidP="004819D9">
      <w:pPr>
        <w:spacing w:before="100" w:after="100" w:line="300" w:lineRule="exact"/>
        <w:ind w:left="567" w:hanging="567"/>
        <w:rPr>
          <w:rFonts w:cs="Times New Roman"/>
        </w:rPr>
      </w:pPr>
      <w:r w:rsidRPr="006F6F21">
        <w:rPr>
          <w:rFonts w:cs="Times New Roman"/>
        </w:rPr>
        <w:t xml:space="preserve">Collard, C. 2005, </w:t>
      </w:r>
      <w:r w:rsidR="00CC0615">
        <w:rPr>
          <w:rFonts w:cs="Times New Roman"/>
        </w:rPr>
        <w:t>“</w:t>
      </w:r>
      <w:r w:rsidRPr="006F6F21">
        <w:rPr>
          <w:rFonts w:cs="Times New Roman"/>
        </w:rPr>
        <w:t xml:space="preserve">Colloquial Language in Tragedy: A Supplement to the Work of </w:t>
      </w:r>
      <w:r>
        <w:rPr>
          <w:rFonts w:cs="Times New Roman"/>
        </w:rPr>
        <w:br/>
      </w:r>
      <w:r w:rsidRPr="006F6F21">
        <w:rPr>
          <w:rFonts w:cs="Times New Roman"/>
        </w:rPr>
        <w:t>P. T. Stevens,</w:t>
      </w:r>
      <w:r w:rsidR="00CC0615">
        <w:rPr>
          <w:rFonts w:cs="Times New Roman"/>
        </w:rPr>
        <w:t>”</w:t>
      </w:r>
      <w:r w:rsidRPr="006F6F21">
        <w:rPr>
          <w:rFonts w:cs="Times New Roman"/>
        </w:rPr>
        <w:t xml:space="preserve"> </w:t>
      </w:r>
      <w:r>
        <w:rPr>
          <w:rFonts w:cs="Times New Roman"/>
          <w:i/>
        </w:rPr>
        <w:t>Classical Quarterly</w:t>
      </w:r>
      <w:r w:rsidRPr="006F6F21">
        <w:rPr>
          <w:rFonts w:cs="Times New Roman"/>
        </w:rPr>
        <w:t xml:space="preserve"> 55: 350-386.</w:t>
      </w:r>
    </w:p>
    <w:p w14:paraId="6675BBEE" w14:textId="51D1CF7C" w:rsidR="003B2A46" w:rsidRPr="006F6F21" w:rsidRDefault="003B2A46" w:rsidP="004819D9">
      <w:pPr>
        <w:spacing w:before="100" w:after="100" w:line="300" w:lineRule="exact"/>
        <w:ind w:left="567" w:hanging="567"/>
        <w:rPr>
          <w:rFonts w:cs="Times New Roman"/>
        </w:rPr>
      </w:pPr>
      <w:r w:rsidRPr="006F6F21">
        <w:rPr>
          <w:rFonts w:cs="Times New Roman"/>
        </w:rPr>
        <w:t xml:space="preserve">Colvin, S. 2010, </w:t>
      </w:r>
      <w:r w:rsidR="00CC0615">
        <w:rPr>
          <w:rFonts w:cs="Times New Roman"/>
        </w:rPr>
        <w:t>“</w:t>
      </w:r>
      <w:r w:rsidRPr="006F6F21">
        <w:rPr>
          <w:rFonts w:cs="Times New Roman"/>
        </w:rPr>
        <w:t>Greek Dialects in the Archaic and Classical Ages,</w:t>
      </w:r>
      <w:r w:rsidR="00CC0615">
        <w:rPr>
          <w:rFonts w:cs="Times New Roman"/>
        </w:rPr>
        <w:t>”</w:t>
      </w:r>
      <w:r w:rsidRPr="006F6F21">
        <w:rPr>
          <w:rFonts w:cs="Times New Roman"/>
        </w:rPr>
        <w:t xml:space="preserve"> in E. J. Bakker (ed.), </w:t>
      </w:r>
      <w:r w:rsidRPr="006F6F21">
        <w:rPr>
          <w:rFonts w:cs="Times New Roman"/>
          <w:i/>
        </w:rPr>
        <w:t>A Companion to</w:t>
      </w:r>
      <w:r>
        <w:rPr>
          <w:rFonts w:cs="Times New Roman"/>
          <w:i/>
        </w:rPr>
        <w:t xml:space="preserve"> the </w:t>
      </w:r>
      <w:r w:rsidRPr="006F6F21">
        <w:rPr>
          <w:rFonts w:cs="Times New Roman"/>
          <w:i/>
        </w:rPr>
        <w:t>Ancient Greek Language</w:t>
      </w:r>
      <w:r w:rsidRPr="006F6F21">
        <w:rPr>
          <w:rFonts w:cs="Times New Roman"/>
        </w:rPr>
        <w:t xml:space="preserve">, </w:t>
      </w:r>
      <w:r>
        <w:rPr>
          <w:rFonts w:cs="Times New Roman"/>
        </w:rPr>
        <w:t>Chichester - Malden</w:t>
      </w:r>
      <w:r w:rsidRPr="006F6F21">
        <w:rPr>
          <w:rFonts w:cs="Times New Roman"/>
        </w:rPr>
        <w:t>: 200-212.</w:t>
      </w:r>
    </w:p>
    <w:p w14:paraId="4DB782C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Comrie, B. 1985, </w:t>
      </w:r>
      <w:r w:rsidRPr="006F6F21">
        <w:rPr>
          <w:rFonts w:cs="Times New Roman"/>
          <w:i/>
        </w:rPr>
        <w:t>Tense</w:t>
      </w:r>
      <w:r w:rsidRPr="006F6F21">
        <w:rPr>
          <w:rFonts w:cs="Times New Roman"/>
        </w:rPr>
        <w:t>, Santa Barbara.</w:t>
      </w:r>
    </w:p>
    <w:p w14:paraId="142227E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Connor, W. R. 1984, </w:t>
      </w:r>
      <w:r w:rsidRPr="006F6F21">
        <w:rPr>
          <w:rFonts w:cs="Times New Roman"/>
          <w:i/>
        </w:rPr>
        <w:t>Thucydides</w:t>
      </w:r>
      <w:r w:rsidRPr="006F6F21">
        <w:rPr>
          <w:rFonts w:cs="Times New Roman"/>
        </w:rPr>
        <w:t>, Princeton.</w:t>
      </w:r>
    </w:p>
    <w:p w14:paraId="7D608CB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Conte, G. B. 1986, </w:t>
      </w:r>
      <w:r w:rsidRPr="006F6F21">
        <w:rPr>
          <w:rFonts w:cs="Times New Roman"/>
          <w:i/>
        </w:rPr>
        <w:t xml:space="preserve">The </w:t>
      </w:r>
      <w:r>
        <w:rPr>
          <w:rFonts w:cs="Times New Roman"/>
          <w:i/>
        </w:rPr>
        <w:t>R</w:t>
      </w:r>
      <w:r w:rsidRPr="006F6F21">
        <w:rPr>
          <w:rFonts w:cs="Times New Roman"/>
          <w:i/>
        </w:rPr>
        <w:t xml:space="preserve">hetoric of </w:t>
      </w:r>
      <w:r>
        <w:rPr>
          <w:rFonts w:cs="Times New Roman"/>
          <w:i/>
        </w:rPr>
        <w:t>I</w:t>
      </w:r>
      <w:r w:rsidRPr="006F6F21">
        <w:rPr>
          <w:rFonts w:cs="Times New Roman"/>
          <w:i/>
        </w:rPr>
        <w:t>mitation</w:t>
      </w:r>
      <w:r>
        <w:rPr>
          <w:rFonts w:cs="Times New Roman"/>
          <w:i/>
        </w:rPr>
        <w:t xml:space="preserve">: </w:t>
      </w:r>
      <w:r w:rsidRPr="006F6F21">
        <w:rPr>
          <w:rFonts w:cs="Times New Roman"/>
          <w:i/>
        </w:rPr>
        <w:t xml:space="preserve">Genre and </w:t>
      </w:r>
      <w:r>
        <w:rPr>
          <w:rFonts w:cs="Times New Roman"/>
          <w:i/>
        </w:rPr>
        <w:t>P</w:t>
      </w:r>
      <w:r w:rsidRPr="006F6F21">
        <w:rPr>
          <w:rFonts w:cs="Times New Roman"/>
          <w:i/>
        </w:rPr>
        <w:t xml:space="preserve">oetic </w:t>
      </w:r>
      <w:r>
        <w:rPr>
          <w:rFonts w:cs="Times New Roman"/>
          <w:i/>
        </w:rPr>
        <w:t>M</w:t>
      </w:r>
      <w:r w:rsidRPr="006F6F21">
        <w:rPr>
          <w:rFonts w:cs="Times New Roman"/>
          <w:i/>
        </w:rPr>
        <w:t xml:space="preserve">emory in Vergil and </w:t>
      </w:r>
      <w:r>
        <w:rPr>
          <w:rFonts w:cs="Times New Roman"/>
          <w:i/>
        </w:rPr>
        <w:t>O</w:t>
      </w:r>
      <w:r w:rsidRPr="006F6F21">
        <w:rPr>
          <w:rFonts w:cs="Times New Roman"/>
          <w:i/>
        </w:rPr>
        <w:t>ther Latin poets</w:t>
      </w:r>
      <w:r w:rsidRPr="006F6F21">
        <w:rPr>
          <w:rFonts w:cs="Times New Roman"/>
        </w:rPr>
        <w:t>, Ithaca (NY).</w:t>
      </w:r>
    </w:p>
    <w:p w14:paraId="7C027E1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Cooper, G. L. 1998, </w:t>
      </w:r>
      <w:r w:rsidRPr="006F6F21">
        <w:rPr>
          <w:rFonts w:cs="Times New Roman"/>
          <w:i/>
        </w:rPr>
        <w:t xml:space="preserve">Attic Greek </w:t>
      </w:r>
      <w:r>
        <w:rPr>
          <w:rFonts w:cs="Times New Roman"/>
          <w:i/>
        </w:rPr>
        <w:t>P</w:t>
      </w:r>
      <w:r w:rsidRPr="006F6F21">
        <w:rPr>
          <w:rFonts w:cs="Times New Roman"/>
          <w:i/>
        </w:rPr>
        <w:t xml:space="preserve">rose </w:t>
      </w:r>
      <w:r>
        <w:rPr>
          <w:rFonts w:cs="Times New Roman"/>
          <w:i/>
        </w:rPr>
        <w:t>S</w:t>
      </w:r>
      <w:r w:rsidRPr="006F6F21">
        <w:rPr>
          <w:rFonts w:cs="Times New Roman"/>
          <w:i/>
        </w:rPr>
        <w:t>yntax</w:t>
      </w:r>
      <w:r>
        <w:rPr>
          <w:rFonts w:cs="Times New Roman"/>
        </w:rPr>
        <w:t xml:space="preserve"> (</w:t>
      </w:r>
      <w:r w:rsidRPr="00AF6182">
        <w:rPr>
          <w:rFonts w:cs="Times New Roman"/>
        </w:rPr>
        <w:t>2 vol</w:t>
      </w:r>
      <w:r>
        <w:rPr>
          <w:rFonts w:cs="Times New Roman"/>
        </w:rPr>
        <w:t>s</w:t>
      </w:r>
      <w:r w:rsidRPr="00AF6182">
        <w:rPr>
          <w:rFonts w:cs="Times New Roman"/>
        </w:rPr>
        <w:t>.</w:t>
      </w:r>
      <w:r>
        <w:rPr>
          <w:rFonts w:cs="Times New Roman"/>
        </w:rPr>
        <w:t>)</w:t>
      </w:r>
      <w:r w:rsidRPr="009A29DD">
        <w:rPr>
          <w:rFonts w:cs="Times New Roman"/>
        </w:rPr>
        <w:t>,</w:t>
      </w:r>
      <w:r w:rsidRPr="006F6F21">
        <w:rPr>
          <w:rFonts w:cs="Times New Roman"/>
        </w:rPr>
        <w:t xml:space="preserve"> Ann Arbor.</w:t>
      </w:r>
    </w:p>
    <w:p w14:paraId="06AB9106" w14:textId="21F05E83" w:rsidR="003B2A46" w:rsidRPr="006F6F21" w:rsidRDefault="003B2A46" w:rsidP="004819D9">
      <w:pPr>
        <w:spacing w:before="100" w:after="100" w:line="300" w:lineRule="exact"/>
        <w:ind w:left="567" w:hanging="567"/>
        <w:rPr>
          <w:rFonts w:cs="Times New Roman"/>
        </w:rPr>
      </w:pPr>
      <w:r w:rsidRPr="006F6F21">
        <w:rPr>
          <w:rFonts w:cs="Times New Roman"/>
        </w:rPr>
        <w:t xml:space="preserve">Cuypers, M. 2004, </w:t>
      </w:r>
      <w:r w:rsidR="00CC0615">
        <w:rPr>
          <w:rFonts w:cs="Times New Roman"/>
        </w:rPr>
        <w:t>“</w:t>
      </w:r>
      <w:r w:rsidRPr="006F6F21">
        <w:rPr>
          <w:rFonts w:cs="Times New Roman"/>
        </w:rPr>
        <w:t>Apollonius of Rhodes,</w:t>
      </w:r>
      <w:r w:rsidR="00CC0615">
        <w:rPr>
          <w:rFonts w:cs="Times New Roman"/>
        </w:rPr>
        <w:t>”</w:t>
      </w:r>
      <w:r w:rsidRPr="006F6F21">
        <w:rPr>
          <w:rFonts w:cs="Times New Roman"/>
        </w:rPr>
        <w:t xml:space="preserve"> in I. J. F. de Jong, R. Nünlist and A. Bowie (eds.), </w:t>
      </w:r>
      <w:r w:rsidRPr="006F6F21">
        <w:rPr>
          <w:rFonts w:cs="Times New Roman"/>
          <w:i/>
        </w:rPr>
        <w:t>Narrators, Narratees, and Narratives in Ancient Greek Literature</w:t>
      </w:r>
      <w:r w:rsidRPr="006F6F21">
        <w:rPr>
          <w:rFonts w:cs="Times New Roman"/>
        </w:rPr>
        <w:t>, Leiden: 43-62.</w:t>
      </w:r>
    </w:p>
    <w:p w14:paraId="7EE738DD" w14:textId="7CE4CF77" w:rsidR="003B2A46" w:rsidRPr="006F6F21" w:rsidRDefault="003B2A46" w:rsidP="004819D9">
      <w:pPr>
        <w:spacing w:before="100" w:after="100" w:line="300" w:lineRule="exact"/>
        <w:ind w:left="567" w:hanging="567"/>
        <w:rPr>
          <w:rFonts w:cs="Times New Roman"/>
        </w:rPr>
      </w:pPr>
      <w:r w:rsidRPr="006F6F21">
        <w:rPr>
          <w:rFonts w:cs="Times New Roman"/>
        </w:rPr>
        <w:t xml:space="preserve">— 2005, </w:t>
      </w:r>
      <w:r w:rsidR="00CC0615">
        <w:rPr>
          <w:rFonts w:cs="Times New Roman"/>
        </w:rPr>
        <w:t>“</w:t>
      </w:r>
      <w:r w:rsidRPr="006F6F21">
        <w:rPr>
          <w:rFonts w:cs="Times New Roman"/>
        </w:rPr>
        <w:t>Inter</w:t>
      </w:r>
      <w:r>
        <w:rPr>
          <w:rFonts w:cs="Times New Roman"/>
        </w:rPr>
        <w:t>ac</w:t>
      </w:r>
      <w:r w:rsidRPr="006F6F21">
        <w:rPr>
          <w:rFonts w:cs="Times New Roman"/>
        </w:rPr>
        <w:t>tional Particles and Narrative Voice in Apollonius and Homer,</w:t>
      </w:r>
      <w:r w:rsidR="00CC0615">
        <w:rPr>
          <w:rFonts w:cs="Times New Roman"/>
        </w:rPr>
        <w:t>”</w:t>
      </w:r>
      <w:r w:rsidRPr="006F6F21">
        <w:rPr>
          <w:rFonts w:cs="Times New Roman"/>
        </w:rPr>
        <w:t xml:space="preserve"> in A. Harder and M. Cuypers (eds.), </w:t>
      </w:r>
      <w:r w:rsidRPr="006F6F21">
        <w:rPr>
          <w:rFonts w:cs="Times New Roman"/>
          <w:i/>
        </w:rPr>
        <w:t>Beginning from Apollo:</w:t>
      </w:r>
      <w:r>
        <w:rPr>
          <w:rFonts w:cs="Times New Roman"/>
          <w:i/>
        </w:rPr>
        <w:t xml:space="preserve"> S</w:t>
      </w:r>
      <w:r w:rsidRPr="006F6F21">
        <w:rPr>
          <w:rFonts w:cs="Times New Roman"/>
          <w:i/>
        </w:rPr>
        <w:t xml:space="preserve">tudies in Apollonius Rhodius and the Argonautic </w:t>
      </w:r>
      <w:r>
        <w:rPr>
          <w:rFonts w:cs="Times New Roman"/>
          <w:i/>
        </w:rPr>
        <w:t>T</w:t>
      </w:r>
      <w:r w:rsidRPr="006F6F21">
        <w:rPr>
          <w:rFonts w:cs="Times New Roman"/>
          <w:i/>
        </w:rPr>
        <w:t>radition</w:t>
      </w:r>
      <w:r w:rsidRPr="006F6F21">
        <w:rPr>
          <w:rFonts w:cs="Times New Roman"/>
        </w:rPr>
        <w:t>, Leuven: 35-69.</w:t>
      </w:r>
    </w:p>
    <w:p w14:paraId="077D8481" w14:textId="7B5BEC34" w:rsidR="003B2A46" w:rsidRPr="006F6F21" w:rsidRDefault="003B2A46" w:rsidP="004819D9">
      <w:pPr>
        <w:spacing w:before="100" w:after="100" w:line="300" w:lineRule="exact"/>
        <w:ind w:left="567" w:hanging="567"/>
        <w:rPr>
          <w:rFonts w:cs="Times New Roman"/>
        </w:rPr>
      </w:pPr>
      <w:r w:rsidRPr="006F6F21">
        <w:rPr>
          <w:rFonts w:cs="Times New Roman"/>
        </w:rPr>
        <w:t xml:space="preserve">Cuzzolin, P., Putzu, I., and Ramat P. 2006, </w:t>
      </w:r>
      <w:r w:rsidR="00CC0615">
        <w:rPr>
          <w:rFonts w:cs="Times New Roman"/>
        </w:rPr>
        <w:t>“</w:t>
      </w:r>
      <w:r w:rsidRPr="006F6F21">
        <w:rPr>
          <w:rFonts w:cs="Times New Roman"/>
        </w:rPr>
        <w:t xml:space="preserve">The Indo-European Adverb in </w:t>
      </w:r>
      <w:r>
        <w:rPr>
          <w:rFonts w:cs="Times New Roman"/>
        </w:rPr>
        <w:t>D</w:t>
      </w:r>
      <w:r w:rsidRPr="006F6F21">
        <w:rPr>
          <w:rFonts w:cs="Times New Roman"/>
        </w:rPr>
        <w:t>iachronic and Typological Perspective,</w:t>
      </w:r>
      <w:r w:rsidR="00CC0615">
        <w:rPr>
          <w:rFonts w:cs="Times New Roman"/>
        </w:rPr>
        <w:t>”</w:t>
      </w:r>
      <w:r w:rsidRPr="006F6F21">
        <w:rPr>
          <w:rFonts w:cs="Times New Roman"/>
        </w:rPr>
        <w:t xml:space="preserve"> </w:t>
      </w:r>
      <w:r w:rsidRPr="006F6F21">
        <w:rPr>
          <w:rFonts w:cs="Times New Roman"/>
          <w:i/>
        </w:rPr>
        <w:t>Indogermanische Forschun</w:t>
      </w:r>
      <w:r w:rsidRPr="006F6F21">
        <w:rPr>
          <w:rFonts w:cs="Times New Roman"/>
        </w:rPr>
        <w:t>gen 111: 1-38.</w:t>
      </w:r>
    </w:p>
    <w:p w14:paraId="7550F30C" w14:textId="1E68F121" w:rsidR="003B2A46" w:rsidRPr="006F6F21" w:rsidRDefault="003B2A46" w:rsidP="004819D9">
      <w:pPr>
        <w:spacing w:before="100" w:after="100" w:line="300" w:lineRule="exact"/>
        <w:ind w:left="567" w:hanging="567"/>
        <w:rPr>
          <w:rFonts w:cs="Times New Roman"/>
        </w:rPr>
      </w:pPr>
      <w:r w:rsidRPr="006F6F21">
        <w:rPr>
          <w:rFonts w:cs="Times New Roman"/>
        </w:rPr>
        <w:t>D</w:t>
      </w:r>
      <w:r w:rsidR="00075F5F">
        <w:rPr>
          <w:rFonts w:cs="Times New Roman"/>
        </w:rPr>
        <w:t>’</w:t>
      </w:r>
      <w:r w:rsidRPr="006F6F21">
        <w:rPr>
          <w:rFonts w:cs="Times New Roman"/>
        </w:rPr>
        <w:t xml:space="preserve">Alessio, G. B. (ed.) 1996, </w:t>
      </w:r>
      <w:r w:rsidRPr="006F6F21">
        <w:rPr>
          <w:rFonts w:cs="Times New Roman"/>
          <w:i/>
        </w:rPr>
        <w:t>Callimaco</w:t>
      </w:r>
      <w:r>
        <w:rPr>
          <w:rFonts w:cs="Times New Roman"/>
          <w:i/>
        </w:rPr>
        <w:t>:</w:t>
      </w:r>
      <w:r w:rsidRPr="006F6F21">
        <w:rPr>
          <w:rFonts w:cs="Times New Roman"/>
          <w:i/>
        </w:rPr>
        <w:t xml:space="preserve"> Inni</w:t>
      </w:r>
      <w:r>
        <w:rPr>
          <w:rFonts w:cs="Times New Roman"/>
          <w:i/>
        </w:rPr>
        <w:t xml:space="preserve">, </w:t>
      </w:r>
      <w:r w:rsidRPr="006F6F21">
        <w:rPr>
          <w:rFonts w:cs="Times New Roman"/>
          <w:i/>
        </w:rPr>
        <w:t>Epigrammi</w:t>
      </w:r>
      <w:r>
        <w:rPr>
          <w:rFonts w:cs="Times New Roman"/>
          <w:i/>
        </w:rPr>
        <w:t xml:space="preserve">, </w:t>
      </w:r>
      <w:r w:rsidRPr="006F6F21">
        <w:rPr>
          <w:rFonts w:cs="Times New Roman"/>
          <w:i/>
        </w:rPr>
        <w:t>Frammenti</w:t>
      </w:r>
      <w:r>
        <w:rPr>
          <w:rFonts w:cs="Times New Roman"/>
        </w:rPr>
        <w:t xml:space="preserve"> (</w:t>
      </w:r>
      <w:r w:rsidRPr="006F6F21">
        <w:rPr>
          <w:rFonts w:cs="Times New Roman"/>
        </w:rPr>
        <w:t>2 vols.</w:t>
      </w:r>
      <w:r>
        <w:rPr>
          <w:rFonts w:cs="Times New Roman"/>
        </w:rPr>
        <w:t>)</w:t>
      </w:r>
      <w:r w:rsidRPr="006F6F21">
        <w:rPr>
          <w:rFonts w:cs="Times New Roman"/>
        </w:rPr>
        <w:t>, Milan.</w:t>
      </w:r>
    </w:p>
    <w:p w14:paraId="3D88F750" w14:textId="7FB2A0F3" w:rsidR="003B2A46" w:rsidRPr="006F6F21" w:rsidRDefault="003B2A46" w:rsidP="004819D9">
      <w:pPr>
        <w:spacing w:before="100" w:after="100" w:line="300" w:lineRule="exact"/>
        <w:ind w:left="567" w:hanging="567"/>
        <w:rPr>
          <w:rFonts w:cs="Times New Roman"/>
        </w:rPr>
      </w:pPr>
      <w:r w:rsidRPr="006F6F21">
        <w:rPr>
          <w:rFonts w:cs="Times New Roman"/>
        </w:rPr>
        <w:t xml:space="preserve">Dawson, C. M. 1950, </w:t>
      </w:r>
      <w:r w:rsidR="00CC0615">
        <w:rPr>
          <w:rFonts w:cs="Times New Roman"/>
        </w:rPr>
        <w:t>“</w:t>
      </w:r>
      <w:r w:rsidRPr="006F6F21">
        <w:rPr>
          <w:rFonts w:cs="Times New Roman"/>
        </w:rPr>
        <w:t xml:space="preserve">The </w:t>
      </w:r>
      <w:r w:rsidRPr="006F6F21">
        <w:rPr>
          <w:rFonts w:cs="Times New Roman"/>
          <w:i/>
        </w:rPr>
        <w:t>Iambi</w:t>
      </w:r>
      <w:r w:rsidRPr="006F6F21">
        <w:rPr>
          <w:rFonts w:cs="Times New Roman"/>
        </w:rPr>
        <w:t xml:space="preserve"> of Callimachus: A Hellenistic Poet</w:t>
      </w:r>
      <w:r w:rsidR="00075F5F">
        <w:rPr>
          <w:rFonts w:cs="Times New Roman"/>
        </w:rPr>
        <w:t>’</w:t>
      </w:r>
      <w:r w:rsidRPr="006F6F21">
        <w:rPr>
          <w:rFonts w:cs="Times New Roman"/>
        </w:rPr>
        <w:t>s Experimental Laboratory,</w:t>
      </w:r>
      <w:r w:rsidR="00CC0615">
        <w:rPr>
          <w:rFonts w:cs="Times New Roman"/>
        </w:rPr>
        <w:t>”</w:t>
      </w:r>
      <w:r w:rsidRPr="006F6F21">
        <w:rPr>
          <w:rFonts w:cs="Times New Roman"/>
        </w:rPr>
        <w:t xml:space="preserve"> </w:t>
      </w:r>
      <w:r w:rsidRPr="006F6F21">
        <w:rPr>
          <w:rFonts w:cs="Times New Roman"/>
          <w:i/>
        </w:rPr>
        <w:t>Y</w:t>
      </w:r>
      <w:r>
        <w:rPr>
          <w:rFonts w:cs="Times New Roman"/>
          <w:i/>
        </w:rPr>
        <w:t>ale Classical Studies</w:t>
      </w:r>
      <w:r w:rsidRPr="006F6F21">
        <w:rPr>
          <w:rFonts w:cs="Times New Roman"/>
        </w:rPr>
        <w:t xml:space="preserve"> 11: 1-168.</w:t>
      </w:r>
    </w:p>
    <w:p w14:paraId="4A849DE4" w14:textId="3C83B9AE" w:rsidR="003B2A46" w:rsidRPr="006F6F21" w:rsidRDefault="003B2A46" w:rsidP="004819D9">
      <w:pPr>
        <w:spacing w:before="100" w:after="100" w:line="300" w:lineRule="exact"/>
        <w:ind w:left="567" w:hanging="567"/>
        <w:rPr>
          <w:rFonts w:cs="Times New Roman"/>
        </w:rPr>
      </w:pPr>
      <w:r w:rsidRPr="006F6F21">
        <w:rPr>
          <w:rFonts w:cs="Times New Roman"/>
        </w:rPr>
        <w:t xml:space="preserve">Debrunner, A. 1921, </w:t>
      </w:r>
      <w:r w:rsidR="00CC0615">
        <w:rPr>
          <w:rFonts w:cs="Times New Roman"/>
        </w:rPr>
        <w:t>“</w:t>
      </w:r>
      <w:r w:rsidRPr="006F6F21">
        <w:rPr>
          <w:rFonts w:cs="Times New Roman"/>
        </w:rPr>
        <w:t>Das hellenistische</w:t>
      </w:r>
      <w:r w:rsidRPr="006F6F21">
        <w:rPr>
          <w:rFonts w:cs="Times New Roman"/>
          <w:bCs/>
        </w:rPr>
        <w:t xml:space="preserve"> </w:t>
      </w:r>
      <w:r w:rsidRPr="006F6F21">
        <w:rPr>
          <w:rStyle w:val="a-size-large"/>
          <w:rFonts w:cs="Times New Roman"/>
          <w:color w:val="111111"/>
        </w:rPr>
        <w:t xml:space="preserve">Nebensatziterativpräteritum mit </w:t>
      </w:r>
      <w:r w:rsidRPr="006F6F21">
        <w:rPr>
          <w:rStyle w:val="a-size-large"/>
          <w:rFonts w:cs="Times New Roman"/>
          <w:color w:val="111111"/>
          <w:lang w:val="el-GR"/>
        </w:rPr>
        <w:t>ἄν</w:t>
      </w:r>
      <w:r w:rsidRPr="006F6F21">
        <w:rPr>
          <w:rFonts w:cs="Times New Roman"/>
        </w:rPr>
        <w:t>,</w:t>
      </w:r>
      <w:r w:rsidR="00CC0615">
        <w:rPr>
          <w:rFonts w:cs="Times New Roman"/>
        </w:rPr>
        <w:t>”</w:t>
      </w:r>
      <w:r w:rsidRPr="006F6F21">
        <w:rPr>
          <w:rFonts w:cs="Times New Roman"/>
        </w:rPr>
        <w:t xml:space="preserve"> </w:t>
      </w:r>
      <w:r w:rsidRPr="006F6F21">
        <w:rPr>
          <w:rFonts w:cs="Times New Roman"/>
          <w:i/>
        </w:rPr>
        <w:t>Glotta</w:t>
      </w:r>
      <w:r w:rsidRPr="006F6F21">
        <w:rPr>
          <w:rFonts w:cs="Times New Roman"/>
        </w:rPr>
        <w:t xml:space="preserve"> 9: 1-28</w:t>
      </w:r>
    </w:p>
    <w:p w14:paraId="5CAA07E5" w14:textId="41781E00" w:rsidR="003B2A46" w:rsidRPr="006F6F21" w:rsidRDefault="003B2A46" w:rsidP="004819D9">
      <w:pPr>
        <w:keepNext/>
        <w:spacing w:before="100" w:after="100" w:line="300" w:lineRule="exact"/>
        <w:ind w:left="567" w:hanging="567"/>
        <w:rPr>
          <w:rFonts w:cs="Times New Roman"/>
        </w:rPr>
      </w:pPr>
      <w:r w:rsidRPr="006F6F21">
        <w:rPr>
          <w:rFonts w:cs="Times New Roman"/>
        </w:rPr>
        <w:t xml:space="preserve">Degani, E. 1962, </w:t>
      </w:r>
      <w:r w:rsidR="00CC0615">
        <w:rPr>
          <w:rFonts w:cs="Times New Roman"/>
        </w:rPr>
        <w:t>“</w:t>
      </w:r>
      <w:r w:rsidRPr="006F6F21">
        <w:rPr>
          <w:rFonts w:cs="Times New Roman"/>
        </w:rPr>
        <w:t>Hipponactea,</w:t>
      </w:r>
      <w:r w:rsidR="00CC0615">
        <w:rPr>
          <w:rFonts w:cs="Times New Roman"/>
        </w:rPr>
        <w:t>”</w:t>
      </w:r>
      <w:r w:rsidRPr="006F6F21">
        <w:rPr>
          <w:rFonts w:cs="Times New Roman"/>
        </w:rPr>
        <w:t xml:space="preserve"> </w:t>
      </w:r>
      <w:r w:rsidRPr="006F6F21">
        <w:rPr>
          <w:rFonts w:cs="Times New Roman"/>
          <w:i/>
        </w:rPr>
        <w:t>Hlk</w:t>
      </w:r>
      <w:r w:rsidRPr="006F6F21">
        <w:rPr>
          <w:rFonts w:cs="Times New Roman"/>
        </w:rPr>
        <w:t xml:space="preserve"> 2: 625-629.</w:t>
      </w:r>
    </w:p>
    <w:p w14:paraId="01FDD4C1" w14:textId="044491A0" w:rsidR="003B2A46" w:rsidRPr="006F6F21" w:rsidRDefault="003B2A46" w:rsidP="004819D9">
      <w:pPr>
        <w:spacing w:before="100" w:after="100" w:line="300" w:lineRule="exact"/>
        <w:ind w:left="567" w:hanging="567"/>
        <w:rPr>
          <w:rFonts w:cs="Times New Roman"/>
        </w:rPr>
      </w:pPr>
      <w:r w:rsidRPr="006F6F21">
        <w:rPr>
          <w:rFonts w:cs="Times New Roman"/>
        </w:rPr>
        <w:t xml:space="preserve">— 1963, </w:t>
      </w:r>
      <w:r w:rsidR="00CC0615">
        <w:rPr>
          <w:rFonts w:cs="Times New Roman"/>
        </w:rPr>
        <w:t>“</w:t>
      </w:r>
      <w:r w:rsidRPr="006F6F21">
        <w:rPr>
          <w:rFonts w:cs="Times New Roman"/>
        </w:rPr>
        <w:t>Marginalia,</w:t>
      </w:r>
      <w:r w:rsidR="00CC0615">
        <w:rPr>
          <w:rFonts w:cs="Times New Roman"/>
        </w:rPr>
        <w:t>”</w:t>
      </w:r>
      <w:r w:rsidRPr="006F6F21">
        <w:rPr>
          <w:rFonts w:cs="Times New Roman"/>
        </w:rPr>
        <w:t xml:space="preserve"> </w:t>
      </w:r>
      <w:r w:rsidRPr="006F6F21">
        <w:rPr>
          <w:rFonts w:cs="Times New Roman"/>
          <w:i/>
        </w:rPr>
        <w:t>Hlk</w:t>
      </w:r>
      <w:r w:rsidRPr="006F6F21">
        <w:rPr>
          <w:rFonts w:cs="Times New Roman"/>
        </w:rPr>
        <w:t xml:space="preserve"> 3: 485.</w:t>
      </w:r>
    </w:p>
    <w:p w14:paraId="01D7AD8F" w14:textId="68E0EF5A"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 1971, </w:t>
      </w:r>
      <w:r w:rsidR="00CC0615">
        <w:rPr>
          <w:rFonts w:cs="Times New Roman"/>
        </w:rPr>
        <w:t>“</w:t>
      </w:r>
      <w:r w:rsidRPr="006F6F21">
        <w:rPr>
          <w:rFonts w:cs="Times New Roman"/>
        </w:rPr>
        <w:t>Metafore ipponattee,</w:t>
      </w:r>
      <w:r w:rsidR="00CC0615">
        <w:rPr>
          <w:rFonts w:cs="Times New Roman"/>
        </w:rPr>
        <w:t>”</w:t>
      </w:r>
      <w:r w:rsidRPr="006F6F21">
        <w:rPr>
          <w:rFonts w:cs="Times New Roman"/>
        </w:rPr>
        <w:t xml:space="preserve"> </w:t>
      </w:r>
      <w:r>
        <w:rPr>
          <w:rFonts w:cs="Times New Roman"/>
        </w:rPr>
        <w:t xml:space="preserve">in </w:t>
      </w:r>
      <w:r w:rsidRPr="006F6F21">
        <w:rPr>
          <w:rFonts w:cs="Times New Roman"/>
          <w:i/>
        </w:rPr>
        <w:t>Studi De Falco</w:t>
      </w:r>
      <w:r>
        <w:rPr>
          <w:rFonts w:cs="Times New Roman"/>
        </w:rPr>
        <w:t>, Naples:</w:t>
      </w:r>
      <w:r w:rsidRPr="006F6F21">
        <w:rPr>
          <w:rFonts w:cs="Times New Roman"/>
        </w:rPr>
        <w:t xml:space="preserve"> 88-103.</w:t>
      </w:r>
    </w:p>
    <w:p w14:paraId="4A29F854" w14:textId="38F15AA7" w:rsidR="003B2A46" w:rsidRPr="006F6F21" w:rsidRDefault="003B2A46" w:rsidP="004819D9">
      <w:pPr>
        <w:spacing w:before="100" w:after="100" w:line="300" w:lineRule="exact"/>
        <w:ind w:left="567" w:hanging="567"/>
        <w:rPr>
          <w:rFonts w:cs="Times New Roman"/>
        </w:rPr>
      </w:pPr>
      <w:r w:rsidRPr="006F6F21">
        <w:rPr>
          <w:rFonts w:cs="Times New Roman"/>
        </w:rPr>
        <w:t xml:space="preserve">— 1972, </w:t>
      </w:r>
      <w:r w:rsidR="00CC0615">
        <w:rPr>
          <w:rFonts w:cs="Times New Roman"/>
        </w:rPr>
        <w:t>“</w:t>
      </w:r>
      <w:r w:rsidRPr="006F6F21">
        <w:rPr>
          <w:rFonts w:cs="Times New Roman"/>
        </w:rPr>
        <w:t>Note ipponattee,</w:t>
      </w:r>
      <w:r w:rsidR="00CC0615">
        <w:rPr>
          <w:rFonts w:cs="Times New Roman"/>
        </w:rPr>
        <w:t>”</w:t>
      </w:r>
      <w:r w:rsidRPr="006F6F21">
        <w:rPr>
          <w:rFonts w:cs="Times New Roman"/>
        </w:rPr>
        <w:t xml:space="preserve"> </w:t>
      </w:r>
      <w:r>
        <w:rPr>
          <w:rFonts w:cs="Times New Roman"/>
        </w:rPr>
        <w:t xml:space="preserve">in </w:t>
      </w:r>
      <w:r w:rsidRPr="006F6F21">
        <w:rPr>
          <w:rFonts w:cs="Times New Roman"/>
          <w:i/>
        </w:rPr>
        <w:t>Studi Classici in onore di Quintino Cataudella</w:t>
      </w:r>
      <w:r w:rsidRPr="006F6F21">
        <w:rPr>
          <w:rFonts w:cs="Times New Roman"/>
        </w:rPr>
        <w:t>, Catania: 93-125.</w:t>
      </w:r>
    </w:p>
    <w:p w14:paraId="472893E4" w14:textId="74F9A193" w:rsidR="003B2A46" w:rsidRPr="006F6F21" w:rsidRDefault="003B2A46" w:rsidP="004819D9">
      <w:pPr>
        <w:spacing w:before="100" w:after="100" w:line="300" w:lineRule="exact"/>
        <w:ind w:left="567" w:hanging="567"/>
        <w:rPr>
          <w:rFonts w:cs="Times New Roman"/>
        </w:rPr>
      </w:pPr>
      <w:r w:rsidRPr="006F6F21">
        <w:rPr>
          <w:rFonts w:cs="Times New Roman"/>
        </w:rPr>
        <w:t xml:space="preserve">— 1973, </w:t>
      </w:r>
      <w:r w:rsidR="00CC0615">
        <w:rPr>
          <w:rFonts w:cs="Times New Roman"/>
        </w:rPr>
        <w:t>“</w:t>
      </w:r>
      <w:r w:rsidRPr="006F6F21">
        <w:rPr>
          <w:rFonts w:cs="Times New Roman"/>
        </w:rPr>
        <w:t>Note sulla fortuna di Archiloco e Ipponatte in epoca ellenistica,</w:t>
      </w:r>
      <w:r w:rsidR="00CC0615">
        <w:rPr>
          <w:rFonts w:cs="Times New Roman"/>
        </w:rPr>
        <w:t>”</w:t>
      </w:r>
      <w:r w:rsidRPr="006F6F21">
        <w:rPr>
          <w:rFonts w:cs="Times New Roman"/>
        </w:rPr>
        <w:t xml:space="preserve"> </w:t>
      </w:r>
      <w:r w:rsidRPr="006F6F21">
        <w:rPr>
          <w:rFonts w:cs="Times New Roman"/>
          <w:i/>
        </w:rPr>
        <w:t>Quaderni urbinati di cultura classica</w:t>
      </w:r>
      <w:r w:rsidRPr="006F6F21">
        <w:rPr>
          <w:rFonts w:cs="Times New Roman"/>
        </w:rPr>
        <w:t xml:space="preserve"> 16: 79-104.</w:t>
      </w:r>
    </w:p>
    <w:p w14:paraId="7ABE5ACE" w14:textId="7A04A8B8" w:rsidR="003B2A46" w:rsidRPr="006F6F21" w:rsidRDefault="003B2A46" w:rsidP="004819D9">
      <w:pPr>
        <w:spacing w:before="100" w:after="100" w:line="300" w:lineRule="exact"/>
        <w:ind w:left="567" w:hanging="567"/>
        <w:rPr>
          <w:rFonts w:cs="Times New Roman"/>
        </w:rPr>
      </w:pPr>
      <w:r w:rsidRPr="006F6F21">
        <w:rPr>
          <w:rFonts w:cs="Times New Roman"/>
        </w:rPr>
        <w:t xml:space="preserve">— 1973/74, </w:t>
      </w:r>
      <w:r w:rsidR="00CC0615">
        <w:rPr>
          <w:rFonts w:cs="Times New Roman"/>
        </w:rPr>
        <w:t>“</w:t>
      </w:r>
      <w:r w:rsidRPr="006F6F21">
        <w:rPr>
          <w:rFonts w:cs="Times New Roman"/>
        </w:rPr>
        <w:t>Ipponatte parodico,</w:t>
      </w:r>
      <w:r w:rsidR="00CC0615">
        <w:rPr>
          <w:rFonts w:cs="Times New Roman"/>
        </w:rPr>
        <w:t>”</w:t>
      </w:r>
      <w:r w:rsidRPr="006F6F21">
        <w:rPr>
          <w:rFonts w:cs="Times New Roman"/>
        </w:rPr>
        <w:t xml:space="preserve"> </w:t>
      </w:r>
      <w:r w:rsidRPr="006F6F21">
        <w:rPr>
          <w:rFonts w:cs="Times New Roman"/>
          <w:i/>
        </w:rPr>
        <w:t>M</w:t>
      </w:r>
      <w:r>
        <w:rPr>
          <w:rFonts w:cs="Times New Roman"/>
          <w:i/>
        </w:rPr>
        <w:t>useum Criticum</w:t>
      </w:r>
      <w:r w:rsidRPr="006F6F21">
        <w:rPr>
          <w:rFonts w:cs="Times New Roman"/>
        </w:rPr>
        <w:t xml:space="preserve"> 8/9: 141-167.</w:t>
      </w:r>
    </w:p>
    <w:p w14:paraId="73AE8DE3" w14:textId="5359BBE2" w:rsidR="003B2A46" w:rsidRPr="006F6F21" w:rsidRDefault="003B2A46" w:rsidP="004819D9">
      <w:pPr>
        <w:spacing w:before="100" w:after="100" w:line="300" w:lineRule="exact"/>
        <w:ind w:left="567" w:hanging="567"/>
        <w:rPr>
          <w:rFonts w:cs="Times New Roman"/>
        </w:rPr>
      </w:pPr>
      <w:r w:rsidRPr="006F6F21">
        <w:rPr>
          <w:rFonts w:cs="Times New Roman"/>
        </w:rPr>
        <w:t xml:space="preserve">— 1975, </w:t>
      </w:r>
      <w:r w:rsidR="00CC0615">
        <w:rPr>
          <w:rFonts w:cs="Times New Roman"/>
        </w:rPr>
        <w:t>“</w:t>
      </w:r>
      <w:r w:rsidRPr="006F6F21">
        <w:rPr>
          <w:rFonts w:cs="Times New Roman"/>
        </w:rPr>
        <w:t>Hippon. fr. 40 Med. (= 39,7-9 D</w:t>
      </w:r>
      <w:r w:rsidRPr="006F6F21">
        <w:rPr>
          <w:rFonts w:cs="Times New Roman"/>
          <w:vertAlign w:val="superscript"/>
        </w:rPr>
        <w:t>3</w:t>
      </w:r>
      <w:r w:rsidRPr="006F6F21">
        <w:rPr>
          <w:rFonts w:cs="Times New Roman"/>
        </w:rPr>
        <w:t>),</w:t>
      </w:r>
      <w:r w:rsidR="00CC0615">
        <w:rPr>
          <w:rFonts w:cs="Times New Roman"/>
        </w:rPr>
        <w:t>”</w:t>
      </w:r>
      <w:r w:rsidRPr="006F6F21">
        <w:rPr>
          <w:rFonts w:cs="Times New Roman"/>
        </w:rPr>
        <w:t xml:space="preserve"> </w:t>
      </w:r>
      <w:r>
        <w:rPr>
          <w:rFonts w:cs="Times New Roman"/>
        </w:rPr>
        <w:t xml:space="preserve">in </w:t>
      </w:r>
      <w:r w:rsidRPr="006F6F21">
        <w:rPr>
          <w:rFonts w:cs="Times New Roman"/>
          <w:i/>
        </w:rPr>
        <w:t>Scritti in onore de C. Diano</w:t>
      </w:r>
      <w:r w:rsidRPr="006F6F21">
        <w:rPr>
          <w:rFonts w:cs="Times New Roman"/>
        </w:rPr>
        <w:t>, Bologna: 113-120.</w:t>
      </w:r>
    </w:p>
    <w:p w14:paraId="0A8643D1" w14:textId="28BA8B3B" w:rsidR="003B2A46" w:rsidRPr="006F6F21" w:rsidRDefault="003B2A46" w:rsidP="004819D9">
      <w:pPr>
        <w:spacing w:before="100" w:after="100" w:line="300" w:lineRule="exact"/>
        <w:ind w:left="567" w:hanging="567"/>
        <w:rPr>
          <w:rFonts w:cs="Times New Roman"/>
        </w:rPr>
      </w:pPr>
      <w:r w:rsidRPr="006F6F21">
        <w:rPr>
          <w:rFonts w:cs="Times New Roman"/>
        </w:rPr>
        <w:t xml:space="preserve">— 1982, </w:t>
      </w:r>
      <w:r w:rsidR="00CC0615">
        <w:rPr>
          <w:rFonts w:cs="Times New Roman"/>
        </w:rPr>
        <w:t>“</w:t>
      </w:r>
      <w:r w:rsidRPr="006F6F21">
        <w:rPr>
          <w:rFonts w:cs="Times New Roman"/>
        </w:rPr>
        <w:t>Hippon. fr. 52 W,</w:t>
      </w:r>
      <w:r w:rsidR="00CC0615">
        <w:rPr>
          <w:rFonts w:cs="Times New Roman"/>
        </w:rPr>
        <w:t>”</w:t>
      </w:r>
      <w:r w:rsidRPr="006F6F21">
        <w:rPr>
          <w:rFonts w:cs="Times New Roman"/>
        </w:rPr>
        <w:t xml:space="preserve"> </w:t>
      </w:r>
      <w:r>
        <w:rPr>
          <w:rFonts w:cs="Times New Roman"/>
        </w:rPr>
        <w:t xml:space="preserve">in </w:t>
      </w:r>
      <w:r w:rsidRPr="006F6F21">
        <w:rPr>
          <w:rFonts w:cs="Times New Roman"/>
          <w:i/>
        </w:rPr>
        <w:t xml:space="preserve">Studi </w:t>
      </w:r>
      <w:r>
        <w:rPr>
          <w:rFonts w:cs="Times New Roman"/>
          <w:i/>
        </w:rPr>
        <w:t xml:space="preserve">in onore di Aristide </w:t>
      </w:r>
      <w:r w:rsidRPr="006F6F21">
        <w:rPr>
          <w:rFonts w:cs="Times New Roman"/>
          <w:i/>
        </w:rPr>
        <w:t>Colonna</w:t>
      </w:r>
      <w:r>
        <w:rPr>
          <w:rFonts w:cs="Times New Roman"/>
        </w:rPr>
        <w:t>, Perugia:</w:t>
      </w:r>
      <w:r w:rsidRPr="006F6F21">
        <w:rPr>
          <w:rFonts w:cs="Times New Roman"/>
        </w:rPr>
        <w:t xml:space="preserve"> 93-97.</w:t>
      </w:r>
    </w:p>
    <w:p w14:paraId="5BE4504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1984, </w:t>
      </w:r>
      <w:r w:rsidRPr="006F6F21">
        <w:rPr>
          <w:rFonts w:cs="Times New Roman"/>
          <w:i/>
        </w:rPr>
        <w:t>Studi su Ipponatte</w:t>
      </w:r>
      <w:r w:rsidRPr="006F6F21">
        <w:rPr>
          <w:rFonts w:cs="Times New Roman"/>
        </w:rPr>
        <w:t>, Bari.</w:t>
      </w:r>
    </w:p>
    <w:p w14:paraId="60E8020A" w14:textId="3C3A8B1B" w:rsidR="003B2A46" w:rsidRPr="006F6F21" w:rsidRDefault="003B2A46" w:rsidP="004819D9">
      <w:pPr>
        <w:spacing w:before="100" w:after="100" w:line="300" w:lineRule="exact"/>
        <w:ind w:left="567" w:hanging="567"/>
        <w:rPr>
          <w:rFonts w:cs="Times New Roman"/>
        </w:rPr>
      </w:pPr>
      <w:r w:rsidRPr="006F6F21">
        <w:rPr>
          <w:rFonts w:cs="Times New Roman"/>
        </w:rPr>
        <w:t xml:space="preserve">— 1988, </w:t>
      </w:r>
      <w:r w:rsidR="00CC0615">
        <w:rPr>
          <w:rFonts w:cs="Times New Roman"/>
        </w:rPr>
        <w:t>“</w:t>
      </w:r>
      <w:r w:rsidRPr="006F6F21">
        <w:rPr>
          <w:rFonts w:cs="Times New Roman"/>
        </w:rPr>
        <w:t>Giambo e Commedia (II),</w:t>
      </w:r>
      <w:r w:rsidR="00CC0615">
        <w:rPr>
          <w:rFonts w:cs="Times New Roman"/>
        </w:rPr>
        <w:t>”</w:t>
      </w:r>
      <w:r w:rsidRPr="006F6F21">
        <w:rPr>
          <w:rFonts w:cs="Times New Roman"/>
        </w:rPr>
        <w:t xml:space="preserve"> </w:t>
      </w:r>
      <w:r>
        <w:rPr>
          <w:rFonts w:cs="Times New Roman"/>
        </w:rPr>
        <w:t xml:space="preserve">in V. Citi and E. Corsini (eds.), </w:t>
      </w:r>
      <w:r w:rsidRPr="006F6F21">
        <w:rPr>
          <w:rFonts w:cs="Times New Roman"/>
          <w:i/>
        </w:rPr>
        <w:t>La polis e il suo teatro</w:t>
      </w:r>
      <w:r>
        <w:rPr>
          <w:rFonts w:cs="Times New Roman"/>
        </w:rPr>
        <w:t>, Padua:</w:t>
      </w:r>
      <w:r w:rsidRPr="006F6F21">
        <w:rPr>
          <w:rFonts w:cs="Times New Roman"/>
        </w:rPr>
        <w:t xml:space="preserve"> 157-179.</w:t>
      </w:r>
    </w:p>
    <w:p w14:paraId="3FA3227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1991, </w:t>
      </w:r>
      <w:r w:rsidRPr="006F6F21">
        <w:rPr>
          <w:rFonts w:cs="Times New Roman"/>
          <w:i/>
        </w:rPr>
        <w:t>Hipponax</w:t>
      </w:r>
      <w:r>
        <w:rPr>
          <w:rFonts w:cs="Times New Roman"/>
          <w:i/>
        </w:rPr>
        <w:t xml:space="preserve">: </w:t>
      </w:r>
      <w:r w:rsidRPr="006F6F21">
        <w:rPr>
          <w:rFonts w:cs="Times New Roman"/>
          <w:i/>
        </w:rPr>
        <w:t>Testimonia et Fragmenta</w:t>
      </w:r>
      <w:r w:rsidRPr="006F6F21">
        <w:rPr>
          <w:rFonts w:cs="Times New Roman"/>
        </w:rPr>
        <w:t>, Stutgar</w:t>
      </w:r>
      <w:r>
        <w:rPr>
          <w:rFonts w:cs="Times New Roman"/>
        </w:rPr>
        <w:t>t - Leipzig</w:t>
      </w:r>
      <w:r w:rsidRPr="006F6F21">
        <w:rPr>
          <w:rFonts w:cs="Times New Roman"/>
        </w:rPr>
        <w:t>.</w:t>
      </w:r>
    </w:p>
    <w:p w14:paraId="706DC0C3" w14:textId="7BCBEEFD" w:rsidR="003B2A46" w:rsidRPr="006F6F21" w:rsidRDefault="003B2A46" w:rsidP="004819D9">
      <w:pPr>
        <w:spacing w:before="100" w:after="100" w:line="300" w:lineRule="exact"/>
        <w:ind w:left="567" w:hanging="567"/>
        <w:rPr>
          <w:rFonts w:cs="Times New Roman"/>
        </w:rPr>
      </w:pPr>
      <w:r w:rsidRPr="006F6F21">
        <w:rPr>
          <w:rFonts w:cs="Times New Roman"/>
        </w:rPr>
        <w:t>— 1995,</w:t>
      </w:r>
      <w:r w:rsidR="00E023A1">
        <w:rPr>
          <w:rFonts w:cs="Times New Roman"/>
        </w:rPr>
        <w:t xml:space="preserve"> </w:t>
      </w:r>
      <w:r w:rsidR="00CC0615">
        <w:rPr>
          <w:rFonts w:cs="Times New Roman"/>
        </w:rPr>
        <w:t>“</w:t>
      </w:r>
      <w:r w:rsidRPr="006F6F21">
        <w:rPr>
          <w:rFonts w:cs="Times New Roman"/>
        </w:rPr>
        <w:t>Ipponatte e i poeti filologi,</w:t>
      </w:r>
      <w:r w:rsidR="00CC0615">
        <w:rPr>
          <w:rFonts w:cs="Times New Roman"/>
        </w:rPr>
        <w:t>”</w:t>
      </w:r>
      <w:r w:rsidRPr="006F6F21">
        <w:rPr>
          <w:rFonts w:cs="Times New Roman"/>
        </w:rPr>
        <w:t xml:space="preserve"> </w:t>
      </w:r>
      <w:r w:rsidRPr="006F6F21">
        <w:rPr>
          <w:rFonts w:cs="Times New Roman"/>
          <w:i/>
        </w:rPr>
        <w:t>Aevum</w:t>
      </w:r>
      <w:r w:rsidRPr="006F6F21">
        <w:rPr>
          <w:rFonts w:cs="Times New Roman"/>
        </w:rPr>
        <w:t xml:space="preserve"> 8: 105-136.</w:t>
      </w:r>
    </w:p>
    <w:p w14:paraId="3D88E603" w14:textId="2AB38D94" w:rsidR="003B2A46" w:rsidRPr="006F6F21" w:rsidRDefault="003B2A46" w:rsidP="004819D9">
      <w:pPr>
        <w:spacing w:before="100" w:after="100" w:line="300" w:lineRule="exact"/>
        <w:ind w:left="567" w:hanging="567"/>
        <w:rPr>
          <w:rFonts w:cs="Times New Roman"/>
        </w:rPr>
      </w:pPr>
      <w:r w:rsidRPr="006F6F21">
        <w:rPr>
          <w:rFonts w:cs="Times New Roman"/>
        </w:rPr>
        <w:t xml:space="preserve">— 1995/96, </w:t>
      </w:r>
      <w:r w:rsidR="00CC0615">
        <w:rPr>
          <w:rFonts w:cs="Times New Roman"/>
        </w:rPr>
        <w:t>“</w:t>
      </w:r>
      <w:r w:rsidRPr="006F6F21">
        <w:rPr>
          <w:rFonts w:cs="Times New Roman"/>
        </w:rPr>
        <w:t>La lingua dei barbari nella letteratura greca arcaica: esotismi Ipponattei,</w:t>
      </w:r>
      <w:r w:rsidR="00CC0615">
        <w:rPr>
          <w:rFonts w:cs="Times New Roman"/>
        </w:rPr>
        <w:t>”</w:t>
      </w:r>
      <w:r w:rsidRPr="006F6F21">
        <w:rPr>
          <w:rFonts w:cs="Times New Roman"/>
          <w:i/>
        </w:rPr>
        <w:t xml:space="preserve"> Studi </w:t>
      </w:r>
      <w:r>
        <w:rPr>
          <w:rFonts w:cs="Times New Roman"/>
          <w:i/>
        </w:rPr>
        <w:t>o</w:t>
      </w:r>
      <w:r w:rsidRPr="006F6F21">
        <w:rPr>
          <w:rFonts w:cs="Times New Roman"/>
          <w:i/>
        </w:rPr>
        <w:t xml:space="preserve">rientali e </w:t>
      </w:r>
      <w:r>
        <w:rPr>
          <w:rFonts w:cs="Times New Roman"/>
          <w:i/>
        </w:rPr>
        <w:t>l</w:t>
      </w:r>
      <w:r w:rsidRPr="006F6F21">
        <w:rPr>
          <w:rFonts w:cs="Times New Roman"/>
          <w:i/>
        </w:rPr>
        <w:t>inguistici</w:t>
      </w:r>
      <w:r w:rsidRPr="006F6F21">
        <w:rPr>
          <w:rFonts w:cs="Times New Roman"/>
        </w:rPr>
        <w:t xml:space="preserve"> 6: 157-164.</w:t>
      </w:r>
    </w:p>
    <w:p w14:paraId="47ECCD97"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2007, </w:t>
      </w:r>
      <w:r w:rsidRPr="006F6F21">
        <w:rPr>
          <w:rFonts w:cs="Times New Roman"/>
          <w:i/>
        </w:rPr>
        <w:t>Ipponatte: Frammenti</w:t>
      </w:r>
      <w:r w:rsidRPr="006F6F21">
        <w:rPr>
          <w:rFonts w:cs="Times New Roman"/>
        </w:rPr>
        <w:t xml:space="preserve">; introd., trad. e note di </w:t>
      </w:r>
      <w:r>
        <w:rPr>
          <w:rFonts w:cs="Times New Roman"/>
        </w:rPr>
        <w:t>E. D.</w:t>
      </w:r>
      <w:r w:rsidRPr="006F6F21">
        <w:rPr>
          <w:rFonts w:cs="Times New Roman"/>
        </w:rPr>
        <w:t xml:space="preserve">; pressa di </w:t>
      </w:r>
      <w:r>
        <w:rPr>
          <w:rFonts w:cs="Times New Roman"/>
        </w:rPr>
        <w:t>G.</w:t>
      </w:r>
      <w:r w:rsidRPr="006F6F21">
        <w:rPr>
          <w:rFonts w:cs="Times New Roman"/>
        </w:rPr>
        <w:t xml:space="preserve"> Burzacchini; aggiornamenti di </w:t>
      </w:r>
      <w:r>
        <w:rPr>
          <w:rFonts w:cs="Times New Roman"/>
        </w:rPr>
        <w:t>A.</w:t>
      </w:r>
      <w:r w:rsidRPr="006F6F21">
        <w:rPr>
          <w:rFonts w:cs="Times New Roman"/>
        </w:rPr>
        <w:t xml:space="preserve"> Nicolosi, Bologna.</w:t>
      </w:r>
    </w:p>
    <w:p w14:paraId="62980527"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De Jong, I. J. F. 1987, </w:t>
      </w:r>
      <w:r w:rsidRPr="006F6F21">
        <w:rPr>
          <w:rFonts w:cs="Times New Roman"/>
          <w:i/>
        </w:rPr>
        <w:t>Narrators and Focalizers: The Presentation of the Story in the Iliad</w:t>
      </w:r>
      <w:r w:rsidRPr="006F6F21">
        <w:rPr>
          <w:rFonts w:cs="Times New Roman"/>
        </w:rPr>
        <w:t>, Amsterdam.</w:t>
      </w:r>
    </w:p>
    <w:p w14:paraId="7D0A8733" w14:textId="69D545AB" w:rsidR="003B2A46" w:rsidRPr="006F6F21" w:rsidRDefault="003B2A46" w:rsidP="004819D9">
      <w:pPr>
        <w:spacing w:before="100" w:after="100" w:line="300" w:lineRule="exact"/>
        <w:ind w:left="567" w:hanging="567"/>
        <w:rPr>
          <w:rFonts w:cs="Times New Roman"/>
        </w:rPr>
      </w:pPr>
      <w:r w:rsidRPr="006F6F21">
        <w:rPr>
          <w:rFonts w:cs="Times New Roman"/>
        </w:rPr>
        <w:t xml:space="preserve">— 1997, </w:t>
      </w:r>
      <w:r w:rsidR="00CC0615">
        <w:rPr>
          <w:rFonts w:cs="Times New Roman"/>
        </w:rPr>
        <w:t>“</w:t>
      </w:r>
      <w:r w:rsidRPr="006F6F21">
        <w:rPr>
          <w:rFonts w:cs="Times New Roman"/>
          <w:lang w:val="el-GR"/>
        </w:rPr>
        <w:t>Γάρ</w:t>
      </w:r>
      <w:r w:rsidRPr="006F6F21">
        <w:rPr>
          <w:rFonts w:cs="Times New Roman"/>
        </w:rPr>
        <w:t xml:space="preserve"> </w:t>
      </w:r>
      <w:r>
        <w:rPr>
          <w:rFonts w:cs="Times New Roman"/>
        </w:rPr>
        <w:t>I</w:t>
      </w:r>
      <w:r w:rsidRPr="006F6F21">
        <w:rPr>
          <w:rFonts w:cs="Times New Roman"/>
        </w:rPr>
        <w:t xml:space="preserve">ntroducing </w:t>
      </w:r>
      <w:r>
        <w:rPr>
          <w:rFonts w:cs="Times New Roman"/>
        </w:rPr>
        <w:t>E</w:t>
      </w:r>
      <w:r w:rsidRPr="006F6F21">
        <w:rPr>
          <w:rFonts w:cs="Times New Roman"/>
        </w:rPr>
        <w:t xml:space="preserve">mbedded </w:t>
      </w:r>
      <w:r>
        <w:rPr>
          <w:rFonts w:cs="Times New Roman"/>
        </w:rPr>
        <w:t>N</w:t>
      </w:r>
      <w:r w:rsidRPr="006F6F21">
        <w:rPr>
          <w:rFonts w:cs="Times New Roman"/>
        </w:rPr>
        <w:t>arratives,</w:t>
      </w:r>
      <w:r w:rsidR="00CC0615">
        <w:rPr>
          <w:rFonts w:cs="Times New Roman"/>
        </w:rPr>
        <w:t>”</w:t>
      </w:r>
      <w:r w:rsidRPr="006F6F21">
        <w:rPr>
          <w:rFonts w:cs="Times New Roman"/>
        </w:rPr>
        <w:t xml:space="preserve"> in A. Rijksbaron (ed.), </w:t>
      </w:r>
      <w:r w:rsidRPr="006F6F21">
        <w:rPr>
          <w:rFonts w:cs="Times New Roman"/>
          <w:i/>
        </w:rPr>
        <w:t>New Appr</w:t>
      </w:r>
      <w:r>
        <w:rPr>
          <w:rFonts w:cs="Times New Roman"/>
          <w:i/>
        </w:rPr>
        <w:t>oa</w:t>
      </w:r>
      <w:r w:rsidRPr="006F6F21">
        <w:rPr>
          <w:rFonts w:cs="Times New Roman"/>
          <w:i/>
        </w:rPr>
        <w:t>ches to Greek Particles</w:t>
      </w:r>
      <w:r w:rsidRPr="006F6F21">
        <w:rPr>
          <w:rFonts w:cs="Times New Roman"/>
        </w:rPr>
        <w:t>, Amsterdam: 175-185.</w:t>
      </w:r>
    </w:p>
    <w:p w14:paraId="17F1AE2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2014, </w:t>
      </w:r>
      <w:r w:rsidRPr="006F6F21">
        <w:rPr>
          <w:rFonts w:cs="Times New Roman"/>
          <w:i/>
        </w:rPr>
        <w:t>Narratology and Classics: A Practical Guide</w:t>
      </w:r>
      <w:r w:rsidRPr="006F6F21">
        <w:rPr>
          <w:rFonts w:cs="Times New Roman"/>
        </w:rPr>
        <w:t>, Oxford.</w:t>
      </w:r>
    </w:p>
    <w:p w14:paraId="2DB30D79" w14:textId="77777777" w:rsidR="003B2A46" w:rsidRPr="006F6F21" w:rsidRDefault="003B2A46" w:rsidP="004819D9">
      <w:pPr>
        <w:spacing w:before="100" w:after="100" w:line="300" w:lineRule="exact"/>
        <w:ind w:left="567" w:hanging="567"/>
        <w:rPr>
          <w:rFonts w:cs="Times New Roman"/>
        </w:rPr>
      </w:pPr>
      <w:r w:rsidRPr="006F6F21">
        <w:rPr>
          <w:rFonts w:cs="Times New Roman"/>
        </w:rPr>
        <w:t>De Jong, I. J. F., Nünlist R., and Bowie</w:t>
      </w:r>
      <w:r>
        <w:rPr>
          <w:rFonts w:cs="Times New Roman"/>
        </w:rPr>
        <w:t>, A.</w:t>
      </w:r>
      <w:r w:rsidRPr="006F6F21">
        <w:rPr>
          <w:rFonts w:cs="Times New Roman"/>
        </w:rPr>
        <w:t xml:space="preserve"> (eds.)</w:t>
      </w:r>
      <w:r>
        <w:rPr>
          <w:rFonts w:cs="Times New Roman"/>
        </w:rPr>
        <w:t xml:space="preserve"> 2014</w:t>
      </w:r>
      <w:r w:rsidRPr="006F6F21">
        <w:rPr>
          <w:rFonts w:cs="Times New Roman"/>
        </w:rPr>
        <w:t xml:space="preserve">, </w:t>
      </w:r>
      <w:r w:rsidRPr="00AF6182">
        <w:rPr>
          <w:rFonts w:cs="Times New Roman"/>
          <w:i/>
        </w:rPr>
        <w:t>Narrators, Narratees, and Narratives in Ancient Greek Literature</w:t>
      </w:r>
      <w:r w:rsidRPr="006F6F21">
        <w:rPr>
          <w:rFonts w:cs="Times New Roman"/>
        </w:rPr>
        <w:t>, Leiden.</w:t>
      </w:r>
    </w:p>
    <w:p w14:paraId="4918A5B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De Luna, M. E. 2003, </w:t>
      </w:r>
      <w:r w:rsidRPr="006F6F21">
        <w:rPr>
          <w:rFonts w:cs="Times New Roman"/>
          <w:i/>
        </w:rPr>
        <w:t>La comunicazione linguistica fra alloglotti nel mondo greco: da Omero a Senofonte</w:t>
      </w:r>
      <w:r w:rsidRPr="006F6F21">
        <w:rPr>
          <w:rFonts w:cs="Times New Roman"/>
        </w:rPr>
        <w:t>, Pisa.</w:t>
      </w:r>
    </w:p>
    <w:p w14:paraId="519B01C6" w14:textId="77777777" w:rsidR="003B2A46" w:rsidRPr="006F6F21" w:rsidRDefault="003B2A46" w:rsidP="004819D9">
      <w:pPr>
        <w:autoSpaceDE w:val="0"/>
        <w:autoSpaceDN w:val="0"/>
        <w:adjustRightInd w:val="0"/>
        <w:spacing w:before="100" w:after="100" w:line="300" w:lineRule="exact"/>
        <w:ind w:left="567" w:hanging="567"/>
        <w:rPr>
          <w:rFonts w:cs="Times New Roman"/>
          <w:color w:val="1A1718"/>
        </w:rPr>
      </w:pPr>
      <w:r w:rsidRPr="006F6F21">
        <w:rPr>
          <w:rFonts w:cs="Times New Roman"/>
          <w:color w:val="1A1718"/>
        </w:rPr>
        <w:t xml:space="preserve">Denniston, J. D. 1954, </w:t>
      </w:r>
      <w:r w:rsidRPr="006F6F21">
        <w:rPr>
          <w:rFonts w:cs="Times New Roman"/>
          <w:i/>
          <w:color w:val="1A1718"/>
        </w:rPr>
        <w:t>The Greek Particles</w:t>
      </w:r>
      <w:r w:rsidRPr="006F6F21">
        <w:rPr>
          <w:rFonts w:cs="Times New Roman"/>
          <w:color w:val="1A1718"/>
        </w:rPr>
        <w:t>, Oxford</w:t>
      </w:r>
      <w:r>
        <w:rPr>
          <w:rFonts w:cs="Times New Roman"/>
          <w:color w:val="1A1718"/>
        </w:rPr>
        <w:t xml:space="preserve"> (2</w:t>
      </w:r>
      <w:r w:rsidRPr="002F1E35">
        <w:rPr>
          <w:rFonts w:cs="Times New Roman"/>
          <w:color w:val="1A1718"/>
          <w:vertAlign w:val="superscript"/>
        </w:rPr>
        <w:t>nd</w:t>
      </w:r>
      <w:r>
        <w:rPr>
          <w:rFonts w:cs="Times New Roman"/>
          <w:color w:val="1A1718"/>
        </w:rPr>
        <w:t xml:space="preserve"> edition)</w:t>
      </w:r>
      <w:r w:rsidRPr="006F6F21">
        <w:rPr>
          <w:rFonts w:cs="Times New Roman"/>
          <w:color w:val="1A1718"/>
        </w:rPr>
        <w:t>.</w:t>
      </w:r>
    </w:p>
    <w:p w14:paraId="0E212AD5" w14:textId="328C31E7" w:rsidR="003B2A46" w:rsidRPr="006F6F21" w:rsidRDefault="003B2A46" w:rsidP="004819D9">
      <w:pPr>
        <w:spacing w:before="100" w:after="100" w:line="300" w:lineRule="exact"/>
        <w:ind w:left="567" w:hanging="567"/>
        <w:rPr>
          <w:rFonts w:cs="Times New Roman"/>
        </w:rPr>
      </w:pPr>
      <w:r w:rsidRPr="006F6F21">
        <w:rPr>
          <w:rFonts w:cs="Times New Roman"/>
        </w:rPr>
        <w:t xml:space="preserve">Depew, M. 1992, </w:t>
      </w:r>
      <w:r w:rsidR="00CC0615">
        <w:rPr>
          <w:rFonts w:cs="Times New Roman"/>
        </w:rPr>
        <w:t>“</w:t>
      </w:r>
      <w:r w:rsidRPr="006F6F21">
        <w:rPr>
          <w:rFonts w:cs="Times New Roman"/>
          <w:lang w:val="el-GR"/>
        </w:rPr>
        <w:t>ἰαμβεῖον</w:t>
      </w:r>
      <w:r w:rsidRPr="007F1E99">
        <w:rPr>
          <w:rFonts w:cs="Times New Roman"/>
          <w:lang w:val="en-US"/>
        </w:rPr>
        <w:t xml:space="preserve"> </w:t>
      </w:r>
      <w:r w:rsidRPr="006F6F21">
        <w:rPr>
          <w:rFonts w:cs="Times New Roman"/>
          <w:lang w:val="el-GR"/>
        </w:rPr>
        <w:t>καλεῖται</w:t>
      </w:r>
      <w:r w:rsidRPr="007F1E99">
        <w:rPr>
          <w:rFonts w:cs="Times New Roman"/>
          <w:lang w:val="en-US"/>
        </w:rPr>
        <w:t xml:space="preserve"> </w:t>
      </w:r>
      <w:r w:rsidRPr="006F6F21">
        <w:rPr>
          <w:rFonts w:cs="Times New Roman"/>
          <w:lang w:val="el-GR"/>
        </w:rPr>
        <w:t>νῦν</w:t>
      </w:r>
      <w:r w:rsidRPr="006F6F21">
        <w:rPr>
          <w:rFonts w:cs="Times New Roman"/>
        </w:rPr>
        <w:t>: Genre, Occasion, and Imitation in Callimachus, frr. 191 and 203 Pf.,</w:t>
      </w:r>
      <w:r w:rsidR="00CC0615">
        <w:rPr>
          <w:rFonts w:cs="Times New Roman"/>
        </w:rPr>
        <w:t>”</w:t>
      </w:r>
      <w:r w:rsidRPr="006F6F21">
        <w:rPr>
          <w:rFonts w:cs="Times New Roman"/>
        </w:rPr>
        <w:t xml:space="preserve"> </w:t>
      </w:r>
      <w:r>
        <w:rPr>
          <w:rFonts w:cs="Times New Roman"/>
          <w:i/>
        </w:rPr>
        <w:t>Transactions of the American Philological Association</w:t>
      </w:r>
      <w:r w:rsidRPr="006F6F21">
        <w:rPr>
          <w:rFonts w:cs="Times New Roman"/>
        </w:rPr>
        <w:t xml:space="preserve"> 122: 313-330.</w:t>
      </w:r>
    </w:p>
    <w:p w14:paraId="2974E414" w14:textId="1C237D41" w:rsidR="003B2A46" w:rsidRPr="006F6F21" w:rsidRDefault="003B2A46" w:rsidP="00F56C73">
      <w:pPr>
        <w:pStyle w:val="ListParagraph"/>
        <w:numPr>
          <w:ilvl w:val="0"/>
          <w:numId w:val="20"/>
        </w:numPr>
        <w:spacing w:before="100" w:after="100" w:line="300" w:lineRule="exact"/>
        <w:ind w:left="567" w:hanging="567"/>
      </w:pPr>
      <w:r w:rsidRPr="006F6F21">
        <w:t xml:space="preserve">1993, </w:t>
      </w:r>
      <w:r w:rsidR="00CC0615">
        <w:t>“</w:t>
      </w:r>
      <w:r w:rsidRPr="006F6F21">
        <w:t>Mimesis and Aetiology in Callimachus</w:t>
      </w:r>
      <w:r w:rsidR="00075F5F">
        <w:t>’</w:t>
      </w:r>
      <w:r w:rsidRPr="006F6F21">
        <w:t xml:space="preserve"> </w:t>
      </w:r>
      <w:r w:rsidRPr="006F6F21">
        <w:rPr>
          <w:i/>
        </w:rPr>
        <w:t>Hymns</w:t>
      </w:r>
      <w:r w:rsidRPr="006F6F21">
        <w:t>,</w:t>
      </w:r>
      <w:r w:rsidR="00CC0615">
        <w:t>”</w:t>
      </w:r>
      <w:r w:rsidRPr="006F6F21">
        <w:t xml:space="preserve"> in M. A. Harder, R. F. Regtuit, and G. C. Wakker (eds.), </w:t>
      </w:r>
      <w:r w:rsidRPr="006F6F21">
        <w:rPr>
          <w:i/>
        </w:rPr>
        <w:t>Callimachus</w:t>
      </w:r>
      <w:r w:rsidRPr="006F6F21">
        <w:t>, Groningen: 57-77.</w:t>
      </w:r>
    </w:p>
    <w:p w14:paraId="045E9DA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De Saussure, F. 1915, </w:t>
      </w:r>
      <w:r w:rsidRPr="006F6F21">
        <w:rPr>
          <w:rFonts w:cs="Times New Roman"/>
          <w:i/>
        </w:rPr>
        <w:t>Cours de linguistique générale</w:t>
      </w:r>
      <w:r w:rsidRPr="006F6F21">
        <w:rPr>
          <w:rFonts w:cs="Times New Roman"/>
        </w:rPr>
        <w:t>, Gen</w:t>
      </w:r>
      <w:r>
        <w:rPr>
          <w:rFonts w:cs="Times New Roman"/>
        </w:rPr>
        <w:t>eva</w:t>
      </w:r>
      <w:r w:rsidRPr="006F6F21">
        <w:rPr>
          <w:rFonts w:cs="Times New Roman"/>
        </w:rPr>
        <w:t>.</w:t>
      </w:r>
    </w:p>
    <w:p w14:paraId="3CD3911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Descroix, J. 1931, </w:t>
      </w:r>
      <w:r w:rsidRPr="00AF6182">
        <w:rPr>
          <w:rFonts w:cs="Times New Roman"/>
          <w:i/>
        </w:rPr>
        <w:t>Le trimètre iambique: des iambographes à la comédie nouvelle</w:t>
      </w:r>
      <w:r w:rsidRPr="006B57B5">
        <w:rPr>
          <w:rFonts w:cs="Times New Roman"/>
        </w:rPr>
        <w:t xml:space="preserve">, Mâcon </w:t>
      </w:r>
      <w:r w:rsidRPr="006F6F21">
        <w:rPr>
          <w:rFonts w:cs="Times New Roman"/>
        </w:rPr>
        <w:t>(</w:t>
      </w:r>
      <w:r>
        <w:rPr>
          <w:rFonts w:cs="Times New Roman"/>
        </w:rPr>
        <w:t>r</w:t>
      </w:r>
      <w:r w:rsidRPr="006F6F21">
        <w:rPr>
          <w:rFonts w:cs="Times New Roman"/>
        </w:rPr>
        <w:t>epr</w:t>
      </w:r>
      <w:r>
        <w:rPr>
          <w:rFonts w:cs="Times New Roman"/>
        </w:rPr>
        <w:t xml:space="preserve">inted </w:t>
      </w:r>
      <w:r w:rsidRPr="006F6F21">
        <w:rPr>
          <w:rFonts w:cs="Times New Roman"/>
        </w:rPr>
        <w:t>New York</w:t>
      </w:r>
      <w:r>
        <w:rPr>
          <w:rFonts w:cs="Times New Roman"/>
        </w:rPr>
        <w:t xml:space="preserve"> 1987</w:t>
      </w:r>
      <w:r w:rsidRPr="006F6F21">
        <w:rPr>
          <w:rFonts w:cs="Times New Roman"/>
        </w:rPr>
        <w:t xml:space="preserve">). </w:t>
      </w:r>
    </w:p>
    <w:p w14:paraId="1B733099" w14:textId="00F354DB"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Diels, H. 1910, </w:t>
      </w:r>
      <w:r w:rsidR="00CC0615">
        <w:rPr>
          <w:rFonts w:cs="Times New Roman"/>
          <w:lang w:val="nl-NL"/>
        </w:rPr>
        <w:t>“</w:t>
      </w:r>
      <w:r w:rsidRPr="007F1E99">
        <w:rPr>
          <w:rFonts w:cs="Times New Roman"/>
          <w:lang w:val="nl-NL"/>
        </w:rPr>
        <w:t>Orientalische Fabeln in griechischem Gewande,</w:t>
      </w:r>
      <w:r w:rsidR="00CC0615">
        <w:rPr>
          <w:rFonts w:cs="Times New Roman"/>
          <w:lang w:val="nl-NL"/>
        </w:rPr>
        <w:t>”</w:t>
      </w:r>
      <w:r w:rsidRPr="007F1E99">
        <w:rPr>
          <w:rFonts w:cs="Times New Roman"/>
          <w:lang w:val="nl-NL"/>
        </w:rPr>
        <w:t xml:space="preserve"> </w:t>
      </w:r>
      <w:r w:rsidRPr="007F1E99">
        <w:rPr>
          <w:rFonts w:cs="Times New Roman"/>
          <w:i/>
          <w:lang w:val="nl-NL"/>
        </w:rPr>
        <w:t>Internationale Wochenschrift für Wissenschaft, Kunst und Technik</w:t>
      </w:r>
      <w:r w:rsidRPr="007F1E99">
        <w:rPr>
          <w:rFonts w:cs="Times New Roman"/>
          <w:lang w:val="nl-NL"/>
        </w:rPr>
        <w:t xml:space="preserve"> 4: 993-1002.</w:t>
      </w:r>
    </w:p>
    <w:p w14:paraId="2D1C2B5C"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lastRenderedPageBreak/>
        <w:t xml:space="preserve">Diessel, H. 1999, </w:t>
      </w:r>
      <w:r w:rsidRPr="006F6F21">
        <w:rPr>
          <w:rFonts w:cs="Times New Roman"/>
          <w:i/>
          <w:iCs/>
        </w:rPr>
        <w:t>Demonstratives: Form, Function, and Grammaticalization</w:t>
      </w:r>
      <w:r w:rsidRPr="006F6F21">
        <w:rPr>
          <w:rFonts w:cs="Times New Roman"/>
        </w:rPr>
        <w:t>, Amsterdam - Philadelphia.</w:t>
      </w:r>
    </w:p>
    <w:p w14:paraId="423655DF" w14:textId="77777777" w:rsidR="0041663F" w:rsidRPr="006F6F21" w:rsidRDefault="0041663F" w:rsidP="0041663F">
      <w:pPr>
        <w:spacing w:before="100" w:after="100" w:line="300" w:lineRule="exact"/>
        <w:ind w:left="567" w:hanging="567"/>
        <w:rPr>
          <w:rFonts w:cs="Times New Roman"/>
        </w:rPr>
      </w:pPr>
      <w:r w:rsidRPr="006F6F21">
        <w:rPr>
          <w:rFonts w:cs="Times New Roman"/>
        </w:rPr>
        <w:t>Dickey, E. 2010</w:t>
      </w:r>
      <w:r>
        <w:rPr>
          <w:rFonts w:cs="Times New Roman"/>
        </w:rPr>
        <w:t>a</w:t>
      </w:r>
      <w:r w:rsidRPr="006F6F21">
        <w:rPr>
          <w:rFonts w:cs="Times New Roman"/>
        </w:rPr>
        <w:t xml:space="preserve">, </w:t>
      </w:r>
      <w:r>
        <w:rPr>
          <w:rFonts w:cs="Times New Roman"/>
        </w:rPr>
        <w:t>“</w:t>
      </w:r>
      <w:r w:rsidRPr="006F6F21">
        <w:rPr>
          <w:rFonts w:cs="Times New Roman"/>
        </w:rPr>
        <w:t>Forms of Address and Markers of Status,</w:t>
      </w:r>
      <w:r>
        <w:rPr>
          <w:rFonts w:cs="Times New Roman"/>
        </w:rPr>
        <w:t>”</w:t>
      </w:r>
      <w:r w:rsidRPr="006F6F21">
        <w:rPr>
          <w:rFonts w:cs="Times New Roman"/>
        </w:rPr>
        <w:t xml:space="preserve"> in E. J. Bakker (ed.), </w:t>
      </w:r>
      <w:r w:rsidRPr="006F6F21">
        <w:rPr>
          <w:rFonts w:cs="Times New Roman"/>
          <w:i/>
        </w:rPr>
        <w:t>A Companion to</w:t>
      </w:r>
      <w:r>
        <w:rPr>
          <w:rFonts w:cs="Times New Roman"/>
          <w:i/>
        </w:rPr>
        <w:t xml:space="preserve"> the </w:t>
      </w:r>
      <w:r w:rsidRPr="006F6F21">
        <w:rPr>
          <w:rFonts w:cs="Times New Roman"/>
          <w:i/>
        </w:rPr>
        <w:t>Ancient Greek Language</w:t>
      </w:r>
      <w:r w:rsidRPr="006F6F21">
        <w:rPr>
          <w:rFonts w:cs="Times New Roman"/>
        </w:rPr>
        <w:t>, Chichester</w:t>
      </w:r>
      <w:r>
        <w:rPr>
          <w:rFonts w:cs="Times New Roman"/>
        </w:rPr>
        <w:t xml:space="preserve"> - Malden</w:t>
      </w:r>
      <w:r w:rsidRPr="006F6F21">
        <w:rPr>
          <w:rFonts w:cs="Times New Roman"/>
        </w:rPr>
        <w:t>: 397-310.</w:t>
      </w:r>
    </w:p>
    <w:p w14:paraId="39892840" w14:textId="45E19721" w:rsidR="0041663F" w:rsidRPr="006F6F21" w:rsidRDefault="0041663F" w:rsidP="0041663F">
      <w:pPr>
        <w:spacing w:before="100" w:after="100" w:line="300" w:lineRule="exact"/>
        <w:ind w:left="567" w:hanging="567"/>
        <w:rPr>
          <w:rFonts w:cs="Times New Roman"/>
        </w:rPr>
      </w:pPr>
      <w:r w:rsidRPr="006F6F21">
        <w:rPr>
          <w:rFonts w:cs="Times New Roman"/>
        </w:rPr>
        <w:t>— 2010</w:t>
      </w:r>
      <w:r>
        <w:rPr>
          <w:rFonts w:cs="Times New Roman"/>
        </w:rPr>
        <w:t>b</w:t>
      </w:r>
      <w:r w:rsidRPr="006F6F21">
        <w:rPr>
          <w:rFonts w:cs="Times New Roman"/>
        </w:rPr>
        <w:t xml:space="preserve">, </w:t>
      </w:r>
      <w:r>
        <w:rPr>
          <w:rFonts w:cs="Times New Roman"/>
        </w:rPr>
        <w:t>“</w:t>
      </w:r>
      <w:r w:rsidRPr="006F6F21">
        <w:rPr>
          <w:rFonts w:cs="Times New Roman"/>
        </w:rPr>
        <w:t>Introduction,</w:t>
      </w:r>
      <w:r>
        <w:rPr>
          <w:rFonts w:cs="Times New Roman"/>
        </w:rPr>
        <w:t>” and “</w:t>
      </w:r>
      <w:r w:rsidRPr="006F6F21">
        <w:rPr>
          <w:rFonts w:cs="Times New Roman"/>
        </w:rPr>
        <w:t xml:space="preserve">Preliminary </w:t>
      </w:r>
      <w:r>
        <w:rPr>
          <w:rFonts w:cs="Times New Roman"/>
        </w:rPr>
        <w:t>C</w:t>
      </w:r>
      <w:r w:rsidRPr="006F6F21">
        <w:rPr>
          <w:rFonts w:cs="Times New Roman"/>
        </w:rPr>
        <w:t>onclusions,</w:t>
      </w:r>
      <w:r>
        <w:rPr>
          <w:rFonts w:cs="Times New Roman"/>
        </w:rPr>
        <w:t>”</w:t>
      </w:r>
      <w:r w:rsidRPr="006F6F21">
        <w:rPr>
          <w:rFonts w:cs="Times New Roman"/>
        </w:rPr>
        <w:t xml:space="preserve"> in E. Dickey and A. Chahoud (eds.), </w:t>
      </w:r>
      <w:r w:rsidRPr="006F6F21">
        <w:rPr>
          <w:rFonts w:cs="Times New Roman"/>
          <w:i/>
        </w:rPr>
        <w:t>Colloquial and Literary Latin</w:t>
      </w:r>
      <w:r>
        <w:rPr>
          <w:rFonts w:cs="Times New Roman"/>
        </w:rPr>
        <w:t xml:space="preserve">, Cambridge: 3-6; </w:t>
      </w:r>
      <w:r w:rsidRPr="006F6F21">
        <w:rPr>
          <w:rFonts w:cs="Times New Roman"/>
        </w:rPr>
        <w:t>65-70.</w:t>
      </w:r>
    </w:p>
    <w:p w14:paraId="44139424" w14:textId="77777777" w:rsidR="0041663F" w:rsidRPr="006F6F21" w:rsidRDefault="0041663F" w:rsidP="0041663F">
      <w:pPr>
        <w:spacing w:before="100" w:after="100" w:line="300" w:lineRule="exact"/>
        <w:ind w:left="567" w:hanging="567"/>
        <w:rPr>
          <w:rFonts w:cs="Times New Roman"/>
        </w:rPr>
      </w:pPr>
      <w:r w:rsidRPr="006F6F21">
        <w:rPr>
          <w:rFonts w:cs="Times New Roman"/>
        </w:rPr>
        <w:t>Dickey, E.</w:t>
      </w:r>
      <w:r>
        <w:rPr>
          <w:rFonts w:cs="Times New Roman"/>
        </w:rPr>
        <w:t xml:space="preserve">, </w:t>
      </w:r>
      <w:r w:rsidRPr="006F6F21">
        <w:rPr>
          <w:rFonts w:cs="Times New Roman"/>
        </w:rPr>
        <w:t xml:space="preserve">and Chahoud, A. (eds.) 2010, </w:t>
      </w:r>
      <w:r w:rsidRPr="006F6F21">
        <w:rPr>
          <w:rFonts w:cs="Times New Roman"/>
          <w:i/>
        </w:rPr>
        <w:t>Colloquial and Literary Latin</w:t>
      </w:r>
      <w:r w:rsidRPr="006F6F21">
        <w:rPr>
          <w:rFonts w:cs="Times New Roman"/>
        </w:rPr>
        <w:t>, Cambridge.</w:t>
      </w:r>
    </w:p>
    <w:p w14:paraId="2CB830BB"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Dik, H. 1995, </w:t>
      </w:r>
      <w:r w:rsidRPr="006F6F21">
        <w:rPr>
          <w:rFonts w:cs="Times New Roman"/>
          <w:i/>
        </w:rPr>
        <w:t>Word Order in Ancient Greek: A Pragmatic Account of Word Order Variation in Herodotus</w:t>
      </w:r>
      <w:r w:rsidRPr="006F6F21">
        <w:rPr>
          <w:rFonts w:cs="Times New Roman"/>
        </w:rPr>
        <w:t>, Amsterdam.</w:t>
      </w:r>
    </w:p>
    <w:p w14:paraId="31323446" w14:textId="3C28B5CA"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1998, </w:t>
      </w:r>
      <w:r w:rsidR="00CC0615">
        <w:rPr>
          <w:rFonts w:cs="Times New Roman"/>
        </w:rPr>
        <w:t>“</w:t>
      </w:r>
      <w:r w:rsidRPr="006F6F21">
        <w:rPr>
          <w:rFonts w:cs="Times New Roman"/>
        </w:rPr>
        <w:t>Words into Verse: The Localization of Some Metrical Word-Types in the Iambic Trimeter of Sophocles,</w:t>
      </w:r>
      <w:r w:rsidR="00CC0615">
        <w:rPr>
          <w:rFonts w:cs="Times New Roman"/>
        </w:rPr>
        <w:t>”</w:t>
      </w:r>
      <w:r w:rsidRPr="006F6F21">
        <w:rPr>
          <w:rFonts w:cs="Times New Roman"/>
        </w:rPr>
        <w:t xml:space="preserve"> </w:t>
      </w:r>
      <w:r w:rsidRPr="00AF6182">
        <w:rPr>
          <w:rFonts w:cs="Times New Roman"/>
          <w:i/>
        </w:rPr>
        <w:t>Illinois Classical Studies</w:t>
      </w:r>
      <w:r w:rsidRPr="006F6F21">
        <w:rPr>
          <w:rFonts w:cs="Times New Roman"/>
        </w:rPr>
        <w:t xml:space="preserve"> 23: 47-84.</w:t>
      </w:r>
    </w:p>
    <w:p w14:paraId="6E0C4010"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2007, </w:t>
      </w:r>
      <w:r w:rsidRPr="006F6F21">
        <w:rPr>
          <w:rFonts w:cs="Times New Roman"/>
          <w:i/>
        </w:rPr>
        <w:t>Word Order in Greek Tragic Dialogue</w:t>
      </w:r>
      <w:r w:rsidRPr="006F6F21">
        <w:rPr>
          <w:rFonts w:cs="Times New Roman"/>
        </w:rPr>
        <w:t>, Oxford.</w:t>
      </w:r>
    </w:p>
    <w:p w14:paraId="2844DA61" w14:textId="6A253118" w:rsidR="003B2A46" w:rsidRPr="006F6F21" w:rsidRDefault="003B2A46" w:rsidP="004819D9">
      <w:pPr>
        <w:spacing w:before="100" w:after="100" w:line="300" w:lineRule="exact"/>
        <w:ind w:left="567" w:hanging="567"/>
        <w:rPr>
          <w:rFonts w:cs="Times New Roman"/>
        </w:rPr>
      </w:pPr>
      <w:r w:rsidRPr="006F6F21">
        <w:rPr>
          <w:rFonts w:cs="Times New Roman"/>
        </w:rPr>
        <w:t xml:space="preserve">Diller, H. 1997/8, </w:t>
      </w:r>
      <w:r w:rsidR="00CC0615">
        <w:rPr>
          <w:rFonts w:cs="Times New Roman"/>
        </w:rPr>
        <w:t>“</w:t>
      </w:r>
      <w:r w:rsidRPr="006F6F21">
        <w:rPr>
          <w:rFonts w:cs="Times New Roman"/>
        </w:rPr>
        <w:t>Code-</w:t>
      </w:r>
      <w:r>
        <w:rPr>
          <w:rFonts w:cs="Times New Roman"/>
        </w:rPr>
        <w:t>S</w:t>
      </w:r>
      <w:r w:rsidRPr="006F6F21">
        <w:rPr>
          <w:rFonts w:cs="Times New Roman"/>
        </w:rPr>
        <w:t xml:space="preserve">witching in </w:t>
      </w:r>
      <w:r>
        <w:rPr>
          <w:rFonts w:cs="Times New Roman"/>
        </w:rPr>
        <w:t>M</w:t>
      </w:r>
      <w:r w:rsidRPr="006F6F21">
        <w:rPr>
          <w:rFonts w:cs="Times New Roman"/>
        </w:rPr>
        <w:t xml:space="preserve">edieval English </w:t>
      </w:r>
      <w:r>
        <w:rPr>
          <w:rFonts w:cs="Times New Roman"/>
        </w:rPr>
        <w:t>D</w:t>
      </w:r>
      <w:r w:rsidRPr="006F6F21">
        <w:rPr>
          <w:rFonts w:cs="Times New Roman"/>
        </w:rPr>
        <w:t>rama,</w:t>
      </w:r>
      <w:r w:rsidR="00CC0615">
        <w:rPr>
          <w:rFonts w:cs="Times New Roman"/>
        </w:rPr>
        <w:t>”</w:t>
      </w:r>
      <w:r w:rsidRPr="006F6F21">
        <w:rPr>
          <w:rFonts w:cs="Times New Roman"/>
        </w:rPr>
        <w:t xml:space="preserve"> </w:t>
      </w:r>
      <w:r w:rsidRPr="006F6F21">
        <w:rPr>
          <w:rFonts w:cs="Times New Roman"/>
          <w:i/>
        </w:rPr>
        <w:t>Comparative Drama</w:t>
      </w:r>
      <w:r w:rsidRPr="006F6F21">
        <w:rPr>
          <w:rFonts w:cs="Times New Roman"/>
        </w:rPr>
        <w:t xml:space="preserve"> 31</w:t>
      </w:r>
      <w:r>
        <w:rPr>
          <w:rFonts w:cs="Times New Roman"/>
        </w:rPr>
        <w:t>.</w:t>
      </w:r>
      <w:r w:rsidRPr="006F6F21">
        <w:rPr>
          <w:rFonts w:cs="Times New Roman"/>
        </w:rPr>
        <w:t>4: 506-537.</w:t>
      </w:r>
    </w:p>
    <w:p w14:paraId="747A7A8D" w14:textId="77777777" w:rsidR="003B2A46" w:rsidRPr="006F6F21" w:rsidRDefault="003B2A46" w:rsidP="004819D9">
      <w:pPr>
        <w:spacing w:before="100" w:after="100" w:line="300" w:lineRule="exact"/>
        <w:ind w:left="567" w:hanging="567"/>
        <w:rPr>
          <w:rFonts w:cs="Times New Roman"/>
        </w:rPr>
      </w:pPr>
      <w:r w:rsidRPr="006F6F21">
        <w:rPr>
          <w:rFonts w:cs="Times New Roman"/>
        </w:rPr>
        <w:t>Dionisotti, C.</w:t>
      </w:r>
      <w:r>
        <w:rPr>
          <w:rFonts w:cs="Times New Roman"/>
        </w:rPr>
        <w:t xml:space="preserve">, </w:t>
      </w:r>
      <w:r w:rsidRPr="006F6F21">
        <w:rPr>
          <w:rFonts w:cs="Times New Roman"/>
        </w:rPr>
        <w:t xml:space="preserve">and Grayson, C. 1949, </w:t>
      </w:r>
      <w:r w:rsidRPr="006F6F21">
        <w:rPr>
          <w:rFonts w:cs="Times New Roman"/>
          <w:i/>
        </w:rPr>
        <w:t>Early Italian Texts</w:t>
      </w:r>
      <w:r w:rsidRPr="006F6F21">
        <w:rPr>
          <w:rFonts w:cs="Times New Roman"/>
        </w:rPr>
        <w:t>, Oxford.</w:t>
      </w:r>
    </w:p>
    <w:p w14:paraId="19BC5FB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Douglas, M., and Isherwood, B. 1979, </w:t>
      </w:r>
      <w:r w:rsidRPr="006F6F21">
        <w:rPr>
          <w:rFonts w:cs="Times New Roman"/>
          <w:i/>
        </w:rPr>
        <w:t>The World of Goods: Towards and Anthropology of Cons</w:t>
      </w:r>
      <w:r>
        <w:rPr>
          <w:rFonts w:cs="Times New Roman"/>
          <w:i/>
        </w:rPr>
        <w:t>um</w:t>
      </w:r>
      <w:r w:rsidRPr="006F6F21">
        <w:rPr>
          <w:rFonts w:cs="Times New Roman"/>
          <w:i/>
        </w:rPr>
        <w:t>ption</w:t>
      </w:r>
      <w:r w:rsidRPr="006F6F21">
        <w:rPr>
          <w:rFonts w:cs="Times New Roman"/>
        </w:rPr>
        <w:t>, New York.</w:t>
      </w:r>
    </w:p>
    <w:p w14:paraId="6AB0F048" w14:textId="3373CA8E" w:rsidR="003B2A46" w:rsidRDefault="003B2A46" w:rsidP="004819D9">
      <w:pPr>
        <w:spacing w:before="100" w:after="100" w:line="300" w:lineRule="exact"/>
        <w:ind w:left="567" w:hanging="567"/>
        <w:rPr>
          <w:rFonts w:cs="Times New Roman"/>
        </w:rPr>
      </w:pPr>
      <w:r w:rsidRPr="006F6F21">
        <w:rPr>
          <w:rFonts w:cs="Times New Roman"/>
        </w:rPr>
        <w:t xml:space="preserve">Dover, K. J. 1976, </w:t>
      </w:r>
      <w:r w:rsidR="00CC0615">
        <w:rPr>
          <w:rFonts w:cs="Times New Roman"/>
        </w:rPr>
        <w:t>“</w:t>
      </w:r>
      <w:r w:rsidRPr="006F6F21">
        <w:rPr>
          <w:rFonts w:cs="Times New Roman"/>
        </w:rPr>
        <w:t>Linguaggio e caratteri aristofanei,</w:t>
      </w:r>
      <w:r w:rsidR="00CC0615">
        <w:rPr>
          <w:rFonts w:cs="Times New Roman"/>
        </w:rPr>
        <w:t>”</w:t>
      </w:r>
      <w:r w:rsidRPr="006F6F21">
        <w:rPr>
          <w:rFonts w:cs="Times New Roman"/>
        </w:rPr>
        <w:t xml:space="preserve"> </w:t>
      </w:r>
      <w:r w:rsidRPr="006F6F21">
        <w:rPr>
          <w:rFonts w:cs="Times New Roman"/>
          <w:i/>
        </w:rPr>
        <w:t xml:space="preserve">Rivista di cultura classica e medioevale </w:t>
      </w:r>
      <w:r w:rsidRPr="006F6F21">
        <w:rPr>
          <w:rFonts w:cs="Times New Roman"/>
        </w:rPr>
        <w:t>18: 357-371.</w:t>
      </w:r>
    </w:p>
    <w:p w14:paraId="1A937FC6" w14:textId="37CE6172" w:rsidR="00D808B7" w:rsidRPr="006F6F21" w:rsidRDefault="00D808B7" w:rsidP="0041663F">
      <w:pPr>
        <w:autoSpaceDE w:val="0"/>
        <w:autoSpaceDN w:val="0"/>
        <w:adjustRightInd w:val="0"/>
        <w:spacing w:before="100" w:after="100" w:line="300" w:lineRule="exact"/>
        <w:ind w:left="567" w:hanging="567"/>
        <w:rPr>
          <w:rFonts w:cs="Times New Roman"/>
        </w:rPr>
      </w:pPr>
      <w:r w:rsidRPr="006F6F21">
        <w:rPr>
          <w:rFonts w:cs="Times New Roman"/>
          <w:color w:val="1A1718"/>
        </w:rPr>
        <w:t xml:space="preserve">Duhoux, Y. 1998, </w:t>
      </w:r>
      <w:r>
        <w:rPr>
          <w:rFonts w:cs="Times New Roman"/>
          <w:color w:val="1A1718"/>
        </w:rPr>
        <w:t>“</w:t>
      </w:r>
      <w:r w:rsidRPr="006F6F21">
        <w:rPr>
          <w:rFonts w:cs="Times New Roman"/>
          <w:color w:val="1A1718"/>
        </w:rPr>
        <w:t>Les particules grecques: les situations homérique et mycénienne,</w:t>
      </w:r>
      <w:r>
        <w:rPr>
          <w:rFonts w:cs="Times New Roman"/>
          <w:color w:val="1A1718"/>
        </w:rPr>
        <w:t>”</w:t>
      </w:r>
      <w:r w:rsidRPr="006F6F21">
        <w:rPr>
          <w:rFonts w:cs="Times New Roman"/>
          <w:color w:val="1A1718"/>
        </w:rPr>
        <w:t xml:space="preserve"> in Y. Duhoux (ed.), </w:t>
      </w:r>
      <w:r w:rsidRPr="006F6F21">
        <w:rPr>
          <w:rFonts w:cs="Times New Roman"/>
          <w:i/>
          <w:color w:val="1A1718"/>
        </w:rPr>
        <w:t>Langue et langues: hommage à Albert Maniet</w:t>
      </w:r>
      <w:r w:rsidRPr="006F6F21">
        <w:rPr>
          <w:rFonts w:cs="Times New Roman"/>
          <w:color w:val="1A1718"/>
        </w:rPr>
        <w:t>, Leuven: 13- 42.</w:t>
      </w:r>
    </w:p>
    <w:p w14:paraId="20FEDD37"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Ebeling, H. 1885, </w:t>
      </w:r>
      <w:r w:rsidRPr="007F1E99">
        <w:rPr>
          <w:rFonts w:cs="Times New Roman"/>
          <w:i/>
          <w:lang w:val="nl-NL"/>
        </w:rPr>
        <w:t>Lexicon Homericum</w:t>
      </w:r>
      <w:r w:rsidRPr="007F1E99">
        <w:rPr>
          <w:rFonts w:cs="Times New Roman"/>
          <w:lang w:val="nl-NL"/>
        </w:rPr>
        <w:t>, vol. 1, Leipzig.</w:t>
      </w:r>
    </w:p>
    <w:p w14:paraId="6C793F66" w14:textId="77777777" w:rsidR="003B2A46" w:rsidRPr="006F6F21" w:rsidRDefault="003B2A46" w:rsidP="004819D9">
      <w:pPr>
        <w:spacing w:before="100" w:after="100" w:line="300" w:lineRule="exact"/>
        <w:ind w:left="567" w:hanging="567"/>
        <w:rPr>
          <w:rFonts w:cs="Times New Roman"/>
          <w:lang w:val="en-IE"/>
        </w:rPr>
      </w:pPr>
      <w:r w:rsidRPr="006F6F21">
        <w:rPr>
          <w:rFonts w:cs="Times New Roman"/>
          <w:lang w:val="en-IE"/>
        </w:rPr>
        <w:t xml:space="preserve">Eco, U. 1979, </w:t>
      </w:r>
      <w:r w:rsidRPr="006F6F21">
        <w:rPr>
          <w:rFonts w:cs="Times New Roman"/>
          <w:i/>
          <w:lang w:val="en-IE"/>
        </w:rPr>
        <w:t>Lector in Fabula</w:t>
      </w:r>
      <w:r w:rsidRPr="006F6F21">
        <w:rPr>
          <w:rFonts w:cs="Times New Roman"/>
          <w:lang w:val="en-IE"/>
        </w:rPr>
        <w:t>, Milan.</w:t>
      </w:r>
    </w:p>
    <w:p w14:paraId="028223A5" w14:textId="089FB479" w:rsidR="003B2A46" w:rsidRPr="006F6F21" w:rsidRDefault="003B2A46" w:rsidP="004819D9">
      <w:pPr>
        <w:spacing w:before="100" w:after="100" w:line="300" w:lineRule="exact"/>
        <w:ind w:left="567" w:hanging="567"/>
        <w:rPr>
          <w:rFonts w:cs="Times New Roman"/>
        </w:rPr>
      </w:pPr>
      <w:r w:rsidRPr="006F6F21">
        <w:rPr>
          <w:rFonts w:cs="Times New Roman"/>
        </w:rPr>
        <w:t xml:space="preserve">Edmunds, L. 2001, </w:t>
      </w:r>
      <w:r w:rsidR="00CC0615">
        <w:rPr>
          <w:rFonts w:cs="Times New Roman"/>
        </w:rPr>
        <w:t>“</w:t>
      </w:r>
      <w:r w:rsidRPr="006F6F21">
        <w:rPr>
          <w:rFonts w:cs="Times New Roman"/>
        </w:rPr>
        <w:t xml:space="preserve">Callimachus </w:t>
      </w:r>
      <w:r w:rsidRPr="00AF6182">
        <w:rPr>
          <w:rFonts w:cs="Times New Roman"/>
          <w:i/>
        </w:rPr>
        <w:t>Iamb</w:t>
      </w:r>
      <w:r w:rsidRPr="006F6F21">
        <w:rPr>
          <w:rFonts w:cs="Times New Roman"/>
        </w:rPr>
        <w:t xml:space="preserve"> 4: From Performance to Writing,</w:t>
      </w:r>
      <w:r w:rsidR="00CC0615">
        <w:rPr>
          <w:rFonts w:cs="Times New Roman"/>
        </w:rPr>
        <w:t>”</w:t>
      </w:r>
      <w:r w:rsidRPr="006F6F21">
        <w:rPr>
          <w:rFonts w:cs="Times New Roman"/>
        </w:rPr>
        <w:t xml:space="preserve"> in A. Cavarzere, A. Aloni</w:t>
      </w:r>
      <w:r>
        <w:rPr>
          <w:rFonts w:cs="Times New Roman"/>
        </w:rPr>
        <w:t xml:space="preserve">, </w:t>
      </w:r>
      <w:r w:rsidRPr="006F6F21">
        <w:rPr>
          <w:rFonts w:cs="Times New Roman"/>
        </w:rPr>
        <w:t xml:space="preserve">and A. Barchiesi (eds.), </w:t>
      </w:r>
      <w:r w:rsidRPr="006F6F21">
        <w:rPr>
          <w:rFonts w:cs="Times New Roman"/>
          <w:i/>
        </w:rPr>
        <w:t>Iambic Ideas: Essays on a Poetic Tradition from Archaic Greece to the Late Roman Empire</w:t>
      </w:r>
      <w:r w:rsidRPr="006F6F21">
        <w:rPr>
          <w:rFonts w:cs="Times New Roman"/>
        </w:rPr>
        <w:t>, Lanham: 77-98.</w:t>
      </w:r>
    </w:p>
    <w:p w14:paraId="559E2085" w14:textId="209C1E2A" w:rsidR="003B2A46" w:rsidRPr="006F6F21" w:rsidRDefault="003B2A46" w:rsidP="004819D9">
      <w:pPr>
        <w:spacing w:before="100" w:after="100" w:line="300" w:lineRule="exact"/>
        <w:ind w:left="567" w:hanging="567"/>
        <w:rPr>
          <w:rFonts w:cs="Times New Roman"/>
        </w:rPr>
      </w:pPr>
      <w:r w:rsidRPr="006F6F21">
        <w:rPr>
          <w:rFonts w:cs="Times New Roman"/>
        </w:rPr>
        <w:t xml:space="preserve">Falivene, M. R. 1990, </w:t>
      </w:r>
      <w:r w:rsidR="00CC0615">
        <w:rPr>
          <w:rFonts w:cs="Times New Roman"/>
        </w:rPr>
        <w:t>“</w:t>
      </w:r>
      <w:r w:rsidRPr="006F6F21">
        <w:rPr>
          <w:rFonts w:cs="Times New Roman"/>
        </w:rPr>
        <w:t xml:space="preserve">La mimesi in Callimaco: </w:t>
      </w:r>
      <w:r w:rsidRPr="006F6F21">
        <w:rPr>
          <w:rFonts w:cs="Times New Roman"/>
          <w:i/>
        </w:rPr>
        <w:t>Inni</w:t>
      </w:r>
      <w:r w:rsidRPr="006F6F21">
        <w:rPr>
          <w:rFonts w:cs="Times New Roman"/>
        </w:rPr>
        <w:t xml:space="preserve"> II, IV, V e VI,</w:t>
      </w:r>
      <w:r w:rsidR="00CC0615">
        <w:rPr>
          <w:rFonts w:cs="Times New Roman"/>
        </w:rPr>
        <w:t>”</w:t>
      </w:r>
      <w:r w:rsidRPr="006F6F21">
        <w:rPr>
          <w:rFonts w:cs="Times New Roman"/>
        </w:rPr>
        <w:t xml:space="preserve"> </w:t>
      </w:r>
      <w:r w:rsidRPr="006F6F21">
        <w:rPr>
          <w:rFonts w:cs="Times New Roman"/>
          <w:i/>
        </w:rPr>
        <w:t xml:space="preserve">Quaderni </w:t>
      </w:r>
      <w:r>
        <w:rPr>
          <w:rFonts w:cs="Times New Roman"/>
          <w:i/>
        </w:rPr>
        <w:t>u</w:t>
      </w:r>
      <w:r w:rsidRPr="006F6F21">
        <w:rPr>
          <w:rFonts w:cs="Times New Roman"/>
          <w:i/>
        </w:rPr>
        <w:t xml:space="preserve">rbinati di </w:t>
      </w:r>
      <w:r>
        <w:rPr>
          <w:rFonts w:cs="Times New Roman"/>
          <w:i/>
        </w:rPr>
        <w:t>c</w:t>
      </w:r>
      <w:r w:rsidRPr="006F6F21">
        <w:rPr>
          <w:rFonts w:cs="Times New Roman"/>
          <w:i/>
        </w:rPr>
        <w:t xml:space="preserve">ultura </w:t>
      </w:r>
      <w:r>
        <w:rPr>
          <w:rFonts w:cs="Times New Roman"/>
          <w:i/>
        </w:rPr>
        <w:t>c</w:t>
      </w:r>
      <w:r w:rsidRPr="006F6F21">
        <w:rPr>
          <w:rFonts w:cs="Times New Roman"/>
          <w:i/>
        </w:rPr>
        <w:t>lassica</w:t>
      </w:r>
      <w:r w:rsidRPr="006F6F21">
        <w:rPr>
          <w:rFonts w:cs="Times New Roman"/>
        </w:rPr>
        <w:t xml:space="preserve"> 36: 103-28.</w:t>
      </w:r>
    </w:p>
    <w:p w14:paraId="2E527546" w14:textId="153FB20F" w:rsidR="003B2A46" w:rsidRPr="006F6F21" w:rsidRDefault="003B2A46" w:rsidP="004819D9">
      <w:pPr>
        <w:spacing w:before="100" w:after="100" w:line="300" w:lineRule="exact"/>
        <w:ind w:left="567" w:hanging="567"/>
        <w:rPr>
          <w:rFonts w:cs="Times New Roman"/>
        </w:rPr>
      </w:pPr>
      <w:r w:rsidRPr="006F6F21">
        <w:rPr>
          <w:rFonts w:cs="Times New Roman"/>
        </w:rPr>
        <w:t xml:space="preserve">Fantuzzi, M. 1980, </w:t>
      </w:r>
      <w:r w:rsidR="00CC0615">
        <w:rPr>
          <w:rFonts w:cs="Times New Roman"/>
        </w:rPr>
        <w:t>“</w:t>
      </w:r>
      <w:r w:rsidRPr="006F6F21">
        <w:rPr>
          <w:rFonts w:cs="Times New Roman"/>
        </w:rPr>
        <w:t>La contaminazione dei generi letterari nella letteratura greca ellenistica</w:t>
      </w:r>
      <w:r>
        <w:rPr>
          <w:rFonts w:cs="Times New Roman"/>
        </w:rPr>
        <w:t>: r</w:t>
      </w:r>
      <w:r w:rsidRPr="006F6F21">
        <w:rPr>
          <w:rFonts w:cs="Times New Roman"/>
        </w:rPr>
        <w:t>ifiuto del sistema o evoluzione di un sistema?</w:t>
      </w:r>
      <w:r w:rsidR="00CC0615">
        <w:rPr>
          <w:rFonts w:cs="Times New Roman"/>
        </w:rPr>
        <w:t>”</w:t>
      </w:r>
      <w:r w:rsidRPr="006F6F21">
        <w:rPr>
          <w:rFonts w:cs="Times New Roman"/>
        </w:rPr>
        <w:t xml:space="preserve"> </w:t>
      </w:r>
      <w:r w:rsidRPr="006F6F21">
        <w:rPr>
          <w:rFonts w:cs="Times New Roman"/>
          <w:i/>
        </w:rPr>
        <w:t>Lingua e Stile</w:t>
      </w:r>
      <w:r w:rsidRPr="006F6F21">
        <w:rPr>
          <w:rFonts w:cs="Times New Roman"/>
        </w:rPr>
        <w:t xml:space="preserve"> 15: 433-450.</w:t>
      </w:r>
    </w:p>
    <w:p w14:paraId="2C69B89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Fantuzzi, M., and Hunter, R. L. 2004, </w:t>
      </w:r>
      <w:r w:rsidRPr="006F6F21">
        <w:rPr>
          <w:rFonts w:cs="Times New Roman"/>
          <w:i/>
        </w:rPr>
        <w:t>Tradition and Innovation in Hellenistic Poetry</w:t>
      </w:r>
      <w:r w:rsidRPr="006F6F21">
        <w:rPr>
          <w:rFonts w:cs="Times New Roman"/>
        </w:rPr>
        <w:t>, Cambridge.</w:t>
      </w:r>
    </w:p>
    <w:p w14:paraId="6EDAB77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Farnell, L. R. 1921, </w:t>
      </w:r>
      <w:r w:rsidRPr="006F6F21">
        <w:rPr>
          <w:rFonts w:cs="Times New Roman"/>
          <w:i/>
        </w:rPr>
        <w:t>Greek Hero Cults and Ideas of Immortality</w:t>
      </w:r>
      <w:r w:rsidRPr="006F6F21">
        <w:rPr>
          <w:rFonts w:cs="Times New Roman"/>
        </w:rPr>
        <w:t>, Oxford.</w:t>
      </w:r>
    </w:p>
    <w:p w14:paraId="57BC544C" w14:textId="0A7C8E7B" w:rsidR="003B2A46" w:rsidRPr="006F6F21" w:rsidRDefault="003B2A46" w:rsidP="004819D9">
      <w:pPr>
        <w:spacing w:before="100" w:after="100" w:line="300" w:lineRule="exact"/>
        <w:ind w:left="567" w:hanging="567"/>
        <w:rPr>
          <w:rFonts w:cs="Times New Roman"/>
        </w:rPr>
      </w:pPr>
      <w:r w:rsidRPr="006F6F21">
        <w:rPr>
          <w:rFonts w:cs="Times New Roman"/>
        </w:rPr>
        <w:t>Felson, N. 2004</w:t>
      </w:r>
      <w:r>
        <w:rPr>
          <w:rFonts w:cs="Times New Roman"/>
        </w:rPr>
        <w:t>a</w:t>
      </w:r>
      <w:r w:rsidRPr="006F6F21">
        <w:rPr>
          <w:rFonts w:cs="Times New Roman"/>
        </w:rPr>
        <w:t xml:space="preserve">, </w:t>
      </w:r>
      <w:r w:rsidR="00CC0615">
        <w:rPr>
          <w:rFonts w:cs="Times New Roman"/>
        </w:rPr>
        <w:t>“</w:t>
      </w:r>
      <w:r w:rsidRPr="006F6F21">
        <w:rPr>
          <w:rFonts w:cs="Times New Roman"/>
        </w:rPr>
        <w:t>Introduction,</w:t>
      </w:r>
      <w:r w:rsidR="00CC0615">
        <w:rPr>
          <w:rFonts w:cs="Times New Roman"/>
        </w:rPr>
        <w:t>”</w:t>
      </w:r>
      <w:r w:rsidRPr="006F6F21">
        <w:rPr>
          <w:rFonts w:cs="Times New Roman"/>
        </w:rPr>
        <w:t xml:space="preserve"> in N. Felson (ed.), </w:t>
      </w:r>
      <w:r w:rsidRPr="006F6F21">
        <w:rPr>
          <w:rFonts w:cs="Times New Roman"/>
          <w:i/>
        </w:rPr>
        <w:t>The Poetics of Deixis in Alcman, Pindar, and Other Lyric</w:t>
      </w:r>
      <w:r>
        <w:rPr>
          <w:rFonts w:cs="Times New Roman"/>
          <w:i/>
        </w:rPr>
        <w:t xml:space="preserve"> = </w:t>
      </w:r>
      <w:r w:rsidRPr="006F6F21">
        <w:rPr>
          <w:rFonts w:cs="Times New Roman"/>
          <w:i/>
        </w:rPr>
        <w:t xml:space="preserve">Arethusa </w:t>
      </w:r>
      <w:r w:rsidRPr="006F6F21">
        <w:rPr>
          <w:rFonts w:cs="Times New Roman"/>
        </w:rPr>
        <w:t>37</w:t>
      </w:r>
      <w:r>
        <w:rPr>
          <w:rFonts w:cs="Times New Roman"/>
        </w:rPr>
        <w:t>.3</w:t>
      </w:r>
      <w:r w:rsidRPr="006F6F21">
        <w:rPr>
          <w:rFonts w:cs="Times New Roman"/>
        </w:rPr>
        <w:t>: 253-266</w:t>
      </w:r>
    </w:p>
    <w:p w14:paraId="6EFAD753" w14:textId="77777777" w:rsidR="003B2A46" w:rsidRPr="006F6F21" w:rsidRDefault="003B2A46" w:rsidP="004819D9">
      <w:pPr>
        <w:spacing w:before="100" w:after="100" w:line="300" w:lineRule="exact"/>
        <w:ind w:left="567" w:hanging="567"/>
        <w:rPr>
          <w:rFonts w:cs="Times New Roman"/>
        </w:rPr>
      </w:pPr>
      <w:r w:rsidRPr="006F6F21">
        <w:rPr>
          <w:rFonts w:cs="Times New Roman"/>
        </w:rPr>
        <w:t>— (ed.) 2004</w:t>
      </w:r>
      <w:r>
        <w:rPr>
          <w:rFonts w:cs="Times New Roman"/>
        </w:rPr>
        <w:t>b</w:t>
      </w:r>
      <w:r w:rsidRPr="006F6F21">
        <w:rPr>
          <w:rFonts w:cs="Times New Roman"/>
        </w:rPr>
        <w:t xml:space="preserve">, </w:t>
      </w:r>
      <w:r w:rsidRPr="006F6F21">
        <w:rPr>
          <w:rFonts w:cs="Times New Roman"/>
          <w:i/>
        </w:rPr>
        <w:t>The Poetics of Deixis in Alcman, Pindar, and Other Lyric</w:t>
      </w:r>
      <w:r>
        <w:rPr>
          <w:rFonts w:cs="Times New Roman"/>
          <w:i/>
        </w:rPr>
        <w:t xml:space="preserve"> = </w:t>
      </w:r>
      <w:r w:rsidRPr="006F6F21">
        <w:rPr>
          <w:rFonts w:cs="Times New Roman"/>
          <w:i/>
        </w:rPr>
        <w:t xml:space="preserve">Arethusa </w:t>
      </w:r>
      <w:r w:rsidRPr="006F6F21">
        <w:rPr>
          <w:rFonts w:cs="Times New Roman"/>
        </w:rPr>
        <w:t>37</w:t>
      </w:r>
      <w:r>
        <w:rPr>
          <w:rFonts w:cs="Times New Roman"/>
        </w:rPr>
        <w:t>.3</w:t>
      </w:r>
      <w:r w:rsidRPr="006F6F21">
        <w:rPr>
          <w:rFonts w:cs="Times New Roman"/>
        </w:rPr>
        <w:t>.</w:t>
      </w:r>
    </w:p>
    <w:p w14:paraId="282384B0" w14:textId="77777777"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Fernando, C. 1996, </w:t>
      </w:r>
      <w:r w:rsidRPr="006F6F21">
        <w:rPr>
          <w:rFonts w:cs="Times New Roman"/>
          <w:i/>
        </w:rPr>
        <w:t>Idioms and Idiomaticity</w:t>
      </w:r>
      <w:r w:rsidRPr="006F6F21">
        <w:rPr>
          <w:rFonts w:cs="Times New Roman"/>
        </w:rPr>
        <w:t>, Oxford.</w:t>
      </w:r>
    </w:p>
    <w:p w14:paraId="75A61F63" w14:textId="48A10D11" w:rsidR="003B2A46" w:rsidRPr="006F6F21" w:rsidRDefault="003B2A46" w:rsidP="004819D9">
      <w:pPr>
        <w:spacing w:before="100" w:after="100" w:line="300" w:lineRule="exact"/>
        <w:ind w:left="567" w:hanging="567"/>
        <w:rPr>
          <w:rFonts w:cs="Times New Roman"/>
        </w:rPr>
      </w:pPr>
      <w:r w:rsidRPr="006F6F21">
        <w:rPr>
          <w:rFonts w:cs="Times New Roman"/>
        </w:rPr>
        <w:t xml:space="preserve">Ferri, R., and Probert, P. 2010, </w:t>
      </w:r>
      <w:r w:rsidR="00CC0615">
        <w:rPr>
          <w:rFonts w:cs="Times New Roman"/>
        </w:rPr>
        <w:t>“</w:t>
      </w:r>
      <w:r w:rsidRPr="006F6F21">
        <w:rPr>
          <w:rFonts w:cs="Times New Roman"/>
        </w:rPr>
        <w:t xml:space="preserve">Roman </w:t>
      </w:r>
      <w:r>
        <w:rPr>
          <w:rFonts w:cs="Times New Roman"/>
        </w:rPr>
        <w:t>A</w:t>
      </w:r>
      <w:r w:rsidRPr="006F6F21">
        <w:rPr>
          <w:rFonts w:cs="Times New Roman"/>
        </w:rPr>
        <w:t xml:space="preserve">uthors on </w:t>
      </w:r>
      <w:r>
        <w:rPr>
          <w:rFonts w:cs="Times New Roman"/>
        </w:rPr>
        <w:t>C</w:t>
      </w:r>
      <w:r w:rsidRPr="006F6F21">
        <w:rPr>
          <w:rFonts w:cs="Times New Roman"/>
        </w:rPr>
        <w:t xml:space="preserve">olloquial </w:t>
      </w:r>
      <w:r>
        <w:rPr>
          <w:rFonts w:cs="Times New Roman"/>
        </w:rPr>
        <w:t>L</w:t>
      </w:r>
      <w:r w:rsidRPr="006F6F21">
        <w:rPr>
          <w:rFonts w:cs="Times New Roman"/>
        </w:rPr>
        <w:t>anguage,</w:t>
      </w:r>
      <w:r w:rsidR="00CC0615">
        <w:rPr>
          <w:rFonts w:cs="Times New Roman"/>
        </w:rPr>
        <w:t>”</w:t>
      </w:r>
      <w:r w:rsidRPr="006F6F21">
        <w:rPr>
          <w:rFonts w:cs="Times New Roman"/>
        </w:rPr>
        <w:t xml:space="preserve"> in E. Dickey and A. Chahoud (eds.), </w:t>
      </w:r>
      <w:r w:rsidRPr="006F6F21">
        <w:rPr>
          <w:rFonts w:cs="Times New Roman"/>
          <w:i/>
        </w:rPr>
        <w:t>Colloquial and Literary Latin</w:t>
      </w:r>
      <w:r w:rsidRPr="006F6F21">
        <w:rPr>
          <w:rFonts w:cs="Times New Roman"/>
        </w:rPr>
        <w:t>, Cambridge: 12-41.</w:t>
      </w:r>
    </w:p>
    <w:p w14:paraId="010F15C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Fillmore, C. J. 1997, </w:t>
      </w:r>
      <w:r w:rsidRPr="006F6F21">
        <w:rPr>
          <w:rFonts w:cs="Times New Roman"/>
          <w:i/>
        </w:rPr>
        <w:t>Lectures on Deixis</w:t>
      </w:r>
      <w:r w:rsidRPr="006F6F21">
        <w:rPr>
          <w:rFonts w:cs="Times New Roman"/>
        </w:rPr>
        <w:t>, Stanford.</w:t>
      </w:r>
    </w:p>
    <w:p w14:paraId="3AC3FE43" w14:textId="77777777" w:rsidR="003B2A46" w:rsidRPr="006F6F21" w:rsidRDefault="003B2A46" w:rsidP="004819D9">
      <w:pPr>
        <w:spacing w:before="100" w:after="100" w:line="300" w:lineRule="exact"/>
        <w:ind w:left="567" w:hanging="567"/>
        <w:rPr>
          <w:rFonts w:cs="Times New Roman"/>
          <w:color w:val="262626"/>
        </w:rPr>
      </w:pPr>
      <w:r w:rsidRPr="006F6F21">
        <w:rPr>
          <w:rFonts w:cs="Times New Roman"/>
        </w:rPr>
        <w:t xml:space="preserve">Fleischman, S. 1990, </w:t>
      </w:r>
      <w:r w:rsidRPr="006F6F21">
        <w:rPr>
          <w:rFonts w:cs="Times New Roman"/>
          <w:i/>
          <w:color w:val="262626"/>
        </w:rPr>
        <w:t>Tense and Narrativity: From Medieval Performance to Modern Fiction</w:t>
      </w:r>
      <w:r w:rsidRPr="006F6F21">
        <w:rPr>
          <w:rFonts w:cs="Times New Roman"/>
          <w:color w:val="262626"/>
        </w:rPr>
        <w:t>, Austin.</w:t>
      </w:r>
    </w:p>
    <w:p w14:paraId="0BFE314D" w14:textId="29244B4E" w:rsidR="003B2A46" w:rsidRPr="006F6F21" w:rsidRDefault="003B2A46" w:rsidP="004819D9">
      <w:pPr>
        <w:spacing w:before="100" w:after="100" w:line="300" w:lineRule="exact"/>
        <w:ind w:left="567" w:hanging="567"/>
        <w:rPr>
          <w:rFonts w:cs="Times New Roman"/>
        </w:rPr>
      </w:pPr>
      <w:r w:rsidRPr="006F6F21">
        <w:rPr>
          <w:rFonts w:cs="Times New Roman"/>
        </w:rPr>
        <w:t xml:space="preserve">Foucault, M. 1969, </w:t>
      </w:r>
      <w:r w:rsidRPr="006F6F21">
        <w:rPr>
          <w:rFonts w:cs="Times New Roman"/>
          <w:i/>
        </w:rPr>
        <w:t>L</w:t>
      </w:r>
      <w:r w:rsidR="00075F5F">
        <w:rPr>
          <w:rFonts w:cs="Times New Roman"/>
          <w:i/>
        </w:rPr>
        <w:t>’</w:t>
      </w:r>
      <w:r w:rsidRPr="006F6F21">
        <w:rPr>
          <w:rFonts w:cs="Times New Roman"/>
          <w:i/>
        </w:rPr>
        <w:t>archéologie du savoir</w:t>
      </w:r>
      <w:r w:rsidRPr="006F6F21">
        <w:rPr>
          <w:rFonts w:cs="Times New Roman"/>
        </w:rPr>
        <w:t>, Paris.</w:t>
      </w:r>
    </w:p>
    <w:p w14:paraId="31B61790" w14:textId="77777777" w:rsidR="003B2A46" w:rsidRPr="006F6F21" w:rsidRDefault="003B2A46" w:rsidP="004819D9">
      <w:pPr>
        <w:spacing w:before="100" w:after="100" w:line="300" w:lineRule="exact"/>
        <w:ind w:left="567" w:hanging="567"/>
        <w:rPr>
          <w:rFonts w:cs="Times New Roman"/>
          <w:color w:val="262626"/>
        </w:rPr>
      </w:pPr>
      <w:r w:rsidRPr="006F6F21">
        <w:rPr>
          <w:rFonts w:cs="Times New Roman"/>
          <w:color w:val="262626"/>
        </w:rPr>
        <w:t xml:space="preserve">Fraenkel, E. (ed.) 1950, </w:t>
      </w:r>
      <w:r w:rsidRPr="006F6F21">
        <w:rPr>
          <w:rFonts w:cs="Times New Roman"/>
          <w:i/>
          <w:color w:val="262626"/>
        </w:rPr>
        <w:t>Agamemnon</w:t>
      </w:r>
      <w:r w:rsidRPr="006F6F21">
        <w:rPr>
          <w:rFonts w:cs="Times New Roman"/>
          <w:color w:val="262626"/>
        </w:rPr>
        <w:t xml:space="preserve"> (3 vols.), Oxford.</w:t>
      </w:r>
    </w:p>
    <w:p w14:paraId="31B2B8D1" w14:textId="77777777" w:rsidR="003B2A46" w:rsidRPr="007F1E99" w:rsidRDefault="003B2A46" w:rsidP="004819D9">
      <w:pPr>
        <w:spacing w:before="100" w:after="100" w:line="300" w:lineRule="exact"/>
        <w:ind w:left="567" w:hanging="567"/>
        <w:rPr>
          <w:rFonts w:cs="Times New Roman"/>
          <w:color w:val="262626"/>
          <w:lang w:val="nl-NL"/>
        </w:rPr>
      </w:pPr>
      <w:r w:rsidRPr="007F1E99">
        <w:rPr>
          <w:rFonts w:cs="Times New Roman"/>
          <w:color w:val="262626"/>
          <w:lang w:val="nl-NL"/>
        </w:rPr>
        <w:t xml:space="preserve">Freud, S. 1905, </w:t>
      </w:r>
      <w:r w:rsidRPr="007F1E99">
        <w:rPr>
          <w:rFonts w:cs="Times New Roman"/>
          <w:i/>
          <w:iCs/>
          <w:color w:val="1C1C1C"/>
          <w:lang w:val="nl-NL"/>
        </w:rPr>
        <w:t>Der Witz und seine Beziehung zum Unbewußten</w:t>
      </w:r>
      <w:r w:rsidRPr="007F1E99">
        <w:rPr>
          <w:rFonts w:cs="Times New Roman"/>
          <w:iCs/>
          <w:color w:val="1C1C1C"/>
          <w:lang w:val="nl-NL"/>
        </w:rPr>
        <w:t>, Leipzig - Wien.</w:t>
      </w:r>
    </w:p>
    <w:p w14:paraId="30690B09" w14:textId="77777777" w:rsidR="003B2A46" w:rsidRPr="007F1E99" w:rsidRDefault="003B2A46" w:rsidP="004819D9">
      <w:pPr>
        <w:spacing w:before="100" w:after="100" w:line="300" w:lineRule="exact"/>
        <w:ind w:left="567" w:hanging="567"/>
        <w:rPr>
          <w:rFonts w:cs="Times New Roman"/>
          <w:color w:val="262626"/>
          <w:lang w:val="nl-NL"/>
        </w:rPr>
      </w:pPr>
      <w:r w:rsidRPr="007F1E99">
        <w:rPr>
          <w:rFonts w:cs="Times New Roman"/>
          <w:color w:val="262626"/>
          <w:lang w:val="nl-NL"/>
        </w:rPr>
        <w:t xml:space="preserve">Fritz, M. 1997, </w:t>
      </w:r>
      <w:r w:rsidRPr="007F1E99">
        <w:rPr>
          <w:rFonts w:cs="Times New Roman"/>
          <w:i/>
          <w:color w:val="262626"/>
          <w:lang w:val="nl-NL"/>
        </w:rPr>
        <w:t>Die semantischen und syntaktischen Relationen von Lokalpartikeln mit drei Kasus bei Homer</w:t>
      </w:r>
      <w:r w:rsidRPr="007F1E99">
        <w:rPr>
          <w:rFonts w:cs="Times New Roman"/>
          <w:color w:val="262626"/>
          <w:lang w:val="nl-NL"/>
        </w:rPr>
        <w:t>, Berlin.</w:t>
      </w:r>
    </w:p>
    <w:p w14:paraId="48D91B55" w14:textId="41600D50" w:rsidR="003B2A46" w:rsidRPr="006F6F21" w:rsidRDefault="003B2A46" w:rsidP="004819D9">
      <w:pPr>
        <w:spacing w:before="100" w:after="100" w:line="300" w:lineRule="exact"/>
        <w:ind w:left="567" w:hanging="567"/>
        <w:rPr>
          <w:rFonts w:cs="Times New Roman"/>
          <w:lang w:val="en-IE"/>
        </w:rPr>
      </w:pPr>
      <w:r w:rsidRPr="006F6F21">
        <w:rPr>
          <w:rFonts w:cs="Times New Roman"/>
          <w:lang w:val="en-IE"/>
        </w:rPr>
        <w:t xml:space="preserve">Furley, W. D. 1994, </w:t>
      </w:r>
      <w:r w:rsidR="00CC0615">
        <w:rPr>
          <w:rFonts w:cs="Times New Roman"/>
          <w:lang w:val="en-IE"/>
        </w:rPr>
        <w:t>“</w:t>
      </w:r>
      <w:r w:rsidRPr="006F6F21">
        <w:rPr>
          <w:rFonts w:cs="Times New Roman"/>
          <w:lang w:val="en-IE"/>
        </w:rPr>
        <w:t>Apollo Humbled: Phoenix of Kolophon</w:t>
      </w:r>
      <w:r w:rsidR="00075F5F">
        <w:rPr>
          <w:rFonts w:cs="Times New Roman"/>
          <w:lang w:val="en-IE"/>
        </w:rPr>
        <w:t>’</w:t>
      </w:r>
      <w:r w:rsidRPr="006F6F21">
        <w:rPr>
          <w:rFonts w:cs="Times New Roman"/>
          <w:lang w:val="en-IE"/>
        </w:rPr>
        <w:t xml:space="preserve">s </w:t>
      </w:r>
      <w:r w:rsidRPr="00AF6182">
        <w:rPr>
          <w:rFonts w:cs="Times New Roman"/>
          <w:i/>
          <w:lang w:val="en-IE"/>
        </w:rPr>
        <w:t>Koronisma</w:t>
      </w:r>
      <w:r w:rsidRPr="006F6F21">
        <w:rPr>
          <w:rFonts w:cs="Times New Roman"/>
          <w:lang w:val="en-IE"/>
        </w:rPr>
        <w:t xml:space="preserve"> in its Hellenistic Literary Setting,</w:t>
      </w:r>
      <w:r w:rsidR="00CC0615">
        <w:rPr>
          <w:rFonts w:cs="Times New Roman"/>
          <w:lang w:val="en-IE"/>
        </w:rPr>
        <w:t>”</w:t>
      </w:r>
      <w:r w:rsidRPr="006F6F21">
        <w:rPr>
          <w:rFonts w:cs="Times New Roman"/>
          <w:lang w:val="en-IE"/>
        </w:rPr>
        <w:t xml:space="preserve"> </w:t>
      </w:r>
      <w:r w:rsidRPr="006F6F21">
        <w:rPr>
          <w:rFonts w:cs="Times New Roman"/>
          <w:i/>
          <w:lang w:val="en-IE"/>
        </w:rPr>
        <w:t>Materiali e discussioni</w:t>
      </w:r>
      <w:r w:rsidRPr="006F6F21">
        <w:rPr>
          <w:rFonts w:cs="Times New Roman"/>
          <w:lang w:val="en-IE"/>
        </w:rPr>
        <w:t xml:space="preserve"> 33: 9-31.</w:t>
      </w:r>
    </w:p>
    <w:p w14:paraId="4BFA5529" w14:textId="3D72286C" w:rsidR="003B2A46" w:rsidRPr="006F6F21" w:rsidRDefault="003B2A46" w:rsidP="004819D9">
      <w:pPr>
        <w:spacing w:before="100" w:after="100" w:line="300" w:lineRule="exact"/>
        <w:ind w:left="567" w:hanging="567"/>
        <w:rPr>
          <w:rFonts w:cs="Times New Roman"/>
        </w:rPr>
      </w:pPr>
      <w:r w:rsidRPr="006F6F21">
        <w:rPr>
          <w:rFonts w:cs="Times New Roman"/>
        </w:rPr>
        <w:t xml:space="preserve">Gallavotti, C. 1946, </w:t>
      </w:r>
      <w:r w:rsidR="00CC0615">
        <w:rPr>
          <w:rFonts w:cs="Times New Roman"/>
        </w:rPr>
        <w:t>“</w:t>
      </w:r>
      <w:r w:rsidRPr="006F6F21">
        <w:rPr>
          <w:rFonts w:cs="Times New Roman"/>
        </w:rPr>
        <w:t>Il libro dei Giambi di Callimaco,</w:t>
      </w:r>
      <w:r w:rsidR="00CC0615">
        <w:rPr>
          <w:rFonts w:cs="Times New Roman"/>
        </w:rPr>
        <w:t>”</w:t>
      </w:r>
      <w:r w:rsidRPr="006F6F21">
        <w:rPr>
          <w:rFonts w:cs="Times New Roman"/>
        </w:rPr>
        <w:t xml:space="preserve"> </w:t>
      </w:r>
      <w:r w:rsidRPr="006F6F21">
        <w:rPr>
          <w:rFonts w:cs="Times New Roman"/>
          <w:i/>
        </w:rPr>
        <w:t>Antiquitas</w:t>
      </w:r>
      <w:r w:rsidRPr="006F6F21">
        <w:rPr>
          <w:rFonts w:cs="Times New Roman"/>
        </w:rPr>
        <w:t xml:space="preserve"> </w:t>
      </w:r>
      <w:r>
        <w:rPr>
          <w:rFonts w:cs="Times New Roman"/>
        </w:rPr>
        <w:t>1</w:t>
      </w:r>
      <w:r w:rsidRPr="006F6F21">
        <w:rPr>
          <w:rFonts w:cs="Times New Roman"/>
        </w:rPr>
        <w:t>: 11-22.</w:t>
      </w:r>
    </w:p>
    <w:p w14:paraId="5DA1D218" w14:textId="77777777" w:rsidR="003B2A46" w:rsidRDefault="003B2A46" w:rsidP="004819D9">
      <w:pPr>
        <w:spacing w:before="100" w:after="100" w:line="300" w:lineRule="exact"/>
        <w:ind w:left="567" w:hanging="567"/>
        <w:rPr>
          <w:rFonts w:cs="Times New Roman"/>
        </w:rPr>
      </w:pPr>
      <w:r w:rsidRPr="006F6F21">
        <w:rPr>
          <w:rFonts w:cs="Times New Roman"/>
        </w:rPr>
        <w:t>Gardner-Chloros, P. 2009</w:t>
      </w:r>
      <w:r>
        <w:rPr>
          <w:rFonts w:cs="Times New Roman"/>
        </w:rPr>
        <w:t>a</w:t>
      </w:r>
      <w:r w:rsidRPr="006F6F21">
        <w:rPr>
          <w:rFonts w:cs="Times New Roman"/>
        </w:rPr>
        <w:t xml:space="preserve">, </w:t>
      </w:r>
      <w:r w:rsidRPr="006F6F21">
        <w:rPr>
          <w:rFonts w:cs="Times New Roman"/>
          <w:i/>
        </w:rPr>
        <w:t>Code-</w:t>
      </w:r>
      <w:r>
        <w:rPr>
          <w:rFonts w:cs="Times New Roman"/>
          <w:i/>
        </w:rPr>
        <w:t>S</w:t>
      </w:r>
      <w:r w:rsidRPr="006F6F21">
        <w:rPr>
          <w:rFonts w:cs="Times New Roman"/>
          <w:i/>
        </w:rPr>
        <w:t>witching</w:t>
      </w:r>
      <w:r w:rsidRPr="006F6F21">
        <w:rPr>
          <w:rFonts w:cs="Times New Roman"/>
        </w:rPr>
        <w:t>, Cambridge</w:t>
      </w:r>
      <w:r>
        <w:rPr>
          <w:rFonts w:cs="Times New Roman"/>
        </w:rPr>
        <w:t>.</w:t>
      </w:r>
    </w:p>
    <w:p w14:paraId="2405D882" w14:textId="506F8E35" w:rsidR="003B2A46" w:rsidRPr="006F6F21"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2009b, </w:t>
      </w:r>
      <w:r w:rsidR="00CC0615">
        <w:rPr>
          <w:rFonts w:cs="Times New Roman"/>
        </w:rPr>
        <w:t>“</w:t>
      </w:r>
      <w:r>
        <w:rPr>
          <w:rFonts w:cs="Times New Roman"/>
        </w:rPr>
        <w:t>Contact and Code-Switching,</w:t>
      </w:r>
      <w:r w:rsidR="00CC0615">
        <w:rPr>
          <w:rFonts w:cs="Times New Roman"/>
        </w:rPr>
        <w:t>”</w:t>
      </w:r>
      <w:r>
        <w:rPr>
          <w:rFonts w:cs="Times New Roman"/>
        </w:rPr>
        <w:t xml:space="preserve"> in Y. Matras (ed.), </w:t>
      </w:r>
      <w:r w:rsidRPr="002F1E35">
        <w:rPr>
          <w:rFonts w:cs="Times New Roman"/>
          <w:i/>
        </w:rPr>
        <w:t>Language Contact</w:t>
      </w:r>
      <w:r>
        <w:rPr>
          <w:rFonts w:cs="Times New Roman"/>
        </w:rPr>
        <w:t>, Cambridge: 188-207.</w:t>
      </w:r>
    </w:p>
    <w:p w14:paraId="0F4FBB6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Genette, G. 1983, </w:t>
      </w:r>
      <w:r w:rsidRPr="006F6F21">
        <w:rPr>
          <w:rFonts w:cs="Times New Roman"/>
          <w:i/>
        </w:rPr>
        <w:t xml:space="preserve">Nouveau </w:t>
      </w:r>
      <w:r>
        <w:rPr>
          <w:rFonts w:cs="Times New Roman"/>
          <w:i/>
        </w:rPr>
        <w:t>d</w:t>
      </w:r>
      <w:r w:rsidRPr="006F6F21">
        <w:rPr>
          <w:rFonts w:cs="Times New Roman"/>
          <w:i/>
        </w:rPr>
        <w:t>iscours du récit</w:t>
      </w:r>
      <w:r w:rsidRPr="006F6F21">
        <w:rPr>
          <w:rFonts w:cs="Times New Roman"/>
        </w:rPr>
        <w:t>, Paris.</w:t>
      </w:r>
    </w:p>
    <w:p w14:paraId="00D4755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Gentili, B. 2006 (= 1984), </w:t>
      </w:r>
      <w:r w:rsidRPr="006F6F21">
        <w:rPr>
          <w:rFonts w:cs="Times New Roman"/>
          <w:i/>
        </w:rPr>
        <w:t>Poesia e pubblico nella Grecia antica: da Omero al V secolo</w:t>
      </w:r>
      <w:r w:rsidRPr="006F6F21">
        <w:rPr>
          <w:rFonts w:cs="Times New Roman"/>
        </w:rPr>
        <w:t>, Milan.</w:t>
      </w:r>
    </w:p>
    <w:p w14:paraId="71A77E06" w14:textId="77777777" w:rsidR="003B2A46" w:rsidRDefault="003B2A46" w:rsidP="004819D9">
      <w:pPr>
        <w:spacing w:before="100" w:after="100" w:line="300" w:lineRule="exact"/>
        <w:ind w:left="567" w:hanging="567"/>
        <w:rPr>
          <w:rFonts w:cs="Times New Roman"/>
        </w:rPr>
      </w:pPr>
      <w:r w:rsidRPr="006F6F21">
        <w:rPr>
          <w:rFonts w:cs="Times New Roman"/>
        </w:rPr>
        <w:t xml:space="preserve">Gerber, D. E. </w:t>
      </w:r>
      <w:r>
        <w:rPr>
          <w:rFonts w:cs="Times New Roman"/>
        </w:rPr>
        <w:t xml:space="preserve">1970, </w:t>
      </w:r>
      <w:r w:rsidRPr="002F1E35">
        <w:rPr>
          <w:rFonts w:cs="Times New Roman"/>
          <w:i/>
        </w:rPr>
        <w:t>Euterpe</w:t>
      </w:r>
      <w:r>
        <w:rPr>
          <w:rFonts w:cs="Times New Roman"/>
          <w:i/>
        </w:rPr>
        <w:t xml:space="preserve">: </w:t>
      </w:r>
      <w:r w:rsidRPr="002F1E35">
        <w:rPr>
          <w:rFonts w:cs="Times New Roman"/>
          <w:i/>
        </w:rPr>
        <w:t>An Anthology of Early Greek Lyric, Elegiac, and Iambic Poetry</w:t>
      </w:r>
      <w:r>
        <w:rPr>
          <w:rFonts w:cs="Times New Roman"/>
        </w:rPr>
        <w:t>, Amsterdam: 292-302.</w:t>
      </w:r>
    </w:p>
    <w:p w14:paraId="419A9515" w14:textId="15EFFA70" w:rsidR="003B2A46"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1971, Review of de Sousa Medeiros</w:t>
      </w:r>
      <w:r w:rsidR="00075F5F">
        <w:rPr>
          <w:rFonts w:cs="Times New Roman"/>
        </w:rPr>
        <w:t>’</w:t>
      </w:r>
      <w:r>
        <w:rPr>
          <w:rFonts w:cs="Times New Roman"/>
        </w:rPr>
        <w:t xml:space="preserve"> </w:t>
      </w:r>
      <w:r w:rsidRPr="002F1E35">
        <w:rPr>
          <w:rFonts w:cs="Times New Roman"/>
          <w:i/>
        </w:rPr>
        <w:t>Hipponactea</w:t>
      </w:r>
      <w:r>
        <w:rPr>
          <w:rFonts w:cs="Times New Roman"/>
        </w:rPr>
        <w:t xml:space="preserve">, </w:t>
      </w:r>
      <w:r w:rsidRPr="002F1E35">
        <w:rPr>
          <w:rFonts w:cs="Times New Roman"/>
          <w:i/>
        </w:rPr>
        <w:t>Phoenix</w:t>
      </w:r>
      <w:r>
        <w:rPr>
          <w:rFonts w:cs="Times New Roman"/>
        </w:rPr>
        <w:t xml:space="preserve"> 25: 166-168.</w:t>
      </w:r>
    </w:p>
    <w:p w14:paraId="62561108" w14:textId="4814C731" w:rsidR="003B2A46" w:rsidRPr="006F6F21"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w:t>
      </w:r>
      <w:r w:rsidRPr="006F6F21">
        <w:rPr>
          <w:rFonts w:cs="Times New Roman"/>
        </w:rPr>
        <w:t xml:space="preserve">1991, </w:t>
      </w:r>
      <w:r w:rsidR="00CC0615">
        <w:rPr>
          <w:rFonts w:cs="Times New Roman"/>
        </w:rPr>
        <w:t>“</w:t>
      </w:r>
      <w:r w:rsidRPr="006F6F21">
        <w:rPr>
          <w:rFonts w:cs="Times New Roman"/>
        </w:rPr>
        <w:t>Early Greek Elegy and Iambus 1921-1989,</w:t>
      </w:r>
      <w:r w:rsidR="00CC0615">
        <w:rPr>
          <w:rFonts w:cs="Times New Roman"/>
        </w:rPr>
        <w:t>”</w:t>
      </w:r>
      <w:r w:rsidRPr="006F6F21">
        <w:rPr>
          <w:rFonts w:cs="Times New Roman"/>
        </w:rPr>
        <w:t xml:space="preserve"> </w:t>
      </w:r>
      <w:r w:rsidRPr="006F6F21">
        <w:rPr>
          <w:rFonts w:cs="Times New Roman"/>
          <w:i/>
        </w:rPr>
        <w:t>Lustrum</w:t>
      </w:r>
      <w:r w:rsidRPr="006F6F21">
        <w:rPr>
          <w:rFonts w:cs="Times New Roman"/>
        </w:rPr>
        <w:t xml:space="preserve"> 33: 7-225, 401-</w:t>
      </w:r>
      <w:r>
        <w:rPr>
          <w:rFonts w:cs="Times New Roman"/>
        </w:rPr>
        <w:t>40</w:t>
      </w:r>
      <w:r w:rsidRPr="006F6F21">
        <w:rPr>
          <w:rFonts w:cs="Times New Roman"/>
        </w:rPr>
        <w:t>9.</w:t>
      </w:r>
    </w:p>
    <w:p w14:paraId="1AD847E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(ed.) 1999, </w:t>
      </w:r>
      <w:r w:rsidRPr="006F6F21">
        <w:rPr>
          <w:rFonts w:cs="Times New Roman"/>
          <w:i/>
        </w:rPr>
        <w:t>Greek Iambic Poetry</w:t>
      </w:r>
      <w:r w:rsidRPr="006F6F21">
        <w:rPr>
          <w:rFonts w:cs="Times New Roman"/>
        </w:rPr>
        <w:t>, Cambridge (MA).</w:t>
      </w:r>
    </w:p>
    <w:p w14:paraId="764B6D9D" w14:textId="7413ED95" w:rsidR="003B2A46" w:rsidRPr="006F6F21" w:rsidRDefault="003B2A46" w:rsidP="004819D9">
      <w:pPr>
        <w:spacing w:before="100" w:after="100" w:line="300" w:lineRule="exact"/>
        <w:ind w:left="567" w:hanging="567"/>
        <w:rPr>
          <w:rFonts w:cs="Times New Roman"/>
        </w:rPr>
      </w:pPr>
      <w:r w:rsidRPr="006F6F21">
        <w:rPr>
          <w:rFonts w:cs="Times New Roman"/>
        </w:rPr>
        <w:t xml:space="preserve">Giuseppetti, M. 2012, </w:t>
      </w:r>
      <w:r w:rsidR="00CC0615">
        <w:rPr>
          <w:rFonts w:cs="Times New Roman"/>
        </w:rPr>
        <w:t>“</w:t>
      </w:r>
      <w:r w:rsidRPr="006F6F21">
        <w:rPr>
          <w:rFonts w:cs="Times New Roman"/>
        </w:rPr>
        <w:t>Poetry in the Iron Age: Interplay of Voices in Callimachus</w:t>
      </w:r>
      <w:r w:rsidR="00075F5F">
        <w:rPr>
          <w:rFonts w:cs="Times New Roman"/>
        </w:rPr>
        <w:t>’</w:t>
      </w:r>
      <w:r w:rsidRPr="006F6F21">
        <w:rPr>
          <w:rFonts w:cs="Times New Roman"/>
        </w:rPr>
        <w:t xml:space="preserve"> </w:t>
      </w:r>
      <w:r w:rsidRPr="006F6F21">
        <w:rPr>
          <w:rFonts w:cs="Times New Roman"/>
          <w:i/>
        </w:rPr>
        <w:t>Iambi</w:t>
      </w:r>
      <w:r w:rsidRPr="006F6F21">
        <w:rPr>
          <w:rFonts w:cs="Times New Roman"/>
        </w:rPr>
        <w:t>,</w:t>
      </w:r>
      <w:r w:rsidR="00CC0615">
        <w:rPr>
          <w:rFonts w:cs="Times New Roman"/>
        </w:rPr>
        <w:t>”</w:t>
      </w:r>
      <w:r w:rsidRPr="006F6F21">
        <w:rPr>
          <w:rFonts w:cs="Times New Roman"/>
          <w:i/>
        </w:rPr>
        <w:t xml:space="preserve"> Aitia </w:t>
      </w:r>
      <w:r w:rsidRPr="006B7426">
        <w:rPr>
          <w:rFonts w:cs="Times New Roman"/>
        </w:rPr>
        <w:t>2</w:t>
      </w:r>
      <w:r w:rsidRPr="006F6F21">
        <w:rPr>
          <w:rFonts w:cs="Times New Roman"/>
        </w:rPr>
        <w:t xml:space="preserve"> (online</w:t>
      </w:r>
      <w:r>
        <w:rPr>
          <w:rFonts w:cs="Times New Roman"/>
        </w:rPr>
        <w:t xml:space="preserve">, </w:t>
      </w:r>
      <w:r w:rsidRPr="00C772ED">
        <w:rPr>
          <w:rFonts w:cs="Times New Roman"/>
        </w:rPr>
        <w:t>https://aitia.revues.org/558</w:t>
      </w:r>
      <w:r>
        <w:rPr>
          <w:rFonts w:cs="Times New Roman"/>
        </w:rPr>
        <w:t>)</w:t>
      </w:r>
      <w:r w:rsidRPr="006F6F21">
        <w:rPr>
          <w:rFonts w:cs="Times New Roman"/>
        </w:rPr>
        <w:t>.</w:t>
      </w:r>
    </w:p>
    <w:p w14:paraId="46B9142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Goodwin, W. W. 1889, </w:t>
      </w:r>
      <w:r w:rsidRPr="006F6F21">
        <w:rPr>
          <w:rFonts w:cs="Times New Roman"/>
          <w:i/>
        </w:rPr>
        <w:t>Syntax of the Moods and Tenses of the Greek Verb</w:t>
      </w:r>
      <w:r w:rsidRPr="006F6F21">
        <w:rPr>
          <w:rFonts w:cs="Times New Roman"/>
        </w:rPr>
        <w:t>, London (</w:t>
      </w:r>
      <w:r>
        <w:rPr>
          <w:rFonts w:cs="Times New Roman"/>
        </w:rPr>
        <w:t>r</w:t>
      </w:r>
      <w:r w:rsidRPr="006F6F21">
        <w:rPr>
          <w:rFonts w:cs="Times New Roman"/>
        </w:rPr>
        <w:t>eprint</w:t>
      </w:r>
      <w:r>
        <w:rPr>
          <w:rFonts w:cs="Times New Roman"/>
        </w:rPr>
        <w:t>ed New York</w:t>
      </w:r>
      <w:r w:rsidRPr="006F6F21">
        <w:rPr>
          <w:rFonts w:cs="Times New Roman"/>
        </w:rPr>
        <w:t xml:space="preserve"> 1966).</w:t>
      </w:r>
    </w:p>
    <w:p w14:paraId="4547CACE" w14:textId="77777777" w:rsidR="003B2A46" w:rsidRPr="006F6F21" w:rsidRDefault="003B2A46" w:rsidP="004819D9">
      <w:pPr>
        <w:spacing w:before="100" w:after="100" w:line="300" w:lineRule="exact"/>
        <w:ind w:left="567" w:hanging="567"/>
        <w:rPr>
          <w:rFonts w:cs="Times New Roman"/>
        </w:rPr>
      </w:pPr>
      <w:r w:rsidRPr="006F6F21">
        <w:rPr>
          <w:rFonts w:cs="Times New Roman"/>
        </w:rPr>
        <w:t>Gow, A. S. F., and Page, D. L. (eds.)</w:t>
      </w:r>
      <w:r>
        <w:rPr>
          <w:rFonts w:cs="Times New Roman"/>
        </w:rPr>
        <w:t xml:space="preserve"> </w:t>
      </w:r>
      <w:r w:rsidRPr="006F6F21">
        <w:rPr>
          <w:rFonts w:cs="Times New Roman"/>
        </w:rPr>
        <w:t xml:space="preserve">1965, </w:t>
      </w:r>
      <w:r w:rsidRPr="006F6F21">
        <w:rPr>
          <w:rFonts w:cs="Times New Roman"/>
          <w:i/>
        </w:rPr>
        <w:t>The Greek Anthology</w:t>
      </w:r>
      <w:r>
        <w:rPr>
          <w:rFonts w:cs="Times New Roman"/>
          <w:i/>
        </w:rPr>
        <w:t xml:space="preserve">: </w:t>
      </w:r>
      <w:r w:rsidRPr="006F6F21">
        <w:rPr>
          <w:rFonts w:cs="Times New Roman"/>
          <w:i/>
        </w:rPr>
        <w:t xml:space="preserve">Hellenistic Epigrams </w:t>
      </w:r>
      <w:r w:rsidRPr="00AF6182">
        <w:rPr>
          <w:rFonts w:cs="Times New Roman"/>
        </w:rPr>
        <w:t>(2 vols.)</w:t>
      </w:r>
      <w:r w:rsidRPr="00327199">
        <w:rPr>
          <w:rFonts w:cs="Times New Roman"/>
        </w:rPr>
        <w:t xml:space="preserve">, </w:t>
      </w:r>
      <w:r w:rsidRPr="006F6F21">
        <w:rPr>
          <w:rFonts w:cs="Times New Roman"/>
        </w:rPr>
        <w:t>Cambridge.</w:t>
      </w:r>
    </w:p>
    <w:p w14:paraId="6E3C0D1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Graziosi, B. 2002, </w:t>
      </w:r>
      <w:r w:rsidRPr="006F6F21">
        <w:rPr>
          <w:rFonts w:cs="Times New Roman"/>
          <w:i/>
        </w:rPr>
        <w:t>Inventing Homer: The Early Reception of Epic</w:t>
      </w:r>
      <w:r w:rsidRPr="006F6F21">
        <w:rPr>
          <w:rFonts w:cs="Times New Roman"/>
        </w:rPr>
        <w:t>, Cambridge.</w:t>
      </w:r>
    </w:p>
    <w:p w14:paraId="10CFE7EE"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Greenberg, N. A. 1990 (= 1955), </w:t>
      </w:r>
      <w:r w:rsidRPr="006F6F21">
        <w:rPr>
          <w:rFonts w:cs="Times New Roman"/>
          <w:i/>
        </w:rPr>
        <w:t>The Poetic Theory of Philodemus</w:t>
      </w:r>
      <w:r w:rsidRPr="006F6F21">
        <w:rPr>
          <w:rFonts w:cs="Times New Roman"/>
        </w:rPr>
        <w:t>, New York - London.</w:t>
      </w:r>
    </w:p>
    <w:p w14:paraId="13015993" w14:textId="77777777" w:rsidR="003B2A46" w:rsidRDefault="003B2A46" w:rsidP="004819D9">
      <w:pPr>
        <w:spacing w:before="100" w:after="100" w:line="300" w:lineRule="exact"/>
        <w:ind w:left="567" w:hanging="567"/>
        <w:rPr>
          <w:rFonts w:cs="Times New Roman"/>
        </w:rPr>
      </w:pPr>
      <w:r w:rsidRPr="006F6F21">
        <w:rPr>
          <w:rFonts w:cs="Times New Roman"/>
        </w:rPr>
        <w:t xml:space="preserve">Greimas, A. J., and Courtès, J. 1979, </w:t>
      </w:r>
      <w:r w:rsidRPr="006F6F21">
        <w:rPr>
          <w:rFonts w:cs="Times New Roman"/>
          <w:i/>
          <w:iCs/>
        </w:rPr>
        <w:t>Sémiotique</w:t>
      </w:r>
      <w:r>
        <w:rPr>
          <w:rFonts w:cs="Times New Roman"/>
          <w:i/>
          <w:iCs/>
        </w:rPr>
        <w:t>: d</w:t>
      </w:r>
      <w:r w:rsidRPr="006F6F21">
        <w:rPr>
          <w:rFonts w:cs="Times New Roman"/>
          <w:i/>
          <w:iCs/>
        </w:rPr>
        <w:t xml:space="preserve">ictionnaire raisonné de la théorie du langage, </w:t>
      </w:r>
      <w:r w:rsidRPr="006F6F21">
        <w:rPr>
          <w:rFonts w:cs="Times New Roman"/>
        </w:rPr>
        <w:t>Paris.</w:t>
      </w:r>
    </w:p>
    <w:p w14:paraId="35D61426" w14:textId="77777777" w:rsidR="003B2A46" w:rsidRPr="006F6F21" w:rsidRDefault="003B2A46" w:rsidP="004819D9">
      <w:pPr>
        <w:spacing w:before="100" w:after="100" w:line="300" w:lineRule="exact"/>
        <w:ind w:left="567" w:hanging="567"/>
        <w:rPr>
          <w:rFonts w:cs="Times New Roman"/>
        </w:rPr>
      </w:pPr>
      <w:r>
        <w:rPr>
          <w:rFonts w:cs="Times New Roman"/>
        </w:rPr>
        <w:t xml:space="preserve">Gumperz, J. J. 1982, </w:t>
      </w:r>
      <w:r w:rsidRPr="002F1E35">
        <w:rPr>
          <w:rFonts w:cs="Times New Roman"/>
          <w:i/>
        </w:rPr>
        <w:t>Discourse Strategies</w:t>
      </w:r>
      <w:r>
        <w:rPr>
          <w:rFonts w:cs="Times New Roman"/>
        </w:rPr>
        <w:t>, New York.</w:t>
      </w:r>
    </w:p>
    <w:p w14:paraId="70CFD509" w14:textId="0D3B6103"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Gutzwiller, K. J. 1996, </w:t>
      </w:r>
      <w:r w:rsidR="00CC0615">
        <w:rPr>
          <w:rFonts w:cs="Times New Roman"/>
        </w:rPr>
        <w:t>“</w:t>
      </w:r>
      <w:r w:rsidRPr="006F6F21">
        <w:rPr>
          <w:rFonts w:cs="Times New Roman"/>
        </w:rPr>
        <w:t>The Evidence for Theocritean Poetry Books,</w:t>
      </w:r>
      <w:r w:rsidR="00CC0615">
        <w:rPr>
          <w:rFonts w:cs="Times New Roman"/>
        </w:rPr>
        <w:t>”</w:t>
      </w:r>
      <w:r w:rsidRPr="006F6F21">
        <w:rPr>
          <w:rFonts w:cs="Times New Roman"/>
        </w:rPr>
        <w:t xml:space="preserve"> in M. A. Harder, R. F. Regtuit, and G. C. Wakker (eds.),</w:t>
      </w:r>
      <w:r w:rsidRPr="006F6F21">
        <w:rPr>
          <w:rFonts w:cs="Times New Roman"/>
          <w:i/>
        </w:rPr>
        <w:t xml:space="preserve"> Theocritus</w:t>
      </w:r>
      <w:r w:rsidRPr="006F6F21">
        <w:rPr>
          <w:rFonts w:cs="Times New Roman"/>
        </w:rPr>
        <w:t>, Groningen: 119-148.</w:t>
      </w:r>
    </w:p>
    <w:p w14:paraId="702CB54D"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 1998, </w:t>
      </w:r>
      <w:r w:rsidRPr="007F1E99">
        <w:rPr>
          <w:rFonts w:cs="Times New Roman"/>
          <w:i/>
          <w:lang w:val="nl-NL"/>
        </w:rPr>
        <w:t>Poetic Garlands: Hellenistic Epigrams in Context</w:t>
      </w:r>
      <w:r w:rsidRPr="007F1E99">
        <w:rPr>
          <w:rFonts w:cs="Times New Roman"/>
          <w:lang w:val="nl-NL"/>
        </w:rPr>
        <w:t>, Berkeley - Los Angeles.</w:t>
      </w:r>
    </w:p>
    <w:p w14:paraId="7E342EB3"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Haas, V. 1994, </w:t>
      </w:r>
      <w:r w:rsidRPr="007F1E99">
        <w:rPr>
          <w:rFonts w:cs="Times New Roman"/>
          <w:i/>
          <w:lang w:val="nl-NL"/>
        </w:rPr>
        <w:t>Geschichte der hethitischen Religion</w:t>
      </w:r>
      <w:r w:rsidRPr="007F1E99">
        <w:rPr>
          <w:rFonts w:cs="Times New Roman"/>
          <w:lang w:val="nl-NL"/>
        </w:rPr>
        <w:t>, Würzburg.</w:t>
      </w:r>
    </w:p>
    <w:p w14:paraId="32F0803D"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Halliday, M. A. K</w:t>
      </w:r>
      <w:r>
        <w:rPr>
          <w:rFonts w:cs="Times New Roman"/>
        </w:rPr>
        <w:t xml:space="preserve">., </w:t>
      </w:r>
      <w:r w:rsidRPr="006F6F21">
        <w:rPr>
          <w:rFonts w:cs="Times New Roman"/>
        </w:rPr>
        <w:t xml:space="preserve">and Hasan, R. 1976, </w:t>
      </w:r>
      <w:r w:rsidRPr="006F6F21">
        <w:rPr>
          <w:rFonts w:cs="Times New Roman"/>
          <w:i/>
          <w:iCs/>
        </w:rPr>
        <w:t>Cohesion in English</w:t>
      </w:r>
      <w:r w:rsidRPr="006F6F21">
        <w:rPr>
          <w:rFonts w:cs="Times New Roman"/>
        </w:rPr>
        <w:t>, London.</w:t>
      </w:r>
    </w:p>
    <w:p w14:paraId="4F747DB3"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Halliwell, S. 2008, </w:t>
      </w:r>
      <w:r w:rsidRPr="006F6F21">
        <w:rPr>
          <w:rFonts w:cs="Times New Roman"/>
          <w:i/>
        </w:rPr>
        <w:t>Greek Laughter: A Study in Cultural Psychology from Homer to Early Christianity</w:t>
      </w:r>
      <w:r w:rsidRPr="006F6F21">
        <w:rPr>
          <w:rFonts w:cs="Times New Roman"/>
        </w:rPr>
        <w:t>, Cambridge - New York.</w:t>
      </w:r>
    </w:p>
    <w:p w14:paraId="43071830" w14:textId="021B2D75" w:rsidR="003B2A46" w:rsidRPr="006F6F21" w:rsidRDefault="003B2A46" w:rsidP="004819D9">
      <w:pPr>
        <w:spacing w:before="100" w:after="100" w:line="300" w:lineRule="exact"/>
        <w:ind w:left="567" w:hanging="567"/>
        <w:rPr>
          <w:rFonts w:cs="Times New Roman"/>
        </w:rPr>
      </w:pPr>
      <w:r w:rsidRPr="006F6F21">
        <w:rPr>
          <w:rFonts w:cs="Times New Roman"/>
        </w:rPr>
        <w:t xml:space="preserve">Hammerstaedt, J. 1997, </w:t>
      </w:r>
      <w:r w:rsidR="00CC0615">
        <w:rPr>
          <w:rFonts w:cs="Times New Roman"/>
        </w:rPr>
        <w:t>“</w:t>
      </w:r>
      <w:r w:rsidRPr="006F6F21">
        <w:rPr>
          <w:rFonts w:cs="Times New Roman"/>
        </w:rPr>
        <w:t>Pausone, Aristofane e Archiloco nel quarto libro</w:t>
      </w:r>
      <w:r>
        <w:rPr>
          <w:rFonts w:cs="Times New Roman"/>
        </w:rPr>
        <w:t xml:space="preserve"> </w:t>
      </w:r>
      <w:r w:rsidRPr="00061BA7">
        <w:rPr>
          <w:rFonts w:cs="Times New Roman"/>
          <w:i/>
        </w:rPr>
        <w:t>Περὶ ποιημάτων</w:t>
      </w:r>
      <w:r w:rsidRPr="006F6F21">
        <w:rPr>
          <w:rFonts w:cs="Times New Roman"/>
        </w:rPr>
        <w:t xml:space="preserve"> di Filodemo,</w:t>
      </w:r>
      <w:r w:rsidR="00CC0615">
        <w:rPr>
          <w:rFonts w:cs="Times New Roman"/>
        </w:rPr>
        <w:t>”</w:t>
      </w:r>
      <w:r w:rsidRPr="006F6F21">
        <w:rPr>
          <w:rFonts w:cs="Times New Roman"/>
        </w:rPr>
        <w:t xml:space="preserve"> </w:t>
      </w:r>
      <w:r w:rsidRPr="006F6F21">
        <w:rPr>
          <w:rFonts w:cs="Times New Roman"/>
          <w:i/>
        </w:rPr>
        <w:t>Cronache Ercolanesi</w:t>
      </w:r>
      <w:r w:rsidRPr="006F6F21">
        <w:rPr>
          <w:rFonts w:cs="Times New Roman"/>
        </w:rPr>
        <w:t xml:space="preserve"> 27: 105-120.</w:t>
      </w:r>
    </w:p>
    <w:p w14:paraId="0237D351" w14:textId="7405DC7C" w:rsidR="003B2A46" w:rsidRPr="006F6F21" w:rsidRDefault="003B2A46" w:rsidP="004819D9">
      <w:pPr>
        <w:spacing w:before="100" w:after="100" w:line="300" w:lineRule="exact"/>
        <w:ind w:left="567" w:hanging="567"/>
        <w:rPr>
          <w:rFonts w:cs="Times New Roman"/>
        </w:rPr>
      </w:pPr>
      <w:r w:rsidRPr="006F6F21">
        <w:rPr>
          <w:rFonts w:cs="Times New Roman"/>
        </w:rPr>
        <w:t xml:space="preserve">Hannay, M. 1991, </w:t>
      </w:r>
      <w:r w:rsidR="00CC0615">
        <w:rPr>
          <w:rFonts w:cs="Times New Roman"/>
        </w:rPr>
        <w:t>“</w:t>
      </w:r>
      <w:r w:rsidRPr="006F6F21">
        <w:rPr>
          <w:rFonts w:cs="Times New Roman"/>
        </w:rPr>
        <w:t>Pragmatic Function Assignement and Word Order Variations in a Functional Grammar of English,</w:t>
      </w:r>
      <w:r w:rsidR="00CC0615">
        <w:rPr>
          <w:rFonts w:cs="Times New Roman"/>
        </w:rPr>
        <w:t>”</w:t>
      </w:r>
      <w:r w:rsidRPr="006F6F21">
        <w:rPr>
          <w:rFonts w:cs="Times New Roman"/>
        </w:rPr>
        <w:t xml:space="preserve"> </w:t>
      </w:r>
      <w:r w:rsidRPr="00AF6182">
        <w:rPr>
          <w:rFonts w:cs="Times New Roman"/>
          <w:i/>
        </w:rPr>
        <w:t>Journal of Pragmatics</w:t>
      </w:r>
      <w:r w:rsidRPr="006F6F21">
        <w:rPr>
          <w:rFonts w:cs="Times New Roman"/>
        </w:rPr>
        <w:t xml:space="preserve"> 16: 131-155.</w:t>
      </w:r>
    </w:p>
    <w:p w14:paraId="32B270CA" w14:textId="15C9FBD3" w:rsidR="003B2A46" w:rsidRPr="006F6F21" w:rsidRDefault="003B2A46" w:rsidP="004819D9">
      <w:pPr>
        <w:spacing w:before="100" w:after="100" w:line="300" w:lineRule="exact"/>
        <w:ind w:left="567" w:hanging="567"/>
        <w:rPr>
          <w:rFonts w:cs="Times New Roman"/>
        </w:rPr>
      </w:pPr>
      <w:r w:rsidRPr="006F6F21">
        <w:rPr>
          <w:rFonts w:cs="Times New Roman"/>
        </w:rPr>
        <w:t xml:space="preserve">Harder, </w:t>
      </w:r>
      <w:r>
        <w:rPr>
          <w:rFonts w:cs="Times New Roman"/>
        </w:rPr>
        <w:t xml:space="preserve">M. </w:t>
      </w:r>
      <w:r w:rsidRPr="006F6F21">
        <w:rPr>
          <w:rFonts w:cs="Times New Roman"/>
        </w:rPr>
        <w:t xml:space="preserve">A. 2012, </w:t>
      </w:r>
      <w:r w:rsidRPr="006F6F21">
        <w:rPr>
          <w:rFonts w:cs="Times New Roman"/>
          <w:i/>
        </w:rPr>
        <w:t>Callimachus</w:t>
      </w:r>
      <w:r w:rsidR="00075F5F">
        <w:rPr>
          <w:rFonts w:cs="Times New Roman"/>
          <w:i/>
        </w:rPr>
        <w:t>’</w:t>
      </w:r>
      <w:r w:rsidRPr="00061BA7">
        <w:rPr>
          <w:rFonts w:cs="Times New Roman"/>
          <w:i/>
        </w:rPr>
        <w:t xml:space="preserve"> </w:t>
      </w:r>
      <w:r w:rsidRPr="006B7426">
        <w:rPr>
          <w:rFonts w:cs="Times New Roman"/>
          <w:i/>
        </w:rPr>
        <w:t>Aetia</w:t>
      </w:r>
      <w:r w:rsidRPr="00061BA7">
        <w:rPr>
          <w:rFonts w:cs="Times New Roman"/>
          <w:i/>
        </w:rPr>
        <w:t>:</w:t>
      </w:r>
      <w:r w:rsidRPr="006F6F21">
        <w:rPr>
          <w:rFonts w:cs="Times New Roman"/>
          <w:i/>
        </w:rPr>
        <w:t xml:space="preserve"> Introduction, Text, Translation and Commentary</w:t>
      </w:r>
      <w:r w:rsidRPr="006F6F21">
        <w:rPr>
          <w:rFonts w:cs="Times New Roman"/>
        </w:rPr>
        <w:t xml:space="preserve"> (2 vols.), Oxford.</w:t>
      </w:r>
    </w:p>
    <w:p w14:paraId="029DCF3A"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Harder, M. A., Regtuit, </w:t>
      </w:r>
      <w:r>
        <w:rPr>
          <w:rFonts w:cs="Times New Roman"/>
        </w:rPr>
        <w:t xml:space="preserve">R. F., </w:t>
      </w:r>
      <w:r w:rsidRPr="006F6F21">
        <w:rPr>
          <w:rFonts w:cs="Times New Roman"/>
        </w:rPr>
        <w:t>and Wakker</w:t>
      </w:r>
      <w:r>
        <w:rPr>
          <w:rFonts w:cs="Times New Roman"/>
        </w:rPr>
        <w:t>, G. C.</w:t>
      </w:r>
      <w:r w:rsidRPr="006F6F21">
        <w:rPr>
          <w:rFonts w:cs="Times New Roman"/>
        </w:rPr>
        <w:t xml:space="preserve"> (eds.) 1993, </w:t>
      </w:r>
      <w:r w:rsidRPr="006F6F21">
        <w:rPr>
          <w:rFonts w:cs="Times New Roman"/>
          <w:i/>
        </w:rPr>
        <w:t>Callimachus</w:t>
      </w:r>
      <w:r w:rsidRPr="006F6F21">
        <w:rPr>
          <w:rFonts w:cs="Times New Roman"/>
        </w:rPr>
        <w:t>, Groningen.</w:t>
      </w:r>
    </w:p>
    <w:p w14:paraId="7B23A66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Harrison, S. J. 2007, </w:t>
      </w:r>
      <w:r w:rsidRPr="006F6F21">
        <w:rPr>
          <w:rFonts w:cs="Times New Roman"/>
          <w:i/>
        </w:rPr>
        <w:t>Generic Enrichment in Vergil and Horace</w:t>
      </w:r>
      <w:r w:rsidRPr="006F6F21">
        <w:rPr>
          <w:rFonts w:cs="Times New Roman"/>
        </w:rPr>
        <w:t>, Oxford.</w:t>
      </w:r>
    </w:p>
    <w:p w14:paraId="21B2CDEE" w14:textId="39E2CF51" w:rsidR="003B2A46" w:rsidRPr="006F6F21" w:rsidRDefault="003B2A46" w:rsidP="004819D9">
      <w:pPr>
        <w:spacing w:before="100" w:after="100" w:line="300" w:lineRule="exact"/>
        <w:ind w:left="567" w:hanging="567"/>
        <w:rPr>
          <w:rFonts w:cs="Times New Roman"/>
        </w:rPr>
      </w:pPr>
      <w:r w:rsidRPr="006F6F21">
        <w:rPr>
          <w:rFonts w:cs="Times New Roman"/>
        </w:rPr>
        <w:t xml:space="preserve">Hausrath, </w:t>
      </w:r>
      <w:r>
        <w:rPr>
          <w:rFonts w:cs="Times New Roman"/>
        </w:rPr>
        <w:t>A</w:t>
      </w:r>
      <w:r w:rsidRPr="006F6F21">
        <w:rPr>
          <w:rFonts w:cs="Times New Roman"/>
        </w:rPr>
        <w:t xml:space="preserve">. 1949, </w:t>
      </w:r>
      <w:r w:rsidR="00CC0615">
        <w:rPr>
          <w:rFonts w:cs="Times New Roman"/>
        </w:rPr>
        <w:t>“</w:t>
      </w:r>
      <w:r w:rsidRPr="006F6F21">
        <w:rPr>
          <w:rFonts w:cs="Times New Roman"/>
          <w:lang w:val="el-GR"/>
        </w:rPr>
        <w:t>Ζεὺς</w:t>
      </w:r>
      <w:r w:rsidRPr="007F1E99">
        <w:rPr>
          <w:rFonts w:cs="Times New Roman"/>
        </w:rPr>
        <w:t xml:space="preserve"> </w:t>
      </w:r>
      <w:r w:rsidRPr="006F6F21">
        <w:rPr>
          <w:rFonts w:cs="Times New Roman"/>
          <w:lang w:val="el-GR"/>
        </w:rPr>
        <w:t>καὶ</w:t>
      </w:r>
      <w:r w:rsidRPr="007F1E99">
        <w:rPr>
          <w:rFonts w:cs="Times New Roman"/>
        </w:rPr>
        <w:t xml:space="preserve"> </w:t>
      </w:r>
      <w:r w:rsidRPr="006F6F21">
        <w:rPr>
          <w:rFonts w:cs="Times New Roman"/>
          <w:lang w:val="el-GR"/>
        </w:rPr>
        <w:t>τὰ</w:t>
      </w:r>
      <w:r w:rsidRPr="007F1E99">
        <w:rPr>
          <w:rFonts w:cs="Times New Roman"/>
        </w:rPr>
        <w:t xml:space="preserve"> </w:t>
      </w:r>
      <w:r w:rsidRPr="006F6F21">
        <w:rPr>
          <w:rFonts w:cs="Times New Roman"/>
          <w:lang w:val="el-GR"/>
        </w:rPr>
        <w:t>θηρία</w:t>
      </w:r>
      <w:r w:rsidRPr="006F6F21">
        <w:rPr>
          <w:rFonts w:cs="Times New Roman"/>
        </w:rPr>
        <w:t>: Die unbekannte Äsopfabel im Iambenbuch des Kallimachos (fr. 87 Schn. v. fr. 9, 160-173 Pf.),</w:t>
      </w:r>
      <w:r w:rsidR="00CC0615">
        <w:rPr>
          <w:rFonts w:cs="Times New Roman"/>
        </w:rPr>
        <w:t>”</w:t>
      </w:r>
      <w:r w:rsidRPr="006F6F21">
        <w:rPr>
          <w:rFonts w:cs="Times New Roman"/>
        </w:rPr>
        <w:t xml:space="preserve"> </w:t>
      </w:r>
      <w:r w:rsidRPr="006F6F21">
        <w:rPr>
          <w:rFonts w:cs="Times New Roman"/>
          <w:i/>
        </w:rPr>
        <w:t>Gymnasium</w:t>
      </w:r>
      <w:r w:rsidRPr="006F6F21">
        <w:rPr>
          <w:rFonts w:cs="Times New Roman"/>
        </w:rPr>
        <w:t xml:space="preserve"> 56: 48-58.</w:t>
      </w:r>
    </w:p>
    <w:p w14:paraId="6392E33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Hauvette, A. 1905, </w:t>
      </w:r>
      <w:r w:rsidRPr="006F6F21">
        <w:rPr>
          <w:rFonts w:cs="Times New Roman"/>
          <w:i/>
        </w:rPr>
        <w:t>Archiloque, sa vie et ses po</w:t>
      </w:r>
      <w:r>
        <w:rPr>
          <w:rFonts w:cs="Times New Roman"/>
          <w:i/>
        </w:rPr>
        <w:t>é</w:t>
      </w:r>
      <w:r w:rsidRPr="006F6F21">
        <w:rPr>
          <w:rFonts w:cs="Times New Roman"/>
          <w:i/>
        </w:rPr>
        <w:t>sies</w:t>
      </w:r>
      <w:r w:rsidRPr="006F6F21">
        <w:rPr>
          <w:rFonts w:cs="Times New Roman"/>
        </w:rPr>
        <w:t>, Paris.</w:t>
      </w:r>
    </w:p>
    <w:p w14:paraId="1523F1A7" w14:textId="32BAFCBA" w:rsidR="003B2A46" w:rsidRPr="006F6F21" w:rsidRDefault="003B2A46" w:rsidP="004819D9">
      <w:pPr>
        <w:spacing w:before="100" w:after="100" w:line="300" w:lineRule="exact"/>
        <w:ind w:left="567" w:hanging="567"/>
        <w:rPr>
          <w:rFonts w:cs="Times New Roman"/>
        </w:rPr>
      </w:pPr>
      <w:r w:rsidRPr="006F6F21">
        <w:rPr>
          <w:rFonts w:cs="Times New Roman"/>
        </w:rPr>
        <w:t xml:space="preserve">Hawkins, J. N. 2016, </w:t>
      </w:r>
      <w:r w:rsidR="00CC0615">
        <w:rPr>
          <w:rFonts w:cs="Times New Roman"/>
        </w:rPr>
        <w:t>“</w:t>
      </w:r>
      <w:r w:rsidRPr="006F6F21">
        <w:rPr>
          <w:rFonts w:cs="Times New Roman"/>
        </w:rPr>
        <w:t>Anger, Bile, and the Poet</w:t>
      </w:r>
      <w:r w:rsidR="00075F5F">
        <w:rPr>
          <w:rFonts w:cs="Times New Roman"/>
        </w:rPr>
        <w:t>’</w:t>
      </w:r>
      <w:r w:rsidRPr="006F6F21">
        <w:rPr>
          <w:rFonts w:cs="Times New Roman"/>
        </w:rPr>
        <w:t>s Body in the Archilochean Tradition,</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310-339.</w:t>
      </w:r>
    </w:p>
    <w:p w14:paraId="1EFA5562" w14:textId="41617210" w:rsidR="003B2A46" w:rsidRPr="006F6F21" w:rsidRDefault="003B2A46" w:rsidP="004819D9">
      <w:pPr>
        <w:spacing w:before="100" w:after="100" w:line="300" w:lineRule="exact"/>
        <w:ind w:left="567" w:hanging="567"/>
        <w:rPr>
          <w:rFonts w:cs="Times New Roman"/>
        </w:rPr>
      </w:pPr>
      <w:r w:rsidRPr="006F6F21">
        <w:rPr>
          <w:rFonts w:cs="Times New Roman"/>
        </w:rPr>
        <w:t xml:space="preserve">Hawkins, S. 2010, </w:t>
      </w:r>
      <w:r w:rsidR="00CC0615">
        <w:rPr>
          <w:rFonts w:cs="Times New Roman"/>
        </w:rPr>
        <w:t>“</w:t>
      </w:r>
      <w:r w:rsidRPr="006F6F21">
        <w:rPr>
          <w:rFonts w:cs="Times New Roman"/>
        </w:rPr>
        <w:t>Greek and the Languages of Asia Minor to the Classical Period,</w:t>
      </w:r>
      <w:r w:rsidR="00CC0615">
        <w:rPr>
          <w:rFonts w:cs="Times New Roman"/>
        </w:rPr>
        <w:t>”</w:t>
      </w:r>
      <w:r w:rsidRPr="006F6F21">
        <w:rPr>
          <w:rFonts w:cs="Times New Roman"/>
        </w:rPr>
        <w:t xml:space="preserve"> in E. J. Bakker (ed.), </w:t>
      </w:r>
      <w:r w:rsidRPr="006F6F21">
        <w:rPr>
          <w:rFonts w:cs="Times New Roman"/>
          <w:i/>
        </w:rPr>
        <w:t>A Companion to</w:t>
      </w:r>
      <w:r>
        <w:rPr>
          <w:rFonts w:cs="Times New Roman"/>
          <w:i/>
        </w:rPr>
        <w:t xml:space="preserve"> the </w:t>
      </w:r>
      <w:r w:rsidRPr="006F6F21">
        <w:rPr>
          <w:rFonts w:cs="Times New Roman"/>
          <w:i/>
        </w:rPr>
        <w:t>Ancient Greek Language</w:t>
      </w:r>
      <w:r w:rsidRPr="006F6F21">
        <w:rPr>
          <w:rFonts w:cs="Times New Roman"/>
        </w:rPr>
        <w:t xml:space="preserve">, </w:t>
      </w:r>
      <w:r>
        <w:rPr>
          <w:rFonts w:cs="Times New Roman"/>
        </w:rPr>
        <w:t>Chichester - Malden</w:t>
      </w:r>
      <w:r w:rsidRPr="006F6F21">
        <w:rPr>
          <w:rFonts w:cs="Times New Roman"/>
        </w:rPr>
        <w:t>: 213-227.</w:t>
      </w:r>
    </w:p>
    <w:p w14:paraId="04AA4F8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2013, </w:t>
      </w:r>
      <w:r w:rsidRPr="006F6F21">
        <w:rPr>
          <w:rFonts w:cs="Times New Roman"/>
          <w:i/>
        </w:rPr>
        <w:t>Studies in the Language of Hipponax</w:t>
      </w:r>
      <w:r w:rsidRPr="006F6F21">
        <w:rPr>
          <w:rFonts w:cs="Times New Roman"/>
        </w:rPr>
        <w:t>, Bremen.</w:t>
      </w:r>
    </w:p>
    <w:p w14:paraId="14BA5127" w14:textId="1B9507DD" w:rsidR="003B2A46" w:rsidRPr="006F6F21" w:rsidRDefault="003B2A46" w:rsidP="004819D9">
      <w:pPr>
        <w:spacing w:before="100" w:after="100" w:line="300" w:lineRule="exact"/>
        <w:ind w:left="567" w:hanging="567"/>
        <w:rPr>
          <w:rFonts w:cs="Times New Roman"/>
        </w:rPr>
      </w:pPr>
      <w:r w:rsidRPr="006F6F21">
        <w:rPr>
          <w:rFonts w:cs="Times New Roman"/>
        </w:rPr>
        <w:t xml:space="preserve">Hawkins, T. 2008, </w:t>
      </w:r>
      <w:r w:rsidR="00CC0615">
        <w:rPr>
          <w:rFonts w:cs="Times New Roman"/>
        </w:rPr>
        <w:t>“</w:t>
      </w:r>
      <w:r w:rsidRPr="006F6F21">
        <w:rPr>
          <w:rFonts w:cs="Times New Roman"/>
        </w:rPr>
        <w:t>Out-Foxing the Wolf-Walker: Lycambes as Performative Rival to Archilochus,</w:t>
      </w:r>
      <w:r w:rsidR="00CC0615">
        <w:rPr>
          <w:rFonts w:cs="Times New Roman"/>
        </w:rPr>
        <w:t>”</w:t>
      </w:r>
      <w:r w:rsidRPr="006F6F21">
        <w:rPr>
          <w:rFonts w:cs="Times New Roman"/>
        </w:rPr>
        <w:t xml:space="preserve"> </w:t>
      </w:r>
      <w:r w:rsidRPr="006F6F21">
        <w:rPr>
          <w:rFonts w:cs="Times New Roman"/>
          <w:i/>
        </w:rPr>
        <w:t>C</w:t>
      </w:r>
      <w:r>
        <w:rPr>
          <w:rFonts w:cs="Times New Roman"/>
          <w:i/>
        </w:rPr>
        <w:t>lassical Antiquity</w:t>
      </w:r>
      <w:r w:rsidRPr="006F6F21">
        <w:rPr>
          <w:rFonts w:cs="Times New Roman"/>
        </w:rPr>
        <w:t xml:space="preserve"> 27: 93-114.</w:t>
      </w:r>
    </w:p>
    <w:p w14:paraId="4AC80DD9" w14:textId="34D05CFF" w:rsidR="003B2A46" w:rsidRPr="006F6F21" w:rsidRDefault="003B2A46" w:rsidP="004819D9">
      <w:pPr>
        <w:spacing w:before="100" w:after="100" w:line="300" w:lineRule="exact"/>
        <w:ind w:left="567" w:hanging="567"/>
        <w:rPr>
          <w:rFonts w:cs="Times New Roman"/>
        </w:rPr>
      </w:pPr>
      <w:r w:rsidRPr="006F6F21">
        <w:rPr>
          <w:rFonts w:cs="Times New Roman"/>
        </w:rPr>
        <w:t>—</w:t>
      </w:r>
      <w:r w:rsidR="00E023A1">
        <w:rPr>
          <w:rFonts w:cs="Times New Roman"/>
        </w:rPr>
        <w:t xml:space="preserve"> </w:t>
      </w:r>
      <w:r w:rsidRPr="006F6F21">
        <w:rPr>
          <w:rFonts w:cs="Times New Roman"/>
        </w:rPr>
        <w:t xml:space="preserve">2016, </w:t>
      </w:r>
      <w:r w:rsidR="00CC0615">
        <w:rPr>
          <w:rFonts w:cs="Times New Roman"/>
        </w:rPr>
        <w:t>“</w:t>
      </w:r>
      <w:r w:rsidRPr="006F6F21">
        <w:rPr>
          <w:rFonts w:cs="Times New Roman"/>
        </w:rPr>
        <w:t>Bupalus in Scheria: Hipponax</w:t>
      </w:r>
      <w:r w:rsidR="00075F5F">
        <w:rPr>
          <w:rFonts w:cs="Times New Roman"/>
        </w:rPr>
        <w:t>’</w:t>
      </w:r>
      <w:r w:rsidRPr="006F6F21">
        <w:rPr>
          <w:rFonts w:cs="Times New Roman"/>
        </w:rPr>
        <w:t>s Odyssean Transcontextualizations,</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229-252.</w:t>
      </w:r>
    </w:p>
    <w:p w14:paraId="77C81F03"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Heine, B.</w:t>
      </w:r>
      <w:r>
        <w:rPr>
          <w:rFonts w:cs="Times New Roman"/>
        </w:rPr>
        <w:t xml:space="preserve">, </w:t>
      </w:r>
      <w:r w:rsidRPr="006F6F21">
        <w:rPr>
          <w:rFonts w:cs="Times New Roman"/>
        </w:rPr>
        <w:t xml:space="preserve">and Kuteva T. 2005, </w:t>
      </w:r>
      <w:r w:rsidRPr="006F6F21">
        <w:rPr>
          <w:rFonts w:cs="Times New Roman"/>
          <w:i/>
        </w:rPr>
        <w:t>Language Contact and Grammatical Change</w:t>
      </w:r>
      <w:r w:rsidRPr="006F6F21">
        <w:rPr>
          <w:rFonts w:cs="Times New Roman"/>
        </w:rPr>
        <w:t>, Cambridge.</w:t>
      </w:r>
    </w:p>
    <w:p w14:paraId="535AA67B" w14:textId="1FF2CCA4" w:rsidR="003B2A46" w:rsidRPr="006F6F21" w:rsidRDefault="003B2A46" w:rsidP="004819D9">
      <w:pPr>
        <w:spacing w:before="100" w:after="100" w:line="300" w:lineRule="exact"/>
        <w:ind w:left="567" w:hanging="567"/>
        <w:rPr>
          <w:rFonts w:cs="Times New Roman"/>
        </w:rPr>
      </w:pPr>
      <w:r w:rsidRPr="006F6F21">
        <w:rPr>
          <w:rFonts w:cs="Times New Roman"/>
        </w:rPr>
        <w:t xml:space="preserve">Hemmerdinger, B. 1968, </w:t>
      </w:r>
      <w:r w:rsidR="00CC0615">
        <w:rPr>
          <w:rFonts w:cs="Times New Roman"/>
        </w:rPr>
        <w:t>“</w:t>
      </w:r>
      <w:r w:rsidRPr="006F6F21">
        <w:rPr>
          <w:rFonts w:cs="Times New Roman"/>
        </w:rPr>
        <w:t>Noms communs grecs d</w:t>
      </w:r>
      <w:r w:rsidR="00075F5F">
        <w:rPr>
          <w:rFonts w:cs="Times New Roman"/>
        </w:rPr>
        <w:t>’</w:t>
      </w:r>
      <w:r w:rsidRPr="006F6F21">
        <w:rPr>
          <w:rFonts w:cs="Times New Roman"/>
        </w:rPr>
        <w:t>origine égyptienne,</w:t>
      </w:r>
      <w:r w:rsidR="00CC0615">
        <w:rPr>
          <w:rFonts w:cs="Times New Roman"/>
        </w:rPr>
        <w:t>”</w:t>
      </w:r>
      <w:r w:rsidRPr="006F6F21">
        <w:rPr>
          <w:rFonts w:cs="Times New Roman"/>
        </w:rPr>
        <w:t xml:space="preserve"> </w:t>
      </w:r>
      <w:r w:rsidRPr="006F6F21">
        <w:rPr>
          <w:rFonts w:cs="Times New Roman"/>
          <w:i/>
        </w:rPr>
        <w:t>Glotta</w:t>
      </w:r>
      <w:r w:rsidRPr="006F6F21">
        <w:rPr>
          <w:rFonts w:cs="Times New Roman"/>
        </w:rPr>
        <w:t xml:space="preserve"> 46: 238-247.</w:t>
      </w:r>
    </w:p>
    <w:p w14:paraId="57B1A834"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Henderson, J. 1975, </w:t>
      </w:r>
      <w:r w:rsidRPr="006F6F21">
        <w:rPr>
          <w:rFonts w:cs="Times New Roman"/>
          <w:i/>
        </w:rPr>
        <w:t>The Maculate Muse: Obscene Language in Attic Comedy</w:t>
      </w:r>
      <w:r w:rsidRPr="006F6F21">
        <w:rPr>
          <w:rFonts w:cs="Times New Roman"/>
        </w:rPr>
        <w:t>, New Haven.</w:t>
      </w:r>
    </w:p>
    <w:p w14:paraId="558EC5D4" w14:textId="77C99201"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Herter, H. 1937, </w:t>
      </w:r>
      <w:r w:rsidR="00CC0615">
        <w:rPr>
          <w:rFonts w:cs="Times New Roman"/>
          <w:lang w:val="nl-NL"/>
        </w:rPr>
        <w:t>“</w:t>
      </w:r>
      <w:r w:rsidRPr="007F1E99">
        <w:rPr>
          <w:rFonts w:cs="Times New Roman"/>
          <w:lang w:val="nl-NL"/>
        </w:rPr>
        <w:t>Kallimachos,</w:t>
      </w:r>
      <w:r w:rsidR="00CC0615">
        <w:rPr>
          <w:rFonts w:cs="Times New Roman"/>
          <w:lang w:val="nl-NL"/>
        </w:rPr>
        <w:t>”</w:t>
      </w:r>
      <w:r w:rsidRPr="007F1E99">
        <w:rPr>
          <w:rFonts w:cs="Times New Roman"/>
          <w:lang w:val="nl-NL"/>
        </w:rPr>
        <w:t xml:space="preserve"> </w:t>
      </w:r>
      <w:r w:rsidRPr="007F1E99">
        <w:rPr>
          <w:rFonts w:cs="Times New Roman"/>
          <w:i/>
          <w:lang w:val="nl-NL"/>
        </w:rPr>
        <w:t>Bursians Jahresbericht</w:t>
      </w:r>
      <w:r w:rsidRPr="007F1E99">
        <w:rPr>
          <w:rFonts w:cs="Times New Roman"/>
          <w:lang w:val="nl-NL"/>
        </w:rPr>
        <w:t xml:space="preserve"> 255: 82-218.</w:t>
      </w:r>
    </w:p>
    <w:p w14:paraId="61484848" w14:textId="2E1F61E9"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 1973, </w:t>
      </w:r>
      <w:r w:rsidR="00CC0615">
        <w:rPr>
          <w:rFonts w:cs="Times New Roman"/>
        </w:rPr>
        <w:t>“</w:t>
      </w:r>
      <w:r w:rsidRPr="006F6F21">
        <w:rPr>
          <w:rFonts w:cs="Times New Roman"/>
        </w:rPr>
        <w:t xml:space="preserve">Kallimachos aus Kyrene, </w:t>
      </w:r>
      <w:r w:rsidRPr="006F6F21">
        <w:rPr>
          <w:rFonts w:cs="Times New Roman"/>
          <w:i/>
        </w:rPr>
        <w:t>RE Supplementband</w:t>
      </w:r>
      <w:r w:rsidRPr="006F6F21">
        <w:rPr>
          <w:rFonts w:cs="Times New Roman"/>
        </w:rPr>
        <w:t xml:space="preserve"> </w:t>
      </w:r>
      <w:r>
        <w:rPr>
          <w:rFonts w:cs="Times New Roman"/>
        </w:rPr>
        <w:t>13</w:t>
      </w:r>
      <w:r w:rsidRPr="006F6F21">
        <w:rPr>
          <w:rFonts w:cs="Times New Roman"/>
        </w:rPr>
        <w:t>: 184-266.</w:t>
      </w:r>
    </w:p>
    <w:p w14:paraId="2D09CC12" w14:textId="428B2A44" w:rsidR="003B2A46" w:rsidRPr="006F6F21" w:rsidRDefault="003B2A46" w:rsidP="004819D9">
      <w:pPr>
        <w:spacing w:before="100" w:after="100" w:line="300" w:lineRule="exact"/>
        <w:ind w:left="567" w:hanging="567"/>
        <w:rPr>
          <w:rFonts w:cs="Times New Roman"/>
        </w:rPr>
      </w:pPr>
      <w:r w:rsidRPr="006F6F21">
        <w:rPr>
          <w:rFonts w:cs="Times New Roman"/>
        </w:rPr>
        <w:t xml:space="preserve">Hessinger, J. J. 1978, </w:t>
      </w:r>
      <w:r w:rsidR="00CC0615">
        <w:rPr>
          <w:rFonts w:cs="Times New Roman"/>
        </w:rPr>
        <w:t>“</w:t>
      </w:r>
      <w:r w:rsidRPr="006F6F21">
        <w:rPr>
          <w:rFonts w:cs="Times New Roman"/>
        </w:rPr>
        <w:t xml:space="preserve">The </w:t>
      </w:r>
      <w:r>
        <w:rPr>
          <w:rFonts w:cs="Times New Roman"/>
        </w:rPr>
        <w:t>S</w:t>
      </w:r>
      <w:r w:rsidRPr="006F6F21">
        <w:rPr>
          <w:rFonts w:cs="Times New Roman"/>
        </w:rPr>
        <w:t xml:space="preserve">yntactic and </w:t>
      </w:r>
      <w:r>
        <w:rPr>
          <w:rFonts w:cs="Times New Roman"/>
        </w:rPr>
        <w:t>S</w:t>
      </w:r>
      <w:r w:rsidRPr="006F6F21">
        <w:rPr>
          <w:rFonts w:cs="Times New Roman"/>
        </w:rPr>
        <w:t xml:space="preserve">emantic </w:t>
      </w:r>
      <w:r>
        <w:rPr>
          <w:rFonts w:cs="Times New Roman"/>
        </w:rPr>
        <w:t>S</w:t>
      </w:r>
      <w:r w:rsidRPr="006F6F21">
        <w:rPr>
          <w:rFonts w:cs="Times New Roman"/>
        </w:rPr>
        <w:t xml:space="preserve">tatus of </w:t>
      </w:r>
      <w:r>
        <w:rPr>
          <w:rFonts w:cs="Times New Roman"/>
        </w:rPr>
        <w:t>P</w:t>
      </w:r>
      <w:r w:rsidRPr="006F6F21">
        <w:rPr>
          <w:rFonts w:cs="Times New Roman"/>
        </w:rPr>
        <w:t>repositions in Greek,</w:t>
      </w:r>
      <w:r w:rsidR="00CC0615">
        <w:rPr>
          <w:rFonts w:cs="Times New Roman"/>
        </w:rPr>
        <w:t>”</w:t>
      </w:r>
      <w:r w:rsidRPr="006F6F21">
        <w:rPr>
          <w:rFonts w:cs="Times New Roman"/>
        </w:rPr>
        <w:t xml:space="preserve"> </w:t>
      </w:r>
      <w:r w:rsidRPr="006F6F21">
        <w:rPr>
          <w:rFonts w:cs="Times New Roman"/>
          <w:i/>
        </w:rPr>
        <w:t>Classical Philology</w:t>
      </w:r>
      <w:r w:rsidRPr="006F6F21">
        <w:rPr>
          <w:rFonts w:cs="Times New Roman"/>
        </w:rPr>
        <w:t xml:space="preserve"> 73: 211-223.</w:t>
      </w:r>
    </w:p>
    <w:p w14:paraId="6BE6A72D" w14:textId="31C5AAE8"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Himmelmann, N. 1996. </w:t>
      </w:r>
      <w:r w:rsidR="00CC0615">
        <w:rPr>
          <w:rFonts w:cs="Times New Roman"/>
        </w:rPr>
        <w:t>“</w:t>
      </w:r>
      <w:r w:rsidRPr="006F6F21">
        <w:rPr>
          <w:rFonts w:cs="Times New Roman"/>
        </w:rPr>
        <w:t xml:space="preserve">Demonstratives in Narrative Discourse: A </w:t>
      </w:r>
      <w:r>
        <w:rPr>
          <w:rFonts w:cs="Times New Roman"/>
        </w:rPr>
        <w:t>T</w:t>
      </w:r>
      <w:r w:rsidRPr="006F6F21">
        <w:rPr>
          <w:rFonts w:cs="Times New Roman"/>
        </w:rPr>
        <w:t xml:space="preserve">axonomy of </w:t>
      </w:r>
      <w:r>
        <w:rPr>
          <w:rFonts w:cs="Times New Roman"/>
        </w:rPr>
        <w:t>U</w:t>
      </w:r>
      <w:r w:rsidRPr="006F6F21">
        <w:rPr>
          <w:rFonts w:cs="Times New Roman"/>
        </w:rPr>
        <w:t xml:space="preserve">niversal </w:t>
      </w:r>
      <w:r>
        <w:rPr>
          <w:rFonts w:cs="Times New Roman"/>
        </w:rPr>
        <w:t>U</w:t>
      </w:r>
      <w:r w:rsidRPr="006F6F21">
        <w:rPr>
          <w:rFonts w:cs="Times New Roman"/>
        </w:rPr>
        <w:t>ses,</w:t>
      </w:r>
      <w:r w:rsidR="00CC0615">
        <w:rPr>
          <w:rFonts w:cs="Times New Roman"/>
        </w:rPr>
        <w:t>”</w:t>
      </w:r>
      <w:r w:rsidRPr="006F6F21">
        <w:rPr>
          <w:rFonts w:cs="Times New Roman"/>
        </w:rPr>
        <w:t xml:space="preserve"> in B. A. Fox (ed.), </w:t>
      </w:r>
      <w:r w:rsidRPr="006F6F21">
        <w:rPr>
          <w:rFonts w:cs="Times New Roman"/>
          <w:i/>
          <w:iCs/>
        </w:rPr>
        <w:t>Studies in Anaphora</w:t>
      </w:r>
      <w:r w:rsidRPr="006F6F21">
        <w:rPr>
          <w:rFonts w:cs="Times New Roman"/>
        </w:rPr>
        <w:t>, Amsterdam: 205-54.</w:t>
      </w:r>
    </w:p>
    <w:p w14:paraId="0AA864F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Hinds, S. 1998, </w:t>
      </w:r>
      <w:r w:rsidRPr="006F6F21">
        <w:rPr>
          <w:rFonts w:cs="Times New Roman"/>
          <w:i/>
        </w:rPr>
        <w:t>Allusion and Intertext: Dynamics of Appropriation in Roman Poetry</w:t>
      </w:r>
      <w:r w:rsidRPr="006F6F21">
        <w:rPr>
          <w:rFonts w:cs="Times New Roman"/>
        </w:rPr>
        <w:t>, Cambridge.</w:t>
      </w:r>
    </w:p>
    <w:p w14:paraId="7936BFEE" w14:textId="77777777" w:rsidR="003B2A46" w:rsidRDefault="003B2A46" w:rsidP="004819D9">
      <w:pPr>
        <w:spacing w:before="100" w:after="100" w:line="300" w:lineRule="exact"/>
        <w:ind w:left="567" w:hanging="567"/>
        <w:rPr>
          <w:rFonts w:cs="Times New Roman"/>
        </w:rPr>
      </w:pPr>
      <w:r w:rsidRPr="006F6F21">
        <w:rPr>
          <w:rFonts w:cs="Times New Roman"/>
        </w:rPr>
        <w:t xml:space="preserve">Hollis, A. S. 2009, </w:t>
      </w:r>
      <w:r w:rsidRPr="006F6F21">
        <w:rPr>
          <w:rFonts w:cs="Times New Roman"/>
          <w:i/>
        </w:rPr>
        <w:t>Callimachus</w:t>
      </w:r>
      <w:r>
        <w:rPr>
          <w:rFonts w:cs="Times New Roman"/>
          <w:i/>
        </w:rPr>
        <w:t>,</w:t>
      </w:r>
      <w:r w:rsidRPr="006F6F21">
        <w:rPr>
          <w:rFonts w:cs="Times New Roman"/>
          <w:i/>
        </w:rPr>
        <w:t xml:space="preserve"> Hecale</w:t>
      </w:r>
      <w:r w:rsidRPr="006F6F21">
        <w:rPr>
          <w:rFonts w:cs="Times New Roman"/>
        </w:rPr>
        <w:t>, Oxford</w:t>
      </w:r>
      <w:r>
        <w:rPr>
          <w:rFonts w:cs="Times New Roman"/>
        </w:rPr>
        <w:t xml:space="preserve"> (2</w:t>
      </w:r>
      <w:r w:rsidRPr="00AF6182">
        <w:rPr>
          <w:rFonts w:cs="Times New Roman"/>
          <w:vertAlign w:val="superscript"/>
        </w:rPr>
        <w:t>nd</w:t>
      </w:r>
      <w:r>
        <w:rPr>
          <w:rFonts w:cs="Times New Roman"/>
        </w:rPr>
        <w:t xml:space="preserve"> edition).</w:t>
      </w:r>
    </w:p>
    <w:p w14:paraId="446E09FE" w14:textId="77777777" w:rsidR="003B2A46" w:rsidRPr="006F6F21" w:rsidRDefault="003B2A46" w:rsidP="004819D9">
      <w:pPr>
        <w:spacing w:before="100" w:after="100" w:line="300" w:lineRule="exact"/>
        <w:ind w:left="567" w:hanging="567"/>
        <w:rPr>
          <w:rFonts w:cs="Times New Roman"/>
        </w:rPr>
      </w:pPr>
      <w:r w:rsidRPr="0050574F">
        <w:rPr>
          <w:rFonts w:cs="Times New Roman"/>
        </w:rPr>
        <w:t xml:space="preserve">Holmquist, </w:t>
      </w:r>
      <w:r>
        <w:rPr>
          <w:rFonts w:cs="Times New Roman"/>
        </w:rPr>
        <w:t xml:space="preserve">J., </w:t>
      </w:r>
      <w:r w:rsidRPr="0050574F">
        <w:rPr>
          <w:rFonts w:cs="Times New Roman"/>
        </w:rPr>
        <w:t>Lorenzino, A.</w:t>
      </w:r>
      <w:r>
        <w:rPr>
          <w:rFonts w:cs="Times New Roman"/>
        </w:rPr>
        <w:t>,</w:t>
      </w:r>
      <w:r w:rsidRPr="0050574F">
        <w:rPr>
          <w:rFonts w:cs="Times New Roman"/>
        </w:rPr>
        <w:t xml:space="preserve"> and Sayahi L. (eds.)</w:t>
      </w:r>
      <w:r>
        <w:rPr>
          <w:rFonts w:cs="Times New Roman"/>
        </w:rPr>
        <w:t xml:space="preserve"> 2007</w:t>
      </w:r>
      <w:r w:rsidRPr="0050574F">
        <w:rPr>
          <w:rFonts w:cs="Times New Roman"/>
        </w:rPr>
        <w:t xml:space="preserve">, </w:t>
      </w:r>
      <w:r w:rsidRPr="0050574F">
        <w:rPr>
          <w:rFonts w:cs="Times New Roman"/>
          <w:i/>
        </w:rPr>
        <w:t>Selected Proceedings of the Third Workshop on Spanish Sociolinguistics</w:t>
      </w:r>
      <w:r w:rsidRPr="0050574F">
        <w:rPr>
          <w:rFonts w:cs="Times New Roman"/>
        </w:rPr>
        <w:t>, Somerville.</w:t>
      </w:r>
    </w:p>
    <w:p w14:paraId="4C822AEB" w14:textId="7A92A868" w:rsidR="003B2A46" w:rsidRPr="006F6F21" w:rsidRDefault="003B2A46" w:rsidP="004819D9">
      <w:pPr>
        <w:spacing w:before="100" w:after="100" w:line="300" w:lineRule="exact"/>
        <w:ind w:left="567" w:hanging="567"/>
        <w:rPr>
          <w:rFonts w:cs="Times New Roman"/>
        </w:rPr>
      </w:pPr>
      <w:r w:rsidRPr="006F6F21">
        <w:rPr>
          <w:rFonts w:cs="Times New Roman"/>
        </w:rPr>
        <w:t xml:space="preserve">Hornblower, S. 1994, </w:t>
      </w:r>
      <w:r w:rsidR="00CC0615">
        <w:rPr>
          <w:rFonts w:cs="Times New Roman"/>
        </w:rPr>
        <w:t>“</w:t>
      </w:r>
      <w:r w:rsidRPr="006F6F21">
        <w:rPr>
          <w:rFonts w:cs="Times New Roman"/>
        </w:rPr>
        <w:t>Narratology and Narrative Techniques in Thucydides,</w:t>
      </w:r>
      <w:r w:rsidR="00CC0615">
        <w:rPr>
          <w:rFonts w:cs="Times New Roman"/>
        </w:rPr>
        <w:t>”</w:t>
      </w:r>
      <w:r w:rsidRPr="006F6F21">
        <w:rPr>
          <w:rFonts w:cs="Times New Roman"/>
        </w:rPr>
        <w:t xml:space="preserve"> in S. Hornblower (ed.), </w:t>
      </w:r>
      <w:r w:rsidRPr="006F6F21">
        <w:rPr>
          <w:rFonts w:cs="Times New Roman"/>
          <w:i/>
        </w:rPr>
        <w:t>Greek Historiography</w:t>
      </w:r>
      <w:r w:rsidRPr="006F6F21">
        <w:rPr>
          <w:rFonts w:cs="Times New Roman"/>
        </w:rPr>
        <w:t>, Oxford: 131-166.</w:t>
      </w:r>
    </w:p>
    <w:p w14:paraId="38B54473" w14:textId="77777777" w:rsidR="003B2A46" w:rsidRDefault="003B2A46" w:rsidP="004819D9">
      <w:pPr>
        <w:spacing w:before="100" w:after="100" w:line="300" w:lineRule="exact"/>
        <w:ind w:left="567" w:hanging="567"/>
        <w:rPr>
          <w:rFonts w:cs="Times New Roman"/>
        </w:rPr>
      </w:pPr>
      <w:r w:rsidRPr="006F6F21">
        <w:rPr>
          <w:rFonts w:cs="Times New Roman"/>
        </w:rPr>
        <w:t xml:space="preserve">Horrocks, G. C. 1981, </w:t>
      </w:r>
      <w:r w:rsidRPr="006F6F21">
        <w:rPr>
          <w:rFonts w:cs="Times New Roman"/>
          <w:i/>
        </w:rPr>
        <w:t xml:space="preserve">Space and </w:t>
      </w:r>
      <w:r>
        <w:rPr>
          <w:rFonts w:cs="Times New Roman"/>
          <w:i/>
        </w:rPr>
        <w:t>T</w:t>
      </w:r>
      <w:r w:rsidRPr="006F6F21">
        <w:rPr>
          <w:rFonts w:cs="Times New Roman"/>
          <w:i/>
        </w:rPr>
        <w:t>ime in Homer</w:t>
      </w:r>
      <w:r>
        <w:rPr>
          <w:rFonts w:cs="Times New Roman"/>
          <w:i/>
        </w:rPr>
        <w:t xml:space="preserve">: </w:t>
      </w:r>
      <w:r w:rsidRPr="006F6F21">
        <w:rPr>
          <w:rFonts w:cs="Times New Roman"/>
          <w:i/>
        </w:rPr>
        <w:t xml:space="preserve">Prepositional and </w:t>
      </w:r>
      <w:r>
        <w:rPr>
          <w:rFonts w:cs="Times New Roman"/>
          <w:i/>
        </w:rPr>
        <w:t>A</w:t>
      </w:r>
      <w:r w:rsidRPr="006F6F21">
        <w:rPr>
          <w:rFonts w:cs="Times New Roman"/>
          <w:i/>
        </w:rPr>
        <w:t xml:space="preserve">dverbial </w:t>
      </w:r>
      <w:r>
        <w:rPr>
          <w:rFonts w:cs="Times New Roman"/>
          <w:i/>
        </w:rPr>
        <w:t>P</w:t>
      </w:r>
      <w:r w:rsidRPr="006F6F21">
        <w:rPr>
          <w:rFonts w:cs="Times New Roman"/>
          <w:i/>
        </w:rPr>
        <w:t xml:space="preserve">articles in Greek </w:t>
      </w:r>
      <w:r>
        <w:rPr>
          <w:rFonts w:cs="Times New Roman"/>
          <w:i/>
        </w:rPr>
        <w:t>E</w:t>
      </w:r>
      <w:r w:rsidRPr="006F6F21">
        <w:rPr>
          <w:rFonts w:cs="Times New Roman"/>
          <w:i/>
        </w:rPr>
        <w:t>pic</w:t>
      </w:r>
      <w:r w:rsidRPr="006F6F21">
        <w:rPr>
          <w:rFonts w:cs="Times New Roman"/>
        </w:rPr>
        <w:t>, New York.</w:t>
      </w:r>
    </w:p>
    <w:p w14:paraId="1D0FC9C5" w14:textId="3977B43D" w:rsidR="003B2A46" w:rsidRPr="006F6F21" w:rsidRDefault="003B2A46" w:rsidP="004819D9">
      <w:pPr>
        <w:spacing w:before="100" w:after="100" w:line="300" w:lineRule="exact"/>
        <w:ind w:left="567" w:hanging="567"/>
        <w:rPr>
          <w:rFonts w:cs="Times New Roman"/>
        </w:rPr>
      </w:pPr>
      <w:r w:rsidRPr="006F6F21">
        <w:rPr>
          <w:rFonts w:cs="Times New Roman"/>
        </w:rPr>
        <w:t>—</w:t>
      </w:r>
      <w:r w:rsidR="00E023A1">
        <w:rPr>
          <w:rFonts w:cs="Times New Roman"/>
        </w:rPr>
        <w:t xml:space="preserve"> </w:t>
      </w:r>
      <w:r>
        <w:rPr>
          <w:rFonts w:cs="Times New Roman"/>
        </w:rPr>
        <w:t xml:space="preserve">1997, </w:t>
      </w:r>
      <w:r w:rsidRPr="001743E3">
        <w:rPr>
          <w:rFonts w:cs="Times New Roman"/>
          <w:i/>
        </w:rPr>
        <w:t xml:space="preserve">Greek: </w:t>
      </w:r>
      <w:r>
        <w:rPr>
          <w:rFonts w:cs="Times New Roman"/>
          <w:i/>
        </w:rPr>
        <w:t>A</w:t>
      </w:r>
      <w:r w:rsidRPr="001743E3">
        <w:rPr>
          <w:rFonts w:cs="Times New Roman"/>
          <w:i/>
        </w:rPr>
        <w:t xml:space="preserve"> History of the Language and its Speakers</w:t>
      </w:r>
      <w:r>
        <w:rPr>
          <w:rFonts w:cs="Times New Roman"/>
        </w:rPr>
        <w:t>, New York.</w:t>
      </w:r>
    </w:p>
    <w:p w14:paraId="01BC43D1" w14:textId="14F02374" w:rsidR="003B2A46" w:rsidRPr="006F6F21" w:rsidRDefault="003B2A46" w:rsidP="004819D9">
      <w:pPr>
        <w:spacing w:before="100" w:after="100" w:line="300" w:lineRule="exact"/>
        <w:ind w:left="567" w:hanging="567"/>
        <w:rPr>
          <w:rFonts w:cs="Times New Roman"/>
        </w:rPr>
      </w:pPr>
      <w:r w:rsidRPr="006F6F21">
        <w:rPr>
          <w:rFonts w:cs="Times New Roman"/>
        </w:rPr>
        <w:t xml:space="preserve">Hughes, B. 1996, </w:t>
      </w:r>
      <w:r w:rsidR="00CC0615">
        <w:rPr>
          <w:rFonts w:cs="Times New Roman"/>
        </w:rPr>
        <w:t>“</w:t>
      </w:r>
      <w:r w:rsidRPr="006F6F21">
        <w:rPr>
          <w:rFonts w:cs="Times New Roman"/>
        </w:rPr>
        <w:t>Callimachus, Hipponax, and the Persona of the Iambographer,</w:t>
      </w:r>
      <w:r w:rsidR="00CC0615">
        <w:rPr>
          <w:rFonts w:cs="Times New Roman"/>
        </w:rPr>
        <w:t>”</w:t>
      </w:r>
      <w:r w:rsidRPr="006F6F21">
        <w:rPr>
          <w:rFonts w:cs="Times New Roman"/>
        </w:rPr>
        <w:t xml:space="preserve"> </w:t>
      </w:r>
      <w:r w:rsidRPr="006F6F21">
        <w:rPr>
          <w:rFonts w:cs="Times New Roman"/>
          <w:i/>
        </w:rPr>
        <w:t>M</w:t>
      </w:r>
      <w:r>
        <w:rPr>
          <w:rFonts w:cs="Times New Roman"/>
          <w:i/>
        </w:rPr>
        <w:t>ateriali e discussioni</w:t>
      </w:r>
      <w:r w:rsidRPr="006F6F21">
        <w:rPr>
          <w:rFonts w:cs="Times New Roman"/>
        </w:rPr>
        <w:t xml:space="preserve"> 37: 205-216.</w:t>
      </w:r>
    </w:p>
    <w:p w14:paraId="2E8253B6" w14:textId="09BB3876" w:rsidR="003B2A46" w:rsidRPr="006F6F21" w:rsidRDefault="003B2A46" w:rsidP="004819D9">
      <w:pPr>
        <w:spacing w:before="100" w:after="100" w:line="300" w:lineRule="exact"/>
        <w:ind w:left="567" w:hanging="567"/>
        <w:rPr>
          <w:rFonts w:cs="Times New Roman"/>
        </w:rPr>
      </w:pPr>
      <w:r w:rsidRPr="006F6F21">
        <w:rPr>
          <w:rFonts w:cs="Times New Roman"/>
        </w:rPr>
        <w:t xml:space="preserve">Hunter, R. 1997, </w:t>
      </w:r>
      <w:r w:rsidR="00CC0615">
        <w:rPr>
          <w:rFonts w:cs="Times New Roman"/>
        </w:rPr>
        <w:t>“</w:t>
      </w:r>
      <w:r w:rsidRPr="006F6F21">
        <w:rPr>
          <w:rFonts w:cs="Times New Roman"/>
        </w:rPr>
        <w:t xml:space="preserve">(B)ionic </w:t>
      </w:r>
      <w:r>
        <w:rPr>
          <w:rFonts w:cs="Times New Roman"/>
        </w:rPr>
        <w:t>M</w:t>
      </w:r>
      <w:r w:rsidRPr="006F6F21">
        <w:rPr>
          <w:rFonts w:cs="Times New Roman"/>
        </w:rPr>
        <w:t>an: Callimachus</w:t>
      </w:r>
      <w:r w:rsidR="00075F5F">
        <w:rPr>
          <w:rFonts w:cs="Times New Roman"/>
        </w:rPr>
        <w:t>’</w:t>
      </w:r>
      <w:r w:rsidRPr="006F6F21">
        <w:rPr>
          <w:rFonts w:cs="Times New Roman"/>
        </w:rPr>
        <w:t xml:space="preserve"> </w:t>
      </w:r>
      <w:r>
        <w:rPr>
          <w:rFonts w:cs="Times New Roman"/>
        </w:rPr>
        <w:t>I</w:t>
      </w:r>
      <w:r w:rsidRPr="006F6F21">
        <w:rPr>
          <w:rFonts w:cs="Times New Roman"/>
        </w:rPr>
        <w:t xml:space="preserve">ambic </w:t>
      </w:r>
      <w:r>
        <w:rPr>
          <w:rFonts w:cs="Times New Roman"/>
        </w:rPr>
        <w:t>P</w:t>
      </w:r>
      <w:r w:rsidRPr="006F6F21">
        <w:rPr>
          <w:rFonts w:cs="Times New Roman"/>
        </w:rPr>
        <w:t>rogramme,</w:t>
      </w:r>
      <w:r w:rsidR="00CC0615">
        <w:rPr>
          <w:rFonts w:cs="Times New Roman"/>
        </w:rPr>
        <w:t>”</w:t>
      </w:r>
      <w:r w:rsidRPr="006F6F21">
        <w:rPr>
          <w:rFonts w:cs="Times New Roman"/>
        </w:rPr>
        <w:t xml:space="preserve"> </w:t>
      </w:r>
      <w:r w:rsidRPr="006F6F21">
        <w:rPr>
          <w:rFonts w:cs="Times New Roman"/>
          <w:i/>
        </w:rPr>
        <w:t>P</w:t>
      </w:r>
      <w:r>
        <w:rPr>
          <w:rFonts w:cs="Times New Roman"/>
          <w:i/>
        </w:rPr>
        <w:t>roceedings of the Cambridge Philological Society</w:t>
      </w:r>
      <w:r w:rsidRPr="006F6F21">
        <w:rPr>
          <w:rFonts w:cs="Times New Roman"/>
        </w:rPr>
        <w:t xml:space="preserve"> 43: 41-52.</w:t>
      </w:r>
    </w:p>
    <w:p w14:paraId="58D23C18"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Hutchinson, G. O. 1988, </w:t>
      </w:r>
      <w:r w:rsidRPr="006F6F21">
        <w:rPr>
          <w:rFonts w:cs="Times New Roman"/>
          <w:i/>
        </w:rPr>
        <w:t>Hellenistic Poetry</w:t>
      </w:r>
      <w:r w:rsidRPr="006F6F21">
        <w:rPr>
          <w:rFonts w:cs="Times New Roman"/>
        </w:rPr>
        <w:t>, Oxford.</w:t>
      </w:r>
    </w:p>
    <w:p w14:paraId="1458406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Jaekel, S. (ed.) 1964, </w:t>
      </w:r>
      <w:r w:rsidRPr="006F6F21">
        <w:rPr>
          <w:rFonts w:cs="Times New Roman"/>
          <w:i/>
        </w:rPr>
        <w:t>Menandri Sententiae: comparatio Menandri et Philistionis</w:t>
      </w:r>
      <w:r w:rsidRPr="006F6F21">
        <w:rPr>
          <w:rFonts w:cs="Times New Roman"/>
        </w:rPr>
        <w:t xml:space="preserve">, </w:t>
      </w:r>
      <w:r>
        <w:rPr>
          <w:rFonts w:cs="Times New Roman"/>
        </w:rPr>
        <w:t>Leipzig</w:t>
      </w:r>
      <w:r w:rsidRPr="006F6F21">
        <w:rPr>
          <w:rFonts w:cs="Times New Roman"/>
        </w:rPr>
        <w:t>.</w:t>
      </w:r>
    </w:p>
    <w:p w14:paraId="18ACA264" w14:textId="32F82A16"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Jake, J. L. 1998, </w:t>
      </w:r>
      <w:r w:rsidR="00CC0615">
        <w:rPr>
          <w:rFonts w:cs="Times New Roman"/>
        </w:rPr>
        <w:t>“</w:t>
      </w:r>
      <w:r w:rsidRPr="006F6F21">
        <w:rPr>
          <w:rFonts w:cs="Times New Roman"/>
        </w:rPr>
        <w:t xml:space="preserve">Constructing </w:t>
      </w:r>
      <w:r>
        <w:rPr>
          <w:rFonts w:cs="Times New Roman"/>
        </w:rPr>
        <w:t>I</w:t>
      </w:r>
      <w:r w:rsidRPr="006F6F21">
        <w:rPr>
          <w:rFonts w:cs="Times New Roman"/>
        </w:rPr>
        <w:t xml:space="preserve">nterlanguage: Building a </w:t>
      </w:r>
      <w:r>
        <w:rPr>
          <w:rFonts w:cs="Times New Roman"/>
        </w:rPr>
        <w:t>C</w:t>
      </w:r>
      <w:r w:rsidRPr="006F6F21">
        <w:rPr>
          <w:rFonts w:cs="Times New Roman"/>
        </w:rPr>
        <w:t xml:space="preserve">omposite </w:t>
      </w:r>
      <w:r>
        <w:rPr>
          <w:rFonts w:cs="Times New Roman"/>
        </w:rPr>
        <w:t>M</w:t>
      </w:r>
      <w:r w:rsidRPr="006F6F21">
        <w:rPr>
          <w:rFonts w:cs="Times New Roman"/>
        </w:rPr>
        <w:t xml:space="preserve">atrix </w:t>
      </w:r>
      <w:r>
        <w:rPr>
          <w:rFonts w:cs="Times New Roman"/>
        </w:rPr>
        <w:t>L</w:t>
      </w:r>
      <w:r w:rsidRPr="006F6F21">
        <w:rPr>
          <w:rFonts w:cs="Times New Roman"/>
        </w:rPr>
        <w:t>anguage,</w:t>
      </w:r>
      <w:r w:rsidR="00CC0615">
        <w:rPr>
          <w:rFonts w:cs="Times New Roman"/>
        </w:rPr>
        <w:t>”</w:t>
      </w:r>
      <w:r w:rsidRPr="006F6F21">
        <w:rPr>
          <w:rFonts w:cs="Times New Roman"/>
        </w:rPr>
        <w:t xml:space="preserve"> </w:t>
      </w:r>
      <w:r w:rsidRPr="006F6F21">
        <w:rPr>
          <w:rFonts w:cs="Times New Roman"/>
          <w:i/>
        </w:rPr>
        <w:t>Linguistics</w:t>
      </w:r>
      <w:r w:rsidRPr="006F6F21">
        <w:rPr>
          <w:rFonts w:cs="Times New Roman"/>
        </w:rPr>
        <w:t xml:space="preserve"> 36</w:t>
      </w:r>
      <w:r w:rsidRPr="00AF6182">
        <w:rPr>
          <w:rFonts w:cs="Times New Roman"/>
        </w:rPr>
        <w:t>.2</w:t>
      </w:r>
      <w:r w:rsidRPr="006F6F21">
        <w:rPr>
          <w:rFonts w:cs="Times New Roman"/>
        </w:rPr>
        <w:t>: 333-382.</w:t>
      </w:r>
    </w:p>
    <w:p w14:paraId="31DE956B" w14:textId="6C95A4BF" w:rsidR="003B2A46" w:rsidRPr="006F6F21" w:rsidRDefault="003B2A46" w:rsidP="004819D9">
      <w:pPr>
        <w:spacing w:before="100" w:after="100" w:line="300" w:lineRule="exact"/>
        <w:ind w:left="567" w:hanging="567"/>
        <w:rPr>
          <w:rFonts w:cs="Times New Roman"/>
        </w:rPr>
      </w:pPr>
      <w:r w:rsidRPr="006F6F21">
        <w:rPr>
          <w:rFonts w:cs="Times New Roman"/>
        </w:rPr>
        <w:t xml:space="preserve">Jakendoff, R. 2009, </w:t>
      </w:r>
      <w:r w:rsidR="00CC0615">
        <w:rPr>
          <w:rFonts w:cs="Times New Roman"/>
        </w:rPr>
        <w:t>“</w:t>
      </w:r>
      <w:r w:rsidRPr="006F6F21">
        <w:rPr>
          <w:rFonts w:cs="Times New Roman"/>
        </w:rPr>
        <w:t>Compounding in the Parallel Architecture and Conceptual Semantics,</w:t>
      </w:r>
      <w:r w:rsidR="00CC0615">
        <w:rPr>
          <w:rFonts w:cs="Times New Roman"/>
        </w:rPr>
        <w:t>”</w:t>
      </w:r>
      <w:r w:rsidRPr="006F6F21">
        <w:rPr>
          <w:rFonts w:cs="Times New Roman"/>
        </w:rPr>
        <w:t xml:space="preserve"> in R. Lieber and P. Štekauer (eds.), </w:t>
      </w:r>
      <w:r w:rsidRPr="006F6F21">
        <w:rPr>
          <w:rFonts w:cs="Times New Roman"/>
          <w:i/>
        </w:rPr>
        <w:t>The Oxford Handbook of Compounding</w:t>
      </w:r>
      <w:r w:rsidRPr="006F6F21">
        <w:rPr>
          <w:rFonts w:cs="Times New Roman"/>
        </w:rPr>
        <w:t xml:space="preserve">, New York: 105-128. </w:t>
      </w:r>
    </w:p>
    <w:p w14:paraId="43170176" w14:textId="7D00D550" w:rsidR="003B2A46" w:rsidRPr="006F6F21" w:rsidRDefault="003B2A46" w:rsidP="004819D9">
      <w:pPr>
        <w:spacing w:before="100" w:after="100" w:line="300" w:lineRule="exact"/>
        <w:ind w:left="567" w:hanging="567"/>
        <w:rPr>
          <w:rFonts w:cs="Times New Roman"/>
        </w:rPr>
      </w:pPr>
      <w:r w:rsidRPr="006F6F21">
        <w:rPr>
          <w:rFonts w:cs="Times New Roman"/>
        </w:rPr>
        <w:t>—</w:t>
      </w:r>
      <w:r w:rsidR="00E023A1">
        <w:rPr>
          <w:rFonts w:cs="Times New Roman"/>
        </w:rPr>
        <w:t xml:space="preserve"> </w:t>
      </w:r>
      <w:r w:rsidRPr="006F6F21">
        <w:rPr>
          <w:rFonts w:cs="Times New Roman"/>
        </w:rPr>
        <w:t xml:space="preserve">2010, </w:t>
      </w:r>
      <w:r w:rsidRPr="006F6F21">
        <w:rPr>
          <w:rFonts w:cs="Times New Roman"/>
          <w:i/>
          <w:iCs/>
          <w:color w:val="1C1C1C"/>
        </w:rPr>
        <w:t>Meaning and the Lexicon: The Parallel Architecture 1975–2010</w:t>
      </w:r>
      <w:r w:rsidRPr="006F6F21">
        <w:rPr>
          <w:rFonts w:cs="Times New Roman"/>
          <w:color w:val="1C1C1C"/>
        </w:rPr>
        <w:t>, Oxford.</w:t>
      </w:r>
    </w:p>
    <w:p w14:paraId="649FF2AB" w14:textId="42F4FF09" w:rsidR="003B2A46" w:rsidRPr="006F6F21" w:rsidRDefault="003B2A46" w:rsidP="004819D9">
      <w:pPr>
        <w:spacing w:before="100" w:after="100" w:line="300" w:lineRule="exact"/>
        <w:ind w:left="567" w:hanging="567"/>
        <w:rPr>
          <w:rFonts w:cs="Times New Roman"/>
        </w:rPr>
      </w:pPr>
      <w:r w:rsidRPr="006F6F21">
        <w:rPr>
          <w:rFonts w:cs="Times New Roman"/>
        </w:rPr>
        <w:t xml:space="preserve">Janko, R. 1991, </w:t>
      </w:r>
      <w:r w:rsidR="00CC0615">
        <w:rPr>
          <w:rFonts w:cs="Times New Roman"/>
        </w:rPr>
        <w:t>“</w:t>
      </w:r>
      <w:r w:rsidRPr="006F6F21">
        <w:rPr>
          <w:rFonts w:cs="Times New Roman"/>
        </w:rPr>
        <w:t>Philodemus</w:t>
      </w:r>
      <w:r w:rsidR="00075F5F">
        <w:rPr>
          <w:rFonts w:cs="Times New Roman"/>
        </w:rPr>
        <w:t>’</w:t>
      </w:r>
      <w:r w:rsidRPr="006F6F21">
        <w:rPr>
          <w:rFonts w:cs="Times New Roman"/>
        </w:rPr>
        <w:t xml:space="preserve"> </w:t>
      </w:r>
      <w:r w:rsidRPr="006F6F21">
        <w:rPr>
          <w:rFonts w:cs="Times New Roman"/>
          <w:i/>
        </w:rPr>
        <w:t>On Poems</w:t>
      </w:r>
      <w:r w:rsidRPr="006F6F21">
        <w:rPr>
          <w:rFonts w:cs="Times New Roman"/>
        </w:rPr>
        <w:t xml:space="preserve"> and Aristotle</w:t>
      </w:r>
      <w:r w:rsidR="00075F5F">
        <w:rPr>
          <w:rFonts w:cs="Times New Roman"/>
        </w:rPr>
        <w:t>’</w:t>
      </w:r>
      <w:r w:rsidRPr="006F6F21">
        <w:rPr>
          <w:rFonts w:cs="Times New Roman"/>
        </w:rPr>
        <w:t xml:space="preserve">s </w:t>
      </w:r>
      <w:r w:rsidRPr="006F6F21">
        <w:rPr>
          <w:rFonts w:cs="Times New Roman"/>
          <w:i/>
        </w:rPr>
        <w:t>On Poets</w:t>
      </w:r>
      <w:r w:rsidRPr="006F6F21">
        <w:rPr>
          <w:rFonts w:cs="Times New Roman"/>
        </w:rPr>
        <w:t>,</w:t>
      </w:r>
      <w:r w:rsidR="00CC0615">
        <w:rPr>
          <w:rFonts w:cs="Times New Roman"/>
        </w:rPr>
        <w:t>”</w:t>
      </w:r>
      <w:r w:rsidRPr="006F6F21">
        <w:rPr>
          <w:rFonts w:cs="Times New Roman"/>
        </w:rPr>
        <w:t xml:space="preserve"> </w:t>
      </w:r>
      <w:r w:rsidRPr="006F6F21">
        <w:rPr>
          <w:rFonts w:cs="Times New Roman"/>
          <w:i/>
        </w:rPr>
        <w:t>Cronache</w:t>
      </w:r>
      <w:r>
        <w:rPr>
          <w:rFonts w:cs="Times New Roman"/>
          <w:i/>
        </w:rPr>
        <w:t xml:space="preserve"> er</w:t>
      </w:r>
      <w:r w:rsidRPr="006F6F21">
        <w:rPr>
          <w:rFonts w:cs="Times New Roman"/>
          <w:i/>
        </w:rPr>
        <w:t xml:space="preserve">colanesi </w:t>
      </w:r>
      <w:r w:rsidRPr="006F6F21">
        <w:rPr>
          <w:rFonts w:cs="Times New Roman"/>
        </w:rPr>
        <w:t>21: 5-64.</w:t>
      </w:r>
    </w:p>
    <w:p w14:paraId="672D6C0D" w14:textId="5C8B6819" w:rsidR="003B2A46" w:rsidRPr="006F6F21" w:rsidRDefault="003B2A46" w:rsidP="004819D9">
      <w:pPr>
        <w:spacing w:before="100" w:after="100" w:line="300" w:lineRule="exact"/>
        <w:ind w:left="567" w:hanging="567"/>
        <w:rPr>
          <w:rFonts w:cs="Times New Roman"/>
        </w:rPr>
      </w:pPr>
      <w:r w:rsidRPr="006F6F21">
        <w:rPr>
          <w:rFonts w:cs="Times New Roman"/>
        </w:rPr>
        <w:t xml:space="preserve">— 1995, </w:t>
      </w:r>
      <w:r w:rsidR="00CC0615">
        <w:rPr>
          <w:rFonts w:cs="Times New Roman"/>
        </w:rPr>
        <w:t>“</w:t>
      </w:r>
      <w:r w:rsidRPr="006F6F21">
        <w:rPr>
          <w:rFonts w:cs="Times New Roman"/>
        </w:rPr>
        <w:t>Reconstructing Philodemus</w:t>
      </w:r>
      <w:r w:rsidR="00075F5F">
        <w:rPr>
          <w:rFonts w:cs="Times New Roman"/>
        </w:rPr>
        <w:t>’</w:t>
      </w:r>
      <w:r w:rsidRPr="006F6F21">
        <w:rPr>
          <w:rFonts w:cs="Times New Roman"/>
        </w:rPr>
        <w:t xml:space="preserve"> </w:t>
      </w:r>
      <w:r w:rsidRPr="006F6F21">
        <w:rPr>
          <w:rFonts w:cs="Times New Roman"/>
          <w:i/>
        </w:rPr>
        <w:t>On Poems</w:t>
      </w:r>
      <w:r>
        <w:rPr>
          <w:rFonts w:cs="Times New Roman"/>
        </w:rPr>
        <w:t>,</w:t>
      </w:r>
      <w:r w:rsidR="00CC0615">
        <w:rPr>
          <w:rFonts w:cs="Times New Roman"/>
        </w:rPr>
        <w:t>”</w:t>
      </w:r>
      <w:r w:rsidRPr="006F6F21">
        <w:rPr>
          <w:rFonts w:cs="Times New Roman"/>
        </w:rPr>
        <w:t xml:space="preserve"> in D. Obbink (ed.), </w:t>
      </w:r>
      <w:r w:rsidRPr="006F6F21">
        <w:rPr>
          <w:rFonts w:cs="Times New Roman"/>
          <w:i/>
        </w:rPr>
        <w:t>Philodemus and Poetry: Poetic Theory and Practice in Lucretius, Philodemus, and Horace</w:t>
      </w:r>
      <w:r w:rsidRPr="006F6F21">
        <w:rPr>
          <w:rFonts w:cs="Times New Roman"/>
        </w:rPr>
        <w:t>, New York - Oxford: 69-96.</w:t>
      </w:r>
    </w:p>
    <w:p w14:paraId="5497181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2000, </w:t>
      </w:r>
      <w:r w:rsidRPr="006F6F21">
        <w:rPr>
          <w:rFonts w:cs="Times New Roman"/>
          <w:i/>
        </w:rPr>
        <w:t>Philodemus</w:t>
      </w:r>
      <w:r>
        <w:rPr>
          <w:rFonts w:cs="Times New Roman"/>
          <w:i/>
        </w:rPr>
        <w:t>,</w:t>
      </w:r>
      <w:r w:rsidRPr="006F6F21">
        <w:rPr>
          <w:rFonts w:cs="Times New Roman"/>
          <w:i/>
        </w:rPr>
        <w:t xml:space="preserve"> On Poems Book 1</w:t>
      </w:r>
      <w:r w:rsidRPr="006F6F21">
        <w:rPr>
          <w:rFonts w:cs="Times New Roman"/>
        </w:rPr>
        <w:t>, Oxford.</w:t>
      </w:r>
    </w:p>
    <w:p w14:paraId="43835337" w14:textId="5FAC236A" w:rsidR="003B2A46" w:rsidRPr="006F6F21" w:rsidRDefault="003B2A46" w:rsidP="004819D9">
      <w:pPr>
        <w:spacing w:before="100" w:after="100" w:line="300" w:lineRule="exact"/>
        <w:ind w:left="567" w:hanging="567"/>
        <w:rPr>
          <w:rFonts w:cs="Times New Roman"/>
        </w:rPr>
      </w:pPr>
      <w:r w:rsidRPr="006F6F21">
        <w:rPr>
          <w:rFonts w:cs="Times New Roman"/>
        </w:rPr>
        <w:t xml:space="preserve">Janse, M. 2001, </w:t>
      </w:r>
      <w:r w:rsidR="00CC0615">
        <w:rPr>
          <w:rFonts w:cs="Times New Roman"/>
        </w:rPr>
        <w:t>“</w:t>
      </w:r>
      <w:r w:rsidRPr="006F6F21">
        <w:rPr>
          <w:rFonts w:cs="Times New Roman"/>
        </w:rPr>
        <w:t xml:space="preserve">Morphological </w:t>
      </w:r>
      <w:r>
        <w:rPr>
          <w:rFonts w:cs="Times New Roman"/>
        </w:rPr>
        <w:t>B</w:t>
      </w:r>
      <w:r w:rsidRPr="006F6F21">
        <w:rPr>
          <w:rFonts w:cs="Times New Roman"/>
        </w:rPr>
        <w:t>orrowing in Asia Minor,</w:t>
      </w:r>
      <w:r w:rsidR="00CC0615">
        <w:rPr>
          <w:rFonts w:cs="Times New Roman"/>
        </w:rPr>
        <w:t>”</w:t>
      </w:r>
      <w:r w:rsidRPr="006F6F21">
        <w:rPr>
          <w:rFonts w:cs="Times New Roman"/>
        </w:rPr>
        <w:t xml:space="preserve"> in Y. Aggouraki, </w:t>
      </w:r>
      <w:r>
        <w:rPr>
          <w:rFonts w:cs="Times New Roman"/>
        </w:rPr>
        <w:t xml:space="preserve">et al. </w:t>
      </w:r>
      <w:r w:rsidRPr="006F6F21">
        <w:rPr>
          <w:rFonts w:cs="Times New Roman"/>
        </w:rPr>
        <w:t xml:space="preserve">(eds.), </w:t>
      </w:r>
      <w:r w:rsidRPr="006F6F21">
        <w:rPr>
          <w:rFonts w:cs="Times New Roman"/>
          <w:i/>
        </w:rPr>
        <w:t>Proceedings of the 4</w:t>
      </w:r>
      <w:r w:rsidRPr="006F6F21">
        <w:rPr>
          <w:rFonts w:cs="Times New Roman"/>
          <w:i/>
          <w:vertAlign w:val="superscript"/>
        </w:rPr>
        <w:t>th</w:t>
      </w:r>
      <w:r w:rsidRPr="006F6F21">
        <w:rPr>
          <w:rFonts w:cs="Times New Roman"/>
          <w:i/>
        </w:rPr>
        <w:t xml:space="preserve"> </w:t>
      </w:r>
      <w:r>
        <w:rPr>
          <w:rFonts w:cs="Times New Roman"/>
          <w:i/>
        </w:rPr>
        <w:t>I</w:t>
      </w:r>
      <w:r w:rsidRPr="006F6F21">
        <w:rPr>
          <w:rFonts w:cs="Times New Roman"/>
          <w:i/>
        </w:rPr>
        <w:t xml:space="preserve">nternational </w:t>
      </w:r>
      <w:r>
        <w:rPr>
          <w:rFonts w:cs="Times New Roman"/>
          <w:i/>
        </w:rPr>
        <w:t>C</w:t>
      </w:r>
      <w:r w:rsidRPr="006F6F21">
        <w:rPr>
          <w:rFonts w:cs="Times New Roman"/>
          <w:i/>
        </w:rPr>
        <w:t>onference of Greek linguistics</w:t>
      </w:r>
      <w:r w:rsidRPr="006F6F21">
        <w:rPr>
          <w:rFonts w:cs="Times New Roman"/>
        </w:rPr>
        <w:t>, Thessaloniki: 473-479.</w:t>
      </w:r>
    </w:p>
    <w:p w14:paraId="201C354E" w14:textId="77777777" w:rsidR="003B2A46" w:rsidRPr="006F6F21" w:rsidRDefault="003B2A46" w:rsidP="004819D9">
      <w:pPr>
        <w:spacing w:before="100" w:after="100" w:line="300" w:lineRule="exact"/>
        <w:ind w:left="567" w:hanging="567"/>
        <w:rPr>
          <w:rFonts w:cs="Times New Roman"/>
        </w:rPr>
      </w:pPr>
      <w:r w:rsidRPr="006F6F21">
        <w:rPr>
          <w:rFonts w:cs="Times New Roman"/>
          <w:color w:val="262626"/>
        </w:rPr>
        <w:t xml:space="preserve">Jones, J. 1962, </w:t>
      </w:r>
      <w:r w:rsidRPr="006F6F21">
        <w:rPr>
          <w:rFonts w:cs="Times New Roman"/>
          <w:i/>
          <w:iCs/>
          <w:color w:val="262626"/>
        </w:rPr>
        <w:t>On Aristotle and Greek Tragedy</w:t>
      </w:r>
      <w:r w:rsidRPr="006F6F21">
        <w:rPr>
          <w:rFonts w:cs="Times New Roman"/>
          <w:color w:val="262626"/>
        </w:rPr>
        <w:t>, London.</w:t>
      </w:r>
    </w:p>
    <w:p w14:paraId="7535C06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Jung, F. 1929, </w:t>
      </w:r>
      <w:r w:rsidRPr="006F6F21">
        <w:rPr>
          <w:rFonts w:cs="Times New Roman"/>
          <w:i/>
        </w:rPr>
        <w:t>Hipponax redivivus</w:t>
      </w:r>
      <w:r w:rsidRPr="006F6F21">
        <w:rPr>
          <w:rFonts w:cs="Times New Roman"/>
        </w:rPr>
        <w:t>, Bonn.</w:t>
      </w:r>
    </w:p>
    <w:p w14:paraId="2A2261A5" w14:textId="397AD711" w:rsidR="003B2A46" w:rsidRPr="006F6F21" w:rsidRDefault="003B2A46" w:rsidP="004819D9">
      <w:pPr>
        <w:spacing w:before="100" w:after="100" w:line="300" w:lineRule="exact"/>
        <w:ind w:left="567" w:hanging="567"/>
        <w:rPr>
          <w:rFonts w:cs="Times New Roman"/>
        </w:rPr>
      </w:pPr>
      <w:r w:rsidRPr="006F6F21">
        <w:rPr>
          <w:rFonts w:cs="Times New Roman"/>
        </w:rPr>
        <w:lastRenderedPageBreak/>
        <w:t>Kaczko, S. 2008</w:t>
      </w:r>
      <w:r>
        <w:rPr>
          <w:rFonts w:cs="Times New Roman"/>
        </w:rPr>
        <w:t>a</w:t>
      </w:r>
      <w:r w:rsidRPr="006F6F21">
        <w:rPr>
          <w:rFonts w:cs="Times New Roman"/>
        </w:rPr>
        <w:t xml:space="preserve">, </w:t>
      </w:r>
      <w:r w:rsidR="00CC0615">
        <w:rPr>
          <w:rFonts w:cs="Times New Roman"/>
        </w:rPr>
        <w:t>“</w:t>
      </w:r>
      <w:r w:rsidRPr="006F6F21">
        <w:rPr>
          <w:rFonts w:cs="Times New Roman"/>
        </w:rPr>
        <w:t>Il Giambo,</w:t>
      </w:r>
      <w:r w:rsidR="00CC0615">
        <w:rPr>
          <w:rFonts w:cs="Times New Roman"/>
        </w:rPr>
        <w:t>”</w:t>
      </w:r>
      <w:r w:rsidRPr="006F6F21">
        <w:rPr>
          <w:rFonts w:cs="Times New Roman"/>
        </w:rPr>
        <w:t xml:space="preserve"> in A. C. Cassio (ed.), </w:t>
      </w:r>
      <w:r w:rsidRPr="006F6F21">
        <w:rPr>
          <w:rFonts w:cs="Times New Roman"/>
          <w:i/>
        </w:rPr>
        <w:t>Storia delle lingue letterarie greche</w:t>
      </w:r>
      <w:r w:rsidRPr="006F6F21">
        <w:rPr>
          <w:rFonts w:cs="Times New Roman"/>
        </w:rPr>
        <w:t>, Milan: 231-247.</w:t>
      </w:r>
    </w:p>
    <w:p w14:paraId="0408BC1B" w14:textId="13B0B369" w:rsidR="003B2A46" w:rsidRPr="006F6F21" w:rsidRDefault="003B2A46" w:rsidP="004819D9">
      <w:pPr>
        <w:spacing w:before="100" w:after="100" w:line="300" w:lineRule="exact"/>
        <w:ind w:left="567" w:hanging="567"/>
        <w:rPr>
          <w:rFonts w:cs="Times New Roman"/>
        </w:rPr>
      </w:pPr>
      <w:r w:rsidRPr="006F6F21">
        <w:rPr>
          <w:rFonts w:cs="Times New Roman"/>
        </w:rPr>
        <w:t>— 2008</w:t>
      </w:r>
      <w:r>
        <w:rPr>
          <w:rFonts w:cs="Times New Roman"/>
        </w:rPr>
        <w:t>b</w:t>
      </w:r>
      <w:r w:rsidRPr="006F6F21">
        <w:rPr>
          <w:rFonts w:cs="Times New Roman"/>
        </w:rPr>
        <w:t xml:space="preserve">, </w:t>
      </w:r>
      <w:r w:rsidR="00CC0615">
        <w:rPr>
          <w:rFonts w:cs="Times New Roman"/>
        </w:rPr>
        <w:t>“</w:t>
      </w:r>
      <w:r w:rsidRPr="006F6F21">
        <w:rPr>
          <w:rFonts w:cs="Times New Roman"/>
        </w:rPr>
        <w:t xml:space="preserve">La </w:t>
      </w:r>
      <w:r w:rsidRPr="006F6F21">
        <w:rPr>
          <w:rFonts w:cs="Times New Roman"/>
          <w:i/>
        </w:rPr>
        <w:t>koiné</w:t>
      </w:r>
      <w:r w:rsidRPr="006F6F21">
        <w:rPr>
          <w:rFonts w:cs="Times New Roman"/>
        </w:rPr>
        <w:t>,</w:t>
      </w:r>
      <w:r w:rsidR="00CC0615">
        <w:rPr>
          <w:rFonts w:cs="Times New Roman"/>
        </w:rPr>
        <w:t>”</w:t>
      </w:r>
      <w:r w:rsidRPr="006F6F21">
        <w:rPr>
          <w:rFonts w:cs="Times New Roman"/>
        </w:rPr>
        <w:t xml:space="preserve"> in A. C. Cassio (ed.), </w:t>
      </w:r>
      <w:r w:rsidRPr="006F6F21">
        <w:rPr>
          <w:rFonts w:cs="Times New Roman"/>
          <w:i/>
        </w:rPr>
        <w:t>Storia delle lingue letterarie greche</w:t>
      </w:r>
      <w:r w:rsidRPr="006F6F21">
        <w:rPr>
          <w:rFonts w:cs="Times New Roman"/>
        </w:rPr>
        <w:t>, Milan: 357-392.</w:t>
      </w:r>
    </w:p>
    <w:p w14:paraId="5E24FE0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Kantzios, I. 2005, </w:t>
      </w:r>
      <w:r w:rsidRPr="006F6F21">
        <w:rPr>
          <w:rFonts w:cs="Times New Roman"/>
          <w:i/>
        </w:rPr>
        <w:t>The Trajectory of Archaic Greek Trimeters</w:t>
      </w:r>
      <w:r w:rsidRPr="006F6F21">
        <w:rPr>
          <w:rFonts w:cs="Times New Roman"/>
        </w:rPr>
        <w:t>, Leiden.</w:t>
      </w:r>
    </w:p>
    <w:p w14:paraId="4C31F815"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Käppel, L. 1992, </w:t>
      </w:r>
      <w:r w:rsidRPr="007F1E99">
        <w:rPr>
          <w:rFonts w:cs="Times New Roman"/>
          <w:i/>
          <w:lang w:val="nl-NL"/>
        </w:rPr>
        <w:t>Paian: Studien zur Geschichte einer Gattung</w:t>
      </w:r>
      <w:r w:rsidRPr="007F1E99">
        <w:rPr>
          <w:rFonts w:cs="Times New Roman"/>
          <w:lang w:val="nl-NL"/>
        </w:rPr>
        <w:t>, Berlin - New York.</w:t>
      </w:r>
    </w:p>
    <w:p w14:paraId="3407178B" w14:textId="039DDAE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Karatsareas, P. 2011, </w:t>
      </w:r>
      <w:r w:rsidR="00CC0615">
        <w:rPr>
          <w:rFonts w:cs="Times New Roman"/>
          <w:lang w:val="nl-NL"/>
        </w:rPr>
        <w:t>“</w:t>
      </w:r>
      <w:r w:rsidRPr="007F1E99">
        <w:rPr>
          <w:rFonts w:cs="Times New Roman"/>
          <w:lang w:val="nl-NL"/>
        </w:rPr>
        <w:t>Neuter Heteroclisis in Asia Minor Greek: Origin and Development,</w:t>
      </w:r>
      <w:r w:rsidR="00CC0615">
        <w:rPr>
          <w:rFonts w:cs="Times New Roman"/>
          <w:lang w:val="nl-NL"/>
        </w:rPr>
        <w:t>”</w:t>
      </w:r>
      <w:r w:rsidRPr="007F1E99">
        <w:rPr>
          <w:rFonts w:cs="Times New Roman"/>
          <w:lang w:val="nl-NL"/>
        </w:rPr>
        <w:t xml:space="preserve"> </w:t>
      </w:r>
      <w:r w:rsidRPr="007F1E99">
        <w:rPr>
          <w:rFonts w:cs="Times New Roman"/>
          <w:i/>
          <w:lang w:val="nl-NL"/>
        </w:rPr>
        <w:t>Neoelliniki Dialektologia</w:t>
      </w:r>
      <w:r w:rsidRPr="007F1E99">
        <w:rPr>
          <w:rFonts w:cs="Times New Roman"/>
          <w:lang w:val="nl-NL"/>
        </w:rPr>
        <w:t xml:space="preserve"> 6: 111-135.</w:t>
      </w:r>
    </w:p>
    <w:p w14:paraId="0F1F0824" w14:textId="0758E6D3" w:rsidR="003B2A46" w:rsidRPr="006F6F21" w:rsidRDefault="003B2A46" w:rsidP="004819D9">
      <w:pPr>
        <w:spacing w:before="100" w:after="100" w:line="300" w:lineRule="exact"/>
        <w:ind w:left="567" w:hanging="567"/>
        <w:rPr>
          <w:rFonts w:cs="Times New Roman"/>
        </w:rPr>
      </w:pPr>
      <w:r w:rsidRPr="007F1E99">
        <w:rPr>
          <w:rFonts w:cs="Times New Roman"/>
          <w:lang w:val="nl-NL"/>
        </w:rPr>
        <w:t xml:space="preserve">Katz, J. T., and Volk, K 2000, </w:t>
      </w:r>
      <w:r w:rsidR="00CC0615">
        <w:rPr>
          <w:rFonts w:cs="Times New Roman"/>
          <w:lang w:val="nl-NL"/>
        </w:rPr>
        <w:t>“</w:t>
      </w:r>
      <w:r w:rsidR="00075F5F">
        <w:rPr>
          <w:rFonts w:cs="Times New Roman"/>
          <w:lang w:val="nl-NL"/>
        </w:rPr>
        <w:t>‘</w:t>
      </w:r>
      <w:r w:rsidRPr="007F1E99">
        <w:rPr>
          <w:rFonts w:cs="Times New Roman"/>
          <w:lang w:val="nl-NL"/>
        </w:rPr>
        <w:t>Mere bellies?</w:t>
      </w:r>
      <w:r w:rsidR="00075F5F">
        <w:rPr>
          <w:rFonts w:cs="Times New Roman"/>
          <w:lang w:val="nl-NL"/>
        </w:rPr>
        <w:t>’</w:t>
      </w:r>
      <w:r w:rsidRPr="007F1E99">
        <w:rPr>
          <w:rFonts w:cs="Times New Roman"/>
          <w:lang w:val="nl-NL"/>
        </w:rPr>
        <w:t xml:space="preserve"> </w:t>
      </w:r>
      <w:r w:rsidRPr="006F6F21">
        <w:rPr>
          <w:rFonts w:cs="Times New Roman"/>
        </w:rPr>
        <w:t xml:space="preserve">A </w:t>
      </w:r>
      <w:r>
        <w:rPr>
          <w:rFonts w:cs="Times New Roman"/>
        </w:rPr>
        <w:t>N</w:t>
      </w:r>
      <w:r w:rsidRPr="006F6F21">
        <w:rPr>
          <w:rFonts w:cs="Times New Roman"/>
        </w:rPr>
        <w:t xml:space="preserve">ew </w:t>
      </w:r>
      <w:r>
        <w:rPr>
          <w:rFonts w:cs="Times New Roman"/>
        </w:rPr>
        <w:t>L</w:t>
      </w:r>
      <w:r w:rsidRPr="006F6F21">
        <w:rPr>
          <w:rFonts w:cs="Times New Roman"/>
        </w:rPr>
        <w:t xml:space="preserve">ook at </w:t>
      </w:r>
      <w:r w:rsidRPr="00AF6182">
        <w:rPr>
          <w:rFonts w:cs="Times New Roman"/>
          <w:i/>
        </w:rPr>
        <w:t>Theogony</w:t>
      </w:r>
      <w:r w:rsidRPr="006F6F21">
        <w:rPr>
          <w:rFonts w:cs="Times New Roman"/>
        </w:rPr>
        <w:t xml:space="preserve"> 26-8,</w:t>
      </w:r>
      <w:r w:rsidR="00CC0615">
        <w:rPr>
          <w:rFonts w:cs="Times New Roman"/>
        </w:rPr>
        <w:t>”</w:t>
      </w:r>
      <w:r w:rsidRPr="006F6F21">
        <w:rPr>
          <w:rFonts w:cs="Times New Roman"/>
        </w:rPr>
        <w:t xml:space="preserve"> </w:t>
      </w:r>
      <w:r w:rsidRPr="006F6F21">
        <w:rPr>
          <w:rFonts w:cs="Times New Roman"/>
          <w:i/>
        </w:rPr>
        <w:t>J</w:t>
      </w:r>
      <w:r>
        <w:rPr>
          <w:rFonts w:cs="Times New Roman"/>
          <w:i/>
        </w:rPr>
        <w:t>ournal of Hellenic Studies</w:t>
      </w:r>
      <w:r w:rsidRPr="006F6F21">
        <w:rPr>
          <w:rFonts w:cs="Times New Roman"/>
        </w:rPr>
        <w:t xml:space="preserve"> 120: 122-131.</w:t>
      </w:r>
    </w:p>
    <w:p w14:paraId="3487FBFC" w14:textId="3228EAC5" w:rsidR="003B2A46" w:rsidRPr="006F6F21" w:rsidRDefault="003B2A46" w:rsidP="004819D9">
      <w:pPr>
        <w:spacing w:before="100" w:after="100" w:line="300" w:lineRule="exact"/>
        <w:ind w:left="567" w:hanging="567"/>
        <w:rPr>
          <w:rFonts w:cs="Times New Roman"/>
        </w:rPr>
      </w:pPr>
      <w:r w:rsidRPr="006F6F21">
        <w:rPr>
          <w:rFonts w:cs="Times New Roman"/>
        </w:rPr>
        <w:t xml:space="preserve">Kavka, S. 2009, </w:t>
      </w:r>
      <w:r w:rsidR="00CC0615">
        <w:rPr>
          <w:rFonts w:cs="Times New Roman"/>
        </w:rPr>
        <w:t>“</w:t>
      </w:r>
      <w:r w:rsidRPr="006F6F21">
        <w:rPr>
          <w:rFonts w:cs="Times New Roman"/>
        </w:rPr>
        <w:t>Compounding and Idiomatology,</w:t>
      </w:r>
      <w:r w:rsidR="00CC0615">
        <w:rPr>
          <w:rFonts w:cs="Times New Roman"/>
        </w:rPr>
        <w:t>”</w:t>
      </w:r>
      <w:r w:rsidRPr="006F6F21">
        <w:rPr>
          <w:rFonts w:cs="Times New Roman"/>
        </w:rPr>
        <w:t xml:space="preserve"> in R. Lieber and P. Štekauer (eds.), </w:t>
      </w:r>
      <w:r w:rsidRPr="006F6F21">
        <w:rPr>
          <w:rFonts w:cs="Times New Roman"/>
          <w:i/>
        </w:rPr>
        <w:t>The Oxford Handbook of Compounding</w:t>
      </w:r>
      <w:r w:rsidRPr="006F6F21">
        <w:rPr>
          <w:rFonts w:cs="Times New Roman"/>
        </w:rPr>
        <w:t>, New York: 19-33.</w:t>
      </w:r>
    </w:p>
    <w:p w14:paraId="5FDAC125" w14:textId="68061693" w:rsidR="003B2A46" w:rsidRPr="006F6F21" w:rsidRDefault="003B2A46" w:rsidP="004819D9">
      <w:pPr>
        <w:spacing w:before="100" w:after="100" w:line="300" w:lineRule="exact"/>
        <w:ind w:left="567" w:hanging="567"/>
        <w:rPr>
          <w:rFonts w:cs="Times New Roman"/>
        </w:rPr>
      </w:pPr>
      <w:r w:rsidRPr="006F6F21">
        <w:rPr>
          <w:rFonts w:cs="Times New Roman"/>
        </w:rPr>
        <w:t xml:space="preserve">Kay, N. M. 2010, </w:t>
      </w:r>
      <w:r w:rsidR="00CC0615">
        <w:rPr>
          <w:rFonts w:cs="Times New Roman"/>
        </w:rPr>
        <w:t>“</w:t>
      </w:r>
      <w:r w:rsidRPr="006F6F21">
        <w:rPr>
          <w:rFonts w:cs="Times New Roman"/>
        </w:rPr>
        <w:t>Colloquial Latin in Martial</w:t>
      </w:r>
      <w:r w:rsidR="00075F5F">
        <w:rPr>
          <w:rFonts w:cs="Times New Roman"/>
        </w:rPr>
        <w:t>’</w:t>
      </w:r>
      <w:r w:rsidRPr="006F6F21">
        <w:rPr>
          <w:rFonts w:cs="Times New Roman"/>
        </w:rPr>
        <w:t xml:space="preserve">s </w:t>
      </w:r>
      <w:r>
        <w:rPr>
          <w:rFonts w:cs="Times New Roman"/>
        </w:rPr>
        <w:t>E</w:t>
      </w:r>
      <w:r w:rsidRPr="006F6F21">
        <w:rPr>
          <w:rFonts w:cs="Times New Roman"/>
        </w:rPr>
        <w:t>pigrams,</w:t>
      </w:r>
      <w:r w:rsidR="00CC0615">
        <w:rPr>
          <w:rFonts w:cs="Times New Roman"/>
        </w:rPr>
        <w:t>”</w:t>
      </w:r>
      <w:r w:rsidRPr="006F6F21">
        <w:rPr>
          <w:rFonts w:cs="Times New Roman"/>
        </w:rPr>
        <w:t xml:space="preserve"> in E. Dickey and A. Chahoud (eds.), </w:t>
      </w:r>
      <w:r w:rsidRPr="006F6F21">
        <w:rPr>
          <w:rFonts w:cs="Times New Roman"/>
          <w:i/>
        </w:rPr>
        <w:t>Colloquial and Literary Latin</w:t>
      </w:r>
      <w:r w:rsidRPr="006F6F21">
        <w:rPr>
          <w:rFonts w:cs="Times New Roman"/>
        </w:rPr>
        <w:t>, Cambridge: 318-330.</w:t>
      </w:r>
    </w:p>
    <w:p w14:paraId="66309709" w14:textId="31A74CC5" w:rsidR="003B2A46" w:rsidRPr="006F6F21" w:rsidRDefault="003B2A46" w:rsidP="004819D9">
      <w:pPr>
        <w:spacing w:before="100" w:after="100" w:line="300" w:lineRule="exact"/>
        <w:ind w:left="567" w:hanging="567"/>
        <w:rPr>
          <w:rFonts w:cs="Times New Roman"/>
        </w:rPr>
      </w:pPr>
      <w:r w:rsidRPr="006F6F21">
        <w:rPr>
          <w:rFonts w:cs="Times New Roman"/>
        </w:rPr>
        <w:t xml:space="preserve">Kerkhecker, A. 1996, </w:t>
      </w:r>
      <w:r w:rsidR="00CC0615">
        <w:rPr>
          <w:rFonts w:cs="Times New Roman"/>
        </w:rPr>
        <w:t>“</w:t>
      </w:r>
      <w:r w:rsidRPr="006F6F21">
        <w:rPr>
          <w:rFonts w:cs="Times New Roman"/>
        </w:rPr>
        <w:t xml:space="preserve">Archilochus fr. 139 West: Another </w:t>
      </w:r>
      <w:r>
        <w:rPr>
          <w:rFonts w:cs="Times New Roman"/>
        </w:rPr>
        <w:t>Ῥ</w:t>
      </w:r>
      <w:r w:rsidRPr="006F6F21">
        <w:rPr>
          <w:rFonts w:cs="Times New Roman"/>
          <w:lang w:val="el-GR"/>
        </w:rPr>
        <w:t>ίψασπις</w:t>
      </w:r>
      <w:r w:rsidRPr="006F6F21">
        <w:rPr>
          <w:rFonts w:cs="Times New Roman"/>
        </w:rPr>
        <w:t>-Poem?</w:t>
      </w:r>
      <w:r w:rsidR="00CC0615">
        <w:rPr>
          <w:rFonts w:cs="Times New Roman"/>
        </w:rPr>
        <w:t>”</w:t>
      </w:r>
      <w:r w:rsidRPr="006F6F21">
        <w:rPr>
          <w:rFonts w:cs="Times New Roman"/>
        </w:rPr>
        <w:t xml:space="preserve"> </w:t>
      </w:r>
      <w:r w:rsidRPr="006F6F21">
        <w:rPr>
          <w:rFonts w:cs="Times New Roman"/>
          <w:i/>
        </w:rPr>
        <w:t>Z</w:t>
      </w:r>
      <w:r>
        <w:rPr>
          <w:rFonts w:cs="Times New Roman"/>
          <w:i/>
        </w:rPr>
        <w:t>eitschrift für Papyrologie und Epigraphik</w:t>
      </w:r>
      <w:r w:rsidRPr="006F6F21">
        <w:rPr>
          <w:rFonts w:cs="Times New Roman"/>
        </w:rPr>
        <w:t xml:space="preserve"> 111: 26.</w:t>
      </w:r>
    </w:p>
    <w:p w14:paraId="711F1201" w14:textId="0BCFEC63" w:rsidR="003B2A46" w:rsidRPr="006F6F21" w:rsidRDefault="003B2A46" w:rsidP="004819D9">
      <w:pPr>
        <w:spacing w:before="100" w:after="100" w:line="300" w:lineRule="exact"/>
        <w:ind w:left="567" w:hanging="567"/>
        <w:rPr>
          <w:rFonts w:cs="Times New Roman"/>
        </w:rPr>
      </w:pPr>
      <w:r w:rsidRPr="006F6F21">
        <w:rPr>
          <w:rFonts w:cs="Times New Roman"/>
        </w:rPr>
        <w:t xml:space="preserve">— 1999, </w:t>
      </w:r>
      <w:r w:rsidRPr="006F6F21">
        <w:rPr>
          <w:rFonts w:cs="Times New Roman"/>
          <w:i/>
        </w:rPr>
        <w:t>Callimachus</w:t>
      </w:r>
      <w:r w:rsidR="00075F5F">
        <w:rPr>
          <w:rFonts w:cs="Times New Roman"/>
          <w:i/>
        </w:rPr>
        <w:t>’</w:t>
      </w:r>
      <w:r w:rsidRPr="006F6F21">
        <w:rPr>
          <w:rFonts w:cs="Times New Roman"/>
          <w:i/>
        </w:rPr>
        <w:t xml:space="preserve"> Book of Iambi</w:t>
      </w:r>
      <w:r w:rsidRPr="006F6F21">
        <w:rPr>
          <w:rFonts w:cs="Times New Roman"/>
        </w:rPr>
        <w:t>, Oxford.</w:t>
      </w:r>
    </w:p>
    <w:p w14:paraId="5002931E"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Kidd, S. E. 2014, </w:t>
      </w:r>
      <w:r w:rsidRPr="006F6F21">
        <w:rPr>
          <w:rFonts w:cs="Times New Roman"/>
          <w:i/>
        </w:rPr>
        <w:t>Nonsense and Meaning in Ancient Greek Comedy</w:t>
      </w:r>
      <w:r w:rsidRPr="006F6F21">
        <w:rPr>
          <w:rFonts w:cs="Times New Roman"/>
        </w:rPr>
        <w:t xml:space="preserve">, Cambridge. </w:t>
      </w:r>
    </w:p>
    <w:p w14:paraId="0DD2CF5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Kirk, G. S. 1990, </w:t>
      </w:r>
      <w:r w:rsidRPr="006F6F21">
        <w:rPr>
          <w:rFonts w:cs="Times New Roman"/>
          <w:i/>
        </w:rPr>
        <w:t xml:space="preserve">The Iliad: </w:t>
      </w:r>
      <w:r>
        <w:rPr>
          <w:rFonts w:cs="Times New Roman"/>
          <w:i/>
        </w:rPr>
        <w:t>A</w:t>
      </w:r>
      <w:r w:rsidRPr="006F6F21">
        <w:rPr>
          <w:rFonts w:cs="Times New Roman"/>
          <w:i/>
        </w:rPr>
        <w:t xml:space="preserve"> </w:t>
      </w:r>
      <w:r>
        <w:rPr>
          <w:rFonts w:cs="Times New Roman"/>
          <w:i/>
        </w:rPr>
        <w:t>C</w:t>
      </w:r>
      <w:r w:rsidRPr="006F6F21">
        <w:rPr>
          <w:rFonts w:cs="Times New Roman"/>
          <w:i/>
        </w:rPr>
        <w:t>ommentary</w:t>
      </w:r>
      <w:r w:rsidRPr="00AF6182">
        <w:rPr>
          <w:rFonts w:cs="Times New Roman"/>
        </w:rPr>
        <w:t>,</w:t>
      </w:r>
      <w:r>
        <w:rPr>
          <w:rFonts w:cs="Times New Roman"/>
        </w:rPr>
        <w:t xml:space="preserve"> vol. 2</w:t>
      </w:r>
      <w:r w:rsidRPr="005A2359">
        <w:rPr>
          <w:rFonts w:cs="Times New Roman"/>
        </w:rPr>
        <w:t>,</w:t>
      </w:r>
      <w:r w:rsidRPr="006F6F21">
        <w:rPr>
          <w:rFonts w:cs="Times New Roman"/>
        </w:rPr>
        <w:t xml:space="preserve"> Cambridge.</w:t>
      </w:r>
    </w:p>
    <w:p w14:paraId="6B686C6E" w14:textId="735D8637" w:rsidR="003B2A46" w:rsidRPr="007F1E99" w:rsidRDefault="003B2A46" w:rsidP="004819D9">
      <w:pPr>
        <w:autoSpaceDE w:val="0"/>
        <w:autoSpaceDN w:val="0"/>
        <w:adjustRightInd w:val="0"/>
        <w:spacing w:before="100" w:after="100" w:line="300" w:lineRule="exact"/>
        <w:ind w:left="567" w:hanging="567"/>
        <w:rPr>
          <w:rFonts w:cs="Times New Roman"/>
          <w:lang w:val="nl-NL"/>
        </w:rPr>
      </w:pPr>
      <w:r w:rsidRPr="007F1E99">
        <w:rPr>
          <w:rFonts w:cs="Times New Roman"/>
          <w:lang w:val="nl-NL"/>
        </w:rPr>
        <w:t xml:space="preserve">Klein, J. 1996, </w:t>
      </w:r>
      <w:r w:rsidR="00CC0615">
        <w:rPr>
          <w:rFonts w:cs="Times New Roman"/>
          <w:lang w:val="nl-NL"/>
        </w:rPr>
        <w:t>“</w:t>
      </w:r>
      <w:r w:rsidRPr="007F1E99">
        <w:rPr>
          <w:rFonts w:cs="Times New Roman"/>
          <w:i/>
          <w:iCs/>
          <w:lang w:val="nl-NL"/>
        </w:rPr>
        <w:t>Sá</w:t>
      </w:r>
      <w:r w:rsidRPr="007F1E99">
        <w:rPr>
          <w:rFonts w:cs="Times New Roman"/>
          <w:lang w:val="nl-NL"/>
        </w:rPr>
        <w:t>-</w:t>
      </w:r>
      <w:r w:rsidRPr="007F1E99">
        <w:rPr>
          <w:rFonts w:cs="Times New Roman"/>
          <w:i/>
          <w:iCs/>
          <w:lang w:val="nl-NL"/>
        </w:rPr>
        <w:t>figé</w:t>
      </w:r>
      <w:r w:rsidRPr="007F1E99">
        <w:rPr>
          <w:rFonts w:cs="Times New Roman"/>
          <w:lang w:val="nl-NL"/>
        </w:rPr>
        <w:t xml:space="preserve"> and Indo-European Deixis,</w:t>
      </w:r>
      <w:r w:rsidR="00CC0615">
        <w:rPr>
          <w:rFonts w:cs="Times New Roman"/>
          <w:lang w:val="nl-NL"/>
        </w:rPr>
        <w:t>”</w:t>
      </w:r>
      <w:r w:rsidRPr="007F1E99">
        <w:rPr>
          <w:rFonts w:cs="Times New Roman"/>
          <w:lang w:val="nl-NL"/>
        </w:rPr>
        <w:t xml:space="preserve"> </w:t>
      </w:r>
      <w:r w:rsidRPr="007F1E99">
        <w:rPr>
          <w:rFonts w:cs="Times New Roman"/>
          <w:i/>
          <w:iCs/>
          <w:lang w:val="nl-NL"/>
        </w:rPr>
        <w:t xml:space="preserve">Historische Sprachforschung </w:t>
      </w:r>
      <w:r w:rsidRPr="007F1E99">
        <w:rPr>
          <w:rFonts w:cs="Times New Roman"/>
          <w:lang w:val="nl-NL"/>
        </w:rPr>
        <w:t>109: 21-39.</w:t>
      </w:r>
    </w:p>
    <w:p w14:paraId="2014AA87" w14:textId="151F7D9E"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Kopytoff, I. 1986, </w:t>
      </w:r>
      <w:r w:rsidR="00CC0615">
        <w:rPr>
          <w:rFonts w:cs="Times New Roman"/>
        </w:rPr>
        <w:t>“</w:t>
      </w:r>
      <w:r w:rsidRPr="006F6F21">
        <w:rPr>
          <w:rFonts w:cs="Times New Roman"/>
        </w:rPr>
        <w:t xml:space="preserve">The </w:t>
      </w:r>
      <w:r>
        <w:rPr>
          <w:rFonts w:cs="Times New Roman"/>
        </w:rPr>
        <w:t>C</w:t>
      </w:r>
      <w:r w:rsidRPr="006F6F21">
        <w:rPr>
          <w:rFonts w:cs="Times New Roman"/>
        </w:rPr>
        <w:t xml:space="preserve">ultural </w:t>
      </w:r>
      <w:r>
        <w:rPr>
          <w:rFonts w:cs="Times New Roman"/>
        </w:rPr>
        <w:t>B</w:t>
      </w:r>
      <w:r w:rsidRPr="006F6F21">
        <w:rPr>
          <w:rFonts w:cs="Times New Roman"/>
        </w:rPr>
        <w:t xml:space="preserve">iography of </w:t>
      </w:r>
      <w:r>
        <w:rPr>
          <w:rFonts w:cs="Times New Roman"/>
        </w:rPr>
        <w:t>T</w:t>
      </w:r>
      <w:r w:rsidRPr="006F6F21">
        <w:rPr>
          <w:rFonts w:cs="Times New Roman"/>
        </w:rPr>
        <w:t xml:space="preserve">hings: </w:t>
      </w:r>
      <w:r>
        <w:rPr>
          <w:rFonts w:cs="Times New Roman"/>
        </w:rPr>
        <w:t>C</w:t>
      </w:r>
      <w:r w:rsidRPr="006F6F21">
        <w:rPr>
          <w:rFonts w:cs="Times New Roman"/>
        </w:rPr>
        <w:t xml:space="preserve">ommoditization as </w:t>
      </w:r>
      <w:r>
        <w:rPr>
          <w:rFonts w:cs="Times New Roman"/>
        </w:rPr>
        <w:t>P</w:t>
      </w:r>
      <w:r w:rsidRPr="006F6F21">
        <w:rPr>
          <w:rFonts w:cs="Times New Roman"/>
        </w:rPr>
        <w:t>rocess,</w:t>
      </w:r>
      <w:r w:rsidR="00CC0615">
        <w:rPr>
          <w:rFonts w:cs="Times New Roman"/>
        </w:rPr>
        <w:t>”</w:t>
      </w:r>
      <w:r w:rsidRPr="006F6F21">
        <w:rPr>
          <w:rFonts w:cs="Times New Roman"/>
        </w:rPr>
        <w:t xml:space="preserve"> in A. Appadurai (ed.), </w:t>
      </w:r>
      <w:r w:rsidRPr="006F6F21">
        <w:rPr>
          <w:rFonts w:cs="Times New Roman"/>
          <w:i/>
        </w:rPr>
        <w:t>The Social Life of Things: Commedities in Cultural Perspective</w:t>
      </w:r>
      <w:r w:rsidRPr="006F6F21">
        <w:rPr>
          <w:rFonts w:cs="Times New Roman"/>
        </w:rPr>
        <w:t>, New York: 64-91.</w:t>
      </w:r>
    </w:p>
    <w:p w14:paraId="53DECC8A" w14:textId="24A5C348" w:rsidR="003B2A46" w:rsidRPr="006F6F21" w:rsidRDefault="003B2A46" w:rsidP="004819D9">
      <w:pPr>
        <w:spacing w:before="100" w:after="100" w:line="300" w:lineRule="exact"/>
        <w:ind w:left="567" w:hanging="567"/>
        <w:rPr>
          <w:rFonts w:cs="Times New Roman"/>
        </w:rPr>
      </w:pPr>
      <w:r w:rsidRPr="006F6F21">
        <w:rPr>
          <w:rFonts w:cs="Times New Roman"/>
        </w:rPr>
        <w:t xml:space="preserve">Knox, P. E. 1985, </w:t>
      </w:r>
      <w:r w:rsidR="00CC0615">
        <w:rPr>
          <w:rFonts w:cs="Times New Roman"/>
        </w:rPr>
        <w:t>“</w:t>
      </w:r>
      <w:r w:rsidRPr="006F6F21">
        <w:rPr>
          <w:rFonts w:cs="Times New Roman"/>
        </w:rPr>
        <w:t xml:space="preserve">The Epilogue of the </w:t>
      </w:r>
      <w:r w:rsidRPr="006F6F21">
        <w:rPr>
          <w:rFonts w:cs="Times New Roman"/>
          <w:i/>
        </w:rPr>
        <w:t>Aetia</w:t>
      </w:r>
      <w:r w:rsidRPr="006F6F21">
        <w:rPr>
          <w:rFonts w:cs="Times New Roman"/>
        </w:rPr>
        <w:t>,</w:t>
      </w:r>
      <w:r w:rsidR="00CC0615">
        <w:rPr>
          <w:rFonts w:cs="Times New Roman"/>
        </w:rPr>
        <w:t>”</w:t>
      </w:r>
      <w:r w:rsidRPr="006F6F21">
        <w:rPr>
          <w:rFonts w:cs="Times New Roman"/>
        </w:rPr>
        <w:t xml:space="preserve"> </w:t>
      </w:r>
      <w:r>
        <w:rPr>
          <w:rFonts w:cs="Times New Roman"/>
          <w:i/>
        </w:rPr>
        <w:t>Greek, Roman, and Byzantine Studies</w:t>
      </w:r>
      <w:r w:rsidRPr="006F6F21">
        <w:rPr>
          <w:rFonts w:cs="Times New Roman"/>
        </w:rPr>
        <w:t xml:space="preserve"> 26: 59-65.</w:t>
      </w:r>
    </w:p>
    <w:p w14:paraId="2559BF9F" w14:textId="7A5D5B5F"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Kranz, W. 1961, </w:t>
      </w:r>
      <w:r w:rsidR="00CC0615">
        <w:rPr>
          <w:rFonts w:cs="Times New Roman"/>
          <w:lang w:val="nl-NL"/>
        </w:rPr>
        <w:t>“</w:t>
      </w:r>
      <w:r w:rsidRPr="007F1E99">
        <w:rPr>
          <w:rFonts w:cs="Times New Roman"/>
          <w:lang w:val="nl-NL"/>
        </w:rPr>
        <w:t>Sphragis: Ichform und Namensiegel als Eingangs- und Schluß-motiv antiker Dichtung,</w:t>
      </w:r>
      <w:r w:rsidR="00CC0615">
        <w:rPr>
          <w:rFonts w:cs="Times New Roman"/>
          <w:lang w:val="nl-NL"/>
        </w:rPr>
        <w:t>”</w:t>
      </w:r>
      <w:r w:rsidRPr="007F1E99">
        <w:rPr>
          <w:rFonts w:cs="Times New Roman"/>
          <w:lang w:val="nl-NL"/>
        </w:rPr>
        <w:t xml:space="preserve"> </w:t>
      </w:r>
      <w:r w:rsidRPr="007F1E99">
        <w:rPr>
          <w:rFonts w:cs="Times New Roman"/>
          <w:i/>
          <w:lang w:val="nl-NL"/>
        </w:rPr>
        <w:t>Rheinisches Museum</w:t>
      </w:r>
      <w:r w:rsidRPr="007F1E99">
        <w:rPr>
          <w:rFonts w:cs="Times New Roman"/>
          <w:lang w:val="nl-NL"/>
        </w:rPr>
        <w:t xml:space="preserve"> 104: 2-46; 97-124.</w:t>
      </w:r>
    </w:p>
    <w:p w14:paraId="7F190967"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Kristeva, J. 1980, </w:t>
      </w:r>
      <w:r w:rsidRPr="006F6F21">
        <w:rPr>
          <w:rFonts w:cs="Times New Roman"/>
          <w:i/>
          <w:iCs/>
          <w:color w:val="1C1C1C"/>
        </w:rPr>
        <w:t>Desire in Language: A Semiotic Approach to Literature and Art,</w:t>
      </w:r>
      <w:r w:rsidRPr="006F6F21">
        <w:rPr>
          <w:rFonts w:cs="Times New Roman"/>
          <w:color w:val="1C1C1C"/>
        </w:rPr>
        <w:t xml:space="preserve"> Oxford.</w:t>
      </w:r>
    </w:p>
    <w:p w14:paraId="7E8AC207" w14:textId="77777777" w:rsidR="003B2A46" w:rsidRPr="006F6F21" w:rsidRDefault="003B2A46" w:rsidP="004819D9">
      <w:pPr>
        <w:spacing w:before="100" w:after="100" w:line="300" w:lineRule="exact"/>
        <w:ind w:left="567" w:hanging="567"/>
        <w:rPr>
          <w:rFonts w:cs="Times New Roman"/>
        </w:rPr>
      </w:pPr>
      <w:r w:rsidRPr="007F1E99">
        <w:rPr>
          <w:rFonts w:cs="Times New Roman"/>
          <w:lang w:val="nl-NL"/>
        </w:rPr>
        <w:t xml:space="preserve">Kühner, R., and Gerth, B. 1898-1904, </w:t>
      </w:r>
      <w:r w:rsidRPr="007F1E99">
        <w:rPr>
          <w:rFonts w:cs="Times New Roman"/>
          <w:i/>
          <w:lang w:val="nl-NL"/>
        </w:rPr>
        <w:t xml:space="preserve">Ausführliche Grammatik der griechischen Sprache. </w:t>
      </w:r>
      <w:r w:rsidRPr="006F6F21">
        <w:rPr>
          <w:rFonts w:cs="Times New Roman"/>
          <w:i/>
        </w:rPr>
        <w:t>Zweiter Teil: Satzlehre</w:t>
      </w:r>
      <w:r>
        <w:rPr>
          <w:rFonts w:cs="Times New Roman"/>
        </w:rPr>
        <w:t xml:space="preserve"> (</w:t>
      </w:r>
      <w:r w:rsidRPr="006F6F21">
        <w:rPr>
          <w:rFonts w:cs="Times New Roman"/>
        </w:rPr>
        <w:t>2 vols.</w:t>
      </w:r>
      <w:r>
        <w:rPr>
          <w:rFonts w:cs="Times New Roman"/>
        </w:rPr>
        <w:t>)</w:t>
      </w:r>
      <w:r w:rsidRPr="006F6F21">
        <w:rPr>
          <w:rFonts w:cs="Times New Roman"/>
        </w:rPr>
        <w:t>, Hannover.</w:t>
      </w:r>
    </w:p>
    <w:p w14:paraId="2C429270"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Lambert, W. G. 1960, </w:t>
      </w:r>
      <w:r w:rsidRPr="006F6F21">
        <w:rPr>
          <w:rFonts w:cs="Times New Roman"/>
          <w:i/>
        </w:rPr>
        <w:t>Babylonian Wisdom Literature</w:t>
      </w:r>
      <w:r w:rsidRPr="006F6F21">
        <w:rPr>
          <w:rFonts w:cs="Times New Roman"/>
        </w:rPr>
        <w:t>, Oxford.</w:t>
      </w:r>
    </w:p>
    <w:p w14:paraId="10F88AF6" w14:textId="77777777" w:rsidR="003B2A46" w:rsidRDefault="003B2A46" w:rsidP="004819D9">
      <w:pPr>
        <w:autoSpaceDE w:val="0"/>
        <w:autoSpaceDN w:val="0"/>
        <w:adjustRightInd w:val="0"/>
        <w:spacing w:before="100" w:after="100" w:line="300" w:lineRule="exact"/>
        <w:ind w:left="567" w:hanging="567"/>
        <w:rPr>
          <w:rFonts w:cs="Times New Roman"/>
          <w:color w:val="1A1718"/>
        </w:rPr>
      </w:pPr>
      <w:r w:rsidRPr="006F6F21">
        <w:rPr>
          <w:rFonts w:cs="Times New Roman"/>
          <w:color w:val="1A1718"/>
        </w:rPr>
        <w:t xml:space="preserve">Lambrecht, K. 1994, </w:t>
      </w:r>
      <w:r w:rsidRPr="006F6F21">
        <w:rPr>
          <w:rFonts w:cs="Times New Roman"/>
          <w:i/>
          <w:color w:val="1A1718"/>
        </w:rPr>
        <w:t xml:space="preserve">Information </w:t>
      </w:r>
      <w:r>
        <w:rPr>
          <w:rFonts w:cs="Times New Roman"/>
          <w:i/>
          <w:color w:val="1A1718"/>
        </w:rPr>
        <w:t>S</w:t>
      </w:r>
      <w:r w:rsidRPr="006F6F21">
        <w:rPr>
          <w:rFonts w:cs="Times New Roman"/>
          <w:i/>
          <w:color w:val="1A1718"/>
        </w:rPr>
        <w:t xml:space="preserve">tructure and </w:t>
      </w:r>
      <w:r>
        <w:rPr>
          <w:rFonts w:cs="Times New Roman"/>
          <w:i/>
          <w:color w:val="1A1718"/>
        </w:rPr>
        <w:t>S</w:t>
      </w:r>
      <w:r w:rsidRPr="006F6F21">
        <w:rPr>
          <w:rFonts w:cs="Times New Roman"/>
          <w:i/>
          <w:color w:val="1A1718"/>
        </w:rPr>
        <w:t xml:space="preserve">entence </w:t>
      </w:r>
      <w:r>
        <w:rPr>
          <w:rFonts w:cs="Times New Roman"/>
          <w:i/>
          <w:color w:val="1A1718"/>
        </w:rPr>
        <w:t>F</w:t>
      </w:r>
      <w:r w:rsidRPr="006F6F21">
        <w:rPr>
          <w:rFonts w:cs="Times New Roman"/>
          <w:i/>
          <w:color w:val="1A1718"/>
        </w:rPr>
        <w:t xml:space="preserve">orm: </w:t>
      </w:r>
      <w:r>
        <w:rPr>
          <w:rFonts w:cs="Times New Roman"/>
          <w:i/>
          <w:color w:val="1A1718"/>
        </w:rPr>
        <w:t>T</w:t>
      </w:r>
      <w:r w:rsidRPr="006F6F21">
        <w:rPr>
          <w:rFonts w:cs="Times New Roman"/>
          <w:i/>
          <w:color w:val="1A1718"/>
        </w:rPr>
        <w:t xml:space="preserve">opic, </w:t>
      </w:r>
      <w:r>
        <w:rPr>
          <w:rFonts w:cs="Times New Roman"/>
          <w:i/>
          <w:color w:val="1A1718"/>
        </w:rPr>
        <w:t>F</w:t>
      </w:r>
      <w:r w:rsidRPr="006F6F21">
        <w:rPr>
          <w:rFonts w:cs="Times New Roman"/>
          <w:i/>
          <w:color w:val="1A1718"/>
        </w:rPr>
        <w:t>ocus, and the</w:t>
      </w:r>
      <w:r>
        <w:rPr>
          <w:rFonts w:cs="Times New Roman"/>
          <w:i/>
          <w:color w:val="1A1718"/>
        </w:rPr>
        <w:t xml:space="preserve"> M</w:t>
      </w:r>
      <w:r w:rsidRPr="006F6F21">
        <w:rPr>
          <w:rFonts w:cs="Times New Roman"/>
          <w:i/>
          <w:color w:val="1A1718"/>
        </w:rPr>
        <w:t xml:space="preserve">ental </w:t>
      </w:r>
      <w:r>
        <w:rPr>
          <w:rFonts w:cs="Times New Roman"/>
          <w:i/>
          <w:color w:val="1A1718"/>
        </w:rPr>
        <w:t>R</w:t>
      </w:r>
      <w:r w:rsidRPr="006F6F21">
        <w:rPr>
          <w:rFonts w:cs="Times New Roman"/>
          <w:i/>
          <w:color w:val="1A1718"/>
        </w:rPr>
        <w:t xml:space="preserve">epresentations of </w:t>
      </w:r>
      <w:r>
        <w:rPr>
          <w:rFonts w:cs="Times New Roman"/>
          <w:i/>
          <w:color w:val="1A1718"/>
        </w:rPr>
        <w:t>D</w:t>
      </w:r>
      <w:r w:rsidRPr="006F6F21">
        <w:rPr>
          <w:rFonts w:cs="Times New Roman"/>
          <w:i/>
          <w:color w:val="1A1718"/>
        </w:rPr>
        <w:t xml:space="preserve">iscourse </w:t>
      </w:r>
      <w:r>
        <w:rPr>
          <w:rFonts w:cs="Times New Roman"/>
          <w:i/>
          <w:color w:val="1A1718"/>
        </w:rPr>
        <w:t>R</w:t>
      </w:r>
      <w:r w:rsidRPr="006F6F21">
        <w:rPr>
          <w:rFonts w:cs="Times New Roman"/>
          <w:i/>
          <w:color w:val="1A1718"/>
        </w:rPr>
        <w:t>eferents</w:t>
      </w:r>
      <w:r w:rsidRPr="006F6F21">
        <w:rPr>
          <w:rFonts w:cs="Times New Roman"/>
          <w:color w:val="1A1718"/>
        </w:rPr>
        <w:t>, Cambridge - New York.</w:t>
      </w:r>
    </w:p>
    <w:p w14:paraId="29F7C2A8" w14:textId="6B2C4C1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Laroche, E. 1967, </w:t>
      </w:r>
      <w:r w:rsidR="00CC0615">
        <w:rPr>
          <w:rFonts w:cs="Times New Roman"/>
          <w:lang w:val="nl-NL"/>
        </w:rPr>
        <w:t>“</w:t>
      </w:r>
      <w:r w:rsidRPr="007F1E99">
        <w:rPr>
          <w:rFonts w:cs="Times New Roman"/>
          <w:lang w:val="nl-NL"/>
        </w:rPr>
        <w:t>Comparaison du louvite et du lycien,</w:t>
      </w:r>
      <w:r w:rsidR="00CC0615">
        <w:rPr>
          <w:rFonts w:cs="Times New Roman"/>
          <w:lang w:val="nl-NL"/>
        </w:rPr>
        <w:t>”</w:t>
      </w:r>
      <w:r w:rsidRPr="007F1E99">
        <w:rPr>
          <w:rFonts w:cs="Times New Roman"/>
          <w:lang w:val="nl-NL"/>
        </w:rPr>
        <w:t xml:space="preserve"> </w:t>
      </w:r>
      <w:r w:rsidRPr="007F1E99">
        <w:rPr>
          <w:rFonts w:cs="Times New Roman"/>
          <w:i/>
          <w:lang w:val="nl-NL"/>
        </w:rPr>
        <w:t>Bulletin de la Société de linguistique de Paris</w:t>
      </w:r>
      <w:r w:rsidRPr="007F1E99">
        <w:rPr>
          <w:rFonts w:cs="Times New Roman"/>
          <w:lang w:val="nl-NL"/>
        </w:rPr>
        <w:t xml:space="preserve"> 62: 46-66.</w:t>
      </w:r>
    </w:p>
    <w:p w14:paraId="20F35EDB" w14:textId="15C70490" w:rsidR="003B2A46" w:rsidRPr="002F1E35" w:rsidRDefault="003B2A46" w:rsidP="004819D9">
      <w:pPr>
        <w:spacing w:before="100" w:after="100" w:line="300" w:lineRule="exact"/>
        <w:ind w:left="567" w:hanging="567"/>
        <w:rPr>
          <w:rFonts w:cs="Times New Roman"/>
        </w:rPr>
      </w:pPr>
      <w:r w:rsidRPr="00A5072C">
        <w:rPr>
          <w:rFonts w:cs="Times New Roman"/>
        </w:rPr>
        <w:t>—</w:t>
      </w:r>
      <w:r>
        <w:rPr>
          <w:rFonts w:cs="Times New Roman"/>
        </w:rPr>
        <w:t xml:space="preserve"> 1980, </w:t>
      </w:r>
      <w:r w:rsidR="00CC0615">
        <w:rPr>
          <w:rFonts w:cs="Times New Roman"/>
        </w:rPr>
        <w:t>“</w:t>
      </w:r>
      <w:r>
        <w:rPr>
          <w:rFonts w:cs="Times New Roman"/>
        </w:rPr>
        <w:t>Les dieux de la Lycie classique d</w:t>
      </w:r>
      <w:r w:rsidR="00075F5F">
        <w:rPr>
          <w:rFonts w:cs="Times New Roman"/>
        </w:rPr>
        <w:t>’</w:t>
      </w:r>
      <w:r>
        <w:rPr>
          <w:rFonts w:cs="Times New Roman"/>
        </w:rPr>
        <w:t>après les textes lyciens,</w:t>
      </w:r>
      <w:r w:rsidR="00CC0615">
        <w:rPr>
          <w:rFonts w:cs="Times New Roman"/>
        </w:rPr>
        <w:t>”</w:t>
      </w:r>
      <w:r>
        <w:rPr>
          <w:rFonts w:cs="Times New Roman"/>
        </w:rPr>
        <w:t xml:space="preserve"> in </w:t>
      </w:r>
      <w:r w:rsidRPr="00A5072C">
        <w:rPr>
          <w:rFonts w:cs="Times New Roman"/>
          <w:i/>
        </w:rPr>
        <w:t>Actes du Colloque sur la Lycie Antique</w:t>
      </w:r>
      <w:r>
        <w:rPr>
          <w:rFonts w:cs="Times New Roman"/>
        </w:rPr>
        <w:t>, Paris: 1-6.</w:t>
      </w:r>
    </w:p>
    <w:p w14:paraId="338AB766" w14:textId="7DA4632B"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La Penna, A. 1964, </w:t>
      </w:r>
      <w:r w:rsidR="00CC0615">
        <w:rPr>
          <w:rFonts w:cs="Times New Roman"/>
        </w:rPr>
        <w:t>“</w:t>
      </w:r>
      <w:r w:rsidRPr="006F6F21">
        <w:rPr>
          <w:rFonts w:cs="Times New Roman"/>
        </w:rPr>
        <w:t>Letteratura esopica e letteratura assiro-babilonese,</w:t>
      </w:r>
      <w:r w:rsidR="00CC0615">
        <w:rPr>
          <w:rFonts w:cs="Times New Roman"/>
        </w:rPr>
        <w:t>”</w:t>
      </w:r>
      <w:r w:rsidRPr="006F6F21">
        <w:rPr>
          <w:rFonts w:cs="Times New Roman"/>
        </w:rPr>
        <w:t xml:space="preserve"> </w:t>
      </w:r>
      <w:r w:rsidRPr="006F6F21">
        <w:rPr>
          <w:rFonts w:cs="Times New Roman"/>
          <w:i/>
        </w:rPr>
        <w:t>R</w:t>
      </w:r>
      <w:r>
        <w:rPr>
          <w:rFonts w:cs="Times New Roman"/>
          <w:i/>
        </w:rPr>
        <w:t>ivista di filologia e istruzione classica</w:t>
      </w:r>
      <w:r w:rsidRPr="006F6F21">
        <w:rPr>
          <w:rFonts w:cs="Times New Roman"/>
        </w:rPr>
        <w:t xml:space="preserve"> 92: 24-39.</w:t>
      </w:r>
    </w:p>
    <w:p w14:paraId="6BAA949A" w14:textId="05529D15" w:rsidR="003B2A46" w:rsidRPr="006F6F21" w:rsidRDefault="003B2A46" w:rsidP="004819D9">
      <w:pPr>
        <w:spacing w:before="100" w:after="100" w:line="300" w:lineRule="exact"/>
        <w:ind w:left="567" w:hanging="567"/>
        <w:rPr>
          <w:rFonts w:cs="Times New Roman"/>
        </w:rPr>
      </w:pPr>
      <w:r w:rsidRPr="006F6F21">
        <w:rPr>
          <w:rFonts w:cs="Times New Roman"/>
        </w:rPr>
        <w:t xml:space="preserve">Lasserre, F. 1984, </w:t>
      </w:r>
      <w:r w:rsidR="00CC0615">
        <w:rPr>
          <w:rFonts w:cs="Times New Roman"/>
        </w:rPr>
        <w:t>“</w:t>
      </w:r>
      <w:r w:rsidRPr="006F6F21">
        <w:rPr>
          <w:rFonts w:cs="Times New Roman"/>
        </w:rPr>
        <w:t>La fable en Grèce dans la poésie archaïque,</w:t>
      </w:r>
      <w:r w:rsidR="00CC0615">
        <w:rPr>
          <w:rFonts w:cs="Times New Roman"/>
        </w:rPr>
        <w:t>”</w:t>
      </w:r>
      <w:r w:rsidRPr="006F6F21">
        <w:rPr>
          <w:rFonts w:cs="Times New Roman"/>
        </w:rPr>
        <w:t xml:space="preserve"> in F. R. Adrados and O. Reverdin (eds.), </w:t>
      </w:r>
      <w:r w:rsidRPr="006F6F21">
        <w:rPr>
          <w:rFonts w:cs="Times New Roman"/>
          <w:i/>
        </w:rPr>
        <w:t>La fable</w:t>
      </w:r>
      <w:r w:rsidRPr="006F6F21">
        <w:rPr>
          <w:rFonts w:cs="Times New Roman"/>
        </w:rPr>
        <w:t xml:space="preserve">, Vandœuvres </w:t>
      </w:r>
      <w:r>
        <w:rPr>
          <w:rFonts w:cs="Times New Roman"/>
        </w:rPr>
        <w:t>-</w:t>
      </w:r>
      <w:r w:rsidRPr="006F6F21">
        <w:rPr>
          <w:rFonts w:cs="Times New Roman"/>
        </w:rPr>
        <w:t xml:space="preserve"> Gen</w:t>
      </w:r>
      <w:r>
        <w:rPr>
          <w:rFonts w:cs="Times New Roman"/>
        </w:rPr>
        <w:t>eva</w:t>
      </w:r>
      <w:r w:rsidRPr="006F6F21">
        <w:rPr>
          <w:rFonts w:cs="Times New Roman"/>
        </w:rPr>
        <w:t>: 61-103.</w:t>
      </w:r>
    </w:p>
    <w:p w14:paraId="0A13BBE7" w14:textId="77777777" w:rsidR="003B2A46" w:rsidRPr="006F6F21" w:rsidRDefault="003B2A46" w:rsidP="004819D9">
      <w:pPr>
        <w:spacing w:before="100" w:after="100" w:line="300" w:lineRule="exact"/>
        <w:ind w:left="567" w:hanging="567"/>
        <w:rPr>
          <w:rFonts w:cs="Times New Roman"/>
        </w:rPr>
      </w:pPr>
      <w:r w:rsidRPr="006F6F21">
        <w:rPr>
          <w:rFonts w:eastAsia="MS Mincho" w:cs="Times New Roman"/>
        </w:rPr>
        <w:t xml:space="preserve">Lattimore, R. 1960, </w:t>
      </w:r>
      <w:r w:rsidRPr="006F6F21">
        <w:rPr>
          <w:rFonts w:eastAsia="MS Mincho" w:cs="Times New Roman"/>
          <w:i/>
        </w:rPr>
        <w:t xml:space="preserve">Greek Lyrics, </w:t>
      </w:r>
      <w:r w:rsidRPr="006F6F21">
        <w:rPr>
          <w:rFonts w:eastAsia="MS Mincho" w:cs="Times New Roman"/>
        </w:rPr>
        <w:t>Chicago.</w:t>
      </w:r>
    </w:p>
    <w:p w14:paraId="321C4C62" w14:textId="0B087C7E" w:rsidR="003B2A46" w:rsidRDefault="003B2A46" w:rsidP="004819D9">
      <w:pPr>
        <w:spacing w:before="100" w:after="100" w:line="300" w:lineRule="exact"/>
        <w:ind w:left="567" w:hanging="567"/>
        <w:rPr>
          <w:rFonts w:cs="Times New Roman"/>
        </w:rPr>
      </w:pPr>
      <w:r w:rsidRPr="006F6F21">
        <w:rPr>
          <w:rFonts w:cs="Times New Roman"/>
        </w:rPr>
        <w:t xml:space="preserve">Lavigne, D. 2016, </w:t>
      </w:r>
      <w:r w:rsidR="00CC0615">
        <w:rPr>
          <w:rFonts w:cs="Times New Roman"/>
        </w:rPr>
        <w:t>“</w:t>
      </w:r>
      <w:r w:rsidRPr="006F6F21">
        <w:rPr>
          <w:rFonts w:cs="Times New Roman"/>
        </w:rPr>
        <w:t>Archilochus and Homer in the Rhapsodic Context,</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74-98.</w:t>
      </w:r>
    </w:p>
    <w:p w14:paraId="02AB1FAD" w14:textId="76D54A4F" w:rsidR="003B2A46" w:rsidRDefault="003B2A46" w:rsidP="004819D9">
      <w:pPr>
        <w:spacing w:before="100" w:after="100" w:line="300" w:lineRule="exact"/>
        <w:ind w:left="567" w:hanging="567"/>
        <w:rPr>
          <w:rFonts w:cs="Times New Roman"/>
        </w:rPr>
      </w:pPr>
      <w:r>
        <w:rPr>
          <w:rFonts w:cs="Times New Roman"/>
        </w:rPr>
        <w:t xml:space="preserve">Lebrun, R. 1982, </w:t>
      </w:r>
      <w:r w:rsidR="00CC0615">
        <w:rPr>
          <w:rFonts w:cs="Times New Roman"/>
        </w:rPr>
        <w:t>“</w:t>
      </w:r>
      <w:r>
        <w:rPr>
          <w:rFonts w:cs="Times New Roman"/>
        </w:rPr>
        <w:t>Maliya, une divinité anatolienne mal connue,</w:t>
      </w:r>
      <w:r w:rsidR="00CC0615">
        <w:rPr>
          <w:rFonts w:cs="Times New Roman"/>
        </w:rPr>
        <w:t>”</w:t>
      </w:r>
      <w:r>
        <w:rPr>
          <w:rFonts w:cs="Times New Roman"/>
        </w:rPr>
        <w:t xml:space="preserve"> in S. Scheers (ed.), </w:t>
      </w:r>
      <w:r w:rsidRPr="00A5072C">
        <w:rPr>
          <w:rFonts w:cs="Times New Roman"/>
          <w:i/>
        </w:rPr>
        <w:t>Studia Paulo Naster Oblata</w:t>
      </w:r>
      <w:r>
        <w:rPr>
          <w:rFonts w:cs="Times New Roman"/>
        </w:rPr>
        <w:t xml:space="preserve"> (2 vols.), Leuven, 2: 123-130.</w:t>
      </w:r>
    </w:p>
    <w:p w14:paraId="79EADBAD" w14:textId="3A9E4F86" w:rsidR="003B2A46" w:rsidRPr="006F6F21" w:rsidRDefault="003B2A46" w:rsidP="004819D9">
      <w:pPr>
        <w:spacing w:before="100" w:after="100" w:line="300" w:lineRule="exact"/>
        <w:ind w:left="567" w:hanging="567"/>
        <w:rPr>
          <w:rFonts w:cs="Times New Roman"/>
        </w:rPr>
      </w:pPr>
      <w:r w:rsidRPr="00A5072C">
        <w:rPr>
          <w:rFonts w:cs="Times New Roman"/>
        </w:rPr>
        <w:t>—</w:t>
      </w:r>
      <w:r>
        <w:rPr>
          <w:rFonts w:cs="Times New Roman"/>
        </w:rPr>
        <w:t xml:space="preserve"> 1987, </w:t>
      </w:r>
      <w:r w:rsidR="00CC0615">
        <w:rPr>
          <w:rFonts w:cs="Times New Roman"/>
        </w:rPr>
        <w:t>“</w:t>
      </w:r>
      <w:r>
        <w:rPr>
          <w:rFonts w:cs="Times New Roman"/>
        </w:rPr>
        <w:t>Problèmes de religion anatolienne,</w:t>
      </w:r>
      <w:r w:rsidR="00CC0615">
        <w:rPr>
          <w:rFonts w:cs="Times New Roman"/>
        </w:rPr>
        <w:t>”</w:t>
      </w:r>
      <w:r>
        <w:rPr>
          <w:rFonts w:cs="Times New Roman"/>
        </w:rPr>
        <w:t xml:space="preserve"> </w:t>
      </w:r>
      <w:r w:rsidRPr="00A5072C">
        <w:rPr>
          <w:rFonts w:cs="Times New Roman"/>
          <w:i/>
        </w:rPr>
        <w:t>Hethitica</w:t>
      </w:r>
      <w:r>
        <w:rPr>
          <w:rFonts w:cs="Times New Roman"/>
        </w:rPr>
        <w:t xml:space="preserve"> 8: 241-262.</w:t>
      </w:r>
    </w:p>
    <w:p w14:paraId="41FA860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Leeman, A. D. 1963, </w:t>
      </w:r>
      <w:r w:rsidRPr="006F6F21">
        <w:rPr>
          <w:rFonts w:cs="Times New Roman"/>
          <w:i/>
        </w:rPr>
        <w:t>Orationis Ratio</w:t>
      </w:r>
      <w:r>
        <w:rPr>
          <w:rFonts w:cs="Times New Roman"/>
          <w:i/>
        </w:rPr>
        <w:t xml:space="preserve">: </w:t>
      </w:r>
      <w:r w:rsidRPr="006F6F21">
        <w:rPr>
          <w:rFonts w:cs="Times New Roman"/>
          <w:i/>
        </w:rPr>
        <w:t xml:space="preserve">The </w:t>
      </w:r>
      <w:r>
        <w:rPr>
          <w:rFonts w:cs="Times New Roman"/>
          <w:i/>
        </w:rPr>
        <w:t>S</w:t>
      </w:r>
      <w:r w:rsidRPr="006F6F21">
        <w:rPr>
          <w:rFonts w:cs="Times New Roman"/>
          <w:i/>
        </w:rPr>
        <w:t xml:space="preserve">tylistic </w:t>
      </w:r>
      <w:r>
        <w:rPr>
          <w:rFonts w:cs="Times New Roman"/>
          <w:i/>
        </w:rPr>
        <w:t>T</w:t>
      </w:r>
      <w:r w:rsidRPr="006F6F21">
        <w:rPr>
          <w:rFonts w:cs="Times New Roman"/>
          <w:i/>
        </w:rPr>
        <w:t xml:space="preserve">heories and </w:t>
      </w:r>
      <w:r>
        <w:rPr>
          <w:rFonts w:cs="Times New Roman"/>
          <w:i/>
        </w:rPr>
        <w:t>P</w:t>
      </w:r>
      <w:r w:rsidRPr="006F6F21">
        <w:rPr>
          <w:rFonts w:cs="Times New Roman"/>
          <w:i/>
        </w:rPr>
        <w:t xml:space="preserve">ractice of the Roman Orators, Historians, and Philosophers </w:t>
      </w:r>
      <w:r w:rsidRPr="00AF6182">
        <w:rPr>
          <w:rFonts w:cs="Times New Roman"/>
        </w:rPr>
        <w:t>(2 vols.)</w:t>
      </w:r>
      <w:r w:rsidRPr="00327199">
        <w:rPr>
          <w:rFonts w:cs="Times New Roman"/>
        </w:rPr>
        <w:t xml:space="preserve">, </w:t>
      </w:r>
      <w:r w:rsidRPr="006F6F21">
        <w:rPr>
          <w:rFonts w:cs="Times New Roman"/>
        </w:rPr>
        <w:t>Amsterdam.</w:t>
      </w:r>
    </w:p>
    <w:p w14:paraId="42F43646"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Lefkowitz, M. R. 1981, </w:t>
      </w:r>
      <w:r w:rsidRPr="006F6F21">
        <w:rPr>
          <w:rFonts w:cs="Times New Roman"/>
          <w:i/>
        </w:rPr>
        <w:t>The Lives of the Greek Poets</w:t>
      </w:r>
      <w:r w:rsidRPr="006F6F21">
        <w:rPr>
          <w:rFonts w:cs="Times New Roman"/>
        </w:rPr>
        <w:t>, London.</w:t>
      </w:r>
    </w:p>
    <w:p w14:paraId="2DD2E7B5" w14:textId="512273A4" w:rsidR="003B2A46" w:rsidRPr="006F6F21" w:rsidRDefault="003B2A46" w:rsidP="004819D9">
      <w:pPr>
        <w:spacing w:before="100" w:after="100" w:line="300" w:lineRule="exact"/>
        <w:ind w:left="567" w:hanging="567"/>
        <w:rPr>
          <w:rFonts w:cs="Times New Roman"/>
        </w:rPr>
      </w:pPr>
      <w:r w:rsidRPr="006F6F21">
        <w:rPr>
          <w:rFonts w:cs="Times New Roman"/>
        </w:rPr>
        <w:t xml:space="preserve">— 1991, </w:t>
      </w:r>
      <w:r w:rsidRPr="006F6F21">
        <w:rPr>
          <w:rFonts w:cs="Times New Roman"/>
          <w:i/>
        </w:rPr>
        <w:t>First-Person Fictions</w:t>
      </w:r>
      <w:r>
        <w:rPr>
          <w:rFonts w:cs="Times New Roman"/>
          <w:i/>
        </w:rPr>
        <w:t xml:space="preserve">: </w:t>
      </w:r>
      <w:r w:rsidRPr="006F6F21">
        <w:rPr>
          <w:rFonts w:cs="Times New Roman"/>
          <w:i/>
        </w:rPr>
        <w:t>Pindar</w:t>
      </w:r>
      <w:r w:rsidR="00075F5F">
        <w:rPr>
          <w:rFonts w:cs="Times New Roman"/>
          <w:i/>
        </w:rPr>
        <w:t>’</w:t>
      </w:r>
      <w:r w:rsidRPr="006F6F21">
        <w:rPr>
          <w:rFonts w:cs="Times New Roman"/>
          <w:i/>
        </w:rPr>
        <w:t xml:space="preserve">s Poetic </w:t>
      </w:r>
      <w:r w:rsidR="00CC0615">
        <w:rPr>
          <w:rFonts w:cs="Times New Roman"/>
          <w:i/>
        </w:rPr>
        <w:t>“</w:t>
      </w:r>
      <w:r w:rsidRPr="006F6F21">
        <w:rPr>
          <w:rFonts w:cs="Times New Roman"/>
          <w:i/>
        </w:rPr>
        <w:t>I</w:t>
      </w:r>
      <w:r>
        <w:rPr>
          <w:rFonts w:cs="Times New Roman"/>
        </w:rPr>
        <w:t>,</w:t>
      </w:r>
      <w:r w:rsidR="00CC0615">
        <w:rPr>
          <w:rFonts w:cs="Times New Roman"/>
          <w:i/>
        </w:rPr>
        <w:t>”</w:t>
      </w:r>
      <w:r w:rsidRPr="006F6F21">
        <w:rPr>
          <w:rFonts w:cs="Times New Roman"/>
        </w:rPr>
        <w:t xml:space="preserve"> Oxford.</w:t>
      </w:r>
    </w:p>
    <w:p w14:paraId="0F0FE126"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Lehmann, W. P. 1993, </w:t>
      </w:r>
      <w:r w:rsidRPr="006F6F21">
        <w:rPr>
          <w:rFonts w:cs="Times New Roman"/>
          <w:i/>
        </w:rPr>
        <w:t>Theoretical Bases of Indo-European Linguistics</w:t>
      </w:r>
      <w:r w:rsidRPr="006F6F21">
        <w:rPr>
          <w:rFonts w:cs="Times New Roman"/>
        </w:rPr>
        <w:t>, London.</w:t>
      </w:r>
    </w:p>
    <w:p w14:paraId="6F3D32D6" w14:textId="5D2F6376" w:rsidR="003B2A46" w:rsidRPr="006F6F21" w:rsidRDefault="003B2A46" w:rsidP="004819D9">
      <w:pPr>
        <w:spacing w:before="100" w:after="100" w:line="300" w:lineRule="exact"/>
        <w:ind w:left="567" w:hanging="567"/>
        <w:rPr>
          <w:rFonts w:cs="Times New Roman"/>
        </w:rPr>
      </w:pPr>
      <w:r w:rsidRPr="006F6F21">
        <w:rPr>
          <w:rFonts w:cs="Times New Roman"/>
        </w:rPr>
        <w:t xml:space="preserve">Lehnus, L. 1993, </w:t>
      </w:r>
      <w:r w:rsidR="00CC0615">
        <w:rPr>
          <w:rFonts w:cs="Times New Roman"/>
        </w:rPr>
        <w:t>“</w:t>
      </w:r>
      <w:r w:rsidRPr="006F6F21">
        <w:rPr>
          <w:rFonts w:cs="Times New Roman"/>
        </w:rPr>
        <w:t xml:space="preserve">Callimaco tra la </w:t>
      </w:r>
      <w:r w:rsidRPr="006F6F21">
        <w:rPr>
          <w:rFonts w:cs="Times New Roman"/>
          <w:i/>
        </w:rPr>
        <w:t>polis</w:t>
      </w:r>
      <w:r w:rsidRPr="006F6F21">
        <w:rPr>
          <w:rFonts w:cs="Times New Roman"/>
        </w:rPr>
        <w:t xml:space="preserve"> e il regno,</w:t>
      </w:r>
      <w:r w:rsidR="00CC0615">
        <w:rPr>
          <w:rFonts w:cs="Times New Roman"/>
        </w:rPr>
        <w:t>”</w:t>
      </w:r>
      <w:r w:rsidRPr="006F6F21">
        <w:rPr>
          <w:rFonts w:cs="Times New Roman"/>
        </w:rPr>
        <w:t xml:space="preserve"> in G. Cambiano, L. Canfora, and D. Lanza (eds.), </w:t>
      </w:r>
      <w:r w:rsidRPr="006F6F21">
        <w:rPr>
          <w:rFonts w:cs="Times New Roman"/>
          <w:i/>
        </w:rPr>
        <w:t>Lo spazio letterario della Grecia antica I: La produzione e la circolazione del testo</w:t>
      </w:r>
      <w:r>
        <w:rPr>
          <w:rFonts w:cs="Times New Roman"/>
          <w:i/>
        </w:rPr>
        <w:t xml:space="preserve">; </w:t>
      </w:r>
      <w:r w:rsidRPr="006F6F21">
        <w:rPr>
          <w:rFonts w:cs="Times New Roman"/>
          <w:i/>
        </w:rPr>
        <w:t>ii: L</w:t>
      </w:r>
      <w:r w:rsidR="00075F5F">
        <w:rPr>
          <w:rFonts w:cs="Times New Roman"/>
          <w:i/>
        </w:rPr>
        <w:t>’</w:t>
      </w:r>
      <w:r w:rsidRPr="006F6F21">
        <w:rPr>
          <w:rFonts w:cs="Times New Roman"/>
          <w:i/>
        </w:rPr>
        <w:t>Ellenismo</w:t>
      </w:r>
      <w:r w:rsidRPr="006F6F21">
        <w:rPr>
          <w:rFonts w:cs="Times New Roman"/>
        </w:rPr>
        <w:t>, Rom</w:t>
      </w:r>
      <w:r>
        <w:rPr>
          <w:rFonts w:cs="Times New Roman"/>
        </w:rPr>
        <w:t>e</w:t>
      </w:r>
      <w:r w:rsidRPr="006F6F21">
        <w:rPr>
          <w:rFonts w:cs="Times New Roman"/>
        </w:rPr>
        <w:t>: 75-105.</w:t>
      </w:r>
    </w:p>
    <w:p w14:paraId="19D43940"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Levinson, S. 1983, </w:t>
      </w:r>
      <w:r w:rsidRPr="006F6F21">
        <w:rPr>
          <w:rFonts w:cs="Times New Roman"/>
          <w:i/>
          <w:iCs/>
        </w:rPr>
        <w:t>Pragmatics</w:t>
      </w:r>
      <w:r w:rsidRPr="006F6F21">
        <w:rPr>
          <w:rFonts w:cs="Times New Roman"/>
        </w:rPr>
        <w:t>, Cambridge.</w:t>
      </w:r>
    </w:p>
    <w:p w14:paraId="7DA50950"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Lichtheim, M. 1980, </w:t>
      </w:r>
      <w:r w:rsidRPr="006F6F21">
        <w:rPr>
          <w:rFonts w:cs="Times New Roman"/>
          <w:i/>
        </w:rPr>
        <w:t>Ancient Egyptian Literature</w:t>
      </w:r>
      <w:r w:rsidRPr="006F6F21">
        <w:rPr>
          <w:rFonts w:cs="Times New Roman"/>
        </w:rPr>
        <w:t>, vol. 3</w:t>
      </w:r>
      <w:r>
        <w:rPr>
          <w:rFonts w:cs="Times New Roman"/>
        </w:rPr>
        <w:t xml:space="preserve">: </w:t>
      </w:r>
      <w:r w:rsidRPr="006F6F21">
        <w:rPr>
          <w:rFonts w:cs="Times New Roman"/>
          <w:i/>
        </w:rPr>
        <w:t xml:space="preserve">The Late </w:t>
      </w:r>
      <w:r w:rsidRPr="009E105A">
        <w:rPr>
          <w:rFonts w:cs="Times New Roman"/>
          <w:i/>
        </w:rPr>
        <w:t>Per</w:t>
      </w:r>
      <w:r w:rsidRPr="00AF6182">
        <w:rPr>
          <w:rFonts w:cs="Times New Roman"/>
          <w:i/>
        </w:rPr>
        <w:t>iod</w:t>
      </w:r>
      <w:r w:rsidRPr="006F6F21">
        <w:rPr>
          <w:rFonts w:cs="Times New Roman"/>
        </w:rPr>
        <w:t>, Berkeley - Los Angeles.</w:t>
      </w:r>
    </w:p>
    <w:p w14:paraId="3F6343B0" w14:textId="77777777" w:rsidR="003B2A46" w:rsidRPr="006F6F21" w:rsidRDefault="003B2A46" w:rsidP="004819D9">
      <w:pPr>
        <w:spacing w:before="100" w:after="100" w:line="300" w:lineRule="exact"/>
        <w:ind w:left="567" w:hanging="567"/>
        <w:rPr>
          <w:rFonts w:cs="Times New Roman"/>
        </w:rPr>
      </w:pPr>
      <w:r w:rsidRPr="006F6F21">
        <w:rPr>
          <w:rFonts w:cs="Times New Roman"/>
        </w:rPr>
        <w:t>Lieber, R.</w:t>
      </w:r>
      <w:r>
        <w:rPr>
          <w:rFonts w:cs="Times New Roman"/>
        </w:rPr>
        <w:t xml:space="preserve">, </w:t>
      </w:r>
      <w:r w:rsidRPr="006F6F21">
        <w:rPr>
          <w:rFonts w:cs="Times New Roman"/>
        </w:rPr>
        <w:t xml:space="preserve">and Štekauer, P. </w:t>
      </w:r>
      <w:r>
        <w:rPr>
          <w:rFonts w:cs="Times New Roman"/>
        </w:rPr>
        <w:t xml:space="preserve">(eds.) </w:t>
      </w:r>
      <w:r w:rsidRPr="006F6F21">
        <w:rPr>
          <w:rFonts w:cs="Times New Roman"/>
        </w:rPr>
        <w:t>2009</w:t>
      </w:r>
      <w:r>
        <w:rPr>
          <w:rFonts w:cs="Times New Roman"/>
        </w:rPr>
        <w:t>a</w:t>
      </w:r>
      <w:r w:rsidRPr="006F6F21">
        <w:rPr>
          <w:rFonts w:cs="Times New Roman"/>
        </w:rPr>
        <w:t xml:space="preserve">, </w:t>
      </w:r>
      <w:r w:rsidRPr="006F6F21">
        <w:rPr>
          <w:rFonts w:cs="Times New Roman"/>
          <w:i/>
        </w:rPr>
        <w:t>The Oxford Handbook of Compounding</w:t>
      </w:r>
      <w:r w:rsidRPr="006F6F21">
        <w:rPr>
          <w:rFonts w:cs="Times New Roman"/>
        </w:rPr>
        <w:t>, New York</w:t>
      </w:r>
      <w:r>
        <w:rPr>
          <w:rFonts w:cs="Times New Roman"/>
        </w:rPr>
        <w:t>.</w:t>
      </w:r>
    </w:p>
    <w:p w14:paraId="5E289A11" w14:textId="51DFE8E2" w:rsidR="003B2A46" w:rsidRPr="006F6F21" w:rsidRDefault="003B2A46" w:rsidP="004819D9">
      <w:pPr>
        <w:spacing w:before="100" w:after="100" w:line="300" w:lineRule="exact"/>
        <w:ind w:left="567" w:hanging="567"/>
        <w:rPr>
          <w:rFonts w:cs="Times New Roman"/>
        </w:rPr>
      </w:pPr>
      <w:r w:rsidRPr="006F6F21">
        <w:rPr>
          <w:rFonts w:cs="Times New Roman"/>
        </w:rPr>
        <w:t>— 2009</w:t>
      </w:r>
      <w:r>
        <w:rPr>
          <w:rFonts w:cs="Times New Roman"/>
        </w:rPr>
        <w:t>b</w:t>
      </w:r>
      <w:r w:rsidRPr="006F6F21">
        <w:rPr>
          <w:rFonts w:cs="Times New Roman"/>
        </w:rPr>
        <w:t xml:space="preserve">, </w:t>
      </w:r>
      <w:r w:rsidR="00CC0615">
        <w:rPr>
          <w:rFonts w:cs="Times New Roman"/>
        </w:rPr>
        <w:t>“</w:t>
      </w:r>
      <w:r w:rsidRPr="006F6F21">
        <w:rPr>
          <w:rFonts w:cs="Times New Roman"/>
        </w:rPr>
        <w:t xml:space="preserve">Introduction: </w:t>
      </w:r>
      <w:r>
        <w:rPr>
          <w:rFonts w:cs="Times New Roman"/>
        </w:rPr>
        <w:t>S</w:t>
      </w:r>
      <w:r w:rsidRPr="006F6F21">
        <w:rPr>
          <w:rFonts w:cs="Times New Roman"/>
        </w:rPr>
        <w:t xml:space="preserve">tatus and </w:t>
      </w:r>
      <w:r>
        <w:rPr>
          <w:rFonts w:cs="Times New Roman"/>
        </w:rPr>
        <w:t>D</w:t>
      </w:r>
      <w:r w:rsidRPr="006F6F21">
        <w:rPr>
          <w:rFonts w:cs="Times New Roman"/>
        </w:rPr>
        <w:t xml:space="preserve">efinition of </w:t>
      </w:r>
      <w:r>
        <w:rPr>
          <w:rFonts w:cs="Times New Roman"/>
        </w:rPr>
        <w:t>C</w:t>
      </w:r>
      <w:r w:rsidRPr="006F6F21">
        <w:rPr>
          <w:rFonts w:cs="Times New Roman"/>
        </w:rPr>
        <w:t>ompounding,</w:t>
      </w:r>
      <w:r w:rsidR="00CC0615">
        <w:rPr>
          <w:rFonts w:cs="Times New Roman"/>
        </w:rPr>
        <w:t>”</w:t>
      </w:r>
      <w:r w:rsidRPr="006F6F21">
        <w:rPr>
          <w:rFonts w:cs="Times New Roman"/>
        </w:rPr>
        <w:t xml:space="preserve"> in R. Lieber and P. Štekauer (eds.), </w:t>
      </w:r>
      <w:r w:rsidRPr="006F6F21">
        <w:rPr>
          <w:rFonts w:cs="Times New Roman"/>
          <w:i/>
        </w:rPr>
        <w:t>The Oxford Handbook of Compounding</w:t>
      </w:r>
      <w:r w:rsidRPr="006F6F21">
        <w:rPr>
          <w:rFonts w:cs="Times New Roman"/>
        </w:rPr>
        <w:t>, New York: 3-18.</w:t>
      </w:r>
    </w:p>
    <w:p w14:paraId="56AB63ED" w14:textId="6857868D"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Lipski, J. M. 1978, </w:t>
      </w:r>
      <w:r w:rsidR="00CC0615">
        <w:rPr>
          <w:rFonts w:cs="Times New Roman"/>
        </w:rPr>
        <w:t>“</w:t>
      </w:r>
      <w:r w:rsidRPr="006F6F21">
        <w:rPr>
          <w:rFonts w:cs="Times New Roman"/>
        </w:rPr>
        <w:t>Code-</w:t>
      </w:r>
      <w:r>
        <w:rPr>
          <w:rFonts w:cs="Times New Roman"/>
        </w:rPr>
        <w:t>S</w:t>
      </w:r>
      <w:r w:rsidRPr="006F6F21">
        <w:rPr>
          <w:rFonts w:cs="Times New Roman"/>
        </w:rPr>
        <w:t xml:space="preserve">witching and the </w:t>
      </w:r>
      <w:r>
        <w:rPr>
          <w:rFonts w:cs="Times New Roman"/>
        </w:rPr>
        <w:t>P</w:t>
      </w:r>
      <w:r w:rsidRPr="006F6F21">
        <w:rPr>
          <w:rFonts w:cs="Times New Roman"/>
        </w:rPr>
        <w:t xml:space="preserve">roblem of </w:t>
      </w:r>
      <w:r>
        <w:rPr>
          <w:rFonts w:cs="Times New Roman"/>
        </w:rPr>
        <w:t>B</w:t>
      </w:r>
      <w:r w:rsidRPr="006F6F21">
        <w:rPr>
          <w:rFonts w:cs="Times New Roman"/>
        </w:rPr>
        <w:t xml:space="preserve">ilingual </w:t>
      </w:r>
      <w:r>
        <w:rPr>
          <w:rFonts w:cs="Times New Roman"/>
        </w:rPr>
        <w:t>C</w:t>
      </w:r>
      <w:r w:rsidRPr="006F6F21">
        <w:rPr>
          <w:rFonts w:cs="Times New Roman"/>
        </w:rPr>
        <w:t>ompetence,</w:t>
      </w:r>
      <w:r w:rsidR="00CC0615">
        <w:rPr>
          <w:rFonts w:cs="Times New Roman"/>
        </w:rPr>
        <w:t>”</w:t>
      </w:r>
      <w:r w:rsidRPr="006F6F21">
        <w:rPr>
          <w:rFonts w:cs="Times New Roman"/>
        </w:rPr>
        <w:t xml:space="preserve"> in M. Paradis (ed.), </w:t>
      </w:r>
      <w:r w:rsidRPr="006F6F21">
        <w:rPr>
          <w:rFonts w:cs="Times New Roman"/>
          <w:i/>
        </w:rPr>
        <w:t>Aspects of Bilingualism</w:t>
      </w:r>
      <w:r w:rsidRPr="006F6F21">
        <w:rPr>
          <w:rFonts w:cs="Times New Roman"/>
        </w:rPr>
        <w:t xml:space="preserve">, </w:t>
      </w:r>
      <w:r>
        <w:rPr>
          <w:rFonts w:cs="Times New Roman"/>
        </w:rPr>
        <w:t>Columbia (SC)</w:t>
      </w:r>
      <w:r w:rsidRPr="006F6F21">
        <w:rPr>
          <w:rFonts w:cs="Times New Roman"/>
        </w:rPr>
        <w:t>: 250-260.</w:t>
      </w:r>
    </w:p>
    <w:p w14:paraId="08256E91" w14:textId="53946572"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1982, </w:t>
      </w:r>
      <w:r w:rsidR="00CC0615">
        <w:rPr>
          <w:rFonts w:cs="Times New Roman"/>
        </w:rPr>
        <w:t>“</w:t>
      </w:r>
      <w:r w:rsidRPr="006F6F21">
        <w:rPr>
          <w:rFonts w:cs="Times New Roman"/>
        </w:rPr>
        <w:t xml:space="preserve">Spanish-English </w:t>
      </w:r>
      <w:r>
        <w:rPr>
          <w:rFonts w:cs="Times New Roman"/>
        </w:rPr>
        <w:t>L</w:t>
      </w:r>
      <w:r w:rsidRPr="006F6F21">
        <w:rPr>
          <w:rFonts w:cs="Times New Roman"/>
        </w:rPr>
        <w:t xml:space="preserve">anguage </w:t>
      </w:r>
      <w:r>
        <w:rPr>
          <w:rFonts w:cs="Times New Roman"/>
        </w:rPr>
        <w:t>S</w:t>
      </w:r>
      <w:r w:rsidRPr="006F6F21">
        <w:rPr>
          <w:rFonts w:cs="Times New Roman"/>
        </w:rPr>
        <w:t xml:space="preserve">witching in </w:t>
      </w:r>
      <w:r>
        <w:rPr>
          <w:rFonts w:cs="Times New Roman"/>
        </w:rPr>
        <w:t>S</w:t>
      </w:r>
      <w:r w:rsidRPr="006F6F21">
        <w:rPr>
          <w:rFonts w:cs="Times New Roman"/>
        </w:rPr>
        <w:t xml:space="preserve">peech and </w:t>
      </w:r>
      <w:r>
        <w:rPr>
          <w:rFonts w:cs="Times New Roman"/>
        </w:rPr>
        <w:t>L</w:t>
      </w:r>
      <w:r w:rsidRPr="006F6F21">
        <w:rPr>
          <w:rFonts w:cs="Times New Roman"/>
        </w:rPr>
        <w:t xml:space="preserve">iterature: Theories and </w:t>
      </w:r>
      <w:r>
        <w:rPr>
          <w:rFonts w:cs="Times New Roman"/>
        </w:rPr>
        <w:t>M</w:t>
      </w:r>
      <w:r w:rsidRPr="006F6F21">
        <w:rPr>
          <w:rFonts w:cs="Times New Roman"/>
        </w:rPr>
        <w:t>odels,</w:t>
      </w:r>
      <w:r w:rsidR="00CC0615">
        <w:rPr>
          <w:rFonts w:cs="Times New Roman"/>
        </w:rPr>
        <w:t>”</w:t>
      </w:r>
      <w:r w:rsidRPr="006F6F21">
        <w:rPr>
          <w:rFonts w:cs="Times New Roman"/>
        </w:rPr>
        <w:t xml:space="preserve"> </w:t>
      </w:r>
      <w:r w:rsidRPr="006F6F21">
        <w:rPr>
          <w:rFonts w:cs="Times New Roman"/>
          <w:i/>
        </w:rPr>
        <w:t>The Bilingual Review</w:t>
      </w:r>
      <w:r w:rsidRPr="006F6F21">
        <w:rPr>
          <w:rFonts w:cs="Times New Roman"/>
        </w:rPr>
        <w:t xml:space="preserve"> 3: 191-212.</w:t>
      </w:r>
    </w:p>
    <w:p w14:paraId="1F0F60A2" w14:textId="77777777" w:rsidR="003B2A46" w:rsidRPr="006F6F21" w:rsidRDefault="003B2A46" w:rsidP="004819D9">
      <w:pPr>
        <w:spacing w:before="100" w:after="100" w:line="300" w:lineRule="exact"/>
        <w:ind w:left="567" w:hanging="567"/>
        <w:rPr>
          <w:rFonts w:eastAsia="MS Mincho" w:cs="Times New Roman"/>
        </w:rPr>
      </w:pPr>
      <w:r w:rsidRPr="006F6F21">
        <w:rPr>
          <w:rFonts w:eastAsia="MS Mincho" w:cs="Times New Roman"/>
        </w:rPr>
        <w:t xml:space="preserve">Lloyd-Jones, H. 1975, </w:t>
      </w:r>
      <w:r w:rsidRPr="006F6F21">
        <w:rPr>
          <w:rFonts w:eastAsia="MS Mincho" w:cs="Times New Roman"/>
          <w:i/>
        </w:rPr>
        <w:t>Females of the Species: Semonides on Women</w:t>
      </w:r>
      <w:r w:rsidRPr="006F6F21">
        <w:rPr>
          <w:rFonts w:eastAsia="MS Mincho" w:cs="Times New Roman"/>
        </w:rPr>
        <w:t>,</w:t>
      </w:r>
      <w:r w:rsidRPr="006F6F21">
        <w:rPr>
          <w:rFonts w:eastAsia="MS Mincho" w:cs="Times New Roman"/>
          <w:i/>
        </w:rPr>
        <w:t xml:space="preserve"> </w:t>
      </w:r>
      <w:r w:rsidRPr="006F6F21">
        <w:rPr>
          <w:rFonts w:eastAsia="MS Mincho" w:cs="Times New Roman"/>
        </w:rPr>
        <w:t xml:space="preserve">Park Ridge. </w:t>
      </w:r>
    </w:p>
    <w:p w14:paraId="2BFAE3EB" w14:textId="77777777" w:rsidR="003B2A46" w:rsidRPr="006F6F21" w:rsidRDefault="003B2A46" w:rsidP="004819D9">
      <w:pPr>
        <w:spacing w:before="100" w:after="100" w:line="300" w:lineRule="exact"/>
        <w:ind w:left="567" w:hanging="567"/>
        <w:rPr>
          <w:rFonts w:cs="Times New Roman"/>
        </w:rPr>
      </w:pPr>
      <w:r w:rsidRPr="006F6F21">
        <w:rPr>
          <w:rFonts w:eastAsia="Calibri" w:cs="Times New Roman"/>
        </w:rPr>
        <w:t>Lloyd-Jones</w:t>
      </w:r>
      <w:r w:rsidRPr="006F6F21">
        <w:rPr>
          <w:rFonts w:cs="Times New Roman"/>
        </w:rPr>
        <w:t>, H.</w:t>
      </w:r>
      <w:r>
        <w:rPr>
          <w:rFonts w:eastAsia="Calibri" w:cs="Times New Roman"/>
        </w:rPr>
        <w:t xml:space="preserve">, </w:t>
      </w:r>
      <w:r w:rsidRPr="006F6F21">
        <w:rPr>
          <w:rFonts w:eastAsia="Calibri" w:cs="Times New Roman"/>
        </w:rPr>
        <w:t xml:space="preserve">and Parsons, P. </w:t>
      </w:r>
      <w:r>
        <w:rPr>
          <w:rFonts w:eastAsia="Calibri" w:cs="Times New Roman"/>
        </w:rPr>
        <w:t xml:space="preserve">(eds.) </w:t>
      </w:r>
      <w:r w:rsidRPr="006F6F21">
        <w:rPr>
          <w:rFonts w:cs="Times New Roman"/>
        </w:rPr>
        <w:t>1983,</w:t>
      </w:r>
      <w:r w:rsidRPr="006F6F21">
        <w:rPr>
          <w:rFonts w:eastAsia="Calibri" w:cs="Times New Roman"/>
        </w:rPr>
        <w:t xml:space="preserve"> </w:t>
      </w:r>
      <w:r w:rsidRPr="006F6F21">
        <w:rPr>
          <w:rFonts w:eastAsia="Calibri" w:cs="Times New Roman"/>
          <w:i/>
          <w:iCs/>
        </w:rPr>
        <w:t>Supplementum Hellenisticum</w:t>
      </w:r>
      <w:r w:rsidRPr="006F6F21">
        <w:rPr>
          <w:rFonts w:cs="Times New Roman"/>
        </w:rPr>
        <w:t>, Berlin - New York.</w:t>
      </w:r>
    </w:p>
    <w:p w14:paraId="530689A2"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Long, A. A.</w:t>
      </w:r>
      <w:r>
        <w:rPr>
          <w:rFonts w:cs="Times New Roman"/>
        </w:rPr>
        <w:t>, 1968</w:t>
      </w:r>
      <w:r w:rsidRPr="006F6F21">
        <w:rPr>
          <w:rFonts w:cs="Times New Roman"/>
        </w:rPr>
        <w:t xml:space="preserve">, </w:t>
      </w:r>
      <w:r w:rsidRPr="006F6F21">
        <w:rPr>
          <w:rFonts w:cs="Times New Roman"/>
          <w:i/>
        </w:rPr>
        <w:t xml:space="preserve">Language and </w:t>
      </w:r>
      <w:r>
        <w:rPr>
          <w:rFonts w:cs="Times New Roman"/>
          <w:i/>
        </w:rPr>
        <w:t>T</w:t>
      </w:r>
      <w:r w:rsidRPr="006F6F21">
        <w:rPr>
          <w:rFonts w:cs="Times New Roman"/>
          <w:i/>
        </w:rPr>
        <w:t>hought in Sophocles</w:t>
      </w:r>
      <w:r>
        <w:rPr>
          <w:rFonts w:cs="Times New Roman"/>
          <w:i/>
        </w:rPr>
        <w:t xml:space="preserve">: </w:t>
      </w:r>
      <w:r w:rsidRPr="006F6F21">
        <w:rPr>
          <w:rFonts w:cs="Times New Roman"/>
          <w:i/>
        </w:rPr>
        <w:t xml:space="preserve">A study of </w:t>
      </w:r>
      <w:r>
        <w:rPr>
          <w:rFonts w:cs="Times New Roman"/>
          <w:i/>
        </w:rPr>
        <w:t>A</w:t>
      </w:r>
      <w:r w:rsidRPr="006F6F21">
        <w:rPr>
          <w:rFonts w:cs="Times New Roman"/>
          <w:i/>
        </w:rPr>
        <w:t xml:space="preserve">bstract </w:t>
      </w:r>
      <w:r>
        <w:rPr>
          <w:rFonts w:cs="Times New Roman"/>
          <w:i/>
        </w:rPr>
        <w:t>N</w:t>
      </w:r>
      <w:r w:rsidRPr="006F6F21">
        <w:rPr>
          <w:rFonts w:cs="Times New Roman"/>
          <w:i/>
        </w:rPr>
        <w:t xml:space="preserve">ouns and </w:t>
      </w:r>
      <w:r>
        <w:rPr>
          <w:rFonts w:cs="Times New Roman"/>
          <w:i/>
        </w:rPr>
        <w:t>P</w:t>
      </w:r>
      <w:r w:rsidRPr="006F6F21">
        <w:rPr>
          <w:rFonts w:cs="Times New Roman"/>
          <w:i/>
        </w:rPr>
        <w:t xml:space="preserve">oetic </w:t>
      </w:r>
      <w:r>
        <w:rPr>
          <w:rFonts w:cs="Times New Roman"/>
          <w:i/>
        </w:rPr>
        <w:t>T</w:t>
      </w:r>
      <w:r w:rsidRPr="006F6F21">
        <w:rPr>
          <w:rFonts w:cs="Times New Roman"/>
          <w:i/>
        </w:rPr>
        <w:t>echnique</w:t>
      </w:r>
      <w:r w:rsidRPr="006F6F21">
        <w:rPr>
          <w:rFonts w:cs="Times New Roman"/>
        </w:rPr>
        <w:t>, London.</w:t>
      </w:r>
    </w:p>
    <w:p w14:paraId="3CDAEED5"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Lowe, N. J. 2008, </w:t>
      </w:r>
      <w:r w:rsidRPr="006F6F21">
        <w:rPr>
          <w:rFonts w:cs="Times New Roman"/>
          <w:i/>
        </w:rPr>
        <w:t>Comedy</w:t>
      </w:r>
      <w:r w:rsidRPr="00AF6182">
        <w:rPr>
          <w:rFonts w:cs="Times New Roman"/>
        </w:rPr>
        <w:t>,</w:t>
      </w:r>
      <w:r w:rsidRPr="009E105A">
        <w:rPr>
          <w:rFonts w:cs="Times New Roman"/>
        </w:rPr>
        <w:t xml:space="preserve"> </w:t>
      </w:r>
      <w:r w:rsidRPr="006F6F21">
        <w:rPr>
          <w:rFonts w:cs="Times New Roman"/>
        </w:rPr>
        <w:t>Cambridge - New York.</w:t>
      </w:r>
    </w:p>
    <w:p w14:paraId="36093932" w14:textId="0F41943F"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Lukinovich, A. 1990, </w:t>
      </w:r>
      <w:r w:rsidR="00CC0615">
        <w:rPr>
          <w:rFonts w:cs="Times New Roman"/>
        </w:rPr>
        <w:t>“</w:t>
      </w:r>
      <w:r w:rsidRPr="006F6F21">
        <w:rPr>
          <w:rFonts w:cs="Times New Roman"/>
        </w:rPr>
        <w:t xml:space="preserve">The Play of Reflections between Literary Form and the Sympotic Theme in the </w:t>
      </w:r>
      <w:r w:rsidRPr="006F6F21">
        <w:rPr>
          <w:rFonts w:cs="Times New Roman"/>
          <w:i/>
        </w:rPr>
        <w:t>Deipnosophistae</w:t>
      </w:r>
      <w:r w:rsidRPr="006F6F21">
        <w:rPr>
          <w:rFonts w:cs="Times New Roman"/>
        </w:rPr>
        <w:t xml:space="preserve"> of Athenaeus,</w:t>
      </w:r>
      <w:r w:rsidR="00CC0615">
        <w:rPr>
          <w:rFonts w:cs="Times New Roman"/>
        </w:rPr>
        <w:t>”</w:t>
      </w:r>
      <w:r w:rsidRPr="006F6F21">
        <w:rPr>
          <w:rFonts w:cs="Times New Roman"/>
        </w:rPr>
        <w:t xml:space="preserve"> in O. Murray (ed.), </w:t>
      </w:r>
      <w:r w:rsidRPr="006F6F21">
        <w:rPr>
          <w:rFonts w:cs="Times New Roman"/>
          <w:i/>
        </w:rPr>
        <w:t>Sympotica: A Symposium on the Symposion</w:t>
      </w:r>
      <w:r w:rsidRPr="006F6F21">
        <w:rPr>
          <w:rFonts w:cs="Times New Roman"/>
        </w:rPr>
        <w:t>, Oxford: 263-271.</w:t>
      </w:r>
    </w:p>
    <w:p w14:paraId="1AE40883" w14:textId="7DCA2F17" w:rsidR="003B2A46" w:rsidRPr="007F1E99" w:rsidRDefault="003B2A46" w:rsidP="004819D9">
      <w:pPr>
        <w:tabs>
          <w:tab w:val="left" w:pos="7080"/>
        </w:tabs>
        <w:spacing w:before="100" w:after="100" w:line="300" w:lineRule="exact"/>
        <w:ind w:left="567" w:hanging="567"/>
        <w:rPr>
          <w:rFonts w:cs="Times New Roman"/>
          <w:lang w:val="nl-NL"/>
        </w:rPr>
      </w:pPr>
      <w:r w:rsidRPr="007F1E99">
        <w:rPr>
          <w:rFonts w:cs="Times New Roman"/>
          <w:lang w:val="nl-NL"/>
        </w:rPr>
        <w:t xml:space="preserve">Luppe, W. 1995, </w:t>
      </w:r>
      <w:r w:rsidR="00CC0615">
        <w:rPr>
          <w:rFonts w:cs="Times New Roman"/>
          <w:lang w:val="nl-NL"/>
        </w:rPr>
        <w:t>“</w:t>
      </w:r>
      <w:r w:rsidRPr="007F1E99">
        <w:rPr>
          <w:rFonts w:cs="Times New Roman"/>
          <w:lang w:val="nl-NL"/>
        </w:rPr>
        <w:t>Der geile Esel bei Archilochos,</w:t>
      </w:r>
      <w:r w:rsidR="00CC0615">
        <w:rPr>
          <w:rFonts w:cs="Times New Roman"/>
          <w:lang w:val="nl-NL"/>
        </w:rPr>
        <w:t>”</w:t>
      </w:r>
      <w:r w:rsidRPr="007F1E99">
        <w:rPr>
          <w:rFonts w:cs="Times New Roman"/>
          <w:lang w:val="nl-NL"/>
        </w:rPr>
        <w:t xml:space="preserve"> </w:t>
      </w:r>
      <w:r w:rsidRPr="007F1E99">
        <w:rPr>
          <w:rFonts w:cs="Times New Roman"/>
          <w:i/>
          <w:lang w:val="nl-NL"/>
        </w:rPr>
        <w:t>Hermes</w:t>
      </w:r>
      <w:r w:rsidRPr="007F1E99">
        <w:rPr>
          <w:rFonts w:cs="Times New Roman"/>
          <w:lang w:val="nl-NL"/>
        </w:rPr>
        <w:t xml:space="preserve"> 123: 247-249.</w:t>
      </w:r>
    </w:p>
    <w:p w14:paraId="392738CC"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lastRenderedPageBreak/>
        <w:t xml:space="preserve">Luraghi, S. 2003, </w:t>
      </w:r>
      <w:r w:rsidRPr="006F6F21">
        <w:rPr>
          <w:rFonts w:cs="Times New Roman"/>
          <w:i/>
        </w:rPr>
        <w:t>On the Meaning of Prepositions and Cases: The Expression of Semantic Roles in Ancient Greek</w:t>
      </w:r>
      <w:r w:rsidRPr="006F6F21">
        <w:rPr>
          <w:rFonts w:cs="Times New Roman"/>
        </w:rPr>
        <w:t>, Amsterdam - Philadelphia.</w:t>
      </w:r>
    </w:p>
    <w:p w14:paraId="30BAAE38" w14:textId="242B284A"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Luzzatto, M. J. 1985, </w:t>
      </w:r>
      <w:r w:rsidR="00CC0615">
        <w:rPr>
          <w:rFonts w:cs="Times New Roman"/>
        </w:rPr>
        <w:t>“</w:t>
      </w:r>
      <w:r w:rsidRPr="006F6F21">
        <w:rPr>
          <w:rFonts w:cs="Times New Roman"/>
        </w:rPr>
        <w:t>Fra poesia e retorica: la clausola del coliambo di Babrio,</w:t>
      </w:r>
      <w:r w:rsidR="00CC0615">
        <w:rPr>
          <w:rFonts w:cs="Times New Roman"/>
        </w:rPr>
        <w:t>”</w:t>
      </w:r>
      <w:r w:rsidRPr="006F6F21">
        <w:rPr>
          <w:rFonts w:cs="Times New Roman"/>
        </w:rPr>
        <w:t xml:space="preserve"> </w:t>
      </w:r>
      <w:r w:rsidRPr="006F6F21">
        <w:rPr>
          <w:rFonts w:cs="Times New Roman"/>
          <w:i/>
        </w:rPr>
        <w:t>Q</w:t>
      </w:r>
      <w:r>
        <w:rPr>
          <w:rFonts w:cs="Times New Roman"/>
          <w:i/>
        </w:rPr>
        <w:t>uaderni urbinati di cultura classica</w:t>
      </w:r>
      <w:r w:rsidRPr="006F6F21">
        <w:rPr>
          <w:rFonts w:cs="Times New Roman"/>
        </w:rPr>
        <w:t xml:space="preserve"> 19: 97-127.</w:t>
      </w:r>
    </w:p>
    <w:p w14:paraId="04BA7875"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Luzzatto M. J., and La Penna</w:t>
      </w:r>
      <w:r>
        <w:rPr>
          <w:rFonts w:cs="Times New Roman"/>
        </w:rPr>
        <w:t>, A.</w:t>
      </w:r>
      <w:r w:rsidRPr="006F6F21">
        <w:rPr>
          <w:rFonts w:cs="Times New Roman"/>
        </w:rPr>
        <w:t xml:space="preserve"> (eds.) 1998, </w:t>
      </w:r>
      <w:r w:rsidRPr="006F6F21">
        <w:rPr>
          <w:rFonts w:cs="Times New Roman"/>
          <w:i/>
        </w:rPr>
        <w:t>Babrius</w:t>
      </w:r>
      <w:r>
        <w:rPr>
          <w:rFonts w:cs="Times New Roman"/>
          <w:i/>
        </w:rPr>
        <w:t xml:space="preserve">, </w:t>
      </w:r>
      <w:r w:rsidRPr="006F6F21">
        <w:rPr>
          <w:rFonts w:cs="Times New Roman"/>
          <w:i/>
        </w:rPr>
        <w:t>Mythiambi Aesopei</w:t>
      </w:r>
      <w:r w:rsidRPr="006F6F21">
        <w:rPr>
          <w:rFonts w:cs="Times New Roman"/>
        </w:rPr>
        <w:t>, Berlin.</w:t>
      </w:r>
    </w:p>
    <w:p w14:paraId="00ABD961" w14:textId="77777777" w:rsidR="003B2A46"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Lyons, J. 1977, </w:t>
      </w:r>
      <w:r w:rsidRPr="006F6F21">
        <w:rPr>
          <w:rFonts w:cs="Times New Roman"/>
          <w:i/>
          <w:iCs/>
        </w:rPr>
        <w:t>Semantics</w:t>
      </w:r>
      <w:r>
        <w:rPr>
          <w:rFonts w:cs="Times New Roman"/>
        </w:rPr>
        <w:t>, v</w:t>
      </w:r>
      <w:r w:rsidRPr="006F6F21">
        <w:rPr>
          <w:rFonts w:cs="Times New Roman"/>
        </w:rPr>
        <w:t>ol. 2, Cambridge.</w:t>
      </w:r>
    </w:p>
    <w:p w14:paraId="5BBF0C8B" w14:textId="77777777" w:rsidR="003B2A46" w:rsidRDefault="003B2A46" w:rsidP="004819D9">
      <w:pPr>
        <w:autoSpaceDE w:val="0"/>
        <w:autoSpaceDN w:val="0"/>
        <w:adjustRightInd w:val="0"/>
        <w:spacing w:before="100" w:after="100" w:line="300" w:lineRule="exact"/>
        <w:ind w:left="567" w:hanging="567"/>
        <w:rPr>
          <w:rFonts w:cs="Times New Roman"/>
          <w:lang w:val="nl-NL"/>
        </w:rPr>
      </w:pPr>
      <w:r w:rsidRPr="007F1E99">
        <w:rPr>
          <w:rFonts w:cs="Times New Roman"/>
          <w:lang w:val="nl-NL"/>
        </w:rPr>
        <w:t xml:space="preserve">Maas, P. 1962, </w:t>
      </w:r>
      <w:r w:rsidRPr="007F1E99">
        <w:rPr>
          <w:rFonts w:cs="Times New Roman"/>
          <w:i/>
          <w:lang w:val="nl-NL"/>
        </w:rPr>
        <w:t>Greek Metre</w:t>
      </w:r>
      <w:r w:rsidRPr="007F1E99">
        <w:rPr>
          <w:rFonts w:cs="Times New Roman"/>
          <w:lang w:val="nl-NL"/>
        </w:rPr>
        <w:t>, Oxford.</w:t>
      </w:r>
    </w:p>
    <w:p w14:paraId="51578297" w14:textId="0C8FFF9B" w:rsidR="00D07FB8" w:rsidRPr="00227EE7" w:rsidRDefault="00D07FB8" w:rsidP="004819D9">
      <w:pPr>
        <w:autoSpaceDE w:val="0"/>
        <w:autoSpaceDN w:val="0"/>
        <w:adjustRightInd w:val="0"/>
        <w:spacing w:before="100" w:after="100" w:line="300" w:lineRule="exact"/>
        <w:ind w:left="567" w:hanging="567"/>
        <w:rPr>
          <w:rFonts w:cs="Times New Roman"/>
          <w:lang w:val="en-US"/>
        </w:rPr>
      </w:pPr>
      <w:r w:rsidRPr="00227EE7">
        <w:rPr>
          <w:rFonts w:cs="Times New Roman"/>
          <w:lang w:val="en-US"/>
        </w:rPr>
        <w:t>Maiden</w:t>
      </w:r>
      <w:r w:rsidR="00EC1111" w:rsidRPr="00227EE7">
        <w:rPr>
          <w:rFonts w:cs="Times New Roman"/>
          <w:lang w:val="en-US"/>
        </w:rPr>
        <w:t xml:space="preserve">, M. 2009, </w:t>
      </w:r>
      <w:r w:rsidR="00CC0615" w:rsidRPr="00227EE7">
        <w:rPr>
          <w:rFonts w:cs="Times New Roman"/>
          <w:lang w:val="en-US"/>
        </w:rPr>
        <w:t>“</w:t>
      </w:r>
      <w:r w:rsidR="00893EE4" w:rsidRPr="00227EE7">
        <w:rPr>
          <w:rFonts w:cs="Times New Roman"/>
          <w:lang w:val="en-US"/>
        </w:rPr>
        <w:t>Where does Heteroclisis come f</w:t>
      </w:r>
      <w:r w:rsidR="00EC1111" w:rsidRPr="00227EE7">
        <w:rPr>
          <w:rFonts w:cs="Times New Roman"/>
          <w:lang w:val="en-US"/>
        </w:rPr>
        <w:t>rom</w:t>
      </w:r>
      <w:r w:rsidR="00893EE4" w:rsidRPr="00227EE7">
        <w:rPr>
          <w:rFonts w:cs="Times New Roman"/>
          <w:lang w:val="en-US"/>
        </w:rPr>
        <w:t>? Evidence from Romanian Dialects,</w:t>
      </w:r>
      <w:r w:rsidR="00CC0615" w:rsidRPr="00227EE7">
        <w:rPr>
          <w:rFonts w:cs="Times New Roman"/>
          <w:lang w:val="en-US"/>
        </w:rPr>
        <w:t>”</w:t>
      </w:r>
      <w:r w:rsidR="00893EE4" w:rsidRPr="00227EE7">
        <w:rPr>
          <w:rFonts w:cs="Times New Roman"/>
          <w:lang w:val="en-US"/>
        </w:rPr>
        <w:t xml:space="preserve"> </w:t>
      </w:r>
      <w:r w:rsidR="00893EE4" w:rsidRPr="00227EE7">
        <w:rPr>
          <w:rFonts w:cs="Times New Roman"/>
          <w:i/>
          <w:lang w:val="en-US"/>
        </w:rPr>
        <w:t>Morphology</w:t>
      </w:r>
      <w:r w:rsidR="00893EE4" w:rsidRPr="00227EE7">
        <w:rPr>
          <w:rFonts w:cs="Times New Roman"/>
          <w:lang w:val="en-US"/>
        </w:rPr>
        <w:t xml:space="preserve"> 19.1: 59-86.</w:t>
      </w:r>
    </w:p>
    <w:p w14:paraId="4B511414" w14:textId="721A0085"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Manetti, G. 1998, </w:t>
      </w:r>
      <w:r w:rsidRPr="006F6F21">
        <w:rPr>
          <w:rFonts w:cs="Times New Roman"/>
          <w:i/>
          <w:iCs/>
          <w:color w:val="1C1C1C"/>
        </w:rPr>
        <w:t>La teoria dell</w:t>
      </w:r>
      <w:r w:rsidR="00075F5F">
        <w:rPr>
          <w:rFonts w:cs="Times New Roman"/>
          <w:i/>
          <w:iCs/>
          <w:color w:val="1C1C1C"/>
        </w:rPr>
        <w:t>’</w:t>
      </w:r>
      <w:r w:rsidRPr="006F6F21">
        <w:rPr>
          <w:rFonts w:cs="Times New Roman"/>
          <w:i/>
          <w:iCs/>
          <w:color w:val="1C1C1C"/>
        </w:rPr>
        <w:t>enunciazione</w:t>
      </w:r>
      <w:r>
        <w:rPr>
          <w:rFonts w:cs="Times New Roman"/>
          <w:i/>
          <w:iCs/>
          <w:color w:val="1C1C1C"/>
        </w:rPr>
        <w:t xml:space="preserve">: </w:t>
      </w:r>
      <w:r w:rsidRPr="006F6F21">
        <w:rPr>
          <w:rFonts w:cs="Times New Roman"/>
          <w:i/>
          <w:iCs/>
          <w:color w:val="1C1C1C"/>
        </w:rPr>
        <w:t>Le origini del concetto e alcuni più recenti sviluppi</w:t>
      </w:r>
      <w:r w:rsidRPr="006F6F21">
        <w:rPr>
          <w:rFonts w:cs="Times New Roman"/>
          <w:color w:val="1C1C1C"/>
        </w:rPr>
        <w:t>, Siena.</w:t>
      </w:r>
    </w:p>
    <w:p w14:paraId="007C119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Mangoni, C. 1993, </w:t>
      </w:r>
      <w:r>
        <w:rPr>
          <w:rFonts w:cs="Times New Roman"/>
          <w:i/>
        </w:rPr>
        <w:t>Filodemo D</w:t>
      </w:r>
      <w:r w:rsidRPr="006F6F21">
        <w:rPr>
          <w:rFonts w:cs="Times New Roman"/>
          <w:i/>
        </w:rPr>
        <w:t>e Poematis, Liber 5</w:t>
      </w:r>
      <w:r w:rsidRPr="006F6F21">
        <w:rPr>
          <w:rFonts w:cs="Times New Roman"/>
        </w:rPr>
        <w:t xml:space="preserve">, </w:t>
      </w:r>
      <w:r>
        <w:rPr>
          <w:rFonts w:cs="Times New Roman"/>
        </w:rPr>
        <w:t>Naples</w:t>
      </w:r>
      <w:r w:rsidRPr="006F6F21">
        <w:rPr>
          <w:rFonts w:cs="Times New Roman"/>
        </w:rPr>
        <w:t>.</w:t>
      </w:r>
    </w:p>
    <w:p w14:paraId="32BABA66" w14:textId="219BB8A7" w:rsidR="003B2A46" w:rsidRPr="006F6F21" w:rsidRDefault="003B2A46" w:rsidP="004819D9">
      <w:pPr>
        <w:spacing w:before="100" w:after="100" w:line="300" w:lineRule="exact"/>
        <w:ind w:left="567" w:hanging="567"/>
        <w:rPr>
          <w:rFonts w:cs="Times New Roman"/>
        </w:rPr>
      </w:pPr>
      <w:r w:rsidRPr="006F6F21">
        <w:rPr>
          <w:rFonts w:cs="Times New Roman"/>
        </w:rPr>
        <w:t xml:space="preserve">Manieri, A. 1998, </w:t>
      </w:r>
      <w:r w:rsidRPr="006F6F21">
        <w:rPr>
          <w:rFonts w:cs="Times New Roman"/>
          <w:i/>
        </w:rPr>
        <w:t>L</w:t>
      </w:r>
      <w:r w:rsidR="00075F5F">
        <w:rPr>
          <w:rFonts w:cs="Times New Roman"/>
          <w:i/>
        </w:rPr>
        <w:t>’</w:t>
      </w:r>
      <w:r w:rsidRPr="006F6F21">
        <w:rPr>
          <w:rFonts w:cs="Times New Roman"/>
          <w:i/>
        </w:rPr>
        <w:t>immagine poetica nella teoria degli antichi</w:t>
      </w:r>
      <w:r w:rsidRPr="00E7095C">
        <w:rPr>
          <w:rFonts w:cs="Times New Roman"/>
          <w:i/>
        </w:rPr>
        <w:t xml:space="preserve">: </w:t>
      </w:r>
      <w:r w:rsidRPr="006B7426">
        <w:rPr>
          <w:rFonts w:cs="Times New Roman"/>
          <w:i/>
        </w:rPr>
        <w:t>phantasia</w:t>
      </w:r>
      <w:r w:rsidRPr="00E7095C">
        <w:rPr>
          <w:rFonts w:cs="Times New Roman"/>
          <w:i/>
        </w:rPr>
        <w:t xml:space="preserve"> ed </w:t>
      </w:r>
      <w:r w:rsidRPr="006B7426">
        <w:rPr>
          <w:rFonts w:cs="Times New Roman"/>
          <w:i/>
        </w:rPr>
        <w:t>enargeia</w:t>
      </w:r>
      <w:r w:rsidRPr="006F6F21">
        <w:rPr>
          <w:rFonts w:cs="Times New Roman"/>
        </w:rPr>
        <w:t>, Pisa - Rom</w:t>
      </w:r>
      <w:r>
        <w:rPr>
          <w:rFonts w:cs="Times New Roman"/>
        </w:rPr>
        <w:t>e</w:t>
      </w:r>
      <w:r w:rsidRPr="006F6F21">
        <w:rPr>
          <w:rFonts w:cs="Times New Roman"/>
        </w:rPr>
        <w:t>.</w:t>
      </w:r>
    </w:p>
    <w:p w14:paraId="408DA2EA"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Massimilla, G. 1996, </w:t>
      </w:r>
      <w:r>
        <w:rPr>
          <w:rFonts w:cs="Times New Roman"/>
          <w:i/>
        </w:rPr>
        <w:t>Callimaco, A</w:t>
      </w:r>
      <w:r w:rsidRPr="006F6F21">
        <w:rPr>
          <w:rFonts w:cs="Times New Roman"/>
          <w:i/>
        </w:rPr>
        <w:t>itia</w:t>
      </w:r>
      <w:r>
        <w:rPr>
          <w:rFonts w:cs="Times New Roman"/>
          <w:i/>
        </w:rPr>
        <w:t xml:space="preserve">: </w:t>
      </w:r>
      <w:r w:rsidRPr="006F6F21">
        <w:rPr>
          <w:rFonts w:cs="Times New Roman"/>
          <w:i/>
        </w:rPr>
        <w:t>Libro primo e secondo</w:t>
      </w:r>
      <w:r w:rsidRPr="006F6F21">
        <w:rPr>
          <w:rFonts w:cs="Times New Roman"/>
        </w:rPr>
        <w:t>, Pisa.</w:t>
      </w:r>
    </w:p>
    <w:p w14:paraId="14AFB168" w14:textId="77777777" w:rsidR="003B2A46" w:rsidRDefault="003B2A46" w:rsidP="004819D9">
      <w:pPr>
        <w:spacing w:before="100" w:after="100" w:line="300" w:lineRule="exact"/>
        <w:ind w:left="567" w:hanging="567"/>
        <w:rPr>
          <w:rFonts w:cs="Times New Roman"/>
        </w:rPr>
      </w:pPr>
      <w:r w:rsidRPr="006F6F21">
        <w:rPr>
          <w:rFonts w:cs="Times New Roman"/>
        </w:rPr>
        <w:t>Masson, O. 1962</w:t>
      </w:r>
      <w:r>
        <w:rPr>
          <w:rFonts w:cs="Times New Roman"/>
        </w:rPr>
        <w:t>a</w:t>
      </w:r>
      <w:r w:rsidRPr="006F6F21">
        <w:rPr>
          <w:rFonts w:cs="Times New Roman"/>
        </w:rPr>
        <w:t xml:space="preserve">, </w:t>
      </w:r>
      <w:r w:rsidRPr="006F6F21">
        <w:rPr>
          <w:rFonts w:cs="Times New Roman"/>
          <w:i/>
        </w:rPr>
        <w:t>Les Fragments du poète Hipponax</w:t>
      </w:r>
      <w:r w:rsidRPr="006F6F21">
        <w:rPr>
          <w:rFonts w:cs="Times New Roman"/>
        </w:rPr>
        <w:t>, Paris.</w:t>
      </w:r>
    </w:p>
    <w:p w14:paraId="33359C07" w14:textId="70DD2880" w:rsidR="003B2A46" w:rsidRPr="007F1E99" w:rsidRDefault="003B2A46" w:rsidP="004819D9">
      <w:pPr>
        <w:spacing w:before="100" w:after="100" w:line="300" w:lineRule="exact"/>
        <w:ind w:left="567" w:hanging="567"/>
        <w:rPr>
          <w:rFonts w:cs="Times New Roman"/>
          <w:lang w:val="nl-NL"/>
        </w:rPr>
      </w:pPr>
      <w:r w:rsidRPr="001743E3">
        <w:rPr>
          <w:rFonts w:cs="Times New Roman"/>
        </w:rPr>
        <w:t>—</w:t>
      </w:r>
      <w:r>
        <w:rPr>
          <w:rFonts w:cs="Times New Roman"/>
        </w:rPr>
        <w:t xml:space="preserve"> 1962b, </w:t>
      </w:r>
      <w:r w:rsidR="00CC0615">
        <w:rPr>
          <w:rFonts w:cs="Times New Roman"/>
        </w:rPr>
        <w:t>“</w:t>
      </w:r>
      <w:r>
        <w:rPr>
          <w:rFonts w:cs="Times New Roman"/>
        </w:rPr>
        <w:t>Recherches sur le vocabulaire d</w:t>
      </w:r>
      <w:r w:rsidR="00075F5F">
        <w:rPr>
          <w:rFonts w:cs="Times New Roman"/>
        </w:rPr>
        <w:t>’</w:t>
      </w:r>
      <w:r>
        <w:rPr>
          <w:rFonts w:cs="Times New Roman"/>
        </w:rPr>
        <w:t xml:space="preserve">Hipponax, 1. </w:t>
      </w:r>
      <w:r w:rsidRPr="007F1E99">
        <w:rPr>
          <w:rFonts w:cs="Times New Roman"/>
          <w:lang w:val="nl-NL"/>
        </w:rPr>
        <w:t>Un mot d</w:t>
      </w:r>
      <w:r w:rsidR="00075F5F">
        <w:rPr>
          <w:rFonts w:cs="Times New Roman"/>
          <w:lang w:val="nl-NL"/>
        </w:rPr>
        <w:t>’</w:t>
      </w:r>
      <w:r w:rsidRPr="007F1E99">
        <w:rPr>
          <w:rFonts w:cs="Times New Roman"/>
          <w:lang w:val="nl-NL"/>
        </w:rPr>
        <w:t xml:space="preserve">origine égyptienne, </w:t>
      </w:r>
      <w:r>
        <w:rPr>
          <w:rFonts w:cs="Times New Roman"/>
          <w:lang w:val="el-GR"/>
        </w:rPr>
        <w:t>ἔρπις</w:t>
      </w:r>
      <w:r w:rsidRPr="007F1E99">
        <w:rPr>
          <w:rFonts w:cs="Times New Roman"/>
          <w:lang w:val="nl-NL"/>
        </w:rPr>
        <w:t>,</w:t>
      </w:r>
      <w:r w:rsidR="00CC0615">
        <w:rPr>
          <w:rFonts w:cs="Times New Roman"/>
          <w:lang w:val="nl-NL"/>
        </w:rPr>
        <w:t>”</w:t>
      </w:r>
      <w:r w:rsidRPr="007F1E99">
        <w:rPr>
          <w:rFonts w:cs="Times New Roman"/>
          <w:lang w:val="nl-NL"/>
        </w:rPr>
        <w:t xml:space="preserve"> </w:t>
      </w:r>
      <w:r w:rsidRPr="007F1E99">
        <w:rPr>
          <w:rFonts w:cs="Times New Roman"/>
          <w:i/>
          <w:lang w:val="nl-NL"/>
        </w:rPr>
        <w:t>Revue de philologie, de littérature et d</w:t>
      </w:r>
      <w:r w:rsidR="00075F5F">
        <w:rPr>
          <w:rFonts w:cs="Times New Roman"/>
          <w:i/>
          <w:lang w:val="nl-NL"/>
        </w:rPr>
        <w:t>’</w:t>
      </w:r>
      <w:r w:rsidRPr="007F1E99">
        <w:rPr>
          <w:rFonts w:cs="Times New Roman"/>
          <w:i/>
          <w:lang w:val="nl-NL"/>
        </w:rPr>
        <w:t>histoire anciennes</w:t>
      </w:r>
      <w:r w:rsidRPr="007F1E99">
        <w:rPr>
          <w:rFonts w:cs="Times New Roman"/>
          <w:lang w:val="nl-NL"/>
        </w:rPr>
        <w:t xml:space="preserve"> 36: 46-50.</w:t>
      </w:r>
    </w:p>
    <w:p w14:paraId="2AAF89B1" w14:textId="4CAC6F63" w:rsidR="003B2A46" w:rsidRPr="00AF6182" w:rsidRDefault="003B2A46" w:rsidP="004819D9">
      <w:pPr>
        <w:spacing w:before="100" w:after="100" w:line="300" w:lineRule="exact"/>
        <w:rPr>
          <w:rFonts w:cs="Times New Roman"/>
          <w:highlight w:val="yellow"/>
        </w:rPr>
      </w:pPr>
      <w:r w:rsidRPr="001743E3">
        <w:rPr>
          <w:rFonts w:cs="Times New Roman"/>
        </w:rPr>
        <w:t>—</w:t>
      </w:r>
      <w:r w:rsidRPr="006F779D">
        <w:rPr>
          <w:color w:val="1A1718"/>
        </w:rPr>
        <w:t xml:space="preserve"> </w:t>
      </w:r>
      <w:r w:rsidRPr="001743E3">
        <w:rPr>
          <w:rFonts w:cs="Times New Roman"/>
        </w:rPr>
        <w:t>1986a,</w:t>
      </w:r>
      <w:r>
        <w:rPr>
          <w:rFonts w:cs="Times New Roman"/>
        </w:rPr>
        <w:t xml:space="preserve"> </w:t>
      </w:r>
      <w:r w:rsidR="00CC0615">
        <w:rPr>
          <w:rFonts w:cs="Times New Roman"/>
        </w:rPr>
        <w:t>“</w:t>
      </w:r>
      <w:r>
        <w:rPr>
          <w:rFonts w:cs="Times New Roman"/>
        </w:rPr>
        <w:t>Onomastique et lixique,</w:t>
      </w:r>
      <w:r w:rsidR="00CC0615">
        <w:rPr>
          <w:rFonts w:cs="Times New Roman"/>
        </w:rPr>
        <w:t>”</w:t>
      </w:r>
      <w:r>
        <w:rPr>
          <w:rFonts w:cs="Times New Roman"/>
        </w:rPr>
        <w:t xml:space="preserve"> </w:t>
      </w:r>
      <w:r w:rsidRPr="006B7426">
        <w:rPr>
          <w:rFonts w:cs="Times New Roman"/>
          <w:i/>
        </w:rPr>
        <w:t>Museum Helveticum</w:t>
      </w:r>
      <w:r>
        <w:rPr>
          <w:rFonts w:cs="Times New Roman"/>
        </w:rPr>
        <w:t xml:space="preserve"> 43: 250-257.</w:t>
      </w:r>
    </w:p>
    <w:p w14:paraId="2B421A47" w14:textId="10E9DC72" w:rsidR="003B2A46" w:rsidRPr="00AF6182" w:rsidRDefault="003B2A46" w:rsidP="004819D9">
      <w:pPr>
        <w:spacing w:before="100" w:after="100" w:line="300" w:lineRule="exact"/>
        <w:ind w:left="567" w:hanging="567"/>
        <w:rPr>
          <w:color w:val="1A1718"/>
        </w:rPr>
      </w:pPr>
      <w:r w:rsidRPr="001743E3">
        <w:rPr>
          <w:rFonts w:cs="Times New Roman"/>
        </w:rPr>
        <w:t>—</w:t>
      </w:r>
      <w:r>
        <w:rPr>
          <w:rFonts w:cs="Times New Roman"/>
        </w:rPr>
        <w:t xml:space="preserve"> 1986b, </w:t>
      </w:r>
      <w:r w:rsidR="00CC0615">
        <w:rPr>
          <w:rFonts w:cs="Times New Roman"/>
        </w:rPr>
        <w:t>“</w:t>
      </w:r>
      <w:r>
        <w:rPr>
          <w:rFonts w:cs="Times New Roman"/>
        </w:rPr>
        <w:t>Remarques sur l</w:t>
      </w:r>
      <w:r w:rsidR="00075F5F">
        <w:rPr>
          <w:rFonts w:cs="Times New Roman"/>
        </w:rPr>
        <w:t>’</w:t>
      </w:r>
      <w:r>
        <w:rPr>
          <w:rFonts w:cs="Times New Roman"/>
        </w:rPr>
        <w:t>onomastique d</w:t>
      </w:r>
      <w:r w:rsidR="00075F5F">
        <w:rPr>
          <w:rFonts w:cs="Times New Roman"/>
        </w:rPr>
        <w:t>’</w:t>
      </w:r>
      <w:r>
        <w:rPr>
          <w:rFonts w:cs="Times New Roman"/>
        </w:rPr>
        <w:t>Éphèse (à propos de l</w:t>
      </w:r>
      <w:r w:rsidR="00075F5F">
        <w:rPr>
          <w:rFonts w:cs="Times New Roman"/>
        </w:rPr>
        <w:t>’</w:t>
      </w:r>
      <w:r>
        <w:rPr>
          <w:rFonts w:cs="Times New Roman"/>
        </w:rPr>
        <w:t>index Ephesos VIII.2),</w:t>
      </w:r>
      <w:r w:rsidR="00CC0615">
        <w:rPr>
          <w:rFonts w:cs="Times New Roman"/>
        </w:rPr>
        <w:t>”</w:t>
      </w:r>
      <w:r>
        <w:rPr>
          <w:rFonts w:cs="Times New Roman"/>
        </w:rPr>
        <w:t xml:space="preserve"> </w:t>
      </w:r>
      <w:r w:rsidRPr="00AF6182">
        <w:rPr>
          <w:rFonts w:cs="Times New Roman"/>
          <w:i/>
        </w:rPr>
        <w:t>Zeitschrift für Papyrologie und Epigraphik</w:t>
      </w:r>
      <w:r>
        <w:rPr>
          <w:rFonts w:cs="Times New Roman"/>
        </w:rPr>
        <w:t xml:space="preserve"> 65: 126-130.</w:t>
      </w:r>
    </w:p>
    <w:p w14:paraId="21F6DA81" w14:textId="44E72252" w:rsidR="003B2A46" w:rsidRPr="006F6F21" w:rsidRDefault="003B2A46" w:rsidP="004819D9">
      <w:pPr>
        <w:spacing w:before="100" w:after="100" w:line="300" w:lineRule="exact"/>
        <w:ind w:left="567" w:hanging="567"/>
        <w:rPr>
          <w:rFonts w:cs="Times New Roman"/>
        </w:rPr>
      </w:pPr>
      <w:r w:rsidRPr="006F6F21">
        <w:rPr>
          <w:rFonts w:cs="Times New Roman"/>
          <w:color w:val="1A1718"/>
        </w:rPr>
        <w:t xml:space="preserve">Matić, D. 2003, </w:t>
      </w:r>
      <w:r w:rsidR="00CC0615">
        <w:rPr>
          <w:rFonts w:cs="Times New Roman"/>
          <w:color w:val="1A1718"/>
        </w:rPr>
        <w:t>“</w:t>
      </w:r>
      <w:r w:rsidRPr="006F6F21">
        <w:rPr>
          <w:rFonts w:cs="Times New Roman"/>
          <w:color w:val="1A1718"/>
        </w:rPr>
        <w:t xml:space="preserve">Topic, </w:t>
      </w:r>
      <w:r>
        <w:rPr>
          <w:rFonts w:cs="Times New Roman"/>
          <w:color w:val="1A1718"/>
        </w:rPr>
        <w:t>F</w:t>
      </w:r>
      <w:r w:rsidRPr="006F6F21">
        <w:rPr>
          <w:rFonts w:cs="Times New Roman"/>
          <w:color w:val="1A1718"/>
        </w:rPr>
        <w:t xml:space="preserve">ocus, and </w:t>
      </w:r>
      <w:r>
        <w:rPr>
          <w:rFonts w:cs="Times New Roman"/>
          <w:color w:val="1A1718"/>
        </w:rPr>
        <w:t>D</w:t>
      </w:r>
      <w:r w:rsidRPr="006F6F21">
        <w:rPr>
          <w:rFonts w:cs="Times New Roman"/>
          <w:color w:val="1A1718"/>
        </w:rPr>
        <w:t xml:space="preserve">iscourse </w:t>
      </w:r>
      <w:r>
        <w:rPr>
          <w:rFonts w:cs="Times New Roman"/>
          <w:color w:val="1A1718"/>
        </w:rPr>
        <w:t>S</w:t>
      </w:r>
      <w:r w:rsidRPr="006F6F21">
        <w:rPr>
          <w:rFonts w:cs="Times New Roman"/>
          <w:color w:val="1A1718"/>
        </w:rPr>
        <w:t>tructure: Ancient Greek word order,</w:t>
      </w:r>
      <w:r w:rsidR="00CC0615">
        <w:rPr>
          <w:rFonts w:cs="Times New Roman"/>
          <w:color w:val="1A1718"/>
        </w:rPr>
        <w:t>”</w:t>
      </w:r>
      <w:r>
        <w:rPr>
          <w:rFonts w:cs="Times New Roman"/>
          <w:i/>
          <w:color w:val="1A1718"/>
        </w:rPr>
        <w:t xml:space="preserve"> </w:t>
      </w:r>
      <w:r w:rsidRPr="006F6F21">
        <w:rPr>
          <w:rFonts w:cs="Times New Roman"/>
          <w:i/>
          <w:color w:val="1A1718"/>
        </w:rPr>
        <w:t>Stud</w:t>
      </w:r>
      <w:r>
        <w:rPr>
          <w:rFonts w:cs="Times New Roman"/>
          <w:i/>
          <w:color w:val="1A1718"/>
        </w:rPr>
        <w:t xml:space="preserve">ies in </w:t>
      </w:r>
      <w:r w:rsidRPr="006F6F21">
        <w:rPr>
          <w:rFonts w:cs="Times New Roman"/>
          <w:i/>
          <w:color w:val="1A1718"/>
        </w:rPr>
        <w:t>Lang</w:t>
      </w:r>
      <w:r>
        <w:rPr>
          <w:rFonts w:cs="Times New Roman"/>
          <w:i/>
          <w:color w:val="1A1718"/>
        </w:rPr>
        <w:t>uage</w:t>
      </w:r>
      <w:r w:rsidRPr="006F6F21">
        <w:rPr>
          <w:rFonts w:cs="Times New Roman"/>
          <w:color w:val="1A1718"/>
        </w:rPr>
        <w:t xml:space="preserve"> 27: 573–633</w:t>
      </w:r>
    </w:p>
    <w:p w14:paraId="16294FFF"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Matino, G. 1998, </w:t>
      </w:r>
      <w:r w:rsidRPr="006F6F21">
        <w:rPr>
          <w:rFonts w:cs="Times New Roman"/>
          <w:i/>
          <w:iCs/>
        </w:rPr>
        <w:t xml:space="preserve">La </w:t>
      </w:r>
      <w:r>
        <w:rPr>
          <w:rFonts w:cs="Times New Roman"/>
          <w:i/>
          <w:iCs/>
        </w:rPr>
        <w:t>s</w:t>
      </w:r>
      <w:r w:rsidRPr="006F6F21">
        <w:rPr>
          <w:rFonts w:cs="Times New Roman"/>
          <w:i/>
          <w:iCs/>
        </w:rPr>
        <w:t>intassi di Eschilo</w:t>
      </w:r>
      <w:r w:rsidRPr="006F6F21">
        <w:rPr>
          <w:rFonts w:cs="Times New Roman"/>
        </w:rPr>
        <w:t>, Nap</w:t>
      </w:r>
      <w:r>
        <w:rPr>
          <w:rFonts w:cs="Times New Roman"/>
        </w:rPr>
        <w:t>les</w:t>
      </w:r>
      <w:r w:rsidRPr="006F6F21">
        <w:rPr>
          <w:rFonts w:cs="Times New Roman"/>
        </w:rPr>
        <w:t>.</w:t>
      </w:r>
    </w:p>
    <w:p w14:paraId="49EEA7E7" w14:textId="77777777" w:rsidR="003B2A46"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Mazzarino, S. 1947, </w:t>
      </w:r>
      <w:r w:rsidRPr="006F6F21">
        <w:rPr>
          <w:rFonts w:cs="Times New Roman"/>
          <w:i/>
        </w:rPr>
        <w:t>Fra oriente e occidente</w:t>
      </w:r>
      <w:r>
        <w:rPr>
          <w:rFonts w:cs="Times New Roman"/>
          <w:i/>
        </w:rPr>
        <w:t xml:space="preserve">: </w:t>
      </w:r>
      <w:r w:rsidRPr="006F6F21">
        <w:rPr>
          <w:rFonts w:cs="Times New Roman"/>
          <w:i/>
        </w:rPr>
        <w:t xml:space="preserve">Ricerche di storia </w:t>
      </w:r>
      <w:r>
        <w:rPr>
          <w:rFonts w:cs="Times New Roman"/>
          <w:i/>
        </w:rPr>
        <w:t>g</w:t>
      </w:r>
      <w:r w:rsidRPr="006F6F21">
        <w:rPr>
          <w:rFonts w:cs="Times New Roman"/>
          <w:i/>
        </w:rPr>
        <w:t>reca arcaica</w:t>
      </w:r>
      <w:r w:rsidRPr="006F6F21">
        <w:rPr>
          <w:rFonts w:cs="Times New Roman"/>
        </w:rPr>
        <w:t xml:space="preserve">, </w:t>
      </w:r>
      <w:r>
        <w:rPr>
          <w:rFonts w:cs="Times New Roman"/>
        </w:rPr>
        <w:t>Florence</w:t>
      </w:r>
      <w:r w:rsidRPr="006F6F21">
        <w:rPr>
          <w:rFonts w:cs="Times New Roman"/>
        </w:rPr>
        <w:t>.</w:t>
      </w:r>
    </w:p>
    <w:p w14:paraId="63AC2095"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Pr>
          <w:rFonts w:cs="Times New Roman"/>
        </w:rPr>
        <w:t xml:space="preserve">Melchert, H. C. 2004, </w:t>
      </w:r>
      <w:r w:rsidRPr="00A5072C">
        <w:rPr>
          <w:rFonts w:cs="Times New Roman"/>
          <w:i/>
        </w:rPr>
        <w:t>A Dictionary of the Lycian Language</w:t>
      </w:r>
      <w:r>
        <w:rPr>
          <w:rFonts w:cs="Times New Roman"/>
        </w:rPr>
        <w:t>, Ann Arbor.</w:t>
      </w:r>
    </w:p>
    <w:p w14:paraId="5D6AE1E6" w14:textId="14AED98E" w:rsidR="003B2A46" w:rsidRPr="006F6F21" w:rsidRDefault="003B2A46" w:rsidP="004819D9">
      <w:pPr>
        <w:spacing w:before="100" w:after="100" w:line="300" w:lineRule="exact"/>
        <w:ind w:left="567" w:hanging="567"/>
        <w:rPr>
          <w:rFonts w:cs="Times New Roman"/>
        </w:rPr>
      </w:pPr>
      <w:r w:rsidRPr="006F6F21">
        <w:rPr>
          <w:rFonts w:cs="Times New Roman"/>
        </w:rPr>
        <w:t xml:space="preserve">Miller, A. M. 1981, </w:t>
      </w:r>
      <w:r w:rsidR="00CC0615">
        <w:rPr>
          <w:rFonts w:cs="Times New Roman"/>
        </w:rPr>
        <w:t>“</w:t>
      </w:r>
      <w:r w:rsidRPr="006F6F21">
        <w:rPr>
          <w:rFonts w:cs="Times New Roman"/>
        </w:rPr>
        <w:t xml:space="preserve">Pindar, Archilochus and Hieron in </w:t>
      </w:r>
      <w:r w:rsidRPr="00AF6182">
        <w:rPr>
          <w:rFonts w:cs="Times New Roman"/>
          <w:i/>
        </w:rPr>
        <w:t>P.</w:t>
      </w:r>
      <w:r w:rsidRPr="006F6F21">
        <w:rPr>
          <w:rFonts w:cs="Times New Roman"/>
        </w:rPr>
        <w:t xml:space="preserve"> 2.52-56,</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Association</w:t>
      </w:r>
      <w:r w:rsidRPr="006F6F21">
        <w:rPr>
          <w:rFonts w:cs="Times New Roman"/>
        </w:rPr>
        <w:t xml:space="preserve"> 111: 135-143.</w:t>
      </w:r>
    </w:p>
    <w:p w14:paraId="6869125D" w14:textId="6DA12B81" w:rsidR="003B2A46" w:rsidRPr="006F6F21" w:rsidRDefault="003B2A46" w:rsidP="004819D9">
      <w:pPr>
        <w:spacing w:before="100" w:after="100" w:line="300" w:lineRule="exact"/>
        <w:ind w:left="567" w:hanging="567"/>
        <w:rPr>
          <w:rFonts w:cs="Times New Roman"/>
        </w:rPr>
      </w:pPr>
      <w:r w:rsidRPr="006F6F21">
        <w:rPr>
          <w:rFonts w:cs="Times New Roman"/>
        </w:rPr>
        <w:t xml:space="preserve">Mithun, M. 1984, </w:t>
      </w:r>
      <w:r w:rsidR="00CC0615">
        <w:rPr>
          <w:rFonts w:cs="Times New Roman"/>
        </w:rPr>
        <w:t>“</w:t>
      </w:r>
      <w:r w:rsidRPr="006F6F21">
        <w:rPr>
          <w:rFonts w:cs="Times New Roman"/>
        </w:rPr>
        <w:t xml:space="preserve">The </w:t>
      </w:r>
      <w:r>
        <w:rPr>
          <w:rFonts w:cs="Times New Roman"/>
        </w:rPr>
        <w:t>E</w:t>
      </w:r>
      <w:r w:rsidRPr="006F6F21">
        <w:rPr>
          <w:rFonts w:cs="Times New Roman"/>
        </w:rPr>
        <w:t xml:space="preserve">volution of </w:t>
      </w:r>
      <w:r>
        <w:rPr>
          <w:rFonts w:cs="Times New Roman"/>
        </w:rPr>
        <w:t>N</w:t>
      </w:r>
      <w:r w:rsidRPr="006F6F21">
        <w:rPr>
          <w:rFonts w:cs="Times New Roman"/>
        </w:rPr>
        <w:t xml:space="preserve">oun </w:t>
      </w:r>
      <w:r>
        <w:rPr>
          <w:rFonts w:cs="Times New Roman"/>
        </w:rPr>
        <w:t>I</w:t>
      </w:r>
      <w:r w:rsidRPr="006F6F21">
        <w:rPr>
          <w:rFonts w:cs="Times New Roman"/>
        </w:rPr>
        <w:t>ncorporation,</w:t>
      </w:r>
      <w:r w:rsidR="00CC0615">
        <w:rPr>
          <w:rFonts w:cs="Times New Roman"/>
        </w:rPr>
        <w:t>”</w:t>
      </w:r>
      <w:r w:rsidRPr="006F6F21">
        <w:rPr>
          <w:rFonts w:cs="Times New Roman"/>
        </w:rPr>
        <w:t xml:space="preserve"> </w:t>
      </w:r>
      <w:r w:rsidRPr="006F6F21">
        <w:rPr>
          <w:rFonts w:cs="Times New Roman"/>
          <w:i/>
        </w:rPr>
        <w:t xml:space="preserve">Language </w:t>
      </w:r>
      <w:r w:rsidRPr="006F6F21">
        <w:rPr>
          <w:rFonts w:cs="Times New Roman"/>
        </w:rPr>
        <w:t>60: 847-894.</w:t>
      </w:r>
    </w:p>
    <w:p w14:paraId="21F26383" w14:textId="6D1BDDD0" w:rsidR="003B2A46" w:rsidRPr="00BD5150" w:rsidRDefault="003B2A46" w:rsidP="00756A40">
      <w:pPr>
        <w:pStyle w:val="ListParagraph"/>
        <w:numPr>
          <w:ilvl w:val="0"/>
          <w:numId w:val="20"/>
        </w:numPr>
        <w:spacing w:before="100" w:after="100" w:line="300" w:lineRule="exact"/>
      </w:pPr>
      <w:r w:rsidRPr="00BD5150">
        <w:t xml:space="preserve">1986, </w:t>
      </w:r>
      <w:r w:rsidR="00CC0615" w:rsidRPr="00BD5150">
        <w:t>“</w:t>
      </w:r>
      <w:r w:rsidRPr="00BD5150">
        <w:t>On the Nature of Noun Incorporation,</w:t>
      </w:r>
      <w:r w:rsidR="00CC0615" w:rsidRPr="00BD5150">
        <w:t>”</w:t>
      </w:r>
      <w:r w:rsidRPr="00BD5150">
        <w:t xml:space="preserve"> </w:t>
      </w:r>
      <w:r w:rsidRPr="00BD5150">
        <w:rPr>
          <w:i/>
        </w:rPr>
        <w:t>Language</w:t>
      </w:r>
      <w:r w:rsidRPr="00BD5150">
        <w:t xml:space="preserve"> 62: 32-37. </w:t>
      </w:r>
    </w:p>
    <w:p w14:paraId="246887E3" w14:textId="226CCDD8" w:rsidR="00BD5150" w:rsidRDefault="00BD5150" w:rsidP="00756A40">
      <w:pPr>
        <w:spacing w:before="100" w:after="100" w:line="300" w:lineRule="exact"/>
        <w:ind w:left="567" w:hanging="567"/>
      </w:pPr>
      <w:r>
        <w:t xml:space="preserve">Montana, F. 2015, “Hellenistic Scholarship”, in F. Montanari, S. Matthaios, and A. Rengakos (eds.), </w:t>
      </w:r>
      <w:r w:rsidRPr="00756A40">
        <w:rPr>
          <w:i/>
        </w:rPr>
        <w:t>Brill’s Companion to Ancient Greek Scholarship</w:t>
      </w:r>
      <w:r w:rsidR="00756A40">
        <w:t xml:space="preserve"> (3 vols), </w:t>
      </w:r>
      <w:r>
        <w:t>Leiden</w:t>
      </w:r>
      <w:r w:rsidR="00756A40">
        <w:t>: 60-183.</w:t>
      </w:r>
    </w:p>
    <w:p w14:paraId="432194AF" w14:textId="1527E8A2" w:rsidR="00756A40" w:rsidRPr="00BD5150" w:rsidRDefault="00756A40" w:rsidP="00756A40">
      <w:pPr>
        <w:spacing w:before="100" w:after="100" w:line="300" w:lineRule="exact"/>
        <w:ind w:left="567" w:hanging="567"/>
      </w:pPr>
      <w:r>
        <w:t xml:space="preserve">Montanari, F., Matthaios S., and Rengakos A. (eds.), </w:t>
      </w:r>
      <w:r w:rsidRPr="0042588D">
        <w:rPr>
          <w:i/>
        </w:rPr>
        <w:t>Brill’s Companion to Ancient Greek Scholarship</w:t>
      </w:r>
      <w:r>
        <w:t xml:space="preserve"> (3 vols), Leiden.</w:t>
      </w:r>
    </w:p>
    <w:p w14:paraId="6AE05761" w14:textId="78DB86F6" w:rsidR="003B2A46" w:rsidRPr="002F1E35" w:rsidRDefault="003B2A46" w:rsidP="004819D9">
      <w:pPr>
        <w:spacing w:before="100" w:after="100" w:line="300" w:lineRule="exact"/>
        <w:ind w:left="567" w:hanging="567"/>
        <w:rPr>
          <w:rFonts w:cs="Times New Roman"/>
        </w:rPr>
      </w:pPr>
      <w:r w:rsidRPr="002F1E35">
        <w:rPr>
          <w:rFonts w:cs="Times New Roman"/>
        </w:rPr>
        <w:lastRenderedPageBreak/>
        <w:t xml:space="preserve">Montes-Alcalá, C. 2007, </w:t>
      </w:r>
      <w:r w:rsidR="00CC0615">
        <w:rPr>
          <w:rFonts w:cs="Times New Roman"/>
        </w:rPr>
        <w:t>“</w:t>
      </w:r>
      <w:r w:rsidRPr="002F1E35">
        <w:rPr>
          <w:rFonts w:cs="Times New Roman"/>
        </w:rPr>
        <w:t>Blogging in Two Lang</w:t>
      </w:r>
      <w:r>
        <w:rPr>
          <w:rFonts w:cs="Times New Roman"/>
        </w:rPr>
        <w:t>u</w:t>
      </w:r>
      <w:r w:rsidRPr="002F1E35">
        <w:rPr>
          <w:rFonts w:cs="Times New Roman"/>
        </w:rPr>
        <w:t>ages: Code-Switching in Bilingual Blogs,</w:t>
      </w:r>
      <w:r w:rsidR="00CC0615">
        <w:rPr>
          <w:rFonts w:cs="Times New Roman"/>
        </w:rPr>
        <w:t>”</w:t>
      </w:r>
      <w:r w:rsidRPr="002F1E35">
        <w:rPr>
          <w:rFonts w:cs="Times New Roman"/>
        </w:rPr>
        <w:t xml:space="preserve"> in J. Holmquist, A. Lorenzino, and L. Sayahi (eds.), </w:t>
      </w:r>
      <w:r w:rsidRPr="002F1E35">
        <w:rPr>
          <w:rFonts w:cs="Times New Roman"/>
          <w:i/>
        </w:rPr>
        <w:t>Selected Proceedings of the Third Workshop on Spanish Sociolinguistics</w:t>
      </w:r>
      <w:r w:rsidRPr="002F1E35">
        <w:rPr>
          <w:rFonts w:cs="Times New Roman"/>
        </w:rPr>
        <w:t>, Somerville.</w:t>
      </w:r>
    </w:p>
    <w:p w14:paraId="3B850652" w14:textId="5353CA4C" w:rsidR="003B2A46" w:rsidRDefault="003B2A46" w:rsidP="004819D9">
      <w:pPr>
        <w:spacing w:before="100" w:after="100" w:line="300" w:lineRule="exact"/>
        <w:ind w:left="567" w:hanging="567"/>
        <w:rPr>
          <w:rFonts w:eastAsia="MS Mincho" w:cs="Times New Roman"/>
        </w:rPr>
      </w:pPr>
      <w:r w:rsidRPr="006F6F21">
        <w:rPr>
          <w:rFonts w:eastAsia="MS Mincho" w:cs="Times New Roman"/>
        </w:rPr>
        <w:t xml:space="preserve">Morgan, T. 2005, </w:t>
      </w:r>
      <w:r w:rsidR="00CC0615">
        <w:rPr>
          <w:rFonts w:eastAsia="MS Mincho" w:cs="Times New Roman"/>
        </w:rPr>
        <w:t>“</w:t>
      </w:r>
      <w:r w:rsidRPr="006F6F21">
        <w:rPr>
          <w:rFonts w:eastAsia="MS Mincho" w:cs="Times New Roman"/>
        </w:rPr>
        <w:t xml:space="preserve">The </w:t>
      </w:r>
      <w:r>
        <w:rPr>
          <w:rFonts w:eastAsia="MS Mincho" w:cs="Times New Roman"/>
        </w:rPr>
        <w:t>W</w:t>
      </w:r>
      <w:r w:rsidRPr="006F6F21">
        <w:rPr>
          <w:rFonts w:eastAsia="MS Mincho" w:cs="Times New Roman"/>
        </w:rPr>
        <w:t>isdom of Semonides fr. 7,</w:t>
      </w:r>
      <w:r w:rsidR="00CC0615">
        <w:rPr>
          <w:rFonts w:eastAsia="MS Mincho" w:cs="Times New Roman"/>
        </w:rPr>
        <w:t>”</w:t>
      </w:r>
      <w:r w:rsidRPr="006F6F21">
        <w:rPr>
          <w:rFonts w:eastAsia="MS Mincho" w:cs="Times New Roman"/>
        </w:rPr>
        <w:t xml:space="preserve"> </w:t>
      </w:r>
      <w:r w:rsidRPr="006F6F21">
        <w:rPr>
          <w:rFonts w:eastAsia="MS Mincho" w:cs="Times New Roman"/>
          <w:i/>
        </w:rPr>
        <w:t>Proceedings of the Cambridge Philological Society</w:t>
      </w:r>
      <w:r w:rsidRPr="006F6F21">
        <w:rPr>
          <w:rFonts w:eastAsia="MS Mincho" w:cs="Times New Roman"/>
        </w:rPr>
        <w:t xml:space="preserve"> 51: 72-85.</w:t>
      </w:r>
    </w:p>
    <w:p w14:paraId="795048C9" w14:textId="77777777" w:rsidR="003B2A46" w:rsidRPr="006F6F21" w:rsidRDefault="003B2A46" w:rsidP="004819D9">
      <w:pPr>
        <w:spacing w:before="100" w:after="100" w:line="300" w:lineRule="exact"/>
        <w:ind w:left="567" w:hanging="567"/>
        <w:rPr>
          <w:rFonts w:eastAsia="MS Mincho" w:cs="Times New Roman"/>
        </w:rPr>
      </w:pPr>
      <w:r>
        <w:rPr>
          <w:rFonts w:eastAsia="MS Mincho" w:cs="Times New Roman"/>
        </w:rPr>
        <w:t xml:space="preserve">Morris, I., and Powell, B. B. (eds.) 1997, </w:t>
      </w:r>
      <w:r w:rsidRPr="00AF6182">
        <w:rPr>
          <w:rFonts w:eastAsia="MS Mincho" w:cs="Times New Roman"/>
          <w:i/>
        </w:rPr>
        <w:t>A New Companion to Homer</w:t>
      </w:r>
      <w:r>
        <w:rPr>
          <w:rFonts w:eastAsia="MS Mincho" w:cs="Times New Roman"/>
        </w:rPr>
        <w:t>, Leiden.</w:t>
      </w:r>
    </w:p>
    <w:p w14:paraId="18052E6C" w14:textId="5428879C" w:rsidR="003B2A46" w:rsidRPr="006F6F21" w:rsidRDefault="003B2A46" w:rsidP="004819D9">
      <w:pPr>
        <w:spacing w:before="100" w:after="100" w:line="300" w:lineRule="exact"/>
        <w:ind w:left="567" w:hanging="567"/>
        <w:rPr>
          <w:rFonts w:cs="Times New Roman"/>
        </w:rPr>
      </w:pPr>
      <w:r w:rsidRPr="006F6F21">
        <w:rPr>
          <w:rFonts w:cs="Times New Roman"/>
        </w:rPr>
        <w:t xml:space="preserve">Muhly, J. D. 2006, </w:t>
      </w:r>
      <w:r w:rsidR="00CC0615">
        <w:rPr>
          <w:rFonts w:cs="Times New Roman"/>
        </w:rPr>
        <w:t>“</w:t>
      </w:r>
      <w:r w:rsidRPr="006F6F21">
        <w:rPr>
          <w:rFonts w:cs="Times New Roman"/>
        </w:rPr>
        <w:t>Smyrna</w:t>
      </w:r>
      <w:r>
        <w:rPr>
          <w:rFonts w:cs="Times New Roman"/>
        </w:rPr>
        <w:t>,</w:t>
      </w:r>
      <w:r w:rsidR="00CC0615">
        <w:rPr>
          <w:rFonts w:cs="Times New Roman"/>
        </w:rPr>
        <w:t>”</w:t>
      </w:r>
      <w:r w:rsidRPr="006F6F21">
        <w:rPr>
          <w:rFonts w:cs="Times New Roman"/>
        </w:rPr>
        <w:t xml:space="preserve"> in G. Shipley, J. Vanderspoel, D. Mattingly, and L. Foxhall (eds.), </w:t>
      </w:r>
      <w:r w:rsidRPr="006F6F21">
        <w:rPr>
          <w:rFonts w:cs="Times New Roman"/>
          <w:i/>
        </w:rPr>
        <w:t>The Cambridge Dictionary of Classical Civilization</w:t>
      </w:r>
      <w:r w:rsidRPr="006F6F21">
        <w:rPr>
          <w:rFonts w:cs="Times New Roman"/>
        </w:rPr>
        <w:t>, Cambridge: 828.</w:t>
      </w:r>
    </w:p>
    <w:p w14:paraId="19D2B230" w14:textId="5AE47D00"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Müller, C. W. 1985, </w:t>
      </w:r>
      <w:r w:rsidR="00CC0615">
        <w:rPr>
          <w:rFonts w:cs="Times New Roman"/>
          <w:lang w:val="nl-NL"/>
        </w:rPr>
        <w:t>“</w:t>
      </w:r>
      <w:r w:rsidRPr="007F1E99">
        <w:rPr>
          <w:rFonts w:cs="Times New Roman"/>
          <w:lang w:val="nl-NL"/>
        </w:rPr>
        <w:t>Die Archilochoslegende,</w:t>
      </w:r>
      <w:r w:rsidR="00CC0615">
        <w:rPr>
          <w:rFonts w:cs="Times New Roman"/>
          <w:lang w:val="nl-NL"/>
        </w:rPr>
        <w:t>”</w:t>
      </w:r>
      <w:r w:rsidRPr="007F1E99">
        <w:rPr>
          <w:rFonts w:cs="Times New Roman"/>
          <w:lang w:val="nl-NL"/>
        </w:rPr>
        <w:t xml:space="preserve"> </w:t>
      </w:r>
      <w:r w:rsidRPr="007F1E99">
        <w:rPr>
          <w:rFonts w:cs="Times New Roman"/>
          <w:i/>
          <w:lang w:val="nl-NL"/>
        </w:rPr>
        <w:t>Rheinisches Museum</w:t>
      </w:r>
      <w:r w:rsidRPr="007F1E99">
        <w:rPr>
          <w:rFonts w:cs="Times New Roman"/>
          <w:lang w:val="nl-NL"/>
        </w:rPr>
        <w:t xml:space="preserve"> 128: 99-151.</w:t>
      </w:r>
    </w:p>
    <w:p w14:paraId="430AA3D2" w14:textId="77777777" w:rsidR="003B2A46" w:rsidRPr="006F6F21" w:rsidRDefault="003B2A46" w:rsidP="004819D9">
      <w:pPr>
        <w:spacing w:before="100" w:after="100" w:line="300" w:lineRule="exact"/>
        <w:ind w:left="567" w:hanging="567"/>
        <w:rPr>
          <w:rFonts w:cs="Times New Roman"/>
        </w:rPr>
      </w:pPr>
      <w:r w:rsidRPr="006F6F21">
        <w:rPr>
          <w:rFonts w:cs="Times New Roman"/>
        </w:rPr>
        <w:t>Murray, O. (ed.) 1990</w:t>
      </w:r>
      <w:r>
        <w:rPr>
          <w:rFonts w:cs="Times New Roman"/>
        </w:rPr>
        <w:t>a</w:t>
      </w:r>
      <w:r w:rsidRPr="006F6F21">
        <w:rPr>
          <w:rFonts w:cs="Times New Roman"/>
        </w:rPr>
        <w:t xml:space="preserve">, </w:t>
      </w:r>
      <w:r w:rsidRPr="006F6F21">
        <w:rPr>
          <w:rFonts w:cs="Times New Roman"/>
          <w:i/>
        </w:rPr>
        <w:t>Sympotica: A Symposium on the Symposion</w:t>
      </w:r>
      <w:r w:rsidRPr="006F6F21">
        <w:rPr>
          <w:rFonts w:cs="Times New Roman"/>
        </w:rPr>
        <w:t>, Oxford.</w:t>
      </w:r>
    </w:p>
    <w:p w14:paraId="0A3B749A" w14:textId="7A8953B2" w:rsidR="003B2A46" w:rsidRPr="002F1E35" w:rsidRDefault="003B2A46" w:rsidP="004819D9">
      <w:pPr>
        <w:spacing w:before="100" w:after="100" w:line="300" w:lineRule="exact"/>
        <w:ind w:left="567" w:hanging="567"/>
        <w:rPr>
          <w:rFonts w:cs="Times New Roman"/>
        </w:rPr>
      </w:pPr>
      <w:r w:rsidRPr="00FF2CB5">
        <w:rPr>
          <w:rFonts w:cs="Times New Roman"/>
        </w:rPr>
        <w:t>—</w:t>
      </w:r>
      <w:r>
        <w:rPr>
          <w:rFonts w:cs="Times New Roman"/>
        </w:rPr>
        <w:t xml:space="preserve"> </w:t>
      </w:r>
      <w:r w:rsidRPr="002F1E35">
        <w:rPr>
          <w:rFonts w:cs="Times New Roman"/>
        </w:rPr>
        <w:t xml:space="preserve">1990b, </w:t>
      </w:r>
      <w:r w:rsidR="00CC0615">
        <w:rPr>
          <w:rFonts w:cs="Times New Roman"/>
        </w:rPr>
        <w:t>“</w:t>
      </w:r>
      <w:r w:rsidRPr="002F1E35">
        <w:rPr>
          <w:rFonts w:cs="Times New Roman"/>
        </w:rPr>
        <w:t>Sympotic History,</w:t>
      </w:r>
      <w:r w:rsidR="00CC0615">
        <w:rPr>
          <w:rFonts w:cs="Times New Roman"/>
        </w:rPr>
        <w:t>”</w:t>
      </w:r>
      <w:r w:rsidRPr="002F1E35">
        <w:rPr>
          <w:rFonts w:cs="Times New Roman"/>
        </w:rPr>
        <w:t xml:space="preserve"> in O. Murray (ed.), </w:t>
      </w:r>
      <w:r w:rsidRPr="002F1E35">
        <w:rPr>
          <w:rFonts w:cs="Times New Roman"/>
          <w:i/>
        </w:rPr>
        <w:t>Sympotica: A Symposium on the Symposion</w:t>
      </w:r>
      <w:r w:rsidRPr="002F1E35">
        <w:rPr>
          <w:rFonts w:cs="Times New Roman"/>
        </w:rPr>
        <w:t>, Oxford: 3-13.</w:t>
      </w:r>
    </w:p>
    <w:p w14:paraId="25F4EC19" w14:textId="16C89585" w:rsidR="003B2A46" w:rsidRPr="002F1E35" w:rsidRDefault="003B2A46" w:rsidP="004819D9">
      <w:pPr>
        <w:spacing w:before="100" w:after="100" w:line="300" w:lineRule="exact"/>
        <w:ind w:left="567" w:hanging="567"/>
        <w:rPr>
          <w:rFonts w:cs="Times New Roman"/>
        </w:rPr>
      </w:pPr>
      <w:r w:rsidRPr="00FF2CB5">
        <w:rPr>
          <w:rFonts w:cs="Times New Roman"/>
        </w:rPr>
        <w:t>—</w:t>
      </w:r>
      <w:r>
        <w:rPr>
          <w:rFonts w:cs="Times New Roman"/>
        </w:rPr>
        <w:t xml:space="preserve"> </w:t>
      </w:r>
      <w:r w:rsidRPr="002F1E35">
        <w:rPr>
          <w:rFonts w:cs="Times New Roman"/>
        </w:rPr>
        <w:t xml:space="preserve">1990c, </w:t>
      </w:r>
      <w:r w:rsidR="00CC0615">
        <w:rPr>
          <w:rFonts w:cs="Times New Roman"/>
        </w:rPr>
        <w:t>“</w:t>
      </w:r>
      <w:r w:rsidRPr="002F1E35">
        <w:rPr>
          <w:rFonts w:cs="Times New Roman"/>
        </w:rPr>
        <w:t>The Affair of the Mysteries: Democracy and the Drinking Group,</w:t>
      </w:r>
      <w:r w:rsidR="00CC0615">
        <w:rPr>
          <w:rFonts w:cs="Times New Roman"/>
        </w:rPr>
        <w:t>”</w:t>
      </w:r>
      <w:r w:rsidRPr="002F1E35">
        <w:rPr>
          <w:rFonts w:cs="Times New Roman"/>
        </w:rPr>
        <w:t xml:space="preserve"> in O. Murray (ed.), </w:t>
      </w:r>
      <w:r w:rsidRPr="002F1E35">
        <w:rPr>
          <w:rFonts w:cs="Times New Roman"/>
          <w:i/>
        </w:rPr>
        <w:t>Sympotica: A Symposium on the Symposion</w:t>
      </w:r>
      <w:r w:rsidRPr="002F1E35">
        <w:rPr>
          <w:rFonts w:cs="Times New Roman"/>
        </w:rPr>
        <w:t>, Oxford: 149-161.</w:t>
      </w:r>
    </w:p>
    <w:p w14:paraId="40123EBE" w14:textId="6259D579" w:rsidR="003B2A46" w:rsidRPr="00FF2CB5" w:rsidRDefault="003B2A46" w:rsidP="004819D9">
      <w:pPr>
        <w:spacing w:before="100" w:after="100" w:line="300" w:lineRule="exact"/>
        <w:ind w:left="567" w:hanging="567"/>
      </w:pPr>
      <w:r>
        <w:rPr>
          <w:rFonts w:cs="Times New Roman"/>
        </w:rPr>
        <w:t xml:space="preserve">Murray, P. 1999, </w:t>
      </w:r>
      <w:r w:rsidR="00CC0615">
        <w:rPr>
          <w:rFonts w:cs="Times New Roman"/>
        </w:rPr>
        <w:t>“</w:t>
      </w:r>
      <w:r>
        <w:rPr>
          <w:rFonts w:cs="Times New Roman"/>
        </w:rPr>
        <w:t>What is a Muthos for Plato,</w:t>
      </w:r>
      <w:r w:rsidR="00CC0615">
        <w:rPr>
          <w:rFonts w:cs="Times New Roman"/>
        </w:rPr>
        <w:t>”</w:t>
      </w:r>
      <w:r>
        <w:rPr>
          <w:rFonts w:cs="Times New Roman"/>
        </w:rPr>
        <w:t xml:space="preserve"> in R. G. A. Buxton (ed.), </w:t>
      </w:r>
      <w:r w:rsidRPr="002F1E35">
        <w:rPr>
          <w:rFonts w:cs="Times New Roman"/>
          <w:i/>
        </w:rPr>
        <w:t>From Myth to Reason? Studies in the Development of Greek Thought</w:t>
      </w:r>
      <w:r>
        <w:rPr>
          <w:rFonts w:cs="Times New Roman"/>
        </w:rPr>
        <w:t>, Oxford - New York: 253-263.</w:t>
      </w:r>
    </w:p>
    <w:p w14:paraId="16FDD9B1" w14:textId="5BDD1D0A" w:rsidR="003B2A46" w:rsidRPr="006F6F21" w:rsidRDefault="003B2A46" w:rsidP="004819D9">
      <w:pPr>
        <w:spacing w:before="100" w:after="100" w:line="300" w:lineRule="exact"/>
        <w:ind w:left="567" w:hanging="567"/>
        <w:rPr>
          <w:rFonts w:cs="Times New Roman"/>
        </w:rPr>
      </w:pPr>
      <w:r w:rsidRPr="006F6F21">
        <w:rPr>
          <w:rFonts w:cs="Times New Roman"/>
        </w:rPr>
        <w:t xml:space="preserve">Muss-Arnolt, W. 1892, </w:t>
      </w:r>
      <w:r w:rsidR="00CC0615">
        <w:rPr>
          <w:rFonts w:cs="Times New Roman"/>
        </w:rPr>
        <w:t>“</w:t>
      </w:r>
      <w:r w:rsidRPr="006F6F21">
        <w:rPr>
          <w:rFonts w:cs="Times New Roman"/>
        </w:rPr>
        <w:t>On Semitic Words in Greek and Latin,</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Society</w:t>
      </w:r>
      <w:r w:rsidRPr="006F6F21">
        <w:rPr>
          <w:rFonts w:cs="Times New Roman"/>
        </w:rPr>
        <w:t xml:space="preserve"> 23: 35-156.</w:t>
      </w:r>
    </w:p>
    <w:p w14:paraId="23950689" w14:textId="49803274" w:rsidR="003B2A46" w:rsidRPr="006F6F21" w:rsidRDefault="003B2A46" w:rsidP="004819D9">
      <w:pPr>
        <w:spacing w:before="100" w:after="100" w:line="300" w:lineRule="exact"/>
        <w:ind w:left="567" w:hanging="567"/>
        <w:rPr>
          <w:rFonts w:cs="Times New Roman"/>
        </w:rPr>
      </w:pPr>
      <w:r w:rsidRPr="006F6F21">
        <w:rPr>
          <w:rFonts w:cs="Times New Roman"/>
        </w:rPr>
        <w:t xml:space="preserve">Musti, D. 2001, </w:t>
      </w:r>
      <w:r w:rsidR="00CC0615">
        <w:rPr>
          <w:rFonts w:cs="Times New Roman"/>
        </w:rPr>
        <w:t>“</w:t>
      </w:r>
      <w:r w:rsidRPr="006F6F21">
        <w:rPr>
          <w:rFonts w:cs="Times New Roman"/>
        </w:rPr>
        <w:t>Aspetti della religio</w:t>
      </w:r>
      <w:r>
        <w:rPr>
          <w:rFonts w:cs="Times New Roman"/>
        </w:rPr>
        <w:t>ne</w:t>
      </w:r>
      <w:r w:rsidRPr="006F6F21">
        <w:rPr>
          <w:rFonts w:cs="Times New Roman"/>
        </w:rPr>
        <w:t xml:space="preserve"> dei Cabiri,</w:t>
      </w:r>
      <w:r w:rsidR="00CC0615">
        <w:rPr>
          <w:rFonts w:cs="Times New Roman"/>
        </w:rPr>
        <w:t>”</w:t>
      </w:r>
      <w:r w:rsidRPr="006F6F21">
        <w:rPr>
          <w:rFonts w:cs="Times New Roman"/>
        </w:rPr>
        <w:t xml:space="preserve"> in S. Ribichini, M. Rocchi, </w:t>
      </w:r>
      <w:r>
        <w:rPr>
          <w:rFonts w:cs="Times New Roman"/>
        </w:rPr>
        <w:t xml:space="preserve">and </w:t>
      </w:r>
      <w:r w:rsidRPr="006F6F21">
        <w:rPr>
          <w:rFonts w:cs="Times New Roman"/>
        </w:rPr>
        <w:t xml:space="preserve">P. Xella (eds.), </w:t>
      </w:r>
      <w:r w:rsidRPr="006F6F21">
        <w:rPr>
          <w:rFonts w:cs="Times New Roman"/>
          <w:i/>
        </w:rPr>
        <w:t>La questione delle influenze vicino-orientali sulla religion greca</w:t>
      </w:r>
      <w:r>
        <w:rPr>
          <w:rFonts w:cs="Times New Roman"/>
          <w:i/>
        </w:rPr>
        <w:t>:</w:t>
      </w:r>
      <w:r w:rsidRPr="006F6F21">
        <w:rPr>
          <w:rFonts w:cs="Times New Roman"/>
          <w:i/>
        </w:rPr>
        <w:t xml:space="preserve"> Stato degli studi e prospettive della ricerca</w:t>
      </w:r>
      <w:r w:rsidRPr="006F6F21">
        <w:rPr>
          <w:rFonts w:cs="Times New Roman"/>
        </w:rPr>
        <w:t>, Rom</w:t>
      </w:r>
      <w:r>
        <w:rPr>
          <w:rFonts w:cs="Times New Roman"/>
        </w:rPr>
        <w:t>e</w:t>
      </w:r>
      <w:r w:rsidRPr="006F6F21">
        <w:rPr>
          <w:rFonts w:cs="Times New Roman"/>
        </w:rPr>
        <w:t>: 141-154.</w:t>
      </w:r>
    </w:p>
    <w:p w14:paraId="27288831" w14:textId="0E4C9A64"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Muysken, P. 1995, </w:t>
      </w:r>
      <w:r w:rsidR="00CC0615">
        <w:rPr>
          <w:rFonts w:cs="Times New Roman"/>
        </w:rPr>
        <w:t>“</w:t>
      </w:r>
      <w:r w:rsidRPr="006F6F21">
        <w:rPr>
          <w:rFonts w:cs="Times New Roman"/>
        </w:rPr>
        <w:t>Code-</w:t>
      </w:r>
      <w:r>
        <w:rPr>
          <w:rFonts w:cs="Times New Roman"/>
        </w:rPr>
        <w:t>S</w:t>
      </w:r>
      <w:r w:rsidRPr="006F6F21">
        <w:rPr>
          <w:rFonts w:cs="Times New Roman"/>
        </w:rPr>
        <w:t xml:space="preserve">witching and </w:t>
      </w:r>
      <w:r>
        <w:rPr>
          <w:rFonts w:cs="Times New Roman"/>
        </w:rPr>
        <w:t>G</w:t>
      </w:r>
      <w:r w:rsidRPr="006F6F21">
        <w:rPr>
          <w:rFonts w:cs="Times New Roman"/>
        </w:rPr>
        <w:t xml:space="preserve">rammatical </w:t>
      </w:r>
      <w:r>
        <w:rPr>
          <w:rFonts w:cs="Times New Roman"/>
        </w:rPr>
        <w:t>T</w:t>
      </w:r>
      <w:r w:rsidRPr="006F6F21">
        <w:rPr>
          <w:rFonts w:cs="Times New Roman"/>
        </w:rPr>
        <w:t>heory,</w:t>
      </w:r>
      <w:r w:rsidR="00CC0615">
        <w:rPr>
          <w:rFonts w:cs="Times New Roman"/>
        </w:rPr>
        <w:t>”</w:t>
      </w:r>
      <w:r w:rsidRPr="006F6F21">
        <w:rPr>
          <w:rFonts w:cs="Times New Roman"/>
        </w:rPr>
        <w:t xml:space="preserve"> in L. Milroy and P. Muysken (eds.),</w:t>
      </w:r>
      <w:r w:rsidRPr="006F6F21">
        <w:rPr>
          <w:rFonts w:cs="Times New Roman"/>
          <w:i/>
        </w:rPr>
        <w:t xml:space="preserve"> One Speaker, Two Languages: Cross-disciplinary </w:t>
      </w:r>
      <w:r>
        <w:rPr>
          <w:rFonts w:cs="Times New Roman"/>
          <w:i/>
        </w:rPr>
        <w:t>P</w:t>
      </w:r>
      <w:r w:rsidRPr="006F6F21">
        <w:rPr>
          <w:rFonts w:cs="Times New Roman"/>
          <w:i/>
        </w:rPr>
        <w:t xml:space="preserve">erspectives on </w:t>
      </w:r>
      <w:r>
        <w:rPr>
          <w:rFonts w:cs="Times New Roman"/>
          <w:i/>
        </w:rPr>
        <w:t>C</w:t>
      </w:r>
      <w:r w:rsidRPr="006F6F21">
        <w:rPr>
          <w:rFonts w:cs="Times New Roman"/>
          <w:i/>
        </w:rPr>
        <w:t>ode-</w:t>
      </w:r>
      <w:r>
        <w:rPr>
          <w:rFonts w:cs="Times New Roman"/>
          <w:i/>
        </w:rPr>
        <w:t>S</w:t>
      </w:r>
      <w:r w:rsidRPr="006F6F21">
        <w:rPr>
          <w:rFonts w:cs="Times New Roman"/>
          <w:i/>
        </w:rPr>
        <w:t>witching</w:t>
      </w:r>
      <w:r w:rsidRPr="006F6F21">
        <w:rPr>
          <w:rFonts w:cs="Times New Roman"/>
        </w:rPr>
        <w:t>, Cambridge - New York: 177-198.</w:t>
      </w:r>
    </w:p>
    <w:p w14:paraId="58FD9225"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2000, </w:t>
      </w:r>
      <w:r w:rsidRPr="006F6F21">
        <w:rPr>
          <w:rFonts w:cs="Times New Roman"/>
          <w:i/>
        </w:rPr>
        <w:t>Bilingual Speech: A Typology of Code-Mixing</w:t>
      </w:r>
      <w:r w:rsidRPr="006F6F21">
        <w:rPr>
          <w:rFonts w:cs="Times New Roman"/>
        </w:rPr>
        <w:t>, Cambridge.</w:t>
      </w:r>
    </w:p>
    <w:p w14:paraId="12DC8730" w14:textId="7141FEC2"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Myers-Scotton, C. 1983, </w:t>
      </w:r>
      <w:r w:rsidR="00CC0615">
        <w:rPr>
          <w:rFonts w:cs="Times New Roman"/>
        </w:rPr>
        <w:t>“</w:t>
      </w:r>
      <w:r w:rsidRPr="006F6F21">
        <w:rPr>
          <w:rFonts w:cs="Times New Roman"/>
        </w:rPr>
        <w:t xml:space="preserve">The </w:t>
      </w:r>
      <w:r>
        <w:rPr>
          <w:rFonts w:cs="Times New Roman"/>
        </w:rPr>
        <w:t>N</w:t>
      </w:r>
      <w:r w:rsidRPr="006F6F21">
        <w:rPr>
          <w:rFonts w:cs="Times New Roman"/>
        </w:rPr>
        <w:t xml:space="preserve">egotiation of </w:t>
      </w:r>
      <w:r>
        <w:rPr>
          <w:rFonts w:cs="Times New Roman"/>
        </w:rPr>
        <w:t>I</w:t>
      </w:r>
      <w:r w:rsidRPr="006F6F21">
        <w:rPr>
          <w:rFonts w:cs="Times New Roman"/>
        </w:rPr>
        <w:t xml:space="preserve">dentities in </w:t>
      </w:r>
      <w:r>
        <w:rPr>
          <w:rFonts w:cs="Times New Roman"/>
        </w:rPr>
        <w:t>C</w:t>
      </w:r>
      <w:r w:rsidRPr="006F6F21">
        <w:rPr>
          <w:rFonts w:cs="Times New Roman"/>
        </w:rPr>
        <w:t xml:space="preserve">onversation: A </w:t>
      </w:r>
      <w:r>
        <w:rPr>
          <w:rFonts w:cs="Times New Roman"/>
        </w:rPr>
        <w:t>T</w:t>
      </w:r>
      <w:r w:rsidRPr="006F6F21">
        <w:rPr>
          <w:rFonts w:cs="Times New Roman"/>
        </w:rPr>
        <w:t xml:space="preserve">heory of </w:t>
      </w:r>
      <w:r>
        <w:rPr>
          <w:rFonts w:cs="Times New Roman"/>
        </w:rPr>
        <w:t>M</w:t>
      </w:r>
      <w:r w:rsidRPr="006F6F21">
        <w:rPr>
          <w:rFonts w:cs="Times New Roman"/>
        </w:rPr>
        <w:t xml:space="preserve">arkedness and </w:t>
      </w:r>
      <w:r>
        <w:rPr>
          <w:rFonts w:cs="Times New Roman"/>
        </w:rPr>
        <w:t>C</w:t>
      </w:r>
      <w:r w:rsidRPr="006F6F21">
        <w:rPr>
          <w:rFonts w:cs="Times New Roman"/>
        </w:rPr>
        <w:t xml:space="preserve">ode </w:t>
      </w:r>
      <w:r>
        <w:rPr>
          <w:rFonts w:cs="Times New Roman"/>
        </w:rPr>
        <w:t>C</w:t>
      </w:r>
      <w:r w:rsidRPr="006F6F21">
        <w:rPr>
          <w:rFonts w:cs="Times New Roman"/>
        </w:rPr>
        <w:t>hoice,</w:t>
      </w:r>
      <w:r w:rsidR="00CC0615">
        <w:rPr>
          <w:rFonts w:cs="Times New Roman"/>
        </w:rPr>
        <w:t>”</w:t>
      </w:r>
      <w:r w:rsidRPr="006F6F21">
        <w:rPr>
          <w:rFonts w:cs="Times New Roman"/>
        </w:rPr>
        <w:t xml:space="preserve"> </w:t>
      </w:r>
      <w:r w:rsidRPr="006F6F21">
        <w:rPr>
          <w:rFonts w:cs="Times New Roman"/>
          <w:i/>
        </w:rPr>
        <w:t>International Journal of the Sociology of Language</w:t>
      </w:r>
      <w:r w:rsidRPr="006F6F21">
        <w:rPr>
          <w:rFonts w:cs="Times New Roman"/>
        </w:rPr>
        <w:t xml:space="preserve"> 44: 115-136.</w:t>
      </w:r>
    </w:p>
    <w:p w14:paraId="313AE593"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1993, </w:t>
      </w:r>
      <w:r w:rsidRPr="006F6F21">
        <w:rPr>
          <w:rFonts w:cs="Times New Roman"/>
          <w:i/>
        </w:rPr>
        <w:t>Duelling Languages: Grammatical Structure in Codeswitching</w:t>
      </w:r>
      <w:r w:rsidRPr="006F6F21">
        <w:rPr>
          <w:rFonts w:cs="Times New Roman"/>
        </w:rPr>
        <w:t>, Oxford</w:t>
      </w:r>
      <w:r>
        <w:rPr>
          <w:rFonts w:cs="Times New Roman"/>
        </w:rPr>
        <w:t xml:space="preserve"> -</w:t>
      </w:r>
      <w:r w:rsidRPr="006F6F21">
        <w:rPr>
          <w:rFonts w:cs="Times New Roman"/>
        </w:rPr>
        <w:t xml:space="preserve"> New York.</w:t>
      </w:r>
    </w:p>
    <w:p w14:paraId="3B860787" w14:textId="77777777" w:rsidR="003B2A46" w:rsidRPr="006F6F21" w:rsidRDefault="003B2A46" w:rsidP="004819D9">
      <w:pPr>
        <w:pStyle w:val="PlainText"/>
        <w:spacing w:before="100" w:after="100" w:line="300" w:lineRule="exact"/>
        <w:ind w:left="567" w:hanging="567"/>
        <w:rPr>
          <w:rFonts w:ascii="Times New Roman" w:hAnsi="Times New Roman" w:cs="Times New Roman"/>
          <w:sz w:val="24"/>
          <w:szCs w:val="24"/>
        </w:rPr>
      </w:pPr>
      <w:r w:rsidRPr="006F6F21">
        <w:rPr>
          <w:rFonts w:ascii="Times New Roman" w:hAnsi="Times New Roman" w:cs="Times New Roman"/>
          <w:sz w:val="24"/>
          <w:szCs w:val="24"/>
          <w:lang w:val="en-US"/>
        </w:rPr>
        <w:t>— 2002,</w:t>
      </w:r>
      <w:r w:rsidRPr="006F6F21">
        <w:rPr>
          <w:rFonts w:ascii="Times New Roman" w:hAnsi="Times New Roman" w:cs="Times New Roman"/>
          <w:sz w:val="24"/>
          <w:szCs w:val="24"/>
        </w:rPr>
        <w:t xml:space="preserve"> </w:t>
      </w:r>
      <w:r w:rsidRPr="006F6F21">
        <w:rPr>
          <w:rFonts w:ascii="Times New Roman" w:hAnsi="Times New Roman" w:cs="Times New Roman"/>
          <w:i/>
          <w:sz w:val="24"/>
          <w:szCs w:val="24"/>
        </w:rPr>
        <w:t>Contact Linguistics: Bilingual Encounters and Grammatical Outcomes</w:t>
      </w:r>
      <w:r w:rsidRPr="006F6F21">
        <w:rPr>
          <w:rFonts w:ascii="Times New Roman" w:hAnsi="Times New Roman" w:cs="Times New Roman"/>
          <w:sz w:val="24"/>
          <w:szCs w:val="24"/>
        </w:rPr>
        <w:t>, Oxford.</w:t>
      </w:r>
    </w:p>
    <w:p w14:paraId="1FDB98B1"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 2006, </w:t>
      </w:r>
      <w:r w:rsidRPr="006F6F21">
        <w:rPr>
          <w:rFonts w:cs="Times New Roman"/>
          <w:i/>
        </w:rPr>
        <w:t>Multiple Voices: An introduction to Bilingualism</w:t>
      </w:r>
      <w:r w:rsidRPr="006F6F21">
        <w:rPr>
          <w:rFonts w:cs="Times New Roman"/>
        </w:rPr>
        <w:t xml:space="preserve">, Oxford </w:t>
      </w:r>
      <w:r>
        <w:rPr>
          <w:rFonts w:cs="Times New Roman"/>
        </w:rPr>
        <w:t>-</w:t>
      </w:r>
      <w:r w:rsidRPr="006F6F21">
        <w:rPr>
          <w:rFonts w:cs="Times New Roman"/>
        </w:rPr>
        <w:t xml:space="preserve"> Malden.</w:t>
      </w:r>
    </w:p>
    <w:p w14:paraId="467D7F30" w14:textId="44E9355A" w:rsidR="003B2A46" w:rsidRPr="006F6F21" w:rsidRDefault="003B2A46" w:rsidP="004819D9">
      <w:pPr>
        <w:spacing w:before="100" w:after="100" w:line="300" w:lineRule="exact"/>
        <w:ind w:left="567" w:hanging="567"/>
        <w:rPr>
          <w:rFonts w:cs="Times New Roman"/>
        </w:rPr>
      </w:pPr>
      <w:r w:rsidRPr="006F6F21">
        <w:rPr>
          <w:rFonts w:cs="Times New Roman"/>
        </w:rPr>
        <w:t xml:space="preserve">Nagy, G. 1976, </w:t>
      </w:r>
      <w:r w:rsidR="00CC0615">
        <w:rPr>
          <w:rFonts w:cs="Times New Roman"/>
        </w:rPr>
        <w:t>“</w:t>
      </w:r>
      <w:r w:rsidRPr="006F6F21">
        <w:rPr>
          <w:rFonts w:cs="Times New Roman"/>
          <w:i/>
        </w:rPr>
        <w:t>Iambos</w:t>
      </w:r>
      <w:r w:rsidRPr="006F6F21">
        <w:rPr>
          <w:rFonts w:cs="Times New Roman"/>
        </w:rPr>
        <w:t>: Typologies of Invective and Praise,</w:t>
      </w:r>
      <w:r w:rsidR="00CC0615">
        <w:rPr>
          <w:rFonts w:cs="Times New Roman"/>
        </w:rPr>
        <w:t>”</w:t>
      </w:r>
      <w:r w:rsidRPr="006F6F21">
        <w:rPr>
          <w:rFonts w:cs="Times New Roman"/>
        </w:rPr>
        <w:t xml:space="preserve"> </w:t>
      </w:r>
      <w:r w:rsidRPr="006F6F21">
        <w:rPr>
          <w:rFonts w:cs="Times New Roman"/>
          <w:i/>
        </w:rPr>
        <w:t>Arethusa</w:t>
      </w:r>
      <w:r w:rsidRPr="006F6F21">
        <w:rPr>
          <w:rFonts w:cs="Times New Roman"/>
        </w:rPr>
        <w:t xml:space="preserve"> 9</w:t>
      </w:r>
      <w:r>
        <w:rPr>
          <w:rFonts w:cs="Times New Roman"/>
        </w:rPr>
        <w:t>.2</w:t>
      </w:r>
      <w:r w:rsidRPr="006F6F21">
        <w:rPr>
          <w:rFonts w:cs="Times New Roman"/>
        </w:rPr>
        <w:t>: 191-205.</w:t>
      </w:r>
    </w:p>
    <w:p w14:paraId="578539D0"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1979, </w:t>
      </w:r>
      <w:r w:rsidRPr="006F6F21">
        <w:rPr>
          <w:rFonts w:cs="Times New Roman"/>
          <w:i/>
        </w:rPr>
        <w:t>The Best of the Achæans: Concepts of the Hero in Archaic Greek Poetry</w:t>
      </w:r>
      <w:r w:rsidRPr="006F6F21">
        <w:rPr>
          <w:rFonts w:cs="Times New Roman"/>
        </w:rPr>
        <w:t>, Baltimore - London.</w:t>
      </w:r>
    </w:p>
    <w:p w14:paraId="2D07D78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1992, </w:t>
      </w:r>
      <w:r w:rsidRPr="006F6F21">
        <w:rPr>
          <w:rFonts w:cs="Times New Roman"/>
          <w:i/>
        </w:rPr>
        <w:t>Greek Mythology and Poetics</w:t>
      </w:r>
      <w:r w:rsidRPr="006F6F21">
        <w:rPr>
          <w:rFonts w:cs="Times New Roman"/>
        </w:rPr>
        <w:t>, Ithaca</w:t>
      </w:r>
      <w:r>
        <w:rPr>
          <w:rFonts w:cs="Times New Roman"/>
        </w:rPr>
        <w:t xml:space="preserve"> (NY)</w:t>
      </w:r>
      <w:r w:rsidRPr="006F6F21">
        <w:rPr>
          <w:rFonts w:cs="Times New Roman"/>
        </w:rPr>
        <w:t xml:space="preserve">. </w:t>
      </w:r>
    </w:p>
    <w:p w14:paraId="20E500C9" w14:textId="54344462" w:rsidR="003B2A46" w:rsidRPr="006F6F21" w:rsidRDefault="003B2A46" w:rsidP="004819D9">
      <w:pPr>
        <w:spacing w:before="100" w:after="100" w:line="300" w:lineRule="exact"/>
        <w:ind w:left="567" w:hanging="567"/>
        <w:rPr>
          <w:rFonts w:cs="Times New Roman"/>
        </w:rPr>
      </w:pPr>
      <w:r w:rsidRPr="006F6F21">
        <w:rPr>
          <w:rFonts w:cs="Times New Roman"/>
        </w:rPr>
        <w:lastRenderedPageBreak/>
        <w:t>—</w:t>
      </w:r>
      <w:r w:rsidR="00E023A1">
        <w:rPr>
          <w:rFonts w:cs="Times New Roman"/>
        </w:rPr>
        <w:t xml:space="preserve"> </w:t>
      </w:r>
      <w:r w:rsidRPr="006F6F21">
        <w:rPr>
          <w:rFonts w:cs="Times New Roman"/>
        </w:rPr>
        <w:t xml:space="preserve">1996, </w:t>
      </w:r>
      <w:r w:rsidRPr="006F6F21">
        <w:rPr>
          <w:rFonts w:cs="Times New Roman"/>
          <w:i/>
        </w:rPr>
        <w:t>Poetry as Performance: Homer and Beyond</w:t>
      </w:r>
      <w:r w:rsidRPr="006F6F21">
        <w:rPr>
          <w:rFonts w:cs="Times New Roman"/>
        </w:rPr>
        <w:t>, Cambridge (MA).</w:t>
      </w:r>
    </w:p>
    <w:p w14:paraId="0C5BDA37" w14:textId="7BD6F105" w:rsidR="003B2A46" w:rsidRPr="006F6F21" w:rsidRDefault="003B2A46" w:rsidP="004819D9">
      <w:pPr>
        <w:spacing w:before="100" w:after="100" w:line="300" w:lineRule="exact"/>
        <w:ind w:left="567" w:hanging="567"/>
        <w:rPr>
          <w:rFonts w:cs="Times New Roman"/>
        </w:rPr>
      </w:pPr>
      <w:r w:rsidRPr="006F6F21">
        <w:rPr>
          <w:rFonts w:cs="Times New Roman"/>
        </w:rPr>
        <w:t>—</w:t>
      </w:r>
      <w:r w:rsidR="00E023A1">
        <w:rPr>
          <w:rFonts w:cs="Times New Roman"/>
        </w:rPr>
        <w:t xml:space="preserve"> </w:t>
      </w:r>
      <w:r w:rsidRPr="006F6F21">
        <w:rPr>
          <w:rFonts w:cs="Times New Roman"/>
        </w:rPr>
        <w:t xml:space="preserve">2013, </w:t>
      </w:r>
      <w:r w:rsidRPr="006F6F21">
        <w:rPr>
          <w:rFonts w:cs="Times New Roman"/>
          <w:i/>
        </w:rPr>
        <w:t>The Ancient Greek Hero in 24 Hours</w:t>
      </w:r>
      <w:r w:rsidRPr="006F6F21">
        <w:rPr>
          <w:rFonts w:cs="Times New Roman"/>
        </w:rPr>
        <w:t>, Cambridge (MA) - London.</w:t>
      </w:r>
    </w:p>
    <w:p w14:paraId="3ACF367D" w14:textId="6A65C224" w:rsidR="003B2A46" w:rsidRPr="006F6F21" w:rsidRDefault="003B2A46" w:rsidP="004819D9">
      <w:pPr>
        <w:spacing w:before="100" w:after="100" w:line="300" w:lineRule="exact"/>
        <w:ind w:left="567" w:hanging="567"/>
        <w:rPr>
          <w:rFonts w:cs="Times New Roman"/>
        </w:rPr>
      </w:pPr>
      <w:r w:rsidRPr="006F6F21">
        <w:rPr>
          <w:rFonts w:cs="Times New Roman"/>
          <w:lang w:val="en-IE"/>
        </w:rPr>
        <w:t>Nayar, N. M.</w:t>
      </w:r>
      <w:r>
        <w:rPr>
          <w:rFonts w:cs="Times New Roman"/>
          <w:lang w:val="en-IE"/>
        </w:rPr>
        <w:t xml:space="preserve">, </w:t>
      </w:r>
      <w:r w:rsidRPr="006F6F21">
        <w:rPr>
          <w:rFonts w:cs="Times New Roman"/>
          <w:lang w:val="en-IE"/>
        </w:rPr>
        <w:t>and Mehra</w:t>
      </w:r>
      <w:r>
        <w:rPr>
          <w:rFonts w:cs="Times New Roman"/>
          <w:lang w:val="en-IE"/>
        </w:rPr>
        <w:t>, K. L.</w:t>
      </w:r>
      <w:r w:rsidRPr="006F6F21">
        <w:rPr>
          <w:rFonts w:cs="Times New Roman"/>
        </w:rPr>
        <w:t xml:space="preserve"> 1970, </w:t>
      </w:r>
      <w:r w:rsidR="00CC0615">
        <w:rPr>
          <w:rFonts w:cs="Times New Roman"/>
        </w:rPr>
        <w:t>“</w:t>
      </w:r>
      <w:r w:rsidRPr="006F6F21">
        <w:rPr>
          <w:rFonts w:cs="Times New Roman"/>
        </w:rPr>
        <w:t>Sesame: Its Uses, Botany, Cytogenics, and Origin,</w:t>
      </w:r>
      <w:r w:rsidR="00CC0615">
        <w:rPr>
          <w:rFonts w:cs="Times New Roman"/>
        </w:rPr>
        <w:t>”</w:t>
      </w:r>
      <w:r w:rsidRPr="006F6F21">
        <w:rPr>
          <w:rFonts w:cs="Times New Roman"/>
        </w:rPr>
        <w:t xml:space="preserve"> </w:t>
      </w:r>
      <w:r w:rsidRPr="006F6F21">
        <w:rPr>
          <w:rFonts w:cs="Times New Roman"/>
          <w:i/>
        </w:rPr>
        <w:t>Economic Botany</w:t>
      </w:r>
      <w:r w:rsidRPr="006F6F21">
        <w:rPr>
          <w:rFonts w:cs="Times New Roman"/>
        </w:rPr>
        <w:t xml:space="preserve"> 24: 20-31.</w:t>
      </w:r>
    </w:p>
    <w:p w14:paraId="3A6A3054" w14:textId="5ADE847C" w:rsidR="003B2A46" w:rsidRPr="006F6F21" w:rsidRDefault="003B2A46" w:rsidP="004819D9">
      <w:pPr>
        <w:spacing w:before="100" w:after="100" w:line="300" w:lineRule="exact"/>
        <w:ind w:left="567" w:hanging="567"/>
        <w:rPr>
          <w:rFonts w:cs="Times New Roman"/>
        </w:rPr>
      </w:pPr>
      <w:r w:rsidRPr="006F6F21">
        <w:rPr>
          <w:rFonts w:cs="Times New Roman"/>
        </w:rPr>
        <w:t xml:space="preserve">Nencioni, G. 1939, </w:t>
      </w:r>
      <w:r w:rsidR="00CC0615">
        <w:rPr>
          <w:rFonts w:cs="Times New Roman"/>
        </w:rPr>
        <w:t>“</w:t>
      </w:r>
      <w:r w:rsidRPr="006F6F21">
        <w:rPr>
          <w:rFonts w:cs="Times New Roman"/>
        </w:rPr>
        <w:t>In tema di sostrato egeo,</w:t>
      </w:r>
      <w:r w:rsidR="00CC0615">
        <w:rPr>
          <w:rFonts w:cs="Times New Roman"/>
        </w:rPr>
        <w:t>”</w:t>
      </w:r>
      <w:r w:rsidRPr="006F6F21">
        <w:rPr>
          <w:rFonts w:cs="Times New Roman"/>
        </w:rPr>
        <w:t xml:space="preserve"> </w:t>
      </w:r>
      <w:r w:rsidRPr="006F6F21">
        <w:rPr>
          <w:rFonts w:cs="Times New Roman"/>
          <w:i/>
        </w:rPr>
        <w:t>Studi italiani di filologia classica</w:t>
      </w:r>
      <w:r w:rsidRPr="006F6F21">
        <w:rPr>
          <w:rFonts w:cs="Times New Roman"/>
        </w:rPr>
        <w:t xml:space="preserve"> </w:t>
      </w:r>
      <w:r>
        <w:rPr>
          <w:rFonts w:cs="Times New Roman"/>
        </w:rPr>
        <w:t>16</w:t>
      </w:r>
      <w:r w:rsidRPr="006F6F21">
        <w:rPr>
          <w:rFonts w:cs="Times New Roman"/>
        </w:rPr>
        <w:t>: 223-228.</w:t>
      </w:r>
    </w:p>
    <w:p w14:paraId="16CCD4F8" w14:textId="498EFAB4" w:rsidR="003B2A46" w:rsidRPr="006F6F21" w:rsidRDefault="003B2A46" w:rsidP="004819D9">
      <w:pPr>
        <w:spacing w:before="100" w:after="100" w:line="300" w:lineRule="exact"/>
        <w:ind w:left="567" w:hanging="567"/>
        <w:rPr>
          <w:rFonts w:cs="Times New Roman"/>
        </w:rPr>
      </w:pPr>
      <w:r w:rsidRPr="006F6F21">
        <w:rPr>
          <w:rFonts w:cs="Times New Roman"/>
        </w:rPr>
        <w:t xml:space="preserve">— 1950, </w:t>
      </w:r>
      <w:r w:rsidRPr="006F6F21">
        <w:rPr>
          <w:rFonts w:cs="Times New Roman"/>
          <w:i/>
        </w:rPr>
        <w:t>Ipponatte nell</w:t>
      </w:r>
      <w:r w:rsidR="00075F5F">
        <w:rPr>
          <w:rFonts w:cs="Times New Roman"/>
          <w:i/>
        </w:rPr>
        <w:t>’</w:t>
      </w:r>
      <w:r w:rsidRPr="006F6F21">
        <w:rPr>
          <w:rFonts w:cs="Times New Roman"/>
          <w:i/>
        </w:rPr>
        <w:t>ambiente culturale e linguistico dell</w:t>
      </w:r>
      <w:r w:rsidR="00075F5F">
        <w:rPr>
          <w:rFonts w:cs="Times New Roman"/>
          <w:i/>
        </w:rPr>
        <w:t>’</w:t>
      </w:r>
      <w:r w:rsidRPr="006F6F21">
        <w:rPr>
          <w:rFonts w:cs="Times New Roman"/>
          <w:i/>
        </w:rPr>
        <w:t>Anatolia occidentale, I: La formazione dell</w:t>
      </w:r>
      <w:r w:rsidR="00075F5F">
        <w:rPr>
          <w:rFonts w:cs="Times New Roman"/>
          <w:i/>
        </w:rPr>
        <w:t>’</w:t>
      </w:r>
      <w:r w:rsidRPr="006F6F21">
        <w:rPr>
          <w:rFonts w:cs="Times New Roman"/>
          <w:i/>
        </w:rPr>
        <w:t>ambiente ionico</w:t>
      </w:r>
      <w:r w:rsidRPr="006F6F21">
        <w:rPr>
          <w:rFonts w:cs="Times New Roman"/>
        </w:rPr>
        <w:t>, Bari.</w:t>
      </w:r>
    </w:p>
    <w:p w14:paraId="4B12E863"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Nesselrath, H. G. 1997, </w:t>
      </w:r>
      <w:r w:rsidRPr="007F1E99">
        <w:rPr>
          <w:rFonts w:cs="Times New Roman"/>
          <w:i/>
          <w:lang w:val="nl-NL"/>
        </w:rPr>
        <w:t>Einleitung in die griechische Philologie</w:t>
      </w:r>
      <w:r w:rsidRPr="007F1E99">
        <w:rPr>
          <w:rFonts w:cs="Times New Roman"/>
          <w:lang w:val="nl-NL"/>
        </w:rPr>
        <w:t>, Stuttgart.</w:t>
      </w:r>
    </w:p>
    <w:p w14:paraId="2F6A03F2" w14:textId="77777777" w:rsidR="003B2A46" w:rsidRPr="006F6F21" w:rsidRDefault="003B2A46" w:rsidP="004819D9">
      <w:pPr>
        <w:spacing w:before="100" w:after="100" w:line="300" w:lineRule="exact"/>
        <w:ind w:left="567" w:hanging="567"/>
        <w:rPr>
          <w:szCs w:val="24"/>
        </w:rPr>
      </w:pPr>
      <w:r w:rsidRPr="006F6F21">
        <w:rPr>
          <w:szCs w:val="24"/>
        </w:rPr>
        <w:t xml:space="preserve">Nyckees, V. 1998, </w:t>
      </w:r>
      <w:r w:rsidRPr="006F6F21">
        <w:rPr>
          <w:i/>
          <w:iCs/>
          <w:szCs w:val="24"/>
        </w:rPr>
        <w:t>La sémantique</w:t>
      </w:r>
      <w:r w:rsidRPr="006F6F21">
        <w:rPr>
          <w:szCs w:val="24"/>
        </w:rPr>
        <w:t>, Paris.</w:t>
      </w:r>
    </w:p>
    <w:p w14:paraId="1126168F" w14:textId="7FFEC6EA" w:rsidR="003B2A46" w:rsidRPr="006F6F21" w:rsidRDefault="003B2A46" w:rsidP="004819D9">
      <w:pPr>
        <w:spacing w:before="100" w:after="100" w:line="300" w:lineRule="exact"/>
        <w:ind w:left="567" w:hanging="567"/>
        <w:rPr>
          <w:rFonts w:cs="Times New Roman"/>
        </w:rPr>
      </w:pPr>
      <w:r w:rsidRPr="006F6F21">
        <w:rPr>
          <w:rFonts w:cs="Times New Roman"/>
        </w:rPr>
        <w:t xml:space="preserve">Obbink, D. 1995, </w:t>
      </w:r>
      <w:r w:rsidR="00CC0615">
        <w:rPr>
          <w:rFonts w:cs="Times New Roman"/>
        </w:rPr>
        <w:t>“</w:t>
      </w:r>
      <w:r w:rsidRPr="006F6F21">
        <w:rPr>
          <w:rFonts w:cs="Times New Roman"/>
        </w:rPr>
        <w:t>How to Read Poetry about Gods,</w:t>
      </w:r>
      <w:r w:rsidR="00CC0615">
        <w:rPr>
          <w:rFonts w:cs="Times New Roman"/>
        </w:rPr>
        <w:t>”</w:t>
      </w:r>
      <w:r w:rsidRPr="006F6F21">
        <w:rPr>
          <w:rFonts w:cs="Times New Roman"/>
        </w:rPr>
        <w:t xml:space="preserve"> in D. Obbink (ed.), </w:t>
      </w:r>
      <w:r w:rsidRPr="006F6F21">
        <w:rPr>
          <w:rFonts w:cs="Times New Roman"/>
          <w:i/>
        </w:rPr>
        <w:t>Philodemus and Poetry: Poetic Theory and Practice in Lucretius, Philodemus, and Horace</w:t>
      </w:r>
      <w:r w:rsidRPr="006F6F21">
        <w:rPr>
          <w:rFonts w:cs="Times New Roman"/>
        </w:rPr>
        <w:t>, New York - Oxford</w:t>
      </w:r>
      <w:r>
        <w:rPr>
          <w:rFonts w:cs="Times New Roman"/>
        </w:rPr>
        <w:t xml:space="preserve">: </w:t>
      </w:r>
      <w:r w:rsidRPr="006F6F21">
        <w:rPr>
          <w:rFonts w:cs="Times New Roman"/>
        </w:rPr>
        <w:t>189-209.</w:t>
      </w:r>
    </w:p>
    <w:p w14:paraId="7D3C35E6" w14:textId="6C6B9DD5" w:rsidR="003B2A46" w:rsidRPr="006F6F21" w:rsidRDefault="003B2A46" w:rsidP="004819D9">
      <w:pPr>
        <w:spacing w:before="100" w:after="100" w:line="300" w:lineRule="exact"/>
        <w:ind w:left="567" w:hanging="567"/>
        <w:rPr>
          <w:rFonts w:cs="Times New Roman"/>
        </w:rPr>
      </w:pPr>
      <w:r w:rsidRPr="006F6F21">
        <w:rPr>
          <w:rFonts w:cs="Times New Roman"/>
        </w:rPr>
        <w:t xml:space="preserve">— 2005, </w:t>
      </w:r>
      <w:r w:rsidR="00CC0615">
        <w:rPr>
          <w:rFonts w:cs="Times New Roman"/>
        </w:rPr>
        <w:t>“</w:t>
      </w:r>
      <w:r w:rsidRPr="006F6F21">
        <w:rPr>
          <w:rFonts w:cs="Times New Roman"/>
        </w:rPr>
        <w:t>4708. Archilochus, Elegies (</w:t>
      </w:r>
      <w:r>
        <w:rPr>
          <w:rFonts w:cs="Times New Roman"/>
        </w:rPr>
        <w:t>M</w:t>
      </w:r>
      <w:r w:rsidRPr="006F6F21">
        <w:rPr>
          <w:rFonts w:cs="Times New Roman"/>
        </w:rPr>
        <w:t>ore of VI 854 and XXX 2507),</w:t>
      </w:r>
      <w:r w:rsidR="00CC0615">
        <w:rPr>
          <w:rFonts w:cs="Times New Roman"/>
        </w:rPr>
        <w:t>”</w:t>
      </w:r>
      <w:r w:rsidRPr="006F6F21">
        <w:rPr>
          <w:rFonts w:cs="Times New Roman"/>
        </w:rPr>
        <w:t xml:space="preserve"> </w:t>
      </w:r>
      <w:r w:rsidRPr="006F6F21">
        <w:rPr>
          <w:rFonts w:cs="Times New Roman"/>
          <w:i/>
        </w:rPr>
        <w:t>P.Oxy.</w:t>
      </w:r>
      <w:r w:rsidRPr="006F6F21">
        <w:rPr>
          <w:rFonts w:cs="Times New Roman"/>
        </w:rPr>
        <w:t xml:space="preserve"> 69: 18-42</w:t>
      </w:r>
    </w:p>
    <w:p w14:paraId="09ECC37A" w14:textId="2011244D" w:rsidR="003B2A46" w:rsidRPr="006F6F21" w:rsidRDefault="003B2A46" w:rsidP="004819D9">
      <w:pPr>
        <w:spacing w:before="100" w:after="100" w:line="300" w:lineRule="exact"/>
        <w:ind w:left="567" w:hanging="567"/>
        <w:rPr>
          <w:rFonts w:cs="Times New Roman"/>
        </w:rPr>
      </w:pPr>
      <w:r w:rsidRPr="006F6F21">
        <w:rPr>
          <w:rFonts w:cs="Times New Roman"/>
        </w:rPr>
        <w:t xml:space="preserve">— 2006, </w:t>
      </w:r>
      <w:r w:rsidR="00CC0615">
        <w:rPr>
          <w:rFonts w:cs="Times New Roman"/>
        </w:rPr>
        <w:t>“</w:t>
      </w:r>
      <w:r w:rsidRPr="006F6F21">
        <w:rPr>
          <w:rFonts w:cs="Times New Roman"/>
        </w:rPr>
        <w:t>A New Archilochus Poem,</w:t>
      </w:r>
      <w:r w:rsidR="00CC0615">
        <w:rPr>
          <w:rFonts w:cs="Times New Roman"/>
        </w:rPr>
        <w:t>”</w:t>
      </w:r>
      <w:r w:rsidRPr="006F6F21">
        <w:rPr>
          <w:rFonts w:cs="Times New Roman"/>
        </w:rPr>
        <w:t xml:space="preserve"> </w:t>
      </w:r>
      <w:r w:rsidRPr="006F6F21">
        <w:rPr>
          <w:rFonts w:cs="Times New Roman"/>
          <w:i/>
        </w:rPr>
        <w:t>Z</w:t>
      </w:r>
      <w:r>
        <w:rPr>
          <w:rFonts w:cs="Times New Roman"/>
          <w:i/>
        </w:rPr>
        <w:t>eitschrift für Papyrologie und Epigraphik</w:t>
      </w:r>
      <w:r>
        <w:rPr>
          <w:rFonts w:cs="Times New Roman"/>
        </w:rPr>
        <w:t xml:space="preserve"> </w:t>
      </w:r>
      <w:r w:rsidRPr="006F6F21">
        <w:rPr>
          <w:rFonts w:cs="Times New Roman"/>
        </w:rPr>
        <w:t>156: 1-9.</w:t>
      </w:r>
    </w:p>
    <w:p w14:paraId="5B13C9CE" w14:textId="2346C4E0" w:rsidR="003B2A46" w:rsidRPr="006F6F21" w:rsidRDefault="003B2A46" w:rsidP="004819D9">
      <w:pPr>
        <w:spacing w:before="100" w:after="100" w:line="300" w:lineRule="exact"/>
        <w:ind w:left="567" w:hanging="567"/>
        <w:rPr>
          <w:rFonts w:eastAsia="MS Mincho" w:cs="Times New Roman"/>
        </w:rPr>
      </w:pPr>
      <w:r w:rsidRPr="006F6F21">
        <w:rPr>
          <w:rFonts w:eastAsia="MS Mincho" w:cs="Times New Roman"/>
        </w:rPr>
        <w:t>O</w:t>
      </w:r>
      <w:r w:rsidR="00075F5F">
        <w:rPr>
          <w:rFonts w:eastAsia="MS Mincho" w:cs="Times New Roman"/>
        </w:rPr>
        <w:t>’</w:t>
      </w:r>
      <w:r w:rsidRPr="006F6F21">
        <w:rPr>
          <w:rFonts w:eastAsia="MS Mincho" w:cs="Times New Roman"/>
        </w:rPr>
        <w:t xml:space="preserve">Higgins, L. 2003, </w:t>
      </w:r>
      <w:r w:rsidR="00CC0615">
        <w:rPr>
          <w:rFonts w:eastAsia="MS Mincho" w:cs="Times New Roman"/>
        </w:rPr>
        <w:t>“</w:t>
      </w:r>
      <w:r w:rsidRPr="006F6F21">
        <w:rPr>
          <w:rFonts w:eastAsia="MS Mincho" w:cs="Times New Roman"/>
        </w:rPr>
        <w:t>Iambic</w:t>
      </w:r>
      <w:r w:rsidR="00075F5F">
        <w:rPr>
          <w:rFonts w:eastAsia="MS Mincho" w:cs="Times New Roman"/>
        </w:rPr>
        <w:t>’</w:t>
      </w:r>
      <w:r w:rsidRPr="006F6F21">
        <w:rPr>
          <w:rFonts w:eastAsia="MS Mincho" w:cs="Times New Roman"/>
        </w:rPr>
        <w:t xml:space="preserve">s </w:t>
      </w:r>
      <w:r>
        <w:rPr>
          <w:rFonts w:eastAsia="MS Mincho" w:cs="Times New Roman"/>
        </w:rPr>
        <w:t>R</w:t>
      </w:r>
      <w:r w:rsidRPr="006F6F21">
        <w:rPr>
          <w:rFonts w:eastAsia="MS Mincho" w:cs="Times New Roman"/>
        </w:rPr>
        <w:t xml:space="preserve">elationship with the </w:t>
      </w:r>
      <w:r>
        <w:rPr>
          <w:rFonts w:eastAsia="MS Mincho" w:cs="Times New Roman"/>
        </w:rPr>
        <w:t>F</w:t>
      </w:r>
      <w:r w:rsidRPr="006F6F21">
        <w:rPr>
          <w:rFonts w:eastAsia="MS Mincho" w:cs="Times New Roman"/>
        </w:rPr>
        <w:t>emale</w:t>
      </w:r>
      <w:r>
        <w:rPr>
          <w:rFonts w:eastAsia="MS Mincho" w:cs="Times New Roman"/>
        </w:rPr>
        <w:t>,</w:t>
      </w:r>
      <w:r w:rsidR="00CC0615">
        <w:rPr>
          <w:rFonts w:eastAsia="MS Mincho" w:cs="Times New Roman"/>
        </w:rPr>
        <w:t>”</w:t>
      </w:r>
      <w:r w:rsidRPr="006F6F21">
        <w:rPr>
          <w:rFonts w:eastAsia="MS Mincho" w:cs="Times New Roman"/>
        </w:rPr>
        <w:t xml:space="preserve"> in </w:t>
      </w:r>
      <w:r w:rsidRPr="006F6F21">
        <w:rPr>
          <w:rFonts w:eastAsia="MS Mincho" w:cs="Times New Roman"/>
          <w:i/>
        </w:rPr>
        <w:t>Women and Humor in Classical Greece</w:t>
      </w:r>
      <w:r w:rsidRPr="006F6F21">
        <w:rPr>
          <w:rFonts w:eastAsia="MS Mincho" w:cs="Times New Roman"/>
        </w:rPr>
        <w:t>, Cambridge: 58-85.</w:t>
      </w:r>
    </w:p>
    <w:p w14:paraId="2131BD4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Olson, </w:t>
      </w:r>
      <w:r>
        <w:rPr>
          <w:rFonts w:cs="Times New Roman"/>
        </w:rPr>
        <w:t xml:space="preserve">S. </w:t>
      </w:r>
      <w:r w:rsidRPr="006F6F21">
        <w:rPr>
          <w:rFonts w:cs="Times New Roman"/>
        </w:rPr>
        <w:t>D.</w:t>
      </w:r>
      <w:r>
        <w:rPr>
          <w:rFonts w:cs="Times New Roman"/>
        </w:rPr>
        <w:t xml:space="preserve">, </w:t>
      </w:r>
      <w:r w:rsidRPr="006F6F21">
        <w:rPr>
          <w:rFonts w:cs="Times New Roman"/>
        </w:rPr>
        <w:t xml:space="preserve">and A. Sens (eds.) 1999, </w:t>
      </w:r>
      <w:r w:rsidRPr="006F6F21">
        <w:rPr>
          <w:rFonts w:cs="Times New Roman"/>
          <w:i/>
        </w:rPr>
        <w:t>Matro of Pitane and the Tradition of Epic Parody in the Fourth Century BCE</w:t>
      </w:r>
      <w:r w:rsidRPr="006F6F21">
        <w:rPr>
          <w:rFonts w:cs="Times New Roman"/>
        </w:rPr>
        <w:t>, Atlanta.</w:t>
      </w:r>
    </w:p>
    <w:p w14:paraId="0C38082B" w14:textId="06C10271" w:rsidR="003B2A46" w:rsidRPr="006F6F21" w:rsidRDefault="003B2A46" w:rsidP="004819D9">
      <w:pPr>
        <w:spacing w:before="100" w:after="100" w:line="300" w:lineRule="exact"/>
        <w:ind w:left="567" w:hanging="567"/>
        <w:rPr>
          <w:rFonts w:cs="Times New Roman"/>
        </w:rPr>
      </w:pPr>
      <w:r w:rsidRPr="006F6F21">
        <w:rPr>
          <w:rFonts w:cs="Times New Roman"/>
        </w:rPr>
        <w:t xml:space="preserve">Pace, N. 1995, </w:t>
      </w:r>
      <w:r w:rsidR="00CC0615">
        <w:rPr>
          <w:rFonts w:cs="Times New Roman"/>
        </w:rPr>
        <w:t>“</w:t>
      </w:r>
      <w:r w:rsidRPr="006F6F21">
        <w:rPr>
          <w:rFonts w:cs="Times New Roman"/>
        </w:rPr>
        <w:t>Problematiche di poetica di Filodemo,</w:t>
      </w:r>
      <w:r w:rsidR="00CC0615">
        <w:rPr>
          <w:rFonts w:cs="Times New Roman"/>
        </w:rPr>
        <w:t>”</w:t>
      </w:r>
      <w:r w:rsidRPr="006F6F21">
        <w:rPr>
          <w:rFonts w:cs="Times New Roman"/>
        </w:rPr>
        <w:t xml:space="preserve"> </w:t>
      </w:r>
      <w:r w:rsidRPr="006F6F21">
        <w:rPr>
          <w:rFonts w:cs="Times New Roman"/>
          <w:i/>
        </w:rPr>
        <w:t xml:space="preserve">Cronache </w:t>
      </w:r>
      <w:r>
        <w:rPr>
          <w:rFonts w:cs="Times New Roman"/>
          <w:i/>
        </w:rPr>
        <w:t>er</w:t>
      </w:r>
      <w:r w:rsidRPr="006F6F21">
        <w:rPr>
          <w:rFonts w:cs="Times New Roman"/>
          <w:i/>
        </w:rPr>
        <w:t>colanesi</w:t>
      </w:r>
      <w:r w:rsidRPr="006F6F21">
        <w:rPr>
          <w:rFonts w:cs="Times New Roman"/>
        </w:rPr>
        <w:t xml:space="preserve"> 25: 111-190.</w:t>
      </w:r>
    </w:p>
    <w:p w14:paraId="5C9E2140" w14:textId="2EB0210F" w:rsidR="003B2A46" w:rsidRPr="006F6F21" w:rsidRDefault="003B2A46" w:rsidP="004819D9">
      <w:pPr>
        <w:spacing w:before="100" w:after="100" w:line="300" w:lineRule="exact"/>
        <w:ind w:left="567" w:hanging="567"/>
        <w:rPr>
          <w:rFonts w:cs="Times New Roman"/>
        </w:rPr>
      </w:pPr>
      <w:r w:rsidRPr="006F6F21">
        <w:rPr>
          <w:rFonts w:cs="Times New Roman"/>
        </w:rPr>
        <w:t xml:space="preserve">Page, D. 1964, </w:t>
      </w:r>
      <w:r w:rsidR="00CC0615">
        <w:rPr>
          <w:rFonts w:cs="Times New Roman"/>
        </w:rPr>
        <w:t>“</w:t>
      </w:r>
      <w:r w:rsidRPr="006F6F21">
        <w:rPr>
          <w:rFonts w:cs="Times New Roman"/>
        </w:rPr>
        <w:t>Archilochus and the Oral Tradition,</w:t>
      </w:r>
      <w:r w:rsidR="00CC0615">
        <w:rPr>
          <w:rFonts w:cs="Times New Roman"/>
        </w:rPr>
        <w:t>”</w:t>
      </w:r>
      <w:r w:rsidRPr="006F6F21">
        <w:rPr>
          <w:rFonts w:cs="Times New Roman"/>
        </w:rPr>
        <w:t xml:space="preserve"> in K. J. Dover and J. Pouilloux (eds.), </w:t>
      </w:r>
      <w:r w:rsidRPr="006F6F21">
        <w:rPr>
          <w:rFonts w:cs="Times New Roman"/>
          <w:i/>
        </w:rPr>
        <w:t>Archiloque: sept exposés et discussio</w:t>
      </w:r>
      <w:r>
        <w:rPr>
          <w:rFonts w:cs="Times New Roman"/>
          <w:i/>
        </w:rPr>
        <w:t>ns</w:t>
      </w:r>
      <w:r w:rsidRPr="006F6F21">
        <w:rPr>
          <w:rFonts w:cs="Times New Roman"/>
        </w:rPr>
        <w:t xml:space="preserve">, Vandœuvres </w:t>
      </w:r>
      <w:r>
        <w:rPr>
          <w:rFonts w:cs="Times New Roman"/>
        </w:rPr>
        <w:t>-</w:t>
      </w:r>
      <w:r w:rsidRPr="006F6F21">
        <w:rPr>
          <w:rFonts w:cs="Times New Roman"/>
        </w:rPr>
        <w:t xml:space="preserve"> Gen</w:t>
      </w:r>
      <w:r>
        <w:rPr>
          <w:rFonts w:cs="Times New Roman"/>
        </w:rPr>
        <w:t>eva</w:t>
      </w:r>
      <w:r w:rsidRPr="006F6F21">
        <w:rPr>
          <w:rFonts w:cs="Times New Roman"/>
        </w:rPr>
        <w:t>: 119-179.</w:t>
      </w:r>
    </w:p>
    <w:p w14:paraId="396E86F7" w14:textId="77777777" w:rsidR="003B2A46" w:rsidRPr="006F6F21" w:rsidRDefault="003B2A46" w:rsidP="004819D9">
      <w:pPr>
        <w:spacing w:before="100" w:after="100" w:line="300" w:lineRule="exact"/>
        <w:ind w:left="567" w:hanging="567"/>
        <w:rPr>
          <w:rFonts w:cs="Times New Roman"/>
        </w:rPr>
      </w:pPr>
      <w:r w:rsidRPr="006F6F21">
        <w:rPr>
          <w:rFonts w:cs="Times New Roman"/>
        </w:rPr>
        <w:t>Paradis, M. (ed.) 1978,</w:t>
      </w:r>
      <w:r w:rsidRPr="006F6F21">
        <w:rPr>
          <w:rFonts w:cs="Times New Roman"/>
          <w:i/>
        </w:rPr>
        <w:t xml:space="preserve"> Aspects of Bilingualism</w:t>
      </w:r>
      <w:r w:rsidRPr="006F6F21">
        <w:rPr>
          <w:rFonts w:cs="Times New Roman"/>
        </w:rPr>
        <w:t xml:space="preserve">, </w:t>
      </w:r>
      <w:r>
        <w:rPr>
          <w:rFonts w:cs="Times New Roman"/>
        </w:rPr>
        <w:t>Columbia (SC)</w:t>
      </w:r>
      <w:r w:rsidRPr="006F6F21">
        <w:rPr>
          <w:rFonts w:cs="Times New Roman"/>
        </w:rPr>
        <w:t>.</w:t>
      </w:r>
    </w:p>
    <w:p w14:paraId="603C8F17" w14:textId="776719DD" w:rsidR="003B2A46" w:rsidRPr="006F6F21" w:rsidRDefault="003B2A46" w:rsidP="004819D9">
      <w:pPr>
        <w:spacing w:before="100" w:after="100" w:line="300" w:lineRule="exact"/>
        <w:ind w:left="567" w:hanging="567"/>
        <w:rPr>
          <w:rFonts w:cs="Times New Roman"/>
        </w:rPr>
      </w:pPr>
      <w:r w:rsidRPr="006F6F21">
        <w:rPr>
          <w:rFonts w:cs="Times New Roman"/>
        </w:rPr>
        <w:t xml:space="preserve">Parsons, P. J. 1977, </w:t>
      </w:r>
      <w:r w:rsidR="00CC0615">
        <w:rPr>
          <w:rFonts w:cs="Times New Roman"/>
        </w:rPr>
        <w:t>“</w:t>
      </w:r>
      <w:r w:rsidRPr="006F6F21">
        <w:rPr>
          <w:rFonts w:cs="Times New Roman"/>
        </w:rPr>
        <w:t>Callimachus: Victoria Berenices,</w:t>
      </w:r>
      <w:r w:rsidR="00CC0615">
        <w:rPr>
          <w:rFonts w:cs="Times New Roman"/>
        </w:rPr>
        <w:t>”</w:t>
      </w:r>
      <w:r w:rsidRPr="006F6F21">
        <w:rPr>
          <w:rFonts w:cs="Times New Roman"/>
        </w:rPr>
        <w:t xml:space="preserve"> </w:t>
      </w:r>
      <w:r w:rsidRPr="006F6F21">
        <w:rPr>
          <w:rFonts w:cs="Times New Roman"/>
          <w:i/>
        </w:rPr>
        <w:t>Z</w:t>
      </w:r>
      <w:r>
        <w:rPr>
          <w:rFonts w:cs="Times New Roman"/>
          <w:i/>
        </w:rPr>
        <w:t>eitschrift für Papyrologie und Epigraphik</w:t>
      </w:r>
      <w:r w:rsidRPr="006F6F21">
        <w:rPr>
          <w:rFonts w:cs="Times New Roman"/>
        </w:rPr>
        <w:t xml:space="preserve"> 25: 1-50.</w:t>
      </w:r>
    </w:p>
    <w:p w14:paraId="0E4A4BA3" w14:textId="1C2DE775" w:rsidR="003B2A46" w:rsidRPr="006F6F21" w:rsidRDefault="003B2A46" w:rsidP="004819D9">
      <w:pPr>
        <w:spacing w:before="100" w:after="100" w:line="300" w:lineRule="exact"/>
        <w:ind w:left="567" w:hanging="567"/>
        <w:rPr>
          <w:rFonts w:cs="Times New Roman"/>
        </w:rPr>
      </w:pPr>
      <w:r w:rsidRPr="006F6F21">
        <w:rPr>
          <w:rFonts w:cs="Times New Roman"/>
        </w:rPr>
        <w:t xml:space="preserve">— 2011, </w:t>
      </w:r>
      <w:r w:rsidR="00CC0615">
        <w:rPr>
          <w:rFonts w:cs="Times New Roman"/>
        </w:rPr>
        <w:t>“</w:t>
      </w:r>
      <w:r w:rsidRPr="006F6F21">
        <w:rPr>
          <w:rFonts w:cs="Times New Roman"/>
        </w:rPr>
        <w:t xml:space="preserve">Callimachus and His </w:t>
      </w:r>
      <w:r w:rsidRPr="006F6F21">
        <w:rPr>
          <w:rFonts w:cs="Times New Roman"/>
          <w:i/>
        </w:rPr>
        <w:t>Koinai</w:t>
      </w:r>
      <w:r w:rsidRPr="006F6F21">
        <w:rPr>
          <w:rFonts w:cs="Times New Roman"/>
        </w:rPr>
        <w:t>,</w:t>
      </w:r>
      <w:r w:rsidR="00CC0615">
        <w:rPr>
          <w:rFonts w:cs="Times New Roman"/>
        </w:rPr>
        <w:t>”</w:t>
      </w:r>
      <w:r w:rsidRPr="006F6F21">
        <w:rPr>
          <w:rFonts w:cs="Times New Roman"/>
        </w:rPr>
        <w:t xml:space="preserve"> in B. Acosta-Hughes, L. Lehnus, and S. Stephens</w:t>
      </w:r>
      <w:r>
        <w:rPr>
          <w:rFonts w:cs="Times New Roman"/>
        </w:rPr>
        <w:t xml:space="preserve"> (eds.)</w:t>
      </w:r>
      <w:r w:rsidRPr="006F6F21">
        <w:rPr>
          <w:rFonts w:cs="Times New Roman"/>
        </w:rPr>
        <w:t xml:space="preserve">, </w:t>
      </w:r>
      <w:r w:rsidRPr="006F6F21">
        <w:rPr>
          <w:rFonts w:cs="Times New Roman"/>
          <w:i/>
        </w:rPr>
        <w:t>Brill</w:t>
      </w:r>
      <w:r w:rsidR="00075F5F">
        <w:rPr>
          <w:rFonts w:cs="Times New Roman"/>
          <w:i/>
        </w:rPr>
        <w:t>’</w:t>
      </w:r>
      <w:r w:rsidRPr="006F6F21">
        <w:rPr>
          <w:rFonts w:cs="Times New Roman"/>
          <w:i/>
        </w:rPr>
        <w:t>s Companion to Callimachus</w:t>
      </w:r>
      <w:r w:rsidRPr="006F6F21">
        <w:rPr>
          <w:rFonts w:cs="Times New Roman"/>
        </w:rPr>
        <w:t>, Leiden: 134-152.</w:t>
      </w:r>
    </w:p>
    <w:p w14:paraId="53445D5E" w14:textId="3475B7D0" w:rsidR="003B2A46" w:rsidRPr="006F6F21" w:rsidRDefault="003B2A46" w:rsidP="004819D9">
      <w:pPr>
        <w:spacing w:before="100" w:after="100" w:line="300" w:lineRule="exact"/>
        <w:ind w:left="567" w:hanging="567"/>
        <w:rPr>
          <w:rFonts w:cs="Times New Roman"/>
        </w:rPr>
      </w:pPr>
      <w:r w:rsidRPr="006F6F21">
        <w:rPr>
          <w:rFonts w:cs="Times New Roman"/>
        </w:rPr>
        <w:t>Passa, E. 2008</w:t>
      </w:r>
      <w:r>
        <w:rPr>
          <w:rFonts w:cs="Times New Roman"/>
        </w:rPr>
        <w:t>a</w:t>
      </w:r>
      <w:r w:rsidRPr="006F6F21">
        <w:rPr>
          <w:rFonts w:cs="Times New Roman"/>
        </w:rPr>
        <w:t xml:space="preserve">, </w:t>
      </w:r>
      <w:r w:rsidR="00CC0615">
        <w:rPr>
          <w:rFonts w:cs="Times New Roman"/>
        </w:rPr>
        <w:t>“</w:t>
      </w:r>
      <w:r w:rsidRPr="006F6F21">
        <w:rPr>
          <w:rFonts w:cs="Times New Roman"/>
        </w:rPr>
        <w:t>L</w:t>
      </w:r>
      <w:r w:rsidR="00075F5F">
        <w:rPr>
          <w:rFonts w:cs="Times New Roman"/>
        </w:rPr>
        <w:t>’</w:t>
      </w:r>
      <w:r w:rsidRPr="006F6F21">
        <w:rPr>
          <w:rFonts w:cs="Times New Roman"/>
        </w:rPr>
        <w:t>epica,</w:t>
      </w:r>
      <w:r w:rsidR="00CC0615">
        <w:rPr>
          <w:rFonts w:cs="Times New Roman"/>
        </w:rPr>
        <w:t>”</w:t>
      </w:r>
      <w:r w:rsidRPr="006F6F21">
        <w:rPr>
          <w:rFonts w:cs="Times New Roman"/>
        </w:rPr>
        <w:t xml:space="preserve"> in A. C. Cassio (ed.), </w:t>
      </w:r>
      <w:r w:rsidRPr="006F6F21">
        <w:rPr>
          <w:rFonts w:cs="Times New Roman"/>
          <w:i/>
        </w:rPr>
        <w:t>Storia delle lingue letterarie greche</w:t>
      </w:r>
      <w:r w:rsidRPr="006F6F21">
        <w:rPr>
          <w:rFonts w:cs="Times New Roman"/>
        </w:rPr>
        <w:t>, Milan: 99-144.</w:t>
      </w:r>
    </w:p>
    <w:p w14:paraId="00BEBEFC" w14:textId="6EC1B328" w:rsidR="003B2A46" w:rsidRPr="006F6F21" w:rsidRDefault="003B2A46" w:rsidP="004819D9">
      <w:pPr>
        <w:spacing w:before="100" w:after="100" w:line="300" w:lineRule="exact"/>
        <w:ind w:left="567" w:hanging="567"/>
        <w:rPr>
          <w:rFonts w:cs="Times New Roman"/>
        </w:rPr>
      </w:pPr>
      <w:r w:rsidRPr="006F6F21">
        <w:rPr>
          <w:rFonts w:cs="Times New Roman"/>
        </w:rPr>
        <w:t>— 2008</w:t>
      </w:r>
      <w:r>
        <w:rPr>
          <w:rFonts w:cs="Times New Roman"/>
        </w:rPr>
        <w:t>b</w:t>
      </w:r>
      <w:r w:rsidRPr="006F6F21">
        <w:rPr>
          <w:rFonts w:cs="Times New Roman"/>
        </w:rPr>
        <w:t xml:space="preserve">, </w:t>
      </w:r>
      <w:r w:rsidR="00CC0615">
        <w:rPr>
          <w:rFonts w:cs="Times New Roman"/>
        </w:rPr>
        <w:t>“</w:t>
      </w:r>
      <w:r w:rsidRPr="006F6F21">
        <w:rPr>
          <w:rFonts w:cs="Times New Roman"/>
        </w:rPr>
        <w:t>L</w:t>
      </w:r>
      <w:r w:rsidR="00075F5F">
        <w:rPr>
          <w:rFonts w:cs="Times New Roman"/>
        </w:rPr>
        <w:t>’</w:t>
      </w:r>
      <w:r w:rsidRPr="006F6F21">
        <w:rPr>
          <w:rFonts w:cs="Times New Roman"/>
        </w:rPr>
        <w:t>elegia e l</w:t>
      </w:r>
      <w:r w:rsidR="00075F5F">
        <w:rPr>
          <w:rFonts w:cs="Times New Roman"/>
        </w:rPr>
        <w:t>’</w:t>
      </w:r>
      <w:r w:rsidRPr="006F6F21">
        <w:rPr>
          <w:rFonts w:cs="Times New Roman"/>
        </w:rPr>
        <w:t>epigramma su pietra,</w:t>
      </w:r>
      <w:r w:rsidR="00CC0615">
        <w:rPr>
          <w:rFonts w:cs="Times New Roman"/>
        </w:rPr>
        <w:t>”</w:t>
      </w:r>
      <w:r w:rsidRPr="006F6F21">
        <w:rPr>
          <w:rFonts w:cs="Times New Roman"/>
        </w:rPr>
        <w:t xml:space="preserve"> in A. C. Cassio (ed.), </w:t>
      </w:r>
      <w:r w:rsidRPr="006F6F21">
        <w:rPr>
          <w:rFonts w:cs="Times New Roman"/>
          <w:i/>
        </w:rPr>
        <w:t>Storia delle lingue letterarie greche</w:t>
      </w:r>
      <w:r w:rsidRPr="006F6F21">
        <w:rPr>
          <w:rFonts w:cs="Times New Roman"/>
        </w:rPr>
        <w:t>, Milan: 205-230.</w:t>
      </w:r>
    </w:p>
    <w:p w14:paraId="30B1893D" w14:textId="1D9506DB" w:rsidR="003B2A46" w:rsidRPr="006F6F21" w:rsidRDefault="003B2A46" w:rsidP="004819D9">
      <w:pPr>
        <w:spacing w:before="100" w:after="100" w:line="300" w:lineRule="exact"/>
        <w:ind w:left="567" w:hanging="567"/>
        <w:rPr>
          <w:rFonts w:cs="Times New Roman"/>
        </w:rPr>
      </w:pPr>
      <w:r w:rsidRPr="006F6F21">
        <w:rPr>
          <w:rFonts w:cs="Times New Roman"/>
        </w:rPr>
        <w:t xml:space="preserve">Pellizer, E. 1990, </w:t>
      </w:r>
      <w:r w:rsidR="00CC0615">
        <w:rPr>
          <w:rFonts w:cs="Times New Roman"/>
        </w:rPr>
        <w:t>“</w:t>
      </w:r>
      <w:r w:rsidRPr="006F6F21">
        <w:rPr>
          <w:rFonts w:cs="Times New Roman"/>
        </w:rPr>
        <w:t>Outline of a Morphology of Sympotic Entertainment,</w:t>
      </w:r>
      <w:r w:rsidR="00CC0615">
        <w:rPr>
          <w:rFonts w:cs="Times New Roman"/>
        </w:rPr>
        <w:t>”</w:t>
      </w:r>
      <w:r w:rsidRPr="006F6F21">
        <w:rPr>
          <w:rFonts w:cs="Times New Roman"/>
        </w:rPr>
        <w:t xml:space="preserve"> in O. Murray (ed.), </w:t>
      </w:r>
      <w:r w:rsidRPr="006F6F21">
        <w:rPr>
          <w:rFonts w:cs="Times New Roman"/>
          <w:i/>
        </w:rPr>
        <w:t>Sympotica: A Symposium on the Symposion</w:t>
      </w:r>
      <w:r w:rsidRPr="006F6F21">
        <w:rPr>
          <w:rFonts w:cs="Times New Roman"/>
        </w:rPr>
        <w:t>, Oxford: 177-184.</w:t>
      </w:r>
    </w:p>
    <w:p w14:paraId="25EAABC6" w14:textId="77777777" w:rsidR="003B2A46" w:rsidRPr="006F6F21" w:rsidRDefault="003B2A46" w:rsidP="004819D9">
      <w:pPr>
        <w:spacing w:before="100" w:after="100" w:line="300" w:lineRule="exact"/>
        <w:ind w:left="567" w:hanging="567"/>
        <w:rPr>
          <w:rFonts w:eastAsia="MS Mincho" w:cs="Times New Roman"/>
        </w:rPr>
      </w:pPr>
      <w:r w:rsidRPr="006F6F21">
        <w:rPr>
          <w:rFonts w:eastAsia="MS Mincho" w:cs="Times New Roman"/>
        </w:rPr>
        <w:t>Pellizier, E.</w:t>
      </w:r>
      <w:r>
        <w:rPr>
          <w:rFonts w:eastAsia="MS Mincho" w:cs="Times New Roman"/>
        </w:rPr>
        <w:t xml:space="preserve">, </w:t>
      </w:r>
      <w:r w:rsidRPr="006F6F21">
        <w:rPr>
          <w:rFonts w:eastAsia="MS Mincho" w:cs="Times New Roman"/>
        </w:rPr>
        <w:t>and G. Tedeschi (eds.) 1990,</w:t>
      </w:r>
      <w:r w:rsidRPr="006F6F21">
        <w:rPr>
          <w:rFonts w:eastAsia="MS Mincho" w:cs="Times New Roman"/>
          <w:i/>
        </w:rPr>
        <w:t xml:space="preserve"> Semonides, Testimonia et Fragmenta</w:t>
      </w:r>
      <w:r w:rsidRPr="006F6F21">
        <w:rPr>
          <w:rFonts w:eastAsia="MS Mincho" w:cs="Times New Roman"/>
        </w:rPr>
        <w:t>, Rome.</w:t>
      </w:r>
    </w:p>
    <w:p w14:paraId="36CC9C44"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Perry, B. E. (ed.) 1965, </w:t>
      </w:r>
      <w:r w:rsidRPr="006F6F21">
        <w:rPr>
          <w:rFonts w:cs="Times New Roman"/>
          <w:i/>
        </w:rPr>
        <w:t>Babrius and Phaedrus</w:t>
      </w:r>
      <w:r w:rsidRPr="006F6F21">
        <w:rPr>
          <w:rFonts w:cs="Times New Roman"/>
        </w:rPr>
        <w:t>, Cambridge (MA).</w:t>
      </w:r>
    </w:p>
    <w:p w14:paraId="6293A9EA" w14:textId="2D89CF50"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Peppler, C. W. 1916, </w:t>
      </w:r>
      <w:r w:rsidR="00CC0615">
        <w:rPr>
          <w:rFonts w:cs="Times New Roman"/>
        </w:rPr>
        <w:t>“</w:t>
      </w:r>
      <w:r w:rsidRPr="006F6F21">
        <w:rPr>
          <w:rFonts w:cs="Times New Roman"/>
        </w:rPr>
        <w:t xml:space="preserve">The Suffix </w:t>
      </w:r>
      <w:r w:rsidRPr="007F1E99">
        <w:rPr>
          <w:rFonts w:cs="Times New Roman"/>
          <w:lang w:val="en-US"/>
        </w:rPr>
        <w:t>-</w:t>
      </w:r>
      <w:r w:rsidRPr="006F6F21">
        <w:rPr>
          <w:rFonts w:cs="Times New Roman"/>
          <w:lang w:val="el-GR"/>
        </w:rPr>
        <w:t>μα</w:t>
      </w:r>
      <w:r w:rsidRPr="007F1E99">
        <w:rPr>
          <w:rFonts w:cs="Times New Roman"/>
          <w:lang w:val="en-US"/>
        </w:rPr>
        <w:t xml:space="preserve"> in Aristophanes,</w:t>
      </w:r>
      <w:r w:rsidR="00CC0615">
        <w:rPr>
          <w:rFonts w:cs="Times New Roman"/>
          <w:lang w:val="it-IT"/>
        </w:rPr>
        <w:t>”</w:t>
      </w:r>
      <w:r w:rsidRPr="006F6F21">
        <w:rPr>
          <w:rFonts w:cs="Times New Roman"/>
        </w:rPr>
        <w:t xml:space="preserve"> </w:t>
      </w:r>
      <w:r w:rsidRPr="006F6F21">
        <w:rPr>
          <w:rFonts w:cs="Times New Roman"/>
          <w:i/>
        </w:rPr>
        <w:t>American Journal of Philology</w:t>
      </w:r>
      <w:r w:rsidRPr="006F6F21">
        <w:rPr>
          <w:rFonts w:cs="Times New Roman"/>
        </w:rPr>
        <w:t xml:space="preserve"> 37: 459-465.</w:t>
      </w:r>
    </w:p>
    <w:p w14:paraId="55EA69FF" w14:textId="2AABFC94" w:rsidR="003B2A46" w:rsidRPr="006F6F21" w:rsidRDefault="003B2A46" w:rsidP="004819D9">
      <w:pPr>
        <w:spacing w:before="100" w:after="100" w:line="300" w:lineRule="exact"/>
        <w:ind w:left="567" w:hanging="567"/>
        <w:rPr>
          <w:rFonts w:cs="Times New Roman"/>
        </w:rPr>
      </w:pPr>
      <w:r w:rsidRPr="006F6F21">
        <w:rPr>
          <w:rFonts w:cs="Times New Roman"/>
        </w:rPr>
        <w:t xml:space="preserve">Perry, B. E. 1962, </w:t>
      </w:r>
      <w:r w:rsidR="00CC0615">
        <w:rPr>
          <w:rFonts w:cs="Times New Roman"/>
        </w:rPr>
        <w:t>“</w:t>
      </w:r>
      <w:r w:rsidRPr="006F6F21">
        <w:rPr>
          <w:rFonts w:cs="Times New Roman"/>
        </w:rPr>
        <w:t>Demetrius of Phalerum and</w:t>
      </w:r>
      <w:r>
        <w:rPr>
          <w:rFonts w:cs="Times New Roman"/>
        </w:rPr>
        <w:t xml:space="preserve"> the </w:t>
      </w:r>
      <w:r w:rsidRPr="006F6F21">
        <w:rPr>
          <w:rFonts w:cs="Times New Roman"/>
        </w:rPr>
        <w:t>Aesopic Fables,</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Association</w:t>
      </w:r>
      <w:r w:rsidRPr="006F6F21">
        <w:rPr>
          <w:rFonts w:cs="Times New Roman"/>
        </w:rPr>
        <w:t xml:space="preserve"> 93: 287-346.</w:t>
      </w:r>
    </w:p>
    <w:p w14:paraId="1CF13C5F" w14:textId="16B58AAA" w:rsidR="003B2A46" w:rsidRPr="006F6F21" w:rsidRDefault="003B2A46" w:rsidP="004819D9">
      <w:pPr>
        <w:spacing w:before="100" w:after="100" w:line="300" w:lineRule="exact"/>
        <w:ind w:left="567" w:hanging="567"/>
        <w:rPr>
          <w:rFonts w:cs="Times New Roman"/>
        </w:rPr>
      </w:pPr>
      <w:r w:rsidRPr="006F6F21">
        <w:rPr>
          <w:rFonts w:cs="Times New Roman"/>
        </w:rPr>
        <w:t xml:space="preserve">Pfeiffer, R. 1933, </w:t>
      </w:r>
      <w:r w:rsidR="00CC0615">
        <w:rPr>
          <w:rFonts w:cs="Times New Roman"/>
        </w:rPr>
        <w:t>“</w:t>
      </w:r>
      <w:r w:rsidRPr="006F6F21">
        <w:rPr>
          <w:rFonts w:cs="Times New Roman"/>
        </w:rPr>
        <w:t>Ein Epodenfragment aus dem Iambenbuche des Kallimachos,</w:t>
      </w:r>
      <w:r w:rsidR="00CC0615">
        <w:rPr>
          <w:rFonts w:cs="Times New Roman"/>
        </w:rPr>
        <w:t>”</w:t>
      </w:r>
      <w:r w:rsidRPr="006F6F21">
        <w:rPr>
          <w:rFonts w:cs="Times New Roman"/>
        </w:rPr>
        <w:t xml:space="preserve"> </w:t>
      </w:r>
      <w:r w:rsidRPr="006F6F21">
        <w:rPr>
          <w:rFonts w:cs="Times New Roman"/>
          <w:i/>
        </w:rPr>
        <w:t>Philologus</w:t>
      </w:r>
      <w:r w:rsidRPr="006F6F21">
        <w:rPr>
          <w:rFonts w:cs="Times New Roman"/>
        </w:rPr>
        <w:t xml:space="preserve"> 88: 265-271.</w:t>
      </w:r>
    </w:p>
    <w:p w14:paraId="6DA5CF17"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1968, </w:t>
      </w:r>
      <w:r w:rsidRPr="006F6F21">
        <w:rPr>
          <w:rFonts w:cs="Times New Roman"/>
          <w:i/>
        </w:rPr>
        <w:t>History of Classical Scholarship: From the Beginnings to the End of the Hellenistic Age</w:t>
      </w:r>
      <w:r w:rsidRPr="006F6F21">
        <w:rPr>
          <w:rFonts w:cs="Times New Roman"/>
        </w:rPr>
        <w:t>, Oxford.</w:t>
      </w:r>
    </w:p>
    <w:p w14:paraId="0D06A99B"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 1949, </w:t>
      </w:r>
      <w:r w:rsidRPr="007F1E99">
        <w:rPr>
          <w:rFonts w:cs="Times New Roman"/>
          <w:i/>
          <w:lang w:val="nl-NL"/>
        </w:rPr>
        <w:t>Callimachus</w:t>
      </w:r>
      <w:r w:rsidRPr="007F1E99">
        <w:rPr>
          <w:rFonts w:cs="Times New Roman"/>
          <w:lang w:val="nl-NL"/>
        </w:rPr>
        <w:t xml:space="preserve">, vol. 1: </w:t>
      </w:r>
      <w:r w:rsidRPr="007F1E99">
        <w:rPr>
          <w:rFonts w:cs="Times New Roman"/>
          <w:i/>
          <w:lang w:val="nl-NL"/>
        </w:rPr>
        <w:t>Fragmenta</w:t>
      </w:r>
      <w:r w:rsidRPr="007F1E99">
        <w:rPr>
          <w:rFonts w:cs="Times New Roman"/>
          <w:lang w:val="nl-NL"/>
        </w:rPr>
        <w:t>, Oxford.</w:t>
      </w:r>
    </w:p>
    <w:p w14:paraId="53A569B6" w14:textId="77777777" w:rsidR="003B2A46" w:rsidRPr="007F1E99" w:rsidRDefault="003B2A46" w:rsidP="004819D9">
      <w:pPr>
        <w:spacing w:before="100" w:after="100" w:line="300" w:lineRule="exact"/>
        <w:ind w:left="567" w:hanging="567"/>
        <w:rPr>
          <w:lang w:val="nl-NL"/>
        </w:rPr>
      </w:pPr>
      <w:r w:rsidRPr="007F1E99">
        <w:rPr>
          <w:rFonts w:cs="Times New Roman"/>
          <w:lang w:val="nl-NL"/>
        </w:rPr>
        <w:t xml:space="preserve">— 1953, </w:t>
      </w:r>
      <w:r w:rsidRPr="007F1E99">
        <w:rPr>
          <w:rFonts w:cs="Times New Roman"/>
          <w:i/>
          <w:lang w:val="nl-NL"/>
        </w:rPr>
        <w:t>Callimachus</w:t>
      </w:r>
      <w:r w:rsidRPr="007F1E99">
        <w:rPr>
          <w:rFonts w:cs="Times New Roman"/>
          <w:lang w:val="nl-NL"/>
        </w:rPr>
        <w:t xml:space="preserve">, vol. 2: </w:t>
      </w:r>
      <w:r w:rsidRPr="007F1E99">
        <w:rPr>
          <w:rFonts w:cs="Times New Roman"/>
          <w:i/>
          <w:lang w:val="nl-NL"/>
        </w:rPr>
        <w:t>Hymni et Epigrammata</w:t>
      </w:r>
      <w:r w:rsidRPr="007F1E99">
        <w:rPr>
          <w:rFonts w:cs="Times New Roman"/>
          <w:lang w:val="nl-NL"/>
        </w:rPr>
        <w:t>, Oxford.</w:t>
      </w:r>
    </w:p>
    <w:p w14:paraId="0BD5531F"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Pöhlmann, E. 1994, </w:t>
      </w:r>
      <w:r w:rsidRPr="007F1E99">
        <w:rPr>
          <w:rFonts w:cs="Times New Roman"/>
          <w:i/>
          <w:lang w:val="nl-NL"/>
        </w:rPr>
        <w:t>Einführung in die Überlieferungsgeschichte und in die Textkritik der antiken Literatur</w:t>
      </w:r>
      <w:r w:rsidRPr="007F1E99">
        <w:rPr>
          <w:rFonts w:cs="Times New Roman"/>
          <w:lang w:val="nl-NL"/>
        </w:rPr>
        <w:t>, vol. 1, Darmstadt.</w:t>
      </w:r>
    </w:p>
    <w:p w14:paraId="11E2843C" w14:textId="5C1D92F0" w:rsidR="003B2A46" w:rsidRDefault="003B2A46" w:rsidP="004819D9">
      <w:pPr>
        <w:spacing w:before="100" w:after="100" w:line="300" w:lineRule="exact"/>
        <w:ind w:left="567" w:hanging="567"/>
        <w:rPr>
          <w:rFonts w:cs="Times New Roman"/>
        </w:rPr>
      </w:pPr>
      <w:r w:rsidRPr="006F6F21">
        <w:rPr>
          <w:rFonts w:cs="Times New Roman"/>
        </w:rPr>
        <w:t xml:space="preserve">Polito, M. 2004, </w:t>
      </w:r>
      <w:r w:rsidRPr="006F6F21">
        <w:rPr>
          <w:rFonts w:cs="Times New Roman"/>
          <w:i/>
        </w:rPr>
        <w:t>Il doumos: un</w:t>
      </w:r>
      <w:r w:rsidR="00075F5F">
        <w:rPr>
          <w:rFonts w:cs="Times New Roman"/>
          <w:i/>
        </w:rPr>
        <w:t>’</w:t>
      </w:r>
      <w:r w:rsidRPr="006F6F21">
        <w:rPr>
          <w:rFonts w:cs="Times New Roman"/>
          <w:i/>
        </w:rPr>
        <w:t>associazione sacra in zone di contatto</w:t>
      </w:r>
      <w:r w:rsidRPr="006F6F21">
        <w:rPr>
          <w:rFonts w:cs="Times New Roman"/>
        </w:rPr>
        <w:t>, Naples.</w:t>
      </w:r>
    </w:p>
    <w:p w14:paraId="39F7BF93" w14:textId="134D475A" w:rsidR="003B2A46" w:rsidRPr="006F6F21" w:rsidRDefault="003B2A46" w:rsidP="004819D9">
      <w:pPr>
        <w:spacing w:before="100" w:after="100" w:line="300" w:lineRule="exact"/>
        <w:ind w:left="567" w:hanging="567"/>
        <w:rPr>
          <w:rFonts w:cs="Times New Roman"/>
        </w:rPr>
      </w:pPr>
      <w:r>
        <w:rPr>
          <w:rFonts w:cs="Times New Roman"/>
        </w:rPr>
        <w:t xml:space="preserve">Poplack, S. 1980, </w:t>
      </w:r>
      <w:r w:rsidR="00CC0615">
        <w:rPr>
          <w:rFonts w:cs="Times New Roman"/>
        </w:rPr>
        <w:t>“</w:t>
      </w:r>
      <w:r>
        <w:rPr>
          <w:rFonts w:cs="Times New Roman"/>
        </w:rPr>
        <w:t>Sometimes I</w:t>
      </w:r>
      <w:r w:rsidR="00075F5F">
        <w:rPr>
          <w:rFonts w:cs="Times New Roman"/>
        </w:rPr>
        <w:t>’</w:t>
      </w:r>
      <w:r>
        <w:rPr>
          <w:rFonts w:cs="Times New Roman"/>
        </w:rPr>
        <w:t>ll Start a Sentence in English y termino en español: Towards a Typology of Code-</w:t>
      </w:r>
      <w:r w:rsidRPr="00F27877">
        <w:rPr>
          <w:rFonts w:cs="Times New Roman"/>
        </w:rPr>
        <w:t>Switching</w:t>
      </w:r>
      <w:r>
        <w:rPr>
          <w:rFonts w:cs="Times New Roman"/>
        </w:rPr>
        <w:t>,</w:t>
      </w:r>
      <w:r w:rsidR="00CC0615">
        <w:rPr>
          <w:rFonts w:cs="Times New Roman"/>
        </w:rPr>
        <w:t>”</w:t>
      </w:r>
      <w:r>
        <w:rPr>
          <w:rFonts w:cs="Times New Roman"/>
        </w:rPr>
        <w:t xml:space="preserve"> </w:t>
      </w:r>
      <w:r w:rsidRPr="002F1E35">
        <w:rPr>
          <w:rFonts w:cs="Times New Roman"/>
          <w:i/>
        </w:rPr>
        <w:t xml:space="preserve">Linguistics </w:t>
      </w:r>
      <w:r>
        <w:rPr>
          <w:rFonts w:cs="Times New Roman"/>
        </w:rPr>
        <w:t>18: 581-616.</w:t>
      </w:r>
    </w:p>
    <w:p w14:paraId="707D32B5" w14:textId="44AD7A8E" w:rsidR="003B2A46" w:rsidRPr="006F6F21" w:rsidRDefault="003B2A46" w:rsidP="004819D9">
      <w:pPr>
        <w:spacing w:before="100" w:after="100" w:line="300" w:lineRule="exact"/>
        <w:ind w:left="567" w:hanging="567"/>
        <w:rPr>
          <w:rFonts w:cs="Times New Roman"/>
        </w:rPr>
      </w:pPr>
      <w:r w:rsidRPr="006F6F21">
        <w:rPr>
          <w:rFonts w:cs="Times New Roman"/>
        </w:rPr>
        <w:t xml:space="preserve">Porro, A. 2007, </w:t>
      </w:r>
      <w:r w:rsidR="00CC0615">
        <w:rPr>
          <w:rFonts w:cs="Times New Roman"/>
        </w:rPr>
        <w:t>“</w:t>
      </w:r>
      <w:r w:rsidRPr="006F6F21">
        <w:rPr>
          <w:rFonts w:cs="Times New Roman"/>
        </w:rPr>
        <w:t>Archiloco e gli Alessandrini,</w:t>
      </w:r>
      <w:r w:rsidR="00CC0615">
        <w:rPr>
          <w:rFonts w:cs="Times New Roman"/>
        </w:rPr>
        <w:t>”</w:t>
      </w:r>
      <w:r w:rsidRPr="006F6F21">
        <w:rPr>
          <w:rFonts w:cs="Times New Roman"/>
        </w:rPr>
        <w:t xml:space="preserve"> in R. Pretagostini and E. Dettori (eds.), </w:t>
      </w:r>
      <w:r w:rsidRPr="006F6F21">
        <w:rPr>
          <w:rFonts w:cs="Times New Roman"/>
          <w:i/>
        </w:rPr>
        <w:t>La cultura letteraria ellenistica</w:t>
      </w:r>
      <w:r>
        <w:rPr>
          <w:rFonts w:cs="Times New Roman"/>
          <w:i/>
        </w:rPr>
        <w:t xml:space="preserve">: </w:t>
      </w:r>
      <w:r w:rsidRPr="006F6F21">
        <w:rPr>
          <w:rFonts w:cs="Times New Roman"/>
          <w:i/>
        </w:rPr>
        <w:t>Persistenza, innovazione, trasmissione</w:t>
      </w:r>
      <w:r w:rsidRPr="006F6F21">
        <w:rPr>
          <w:rFonts w:cs="Times New Roman"/>
        </w:rPr>
        <w:t>, Rome: 209-222.</w:t>
      </w:r>
    </w:p>
    <w:p w14:paraId="0E0F2E76" w14:textId="139A0054" w:rsidR="003B2A46" w:rsidRPr="006F6F21" w:rsidRDefault="003B2A46" w:rsidP="004819D9">
      <w:pPr>
        <w:spacing w:before="100" w:after="100" w:line="300" w:lineRule="exact"/>
        <w:ind w:left="567" w:hanging="567"/>
        <w:rPr>
          <w:rFonts w:cs="Times New Roman"/>
          <w:lang w:val="en-IE"/>
        </w:rPr>
      </w:pPr>
      <w:r w:rsidRPr="006F6F21">
        <w:rPr>
          <w:rFonts w:cs="Times New Roman"/>
          <w:lang w:val="en-IE"/>
        </w:rPr>
        <w:t xml:space="preserve">— 2009, </w:t>
      </w:r>
      <w:r w:rsidR="00CC0615">
        <w:rPr>
          <w:rFonts w:cs="Times New Roman"/>
          <w:lang w:val="en-IE"/>
        </w:rPr>
        <w:t>“</w:t>
      </w:r>
      <w:r w:rsidRPr="006F6F21">
        <w:rPr>
          <w:rFonts w:cs="Times New Roman"/>
          <w:lang w:val="en-IE"/>
        </w:rPr>
        <w:t xml:space="preserve">Forms and </w:t>
      </w:r>
      <w:r>
        <w:rPr>
          <w:rFonts w:cs="Times New Roman"/>
          <w:lang w:val="en-IE"/>
        </w:rPr>
        <w:t>G</w:t>
      </w:r>
      <w:r w:rsidRPr="006F6F21">
        <w:rPr>
          <w:rFonts w:cs="Times New Roman"/>
          <w:lang w:val="en-IE"/>
        </w:rPr>
        <w:t xml:space="preserve">enres of Alexandrian </w:t>
      </w:r>
      <w:r>
        <w:rPr>
          <w:rFonts w:cs="Times New Roman"/>
          <w:lang w:val="en-IE"/>
        </w:rPr>
        <w:t>E</w:t>
      </w:r>
      <w:r w:rsidRPr="006F6F21">
        <w:rPr>
          <w:rFonts w:cs="Times New Roman"/>
          <w:lang w:val="en-IE"/>
        </w:rPr>
        <w:t xml:space="preserve">xegesis on </w:t>
      </w:r>
      <w:r>
        <w:rPr>
          <w:rFonts w:cs="Times New Roman"/>
          <w:lang w:val="en-IE"/>
        </w:rPr>
        <w:t>L</w:t>
      </w:r>
      <w:r w:rsidRPr="006F6F21">
        <w:rPr>
          <w:rFonts w:cs="Times New Roman"/>
          <w:lang w:val="en-IE"/>
        </w:rPr>
        <w:t xml:space="preserve">yric </w:t>
      </w:r>
      <w:r>
        <w:rPr>
          <w:rFonts w:cs="Times New Roman"/>
          <w:lang w:val="en-IE"/>
        </w:rPr>
        <w:t>P</w:t>
      </w:r>
      <w:r w:rsidRPr="006F6F21">
        <w:rPr>
          <w:rFonts w:cs="Times New Roman"/>
          <w:lang w:val="en-IE"/>
        </w:rPr>
        <w:t>oets,</w:t>
      </w:r>
      <w:r w:rsidR="00CC0615">
        <w:rPr>
          <w:rFonts w:cs="Times New Roman"/>
          <w:lang w:val="en-IE"/>
        </w:rPr>
        <w:t>”</w:t>
      </w:r>
      <w:r w:rsidRPr="006F6F21">
        <w:rPr>
          <w:rFonts w:cs="Times New Roman"/>
          <w:lang w:val="en-IE"/>
        </w:rPr>
        <w:t xml:space="preserve"> </w:t>
      </w:r>
      <w:r w:rsidRPr="006F6F21">
        <w:rPr>
          <w:rFonts w:cs="Times New Roman"/>
          <w:i/>
          <w:lang w:val="en-IE"/>
        </w:rPr>
        <w:t>Trends in Classics</w:t>
      </w:r>
      <w:r w:rsidRPr="006F6F21">
        <w:rPr>
          <w:rFonts w:cs="Times New Roman"/>
          <w:lang w:val="en-IE"/>
        </w:rPr>
        <w:t xml:space="preserve"> 1</w:t>
      </w:r>
      <w:r>
        <w:rPr>
          <w:rFonts w:cs="Times New Roman"/>
          <w:lang w:val="en-IE"/>
        </w:rPr>
        <w:t>.2</w:t>
      </w:r>
      <w:r w:rsidRPr="006F6F21">
        <w:rPr>
          <w:rFonts w:cs="Times New Roman"/>
          <w:lang w:val="en-IE"/>
        </w:rPr>
        <w:t>: 183-202.</w:t>
      </w:r>
    </w:p>
    <w:p w14:paraId="77761D23"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Powell, J. U. (ed.) 1925, </w:t>
      </w:r>
      <w:r w:rsidRPr="006F6F21">
        <w:rPr>
          <w:rFonts w:cs="Times New Roman"/>
          <w:i/>
        </w:rPr>
        <w:t>Collectanea Alexandrina</w:t>
      </w:r>
      <w:r w:rsidRPr="006F6F21">
        <w:rPr>
          <w:rFonts w:cs="Times New Roman"/>
        </w:rPr>
        <w:t>, Oxford.</w:t>
      </w:r>
    </w:p>
    <w:p w14:paraId="0948B15E"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Puelma Piwonka, M. 1949, </w:t>
      </w:r>
      <w:r w:rsidRPr="007F1E99">
        <w:rPr>
          <w:rFonts w:cs="Times New Roman"/>
          <w:i/>
          <w:lang w:val="nl-NL"/>
        </w:rPr>
        <w:t>Lucilius und Kallimachos: Zur Geschichte einer Gattung der hellenistisch-römischen Poesie</w:t>
      </w:r>
      <w:r w:rsidRPr="007F1E99">
        <w:rPr>
          <w:rFonts w:cs="Times New Roman"/>
          <w:lang w:val="nl-NL"/>
        </w:rPr>
        <w:t>, Frankfurt am Main.</w:t>
      </w:r>
    </w:p>
    <w:p w14:paraId="44C91B1F" w14:textId="4F0DD304" w:rsidR="003B2A46" w:rsidRPr="006F6F21" w:rsidRDefault="003B2A46" w:rsidP="004819D9">
      <w:pPr>
        <w:spacing w:before="100" w:after="100" w:line="300" w:lineRule="exact"/>
        <w:ind w:left="567" w:hanging="567"/>
        <w:rPr>
          <w:rFonts w:cs="Times New Roman"/>
        </w:rPr>
      </w:pPr>
      <w:r w:rsidRPr="006F6F21">
        <w:rPr>
          <w:rFonts w:cs="Times New Roman"/>
        </w:rPr>
        <w:t xml:space="preserve">Rankin, H. D. 1975, </w:t>
      </w:r>
      <w:r w:rsidR="00CC0615">
        <w:rPr>
          <w:rFonts w:cs="Times New Roman"/>
        </w:rPr>
        <w:t>“</w:t>
      </w:r>
      <w:r w:rsidRPr="006F6F21">
        <w:rPr>
          <w:rFonts w:cs="Times New Roman"/>
          <w:lang w:val="el-GR"/>
        </w:rPr>
        <w:t>Μοιχός</w:t>
      </w:r>
      <w:r w:rsidRPr="007F1E99">
        <w:rPr>
          <w:rFonts w:cs="Times New Roman"/>
          <w:lang w:val="en-US"/>
        </w:rPr>
        <w:t xml:space="preserve">, </w:t>
      </w:r>
      <w:r w:rsidRPr="006F6F21">
        <w:rPr>
          <w:rFonts w:cs="Times New Roman"/>
          <w:lang w:val="el-GR"/>
        </w:rPr>
        <w:t>λάγνος</w:t>
      </w:r>
      <w:r w:rsidRPr="007F1E99">
        <w:rPr>
          <w:rFonts w:cs="Times New Roman"/>
          <w:lang w:val="en-US"/>
        </w:rPr>
        <w:t xml:space="preserve"> </w:t>
      </w:r>
      <w:r w:rsidRPr="006F6F21">
        <w:rPr>
          <w:rFonts w:cs="Times New Roman"/>
          <w:lang w:val="el-GR"/>
        </w:rPr>
        <w:t>καὶ</w:t>
      </w:r>
      <w:r w:rsidRPr="007F1E99">
        <w:rPr>
          <w:rFonts w:cs="Times New Roman"/>
          <w:lang w:val="en-US"/>
        </w:rPr>
        <w:t xml:space="preserve"> </w:t>
      </w:r>
      <w:r w:rsidRPr="006F6F21">
        <w:rPr>
          <w:rFonts w:cs="Times New Roman"/>
          <w:lang w:val="el-GR"/>
        </w:rPr>
        <w:t>ὑβριστής</w:t>
      </w:r>
      <w:r>
        <w:rPr>
          <w:rFonts w:cs="Times New Roman"/>
        </w:rPr>
        <w:t xml:space="preserve">: </w:t>
      </w:r>
      <w:r w:rsidRPr="006F6F21">
        <w:rPr>
          <w:rFonts w:cs="Times New Roman"/>
        </w:rPr>
        <w:t>Critias and his Judgement of Archilochus,</w:t>
      </w:r>
      <w:r w:rsidR="00CC0615">
        <w:rPr>
          <w:rFonts w:cs="Times New Roman"/>
        </w:rPr>
        <w:t>”</w:t>
      </w:r>
      <w:r w:rsidRPr="006F6F21">
        <w:rPr>
          <w:rFonts w:cs="Times New Roman"/>
        </w:rPr>
        <w:t xml:space="preserve"> </w:t>
      </w:r>
      <w:r w:rsidRPr="006F6F21">
        <w:rPr>
          <w:rFonts w:cs="Times New Roman"/>
          <w:i/>
        </w:rPr>
        <w:t>G</w:t>
      </w:r>
      <w:r>
        <w:rPr>
          <w:rFonts w:cs="Times New Roman"/>
          <w:i/>
        </w:rPr>
        <w:t>razer Beiträge</w:t>
      </w:r>
      <w:r w:rsidRPr="006F6F21">
        <w:rPr>
          <w:rFonts w:cs="Times New Roman"/>
        </w:rPr>
        <w:t xml:space="preserve"> 3: 323-334.</w:t>
      </w:r>
    </w:p>
    <w:p w14:paraId="72224209" w14:textId="7FC3D24B" w:rsidR="003B2A46" w:rsidRPr="006F6F21" w:rsidRDefault="003B2A46" w:rsidP="004819D9">
      <w:pPr>
        <w:spacing w:before="100" w:after="100" w:line="300" w:lineRule="exact"/>
        <w:ind w:left="567" w:hanging="567"/>
        <w:rPr>
          <w:rFonts w:cs="Times New Roman"/>
        </w:rPr>
      </w:pPr>
      <w:r w:rsidRPr="006F6F21">
        <w:rPr>
          <w:rFonts w:cs="Times New Roman"/>
        </w:rPr>
        <w:t xml:space="preserve">Reece, S. T. 2009, </w:t>
      </w:r>
      <w:r w:rsidRPr="006F6F21">
        <w:rPr>
          <w:rFonts w:cs="Times New Roman"/>
          <w:i/>
        </w:rPr>
        <w:t>Homer</w:t>
      </w:r>
      <w:r w:rsidR="00075F5F">
        <w:rPr>
          <w:rFonts w:cs="Times New Roman"/>
          <w:i/>
        </w:rPr>
        <w:t>’</w:t>
      </w:r>
      <w:r w:rsidRPr="006F6F21">
        <w:rPr>
          <w:rFonts w:cs="Times New Roman"/>
          <w:i/>
        </w:rPr>
        <w:t>s Winged Words: The Evolution of Early Greek Epic Diction in the Light of Oral Theory</w:t>
      </w:r>
      <w:r w:rsidRPr="006F6F21">
        <w:rPr>
          <w:rFonts w:cs="Times New Roman"/>
        </w:rPr>
        <w:t>, Leiden.</w:t>
      </w:r>
    </w:p>
    <w:p w14:paraId="274C41F1" w14:textId="1283813E" w:rsidR="003B2A46" w:rsidRPr="006F6F21" w:rsidRDefault="003B2A46" w:rsidP="004819D9">
      <w:pPr>
        <w:spacing w:before="100" w:after="100" w:line="300" w:lineRule="exact"/>
        <w:ind w:left="567" w:hanging="567"/>
        <w:rPr>
          <w:rFonts w:cs="Times New Roman"/>
        </w:rPr>
      </w:pPr>
      <w:r w:rsidRPr="006F6F21">
        <w:rPr>
          <w:rFonts w:cs="Times New Roman"/>
        </w:rPr>
        <w:t xml:space="preserve">— 2011, </w:t>
      </w:r>
      <w:r w:rsidR="00CC0615">
        <w:rPr>
          <w:rFonts w:cs="Times New Roman"/>
        </w:rPr>
        <w:t>“</w:t>
      </w:r>
      <w:r w:rsidRPr="006F6F21">
        <w:rPr>
          <w:rFonts w:cs="Times New Roman"/>
        </w:rPr>
        <w:t>Hapax Legomena,</w:t>
      </w:r>
      <w:r w:rsidR="00CC0615">
        <w:rPr>
          <w:rFonts w:cs="Times New Roman"/>
        </w:rPr>
        <w:t>”</w:t>
      </w:r>
      <w:r w:rsidRPr="006F6F21">
        <w:rPr>
          <w:rFonts w:cs="Times New Roman"/>
        </w:rPr>
        <w:t xml:space="preserve"> in M. Finkelberg (ed.), </w:t>
      </w:r>
      <w:r w:rsidRPr="006F6F21">
        <w:rPr>
          <w:rFonts w:cs="Times New Roman"/>
          <w:i/>
        </w:rPr>
        <w:t>The Homer Encyclopedia</w:t>
      </w:r>
      <w:r>
        <w:rPr>
          <w:rFonts w:cs="Times New Roman"/>
        </w:rPr>
        <w:t xml:space="preserve"> (</w:t>
      </w:r>
      <w:r w:rsidRPr="006F6F21">
        <w:rPr>
          <w:rFonts w:cs="Times New Roman"/>
        </w:rPr>
        <w:t xml:space="preserve">3 </w:t>
      </w:r>
      <w:r>
        <w:rPr>
          <w:rFonts w:cs="Times New Roman"/>
        </w:rPr>
        <w:t>v</w:t>
      </w:r>
      <w:r w:rsidRPr="006F6F21">
        <w:rPr>
          <w:rFonts w:cs="Times New Roman"/>
        </w:rPr>
        <w:t>ols.</w:t>
      </w:r>
      <w:r>
        <w:rPr>
          <w:rFonts w:cs="Times New Roman"/>
        </w:rPr>
        <w:t>)</w:t>
      </w:r>
      <w:r w:rsidRPr="006F6F21">
        <w:rPr>
          <w:rFonts w:cs="Times New Roman"/>
        </w:rPr>
        <w:t>, Chichester: 329-330.</w:t>
      </w:r>
    </w:p>
    <w:p w14:paraId="338A78F8" w14:textId="1754BCFB" w:rsidR="003B2A46" w:rsidRPr="006F6F21" w:rsidRDefault="003B2A46" w:rsidP="004819D9">
      <w:pPr>
        <w:spacing w:before="100" w:after="100" w:line="300" w:lineRule="exact"/>
        <w:ind w:left="567" w:hanging="567"/>
        <w:rPr>
          <w:rFonts w:cs="Times New Roman"/>
        </w:rPr>
      </w:pPr>
      <w:r w:rsidRPr="006F6F21">
        <w:rPr>
          <w:rFonts w:cs="Times New Roman"/>
        </w:rPr>
        <w:t>Reed, J. D. 2000, Arsinoe</w:t>
      </w:r>
      <w:r w:rsidR="00075F5F">
        <w:rPr>
          <w:rFonts w:cs="Times New Roman"/>
        </w:rPr>
        <w:t>’</w:t>
      </w:r>
      <w:r w:rsidRPr="006F6F21">
        <w:rPr>
          <w:rFonts w:cs="Times New Roman"/>
        </w:rPr>
        <w:t xml:space="preserve">s Adonis and the </w:t>
      </w:r>
      <w:r>
        <w:rPr>
          <w:rFonts w:cs="Times New Roman"/>
        </w:rPr>
        <w:t>P</w:t>
      </w:r>
      <w:r w:rsidRPr="006F6F21">
        <w:rPr>
          <w:rFonts w:cs="Times New Roman"/>
        </w:rPr>
        <w:t xml:space="preserve">oetics of Ptolemaic </w:t>
      </w:r>
      <w:r>
        <w:rPr>
          <w:rFonts w:cs="Times New Roman"/>
        </w:rPr>
        <w:t>I</w:t>
      </w:r>
      <w:r w:rsidRPr="006F6F21">
        <w:rPr>
          <w:rFonts w:cs="Times New Roman"/>
        </w:rPr>
        <w:t>mperialism,</w:t>
      </w:r>
      <w:r w:rsidR="00CC0615">
        <w:rPr>
          <w:rFonts w:cs="Times New Roman"/>
        </w:rPr>
        <w:t>”</w:t>
      </w:r>
      <w:r w:rsidRPr="006F6F21">
        <w:rPr>
          <w:rFonts w:cs="Times New Roman"/>
        </w:rPr>
        <w:t xml:space="preserve"> </w:t>
      </w:r>
      <w:r w:rsidRPr="00AF6182">
        <w:rPr>
          <w:rFonts w:cs="Times New Roman"/>
          <w:i/>
        </w:rPr>
        <w:t>Transactions of the American Philological Association</w:t>
      </w:r>
      <w:r w:rsidRPr="006F6F21">
        <w:rPr>
          <w:rFonts w:cs="Times New Roman"/>
        </w:rPr>
        <w:t xml:space="preserve"> 130: 319-351.</w:t>
      </w:r>
    </w:p>
    <w:p w14:paraId="624F8155" w14:textId="7627D62E" w:rsidR="003B2A46" w:rsidRPr="006F6F21" w:rsidRDefault="003B2A46" w:rsidP="004819D9">
      <w:pPr>
        <w:spacing w:before="100" w:after="100" w:line="300" w:lineRule="exact"/>
        <w:ind w:left="567" w:hanging="567"/>
        <w:rPr>
          <w:rFonts w:eastAsia="MS Mincho" w:cs="Times New Roman"/>
        </w:rPr>
      </w:pPr>
      <w:r w:rsidRPr="006F6F21">
        <w:rPr>
          <w:rFonts w:eastAsia="MS Mincho" w:cs="Times New Roman"/>
        </w:rPr>
        <w:t xml:space="preserve">Renehan, R. 1983, </w:t>
      </w:r>
      <w:r w:rsidR="00CC0615">
        <w:rPr>
          <w:rFonts w:eastAsia="MS Mincho" w:cs="Times New Roman"/>
        </w:rPr>
        <w:t>“</w:t>
      </w:r>
      <w:r w:rsidRPr="006F6F21">
        <w:rPr>
          <w:rFonts w:eastAsia="MS Mincho" w:cs="Times New Roman"/>
        </w:rPr>
        <w:t xml:space="preserve">The </w:t>
      </w:r>
      <w:r>
        <w:rPr>
          <w:rFonts w:eastAsia="MS Mincho" w:cs="Times New Roman"/>
        </w:rPr>
        <w:t>E</w:t>
      </w:r>
      <w:r w:rsidRPr="006F6F21">
        <w:rPr>
          <w:rFonts w:eastAsia="MS Mincho" w:cs="Times New Roman"/>
        </w:rPr>
        <w:t xml:space="preserve">arly Greek </w:t>
      </w:r>
      <w:r>
        <w:rPr>
          <w:rFonts w:eastAsia="MS Mincho" w:cs="Times New Roman"/>
        </w:rPr>
        <w:t>P</w:t>
      </w:r>
      <w:r w:rsidRPr="006F6F21">
        <w:rPr>
          <w:rFonts w:eastAsia="MS Mincho" w:cs="Times New Roman"/>
        </w:rPr>
        <w:t xml:space="preserve">oets: </w:t>
      </w:r>
      <w:r>
        <w:rPr>
          <w:rFonts w:eastAsia="MS Mincho" w:cs="Times New Roman"/>
        </w:rPr>
        <w:t>S</w:t>
      </w:r>
      <w:r w:rsidRPr="006F6F21">
        <w:rPr>
          <w:rFonts w:eastAsia="MS Mincho" w:cs="Times New Roman"/>
        </w:rPr>
        <w:t xml:space="preserve">ome </w:t>
      </w:r>
      <w:r>
        <w:rPr>
          <w:rFonts w:eastAsia="MS Mincho" w:cs="Times New Roman"/>
        </w:rPr>
        <w:t>I</w:t>
      </w:r>
      <w:r w:rsidRPr="006F6F21">
        <w:rPr>
          <w:rFonts w:eastAsia="MS Mincho" w:cs="Times New Roman"/>
        </w:rPr>
        <w:t>nterpretations</w:t>
      </w:r>
      <w:r>
        <w:rPr>
          <w:rFonts w:eastAsia="MS Mincho" w:cs="Times New Roman"/>
        </w:rPr>
        <w:t>,</w:t>
      </w:r>
      <w:r w:rsidR="00CC0615">
        <w:rPr>
          <w:rFonts w:eastAsia="MS Mincho" w:cs="Times New Roman"/>
        </w:rPr>
        <w:t>”</w:t>
      </w:r>
      <w:r w:rsidRPr="006F6F21">
        <w:rPr>
          <w:rFonts w:eastAsia="MS Mincho" w:cs="Times New Roman"/>
        </w:rPr>
        <w:t xml:space="preserve"> </w:t>
      </w:r>
      <w:r w:rsidRPr="006F6F21">
        <w:rPr>
          <w:rFonts w:eastAsia="MS Mincho" w:cs="Times New Roman"/>
          <w:i/>
        </w:rPr>
        <w:t>Harvard Studies in Classical Philology</w:t>
      </w:r>
      <w:r w:rsidRPr="006F6F21">
        <w:rPr>
          <w:rFonts w:eastAsia="MS Mincho" w:cs="Times New Roman"/>
        </w:rPr>
        <w:t xml:space="preserve"> 87: 1-29.</w:t>
      </w:r>
    </w:p>
    <w:p w14:paraId="1F217F69" w14:textId="7B5000A6"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Rijksbaron, A. 1986, </w:t>
      </w:r>
      <w:r w:rsidR="00CC0615">
        <w:rPr>
          <w:rFonts w:cs="Times New Roman"/>
        </w:rPr>
        <w:t>“</w:t>
      </w:r>
      <w:r w:rsidRPr="006F6F21">
        <w:rPr>
          <w:rFonts w:cs="Times New Roman"/>
        </w:rPr>
        <w:t>The Discourse Function of the Imperfect,</w:t>
      </w:r>
      <w:r w:rsidR="00CC0615">
        <w:rPr>
          <w:rFonts w:cs="Times New Roman"/>
        </w:rPr>
        <w:t>”</w:t>
      </w:r>
      <w:r w:rsidRPr="006F6F21">
        <w:rPr>
          <w:rFonts w:cs="Times New Roman"/>
        </w:rPr>
        <w:t xml:space="preserve"> in A. Rijksbaron, H. A. Mulder, and G. C. Wakker (eds.), </w:t>
      </w:r>
      <w:r w:rsidRPr="006F6F21">
        <w:rPr>
          <w:rFonts w:cs="Times New Roman"/>
          <w:i/>
        </w:rPr>
        <w:t>In the Footsteps of Raphael Kühner</w:t>
      </w:r>
      <w:r w:rsidRPr="006F6F21">
        <w:rPr>
          <w:rFonts w:cs="Times New Roman"/>
        </w:rPr>
        <w:t>, Amsterdam: 237-254.</w:t>
      </w:r>
    </w:p>
    <w:p w14:paraId="63219757" w14:textId="7777777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(ed.) 1997, </w:t>
      </w:r>
      <w:r w:rsidRPr="006F6F21">
        <w:rPr>
          <w:rFonts w:cs="Times New Roman"/>
          <w:i/>
        </w:rPr>
        <w:t>New Appr</w:t>
      </w:r>
      <w:r>
        <w:rPr>
          <w:rFonts w:cs="Times New Roman"/>
          <w:i/>
        </w:rPr>
        <w:t>oa</w:t>
      </w:r>
      <w:r w:rsidRPr="006F6F21">
        <w:rPr>
          <w:rFonts w:cs="Times New Roman"/>
          <w:i/>
        </w:rPr>
        <w:t>ches to Greek Particles</w:t>
      </w:r>
      <w:r w:rsidRPr="006F6F21">
        <w:rPr>
          <w:rFonts w:cs="Times New Roman"/>
        </w:rPr>
        <w:t>, Amsterdam.</w:t>
      </w:r>
    </w:p>
    <w:p w14:paraId="1AB7C74A" w14:textId="7A495817"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t xml:space="preserve">— 2002, </w:t>
      </w:r>
      <w:r w:rsidR="00CC0615">
        <w:rPr>
          <w:rFonts w:cs="Times New Roman"/>
        </w:rPr>
        <w:t>“</w:t>
      </w:r>
      <w:r w:rsidRPr="006F6F21">
        <w:rPr>
          <w:rFonts w:cs="Times New Roman"/>
        </w:rPr>
        <w:t>The Xenophon Factory,</w:t>
      </w:r>
      <w:r w:rsidR="00CC0615">
        <w:rPr>
          <w:rFonts w:cs="Times New Roman"/>
        </w:rPr>
        <w:t>”</w:t>
      </w:r>
      <w:r w:rsidRPr="006F6F21">
        <w:rPr>
          <w:rFonts w:cs="Times New Roman"/>
        </w:rPr>
        <w:t xml:space="preserve"> in R. Gibson and C. Krauss (eds.), </w:t>
      </w:r>
      <w:r w:rsidRPr="006F6F21">
        <w:rPr>
          <w:rFonts w:cs="Times New Roman"/>
          <w:i/>
          <w:iCs/>
        </w:rPr>
        <w:t>The</w:t>
      </w:r>
      <w:r w:rsidRPr="006F6F21">
        <w:rPr>
          <w:rFonts w:cs="Times New Roman"/>
        </w:rPr>
        <w:t xml:space="preserve"> </w:t>
      </w:r>
      <w:r w:rsidRPr="006F6F21">
        <w:rPr>
          <w:rFonts w:cs="Times New Roman"/>
          <w:i/>
          <w:iCs/>
        </w:rPr>
        <w:t>Classical Commentary</w:t>
      </w:r>
      <w:r w:rsidRPr="006F6F21">
        <w:rPr>
          <w:rFonts w:cs="Times New Roman"/>
        </w:rPr>
        <w:t>, Leiden: 235-65.</w:t>
      </w:r>
    </w:p>
    <w:p w14:paraId="17651DD4" w14:textId="6355890A" w:rsidR="003B2A46" w:rsidRPr="006F6F21" w:rsidRDefault="003B2A46" w:rsidP="004819D9">
      <w:pPr>
        <w:autoSpaceDE w:val="0"/>
        <w:autoSpaceDN w:val="0"/>
        <w:adjustRightInd w:val="0"/>
        <w:spacing w:before="100" w:after="100" w:line="300" w:lineRule="exact"/>
        <w:ind w:left="567" w:hanging="567"/>
        <w:rPr>
          <w:rFonts w:cs="Times New Roman"/>
        </w:rPr>
      </w:pPr>
      <w:r w:rsidRPr="006F6F21">
        <w:rPr>
          <w:rFonts w:cs="Times New Roman"/>
        </w:rPr>
        <w:lastRenderedPageBreak/>
        <w:t xml:space="preserve">— 2006, </w:t>
      </w:r>
      <w:r w:rsidR="00CC0615">
        <w:rPr>
          <w:rFonts w:cs="Times New Roman"/>
        </w:rPr>
        <w:t>“</w:t>
      </w:r>
      <w:r w:rsidRPr="006F6F21">
        <w:rPr>
          <w:rFonts w:cs="Times New Roman"/>
        </w:rPr>
        <w:t>On False Historical Presents in Sophocles (and Euripides),</w:t>
      </w:r>
      <w:r w:rsidR="00CC0615">
        <w:rPr>
          <w:rFonts w:cs="Times New Roman"/>
        </w:rPr>
        <w:t>”</w:t>
      </w:r>
      <w:r w:rsidRPr="006F6F21">
        <w:rPr>
          <w:rFonts w:cs="Times New Roman"/>
        </w:rPr>
        <w:t xml:space="preserve"> in I.</w:t>
      </w:r>
      <w:r>
        <w:rPr>
          <w:rFonts w:cs="Times New Roman"/>
        </w:rPr>
        <w:t xml:space="preserve"> </w:t>
      </w:r>
      <w:r w:rsidRPr="006F6F21">
        <w:rPr>
          <w:rFonts w:cs="Times New Roman"/>
        </w:rPr>
        <w:t>J.</w:t>
      </w:r>
      <w:r>
        <w:rPr>
          <w:rFonts w:cs="Times New Roman"/>
        </w:rPr>
        <w:t xml:space="preserve"> </w:t>
      </w:r>
      <w:r w:rsidRPr="006F6F21">
        <w:rPr>
          <w:rFonts w:cs="Times New Roman"/>
        </w:rPr>
        <w:t xml:space="preserve">F. de Jong and A. Rijksbaron (eds.), </w:t>
      </w:r>
      <w:r w:rsidRPr="006F6F21">
        <w:rPr>
          <w:rFonts w:cs="Times New Roman"/>
          <w:i/>
          <w:iCs/>
        </w:rPr>
        <w:t>Sophocles and the Greek Language:</w:t>
      </w:r>
      <w:r>
        <w:rPr>
          <w:rFonts w:cs="Times New Roman"/>
          <w:i/>
          <w:iCs/>
        </w:rPr>
        <w:t xml:space="preserve"> A</w:t>
      </w:r>
      <w:r w:rsidRPr="006F6F21">
        <w:rPr>
          <w:rFonts w:cs="Times New Roman"/>
          <w:i/>
          <w:iCs/>
        </w:rPr>
        <w:t xml:space="preserve">spects of </w:t>
      </w:r>
      <w:r>
        <w:rPr>
          <w:rFonts w:cs="Times New Roman"/>
          <w:i/>
          <w:iCs/>
        </w:rPr>
        <w:t>D</w:t>
      </w:r>
      <w:r w:rsidRPr="006F6F21">
        <w:rPr>
          <w:rFonts w:cs="Times New Roman"/>
          <w:i/>
          <w:iCs/>
        </w:rPr>
        <w:t xml:space="preserve">iction, </w:t>
      </w:r>
      <w:r>
        <w:rPr>
          <w:rFonts w:cs="Times New Roman"/>
          <w:i/>
          <w:iCs/>
        </w:rPr>
        <w:t>S</w:t>
      </w:r>
      <w:r w:rsidRPr="006F6F21">
        <w:rPr>
          <w:rFonts w:cs="Times New Roman"/>
          <w:i/>
          <w:iCs/>
        </w:rPr>
        <w:t xml:space="preserve">yntax, and </w:t>
      </w:r>
      <w:r>
        <w:rPr>
          <w:rFonts w:cs="Times New Roman"/>
          <w:i/>
          <w:iCs/>
        </w:rPr>
        <w:t>P</w:t>
      </w:r>
      <w:r w:rsidRPr="006F6F21">
        <w:rPr>
          <w:rFonts w:cs="Times New Roman"/>
          <w:i/>
          <w:iCs/>
        </w:rPr>
        <w:t>ragmatics</w:t>
      </w:r>
      <w:r w:rsidRPr="006F6F21">
        <w:rPr>
          <w:rFonts w:cs="Times New Roman"/>
        </w:rPr>
        <w:t xml:space="preserve">, Leiden: 127-50. </w:t>
      </w:r>
    </w:p>
    <w:p w14:paraId="1D360D7B"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2007, </w:t>
      </w:r>
      <w:r w:rsidRPr="006F6F21">
        <w:rPr>
          <w:rFonts w:cs="Times New Roman"/>
          <w:i/>
          <w:iCs/>
        </w:rPr>
        <w:t>Plato</w:t>
      </w:r>
      <w:r>
        <w:rPr>
          <w:rFonts w:cs="Times New Roman"/>
          <w:i/>
          <w:iCs/>
        </w:rPr>
        <w:t>,</w:t>
      </w:r>
      <w:r w:rsidRPr="006F6F21">
        <w:rPr>
          <w:rFonts w:cs="Times New Roman"/>
          <w:i/>
          <w:iCs/>
        </w:rPr>
        <w:t xml:space="preserve"> Ion</w:t>
      </w:r>
      <w:r>
        <w:rPr>
          <w:rFonts w:cs="Times New Roman"/>
          <w:i/>
          <w:iCs/>
        </w:rPr>
        <w:t xml:space="preserve"> o</w:t>
      </w:r>
      <w:r w:rsidRPr="006F6F21">
        <w:rPr>
          <w:rFonts w:cs="Times New Roman"/>
          <w:i/>
          <w:iCs/>
        </w:rPr>
        <w:t>r: On the Iliad</w:t>
      </w:r>
      <w:r w:rsidRPr="006F6F21">
        <w:rPr>
          <w:rFonts w:cs="Times New Roman"/>
        </w:rPr>
        <w:t>, Leiden.</w:t>
      </w:r>
    </w:p>
    <w:p w14:paraId="3DAFFBC1" w14:textId="62D5676E"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Risch, E. 1949, </w:t>
      </w:r>
      <w:r w:rsidR="00CC0615">
        <w:rPr>
          <w:rFonts w:cs="Times New Roman"/>
          <w:lang w:val="nl-NL"/>
        </w:rPr>
        <w:t>“</w:t>
      </w:r>
      <w:r w:rsidRPr="007F1E99">
        <w:rPr>
          <w:rFonts w:cs="Times New Roman"/>
          <w:lang w:val="nl-NL"/>
        </w:rPr>
        <w:t>Griechische Determinativkomposita,</w:t>
      </w:r>
      <w:r w:rsidR="00CC0615">
        <w:rPr>
          <w:rFonts w:cs="Times New Roman"/>
          <w:lang w:val="nl-NL"/>
        </w:rPr>
        <w:t>”</w:t>
      </w:r>
      <w:r w:rsidRPr="007F1E99">
        <w:rPr>
          <w:rFonts w:cs="Times New Roman"/>
          <w:lang w:val="nl-NL"/>
        </w:rPr>
        <w:t xml:space="preserve"> </w:t>
      </w:r>
      <w:r w:rsidRPr="007F1E99">
        <w:rPr>
          <w:rFonts w:cs="Times New Roman"/>
          <w:i/>
          <w:lang w:val="nl-NL"/>
        </w:rPr>
        <w:t>Indogermanische Forschun</w:t>
      </w:r>
      <w:r w:rsidRPr="007F1E99">
        <w:rPr>
          <w:rFonts w:cs="Times New Roman"/>
          <w:i/>
          <w:lang w:val="nl-NL"/>
        </w:rPr>
        <w:softHyphen/>
        <w:t xml:space="preserve">gen </w:t>
      </w:r>
      <w:r w:rsidRPr="007F1E99">
        <w:rPr>
          <w:rFonts w:cs="Times New Roman"/>
          <w:lang w:val="nl-NL"/>
        </w:rPr>
        <w:t>59: 245-249.</w:t>
      </w:r>
    </w:p>
    <w:p w14:paraId="2359ED50" w14:textId="2858693F"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 1949, </w:t>
      </w:r>
      <w:r w:rsidR="00CC0615">
        <w:rPr>
          <w:rFonts w:cs="Times New Roman"/>
          <w:lang w:val="nl-NL"/>
        </w:rPr>
        <w:t>“</w:t>
      </w:r>
      <w:r w:rsidRPr="007F1E99">
        <w:rPr>
          <w:rFonts w:cs="Times New Roman"/>
          <w:lang w:val="nl-NL"/>
        </w:rPr>
        <w:t>Altgriechische Dialektgeographie?</w:t>
      </w:r>
      <w:r w:rsidR="00CC0615">
        <w:rPr>
          <w:rFonts w:cs="Times New Roman"/>
          <w:lang w:val="nl-NL"/>
        </w:rPr>
        <w:t>”</w:t>
      </w:r>
      <w:r w:rsidRPr="007F1E99">
        <w:rPr>
          <w:rFonts w:cs="Times New Roman"/>
          <w:lang w:val="nl-NL"/>
        </w:rPr>
        <w:t xml:space="preserve"> </w:t>
      </w:r>
      <w:r w:rsidRPr="007F1E99">
        <w:rPr>
          <w:rFonts w:cs="Times New Roman"/>
          <w:i/>
          <w:lang w:val="nl-NL"/>
        </w:rPr>
        <w:t>Museum Helveticum</w:t>
      </w:r>
      <w:r w:rsidRPr="007F1E99">
        <w:rPr>
          <w:rFonts w:cs="Times New Roman"/>
          <w:lang w:val="nl-NL"/>
        </w:rPr>
        <w:t xml:space="preserve"> 6: 19-28.</w:t>
      </w:r>
    </w:p>
    <w:p w14:paraId="4BF1D381" w14:textId="64C40588"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Rispoli, G. M. 2005, </w:t>
      </w:r>
      <w:r w:rsidR="00CC0615">
        <w:rPr>
          <w:rFonts w:cs="Times New Roman"/>
          <w:lang w:val="nl-NL"/>
        </w:rPr>
        <w:t>“</w:t>
      </w:r>
      <w:r w:rsidRPr="006F6F21">
        <w:rPr>
          <w:rFonts w:cs="Times New Roman"/>
          <w:lang w:val="el-GR"/>
        </w:rPr>
        <w:t>Θέματα</w:t>
      </w:r>
      <w:r w:rsidRPr="007F1E99">
        <w:rPr>
          <w:rFonts w:cs="Times New Roman"/>
          <w:lang w:val="nl-NL"/>
        </w:rPr>
        <w:t xml:space="preserve"> e giudizio </w:t>
      </w:r>
      <w:r w:rsidR="00075F5F">
        <w:rPr>
          <w:rFonts w:cs="Times New Roman"/>
          <w:lang w:val="nl-NL"/>
        </w:rPr>
        <w:t>‘</w:t>
      </w:r>
      <w:r w:rsidRPr="007F1E99">
        <w:rPr>
          <w:rFonts w:cs="Times New Roman"/>
          <w:lang w:val="nl-NL"/>
        </w:rPr>
        <w:t>poetico,</w:t>
      </w:r>
      <w:r w:rsidR="00075F5F">
        <w:rPr>
          <w:rFonts w:cs="Times New Roman"/>
          <w:lang w:val="nl-NL"/>
        </w:rPr>
        <w:t>’</w:t>
      </w:r>
      <w:r w:rsidR="00CC0615">
        <w:rPr>
          <w:rFonts w:cs="Times New Roman"/>
          <w:lang w:val="nl-NL"/>
        </w:rPr>
        <w:t>”</w:t>
      </w:r>
      <w:r w:rsidRPr="007F1E99">
        <w:rPr>
          <w:rFonts w:cs="Times New Roman"/>
          <w:lang w:val="nl-NL"/>
        </w:rPr>
        <w:t xml:space="preserve"> </w:t>
      </w:r>
      <w:r w:rsidRPr="007F1E99">
        <w:rPr>
          <w:rFonts w:cs="Times New Roman"/>
          <w:i/>
          <w:lang w:val="nl-NL"/>
        </w:rPr>
        <w:t>Cronache ercolanesi</w:t>
      </w:r>
      <w:r w:rsidRPr="007F1E99">
        <w:rPr>
          <w:rFonts w:cs="Times New Roman"/>
          <w:lang w:val="nl-NL"/>
        </w:rPr>
        <w:t xml:space="preserve"> 35: 71-81.</w:t>
      </w:r>
    </w:p>
    <w:p w14:paraId="174BD39B"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Roberts, W. </w:t>
      </w:r>
      <w:r>
        <w:rPr>
          <w:rFonts w:cs="Times New Roman"/>
        </w:rPr>
        <w:t>R.</w:t>
      </w:r>
      <w:r w:rsidRPr="006F6F21">
        <w:rPr>
          <w:rFonts w:cs="Times New Roman"/>
        </w:rPr>
        <w:t xml:space="preserve"> 1902, </w:t>
      </w:r>
      <w:r w:rsidRPr="006F6F21">
        <w:rPr>
          <w:rFonts w:cs="Times New Roman"/>
          <w:i/>
        </w:rPr>
        <w:t>Demetrius on</w:t>
      </w:r>
      <w:r>
        <w:rPr>
          <w:rFonts w:cs="Times New Roman"/>
          <w:i/>
        </w:rPr>
        <w:t xml:space="preserve"> S</w:t>
      </w:r>
      <w:r w:rsidRPr="006F6F21">
        <w:rPr>
          <w:rFonts w:cs="Times New Roman"/>
          <w:i/>
        </w:rPr>
        <w:t xml:space="preserve">tyle: </w:t>
      </w:r>
      <w:r>
        <w:rPr>
          <w:rFonts w:cs="Times New Roman"/>
          <w:i/>
        </w:rPr>
        <w:t>T</w:t>
      </w:r>
      <w:r w:rsidRPr="006F6F21">
        <w:rPr>
          <w:rFonts w:cs="Times New Roman"/>
          <w:i/>
        </w:rPr>
        <w:t xml:space="preserve">he Greek </w:t>
      </w:r>
      <w:r>
        <w:rPr>
          <w:rFonts w:cs="Times New Roman"/>
          <w:i/>
        </w:rPr>
        <w:t>T</w:t>
      </w:r>
      <w:r w:rsidRPr="006F6F21">
        <w:rPr>
          <w:rFonts w:cs="Times New Roman"/>
          <w:i/>
        </w:rPr>
        <w:t xml:space="preserve">ext of Demetrius De </w:t>
      </w:r>
      <w:r>
        <w:rPr>
          <w:rFonts w:cs="Times New Roman"/>
          <w:i/>
        </w:rPr>
        <w:t>E</w:t>
      </w:r>
      <w:r w:rsidRPr="006F6F21">
        <w:rPr>
          <w:rFonts w:cs="Times New Roman"/>
          <w:i/>
        </w:rPr>
        <w:t>locutione</w:t>
      </w:r>
      <w:r w:rsidRPr="006F6F21">
        <w:rPr>
          <w:rFonts w:cs="Times New Roman"/>
        </w:rPr>
        <w:t>, Cambridge.</w:t>
      </w:r>
    </w:p>
    <w:p w14:paraId="5301AFAF" w14:textId="01F07A96" w:rsidR="003B2A46" w:rsidRPr="006F6F21" w:rsidRDefault="003B2A46" w:rsidP="004819D9">
      <w:pPr>
        <w:spacing w:before="100" w:after="100" w:line="300" w:lineRule="exact"/>
        <w:ind w:left="567" w:hanging="567"/>
        <w:rPr>
          <w:rFonts w:cs="Times New Roman"/>
        </w:rPr>
      </w:pPr>
      <w:r w:rsidRPr="006F6F21">
        <w:rPr>
          <w:rFonts w:eastAsia="Calibri" w:cs="Times New Roman"/>
        </w:rPr>
        <w:t xml:space="preserve">Rochette, B. 2014, </w:t>
      </w:r>
      <w:r w:rsidR="00CC0615">
        <w:rPr>
          <w:rFonts w:eastAsia="Calibri" w:cs="Times New Roman"/>
        </w:rPr>
        <w:t>“</w:t>
      </w:r>
      <w:r w:rsidRPr="006F6F21">
        <w:rPr>
          <w:rFonts w:eastAsia="Calibri" w:cs="Times New Roman"/>
        </w:rPr>
        <w:t>Greek and Latin Bilingualism,</w:t>
      </w:r>
      <w:r w:rsidR="00CC0615">
        <w:rPr>
          <w:rFonts w:eastAsia="Calibri" w:cs="Times New Roman"/>
        </w:rPr>
        <w:t>”</w:t>
      </w:r>
      <w:r w:rsidRPr="006F6F21">
        <w:rPr>
          <w:rFonts w:eastAsia="Calibri" w:cs="Times New Roman"/>
        </w:rPr>
        <w:t xml:space="preserve"> in </w:t>
      </w:r>
      <w:r w:rsidRPr="006F6F21">
        <w:rPr>
          <w:rFonts w:cs="Times New Roman"/>
        </w:rPr>
        <w:t xml:space="preserve">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281-295.</w:t>
      </w:r>
    </w:p>
    <w:p w14:paraId="02BDA644" w14:textId="4C2AA7A2" w:rsidR="003B2A46" w:rsidRPr="006F6F21" w:rsidRDefault="003B2A46" w:rsidP="004819D9">
      <w:pPr>
        <w:spacing w:before="100" w:after="100" w:line="300" w:lineRule="exact"/>
        <w:ind w:left="567" w:hanging="567"/>
        <w:rPr>
          <w:rFonts w:cs="Times New Roman"/>
        </w:rPr>
      </w:pPr>
      <w:r w:rsidRPr="006F6F21">
        <w:rPr>
          <w:rFonts w:cs="Times New Roman"/>
        </w:rPr>
        <w:t xml:space="preserve">Roscalla, F. 2003, </w:t>
      </w:r>
      <w:r w:rsidR="00CC0615">
        <w:rPr>
          <w:rFonts w:cs="Times New Roman"/>
        </w:rPr>
        <w:t>“</w:t>
      </w:r>
      <w:r w:rsidRPr="006F6F21">
        <w:rPr>
          <w:rFonts w:cs="Times New Roman"/>
        </w:rPr>
        <w:t>Il giambo di Semonide contro le donne e la dizione aedica,</w:t>
      </w:r>
      <w:r w:rsidR="00CC0615">
        <w:rPr>
          <w:rFonts w:cs="Times New Roman"/>
        </w:rPr>
        <w:t>”</w:t>
      </w:r>
      <w:r w:rsidRPr="006F6F21">
        <w:rPr>
          <w:rFonts w:cs="Times New Roman"/>
          <w:i/>
        </w:rPr>
        <w:t xml:space="preserve"> Quaderni </w:t>
      </w:r>
      <w:r>
        <w:rPr>
          <w:rFonts w:cs="Times New Roman"/>
          <w:i/>
        </w:rPr>
        <w:t>u</w:t>
      </w:r>
      <w:r w:rsidRPr="006F6F21">
        <w:rPr>
          <w:rFonts w:cs="Times New Roman"/>
          <w:i/>
        </w:rPr>
        <w:t xml:space="preserve">rbinati di </w:t>
      </w:r>
      <w:r>
        <w:rPr>
          <w:rFonts w:cs="Times New Roman"/>
          <w:i/>
        </w:rPr>
        <w:t>c</w:t>
      </w:r>
      <w:r w:rsidRPr="006F6F21">
        <w:rPr>
          <w:rFonts w:cs="Times New Roman"/>
          <w:i/>
        </w:rPr>
        <w:t xml:space="preserve">ultura </w:t>
      </w:r>
      <w:r>
        <w:rPr>
          <w:rFonts w:cs="Times New Roman"/>
          <w:i/>
        </w:rPr>
        <w:t>c</w:t>
      </w:r>
      <w:r w:rsidRPr="006F6F21">
        <w:rPr>
          <w:rFonts w:cs="Times New Roman"/>
          <w:i/>
        </w:rPr>
        <w:t>lassica</w:t>
      </w:r>
      <w:r w:rsidRPr="006F6F21">
        <w:rPr>
          <w:rFonts w:cs="Times New Roman"/>
        </w:rPr>
        <w:t xml:space="preserve"> 73: 105-18</w:t>
      </w:r>
    </w:p>
    <w:p w14:paraId="40A04270"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Rose, M. A. 1993, </w:t>
      </w:r>
      <w:r w:rsidRPr="006F6F21">
        <w:rPr>
          <w:rFonts w:cs="Times New Roman"/>
          <w:i/>
        </w:rPr>
        <w:t>Parody: Ancient, Modern, and Post-Modern</w:t>
      </w:r>
      <w:r w:rsidRPr="006F6F21">
        <w:rPr>
          <w:rFonts w:cs="Times New Roman"/>
        </w:rPr>
        <w:t xml:space="preserve">, Cambridge. </w:t>
      </w:r>
    </w:p>
    <w:p w14:paraId="5F21A452" w14:textId="53206502" w:rsidR="003B2A46" w:rsidRPr="006F6F21" w:rsidRDefault="003B2A46" w:rsidP="004819D9">
      <w:pPr>
        <w:spacing w:before="100" w:after="100" w:line="300" w:lineRule="exact"/>
        <w:ind w:left="567" w:hanging="567"/>
        <w:rPr>
          <w:rFonts w:cs="Times New Roman"/>
        </w:rPr>
      </w:pPr>
      <w:r w:rsidRPr="006F6F21">
        <w:rPr>
          <w:rFonts w:cs="Times New Roman"/>
        </w:rPr>
        <w:t xml:space="preserve">Rosen, R. M. 1987, </w:t>
      </w:r>
      <w:r w:rsidR="00CC0615">
        <w:rPr>
          <w:rFonts w:cs="Times New Roman"/>
        </w:rPr>
        <w:t>“</w:t>
      </w:r>
      <w:r w:rsidRPr="006F6F21">
        <w:rPr>
          <w:rFonts w:cs="Times New Roman"/>
        </w:rPr>
        <w:t xml:space="preserve">Hipponax Fr. 48 Dg. and the Eleusinian </w:t>
      </w:r>
      <w:r w:rsidRPr="006F6F21">
        <w:rPr>
          <w:rFonts w:cs="Times New Roman"/>
          <w:lang w:val="el-GR"/>
        </w:rPr>
        <w:t>κυκεών</w:t>
      </w:r>
      <w:r w:rsidRPr="006F6F21">
        <w:rPr>
          <w:rFonts w:cs="Times New Roman"/>
        </w:rPr>
        <w:t>,</w:t>
      </w:r>
      <w:r w:rsidR="00CC0615">
        <w:rPr>
          <w:rFonts w:cs="Times New Roman"/>
        </w:rPr>
        <w:t>”</w:t>
      </w:r>
      <w:r w:rsidRPr="006F6F21">
        <w:rPr>
          <w:rFonts w:cs="Times New Roman"/>
        </w:rPr>
        <w:t xml:space="preserve"> </w:t>
      </w:r>
      <w:r w:rsidRPr="00AF6182">
        <w:rPr>
          <w:rFonts w:cs="Times New Roman"/>
          <w:i/>
        </w:rPr>
        <w:t>American Journal of Philology</w:t>
      </w:r>
      <w:r w:rsidRPr="006F6F21">
        <w:rPr>
          <w:rFonts w:cs="Times New Roman"/>
        </w:rPr>
        <w:t xml:space="preserve"> 58: 416-426.</w:t>
      </w:r>
    </w:p>
    <w:p w14:paraId="28A9C24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1988a, </w:t>
      </w:r>
      <w:r w:rsidRPr="006F6F21">
        <w:rPr>
          <w:rFonts w:cs="Times New Roman"/>
          <w:i/>
        </w:rPr>
        <w:t>Old Comedy and the Iambographic Tradition</w:t>
      </w:r>
      <w:r w:rsidRPr="006F6F21">
        <w:rPr>
          <w:rFonts w:cs="Times New Roman"/>
        </w:rPr>
        <w:t>, Atlanta.</w:t>
      </w:r>
    </w:p>
    <w:p w14:paraId="138E9ACD" w14:textId="22E59017" w:rsidR="003B2A46" w:rsidRPr="006F6F21" w:rsidRDefault="003B2A46" w:rsidP="004819D9">
      <w:pPr>
        <w:spacing w:before="100" w:after="100" w:line="300" w:lineRule="exact"/>
        <w:ind w:left="567" w:hanging="567"/>
        <w:rPr>
          <w:rFonts w:cs="Times New Roman"/>
        </w:rPr>
      </w:pPr>
      <w:r w:rsidRPr="006F6F21">
        <w:rPr>
          <w:rFonts w:cs="Times New Roman"/>
        </w:rPr>
        <w:t xml:space="preserve">— 1988b, </w:t>
      </w:r>
      <w:r w:rsidR="00CC0615">
        <w:rPr>
          <w:rFonts w:cs="Times New Roman"/>
        </w:rPr>
        <w:t>“</w:t>
      </w:r>
      <w:r w:rsidRPr="006F6F21">
        <w:rPr>
          <w:rFonts w:cs="Times New Roman"/>
        </w:rPr>
        <w:t>A Poetic Initiation Scene in Hipponax?</w:t>
      </w:r>
      <w:r w:rsidR="00CC0615">
        <w:rPr>
          <w:rFonts w:cs="Times New Roman"/>
        </w:rPr>
        <w:t>”</w:t>
      </w:r>
      <w:r w:rsidRPr="006F6F21">
        <w:rPr>
          <w:rFonts w:cs="Times New Roman"/>
        </w:rPr>
        <w:t xml:space="preserve"> </w:t>
      </w:r>
      <w:r w:rsidRPr="006F6F21">
        <w:rPr>
          <w:rFonts w:cs="Times New Roman"/>
          <w:i/>
        </w:rPr>
        <w:t>A</w:t>
      </w:r>
      <w:r>
        <w:rPr>
          <w:rFonts w:cs="Times New Roman"/>
          <w:i/>
        </w:rPr>
        <w:t>merican Journal of Philology</w:t>
      </w:r>
      <w:r w:rsidRPr="006F6F21">
        <w:rPr>
          <w:rFonts w:cs="Times New Roman"/>
        </w:rPr>
        <w:t xml:space="preserve"> 109: 174-179.</w:t>
      </w:r>
    </w:p>
    <w:p w14:paraId="60D553C2" w14:textId="355B2BEA" w:rsidR="003B2A46" w:rsidRPr="006F6F21" w:rsidRDefault="003B2A46" w:rsidP="004819D9">
      <w:pPr>
        <w:spacing w:before="100" w:after="100" w:line="300" w:lineRule="exact"/>
        <w:ind w:left="567" w:hanging="567"/>
        <w:rPr>
          <w:rFonts w:cs="Times New Roman"/>
        </w:rPr>
      </w:pPr>
      <w:r w:rsidRPr="006F6F21">
        <w:rPr>
          <w:rFonts w:cs="Times New Roman"/>
        </w:rPr>
        <w:t xml:space="preserve">— 1988c, </w:t>
      </w:r>
      <w:r w:rsidR="00CC0615">
        <w:rPr>
          <w:rFonts w:cs="Times New Roman"/>
        </w:rPr>
        <w:t>“</w:t>
      </w:r>
      <w:r w:rsidRPr="006F6F21">
        <w:rPr>
          <w:rFonts w:cs="Times New Roman"/>
        </w:rPr>
        <w:t>Hipponax, Boupalos, and the Conventions of Psogos,</w:t>
      </w:r>
      <w:r w:rsidR="00CC0615">
        <w:rPr>
          <w:rFonts w:cs="Times New Roman"/>
        </w:rPr>
        <w:t>”</w:t>
      </w:r>
      <w:r w:rsidRPr="006F6F21">
        <w:rPr>
          <w:rFonts w:cs="Times New Roman"/>
        </w:rPr>
        <w:t xml:space="preserve"> </w:t>
      </w:r>
      <w:r w:rsidRPr="006F6F21">
        <w:rPr>
          <w:rFonts w:cs="Times New Roman"/>
          <w:i/>
        </w:rPr>
        <w:t>T</w:t>
      </w:r>
      <w:r>
        <w:rPr>
          <w:rFonts w:cs="Times New Roman"/>
          <w:i/>
        </w:rPr>
        <w:t>ransactions of the American Philological Associaition</w:t>
      </w:r>
      <w:r w:rsidRPr="006F6F21">
        <w:rPr>
          <w:rFonts w:cs="Times New Roman"/>
        </w:rPr>
        <w:t xml:space="preserve"> 118: 29-41.</w:t>
      </w:r>
    </w:p>
    <w:p w14:paraId="72FB1689" w14:textId="69ADB9A6" w:rsidR="003B2A46" w:rsidRPr="006F6F21" w:rsidRDefault="003B2A46" w:rsidP="004819D9">
      <w:pPr>
        <w:spacing w:before="100" w:after="100" w:line="300" w:lineRule="exact"/>
        <w:ind w:left="567" w:hanging="567"/>
        <w:rPr>
          <w:rFonts w:cs="Times New Roman"/>
        </w:rPr>
      </w:pPr>
      <w:r w:rsidRPr="006F6F21">
        <w:rPr>
          <w:rFonts w:cs="Times New Roman"/>
        </w:rPr>
        <w:t xml:space="preserve">— 2003, </w:t>
      </w:r>
      <w:r w:rsidR="00CC0615">
        <w:rPr>
          <w:rFonts w:cs="Times New Roman"/>
        </w:rPr>
        <w:t>“</w:t>
      </w:r>
      <w:r w:rsidRPr="006F6F21">
        <w:rPr>
          <w:rFonts w:cs="Times New Roman"/>
        </w:rPr>
        <w:t>The Death of Thersites and the Sympotic Performance of Iambic Mockery,</w:t>
      </w:r>
      <w:r w:rsidR="00CC0615">
        <w:rPr>
          <w:rFonts w:cs="Times New Roman"/>
        </w:rPr>
        <w:t>”</w:t>
      </w:r>
      <w:r w:rsidRPr="006F6F21">
        <w:rPr>
          <w:rFonts w:cs="Times New Roman"/>
        </w:rPr>
        <w:t xml:space="preserve"> </w:t>
      </w:r>
      <w:r w:rsidRPr="006F6F21">
        <w:rPr>
          <w:rFonts w:cs="Times New Roman"/>
          <w:i/>
        </w:rPr>
        <w:t>Pallas</w:t>
      </w:r>
      <w:r w:rsidRPr="006F6F21">
        <w:rPr>
          <w:rFonts w:cs="Times New Roman"/>
        </w:rPr>
        <w:t xml:space="preserve"> 61: 121-136.</w:t>
      </w:r>
    </w:p>
    <w:p w14:paraId="259C768A"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2007a, </w:t>
      </w:r>
      <w:r w:rsidRPr="006F6F21">
        <w:rPr>
          <w:rFonts w:cs="Times New Roman"/>
          <w:i/>
        </w:rPr>
        <w:t>Making Mockery: The Poetics of Ancient Satire</w:t>
      </w:r>
      <w:r w:rsidRPr="006F6F21">
        <w:rPr>
          <w:rFonts w:cs="Times New Roman"/>
        </w:rPr>
        <w:t>, Oxford.</w:t>
      </w:r>
    </w:p>
    <w:p w14:paraId="7E7C4DD7" w14:textId="08B6E2CB" w:rsidR="003B2A46" w:rsidRPr="006F6F21" w:rsidRDefault="003B2A46" w:rsidP="004819D9">
      <w:pPr>
        <w:spacing w:before="100" w:after="100" w:line="300" w:lineRule="exact"/>
        <w:ind w:left="567" w:hanging="567"/>
        <w:rPr>
          <w:rFonts w:cs="Times New Roman"/>
        </w:rPr>
      </w:pPr>
      <w:r w:rsidRPr="006F6F21">
        <w:rPr>
          <w:rFonts w:cs="Times New Roman"/>
        </w:rPr>
        <w:t xml:space="preserve">— 2007b, </w:t>
      </w:r>
      <w:r w:rsidR="00CC0615">
        <w:rPr>
          <w:rFonts w:cs="Times New Roman"/>
        </w:rPr>
        <w:t>“</w:t>
      </w:r>
      <w:r w:rsidRPr="006F6F21">
        <w:rPr>
          <w:rFonts w:cs="Times New Roman"/>
        </w:rPr>
        <w:t>The Hellenistic Epigrams on Archilochus and Hipponax,</w:t>
      </w:r>
      <w:r w:rsidR="00CC0615">
        <w:rPr>
          <w:rFonts w:cs="Times New Roman"/>
        </w:rPr>
        <w:t>”</w:t>
      </w:r>
      <w:r w:rsidRPr="006F6F21">
        <w:rPr>
          <w:rFonts w:cs="Times New Roman"/>
        </w:rPr>
        <w:t xml:space="preserve"> in P. Bing and J. S. Bruss (eds.), </w:t>
      </w:r>
      <w:r w:rsidRPr="006F6F21">
        <w:rPr>
          <w:rFonts w:cs="Times New Roman"/>
          <w:i/>
        </w:rPr>
        <w:t>Brill</w:t>
      </w:r>
      <w:r w:rsidR="00075F5F">
        <w:rPr>
          <w:rFonts w:cs="Times New Roman"/>
          <w:i/>
        </w:rPr>
        <w:t>’</w:t>
      </w:r>
      <w:r w:rsidRPr="006F6F21">
        <w:rPr>
          <w:rFonts w:cs="Times New Roman"/>
          <w:i/>
        </w:rPr>
        <w:t>s Companion to Hellenistic Epigram</w:t>
      </w:r>
      <w:r w:rsidRPr="006F6F21">
        <w:rPr>
          <w:rFonts w:cs="Times New Roman"/>
        </w:rPr>
        <w:t>, Leiden: 459-476.</w:t>
      </w:r>
    </w:p>
    <w:p w14:paraId="01C33CC7" w14:textId="3939CECD" w:rsidR="003B2A46" w:rsidRPr="006F6F21" w:rsidRDefault="003B2A46" w:rsidP="004819D9">
      <w:pPr>
        <w:spacing w:before="100" w:after="100" w:line="300" w:lineRule="exact"/>
        <w:ind w:left="567" w:hanging="567"/>
        <w:rPr>
          <w:rFonts w:cs="Times New Roman"/>
        </w:rPr>
      </w:pPr>
      <w:r w:rsidRPr="006F6F21">
        <w:rPr>
          <w:rFonts w:cs="Times New Roman"/>
        </w:rPr>
        <w:t xml:space="preserve">Rösler, W. 1990, </w:t>
      </w:r>
      <w:r w:rsidR="00CC0615">
        <w:rPr>
          <w:rFonts w:cs="Times New Roman"/>
        </w:rPr>
        <w:t>“</w:t>
      </w:r>
      <w:r w:rsidRPr="006F6F21">
        <w:rPr>
          <w:rFonts w:cs="Times New Roman"/>
        </w:rPr>
        <w:t>Mnemosyne in the Symposion,</w:t>
      </w:r>
      <w:r w:rsidR="00CC0615">
        <w:rPr>
          <w:rFonts w:cs="Times New Roman"/>
        </w:rPr>
        <w:t>”</w:t>
      </w:r>
      <w:r w:rsidRPr="006F6F21">
        <w:rPr>
          <w:rFonts w:cs="Times New Roman"/>
        </w:rPr>
        <w:t xml:space="preserve"> in O. Murray (ed.), </w:t>
      </w:r>
      <w:r w:rsidRPr="006F6F21">
        <w:rPr>
          <w:rFonts w:cs="Times New Roman"/>
          <w:i/>
        </w:rPr>
        <w:t>Sympotica: A Symposium on the Symposion</w:t>
      </w:r>
      <w:r w:rsidRPr="006F6F21">
        <w:rPr>
          <w:rFonts w:cs="Times New Roman"/>
        </w:rPr>
        <w:t>, Oxford: 230-237.</w:t>
      </w:r>
    </w:p>
    <w:p w14:paraId="39FF4196" w14:textId="137AD6F9" w:rsidR="003B2A46" w:rsidRPr="006F6F21" w:rsidRDefault="003B2A46" w:rsidP="004819D9">
      <w:pPr>
        <w:spacing w:before="100" w:after="100" w:line="300" w:lineRule="exact"/>
        <w:ind w:left="567" w:hanging="567"/>
        <w:rPr>
          <w:rFonts w:cs="Times New Roman"/>
        </w:rPr>
      </w:pPr>
      <w:r w:rsidRPr="006F6F21">
        <w:rPr>
          <w:rFonts w:cs="Times New Roman"/>
        </w:rPr>
        <w:t xml:space="preserve">Rotstein, A. 2007, </w:t>
      </w:r>
      <w:r w:rsidR="00CC0615">
        <w:rPr>
          <w:rFonts w:cs="Times New Roman"/>
        </w:rPr>
        <w:t>“</w:t>
      </w:r>
      <w:r w:rsidRPr="006F6F21">
        <w:rPr>
          <w:rFonts w:cs="Times New Roman"/>
        </w:rPr>
        <w:t>Critia</w:t>
      </w:r>
      <w:r>
        <w:rPr>
          <w:rFonts w:cs="Times New Roman"/>
        </w:rPr>
        <w:t>s</w:t>
      </w:r>
      <w:r w:rsidR="00075F5F">
        <w:rPr>
          <w:rFonts w:cs="Times New Roman"/>
        </w:rPr>
        <w:t>’</w:t>
      </w:r>
      <w:r w:rsidRPr="006F6F21">
        <w:rPr>
          <w:rFonts w:cs="Times New Roman"/>
        </w:rPr>
        <w:t xml:space="preserve"> Invective against Archilochus,</w:t>
      </w:r>
      <w:r w:rsidR="00CC0615">
        <w:rPr>
          <w:rFonts w:cs="Times New Roman"/>
        </w:rPr>
        <w:t>”</w:t>
      </w:r>
      <w:r w:rsidRPr="006F6F21">
        <w:rPr>
          <w:rFonts w:cs="Times New Roman"/>
        </w:rPr>
        <w:t xml:space="preserve"> </w:t>
      </w:r>
      <w:r w:rsidRPr="006F6F21">
        <w:rPr>
          <w:rFonts w:cs="Times New Roman"/>
          <w:i/>
        </w:rPr>
        <w:t>C</w:t>
      </w:r>
      <w:r>
        <w:rPr>
          <w:rFonts w:cs="Times New Roman"/>
          <w:i/>
        </w:rPr>
        <w:t>lassical Philology</w:t>
      </w:r>
      <w:r w:rsidRPr="006F6F21">
        <w:rPr>
          <w:rFonts w:cs="Times New Roman"/>
        </w:rPr>
        <w:t xml:space="preserve"> 102: 139-154.</w:t>
      </w:r>
    </w:p>
    <w:p w14:paraId="1083E02E" w14:textId="6023C3C1" w:rsidR="003B2A46" w:rsidRPr="006F6F21" w:rsidRDefault="003B2A46" w:rsidP="004819D9">
      <w:pPr>
        <w:spacing w:before="100" w:after="100" w:line="300" w:lineRule="exact"/>
        <w:ind w:left="567" w:hanging="567"/>
        <w:rPr>
          <w:rFonts w:cs="Times New Roman"/>
        </w:rPr>
      </w:pPr>
      <w:r w:rsidRPr="006F6F21">
        <w:rPr>
          <w:rFonts w:cs="Times New Roman"/>
        </w:rPr>
        <w:t xml:space="preserve">— 2008, </w:t>
      </w:r>
      <w:r w:rsidR="00CC0615">
        <w:rPr>
          <w:rFonts w:cs="Times New Roman"/>
        </w:rPr>
        <w:t>“</w:t>
      </w:r>
      <w:r w:rsidR="00075F5F">
        <w:rPr>
          <w:rFonts w:cs="Times New Roman"/>
        </w:rPr>
        <w:t>‘</w:t>
      </w:r>
      <w:r w:rsidRPr="006F6F21">
        <w:rPr>
          <w:rFonts w:cs="Times New Roman"/>
        </w:rPr>
        <w:t xml:space="preserve">I </w:t>
      </w:r>
      <w:r>
        <w:rPr>
          <w:rFonts w:cs="Times New Roman"/>
        </w:rPr>
        <w:t>D</w:t>
      </w:r>
      <w:r w:rsidRPr="006F6F21">
        <w:rPr>
          <w:rFonts w:cs="Times New Roman"/>
        </w:rPr>
        <w:t xml:space="preserve">o </w:t>
      </w:r>
      <w:r>
        <w:rPr>
          <w:rFonts w:cs="Times New Roman"/>
        </w:rPr>
        <w:t>N</w:t>
      </w:r>
      <w:r w:rsidRPr="006F6F21">
        <w:rPr>
          <w:rFonts w:cs="Times New Roman"/>
        </w:rPr>
        <w:t xml:space="preserve">ot </w:t>
      </w:r>
      <w:r>
        <w:rPr>
          <w:rFonts w:cs="Times New Roman"/>
        </w:rPr>
        <w:t>C</w:t>
      </w:r>
      <w:r w:rsidRPr="006F6F21">
        <w:rPr>
          <w:rFonts w:cs="Times New Roman"/>
        </w:rPr>
        <w:t xml:space="preserve">are about </w:t>
      </w:r>
      <w:r>
        <w:rPr>
          <w:rFonts w:cs="Times New Roman"/>
        </w:rPr>
        <w:t>I</w:t>
      </w:r>
      <w:r w:rsidRPr="006F6F21">
        <w:rPr>
          <w:rFonts w:cs="Times New Roman"/>
        </w:rPr>
        <w:t>amboi</w:t>
      </w:r>
      <w:r w:rsidR="00075F5F">
        <w:rPr>
          <w:rFonts w:cs="Times New Roman"/>
        </w:rPr>
        <w:t>’</w:t>
      </w:r>
      <w:r w:rsidRPr="006F6F21">
        <w:rPr>
          <w:rFonts w:cs="Times New Roman"/>
        </w:rPr>
        <w:t xml:space="preserve"> (Archil. 215 W),</w:t>
      </w:r>
      <w:r w:rsidR="00CC0615">
        <w:rPr>
          <w:rFonts w:cs="Times New Roman"/>
        </w:rPr>
        <w:t>”</w:t>
      </w:r>
      <w:r w:rsidRPr="006F6F21">
        <w:rPr>
          <w:rFonts w:cs="Times New Roman"/>
        </w:rPr>
        <w:t xml:space="preserve"> in D. Katsonopoulou, I. Petropoulos, and S. Katsarou (eds.), </w:t>
      </w:r>
      <w:r w:rsidRPr="006F6F21">
        <w:rPr>
          <w:rFonts w:cs="Times New Roman"/>
          <w:i/>
        </w:rPr>
        <w:t>Archilochos and his Age</w:t>
      </w:r>
      <w:r>
        <w:rPr>
          <w:rFonts w:cs="Times New Roman"/>
          <w:i/>
        </w:rPr>
        <w:t>:</w:t>
      </w:r>
      <w:r w:rsidRPr="006F6F21">
        <w:rPr>
          <w:rFonts w:cs="Times New Roman"/>
          <w:i/>
        </w:rPr>
        <w:t xml:space="preserve"> Proceedings of the Second International Conference on the Archaeology of Paros and the Cyclades</w:t>
      </w:r>
      <w:r w:rsidRPr="006F6F21">
        <w:rPr>
          <w:rFonts w:cs="Times New Roman"/>
        </w:rPr>
        <w:t>, Athens: 65-80.</w:t>
      </w:r>
    </w:p>
    <w:p w14:paraId="2E3BF02C"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2010, </w:t>
      </w:r>
      <w:r w:rsidRPr="006F6F21">
        <w:rPr>
          <w:rFonts w:cs="Times New Roman"/>
          <w:i/>
        </w:rPr>
        <w:t>The Idea of Iambos</w:t>
      </w:r>
      <w:r w:rsidRPr="006F6F21">
        <w:rPr>
          <w:rFonts w:cs="Times New Roman"/>
        </w:rPr>
        <w:t>, Oxford.</w:t>
      </w:r>
    </w:p>
    <w:p w14:paraId="4C7988F2" w14:textId="6F87748C" w:rsidR="003B2A46" w:rsidRPr="002F1E35" w:rsidRDefault="003B2A46" w:rsidP="004819D9">
      <w:pPr>
        <w:spacing w:before="100" w:after="100" w:line="300" w:lineRule="exact"/>
        <w:ind w:left="567" w:hanging="567"/>
        <w:rPr>
          <w:rFonts w:cs="Times New Roman"/>
        </w:rPr>
      </w:pPr>
      <w:r w:rsidRPr="00811FCD">
        <w:rPr>
          <w:rFonts w:cs="Times New Roman"/>
        </w:rPr>
        <w:t>—</w:t>
      </w:r>
      <w:r>
        <w:rPr>
          <w:rFonts w:cs="Times New Roman"/>
        </w:rPr>
        <w:t xml:space="preserve"> </w:t>
      </w:r>
      <w:r w:rsidRPr="002F1E35">
        <w:rPr>
          <w:rFonts w:cs="Times New Roman"/>
        </w:rPr>
        <w:t xml:space="preserve">2016, </w:t>
      </w:r>
      <w:r w:rsidR="00CC0615">
        <w:rPr>
          <w:rFonts w:cs="Times New Roman"/>
        </w:rPr>
        <w:t>“</w:t>
      </w:r>
      <w:r w:rsidRPr="002F1E35">
        <w:rPr>
          <w:rFonts w:cs="Times New Roman"/>
        </w:rPr>
        <w:t xml:space="preserve">The Ancient Literary History of </w:t>
      </w:r>
      <w:r w:rsidRPr="002F1E35">
        <w:rPr>
          <w:rFonts w:cs="Times New Roman"/>
          <w:i/>
        </w:rPr>
        <w:t>Iambos</w:t>
      </w:r>
      <w:r w:rsidRPr="002F1E35">
        <w:rPr>
          <w:rFonts w:cs="Times New Roman"/>
        </w:rPr>
        <w:t>,</w:t>
      </w:r>
      <w:r w:rsidR="00CC0615">
        <w:rPr>
          <w:rFonts w:cs="Times New Roman"/>
        </w:rPr>
        <w:t>”</w:t>
      </w:r>
      <w:r w:rsidRPr="002F1E35">
        <w:rPr>
          <w:rFonts w:cs="Times New Roman"/>
        </w:rPr>
        <w:t xml:space="preserve"> in L. Swift and C. Carey (eds.), </w:t>
      </w:r>
      <w:r w:rsidRPr="002F1E35">
        <w:rPr>
          <w:rFonts w:cs="Times New Roman"/>
          <w:i/>
        </w:rPr>
        <w:t>Iambus and Elegy: New Approaches</w:t>
      </w:r>
      <w:r w:rsidRPr="002F1E35">
        <w:rPr>
          <w:rFonts w:cs="Times New Roman"/>
        </w:rPr>
        <w:t>, Oxford: 101-121.</w:t>
      </w:r>
    </w:p>
    <w:p w14:paraId="6D879842" w14:textId="77777777" w:rsidR="003B2A46" w:rsidRPr="002F1E35" w:rsidRDefault="003B2A46" w:rsidP="004819D9">
      <w:pPr>
        <w:spacing w:before="100" w:after="100" w:line="300" w:lineRule="exact"/>
        <w:ind w:left="567" w:hanging="567"/>
        <w:rPr>
          <w:rFonts w:cs="Times New Roman"/>
        </w:rPr>
      </w:pPr>
      <w:r w:rsidRPr="002F1E35">
        <w:rPr>
          <w:rFonts w:cs="Times New Roman"/>
        </w:rPr>
        <w:lastRenderedPageBreak/>
        <w:t xml:space="preserve">Rudin, E. 1996, </w:t>
      </w:r>
      <w:r w:rsidRPr="002F1E35">
        <w:rPr>
          <w:rFonts w:cs="Times New Roman"/>
          <w:i/>
        </w:rPr>
        <w:t>Tender Accents of Sound: Spanish in the Chicano Novel in English</w:t>
      </w:r>
      <w:r w:rsidRPr="002F1E35">
        <w:rPr>
          <w:rFonts w:cs="Times New Roman"/>
        </w:rPr>
        <w:t>, Tempe.</w:t>
      </w:r>
    </w:p>
    <w:p w14:paraId="05E90ED8" w14:textId="77777777"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Ruijgh, C. J. 1971, </w:t>
      </w:r>
      <w:r w:rsidRPr="007F1E99">
        <w:rPr>
          <w:rFonts w:cs="Times New Roman"/>
          <w:i/>
          <w:lang w:val="nl-NL"/>
        </w:rPr>
        <w:t xml:space="preserve">Autour de </w:t>
      </w:r>
      <w:r w:rsidRPr="006F6F21">
        <w:rPr>
          <w:rFonts w:cs="Times New Roman"/>
          <w:i/>
          <w:lang w:val="el-GR"/>
        </w:rPr>
        <w:t>τε</w:t>
      </w:r>
      <w:r w:rsidRPr="007F1E99">
        <w:rPr>
          <w:rFonts w:cs="Times New Roman"/>
          <w:i/>
          <w:lang w:val="nl-NL"/>
        </w:rPr>
        <w:t xml:space="preserve"> épique</w:t>
      </w:r>
      <w:r w:rsidRPr="007F1E99">
        <w:rPr>
          <w:rFonts w:cs="Times New Roman"/>
          <w:lang w:val="nl-NL"/>
        </w:rPr>
        <w:t>, Amsterdam.</w:t>
      </w:r>
    </w:p>
    <w:p w14:paraId="58EB397A" w14:textId="448C3BF0" w:rsidR="003B2A46" w:rsidRPr="001743E3" w:rsidRDefault="003B2A46" w:rsidP="004819D9">
      <w:pPr>
        <w:spacing w:before="100" w:after="100" w:line="300" w:lineRule="exact"/>
        <w:ind w:left="567" w:hanging="567"/>
        <w:rPr>
          <w:rFonts w:cs="Times New Roman"/>
        </w:rPr>
      </w:pPr>
      <w:r w:rsidRPr="006F779D">
        <w:rPr>
          <w:rFonts w:cs="Times New Roman"/>
        </w:rPr>
        <w:t>—</w:t>
      </w:r>
      <w:r>
        <w:rPr>
          <w:rFonts w:cs="Times New Roman"/>
        </w:rPr>
        <w:t xml:space="preserve"> </w:t>
      </w:r>
      <w:r w:rsidRPr="001743E3">
        <w:rPr>
          <w:rFonts w:cs="Times New Roman"/>
        </w:rPr>
        <w:t xml:space="preserve">1985, </w:t>
      </w:r>
      <w:r w:rsidR="00CC0615">
        <w:rPr>
          <w:rFonts w:cs="Times New Roman"/>
        </w:rPr>
        <w:t>“</w:t>
      </w:r>
      <w:r w:rsidRPr="001743E3">
        <w:rPr>
          <w:rFonts w:cs="Times New Roman"/>
        </w:rPr>
        <w:t>L</w:t>
      </w:r>
      <w:r w:rsidR="00075F5F">
        <w:rPr>
          <w:rFonts w:cs="Times New Roman"/>
        </w:rPr>
        <w:t>’</w:t>
      </w:r>
      <w:r w:rsidRPr="001743E3">
        <w:rPr>
          <w:rFonts w:cs="Times New Roman"/>
        </w:rPr>
        <w:t xml:space="preserve">emploi </w:t>
      </w:r>
      <w:r w:rsidR="00075F5F">
        <w:rPr>
          <w:rFonts w:cs="Times New Roman"/>
        </w:rPr>
        <w:t>‘</w:t>
      </w:r>
      <w:r w:rsidRPr="001743E3">
        <w:rPr>
          <w:rFonts w:cs="Times New Roman"/>
        </w:rPr>
        <w:t>inceptive</w:t>
      </w:r>
      <w:r w:rsidR="00075F5F">
        <w:rPr>
          <w:rFonts w:cs="Times New Roman"/>
        </w:rPr>
        <w:t>’</w:t>
      </w:r>
      <w:r w:rsidRPr="001743E3">
        <w:rPr>
          <w:rFonts w:cs="Times New Roman"/>
        </w:rPr>
        <w:t xml:space="preserve"> du theme du present du verb grec,</w:t>
      </w:r>
      <w:r w:rsidR="00CC0615">
        <w:rPr>
          <w:rFonts w:cs="Times New Roman"/>
        </w:rPr>
        <w:t>”</w:t>
      </w:r>
      <w:r w:rsidRPr="001743E3">
        <w:rPr>
          <w:rFonts w:cs="Times New Roman"/>
        </w:rPr>
        <w:t xml:space="preserve"> </w:t>
      </w:r>
      <w:r w:rsidRPr="001743E3">
        <w:rPr>
          <w:rFonts w:cs="Times New Roman"/>
          <w:i/>
        </w:rPr>
        <w:t>Mnemosyne</w:t>
      </w:r>
      <w:r w:rsidRPr="001743E3">
        <w:rPr>
          <w:rFonts w:cs="Times New Roman"/>
        </w:rPr>
        <w:t xml:space="preserve"> 38: 1-61.</w:t>
      </w:r>
    </w:p>
    <w:p w14:paraId="5308E253" w14:textId="0378FA82" w:rsidR="003B2A46" w:rsidRPr="006F779D" w:rsidRDefault="003B2A46" w:rsidP="004819D9">
      <w:pPr>
        <w:spacing w:before="100" w:after="100" w:line="300" w:lineRule="exact"/>
        <w:ind w:left="567" w:hanging="567"/>
      </w:pPr>
      <w:r w:rsidRPr="006F6F21">
        <w:rPr>
          <w:rFonts w:cs="Times New Roman"/>
        </w:rPr>
        <w:t xml:space="preserve">— </w:t>
      </w:r>
      <w:r>
        <w:rPr>
          <w:rFonts w:cs="Times New Roman"/>
        </w:rPr>
        <w:t xml:space="preserve">1995, </w:t>
      </w:r>
      <w:r w:rsidRPr="001743E3">
        <w:rPr>
          <w:rFonts w:cs="Times New Roman"/>
          <w:i/>
        </w:rPr>
        <w:t>D</w:t>
      </w:r>
      <w:r w:rsidR="00075F5F">
        <w:rPr>
          <w:rFonts w:cs="Times New Roman"/>
          <w:i/>
        </w:rPr>
        <w:t>’</w:t>
      </w:r>
      <w:r w:rsidRPr="001743E3">
        <w:rPr>
          <w:rFonts w:cs="Times New Roman"/>
          <w:i/>
        </w:rPr>
        <w:t>Homère aux origins protomycéniennes de la tradition épique</w:t>
      </w:r>
      <w:r>
        <w:rPr>
          <w:rFonts w:cs="Times New Roman"/>
        </w:rPr>
        <w:t xml:space="preserve">, in J. P. Crielaard (ed.), </w:t>
      </w:r>
      <w:r w:rsidRPr="001743E3">
        <w:rPr>
          <w:rFonts w:cs="Times New Roman"/>
          <w:i/>
        </w:rPr>
        <w:t>Homeric Questions</w:t>
      </w:r>
      <w:r>
        <w:rPr>
          <w:rFonts w:cs="Times New Roman"/>
          <w:i/>
        </w:rPr>
        <w:t xml:space="preserve">: </w:t>
      </w:r>
      <w:r w:rsidRPr="001743E3">
        <w:rPr>
          <w:rFonts w:cs="Times New Roman"/>
          <w:i/>
        </w:rPr>
        <w:t>Essays in Philology, Ancient History and Archaeology</w:t>
      </w:r>
      <w:r>
        <w:rPr>
          <w:rFonts w:cs="Times New Roman"/>
        </w:rPr>
        <w:t>, Amsterdam: 1-96.</w:t>
      </w:r>
    </w:p>
    <w:p w14:paraId="16DF5E4D" w14:textId="4DADC5E4" w:rsidR="003B2A46" w:rsidRPr="006F6F21" w:rsidRDefault="003B2A46" w:rsidP="004819D9">
      <w:pPr>
        <w:spacing w:before="100" w:after="100" w:line="300" w:lineRule="exact"/>
        <w:ind w:left="567" w:hanging="567"/>
        <w:rPr>
          <w:rFonts w:cs="Times New Roman"/>
        </w:rPr>
      </w:pPr>
      <w:r w:rsidRPr="006F6F21">
        <w:rPr>
          <w:rFonts w:cs="Times New Roman"/>
        </w:rPr>
        <w:t xml:space="preserve">Sartre, J. P. 1976, </w:t>
      </w:r>
      <w:r w:rsidRPr="006F6F21">
        <w:rPr>
          <w:rFonts w:cs="Times New Roman"/>
          <w:i/>
        </w:rPr>
        <w:t>Che cos</w:t>
      </w:r>
      <w:r w:rsidR="00075F5F">
        <w:rPr>
          <w:rFonts w:cs="Times New Roman"/>
          <w:i/>
        </w:rPr>
        <w:t>’</w:t>
      </w:r>
      <w:r w:rsidRPr="006F6F21">
        <w:rPr>
          <w:rFonts w:cs="Times New Roman"/>
          <w:i/>
        </w:rPr>
        <w:t>è la letteratura?</w:t>
      </w:r>
      <w:r>
        <w:rPr>
          <w:rFonts w:cs="Times New Roman"/>
        </w:rPr>
        <w:t xml:space="preserve"> (trans</w:t>
      </w:r>
      <w:r w:rsidRPr="006F6F21">
        <w:rPr>
          <w:rFonts w:cs="Times New Roman"/>
        </w:rPr>
        <w:t xml:space="preserve">. </w:t>
      </w:r>
      <w:r>
        <w:rPr>
          <w:rFonts w:cs="Times New Roman"/>
        </w:rPr>
        <w:t>F.</w:t>
      </w:r>
      <w:r w:rsidRPr="006F6F21">
        <w:rPr>
          <w:rFonts w:cs="Times New Roman"/>
        </w:rPr>
        <w:t xml:space="preserve"> Brioschi</w:t>
      </w:r>
      <w:r>
        <w:rPr>
          <w:rFonts w:cs="Times New Roman"/>
        </w:rPr>
        <w:t>)</w:t>
      </w:r>
      <w:r w:rsidRPr="006F6F21">
        <w:rPr>
          <w:rFonts w:cs="Times New Roman"/>
        </w:rPr>
        <w:t>, Milan</w:t>
      </w:r>
      <w:r>
        <w:rPr>
          <w:rFonts w:cs="Times New Roman"/>
        </w:rPr>
        <w:t>.</w:t>
      </w:r>
    </w:p>
    <w:p w14:paraId="123162C7" w14:textId="5BE033B8" w:rsidR="003B2A46" w:rsidRPr="006F6F21" w:rsidRDefault="003B2A46" w:rsidP="004819D9">
      <w:pPr>
        <w:spacing w:before="100" w:after="100" w:line="300" w:lineRule="exact"/>
        <w:ind w:left="567" w:hanging="567"/>
        <w:rPr>
          <w:rFonts w:cs="Times New Roman"/>
        </w:rPr>
      </w:pPr>
      <w:r w:rsidRPr="006F6F21">
        <w:rPr>
          <w:rFonts w:cs="Times New Roman"/>
        </w:rPr>
        <w:t xml:space="preserve">Sbordone, F. 1976, </w:t>
      </w:r>
      <w:r w:rsidR="00CC0615">
        <w:rPr>
          <w:rFonts w:cs="Times New Roman"/>
        </w:rPr>
        <w:t>“</w:t>
      </w:r>
      <w:r w:rsidRPr="00D276CD">
        <w:rPr>
          <w:rFonts w:cs="Times New Roman" w:hint="eastAsia"/>
          <w:lang w:val="el-GR"/>
        </w:rPr>
        <w:t>Φιλοδ</w:t>
      </w:r>
      <w:r w:rsidRPr="00D276CD">
        <w:rPr>
          <w:rFonts w:cs="Times New Roman"/>
          <w:lang w:val="el-GR"/>
        </w:rPr>
        <w:t>ήμου</w:t>
      </w:r>
      <w:r w:rsidRPr="007F1E99">
        <w:rPr>
          <w:rFonts w:cs="Times New Roman"/>
        </w:rPr>
        <w:t xml:space="preserve"> </w:t>
      </w:r>
      <w:r w:rsidRPr="00D276CD">
        <w:rPr>
          <w:rFonts w:cs="Times New Roman"/>
          <w:lang w:val="el-GR"/>
        </w:rPr>
        <w:t>περὶ</w:t>
      </w:r>
      <w:r w:rsidRPr="007F1E99">
        <w:rPr>
          <w:rFonts w:cs="Times New Roman"/>
        </w:rPr>
        <w:t xml:space="preserve"> </w:t>
      </w:r>
      <w:r w:rsidRPr="00D276CD">
        <w:rPr>
          <w:rFonts w:cs="Times New Roman"/>
          <w:lang w:val="el-GR"/>
        </w:rPr>
        <w:t>ποιημάτων</w:t>
      </w:r>
      <w:r w:rsidRPr="00AF6182">
        <w:rPr>
          <w:rFonts w:cs="Times New Roman"/>
        </w:rPr>
        <w:t>: Tractatus tres</w:t>
      </w:r>
      <w:r w:rsidRPr="00D610D5">
        <w:rPr>
          <w:rFonts w:cs="Times New Roman"/>
        </w:rPr>
        <w:t>,</w:t>
      </w:r>
      <w:r w:rsidR="00CC0615">
        <w:rPr>
          <w:rFonts w:cs="Times New Roman"/>
        </w:rPr>
        <w:t>”</w:t>
      </w:r>
      <w:r w:rsidRPr="006F6F21">
        <w:rPr>
          <w:rFonts w:cs="Times New Roman"/>
        </w:rPr>
        <w:t xml:space="preserve"> </w:t>
      </w:r>
      <w:r>
        <w:rPr>
          <w:rFonts w:cs="Times New Roman"/>
        </w:rPr>
        <w:t xml:space="preserve">in F. Sbordone (ed.), </w:t>
      </w:r>
      <w:r w:rsidRPr="00AF6182">
        <w:rPr>
          <w:rFonts w:cs="Times New Roman"/>
          <w:i/>
        </w:rPr>
        <w:t>Ricerche sui pap</w:t>
      </w:r>
      <w:r>
        <w:rPr>
          <w:rFonts w:cs="Times New Roman"/>
          <w:i/>
        </w:rPr>
        <w:t>i</w:t>
      </w:r>
      <w:r w:rsidRPr="00AF6182">
        <w:rPr>
          <w:rFonts w:cs="Times New Roman"/>
          <w:i/>
        </w:rPr>
        <w:t xml:space="preserve">ri </w:t>
      </w:r>
      <w:r>
        <w:rPr>
          <w:rFonts w:cs="Times New Roman"/>
          <w:i/>
        </w:rPr>
        <w:t>e</w:t>
      </w:r>
      <w:r w:rsidRPr="00AF6182">
        <w:rPr>
          <w:rFonts w:cs="Times New Roman"/>
          <w:i/>
        </w:rPr>
        <w:t>rcolanesi</w:t>
      </w:r>
      <w:r>
        <w:rPr>
          <w:rFonts w:cs="Times New Roman"/>
        </w:rPr>
        <w:t xml:space="preserve">, vol. </w:t>
      </w:r>
      <w:r w:rsidRPr="006F6F21">
        <w:rPr>
          <w:rFonts w:cs="Times New Roman"/>
        </w:rPr>
        <w:t>2</w:t>
      </w:r>
      <w:r>
        <w:rPr>
          <w:rFonts w:cs="Times New Roman"/>
        </w:rPr>
        <w:t>, Naples</w:t>
      </w:r>
      <w:r w:rsidRPr="006F6F21">
        <w:rPr>
          <w:rFonts w:cs="Times New Roman"/>
        </w:rPr>
        <w:t>.</w:t>
      </w:r>
    </w:p>
    <w:p w14:paraId="0BA7259E" w14:textId="0F153A0F" w:rsidR="003B2A46" w:rsidRPr="006F6F21" w:rsidRDefault="003B2A46" w:rsidP="004819D9">
      <w:pPr>
        <w:spacing w:before="100" w:after="100" w:line="300" w:lineRule="exact"/>
        <w:ind w:left="567" w:hanging="567"/>
        <w:rPr>
          <w:rFonts w:cs="Times New Roman"/>
        </w:rPr>
      </w:pPr>
      <w:r w:rsidRPr="006F6F21">
        <w:rPr>
          <w:rFonts w:cs="Times New Roman"/>
        </w:rPr>
        <w:t>Scalise, S., and Bisetto</w:t>
      </w:r>
      <w:r>
        <w:rPr>
          <w:rFonts w:cs="Times New Roman"/>
        </w:rPr>
        <w:t>,</w:t>
      </w:r>
      <w:r w:rsidRPr="006F6F21">
        <w:rPr>
          <w:rFonts w:cs="Times New Roman"/>
        </w:rPr>
        <w:t xml:space="preserve"> A. 2009, </w:t>
      </w:r>
      <w:r w:rsidR="00CC0615">
        <w:rPr>
          <w:rFonts w:cs="Times New Roman"/>
        </w:rPr>
        <w:t>“</w:t>
      </w:r>
      <w:r w:rsidRPr="006F6F21">
        <w:rPr>
          <w:rFonts w:cs="Times New Roman"/>
        </w:rPr>
        <w:t xml:space="preserve">The </w:t>
      </w:r>
      <w:r>
        <w:rPr>
          <w:rFonts w:cs="Times New Roman"/>
        </w:rPr>
        <w:t>C</w:t>
      </w:r>
      <w:r w:rsidRPr="006F6F21">
        <w:rPr>
          <w:rFonts w:cs="Times New Roman"/>
        </w:rPr>
        <w:t xml:space="preserve">lassification of </w:t>
      </w:r>
      <w:r>
        <w:rPr>
          <w:rFonts w:cs="Times New Roman"/>
        </w:rPr>
        <w:t>C</w:t>
      </w:r>
      <w:r w:rsidRPr="006F6F21">
        <w:rPr>
          <w:rFonts w:cs="Times New Roman"/>
        </w:rPr>
        <w:t>ompounds,</w:t>
      </w:r>
      <w:r w:rsidR="00CC0615">
        <w:rPr>
          <w:rFonts w:cs="Times New Roman"/>
        </w:rPr>
        <w:t>”</w:t>
      </w:r>
      <w:r w:rsidRPr="006F6F21">
        <w:rPr>
          <w:rFonts w:cs="Times New Roman"/>
        </w:rPr>
        <w:t xml:space="preserve"> in R. Lieber and P. Štekauer (eds.), </w:t>
      </w:r>
      <w:r w:rsidRPr="006F6F21">
        <w:rPr>
          <w:rFonts w:cs="Times New Roman"/>
          <w:i/>
        </w:rPr>
        <w:t>The Oxford Handbook of Compounding</w:t>
      </w:r>
      <w:r w:rsidRPr="006F6F21">
        <w:rPr>
          <w:rFonts w:cs="Times New Roman"/>
        </w:rPr>
        <w:t>, New York: 34-53.</w:t>
      </w:r>
    </w:p>
    <w:p w14:paraId="265AD027" w14:textId="4DB65173" w:rsidR="003B2A46" w:rsidRPr="006F6F21" w:rsidRDefault="003B2A46" w:rsidP="004819D9">
      <w:pPr>
        <w:spacing w:before="100" w:after="100" w:line="300" w:lineRule="exact"/>
        <w:ind w:left="567" w:hanging="567"/>
        <w:rPr>
          <w:rFonts w:cs="Times New Roman"/>
        </w:rPr>
      </w:pPr>
      <w:r w:rsidRPr="006F6F21">
        <w:rPr>
          <w:rFonts w:cs="Times New Roman"/>
        </w:rPr>
        <w:t xml:space="preserve">Schendl, H. 2000, </w:t>
      </w:r>
      <w:r w:rsidR="00CC0615">
        <w:rPr>
          <w:rFonts w:cs="Times New Roman"/>
        </w:rPr>
        <w:t>“</w:t>
      </w:r>
      <w:r w:rsidRPr="006F6F21">
        <w:rPr>
          <w:rFonts w:cs="Times New Roman"/>
        </w:rPr>
        <w:t>Linguistic Aspects of Code-Switching in Medieval English Texts,</w:t>
      </w:r>
      <w:r w:rsidR="00CC0615">
        <w:rPr>
          <w:rFonts w:cs="Times New Roman"/>
        </w:rPr>
        <w:t>”</w:t>
      </w:r>
      <w:r w:rsidRPr="006F6F21">
        <w:rPr>
          <w:rFonts w:cs="Times New Roman"/>
        </w:rPr>
        <w:t xml:space="preserve"> in D. Trotter (ed.), </w:t>
      </w:r>
      <w:r w:rsidRPr="00AF6182">
        <w:rPr>
          <w:rFonts w:cs="Times New Roman"/>
          <w:i/>
        </w:rPr>
        <w:t xml:space="preserve">Multilingualism in </w:t>
      </w:r>
      <w:r>
        <w:rPr>
          <w:rFonts w:cs="Times New Roman"/>
          <w:i/>
        </w:rPr>
        <w:t>L</w:t>
      </w:r>
      <w:r w:rsidRPr="00AF6182">
        <w:rPr>
          <w:rFonts w:cs="Times New Roman"/>
          <w:i/>
        </w:rPr>
        <w:t xml:space="preserve">ater </w:t>
      </w:r>
      <w:r>
        <w:rPr>
          <w:rFonts w:cs="Times New Roman"/>
          <w:i/>
        </w:rPr>
        <w:t>M</w:t>
      </w:r>
      <w:r w:rsidRPr="00AF6182">
        <w:rPr>
          <w:rFonts w:cs="Times New Roman"/>
          <w:i/>
        </w:rPr>
        <w:t>edieval Britain</w:t>
      </w:r>
      <w:r w:rsidRPr="006F6F21">
        <w:rPr>
          <w:rFonts w:cs="Times New Roman"/>
        </w:rPr>
        <w:t>, Woodbridge: 77-92.</w:t>
      </w:r>
    </w:p>
    <w:p w14:paraId="04F03306" w14:textId="4B66D16C" w:rsidR="003B2A46" w:rsidRPr="006F6F21" w:rsidRDefault="003B2A46" w:rsidP="004819D9">
      <w:pPr>
        <w:spacing w:before="100" w:after="100" w:line="300" w:lineRule="exact"/>
        <w:ind w:left="567" w:hanging="567"/>
        <w:rPr>
          <w:rFonts w:cs="Times New Roman"/>
        </w:rPr>
      </w:pPr>
      <w:r w:rsidRPr="006F6F21">
        <w:rPr>
          <w:rFonts w:cs="Times New Roman"/>
        </w:rPr>
        <w:t xml:space="preserve">Schiesaro, A. 2001, </w:t>
      </w:r>
      <w:r w:rsidR="00CC0615">
        <w:rPr>
          <w:rFonts w:cs="Times New Roman"/>
        </w:rPr>
        <w:t>“</w:t>
      </w:r>
      <w:r w:rsidRPr="006F6F21">
        <w:rPr>
          <w:rFonts w:cs="Times New Roman"/>
        </w:rPr>
        <w:t>Dissimulazioni giambiche nell</w:t>
      </w:r>
      <w:r w:rsidR="00075F5F">
        <w:rPr>
          <w:rFonts w:cs="Times New Roman"/>
        </w:rPr>
        <w:t>’</w:t>
      </w:r>
      <w:r w:rsidRPr="00AF6182">
        <w:rPr>
          <w:rFonts w:cs="Times New Roman"/>
          <w:i/>
        </w:rPr>
        <w:t>Ibis</w:t>
      </w:r>
      <w:r w:rsidRPr="006F6F21">
        <w:rPr>
          <w:rFonts w:cs="Times New Roman"/>
        </w:rPr>
        <w:t>,</w:t>
      </w:r>
      <w:r w:rsidR="00CC0615">
        <w:rPr>
          <w:rFonts w:cs="Times New Roman"/>
        </w:rPr>
        <w:t>”</w:t>
      </w:r>
      <w:r w:rsidRPr="006F6F21">
        <w:rPr>
          <w:rFonts w:cs="Times New Roman"/>
        </w:rPr>
        <w:t xml:space="preserve"> in F. Bertini (ed.), </w:t>
      </w:r>
      <w:r w:rsidRPr="006F6F21">
        <w:rPr>
          <w:rFonts w:cs="Times New Roman"/>
          <w:i/>
        </w:rPr>
        <w:t xml:space="preserve">Giornate filologiche </w:t>
      </w:r>
      <w:r w:rsidR="00CC0615">
        <w:rPr>
          <w:rFonts w:cs="Times New Roman"/>
          <w:i/>
        </w:rPr>
        <w:t>“</w:t>
      </w:r>
      <w:r w:rsidRPr="006F6F21">
        <w:rPr>
          <w:rFonts w:cs="Times New Roman"/>
          <w:i/>
        </w:rPr>
        <w:t>Francesco Della Corte</w:t>
      </w:r>
      <w:r w:rsidR="00CC0615">
        <w:rPr>
          <w:rFonts w:cs="Times New Roman"/>
          <w:i/>
        </w:rPr>
        <w:t>”</w:t>
      </w:r>
      <w:r w:rsidRPr="006F6F21">
        <w:rPr>
          <w:rFonts w:cs="Times New Roman"/>
          <w:i/>
        </w:rPr>
        <w:t xml:space="preserve"> II</w:t>
      </w:r>
      <w:r w:rsidRPr="006F6F21">
        <w:rPr>
          <w:rFonts w:cs="Times New Roman"/>
        </w:rPr>
        <w:t>, Genova: 125-136.</w:t>
      </w:r>
    </w:p>
    <w:p w14:paraId="0DE23244" w14:textId="27C77BF7" w:rsidR="003B2A46" w:rsidRDefault="003B2A46" w:rsidP="004819D9">
      <w:pPr>
        <w:spacing w:before="100" w:after="100" w:line="300" w:lineRule="exact"/>
        <w:ind w:left="567" w:hanging="567"/>
        <w:rPr>
          <w:rFonts w:cs="Times New Roman"/>
        </w:rPr>
      </w:pPr>
      <w:r w:rsidRPr="006F6F21">
        <w:rPr>
          <w:rFonts w:cs="Times New Roman"/>
        </w:rPr>
        <w:t xml:space="preserve">Schironi, F. 2014, </w:t>
      </w:r>
      <w:r w:rsidR="00CC0615">
        <w:rPr>
          <w:rFonts w:cs="Times New Roman"/>
        </w:rPr>
        <w:t>“</w:t>
      </w:r>
      <w:r w:rsidRPr="006F6F21">
        <w:rPr>
          <w:rFonts w:cs="Times New Roman"/>
        </w:rPr>
        <w:t>Technical Languages: Science and Medicine,</w:t>
      </w:r>
      <w:r w:rsidR="00CC0615">
        <w:rPr>
          <w:rFonts w:cs="Times New Roman"/>
        </w:rPr>
        <w:t>”</w:t>
      </w:r>
      <w:r w:rsidRPr="006F6F21">
        <w:rPr>
          <w:rFonts w:cs="Times New Roman"/>
        </w:rPr>
        <w:t xml:space="preserve"> in 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338-335.</w:t>
      </w:r>
    </w:p>
    <w:p w14:paraId="39AF2050" w14:textId="77777777" w:rsidR="003B2A46" w:rsidRPr="006F6F21" w:rsidRDefault="003B2A46" w:rsidP="004819D9">
      <w:pPr>
        <w:spacing w:before="100" w:after="100" w:line="300" w:lineRule="exact"/>
        <w:ind w:left="567" w:hanging="567"/>
        <w:rPr>
          <w:rFonts w:cs="Times New Roman"/>
        </w:rPr>
      </w:pPr>
      <w:r>
        <w:rPr>
          <w:rFonts w:cs="Times New Roman"/>
        </w:rPr>
        <w:t xml:space="preserve">Schwyzer, E., and Debrunner, A., </w:t>
      </w:r>
      <w:r w:rsidRPr="001743E3">
        <w:rPr>
          <w:rFonts w:cs="Times New Roman"/>
          <w:i/>
        </w:rPr>
        <w:t>Griechische Grammatik</w:t>
      </w:r>
      <w:r>
        <w:rPr>
          <w:rFonts w:cs="Times New Roman"/>
        </w:rPr>
        <w:t>, München 1950 (3</w:t>
      </w:r>
      <w:r w:rsidRPr="001743E3">
        <w:rPr>
          <w:rFonts w:cs="Times New Roman"/>
          <w:vertAlign w:val="superscript"/>
        </w:rPr>
        <w:t>rd</w:t>
      </w:r>
      <w:r>
        <w:rPr>
          <w:rFonts w:cs="Times New Roman"/>
        </w:rPr>
        <w:t xml:space="preserve"> edition). </w:t>
      </w:r>
    </w:p>
    <w:p w14:paraId="0E776D17" w14:textId="54BC0A60" w:rsidR="003B2A46" w:rsidRPr="006F6F21" w:rsidRDefault="003B2A46" w:rsidP="004819D9">
      <w:pPr>
        <w:spacing w:before="100" w:after="100" w:line="300" w:lineRule="exact"/>
        <w:ind w:left="567" w:hanging="567"/>
        <w:rPr>
          <w:rFonts w:cs="Times New Roman"/>
        </w:rPr>
      </w:pPr>
      <w:r w:rsidRPr="006F6F21">
        <w:rPr>
          <w:rFonts w:cs="Times New Roman"/>
        </w:rPr>
        <w:t xml:space="preserve">Scodel, R. 2010, </w:t>
      </w:r>
      <w:r w:rsidR="00CC0615">
        <w:rPr>
          <w:rFonts w:cs="Times New Roman"/>
        </w:rPr>
        <w:t>“</w:t>
      </w:r>
      <w:r w:rsidRPr="006F6F21">
        <w:rPr>
          <w:rFonts w:cs="Times New Roman"/>
        </w:rPr>
        <w:t>Iambos and Parody,</w:t>
      </w:r>
      <w:r w:rsidR="00CC0615">
        <w:rPr>
          <w:rFonts w:cs="Times New Roman"/>
        </w:rPr>
        <w:t>”</w:t>
      </w:r>
      <w:r w:rsidRPr="006F6F21">
        <w:rPr>
          <w:rFonts w:cs="Times New Roman"/>
        </w:rPr>
        <w:t xml:space="preserve"> in J. J. Clauss and M. Cuypers (eds.), </w:t>
      </w:r>
      <w:r w:rsidRPr="006F6F21">
        <w:rPr>
          <w:rFonts w:cs="Times New Roman"/>
          <w:i/>
        </w:rPr>
        <w:t>A Companion to Hellenistic Literatur</w:t>
      </w:r>
      <w:r w:rsidRPr="006F6F21">
        <w:rPr>
          <w:rFonts w:cs="Times New Roman"/>
        </w:rPr>
        <w:t>, Chichester - Malden: 251-266.</w:t>
      </w:r>
    </w:p>
    <w:p w14:paraId="16A0BE89" w14:textId="134A4FAF" w:rsidR="003B2A46" w:rsidRPr="00AF6182" w:rsidRDefault="003B2A46" w:rsidP="004819D9">
      <w:pPr>
        <w:spacing w:before="100" w:after="100" w:line="300" w:lineRule="exact"/>
        <w:ind w:left="567" w:hanging="567"/>
        <w:rPr>
          <w:rFonts w:cs="Times New Roman"/>
        </w:rPr>
      </w:pPr>
      <w:r w:rsidRPr="0071750B">
        <w:rPr>
          <w:rFonts w:cs="Times New Roman"/>
        </w:rPr>
        <w:t>—</w:t>
      </w:r>
      <w:r>
        <w:rPr>
          <w:rFonts w:cs="Times New Roman"/>
        </w:rPr>
        <w:t xml:space="preserve"> </w:t>
      </w:r>
      <w:r w:rsidRPr="00AF6182">
        <w:rPr>
          <w:rFonts w:cs="Times New Roman"/>
        </w:rPr>
        <w:t xml:space="preserve">2011, </w:t>
      </w:r>
      <w:r w:rsidR="00CC0615">
        <w:rPr>
          <w:rFonts w:cs="Times New Roman"/>
        </w:rPr>
        <w:t>“</w:t>
      </w:r>
      <w:r w:rsidRPr="00AF6182">
        <w:rPr>
          <w:rFonts w:cs="Times New Roman"/>
        </w:rPr>
        <w:t xml:space="preserve">Callimachus and the </w:t>
      </w:r>
      <w:r>
        <w:rPr>
          <w:rFonts w:cs="Times New Roman"/>
        </w:rPr>
        <w:t>F</w:t>
      </w:r>
      <w:r w:rsidRPr="00AF6182">
        <w:rPr>
          <w:rFonts w:cs="Times New Roman"/>
        </w:rPr>
        <w:t>able,</w:t>
      </w:r>
      <w:r w:rsidR="00CC0615">
        <w:rPr>
          <w:rFonts w:cs="Times New Roman"/>
        </w:rPr>
        <w:t>”</w:t>
      </w:r>
      <w:r w:rsidRPr="00AF6182">
        <w:rPr>
          <w:rFonts w:cs="Times New Roman"/>
        </w:rPr>
        <w:t xml:space="preserve"> in B. Acosta Hughes, L. Lehnus, and S. Stephens (eds.), </w:t>
      </w:r>
      <w:r w:rsidRPr="00AF6182">
        <w:rPr>
          <w:rFonts w:cs="Times New Roman"/>
          <w:i/>
        </w:rPr>
        <w:t>Brill</w:t>
      </w:r>
      <w:r w:rsidR="00075F5F">
        <w:rPr>
          <w:rFonts w:cs="Times New Roman"/>
          <w:i/>
        </w:rPr>
        <w:t>’</w:t>
      </w:r>
      <w:r w:rsidRPr="00AF6182">
        <w:rPr>
          <w:rFonts w:cs="Times New Roman"/>
          <w:i/>
        </w:rPr>
        <w:t>s Companion to Callimachus</w:t>
      </w:r>
      <w:r w:rsidRPr="00AF6182">
        <w:rPr>
          <w:rFonts w:cs="Times New Roman"/>
        </w:rPr>
        <w:t>, Leiden: 368-383.</w:t>
      </w:r>
    </w:p>
    <w:p w14:paraId="2FBA4392" w14:textId="3E307A32" w:rsidR="003B2A46" w:rsidRPr="006B7426" w:rsidRDefault="003B2A46" w:rsidP="004819D9">
      <w:pPr>
        <w:spacing w:before="100" w:after="100" w:line="300" w:lineRule="exact"/>
        <w:ind w:left="567" w:hanging="567"/>
        <w:rPr>
          <w:rFonts w:cs="Times New Roman"/>
        </w:rPr>
      </w:pPr>
      <w:r w:rsidRPr="006B7426">
        <w:rPr>
          <w:rFonts w:cs="Times New Roman"/>
        </w:rPr>
        <w:t xml:space="preserve">Seaton, R. C. 1889, </w:t>
      </w:r>
      <w:r w:rsidR="00CC0615">
        <w:rPr>
          <w:rFonts w:cs="Times New Roman"/>
        </w:rPr>
        <w:t>“</w:t>
      </w:r>
      <w:r w:rsidRPr="006B7426">
        <w:rPr>
          <w:rFonts w:cs="Times New Roman"/>
        </w:rPr>
        <w:t xml:space="preserve">The Iterative Use of </w:t>
      </w:r>
      <w:r w:rsidRPr="006B7426">
        <w:rPr>
          <w:rFonts w:cs="Times New Roman"/>
          <w:lang w:val="el-GR"/>
        </w:rPr>
        <w:t>ἄ</w:t>
      </w:r>
      <w:r w:rsidRPr="006B7426">
        <w:rPr>
          <w:rFonts w:cs="Times New Roman" w:hint="eastAsia"/>
          <w:lang w:val="el-GR"/>
        </w:rPr>
        <w:t>ν</w:t>
      </w:r>
      <w:r w:rsidRPr="006B7426">
        <w:rPr>
          <w:rFonts w:cs="Times New Roman"/>
        </w:rPr>
        <w:t xml:space="preserve"> with the Imperfect and Aorist Indicative,</w:t>
      </w:r>
      <w:r w:rsidR="00CC0615">
        <w:rPr>
          <w:rFonts w:cs="Times New Roman"/>
        </w:rPr>
        <w:t>”</w:t>
      </w:r>
      <w:r w:rsidRPr="006B7426">
        <w:rPr>
          <w:rFonts w:cs="Times New Roman"/>
        </w:rPr>
        <w:t xml:space="preserve"> </w:t>
      </w:r>
      <w:r w:rsidRPr="006B7426">
        <w:rPr>
          <w:rFonts w:cs="Times New Roman"/>
          <w:i/>
        </w:rPr>
        <w:t>Glotta</w:t>
      </w:r>
      <w:r w:rsidRPr="006B7426">
        <w:rPr>
          <w:rFonts w:cs="Times New Roman"/>
        </w:rPr>
        <w:t xml:space="preserve"> 3: 343-345.</w:t>
      </w:r>
    </w:p>
    <w:p w14:paraId="17BEFB8D" w14:textId="129558DE" w:rsidR="003B2A46" w:rsidRPr="006F6F21" w:rsidRDefault="003B2A46" w:rsidP="004819D9">
      <w:pPr>
        <w:spacing w:before="100" w:after="100" w:line="300" w:lineRule="exact"/>
        <w:ind w:left="567" w:hanging="567"/>
        <w:rPr>
          <w:rFonts w:cs="Times New Roman"/>
          <w:color w:val="262626"/>
        </w:rPr>
      </w:pPr>
      <w:r w:rsidRPr="006F6F21">
        <w:rPr>
          <w:rFonts w:cs="Times New Roman"/>
        </w:rPr>
        <w:t xml:space="preserve">Sebba, M. 2012, </w:t>
      </w:r>
      <w:r w:rsidR="00CC0615">
        <w:rPr>
          <w:rFonts w:cs="Times New Roman"/>
        </w:rPr>
        <w:t>“</w:t>
      </w:r>
      <w:r w:rsidRPr="006F6F21">
        <w:rPr>
          <w:rFonts w:cs="Times New Roman"/>
          <w:color w:val="262626"/>
        </w:rPr>
        <w:t xml:space="preserve">Researching and </w:t>
      </w:r>
      <w:r>
        <w:rPr>
          <w:rFonts w:cs="Times New Roman"/>
          <w:color w:val="262626"/>
        </w:rPr>
        <w:t>T</w:t>
      </w:r>
      <w:r w:rsidRPr="006F6F21">
        <w:rPr>
          <w:rFonts w:cs="Times New Roman"/>
          <w:color w:val="262626"/>
        </w:rPr>
        <w:t xml:space="preserve">heorising </w:t>
      </w:r>
      <w:r>
        <w:rPr>
          <w:rFonts w:cs="Times New Roman"/>
          <w:color w:val="262626"/>
        </w:rPr>
        <w:t>M</w:t>
      </w:r>
      <w:r w:rsidRPr="006F6F21">
        <w:rPr>
          <w:rFonts w:cs="Times New Roman"/>
          <w:color w:val="262626"/>
        </w:rPr>
        <w:t xml:space="preserve">ultilingual </w:t>
      </w:r>
      <w:r>
        <w:rPr>
          <w:rFonts w:cs="Times New Roman"/>
          <w:color w:val="262626"/>
        </w:rPr>
        <w:t>T</w:t>
      </w:r>
      <w:r w:rsidRPr="006F6F21">
        <w:rPr>
          <w:rFonts w:cs="Times New Roman"/>
          <w:color w:val="262626"/>
        </w:rPr>
        <w:t>exts,</w:t>
      </w:r>
      <w:r w:rsidR="00CC0615">
        <w:rPr>
          <w:rFonts w:cs="Times New Roman"/>
          <w:color w:val="262626"/>
        </w:rPr>
        <w:t>”</w:t>
      </w:r>
      <w:r w:rsidRPr="006F6F21">
        <w:rPr>
          <w:rFonts w:cs="Times New Roman"/>
          <w:color w:val="262626"/>
        </w:rPr>
        <w:t xml:space="preserve"> in M. Sebba, S</w:t>
      </w:r>
      <w:r>
        <w:rPr>
          <w:rFonts w:cs="Times New Roman"/>
          <w:color w:val="262626"/>
        </w:rPr>
        <w:t xml:space="preserve">. </w:t>
      </w:r>
      <w:r w:rsidRPr="006F6F21">
        <w:rPr>
          <w:rFonts w:cs="Times New Roman"/>
          <w:color w:val="262626"/>
        </w:rPr>
        <w:t xml:space="preserve">Mahootian, and C. Jonsson (eds.), </w:t>
      </w:r>
      <w:r w:rsidRPr="006F6F21">
        <w:rPr>
          <w:rFonts w:cs="Times New Roman"/>
          <w:i/>
          <w:color w:val="262626"/>
        </w:rPr>
        <w:t>Language Mixing and Code-Switching in Writing: Appr</w:t>
      </w:r>
      <w:r>
        <w:rPr>
          <w:rFonts w:cs="Times New Roman"/>
          <w:i/>
          <w:color w:val="262626"/>
        </w:rPr>
        <w:t>oa</w:t>
      </w:r>
      <w:r w:rsidRPr="006F6F21">
        <w:rPr>
          <w:rFonts w:cs="Times New Roman"/>
          <w:i/>
          <w:color w:val="262626"/>
        </w:rPr>
        <w:t>ches to Mixed-Language Written Discourse</w:t>
      </w:r>
      <w:r w:rsidRPr="006F6F21">
        <w:rPr>
          <w:rFonts w:cs="Times New Roman"/>
          <w:color w:val="262626"/>
        </w:rPr>
        <w:t>, London: 1-26.</w:t>
      </w:r>
    </w:p>
    <w:p w14:paraId="14C51CF4" w14:textId="21AB3D42" w:rsidR="003B2A46" w:rsidRPr="006F6F21" w:rsidRDefault="003B2A46" w:rsidP="004819D9">
      <w:pPr>
        <w:spacing w:before="100" w:after="100" w:line="300" w:lineRule="exact"/>
        <w:ind w:left="567" w:hanging="567"/>
        <w:rPr>
          <w:rFonts w:cs="Times New Roman"/>
          <w:color w:val="262626"/>
        </w:rPr>
      </w:pPr>
      <w:r w:rsidRPr="006F6F21">
        <w:rPr>
          <w:rFonts w:cs="Times New Roman"/>
          <w:color w:val="262626"/>
        </w:rPr>
        <w:t xml:space="preserve">Semerano, G. 1951, </w:t>
      </w:r>
      <w:r w:rsidR="00CC0615">
        <w:rPr>
          <w:rFonts w:cs="Times New Roman"/>
          <w:color w:val="262626"/>
        </w:rPr>
        <w:t>“</w:t>
      </w:r>
      <w:r w:rsidRPr="006F6F21">
        <w:rPr>
          <w:rFonts w:cs="Times New Roman"/>
          <w:color w:val="262626"/>
        </w:rPr>
        <w:t>Archiloco nel giudizio del passato,</w:t>
      </w:r>
      <w:r w:rsidR="00CC0615">
        <w:rPr>
          <w:rFonts w:cs="Times New Roman"/>
          <w:color w:val="262626"/>
        </w:rPr>
        <w:t>”</w:t>
      </w:r>
      <w:r w:rsidRPr="006F6F21">
        <w:rPr>
          <w:rFonts w:cs="Times New Roman"/>
          <w:color w:val="262626"/>
        </w:rPr>
        <w:t xml:space="preserve"> </w:t>
      </w:r>
      <w:r w:rsidRPr="006F6F21">
        <w:rPr>
          <w:rFonts w:cs="Times New Roman"/>
          <w:i/>
          <w:color w:val="262626"/>
        </w:rPr>
        <w:t>Maia</w:t>
      </w:r>
      <w:r w:rsidRPr="006F6F21">
        <w:rPr>
          <w:rFonts w:cs="Times New Roman"/>
          <w:color w:val="262626"/>
        </w:rPr>
        <w:t xml:space="preserve"> 4: 167-186.</w:t>
      </w:r>
    </w:p>
    <w:p w14:paraId="68F4701D" w14:textId="062BAC3D" w:rsidR="003B2A46" w:rsidRPr="006F6F21" w:rsidRDefault="003B2A46" w:rsidP="004819D9">
      <w:pPr>
        <w:spacing w:before="100" w:after="100" w:line="300" w:lineRule="exact"/>
        <w:ind w:left="567" w:hanging="567"/>
        <w:rPr>
          <w:rFonts w:cs="Times New Roman"/>
          <w:color w:val="262626"/>
        </w:rPr>
      </w:pPr>
      <w:r w:rsidRPr="006F6F21">
        <w:rPr>
          <w:rFonts w:cs="Times New Roman"/>
          <w:color w:val="262626"/>
        </w:rPr>
        <w:t xml:space="preserve">Sevieri, R. 1998, </w:t>
      </w:r>
      <w:r w:rsidR="00CC0615">
        <w:rPr>
          <w:rFonts w:cs="Times New Roman"/>
          <w:color w:val="262626"/>
        </w:rPr>
        <w:t>“</w:t>
      </w:r>
      <w:r w:rsidRPr="006F6F21">
        <w:rPr>
          <w:rFonts w:cs="Times New Roman"/>
          <w:color w:val="262626"/>
        </w:rPr>
        <w:t>Le molte voci dell</w:t>
      </w:r>
      <w:r w:rsidR="00075F5F">
        <w:rPr>
          <w:rFonts w:cs="Times New Roman"/>
          <w:color w:val="262626"/>
        </w:rPr>
        <w:t>’</w:t>
      </w:r>
      <w:r w:rsidRPr="006F6F21">
        <w:rPr>
          <w:rFonts w:cs="Times New Roman"/>
          <w:color w:val="262626"/>
        </w:rPr>
        <w:t>io: polifonia narrative in Callimaco (</w:t>
      </w:r>
      <w:r w:rsidR="00CC0615">
        <w:rPr>
          <w:rFonts w:cs="Times New Roman"/>
          <w:color w:val="262626"/>
        </w:rPr>
        <w:t>“</w:t>
      </w:r>
      <w:r w:rsidRPr="006F6F21">
        <w:rPr>
          <w:rFonts w:cs="Times New Roman"/>
          <w:color w:val="262626"/>
          <w:lang w:val="el-GR"/>
        </w:rPr>
        <w:t>Σωσιβίου</w:t>
      </w:r>
      <w:r w:rsidRPr="007F1E99">
        <w:rPr>
          <w:rFonts w:cs="Times New Roman"/>
          <w:color w:val="262626"/>
          <w:lang w:val="en-US"/>
        </w:rPr>
        <w:t xml:space="preserve"> </w:t>
      </w:r>
      <w:r w:rsidRPr="006F6F21">
        <w:rPr>
          <w:rFonts w:cs="Times New Roman"/>
          <w:color w:val="262626"/>
          <w:lang w:val="el-GR"/>
        </w:rPr>
        <w:t>Νίκη</w:t>
      </w:r>
      <w:r w:rsidR="00CC0615">
        <w:rPr>
          <w:rFonts w:cs="Times New Roman"/>
          <w:color w:val="262626"/>
        </w:rPr>
        <w:t>”</w:t>
      </w:r>
      <w:r w:rsidRPr="006F6F21">
        <w:rPr>
          <w:rFonts w:cs="Times New Roman"/>
          <w:color w:val="262626"/>
        </w:rPr>
        <w:t xml:space="preserve">), </w:t>
      </w:r>
      <w:r w:rsidRPr="006F6F21">
        <w:rPr>
          <w:rFonts w:cs="Times New Roman"/>
          <w:i/>
          <w:color w:val="262626"/>
        </w:rPr>
        <w:t>Acme</w:t>
      </w:r>
      <w:r w:rsidRPr="006F6F21">
        <w:rPr>
          <w:rFonts w:cs="Times New Roman"/>
          <w:color w:val="262626"/>
        </w:rPr>
        <w:t xml:space="preserve"> 51: 191-204.</w:t>
      </w:r>
    </w:p>
    <w:p w14:paraId="047E0093" w14:textId="750BCE1D" w:rsidR="003B2A46" w:rsidRPr="006F6F21" w:rsidRDefault="003B2A46" w:rsidP="004819D9">
      <w:pPr>
        <w:spacing w:before="100" w:after="100" w:line="300" w:lineRule="exact"/>
        <w:ind w:left="567" w:hanging="567"/>
        <w:rPr>
          <w:rFonts w:cs="Times New Roman"/>
          <w:color w:val="262626"/>
        </w:rPr>
      </w:pPr>
      <w:r w:rsidRPr="006F6F21">
        <w:rPr>
          <w:rFonts w:cs="Times New Roman"/>
          <w:color w:val="262626"/>
        </w:rPr>
        <w:t xml:space="preserve">Sicking, C. M. J., 1991, </w:t>
      </w:r>
      <w:r w:rsidR="00CC0615">
        <w:rPr>
          <w:rFonts w:cs="Times New Roman"/>
          <w:color w:val="262626"/>
        </w:rPr>
        <w:t>“</w:t>
      </w:r>
      <w:r w:rsidRPr="006F6F21">
        <w:rPr>
          <w:rFonts w:cs="Times New Roman"/>
          <w:color w:val="262626"/>
        </w:rPr>
        <w:t>The Distribution of Aorist and Present Tense Stem Forms in Greek, Especially In the Imperative,</w:t>
      </w:r>
      <w:r w:rsidR="00CC0615">
        <w:rPr>
          <w:rFonts w:cs="Times New Roman"/>
          <w:color w:val="262626"/>
        </w:rPr>
        <w:t>”</w:t>
      </w:r>
      <w:r w:rsidRPr="006F6F21">
        <w:rPr>
          <w:rFonts w:cs="Times New Roman"/>
          <w:color w:val="262626"/>
        </w:rPr>
        <w:t xml:space="preserve"> </w:t>
      </w:r>
      <w:r w:rsidRPr="006F6F21">
        <w:rPr>
          <w:rFonts w:cs="Times New Roman"/>
          <w:i/>
          <w:color w:val="262626"/>
        </w:rPr>
        <w:t>Glotta</w:t>
      </w:r>
      <w:r w:rsidRPr="006F6F21">
        <w:rPr>
          <w:rFonts w:cs="Times New Roman"/>
          <w:color w:val="262626"/>
        </w:rPr>
        <w:t xml:space="preserve"> 69: 14-43; 154-170.</w:t>
      </w:r>
    </w:p>
    <w:p w14:paraId="70E8BA6D" w14:textId="60FCCF70" w:rsidR="003B2A46" w:rsidRPr="006F6F21" w:rsidRDefault="003B2A46" w:rsidP="004819D9">
      <w:pPr>
        <w:spacing w:before="100" w:after="100" w:line="300" w:lineRule="exact"/>
        <w:ind w:left="567" w:hanging="567"/>
        <w:rPr>
          <w:rFonts w:cs="Times New Roman"/>
        </w:rPr>
      </w:pPr>
      <w:r w:rsidRPr="006F6F21">
        <w:rPr>
          <w:rFonts w:cs="Times New Roman"/>
        </w:rPr>
        <w:t>— 1993</w:t>
      </w:r>
      <w:r>
        <w:rPr>
          <w:rFonts w:cs="Times New Roman"/>
        </w:rPr>
        <w:t>a</w:t>
      </w:r>
      <w:r w:rsidRPr="006F6F21">
        <w:rPr>
          <w:rFonts w:cs="Times New Roman"/>
        </w:rPr>
        <w:t xml:space="preserve">, </w:t>
      </w:r>
      <w:r w:rsidR="00CC0615">
        <w:rPr>
          <w:rFonts w:cs="Times New Roman"/>
        </w:rPr>
        <w:t>“</w:t>
      </w:r>
      <w:r w:rsidRPr="006F6F21">
        <w:rPr>
          <w:rFonts w:cs="Times New Roman"/>
        </w:rPr>
        <w:t xml:space="preserve">Devices for </w:t>
      </w:r>
      <w:r>
        <w:rPr>
          <w:rFonts w:cs="Times New Roman"/>
        </w:rPr>
        <w:t>T</w:t>
      </w:r>
      <w:r w:rsidRPr="006F6F21">
        <w:rPr>
          <w:rFonts w:cs="Times New Roman"/>
        </w:rPr>
        <w:t xml:space="preserve">ext </w:t>
      </w:r>
      <w:r>
        <w:rPr>
          <w:rFonts w:cs="Times New Roman"/>
        </w:rPr>
        <w:t>A</w:t>
      </w:r>
      <w:r w:rsidRPr="006F6F21">
        <w:rPr>
          <w:rFonts w:cs="Times New Roman"/>
        </w:rPr>
        <w:t>rticulation in Lysias I and XII,</w:t>
      </w:r>
      <w:r w:rsidR="00CC0615">
        <w:rPr>
          <w:rFonts w:cs="Times New Roman"/>
        </w:rPr>
        <w:t>”</w:t>
      </w:r>
      <w:r w:rsidRPr="006F6F21">
        <w:rPr>
          <w:rFonts w:cs="Times New Roman"/>
        </w:rPr>
        <w:t xml:space="preserve"> in C. M. J. Sicking and </w:t>
      </w:r>
      <w:r>
        <w:rPr>
          <w:rFonts w:cs="Times New Roman"/>
        </w:rPr>
        <w:br/>
      </w:r>
      <w:r w:rsidRPr="006F6F21">
        <w:rPr>
          <w:rFonts w:cs="Times New Roman"/>
        </w:rPr>
        <w:t xml:space="preserve">J. M. van Ophuijsen (eds.), </w:t>
      </w:r>
      <w:r w:rsidRPr="006F6F21">
        <w:rPr>
          <w:rFonts w:cs="Times New Roman"/>
          <w:i/>
        </w:rPr>
        <w:t>Two Studies in Attic Particle Usage</w:t>
      </w:r>
      <w:r w:rsidRPr="006F6F21">
        <w:rPr>
          <w:rFonts w:cs="Times New Roman"/>
        </w:rPr>
        <w:t>, Leiden: 1-66.</w:t>
      </w:r>
    </w:p>
    <w:p w14:paraId="2B44DC30" w14:textId="77777777"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1993</w:t>
      </w:r>
      <w:r>
        <w:rPr>
          <w:rFonts w:cs="Times New Roman"/>
        </w:rPr>
        <w:t>b</w:t>
      </w:r>
      <w:r w:rsidRPr="006F6F21">
        <w:rPr>
          <w:rFonts w:cs="Times New Roman"/>
        </w:rPr>
        <w:t xml:space="preserve">, </w:t>
      </w:r>
      <w:r w:rsidRPr="006F6F21">
        <w:rPr>
          <w:rFonts w:cs="Times New Roman"/>
          <w:i/>
        </w:rPr>
        <w:t>Griechische Verslehre</w:t>
      </w:r>
      <w:r w:rsidRPr="006F6F21">
        <w:rPr>
          <w:rFonts w:cs="Times New Roman"/>
        </w:rPr>
        <w:t>, Munich.</w:t>
      </w:r>
    </w:p>
    <w:p w14:paraId="0BBFE932" w14:textId="438FB123" w:rsidR="003B2A46" w:rsidRPr="006F6F21" w:rsidRDefault="003B2A46" w:rsidP="004819D9">
      <w:pPr>
        <w:spacing w:before="100" w:after="100" w:line="300" w:lineRule="exact"/>
        <w:ind w:left="567" w:hanging="567"/>
        <w:rPr>
          <w:rFonts w:cs="Times New Roman"/>
          <w:shd w:val="clear" w:color="auto" w:fill="FFFFFF"/>
        </w:rPr>
      </w:pPr>
      <w:r w:rsidRPr="006F6F21">
        <w:rPr>
          <w:rFonts w:cs="Times New Roman"/>
        </w:rPr>
        <w:t>—</w:t>
      </w:r>
      <w:r w:rsidRPr="006F6F21">
        <w:rPr>
          <w:rFonts w:cs="Times New Roman"/>
          <w:shd w:val="clear" w:color="auto" w:fill="FFFFFF"/>
        </w:rPr>
        <w:t xml:space="preserve"> 1996, </w:t>
      </w:r>
      <w:r w:rsidR="00CC0615">
        <w:rPr>
          <w:rFonts w:cs="Times New Roman"/>
          <w:shd w:val="clear" w:color="auto" w:fill="FFFFFF"/>
        </w:rPr>
        <w:t>“</w:t>
      </w:r>
      <w:r w:rsidRPr="006F6F21">
        <w:rPr>
          <w:rFonts w:cs="Times New Roman"/>
          <w:shd w:val="clear" w:color="auto" w:fill="FFFFFF"/>
        </w:rPr>
        <w:t>Aspect Choice</w:t>
      </w:r>
      <w:r>
        <w:rPr>
          <w:rFonts w:cs="Times New Roman"/>
          <w:shd w:val="clear" w:color="auto" w:fill="FFFFFF"/>
        </w:rPr>
        <w:t>:</w:t>
      </w:r>
      <w:r w:rsidRPr="006F6F21">
        <w:rPr>
          <w:rFonts w:cs="Times New Roman"/>
          <w:shd w:val="clear" w:color="auto" w:fill="FFFFFF"/>
        </w:rPr>
        <w:t xml:space="preserve"> Time Reference or Discourse Function?</w:t>
      </w:r>
      <w:r w:rsidR="00CC0615">
        <w:rPr>
          <w:rFonts w:cs="Times New Roman"/>
          <w:shd w:val="clear" w:color="auto" w:fill="FFFFFF"/>
        </w:rPr>
        <w:t>”</w:t>
      </w:r>
      <w:r>
        <w:rPr>
          <w:rFonts w:cs="Times New Roman"/>
          <w:shd w:val="clear" w:color="auto" w:fill="FFFFFF"/>
        </w:rPr>
        <w:t xml:space="preserve"> </w:t>
      </w:r>
      <w:r w:rsidRPr="006F6F21">
        <w:rPr>
          <w:rFonts w:cs="Times New Roman"/>
          <w:shd w:val="clear" w:color="auto" w:fill="FFFFFF"/>
        </w:rPr>
        <w:t xml:space="preserve">in C. M. J. Sicking and P. Stork, </w:t>
      </w:r>
      <w:r w:rsidRPr="006F6F21">
        <w:rPr>
          <w:rFonts w:cs="Times New Roman"/>
          <w:i/>
          <w:iCs/>
          <w:shd w:val="clear" w:color="auto" w:fill="FFFFFF"/>
        </w:rPr>
        <w:t>Two Studies in the Semantics of the Verb in Classical Greek</w:t>
      </w:r>
      <w:r w:rsidRPr="006F6F21">
        <w:rPr>
          <w:rFonts w:cs="Times New Roman"/>
          <w:shd w:val="clear" w:color="auto" w:fill="FFFFFF"/>
        </w:rPr>
        <w:t>, Leiden: 1-118.</w:t>
      </w:r>
    </w:p>
    <w:p w14:paraId="5C61C8C7" w14:textId="2A95C25C" w:rsidR="003B2A46" w:rsidRPr="006F6F21" w:rsidRDefault="003B2A46" w:rsidP="004819D9">
      <w:pPr>
        <w:spacing w:before="100" w:after="100" w:line="300" w:lineRule="exact"/>
        <w:ind w:left="567" w:hanging="567"/>
        <w:rPr>
          <w:rFonts w:cs="Times New Roman"/>
          <w:shd w:val="clear" w:color="auto" w:fill="FFFFFF"/>
        </w:rPr>
      </w:pPr>
      <w:r w:rsidRPr="006F6F21">
        <w:rPr>
          <w:rFonts w:cs="Times New Roman"/>
          <w:color w:val="262626"/>
        </w:rPr>
        <w:t xml:space="preserve">Sicking, C. M. J., and Stork, P. </w:t>
      </w:r>
      <w:r w:rsidRPr="006F6F21">
        <w:rPr>
          <w:rFonts w:cs="Times New Roman"/>
          <w:shd w:val="clear" w:color="auto" w:fill="FFFFFF"/>
        </w:rPr>
        <w:t xml:space="preserve">1996, </w:t>
      </w:r>
      <w:r w:rsidR="00CC0615">
        <w:rPr>
          <w:rFonts w:cs="Times New Roman"/>
          <w:shd w:val="clear" w:color="auto" w:fill="FFFFFF"/>
        </w:rPr>
        <w:t>“</w:t>
      </w:r>
      <w:r w:rsidRPr="006F6F21">
        <w:rPr>
          <w:rFonts w:cs="Times New Roman"/>
          <w:shd w:val="clear" w:color="auto" w:fill="FFFFFF"/>
        </w:rPr>
        <w:t>The Synthetic Perfect in Classical Greek,</w:t>
      </w:r>
      <w:r w:rsidR="00CC0615">
        <w:rPr>
          <w:rFonts w:cs="Times New Roman"/>
          <w:shd w:val="clear" w:color="auto" w:fill="FFFFFF"/>
        </w:rPr>
        <w:t>”</w:t>
      </w:r>
      <w:r w:rsidRPr="006F6F21">
        <w:rPr>
          <w:rFonts w:cs="Times New Roman"/>
          <w:shd w:val="clear" w:color="auto" w:fill="FFFFFF"/>
        </w:rPr>
        <w:t xml:space="preserve"> in C. M. J. Sicking and P. Stork, </w:t>
      </w:r>
      <w:r w:rsidRPr="006F6F21">
        <w:rPr>
          <w:rFonts w:cs="Times New Roman"/>
          <w:i/>
          <w:iCs/>
          <w:shd w:val="clear" w:color="auto" w:fill="FFFFFF"/>
        </w:rPr>
        <w:t>Two Studies in the Semantics of the Verb in Classical Greek</w:t>
      </w:r>
      <w:r w:rsidRPr="006F6F21">
        <w:rPr>
          <w:rFonts w:cs="Times New Roman"/>
          <w:shd w:val="clear" w:color="auto" w:fill="FFFFFF"/>
        </w:rPr>
        <w:t>,</w:t>
      </w:r>
      <w:r w:rsidR="00E023A1">
        <w:rPr>
          <w:rFonts w:cs="Times New Roman"/>
          <w:shd w:val="clear" w:color="auto" w:fill="FFFFFF"/>
        </w:rPr>
        <w:t xml:space="preserve"> </w:t>
      </w:r>
      <w:r w:rsidRPr="006F6F21">
        <w:rPr>
          <w:rFonts w:cs="Times New Roman"/>
          <w:shd w:val="clear" w:color="auto" w:fill="FFFFFF"/>
        </w:rPr>
        <w:t>Leiden: 119-298.</w:t>
      </w:r>
    </w:p>
    <w:p w14:paraId="2E605B2D" w14:textId="05CE03E3" w:rsidR="003B2A46" w:rsidRPr="006F6F21" w:rsidRDefault="003B2A46" w:rsidP="004819D9">
      <w:pPr>
        <w:spacing w:before="100" w:after="100" w:line="300" w:lineRule="exact"/>
        <w:ind w:left="567" w:hanging="567"/>
        <w:rPr>
          <w:rFonts w:cs="Times New Roman"/>
          <w:color w:val="262626"/>
        </w:rPr>
      </w:pPr>
      <w:r>
        <w:rPr>
          <w:rFonts w:cs="Times New Roman"/>
          <w:color w:val="262626"/>
        </w:rPr>
        <w:t>—</w:t>
      </w:r>
      <w:r w:rsidRPr="006F6F21">
        <w:rPr>
          <w:rFonts w:cs="Times New Roman"/>
          <w:color w:val="262626"/>
        </w:rPr>
        <w:t xml:space="preserve"> 1997, </w:t>
      </w:r>
      <w:r w:rsidR="00CC0615">
        <w:rPr>
          <w:rFonts w:cs="Times New Roman"/>
          <w:color w:val="262626"/>
        </w:rPr>
        <w:t>“</w:t>
      </w:r>
      <w:r w:rsidRPr="006F6F21">
        <w:rPr>
          <w:rFonts w:cs="Times New Roman"/>
          <w:color w:val="262626"/>
        </w:rPr>
        <w:t>The Grammar of the So-Called Historical Present in Ancient Greek,</w:t>
      </w:r>
      <w:r w:rsidR="00CC0615">
        <w:rPr>
          <w:rFonts w:cs="Times New Roman"/>
          <w:color w:val="262626"/>
        </w:rPr>
        <w:t>”</w:t>
      </w:r>
      <w:r w:rsidRPr="006F6F21">
        <w:rPr>
          <w:rFonts w:cs="Times New Roman"/>
          <w:color w:val="262626"/>
        </w:rPr>
        <w:t xml:space="preserve"> in E. J. Bakker (ed.)</w:t>
      </w:r>
      <w:r>
        <w:rPr>
          <w:rFonts w:cs="Times New Roman"/>
          <w:color w:val="262626"/>
        </w:rPr>
        <w:t>,</w:t>
      </w:r>
      <w:r w:rsidR="00E023A1">
        <w:rPr>
          <w:rFonts w:cs="Times New Roman"/>
          <w:color w:val="262626"/>
        </w:rPr>
        <w:t xml:space="preserve"> </w:t>
      </w:r>
      <w:r w:rsidRPr="006F6F21">
        <w:rPr>
          <w:rFonts w:cs="Times New Roman"/>
          <w:i/>
          <w:color w:val="262626"/>
        </w:rPr>
        <w:t>Grammar as Interpretation: Greek Literature and its Linguistic Contexts</w:t>
      </w:r>
      <w:r w:rsidRPr="006F6F21">
        <w:rPr>
          <w:rFonts w:cs="Times New Roman"/>
          <w:color w:val="262626"/>
        </w:rPr>
        <w:t>, Leiden: 131-168.</w:t>
      </w:r>
    </w:p>
    <w:p w14:paraId="4196A1DE" w14:textId="4F437FAC" w:rsidR="003B2A46" w:rsidRPr="006F6F21" w:rsidRDefault="003B2A46" w:rsidP="004819D9">
      <w:pPr>
        <w:spacing w:before="100" w:after="100" w:line="300" w:lineRule="exact"/>
        <w:ind w:left="567" w:hanging="567"/>
        <w:rPr>
          <w:rFonts w:cs="Times New Roman"/>
        </w:rPr>
      </w:pPr>
      <w:r w:rsidRPr="006F6F21">
        <w:rPr>
          <w:rFonts w:cs="Times New Roman"/>
        </w:rPr>
        <w:t xml:space="preserve">Sider, D. 1995, </w:t>
      </w:r>
      <w:r w:rsidR="00CC0615">
        <w:rPr>
          <w:rFonts w:cs="Times New Roman"/>
        </w:rPr>
        <w:t>“</w:t>
      </w:r>
      <w:r w:rsidRPr="006F6F21">
        <w:rPr>
          <w:rFonts w:cs="Times New Roman"/>
        </w:rPr>
        <w:t>Epicurean Poetics: Response and Dialogue,</w:t>
      </w:r>
      <w:r w:rsidR="00CC0615">
        <w:rPr>
          <w:rFonts w:cs="Times New Roman"/>
        </w:rPr>
        <w:t>”</w:t>
      </w:r>
      <w:r w:rsidRPr="006F6F21">
        <w:rPr>
          <w:rFonts w:cs="Times New Roman"/>
        </w:rPr>
        <w:t xml:space="preserve"> in D. Obbink (ed.), </w:t>
      </w:r>
      <w:r w:rsidRPr="006F6F21">
        <w:rPr>
          <w:rFonts w:cs="Times New Roman"/>
          <w:i/>
        </w:rPr>
        <w:t>Philodemus and Poetry: Poetic Theory and Practice in Lucretius, Philodemus, and Horace</w:t>
      </w:r>
      <w:r w:rsidRPr="006F6F21">
        <w:rPr>
          <w:rFonts w:cs="Times New Roman"/>
        </w:rPr>
        <w:t>, New York - Oxford: 35-41.</w:t>
      </w:r>
    </w:p>
    <w:p w14:paraId="4ACC974B" w14:textId="250B29DD" w:rsidR="003B2A46" w:rsidRPr="006F6F21" w:rsidRDefault="003B2A46" w:rsidP="004819D9">
      <w:pPr>
        <w:spacing w:before="100" w:after="100" w:line="300" w:lineRule="exact"/>
        <w:ind w:left="567" w:hanging="567"/>
        <w:rPr>
          <w:rFonts w:cs="Times New Roman"/>
        </w:rPr>
      </w:pPr>
      <w:r w:rsidRPr="006F6F21">
        <w:rPr>
          <w:rFonts w:cs="Times New Roman"/>
        </w:rPr>
        <w:t xml:space="preserve">Slings, S. R. 1997, </w:t>
      </w:r>
      <w:r w:rsidR="00CC0615">
        <w:rPr>
          <w:rFonts w:cs="Times New Roman"/>
        </w:rPr>
        <w:t>“</w:t>
      </w:r>
      <w:r w:rsidRPr="006F6F21">
        <w:rPr>
          <w:rFonts w:cs="Times New Roman"/>
        </w:rPr>
        <w:t>Figures of Speech and their Lookalikes,</w:t>
      </w:r>
      <w:r w:rsidR="00CC0615">
        <w:rPr>
          <w:rFonts w:cs="Times New Roman"/>
        </w:rPr>
        <w:t>”</w:t>
      </w:r>
      <w:r w:rsidRPr="006F6F21">
        <w:rPr>
          <w:rFonts w:cs="Times New Roman"/>
        </w:rPr>
        <w:t xml:space="preserve"> in E. J. Bakker (ed.), </w:t>
      </w:r>
      <w:r w:rsidRPr="006F6F21">
        <w:rPr>
          <w:rFonts w:cs="Times New Roman"/>
          <w:i/>
        </w:rPr>
        <w:t>Grammar as Interpretation: Greek Literature and its Linguistic Contexts</w:t>
      </w:r>
      <w:r w:rsidRPr="006F6F21">
        <w:rPr>
          <w:rFonts w:cs="Times New Roman"/>
        </w:rPr>
        <w:t>, Leiden: 169-214.</w:t>
      </w:r>
    </w:p>
    <w:p w14:paraId="25D4E353" w14:textId="49BA0036" w:rsidR="003B2A46" w:rsidRPr="006F6F21" w:rsidRDefault="003B2A46" w:rsidP="004819D9">
      <w:pPr>
        <w:spacing w:before="100" w:after="100" w:line="300" w:lineRule="exact"/>
        <w:ind w:left="567" w:hanging="567"/>
        <w:rPr>
          <w:rFonts w:cs="Times New Roman"/>
        </w:rPr>
      </w:pPr>
      <w:r w:rsidRPr="006F6F21">
        <w:rPr>
          <w:rFonts w:cs="Times New Roman"/>
        </w:rPr>
        <w:t xml:space="preserve">— 2002, </w:t>
      </w:r>
      <w:r w:rsidR="00CC0615">
        <w:rPr>
          <w:rFonts w:cs="Times New Roman"/>
        </w:rPr>
        <w:t>“</w:t>
      </w:r>
      <w:r w:rsidRPr="006F6F21">
        <w:rPr>
          <w:rFonts w:cs="Times New Roman"/>
        </w:rPr>
        <w:t>Figures of Speech in Aristophanes,</w:t>
      </w:r>
      <w:r w:rsidR="00CC0615">
        <w:rPr>
          <w:rFonts w:cs="Times New Roman"/>
        </w:rPr>
        <w:t>”</w:t>
      </w:r>
      <w:r w:rsidRPr="006F6F21">
        <w:rPr>
          <w:rFonts w:cs="Times New Roman"/>
        </w:rPr>
        <w:t xml:space="preserve"> in A. Willi (ed.), </w:t>
      </w:r>
      <w:r w:rsidRPr="006F6F21">
        <w:rPr>
          <w:rFonts w:cs="Times New Roman"/>
          <w:i/>
        </w:rPr>
        <w:t>The Language of Greek Comedy</w:t>
      </w:r>
      <w:r w:rsidRPr="006F6F21">
        <w:rPr>
          <w:rFonts w:cs="Times New Roman"/>
        </w:rPr>
        <w:t>, Oxford: 99-109.</w:t>
      </w:r>
    </w:p>
    <w:p w14:paraId="7321C123" w14:textId="5AEA9C3F" w:rsidR="003B2A46" w:rsidRPr="006F6F21" w:rsidRDefault="003B2A46" w:rsidP="004819D9">
      <w:pPr>
        <w:spacing w:before="100" w:after="100" w:line="300" w:lineRule="exact"/>
        <w:ind w:left="567" w:hanging="567"/>
        <w:rPr>
          <w:rFonts w:cs="Times New Roman"/>
        </w:rPr>
      </w:pPr>
      <w:r w:rsidRPr="006F6F21">
        <w:rPr>
          <w:rFonts w:cs="Times New Roman"/>
        </w:rPr>
        <w:t xml:space="preserve">Smith, N. 2005, </w:t>
      </w:r>
      <w:r w:rsidR="00CC0615">
        <w:rPr>
          <w:rFonts w:cs="Times New Roman"/>
        </w:rPr>
        <w:t>“</w:t>
      </w:r>
      <w:r w:rsidRPr="006F6F21">
        <w:rPr>
          <w:rFonts w:cs="Times New Roman"/>
        </w:rPr>
        <w:t xml:space="preserve">Noun </w:t>
      </w:r>
      <w:r>
        <w:rPr>
          <w:rFonts w:cs="Times New Roman"/>
        </w:rPr>
        <w:t>I</w:t>
      </w:r>
      <w:r w:rsidRPr="006F6F21">
        <w:rPr>
          <w:rFonts w:cs="Times New Roman"/>
        </w:rPr>
        <w:t>ncorporation in Functional Discourse Grammar,</w:t>
      </w:r>
      <w:r w:rsidR="00CC0615">
        <w:rPr>
          <w:rFonts w:cs="Times New Roman"/>
        </w:rPr>
        <w:t>”</w:t>
      </w:r>
      <w:r w:rsidRPr="006F6F21">
        <w:rPr>
          <w:rFonts w:cs="Times New Roman"/>
        </w:rPr>
        <w:t xml:space="preserve"> in C. de Groot and K. Hengeveld (eds.), </w:t>
      </w:r>
      <w:r w:rsidRPr="006F6F21">
        <w:rPr>
          <w:rFonts w:cs="Times New Roman"/>
          <w:i/>
        </w:rPr>
        <w:t xml:space="preserve">Morphosyntactic </w:t>
      </w:r>
      <w:r>
        <w:rPr>
          <w:rFonts w:cs="Times New Roman"/>
          <w:i/>
        </w:rPr>
        <w:t>E</w:t>
      </w:r>
      <w:r w:rsidRPr="006F6F21">
        <w:rPr>
          <w:rFonts w:cs="Times New Roman"/>
          <w:i/>
        </w:rPr>
        <w:t>xpression in Functional Grammar</w:t>
      </w:r>
      <w:r w:rsidRPr="006F6F21">
        <w:rPr>
          <w:rFonts w:cs="Times New Roman"/>
        </w:rPr>
        <w:t>, Berlin - New</w:t>
      </w:r>
      <w:r>
        <w:rPr>
          <w:rFonts w:cs="Times New Roman"/>
        </w:rPr>
        <w:t xml:space="preserve"> </w:t>
      </w:r>
      <w:r w:rsidRPr="006F6F21">
        <w:rPr>
          <w:rFonts w:cs="Times New Roman"/>
        </w:rPr>
        <w:t>York: 87-134.</w:t>
      </w:r>
    </w:p>
    <w:p w14:paraId="70FB61AF"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Smyth, H. W. 1956, </w:t>
      </w:r>
      <w:r w:rsidRPr="006F6F21">
        <w:rPr>
          <w:rFonts w:cs="Times New Roman"/>
          <w:i/>
        </w:rPr>
        <w:t>Greek Grammar</w:t>
      </w:r>
      <w:r w:rsidRPr="006F6F21">
        <w:rPr>
          <w:rFonts w:cs="Times New Roman"/>
        </w:rPr>
        <w:t xml:space="preserve">, </w:t>
      </w:r>
      <w:r>
        <w:rPr>
          <w:rFonts w:cs="Times New Roman"/>
        </w:rPr>
        <w:t>revised</w:t>
      </w:r>
      <w:r w:rsidRPr="006F6F21">
        <w:rPr>
          <w:rFonts w:cs="Times New Roman"/>
        </w:rPr>
        <w:t xml:space="preserve"> by G. M. Messing, Cambridge (MA).</w:t>
      </w:r>
    </w:p>
    <w:p w14:paraId="76DF6E15" w14:textId="77777777" w:rsidR="003B2A46" w:rsidRPr="006F6F21" w:rsidRDefault="003B2A46" w:rsidP="004819D9">
      <w:pPr>
        <w:spacing w:before="100" w:after="100" w:line="300" w:lineRule="exact"/>
        <w:ind w:left="567" w:hanging="567"/>
        <w:rPr>
          <w:rFonts w:cs="Times New Roman"/>
        </w:rPr>
      </w:pPr>
      <w:r w:rsidRPr="001743E3">
        <w:rPr>
          <w:rFonts w:cs="Times New Roman"/>
        </w:rPr>
        <w:t>Sommerstein, A. H. 1984</w:t>
      </w:r>
      <w:r>
        <w:rPr>
          <w:rFonts w:cs="Times New Roman"/>
        </w:rPr>
        <w:t xml:space="preserve">, </w:t>
      </w:r>
      <w:r w:rsidRPr="002F1E35">
        <w:rPr>
          <w:rFonts w:cs="Times New Roman"/>
          <w:i/>
        </w:rPr>
        <w:t>The Comedy of Aristophanes, 1</w:t>
      </w:r>
      <w:r>
        <w:rPr>
          <w:rFonts w:cs="Times New Roman"/>
          <w:i/>
        </w:rPr>
        <w:t>:</w:t>
      </w:r>
      <w:r w:rsidRPr="002F1E35">
        <w:rPr>
          <w:rFonts w:cs="Times New Roman"/>
          <w:i/>
        </w:rPr>
        <w:t xml:space="preserve"> The Acharnians</w:t>
      </w:r>
      <w:r>
        <w:rPr>
          <w:rFonts w:cs="Times New Roman"/>
        </w:rPr>
        <w:t>, Warminster.</w:t>
      </w:r>
    </w:p>
    <w:p w14:paraId="748F110A"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Sousa Medeiros, W. de 1969, </w:t>
      </w:r>
      <w:r w:rsidRPr="006F6F21">
        <w:rPr>
          <w:rFonts w:cs="Times New Roman"/>
          <w:i/>
        </w:rPr>
        <w:t xml:space="preserve">Hipponactea: subsídios para una nova edição crítica do </w:t>
      </w:r>
      <w:r>
        <w:rPr>
          <w:rFonts w:cs="Times New Roman"/>
          <w:i/>
        </w:rPr>
        <w:t>i</w:t>
      </w:r>
      <w:r w:rsidRPr="006F6F21">
        <w:rPr>
          <w:rFonts w:cs="Times New Roman"/>
          <w:i/>
        </w:rPr>
        <w:t>ambógrafo de Éfeso</w:t>
      </w:r>
      <w:r w:rsidRPr="006F6F21">
        <w:rPr>
          <w:rFonts w:cs="Times New Roman"/>
        </w:rPr>
        <w:t>, Coimbra.</w:t>
      </w:r>
    </w:p>
    <w:p w14:paraId="2F8D9EC0" w14:textId="37EF0434" w:rsidR="003B2A46" w:rsidRPr="006F6F21" w:rsidRDefault="003B2A46" w:rsidP="004819D9">
      <w:pPr>
        <w:spacing w:before="100" w:after="100" w:line="300" w:lineRule="exact"/>
        <w:ind w:left="567" w:hanging="567"/>
        <w:rPr>
          <w:rFonts w:cs="Times New Roman"/>
        </w:rPr>
      </w:pPr>
      <w:r w:rsidRPr="006F6F21">
        <w:rPr>
          <w:rFonts w:cs="Times New Roman"/>
        </w:rPr>
        <w:t xml:space="preserve">Soverini, L. 1992, </w:t>
      </w:r>
      <w:r w:rsidR="00CC0615">
        <w:rPr>
          <w:rFonts w:cs="Times New Roman"/>
        </w:rPr>
        <w:t>“</w:t>
      </w:r>
      <w:r w:rsidRPr="006F6F21">
        <w:rPr>
          <w:rFonts w:cs="Times New Roman"/>
        </w:rPr>
        <w:t>Parole, voce, gesti del commerciante nella Grecia classica,</w:t>
      </w:r>
      <w:r w:rsidR="00CC0615">
        <w:rPr>
          <w:rFonts w:cs="Times New Roman"/>
        </w:rPr>
        <w:t>”</w:t>
      </w:r>
      <w:r w:rsidRPr="006F6F21">
        <w:rPr>
          <w:rFonts w:cs="Times New Roman"/>
        </w:rPr>
        <w:t xml:space="preserve"> </w:t>
      </w:r>
      <w:r w:rsidRPr="006F6F21">
        <w:rPr>
          <w:rFonts w:cs="Times New Roman"/>
          <w:i/>
        </w:rPr>
        <w:t>Annali della Scuola Normale Superiore di Pisa (Classe di Lettere e Filosofia)</w:t>
      </w:r>
      <w:r w:rsidRPr="006F6F21">
        <w:rPr>
          <w:rFonts w:cs="Times New Roman"/>
        </w:rPr>
        <w:t xml:space="preserve"> 22: 811-884.</w:t>
      </w:r>
    </w:p>
    <w:p w14:paraId="670FF7C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Stephens, S. A. 2015, </w:t>
      </w:r>
      <w:r w:rsidRPr="006F6F21">
        <w:rPr>
          <w:rFonts w:cs="Times New Roman"/>
          <w:i/>
        </w:rPr>
        <w:t>Callimachus</w:t>
      </w:r>
      <w:r>
        <w:rPr>
          <w:rFonts w:cs="Times New Roman"/>
          <w:i/>
        </w:rPr>
        <w:t xml:space="preserve">, </w:t>
      </w:r>
      <w:r w:rsidRPr="006F6F21">
        <w:rPr>
          <w:rFonts w:cs="Times New Roman"/>
          <w:i/>
        </w:rPr>
        <w:t>The Hymns</w:t>
      </w:r>
      <w:r>
        <w:rPr>
          <w:rFonts w:cs="Times New Roman"/>
          <w:i/>
        </w:rPr>
        <w:t xml:space="preserve">: </w:t>
      </w:r>
      <w:r w:rsidRPr="006F6F21">
        <w:rPr>
          <w:rFonts w:cs="Times New Roman"/>
          <w:i/>
        </w:rPr>
        <w:t>Edited with Interpretation, Translation, and Commentary</w:t>
      </w:r>
      <w:r w:rsidRPr="006F6F21">
        <w:rPr>
          <w:rFonts w:cs="Times New Roman"/>
        </w:rPr>
        <w:t>, Oxford - New York.</w:t>
      </w:r>
    </w:p>
    <w:p w14:paraId="6AA25B5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Stehle, E. M. 1997, </w:t>
      </w:r>
      <w:r w:rsidRPr="006F6F21">
        <w:rPr>
          <w:rFonts w:cs="Times New Roman"/>
          <w:i/>
        </w:rPr>
        <w:t>Performance and Gender in Ancient Greece: Nondramatic Poetry in its Settings</w:t>
      </w:r>
      <w:r w:rsidRPr="006F6F21">
        <w:rPr>
          <w:rFonts w:cs="Times New Roman"/>
        </w:rPr>
        <w:t>, Princeton.</w:t>
      </w:r>
    </w:p>
    <w:p w14:paraId="71964F8C" w14:textId="176E3BC1" w:rsidR="003B2A46" w:rsidRPr="006F6F21" w:rsidRDefault="003B2A46" w:rsidP="004819D9">
      <w:pPr>
        <w:spacing w:before="100" w:after="100" w:line="300" w:lineRule="exact"/>
        <w:ind w:left="567" w:hanging="567"/>
        <w:rPr>
          <w:rFonts w:cs="Times New Roman"/>
        </w:rPr>
      </w:pPr>
      <w:r w:rsidRPr="006F6F21">
        <w:rPr>
          <w:rFonts w:cs="Times New Roman"/>
        </w:rPr>
        <w:t xml:space="preserve">Stevens, P. T. 1937, </w:t>
      </w:r>
      <w:r w:rsidR="00CC0615">
        <w:rPr>
          <w:rFonts w:cs="Times New Roman"/>
        </w:rPr>
        <w:t>“</w:t>
      </w:r>
      <w:r w:rsidRPr="006F6F21">
        <w:rPr>
          <w:rFonts w:cs="Times New Roman"/>
        </w:rPr>
        <w:t>Colloquial Expressions in Euripides,</w:t>
      </w:r>
      <w:r w:rsidR="00CC0615">
        <w:rPr>
          <w:rFonts w:cs="Times New Roman"/>
        </w:rPr>
        <w:t>”</w:t>
      </w:r>
      <w:r w:rsidRPr="006F6F21">
        <w:rPr>
          <w:rFonts w:cs="Times New Roman"/>
        </w:rPr>
        <w:t xml:space="preserve"> </w:t>
      </w:r>
      <w:r>
        <w:rPr>
          <w:rFonts w:cs="Times New Roman"/>
          <w:i/>
        </w:rPr>
        <w:t>Classical Quarterly</w:t>
      </w:r>
      <w:r w:rsidRPr="006F6F21">
        <w:rPr>
          <w:rFonts w:cs="Times New Roman"/>
        </w:rPr>
        <w:t xml:space="preserve"> </w:t>
      </w:r>
      <w:r>
        <w:rPr>
          <w:rFonts w:cs="Times New Roman"/>
        </w:rPr>
        <w:t>31</w:t>
      </w:r>
      <w:r w:rsidRPr="006F6F21">
        <w:rPr>
          <w:rFonts w:cs="Times New Roman"/>
        </w:rPr>
        <w:t>: 182-191.</w:t>
      </w:r>
    </w:p>
    <w:p w14:paraId="2E76AA3E"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Stockwell, P. 2002, </w:t>
      </w:r>
      <w:r w:rsidRPr="006F6F21">
        <w:rPr>
          <w:rFonts w:cs="Times New Roman"/>
          <w:i/>
        </w:rPr>
        <w:t>Cognitive Poetics: An Introduction</w:t>
      </w:r>
      <w:r w:rsidRPr="006F6F21">
        <w:rPr>
          <w:rFonts w:cs="Times New Roman"/>
        </w:rPr>
        <w:t xml:space="preserve">, London. </w:t>
      </w:r>
    </w:p>
    <w:p w14:paraId="196DD415" w14:textId="77777777" w:rsidR="003B2A46" w:rsidRDefault="003B2A46" w:rsidP="004819D9">
      <w:pPr>
        <w:tabs>
          <w:tab w:val="left" w:pos="7080"/>
        </w:tabs>
        <w:spacing w:before="100" w:after="100" w:line="300" w:lineRule="exact"/>
        <w:ind w:left="567" w:hanging="567"/>
        <w:rPr>
          <w:rFonts w:cs="Times New Roman"/>
        </w:rPr>
      </w:pPr>
      <w:r w:rsidRPr="006F6F21">
        <w:rPr>
          <w:rFonts w:cs="Times New Roman"/>
        </w:rPr>
        <w:t xml:space="preserve">Strootman, R. 2007, </w:t>
      </w:r>
      <w:r w:rsidRPr="006F6F21">
        <w:rPr>
          <w:rFonts w:cs="Times New Roman"/>
          <w:i/>
        </w:rPr>
        <w:t>The Hellenistic Royal Court</w:t>
      </w:r>
      <w:r>
        <w:rPr>
          <w:rFonts w:cs="Times New Roman"/>
          <w:i/>
        </w:rPr>
        <w:t xml:space="preserve">: </w:t>
      </w:r>
      <w:r w:rsidRPr="006F6F21">
        <w:rPr>
          <w:rFonts w:cs="Times New Roman"/>
          <w:i/>
        </w:rPr>
        <w:t>Court Culture, Cer</w:t>
      </w:r>
      <w:r>
        <w:rPr>
          <w:rFonts w:cs="Times New Roman"/>
          <w:i/>
        </w:rPr>
        <w:t>e</w:t>
      </w:r>
      <w:r w:rsidRPr="006F6F21">
        <w:rPr>
          <w:rFonts w:cs="Times New Roman"/>
          <w:i/>
        </w:rPr>
        <w:t>monial and Ideology in Greece, Egypt and the Near East, 336-30 BCE</w:t>
      </w:r>
      <w:r w:rsidRPr="006F6F21">
        <w:rPr>
          <w:rFonts w:cs="Times New Roman"/>
        </w:rPr>
        <w:t>, Diss. University of Utrecht</w:t>
      </w:r>
      <w:r>
        <w:rPr>
          <w:rFonts w:cs="Times New Roman"/>
        </w:rPr>
        <w:t>.</w:t>
      </w:r>
    </w:p>
    <w:p w14:paraId="256DEF04" w14:textId="77777777" w:rsidR="003B2A46" w:rsidRPr="00425B6A" w:rsidRDefault="003B2A46" w:rsidP="004819D9">
      <w:pPr>
        <w:tabs>
          <w:tab w:val="left" w:pos="7080"/>
        </w:tabs>
        <w:spacing w:before="100" w:after="100" w:line="300" w:lineRule="exact"/>
        <w:ind w:left="567" w:hanging="567"/>
        <w:rPr>
          <w:rFonts w:cs="Times New Roman"/>
        </w:rPr>
      </w:pPr>
      <w:r w:rsidRPr="006F6F21">
        <w:rPr>
          <w:rFonts w:cs="Times New Roman"/>
        </w:rPr>
        <w:lastRenderedPageBreak/>
        <w:t>—</w:t>
      </w:r>
      <w:r>
        <w:rPr>
          <w:rFonts w:cs="Times New Roman"/>
        </w:rPr>
        <w:t xml:space="preserve"> </w:t>
      </w:r>
      <w:r w:rsidRPr="00425B6A">
        <w:rPr>
          <w:rFonts w:cs="Times New Roman"/>
        </w:rPr>
        <w:t xml:space="preserve">2014, </w:t>
      </w:r>
      <w:r w:rsidRPr="006B7426">
        <w:rPr>
          <w:rFonts w:cs="Times New Roman"/>
          <w:i/>
        </w:rPr>
        <w:t>Courts and Elites in the Hellenistic Empires: The Near East After the Achaemenids, c. 330 to 30 BCE</w:t>
      </w:r>
      <w:r w:rsidRPr="006B7426">
        <w:rPr>
          <w:rFonts w:cs="Times New Roman"/>
        </w:rPr>
        <w:t>, Edinburgh</w:t>
      </w:r>
      <w:r w:rsidRPr="00425B6A">
        <w:rPr>
          <w:rFonts w:cs="Times New Roman"/>
        </w:rPr>
        <w:t>.</w:t>
      </w:r>
    </w:p>
    <w:p w14:paraId="05772793" w14:textId="051B575B" w:rsidR="003B2A46" w:rsidRPr="007F1E99" w:rsidRDefault="003B2A46" w:rsidP="004819D9">
      <w:pPr>
        <w:spacing w:before="100" w:after="100" w:line="300" w:lineRule="exact"/>
        <w:ind w:left="567" w:hanging="567"/>
        <w:rPr>
          <w:rFonts w:cs="Times New Roman"/>
          <w:lang w:val="nl-NL"/>
        </w:rPr>
      </w:pPr>
      <w:r w:rsidRPr="007F1E99">
        <w:rPr>
          <w:rFonts w:cs="Times New Roman"/>
          <w:lang w:val="nl-NL"/>
        </w:rPr>
        <w:t xml:space="preserve">Strunk, K. 1997, </w:t>
      </w:r>
      <w:r w:rsidR="00CC0615">
        <w:rPr>
          <w:rFonts w:cs="Times New Roman"/>
          <w:lang w:val="nl-NL"/>
        </w:rPr>
        <w:t>“</w:t>
      </w:r>
      <w:r w:rsidRPr="007F1E99">
        <w:rPr>
          <w:rFonts w:cs="Times New Roman"/>
          <w:lang w:val="nl-NL"/>
        </w:rPr>
        <w:t>Vom mykenischen bis zum klassischen Griechisch,</w:t>
      </w:r>
      <w:r w:rsidR="00CC0615">
        <w:rPr>
          <w:rFonts w:cs="Times New Roman"/>
          <w:lang w:val="nl-NL"/>
        </w:rPr>
        <w:t>”</w:t>
      </w:r>
      <w:r w:rsidRPr="007F1E99">
        <w:rPr>
          <w:rFonts w:cs="Times New Roman"/>
          <w:lang w:val="nl-NL"/>
        </w:rPr>
        <w:t xml:space="preserve"> in H. G. Nesselrath (ed.), </w:t>
      </w:r>
      <w:r w:rsidRPr="007F1E99">
        <w:rPr>
          <w:rFonts w:cs="Times New Roman"/>
          <w:i/>
          <w:lang w:val="nl-NL"/>
        </w:rPr>
        <w:t>Einleitung in die griechische Philologie</w:t>
      </w:r>
      <w:r w:rsidRPr="007F1E99">
        <w:rPr>
          <w:rFonts w:cs="Times New Roman"/>
          <w:lang w:val="nl-NL"/>
        </w:rPr>
        <w:t>, Stuttgart: 135-155.</w:t>
      </w:r>
    </w:p>
    <w:p w14:paraId="4735F1F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Stump, G. T. 2001, </w:t>
      </w:r>
      <w:r w:rsidRPr="006F6F21">
        <w:rPr>
          <w:rFonts w:cs="Times New Roman"/>
          <w:i/>
        </w:rPr>
        <w:t>Inflectional Morphology</w:t>
      </w:r>
      <w:r w:rsidRPr="006F6F21">
        <w:rPr>
          <w:rFonts w:cs="Times New Roman"/>
        </w:rPr>
        <w:t>, Cambridge.</w:t>
      </w:r>
    </w:p>
    <w:p w14:paraId="7B8F8596" w14:textId="0F3E402A" w:rsidR="003B2A46" w:rsidRPr="006F6F21" w:rsidRDefault="003B2A46" w:rsidP="004819D9">
      <w:pPr>
        <w:spacing w:before="100" w:after="100" w:line="300" w:lineRule="exact"/>
        <w:ind w:left="567" w:hanging="567"/>
        <w:rPr>
          <w:rFonts w:cs="Times New Roman"/>
        </w:rPr>
      </w:pPr>
      <w:r w:rsidRPr="006F6F21">
        <w:rPr>
          <w:rFonts w:cs="Times New Roman"/>
        </w:rPr>
        <w:t xml:space="preserve">— 2002, </w:t>
      </w:r>
      <w:r w:rsidR="00CC0615">
        <w:rPr>
          <w:rFonts w:cs="Times New Roman"/>
        </w:rPr>
        <w:t>“</w:t>
      </w:r>
      <w:r w:rsidRPr="006F6F21">
        <w:rPr>
          <w:rFonts w:cs="Times New Roman"/>
        </w:rPr>
        <w:t xml:space="preserve">Morphological and </w:t>
      </w:r>
      <w:r>
        <w:rPr>
          <w:rFonts w:cs="Times New Roman"/>
        </w:rPr>
        <w:t>S</w:t>
      </w:r>
      <w:r w:rsidRPr="006F6F21">
        <w:rPr>
          <w:rFonts w:cs="Times New Roman"/>
        </w:rPr>
        <w:t xml:space="preserve">yntactic </w:t>
      </w:r>
      <w:r>
        <w:rPr>
          <w:rFonts w:cs="Times New Roman"/>
        </w:rPr>
        <w:t>P</w:t>
      </w:r>
      <w:r w:rsidRPr="006F6F21">
        <w:rPr>
          <w:rFonts w:cs="Times New Roman"/>
        </w:rPr>
        <w:t xml:space="preserve">aradigms: Arguments for a </w:t>
      </w:r>
      <w:r>
        <w:rPr>
          <w:rFonts w:cs="Times New Roman"/>
        </w:rPr>
        <w:t>T</w:t>
      </w:r>
      <w:r w:rsidRPr="006F6F21">
        <w:rPr>
          <w:rFonts w:cs="Times New Roman"/>
        </w:rPr>
        <w:t xml:space="preserve">heory of </w:t>
      </w:r>
      <w:r>
        <w:rPr>
          <w:rFonts w:cs="Times New Roman"/>
        </w:rPr>
        <w:t>P</w:t>
      </w:r>
      <w:r w:rsidRPr="006F6F21">
        <w:rPr>
          <w:rFonts w:cs="Times New Roman"/>
        </w:rPr>
        <w:t xml:space="preserve">aradigm </w:t>
      </w:r>
      <w:r>
        <w:rPr>
          <w:rFonts w:cs="Times New Roman"/>
        </w:rPr>
        <w:t>L</w:t>
      </w:r>
      <w:r w:rsidRPr="006F6F21">
        <w:rPr>
          <w:rFonts w:cs="Times New Roman"/>
        </w:rPr>
        <w:t>inkage,</w:t>
      </w:r>
      <w:r w:rsidR="00CC0615">
        <w:rPr>
          <w:rFonts w:cs="Times New Roman"/>
        </w:rPr>
        <w:t>”</w:t>
      </w:r>
      <w:r w:rsidRPr="006F6F21">
        <w:rPr>
          <w:rFonts w:cs="Times New Roman"/>
        </w:rPr>
        <w:t xml:space="preserve"> </w:t>
      </w:r>
      <w:r w:rsidRPr="00AF6182">
        <w:rPr>
          <w:rFonts w:cs="Times New Roman"/>
          <w:i/>
        </w:rPr>
        <w:t>Yearbook of Morphology</w:t>
      </w:r>
      <w:r w:rsidRPr="006F6F21">
        <w:rPr>
          <w:rFonts w:cs="Times New Roman"/>
        </w:rPr>
        <w:t>: 147-180.</w:t>
      </w:r>
    </w:p>
    <w:p w14:paraId="4C04BFEE" w14:textId="2335D7BA" w:rsidR="003B2A46" w:rsidRPr="006F6F21" w:rsidRDefault="003B2A46" w:rsidP="004819D9">
      <w:pPr>
        <w:spacing w:before="100" w:after="100" w:line="300" w:lineRule="exact"/>
        <w:ind w:left="567" w:hanging="567"/>
        <w:rPr>
          <w:rFonts w:cs="Times New Roman"/>
        </w:rPr>
      </w:pPr>
      <w:r w:rsidRPr="006F6F21">
        <w:rPr>
          <w:rFonts w:cs="Times New Roman"/>
        </w:rPr>
        <w:t xml:space="preserve">— 2006, </w:t>
      </w:r>
      <w:r w:rsidR="00CC0615">
        <w:rPr>
          <w:rFonts w:cs="Times New Roman"/>
        </w:rPr>
        <w:t>“</w:t>
      </w:r>
      <w:r w:rsidRPr="006F6F21">
        <w:rPr>
          <w:rFonts w:cs="Times New Roman"/>
        </w:rPr>
        <w:t>Heteroclisis and Paradigm Linkage,</w:t>
      </w:r>
      <w:r w:rsidR="00CC0615">
        <w:rPr>
          <w:rFonts w:cs="Times New Roman"/>
        </w:rPr>
        <w:t>”</w:t>
      </w:r>
      <w:r w:rsidRPr="006F6F21">
        <w:rPr>
          <w:rFonts w:cs="Times New Roman"/>
        </w:rPr>
        <w:t xml:space="preserve"> </w:t>
      </w:r>
      <w:r w:rsidRPr="006F6F21">
        <w:rPr>
          <w:rFonts w:cs="Times New Roman"/>
          <w:i/>
        </w:rPr>
        <w:t>Language</w:t>
      </w:r>
      <w:r w:rsidRPr="006F6F21">
        <w:rPr>
          <w:rFonts w:cs="Times New Roman"/>
        </w:rPr>
        <w:t xml:space="preserve"> 82</w:t>
      </w:r>
      <w:r>
        <w:rPr>
          <w:rFonts w:cs="Times New Roman"/>
        </w:rPr>
        <w:t>.2</w:t>
      </w:r>
      <w:r w:rsidRPr="006F6F21">
        <w:rPr>
          <w:rFonts w:cs="Times New Roman"/>
        </w:rPr>
        <w:t xml:space="preserve">: 279-322. </w:t>
      </w:r>
    </w:p>
    <w:p w14:paraId="6D43F1CA" w14:textId="4A0EBE22" w:rsidR="003B2A46" w:rsidRPr="006F6F21" w:rsidRDefault="003B2A46" w:rsidP="004819D9">
      <w:pPr>
        <w:spacing w:before="100" w:after="100" w:line="300" w:lineRule="exact"/>
        <w:ind w:left="567" w:hanging="567"/>
        <w:jc w:val="left"/>
        <w:rPr>
          <w:rFonts w:cs="Times New Roman"/>
        </w:rPr>
      </w:pPr>
      <w:r w:rsidRPr="006F6F21">
        <w:rPr>
          <w:rFonts w:eastAsia="MS Mincho" w:cs="Times New Roman"/>
        </w:rPr>
        <w:t>Svarlien, D.</w:t>
      </w:r>
      <w:r>
        <w:rPr>
          <w:rFonts w:eastAsia="MS Mincho" w:cs="Times New Roman"/>
        </w:rPr>
        <w:t xml:space="preserve"> </w:t>
      </w:r>
      <w:r w:rsidRPr="006F6F21">
        <w:rPr>
          <w:rFonts w:eastAsia="MS Mincho" w:cs="Times New Roman"/>
        </w:rPr>
        <w:t xml:space="preserve">A.1995, </w:t>
      </w:r>
      <w:r w:rsidR="00075F5F">
        <w:rPr>
          <w:rFonts w:eastAsia="MS Mincho" w:cs="Times New Roman"/>
        </w:rPr>
        <w:t>‘</w:t>
      </w:r>
      <w:r w:rsidRPr="006F6F21">
        <w:rPr>
          <w:rFonts w:eastAsia="MS Mincho" w:cs="Times New Roman"/>
        </w:rPr>
        <w:t>Semonides 7</w:t>
      </w:r>
      <w:r>
        <w:rPr>
          <w:rFonts w:eastAsia="MS Mincho" w:cs="Times New Roman"/>
        </w:rPr>
        <w:t>,</w:t>
      </w:r>
      <w:r w:rsidR="00075F5F">
        <w:rPr>
          <w:rFonts w:eastAsia="MS Mincho" w:cs="Times New Roman"/>
        </w:rPr>
        <w:t>’</w:t>
      </w:r>
      <w:r w:rsidRPr="006F6F21">
        <w:rPr>
          <w:rFonts w:eastAsia="MS Mincho" w:cs="Times New Roman"/>
        </w:rPr>
        <w:t xml:space="preserve"> in </w:t>
      </w:r>
      <w:r w:rsidRPr="006F6F21">
        <w:rPr>
          <w:rFonts w:eastAsia="MS Mincho" w:cs="Times New Roman"/>
          <w:i/>
        </w:rPr>
        <w:t xml:space="preserve">Diotima </w:t>
      </w:r>
      <w:hyperlink r:id="rId102" w:anchor="anth" w:history="1">
        <w:r w:rsidRPr="006F6F21">
          <w:rPr>
            <w:rStyle w:val="Hyperlink"/>
            <w:rFonts w:eastAsia="MS Mincho" w:cs="Times New Roman"/>
          </w:rPr>
          <w:t>http://www.stoa.org/diotima/anthology/#anth</w:t>
        </w:r>
      </w:hyperlink>
      <w:r>
        <w:rPr>
          <w:rStyle w:val="Hyperlink"/>
          <w:rFonts w:eastAsia="MS Mincho" w:cs="Times New Roman"/>
        </w:rPr>
        <w:t>.</w:t>
      </w:r>
    </w:p>
    <w:p w14:paraId="629FB489"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Svenbro, J. 1976, </w:t>
      </w:r>
      <w:r w:rsidRPr="006F6F21">
        <w:rPr>
          <w:rFonts w:cs="Times New Roman"/>
          <w:i/>
        </w:rPr>
        <w:t>La parole et le marbre: aux origin</w:t>
      </w:r>
      <w:r>
        <w:rPr>
          <w:rFonts w:cs="Times New Roman"/>
          <w:i/>
        </w:rPr>
        <w:t>es</w:t>
      </w:r>
      <w:r w:rsidRPr="006F6F21">
        <w:rPr>
          <w:rFonts w:cs="Times New Roman"/>
          <w:i/>
        </w:rPr>
        <w:t xml:space="preserve"> de la poétique grecque</w:t>
      </w:r>
      <w:r w:rsidRPr="006F6F21">
        <w:rPr>
          <w:rFonts w:cs="Times New Roman"/>
        </w:rPr>
        <w:t>, Lund.</w:t>
      </w:r>
    </w:p>
    <w:p w14:paraId="23DDEA2D"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1993, </w:t>
      </w:r>
      <w:r w:rsidRPr="006F6F21">
        <w:rPr>
          <w:rFonts w:cs="Times New Roman"/>
          <w:i/>
        </w:rPr>
        <w:t>Phrasikleia: An Anthropology of Reading in Ancient Greece</w:t>
      </w:r>
      <w:r w:rsidRPr="006F6F21">
        <w:rPr>
          <w:rFonts w:cs="Times New Roman"/>
        </w:rPr>
        <w:t xml:space="preserve">, Ithaca </w:t>
      </w:r>
      <w:r>
        <w:rPr>
          <w:rFonts w:cs="Times New Roman"/>
        </w:rPr>
        <w:t xml:space="preserve">(NY) </w:t>
      </w:r>
      <w:r w:rsidRPr="006F6F21">
        <w:rPr>
          <w:rFonts w:cs="Times New Roman"/>
        </w:rPr>
        <w:t>- London.</w:t>
      </w:r>
    </w:p>
    <w:p w14:paraId="136D843C" w14:textId="73D3CED4" w:rsidR="003B2A46" w:rsidRPr="006F6F21" w:rsidRDefault="003B2A46" w:rsidP="004819D9">
      <w:pPr>
        <w:spacing w:before="100" w:after="100" w:line="300" w:lineRule="exact"/>
        <w:ind w:left="567" w:hanging="567"/>
        <w:rPr>
          <w:rFonts w:cs="Times New Roman"/>
        </w:rPr>
      </w:pPr>
      <w:r w:rsidRPr="006F6F21">
        <w:rPr>
          <w:rFonts w:cs="Times New Roman"/>
        </w:rPr>
        <w:t xml:space="preserve">Swift, L. 2016, </w:t>
      </w:r>
      <w:r w:rsidR="00CC0615">
        <w:rPr>
          <w:rFonts w:cs="Times New Roman"/>
        </w:rPr>
        <w:t>“</w:t>
      </w:r>
      <w:r w:rsidRPr="006F6F21">
        <w:rPr>
          <w:rFonts w:cs="Times New Roman"/>
        </w:rPr>
        <w:t>Poetics and Precedents in Archilochus</w:t>
      </w:r>
      <w:r w:rsidR="00075F5F">
        <w:rPr>
          <w:rFonts w:cs="Times New Roman"/>
        </w:rPr>
        <w:t>’</w:t>
      </w:r>
      <w:r w:rsidRPr="006F6F21">
        <w:rPr>
          <w:rFonts w:cs="Times New Roman"/>
        </w:rPr>
        <w:t xml:space="preserve"> Erotic Imagery,</w:t>
      </w:r>
      <w:r w:rsidR="00CC0615">
        <w:rPr>
          <w:rFonts w:cs="Times New Roman"/>
        </w:rPr>
        <w:t>”</w:t>
      </w:r>
      <w:r w:rsidRPr="006F6F21">
        <w:rPr>
          <w:rFonts w:cs="Times New Roman"/>
        </w:rPr>
        <w:t xml:space="preserve"> in L. Swift and C. Carey (eds.),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 253-270.</w:t>
      </w:r>
    </w:p>
    <w:p w14:paraId="6B76BB00" w14:textId="77777777" w:rsidR="003B2A46" w:rsidRPr="006F6F21" w:rsidRDefault="003B2A46" w:rsidP="004819D9">
      <w:pPr>
        <w:spacing w:before="100" w:after="100" w:line="300" w:lineRule="exact"/>
        <w:rPr>
          <w:rFonts w:cs="Times New Roman"/>
        </w:rPr>
      </w:pPr>
      <w:r w:rsidRPr="006F6F21">
        <w:rPr>
          <w:rFonts w:cs="Times New Roman"/>
        </w:rPr>
        <w:t xml:space="preserve">Swift, L., and Carey, C. (eds.) 2016, </w:t>
      </w:r>
      <w:r w:rsidRPr="006F6F21">
        <w:rPr>
          <w:rFonts w:cs="Times New Roman"/>
          <w:i/>
        </w:rPr>
        <w:t>Iambus and Elegy: New Appr</w:t>
      </w:r>
      <w:r>
        <w:rPr>
          <w:rFonts w:cs="Times New Roman"/>
          <w:i/>
        </w:rPr>
        <w:t>oa</w:t>
      </w:r>
      <w:r w:rsidRPr="006F6F21">
        <w:rPr>
          <w:rFonts w:cs="Times New Roman"/>
          <w:i/>
        </w:rPr>
        <w:t>ches</w:t>
      </w:r>
      <w:r w:rsidRPr="006F6F21">
        <w:rPr>
          <w:rFonts w:cs="Times New Roman"/>
        </w:rPr>
        <w:t>, Oxford.</w:t>
      </w:r>
    </w:p>
    <w:p w14:paraId="44F0DA99" w14:textId="2737942D" w:rsidR="003B2A46" w:rsidRPr="006F6F21" w:rsidRDefault="003B2A46" w:rsidP="004819D9">
      <w:pPr>
        <w:spacing w:before="100" w:after="100" w:line="300" w:lineRule="exact"/>
        <w:ind w:left="567" w:hanging="567"/>
        <w:rPr>
          <w:rFonts w:cs="Times New Roman"/>
        </w:rPr>
      </w:pPr>
      <w:r w:rsidRPr="007F1E99">
        <w:rPr>
          <w:rFonts w:cs="Times New Roman"/>
          <w:lang w:val="nl-NL"/>
        </w:rPr>
        <w:t xml:space="preserve">Taillardat, J. 1997, </w:t>
      </w:r>
      <w:r w:rsidR="00CC0615">
        <w:rPr>
          <w:rFonts w:cs="Times New Roman"/>
          <w:lang w:val="nl-NL"/>
        </w:rPr>
        <w:t>“</w:t>
      </w:r>
      <w:r w:rsidRPr="006F6F21">
        <w:rPr>
          <w:rFonts w:cs="Times New Roman"/>
          <w:lang w:val="el-GR"/>
        </w:rPr>
        <w:t>Σάβωνις</w:t>
      </w:r>
      <w:r w:rsidRPr="007F1E99">
        <w:rPr>
          <w:rFonts w:cs="Times New Roman"/>
          <w:lang w:val="nl-NL"/>
        </w:rPr>
        <w:t>: un autre nom de Sabazios?</w:t>
      </w:r>
      <w:r w:rsidR="00CC0615">
        <w:rPr>
          <w:rFonts w:cs="Times New Roman"/>
          <w:lang w:val="nl-NL"/>
        </w:rPr>
        <w:t>”</w:t>
      </w:r>
      <w:r w:rsidRPr="007F1E99">
        <w:rPr>
          <w:rFonts w:cs="Times New Roman"/>
          <w:lang w:val="nl-NL"/>
        </w:rPr>
        <w:t xml:space="preserve"> </w:t>
      </w:r>
      <w:r w:rsidRPr="006F6F21">
        <w:rPr>
          <w:rFonts w:cs="Times New Roman"/>
          <w:i/>
        </w:rPr>
        <w:t xml:space="preserve">Revue des </w:t>
      </w:r>
      <w:r>
        <w:rPr>
          <w:rFonts w:cs="Times New Roman"/>
          <w:i/>
        </w:rPr>
        <w:t>é</w:t>
      </w:r>
      <w:r w:rsidRPr="006F6F21">
        <w:rPr>
          <w:rFonts w:cs="Times New Roman"/>
          <w:i/>
        </w:rPr>
        <w:t>tudes grecques</w:t>
      </w:r>
      <w:r w:rsidRPr="006F6F21">
        <w:rPr>
          <w:rFonts w:cs="Times New Roman"/>
        </w:rPr>
        <w:t xml:space="preserve"> 110: 210-213.</w:t>
      </w:r>
    </w:p>
    <w:p w14:paraId="66FEF320" w14:textId="0C6149FC" w:rsidR="003B2A46" w:rsidRPr="006F6F21" w:rsidRDefault="003B2A46" w:rsidP="004819D9">
      <w:pPr>
        <w:spacing w:before="100" w:after="100" w:line="300" w:lineRule="exact"/>
        <w:ind w:left="567" w:hanging="567"/>
        <w:rPr>
          <w:rFonts w:cs="Times New Roman"/>
        </w:rPr>
      </w:pPr>
      <w:r w:rsidRPr="006F6F21">
        <w:rPr>
          <w:rFonts w:cs="Times New Roman"/>
        </w:rPr>
        <w:t xml:space="preserve">Tarditi, G. 1956, </w:t>
      </w:r>
      <w:r w:rsidR="00CC0615">
        <w:rPr>
          <w:rFonts w:cs="Times New Roman"/>
        </w:rPr>
        <w:t>“</w:t>
      </w:r>
      <w:r w:rsidRPr="006F6F21">
        <w:rPr>
          <w:rFonts w:cs="Times New Roman"/>
        </w:rPr>
        <w:t>La nuova epigrafe archilochea e la tradizione biografica del poeta,</w:t>
      </w:r>
      <w:r w:rsidR="00CC0615">
        <w:rPr>
          <w:rFonts w:cs="Times New Roman"/>
        </w:rPr>
        <w:t>”</w:t>
      </w:r>
      <w:r w:rsidRPr="006F6F21">
        <w:rPr>
          <w:rFonts w:cs="Times New Roman"/>
        </w:rPr>
        <w:t xml:space="preserve"> </w:t>
      </w:r>
      <w:r w:rsidRPr="006F6F21">
        <w:rPr>
          <w:rFonts w:cs="Times New Roman"/>
          <w:i/>
        </w:rPr>
        <w:t>P</w:t>
      </w:r>
      <w:r>
        <w:rPr>
          <w:rFonts w:cs="Times New Roman"/>
          <w:i/>
        </w:rPr>
        <w:t>arole del passato</w:t>
      </w:r>
      <w:r w:rsidRPr="006F6F21">
        <w:rPr>
          <w:rFonts w:cs="Times New Roman"/>
        </w:rPr>
        <w:t xml:space="preserve"> 11: 122-139.</w:t>
      </w:r>
    </w:p>
    <w:p w14:paraId="5DC200C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1968, </w:t>
      </w:r>
      <w:r w:rsidRPr="006F6F21">
        <w:rPr>
          <w:rFonts w:cs="Times New Roman"/>
          <w:i/>
        </w:rPr>
        <w:t>Archilochus</w:t>
      </w:r>
      <w:r w:rsidRPr="006F6F21">
        <w:rPr>
          <w:rFonts w:cs="Times New Roman"/>
        </w:rPr>
        <w:t>, Rom</w:t>
      </w:r>
      <w:r>
        <w:rPr>
          <w:rFonts w:cs="Times New Roman"/>
        </w:rPr>
        <w:t>e</w:t>
      </w:r>
      <w:r w:rsidRPr="006F6F21">
        <w:rPr>
          <w:rFonts w:cs="Times New Roman"/>
        </w:rPr>
        <w:t>.</w:t>
      </w:r>
    </w:p>
    <w:p w14:paraId="76A45FDA" w14:textId="3D6C36EF" w:rsidR="003B2A46" w:rsidRPr="006F6F21" w:rsidRDefault="003B2A46" w:rsidP="004819D9">
      <w:pPr>
        <w:spacing w:before="100" w:after="100" w:line="300" w:lineRule="exact"/>
        <w:ind w:left="567" w:hanging="567"/>
        <w:rPr>
          <w:rFonts w:cs="Times New Roman"/>
        </w:rPr>
      </w:pPr>
      <w:r w:rsidRPr="006F6F21">
        <w:rPr>
          <w:rFonts w:cs="Times New Roman"/>
        </w:rPr>
        <w:t xml:space="preserve">— 1978, </w:t>
      </w:r>
      <w:r w:rsidR="00CC0615">
        <w:rPr>
          <w:rFonts w:cs="Times New Roman"/>
        </w:rPr>
        <w:t>“</w:t>
      </w:r>
      <w:r w:rsidRPr="006F6F21">
        <w:rPr>
          <w:rFonts w:cs="Times New Roman"/>
        </w:rPr>
        <w:t xml:space="preserve">Le Muse povere (Call. </w:t>
      </w:r>
      <w:r w:rsidRPr="00AF6182">
        <w:rPr>
          <w:rFonts w:cs="Times New Roman"/>
          <w:i/>
        </w:rPr>
        <w:t>Ia.</w:t>
      </w:r>
      <w:r w:rsidRPr="006F6F21">
        <w:rPr>
          <w:rFonts w:cs="Times New Roman"/>
        </w:rPr>
        <w:t xml:space="preserve"> I, fr. 191, 92-93 Pf.),</w:t>
      </w:r>
      <w:r w:rsidR="00CC0615">
        <w:rPr>
          <w:rFonts w:cs="Times New Roman"/>
        </w:rPr>
        <w:t>”</w:t>
      </w:r>
      <w:r w:rsidRPr="006F6F21">
        <w:rPr>
          <w:rFonts w:cs="Times New Roman"/>
        </w:rPr>
        <w:t xml:space="preserve"> in E. Livrea and G. A. Privitera (eds.), </w:t>
      </w:r>
      <w:r w:rsidRPr="006F6F21">
        <w:rPr>
          <w:rFonts w:cs="Times New Roman"/>
          <w:i/>
        </w:rPr>
        <w:t>Studi in onore di Anthos Ardizzoni</w:t>
      </w:r>
      <w:r w:rsidRPr="006F6F21">
        <w:rPr>
          <w:rFonts w:cs="Times New Roman"/>
        </w:rPr>
        <w:t>, Rom</w:t>
      </w:r>
      <w:r>
        <w:rPr>
          <w:rFonts w:cs="Times New Roman"/>
        </w:rPr>
        <w:t>e</w:t>
      </w:r>
      <w:r w:rsidRPr="006F6F21">
        <w:rPr>
          <w:rFonts w:cs="Times New Roman"/>
        </w:rPr>
        <w:t>: 1015-1021.</w:t>
      </w:r>
    </w:p>
    <w:p w14:paraId="1AFE29AE" w14:textId="62BF1D4C" w:rsidR="003B2A46" w:rsidRPr="006F6F21" w:rsidRDefault="003B2A46" w:rsidP="004819D9">
      <w:pPr>
        <w:spacing w:before="100" w:after="100" w:line="300" w:lineRule="exact"/>
        <w:ind w:left="567" w:hanging="567"/>
        <w:rPr>
          <w:rFonts w:cs="Times New Roman"/>
        </w:rPr>
      </w:pPr>
      <w:r w:rsidRPr="006F6F21">
        <w:rPr>
          <w:rFonts w:cs="Times New Roman"/>
        </w:rPr>
        <w:t xml:space="preserve">Tecusan, M. 1990, </w:t>
      </w:r>
      <w:r w:rsidR="00CC0615">
        <w:rPr>
          <w:rFonts w:cs="Times New Roman"/>
        </w:rPr>
        <w:t>“</w:t>
      </w:r>
      <w:r w:rsidRPr="006F6F21">
        <w:rPr>
          <w:rFonts w:cs="Times New Roman"/>
          <w:i/>
        </w:rPr>
        <w:t xml:space="preserve">Logos </w:t>
      </w:r>
      <w:r>
        <w:rPr>
          <w:rFonts w:cs="Times New Roman"/>
          <w:i/>
        </w:rPr>
        <w:t>s</w:t>
      </w:r>
      <w:r w:rsidRPr="006F6F21">
        <w:rPr>
          <w:rFonts w:cs="Times New Roman"/>
          <w:i/>
        </w:rPr>
        <w:t>ympotikos</w:t>
      </w:r>
      <w:r w:rsidRPr="006F6F21">
        <w:rPr>
          <w:rFonts w:cs="Times New Roman"/>
        </w:rPr>
        <w:t xml:space="preserve">: </w:t>
      </w:r>
      <w:r>
        <w:rPr>
          <w:rFonts w:cs="Times New Roman"/>
        </w:rPr>
        <w:t>P</w:t>
      </w:r>
      <w:r w:rsidRPr="006F6F21">
        <w:rPr>
          <w:rFonts w:cs="Times New Roman"/>
        </w:rPr>
        <w:t xml:space="preserve">atterns of the </w:t>
      </w:r>
      <w:r>
        <w:rPr>
          <w:rFonts w:cs="Times New Roman"/>
        </w:rPr>
        <w:t>I</w:t>
      </w:r>
      <w:r w:rsidRPr="006F6F21">
        <w:rPr>
          <w:rFonts w:cs="Times New Roman"/>
        </w:rPr>
        <w:t xml:space="preserve">rrational in </w:t>
      </w:r>
      <w:r>
        <w:rPr>
          <w:rFonts w:cs="Times New Roman"/>
        </w:rPr>
        <w:t>P</w:t>
      </w:r>
      <w:r w:rsidRPr="006F6F21">
        <w:rPr>
          <w:rFonts w:cs="Times New Roman"/>
        </w:rPr>
        <w:t xml:space="preserve">hilosophical </w:t>
      </w:r>
      <w:r>
        <w:rPr>
          <w:rFonts w:cs="Times New Roman"/>
        </w:rPr>
        <w:t>D</w:t>
      </w:r>
      <w:r w:rsidRPr="006F6F21">
        <w:rPr>
          <w:rFonts w:cs="Times New Roman"/>
        </w:rPr>
        <w:t xml:space="preserve">rinking: Plato </w:t>
      </w:r>
      <w:r>
        <w:rPr>
          <w:rFonts w:cs="Times New Roman"/>
        </w:rPr>
        <w:t>O</w:t>
      </w:r>
      <w:r w:rsidRPr="006F6F21">
        <w:rPr>
          <w:rFonts w:cs="Times New Roman"/>
        </w:rPr>
        <w:t xml:space="preserve">utside the </w:t>
      </w:r>
      <w:r w:rsidRPr="006F6F21">
        <w:rPr>
          <w:rFonts w:cs="Times New Roman"/>
          <w:i/>
        </w:rPr>
        <w:t>Symposium</w:t>
      </w:r>
      <w:r w:rsidRPr="006F6F21">
        <w:rPr>
          <w:rFonts w:cs="Times New Roman"/>
        </w:rPr>
        <w:t>,</w:t>
      </w:r>
      <w:r w:rsidR="00CC0615">
        <w:rPr>
          <w:rFonts w:cs="Times New Roman"/>
        </w:rPr>
        <w:t>”</w:t>
      </w:r>
      <w:r w:rsidRPr="006F6F21">
        <w:rPr>
          <w:rFonts w:cs="Times New Roman"/>
        </w:rPr>
        <w:t xml:space="preserve"> in O. Murray (ed.), </w:t>
      </w:r>
      <w:r w:rsidRPr="006F6F21">
        <w:rPr>
          <w:rFonts w:cs="Times New Roman"/>
          <w:i/>
        </w:rPr>
        <w:t>Sympotica: A Symposium on the Symposion</w:t>
      </w:r>
      <w:r w:rsidRPr="006F6F21">
        <w:rPr>
          <w:rFonts w:cs="Times New Roman"/>
        </w:rPr>
        <w:t>, Oxford: 238-260.</w:t>
      </w:r>
    </w:p>
    <w:p w14:paraId="2391B8E0" w14:textId="3168D6B9" w:rsidR="003B2A46" w:rsidRPr="006F6F21" w:rsidRDefault="003B2A46" w:rsidP="004819D9">
      <w:pPr>
        <w:spacing w:before="100" w:after="100" w:line="300" w:lineRule="exact"/>
        <w:ind w:left="567" w:hanging="567"/>
        <w:rPr>
          <w:rFonts w:cs="Times New Roman"/>
        </w:rPr>
      </w:pPr>
      <w:r w:rsidRPr="006F6F21">
        <w:rPr>
          <w:rFonts w:cs="Times New Roman"/>
        </w:rPr>
        <w:t xml:space="preserve">Tedeschi, G. 1978, </w:t>
      </w:r>
      <w:r w:rsidR="00CC0615">
        <w:rPr>
          <w:rFonts w:cs="Times New Roman"/>
        </w:rPr>
        <w:t>“</w:t>
      </w:r>
      <w:r w:rsidRPr="006F6F21">
        <w:rPr>
          <w:rFonts w:cs="Times New Roman"/>
        </w:rPr>
        <w:t>Lingue e culture in contatto</w:t>
      </w:r>
      <w:r>
        <w:rPr>
          <w:rFonts w:cs="Times New Roman"/>
        </w:rPr>
        <w:t>:</w:t>
      </w:r>
      <w:r w:rsidRPr="006F6F21">
        <w:rPr>
          <w:rFonts w:cs="Times New Roman"/>
        </w:rPr>
        <w:t xml:space="preserve"> Il problema della lingua in Ipponatte,</w:t>
      </w:r>
      <w:r w:rsidR="00CC0615">
        <w:rPr>
          <w:rFonts w:cs="Times New Roman"/>
        </w:rPr>
        <w:t>”</w:t>
      </w:r>
      <w:r w:rsidRPr="006F6F21">
        <w:rPr>
          <w:rFonts w:cs="Times New Roman"/>
        </w:rPr>
        <w:t xml:space="preserve"> </w:t>
      </w:r>
      <w:r w:rsidRPr="006F6F21">
        <w:rPr>
          <w:rFonts w:cs="Times New Roman"/>
          <w:i/>
        </w:rPr>
        <w:t>I</w:t>
      </w:r>
      <w:r>
        <w:rPr>
          <w:rFonts w:cs="Times New Roman"/>
          <w:i/>
        </w:rPr>
        <w:t>ncontri linguistici</w:t>
      </w:r>
      <w:r w:rsidRPr="006F6F21">
        <w:rPr>
          <w:rFonts w:cs="Times New Roman"/>
        </w:rPr>
        <w:t xml:space="preserve"> 4: 225-233.</w:t>
      </w:r>
    </w:p>
    <w:p w14:paraId="286E39DA" w14:textId="59061560" w:rsidR="003B2A46" w:rsidRPr="006F6F21" w:rsidRDefault="003B2A46" w:rsidP="004819D9">
      <w:pPr>
        <w:spacing w:before="100" w:after="100" w:line="300" w:lineRule="exact"/>
        <w:ind w:left="567" w:hanging="567"/>
        <w:rPr>
          <w:rFonts w:cs="Times New Roman"/>
        </w:rPr>
      </w:pPr>
      <w:r w:rsidRPr="006F6F21">
        <w:rPr>
          <w:rFonts w:cs="Times New Roman"/>
        </w:rPr>
        <w:t>— 1978/9, Note a Ipponatte,</w:t>
      </w:r>
      <w:r w:rsidR="00CC0615">
        <w:rPr>
          <w:rFonts w:cs="Times New Roman"/>
        </w:rPr>
        <w:t>”</w:t>
      </w:r>
      <w:r w:rsidRPr="006F6F21">
        <w:rPr>
          <w:rFonts w:cs="Times New Roman"/>
        </w:rPr>
        <w:t xml:space="preserve"> </w:t>
      </w:r>
      <w:r w:rsidRPr="006F6F21">
        <w:rPr>
          <w:rFonts w:cs="Times New Roman"/>
          <w:i/>
        </w:rPr>
        <w:t>M</w:t>
      </w:r>
      <w:r>
        <w:rPr>
          <w:rFonts w:cs="Times New Roman"/>
          <w:i/>
        </w:rPr>
        <w:t xml:space="preserve">useum </w:t>
      </w:r>
      <w:r w:rsidRPr="006F6F21">
        <w:rPr>
          <w:rFonts w:cs="Times New Roman"/>
          <w:i/>
        </w:rPr>
        <w:t>Cr</w:t>
      </w:r>
      <w:r>
        <w:rPr>
          <w:rFonts w:cs="Times New Roman"/>
          <w:i/>
        </w:rPr>
        <w:t>iticum</w:t>
      </w:r>
      <w:r w:rsidRPr="006F6F21">
        <w:rPr>
          <w:rFonts w:cs="Times New Roman"/>
        </w:rPr>
        <w:t xml:space="preserve"> 13/14: 169-170.</w:t>
      </w:r>
    </w:p>
    <w:p w14:paraId="27AE16D2" w14:textId="5B38E499" w:rsidR="003B2A46" w:rsidRPr="005D184B" w:rsidRDefault="003B2A46" w:rsidP="004819D9">
      <w:pPr>
        <w:spacing w:before="100" w:after="100" w:line="300" w:lineRule="exact"/>
        <w:ind w:left="567" w:hanging="567"/>
        <w:rPr>
          <w:rFonts w:eastAsia="Times New Roman" w:cs="Times New Roman"/>
        </w:rPr>
      </w:pPr>
      <w:r w:rsidRPr="005D184B">
        <w:rPr>
          <w:rFonts w:cs="Times New Roman"/>
        </w:rPr>
        <w:t xml:space="preserve">— 1979, </w:t>
      </w:r>
      <w:r w:rsidR="00CC0615">
        <w:rPr>
          <w:rFonts w:cs="Times New Roman"/>
        </w:rPr>
        <w:t>“</w:t>
      </w:r>
      <w:r w:rsidRPr="005D184B">
        <w:rPr>
          <w:rFonts w:cs="Times New Roman"/>
        </w:rPr>
        <w:t>Ricerche ipponattee,</w:t>
      </w:r>
      <w:r w:rsidR="00CC0615">
        <w:rPr>
          <w:rFonts w:cs="Times New Roman"/>
        </w:rPr>
        <w:t>”</w:t>
      </w:r>
      <w:r w:rsidRPr="005D184B">
        <w:rPr>
          <w:rFonts w:cs="Times New Roman"/>
        </w:rPr>
        <w:t xml:space="preserve"> </w:t>
      </w:r>
      <w:r w:rsidRPr="005D184B">
        <w:rPr>
          <w:rFonts w:eastAsia="Times New Roman" w:cs="Times New Roman"/>
          <w:i/>
        </w:rPr>
        <w:t>Atti e memorie Arcadia</w:t>
      </w:r>
      <w:r w:rsidRPr="005D184B">
        <w:rPr>
          <w:rFonts w:cs="Times New Roman"/>
        </w:rPr>
        <w:t xml:space="preserve"> 7.3: 117-141.</w:t>
      </w:r>
    </w:p>
    <w:p w14:paraId="5CAE39B9" w14:textId="71332180" w:rsidR="003B2A46" w:rsidRPr="006F6F21" w:rsidRDefault="003B2A46" w:rsidP="004819D9">
      <w:pPr>
        <w:spacing w:before="100" w:after="100" w:line="300" w:lineRule="exact"/>
        <w:ind w:left="567" w:hanging="567"/>
        <w:rPr>
          <w:rFonts w:cs="Times New Roman"/>
        </w:rPr>
      </w:pPr>
      <w:r w:rsidRPr="006F6F21">
        <w:rPr>
          <w:rFonts w:cs="Times New Roman"/>
        </w:rPr>
        <w:t xml:space="preserve">— 1981, </w:t>
      </w:r>
      <w:r w:rsidR="00CC0615">
        <w:rPr>
          <w:rFonts w:cs="Times New Roman"/>
        </w:rPr>
        <w:t>“</w:t>
      </w:r>
      <w:r w:rsidRPr="006F6F21">
        <w:rPr>
          <w:rFonts w:cs="Times New Roman"/>
        </w:rPr>
        <w:t>I prestiti linguistici nei frammenti ipponattei e il problema dell</w:t>
      </w:r>
      <w:r w:rsidR="00075F5F">
        <w:rPr>
          <w:rFonts w:cs="Times New Roman"/>
        </w:rPr>
        <w:t>’</w:t>
      </w:r>
      <w:r w:rsidRPr="006F6F21">
        <w:rPr>
          <w:rFonts w:cs="Times New Roman"/>
        </w:rPr>
        <w:t>interferenza culturale ad Efeso,</w:t>
      </w:r>
      <w:r w:rsidR="00CC0615">
        <w:rPr>
          <w:rFonts w:cs="Times New Roman"/>
        </w:rPr>
        <w:t>”</w:t>
      </w:r>
      <w:r w:rsidRPr="006F6F21">
        <w:rPr>
          <w:rFonts w:cs="Times New Roman"/>
        </w:rPr>
        <w:t xml:space="preserve"> </w:t>
      </w:r>
      <w:r w:rsidRPr="006F6F21">
        <w:rPr>
          <w:rFonts w:cs="Times New Roman"/>
          <w:i/>
        </w:rPr>
        <w:t>Q</w:t>
      </w:r>
      <w:r>
        <w:rPr>
          <w:rFonts w:cs="Times New Roman"/>
          <w:i/>
        </w:rPr>
        <w:t>uaderni di filologia classica</w:t>
      </w:r>
      <w:r w:rsidRPr="006F6F21">
        <w:rPr>
          <w:rFonts w:cs="Times New Roman"/>
        </w:rPr>
        <w:t xml:space="preserve"> 3: 35-48.</w:t>
      </w:r>
    </w:p>
    <w:p w14:paraId="22E95A55" w14:textId="5489963C" w:rsidR="003B2A46" w:rsidRPr="006F6F21" w:rsidRDefault="003B2A46" w:rsidP="004819D9">
      <w:pPr>
        <w:spacing w:before="100" w:after="100" w:line="300" w:lineRule="exact"/>
        <w:ind w:left="567" w:hanging="567"/>
        <w:rPr>
          <w:rFonts w:cs="Times New Roman"/>
        </w:rPr>
      </w:pPr>
      <w:r w:rsidRPr="006F6F21">
        <w:rPr>
          <w:rFonts w:cs="Times New Roman"/>
        </w:rPr>
        <w:t xml:space="preserve">Thomas, R. F. 2010, </w:t>
      </w:r>
      <w:r w:rsidR="00CC0615">
        <w:rPr>
          <w:rFonts w:cs="Times New Roman"/>
        </w:rPr>
        <w:t>“</w:t>
      </w:r>
      <w:r w:rsidRPr="006F6F21">
        <w:rPr>
          <w:rFonts w:cs="Times New Roman"/>
        </w:rPr>
        <w:t xml:space="preserve">Grist to the </w:t>
      </w:r>
      <w:r>
        <w:rPr>
          <w:rFonts w:cs="Times New Roman"/>
        </w:rPr>
        <w:t>M</w:t>
      </w:r>
      <w:r w:rsidRPr="006F6F21">
        <w:rPr>
          <w:rFonts w:cs="Times New Roman"/>
        </w:rPr>
        <w:t xml:space="preserve">ill: </w:t>
      </w:r>
      <w:r>
        <w:rPr>
          <w:rFonts w:cs="Times New Roman"/>
        </w:rPr>
        <w:t>T</w:t>
      </w:r>
      <w:r w:rsidRPr="006F6F21">
        <w:rPr>
          <w:rFonts w:cs="Times New Roman"/>
        </w:rPr>
        <w:t xml:space="preserve">he </w:t>
      </w:r>
      <w:r>
        <w:rPr>
          <w:rFonts w:cs="Times New Roman"/>
        </w:rPr>
        <w:t>L</w:t>
      </w:r>
      <w:r w:rsidRPr="006F6F21">
        <w:rPr>
          <w:rFonts w:cs="Times New Roman"/>
        </w:rPr>
        <w:t xml:space="preserve">iterary </w:t>
      </w:r>
      <w:r>
        <w:rPr>
          <w:rFonts w:cs="Times New Roman"/>
        </w:rPr>
        <w:t>U</w:t>
      </w:r>
      <w:r w:rsidRPr="006F6F21">
        <w:rPr>
          <w:rFonts w:cs="Times New Roman"/>
        </w:rPr>
        <w:t xml:space="preserve">ses of the </w:t>
      </w:r>
      <w:r>
        <w:rPr>
          <w:rFonts w:cs="Times New Roman"/>
        </w:rPr>
        <w:t>Q</w:t>
      </w:r>
      <w:r w:rsidRPr="006F6F21">
        <w:rPr>
          <w:rFonts w:cs="Times New Roman"/>
        </w:rPr>
        <w:t xml:space="preserve">uotidian in Horace, </w:t>
      </w:r>
      <w:r w:rsidRPr="006F6F21">
        <w:rPr>
          <w:rFonts w:cs="Times New Roman"/>
          <w:i/>
        </w:rPr>
        <w:t>Satire</w:t>
      </w:r>
      <w:r w:rsidRPr="006F6F21">
        <w:rPr>
          <w:rFonts w:cs="Times New Roman"/>
        </w:rPr>
        <w:t xml:space="preserve"> I.5,</w:t>
      </w:r>
      <w:r w:rsidR="00CC0615">
        <w:rPr>
          <w:rFonts w:cs="Times New Roman"/>
        </w:rPr>
        <w:t>”</w:t>
      </w:r>
      <w:r w:rsidRPr="006F6F21">
        <w:rPr>
          <w:rFonts w:cs="Times New Roman"/>
        </w:rPr>
        <w:t xml:space="preserve"> in E. Dickey and A. Chahoud (eds.), </w:t>
      </w:r>
      <w:r w:rsidRPr="006F6F21">
        <w:rPr>
          <w:rFonts w:cs="Times New Roman"/>
          <w:i/>
        </w:rPr>
        <w:t>Colloquial and Literary Latin</w:t>
      </w:r>
      <w:r w:rsidRPr="006F6F21">
        <w:rPr>
          <w:rFonts w:cs="Times New Roman"/>
        </w:rPr>
        <w:t>, Cambridge: 255-265.</w:t>
      </w:r>
    </w:p>
    <w:p w14:paraId="6D3B2679" w14:textId="309CB3C1" w:rsidR="003B2A46" w:rsidRPr="006F6F21" w:rsidRDefault="003B2A46" w:rsidP="004819D9">
      <w:pPr>
        <w:spacing w:before="100" w:after="100" w:line="300" w:lineRule="exact"/>
        <w:ind w:left="567" w:hanging="567"/>
        <w:rPr>
          <w:rFonts w:cs="Times New Roman"/>
        </w:rPr>
      </w:pPr>
      <w:r w:rsidRPr="006F6F21">
        <w:rPr>
          <w:rFonts w:cs="Times New Roman"/>
        </w:rPr>
        <w:t xml:space="preserve">Thompson, </w:t>
      </w:r>
      <w:r>
        <w:rPr>
          <w:rFonts w:cs="Times New Roman"/>
        </w:rPr>
        <w:t>D</w:t>
      </w:r>
      <w:r w:rsidR="00075F5F">
        <w:rPr>
          <w:rFonts w:cs="Times New Roman"/>
        </w:rPr>
        <w:t>’</w:t>
      </w:r>
      <w:r w:rsidRPr="006F6F21">
        <w:rPr>
          <w:rFonts w:cs="Times New Roman"/>
        </w:rPr>
        <w:t xml:space="preserve">A. W. 1895, </w:t>
      </w:r>
      <w:r w:rsidRPr="006F6F21">
        <w:rPr>
          <w:rFonts w:cs="Times New Roman"/>
          <w:i/>
        </w:rPr>
        <w:t>A Glossary of Greek Birds</w:t>
      </w:r>
      <w:r w:rsidRPr="006F6F21">
        <w:rPr>
          <w:rFonts w:cs="Times New Roman"/>
        </w:rPr>
        <w:t>, Oxford.</w:t>
      </w:r>
    </w:p>
    <w:p w14:paraId="113FE79F" w14:textId="1274E92B" w:rsidR="003B2A46" w:rsidRPr="006F6F21" w:rsidRDefault="003B2A46" w:rsidP="004819D9">
      <w:pPr>
        <w:spacing w:before="100" w:after="100" w:line="300" w:lineRule="exact"/>
        <w:ind w:left="567" w:hanging="567"/>
        <w:rPr>
          <w:rFonts w:cs="Times New Roman"/>
        </w:rPr>
      </w:pPr>
      <w:r w:rsidRPr="006F6F21">
        <w:rPr>
          <w:rFonts w:cs="Times New Roman"/>
        </w:rPr>
        <w:t xml:space="preserve">Torallas Tovar, S. 2014, </w:t>
      </w:r>
      <w:r w:rsidR="00CC0615">
        <w:rPr>
          <w:rFonts w:cs="Times New Roman"/>
        </w:rPr>
        <w:t>“</w:t>
      </w:r>
      <w:r w:rsidRPr="006F6F21">
        <w:rPr>
          <w:rFonts w:cs="Times New Roman"/>
        </w:rPr>
        <w:t>Greek in Egypt,</w:t>
      </w:r>
      <w:r w:rsidR="00CC0615">
        <w:rPr>
          <w:rFonts w:cs="Times New Roman"/>
        </w:rPr>
        <w:t>”</w:t>
      </w:r>
      <w:r w:rsidRPr="006F6F21">
        <w:rPr>
          <w:rFonts w:cs="Times New Roman"/>
        </w:rPr>
        <w:t xml:space="preserve"> in 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253-267.</w:t>
      </w:r>
    </w:p>
    <w:p w14:paraId="5BA57562" w14:textId="77777777" w:rsidR="003B2A46" w:rsidRPr="006F6F21" w:rsidRDefault="003B2A46" w:rsidP="004819D9">
      <w:pPr>
        <w:spacing w:before="100" w:after="100" w:line="300" w:lineRule="exact"/>
        <w:ind w:left="567" w:hanging="567"/>
        <w:rPr>
          <w:rFonts w:cs="Times New Roman"/>
        </w:rPr>
      </w:pPr>
      <w:r w:rsidRPr="006F6F21">
        <w:rPr>
          <w:rFonts w:cs="Times New Roman"/>
        </w:rPr>
        <w:lastRenderedPageBreak/>
        <w:t xml:space="preserve">Traugott, E. C., and Pratt, M. L. 1980, </w:t>
      </w:r>
      <w:r w:rsidRPr="006F6F21">
        <w:rPr>
          <w:rFonts w:cs="Times New Roman"/>
          <w:i/>
        </w:rPr>
        <w:t xml:space="preserve">Linguistics for </w:t>
      </w:r>
      <w:r>
        <w:rPr>
          <w:rFonts w:cs="Times New Roman"/>
          <w:i/>
        </w:rPr>
        <w:t>S</w:t>
      </w:r>
      <w:r w:rsidRPr="006F6F21">
        <w:rPr>
          <w:rFonts w:cs="Times New Roman"/>
          <w:i/>
        </w:rPr>
        <w:t>tudent</w:t>
      </w:r>
      <w:r>
        <w:rPr>
          <w:rFonts w:cs="Times New Roman"/>
          <w:i/>
        </w:rPr>
        <w:t>s</w:t>
      </w:r>
      <w:r w:rsidRPr="006F6F21">
        <w:rPr>
          <w:rFonts w:cs="Times New Roman"/>
          <w:i/>
        </w:rPr>
        <w:t xml:space="preserve"> of Literat</w:t>
      </w:r>
      <w:r w:rsidRPr="006F6F21">
        <w:rPr>
          <w:rFonts w:cs="Times New Roman"/>
        </w:rPr>
        <w:t>ure, New York.</w:t>
      </w:r>
    </w:p>
    <w:p w14:paraId="75951A66" w14:textId="217DFA4C" w:rsidR="003B2A46" w:rsidRPr="006F6F21" w:rsidRDefault="003B2A46" w:rsidP="004819D9">
      <w:pPr>
        <w:spacing w:before="100" w:after="100" w:line="300" w:lineRule="exact"/>
        <w:ind w:left="567" w:hanging="567"/>
        <w:rPr>
          <w:rFonts w:cs="Times New Roman"/>
        </w:rPr>
      </w:pPr>
      <w:r w:rsidRPr="006F6F21">
        <w:rPr>
          <w:rFonts w:cs="Times New Roman"/>
        </w:rPr>
        <w:t xml:space="preserve">Tribulato, O. 2014, </w:t>
      </w:r>
      <w:r w:rsidR="00CC0615">
        <w:rPr>
          <w:rFonts w:cs="Times New Roman"/>
        </w:rPr>
        <w:t>“</w:t>
      </w:r>
      <w:r w:rsidRPr="006F6F21">
        <w:rPr>
          <w:rFonts w:cs="Times New Roman"/>
        </w:rPr>
        <w:t>Literary Dialects,</w:t>
      </w:r>
      <w:r w:rsidR="00CC0615">
        <w:rPr>
          <w:rFonts w:cs="Times New Roman"/>
        </w:rPr>
        <w:t>”</w:t>
      </w:r>
      <w:r w:rsidRPr="006F6F21">
        <w:rPr>
          <w:rFonts w:cs="Times New Roman"/>
        </w:rPr>
        <w:t xml:space="preserve"> in 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338-401.</w:t>
      </w:r>
    </w:p>
    <w:p w14:paraId="7422A72C" w14:textId="54CA25DC" w:rsidR="003B2A46" w:rsidRPr="006F6F21" w:rsidRDefault="003B2A46" w:rsidP="004819D9">
      <w:pPr>
        <w:spacing w:before="100" w:after="100" w:line="300" w:lineRule="exact"/>
        <w:ind w:left="567" w:hanging="567"/>
        <w:rPr>
          <w:rFonts w:cs="Times New Roman"/>
        </w:rPr>
      </w:pPr>
      <w:r w:rsidRPr="006F6F21">
        <w:rPr>
          <w:rFonts w:cs="Times New Roman"/>
        </w:rPr>
        <w:t xml:space="preserve">Van Ophuijsen, J. M. 1993, </w:t>
      </w:r>
      <w:r w:rsidR="00CC0615">
        <w:rPr>
          <w:rFonts w:cs="Times New Roman"/>
        </w:rPr>
        <w:t>“</w:t>
      </w:r>
      <w:r w:rsidRPr="006F6F21">
        <w:rPr>
          <w:rFonts w:cs="Times New Roman"/>
          <w:lang w:val="el-GR"/>
        </w:rPr>
        <w:t>Οὖν</w:t>
      </w:r>
      <w:r w:rsidRPr="007F1E99">
        <w:rPr>
          <w:rFonts w:cs="Times New Roman"/>
          <w:lang w:val="en-US"/>
        </w:rPr>
        <w:t xml:space="preserve">, </w:t>
      </w:r>
      <w:r w:rsidRPr="006F6F21">
        <w:rPr>
          <w:rFonts w:cs="Times New Roman"/>
          <w:lang w:val="el-GR"/>
        </w:rPr>
        <w:t>ἄρα</w:t>
      </w:r>
      <w:r w:rsidRPr="007F1E99">
        <w:rPr>
          <w:rFonts w:cs="Times New Roman"/>
          <w:lang w:val="en-US"/>
        </w:rPr>
        <w:t xml:space="preserve">, </w:t>
      </w:r>
      <w:r w:rsidRPr="006F6F21">
        <w:rPr>
          <w:rFonts w:cs="Times New Roman"/>
          <w:lang w:val="el-GR"/>
        </w:rPr>
        <w:t>δή</w:t>
      </w:r>
      <w:r w:rsidRPr="007F1E99">
        <w:rPr>
          <w:rFonts w:cs="Times New Roman"/>
          <w:lang w:val="en-US"/>
        </w:rPr>
        <w:t xml:space="preserve">, </w:t>
      </w:r>
      <w:r w:rsidRPr="006F6F21">
        <w:rPr>
          <w:rFonts w:cs="Times New Roman"/>
          <w:lang w:val="el-GR"/>
        </w:rPr>
        <w:t>τοίνυν</w:t>
      </w:r>
      <w:r w:rsidRPr="006F6F21">
        <w:rPr>
          <w:rFonts w:cs="Times New Roman"/>
        </w:rPr>
        <w:t xml:space="preserve">: </w:t>
      </w:r>
      <w:r>
        <w:rPr>
          <w:rFonts w:cs="Times New Roman"/>
        </w:rPr>
        <w:t>T</w:t>
      </w:r>
      <w:r w:rsidRPr="006F6F21">
        <w:rPr>
          <w:rFonts w:cs="Times New Roman"/>
        </w:rPr>
        <w:t xml:space="preserve">he </w:t>
      </w:r>
      <w:r>
        <w:rPr>
          <w:rFonts w:cs="Times New Roman"/>
        </w:rPr>
        <w:t>L</w:t>
      </w:r>
      <w:r w:rsidRPr="006F6F21">
        <w:rPr>
          <w:rFonts w:cs="Times New Roman"/>
        </w:rPr>
        <w:t xml:space="preserve">inguistic </w:t>
      </w:r>
      <w:r>
        <w:rPr>
          <w:rFonts w:cs="Times New Roman"/>
        </w:rPr>
        <w:t>A</w:t>
      </w:r>
      <w:r w:rsidRPr="006F6F21">
        <w:rPr>
          <w:rFonts w:cs="Times New Roman"/>
        </w:rPr>
        <w:t xml:space="preserve">rticulation of </w:t>
      </w:r>
      <w:r>
        <w:rPr>
          <w:rFonts w:cs="Times New Roman"/>
        </w:rPr>
        <w:t>A</w:t>
      </w:r>
      <w:r w:rsidRPr="006F6F21">
        <w:rPr>
          <w:rFonts w:cs="Times New Roman"/>
        </w:rPr>
        <w:t>rguments in Plato</w:t>
      </w:r>
      <w:r w:rsidR="00075F5F">
        <w:rPr>
          <w:rFonts w:cs="Times New Roman"/>
        </w:rPr>
        <w:t>’</w:t>
      </w:r>
      <w:r w:rsidRPr="006F6F21">
        <w:rPr>
          <w:rFonts w:cs="Times New Roman"/>
        </w:rPr>
        <w:t xml:space="preserve">s </w:t>
      </w:r>
      <w:r w:rsidRPr="006F6F21">
        <w:rPr>
          <w:rFonts w:cs="Times New Roman"/>
          <w:i/>
        </w:rPr>
        <w:t>Phaedo</w:t>
      </w:r>
      <w:r w:rsidRPr="006F6F21">
        <w:rPr>
          <w:rFonts w:cs="Times New Roman"/>
        </w:rPr>
        <w:t>,</w:t>
      </w:r>
      <w:r w:rsidR="00CC0615">
        <w:rPr>
          <w:rFonts w:cs="Times New Roman"/>
        </w:rPr>
        <w:t>”</w:t>
      </w:r>
      <w:r w:rsidRPr="006F6F21">
        <w:rPr>
          <w:rFonts w:cs="Times New Roman"/>
        </w:rPr>
        <w:t xml:space="preserve"> in C. M. J. Sicking and J. M. van Ophuijsen, </w:t>
      </w:r>
      <w:r w:rsidRPr="006F6F21">
        <w:rPr>
          <w:rFonts w:cs="Times New Roman"/>
          <w:i/>
        </w:rPr>
        <w:t>Two Studies in Attic Particle Usage</w:t>
      </w:r>
      <w:r w:rsidRPr="006F6F21">
        <w:rPr>
          <w:rFonts w:cs="Times New Roman"/>
        </w:rPr>
        <w:t>, Leiden: 67-164.</w:t>
      </w:r>
    </w:p>
    <w:p w14:paraId="70744761" w14:textId="3AAF3745" w:rsidR="003B2A46" w:rsidRPr="006F6F21" w:rsidRDefault="003B2A46" w:rsidP="004819D9">
      <w:pPr>
        <w:spacing w:before="100" w:after="100" w:line="300" w:lineRule="exact"/>
        <w:ind w:left="567" w:hanging="567"/>
        <w:rPr>
          <w:rFonts w:cs="Times New Roman"/>
        </w:rPr>
      </w:pPr>
      <w:r w:rsidRPr="006F6F21">
        <w:rPr>
          <w:rFonts w:cs="Times New Roman"/>
        </w:rPr>
        <w:t xml:space="preserve">Vincent, A. 1999/2000, </w:t>
      </w:r>
      <w:r w:rsidR="00CC0615">
        <w:rPr>
          <w:rFonts w:cs="Times New Roman"/>
        </w:rPr>
        <w:t>“</w:t>
      </w:r>
      <w:r w:rsidRPr="006F6F21">
        <w:rPr>
          <w:rFonts w:cs="Times New Roman"/>
        </w:rPr>
        <w:t>Scritti italiani di Creta veneziana,</w:t>
      </w:r>
      <w:r w:rsidR="00CC0615">
        <w:rPr>
          <w:rFonts w:cs="Times New Roman"/>
        </w:rPr>
        <w:t>”</w:t>
      </w:r>
      <w:r w:rsidRPr="006F6F21">
        <w:rPr>
          <w:rFonts w:cs="Times New Roman"/>
        </w:rPr>
        <w:t xml:space="preserve"> </w:t>
      </w:r>
      <w:r w:rsidRPr="00AF6182">
        <w:rPr>
          <w:rFonts w:cs="Times New Roman"/>
          <w:i/>
        </w:rPr>
        <w:t>Sincronie</w:t>
      </w:r>
      <w:r w:rsidRPr="006F6F21">
        <w:rPr>
          <w:rFonts w:cs="Times New Roman"/>
        </w:rPr>
        <w:t xml:space="preserve"> </w:t>
      </w:r>
      <w:r w:rsidRPr="00AF6182">
        <w:rPr>
          <w:rFonts w:cs="Times New Roman"/>
        </w:rPr>
        <w:t>2.3</w:t>
      </w:r>
      <w:r w:rsidRPr="006F6F21">
        <w:rPr>
          <w:rFonts w:cs="Times New Roman"/>
        </w:rPr>
        <w:t>: 131-162.</w:t>
      </w:r>
    </w:p>
    <w:p w14:paraId="37E352F1" w14:textId="6B370E3F" w:rsidR="003B2A46" w:rsidRDefault="003B2A46" w:rsidP="004819D9">
      <w:pPr>
        <w:spacing w:before="100" w:after="100" w:line="300" w:lineRule="exact"/>
        <w:ind w:left="567" w:hanging="567"/>
        <w:rPr>
          <w:rFonts w:cs="Times New Roman"/>
        </w:rPr>
      </w:pPr>
      <w:r w:rsidRPr="006F6F21">
        <w:rPr>
          <w:rFonts w:cs="Times New Roman"/>
        </w:rPr>
        <w:t xml:space="preserve">Wachter, R. 2010, </w:t>
      </w:r>
      <w:r w:rsidR="00CC0615">
        <w:rPr>
          <w:rFonts w:cs="Times New Roman"/>
        </w:rPr>
        <w:t>“</w:t>
      </w:r>
      <w:r w:rsidRPr="006F6F21">
        <w:rPr>
          <w:rFonts w:cs="Times New Roman"/>
        </w:rPr>
        <w:t>Inscriptions,</w:t>
      </w:r>
      <w:r w:rsidR="00CC0615">
        <w:rPr>
          <w:rFonts w:cs="Times New Roman"/>
        </w:rPr>
        <w:t>”</w:t>
      </w:r>
      <w:r w:rsidRPr="006F6F21">
        <w:rPr>
          <w:rFonts w:cs="Times New Roman"/>
        </w:rPr>
        <w:t xml:space="preserve"> in E. J. Bakker (ed.), </w:t>
      </w:r>
      <w:r w:rsidRPr="006F6F21">
        <w:rPr>
          <w:rFonts w:cs="Times New Roman"/>
          <w:i/>
        </w:rPr>
        <w:t>A Companion to</w:t>
      </w:r>
      <w:r>
        <w:rPr>
          <w:rFonts w:cs="Times New Roman"/>
          <w:i/>
        </w:rPr>
        <w:t xml:space="preserve"> the </w:t>
      </w:r>
      <w:r w:rsidRPr="006F6F21">
        <w:rPr>
          <w:rFonts w:cs="Times New Roman"/>
          <w:i/>
        </w:rPr>
        <w:t>Ancient Greek Language</w:t>
      </w:r>
      <w:r w:rsidRPr="006F6F21">
        <w:rPr>
          <w:rFonts w:cs="Times New Roman"/>
        </w:rPr>
        <w:t xml:space="preserve">, </w:t>
      </w:r>
      <w:r>
        <w:rPr>
          <w:rFonts w:cs="Times New Roman"/>
        </w:rPr>
        <w:t>Chichester - Malden</w:t>
      </w:r>
      <w:r w:rsidRPr="006F6F21">
        <w:rPr>
          <w:rFonts w:cs="Times New Roman"/>
        </w:rPr>
        <w:t>: 47-61.</w:t>
      </w:r>
    </w:p>
    <w:p w14:paraId="7C352D90" w14:textId="688268D8" w:rsidR="00D808B7" w:rsidRPr="006F6F21" w:rsidRDefault="00D808B7" w:rsidP="004819D9">
      <w:pPr>
        <w:spacing w:before="100" w:after="100" w:line="300" w:lineRule="exact"/>
        <w:ind w:left="567" w:hanging="567"/>
        <w:rPr>
          <w:rFonts w:cs="Times New Roman"/>
        </w:rPr>
      </w:pPr>
      <w:r>
        <w:rPr>
          <w:rFonts w:cs="Times New Roman"/>
        </w:rPr>
        <w:t>Wackernagel</w:t>
      </w:r>
      <w:r w:rsidR="0041663F">
        <w:rPr>
          <w:rFonts w:cs="Times New Roman"/>
        </w:rPr>
        <w:t xml:space="preserve">, J. 2009, </w:t>
      </w:r>
      <w:r w:rsidR="0041663F" w:rsidRPr="0041663F">
        <w:rPr>
          <w:rFonts w:cs="Times New Roman"/>
          <w:i/>
        </w:rPr>
        <w:t>Lectures on Syntax</w:t>
      </w:r>
      <w:r w:rsidR="0041663F">
        <w:rPr>
          <w:rFonts w:cs="Times New Roman"/>
        </w:rPr>
        <w:t xml:space="preserve"> (tr. </w:t>
      </w:r>
      <w:r w:rsidR="00F24EB5">
        <w:rPr>
          <w:rFonts w:cs="Times New Roman"/>
        </w:rPr>
        <w:t xml:space="preserve">D. R. </w:t>
      </w:r>
      <w:r w:rsidR="0041663F">
        <w:rPr>
          <w:rFonts w:cs="Times New Roman"/>
        </w:rPr>
        <w:t>Langslow), Oxford.</w:t>
      </w:r>
    </w:p>
    <w:p w14:paraId="26F1C763" w14:textId="0FC9CA91" w:rsidR="003B2A46" w:rsidRPr="006F6F21" w:rsidRDefault="003B2A46" w:rsidP="004819D9">
      <w:pPr>
        <w:autoSpaceDE w:val="0"/>
        <w:autoSpaceDN w:val="0"/>
        <w:adjustRightInd w:val="0"/>
        <w:spacing w:before="100" w:after="100" w:line="300" w:lineRule="exact"/>
        <w:ind w:left="567" w:hanging="567"/>
        <w:rPr>
          <w:rFonts w:cs="Times New Roman"/>
          <w:color w:val="1A1718"/>
        </w:rPr>
      </w:pPr>
      <w:r w:rsidRPr="006F6F21">
        <w:rPr>
          <w:rFonts w:cs="Times New Roman"/>
          <w:color w:val="1A1718"/>
        </w:rPr>
        <w:t>Wakker, G.</w:t>
      </w:r>
      <w:r>
        <w:rPr>
          <w:rFonts w:cs="Times New Roman"/>
          <w:color w:val="1A1718"/>
        </w:rPr>
        <w:t xml:space="preserve"> C.</w:t>
      </w:r>
      <w:r w:rsidRPr="006F6F21">
        <w:rPr>
          <w:rFonts w:cs="Times New Roman"/>
          <w:color w:val="1A1718"/>
        </w:rPr>
        <w:t xml:space="preserve"> 1996, </w:t>
      </w:r>
      <w:r w:rsidR="00CC0615">
        <w:rPr>
          <w:rFonts w:cs="Times New Roman"/>
          <w:color w:val="1A1718"/>
        </w:rPr>
        <w:t>“</w:t>
      </w:r>
      <w:r w:rsidRPr="006F6F21">
        <w:rPr>
          <w:rFonts w:cs="Times New Roman"/>
          <w:color w:val="1A1718"/>
        </w:rPr>
        <w:t xml:space="preserve">The </w:t>
      </w:r>
      <w:r>
        <w:rPr>
          <w:rFonts w:cs="Times New Roman"/>
          <w:color w:val="1A1718"/>
        </w:rPr>
        <w:t>D</w:t>
      </w:r>
      <w:r w:rsidRPr="006F6F21">
        <w:rPr>
          <w:rFonts w:cs="Times New Roman"/>
          <w:color w:val="1A1718"/>
        </w:rPr>
        <w:t xml:space="preserve">iscourse </w:t>
      </w:r>
      <w:r>
        <w:rPr>
          <w:rFonts w:cs="Times New Roman"/>
          <w:color w:val="1A1718"/>
        </w:rPr>
        <w:t>F</w:t>
      </w:r>
      <w:r w:rsidRPr="006F6F21">
        <w:rPr>
          <w:rFonts w:cs="Times New Roman"/>
          <w:color w:val="1A1718"/>
        </w:rPr>
        <w:t xml:space="preserve">unction of </w:t>
      </w:r>
      <w:r>
        <w:rPr>
          <w:rFonts w:cs="Times New Roman"/>
          <w:color w:val="1A1718"/>
        </w:rPr>
        <w:t>P</w:t>
      </w:r>
      <w:r w:rsidRPr="006F6F21">
        <w:rPr>
          <w:rFonts w:cs="Times New Roman"/>
          <w:color w:val="1A1718"/>
        </w:rPr>
        <w:t xml:space="preserve">articles: </w:t>
      </w:r>
      <w:r>
        <w:rPr>
          <w:rFonts w:cs="Times New Roman"/>
          <w:color w:val="1A1718"/>
        </w:rPr>
        <w:t>S</w:t>
      </w:r>
      <w:r w:rsidRPr="006F6F21">
        <w:rPr>
          <w:rFonts w:cs="Times New Roman"/>
          <w:color w:val="1A1718"/>
        </w:rPr>
        <w:t xml:space="preserve">ome </w:t>
      </w:r>
      <w:r>
        <w:rPr>
          <w:rFonts w:cs="Times New Roman"/>
          <w:color w:val="1A1718"/>
        </w:rPr>
        <w:t>O</w:t>
      </w:r>
      <w:r w:rsidRPr="006F6F21">
        <w:rPr>
          <w:rFonts w:cs="Times New Roman"/>
          <w:color w:val="1A1718"/>
        </w:rPr>
        <w:t xml:space="preserve">bservations on the </w:t>
      </w:r>
      <w:r>
        <w:rPr>
          <w:rFonts w:cs="Times New Roman"/>
          <w:color w:val="1A1718"/>
        </w:rPr>
        <w:t>U</w:t>
      </w:r>
      <w:r w:rsidRPr="006F6F21">
        <w:rPr>
          <w:rFonts w:cs="Times New Roman"/>
          <w:color w:val="1A1718"/>
        </w:rPr>
        <w:t xml:space="preserve">se of </w:t>
      </w:r>
      <w:r w:rsidRPr="006F6F21">
        <w:rPr>
          <w:rFonts w:cs="Times New Roman"/>
          <w:color w:val="1A1718"/>
          <w:lang w:val="el-GR"/>
        </w:rPr>
        <w:t>μάν</w:t>
      </w:r>
      <w:r w:rsidRPr="007F1E99">
        <w:rPr>
          <w:rFonts w:cs="Times New Roman"/>
          <w:color w:val="1A1718"/>
          <w:lang w:val="en-US"/>
        </w:rPr>
        <w:t xml:space="preserve"> / </w:t>
      </w:r>
      <w:r w:rsidRPr="006F6F21">
        <w:rPr>
          <w:rFonts w:cs="Times New Roman"/>
          <w:color w:val="1A1718"/>
          <w:lang w:val="el-GR"/>
        </w:rPr>
        <w:t>μήν</w:t>
      </w:r>
      <w:r w:rsidRPr="006F6F21">
        <w:rPr>
          <w:rFonts w:cs="Times New Roman"/>
          <w:color w:val="1A1718"/>
        </w:rPr>
        <w:t xml:space="preserve"> in Theocritus</w:t>
      </w:r>
      <w:r>
        <w:rPr>
          <w:rFonts w:cs="Times New Roman"/>
          <w:color w:val="1A1718"/>
        </w:rPr>
        <w:t>,</w:t>
      </w:r>
      <w:r w:rsidR="00CC0615">
        <w:rPr>
          <w:rFonts w:cs="Times New Roman"/>
          <w:color w:val="1A1718"/>
        </w:rPr>
        <w:t>”</w:t>
      </w:r>
      <w:r w:rsidRPr="006F6F21">
        <w:rPr>
          <w:rFonts w:cs="Times New Roman"/>
          <w:color w:val="1A1718"/>
        </w:rPr>
        <w:t xml:space="preserve"> in M.</w:t>
      </w:r>
      <w:r>
        <w:rPr>
          <w:rFonts w:cs="Times New Roman"/>
          <w:color w:val="1A1718"/>
        </w:rPr>
        <w:t xml:space="preserve"> </w:t>
      </w:r>
      <w:r w:rsidRPr="006F6F21">
        <w:rPr>
          <w:rFonts w:cs="Times New Roman"/>
          <w:color w:val="1A1718"/>
        </w:rPr>
        <w:t>A. Harder, R.</w:t>
      </w:r>
      <w:r>
        <w:rPr>
          <w:rFonts w:cs="Times New Roman"/>
          <w:color w:val="1A1718"/>
        </w:rPr>
        <w:t xml:space="preserve"> </w:t>
      </w:r>
      <w:r w:rsidRPr="006F6F21">
        <w:rPr>
          <w:rFonts w:cs="Times New Roman"/>
          <w:color w:val="1A1718"/>
        </w:rPr>
        <w:t>F. Regtuit, and G.</w:t>
      </w:r>
      <w:r>
        <w:rPr>
          <w:rFonts w:cs="Times New Roman"/>
          <w:color w:val="1A1718"/>
        </w:rPr>
        <w:t xml:space="preserve"> </w:t>
      </w:r>
      <w:r w:rsidRPr="006F6F21">
        <w:rPr>
          <w:rFonts w:cs="Times New Roman"/>
          <w:color w:val="1A1718"/>
        </w:rPr>
        <w:t xml:space="preserve">C. Wakker (eds.), </w:t>
      </w:r>
      <w:r w:rsidRPr="006F6F21">
        <w:rPr>
          <w:rFonts w:cs="Times New Roman"/>
          <w:i/>
          <w:color w:val="1A1718"/>
        </w:rPr>
        <w:t>Theocritus</w:t>
      </w:r>
      <w:r w:rsidRPr="006F6F21">
        <w:rPr>
          <w:rFonts w:cs="Times New Roman"/>
          <w:color w:val="1A1718"/>
        </w:rPr>
        <w:t>, Groningen: 247-63.</w:t>
      </w:r>
    </w:p>
    <w:p w14:paraId="247AE0A8" w14:textId="0C9C5A35" w:rsidR="003B2A46" w:rsidRPr="006F6F21" w:rsidRDefault="003B2A46" w:rsidP="004819D9">
      <w:pPr>
        <w:autoSpaceDE w:val="0"/>
        <w:autoSpaceDN w:val="0"/>
        <w:adjustRightInd w:val="0"/>
        <w:spacing w:before="100" w:after="100" w:line="300" w:lineRule="exact"/>
        <w:ind w:left="567" w:hanging="567"/>
        <w:rPr>
          <w:rFonts w:cs="Times New Roman"/>
          <w:color w:val="1A1718"/>
        </w:rPr>
      </w:pPr>
      <w:r w:rsidRPr="006F6F21">
        <w:rPr>
          <w:rFonts w:cs="Times New Roman"/>
        </w:rPr>
        <w:t>— 1997</w:t>
      </w:r>
      <w:r w:rsidRPr="006F6F21">
        <w:rPr>
          <w:rFonts w:cs="Times New Roman"/>
          <w:color w:val="1A1718"/>
        </w:rPr>
        <w:t xml:space="preserve">, </w:t>
      </w:r>
      <w:r w:rsidR="00CC0615">
        <w:rPr>
          <w:rFonts w:cs="Times New Roman"/>
          <w:color w:val="1A1718"/>
        </w:rPr>
        <w:t>“</w:t>
      </w:r>
      <w:r w:rsidRPr="006F6F21">
        <w:rPr>
          <w:rFonts w:cs="Times New Roman"/>
          <w:color w:val="1A1718"/>
        </w:rPr>
        <w:t xml:space="preserve">Emphasis and </w:t>
      </w:r>
      <w:r>
        <w:rPr>
          <w:rFonts w:cs="Times New Roman"/>
          <w:color w:val="1A1718"/>
        </w:rPr>
        <w:t>A</w:t>
      </w:r>
      <w:r w:rsidRPr="006F6F21">
        <w:rPr>
          <w:rFonts w:cs="Times New Roman"/>
          <w:color w:val="1A1718"/>
        </w:rPr>
        <w:t xml:space="preserve">ffirmation: </w:t>
      </w:r>
      <w:r>
        <w:rPr>
          <w:rFonts w:cs="Times New Roman"/>
          <w:color w:val="1A1718"/>
        </w:rPr>
        <w:t>S</w:t>
      </w:r>
      <w:r w:rsidRPr="006F6F21">
        <w:rPr>
          <w:rFonts w:cs="Times New Roman"/>
          <w:color w:val="1A1718"/>
        </w:rPr>
        <w:t xml:space="preserve">ome </w:t>
      </w:r>
      <w:r>
        <w:rPr>
          <w:rFonts w:cs="Times New Roman"/>
          <w:color w:val="1A1718"/>
        </w:rPr>
        <w:t>A</w:t>
      </w:r>
      <w:r w:rsidRPr="006F6F21">
        <w:rPr>
          <w:rFonts w:cs="Times New Roman"/>
          <w:color w:val="1A1718"/>
        </w:rPr>
        <w:t>spects of </w:t>
      </w:r>
      <w:r w:rsidRPr="006F6F21">
        <w:rPr>
          <w:rFonts w:cs="Times New Roman"/>
          <w:color w:val="1A1718"/>
          <w:lang w:val="el-GR"/>
        </w:rPr>
        <w:t>μήν</w:t>
      </w:r>
      <w:r w:rsidRPr="007F1E99">
        <w:rPr>
          <w:rFonts w:cs="Times New Roman"/>
          <w:color w:val="1A1718"/>
          <w:lang w:val="en-US"/>
        </w:rPr>
        <w:t xml:space="preserve"> </w:t>
      </w:r>
      <w:r w:rsidRPr="006F6F21">
        <w:rPr>
          <w:rFonts w:cs="Times New Roman"/>
          <w:color w:val="1A1718"/>
        </w:rPr>
        <w:t xml:space="preserve">in </w:t>
      </w:r>
      <w:r>
        <w:rPr>
          <w:rFonts w:cs="Times New Roman"/>
          <w:color w:val="1A1718"/>
        </w:rPr>
        <w:t>T</w:t>
      </w:r>
      <w:r w:rsidRPr="006F6F21">
        <w:rPr>
          <w:rFonts w:cs="Times New Roman"/>
          <w:color w:val="1A1718"/>
        </w:rPr>
        <w:t>ragedy</w:t>
      </w:r>
      <w:r>
        <w:rPr>
          <w:rFonts w:cs="Times New Roman"/>
          <w:color w:val="1A1718"/>
        </w:rPr>
        <w:t>,</w:t>
      </w:r>
      <w:r w:rsidR="00CC0615">
        <w:rPr>
          <w:rFonts w:cs="Times New Roman"/>
          <w:color w:val="1A1718"/>
        </w:rPr>
        <w:t>”</w:t>
      </w:r>
      <w:r w:rsidRPr="006F6F21">
        <w:rPr>
          <w:rFonts w:cs="Times New Roman"/>
          <w:color w:val="1A1718"/>
        </w:rPr>
        <w:t xml:space="preserve"> in A. Rijksbaron (ed.), </w:t>
      </w:r>
      <w:r w:rsidRPr="006F6F21">
        <w:rPr>
          <w:rFonts w:cs="Times New Roman"/>
          <w:i/>
        </w:rPr>
        <w:t>New Appr</w:t>
      </w:r>
      <w:r>
        <w:rPr>
          <w:rFonts w:cs="Times New Roman"/>
          <w:i/>
        </w:rPr>
        <w:t>oa</w:t>
      </w:r>
      <w:r w:rsidRPr="006F6F21">
        <w:rPr>
          <w:rFonts w:cs="Times New Roman"/>
          <w:i/>
        </w:rPr>
        <w:t>ches to Greek Particles</w:t>
      </w:r>
      <w:r w:rsidRPr="006F6F21">
        <w:rPr>
          <w:rFonts w:cs="Times New Roman"/>
        </w:rPr>
        <w:t>, Amsterdam</w:t>
      </w:r>
      <w:r w:rsidRPr="006F6F21">
        <w:rPr>
          <w:rFonts w:cs="Times New Roman"/>
          <w:color w:val="1A1718"/>
        </w:rPr>
        <w:t>: 209-31.</w:t>
      </w:r>
    </w:p>
    <w:p w14:paraId="19094FA5" w14:textId="7777777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lang w:val="en-IE"/>
        </w:rPr>
        <w:t xml:space="preserve">Warner, M. L. 1986, </w:t>
      </w:r>
      <w:r w:rsidRPr="006F6F21">
        <w:rPr>
          <w:rFonts w:cs="Times New Roman"/>
          <w:i/>
          <w:lang w:val="en-IE"/>
        </w:rPr>
        <w:t>Cantomorphosis: Multilingualism in the Cantos of Ezra Pound</w:t>
      </w:r>
      <w:r w:rsidRPr="006F6F21">
        <w:rPr>
          <w:rFonts w:cs="Times New Roman"/>
          <w:lang w:val="en-IE"/>
        </w:rPr>
        <w:t>, Diss.</w:t>
      </w:r>
      <w:r w:rsidRPr="006F6F21">
        <w:rPr>
          <w:rFonts w:cs="Times New Roman"/>
        </w:rPr>
        <w:t xml:space="preserve"> University of Arizona, Tulsa.</w:t>
      </w:r>
    </w:p>
    <w:p w14:paraId="154132C7" w14:textId="1DB32687" w:rsidR="003B2A46" w:rsidRPr="006F6F21" w:rsidRDefault="003B2A46" w:rsidP="004819D9">
      <w:pPr>
        <w:tabs>
          <w:tab w:val="left" w:pos="7080"/>
        </w:tabs>
        <w:spacing w:before="100" w:after="100" w:line="300" w:lineRule="exact"/>
        <w:ind w:left="567" w:hanging="567"/>
        <w:rPr>
          <w:rFonts w:cs="Times New Roman"/>
        </w:rPr>
      </w:pPr>
      <w:r w:rsidRPr="006F6F21">
        <w:rPr>
          <w:rFonts w:cs="Times New Roman"/>
        </w:rPr>
        <w:t xml:space="preserve">Weiss, M. 2014, </w:t>
      </w:r>
      <w:r w:rsidR="00CC0615">
        <w:rPr>
          <w:rFonts w:cs="Times New Roman"/>
        </w:rPr>
        <w:t>“</w:t>
      </w:r>
      <w:r w:rsidRPr="006F6F21">
        <w:rPr>
          <w:rFonts w:cs="Times New Roman"/>
        </w:rPr>
        <w:t>Morphology and Word Formation,</w:t>
      </w:r>
      <w:r w:rsidR="00CC0615">
        <w:rPr>
          <w:rFonts w:cs="Times New Roman"/>
        </w:rPr>
        <w:t>”</w:t>
      </w:r>
      <w:r w:rsidRPr="006F6F21">
        <w:rPr>
          <w:rFonts w:cs="Times New Roman"/>
        </w:rPr>
        <w:t xml:space="preserve"> in E. J. Bakker (ed.),</w:t>
      </w:r>
      <w:r w:rsidRPr="006F6F21">
        <w:rPr>
          <w:rFonts w:cs="Times New Roman"/>
          <w:i/>
        </w:rPr>
        <w:t xml:space="preserve"> A Companion to the Ancient Greek Language</w:t>
      </w:r>
      <w:r w:rsidRPr="006F6F21">
        <w:rPr>
          <w:rFonts w:cs="Times New Roman"/>
        </w:rPr>
        <w:t>, Chichester</w:t>
      </w:r>
      <w:r>
        <w:rPr>
          <w:rFonts w:cs="Times New Roman"/>
        </w:rPr>
        <w:t xml:space="preserve"> - Malden</w:t>
      </w:r>
      <w:r w:rsidRPr="006F6F21">
        <w:rPr>
          <w:rFonts w:cs="Times New Roman"/>
        </w:rPr>
        <w:t>: 104-120.</w:t>
      </w:r>
    </w:p>
    <w:p w14:paraId="0145BADD" w14:textId="262003EF" w:rsidR="003B2A46" w:rsidRPr="006F6F21" w:rsidRDefault="003B2A46" w:rsidP="004819D9">
      <w:pPr>
        <w:spacing w:before="100" w:after="100" w:line="300" w:lineRule="exact"/>
        <w:ind w:left="567" w:hanging="567"/>
        <w:rPr>
          <w:rFonts w:cs="Times New Roman"/>
        </w:rPr>
      </w:pPr>
      <w:r w:rsidRPr="006F6F21">
        <w:rPr>
          <w:rFonts w:cs="Times New Roman"/>
        </w:rPr>
        <w:t xml:space="preserve">West, M. L. 1969, </w:t>
      </w:r>
      <w:r w:rsidR="00CC0615">
        <w:rPr>
          <w:rFonts w:cs="Times New Roman"/>
        </w:rPr>
        <w:t>“</w:t>
      </w:r>
      <w:r w:rsidRPr="006F6F21">
        <w:rPr>
          <w:rFonts w:cs="Times New Roman"/>
        </w:rPr>
        <w:t>Near Eastern Material in Hellenistic and Roman Literature,</w:t>
      </w:r>
      <w:r w:rsidR="00CC0615">
        <w:rPr>
          <w:rFonts w:cs="Times New Roman"/>
        </w:rPr>
        <w:t>”</w:t>
      </w:r>
      <w:r w:rsidRPr="006F6F21">
        <w:rPr>
          <w:rFonts w:cs="Times New Roman"/>
        </w:rPr>
        <w:t xml:space="preserve"> </w:t>
      </w:r>
      <w:r w:rsidRPr="006F6F21">
        <w:rPr>
          <w:rFonts w:cs="Times New Roman"/>
          <w:i/>
        </w:rPr>
        <w:t>H</w:t>
      </w:r>
      <w:r>
        <w:rPr>
          <w:rFonts w:cs="Times New Roman"/>
          <w:i/>
        </w:rPr>
        <w:t>arvard Studies in Classical Philology</w:t>
      </w:r>
      <w:r w:rsidRPr="006F6F21">
        <w:rPr>
          <w:rFonts w:cs="Times New Roman"/>
        </w:rPr>
        <w:t xml:space="preserve"> 73: 113-134.</w:t>
      </w:r>
    </w:p>
    <w:p w14:paraId="6B1E5719" w14:textId="77777777" w:rsidR="003B2A46" w:rsidRDefault="003B2A46" w:rsidP="004819D9">
      <w:pPr>
        <w:spacing w:before="100" w:after="100" w:line="300" w:lineRule="exact"/>
        <w:ind w:left="567" w:hanging="567"/>
        <w:rPr>
          <w:rFonts w:cs="Times New Roman"/>
        </w:rPr>
      </w:pPr>
      <w:r w:rsidRPr="006F6F21">
        <w:rPr>
          <w:rFonts w:cs="Times New Roman"/>
        </w:rPr>
        <w:t xml:space="preserve">— 1974, </w:t>
      </w:r>
      <w:r w:rsidRPr="006F6F21">
        <w:rPr>
          <w:rFonts w:cs="Times New Roman"/>
          <w:i/>
        </w:rPr>
        <w:t>Studies in Greek Elegy and Iambus</w:t>
      </w:r>
      <w:r w:rsidRPr="006F6F21">
        <w:rPr>
          <w:rFonts w:cs="Times New Roman"/>
        </w:rPr>
        <w:t>, Berlin</w:t>
      </w:r>
      <w:r>
        <w:rPr>
          <w:rFonts w:cs="Times New Roman"/>
        </w:rPr>
        <w:t xml:space="preserve"> -New York</w:t>
      </w:r>
      <w:r w:rsidRPr="006F6F21">
        <w:rPr>
          <w:rFonts w:cs="Times New Roman"/>
        </w:rPr>
        <w:t>.</w:t>
      </w:r>
    </w:p>
    <w:p w14:paraId="0600375F" w14:textId="77777777" w:rsidR="003B2A46" w:rsidRPr="006F6F21" w:rsidRDefault="003B2A46" w:rsidP="004819D9">
      <w:pPr>
        <w:spacing w:before="100" w:after="100" w:line="300" w:lineRule="exact"/>
        <w:ind w:left="567" w:hanging="567"/>
        <w:rPr>
          <w:rFonts w:cs="Times New Roman"/>
        </w:rPr>
      </w:pPr>
      <w:r w:rsidRPr="006F6F21">
        <w:rPr>
          <w:rFonts w:cs="Times New Roman"/>
        </w:rPr>
        <w:t>—</w:t>
      </w:r>
      <w:r>
        <w:rPr>
          <w:rFonts w:cs="Times New Roman"/>
        </w:rPr>
        <w:t xml:space="preserve"> 1982, </w:t>
      </w:r>
      <w:r w:rsidRPr="001743E3">
        <w:rPr>
          <w:rFonts w:cs="Times New Roman"/>
          <w:i/>
        </w:rPr>
        <w:t>Greek Metre</w:t>
      </w:r>
      <w:r>
        <w:rPr>
          <w:rFonts w:cs="Times New Roman"/>
        </w:rPr>
        <w:t>, Oxford.</w:t>
      </w:r>
    </w:p>
    <w:p w14:paraId="5158FC12"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1989, </w:t>
      </w:r>
      <w:r w:rsidRPr="006F6F21">
        <w:rPr>
          <w:rFonts w:cs="Times New Roman"/>
          <w:i/>
        </w:rPr>
        <w:t>Iambi et elegi ante Alexandrum cantati, I: Hipponax, Theognidea</w:t>
      </w:r>
      <w:r w:rsidRPr="006F6F21">
        <w:rPr>
          <w:rFonts w:cs="Times New Roman"/>
        </w:rPr>
        <w:t>, Oxford.</w:t>
      </w:r>
    </w:p>
    <w:p w14:paraId="5DCB2018" w14:textId="120F26EA" w:rsidR="003B2A46" w:rsidRPr="006F6F21" w:rsidRDefault="003B2A46" w:rsidP="004819D9">
      <w:pPr>
        <w:spacing w:before="100" w:after="100" w:line="300" w:lineRule="exact"/>
        <w:ind w:left="567" w:hanging="567"/>
        <w:rPr>
          <w:rFonts w:cs="Times New Roman"/>
        </w:rPr>
      </w:pPr>
      <w:r w:rsidRPr="006F6F21">
        <w:rPr>
          <w:rFonts w:cs="Times New Roman"/>
        </w:rPr>
        <w:t xml:space="preserve">— 1992, </w:t>
      </w:r>
      <w:r w:rsidRPr="006F6F21">
        <w:rPr>
          <w:rFonts w:cs="Times New Roman"/>
          <w:i/>
        </w:rPr>
        <w:t>Ancient Greek Music</w:t>
      </w:r>
      <w:r w:rsidR="00A57480">
        <w:rPr>
          <w:rFonts w:cs="Times New Roman"/>
        </w:rPr>
        <w:t>, Oxford.</w:t>
      </w:r>
    </w:p>
    <w:p w14:paraId="549B2597"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—1997, </w:t>
      </w:r>
      <w:r w:rsidRPr="006F6F21">
        <w:rPr>
          <w:rFonts w:cs="Times New Roman"/>
          <w:i/>
        </w:rPr>
        <w:t>The East Face of Helicon: West Asiatic Elements in Greek Poetry and Myth</w:t>
      </w:r>
      <w:r w:rsidRPr="006F6F21">
        <w:rPr>
          <w:rFonts w:cs="Times New Roman"/>
        </w:rPr>
        <w:t>, Oxford.</w:t>
      </w:r>
    </w:p>
    <w:p w14:paraId="5EFDE8C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Wilkins, J. B. 2000, </w:t>
      </w:r>
      <w:r w:rsidRPr="006F6F21">
        <w:rPr>
          <w:rFonts w:cs="Times New Roman"/>
          <w:i/>
        </w:rPr>
        <w:t>The Boastful Chef: The Discourse of Food in Ancient Greek Comedy</w:t>
      </w:r>
      <w:r w:rsidRPr="006F6F21">
        <w:rPr>
          <w:rFonts w:cs="Times New Roman"/>
        </w:rPr>
        <w:t>, Oxford</w:t>
      </w:r>
      <w:r>
        <w:rPr>
          <w:rFonts w:cs="Times New Roman"/>
        </w:rPr>
        <w:t xml:space="preserve"> </w:t>
      </w:r>
      <w:r w:rsidRPr="006F6F21">
        <w:rPr>
          <w:rFonts w:cs="Times New Roman"/>
        </w:rPr>
        <w:t>- New York.</w:t>
      </w:r>
    </w:p>
    <w:p w14:paraId="4DD7C261"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Willi, A. (ed.) 2002, </w:t>
      </w:r>
      <w:r w:rsidRPr="006F6F21">
        <w:rPr>
          <w:rFonts w:cs="Times New Roman"/>
          <w:i/>
        </w:rPr>
        <w:t xml:space="preserve">The Language of Greek </w:t>
      </w:r>
      <w:r w:rsidRPr="00062395">
        <w:rPr>
          <w:rFonts w:cs="Times New Roman"/>
          <w:i/>
        </w:rPr>
        <w:t>Com</w:t>
      </w:r>
      <w:r w:rsidRPr="00AF6182">
        <w:rPr>
          <w:rFonts w:cs="Times New Roman"/>
          <w:i/>
        </w:rPr>
        <w:t>edy</w:t>
      </w:r>
      <w:r w:rsidRPr="006F6F21">
        <w:rPr>
          <w:rFonts w:cs="Times New Roman"/>
        </w:rPr>
        <w:t>, Oxford.</w:t>
      </w:r>
    </w:p>
    <w:p w14:paraId="6948E3E5" w14:textId="77777777" w:rsidR="003B2A46" w:rsidRPr="006F6F21" w:rsidRDefault="003B2A46" w:rsidP="004819D9">
      <w:pPr>
        <w:spacing w:before="100" w:after="100" w:line="300" w:lineRule="exact"/>
        <w:ind w:left="567" w:hanging="567"/>
        <w:rPr>
          <w:rFonts w:cs="Times New Roman"/>
        </w:rPr>
      </w:pPr>
      <w:r w:rsidRPr="006F6F21">
        <w:rPr>
          <w:rFonts w:cs="Times New Roman"/>
        </w:rPr>
        <w:t xml:space="preserve">— 2003, </w:t>
      </w:r>
      <w:r w:rsidRPr="006F6F21">
        <w:rPr>
          <w:rFonts w:cs="Times New Roman"/>
          <w:i/>
        </w:rPr>
        <w:t xml:space="preserve">The Language of Aristophanes: </w:t>
      </w:r>
      <w:r>
        <w:rPr>
          <w:rFonts w:cs="Times New Roman"/>
          <w:i/>
        </w:rPr>
        <w:t>A</w:t>
      </w:r>
      <w:r w:rsidRPr="006F6F21">
        <w:rPr>
          <w:rFonts w:cs="Times New Roman"/>
          <w:i/>
        </w:rPr>
        <w:t xml:space="preserve">spects of </w:t>
      </w:r>
      <w:r>
        <w:rPr>
          <w:rFonts w:cs="Times New Roman"/>
          <w:i/>
        </w:rPr>
        <w:t>L</w:t>
      </w:r>
      <w:r w:rsidRPr="006F6F21">
        <w:rPr>
          <w:rFonts w:cs="Times New Roman"/>
          <w:i/>
        </w:rPr>
        <w:t xml:space="preserve">inguistic </w:t>
      </w:r>
      <w:r>
        <w:rPr>
          <w:rFonts w:cs="Times New Roman"/>
          <w:i/>
        </w:rPr>
        <w:t>V</w:t>
      </w:r>
      <w:r w:rsidRPr="006F6F21">
        <w:rPr>
          <w:rFonts w:cs="Times New Roman"/>
          <w:i/>
        </w:rPr>
        <w:t xml:space="preserve">ariation in </w:t>
      </w:r>
      <w:r>
        <w:rPr>
          <w:rFonts w:cs="Times New Roman"/>
          <w:i/>
        </w:rPr>
        <w:t>C</w:t>
      </w:r>
      <w:r w:rsidRPr="006F6F21">
        <w:rPr>
          <w:rFonts w:cs="Times New Roman"/>
          <w:i/>
        </w:rPr>
        <w:t>lassical Attic Greek</w:t>
      </w:r>
      <w:r w:rsidRPr="006F6F21">
        <w:rPr>
          <w:rFonts w:cs="Times New Roman"/>
        </w:rPr>
        <w:t>, Oxford.</w:t>
      </w:r>
    </w:p>
    <w:p w14:paraId="2C5BAE2C" w14:textId="1819C075" w:rsidR="003B2A46" w:rsidRPr="006F6F21" w:rsidRDefault="003B2A46" w:rsidP="004819D9">
      <w:pPr>
        <w:spacing w:before="100" w:after="100" w:line="300" w:lineRule="exact"/>
        <w:ind w:left="567" w:hanging="567"/>
        <w:rPr>
          <w:rFonts w:cs="Times New Roman"/>
        </w:rPr>
      </w:pPr>
      <w:r w:rsidRPr="006F6F21">
        <w:rPr>
          <w:rFonts w:cs="Times New Roman"/>
        </w:rPr>
        <w:t xml:space="preserve">— 2010, </w:t>
      </w:r>
      <w:r w:rsidR="00CC0615">
        <w:rPr>
          <w:rFonts w:cs="Times New Roman"/>
        </w:rPr>
        <w:t>“</w:t>
      </w:r>
      <w:r w:rsidRPr="006F6F21">
        <w:rPr>
          <w:rFonts w:cs="Times New Roman"/>
        </w:rPr>
        <w:t>Register Variation,</w:t>
      </w:r>
      <w:r w:rsidR="00CC0615">
        <w:rPr>
          <w:rFonts w:cs="Times New Roman"/>
        </w:rPr>
        <w:t>”</w:t>
      </w:r>
      <w:r w:rsidRPr="006F6F21">
        <w:rPr>
          <w:rFonts w:cs="Times New Roman"/>
        </w:rPr>
        <w:t xml:space="preserve"> in E. J. Bakker (ed.), </w:t>
      </w:r>
      <w:r w:rsidRPr="006F6F21">
        <w:rPr>
          <w:rFonts w:cs="Times New Roman"/>
          <w:i/>
        </w:rPr>
        <w:t>A Companion to the Ancient Greek Language</w:t>
      </w:r>
      <w:r w:rsidRPr="006F6F21">
        <w:rPr>
          <w:rFonts w:cs="Times New Roman"/>
        </w:rPr>
        <w:t>, Chichester</w:t>
      </w:r>
      <w:r>
        <w:rPr>
          <w:rFonts w:cs="Times New Roman"/>
        </w:rPr>
        <w:t xml:space="preserve"> - Malden</w:t>
      </w:r>
      <w:r w:rsidRPr="006F6F21">
        <w:rPr>
          <w:rFonts w:cs="Times New Roman"/>
        </w:rPr>
        <w:t>: 297-310.</w:t>
      </w:r>
    </w:p>
    <w:p w14:paraId="543589A0" w14:textId="69A91166" w:rsidR="003B2A46" w:rsidRPr="006F6F21" w:rsidRDefault="003B2A46" w:rsidP="004819D9">
      <w:pPr>
        <w:spacing w:before="100" w:after="100" w:line="300" w:lineRule="exact"/>
        <w:ind w:left="567" w:hanging="567"/>
        <w:rPr>
          <w:rFonts w:cs="Times New Roman"/>
        </w:rPr>
      </w:pPr>
      <w:r w:rsidRPr="006F6F21">
        <w:rPr>
          <w:rFonts w:cs="Times New Roman"/>
        </w:rPr>
        <w:t xml:space="preserve">Winford, D. 2007, </w:t>
      </w:r>
      <w:r w:rsidR="00CC0615">
        <w:rPr>
          <w:rFonts w:cs="Times New Roman"/>
          <w:lang w:val="en-IE"/>
        </w:rPr>
        <w:t>“</w:t>
      </w:r>
      <w:r w:rsidRPr="006F6F21">
        <w:rPr>
          <w:rFonts w:cs="Times New Roman"/>
        </w:rPr>
        <w:t>Some Issues in the Study of Language Contact,</w:t>
      </w:r>
      <w:r w:rsidR="00CC0615">
        <w:rPr>
          <w:rFonts w:cs="Times New Roman"/>
          <w:lang w:val="en-IE"/>
        </w:rPr>
        <w:t>”</w:t>
      </w:r>
      <w:r w:rsidRPr="006F6F21">
        <w:rPr>
          <w:rFonts w:cs="Times New Roman"/>
        </w:rPr>
        <w:t xml:space="preserve"> </w:t>
      </w:r>
      <w:r w:rsidRPr="006F6F21">
        <w:rPr>
          <w:rFonts w:cs="Times New Roman"/>
          <w:i/>
        </w:rPr>
        <w:t xml:space="preserve">Journal of Language Contact </w:t>
      </w:r>
      <w:r w:rsidRPr="006F6F21">
        <w:rPr>
          <w:rFonts w:cs="Times New Roman"/>
        </w:rPr>
        <w:t>1: 22-39.</w:t>
      </w:r>
    </w:p>
    <w:p w14:paraId="1B55D5A8" w14:textId="08D22636" w:rsidR="002A7979" w:rsidRPr="00B436F8" w:rsidRDefault="003B2A46" w:rsidP="004819D9">
      <w:pPr>
        <w:spacing w:before="100" w:after="100" w:line="300" w:lineRule="exact"/>
        <w:ind w:left="567" w:hanging="567"/>
        <w:rPr>
          <w:rFonts w:cs="Times New Roman"/>
        </w:rPr>
      </w:pPr>
      <w:r w:rsidRPr="006F6F21">
        <w:rPr>
          <w:rFonts w:cs="Times New Roman"/>
        </w:rPr>
        <w:t xml:space="preserve">Zanker, G. 1981, </w:t>
      </w:r>
      <w:r w:rsidR="00CC0615">
        <w:rPr>
          <w:rFonts w:cs="Times New Roman"/>
        </w:rPr>
        <w:t>“</w:t>
      </w:r>
      <w:r w:rsidRPr="006F6F21">
        <w:rPr>
          <w:rFonts w:cs="Times New Roman"/>
          <w:i/>
        </w:rPr>
        <w:t>Enargeia</w:t>
      </w:r>
      <w:r w:rsidRPr="006F6F21">
        <w:rPr>
          <w:rFonts w:cs="Times New Roman"/>
        </w:rPr>
        <w:t xml:space="preserve"> in the Ancient Criticism of Poetry,</w:t>
      </w:r>
      <w:r w:rsidR="00CC0615">
        <w:rPr>
          <w:rFonts w:cs="Times New Roman"/>
        </w:rPr>
        <w:t>”</w:t>
      </w:r>
      <w:r w:rsidRPr="006F6F21">
        <w:rPr>
          <w:rFonts w:cs="Times New Roman"/>
        </w:rPr>
        <w:t xml:space="preserve"> </w:t>
      </w:r>
      <w:r w:rsidRPr="006F6F21">
        <w:rPr>
          <w:rFonts w:cs="Times New Roman"/>
          <w:i/>
        </w:rPr>
        <w:t>Rheinisches Museum</w:t>
      </w:r>
      <w:r w:rsidR="009B4E7F">
        <w:rPr>
          <w:rFonts w:cs="Times New Roman"/>
        </w:rPr>
        <w:t xml:space="preserve"> 124: 297-311</w:t>
      </w:r>
    </w:p>
    <w:sectPr w:rsidR="002A7979" w:rsidRPr="00B436F8" w:rsidSect="00033A07">
      <w:footerReference w:type="even" r:id="rId103"/>
      <w:footerReference w:type="default" r:id="rId104"/>
      <w:footnotePr>
        <w:numRestart w:val="eachSect"/>
      </w:footnotePr>
      <w:pgSz w:w="11901" w:h="16817"/>
      <w:pgMar w:top="1440" w:right="1440" w:bottom="1440" w:left="1797" w:header="708" w:footer="708" w:gutter="0"/>
      <w:cols w:space="708"/>
      <w:docGrid w:linePitch="360"/>
      <w:printerSettings r:id="rId10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BCD10" w14:textId="77777777" w:rsidR="00D808B7" w:rsidRDefault="00D808B7" w:rsidP="00323861">
      <w:pPr>
        <w:spacing w:line="240" w:lineRule="auto"/>
      </w:pPr>
      <w:r>
        <w:separator/>
      </w:r>
    </w:p>
    <w:p w14:paraId="3D06E310" w14:textId="77777777" w:rsidR="00D808B7" w:rsidRDefault="00D808B7"/>
    <w:p w14:paraId="4C41A737" w14:textId="77777777" w:rsidR="00D808B7" w:rsidRDefault="00D808B7"/>
  </w:endnote>
  <w:endnote w:type="continuationSeparator" w:id="0">
    <w:p w14:paraId="06360B86" w14:textId="77777777" w:rsidR="00D808B7" w:rsidRDefault="00D808B7" w:rsidP="00323861">
      <w:pPr>
        <w:spacing w:line="240" w:lineRule="auto"/>
      </w:pPr>
      <w:r>
        <w:continuationSeparator/>
      </w:r>
    </w:p>
    <w:p w14:paraId="6264BB17" w14:textId="77777777" w:rsidR="00D808B7" w:rsidRDefault="00D808B7"/>
    <w:p w14:paraId="4D6A5006" w14:textId="77777777" w:rsidR="00D808B7" w:rsidRDefault="00D80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eneva">
    <w:panose1 w:val="020B0503030404040204"/>
    <w:charset w:val="00"/>
    <w:family w:val="auto"/>
    <w:pitch w:val="variable"/>
    <w:sig w:usb0="00000007" w:usb1="00000000" w:usb2="00000000" w:usb3="00000000" w:csb0="00000093" w:csb1="00000000"/>
  </w:font>
  <w:font w:name="Times New Roman (Vietnamese)">
    <w:altName w:val="Times"/>
    <w:panose1 w:val="00000000000000000000"/>
    <w:charset w:val="A3"/>
    <w:family w:val="roman"/>
    <w:notTrueType/>
    <w:pitch w:val="variable"/>
    <w:sig w:usb0="20000001" w:usb1="00000000" w:usb2="00000000" w:usb3="00000000" w:csb0="00000100" w:csb1="00000000"/>
  </w:font>
  <w:font w:name="TimesBasis">
    <w:altName w:val="Arial Unicode MS"/>
    <w:panose1 w:val="00000000000000000000"/>
    <w:charset w:val="81"/>
    <w:family w:val="auto"/>
    <w:notTrueType/>
    <w:pitch w:val="default"/>
    <w:sig w:usb0="00000001" w:usb1="09060000" w:usb2="00000010" w:usb3="00000000" w:csb0="00080000" w:csb1="00000000"/>
  </w:font>
  <w:font w:name="MS Mincho">
    <w:altName w:val="ＭＳ 明朝"/>
    <w:charset w:val="80"/>
    <w:family w:val="modern"/>
    <w:pitch w:val="fixed"/>
    <w:sig w:usb0="A00002BF" w:usb1="68C7FCFB" w:usb2="00000010"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FB4110" w14:textId="77777777" w:rsidR="00D808B7" w:rsidRDefault="00D808B7" w:rsidP="00D159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4638BB" w14:textId="77777777" w:rsidR="00D808B7" w:rsidRDefault="00D808B7" w:rsidP="00DB1AD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69B5A" w14:textId="77777777" w:rsidR="00D808B7" w:rsidRDefault="00D808B7" w:rsidP="00D159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A07">
      <w:rPr>
        <w:rStyle w:val="PageNumber"/>
        <w:noProof/>
      </w:rPr>
      <w:t>153</w:t>
    </w:r>
    <w:r>
      <w:rPr>
        <w:rStyle w:val="PageNumber"/>
      </w:rPr>
      <w:fldChar w:fldCharType="end"/>
    </w:r>
  </w:p>
  <w:p w14:paraId="0C15CFEE" w14:textId="77777777" w:rsidR="00D808B7" w:rsidRDefault="00D808B7" w:rsidP="00DB1ADF">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4DA39"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C4C095" w14:textId="77777777" w:rsidR="00D808B7" w:rsidRDefault="00D808B7" w:rsidP="003B2A46">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62975"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A07">
      <w:rPr>
        <w:rStyle w:val="PageNumber"/>
        <w:noProof/>
      </w:rPr>
      <w:t>173</w:t>
    </w:r>
    <w:r>
      <w:rPr>
        <w:rStyle w:val="PageNumber"/>
      </w:rPr>
      <w:fldChar w:fldCharType="end"/>
    </w:r>
  </w:p>
  <w:p w14:paraId="2A5D8101" w14:textId="77777777" w:rsidR="00D808B7" w:rsidRDefault="00D808B7">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7F116"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B892C2" w14:textId="77777777" w:rsidR="00D808B7" w:rsidRDefault="00D808B7" w:rsidP="003B2A46">
    <w:pPr>
      <w:pStyle w:val="Footer"/>
      <w:ind w:right="360"/>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22E0E"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A07">
      <w:rPr>
        <w:rStyle w:val="PageNumber"/>
        <w:noProof/>
      </w:rPr>
      <w:t>200</w:t>
    </w:r>
    <w:r>
      <w:rPr>
        <w:rStyle w:val="PageNumber"/>
      </w:rPr>
      <w:fldChar w:fldCharType="end"/>
    </w:r>
  </w:p>
  <w:p w14:paraId="1A7DCAB8" w14:textId="77777777" w:rsidR="00D808B7" w:rsidRDefault="00D808B7" w:rsidP="003B2A46">
    <w:pPr>
      <w:pStyle w:val="Footer"/>
      <w:ind w:right="360"/>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38662"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3740E2" w14:textId="77777777" w:rsidR="00D808B7" w:rsidRDefault="00D808B7" w:rsidP="003B2A46">
    <w:pPr>
      <w:pStyle w:val="Footer"/>
      <w:ind w:right="360"/>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49FD2"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A07">
      <w:rPr>
        <w:rStyle w:val="PageNumber"/>
        <w:noProof/>
      </w:rPr>
      <w:t>239</w:t>
    </w:r>
    <w:r>
      <w:rPr>
        <w:rStyle w:val="PageNumber"/>
      </w:rPr>
      <w:fldChar w:fldCharType="end"/>
    </w:r>
  </w:p>
  <w:p w14:paraId="6544125B" w14:textId="77777777" w:rsidR="00D808B7" w:rsidRDefault="00D808B7" w:rsidP="003B2A46">
    <w:pPr>
      <w:pStyle w:val="Footer"/>
      <w:ind w:right="360"/>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0669B"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1D1901" w14:textId="77777777" w:rsidR="00D808B7" w:rsidRDefault="00D808B7" w:rsidP="003B2A46">
    <w:pPr>
      <w:pStyle w:val="Footer"/>
      <w:ind w:right="360"/>
    </w:pPr>
  </w:p>
  <w:p w14:paraId="2F23DAC0" w14:textId="77777777" w:rsidR="00D808B7" w:rsidRDefault="00D808B7"/>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5F40C" w14:textId="77777777" w:rsidR="00D808B7" w:rsidRDefault="00D808B7" w:rsidP="003B2A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A07">
      <w:rPr>
        <w:rStyle w:val="PageNumber"/>
        <w:noProof/>
      </w:rPr>
      <w:t>262</w:t>
    </w:r>
    <w:r>
      <w:rPr>
        <w:rStyle w:val="PageNumber"/>
      </w:rPr>
      <w:fldChar w:fldCharType="end"/>
    </w:r>
  </w:p>
  <w:p w14:paraId="10605D9C" w14:textId="77777777" w:rsidR="00D808B7" w:rsidRDefault="00D808B7" w:rsidP="003B2A46">
    <w:pPr>
      <w:pStyle w:val="Footer"/>
      <w:ind w:right="360"/>
    </w:pPr>
  </w:p>
  <w:p w14:paraId="50594F87" w14:textId="77777777" w:rsidR="00D808B7" w:rsidRDefault="00D808B7"/>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6DF78" w14:textId="77777777" w:rsidR="00D808B7" w:rsidRDefault="00D808B7" w:rsidP="00E16769">
      <w:pPr>
        <w:spacing w:line="240" w:lineRule="auto"/>
      </w:pPr>
      <w:r>
        <w:separator/>
      </w:r>
    </w:p>
  </w:footnote>
  <w:footnote w:type="continuationSeparator" w:id="0">
    <w:p w14:paraId="14CB00B1" w14:textId="77777777" w:rsidR="00D808B7" w:rsidRDefault="00D808B7" w:rsidP="001E50E4">
      <w:pPr>
        <w:spacing w:line="240" w:lineRule="auto"/>
      </w:pPr>
      <w:r>
        <w:continuationSeparator/>
      </w:r>
    </w:p>
  </w:footnote>
  <w:footnote w:id="1">
    <w:p w14:paraId="04A2C81A" w14:textId="21FB3D3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“Idea” in the Platonic sense of “form” and “genre,” as used e.g. by Nagy 1994/5: 21 n. 54; Cavarzere-Aloni-Barchiesi 2001: ix.</w:t>
      </w:r>
    </w:p>
  </w:footnote>
  <w:footnote w:id="2">
    <w:p w14:paraId="73E32FE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Cavarzere-Aloni-Barchiesi 2001: ix.</w:t>
      </w:r>
    </w:p>
  </w:footnote>
  <w:footnote w:id="3">
    <w:p w14:paraId="5DD4DD10" w14:textId="50C52F1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Cf. Bowie 2001: 6 (postulating that </w:t>
      </w:r>
      <w:r w:rsidRPr="00B15395">
        <w:rPr>
          <w:rFonts w:cs="Times New Roman"/>
          <w:i/>
          <w:iCs/>
          <w:sz w:val="20"/>
          <w:szCs w:val="20"/>
          <w:lang w:val="en-US"/>
        </w:rPr>
        <w:t xml:space="preserve">iamboi </w:t>
      </w:r>
      <w:r w:rsidRPr="00B15395">
        <w:rPr>
          <w:rFonts w:cs="Times New Roman"/>
          <w:sz w:val="20"/>
          <w:szCs w:val="20"/>
          <w:lang w:val="en-US"/>
        </w:rPr>
        <w:t>“constituted a more loosely linked network of poetic types”) and 2002: 37 (compares the components of the iambic genre to an à la carte menu).</w:t>
      </w:r>
    </w:p>
  </w:footnote>
  <w:footnote w:id="4">
    <w:p w14:paraId="6D25945E" w14:textId="37AC2FC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Contrast the reference to Archil. fr. 20 in the 1940 LSJ entry for ἴαμβος, “iambic verse,” with the 1996 LSJ Suppl. explanation “poem written in iambic, trochaic, or epodic metre, esp. of a scurrilous or satiric nature.”</w:t>
      </w:r>
    </w:p>
  </w:footnote>
  <w:footnote w:id="5">
    <w:p w14:paraId="55B9C5D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Dover 1964: 189.</w:t>
      </w:r>
    </w:p>
  </w:footnote>
  <w:footnote w:id="6">
    <w:p w14:paraId="52E6E3E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West 1974: 25.</w:t>
      </w:r>
    </w:p>
  </w:footnote>
  <w:footnote w:id="7">
    <w:p w14:paraId="7EC0F95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Brown 1997: 48-49.</w:t>
      </w:r>
    </w:p>
  </w:footnote>
  <w:footnote w:id="8">
    <w:p w14:paraId="4C2B61B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Brown 1997: 49.</w:t>
      </w:r>
    </w:p>
  </w:footnote>
  <w:footnote w:id="9">
    <w:p w14:paraId="374F955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Bartol 1993: 32.</w:t>
      </w:r>
    </w:p>
  </w:footnote>
  <w:footnote w:id="10">
    <w:p w14:paraId="03214D3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Kantzios 2005: 4.</w:t>
      </w:r>
    </w:p>
  </w:footnote>
  <w:footnote w:id="11">
    <w:p w14:paraId="2F9B7D83"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Bowie 2001: 2-3.</w:t>
      </w:r>
    </w:p>
  </w:footnote>
  <w:footnote w:id="12">
    <w:p w14:paraId="1A6C01DF" w14:textId="294EF3A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nl-NL"/>
        </w:rPr>
        <w:tab/>
        <w:t>Cf. Kühner-Gerth, vol. II: 243-244, 288.</w:t>
      </w:r>
    </w:p>
  </w:footnote>
  <w:footnote w:id="13">
    <w:p w14:paraId="35B5ADB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Rotstein 2010: 160-163.</w:t>
      </w:r>
    </w:p>
  </w:footnote>
  <w:footnote w:id="14">
    <w:p w14:paraId="15D62983" w14:textId="2AB0590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Dover 1964: 186 n. 2, “neither ἴαμβοι nor &lt;any other&gt; enjoyment.”</w:t>
      </w:r>
    </w:p>
  </w:footnote>
  <w:footnote w:id="15">
    <w:p w14:paraId="1DA8EF64"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Fehr 1990: 185-187.</w:t>
      </w:r>
    </w:p>
  </w:footnote>
  <w:footnote w:id="16">
    <w:p w14:paraId="637048D3"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Rotstein 2010: 160 n. 35.</w:t>
      </w:r>
    </w:p>
  </w:footnote>
  <w:footnote w:id="17">
    <w:p w14:paraId="65A6B74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Fluck 1931: 66-67.</w:t>
      </w:r>
    </w:p>
  </w:footnote>
  <w:footnote w:id="18">
    <w:p w14:paraId="47D1AC2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Bartol 1992: 65-71.</w:t>
      </w:r>
    </w:p>
  </w:footnote>
  <w:footnote w:id="19">
    <w:p w14:paraId="51C55490" w14:textId="39E69BF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Rösler 1980; Pellizer 15-29; Vetta 1992: 177-218; but cf. also the qualification of Stehle 1997: 215 n. 11: “I assume a closed setting, not necessarily the standard symposium, for the preserved iambic, which has shed ritual associations.”</w:t>
      </w:r>
    </w:p>
  </w:footnote>
  <w:footnote w:id="20">
    <w:p w14:paraId="737D7981" w14:textId="20A99291" w:rsidR="00D808B7" w:rsidRPr="00750FF6" w:rsidRDefault="00D808B7" w:rsidP="00756A40">
      <w:pPr>
        <w:pStyle w:val="FootnoteText"/>
        <w:tabs>
          <w:tab w:val="clear" w:pos="425"/>
          <w:tab w:val="left" w:pos="284"/>
        </w:tabs>
        <w:spacing w:line="240" w:lineRule="auto"/>
        <w:rPr>
          <w:lang w:val="en-US"/>
        </w:rPr>
      </w:pPr>
      <w:r>
        <w:rPr>
          <w:rStyle w:val="FootnoteReference"/>
        </w:rPr>
        <w:footnoteRef/>
      </w:r>
      <w:r>
        <w:t xml:space="preserve">   Cf. Montana 2015: I 61-62. </w:t>
      </w:r>
    </w:p>
  </w:footnote>
  <w:footnote w:id="21">
    <w:p w14:paraId="19CF137B" w14:textId="6003E6E0" w:rsidR="00D808B7" w:rsidRPr="00BC3D96" w:rsidRDefault="00D808B7" w:rsidP="00756A40">
      <w:pPr>
        <w:pStyle w:val="FootnoteText"/>
        <w:spacing w:line="240" w:lineRule="auto"/>
        <w:rPr>
          <w:lang w:val="en-US"/>
        </w:rPr>
      </w:pPr>
      <w:r>
        <w:rPr>
          <w:rStyle w:val="FootnoteReference"/>
        </w:rPr>
        <w:footnoteRef/>
      </w:r>
      <w:r>
        <w:t xml:space="preserve"> </w:t>
      </w:r>
      <w:r>
        <w:rPr>
          <w:lang w:val="en-US"/>
        </w:rPr>
        <w:t xml:space="preserve">  Cf. Scodel 2010: 252-253.</w:t>
      </w:r>
    </w:p>
  </w:footnote>
  <w:footnote w:id="22">
    <w:p w14:paraId="6D994381" w14:textId="38FE229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r>
      <w:r>
        <w:rPr>
          <w:rFonts w:cs="Times New Roman"/>
          <w:sz w:val="20"/>
          <w:szCs w:val="20"/>
          <w:lang w:val="en-US"/>
        </w:rPr>
        <w:t xml:space="preserve">Quint. </w:t>
      </w:r>
      <w:r w:rsidRPr="00750FF6">
        <w:rPr>
          <w:rFonts w:cs="Times New Roman"/>
          <w:i/>
          <w:iCs/>
          <w:sz w:val="20"/>
          <w:szCs w:val="20"/>
          <w:lang w:val="en-US"/>
        </w:rPr>
        <w:t>Inst</w:t>
      </w:r>
      <w:r w:rsidRPr="00750FF6">
        <w:rPr>
          <w:rFonts w:cs="Times New Roman"/>
          <w:sz w:val="20"/>
          <w:szCs w:val="20"/>
          <w:lang w:val="en-US"/>
        </w:rPr>
        <w:t xml:space="preserve">. 10.1.59 </w:t>
      </w:r>
      <w:r w:rsidRPr="00750FF6">
        <w:rPr>
          <w:rFonts w:cs="Times New Roman"/>
          <w:i/>
          <w:iCs/>
          <w:sz w:val="20"/>
          <w:szCs w:val="20"/>
          <w:lang w:val="en-US"/>
        </w:rPr>
        <w:t xml:space="preserve">Itaque ex tribus receptis Aristarchi iudicio scriptoribus iamborum ad hexin maxime pertinebit unus </w:t>
      </w:r>
      <w:r w:rsidRPr="00750FF6">
        <w:rPr>
          <w:rFonts w:cs="Times New Roman"/>
          <w:iCs/>
          <w:sz w:val="20"/>
          <w:szCs w:val="20"/>
          <w:lang w:val="en-US"/>
        </w:rPr>
        <w:t xml:space="preserve">Archilochus; cf. </w:t>
      </w:r>
      <w:r w:rsidRPr="00D05A53">
        <w:rPr>
          <w:rFonts w:cs="Times New Roman"/>
          <w:sz w:val="20"/>
          <w:szCs w:val="20"/>
          <w:lang w:val="en-US"/>
        </w:rPr>
        <w:t xml:space="preserve">Cic. </w:t>
      </w:r>
      <w:r w:rsidRPr="00D05A53">
        <w:rPr>
          <w:rFonts w:cs="Times New Roman"/>
          <w:i/>
          <w:iCs/>
          <w:sz w:val="20"/>
          <w:szCs w:val="20"/>
          <w:lang w:val="en-US"/>
        </w:rPr>
        <w:t>Att</w:t>
      </w:r>
      <w:r w:rsidRPr="00D05A53">
        <w:rPr>
          <w:rFonts w:cs="Times New Roman"/>
          <w:sz w:val="20"/>
          <w:szCs w:val="20"/>
          <w:lang w:val="en-US"/>
        </w:rPr>
        <w:t xml:space="preserve">. 16.11.2 </w:t>
      </w:r>
      <w:r w:rsidRPr="00D05A53">
        <w:rPr>
          <w:rFonts w:cs="Times New Roman"/>
          <w:i/>
          <w:iCs/>
          <w:sz w:val="20"/>
          <w:szCs w:val="20"/>
          <w:lang w:val="en-US"/>
        </w:rPr>
        <w:t>cui ut Aristophani Archilochi iambus sic epistula longissima quaeque optima videtur</w:t>
      </w:r>
      <w:r>
        <w:rPr>
          <w:rFonts w:cs="Times New Roman"/>
          <w:sz w:val="20"/>
          <w:szCs w:val="20"/>
          <w:lang w:val="en-US"/>
        </w:rPr>
        <w:t xml:space="preserve">. See </w:t>
      </w:r>
      <w:r w:rsidRPr="00D05A53">
        <w:rPr>
          <w:rFonts w:cs="Times New Roman"/>
          <w:sz w:val="20"/>
          <w:szCs w:val="20"/>
          <w:lang w:val="en-US"/>
        </w:rPr>
        <w:t>Pfeiffer 1968: 204; Rotstein 2010: 34.</w:t>
      </w:r>
    </w:p>
  </w:footnote>
  <w:footnote w:id="23">
    <w:p w14:paraId="6F5EE634" w14:textId="42AFFD9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Evidence for the canon of iambic poetry: Choerob. </w:t>
      </w:r>
      <w:r w:rsidRPr="00B15395">
        <w:rPr>
          <w:rFonts w:cs="Times New Roman"/>
          <w:i/>
          <w:iCs/>
          <w:sz w:val="20"/>
          <w:szCs w:val="20"/>
          <w:lang w:val="en-US"/>
        </w:rPr>
        <w:t>ad Heph</w:t>
      </w:r>
      <w:r w:rsidRPr="00B15395">
        <w:rPr>
          <w:rFonts w:cs="Times New Roman"/>
          <w:sz w:val="20"/>
          <w:szCs w:val="20"/>
          <w:lang w:val="en-US"/>
        </w:rPr>
        <w:t xml:space="preserve">. 5.1 p. 227.21-22 Consbruch ἰαμβοποιοὺς δὲ καλεῖ τὸν Σιμωνίδην καὶ Ἀρχίλοχον καὶ Ἱππώνακτα; </w:t>
      </w:r>
      <w:r w:rsidRPr="00B15395">
        <w:rPr>
          <w:rFonts w:cs="Times New Roman"/>
          <w:i/>
          <w:iCs/>
          <w:sz w:val="20"/>
          <w:szCs w:val="20"/>
          <w:lang w:val="en-US"/>
        </w:rPr>
        <w:t>Schol</w:t>
      </w:r>
      <w:r w:rsidRPr="00B15395">
        <w:rPr>
          <w:rFonts w:cs="Times New Roman"/>
          <w:sz w:val="20"/>
          <w:szCs w:val="20"/>
          <w:lang w:val="en-US"/>
        </w:rPr>
        <w:t xml:space="preserve">. [A] </w:t>
      </w:r>
      <w:r w:rsidRPr="00B15395">
        <w:rPr>
          <w:rFonts w:cs="Times New Roman"/>
          <w:i/>
          <w:iCs/>
          <w:sz w:val="20"/>
          <w:szCs w:val="20"/>
          <w:lang w:val="en-US"/>
        </w:rPr>
        <w:t>Heph</w:t>
      </w:r>
      <w:r w:rsidRPr="00B15395">
        <w:rPr>
          <w:rFonts w:cs="Times New Roman"/>
          <w:sz w:val="20"/>
          <w:szCs w:val="20"/>
          <w:lang w:val="en-US"/>
        </w:rPr>
        <w:t xml:space="preserve">. p. 116.18-19 Consbruch: ἰαμβοποιοῖος· οἷον Ἀρχίλοχος ὁ Ἱππώνακτος; Cyrill. </w:t>
      </w:r>
      <w:r w:rsidRPr="00B15395">
        <w:rPr>
          <w:rFonts w:cs="Times New Roman"/>
          <w:i/>
          <w:iCs/>
          <w:sz w:val="20"/>
          <w:szCs w:val="20"/>
          <w:lang w:val="en-US"/>
        </w:rPr>
        <w:t>Lex</w:t>
      </w:r>
      <w:r w:rsidRPr="00B15395">
        <w:rPr>
          <w:rFonts w:cs="Times New Roman"/>
          <w:sz w:val="20"/>
          <w:szCs w:val="20"/>
          <w:lang w:val="en-US"/>
        </w:rPr>
        <w:t xml:space="preserve">., </w:t>
      </w:r>
      <w:r w:rsidRPr="00B15395">
        <w:rPr>
          <w:rFonts w:cs="Times New Roman"/>
          <w:i/>
          <w:iCs/>
          <w:sz w:val="20"/>
          <w:szCs w:val="20"/>
          <w:lang w:val="en-US"/>
        </w:rPr>
        <w:t>An. Par.</w:t>
      </w:r>
      <w:r w:rsidRPr="00B15395">
        <w:rPr>
          <w:rFonts w:cs="Times New Roman"/>
          <w:sz w:val="20"/>
          <w:szCs w:val="20"/>
          <w:lang w:val="en-US"/>
        </w:rPr>
        <w:t xml:space="preserve"> 4.196.16 Cramer: ἰαμβοποιοὶ γ᾽. Σιμονίδης, Ἀρχίλοχος, Ἱππώναξ; Procl. Chrestom. 7 </w:t>
      </w:r>
      <w:r w:rsidRPr="00B15395">
        <w:rPr>
          <w:rFonts w:cs="Times New Roman"/>
          <w:i/>
          <w:iCs/>
          <w:sz w:val="20"/>
          <w:szCs w:val="20"/>
          <w:lang w:val="en-US"/>
        </w:rPr>
        <w:t>ap</w:t>
      </w:r>
      <w:r w:rsidRPr="00B15395">
        <w:rPr>
          <w:rFonts w:cs="Times New Roman"/>
          <w:sz w:val="20"/>
          <w:szCs w:val="20"/>
          <w:lang w:val="en-US"/>
        </w:rPr>
        <w:t xml:space="preserve">. Phot. </w:t>
      </w:r>
      <w:r w:rsidRPr="00B15395">
        <w:rPr>
          <w:rFonts w:cs="Times New Roman"/>
          <w:i/>
          <w:iCs/>
          <w:sz w:val="20"/>
          <w:szCs w:val="20"/>
          <w:lang w:val="en-US"/>
        </w:rPr>
        <w:t>Bibl</w:t>
      </w:r>
      <w:r w:rsidRPr="00B15395">
        <w:rPr>
          <w:rFonts w:cs="Times New Roman"/>
          <w:sz w:val="20"/>
          <w:szCs w:val="20"/>
          <w:lang w:val="en-US"/>
        </w:rPr>
        <w:t>. 239.319b.27-29: Ἰάμβων δὲ ποιηταὶ Ἀρχίλοχός τε ὁ Πάριος ἄριστος καὶ Σιμωνίδης ὁ Ἀμόργιος ἤ, ὡς ἔνιοι, Σάμιος, καὶ Ἱππῶναξ ὁ Ἐφέσιος; Lucian (</w:t>
      </w:r>
      <w:r w:rsidRPr="00B15395">
        <w:rPr>
          <w:rFonts w:cs="Times New Roman"/>
          <w:i/>
          <w:iCs/>
          <w:sz w:val="20"/>
          <w:szCs w:val="20"/>
          <w:lang w:val="en-US"/>
        </w:rPr>
        <w:t>Pseudol</w:t>
      </w:r>
      <w:r w:rsidRPr="00B15395">
        <w:rPr>
          <w:rFonts w:cs="Times New Roman"/>
          <w:sz w:val="20"/>
          <w:szCs w:val="20"/>
          <w:lang w:val="en-US"/>
        </w:rPr>
        <w:t xml:space="preserve">. 2) mentions Archilochus, Simonides, and Hipponax; Philodem. </w:t>
      </w:r>
      <w:r w:rsidRPr="00B15395">
        <w:rPr>
          <w:rFonts w:cs="Times New Roman"/>
          <w:i/>
          <w:iCs/>
          <w:sz w:val="20"/>
          <w:szCs w:val="20"/>
          <w:lang w:val="en-US"/>
        </w:rPr>
        <w:t xml:space="preserve">De Poem. </w:t>
      </w:r>
      <w:r w:rsidRPr="00B15395">
        <w:rPr>
          <w:rFonts w:cs="Times New Roman"/>
          <w:sz w:val="20"/>
          <w:szCs w:val="20"/>
          <w:lang w:val="en-US"/>
        </w:rPr>
        <w:t>P.Herc</w:t>
      </w:r>
      <w:r w:rsidRPr="00B15395">
        <w:rPr>
          <w:rFonts w:cs="Times New Roman"/>
          <w:i/>
          <w:iCs/>
          <w:sz w:val="20"/>
          <w:szCs w:val="20"/>
          <w:lang w:val="en-US"/>
        </w:rPr>
        <w:t>.</w:t>
      </w:r>
      <w:r w:rsidRPr="00B15395">
        <w:rPr>
          <w:rFonts w:cs="Times New Roman"/>
          <w:sz w:val="20"/>
          <w:szCs w:val="20"/>
          <w:lang w:val="en-US"/>
        </w:rPr>
        <w:t xml:space="preserve"> 1074 col. 105.2-26 mentions Archilochus, Hipponax, and Semonides. On Aristarchus’ canon of the iambographers, see Steffen 1876: 33-34; Kröhnert 1897: 21ff., 32ff.; Pfeiffer 1968: 204; Kerkhecker 1999: 3; Rotstein 2010: 27-34.</w:t>
      </w:r>
    </w:p>
  </w:footnote>
  <w:footnote w:id="24">
    <w:p w14:paraId="221C6A89" w14:textId="24BEFC8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r>
      <w:r w:rsidRPr="00AD29B9">
        <w:rPr>
          <w:rFonts w:cs="Times New Roman"/>
          <w:sz w:val="20"/>
          <w:szCs w:val="20"/>
          <w:lang w:val="en-US"/>
        </w:rPr>
        <w:t xml:space="preserve">Cf. </w:t>
      </w:r>
      <w:r w:rsidRPr="00750FF6">
        <w:rPr>
          <w:sz w:val="20"/>
          <w:szCs w:val="20"/>
        </w:rPr>
        <w:t xml:space="preserve">Tzetz. </w:t>
      </w:r>
      <w:r w:rsidRPr="00750FF6">
        <w:rPr>
          <w:rFonts w:cs="Times New Roman"/>
          <w:i/>
          <w:iCs/>
          <w:sz w:val="20"/>
          <w:szCs w:val="20"/>
          <w:lang w:val="en-US"/>
        </w:rPr>
        <w:t>in Lyc</w:t>
      </w:r>
      <w:r w:rsidRPr="00750FF6">
        <w:rPr>
          <w:rFonts w:cs="Times New Roman"/>
          <w:sz w:val="20"/>
          <w:szCs w:val="20"/>
          <w:lang w:val="en-US"/>
        </w:rPr>
        <w:t>. ii.18 Scheer ἀριπρεπεῖς δὲ ἰαμβογράφοι Ἀνανίας, Ἀρχίλοχος, Ἱππώναξ</w:t>
      </w:r>
      <w:r w:rsidRPr="00AD29B9">
        <w:rPr>
          <w:rFonts w:cs="Times New Roman"/>
          <w:sz w:val="20"/>
          <w:szCs w:val="20"/>
          <w:lang w:val="en-US"/>
        </w:rPr>
        <w:t>; Vardi 2003: 140; Rotstein 2010: 28.</w:t>
      </w:r>
    </w:p>
  </w:footnote>
  <w:footnote w:id="25">
    <w:p w14:paraId="372FCFC1" w14:textId="04B281C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In discussing verbal and thematic connections between poets and texts</w:t>
      </w:r>
      <w:r w:rsidRPr="00B15395" w:rsidDel="00165D36">
        <w:rPr>
          <w:rFonts w:cs="Times New Roman"/>
          <w:sz w:val="20"/>
          <w:szCs w:val="20"/>
          <w:lang w:val="en-US"/>
        </w:rPr>
        <w:t xml:space="preserve"> </w:t>
      </w:r>
      <w:r w:rsidRPr="00B15395">
        <w:rPr>
          <w:rFonts w:cs="Times New Roman"/>
          <w:sz w:val="20"/>
          <w:szCs w:val="20"/>
          <w:lang w:val="en-US"/>
        </w:rPr>
        <w:t xml:space="preserve">I try to distinguish between “allusion” and “intertext.” I speak of “intertext” when a poet uses stock material which belongs to the specific literary code into which he inserts his poetry, such as </w:t>
      </w:r>
      <w:r w:rsidRPr="00B15395">
        <w:rPr>
          <w:rFonts w:cs="Times New Roman"/>
          <w:i/>
          <w:iCs/>
          <w:sz w:val="20"/>
          <w:szCs w:val="20"/>
          <w:lang w:val="en-US"/>
        </w:rPr>
        <w:t>topoi</w:t>
      </w:r>
      <w:r w:rsidRPr="00B15395">
        <w:rPr>
          <w:rFonts w:cs="Times New Roman"/>
          <w:sz w:val="20"/>
          <w:szCs w:val="20"/>
          <w:lang w:val="en-US"/>
        </w:rPr>
        <w:t>. “Allusion” I define as an intentional reference by the poet to a specific passage in another author/text. This largely corresponds to the distinctions made by Conte 1986: 32-40; cf. also Hinds 1998: 17-47.</w:t>
      </w:r>
    </w:p>
  </w:footnote>
  <w:footnote w:id="26">
    <w:p w14:paraId="4041EB9E" w14:textId="70DC34B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262</w:t>
      </w:r>
      <w:r>
        <w:rPr>
          <w:rFonts w:cs="Times New Roman"/>
          <w:sz w:val="20"/>
          <w:szCs w:val="20"/>
          <w:lang w:val="en-US"/>
        </w:rPr>
        <w:t>:</w:t>
      </w:r>
      <w:r w:rsidRPr="00B15395">
        <w:rPr>
          <w:rFonts w:cs="Times New Roman"/>
          <w:sz w:val="20"/>
          <w:szCs w:val="20"/>
          <w:lang w:val="en-US"/>
        </w:rPr>
        <w:t xml:space="preserve"> “</w:t>
      </w:r>
      <w:r>
        <w:rPr>
          <w:rFonts w:cs="Times New Roman"/>
          <w:sz w:val="20"/>
          <w:szCs w:val="20"/>
          <w:lang w:val="en-US"/>
        </w:rPr>
        <w:t>t</w:t>
      </w:r>
      <w:r w:rsidRPr="00B15395">
        <w:rPr>
          <w:rFonts w:cs="Times New Roman"/>
          <w:sz w:val="20"/>
          <w:szCs w:val="20"/>
          <w:lang w:val="en-US"/>
        </w:rPr>
        <w:t xml:space="preserve">he debt that the </w:t>
      </w:r>
      <w:r w:rsidRPr="00B15395">
        <w:rPr>
          <w:rFonts w:cs="Times New Roman"/>
          <w:i/>
          <w:iCs/>
          <w:sz w:val="20"/>
          <w:szCs w:val="20"/>
          <w:lang w:val="en-US"/>
        </w:rPr>
        <w:t>Iambi</w:t>
      </w:r>
      <w:r w:rsidRPr="00B15395">
        <w:rPr>
          <w:rFonts w:cs="Times New Roman"/>
          <w:sz w:val="20"/>
          <w:szCs w:val="20"/>
          <w:lang w:val="en-US"/>
        </w:rPr>
        <w:t xml:space="preserve"> owe Archilochus in terms of language, imagery, and theme is even less easily ascertainable than the relationship of these poems to Hipponax, and one that clearly deserves further study.”</w:t>
      </w:r>
    </w:p>
  </w:footnote>
  <w:footnote w:id="27">
    <w:p w14:paraId="652F843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e.g. Kaczko 2008: 233.</w:t>
      </w:r>
    </w:p>
  </w:footnote>
  <w:footnote w:id="28">
    <w:p w14:paraId="6AEF436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East-Ionic belongs to the wider group of Ionic-Attic dialects, together with Attic and West-Ionic (spoken in Euboea). The main distinctions between East- and West-Ionic are (from the perspective of East-Ionic): absence of </w:t>
      </w:r>
      <w:r w:rsidRPr="00B15395">
        <w:rPr>
          <w:rFonts w:cs="Times New Roman"/>
          <w:i/>
          <w:iCs/>
          <w:sz w:val="20"/>
          <w:szCs w:val="20"/>
          <w:lang w:val="en-US"/>
        </w:rPr>
        <w:t>Rückverwandlung</w:t>
      </w:r>
      <w:r w:rsidRPr="00B15395">
        <w:rPr>
          <w:rFonts w:cs="Times New Roman"/>
          <w:sz w:val="20"/>
          <w:szCs w:val="20"/>
          <w:lang w:val="en-US"/>
        </w:rPr>
        <w:t>, -σσ- instead of -ττ-, psilosis, absence of dual forms, absence of assimilation -ρσ- &gt; -ρρ-. Cf. Cassio 2008: 14-15, 27-28.</w:t>
      </w:r>
    </w:p>
  </w:footnote>
  <w:footnote w:id="29">
    <w:p w14:paraId="77F902E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e.g. Passa 2008: 103-111.</w:t>
      </w:r>
    </w:p>
  </w:footnote>
  <w:footnote w:id="30">
    <w:p w14:paraId="26F1654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9-11; Kerkhecker 1999: 18-19; Degani 1984: 49-50, 1995: 112-114; Clayman 1980: 55-56; Herter 1973: 217; Ardizzoni 1960: 5-9. </w:t>
      </w:r>
    </w:p>
  </w:footnote>
  <w:footnote w:id="31">
    <w:p w14:paraId="15C8584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Colvin 2010: 209; Hawkins 2010: 213-216; 2013: 46-58, 98-110; Kaczko 2008: 233-236.</w:t>
      </w:r>
    </w:p>
  </w:footnote>
  <w:footnote w:id="32">
    <w:p w14:paraId="41EE4CD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Cassio 2008: 83-84.</w:t>
      </w:r>
    </w:p>
  </w:footnote>
  <w:footnote w:id="33">
    <w:p w14:paraId="6602D24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Cassio 2008: 28; Sihler 1995: 219.</w:t>
      </w:r>
    </w:p>
  </w:footnote>
  <w:footnote w:id="34">
    <w:p w14:paraId="1549CD0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122, 150-151; Kerkhecker 1999: 247-249. </w:t>
      </w:r>
    </w:p>
  </w:footnote>
  <w:footnote w:id="35">
    <w:p w14:paraId="4B4B5A3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Cassio 2005: 105-136; 2008: 87-88; Horrocks 1997: 22-23; Ruijgh 1995: 1-96.</w:t>
      </w:r>
    </w:p>
  </w:footnote>
  <w:footnote w:id="36">
    <w:p w14:paraId="24D0AD33" w14:textId="0664F3F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In 107.2, Archilochus’ ὁκοίην Ζεὺς ἐπ᾽ ἐμήρην ἄγηι directly references </w:t>
      </w:r>
      <w:r w:rsidRPr="00B15395">
        <w:rPr>
          <w:rFonts w:cs="Times New Roman"/>
          <w:i/>
          <w:iCs/>
          <w:sz w:val="20"/>
          <w:szCs w:val="20"/>
          <w:lang w:val="en-US"/>
        </w:rPr>
        <w:t>Od</w:t>
      </w:r>
      <w:r w:rsidRPr="00B15395">
        <w:rPr>
          <w:rFonts w:cs="Times New Roman"/>
          <w:sz w:val="20"/>
          <w:szCs w:val="20"/>
          <w:lang w:val="en-US"/>
        </w:rPr>
        <w:t>. 18.136-137 (τοῖος γὰρ νόος ἐστὶν ἐπιχθονίων ἀνθρώπων, / οἷον ἐπ’ ἦμαρ ἄγῃσι πατὴρ ἀνδρῶν τε θεῶν τε).</w:t>
      </w:r>
    </w:p>
  </w:footnote>
  <w:footnote w:id="37">
    <w:p w14:paraId="7491405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 XXVII; Kaczko 2008: 234.</w:t>
      </w:r>
    </w:p>
  </w:footnote>
  <w:footnote w:id="38">
    <w:p w14:paraId="035F0A8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 XXVII; Kaczco 2008: 233-234; Scherer 1964: 89-107; West 1974: 138-140.</w:t>
      </w:r>
    </w:p>
  </w:footnote>
  <w:footnote w:id="39">
    <w:p w14:paraId="70238F51" w14:textId="77777777" w:rsidR="00D808B7" w:rsidRPr="00B15395" w:rsidRDefault="00D808B7" w:rsidP="00B15395">
      <w:pPr>
        <w:spacing w:line="240" w:lineRule="auto"/>
        <w:ind w:left="284" w:hanging="284"/>
        <w:rPr>
          <w:rFonts w:cs="Times New Roman"/>
          <w:sz w:val="20"/>
          <w:szCs w:val="20"/>
        </w:rPr>
      </w:pPr>
      <w:bookmarkStart w:id="1" w:name="h_gjdgxs"/>
      <w:bookmarkEnd w:id="1"/>
      <w:r w:rsidRPr="00B15395">
        <w:rPr>
          <w:rStyle w:val="FootnoteReference"/>
          <w:rFonts w:cs="Times New Roman"/>
          <w:sz w:val="20"/>
          <w:szCs w:val="20"/>
          <w:lang w:val="en-US"/>
        </w:rPr>
        <w:footnoteRef/>
      </w:r>
      <w:r w:rsidRPr="00B15395">
        <w:rPr>
          <w:rFonts w:cs="Times New Roman"/>
          <w:sz w:val="20"/>
          <w:szCs w:val="20"/>
          <w:lang w:val="en-US"/>
        </w:rPr>
        <w:tab/>
        <w:t xml:space="preserve">Note also that there are athematic </w:t>
      </w:r>
      <w:r w:rsidRPr="00B15395">
        <w:rPr>
          <w:rFonts w:cs="Times New Roman"/>
          <w:i/>
          <w:iCs/>
          <w:sz w:val="20"/>
          <w:szCs w:val="20"/>
          <w:lang w:val="en-US"/>
        </w:rPr>
        <w:t>variae lectiones</w:t>
      </w:r>
      <w:r w:rsidRPr="00B15395">
        <w:rPr>
          <w:rFonts w:cs="Times New Roman"/>
          <w:sz w:val="20"/>
          <w:szCs w:val="20"/>
          <w:lang w:val="en-US"/>
        </w:rPr>
        <w:t xml:space="preserve"> in these last two examples: περνᾶσι (38.1) and περνάς (55) &lt; πέρνημι. Cf. Degani 1991: 53-54, 76-77 (who prints the athematic forms).</w:t>
      </w:r>
    </w:p>
  </w:footnote>
  <w:footnote w:id="40">
    <w:p w14:paraId="1F3E120F" w14:textId="432F7C3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120-125; D’Alessio 1996: 635; Kerkhecker 1999: 246-249.</w:t>
      </w:r>
    </w:p>
  </w:footnote>
  <w:footnote w:id="41">
    <w:p w14:paraId="2B47983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There are occasional forms in Cyrene and Corinthian colonies; cf. Buck 1955: 89.</w:t>
      </w:r>
    </w:p>
  </w:footnote>
  <w:footnote w:id="42">
    <w:p w14:paraId="74A6B2B1"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(7).</w:t>
      </w:r>
    </w:p>
  </w:footnote>
  <w:footnote w:id="43">
    <w:p w14:paraId="3A222C28"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Kaczko 2008: 358-359.</w:t>
      </w:r>
    </w:p>
  </w:footnote>
  <w:footnote w:id="44">
    <w:p w14:paraId="4C04DE1C"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Wachter 2010: 61 n. 9.</w:t>
      </w:r>
    </w:p>
  </w:footnote>
  <w:footnote w:id="45">
    <w:p w14:paraId="71C9C15E"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Blomqvist 1993: 21.</w:t>
      </w:r>
    </w:p>
  </w:footnote>
  <w:footnote w:id="46">
    <w:p w14:paraId="640C343F"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Blomqvist</w:t>
      </w:r>
      <w:r w:rsidRPr="00B15395">
        <w:rPr>
          <w:rFonts w:cs="Times New Roman"/>
          <w:i/>
          <w:iCs/>
          <w:sz w:val="20"/>
          <w:szCs w:val="20"/>
          <w:lang w:val="nl-NL"/>
        </w:rPr>
        <w:t xml:space="preserve"> </w:t>
      </w:r>
      <w:r w:rsidRPr="00B15395">
        <w:rPr>
          <w:rFonts w:cs="Times New Roman"/>
          <w:sz w:val="20"/>
          <w:szCs w:val="20"/>
          <w:lang w:val="nl-NL"/>
        </w:rPr>
        <w:t>1993: 23.</w:t>
      </w:r>
    </w:p>
  </w:footnote>
  <w:footnote w:id="47">
    <w:p w14:paraId="433D53E4"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Blomqvist 1993: 26.</w:t>
      </w:r>
    </w:p>
  </w:footnote>
  <w:footnote w:id="48">
    <w:p w14:paraId="22C82719"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Brixhe 2010: 230.</w:t>
      </w:r>
    </w:p>
  </w:footnote>
  <w:footnote w:id="49">
    <w:p w14:paraId="589078D9"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Kaczko 2008: 237.</w:t>
      </w:r>
    </w:p>
  </w:footnote>
  <w:footnote w:id="50">
    <w:p w14:paraId="397904FC"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Hawkins 2013: 154-156.</w:t>
      </w:r>
    </w:p>
  </w:footnote>
  <w:footnote w:id="51">
    <w:p w14:paraId="72C0FD74" w14:textId="10F40D5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Hawkins 2013: 209; Taillardat 1997: 210-213. Theophrastus (</w:t>
      </w:r>
      <w:r w:rsidRPr="00B15395">
        <w:rPr>
          <w:rFonts w:cs="Times New Roman"/>
          <w:i/>
          <w:iCs/>
          <w:sz w:val="20"/>
          <w:szCs w:val="20"/>
          <w:lang w:val="en-US"/>
        </w:rPr>
        <w:t>Char</w:t>
      </w:r>
      <w:r w:rsidRPr="00B15395">
        <w:rPr>
          <w:rFonts w:cs="Times New Roman"/>
          <w:sz w:val="20"/>
          <w:szCs w:val="20"/>
          <w:lang w:val="en-US"/>
        </w:rPr>
        <w:t>. 16.4) says that a superstitious person “calls upon Sabazius, if he sees a snake in his house.” Σάβωνι is an attested by-form of the name.</w:t>
      </w:r>
    </w:p>
  </w:footnote>
  <w:footnote w:id="52">
    <w:p w14:paraId="70C8370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54.</w:t>
      </w:r>
    </w:p>
  </w:footnote>
  <w:footnote w:id="53">
    <w:p w14:paraId="4BF443B0" w14:textId="2F5B633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verb ἐσμεύω is considered onomatopoeic since Callimachus in these lines is describing Hipponax’s adversary, or adversaries, in terms of sound (especially unpleasant noise), as shown by two other onomatopoeic verbs λαλάζω (</w:t>
      </w:r>
      <w:r w:rsidRPr="00B15395">
        <w:rPr>
          <w:rFonts w:cs="Times New Roman"/>
          <w:i/>
          <w:iCs/>
          <w:sz w:val="20"/>
          <w:szCs w:val="20"/>
          <w:lang w:val="en-US"/>
        </w:rPr>
        <w:t>Ia</w:t>
      </w:r>
      <w:r w:rsidRPr="00B15395">
        <w:rPr>
          <w:rFonts w:cs="Times New Roman"/>
          <w:sz w:val="20"/>
          <w:szCs w:val="20"/>
          <w:lang w:val="en-US"/>
        </w:rPr>
        <w:t>. 1.11) “chatter,” and ψήχω (</w:t>
      </w:r>
      <w:r w:rsidRPr="00B15395">
        <w:rPr>
          <w:rFonts w:cs="Times New Roman"/>
          <w:i/>
          <w:iCs/>
          <w:sz w:val="20"/>
          <w:szCs w:val="20"/>
          <w:lang w:val="en-US"/>
        </w:rPr>
        <w:t>Ia</w:t>
      </w:r>
      <w:r w:rsidRPr="00B15395">
        <w:rPr>
          <w:rFonts w:cs="Times New Roman"/>
          <w:sz w:val="20"/>
          <w:szCs w:val="20"/>
          <w:lang w:val="en-US"/>
        </w:rPr>
        <w:t>. 1.11) “scratch.” Hipponax may also have used sound imagery in a similar way in fr. 79.11 ὡς ἔχιδνα συρίζει “hisses like a snake.” Cf. Acosta-Hughes 2002: 42.</w:t>
      </w:r>
    </w:p>
  </w:footnote>
  <w:footnote w:id="54">
    <w:p w14:paraId="74D594A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 37; Hawkins 2013: 142; Hemmerdinger 1968: 241; Muss-Arnolt 1892: 88; Nencioni 1939: 223-226.</w:t>
      </w:r>
    </w:p>
  </w:footnote>
  <w:footnote w:id="55">
    <w:p w14:paraId="40B56D3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schol. Lyc. 579 ἕρπις δὲ παρὰ τὸ ἕρποντας ποιεῖν τοὺς πίνοντας ἀμέτρως, ὅθεν καὶ Αἰγύπτιοι τὸν οἶνον ἕρπιν καλοῦσιν.</w:t>
      </w:r>
    </w:p>
  </w:footnote>
  <w:footnote w:id="56">
    <w:p w14:paraId="0B2CA696" w14:textId="1EDB925B"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For the </w:t>
      </w:r>
      <w:r w:rsidRPr="00B15395">
        <w:rPr>
          <w:rFonts w:cs="Times New Roman"/>
          <w:i/>
          <w:iCs/>
          <w:sz w:val="20"/>
          <w:szCs w:val="20"/>
          <w:lang w:val="en-US"/>
        </w:rPr>
        <w:t>varia lectio</w:t>
      </w:r>
      <w:r w:rsidRPr="00B15395">
        <w:rPr>
          <w:rFonts w:cs="Times New Roman"/>
          <w:sz w:val="20"/>
          <w:szCs w:val="20"/>
          <w:lang w:val="en-US"/>
        </w:rPr>
        <w:t xml:space="preserve"> λαλάζων / ἀλαζών in Call. </w:t>
      </w:r>
      <w:r w:rsidRPr="00B15395">
        <w:rPr>
          <w:rFonts w:cs="Times New Roman"/>
          <w:i/>
          <w:iCs/>
          <w:sz w:val="20"/>
          <w:szCs w:val="20"/>
          <w:lang w:val="en-US"/>
        </w:rPr>
        <w:t>Ia</w:t>
      </w:r>
      <w:r w:rsidRPr="00B15395">
        <w:rPr>
          <w:rFonts w:cs="Times New Roman"/>
          <w:sz w:val="20"/>
          <w:szCs w:val="20"/>
          <w:lang w:val="en-US"/>
        </w:rPr>
        <w:t xml:space="preserve">. 1.11, cf. Acosta-Hughes 2002: 22; D’Alessio 1996: 580; Kerkhecker 1999: 24. </w:t>
      </w:r>
    </w:p>
  </w:footnote>
  <w:footnote w:id="57">
    <w:p w14:paraId="6148217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Jackendoff 1997; Scalise and Bisetto 2009: 34.</w:t>
      </w:r>
    </w:p>
  </w:footnote>
  <w:footnote w:id="58">
    <w:p w14:paraId="27381E0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interpretation of this compound word is problematic, cf. LSJ</w:t>
      </w:r>
      <w:r w:rsidRPr="00B15395">
        <w:rPr>
          <w:rFonts w:cs="Times New Roman"/>
          <w:sz w:val="20"/>
          <w:szCs w:val="20"/>
          <w:vertAlign w:val="superscript"/>
          <w:lang w:val="en-US"/>
        </w:rPr>
        <w:t>9</w:t>
      </w:r>
      <w:r w:rsidRPr="00B15395">
        <w:rPr>
          <w:rFonts w:cs="Times New Roman"/>
          <w:sz w:val="20"/>
          <w:szCs w:val="20"/>
          <w:lang w:val="en-US"/>
        </w:rPr>
        <w:t xml:space="preserve"> </w:t>
      </w:r>
      <w:r w:rsidRPr="00B15395">
        <w:rPr>
          <w:rFonts w:cs="Times New Roman"/>
          <w:i/>
          <w:iCs/>
          <w:sz w:val="20"/>
          <w:szCs w:val="20"/>
          <w:lang w:val="en-US"/>
        </w:rPr>
        <w:t>s.v.</w:t>
      </w:r>
      <w:r w:rsidRPr="00B15395">
        <w:rPr>
          <w:rFonts w:cs="Times New Roman"/>
          <w:sz w:val="20"/>
          <w:szCs w:val="20"/>
          <w:lang w:val="en-US"/>
        </w:rPr>
        <w:t xml:space="preserve"> σαρκάζω; Sommerstein 1984: 51; Gerber 1999: 487; Hawkins 2013: 120. It is debated whether it even existed or is rather a corruption in the scholion to Ar. </w:t>
      </w:r>
      <w:r w:rsidRPr="00B15395">
        <w:rPr>
          <w:rFonts w:cs="Times New Roman"/>
          <w:i/>
          <w:iCs/>
          <w:sz w:val="20"/>
          <w:szCs w:val="20"/>
          <w:lang w:val="en-US"/>
        </w:rPr>
        <w:t>Pax</w:t>
      </w:r>
      <w:r w:rsidRPr="00B15395">
        <w:rPr>
          <w:rFonts w:cs="Times New Roman"/>
          <w:sz w:val="20"/>
          <w:szCs w:val="20"/>
          <w:lang w:val="en-US"/>
        </w:rPr>
        <w:t xml:space="preserve"> 482-483, where the phrase σαρκοκύων λιμόν is attributed to Hipponax; cf. Degani 1991: 146-147; Sousa Medeiros 1969: 67-68.</w:t>
      </w:r>
    </w:p>
  </w:footnote>
  <w:footnote w:id="59">
    <w:p w14:paraId="2EE3F56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Scalise and Bisetto 2009: 35-36.</w:t>
      </w:r>
    </w:p>
  </w:footnote>
  <w:footnote w:id="60">
    <w:p w14:paraId="7A4AB04E" w14:textId="2277B8F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This explanation is given in a marginal scholion to Tzetzes, perhaps, written by Tzetzes’ own hand, according to Masson 1968. For similar words, cf. χαυνόπρωκτος (Ar. </w:t>
      </w:r>
      <w:r w:rsidRPr="00B15395">
        <w:rPr>
          <w:rFonts w:cs="Times New Roman"/>
          <w:i/>
          <w:iCs/>
          <w:sz w:val="20"/>
          <w:szCs w:val="20"/>
          <w:lang w:val="en-US"/>
        </w:rPr>
        <w:t>Ach</w:t>
      </w:r>
      <w:r w:rsidRPr="00B15395">
        <w:rPr>
          <w:rFonts w:cs="Times New Roman"/>
          <w:sz w:val="20"/>
          <w:szCs w:val="20"/>
          <w:lang w:val="en-US"/>
        </w:rPr>
        <w:t>. 104); διθυραμβοχάνα (</w:t>
      </w:r>
      <w:r w:rsidRPr="00B15395">
        <w:rPr>
          <w:rFonts w:cs="Times New Roman"/>
          <w:i/>
          <w:iCs/>
          <w:sz w:val="20"/>
          <w:szCs w:val="20"/>
          <w:lang w:val="en-US"/>
        </w:rPr>
        <w:t>AP</w:t>
      </w:r>
      <w:r w:rsidRPr="00B15395">
        <w:rPr>
          <w:rFonts w:cs="Times New Roman"/>
          <w:sz w:val="20"/>
          <w:szCs w:val="20"/>
          <w:lang w:val="en-US"/>
        </w:rPr>
        <w:t xml:space="preserve"> 13.21.6 [Theodoridas]).</w:t>
      </w:r>
    </w:p>
  </w:footnote>
  <w:footnote w:id="61">
    <w:p w14:paraId="1E5AA7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Kavka 2009: 19-33.</w:t>
      </w:r>
    </w:p>
  </w:footnote>
  <w:footnote w:id="62">
    <w:p w14:paraId="16D8F3C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Kavka 2009: 27.</w:t>
      </w:r>
    </w:p>
  </w:footnote>
  <w:footnote w:id="63">
    <w:p w14:paraId="1C0CF30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Jackendoff 2009: 72.</w:t>
      </w:r>
    </w:p>
  </w:footnote>
  <w:footnote w:id="64">
    <w:p w14:paraId="37D5512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Gerber 1999: 195.</w:t>
      </w:r>
    </w:p>
  </w:footnote>
  <w:footnote w:id="65">
    <w:p w14:paraId="0D9722AF" w14:textId="450B472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Based on Hipponax’s ποντοχάρυβδις, Cratinus coins γαστροχάρυβδις “having a Charybdis for a belly” (428 K-A) and the compound ποντοφάρυξ “sea-throat” occurs in the </w:t>
      </w:r>
      <w:r w:rsidRPr="00B15395">
        <w:rPr>
          <w:rFonts w:cs="Times New Roman"/>
          <w:i/>
          <w:iCs/>
          <w:sz w:val="20"/>
          <w:szCs w:val="20"/>
          <w:lang w:val="en-US"/>
        </w:rPr>
        <w:t>Comica Adespota</w:t>
      </w:r>
      <w:r w:rsidRPr="00B15395">
        <w:rPr>
          <w:rFonts w:cs="Times New Roman"/>
          <w:sz w:val="20"/>
          <w:szCs w:val="20"/>
          <w:lang w:val="en-US"/>
        </w:rPr>
        <w:t xml:space="preserve"> (645 PCG). Both the expressions describe a glutton, and this attests that Hipponax’s ποντοχάρυβδις was interpreted as a comic and hyperbolic synonymous of the word “glutton.” Cf. Degani 1991: 129, 1973/4: 152; Hawkins 2013: 116.</w:t>
      </w:r>
    </w:p>
  </w:footnote>
  <w:footnote w:id="66">
    <w:p w14:paraId="7A1A3B0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basic definitions of these terms, cf. Fernando 1996: 250.</w:t>
      </w:r>
    </w:p>
  </w:footnote>
  <w:footnote w:id="67">
    <w:p w14:paraId="5B58A41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Kavka 2009: 24</w:t>
      </w:r>
    </w:p>
  </w:footnote>
  <w:footnote w:id="68">
    <w:p w14:paraId="7A865EA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Conte 1986: 35.</w:t>
      </w:r>
    </w:p>
  </w:footnote>
  <w:footnote w:id="69">
    <w:p w14:paraId="0FEA29A7" w14:textId="25B2C59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Similar to γαστερόχειρ and ἐγχειρογάστωρ, both meaning “manual labourer” and referred to the Cyclops by Eusth.</w:t>
      </w:r>
      <w:r w:rsidRPr="00B15395">
        <w:rPr>
          <w:rFonts w:cs="Times New Roman"/>
          <w:i/>
          <w:iCs/>
          <w:sz w:val="20"/>
          <w:szCs w:val="20"/>
          <w:lang w:val="en-US"/>
        </w:rPr>
        <w:t xml:space="preserve"> ad Od</w:t>
      </w:r>
      <w:r w:rsidRPr="00B15395">
        <w:rPr>
          <w:rFonts w:cs="Times New Roman"/>
          <w:sz w:val="20"/>
          <w:szCs w:val="20"/>
          <w:lang w:val="en-US"/>
        </w:rPr>
        <w:t>. 1.332.19.</w:t>
      </w:r>
    </w:p>
  </w:footnote>
  <w:footnote w:id="70">
    <w:p w14:paraId="254C9E3F"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Degani 1984: 187-205; Gerber 1999: 459; Katz and Volk 2000: 124; Hawkins 2013: 118.</w:t>
      </w:r>
    </w:p>
  </w:footnote>
  <w:footnote w:id="71">
    <w:p w14:paraId="075FA1A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Masson 1962: 169; Risch 1949: 27 n. 2; West 1989: 158</w:t>
      </w:r>
    </w:p>
  </w:footnote>
  <w:footnote w:id="72">
    <w:p w14:paraId="7AC9DB3C" w14:textId="19254B0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It is worth noting that Archilochus’ and Hipponax’s compounds with πολυ- as first member are all compounds which have already occurred in the Greek literary tradition (in particular in the epic) before their use by the two iambographers. </w:t>
      </w:r>
    </w:p>
  </w:footnote>
  <w:footnote w:id="73">
    <w:p w14:paraId="2CEC7CE4" w14:textId="59EF221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the translation of Ἴανος as “Greek,” cf. Mazzarino 1947: 103-163.</w:t>
      </w:r>
    </w:p>
  </w:footnote>
  <w:footnote w:id="74">
    <w:p w14:paraId="0780067B" w14:textId="5B71A9C1"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the scholia to Ar. </w:t>
      </w:r>
      <w:r w:rsidRPr="00B15395">
        <w:rPr>
          <w:rFonts w:cs="Times New Roman"/>
          <w:i/>
          <w:iCs/>
          <w:sz w:val="20"/>
          <w:szCs w:val="20"/>
          <w:lang w:val="en-US"/>
        </w:rPr>
        <w:t>Birds</w:t>
      </w:r>
      <w:r w:rsidRPr="00B15395">
        <w:rPr>
          <w:rFonts w:cs="Times New Roman"/>
          <w:sz w:val="20"/>
          <w:szCs w:val="20"/>
          <w:lang w:val="en-US"/>
        </w:rPr>
        <w:t xml:space="preserve"> 872a, which quote Call. </w:t>
      </w:r>
      <w:r w:rsidRPr="00B15395">
        <w:rPr>
          <w:rFonts w:cs="Times New Roman"/>
          <w:i/>
          <w:iCs/>
          <w:sz w:val="20"/>
          <w:szCs w:val="20"/>
          <w:lang w:val="en-US"/>
        </w:rPr>
        <w:t>Ia</w:t>
      </w:r>
      <w:r w:rsidRPr="00B15395">
        <w:rPr>
          <w:rFonts w:cs="Times New Roman"/>
          <w:sz w:val="20"/>
          <w:szCs w:val="20"/>
          <w:lang w:val="en-US"/>
        </w:rPr>
        <w:t>. 10b.</w:t>
      </w:r>
    </w:p>
  </w:footnote>
  <w:footnote w:id="75">
    <w:p w14:paraId="5585536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Call. </w:t>
      </w:r>
      <w:r w:rsidRPr="00B15395">
        <w:rPr>
          <w:rFonts w:cs="Times New Roman"/>
          <w:i/>
          <w:iCs/>
          <w:sz w:val="20"/>
          <w:szCs w:val="20"/>
          <w:lang w:val="en-US"/>
        </w:rPr>
        <w:t>h. Dian</w:t>
      </w:r>
      <w:r w:rsidRPr="00B15395">
        <w:rPr>
          <w:rFonts w:cs="Times New Roman"/>
          <w:sz w:val="20"/>
          <w:szCs w:val="20"/>
          <w:lang w:val="en-US"/>
        </w:rPr>
        <w:t>. 188, 228; Paus. 9.19.7.</w:t>
      </w:r>
    </w:p>
  </w:footnote>
  <w:footnote w:id="76">
    <w:p w14:paraId="76DCA101" w14:textId="59AB907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D’Alessio 1996: 632 n. 126.</w:t>
      </w:r>
    </w:p>
  </w:footnote>
  <w:footnote w:id="77">
    <w:p w14:paraId="09198B5E" w14:textId="4F2A417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These victims are ἀνάπηρα “mutilated” (Pl. </w:t>
      </w:r>
      <w:r w:rsidRPr="00B15395">
        <w:rPr>
          <w:rFonts w:cs="Times New Roman"/>
          <w:i/>
          <w:iCs/>
          <w:sz w:val="20"/>
          <w:szCs w:val="20"/>
          <w:lang w:val="en-US"/>
        </w:rPr>
        <w:t>Alc</w:t>
      </w:r>
      <w:r w:rsidRPr="00B15395">
        <w:rPr>
          <w:rFonts w:cs="Times New Roman"/>
          <w:sz w:val="20"/>
          <w:szCs w:val="20"/>
          <w:lang w:val="en-US"/>
        </w:rPr>
        <w:t>. 2.149a), and therefore unfit for sacrifice. Kerkhecker 1999: 210.</w:t>
      </w:r>
    </w:p>
  </w:footnote>
  <w:footnote w:id="78">
    <w:p w14:paraId="34044D1F" w14:textId="0E3F813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ἡλιοπλήξ is an insult which the laurel tree launches at the olive. It means “sunburnt” and refers to the fact that olive leaves are dark green, just as Aeschylus’ ἡλιόκτυπος refers to the Egyptian supplicant girls due to their dark complexion. However, Callimachus’ ἡλιοπλήξ conveys a derogative connotation which Aeschylus’ compound has not, but which clearly stands out in Hipponax’s διοπλήξ.</w:t>
      </w:r>
    </w:p>
  </w:footnote>
  <w:footnote w:id="79">
    <w:p w14:paraId="2A09B770" w14:textId="080DFA61"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Powell’s comments on this fragment.</w:t>
      </w:r>
    </w:p>
  </w:footnote>
  <w:footnote w:id="80">
    <w:p w14:paraId="51CF0626" w14:textId="4BF0320E"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composition of χαλίκρητος has been problematic and still remains problematic. Indeed, Beekes (2010: 1610) explains it as a compound of the noun χάλις “unblended wine” and the verb κεράννυμι “blend.” However, the noun χάλις occurs only in Hipponax (fr. 119) and in a Cyrenaic epigraphy (1</w:t>
      </w:r>
      <w:r w:rsidRPr="00B15395">
        <w:rPr>
          <w:rFonts w:cs="Times New Roman"/>
          <w:sz w:val="20"/>
          <w:szCs w:val="20"/>
          <w:vertAlign w:val="superscript"/>
          <w:lang w:val="en-US"/>
        </w:rPr>
        <w:t>st</w:t>
      </w:r>
      <w:r w:rsidRPr="00B15395">
        <w:rPr>
          <w:rFonts w:cs="Times New Roman"/>
          <w:sz w:val="20"/>
          <w:szCs w:val="20"/>
          <w:lang w:val="en-US"/>
        </w:rPr>
        <w:t xml:space="preserve"> century A.D.). Furthermore, χαλίκρητος has the same structure of χαλίφρων, which is a compound of the verb χαλάω “loosen” and the noun φρήν “mind.” I suggest that the literal meaning of the compound χαλίφρων “with loosened mind” crystallises in the metaphoric meaning “mindless”; hence, χαλίκρητος has the meaning of “unmixed,” becoming a synonymous of ἄκρατος, a shown by a scholion to Ap. Rh. </w:t>
      </w:r>
      <w:r w:rsidRPr="00B15395">
        <w:rPr>
          <w:rFonts w:cs="Times New Roman"/>
          <w:i/>
          <w:iCs/>
          <w:sz w:val="20"/>
          <w:szCs w:val="20"/>
          <w:lang w:val="en-US"/>
        </w:rPr>
        <w:t>Argon</w:t>
      </w:r>
      <w:r w:rsidRPr="00B15395">
        <w:rPr>
          <w:rFonts w:cs="Times New Roman"/>
          <w:sz w:val="20"/>
          <w:szCs w:val="20"/>
          <w:lang w:val="en-US"/>
        </w:rPr>
        <w:t>. 1.473: ‘χαλίκρητον’· τὸν ἄκρατον, τὸν χαλῶντα τὰς φρένας. The compound is always associated with a noun for “wine”: Archilocus (fr. 119.1) says χαλίκρητον μέθυ, Aeschylus (fr. 480.1 Radt) says σπονδαὶ χαλίκρηται, Apollonius of Rhodes (1.473) says χαλίκρητον […] μέθυ. But Hipponax (fr. 119) states that ὀλίγα φρονέουσιν οἱ χάλιν πεπωκότες “those who drink wine have few wits about them,” where χάλις means “wine,” and it is presumably a very potent wine, perhaps from Thrace. Hipponax’s statement clearly alludes to Homeric χαλίφρων, since the use of the verb φρονέω. It would be possible that Archilochus’ χαλίκρητος, too, comes from χάλις and κεράννυμι; however, the word χάλις seems unknown to the Greek speakers. It is more likely that Hipponax knows the term χάλις, living in a bilingual geographical context; and he plays with the Homeric χαλίφρων. However, it is not impossible that χαλίκρητον as synonymous of ἄκρατον is a folk-etymology created by those Greek speakers who did not know anymore the word χάλις, while Archilochus knows χάλις and puts it in the compound χαλίκρητος, playing with the Homeric χαλίφρων: in this case, we cannot know whether Archilochus was aware or not of giving birth to a para-etymology.</w:t>
      </w:r>
    </w:p>
  </w:footnote>
  <w:footnote w:id="81">
    <w:p w14:paraId="0E2BBE1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connecting vowel is usually /o/ or long a /ā/, depending on the basis of the suffix vowel of the noun: i.e. λογογράφος, δικηφόρος. However, for metrical reasons, sometimes the vowels of connection were inverted: see ὑλοτόμος from ὕλη (</w:t>
      </w:r>
      <w:r w:rsidRPr="00B15395">
        <w:rPr>
          <w:rFonts w:cs="Times New Roman"/>
          <w:i/>
          <w:iCs/>
          <w:sz w:val="20"/>
          <w:szCs w:val="20"/>
          <w:lang w:val="en-US"/>
        </w:rPr>
        <w:t>Il</w:t>
      </w:r>
      <w:r w:rsidRPr="00B15395">
        <w:rPr>
          <w:rFonts w:cs="Times New Roman"/>
          <w:sz w:val="20"/>
          <w:szCs w:val="20"/>
          <w:lang w:val="en-US"/>
        </w:rPr>
        <w:t>. 23.114) or ἐλαφηβόλος (</w:t>
      </w:r>
      <w:r w:rsidRPr="00B15395">
        <w:rPr>
          <w:rFonts w:cs="Times New Roman"/>
          <w:i/>
          <w:iCs/>
          <w:sz w:val="20"/>
          <w:szCs w:val="20"/>
          <w:lang w:val="en-US"/>
        </w:rPr>
        <w:t>Il.</w:t>
      </w:r>
      <w:r w:rsidRPr="00B15395">
        <w:rPr>
          <w:rFonts w:cs="Times New Roman"/>
          <w:sz w:val="20"/>
          <w:szCs w:val="20"/>
          <w:lang w:val="en-US"/>
        </w:rPr>
        <w:t xml:space="preserve"> 17.319) from ἔλαφος. The latter kind, namely the substitution from -ο- to -η-, avoids the sequence of three short vowels which does not fit the hexameter.</w:t>
      </w:r>
    </w:p>
  </w:footnote>
  <w:footnote w:id="82">
    <w:p w14:paraId="3F2758F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fr. 107.13, 17, 19, 22.</w:t>
      </w:r>
    </w:p>
  </w:footnote>
  <w:footnote w:id="83">
    <w:p w14:paraId="0568D61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Stump 2006: 278.</w:t>
      </w:r>
    </w:p>
  </w:footnote>
  <w:footnote w:id="84">
    <w:p w14:paraId="21EA859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Stump 2002: 147-180; 2006: 284-293.</w:t>
      </w:r>
    </w:p>
  </w:footnote>
  <w:footnote w:id="85">
    <w:p w14:paraId="3D143CD6" w14:textId="4D0AB41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Maiden 2009: 59-86; Stump 2006: 290-291.</w:t>
      </w:r>
    </w:p>
  </w:footnote>
  <w:footnote w:id="86">
    <w:p w14:paraId="4C6EBA0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Maybe this third-declension neuter form is already in Alc. </w:t>
      </w:r>
      <w:r w:rsidRPr="00B15395">
        <w:rPr>
          <w:rFonts w:cs="Times New Roman"/>
          <w:i/>
          <w:iCs/>
          <w:sz w:val="20"/>
          <w:szCs w:val="20"/>
          <w:lang w:val="en-US"/>
        </w:rPr>
        <w:t>Suppl</w:t>
      </w:r>
      <w:r w:rsidRPr="00B15395">
        <w:rPr>
          <w:rFonts w:cs="Times New Roman"/>
          <w:sz w:val="20"/>
          <w:szCs w:val="20"/>
          <w:lang w:val="en-US"/>
        </w:rPr>
        <w:t xml:space="preserve">. 18.2, but the </w:t>
      </w:r>
      <w:r w:rsidRPr="00B15395">
        <w:rPr>
          <w:rFonts w:cs="Times New Roman"/>
          <w:i/>
          <w:iCs/>
          <w:sz w:val="20"/>
          <w:szCs w:val="20"/>
          <w:lang w:val="en-US"/>
        </w:rPr>
        <w:t>lectio</w:t>
      </w:r>
      <w:r w:rsidRPr="00B15395">
        <w:rPr>
          <w:rFonts w:cs="Times New Roman"/>
          <w:sz w:val="20"/>
          <w:szCs w:val="20"/>
          <w:lang w:val="en-US"/>
        </w:rPr>
        <w:t xml:space="preserve"> is </w:t>
      </w:r>
      <w:r w:rsidRPr="00B15395">
        <w:rPr>
          <w:rFonts w:cs="Times New Roman"/>
          <w:i/>
          <w:iCs/>
          <w:sz w:val="20"/>
          <w:szCs w:val="20"/>
          <w:lang w:val="en-US"/>
        </w:rPr>
        <w:t>dubia</w:t>
      </w:r>
      <w:r w:rsidRPr="00B15395">
        <w:rPr>
          <w:rFonts w:cs="Times New Roman"/>
          <w:sz w:val="20"/>
          <w:szCs w:val="20"/>
          <w:lang w:val="en-US"/>
        </w:rPr>
        <w:t xml:space="preserve">. </w:t>
      </w:r>
    </w:p>
  </w:footnote>
  <w:footnote w:id="87">
    <w:p w14:paraId="4EE47C88" w14:textId="7789F88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Both the references to this Archilochus’ fragment cite the word with the accent of the /ε/: Clem. Alex., </w:t>
      </w:r>
      <w:r w:rsidRPr="00B15395">
        <w:rPr>
          <w:rFonts w:cs="Times New Roman"/>
          <w:i/>
          <w:iCs/>
          <w:sz w:val="20"/>
          <w:szCs w:val="20"/>
          <w:lang w:val="en-US"/>
        </w:rPr>
        <w:t>Strom</w:t>
      </w:r>
      <w:r w:rsidRPr="00B15395">
        <w:rPr>
          <w:rFonts w:cs="Times New Roman"/>
          <w:sz w:val="20"/>
          <w:szCs w:val="20"/>
          <w:lang w:val="en-US"/>
        </w:rPr>
        <w:t xml:space="preserve">. 5.14.127 quotes καὶ ἃ θέμις and Stob. 1.3 καθέμιστας. Liebel in his edition amended the passage with the oxytone adjective θεμιστά. But it is not unlike the reading θέμισθτα as heteroclite plural of θέμις. </w:t>
      </w:r>
      <w:r w:rsidRPr="00B15395">
        <w:rPr>
          <w:rFonts w:cs="Times New Roman"/>
          <w:sz w:val="20"/>
          <w:szCs w:val="20"/>
          <w:shd w:val="solid" w:color="FFFF00" w:fill="FFFF00"/>
          <w:lang w:val="en-US"/>
        </w:rPr>
        <w:t xml:space="preserve"> </w:t>
      </w:r>
    </w:p>
  </w:footnote>
  <w:footnote w:id="88">
    <w:p w14:paraId="26B1F380"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Ebeling 1885: 558; Kirk 1990: 137; LSJ</w:t>
      </w:r>
      <w:r w:rsidRPr="00B15395">
        <w:rPr>
          <w:rFonts w:cs="Times New Roman"/>
          <w:sz w:val="20"/>
          <w:szCs w:val="20"/>
          <w:vertAlign w:val="superscript"/>
          <w:lang w:val="nl-NL"/>
        </w:rPr>
        <w:t>9</w:t>
      </w:r>
      <w:r w:rsidRPr="00B15395">
        <w:rPr>
          <w:rFonts w:cs="Times New Roman"/>
          <w:sz w:val="20"/>
          <w:szCs w:val="20"/>
          <w:lang w:val="nl-NL"/>
        </w:rPr>
        <w:t>: 789.</w:t>
      </w:r>
    </w:p>
  </w:footnote>
  <w:footnote w:id="89">
    <w:p w14:paraId="123E6976"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Janse 2001: 475-476, 2004: 6-7; Karatsareas 2007: 51-56.</w:t>
      </w:r>
    </w:p>
  </w:footnote>
  <w:footnote w:id="90">
    <w:p w14:paraId="7F6093A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Bellocchi 2008: 276.</w:t>
      </w:r>
    </w:p>
  </w:footnote>
  <w:footnote w:id="91">
    <w:p w14:paraId="370C776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Long 1968: 40-46; Peppler 1916: 459-460 with statistics (Aeschylus 218; Sophocles 188; Euripides 302).</w:t>
      </w:r>
    </w:p>
  </w:footnote>
  <w:footnote w:id="92">
    <w:p w14:paraId="744E9F2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Stevens 1937: 190-191; Collard 2005: 350-386.</w:t>
      </w:r>
    </w:p>
  </w:footnote>
  <w:footnote w:id="93">
    <w:p w14:paraId="073DC15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Willi 2003: 137.</w:t>
      </w:r>
    </w:p>
  </w:footnote>
  <w:footnote w:id="94">
    <w:p w14:paraId="672E01FC" w14:textId="544C853E"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only other lexeme with δια_μα in Aristophanes is Agathon’s διανεύματα “nods” (</w:t>
      </w:r>
      <w:r w:rsidRPr="00B15395">
        <w:rPr>
          <w:rFonts w:cs="Times New Roman"/>
          <w:i/>
          <w:iCs/>
          <w:sz w:val="20"/>
          <w:szCs w:val="20"/>
          <w:lang w:val="en-US"/>
        </w:rPr>
        <w:t>Thesm</w:t>
      </w:r>
      <w:r w:rsidRPr="00B15395">
        <w:rPr>
          <w:rFonts w:cs="Times New Roman"/>
          <w:sz w:val="20"/>
          <w:szCs w:val="20"/>
          <w:lang w:val="en-US"/>
        </w:rPr>
        <w:t>. 122). Cf. Willi 2003: 137 n. 44.</w:t>
      </w:r>
    </w:p>
  </w:footnote>
  <w:footnote w:id="95">
    <w:p w14:paraId="6B0F1E4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Dover 1976: 367.</w:t>
      </w:r>
    </w:p>
  </w:footnote>
  <w:footnote w:id="96">
    <w:p w14:paraId="3E095BB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Ferri and Probert 2010: 35 n. 42.</w:t>
      </w:r>
    </w:p>
  </w:footnote>
  <w:footnote w:id="97">
    <w:p w14:paraId="080F5D5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Chahoud 2010: 63.</w:t>
      </w:r>
    </w:p>
  </w:footnote>
  <w:footnote w:id="98">
    <w:p w14:paraId="507B688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Thomas 2010: 257.</w:t>
      </w:r>
    </w:p>
  </w:footnote>
  <w:footnote w:id="99">
    <w:p w14:paraId="2965F22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Kay 2010: 329.</w:t>
      </w:r>
    </w:p>
  </w:footnote>
  <w:footnote w:id="100">
    <w:p w14:paraId="4D31D52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instance, cf. Hippon. frs. 55; 57; 129b.</w:t>
      </w:r>
    </w:p>
  </w:footnote>
  <w:footnote w:id="101">
    <w:p w14:paraId="0BCA10A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Reece 2009: 7.</w:t>
      </w:r>
    </w:p>
  </w:footnote>
  <w:footnote w:id="102">
    <w:p w14:paraId="61EDC35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Reece 2011: 330.</w:t>
      </w:r>
    </w:p>
  </w:footnote>
  <w:footnote w:id="103">
    <w:p w14:paraId="796ABC6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Antoninus Liberalis, </w:t>
      </w:r>
      <w:r w:rsidRPr="00B15395">
        <w:rPr>
          <w:rFonts w:cs="Times New Roman"/>
          <w:i/>
          <w:iCs/>
          <w:sz w:val="20"/>
          <w:szCs w:val="20"/>
          <w:lang w:val="en-US"/>
        </w:rPr>
        <w:t>Met. Syn.</w:t>
      </w:r>
      <w:r w:rsidRPr="00B15395">
        <w:rPr>
          <w:rFonts w:cs="Times New Roman"/>
          <w:sz w:val="20"/>
          <w:szCs w:val="20"/>
          <w:lang w:val="en-US"/>
        </w:rPr>
        <w:t xml:space="preserve"> 22.</w:t>
      </w:r>
    </w:p>
  </w:footnote>
  <w:footnote w:id="104">
    <w:p w14:paraId="0ECBEF8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Chantraine 1974: 125-128.</w:t>
      </w:r>
    </w:p>
  </w:footnote>
  <w:footnote w:id="105">
    <w:p w14:paraId="39E5D395" w14:textId="365ABB3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It is suggestive that in Callimachus’ </w:t>
      </w:r>
      <w:r w:rsidRPr="00B15395">
        <w:rPr>
          <w:rFonts w:cs="Times New Roman"/>
          <w:i/>
          <w:iCs/>
          <w:sz w:val="20"/>
          <w:szCs w:val="20"/>
          <w:lang w:val="en-US"/>
        </w:rPr>
        <w:t>Iambi</w:t>
      </w:r>
      <w:r w:rsidRPr="00B15395">
        <w:rPr>
          <w:rFonts w:cs="Times New Roman"/>
          <w:sz w:val="20"/>
          <w:szCs w:val="20"/>
          <w:lang w:val="en-US"/>
        </w:rPr>
        <w:t xml:space="preserve"> we find the writing materials among the every objects which iambic texts describe: indeed, Callimachus considers the text itself as material object (cf. </w:t>
      </w:r>
      <w:r w:rsidRPr="00B15395">
        <w:rPr>
          <w:rFonts w:cs="Times New Roman"/>
          <w:i/>
          <w:iCs/>
          <w:sz w:val="20"/>
          <w:szCs w:val="20"/>
          <w:lang w:val="en-US"/>
        </w:rPr>
        <w:t>Ia.</w:t>
      </w:r>
      <w:r w:rsidRPr="00B15395">
        <w:rPr>
          <w:rFonts w:cs="Times New Roman"/>
          <w:sz w:val="20"/>
          <w:szCs w:val="20"/>
          <w:lang w:val="en-US"/>
        </w:rPr>
        <w:t xml:space="preserve"> 1.11, 57-61; </w:t>
      </w:r>
      <w:r w:rsidRPr="00B15395">
        <w:rPr>
          <w:rFonts w:cs="Times New Roman"/>
          <w:i/>
          <w:iCs/>
          <w:sz w:val="20"/>
          <w:szCs w:val="20"/>
          <w:lang w:val="en-US"/>
        </w:rPr>
        <w:t>Ia.</w:t>
      </w:r>
      <w:r w:rsidRPr="00B15395">
        <w:rPr>
          <w:rFonts w:cs="Times New Roman"/>
          <w:sz w:val="20"/>
          <w:szCs w:val="20"/>
          <w:lang w:val="en-US"/>
        </w:rPr>
        <w:t xml:space="preserve"> 5.3).</w:t>
      </w:r>
    </w:p>
  </w:footnote>
  <w:footnote w:id="106">
    <w:p w14:paraId="13DAC50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Wilkins 2000: 12-36.</w:t>
      </w:r>
    </w:p>
  </w:footnote>
  <w:footnote w:id="107">
    <w:p w14:paraId="4AC499F8" w14:textId="637B60A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Archil. frs. 87; 219; Hippon. frs. 36.5; 52 (συκῆ “fig tree”); 219.2, 3; Call. </w:t>
      </w:r>
      <w:r w:rsidRPr="00B15395">
        <w:rPr>
          <w:rFonts w:cs="Times New Roman"/>
          <w:i/>
          <w:iCs/>
          <w:sz w:val="20"/>
          <w:szCs w:val="20"/>
          <w:lang w:val="en-US"/>
        </w:rPr>
        <w:t>Ia</w:t>
      </w:r>
      <w:r w:rsidRPr="00B15395">
        <w:rPr>
          <w:rFonts w:cs="Times New Roman"/>
          <w:sz w:val="20"/>
          <w:szCs w:val="20"/>
          <w:lang w:val="en-US"/>
        </w:rPr>
        <w:t xml:space="preserve">. 1.93. </w:t>
      </w:r>
    </w:p>
  </w:footnote>
  <w:footnote w:id="108">
    <w:p w14:paraId="73539A6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Hippon. frs. 28.1; 123.</w:t>
      </w:r>
    </w:p>
  </w:footnote>
  <w:footnote w:id="109">
    <w:p w14:paraId="07B6A00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κυκεών, see Rosen 1987: 416-426</w:t>
      </w:r>
    </w:p>
  </w:footnote>
  <w:footnote w:id="110">
    <w:p w14:paraId="09D2166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Bremmer 1983: 277-278.</w:t>
      </w:r>
    </w:p>
  </w:footnote>
  <w:footnote w:id="111">
    <w:p w14:paraId="5BB1634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Wilkins 2000: 16.</w:t>
      </w:r>
    </w:p>
  </w:footnote>
  <w:footnote w:id="112">
    <w:p w14:paraId="3532EBD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Od</w:t>
      </w:r>
      <w:r w:rsidRPr="00B15395">
        <w:rPr>
          <w:rFonts w:cs="Times New Roman"/>
          <w:sz w:val="20"/>
          <w:szCs w:val="20"/>
          <w:lang w:val="en-US"/>
        </w:rPr>
        <w:t>. 9.40, 198.</w:t>
      </w:r>
    </w:p>
  </w:footnote>
  <w:footnote w:id="113">
    <w:p w14:paraId="7D8F9A5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 123.</w:t>
      </w:r>
    </w:p>
  </w:footnote>
  <w:footnote w:id="114">
    <w:p w14:paraId="0920A44C" w14:textId="7B3BCEB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Plat. </w:t>
      </w:r>
      <w:r w:rsidRPr="00B15395">
        <w:rPr>
          <w:rFonts w:cs="Times New Roman"/>
          <w:i/>
          <w:iCs/>
          <w:sz w:val="20"/>
          <w:szCs w:val="20"/>
          <w:lang w:val="en-US"/>
        </w:rPr>
        <w:t>Resp.</w:t>
      </w:r>
      <w:r w:rsidRPr="00B15395">
        <w:rPr>
          <w:rFonts w:cs="Times New Roman"/>
          <w:sz w:val="20"/>
          <w:szCs w:val="20"/>
          <w:lang w:val="en-US"/>
        </w:rPr>
        <w:t xml:space="preserve"> 387c.1. Late lexica give “corpse” as first meaning, and “vinegar” as secondary and derived meaning: cf. Hsych. α 2986 L; Photius α 949; Suda α 1210.</w:t>
      </w:r>
    </w:p>
  </w:footnote>
  <w:footnote w:id="115">
    <w:p w14:paraId="444B9D00" w14:textId="6D3F009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D’Alessio 1996: 651 n. 178.</w:t>
      </w:r>
    </w:p>
  </w:footnote>
  <w:footnote w:id="116">
    <w:p w14:paraId="23D2D4F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 164.</w:t>
      </w:r>
    </w:p>
  </w:footnote>
  <w:footnote w:id="117">
    <w:p w14:paraId="6EE65642" w14:textId="37CBC2F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D’Alessio 1996: 598 n. 55</w:t>
      </w:r>
    </w:p>
  </w:footnote>
  <w:footnote w:id="118">
    <w:p w14:paraId="368BF13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Phoenix </w:t>
      </w:r>
      <w:r w:rsidRPr="00B15395">
        <w:rPr>
          <w:rFonts w:cs="Times New Roman"/>
          <w:i/>
          <w:iCs/>
          <w:sz w:val="20"/>
          <w:szCs w:val="20"/>
          <w:lang w:val="en-US"/>
        </w:rPr>
        <w:t>CA</w:t>
      </w:r>
      <w:r w:rsidRPr="00B15395">
        <w:rPr>
          <w:rFonts w:cs="Times New Roman"/>
          <w:sz w:val="20"/>
          <w:szCs w:val="20"/>
          <w:lang w:val="en-US"/>
        </w:rPr>
        <w:t xml:space="preserve"> 3 (= Ath. 10.421d). </w:t>
      </w:r>
    </w:p>
  </w:footnote>
  <w:footnote w:id="119">
    <w:p w14:paraId="3D288814" w14:textId="12F2A75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καπηλεύω occurs in Call. </w:t>
      </w:r>
      <w:r w:rsidRPr="00B15395">
        <w:rPr>
          <w:rFonts w:cs="Times New Roman"/>
          <w:i/>
          <w:iCs/>
          <w:sz w:val="20"/>
          <w:szCs w:val="20"/>
          <w:lang w:val="en-US"/>
        </w:rPr>
        <w:t>Ia.</w:t>
      </w:r>
      <w:r w:rsidRPr="00B15395">
        <w:rPr>
          <w:rFonts w:cs="Times New Roman"/>
          <w:sz w:val="20"/>
          <w:szCs w:val="20"/>
          <w:lang w:val="en-US"/>
        </w:rPr>
        <w:t xml:space="preserve"> 1.89 where the context is scarcely understandable due to the fragmentary preservations of the lines. However, the verb appears also in Hippon. fr. 79.18, where the general level and the tone are clear; as Masson 1962: 148 observes “le verb καπηλεύειν semble indiquer une nuance défavorable, qui correspond au tone general du passage.” Indeed, Callimachus’ </w:t>
      </w:r>
      <w:r w:rsidRPr="00B15395">
        <w:rPr>
          <w:rFonts w:cs="Times New Roman"/>
          <w:i/>
          <w:iCs/>
          <w:sz w:val="20"/>
          <w:szCs w:val="20"/>
          <w:lang w:val="en-US"/>
        </w:rPr>
        <w:t>Iambus</w:t>
      </w:r>
      <w:r w:rsidRPr="00B15395">
        <w:rPr>
          <w:rFonts w:cs="Times New Roman"/>
          <w:sz w:val="20"/>
          <w:szCs w:val="20"/>
          <w:lang w:val="en-US"/>
        </w:rPr>
        <w:t xml:space="preserve"> 1 hints especially Hippon. fr. 79: cf. Acosta-Hughes 2002: 58 n. 82.</w:t>
      </w:r>
    </w:p>
  </w:footnote>
  <w:footnote w:id="120">
    <w:p w14:paraId="0E573C5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Soverini 1992: 865-68.</w:t>
      </w:r>
    </w:p>
  </w:footnote>
  <w:footnote w:id="121">
    <w:p w14:paraId="5C7C3146" w14:textId="4BA6D886"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r>
      <w:r w:rsidRPr="00B15395">
        <w:rPr>
          <w:rFonts w:cs="Times New Roman"/>
          <w:szCs w:val="20"/>
          <w:lang w:val="en-US"/>
        </w:rPr>
        <w:t xml:space="preserve">Often </w:t>
      </w:r>
      <w:r w:rsidRPr="00B15395">
        <w:rPr>
          <w:rFonts w:cs="Times New Roman"/>
          <w:szCs w:val="20"/>
          <w:lang w:val="el-GR"/>
        </w:rPr>
        <w:t>Φρύγγες</w:t>
      </w:r>
      <w:r w:rsidRPr="00B15395">
        <w:rPr>
          <w:rFonts w:cs="Times New Roman"/>
          <w:szCs w:val="20"/>
          <w:lang w:val="en-US"/>
        </w:rPr>
        <w:t xml:space="preserve"> “Phrygians” is a generic term for slaves. Cf. Gerber 1999: 373 n. 1.</w:t>
      </w:r>
    </w:p>
  </w:footnote>
  <w:footnote w:id="122">
    <w:p w14:paraId="2884F87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Wilkins 2000: 52.</w:t>
      </w:r>
    </w:p>
  </w:footnote>
  <w:footnote w:id="123">
    <w:p w14:paraId="103BD8B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Wilkins 2000: 4.</w:t>
      </w:r>
    </w:p>
  </w:footnote>
  <w:footnote w:id="124">
    <w:p w14:paraId="62F60A9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w:t>
      </w:r>
      <w:r w:rsidRPr="00B15395">
        <w:rPr>
          <w:rFonts w:cs="Times New Roman"/>
          <w:i/>
          <w:iCs/>
          <w:sz w:val="20"/>
          <w:szCs w:val="20"/>
          <w:lang w:val="en-US"/>
        </w:rPr>
        <w:t>Deipnosophistae</w:t>
      </w:r>
      <w:r w:rsidRPr="00B15395">
        <w:rPr>
          <w:rFonts w:cs="Times New Roman"/>
          <w:sz w:val="20"/>
          <w:szCs w:val="20"/>
          <w:lang w:val="en-US"/>
        </w:rPr>
        <w:t xml:space="preserve"> is a massive work, where lists of vegetables, breads, fish, meats, drinking cups, or cakes are formed without full regard to the discourse into which they are inserted. </w:t>
      </w:r>
    </w:p>
  </w:footnote>
  <w:footnote w:id="125">
    <w:p w14:paraId="14015DC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West 1974: 29.</w:t>
      </w:r>
    </w:p>
  </w:footnote>
  <w:footnote w:id="126">
    <w:p w14:paraId="137899F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Bakhtin 1968 who used this approach in his study of the grotesque in Rabelais; Carrière 1979: 29-32.</w:t>
      </w:r>
    </w:p>
  </w:footnote>
  <w:footnote w:id="127">
    <w:p w14:paraId="14B6F19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Appadurai 1986: 20; Douglas and Isherwood 1979: 59. These anthropologists and historians insist on the needs of the people for material goods in broad cultural terms, and compare the modern consumer economy with other cultures.</w:t>
      </w:r>
    </w:p>
  </w:footnote>
  <w:footnote w:id="128">
    <w:p w14:paraId="49601B4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Thus, while the academic economist may disapprove of luxury, for example, for the individual luxury brings identity and meaning.</w:t>
      </w:r>
    </w:p>
  </w:footnote>
  <w:footnote w:id="129">
    <w:p w14:paraId="5EB82C6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bramble is an easy symbol for Hipponax, practitioner of a low genre (Alcaeus of Messene 13 GP puts one on his tomb). Cf. Scodel 2010: 256. </w:t>
      </w:r>
    </w:p>
  </w:footnote>
  <w:footnote w:id="130">
    <w:p w14:paraId="5A8BABCD" w14:textId="5152CCA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Appaudari 1986: 3, who defines a commodity “an object of economic value.”</w:t>
      </w:r>
    </w:p>
  </w:footnote>
  <w:footnote w:id="131">
    <w:p w14:paraId="3B4ACF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Kopytoff 1986: 68.</w:t>
      </w:r>
    </w:p>
  </w:footnote>
  <w:footnote w:id="132">
    <w:p w14:paraId="4007879E" w14:textId="3BD805F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Kopytoff 1986: 73, who claims that “the counterdrive to this potential onrush of commoditisation is culture. In the sense that commoditisation homogenises value, while the essence of culture is discrimination.”</w:t>
      </w:r>
    </w:p>
  </w:footnote>
  <w:footnote w:id="133">
    <w:p w14:paraId="7BEA869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Giving value to things by pricing them is a wide-spread iambic theme in Hellenistic literature, as shown by Crates of Thebes in his </w:t>
      </w:r>
      <w:r w:rsidRPr="00B15395">
        <w:rPr>
          <w:rFonts w:cs="Times New Roman"/>
          <w:i/>
          <w:iCs/>
          <w:sz w:val="20"/>
          <w:szCs w:val="20"/>
          <w:lang w:val="en-US"/>
        </w:rPr>
        <w:t>Ephemeris</w:t>
      </w:r>
      <w:r w:rsidRPr="00B15395">
        <w:rPr>
          <w:rFonts w:cs="Times New Roman"/>
          <w:sz w:val="20"/>
          <w:szCs w:val="20"/>
          <w:lang w:val="en-US"/>
        </w:rPr>
        <w:t xml:space="preserve"> (</w:t>
      </w:r>
      <w:r w:rsidRPr="00B15395">
        <w:rPr>
          <w:rFonts w:cs="Times New Roman"/>
          <w:i/>
          <w:iCs/>
          <w:sz w:val="20"/>
          <w:szCs w:val="20"/>
          <w:lang w:val="en-US"/>
        </w:rPr>
        <w:t>SH</w:t>
      </w:r>
      <w:r w:rsidRPr="00B15395">
        <w:rPr>
          <w:rFonts w:cs="Times New Roman"/>
          <w:sz w:val="20"/>
          <w:szCs w:val="20"/>
          <w:lang w:val="en-US"/>
        </w:rPr>
        <w:t xml:space="preserve"> 362). Cf. Scodel 2010: 253.</w:t>
      </w:r>
    </w:p>
  </w:footnote>
  <w:footnote w:id="134">
    <w:p w14:paraId="6F3B73E0" w14:textId="4A3EE09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Capra 2016, paper </w:t>
      </w:r>
      <w:r w:rsidRPr="00B15395">
        <w:rPr>
          <w:rFonts w:cs="Times New Roman"/>
          <w:i/>
          <w:iCs/>
          <w:sz w:val="20"/>
          <w:szCs w:val="20"/>
          <w:lang w:val="en-US"/>
        </w:rPr>
        <w:t>For what it’s worth: Hipponax’s prayer to Hermes re-evaluated</w:t>
      </w:r>
      <w:r w:rsidRPr="00B15395">
        <w:rPr>
          <w:rFonts w:cs="Times New Roman"/>
          <w:sz w:val="20"/>
          <w:szCs w:val="20"/>
          <w:lang w:val="en-US"/>
        </w:rPr>
        <w:t xml:space="preserve"> at “Hipponax Colloquium” (Oxford, 18 June 2016).</w:t>
      </w:r>
    </w:p>
  </w:footnote>
  <w:footnote w:id="135">
    <w:p w14:paraId="4C91959F" w14:textId="1417725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theme of wealth becomes central in iambic texts of Hellenistic period: wealth should be a mean to improve yourself and society. But unfortunately the person who owes gold often wastes it, and is not able to use it in a useful way, as shown by a Phoenix’s choliamb addressed to an unidentifiable Posidippus (</w:t>
      </w:r>
      <w:r w:rsidRPr="00B15395">
        <w:rPr>
          <w:rFonts w:cs="Times New Roman"/>
          <w:i/>
          <w:iCs/>
          <w:sz w:val="20"/>
          <w:szCs w:val="20"/>
          <w:lang w:val="en-US"/>
        </w:rPr>
        <w:t>CA</w:t>
      </w:r>
      <w:r w:rsidRPr="00B15395">
        <w:rPr>
          <w:rFonts w:cs="Times New Roman"/>
          <w:sz w:val="20"/>
          <w:szCs w:val="20"/>
          <w:lang w:val="en-US"/>
        </w:rPr>
        <w:t xml:space="preserve"> 6.7-12), or by Cercidas fr. 1.5-11.</w:t>
      </w:r>
    </w:p>
  </w:footnote>
  <w:footnote w:id="136">
    <w:p w14:paraId="0825E036" w14:textId="30BBEFE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Hipponax’s praises for wealth echo in the first lines of Phoenix’s crow-song (</w:t>
      </w:r>
      <w:r w:rsidRPr="00B15395">
        <w:rPr>
          <w:rFonts w:cs="Times New Roman"/>
          <w:i/>
          <w:iCs/>
          <w:sz w:val="20"/>
          <w:szCs w:val="20"/>
          <w:lang w:val="en-US"/>
        </w:rPr>
        <w:t>CA</w:t>
      </w:r>
      <w:r w:rsidRPr="00B15395">
        <w:rPr>
          <w:rFonts w:cs="Times New Roman"/>
          <w:sz w:val="20"/>
          <w:szCs w:val="20"/>
          <w:lang w:val="en-US"/>
        </w:rPr>
        <w:t xml:space="preserve"> 2.1-3).</w:t>
      </w:r>
    </w:p>
  </w:footnote>
  <w:footnote w:id="137">
    <w:p w14:paraId="741C0F4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verb φράζω occurs 105 times in the </w:t>
      </w:r>
      <w:r w:rsidRPr="00B15395">
        <w:rPr>
          <w:rFonts w:cs="Times New Roman"/>
          <w:i/>
          <w:iCs/>
          <w:sz w:val="20"/>
          <w:szCs w:val="20"/>
          <w:lang w:val="en-US"/>
        </w:rPr>
        <w:t>Odyssey</w:t>
      </w:r>
      <w:r w:rsidRPr="00B15395">
        <w:rPr>
          <w:rFonts w:cs="Times New Roman"/>
          <w:sz w:val="20"/>
          <w:szCs w:val="20"/>
          <w:lang w:val="en-US"/>
        </w:rPr>
        <w:t>.</w:t>
      </w:r>
    </w:p>
  </w:footnote>
  <w:footnote w:id="138">
    <w:p w14:paraId="7383450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Barnouw 2004: 273.</w:t>
      </w:r>
    </w:p>
  </w:footnote>
  <w:footnote w:id="139">
    <w:p w14:paraId="0DFAF6F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Od</w:t>
      </w:r>
      <w:r w:rsidRPr="00B15395">
        <w:rPr>
          <w:rFonts w:cs="Times New Roman"/>
          <w:sz w:val="20"/>
          <w:szCs w:val="20"/>
          <w:lang w:val="en-US"/>
        </w:rPr>
        <w:t>. 24.127.</w:t>
      </w:r>
    </w:p>
  </w:footnote>
  <w:footnote w:id="140">
    <w:p w14:paraId="5451B4B2" w14:textId="0DC6FD6E"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Arist. </w:t>
      </w:r>
      <w:r w:rsidRPr="00B15395">
        <w:rPr>
          <w:rFonts w:cs="Times New Roman"/>
          <w:i/>
          <w:iCs/>
          <w:sz w:val="20"/>
          <w:szCs w:val="20"/>
          <w:lang w:val="en-US"/>
        </w:rPr>
        <w:t>Rh</w:t>
      </w:r>
      <w:r w:rsidRPr="00B15395">
        <w:rPr>
          <w:rFonts w:cs="Times New Roman"/>
          <w:sz w:val="20"/>
          <w:szCs w:val="20"/>
          <w:lang w:val="en-US"/>
        </w:rPr>
        <w:t>. 2.12, 1389b.11-12 πεπαιδευμένη ὕβρις; Halliwell 2008: 322-323, with the notion that play “transmutes” aggression.</w:t>
      </w:r>
    </w:p>
  </w:footnote>
  <w:footnote w:id="141">
    <w:p w14:paraId="5D8DE0C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Freud 1989 (=1905): 149.</w:t>
      </w:r>
    </w:p>
  </w:footnote>
  <w:footnote w:id="142">
    <w:p w14:paraId="26F4795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Attardo 1994: 103.</w:t>
      </w:r>
    </w:p>
  </w:footnote>
  <w:footnote w:id="143">
    <w:p w14:paraId="0BE02360" w14:textId="3800922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Kidd 2014: 135, “a verbal joke containing aggression against Cleon or Cleonymus is likely to receive more laughs than a purely verbal joke.” Cf. Plut. </w:t>
      </w:r>
      <w:r w:rsidRPr="00B15395">
        <w:rPr>
          <w:rFonts w:cs="Times New Roman"/>
          <w:i/>
          <w:iCs/>
          <w:sz w:val="20"/>
          <w:szCs w:val="20"/>
          <w:lang w:val="en-US"/>
        </w:rPr>
        <w:t>Nic</w:t>
      </w:r>
      <w:r w:rsidRPr="00B15395">
        <w:rPr>
          <w:rFonts w:cs="Times New Roman"/>
          <w:sz w:val="20"/>
          <w:szCs w:val="20"/>
          <w:lang w:val="en-US"/>
        </w:rPr>
        <w:t>. 2.3.1; 4.7.1, where Plutarch quotes iambic trimeters against Cleon.</w:t>
      </w:r>
    </w:p>
  </w:footnote>
  <w:footnote w:id="144">
    <w:p w14:paraId="0BCD139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Kidd 2014: 132.</w:t>
      </w:r>
    </w:p>
  </w:footnote>
  <w:footnote w:id="145">
    <w:p w14:paraId="557578D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Lowe 2008: 9.</w:t>
      </w:r>
    </w:p>
  </w:footnote>
  <w:footnote w:id="146">
    <w:p w14:paraId="16A9F36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Freud 1989 (= 1905): 160-170.</w:t>
      </w:r>
    </w:p>
  </w:footnote>
  <w:footnote w:id="147">
    <w:p w14:paraId="10EA7BD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This rather odd idea is based on an objective and important observation about children  It seems that children (approximately up to age six) enjoy hearing and producing language that is perceived as nonsense (e.g. rhyming words, meaningless syllables, etc.). Only later, through language development, children learn to joke (e.g. acquiring the ability to detect ambiguity), and appreciate the point of jokes. When this happens, there is a sharp decrease in enjoyment of the former language play, and instead of deriving pleasure from pointless homophony, repetition, and general wordplay, there is a recoil against such childishness.</w:t>
      </w:r>
    </w:p>
  </w:footnote>
  <w:footnote w:id="148">
    <w:p w14:paraId="0E9E02BC" w14:textId="7A7B960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Freud 1989 (= 1905): 153, where he says that “pleasure in nonsense, as we may call it for short, is concealed in serious life to a vanishing point.” </w:t>
      </w:r>
    </w:p>
  </w:footnote>
  <w:footnote w:id="149">
    <w:p w14:paraId="5EDBA40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Kidd 2014: 131.</w:t>
      </w:r>
    </w:p>
  </w:footnote>
  <w:footnote w:id="150">
    <w:p w14:paraId="2B30E0E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Freud 1989 (= 1905): 65-67.</w:t>
      </w:r>
    </w:p>
  </w:footnote>
  <w:footnote w:id="151">
    <w:p w14:paraId="0D30225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Freud 1989 (= 1905): 155-6. Freud argues that one does not need to discover meanings when in a heightened mood. </w:t>
      </w:r>
    </w:p>
  </w:footnote>
  <w:footnote w:id="152">
    <w:p w14:paraId="0B248D54" w14:textId="54ACFEE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episode is quoted by Antoninus Liberalis, </w:t>
      </w:r>
      <w:r w:rsidRPr="00B15395">
        <w:rPr>
          <w:rFonts w:cs="Times New Roman"/>
          <w:i/>
          <w:iCs/>
          <w:sz w:val="20"/>
          <w:szCs w:val="20"/>
          <w:lang w:val="en-US"/>
        </w:rPr>
        <w:t>Met</w:t>
      </w:r>
      <w:r w:rsidRPr="00B15395">
        <w:rPr>
          <w:rFonts w:cs="Times New Roman"/>
          <w:sz w:val="20"/>
          <w:szCs w:val="20"/>
          <w:lang w:val="en-US"/>
        </w:rPr>
        <w:t>. 23: “Hesiod tells the story in the </w:t>
      </w:r>
      <w:r w:rsidRPr="00B15395">
        <w:rPr>
          <w:rFonts w:cs="Times New Roman"/>
          <w:i/>
          <w:iCs/>
          <w:sz w:val="20"/>
          <w:szCs w:val="20"/>
          <w:lang w:val="en-US"/>
        </w:rPr>
        <w:t>Great Eoiai</w:t>
      </w:r>
      <w:r w:rsidRPr="00B15395">
        <w:rPr>
          <w:rFonts w:cs="Times New Roman"/>
          <w:sz w:val="20"/>
          <w:szCs w:val="20"/>
          <w:lang w:val="en-US"/>
        </w:rPr>
        <w:t>… Hermes stole the cattle of Apollon and brought them past Mainalos in Arkadia and what are called the watch-posts of Battos. Now this Battos used to live on the top of the rock and when he heard the voice of the heifers as they were being driven past, he came out from his own place, and knew that the cattle were stolen. So he asked for a reward to tell no one about them. Hermes promised to give it him on these terms, and Battos swore to say nothing to anyone about the cattle. But when Hermes had hidden them in the cliff by Koryphasion, and had driven them into a cave facing towards Italia and Sikelia, he changed himself and came again to Battos and tried whether he would be true to him as he had vowed. So, offering him a robe as a reward, he asked of him whether he had noticed stolen cattle being driven past. And Battos took the robe and told him about the cattle. But Hermes was angry because he was double-tongued, and struck him with his staff and changed him into a rock. And either frost or heat never leaves him.”</w:t>
      </w:r>
    </w:p>
  </w:footnote>
  <w:footnote w:id="153">
    <w:p w14:paraId="662F265B" w14:textId="5F307336"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r>
      <w:r w:rsidRPr="00B15395">
        <w:rPr>
          <w:rFonts w:cs="Times New Roman"/>
          <w:szCs w:val="20"/>
          <w:lang w:val="en-US"/>
        </w:rPr>
        <w:t>Cf. Degani 1991: 74.</w:t>
      </w:r>
    </w:p>
  </w:footnote>
  <w:footnote w:id="154">
    <w:p w14:paraId="3828174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Kidd 2014: 38-40.</w:t>
      </w:r>
    </w:p>
  </w:footnote>
  <w:footnote w:id="155">
    <w:p w14:paraId="75119D83" w14:textId="48C658F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Ps.-Dion. Hal. </w:t>
      </w:r>
      <w:r w:rsidRPr="00B15395">
        <w:rPr>
          <w:rFonts w:cs="Times New Roman"/>
          <w:i/>
          <w:iCs/>
          <w:sz w:val="20"/>
          <w:szCs w:val="20"/>
          <w:lang w:val="en-US"/>
        </w:rPr>
        <w:t>Ars Rhet</w:t>
      </w:r>
      <w:r w:rsidRPr="00B15395">
        <w:rPr>
          <w:rFonts w:cs="Times New Roman"/>
          <w:sz w:val="20"/>
          <w:szCs w:val="20"/>
          <w:lang w:val="en-US"/>
        </w:rPr>
        <w:t xml:space="preserve">. 2.8: the grammarian’s example of </w:t>
      </w:r>
      <w:r w:rsidRPr="00B15395">
        <w:rPr>
          <w:rFonts w:cs="Times New Roman"/>
          <w:i/>
          <w:iCs/>
          <w:sz w:val="20"/>
          <w:szCs w:val="20"/>
          <w:lang w:val="en-US"/>
        </w:rPr>
        <w:t>phluaría</w:t>
      </w:r>
      <w:r w:rsidRPr="00B15395">
        <w:rPr>
          <w:rFonts w:cs="Times New Roman"/>
          <w:sz w:val="20"/>
          <w:szCs w:val="20"/>
          <w:lang w:val="en-US"/>
        </w:rPr>
        <w:t xml:space="preserve"> is Thersites. According to this grammarian, what is ἀμετροεπής about Thersites is not the abusive quality of his speech, but the quantity: if Thersites had given two fewer examples for his thought, he would have been as fine a speaker as Nestor.</w:t>
      </w:r>
    </w:p>
  </w:footnote>
  <w:footnote w:id="156">
    <w:p w14:paraId="3FD4969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Theoph. </w:t>
      </w:r>
      <w:r w:rsidRPr="00B15395">
        <w:rPr>
          <w:rFonts w:cs="Times New Roman"/>
          <w:i/>
          <w:iCs/>
          <w:sz w:val="20"/>
          <w:szCs w:val="20"/>
          <w:lang w:val="en-US"/>
        </w:rPr>
        <w:t>Char</w:t>
      </w:r>
      <w:r w:rsidRPr="00B15395">
        <w:rPr>
          <w:rFonts w:cs="Times New Roman"/>
          <w:sz w:val="20"/>
          <w:szCs w:val="20"/>
          <w:lang w:val="en-US"/>
        </w:rPr>
        <w:t>. 7.6. It is not simply the quantity of words which makes the λάλος far from an ass and speak nonsense, but the excessively rambling nature of his lengthy speech.</w:t>
      </w:r>
    </w:p>
  </w:footnote>
  <w:footnote w:id="157">
    <w:p w14:paraId="04D3C9BA" w14:textId="77DB746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It is intriguing that this definition well matches with that one of “seagull” in the scholion</w:t>
      </w:r>
      <w:r w:rsidRPr="00B15395">
        <w:rPr>
          <w:rFonts w:cs="Times New Roman"/>
          <w:i/>
          <w:iCs/>
          <w:sz w:val="20"/>
          <w:szCs w:val="20"/>
          <w:lang w:val="en-US"/>
        </w:rPr>
        <w:t xml:space="preserve"> </w:t>
      </w:r>
      <w:r w:rsidRPr="00B15395">
        <w:rPr>
          <w:rFonts w:cs="Times New Roman"/>
          <w:sz w:val="20"/>
          <w:szCs w:val="20"/>
          <w:lang w:val="en-US"/>
        </w:rPr>
        <w:t xml:space="preserve">in Aristophanes’ </w:t>
      </w:r>
      <w:r w:rsidRPr="00B15395">
        <w:rPr>
          <w:rFonts w:cs="Times New Roman"/>
          <w:i/>
          <w:iCs/>
          <w:sz w:val="20"/>
          <w:szCs w:val="20"/>
          <w:lang w:val="en-US"/>
        </w:rPr>
        <w:t>Pax</w:t>
      </w:r>
      <w:r w:rsidRPr="00B15395">
        <w:rPr>
          <w:rFonts w:cs="Times New Roman"/>
          <w:sz w:val="20"/>
          <w:szCs w:val="20"/>
          <w:lang w:val="en-US"/>
        </w:rPr>
        <w:t xml:space="preserve"> 1067a: καὶ κεκραγέναι ὠδίνοντα· ὅθεν γενέσθαι τὴν παροιμίαν </w:t>
      </w:r>
      <w:hyperlink r:id="rId1" w:history="1">
        <w:r w:rsidRPr="00B15395">
          <w:rPr>
            <w:rFonts w:cs="Times New Roman"/>
            <w:color w:val="008000"/>
            <w:sz w:val="20"/>
            <w:szCs w:val="20"/>
            <w:u w:val="single"/>
            <w:lang w:val="en-US"/>
          </w:rPr>
          <w:t>“</w:t>
        </w:r>
      </w:hyperlink>
      <w:r w:rsidRPr="00B15395">
        <w:rPr>
          <w:rFonts w:cs="Times New Roman"/>
          <w:sz w:val="20"/>
          <w:szCs w:val="20"/>
          <w:lang w:val="en-US"/>
        </w:rPr>
        <w:t>κέπφος ὠδίνει</w:t>
      </w:r>
      <w:hyperlink r:id="rId2" w:history="1">
        <w:r w:rsidRPr="00B15395">
          <w:rPr>
            <w:rFonts w:cs="Times New Roman"/>
            <w:color w:val="008000"/>
            <w:sz w:val="20"/>
            <w:szCs w:val="20"/>
            <w:u w:val="single"/>
            <w:lang w:val="en-US"/>
          </w:rPr>
          <w:t>“</w:t>
        </w:r>
      </w:hyperlink>
      <w:r w:rsidRPr="00B15395">
        <w:rPr>
          <w:rFonts w:cs="Times New Roman"/>
          <w:sz w:val="20"/>
          <w:szCs w:val="20"/>
          <w:lang w:val="en-US"/>
        </w:rPr>
        <w:t> ἐπὶ τῶν ἐπαγγελλομένων μὲν μεγάλα,</w:t>
      </w:r>
      <w:r w:rsidRPr="00B15395">
        <w:rPr>
          <w:rFonts w:cs="Times New Roman"/>
          <w:i/>
          <w:iCs/>
          <w:color w:val="808000"/>
          <w:sz w:val="20"/>
          <w:szCs w:val="20"/>
          <w:lang w:val="en-US"/>
        </w:rPr>
        <w:t> </w:t>
      </w:r>
      <w:r w:rsidRPr="00B15395">
        <w:rPr>
          <w:rFonts w:cs="Times New Roman"/>
          <w:sz w:val="20"/>
          <w:szCs w:val="20"/>
          <w:lang w:val="en-US"/>
        </w:rPr>
        <w:t xml:space="preserve">μηδὲν δὲ ἄξιον τῆς ἐπαγγελίας ποιούντων. It seems that Hipponax, knowing his audience, gathers it in a congruous place, where they could be at easy, namely a crowd of stupid men gathered in front of the concrete building of human stupidity (in this case, Euhemerus would become the stupid </w:t>
      </w:r>
      <w:r w:rsidRPr="00B15395">
        <w:rPr>
          <w:rFonts w:cs="Times New Roman"/>
          <w:i/>
          <w:iCs/>
          <w:sz w:val="20"/>
          <w:szCs w:val="20"/>
          <w:lang w:val="en-US"/>
        </w:rPr>
        <w:t>par excellence</w:t>
      </w:r>
      <w:r w:rsidRPr="00B15395">
        <w:rPr>
          <w:rFonts w:cs="Times New Roman"/>
          <w:sz w:val="20"/>
          <w:szCs w:val="20"/>
          <w:lang w:val="en-US"/>
        </w:rPr>
        <w:t>).</w:t>
      </w:r>
    </w:p>
  </w:footnote>
  <w:footnote w:id="158">
    <w:p w14:paraId="1C920D1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Kerkhecker 1999: 24.</w:t>
      </w:r>
    </w:p>
  </w:footnote>
  <w:footnote w:id="159">
    <w:p w14:paraId="2A0C6B9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 xml:space="preserve"> Cf. Kidd 2014: 34, 47.</w:t>
      </w:r>
    </w:p>
  </w:footnote>
  <w:footnote w:id="160">
    <w:p w14:paraId="4A4D4553" w14:textId="4E39475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Dickey 2010</w:t>
      </w:r>
      <w:r w:rsidR="0041663F">
        <w:rPr>
          <w:rFonts w:cs="Times New Roman"/>
          <w:sz w:val="20"/>
          <w:szCs w:val="20"/>
          <w:lang w:val="en-US"/>
        </w:rPr>
        <w:t>b</w:t>
      </w:r>
      <w:r w:rsidRPr="00B15395">
        <w:rPr>
          <w:rFonts w:cs="Times New Roman"/>
          <w:sz w:val="20"/>
          <w:szCs w:val="20"/>
          <w:lang w:val="en-US"/>
        </w:rPr>
        <w:t>: 4, 6.</w:t>
      </w:r>
    </w:p>
  </w:footnote>
  <w:footnote w:id="161">
    <w:p w14:paraId="1169631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Stevens 1937: 182; see also Chahoud 2010: 50.</w:t>
      </w:r>
    </w:p>
  </w:footnote>
  <w:footnote w:id="162">
    <w:p w14:paraId="130B05F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Clackson 2010: 7-8</w:t>
      </w:r>
    </w:p>
  </w:footnote>
  <w:footnote w:id="163">
    <w:p w14:paraId="3FA1B11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Blass-Debrunner 1896: 367.</w:t>
      </w:r>
    </w:p>
  </w:footnote>
  <w:footnote w:id="164">
    <w:p w14:paraId="391418C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lists of examples and some discussion of origin, cf. Seaton 1889: 343-5. For more detailed treatment, especially of the relation between classical and post-classical usage, cf. A. Debrunner 1921: 1-28.</w:t>
      </w:r>
    </w:p>
  </w:footnote>
  <w:footnote w:id="165">
    <w:p w14:paraId="124FEC5A" w14:textId="3D65EB8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Dickey 2010</w:t>
      </w:r>
      <w:r w:rsidR="0041663F">
        <w:rPr>
          <w:rFonts w:cs="Times New Roman"/>
          <w:sz w:val="20"/>
          <w:szCs w:val="20"/>
          <w:lang w:val="en-US"/>
        </w:rPr>
        <w:t>a</w:t>
      </w:r>
      <w:r w:rsidRPr="00B15395">
        <w:rPr>
          <w:rFonts w:cs="Times New Roman"/>
          <w:sz w:val="20"/>
          <w:szCs w:val="20"/>
          <w:lang w:val="en-US"/>
        </w:rPr>
        <w:t>: 329</w:t>
      </w:r>
    </w:p>
  </w:footnote>
  <w:footnote w:id="166">
    <w:p w14:paraId="224F6FF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Dik 1995.</w:t>
      </w:r>
    </w:p>
  </w:footnote>
  <w:footnote w:id="167">
    <w:p w14:paraId="5C883F36" w14:textId="5A851A1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Slings 2002: 103-4. In natural language use, anaphora is typically a chunking device, that is a strategy used to split up information that otherwise would not be capable of being processed comfortably by the listener. But in the other case, the information load of the second and third questions is virtually nil, which leads to interpretation of the anaphora as “literary.” In 1997, Slings showed that anaphora is most natural when a speaker is at liberty to develop his thoughts at length, and does not have to use what in pragmatics are called “floor-holding devices.”</w:t>
      </w:r>
    </w:p>
  </w:footnote>
  <w:footnote w:id="168">
    <w:p w14:paraId="71EDCF9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Leeman 1963: 1-22.</w:t>
      </w:r>
    </w:p>
  </w:footnote>
  <w:footnote w:id="169">
    <w:p w14:paraId="36C8F2AF" w14:textId="1803C730"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r>
      <w:r w:rsidRPr="00B15395">
        <w:rPr>
          <w:rFonts w:cs="Times New Roman"/>
          <w:szCs w:val="20"/>
          <w:lang w:val="en-US"/>
        </w:rPr>
        <w:t>PL = pragmatic level.</w:t>
      </w:r>
    </w:p>
  </w:footnote>
  <w:footnote w:id="170">
    <w:p w14:paraId="5612E762" w14:textId="4AA872D6"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r>
      <w:r w:rsidRPr="00B15395">
        <w:rPr>
          <w:rFonts w:cs="Times New Roman"/>
          <w:szCs w:val="20"/>
          <w:lang w:val="en-US"/>
        </w:rPr>
        <w:t>GL = grammatic level.</w:t>
      </w:r>
    </w:p>
  </w:footnote>
  <w:footnote w:id="171">
    <w:p w14:paraId="1E097B8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Stephens 2015: 23-24.</w:t>
      </w:r>
    </w:p>
  </w:footnote>
  <w:footnote w:id="172">
    <w:p w14:paraId="6CD42CC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Fantuzzi and Hunter 2005: 43-44. </w:t>
      </w:r>
    </w:p>
  </w:footnote>
  <w:footnote w:id="173">
    <w:p w14:paraId="22C5ABA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pp. 142-152.</w:t>
      </w:r>
    </w:p>
  </w:footnote>
  <w:footnote w:id="174">
    <w:p w14:paraId="382E7A01" w14:textId="354BCF5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w:t>
      </w:r>
      <w:r w:rsidRPr="00B15395">
        <w:rPr>
          <w:rFonts w:cs="Times New Roman"/>
          <w:i/>
          <w:iCs/>
          <w:sz w:val="20"/>
          <w:szCs w:val="20"/>
          <w:lang w:val="en-US"/>
        </w:rPr>
        <w:t>lectio</w:t>
      </w:r>
      <w:r w:rsidRPr="00B15395">
        <w:rPr>
          <w:rFonts w:cs="Times New Roman"/>
          <w:sz w:val="20"/>
          <w:szCs w:val="20"/>
          <w:lang w:val="en-US"/>
        </w:rPr>
        <w:t xml:space="preserve"> of </w:t>
      </w:r>
      <w:r w:rsidRPr="00B15395">
        <w:rPr>
          <w:rFonts w:cs="Times New Roman"/>
          <w:i/>
          <w:iCs/>
          <w:sz w:val="20"/>
          <w:szCs w:val="20"/>
          <w:lang w:val="en-US"/>
        </w:rPr>
        <w:t>Ia</w:t>
      </w:r>
      <w:r w:rsidRPr="00B15395">
        <w:rPr>
          <w:rFonts w:cs="Times New Roman"/>
          <w:sz w:val="20"/>
          <w:szCs w:val="20"/>
          <w:lang w:val="en-US"/>
        </w:rPr>
        <w:t xml:space="preserve">. 3.10 fluctuates between ληκάω “fornicate” and ληκέω “shout”.” However, ληκέω is never attested in Archaic or Callical Greek, but only in Hellenistic Greek; furthermore, the context is not so lacking as Kerkhecker 1999: 68 states. Indeed, Callimachus’ character is making a list of the bad behaviours which are against decorum, according to a rhetorical paradigm frequent in the Hellenistic poetry (cf. Powell 1925: 213-215). </w:t>
      </w:r>
    </w:p>
  </w:footnote>
  <w:footnote w:id="175">
    <w:p w14:paraId="6A0B4E2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Eq.</w:t>
      </w:r>
      <w:r w:rsidRPr="00B15395">
        <w:rPr>
          <w:rFonts w:cs="Times New Roman"/>
          <w:sz w:val="20"/>
          <w:szCs w:val="20"/>
          <w:lang w:val="en-US"/>
        </w:rPr>
        <w:t xml:space="preserve"> 411, 1236; </w:t>
      </w:r>
      <w:r w:rsidRPr="00B15395">
        <w:rPr>
          <w:rFonts w:cs="Times New Roman"/>
          <w:i/>
          <w:iCs/>
          <w:sz w:val="20"/>
          <w:szCs w:val="20"/>
          <w:lang w:val="en-US"/>
        </w:rPr>
        <w:t>Lys.</w:t>
      </w:r>
      <w:r w:rsidRPr="00B15395">
        <w:rPr>
          <w:rFonts w:cs="Times New Roman"/>
          <w:sz w:val="20"/>
          <w:szCs w:val="20"/>
          <w:lang w:val="en-US"/>
        </w:rPr>
        <w:t xml:space="preserve"> 366; </w:t>
      </w:r>
      <w:r w:rsidRPr="00B15395">
        <w:rPr>
          <w:rFonts w:cs="Times New Roman"/>
          <w:i/>
          <w:iCs/>
          <w:sz w:val="20"/>
          <w:szCs w:val="20"/>
          <w:lang w:val="en-US"/>
        </w:rPr>
        <w:t>Pax</w:t>
      </w:r>
      <w:r w:rsidRPr="00B15395">
        <w:rPr>
          <w:rFonts w:cs="Times New Roman"/>
          <w:sz w:val="20"/>
          <w:szCs w:val="20"/>
          <w:lang w:val="en-US"/>
        </w:rPr>
        <w:t xml:space="preserve"> 123, 256, 258; </w:t>
      </w:r>
      <w:r w:rsidRPr="00B15395">
        <w:rPr>
          <w:rFonts w:cs="Times New Roman"/>
          <w:i/>
          <w:iCs/>
          <w:sz w:val="20"/>
          <w:szCs w:val="20"/>
          <w:lang w:val="en-US"/>
        </w:rPr>
        <w:t>Ves.</w:t>
      </w:r>
      <w:r w:rsidRPr="00B15395">
        <w:rPr>
          <w:rFonts w:cs="Times New Roman"/>
          <w:sz w:val="20"/>
          <w:szCs w:val="20"/>
          <w:lang w:val="en-US"/>
        </w:rPr>
        <w:t xml:space="preserve"> 254, 1503. </w:t>
      </w:r>
    </w:p>
  </w:footnote>
  <w:footnote w:id="176">
    <w:p w14:paraId="4EC22D8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Aristophon fr. 5.7 K-A.</w:t>
      </w:r>
    </w:p>
  </w:footnote>
  <w:footnote w:id="177">
    <w:p w14:paraId="0A5A259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Pherecr. fr. 48 K-A.</w:t>
      </w:r>
    </w:p>
  </w:footnote>
  <w:footnote w:id="178">
    <w:p w14:paraId="3F618BA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Comica Adespota</w:t>
      </w:r>
      <w:r w:rsidRPr="00B15395">
        <w:rPr>
          <w:rFonts w:cs="Times New Roman"/>
          <w:sz w:val="20"/>
          <w:szCs w:val="20"/>
          <w:lang w:val="en-US"/>
        </w:rPr>
        <w:t xml:space="preserve"> fr. 311.3 (</w:t>
      </w:r>
      <w:r w:rsidRPr="00B15395">
        <w:rPr>
          <w:rFonts w:cs="Times New Roman"/>
          <w:i/>
          <w:iCs/>
          <w:sz w:val="20"/>
          <w:szCs w:val="20"/>
          <w:lang w:val="en-US"/>
        </w:rPr>
        <w:t>CGFPR</w:t>
      </w:r>
      <w:r w:rsidRPr="00B15395">
        <w:rPr>
          <w:rFonts w:cs="Times New Roman"/>
          <w:sz w:val="20"/>
          <w:szCs w:val="20"/>
          <w:lang w:val="en-US"/>
        </w:rPr>
        <w:t>).</w:t>
      </w:r>
    </w:p>
  </w:footnote>
  <w:footnote w:id="179">
    <w:p w14:paraId="1C37E93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 xml:space="preserve"> Κύσθος is a variant spelling of κυσός.</w:t>
      </w:r>
    </w:p>
  </w:footnote>
  <w:footnote w:id="180">
    <w:p w14:paraId="27FB223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Iambica Adespota</w:t>
      </w:r>
      <w:r w:rsidRPr="00B15395">
        <w:rPr>
          <w:rFonts w:cs="Times New Roman"/>
          <w:sz w:val="20"/>
          <w:szCs w:val="20"/>
          <w:lang w:val="en-US"/>
        </w:rPr>
        <w:t xml:space="preserve"> fr. 53.1 (</w:t>
      </w:r>
      <w:r w:rsidRPr="00B15395">
        <w:rPr>
          <w:rFonts w:cs="Times New Roman"/>
          <w:i/>
          <w:iCs/>
          <w:sz w:val="20"/>
          <w:szCs w:val="20"/>
          <w:lang w:val="en-US"/>
        </w:rPr>
        <w:t>IEG</w:t>
      </w:r>
      <w:r w:rsidRPr="00B15395">
        <w:rPr>
          <w:rFonts w:cs="Times New Roman"/>
          <w:sz w:val="20"/>
          <w:szCs w:val="20"/>
          <w:lang w:val="en-US"/>
        </w:rPr>
        <w:t>).</w:t>
      </w:r>
    </w:p>
  </w:footnote>
  <w:footnote w:id="181">
    <w:p w14:paraId="685BC6F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Choliambica Adespota</w:t>
      </w:r>
      <w:r w:rsidRPr="00B15395">
        <w:rPr>
          <w:rFonts w:cs="Times New Roman"/>
          <w:sz w:val="20"/>
          <w:szCs w:val="20"/>
          <w:lang w:val="en-US"/>
        </w:rPr>
        <w:t xml:space="preserve"> fr. 6.1 (</w:t>
      </w:r>
      <w:r w:rsidRPr="00B15395">
        <w:rPr>
          <w:rFonts w:cs="Times New Roman"/>
          <w:i/>
          <w:iCs/>
          <w:sz w:val="20"/>
          <w:szCs w:val="20"/>
          <w:lang w:val="en-US"/>
        </w:rPr>
        <w:t>ALG</w:t>
      </w:r>
      <w:r w:rsidRPr="00B15395">
        <w:rPr>
          <w:rFonts w:cs="Times New Roman"/>
          <w:sz w:val="20"/>
          <w:szCs w:val="20"/>
          <w:lang w:val="en-US"/>
        </w:rPr>
        <w:t>).</w:t>
      </w:r>
    </w:p>
  </w:footnote>
  <w:footnote w:id="182">
    <w:p w14:paraId="23ED7DD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Ran.</w:t>
      </w:r>
      <w:r w:rsidRPr="00B15395">
        <w:rPr>
          <w:rFonts w:cs="Times New Roman"/>
          <w:sz w:val="20"/>
          <w:szCs w:val="20"/>
          <w:lang w:val="en-US"/>
        </w:rPr>
        <w:t xml:space="preserve"> 862.</w:t>
      </w:r>
    </w:p>
  </w:footnote>
  <w:footnote w:id="183">
    <w:p w14:paraId="6900DE0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term occurs 31 times in the Hippocratic Corpus, 23 times in Galen, 15 times in Aetius.</w:t>
      </w:r>
    </w:p>
  </w:footnote>
  <w:footnote w:id="184">
    <w:p w14:paraId="6153366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West 1974: 143.</w:t>
      </w:r>
    </w:p>
  </w:footnote>
  <w:footnote w:id="185">
    <w:p w14:paraId="5AD1563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Il.</w:t>
      </w:r>
      <w:r w:rsidRPr="00B15395">
        <w:rPr>
          <w:rFonts w:cs="Times New Roman"/>
          <w:sz w:val="20"/>
          <w:szCs w:val="20"/>
          <w:lang w:val="en-US"/>
        </w:rPr>
        <w:t xml:space="preserve"> 3.42; 7.97; 9.387; 11.142; 13.622; 18.180; 19.208. </w:t>
      </w:r>
      <w:r w:rsidRPr="00B15395">
        <w:rPr>
          <w:rFonts w:cs="Times New Roman"/>
          <w:i/>
          <w:iCs/>
          <w:sz w:val="20"/>
          <w:szCs w:val="20"/>
          <w:lang w:val="en-US"/>
        </w:rPr>
        <w:t>Od</w:t>
      </w:r>
      <w:r w:rsidRPr="00B15395">
        <w:rPr>
          <w:rFonts w:cs="Times New Roman"/>
          <w:sz w:val="20"/>
          <w:szCs w:val="20"/>
          <w:lang w:val="en-US"/>
        </w:rPr>
        <w:t>. 18.225, 347; 19. 373; 20.169, 285; 24.326, 433.</w:t>
      </w:r>
    </w:p>
  </w:footnote>
  <w:footnote w:id="186">
    <w:p w14:paraId="2BE5D1F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Sapphus vel Alcaei Fragmenta</w:t>
      </w:r>
      <w:r w:rsidRPr="00B15395">
        <w:rPr>
          <w:rFonts w:cs="Times New Roman"/>
          <w:sz w:val="20"/>
          <w:szCs w:val="20"/>
          <w:lang w:val="en-US"/>
        </w:rPr>
        <w:t xml:space="preserve"> 22.1 (L.-P.).</w:t>
      </w:r>
    </w:p>
  </w:footnote>
  <w:footnote w:id="187">
    <w:p w14:paraId="2AB534A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Soph. </w:t>
      </w:r>
      <w:r w:rsidRPr="00B15395">
        <w:rPr>
          <w:rFonts w:cs="Times New Roman"/>
          <w:i/>
          <w:iCs/>
          <w:sz w:val="20"/>
          <w:szCs w:val="20"/>
          <w:lang w:val="en-US"/>
        </w:rPr>
        <w:t>Aj.</w:t>
      </w:r>
      <w:r w:rsidRPr="00B15395">
        <w:rPr>
          <w:rFonts w:cs="Times New Roman"/>
          <w:sz w:val="20"/>
          <w:szCs w:val="20"/>
          <w:lang w:val="en-US"/>
        </w:rPr>
        <w:t xml:space="preserve"> 181, 561, 1392; </w:t>
      </w:r>
      <w:r w:rsidRPr="00B15395">
        <w:rPr>
          <w:rFonts w:cs="Times New Roman"/>
          <w:i/>
          <w:iCs/>
          <w:sz w:val="20"/>
          <w:szCs w:val="20"/>
          <w:lang w:val="en-US"/>
        </w:rPr>
        <w:t>Ant.</w:t>
      </w:r>
      <w:r w:rsidRPr="00B15395">
        <w:rPr>
          <w:rFonts w:cs="Times New Roman"/>
          <w:sz w:val="20"/>
          <w:szCs w:val="20"/>
          <w:lang w:val="en-US"/>
        </w:rPr>
        <w:t xml:space="preserve"> 792; </w:t>
      </w:r>
      <w:r w:rsidRPr="00B15395">
        <w:rPr>
          <w:rFonts w:cs="Times New Roman"/>
          <w:i/>
          <w:iCs/>
          <w:sz w:val="20"/>
          <w:szCs w:val="20"/>
          <w:lang w:val="en-US"/>
        </w:rPr>
        <w:t>El.</w:t>
      </w:r>
      <w:r w:rsidRPr="00B15395">
        <w:rPr>
          <w:rFonts w:cs="Times New Roman"/>
          <w:sz w:val="20"/>
          <w:szCs w:val="20"/>
          <w:lang w:val="en-US"/>
        </w:rPr>
        <w:t xml:space="preserve"> 864; </w:t>
      </w:r>
      <w:r w:rsidRPr="00B15395">
        <w:rPr>
          <w:rFonts w:cs="Times New Roman"/>
          <w:i/>
          <w:iCs/>
          <w:sz w:val="20"/>
          <w:szCs w:val="20"/>
          <w:lang w:val="en-US"/>
        </w:rPr>
        <w:t>Trach.</w:t>
      </w:r>
      <w:r w:rsidRPr="00B15395">
        <w:rPr>
          <w:rFonts w:cs="Times New Roman"/>
          <w:sz w:val="20"/>
          <w:szCs w:val="20"/>
          <w:lang w:val="en-US"/>
        </w:rPr>
        <w:t xml:space="preserve"> 996.</w:t>
      </w:r>
    </w:p>
  </w:footnote>
  <w:footnote w:id="188">
    <w:p w14:paraId="04B25D9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Eur. </w:t>
      </w:r>
      <w:r w:rsidRPr="00B15395">
        <w:rPr>
          <w:rFonts w:cs="Times New Roman"/>
          <w:i/>
          <w:iCs/>
          <w:sz w:val="20"/>
          <w:szCs w:val="20"/>
          <w:lang w:val="en-US"/>
        </w:rPr>
        <w:t>Andr.</w:t>
      </w:r>
      <w:r w:rsidRPr="00B15395">
        <w:rPr>
          <w:rFonts w:cs="Times New Roman"/>
          <w:sz w:val="20"/>
          <w:szCs w:val="20"/>
          <w:lang w:val="en-US"/>
        </w:rPr>
        <w:t xml:space="preserve"> 298; </w:t>
      </w:r>
      <w:r w:rsidRPr="00B15395">
        <w:rPr>
          <w:rFonts w:cs="Times New Roman"/>
          <w:i/>
          <w:iCs/>
          <w:sz w:val="20"/>
          <w:szCs w:val="20"/>
          <w:lang w:val="en-US"/>
        </w:rPr>
        <w:t>El.</w:t>
      </w:r>
      <w:r w:rsidRPr="00B15395">
        <w:rPr>
          <w:rFonts w:cs="Times New Roman"/>
          <w:sz w:val="20"/>
          <w:szCs w:val="20"/>
          <w:lang w:val="en-US"/>
        </w:rPr>
        <w:t xml:space="preserve"> 165; </w:t>
      </w:r>
      <w:r w:rsidRPr="00B15395">
        <w:rPr>
          <w:rFonts w:cs="Times New Roman"/>
          <w:i/>
          <w:iCs/>
          <w:sz w:val="20"/>
          <w:szCs w:val="20"/>
          <w:lang w:val="en-US"/>
        </w:rPr>
        <w:t>Hec.</w:t>
      </w:r>
      <w:r w:rsidRPr="00B15395">
        <w:rPr>
          <w:rFonts w:cs="Times New Roman"/>
          <w:sz w:val="20"/>
          <w:szCs w:val="20"/>
          <w:lang w:val="en-US"/>
        </w:rPr>
        <w:t xml:space="preserve"> 199, 213, 647, 882, 1073, 1098; </w:t>
      </w:r>
      <w:r w:rsidRPr="00B15395">
        <w:rPr>
          <w:rFonts w:cs="Times New Roman"/>
          <w:i/>
          <w:iCs/>
          <w:sz w:val="20"/>
          <w:szCs w:val="20"/>
          <w:lang w:val="en-US"/>
        </w:rPr>
        <w:t>Iph. T.</w:t>
      </w:r>
      <w:r w:rsidRPr="00B15395">
        <w:rPr>
          <w:rFonts w:cs="Times New Roman"/>
          <w:sz w:val="20"/>
          <w:szCs w:val="20"/>
          <w:lang w:val="en-US"/>
        </w:rPr>
        <w:t xml:space="preserve"> 211; </w:t>
      </w:r>
      <w:r w:rsidRPr="00B15395">
        <w:rPr>
          <w:rFonts w:cs="Times New Roman"/>
          <w:i/>
          <w:iCs/>
          <w:sz w:val="20"/>
          <w:szCs w:val="20"/>
          <w:lang w:val="en-US"/>
        </w:rPr>
        <w:t xml:space="preserve">Phoen. </w:t>
      </w:r>
      <w:r w:rsidRPr="00B15395">
        <w:rPr>
          <w:rFonts w:cs="Times New Roman"/>
          <w:sz w:val="20"/>
          <w:szCs w:val="20"/>
          <w:lang w:val="en-US"/>
        </w:rPr>
        <w:t xml:space="preserve">319; </w:t>
      </w:r>
      <w:r w:rsidRPr="00B15395">
        <w:rPr>
          <w:rFonts w:cs="Times New Roman"/>
          <w:i/>
          <w:iCs/>
          <w:sz w:val="20"/>
          <w:szCs w:val="20"/>
          <w:lang w:val="en-US"/>
        </w:rPr>
        <w:t>Tr</w:t>
      </w:r>
      <w:r w:rsidRPr="00B15395">
        <w:rPr>
          <w:rFonts w:cs="Times New Roman"/>
          <w:sz w:val="20"/>
          <w:szCs w:val="20"/>
          <w:lang w:val="en-US"/>
        </w:rPr>
        <w:t>. 132.</w:t>
      </w:r>
    </w:p>
  </w:footnote>
  <w:footnote w:id="189">
    <w:p w14:paraId="49BD18A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Il</w:t>
      </w:r>
      <w:r w:rsidRPr="00B15395">
        <w:rPr>
          <w:rFonts w:cs="Times New Roman"/>
          <w:sz w:val="20"/>
          <w:szCs w:val="20"/>
          <w:lang w:val="en-US"/>
        </w:rPr>
        <w:t>. 16. 745, 749; 21.354.</w:t>
      </w:r>
    </w:p>
  </w:footnote>
  <w:footnote w:id="190">
    <w:p w14:paraId="7668DF9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Xen. </w:t>
      </w:r>
      <w:r w:rsidRPr="00B15395">
        <w:rPr>
          <w:rFonts w:cs="Times New Roman"/>
          <w:i/>
          <w:iCs/>
          <w:sz w:val="20"/>
          <w:szCs w:val="20"/>
          <w:lang w:val="en-US"/>
        </w:rPr>
        <w:t>Mem.</w:t>
      </w:r>
      <w:r w:rsidRPr="00B15395">
        <w:rPr>
          <w:rFonts w:cs="Times New Roman"/>
          <w:sz w:val="20"/>
          <w:szCs w:val="20"/>
          <w:lang w:val="en-US"/>
        </w:rPr>
        <w:t xml:space="preserve"> 1.3.10.1; </w:t>
      </w:r>
      <w:r w:rsidRPr="00B15395">
        <w:rPr>
          <w:rFonts w:cs="Times New Roman"/>
          <w:i/>
          <w:iCs/>
          <w:sz w:val="20"/>
          <w:szCs w:val="20"/>
          <w:lang w:val="en-US"/>
        </w:rPr>
        <w:t xml:space="preserve">Oec. </w:t>
      </w:r>
      <w:r w:rsidRPr="00B15395">
        <w:rPr>
          <w:rFonts w:cs="Times New Roman"/>
          <w:sz w:val="20"/>
          <w:szCs w:val="20"/>
          <w:lang w:val="en-US"/>
        </w:rPr>
        <w:t xml:space="preserve">13.8.3; </w:t>
      </w:r>
      <w:r w:rsidRPr="00B15395">
        <w:rPr>
          <w:rFonts w:cs="Times New Roman"/>
          <w:i/>
          <w:iCs/>
          <w:sz w:val="20"/>
          <w:szCs w:val="20"/>
          <w:lang w:val="en-US"/>
        </w:rPr>
        <w:t>Symp.</w:t>
      </w:r>
      <w:r w:rsidRPr="00B15395">
        <w:rPr>
          <w:rFonts w:cs="Times New Roman"/>
          <w:sz w:val="20"/>
          <w:szCs w:val="20"/>
          <w:lang w:val="en-US"/>
        </w:rPr>
        <w:t xml:space="preserve"> 2.11.2; 2.14.3; 7.3.1.</w:t>
      </w:r>
    </w:p>
  </w:footnote>
  <w:footnote w:id="191">
    <w:p w14:paraId="3055B06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Pl. </w:t>
      </w:r>
      <w:r w:rsidRPr="00B15395">
        <w:rPr>
          <w:rFonts w:cs="Times New Roman"/>
          <w:i/>
          <w:iCs/>
          <w:sz w:val="20"/>
          <w:szCs w:val="20"/>
          <w:lang w:val="en-US"/>
        </w:rPr>
        <w:t xml:space="preserve">Euth. </w:t>
      </w:r>
      <w:r w:rsidRPr="00B15395">
        <w:rPr>
          <w:rFonts w:cs="Times New Roman"/>
          <w:sz w:val="20"/>
          <w:szCs w:val="20"/>
          <w:lang w:val="en-US"/>
        </w:rPr>
        <w:t xml:space="preserve">294e.2; </w:t>
      </w:r>
      <w:r w:rsidRPr="00B15395">
        <w:rPr>
          <w:rFonts w:cs="Times New Roman"/>
          <w:i/>
          <w:iCs/>
          <w:sz w:val="20"/>
          <w:szCs w:val="20"/>
          <w:lang w:val="en-US"/>
        </w:rPr>
        <w:t>Symp.</w:t>
      </w:r>
      <w:r w:rsidRPr="00B15395">
        <w:rPr>
          <w:rFonts w:cs="Times New Roman"/>
          <w:sz w:val="20"/>
          <w:szCs w:val="20"/>
          <w:lang w:val="en-US"/>
        </w:rPr>
        <w:t xml:space="preserve"> 190a.6, 7.</w:t>
      </w:r>
    </w:p>
  </w:footnote>
  <w:footnote w:id="192">
    <w:p w14:paraId="7983B75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Sol. fr. 4.34 (West); Simon. fr. 26.1.5 (Page); Pind. </w:t>
      </w:r>
      <w:r w:rsidRPr="00B15395">
        <w:rPr>
          <w:rFonts w:cs="Times New Roman"/>
          <w:i/>
          <w:iCs/>
          <w:sz w:val="20"/>
          <w:szCs w:val="20"/>
          <w:lang w:val="en-US"/>
        </w:rPr>
        <w:t>Isth</w:t>
      </w:r>
      <w:r w:rsidRPr="00B15395">
        <w:rPr>
          <w:rFonts w:cs="Times New Roman"/>
          <w:sz w:val="20"/>
          <w:szCs w:val="20"/>
          <w:lang w:val="en-US"/>
        </w:rPr>
        <w:t xml:space="preserve">. 3/4.66; </w:t>
      </w:r>
      <w:r w:rsidRPr="00B15395">
        <w:rPr>
          <w:rFonts w:cs="Times New Roman"/>
          <w:i/>
          <w:iCs/>
          <w:sz w:val="20"/>
          <w:szCs w:val="20"/>
          <w:lang w:val="en-US"/>
        </w:rPr>
        <w:t>Pyth</w:t>
      </w:r>
      <w:r w:rsidRPr="00B15395">
        <w:rPr>
          <w:rFonts w:cs="Times New Roman"/>
          <w:sz w:val="20"/>
          <w:szCs w:val="20"/>
          <w:lang w:val="en-US"/>
        </w:rPr>
        <w:t xml:space="preserve">. 12.13; </w:t>
      </w:r>
      <w:r w:rsidRPr="00B15395">
        <w:rPr>
          <w:rFonts w:cs="Times New Roman"/>
          <w:i/>
          <w:iCs/>
          <w:sz w:val="20"/>
          <w:szCs w:val="20"/>
          <w:lang w:val="en-US"/>
        </w:rPr>
        <w:t>Encom</w:t>
      </w:r>
      <w:r w:rsidRPr="00B15395">
        <w:rPr>
          <w:rFonts w:cs="Times New Roman"/>
          <w:sz w:val="20"/>
          <w:szCs w:val="20"/>
          <w:lang w:val="en-US"/>
        </w:rPr>
        <w:t>. fr. 126.1 (Maehler)</w:t>
      </w:r>
    </w:p>
  </w:footnote>
  <w:footnote w:id="193">
    <w:p w14:paraId="72A6D59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Aesch. frs. 29.1; 123a.1 (Radt); </w:t>
      </w:r>
      <w:r w:rsidRPr="00B15395">
        <w:rPr>
          <w:rFonts w:cs="Times New Roman"/>
          <w:i/>
          <w:iCs/>
          <w:sz w:val="20"/>
          <w:szCs w:val="20"/>
          <w:lang w:val="en-US"/>
        </w:rPr>
        <w:t>Suppl</w:t>
      </w:r>
      <w:r w:rsidRPr="00B15395">
        <w:rPr>
          <w:rFonts w:cs="Times New Roman"/>
          <w:sz w:val="20"/>
          <w:szCs w:val="20"/>
          <w:lang w:val="en-US"/>
        </w:rPr>
        <w:t>. 988.</w:t>
      </w:r>
    </w:p>
  </w:footnote>
  <w:footnote w:id="194">
    <w:p w14:paraId="055CD45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Soph. frs. 740; 741 (Radt).</w:t>
      </w:r>
    </w:p>
  </w:footnote>
  <w:footnote w:id="195">
    <w:p w14:paraId="554B5A1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Aesch. </w:t>
      </w:r>
      <w:r w:rsidRPr="00B15395">
        <w:rPr>
          <w:rFonts w:cs="Times New Roman"/>
          <w:i/>
          <w:iCs/>
          <w:sz w:val="20"/>
          <w:szCs w:val="20"/>
          <w:lang w:val="en-US"/>
        </w:rPr>
        <w:t>Pr. V.</w:t>
      </w:r>
      <w:r w:rsidRPr="00B15395">
        <w:rPr>
          <w:rFonts w:cs="Times New Roman"/>
          <w:sz w:val="20"/>
          <w:szCs w:val="20"/>
          <w:lang w:val="en-US"/>
        </w:rPr>
        <w:t xml:space="preserve"> 804.</w:t>
      </w:r>
    </w:p>
  </w:footnote>
  <w:footnote w:id="196">
    <w:p w14:paraId="46CBCC3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Eur. </w:t>
      </w:r>
      <w:r w:rsidRPr="00B15395">
        <w:rPr>
          <w:rFonts w:cs="Times New Roman"/>
          <w:i/>
          <w:iCs/>
          <w:sz w:val="20"/>
          <w:szCs w:val="20"/>
          <w:lang w:val="en-US"/>
        </w:rPr>
        <w:t>Cyc.</w:t>
      </w:r>
      <w:r w:rsidRPr="00B15395">
        <w:rPr>
          <w:rFonts w:cs="Times New Roman"/>
          <w:sz w:val="20"/>
          <w:szCs w:val="20"/>
          <w:lang w:val="en-US"/>
        </w:rPr>
        <w:t xml:space="preserve"> 21, 648.</w:t>
      </w:r>
    </w:p>
  </w:footnote>
  <w:footnote w:id="197">
    <w:p w14:paraId="6E35884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Pfeiffer 1985</w:t>
      </w:r>
      <w:r w:rsidRPr="00B15395">
        <w:rPr>
          <w:rFonts w:cs="Times New Roman"/>
          <w:sz w:val="20"/>
          <w:szCs w:val="20"/>
          <w:vertAlign w:val="superscript"/>
          <w:lang w:val="en-US"/>
        </w:rPr>
        <w:t>2</w:t>
      </w:r>
      <w:r w:rsidRPr="00B15395">
        <w:rPr>
          <w:rFonts w:cs="Times New Roman"/>
          <w:sz w:val="20"/>
          <w:szCs w:val="20"/>
          <w:lang w:val="en-US"/>
        </w:rPr>
        <w:t xml:space="preserve"> (1949) 1: 182. One may make a comparison with Hippon. fr. 75.2: φυκι[.</w:t>
      </w:r>
    </w:p>
  </w:footnote>
  <w:footnote w:id="198">
    <w:p w14:paraId="19616ACC" w14:textId="31BB7A3E" w:rsidR="00D808B7" w:rsidRPr="0041663F" w:rsidRDefault="00D808B7">
      <w:pPr>
        <w:pStyle w:val="FootnoteText"/>
        <w:rPr>
          <w:lang w:val="en-US"/>
        </w:rPr>
      </w:pPr>
      <w:r>
        <w:rPr>
          <w:rStyle w:val="FootnoteReference"/>
        </w:rPr>
        <w:footnoteRef/>
      </w:r>
      <w:r>
        <w:t xml:space="preserve"> </w:t>
      </w:r>
      <w:r>
        <w:rPr>
          <w:lang w:val="en-US"/>
        </w:rPr>
        <w:t xml:space="preserve">Transl. by A. T. Murray. </w:t>
      </w:r>
    </w:p>
  </w:footnote>
  <w:footnote w:id="199">
    <w:p w14:paraId="52E0BC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scholia in</w:t>
      </w:r>
      <w:r w:rsidRPr="00B15395">
        <w:rPr>
          <w:rFonts w:cs="Times New Roman"/>
          <w:i/>
          <w:iCs/>
          <w:sz w:val="20"/>
          <w:szCs w:val="20"/>
          <w:lang w:val="en-US"/>
        </w:rPr>
        <w:t xml:space="preserve"> Odysseam</w:t>
      </w:r>
      <w:r w:rsidRPr="00B15395">
        <w:rPr>
          <w:rFonts w:cs="Times New Roman"/>
          <w:sz w:val="20"/>
          <w:szCs w:val="20"/>
          <w:lang w:val="en-US"/>
        </w:rPr>
        <w:t xml:space="preserve"> 449; Eust. </w:t>
      </w:r>
      <w:r w:rsidRPr="00B15395">
        <w:rPr>
          <w:rFonts w:cs="Times New Roman"/>
          <w:i/>
          <w:iCs/>
          <w:sz w:val="20"/>
          <w:szCs w:val="20"/>
          <w:lang w:val="en-US"/>
        </w:rPr>
        <w:t>ad Od.</w:t>
      </w:r>
      <w:r w:rsidRPr="00B15395">
        <w:rPr>
          <w:rFonts w:cs="Times New Roman"/>
          <w:sz w:val="20"/>
          <w:szCs w:val="20"/>
          <w:lang w:val="en-US"/>
        </w:rPr>
        <w:t xml:space="preserve"> 449 (2.106.27).</w:t>
      </w:r>
    </w:p>
  </w:footnote>
  <w:footnote w:id="200">
    <w:p w14:paraId="7B040405" w14:textId="037D31C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 xml:space="preserve"> </w:t>
      </w:r>
      <w:r>
        <w:rPr>
          <w:rFonts w:cs="Times New Roman"/>
          <w:sz w:val="20"/>
          <w:szCs w:val="20"/>
          <w:lang w:val="en-US"/>
        </w:rPr>
        <w:t xml:space="preserve">It must be noted that it is not clear whether Apollonius’ passage comes chronologically earlier than Callimachus’ one. </w:t>
      </w:r>
    </w:p>
  </w:footnote>
  <w:footnote w:id="201">
    <w:p w14:paraId="641B2E5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Pl. </w:t>
      </w:r>
      <w:r w:rsidRPr="00B15395">
        <w:rPr>
          <w:rFonts w:cs="Times New Roman"/>
          <w:i/>
          <w:iCs/>
          <w:sz w:val="20"/>
          <w:szCs w:val="20"/>
          <w:lang w:val="en-US"/>
        </w:rPr>
        <w:t xml:space="preserve">Tim. </w:t>
      </w:r>
      <w:r w:rsidRPr="00B15395">
        <w:rPr>
          <w:rFonts w:cs="Times New Roman"/>
          <w:sz w:val="20"/>
          <w:szCs w:val="20"/>
          <w:lang w:val="en-US"/>
        </w:rPr>
        <w:t>61e.</w:t>
      </w:r>
    </w:p>
  </w:footnote>
  <w:footnote w:id="202">
    <w:p w14:paraId="01CCFF6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Andocides (once) 1.110. Antipho (once) 3.31.1. Dem. (5 times) </w:t>
      </w:r>
      <w:r w:rsidRPr="00B15395">
        <w:rPr>
          <w:rFonts w:cs="Times New Roman"/>
          <w:i/>
          <w:iCs/>
          <w:sz w:val="20"/>
          <w:szCs w:val="20"/>
          <w:lang w:val="en-US"/>
        </w:rPr>
        <w:t>Contra Beotum 2</w:t>
      </w:r>
      <w:r w:rsidRPr="00B15395">
        <w:rPr>
          <w:rFonts w:cs="Times New Roman"/>
          <w:sz w:val="20"/>
          <w:szCs w:val="20"/>
          <w:lang w:val="en-US"/>
        </w:rPr>
        <w:t xml:space="preserve"> 53.5; </w:t>
      </w:r>
      <w:r w:rsidRPr="00B15395">
        <w:rPr>
          <w:rFonts w:cs="Times New Roman"/>
          <w:i/>
          <w:iCs/>
          <w:sz w:val="20"/>
          <w:szCs w:val="20"/>
          <w:lang w:val="en-US"/>
        </w:rPr>
        <w:t>Contra Macartatum</w:t>
      </w:r>
      <w:r w:rsidRPr="00B15395">
        <w:rPr>
          <w:rFonts w:cs="Times New Roman"/>
          <w:sz w:val="20"/>
          <w:szCs w:val="20"/>
          <w:lang w:val="en-US"/>
        </w:rPr>
        <w:t xml:space="preserve"> 42.1; </w:t>
      </w:r>
      <w:r w:rsidRPr="00B15395">
        <w:rPr>
          <w:rFonts w:cs="Times New Roman"/>
          <w:i/>
          <w:iCs/>
          <w:sz w:val="20"/>
          <w:szCs w:val="20"/>
          <w:lang w:val="en-US"/>
        </w:rPr>
        <w:t>Epit.</w:t>
      </w:r>
      <w:r w:rsidRPr="00B15395">
        <w:rPr>
          <w:rFonts w:cs="Times New Roman"/>
          <w:sz w:val="20"/>
          <w:szCs w:val="20"/>
          <w:lang w:val="en-US"/>
        </w:rPr>
        <w:t xml:space="preserve"> 21.5; </w:t>
      </w:r>
      <w:r w:rsidRPr="00B15395">
        <w:rPr>
          <w:rFonts w:cs="Times New Roman"/>
          <w:i/>
          <w:iCs/>
          <w:sz w:val="20"/>
          <w:szCs w:val="20"/>
          <w:lang w:val="en-US"/>
        </w:rPr>
        <w:t>In Arist.</w:t>
      </w:r>
      <w:r w:rsidRPr="00B15395">
        <w:rPr>
          <w:rFonts w:cs="Times New Roman"/>
          <w:sz w:val="20"/>
          <w:szCs w:val="20"/>
          <w:lang w:val="en-US"/>
        </w:rPr>
        <w:t xml:space="preserve"> 1 24.6; </w:t>
      </w:r>
      <w:r w:rsidRPr="00B15395">
        <w:rPr>
          <w:rFonts w:cs="Times New Roman"/>
          <w:i/>
          <w:iCs/>
          <w:sz w:val="20"/>
          <w:szCs w:val="20"/>
          <w:lang w:val="en-US"/>
        </w:rPr>
        <w:t>In Dion.</w:t>
      </w:r>
      <w:r w:rsidRPr="00B15395">
        <w:rPr>
          <w:rFonts w:cs="Times New Roman"/>
          <w:sz w:val="20"/>
          <w:szCs w:val="20"/>
          <w:lang w:val="en-US"/>
        </w:rPr>
        <w:t xml:space="preserve"> 19.4. Isocr. (5 times) 3.21.4; 11.34.4; 12.19.2; 14.8.7; 15.51.6. Lys. (4 times) </w:t>
      </w:r>
      <w:r w:rsidRPr="00B15395">
        <w:rPr>
          <w:rFonts w:cs="Times New Roman"/>
          <w:i/>
          <w:iCs/>
          <w:sz w:val="20"/>
          <w:szCs w:val="20"/>
          <w:lang w:val="en-US"/>
        </w:rPr>
        <w:t>Aerop.</w:t>
      </w:r>
      <w:r w:rsidRPr="00B15395">
        <w:rPr>
          <w:rFonts w:cs="Times New Roman"/>
          <w:sz w:val="20"/>
          <w:szCs w:val="20"/>
          <w:lang w:val="en-US"/>
        </w:rPr>
        <w:t xml:space="preserve"> 19.2; </w:t>
      </w:r>
      <w:r w:rsidRPr="00B15395">
        <w:rPr>
          <w:rFonts w:cs="Times New Roman"/>
          <w:i/>
          <w:iCs/>
          <w:sz w:val="20"/>
          <w:szCs w:val="20"/>
          <w:lang w:val="en-US"/>
        </w:rPr>
        <w:t>Contra Simonem</w:t>
      </w:r>
      <w:r w:rsidRPr="00B15395">
        <w:rPr>
          <w:rFonts w:cs="Times New Roman"/>
          <w:sz w:val="20"/>
          <w:szCs w:val="20"/>
          <w:lang w:val="en-US"/>
        </w:rPr>
        <w:t xml:space="preserve"> 20.5; </w:t>
      </w:r>
      <w:r w:rsidRPr="00B15395">
        <w:rPr>
          <w:rFonts w:cs="Times New Roman"/>
          <w:i/>
          <w:iCs/>
          <w:sz w:val="20"/>
          <w:szCs w:val="20"/>
          <w:lang w:val="en-US"/>
        </w:rPr>
        <w:t>In Agoratum</w:t>
      </w:r>
      <w:r w:rsidRPr="00B15395">
        <w:rPr>
          <w:rFonts w:cs="Times New Roman"/>
          <w:sz w:val="20"/>
          <w:szCs w:val="20"/>
          <w:lang w:val="en-US"/>
        </w:rPr>
        <w:t xml:space="preserve"> 80.4; </w:t>
      </w:r>
      <w:r w:rsidRPr="00B15395">
        <w:rPr>
          <w:rFonts w:cs="Times New Roman"/>
          <w:i/>
          <w:iCs/>
          <w:sz w:val="20"/>
          <w:szCs w:val="20"/>
          <w:lang w:val="en-US"/>
        </w:rPr>
        <w:t>In Philonem</w:t>
      </w:r>
      <w:r w:rsidRPr="00B15395">
        <w:rPr>
          <w:rFonts w:cs="Times New Roman"/>
          <w:sz w:val="20"/>
          <w:szCs w:val="20"/>
          <w:lang w:val="en-US"/>
        </w:rPr>
        <w:t xml:space="preserve"> 1.4.</w:t>
      </w:r>
    </w:p>
  </w:footnote>
  <w:footnote w:id="203">
    <w:p w14:paraId="306E85FB"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en-US"/>
        </w:rPr>
        <w:tab/>
        <w:t xml:space="preserve">Cf. also Pl. </w:t>
      </w:r>
      <w:r w:rsidRPr="00B15395">
        <w:rPr>
          <w:rFonts w:cs="Times New Roman"/>
          <w:i/>
          <w:iCs/>
          <w:sz w:val="20"/>
          <w:szCs w:val="20"/>
          <w:lang w:val="en-US"/>
        </w:rPr>
        <w:t xml:space="preserve">Gor. </w:t>
      </w:r>
      <w:r w:rsidRPr="00B15395">
        <w:rPr>
          <w:rFonts w:cs="Times New Roman"/>
          <w:sz w:val="20"/>
          <w:szCs w:val="20"/>
          <w:lang w:val="en-US"/>
        </w:rPr>
        <w:t xml:space="preserve">457a.1; </w:t>
      </w:r>
      <w:r w:rsidRPr="00B15395">
        <w:rPr>
          <w:rFonts w:cs="Times New Roman"/>
          <w:i/>
          <w:iCs/>
          <w:sz w:val="20"/>
          <w:szCs w:val="20"/>
          <w:lang w:val="en-US"/>
        </w:rPr>
        <w:t>Resp.</w:t>
      </w:r>
      <w:r w:rsidRPr="00B15395">
        <w:rPr>
          <w:rFonts w:cs="Times New Roman"/>
          <w:sz w:val="20"/>
          <w:szCs w:val="20"/>
          <w:lang w:val="en-US"/>
        </w:rPr>
        <w:t xml:space="preserve"> 587d.12; </w:t>
      </w:r>
      <w:r w:rsidRPr="00B15395">
        <w:rPr>
          <w:rFonts w:cs="Times New Roman"/>
          <w:i/>
          <w:iCs/>
          <w:sz w:val="20"/>
          <w:szCs w:val="20"/>
          <w:lang w:val="en-US"/>
        </w:rPr>
        <w:t xml:space="preserve">Theae. </w:t>
      </w:r>
      <w:r w:rsidRPr="00B15395">
        <w:rPr>
          <w:rFonts w:cs="Times New Roman"/>
          <w:sz w:val="20"/>
          <w:szCs w:val="20"/>
          <w:lang w:val="nl-NL"/>
        </w:rPr>
        <w:t>191c.2.</w:t>
      </w:r>
    </w:p>
  </w:footnote>
  <w:footnote w:id="204">
    <w:p w14:paraId="1B16C22F"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 xml:space="preserve">Cf. Arist. </w:t>
      </w:r>
      <w:r w:rsidRPr="00B15395">
        <w:rPr>
          <w:rFonts w:cs="Times New Roman"/>
          <w:i/>
          <w:iCs/>
          <w:sz w:val="20"/>
          <w:szCs w:val="20"/>
          <w:lang w:val="nl-NL"/>
        </w:rPr>
        <w:t>Et. Eu.</w:t>
      </w:r>
      <w:r w:rsidRPr="00B15395">
        <w:rPr>
          <w:rFonts w:cs="Times New Roman"/>
          <w:sz w:val="20"/>
          <w:szCs w:val="20"/>
          <w:lang w:val="nl-NL"/>
        </w:rPr>
        <w:t xml:space="preserve"> 1246a.33.</w:t>
      </w:r>
    </w:p>
  </w:footnote>
  <w:footnote w:id="205">
    <w:p w14:paraId="532440F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Pl. </w:t>
      </w:r>
      <w:r w:rsidRPr="00B15395">
        <w:rPr>
          <w:rFonts w:cs="Times New Roman"/>
          <w:i/>
          <w:iCs/>
          <w:sz w:val="20"/>
          <w:szCs w:val="20"/>
          <w:lang w:val="en-US"/>
        </w:rPr>
        <w:t xml:space="preserve">Ph. </w:t>
      </w:r>
      <w:r w:rsidRPr="00B15395">
        <w:rPr>
          <w:rFonts w:cs="Times New Roman"/>
          <w:sz w:val="20"/>
          <w:szCs w:val="20"/>
          <w:lang w:val="en-US"/>
        </w:rPr>
        <w:t xml:space="preserve">250c.3; Xen. </w:t>
      </w:r>
      <w:r w:rsidRPr="00B15395">
        <w:rPr>
          <w:rFonts w:cs="Times New Roman"/>
          <w:i/>
          <w:iCs/>
          <w:sz w:val="20"/>
          <w:szCs w:val="20"/>
          <w:lang w:val="en-US"/>
        </w:rPr>
        <w:t xml:space="preserve">Symp. </w:t>
      </w:r>
      <w:r w:rsidRPr="00B15395">
        <w:rPr>
          <w:rFonts w:cs="Times New Roman"/>
          <w:sz w:val="20"/>
          <w:szCs w:val="20"/>
          <w:lang w:val="en-US"/>
        </w:rPr>
        <w:t>8.3.5.</w:t>
      </w:r>
    </w:p>
  </w:footnote>
  <w:footnote w:id="206">
    <w:p w14:paraId="30DC3C6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Parm. frs. 1.52; 7.23; 8.4.</w:t>
      </w:r>
    </w:p>
  </w:footnote>
  <w:footnote w:id="207">
    <w:p w14:paraId="0C06605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Parsons 2011: 145-149.</w:t>
      </w:r>
    </w:p>
  </w:footnote>
  <w:footnote w:id="208">
    <w:p w14:paraId="6BAA951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Lys. 18.20.</w:t>
      </w:r>
    </w:p>
  </w:footnote>
  <w:footnote w:id="209">
    <w:p w14:paraId="0A256E24" w14:textId="7E5B5B9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Ran.</w:t>
      </w:r>
      <w:r w:rsidRPr="00B15395">
        <w:rPr>
          <w:rFonts w:cs="Times New Roman"/>
          <w:sz w:val="20"/>
          <w:szCs w:val="20"/>
          <w:lang w:val="en-US"/>
        </w:rPr>
        <w:t xml:space="preserve"> 507; </w:t>
      </w:r>
      <w:r w:rsidRPr="00B15395">
        <w:rPr>
          <w:rFonts w:cs="Times New Roman"/>
          <w:i/>
          <w:iCs/>
          <w:sz w:val="20"/>
          <w:szCs w:val="20"/>
          <w:lang w:val="en-US"/>
        </w:rPr>
        <w:t>Pax</w:t>
      </w:r>
      <w:r w:rsidRPr="00B15395">
        <w:rPr>
          <w:rFonts w:cs="Times New Roman"/>
          <w:sz w:val="20"/>
          <w:szCs w:val="20"/>
          <w:lang w:val="en-US"/>
        </w:rPr>
        <w:t xml:space="preserve"> 1196; frs. 522; 520 K-A); Philyll. fr. 4 K-A with the meaning of “small cakes”; Ar. </w:t>
      </w:r>
      <w:r w:rsidRPr="00B15395">
        <w:rPr>
          <w:rFonts w:cs="Times New Roman"/>
          <w:i/>
          <w:iCs/>
          <w:sz w:val="20"/>
          <w:szCs w:val="20"/>
          <w:lang w:val="en-US"/>
        </w:rPr>
        <w:t xml:space="preserve">Pax </w:t>
      </w:r>
      <w:r w:rsidRPr="00B15395">
        <w:rPr>
          <w:rFonts w:cs="Times New Roman"/>
          <w:sz w:val="20"/>
          <w:szCs w:val="20"/>
          <w:lang w:val="en-US"/>
        </w:rPr>
        <w:t>1200; Eup. fr. 247 K-A with the meaning of “small coin.”</w:t>
      </w:r>
    </w:p>
  </w:footnote>
  <w:footnote w:id="210">
    <w:p w14:paraId="311D23A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IG</w:t>
      </w:r>
      <w:r w:rsidRPr="00B15395">
        <w:rPr>
          <w:rFonts w:cs="Times New Roman"/>
          <w:sz w:val="20"/>
          <w:szCs w:val="20"/>
          <w:lang w:val="en-US"/>
        </w:rPr>
        <w:t xml:space="preserve"> 12(5). 817 (Tenos, III BC), </w:t>
      </w:r>
      <w:r w:rsidRPr="00B15395">
        <w:rPr>
          <w:rFonts w:cs="Times New Roman"/>
          <w:i/>
          <w:iCs/>
          <w:sz w:val="20"/>
          <w:szCs w:val="20"/>
          <w:lang w:val="en-US"/>
        </w:rPr>
        <w:t>SIG</w:t>
      </w:r>
      <w:r w:rsidRPr="00B15395">
        <w:rPr>
          <w:rFonts w:cs="Times New Roman"/>
          <w:sz w:val="20"/>
          <w:szCs w:val="20"/>
          <w:lang w:val="en-US"/>
        </w:rPr>
        <w:t xml:space="preserve"> 672.32 (Delphi, III/II BC).</w:t>
      </w:r>
    </w:p>
  </w:footnote>
  <w:footnote w:id="211">
    <w:p w14:paraId="45EEB29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Acosta-Hughes 2002: 187-188.</w:t>
      </w:r>
    </w:p>
  </w:footnote>
  <w:footnote w:id="212">
    <w:p w14:paraId="7145FF4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Il</w:t>
      </w:r>
      <w:r w:rsidRPr="00B15395">
        <w:rPr>
          <w:rFonts w:cs="Times New Roman"/>
          <w:sz w:val="20"/>
          <w:szCs w:val="20"/>
          <w:lang w:val="en-US"/>
        </w:rPr>
        <w:t xml:space="preserve">. 3.214; </w:t>
      </w:r>
      <w:r w:rsidRPr="00B15395">
        <w:rPr>
          <w:rFonts w:cs="Times New Roman"/>
          <w:i/>
          <w:iCs/>
          <w:sz w:val="20"/>
          <w:szCs w:val="20"/>
          <w:lang w:val="en-US"/>
        </w:rPr>
        <w:t>Od</w:t>
      </w:r>
      <w:r w:rsidRPr="00B15395">
        <w:rPr>
          <w:rFonts w:cs="Times New Roman"/>
          <w:sz w:val="20"/>
          <w:szCs w:val="20"/>
          <w:lang w:val="en-US"/>
        </w:rPr>
        <w:t>. 2.200.</w:t>
      </w:r>
    </w:p>
  </w:footnote>
  <w:footnote w:id="213">
    <w:p w14:paraId="256032D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Pind. </w:t>
      </w:r>
      <w:r w:rsidRPr="00B15395">
        <w:rPr>
          <w:rFonts w:cs="Times New Roman"/>
          <w:i/>
          <w:iCs/>
          <w:sz w:val="20"/>
          <w:szCs w:val="20"/>
          <w:lang w:val="en-US"/>
        </w:rPr>
        <w:t>Pyth</w:t>
      </w:r>
      <w:r w:rsidRPr="00B15395">
        <w:rPr>
          <w:rFonts w:cs="Times New Roman"/>
          <w:sz w:val="20"/>
          <w:szCs w:val="20"/>
          <w:lang w:val="en-US"/>
        </w:rPr>
        <w:t>. 9.76.</w:t>
      </w:r>
    </w:p>
  </w:footnote>
  <w:footnote w:id="214">
    <w:p w14:paraId="768C5F4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Fraenkel 1950: 122-123; LSJ</w:t>
      </w:r>
      <w:r w:rsidRPr="00B15395">
        <w:rPr>
          <w:rFonts w:cs="Times New Roman"/>
          <w:sz w:val="20"/>
          <w:szCs w:val="20"/>
          <w:vertAlign w:val="superscript"/>
          <w:lang w:val="en-US"/>
        </w:rPr>
        <w:t xml:space="preserve">9 </w:t>
      </w:r>
      <w:r w:rsidRPr="00B15395">
        <w:rPr>
          <w:rFonts w:cs="Times New Roman"/>
          <w:i/>
          <w:iCs/>
          <w:sz w:val="20"/>
          <w:szCs w:val="20"/>
          <w:lang w:val="en-US"/>
        </w:rPr>
        <w:t>s.v.</w:t>
      </w:r>
      <w:r w:rsidRPr="00B15395">
        <w:rPr>
          <w:rFonts w:cs="Times New Roman"/>
          <w:sz w:val="20"/>
          <w:szCs w:val="20"/>
          <w:lang w:val="en-US"/>
        </w:rPr>
        <w:t xml:space="preserve"> λιπόναυς.</w:t>
      </w:r>
    </w:p>
  </w:footnote>
  <w:footnote w:id="215">
    <w:p w14:paraId="022F8DC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Harder 2012 1: 29, 48.</w:t>
      </w:r>
    </w:p>
  </w:footnote>
  <w:footnote w:id="216">
    <w:p w14:paraId="755E7EED" w14:textId="156CC51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D’Alessio 1996: 595. </w:t>
      </w:r>
    </w:p>
  </w:footnote>
  <w:footnote w:id="217">
    <w:p w14:paraId="45384B6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239. </w:t>
      </w:r>
    </w:p>
  </w:footnote>
  <w:footnote w:id="218">
    <w:p w14:paraId="6545CED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Gow 1965 II: 532.  </w:t>
      </w:r>
    </w:p>
  </w:footnote>
  <w:footnote w:id="219">
    <w:p w14:paraId="20B5269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263; Acosta-Hughes and Stephens 2012: 78-80.</w:t>
      </w:r>
    </w:p>
  </w:footnote>
  <w:footnote w:id="220">
    <w:p w14:paraId="60970EF4" w14:textId="547B9C4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D’Alessio 1996: 617.</w:t>
      </w:r>
    </w:p>
  </w:footnote>
  <w:footnote w:id="221">
    <w:p w14:paraId="2F2A9C71" w14:textId="39AFB2D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Willi 2010: 297, “whereas ‘dialects’ and ‘sociolets’ are varieties defined by groups of speakers, other varieties are constituted by a shared topic (technical languages) or by a shared situational framework: it is the latter which should be referred to as ‘registers’.”</w:t>
      </w:r>
    </w:p>
  </w:footnote>
  <w:footnote w:id="222">
    <w:p w14:paraId="10C059B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Willi 2010: 298. </w:t>
      </w:r>
    </w:p>
  </w:footnote>
  <w:footnote w:id="223">
    <w:p w14:paraId="3E3DAF7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Bakhtin 1981: 295.</w:t>
      </w:r>
    </w:p>
  </w:footnote>
  <w:footnote w:id="224">
    <w:p w14:paraId="5F80819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Kristeva 1980: 73.</w:t>
      </w:r>
    </w:p>
  </w:footnote>
  <w:footnote w:id="225">
    <w:p w14:paraId="5FF7EA7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Nagy 1996: 218-220.</w:t>
      </w:r>
    </w:p>
  </w:footnote>
  <w:footnote w:id="226">
    <w:p w14:paraId="44EA15E5" w14:textId="598579B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Sevieri (1998: 196) who says “il testo diviene un microcosmo autonomo: ma si tratta in fondo, anche in questo caso, del medesimo procedimento che consente a un testo occasionale di comprendere entro il proprio orizzonte anche la seconda performce, costituita da tutti i possibili future fruitori.”</w:t>
      </w:r>
    </w:p>
  </w:footnote>
  <w:footnote w:id="227">
    <w:p w14:paraId="6356BD0B" w14:textId="27172A8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Kristeva 1980: 68 “the term </w:t>
      </w:r>
      <w:r w:rsidRPr="00B15395">
        <w:rPr>
          <w:rFonts w:cs="Times New Roman"/>
          <w:i/>
          <w:iCs/>
          <w:sz w:val="20"/>
          <w:szCs w:val="20"/>
          <w:lang w:val="en-US"/>
        </w:rPr>
        <w:t>ambivalence</w:t>
      </w:r>
      <w:r w:rsidRPr="00B15395">
        <w:rPr>
          <w:rFonts w:cs="Times New Roman"/>
          <w:sz w:val="20"/>
          <w:szCs w:val="20"/>
          <w:lang w:val="en-US"/>
        </w:rPr>
        <w:t xml:space="preserve"> implies the insertion of history (society) into a text, and of this text into history.”</w:t>
      </w:r>
    </w:p>
  </w:footnote>
  <w:footnote w:id="228">
    <w:p w14:paraId="119F3A72"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Kristeva 1980: 74.</w:t>
      </w:r>
    </w:p>
  </w:footnote>
  <w:footnote w:id="229">
    <w:p w14:paraId="2491ED06"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Kristeva 1980: 75.</w:t>
      </w:r>
    </w:p>
  </w:footnote>
  <w:footnote w:id="230">
    <w:p w14:paraId="047D09BF"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 xml:space="preserve">Cf. Kristeva 1980: 76. </w:t>
      </w:r>
    </w:p>
  </w:footnote>
  <w:footnote w:id="231">
    <w:p w14:paraId="4BEB947E" w14:textId="2C2961D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D’Alessio 1996: 597 n. 53, 630 n. 120. Also in those iambs which seem to have Callimachus as character (cf. </w:t>
      </w:r>
      <w:r w:rsidRPr="00B15395">
        <w:rPr>
          <w:rFonts w:cs="Times New Roman"/>
          <w:i/>
          <w:iCs/>
          <w:sz w:val="20"/>
          <w:szCs w:val="20"/>
          <w:lang w:val="en-US"/>
        </w:rPr>
        <w:t>Ia.</w:t>
      </w:r>
      <w:r w:rsidRPr="00B15395">
        <w:rPr>
          <w:rFonts w:cs="Times New Roman"/>
          <w:i/>
          <w:iCs/>
          <w:sz w:val="20"/>
          <w:szCs w:val="20"/>
          <w:vertAlign w:val="superscript"/>
          <w:lang w:val="en-US"/>
        </w:rPr>
        <w:t>s</w:t>
      </w:r>
      <w:r w:rsidRPr="00B15395">
        <w:rPr>
          <w:rFonts w:cs="Times New Roman"/>
          <w:sz w:val="20"/>
          <w:szCs w:val="20"/>
          <w:lang w:val="en-US"/>
        </w:rPr>
        <w:t xml:space="preserve"> 3; 5; 9; 12; 13), it is plausible that the poet is using himself as </w:t>
      </w:r>
      <w:r w:rsidRPr="00B15395">
        <w:rPr>
          <w:rFonts w:cs="Times New Roman"/>
          <w:i/>
          <w:iCs/>
          <w:sz w:val="20"/>
          <w:szCs w:val="20"/>
          <w:lang w:val="en-US"/>
        </w:rPr>
        <w:t>persona loquens</w:t>
      </w:r>
      <w:r w:rsidRPr="00B15395">
        <w:rPr>
          <w:rFonts w:cs="Times New Roman"/>
          <w:sz w:val="20"/>
          <w:szCs w:val="20"/>
          <w:lang w:val="en-US"/>
        </w:rPr>
        <w:t xml:space="preserve">, following the model of Hipponax who sometimes put on stage himself as Hipponax (cf. Hippon. frs. 42b; 44; 46; 79; 187; 196). </w:t>
      </w:r>
    </w:p>
  </w:footnote>
  <w:footnote w:id="232">
    <w:p w14:paraId="27AC70C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Tarditi 1978: 1013-1021.</w:t>
      </w:r>
    </w:p>
  </w:footnote>
  <w:footnote w:id="233">
    <w:p w14:paraId="1D6F555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Athenaeus 4.137e-f.</w:t>
      </w:r>
    </w:p>
  </w:footnote>
  <w:footnote w:id="234">
    <w:p w14:paraId="5328C1C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Call. </w:t>
      </w:r>
      <w:r w:rsidRPr="00B15395">
        <w:rPr>
          <w:rFonts w:cs="Times New Roman"/>
          <w:i/>
          <w:iCs/>
          <w:sz w:val="20"/>
          <w:szCs w:val="20"/>
          <w:lang w:val="en-US"/>
        </w:rPr>
        <w:t>Ia.</w:t>
      </w:r>
      <w:r w:rsidRPr="00B15395">
        <w:rPr>
          <w:rFonts w:cs="Times New Roman"/>
          <w:i/>
          <w:iCs/>
          <w:sz w:val="20"/>
          <w:szCs w:val="20"/>
          <w:vertAlign w:val="superscript"/>
          <w:lang w:val="en-US"/>
        </w:rPr>
        <w:t>s</w:t>
      </w:r>
      <w:r w:rsidRPr="00B15395">
        <w:rPr>
          <w:rFonts w:cs="Times New Roman"/>
          <w:sz w:val="20"/>
          <w:szCs w:val="20"/>
          <w:lang w:val="en-US"/>
        </w:rPr>
        <w:t xml:space="preserve"> 1.3; 2.17; 4.27, 48; 12.19, 74; 13.63.</w:t>
      </w:r>
    </w:p>
  </w:footnote>
  <w:footnote w:id="235">
    <w:p w14:paraId="5D9F5984" w14:textId="4FB72EB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Socratic dialogue was widespread in antiquity, its practitioners including Plato, Xenophon, Antisthenes, Aeschines, Phaedo, Euclid, and others. Being originally a kind of memoir (the recollections of Socrates’ discussions with his students) it gradually broke away from the constraints of history, retaining only the Socratic method of dialogically seeking to establish truth and the structure of a recorded dialogue framed by narrative. Cf. Kristeva 1980: 81.</w:t>
      </w:r>
    </w:p>
  </w:footnote>
  <w:footnote w:id="236">
    <w:p w14:paraId="453A15D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and Stephens 2012: 23-84.</w:t>
      </w:r>
    </w:p>
  </w:footnote>
  <w:footnote w:id="237">
    <w:p w14:paraId="6063A5E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Kristeva 1980: 81.</w:t>
      </w:r>
    </w:p>
  </w:footnote>
  <w:footnote w:id="238">
    <w:p w14:paraId="69DF6FF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Kristeva 1980: 81.</w:t>
      </w:r>
    </w:p>
  </w:footnote>
  <w:footnote w:id="239">
    <w:p w14:paraId="3BD85983"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Kerkhecker 1999: 63, 146.</w:t>
      </w:r>
    </w:p>
  </w:footnote>
  <w:footnote w:id="240">
    <w:p w14:paraId="75EEC231"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Kristeva 1980: 77-78.</w:t>
      </w:r>
    </w:p>
  </w:footnote>
  <w:footnote w:id="241">
    <w:p w14:paraId="2212332A"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Benveniste 1974: 79.</w:t>
      </w:r>
    </w:p>
  </w:footnote>
  <w:footnote w:id="242">
    <w:p w14:paraId="66880C5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Bühler 1982: 107 calls the centre of the deictic field </w:t>
      </w:r>
      <w:r w:rsidRPr="00B15395">
        <w:rPr>
          <w:rFonts w:cs="Times New Roman"/>
          <w:i/>
          <w:iCs/>
          <w:sz w:val="20"/>
          <w:szCs w:val="20"/>
          <w:lang w:val="en-US"/>
        </w:rPr>
        <w:t>origo</w:t>
      </w:r>
      <w:r w:rsidRPr="00B15395">
        <w:rPr>
          <w:rFonts w:cs="Times New Roman"/>
          <w:sz w:val="20"/>
          <w:szCs w:val="20"/>
          <w:lang w:val="en-US"/>
        </w:rPr>
        <w:t>.</w:t>
      </w:r>
    </w:p>
  </w:footnote>
  <w:footnote w:id="243">
    <w:p w14:paraId="42C79A1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Rijksbaron 2007: 163. </w:t>
      </w:r>
    </w:p>
  </w:footnote>
  <w:footnote w:id="244">
    <w:p w14:paraId="0920896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ego-centric deixis, cf. especially Lyons 1977: 686-87 and Levinson 1983: 61.</w:t>
      </w:r>
    </w:p>
  </w:footnote>
  <w:footnote w:id="245">
    <w:p w14:paraId="4043A30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occasion it may point to a bystander, as part of the conversational group; cf. Levinson 1983: 68.</w:t>
      </w:r>
    </w:p>
  </w:footnote>
  <w:footnote w:id="246">
    <w:p w14:paraId="7DD264B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Felson 2004: 256.</w:t>
      </w:r>
    </w:p>
  </w:footnote>
  <w:footnote w:id="247">
    <w:p w14:paraId="0B6E8F2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first and second vs. third person as an opposition between presence and absence, see Benveniste 1971: 195-204, 217-22, who draws on Arabic grammarians.</w:t>
      </w:r>
    </w:p>
  </w:footnote>
  <w:footnote w:id="248">
    <w:p w14:paraId="2B76C0E2" w14:textId="74EC41B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Klein 1996: 21-39: the Indo-European language with the most articulate</w:t>
      </w:r>
      <w:r>
        <w:rPr>
          <w:rFonts w:cs="Times New Roman"/>
          <w:sz w:val="20"/>
          <w:szCs w:val="20"/>
          <w:lang w:val="en-US"/>
        </w:rPr>
        <w:t>d</w:t>
      </w:r>
      <w:r w:rsidRPr="00B15395">
        <w:rPr>
          <w:rFonts w:cs="Times New Roman"/>
          <w:sz w:val="20"/>
          <w:szCs w:val="20"/>
          <w:lang w:val="en-US"/>
        </w:rPr>
        <w:t xml:space="preserve"> deictic system is the Classical Armeninan, where the three-way personal deixis corresponds to spatial deixis and psychological deixis. For example, third-person deixis means distance and also lack of interest, non-empathy, negation; while first-person deixis represents proximity with heightened involvement and interest. Similarly, in Latin, which also has a three-way deictic system, second-person deixis may signal a pejorative disposition toward a referent. </w:t>
      </w:r>
    </w:p>
  </w:footnote>
  <w:footnote w:id="249">
    <w:p w14:paraId="05D25F4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Felson 2004: 256.</w:t>
      </w:r>
    </w:p>
  </w:footnote>
  <w:footnote w:id="250">
    <w:p w14:paraId="729E74C5" w14:textId="53F4353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Matino 1998: 109 says that “la prossimità o l’allontanamento del primo dal secondo dipendono naturalmente dalla considerazione soggettiva del parlante; per questo l’uso dell’uno e dell’altro pronome può non rispecchiare, fatta eccezione dell’impiego deittico, la realtà, ma esprimere una situazione reale solo nella mente del parlante. Ne derivano conseguenze psicolinguistiche non dettate dalle leggi sintattiche.”</w:t>
      </w:r>
    </w:p>
  </w:footnote>
  <w:footnote w:id="251">
    <w:p w14:paraId="43F2901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Bühler 1982 [1934]: 117, 121-123.</w:t>
      </w:r>
    </w:p>
  </w:footnote>
  <w:footnote w:id="252">
    <w:p w14:paraId="4B8DC899" w14:textId="60AB98C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Already Apollonius Dyscolus, the great grammarian of the second century CE, touched upon this distinction, saying in his treatise on pronouns that “every pronoun is either deictic or anaphoric” (Ap. Dysc. </w:t>
      </w:r>
      <w:r w:rsidRPr="00B15395">
        <w:rPr>
          <w:rFonts w:cs="Times New Roman"/>
          <w:i/>
          <w:iCs/>
          <w:sz w:val="20"/>
          <w:szCs w:val="20"/>
          <w:lang w:val="en-US"/>
        </w:rPr>
        <w:t>Pron</w:t>
      </w:r>
      <w:r w:rsidRPr="00B15395">
        <w:rPr>
          <w:rFonts w:cs="Times New Roman"/>
          <w:sz w:val="20"/>
          <w:szCs w:val="20"/>
          <w:lang w:val="en-US"/>
        </w:rPr>
        <w:t>. 2. 1,1, 9 πᾶσα ἀντωνυμία ἢ δεικτική ἐστιν ἢ ἀναφορική), so that, whenever third person pronouns do not point at what is visually present (ὑπὸ τὴν ὄψιν), they are anaphoric and thus point at what is mentally present (ἐπὶ τὸν νοῦν).</w:t>
      </w:r>
    </w:p>
  </w:footnote>
  <w:footnote w:id="253">
    <w:p w14:paraId="1955690E" w14:textId="440B037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Apollonius Dyscolus from Alexandria, in his systematic treatise on pronouns, </w:t>
      </w:r>
      <w:r w:rsidRPr="00B15395">
        <w:rPr>
          <w:rFonts w:cs="Times New Roman"/>
          <w:i/>
          <w:iCs/>
          <w:sz w:val="20"/>
          <w:szCs w:val="20"/>
          <w:lang w:val="en-US"/>
        </w:rPr>
        <w:t>Perì Antonymías</w:t>
      </w:r>
      <w:r w:rsidRPr="00B15395">
        <w:rPr>
          <w:rFonts w:cs="Times New Roman"/>
          <w:sz w:val="20"/>
          <w:szCs w:val="20"/>
          <w:lang w:val="en-US"/>
        </w:rPr>
        <w:t xml:space="preserve"> (2</w:t>
      </w:r>
      <w:r w:rsidRPr="00B15395">
        <w:rPr>
          <w:rFonts w:cs="Times New Roman"/>
          <w:sz w:val="20"/>
          <w:szCs w:val="20"/>
          <w:vertAlign w:val="superscript"/>
          <w:lang w:val="en-US"/>
        </w:rPr>
        <w:t>nd</w:t>
      </w:r>
      <w:r w:rsidRPr="00B15395">
        <w:rPr>
          <w:rFonts w:cs="Times New Roman"/>
          <w:sz w:val="20"/>
          <w:szCs w:val="20"/>
          <w:lang w:val="en-US"/>
        </w:rPr>
        <w:t xml:space="preserve"> c. CE), defines deixis and anaphora, linking the former to primary acquaintance (πρώτη γνῶσις) and the latter to secondary acquaitance (δευτέρα γνῶσις), thus marking the one as “new” and the other as “given.”</w:t>
      </w:r>
    </w:p>
  </w:footnote>
  <w:footnote w:id="254">
    <w:p w14:paraId="7CABFEE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Felson 2004: 258.</w:t>
      </w:r>
    </w:p>
  </w:footnote>
  <w:footnote w:id="255">
    <w:p w14:paraId="6D5E9BF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Bühler 1982 [1934]: 122.</w:t>
      </w:r>
    </w:p>
  </w:footnote>
  <w:footnote w:id="256">
    <w:p w14:paraId="7E676C0C" w14:textId="7E12EAD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Anacreont. fr. 9.3-6 W θέλω, θέλω μανῆναι. / ἐμαίνετ’ Ἀλκμέων τε / χὠ λευκόπους Ὀρέστης / τὰς μητέρας κτανόντες, “Ι wish, I wish to rave as Alcmeon raved, and white-footed Orestes, after killing their mothers.” Cf. also the fragments of Euripides’ </w:t>
      </w:r>
      <w:r w:rsidRPr="00B15395">
        <w:rPr>
          <w:rFonts w:cs="Times New Roman"/>
          <w:i/>
          <w:iCs/>
          <w:sz w:val="20"/>
          <w:szCs w:val="20"/>
          <w:lang w:val="en-US"/>
        </w:rPr>
        <w:t>Alc.</w:t>
      </w:r>
      <w:r w:rsidRPr="00B15395">
        <w:rPr>
          <w:rFonts w:cs="Times New Roman"/>
          <w:sz w:val="20"/>
          <w:szCs w:val="20"/>
          <w:lang w:val="en-US"/>
        </w:rPr>
        <w:t xml:space="preserve"> (vol. 8.1 ed. Van Looy and Jouan 1998: 102-12).</w:t>
      </w:r>
    </w:p>
  </w:footnote>
  <w:footnote w:id="257">
    <w:p w14:paraId="0FC9D1A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Diessel 1999: 6.</w:t>
      </w:r>
    </w:p>
  </w:footnote>
  <w:footnote w:id="258">
    <w:p w14:paraId="5AF019B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Halliday and Hasan 1976: 57-76.</w:t>
      </w:r>
    </w:p>
  </w:footnote>
  <w:footnote w:id="259">
    <w:p w14:paraId="4818725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Diessel 1999: 6, 113.</w:t>
      </w:r>
    </w:p>
  </w:footnote>
  <w:footnote w:id="260">
    <w:p w14:paraId="6CE7C8D9" w14:textId="2C7B460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Himmelmann 1996: 230-39, especially 233 “recognitional use of demonstratives […] draws on specific, ‘personalized’ knowledge that is assumed to be shared by the communicating parties due to a common interactional history or to supposedly shared experiences.”</w:t>
      </w:r>
    </w:p>
  </w:footnote>
  <w:footnote w:id="261">
    <w:p w14:paraId="4D7585C6" w14:textId="7507BFC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Bülher 1982 [1934]: 79-82, 107-13, 121-40, and 385-92 (pp. 80 and 286 for the quotations). This means that especially in the Indo-European languages, the demonstratives appropriate to </w:t>
      </w:r>
      <w:r w:rsidRPr="00B15395">
        <w:rPr>
          <w:rFonts w:cs="Times New Roman"/>
          <w:i/>
          <w:iCs/>
          <w:sz w:val="20"/>
          <w:szCs w:val="20"/>
          <w:lang w:val="en-US"/>
        </w:rPr>
        <w:t>demonstratio ad oculos</w:t>
      </w:r>
      <w:r w:rsidRPr="00B15395">
        <w:rPr>
          <w:rFonts w:cs="Times New Roman"/>
          <w:sz w:val="20"/>
          <w:szCs w:val="20"/>
          <w:lang w:val="en-US"/>
        </w:rPr>
        <w:t xml:space="preserve"> (in the domain of discours) can also refer to that which is internal to the discourse, i.e., to that which the discourse itself constructs (especially in the field of histoire/récit): “Unser Ergbnis lautet, </w:t>
      </w:r>
      <w:r w:rsidRPr="00B15395">
        <w:rPr>
          <w:rFonts w:cs="Times New Roman"/>
          <w:i/>
          <w:iCs/>
          <w:sz w:val="20"/>
          <w:szCs w:val="20"/>
          <w:lang w:val="en-US"/>
        </w:rPr>
        <w:t>der Kontext selbst werde zum Zeigfeld erhoben</w:t>
      </w:r>
      <w:r w:rsidRPr="00B15395">
        <w:rPr>
          <w:rFonts w:cs="Times New Roman"/>
          <w:sz w:val="20"/>
          <w:szCs w:val="20"/>
          <w:lang w:val="en-US"/>
        </w:rPr>
        <w:t xml:space="preserve"> in der Anaphora” (emphasis in original).</w:t>
      </w:r>
    </w:p>
  </w:footnote>
  <w:footnote w:id="262">
    <w:p w14:paraId="7D0707E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Archil. frs. 7.9; 17.1; 63.5; 84; 89.15; 113; 128.7; 168.1.</w:t>
      </w:r>
    </w:p>
  </w:footnote>
  <w:footnote w:id="263">
    <w:p w14:paraId="11C6815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Archil. frs. 5.13; 10.7; 54.25; 150.12; 166.1.</w:t>
      </w:r>
    </w:p>
  </w:footnote>
  <w:footnote w:id="264">
    <w:p w14:paraId="075D5D7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Archil. frs. 3.4; 5.3; 54.17.</w:t>
      </w:r>
    </w:p>
  </w:footnote>
  <w:footnote w:id="265">
    <w:p w14:paraId="23D8980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Archil. frs. 54.11; 92.5; 99.9, 14; 193.12; 232.</w:t>
      </w:r>
    </w:p>
  </w:footnote>
  <w:footnote w:id="266">
    <w:p w14:paraId="5487FDD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There is only one case of </w:t>
      </w:r>
      <w:r w:rsidRPr="00B15395">
        <w:rPr>
          <w:rFonts w:cs="Times New Roman"/>
          <w:i/>
          <w:iCs/>
          <w:sz w:val="20"/>
          <w:szCs w:val="20"/>
          <w:lang w:val="en-US"/>
        </w:rPr>
        <w:t>demonstratio ad oculos</w:t>
      </w:r>
      <w:r w:rsidRPr="00B15395">
        <w:rPr>
          <w:rFonts w:cs="Times New Roman"/>
          <w:sz w:val="20"/>
          <w:szCs w:val="20"/>
          <w:lang w:val="en-US"/>
        </w:rPr>
        <w:t xml:space="preserve"> conveyed by ὅδε (Hippon. fr. 191), but the fragment is hardly by Hipponax (cf. Degani 1991: 166).</w:t>
      </w:r>
    </w:p>
  </w:footnote>
  <w:footnote w:id="267">
    <w:p w14:paraId="00219F6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Clearly a metaphor for genitals, cf. Gerber 1999: 405.</w:t>
      </w:r>
    </w:p>
  </w:footnote>
  <w:footnote w:id="268">
    <w:p w14:paraId="24EC45A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Henderson 1975: 243. </w:t>
      </w:r>
    </w:p>
  </w:footnote>
  <w:footnote w:id="269">
    <w:p w14:paraId="1990726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A very similar use of the deictic pronoun/adjective ὅδε occurs in Hes. </w:t>
      </w:r>
      <w:r w:rsidRPr="00B15395">
        <w:rPr>
          <w:rFonts w:cs="Times New Roman"/>
          <w:i/>
          <w:iCs/>
          <w:sz w:val="20"/>
          <w:szCs w:val="20"/>
          <w:lang w:val="en-US"/>
        </w:rPr>
        <w:t>Op</w:t>
      </w:r>
      <w:r w:rsidRPr="00B15395">
        <w:rPr>
          <w:rFonts w:cs="Times New Roman"/>
          <w:sz w:val="20"/>
          <w:szCs w:val="20"/>
          <w:lang w:val="en-US"/>
        </w:rPr>
        <w:t>. 39. Cf. Calame 2004: 417-420; West 1978: 152.</w:t>
      </w:r>
    </w:p>
  </w:footnote>
  <w:footnote w:id="270">
    <w:p w14:paraId="5580DD7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Nyckees 1998: 242-50 carefully distinguishes the situational and the contextual references of a certain number of pronouns, depending on their deictic or anaphoric use. In these cases, Adam 1990: 52-61 prefers to oppose the contextual use (deictic referentialisation) to the co-textual use (demonstrative anaphora) of certain demonstratives. </w:t>
      </w:r>
    </w:p>
  </w:footnote>
  <w:footnote w:id="271">
    <w:p w14:paraId="7490E6A8"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Comrie 1985: 9; Fleischman 1990: 15.</w:t>
      </w:r>
    </w:p>
  </w:footnote>
  <w:footnote w:id="272">
    <w:p w14:paraId="75EDAF04"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1997c: 29, 37.</w:t>
      </w:r>
    </w:p>
  </w:footnote>
  <w:footnote w:id="273">
    <w:p w14:paraId="3A60338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 do not assume the disctinction between discourse of the observer as typical of conversational communication and discourse of the knower as characterizing poetic communication. Cf. Bakker 1997c: 16-17.</w:t>
      </w:r>
    </w:p>
  </w:footnote>
  <w:footnote w:id="274">
    <w:p w14:paraId="17A66EE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1993: 5-20; 1997c: 17.</w:t>
      </w:r>
    </w:p>
  </w:footnote>
  <w:footnote w:id="275">
    <w:p w14:paraId="66F89297" w14:textId="04D5CE6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This is what Bakker 1997c: 17, 37 calls “discourse of observer.”</w:t>
      </w:r>
    </w:p>
  </w:footnote>
  <w:footnote w:id="276">
    <w:p w14:paraId="691C976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Fillmore 1997: 67-74; Levinson 1983: 73-79. For the correlation of tense and point of view, cf. Bakker 199c7: 7-54; he finds that Thucydides uses the aorist to express the external point of view of the narrative, while the imperfect to express the internal point of view. For tense, aspect, and the augment in Homer, in relation to </w:t>
      </w:r>
      <w:r w:rsidRPr="00B15395">
        <w:rPr>
          <w:rFonts w:cs="Times New Roman"/>
          <w:i/>
          <w:iCs/>
          <w:sz w:val="20"/>
          <w:szCs w:val="20"/>
          <w:lang w:val="en-US"/>
        </w:rPr>
        <w:t>enargeia</w:t>
      </w:r>
      <w:r w:rsidRPr="00B15395">
        <w:rPr>
          <w:rFonts w:cs="Times New Roman"/>
          <w:sz w:val="20"/>
          <w:szCs w:val="20"/>
          <w:lang w:val="en-US"/>
        </w:rPr>
        <w:t xml:space="preserve">, cf. Bakker 1993; 1999a: 1-19. </w:t>
      </w:r>
    </w:p>
  </w:footnote>
  <w:footnote w:id="277">
    <w:p w14:paraId="08EA1202" w14:textId="27AEBE6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This is what Bakker 1997c: 17, 29 calls “discourse of the knower.”</w:t>
      </w:r>
    </w:p>
  </w:footnote>
  <w:footnote w:id="278">
    <w:p w14:paraId="16C18F4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Chafe 1994: 195-201.</w:t>
      </w:r>
    </w:p>
  </w:footnote>
  <w:footnote w:id="279">
    <w:p w14:paraId="1AA335C5" w14:textId="5320888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Chafe’s own discussion of tense in connection with displacement (1994: 205-6, 230-32) is more complex than this, and involves, among other things, a distinction between representing and a represented consciousness (1994: 198), the former becoming the narrator in written fiction (1994: 225). </w:t>
      </w:r>
    </w:p>
  </w:footnote>
  <w:footnote w:id="280">
    <w:p w14:paraId="0252944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1997c: 26</w:t>
      </w:r>
    </w:p>
  </w:footnote>
  <w:footnote w:id="281">
    <w:p w14:paraId="71732EEE" w14:textId="5F424744"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Or “house” if the ox is a metaphor (Cf. Gerber 1999: 109). For a possible sexual connotation of the word for “work,” cf. Archil. fr. 244.</w:t>
      </w:r>
    </w:p>
  </w:footnote>
  <w:footnote w:id="282">
    <w:p w14:paraId="7BE44AD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Chafe 1994: 195.</w:t>
      </w:r>
    </w:p>
  </w:footnote>
  <w:footnote w:id="283">
    <w:p w14:paraId="0017F5BF" w14:textId="1895719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1997a: 19 n. 26. In particular, the ending –ι in the present declension can be seen diachronically as an original deictic suffix that came to be reanalyzed as marker of present tense. Thus spatial deixis would precede temporal deixis in the development of the Greek verbal system; cf. Lehmann 1993: 180. For the absence of suffix –ι (in connection with the absence of the augment of the verb) and the idea of “past” in the Homeric performance, cf. Bakker 2005: 106</w:t>
      </w:r>
    </w:p>
  </w:footnote>
  <w:footnote w:id="284">
    <w:p w14:paraId="323B598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2007: 114.</w:t>
      </w:r>
    </w:p>
  </w:footnote>
  <w:footnote w:id="285">
    <w:p w14:paraId="29E78D22" w14:textId="2D85E15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Usually νῦν applies, with the present tense or the aorist, to a speaker’s present situation. Cf. Bakker 1997c: 20, 41 n. 71; Chafe 1994: 205-206. </w:t>
      </w:r>
    </w:p>
  </w:footnote>
  <w:footnote w:id="286">
    <w:p w14:paraId="331E0BB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this notion of past in epic poetry, though without reference to the aorist, cf. Bakker 1997c:12-13, 22, 24-25.</w:t>
      </w:r>
    </w:p>
  </w:footnote>
  <w:footnote w:id="287">
    <w:p w14:paraId="22B47ECB" w14:textId="6FC8F02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Bakker 1997c: 23. This aorist is usually called “dramatic” or “vivid,” cf. Smyth 1956: 432; Goodwin 1889: 60; Kühner and Gerth 1898-1904: 163-65. </w:t>
      </w:r>
    </w:p>
  </w:footnote>
  <w:footnote w:id="288">
    <w:p w14:paraId="0170E94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2005: 171.</w:t>
      </w:r>
    </w:p>
  </w:footnote>
  <w:footnote w:id="289">
    <w:p w14:paraId="6D58849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Indeed, his vividness is very similar to Homeric ἐνάργεια, a term that is used in ancient rhetorical theory and literary criticism for the evidential quality of discourse aimed at by rhetoricians, historians, and poets. For the history of this concept, cf. Zanker 1981: 297-311; on </w:t>
      </w:r>
      <w:r w:rsidRPr="00B15395">
        <w:rPr>
          <w:rFonts w:cs="Times New Roman"/>
          <w:i/>
          <w:iCs/>
          <w:sz w:val="20"/>
          <w:szCs w:val="20"/>
          <w:lang w:val="en-US"/>
        </w:rPr>
        <w:t>enargeia</w:t>
      </w:r>
      <w:r w:rsidRPr="00B15395">
        <w:rPr>
          <w:rFonts w:cs="Times New Roman"/>
          <w:sz w:val="20"/>
          <w:szCs w:val="20"/>
          <w:lang w:val="en-US"/>
        </w:rPr>
        <w:t xml:space="preserve"> in the Homeric scholia, see Manieri 1998: 179-192; for the rhetorical tradition, cf. Calame 1991: 3-22.</w:t>
      </w:r>
    </w:p>
  </w:footnote>
  <w:footnote w:id="290">
    <w:p w14:paraId="77E38CE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2005: 158.</w:t>
      </w:r>
    </w:p>
  </w:footnote>
  <w:footnote w:id="291">
    <w:p w14:paraId="6968214C" w14:textId="55F26AA7"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 xml:space="preserve">It is a favourable sign. Several sources associate the heron with Aphrodite. </w:t>
      </w:r>
    </w:p>
  </w:footnote>
  <w:footnote w:id="292">
    <w:p w14:paraId="269B284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Bakker 2005: 157. The term </w:t>
      </w:r>
      <w:r w:rsidRPr="00B15395">
        <w:rPr>
          <w:rFonts w:cs="Times New Roman"/>
          <w:i/>
          <w:iCs/>
          <w:sz w:val="20"/>
          <w:szCs w:val="20"/>
          <w:lang w:val="en-US"/>
        </w:rPr>
        <w:t>enargeia</w:t>
      </w:r>
      <w:r w:rsidRPr="00B15395">
        <w:rPr>
          <w:rFonts w:cs="Times New Roman"/>
          <w:sz w:val="20"/>
          <w:szCs w:val="20"/>
          <w:lang w:val="en-US"/>
        </w:rPr>
        <w:t xml:space="preserve"> derives from the adjective ἐναργής, which in pre-theoretical contexts can denote the direct presence of a god as it is recognized by humans, unmediated by any disguise, or dreams or oracles when their meaning is transparent. I.e., ἐνάργεια of the gods: </w:t>
      </w:r>
      <w:r w:rsidRPr="00B15395">
        <w:rPr>
          <w:rFonts w:cs="Times New Roman"/>
          <w:i/>
          <w:iCs/>
          <w:sz w:val="20"/>
          <w:szCs w:val="20"/>
          <w:lang w:val="en-US"/>
        </w:rPr>
        <w:t>Il</w:t>
      </w:r>
      <w:r w:rsidRPr="00B15395">
        <w:rPr>
          <w:rFonts w:cs="Times New Roman"/>
          <w:sz w:val="20"/>
          <w:szCs w:val="20"/>
          <w:lang w:val="en-US"/>
        </w:rPr>
        <w:t xml:space="preserve">. 20.131; </w:t>
      </w:r>
      <w:r w:rsidRPr="00B15395">
        <w:rPr>
          <w:rFonts w:cs="Times New Roman"/>
          <w:i/>
          <w:iCs/>
          <w:sz w:val="20"/>
          <w:szCs w:val="20"/>
          <w:lang w:val="en-US"/>
        </w:rPr>
        <w:t>Od</w:t>
      </w:r>
      <w:r w:rsidRPr="00B15395">
        <w:rPr>
          <w:rFonts w:cs="Times New Roman"/>
          <w:sz w:val="20"/>
          <w:szCs w:val="20"/>
          <w:lang w:val="en-US"/>
        </w:rPr>
        <w:t xml:space="preserve">. 3.420, 7.201, 16.161; Soph., </w:t>
      </w:r>
      <w:r w:rsidRPr="00B15395">
        <w:rPr>
          <w:rFonts w:cs="Times New Roman"/>
          <w:i/>
          <w:iCs/>
          <w:sz w:val="20"/>
          <w:szCs w:val="20"/>
          <w:lang w:val="en-US"/>
        </w:rPr>
        <w:t>Trach</w:t>
      </w:r>
      <w:r w:rsidRPr="00B15395">
        <w:rPr>
          <w:rFonts w:cs="Times New Roman"/>
          <w:sz w:val="20"/>
          <w:szCs w:val="20"/>
          <w:lang w:val="en-US"/>
        </w:rPr>
        <w:t xml:space="preserve">. 11; ἐνάργεια of dreams: </w:t>
      </w:r>
      <w:r w:rsidRPr="00B15395">
        <w:rPr>
          <w:rFonts w:cs="Times New Roman"/>
          <w:i/>
          <w:iCs/>
          <w:sz w:val="20"/>
          <w:szCs w:val="20"/>
          <w:lang w:val="en-US"/>
        </w:rPr>
        <w:t>Od</w:t>
      </w:r>
      <w:r w:rsidRPr="00B15395">
        <w:rPr>
          <w:rFonts w:cs="Times New Roman"/>
          <w:sz w:val="20"/>
          <w:szCs w:val="20"/>
          <w:lang w:val="en-US"/>
        </w:rPr>
        <w:t xml:space="preserve">. 4.841; Aesch., </w:t>
      </w:r>
      <w:r w:rsidRPr="00B15395">
        <w:rPr>
          <w:rFonts w:cs="Times New Roman"/>
          <w:i/>
          <w:iCs/>
          <w:sz w:val="20"/>
          <w:szCs w:val="20"/>
          <w:lang w:val="en-US"/>
        </w:rPr>
        <w:t>Per</w:t>
      </w:r>
      <w:r w:rsidRPr="00B15395">
        <w:rPr>
          <w:rFonts w:cs="Times New Roman"/>
          <w:sz w:val="20"/>
          <w:szCs w:val="20"/>
          <w:lang w:val="en-US"/>
        </w:rPr>
        <w:t xml:space="preserve">. 179; Hdt. 5.55.1, 7.47.1; ἐνάργεια of oracles: Aesch., </w:t>
      </w:r>
      <w:r w:rsidRPr="00B15395">
        <w:rPr>
          <w:rFonts w:cs="Times New Roman"/>
          <w:i/>
          <w:iCs/>
          <w:sz w:val="20"/>
          <w:szCs w:val="20"/>
          <w:lang w:val="en-US"/>
        </w:rPr>
        <w:t>Prom</w:t>
      </w:r>
      <w:r w:rsidRPr="00B15395">
        <w:rPr>
          <w:rFonts w:cs="Times New Roman"/>
          <w:sz w:val="20"/>
          <w:szCs w:val="20"/>
          <w:lang w:val="en-US"/>
        </w:rPr>
        <w:t>. 663; Hdt. 8.77.1.2.</w:t>
      </w:r>
    </w:p>
  </w:footnote>
  <w:footnote w:id="293">
    <w:p w14:paraId="296512BF" w14:textId="418822E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Call. </w:t>
      </w:r>
      <w:r w:rsidRPr="00B15395">
        <w:rPr>
          <w:rFonts w:cs="Times New Roman"/>
          <w:i/>
          <w:iCs/>
          <w:sz w:val="20"/>
          <w:szCs w:val="20"/>
          <w:lang w:val="en-US"/>
        </w:rPr>
        <w:t>Ia.</w:t>
      </w:r>
      <w:r w:rsidRPr="00B15395">
        <w:rPr>
          <w:rFonts w:cs="Times New Roman"/>
          <w:sz w:val="20"/>
          <w:szCs w:val="20"/>
          <w:lang w:val="en-US"/>
        </w:rPr>
        <w:t xml:space="preserve"> 1. 7: ὦνδρες οἳ νῦν …κÚέπφ / κατηύλησθ’ οιμεÚÖ ΔιωνÚύσου / τε Μουσέων “O men of the present day … as the seabirds you are crazed at the sound of the flute … of Dionysus … and of the Muses.” The verb κατηύλησθ’ is fundamental for the interpretation of the picture that Callimachus is describing. κατηύλησθ’ is a medio-passive aorist indicative of καταυλέω “bewitch playing the </w:t>
      </w:r>
      <w:r w:rsidRPr="00B15395">
        <w:rPr>
          <w:rFonts w:cs="Times New Roman"/>
          <w:i/>
          <w:iCs/>
          <w:sz w:val="20"/>
          <w:szCs w:val="20"/>
          <w:lang w:val="en-US"/>
        </w:rPr>
        <w:t>aulos</w:t>
      </w:r>
      <w:r w:rsidRPr="00B15395">
        <w:rPr>
          <w:rFonts w:cs="Times New Roman"/>
          <w:sz w:val="20"/>
          <w:szCs w:val="20"/>
          <w:lang w:val="en-US"/>
        </w:rPr>
        <w:t xml:space="preserve">.” The sound could remind to the awkward squawking of the seagull (κέπφος), whose voice is very unpleasant: in this case, the use of a verb with the meaning of “charming” is incongruous and generates irony. It could constitute Callimachus’ critique towards his rivals’ poetry, which is more similar to a bird screeching rather than a poetic melody. Moreover, the verb, used in its medio-passive diathesis, namely “be accompanied by the sound of the </w:t>
      </w:r>
      <w:r w:rsidRPr="00B15395">
        <w:rPr>
          <w:rFonts w:cs="Times New Roman"/>
          <w:i/>
          <w:iCs/>
          <w:sz w:val="20"/>
          <w:szCs w:val="20"/>
          <w:lang w:val="en-US"/>
        </w:rPr>
        <w:t>aulos</w:t>
      </w:r>
      <w:r w:rsidRPr="00B15395">
        <w:rPr>
          <w:rFonts w:cs="Times New Roman"/>
          <w:sz w:val="20"/>
          <w:szCs w:val="20"/>
          <w:lang w:val="en-US"/>
        </w:rPr>
        <w:t xml:space="preserve">,” figuratively can mean “being mocked” as shown in </w:t>
      </w:r>
      <w:r w:rsidRPr="00B15395">
        <w:rPr>
          <w:rFonts w:cs="Times New Roman"/>
          <w:i/>
          <w:iCs/>
          <w:sz w:val="20"/>
          <w:szCs w:val="20"/>
          <w:lang w:val="en-US"/>
        </w:rPr>
        <w:t>Suda</w:t>
      </w:r>
      <w:r w:rsidRPr="00B15395">
        <w:rPr>
          <w:rFonts w:cs="Times New Roman"/>
          <w:sz w:val="20"/>
          <w:szCs w:val="20"/>
          <w:lang w:val="en-US"/>
        </w:rPr>
        <w:t xml:space="preserve"> κ 840 καταυλούμενοι· ἀφῃρέθησαν δὲ οἱ Λακεδαιμόνιοι τῶν τειχῶν γελώμενοί τε καὶ καταυλούμενοι “</w:t>
      </w:r>
      <w:r w:rsidRPr="00B15395">
        <w:rPr>
          <w:rFonts w:cs="Times New Roman"/>
          <w:i/>
          <w:iCs/>
          <w:sz w:val="20"/>
          <w:szCs w:val="20"/>
          <w:lang w:val="en-US"/>
        </w:rPr>
        <w:t>katauloúmenoi</w:t>
      </w:r>
      <w:r w:rsidRPr="00B15395">
        <w:rPr>
          <w:rFonts w:cs="Times New Roman"/>
          <w:sz w:val="20"/>
          <w:szCs w:val="20"/>
          <w:lang w:val="en-US"/>
        </w:rPr>
        <w:t xml:space="preserve">: the Spartans demolished the walls joking and mocking.” In this case, Hipponax is telling the men who are there, gathered in order to listen to him, that they are piped by the </w:t>
      </w:r>
      <w:r w:rsidRPr="00B15395">
        <w:rPr>
          <w:rFonts w:cs="Times New Roman"/>
          <w:i/>
          <w:iCs/>
          <w:sz w:val="20"/>
          <w:szCs w:val="20"/>
          <w:lang w:val="en-US"/>
        </w:rPr>
        <w:t>aulos</w:t>
      </w:r>
      <w:r w:rsidRPr="00B15395">
        <w:rPr>
          <w:rFonts w:cs="Times New Roman"/>
          <w:sz w:val="20"/>
          <w:szCs w:val="20"/>
          <w:lang w:val="en-US"/>
        </w:rPr>
        <w:t>, that is they are mocked so stupid they are. Finally, the verb καταυλέω sounds very similar to  καταυλίζομαι, a military term used by Hipponax (fr. 23.2) which means “camping out,” which strongly conveys the idea of a gathered crowd: the following ionic adjective ἁλέες “in a throng” strengthens this image. These different meanings, taken all together, shape the picture of a stupid crowd worth being mocked: Hipponax’s audience seem to be a comic animal (seagull, in this case) chorus, well-known device of Comedy and of previous literature, as shown by vascular paintings.</w:t>
      </w:r>
    </w:p>
  </w:footnote>
  <w:footnote w:id="294">
    <w:p w14:paraId="258CF2E5" w14:textId="59892B3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Longinus 15.1 ἤδη δ’ ἐπὶ τούτων κεκράτηκε τοὔνομα ὅταν ἃ λέγεις ὑπ’ἐνθουσιασμοῦ καὶ πάθους βλέπειν δοκῇς καὶ ὑπ’ ὄψιν τιθῇς τοῖς ἀκούουσιν “but now, with writers of the present day, the force of the term is when you seem, through enthusiasm and passion, to behold the things you are describing, and place them before the eyes of your hearers.”</w:t>
      </w:r>
    </w:p>
  </w:footnote>
  <w:footnote w:id="295">
    <w:p w14:paraId="7785200C"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2005: 171.</w:t>
      </w:r>
    </w:p>
  </w:footnote>
  <w:footnote w:id="296">
    <w:p w14:paraId="492B7195"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2005: 171.</w:t>
      </w:r>
    </w:p>
  </w:footnote>
  <w:footnote w:id="297">
    <w:p w14:paraId="22B13979"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Svenbro 1993: 31.</w:t>
      </w:r>
    </w:p>
  </w:footnote>
  <w:footnote w:id="298">
    <w:p w14:paraId="03F6905B"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2005: 173.</w:t>
      </w:r>
    </w:p>
  </w:footnote>
  <w:footnote w:id="299">
    <w:p w14:paraId="250CABC8"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2005: 172.</w:t>
      </w:r>
    </w:p>
  </w:footnote>
  <w:footnote w:id="300">
    <w:p w14:paraId="7226DE63"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2005: 173.</w:t>
      </w:r>
    </w:p>
  </w:footnote>
  <w:footnote w:id="301">
    <w:p w14:paraId="07878E3C" w14:textId="6B8D8FA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nl-NL"/>
        </w:rPr>
        <w:tab/>
        <w:t xml:space="preserve">This pertinent explanation comes from a scholiast on Plato, </w:t>
      </w:r>
      <w:r w:rsidRPr="00B15395">
        <w:rPr>
          <w:rFonts w:cs="Times New Roman"/>
          <w:i/>
          <w:iCs/>
          <w:sz w:val="20"/>
          <w:szCs w:val="20"/>
          <w:lang w:val="nl-NL"/>
        </w:rPr>
        <w:t>Gorgias</w:t>
      </w:r>
      <w:r w:rsidRPr="00B15395">
        <w:rPr>
          <w:rFonts w:cs="Times New Roman"/>
          <w:sz w:val="20"/>
          <w:szCs w:val="20"/>
          <w:lang w:val="nl-NL"/>
        </w:rPr>
        <w:t xml:space="preserve">, who is the source of this fragment of Hipponax: </w:t>
      </w:r>
      <w:r w:rsidRPr="00B15395">
        <w:rPr>
          <w:rFonts w:cs="Times New Roman"/>
          <w:sz w:val="20"/>
          <w:szCs w:val="20"/>
          <w:lang w:val="en-US"/>
        </w:rPr>
        <w:t>χαραδριοῦ</w:t>
      </w:r>
      <w:r w:rsidRPr="00B15395">
        <w:rPr>
          <w:rFonts w:cs="Times New Roman"/>
          <w:sz w:val="20"/>
          <w:szCs w:val="20"/>
          <w:lang w:val="nl-NL"/>
        </w:rPr>
        <w:t xml:space="preserve">. </w:t>
      </w:r>
      <w:r w:rsidRPr="00B15395">
        <w:rPr>
          <w:rFonts w:cs="Times New Roman"/>
          <w:sz w:val="20"/>
          <w:szCs w:val="20"/>
          <w:lang w:val="en-US"/>
        </w:rPr>
        <w:t>χαραδριὸς</w:t>
      </w:r>
      <w:r w:rsidRPr="00B15395">
        <w:rPr>
          <w:rFonts w:cs="Times New Roman"/>
          <w:sz w:val="20"/>
          <w:szCs w:val="20"/>
          <w:lang w:val="nl-NL"/>
        </w:rPr>
        <w:t> </w:t>
      </w:r>
      <w:r w:rsidRPr="00B15395">
        <w:rPr>
          <w:rFonts w:cs="Times New Roman"/>
          <w:sz w:val="20"/>
          <w:szCs w:val="20"/>
          <w:lang w:val="en-US"/>
        </w:rPr>
        <w:t>ὄρνις</w:t>
      </w:r>
      <w:r w:rsidRPr="00B15395">
        <w:rPr>
          <w:rFonts w:cs="Times New Roman"/>
          <w:sz w:val="20"/>
          <w:szCs w:val="20"/>
          <w:lang w:val="nl-NL"/>
        </w:rPr>
        <w:t xml:space="preserve"> </w:t>
      </w:r>
      <w:r w:rsidRPr="00B15395">
        <w:rPr>
          <w:rFonts w:cs="Times New Roman"/>
          <w:sz w:val="20"/>
          <w:szCs w:val="20"/>
          <w:lang w:val="en-US"/>
        </w:rPr>
        <w:t>τις</w:t>
      </w:r>
      <w:r w:rsidRPr="00B15395">
        <w:rPr>
          <w:rFonts w:cs="Times New Roman"/>
          <w:sz w:val="20"/>
          <w:szCs w:val="20"/>
          <w:lang w:val="nl-NL"/>
        </w:rPr>
        <w:t xml:space="preserve"> </w:t>
      </w:r>
      <w:r w:rsidRPr="00B15395">
        <w:rPr>
          <w:rFonts w:cs="Times New Roman"/>
          <w:sz w:val="20"/>
          <w:szCs w:val="20"/>
          <w:lang w:val="en-US"/>
        </w:rPr>
        <w:t>ὃς</w:t>
      </w:r>
      <w:r w:rsidRPr="00B15395">
        <w:rPr>
          <w:rFonts w:cs="Times New Roman"/>
          <w:sz w:val="20"/>
          <w:szCs w:val="20"/>
          <w:lang w:val="nl-NL"/>
        </w:rPr>
        <w:t xml:space="preserve"> </w:t>
      </w:r>
      <w:r w:rsidRPr="00B15395">
        <w:rPr>
          <w:rFonts w:cs="Times New Roman"/>
          <w:sz w:val="20"/>
          <w:szCs w:val="20"/>
          <w:lang w:val="en-US"/>
        </w:rPr>
        <w:t>ἅμα</w:t>
      </w:r>
      <w:r w:rsidRPr="00B15395">
        <w:rPr>
          <w:rFonts w:cs="Times New Roman"/>
          <w:sz w:val="20"/>
          <w:szCs w:val="20"/>
          <w:lang w:val="nl-NL"/>
        </w:rPr>
        <w:t xml:space="preserve"> </w:t>
      </w:r>
      <w:r w:rsidRPr="00B15395">
        <w:rPr>
          <w:rFonts w:cs="Times New Roman"/>
          <w:sz w:val="20"/>
          <w:szCs w:val="20"/>
          <w:lang w:val="en-US"/>
        </w:rPr>
        <w:t>τῷ</w:t>
      </w:r>
      <w:r w:rsidRPr="00B15395">
        <w:rPr>
          <w:rFonts w:cs="Times New Roman"/>
          <w:sz w:val="20"/>
          <w:szCs w:val="20"/>
          <w:lang w:val="nl-NL"/>
        </w:rPr>
        <w:t xml:space="preserve"> </w:t>
      </w:r>
      <w:r w:rsidRPr="00B15395">
        <w:rPr>
          <w:rFonts w:cs="Times New Roman"/>
          <w:sz w:val="20"/>
          <w:szCs w:val="20"/>
          <w:lang w:val="en-US"/>
        </w:rPr>
        <w:t>ἐσθίειν</w:t>
      </w:r>
      <w:r w:rsidRPr="00B15395">
        <w:rPr>
          <w:rFonts w:cs="Times New Roman"/>
          <w:sz w:val="20"/>
          <w:szCs w:val="20"/>
          <w:lang w:val="nl-NL"/>
        </w:rPr>
        <w:t xml:space="preserve"> </w:t>
      </w:r>
      <w:r w:rsidRPr="00B15395">
        <w:rPr>
          <w:rFonts w:cs="Times New Roman"/>
          <w:sz w:val="20"/>
          <w:szCs w:val="20"/>
          <w:lang w:val="en-US"/>
        </w:rPr>
        <w:t>ἐκκρίνει</w:t>
      </w:r>
      <w:r w:rsidRPr="00B15395">
        <w:rPr>
          <w:rFonts w:cs="Times New Roman"/>
          <w:sz w:val="20"/>
          <w:szCs w:val="20"/>
          <w:lang w:val="nl-NL"/>
        </w:rPr>
        <w:t xml:space="preserve">. </w:t>
      </w:r>
      <w:r w:rsidRPr="00B15395">
        <w:rPr>
          <w:rFonts w:cs="Times New Roman"/>
          <w:sz w:val="20"/>
          <w:szCs w:val="20"/>
          <w:lang w:val="en-US"/>
        </w:rPr>
        <w:t>εἰς</w:t>
      </w:r>
      <w:r w:rsidRPr="00B15395">
        <w:rPr>
          <w:rFonts w:cs="Times New Roman"/>
          <w:sz w:val="20"/>
          <w:szCs w:val="20"/>
          <w:lang w:val="nl-NL"/>
        </w:rPr>
        <w:t xml:space="preserve"> </w:t>
      </w:r>
      <w:r w:rsidRPr="00B15395">
        <w:rPr>
          <w:rFonts w:cs="Times New Roman"/>
          <w:sz w:val="20"/>
          <w:szCs w:val="20"/>
          <w:lang w:val="en-US"/>
        </w:rPr>
        <w:t>ἀποβλέψαντες</w:t>
      </w:r>
      <w:r w:rsidRPr="00B15395">
        <w:rPr>
          <w:rFonts w:cs="Times New Roman"/>
          <w:sz w:val="20"/>
          <w:szCs w:val="20"/>
          <w:lang w:val="nl-NL"/>
        </w:rPr>
        <w:t xml:space="preserve">, </w:t>
      </w:r>
      <w:r w:rsidRPr="00B15395">
        <w:rPr>
          <w:rFonts w:cs="Times New Roman"/>
          <w:sz w:val="20"/>
          <w:szCs w:val="20"/>
          <w:lang w:val="en-US"/>
        </w:rPr>
        <w:t>ὡς</w:t>
      </w:r>
      <w:r w:rsidRPr="00B15395">
        <w:rPr>
          <w:rFonts w:cs="Times New Roman"/>
          <w:sz w:val="20"/>
          <w:szCs w:val="20"/>
          <w:lang w:val="nl-NL"/>
        </w:rPr>
        <w:t xml:space="preserve"> </w:t>
      </w:r>
      <w:r w:rsidRPr="00B15395">
        <w:rPr>
          <w:rFonts w:cs="Times New Roman"/>
          <w:sz w:val="20"/>
          <w:szCs w:val="20"/>
          <w:lang w:val="en-US"/>
        </w:rPr>
        <w:t>λόγος</w:t>
      </w:r>
      <w:r w:rsidRPr="00B15395">
        <w:rPr>
          <w:rFonts w:cs="Times New Roman"/>
          <w:sz w:val="20"/>
          <w:szCs w:val="20"/>
          <w:lang w:val="nl-NL"/>
        </w:rPr>
        <w:t xml:space="preserve">, </w:t>
      </w:r>
      <w:r w:rsidRPr="00B15395">
        <w:rPr>
          <w:rFonts w:cs="Times New Roman"/>
          <w:sz w:val="20"/>
          <w:szCs w:val="20"/>
          <w:lang w:val="en-US"/>
        </w:rPr>
        <w:t>οἱ</w:t>
      </w:r>
      <w:r w:rsidRPr="00B15395">
        <w:rPr>
          <w:rFonts w:cs="Times New Roman"/>
          <w:sz w:val="20"/>
          <w:szCs w:val="20"/>
          <w:lang w:val="nl-NL"/>
        </w:rPr>
        <w:t xml:space="preserve"> </w:t>
      </w:r>
      <w:r w:rsidRPr="00B15395">
        <w:rPr>
          <w:rFonts w:cs="Times New Roman"/>
          <w:sz w:val="20"/>
          <w:szCs w:val="20"/>
          <w:lang w:val="en-US"/>
        </w:rPr>
        <w:t>ἰκτεριῶντες</w:t>
      </w:r>
      <w:r w:rsidRPr="00B15395">
        <w:rPr>
          <w:rFonts w:cs="Times New Roman"/>
          <w:sz w:val="20"/>
          <w:szCs w:val="20"/>
          <w:lang w:val="nl-NL"/>
        </w:rPr>
        <w:t xml:space="preserve"> </w:t>
      </w:r>
      <w:r w:rsidRPr="00B15395">
        <w:rPr>
          <w:rFonts w:cs="Times New Roman"/>
          <w:sz w:val="20"/>
          <w:szCs w:val="20"/>
          <w:lang w:val="en-US"/>
        </w:rPr>
        <w:t>ῥᾷον</w:t>
      </w:r>
      <w:r w:rsidRPr="00B15395">
        <w:rPr>
          <w:rFonts w:cs="Times New Roman"/>
          <w:sz w:val="20"/>
          <w:szCs w:val="20"/>
          <w:lang w:val="nl-NL"/>
        </w:rPr>
        <w:t xml:space="preserve"> </w:t>
      </w:r>
      <w:r w:rsidRPr="00B15395">
        <w:rPr>
          <w:rFonts w:cs="Times New Roman"/>
          <w:sz w:val="20"/>
          <w:szCs w:val="20"/>
          <w:lang w:val="en-US"/>
        </w:rPr>
        <w:t>ἀπαλλάττονται</w:t>
      </w:r>
      <w:r w:rsidRPr="00B15395">
        <w:rPr>
          <w:rFonts w:cs="Times New Roman"/>
          <w:sz w:val="20"/>
          <w:szCs w:val="20"/>
          <w:lang w:val="nl-NL"/>
        </w:rPr>
        <w:t xml:space="preserve">· </w:t>
      </w:r>
      <w:r w:rsidRPr="00B15395">
        <w:rPr>
          <w:rFonts w:cs="Times New Roman"/>
          <w:sz w:val="20"/>
          <w:szCs w:val="20"/>
          <w:lang w:val="en-US"/>
        </w:rPr>
        <w:t>ὅθεν</w:t>
      </w:r>
      <w:r w:rsidRPr="00B15395">
        <w:rPr>
          <w:rFonts w:cs="Times New Roman"/>
          <w:sz w:val="20"/>
          <w:szCs w:val="20"/>
          <w:lang w:val="nl-NL"/>
        </w:rPr>
        <w:t xml:space="preserve"> </w:t>
      </w:r>
      <w:r w:rsidRPr="00B15395">
        <w:rPr>
          <w:rFonts w:cs="Times New Roman"/>
          <w:sz w:val="20"/>
          <w:szCs w:val="20"/>
          <w:lang w:val="en-US"/>
        </w:rPr>
        <w:t>καὶ</w:t>
      </w:r>
      <w:r w:rsidRPr="00B15395">
        <w:rPr>
          <w:rFonts w:cs="Times New Roman"/>
          <w:sz w:val="20"/>
          <w:szCs w:val="20"/>
          <w:lang w:val="nl-NL"/>
        </w:rPr>
        <w:t xml:space="preserve"> </w:t>
      </w:r>
      <w:r w:rsidRPr="00B15395">
        <w:rPr>
          <w:rFonts w:cs="Times New Roman"/>
          <w:sz w:val="20"/>
          <w:szCs w:val="20"/>
          <w:lang w:val="en-US"/>
        </w:rPr>
        <w:t>ἐγκρύπτουσιν</w:t>
      </w:r>
      <w:r w:rsidRPr="00B15395">
        <w:rPr>
          <w:rFonts w:cs="Times New Roman"/>
          <w:sz w:val="20"/>
          <w:szCs w:val="20"/>
          <w:lang w:val="nl-NL"/>
        </w:rPr>
        <w:t xml:space="preserve"> </w:t>
      </w:r>
      <w:r w:rsidRPr="00B15395">
        <w:rPr>
          <w:rFonts w:cs="Times New Roman"/>
          <w:sz w:val="20"/>
          <w:szCs w:val="20"/>
          <w:lang w:val="en-US"/>
        </w:rPr>
        <w:t>αὐτὸν</w:t>
      </w:r>
      <w:r w:rsidRPr="00B15395">
        <w:rPr>
          <w:rFonts w:cs="Times New Roman"/>
          <w:sz w:val="20"/>
          <w:szCs w:val="20"/>
          <w:lang w:val="nl-NL"/>
        </w:rPr>
        <w:t xml:space="preserve"> </w:t>
      </w:r>
      <w:r w:rsidRPr="00B15395">
        <w:rPr>
          <w:rFonts w:cs="Times New Roman"/>
          <w:sz w:val="20"/>
          <w:szCs w:val="20"/>
          <w:lang w:val="en-US"/>
        </w:rPr>
        <w:t>οἱ</w:t>
      </w:r>
      <w:r w:rsidRPr="00B15395">
        <w:rPr>
          <w:rFonts w:cs="Times New Roman"/>
          <w:sz w:val="20"/>
          <w:szCs w:val="20"/>
          <w:lang w:val="nl-NL"/>
        </w:rPr>
        <w:t xml:space="preserve"> </w:t>
      </w:r>
      <w:r w:rsidRPr="00B15395">
        <w:rPr>
          <w:rFonts w:cs="Times New Roman"/>
          <w:sz w:val="20"/>
          <w:szCs w:val="20"/>
          <w:lang w:val="en-US"/>
        </w:rPr>
        <w:t>πιπράσκοντες</w:t>
      </w:r>
      <w:r w:rsidRPr="00B15395">
        <w:rPr>
          <w:rFonts w:cs="Times New Roman"/>
          <w:sz w:val="20"/>
          <w:szCs w:val="20"/>
          <w:lang w:val="nl-NL"/>
        </w:rPr>
        <w:t xml:space="preserve"> </w:t>
      </w:r>
      <w:r w:rsidRPr="00B15395">
        <w:rPr>
          <w:rFonts w:cs="Times New Roman"/>
          <w:sz w:val="20"/>
          <w:szCs w:val="20"/>
          <w:lang w:val="en-US"/>
        </w:rPr>
        <w:t>ἵνα</w:t>
      </w:r>
      <w:r w:rsidRPr="00B15395">
        <w:rPr>
          <w:rFonts w:cs="Times New Roman"/>
          <w:sz w:val="20"/>
          <w:szCs w:val="20"/>
          <w:lang w:val="nl-NL"/>
        </w:rPr>
        <w:t xml:space="preserve"> </w:t>
      </w:r>
      <w:r w:rsidRPr="00B15395">
        <w:rPr>
          <w:rFonts w:cs="Times New Roman"/>
          <w:sz w:val="20"/>
          <w:szCs w:val="20"/>
          <w:lang w:val="en-US"/>
        </w:rPr>
        <w:t>μὴ</w:t>
      </w:r>
      <w:r w:rsidRPr="00B15395">
        <w:rPr>
          <w:rFonts w:cs="Times New Roman"/>
          <w:sz w:val="20"/>
          <w:szCs w:val="20"/>
          <w:lang w:val="nl-NL"/>
        </w:rPr>
        <w:t xml:space="preserve"> </w:t>
      </w:r>
      <w:r w:rsidRPr="00B15395">
        <w:rPr>
          <w:rFonts w:cs="Times New Roman"/>
          <w:sz w:val="20"/>
          <w:szCs w:val="20"/>
          <w:lang w:val="en-US"/>
        </w:rPr>
        <w:t>προῖκα</w:t>
      </w:r>
      <w:r w:rsidRPr="00B15395">
        <w:rPr>
          <w:rFonts w:cs="Times New Roman"/>
          <w:sz w:val="20"/>
          <w:szCs w:val="20"/>
          <w:lang w:val="nl-NL"/>
        </w:rPr>
        <w:t xml:space="preserve"> </w:t>
      </w:r>
      <w:r w:rsidRPr="00B15395">
        <w:rPr>
          <w:rFonts w:cs="Times New Roman"/>
          <w:sz w:val="20"/>
          <w:szCs w:val="20"/>
          <w:lang w:val="en-US"/>
        </w:rPr>
        <w:t>ὠφελῶνται</w:t>
      </w:r>
      <w:r w:rsidRPr="00B15395">
        <w:rPr>
          <w:rFonts w:cs="Times New Roman"/>
          <w:sz w:val="20"/>
          <w:szCs w:val="20"/>
          <w:lang w:val="nl-NL"/>
        </w:rPr>
        <w:t xml:space="preserve"> </w:t>
      </w:r>
      <w:r w:rsidRPr="00B15395">
        <w:rPr>
          <w:rFonts w:cs="Times New Roman"/>
          <w:sz w:val="20"/>
          <w:szCs w:val="20"/>
          <w:lang w:val="en-US"/>
        </w:rPr>
        <w:t>οἱ</w:t>
      </w:r>
      <w:r w:rsidRPr="00B15395">
        <w:rPr>
          <w:rFonts w:cs="Times New Roman"/>
          <w:sz w:val="20"/>
          <w:szCs w:val="20"/>
          <w:lang w:val="nl-NL"/>
        </w:rPr>
        <w:t xml:space="preserve"> </w:t>
      </w:r>
      <w:r w:rsidRPr="00B15395">
        <w:rPr>
          <w:rFonts w:cs="Times New Roman"/>
          <w:sz w:val="20"/>
          <w:szCs w:val="20"/>
          <w:lang w:val="en-US"/>
        </w:rPr>
        <w:t>κάμνοντες</w:t>
      </w:r>
      <w:r w:rsidRPr="00B15395">
        <w:rPr>
          <w:rFonts w:cs="Times New Roman"/>
          <w:sz w:val="20"/>
          <w:szCs w:val="20"/>
          <w:lang w:val="nl-NL"/>
        </w:rPr>
        <w:t>.</w:t>
      </w:r>
      <w:r w:rsidRPr="00B15395">
        <w:rPr>
          <w:rFonts w:cs="Times New Roman"/>
          <w:i/>
          <w:iCs/>
          <w:sz w:val="20"/>
          <w:szCs w:val="20"/>
          <w:lang w:val="nl-NL"/>
        </w:rPr>
        <w:t> </w:t>
      </w:r>
      <w:r w:rsidRPr="00B15395">
        <w:rPr>
          <w:rFonts w:cs="Times New Roman"/>
          <w:i/>
          <w:iCs/>
          <w:sz w:val="20"/>
          <w:szCs w:val="20"/>
          <w:lang w:val="en-US"/>
        </w:rPr>
        <w:t>καί</w:t>
      </w:r>
      <w:r w:rsidRPr="00B15395">
        <w:rPr>
          <w:rFonts w:cs="Times New Roman"/>
          <w:i/>
          <w:iCs/>
          <w:sz w:val="20"/>
          <w:szCs w:val="20"/>
          <w:lang w:val="nl-NL"/>
        </w:rPr>
        <w:t xml:space="preserve"> </w:t>
      </w:r>
      <w:r w:rsidRPr="00B15395">
        <w:rPr>
          <w:rFonts w:cs="Times New Roman"/>
          <w:i/>
          <w:iCs/>
          <w:sz w:val="20"/>
          <w:szCs w:val="20"/>
          <w:lang w:val="en-US"/>
        </w:rPr>
        <w:t>μιν</w:t>
      </w:r>
      <w:r w:rsidRPr="00B15395">
        <w:rPr>
          <w:rFonts w:cs="Times New Roman"/>
          <w:i/>
          <w:iCs/>
          <w:sz w:val="20"/>
          <w:szCs w:val="20"/>
          <w:lang w:val="nl-NL"/>
        </w:rPr>
        <w:t xml:space="preserve"> </w:t>
      </w:r>
      <w:r w:rsidRPr="00B15395">
        <w:rPr>
          <w:rFonts w:cs="Times New Roman"/>
          <w:i/>
          <w:iCs/>
          <w:sz w:val="20"/>
          <w:szCs w:val="20"/>
          <w:lang w:val="en-US"/>
        </w:rPr>
        <w:t>καλύπτει</w:t>
      </w:r>
      <w:r w:rsidRPr="00B15395">
        <w:rPr>
          <w:rFonts w:cs="Times New Roman"/>
          <w:i/>
          <w:iCs/>
          <w:sz w:val="20"/>
          <w:szCs w:val="20"/>
          <w:lang w:val="nl-NL"/>
        </w:rPr>
        <w:t xml:space="preserve">· </w:t>
      </w:r>
      <w:r w:rsidRPr="00B15395">
        <w:rPr>
          <w:rFonts w:cs="Times New Roman"/>
          <w:i/>
          <w:iCs/>
          <w:sz w:val="20"/>
          <w:szCs w:val="20"/>
          <w:lang w:val="en-US"/>
        </w:rPr>
        <w:t>μῶν</w:t>
      </w:r>
      <w:r w:rsidRPr="00B15395">
        <w:rPr>
          <w:rFonts w:cs="Times New Roman"/>
          <w:i/>
          <w:iCs/>
          <w:sz w:val="20"/>
          <w:szCs w:val="20"/>
          <w:lang w:val="nl-NL"/>
        </w:rPr>
        <w:t xml:space="preserve"> </w:t>
      </w:r>
      <w:r w:rsidRPr="00B15395">
        <w:rPr>
          <w:rFonts w:cs="Times New Roman"/>
          <w:i/>
          <w:iCs/>
          <w:sz w:val="20"/>
          <w:szCs w:val="20"/>
          <w:lang w:val="en-US"/>
        </w:rPr>
        <w:t>χαραδριὸν</w:t>
      </w:r>
      <w:r w:rsidRPr="00B15395">
        <w:rPr>
          <w:rFonts w:cs="Times New Roman"/>
          <w:i/>
          <w:iCs/>
          <w:sz w:val="20"/>
          <w:szCs w:val="20"/>
          <w:lang w:val="nl-NL"/>
        </w:rPr>
        <w:t xml:space="preserve"> </w:t>
      </w:r>
      <w:r w:rsidRPr="00B15395">
        <w:rPr>
          <w:rFonts w:cs="Times New Roman"/>
          <w:i/>
          <w:iCs/>
          <w:sz w:val="20"/>
          <w:szCs w:val="20"/>
          <w:lang w:val="en-US"/>
        </w:rPr>
        <w:t>περνάς</w:t>
      </w:r>
      <w:r w:rsidRPr="00B15395">
        <w:rPr>
          <w:rFonts w:cs="Times New Roman"/>
          <w:i/>
          <w:iCs/>
          <w:sz w:val="20"/>
          <w:szCs w:val="20"/>
          <w:lang w:val="nl-NL"/>
        </w:rPr>
        <w:t xml:space="preserve">; </w:t>
      </w:r>
      <w:r w:rsidRPr="00B15395">
        <w:rPr>
          <w:rFonts w:cs="Times New Roman"/>
          <w:sz w:val="20"/>
          <w:szCs w:val="20"/>
          <w:lang w:val="en-US"/>
        </w:rPr>
        <w:t>ὥς</w:t>
      </w:r>
      <w:r w:rsidRPr="00B15395">
        <w:rPr>
          <w:rFonts w:cs="Times New Roman"/>
          <w:sz w:val="20"/>
          <w:szCs w:val="20"/>
          <w:lang w:val="nl-NL"/>
        </w:rPr>
        <w:t xml:space="preserve"> </w:t>
      </w:r>
      <w:r w:rsidRPr="00B15395">
        <w:rPr>
          <w:rFonts w:cs="Times New Roman"/>
          <w:sz w:val="20"/>
          <w:szCs w:val="20"/>
          <w:lang w:val="en-US"/>
        </w:rPr>
        <w:t>φησιν</w:t>
      </w:r>
      <w:r w:rsidRPr="00B15395">
        <w:rPr>
          <w:rFonts w:cs="Times New Roman"/>
          <w:sz w:val="20"/>
          <w:szCs w:val="20"/>
          <w:lang w:val="nl-NL"/>
        </w:rPr>
        <w:t xml:space="preserve"> </w:t>
      </w:r>
      <w:r w:rsidRPr="00B15395">
        <w:rPr>
          <w:rFonts w:cs="Times New Roman"/>
          <w:sz w:val="20"/>
          <w:szCs w:val="20"/>
          <w:lang w:val="en-US"/>
        </w:rPr>
        <w:t>Ἱππῶναξ</w:t>
      </w:r>
      <w:r w:rsidRPr="00B15395">
        <w:rPr>
          <w:rFonts w:cs="Times New Roman"/>
          <w:sz w:val="20"/>
          <w:szCs w:val="20"/>
          <w:lang w:val="nl-NL"/>
        </w:rPr>
        <w:t xml:space="preserve"> “</w:t>
      </w:r>
      <w:r w:rsidRPr="00B15395">
        <w:rPr>
          <w:rFonts w:cs="Times New Roman"/>
          <w:i/>
          <w:iCs/>
          <w:sz w:val="20"/>
          <w:szCs w:val="20"/>
          <w:lang w:val="nl-NL"/>
        </w:rPr>
        <w:t>charadrioû</w:t>
      </w:r>
      <w:r w:rsidRPr="00B15395">
        <w:rPr>
          <w:rFonts w:cs="Times New Roman"/>
          <w:sz w:val="20"/>
          <w:szCs w:val="20"/>
          <w:lang w:val="nl-NL"/>
        </w:rPr>
        <w:t xml:space="preserve">: the plover is a bird that secretes while eats. </w:t>
      </w:r>
      <w:r w:rsidRPr="00B15395">
        <w:rPr>
          <w:rFonts w:cs="Times New Roman"/>
          <w:sz w:val="20"/>
          <w:szCs w:val="20"/>
          <w:lang w:val="en-US"/>
        </w:rPr>
        <w:t>It is said that the jaundiced people easily recover if they look at it; for this, the sellers cover it so that the sick people do not benefit for free”</w:t>
      </w:r>
      <w:r w:rsidRPr="00B15395">
        <w:rPr>
          <w:rFonts w:cs="Times New Roman"/>
          <w:i/>
          <w:iCs/>
          <w:sz w:val="20"/>
          <w:szCs w:val="20"/>
          <w:lang w:val="en-US"/>
        </w:rPr>
        <w:t xml:space="preserve"> </w:t>
      </w:r>
      <w:r w:rsidRPr="00B15395">
        <w:rPr>
          <w:rFonts w:cs="Times New Roman"/>
          <w:sz w:val="20"/>
          <w:szCs w:val="20"/>
          <w:lang w:val="en-US"/>
        </w:rPr>
        <w:t>(schol. Plat</w:t>
      </w:r>
      <w:r w:rsidRPr="00B15395">
        <w:rPr>
          <w:rFonts w:cs="Times New Roman"/>
          <w:i/>
          <w:iCs/>
          <w:sz w:val="20"/>
          <w:szCs w:val="20"/>
          <w:lang w:val="en-US"/>
        </w:rPr>
        <w:t>. Gorg</w:t>
      </w:r>
      <w:r w:rsidRPr="00B15395">
        <w:rPr>
          <w:rFonts w:cs="Times New Roman"/>
          <w:sz w:val="20"/>
          <w:szCs w:val="20"/>
          <w:lang w:val="en-US"/>
        </w:rPr>
        <w:t>. 494b).</w:t>
      </w:r>
      <w:r w:rsidRPr="00B15395">
        <w:rPr>
          <w:rFonts w:cs="Times New Roman"/>
          <w:i/>
          <w:iCs/>
          <w:sz w:val="20"/>
          <w:szCs w:val="20"/>
          <w:lang w:val="en-US"/>
        </w:rPr>
        <w:t xml:space="preserve"> </w:t>
      </w:r>
      <w:r w:rsidRPr="00B15395">
        <w:rPr>
          <w:rFonts w:cs="Times New Roman"/>
          <w:sz w:val="20"/>
          <w:szCs w:val="20"/>
          <w:lang w:val="en-US"/>
        </w:rPr>
        <w:t xml:space="preserve">This bird is casually mentioned quite often by ancient writers (cf. Hippon. fr. 54; Ar. </w:t>
      </w:r>
      <w:r w:rsidRPr="00B15395">
        <w:rPr>
          <w:rFonts w:cs="Times New Roman"/>
          <w:i/>
          <w:iCs/>
          <w:sz w:val="20"/>
          <w:szCs w:val="20"/>
          <w:lang w:val="en-US"/>
        </w:rPr>
        <w:t>Av.</w:t>
      </w:r>
      <w:r w:rsidRPr="00B15395">
        <w:rPr>
          <w:rFonts w:cs="Times New Roman"/>
          <w:sz w:val="20"/>
          <w:szCs w:val="20"/>
          <w:lang w:val="en-US"/>
        </w:rPr>
        <w:t xml:space="preserve"> 265-266; Plat. </w:t>
      </w:r>
      <w:r w:rsidRPr="00B15395">
        <w:rPr>
          <w:rFonts w:cs="Times New Roman"/>
          <w:i/>
          <w:iCs/>
          <w:sz w:val="20"/>
          <w:szCs w:val="20"/>
          <w:lang w:val="en-US"/>
        </w:rPr>
        <w:t>Gor.</w:t>
      </w:r>
      <w:r w:rsidRPr="00B15395">
        <w:rPr>
          <w:rFonts w:cs="Times New Roman"/>
          <w:sz w:val="20"/>
          <w:szCs w:val="20"/>
          <w:lang w:val="en-US"/>
        </w:rPr>
        <w:t xml:space="preserve"> 494b), but our main information about it is again provided by Aristotle, who calls it a sea bird (</w:t>
      </w:r>
      <w:r w:rsidRPr="00B15395">
        <w:rPr>
          <w:rFonts w:cs="Times New Roman"/>
          <w:i/>
          <w:iCs/>
          <w:sz w:val="20"/>
          <w:szCs w:val="20"/>
          <w:lang w:val="en-US"/>
        </w:rPr>
        <w:t>HA</w:t>
      </w:r>
      <w:r w:rsidRPr="00B15395">
        <w:rPr>
          <w:rFonts w:cs="Times New Roman"/>
          <w:sz w:val="20"/>
          <w:szCs w:val="20"/>
          <w:lang w:val="en-US"/>
        </w:rPr>
        <w:t xml:space="preserve"> 593b14-15) that lives around torrents and rocky gullies (according to ancient popular etymology, charadrios means “gully bird”); it is poor in colouring and voice, and appears mainly at night but runs away in daylight hours (614b35-615a3). Some of these details are confirmed or slightly expanded by other authors: thus Aristophanes </w:t>
      </w:r>
      <w:r w:rsidRPr="00B15395">
        <w:rPr>
          <w:rFonts w:cs="Times New Roman"/>
          <w:i/>
          <w:iCs/>
          <w:sz w:val="20"/>
          <w:szCs w:val="20"/>
          <w:lang w:val="en-US"/>
        </w:rPr>
        <w:t>Av</w:t>
      </w:r>
      <w:r w:rsidRPr="00B15395">
        <w:rPr>
          <w:rFonts w:cs="Times New Roman"/>
          <w:sz w:val="20"/>
          <w:szCs w:val="20"/>
          <w:lang w:val="en-US"/>
        </w:rPr>
        <w:t xml:space="preserve">. 1141 calls it a river bird, and Antoninus Liberalis </w:t>
      </w:r>
      <w:r w:rsidRPr="00B15395">
        <w:rPr>
          <w:rFonts w:cs="Times New Roman"/>
          <w:i/>
          <w:iCs/>
          <w:sz w:val="20"/>
          <w:szCs w:val="20"/>
          <w:lang w:val="en-US"/>
        </w:rPr>
        <w:t>Met</w:t>
      </w:r>
      <w:r w:rsidRPr="00B15395">
        <w:rPr>
          <w:rFonts w:cs="Times New Roman"/>
          <w:sz w:val="20"/>
          <w:szCs w:val="20"/>
          <w:lang w:val="en-US"/>
        </w:rPr>
        <w:t>. 15.4 tells that Boios has Agron transformed into a Charadrios and his three brothers into other night birds.</w:t>
      </w:r>
    </w:p>
  </w:footnote>
  <w:footnote w:id="302">
    <w:p w14:paraId="76684D1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Plut. </w:t>
      </w:r>
      <w:r w:rsidRPr="00B15395">
        <w:rPr>
          <w:rFonts w:cs="Times New Roman"/>
          <w:i/>
          <w:iCs/>
          <w:sz w:val="20"/>
          <w:szCs w:val="20"/>
          <w:lang w:val="en-US"/>
        </w:rPr>
        <w:t>Mor.</w:t>
      </w:r>
      <w:r w:rsidRPr="00B15395">
        <w:rPr>
          <w:rFonts w:cs="Times New Roman"/>
          <w:sz w:val="20"/>
          <w:szCs w:val="20"/>
          <w:lang w:val="en-US"/>
        </w:rPr>
        <w:t xml:space="preserve"> 681cd; Ael.</w:t>
      </w:r>
      <w:r w:rsidRPr="00B15395">
        <w:rPr>
          <w:rFonts w:cs="Times New Roman"/>
          <w:i/>
          <w:iCs/>
          <w:sz w:val="20"/>
          <w:szCs w:val="20"/>
          <w:lang w:val="en-US"/>
        </w:rPr>
        <w:t xml:space="preserve"> NA</w:t>
      </w:r>
      <w:r w:rsidRPr="00B15395">
        <w:rPr>
          <w:rFonts w:cs="Times New Roman"/>
          <w:sz w:val="20"/>
          <w:szCs w:val="20"/>
          <w:lang w:val="en-US"/>
        </w:rPr>
        <w:t xml:space="preserve"> 17.13; Heliod. 3.8.1; </w:t>
      </w:r>
      <w:r w:rsidRPr="00B15395">
        <w:rPr>
          <w:rFonts w:cs="Times New Roman"/>
          <w:i/>
          <w:iCs/>
          <w:sz w:val="20"/>
          <w:szCs w:val="20"/>
          <w:lang w:val="en-US"/>
        </w:rPr>
        <w:t>Suda</w:t>
      </w:r>
      <w:r w:rsidRPr="00B15395">
        <w:rPr>
          <w:rFonts w:cs="Times New Roman"/>
          <w:sz w:val="20"/>
          <w:szCs w:val="20"/>
          <w:lang w:val="en-US"/>
        </w:rPr>
        <w:t xml:space="preserve"> I 279, c 99.</w:t>
      </w:r>
    </w:p>
  </w:footnote>
  <w:footnote w:id="303">
    <w:p w14:paraId="1A635004" w14:textId="11FA1FC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therapeutics may be nonsensical, but they imply the existence of further details that support Gesner’s identification of the charadrios as the stone curlew (</w:t>
      </w:r>
      <w:r w:rsidRPr="00B15395">
        <w:rPr>
          <w:rFonts w:cs="Times New Roman"/>
          <w:i/>
          <w:iCs/>
          <w:sz w:val="20"/>
          <w:szCs w:val="20"/>
          <w:lang w:val="en-US"/>
        </w:rPr>
        <w:t>Burhinus oedicnemus</w:t>
      </w:r>
      <w:r w:rsidRPr="00B15395">
        <w:rPr>
          <w:rFonts w:cs="Times New Roman"/>
          <w:sz w:val="20"/>
          <w:szCs w:val="20"/>
          <w:lang w:val="en-US"/>
        </w:rPr>
        <w:t>), a nocturnal feeder whose main habitat in Greece is coastal wetlands, along with river banks and steep broken ground. This bird is only intermittently vocal (the notion of an incoherent and disconnected speech is attested also by schol. Plat.</w:t>
      </w:r>
      <w:r w:rsidRPr="00B15395">
        <w:rPr>
          <w:rFonts w:cs="Times New Roman"/>
          <w:i/>
          <w:iCs/>
          <w:sz w:val="20"/>
          <w:szCs w:val="20"/>
          <w:lang w:val="en-US"/>
        </w:rPr>
        <w:t xml:space="preserve"> Gorg.</w:t>
      </w:r>
      <w:r w:rsidRPr="00B15395">
        <w:rPr>
          <w:rFonts w:cs="Times New Roman"/>
          <w:sz w:val="20"/>
          <w:szCs w:val="20"/>
          <w:lang w:val="en-US"/>
        </w:rPr>
        <w:t xml:space="preserve"> 494b, bis λέγεις οἷον κτλ. τοῦτο ἐκ τοῦ ἀπεμφαίνοντος πρόεισιν “this derives from its being incoherent”), and has a dull, sandy-brown plumage in which the yellow colouration of its bill, legs and prominent eyes, which seem to glare malevolently at short range, stands out.</w:t>
      </w:r>
    </w:p>
  </w:footnote>
  <w:footnote w:id="304">
    <w:p w14:paraId="6F01744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fragment tells that a woman is treating Hipponax for impotence by blows from fig branch and by inserting something into his anus which causes him to defecate. The state of the papyrus leaves much in obscurity, but commentators compare the fragment to Petronius 138. </w:t>
      </w:r>
    </w:p>
  </w:footnote>
  <w:footnote w:id="305">
    <w:p w14:paraId="4C0D68CD" w14:textId="1376A2D8"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 xml:space="preserve">A rendering in the Greek alphabet of something in Lydian; cf. West 1974: 144-45. </w:t>
      </w:r>
    </w:p>
  </w:footnote>
  <w:footnote w:id="306">
    <w:p w14:paraId="397A5598" w14:textId="6D950DA4" w:rsidR="00D808B7" w:rsidRPr="00B15395" w:rsidRDefault="00D808B7" w:rsidP="00B15395">
      <w:pPr>
        <w:pStyle w:val="FootnoteText"/>
        <w:spacing w:line="240" w:lineRule="auto"/>
        <w:rPr>
          <w:rFonts w:cs="Times New Roman"/>
          <w:szCs w:val="20"/>
          <w:lang w:val="it-IT"/>
        </w:rPr>
      </w:pPr>
      <w:r w:rsidRPr="00B15395">
        <w:rPr>
          <w:rStyle w:val="FootnoteReference"/>
          <w:rFonts w:cs="Times New Roman"/>
          <w:szCs w:val="20"/>
        </w:rPr>
        <w:footnoteRef/>
      </w:r>
      <w:r w:rsidRPr="00B15395">
        <w:rPr>
          <w:rFonts w:cs="Times New Roman"/>
          <w:szCs w:val="20"/>
        </w:rPr>
        <w:tab/>
        <w:t xml:space="preserve">West’s translation of a word modeled on </w:t>
      </w:r>
      <w:r w:rsidRPr="00B15395">
        <w:rPr>
          <w:rFonts w:cs="Times New Roman"/>
          <w:szCs w:val="20"/>
          <w:lang w:val="el-GR"/>
        </w:rPr>
        <w:t>Δωριστί</w:t>
      </w:r>
      <w:r w:rsidRPr="00B15395">
        <w:rPr>
          <w:rFonts w:cs="Times New Roman"/>
          <w:szCs w:val="20"/>
          <w:lang w:val="en-US"/>
        </w:rPr>
        <w:t xml:space="preserve"> </w:t>
      </w:r>
      <w:r w:rsidRPr="00B15395">
        <w:rPr>
          <w:rFonts w:cs="Times New Roman"/>
          <w:szCs w:val="20"/>
        </w:rPr>
        <w:t>“in Doric,”</w:t>
      </w:r>
      <w:r w:rsidRPr="00B15395">
        <w:rPr>
          <w:rFonts w:cs="Times New Roman"/>
          <w:szCs w:val="20"/>
          <w:lang w:val="en-US"/>
        </w:rPr>
        <w:t xml:space="preserve"> </w:t>
      </w:r>
      <w:r w:rsidRPr="00B15395">
        <w:rPr>
          <w:rFonts w:cs="Times New Roman"/>
          <w:szCs w:val="20"/>
          <w:lang w:val="el-GR"/>
        </w:rPr>
        <w:t>Ἰαστί</w:t>
      </w:r>
      <w:r w:rsidRPr="00B15395">
        <w:rPr>
          <w:rFonts w:cs="Times New Roman"/>
          <w:szCs w:val="20"/>
          <w:lang w:val="en-US"/>
        </w:rPr>
        <w:t xml:space="preserve"> </w:t>
      </w:r>
      <w:r w:rsidRPr="00B15395">
        <w:rPr>
          <w:rFonts w:cs="Times New Roman"/>
          <w:szCs w:val="20"/>
          <w:lang w:val="it-IT"/>
        </w:rPr>
        <w:t xml:space="preserve">“in Ionic,” etc. </w:t>
      </w:r>
    </w:p>
  </w:footnote>
  <w:footnote w:id="307">
    <w:p w14:paraId="04072245" w14:textId="212FB187" w:rsidR="00D808B7" w:rsidRPr="00B15395" w:rsidRDefault="00D808B7" w:rsidP="00B15395">
      <w:pPr>
        <w:spacing w:line="240" w:lineRule="auto"/>
        <w:ind w:left="284" w:hanging="284"/>
        <w:rPr>
          <w:rFonts w:cs="Times New Roman"/>
          <w:sz w:val="20"/>
          <w:szCs w:val="20"/>
          <w:lang w:val="it-IT"/>
        </w:rPr>
      </w:pPr>
      <w:r w:rsidRPr="00B15395">
        <w:rPr>
          <w:rStyle w:val="FootnoteReference"/>
          <w:rFonts w:cs="Times New Roman"/>
          <w:sz w:val="20"/>
          <w:szCs w:val="20"/>
          <w:lang w:val="en-US"/>
        </w:rPr>
        <w:footnoteRef/>
      </w:r>
      <w:r w:rsidRPr="00B15395">
        <w:rPr>
          <w:rFonts w:cs="Times New Roman"/>
          <w:sz w:val="20"/>
          <w:szCs w:val="20"/>
          <w:lang w:val="it-IT"/>
        </w:rPr>
        <w:tab/>
        <w:t xml:space="preserve">Cf. Hsych. </w:t>
      </w:r>
      <w:r w:rsidRPr="00B15395">
        <w:rPr>
          <w:rFonts w:cs="Times New Roman"/>
          <w:sz w:val="20"/>
          <w:szCs w:val="20"/>
          <w:lang w:val="en-US"/>
        </w:rPr>
        <w:t>π</w:t>
      </w:r>
      <w:r w:rsidRPr="00B15395">
        <w:rPr>
          <w:rFonts w:cs="Times New Roman"/>
          <w:sz w:val="20"/>
          <w:szCs w:val="20"/>
          <w:lang w:val="it-IT"/>
        </w:rPr>
        <w:t xml:space="preserve"> 1146 Latte </w:t>
      </w:r>
      <w:r w:rsidRPr="00B15395">
        <w:rPr>
          <w:rFonts w:cs="Times New Roman"/>
          <w:sz w:val="20"/>
          <w:szCs w:val="20"/>
          <w:lang w:val="en-US"/>
        </w:rPr>
        <w:t>παῦνι</w:t>
      </w:r>
      <w:r w:rsidRPr="00B15395">
        <w:rPr>
          <w:rFonts w:cs="Times New Roman"/>
          <w:sz w:val="20"/>
          <w:szCs w:val="20"/>
          <w:lang w:val="it-IT"/>
        </w:rPr>
        <w:t>· </w:t>
      </w:r>
      <w:r w:rsidRPr="00B15395">
        <w:rPr>
          <w:rFonts w:cs="Times New Roman"/>
          <w:sz w:val="20"/>
          <w:szCs w:val="20"/>
          <w:lang w:val="en-US"/>
        </w:rPr>
        <w:t>μικρόν</w:t>
      </w:r>
      <w:r w:rsidRPr="00B15395">
        <w:rPr>
          <w:rFonts w:cs="Times New Roman"/>
          <w:sz w:val="20"/>
          <w:szCs w:val="20"/>
          <w:lang w:val="it-IT"/>
        </w:rPr>
        <w:t xml:space="preserve"> “</w:t>
      </w:r>
      <w:r w:rsidRPr="00B15395">
        <w:rPr>
          <w:rFonts w:cs="Times New Roman"/>
          <w:i/>
          <w:iCs/>
          <w:sz w:val="20"/>
          <w:szCs w:val="20"/>
          <w:lang w:val="it-IT"/>
        </w:rPr>
        <w:t>paûni</w:t>
      </w:r>
      <w:r w:rsidRPr="00B15395">
        <w:rPr>
          <w:rFonts w:cs="Times New Roman"/>
          <w:sz w:val="20"/>
          <w:szCs w:val="20"/>
          <w:lang w:val="it-IT"/>
        </w:rPr>
        <w:t>: little.”</w:t>
      </w:r>
    </w:p>
  </w:footnote>
  <w:footnote w:id="308">
    <w:p w14:paraId="20BA5C01" w14:textId="19969B5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Call. fr. 784 οὐδ’ ὅσσον μυίης στυγερῶν ἐμπάζετο μύθων “for nothing he does care of horrible stories”; Herod. 1.15 ἐγὼ δὲ δραίνω μυῖ’ ὄσον “he is not worth a fly”; Suet. </w:t>
      </w:r>
      <w:r w:rsidRPr="00B15395">
        <w:rPr>
          <w:rFonts w:cs="Times New Roman"/>
          <w:i/>
          <w:iCs/>
          <w:sz w:val="20"/>
          <w:szCs w:val="20"/>
          <w:lang w:val="en-US"/>
        </w:rPr>
        <w:t>Domit</w:t>
      </w:r>
      <w:r w:rsidRPr="00B15395">
        <w:rPr>
          <w:rFonts w:cs="Times New Roman"/>
          <w:sz w:val="20"/>
          <w:szCs w:val="20"/>
          <w:lang w:val="en-US"/>
        </w:rPr>
        <w:t xml:space="preserve">. 3 </w:t>
      </w:r>
      <w:r w:rsidRPr="00B15395">
        <w:rPr>
          <w:rFonts w:cs="Times New Roman"/>
          <w:i/>
          <w:iCs/>
          <w:sz w:val="20"/>
          <w:szCs w:val="20"/>
          <w:lang w:val="en-US"/>
        </w:rPr>
        <w:t>ne musca quidem</w:t>
      </w:r>
      <w:r w:rsidRPr="00B15395">
        <w:rPr>
          <w:rFonts w:cs="Times New Roman"/>
          <w:sz w:val="20"/>
          <w:szCs w:val="20"/>
          <w:lang w:val="en-US"/>
        </w:rPr>
        <w:t xml:space="preserve"> “not even a fly.” Cf. Bossi 1978/9: 149-51.</w:t>
      </w:r>
    </w:p>
  </w:footnote>
  <w:footnote w:id="309">
    <w:p w14:paraId="286848EA" w14:textId="7F040C3B"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Thuc. 7.57.9 Μαντινῆς δὲ καὶ ἄλλοι Ἀρκάδων μισθοφόροι ἐπὶ τοὺς αἰεὶ πολεμίους σφίσιν ἀποδεικνυμένους ἰέναι εἰωθότες καὶ τότε τοὺς μετὰ Κορινθίων ἐλθόντας Ἀρκάδας οὐδὲν ἧσσον διὰ κέρδος ἡγούμενοι πολεμίους “And the Mantineans and other Arcadian mercenaries went with them as men accustomer ever to invade the enemy shewed them; and now for gain had for enemies, as much as any, those other Arcadians which went thither with the Corinthians”; and schol. (ABFMC</w:t>
      </w:r>
      <w:r w:rsidRPr="00B15395">
        <w:rPr>
          <w:rFonts w:cs="Times New Roman"/>
          <w:sz w:val="20"/>
          <w:szCs w:val="20"/>
          <w:vertAlign w:val="subscript"/>
          <w:lang w:val="en-US"/>
        </w:rPr>
        <w:t>2</w:t>
      </w:r>
      <w:r w:rsidRPr="00B15395">
        <w:rPr>
          <w:rFonts w:cs="Times New Roman"/>
          <w:sz w:val="20"/>
          <w:szCs w:val="20"/>
          <w:lang w:val="en-US"/>
        </w:rPr>
        <w:t>) Thuc. 7.57.9 ἡ παροιμία· πιπράσκει δ’ ὁ κακὸς πάντα πρὸς ἀργύριον. τοῦ Καλλιμάχου “The proverb says that the bad guy sells everything for money; cf. Callimachus.”</w:t>
      </w:r>
    </w:p>
  </w:footnote>
  <w:footnote w:id="310">
    <w:p w14:paraId="43C1F57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pp. 78-79..</w:t>
      </w:r>
    </w:p>
  </w:footnote>
  <w:footnote w:id="311">
    <w:p w14:paraId="02F31334" w14:textId="17EC7FB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Pax</w:t>
      </w:r>
      <w:r w:rsidRPr="00B15395">
        <w:rPr>
          <w:rFonts w:cs="Times New Roman"/>
          <w:sz w:val="20"/>
          <w:szCs w:val="20"/>
          <w:lang w:val="en-US"/>
        </w:rPr>
        <w:t xml:space="preserve"> 1195-1196 ἔπειτ’ ἐπιφόρει τοὺς ἀμύλους καὶ τὰς κίχλας</w:t>
      </w:r>
      <w:r w:rsidRPr="00B15395">
        <w:rPr>
          <w:rFonts w:cs="Times New Roman"/>
          <w:i/>
          <w:iCs/>
          <w:sz w:val="20"/>
          <w:szCs w:val="20"/>
          <w:lang w:val="en-US"/>
        </w:rPr>
        <w:t xml:space="preserve"> </w:t>
      </w:r>
      <w:r w:rsidRPr="00B15395">
        <w:rPr>
          <w:rFonts w:cs="Times New Roman"/>
          <w:sz w:val="20"/>
          <w:szCs w:val="20"/>
          <w:lang w:val="en-US"/>
        </w:rPr>
        <w:t>/ καὶ τῶν λαγῴων πολλὰ καὶ τοὺς κολλάβους “Halloa! produce the cakes, the thrushes, plenty of good jugged hare and the little loaves.”</w:t>
      </w:r>
    </w:p>
  </w:footnote>
  <w:footnote w:id="312">
    <w:p w14:paraId="4234691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58 n. 82.</w:t>
      </w:r>
    </w:p>
  </w:footnote>
  <w:footnote w:id="313">
    <w:p w14:paraId="23300502" w14:textId="4E63E8E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196; D’Alessio 1996: 601 n. 64; Kerkhecker 1999: 83.</w:t>
      </w:r>
    </w:p>
  </w:footnote>
  <w:footnote w:id="314">
    <w:p w14:paraId="488A5EB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 Hughes 2002: 81-82; Kerkhecker 1999: 266-267.</w:t>
      </w:r>
    </w:p>
  </w:footnote>
  <w:footnote w:id="315">
    <w:p w14:paraId="7F605217"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en-US"/>
        </w:rPr>
        <w:tab/>
        <w:t xml:space="preserve">Dramatic irony presupposes of course the knowledge of the narrator and his public </w:t>
      </w:r>
      <w:r w:rsidRPr="00B15395">
        <w:rPr>
          <w:rFonts w:cs="Times New Roman"/>
          <w:i/>
          <w:iCs/>
          <w:sz w:val="20"/>
          <w:szCs w:val="20"/>
          <w:lang w:val="en-US"/>
        </w:rPr>
        <w:t>post factum</w:t>
      </w:r>
      <w:r w:rsidRPr="00B15395">
        <w:rPr>
          <w:rFonts w:cs="Times New Roman"/>
          <w:sz w:val="20"/>
          <w:szCs w:val="20"/>
          <w:lang w:val="en-US"/>
        </w:rPr>
        <w:t xml:space="preserve">, but the mistaken thought or action of the protagonist can still be either shown or told. </w:t>
      </w:r>
      <w:r w:rsidRPr="00B15395">
        <w:rPr>
          <w:rFonts w:cs="Times New Roman"/>
          <w:sz w:val="20"/>
          <w:szCs w:val="20"/>
          <w:lang w:val="nl-NL"/>
        </w:rPr>
        <w:t>Cf. Connor 1984: 112; Bakker 1997c: 50.</w:t>
      </w:r>
    </w:p>
  </w:footnote>
  <w:footnote w:id="316">
    <w:p w14:paraId="2D3A44BA"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1997c: 28.</w:t>
      </w:r>
    </w:p>
  </w:footnote>
  <w:footnote w:id="317">
    <w:p w14:paraId="1C4B0881"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de Jong 1987: 31-40; Hornblower 1994: 134-35.</w:t>
      </w:r>
    </w:p>
  </w:footnote>
  <w:footnote w:id="318">
    <w:p w14:paraId="0AD76EB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Chafe 1994: 224-232, 249-257.</w:t>
      </w:r>
    </w:p>
  </w:footnote>
  <w:footnote w:id="319">
    <w:p w14:paraId="05BF42D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Chafe 1994: 205-206, 230-232.</w:t>
      </w:r>
    </w:p>
  </w:footnote>
  <w:footnote w:id="320">
    <w:p w14:paraId="4021994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Sicking 1991: 166.</w:t>
      </w:r>
    </w:p>
  </w:footnote>
  <w:footnote w:id="321">
    <w:p w14:paraId="640167B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Sicking 1991: 154.</w:t>
      </w:r>
    </w:p>
  </w:footnote>
  <w:footnote w:id="322">
    <w:p w14:paraId="1BBA5B7C" w14:textId="481932F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Other terms in use are “modal (situating),” “attitudinal,” “pragmatic,” and “phatic.”</w:t>
      </w:r>
    </w:p>
  </w:footnote>
  <w:footnote w:id="323">
    <w:p w14:paraId="575477B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Cuypers 2005: 35.</w:t>
      </w:r>
    </w:p>
  </w:footnote>
  <w:footnote w:id="324">
    <w:p w14:paraId="4354E6A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As quoted from Denniston, but with a wider reference, not to truth and falsity alone. </w:t>
      </w:r>
    </w:p>
  </w:footnote>
  <w:footnote w:id="325">
    <w:p w14:paraId="2B228EC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Ruijgh 1971: § 127 ff. </w:t>
      </w:r>
    </w:p>
  </w:footnote>
  <w:footnote w:id="326">
    <w:p w14:paraId="67CB716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Ruijgh 1971: § 129.</w:t>
      </w:r>
    </w:p>
  </w:footnote>
  <w:footnote w:id="327">
    <w:p w14:paraId="13841A9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Denniston 1954: 537.</w:t>
      </w:r>
    </w:p>
  </w:footnote>
  <w:footnote w:id="328">
    <w:p w14:paraId="4DFD44F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Sicking 1993: 54.</w:t>
      </w:r>
    </w:p>
  </w:footnote>
  <w:footnote w:id="329">
    <w:p w14:paraId="084B61F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Sicking 1993: 59.</w:t>
      </w:r>
    </w:p>
  </w:footnote>
  <w:footnote w:id="330">
    <w:p w14:paraId="4EFB11D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Cuypers 2005: 59.</w:t>
      </w:r>
    </w:p>
  </w:footnote>
  <w:footnote w:id="331">
    <w:p w14:paraId="10E7F9F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Cuypers 2005: 60.</w:t>
      </w:r>
    </w:p>
  </w:footnote>
  <w:footnote w:id="332">
    <w:p w14:paraId="2E6C32B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Denniston 1954: 203-4.</w:t>
      </w:r>
    </w:p>
  </w:footnote>
  <w:footnote w:id="333">
    <w:p w14:paraId="07E1AD9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Sicking and van Ophuijsen 1993: 141.</w:t>
      </w:r>
    </w:p>
  </w:footnote>
  <w:footnote w:id="334">
    <w:p w14:paraId="77CCFB9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Denniston 1954: 58 ff.</w:t>
      </w:r>
    </w:p>
  </w:footnote>
  <w:footnote w:id="335">
    <w:p w14:paraId="0DDC3D6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Denniston 1954: 58.</w:t>
      </w:r>
    </w:p>
  </w:footnote>
  <w:footnote w:id="336">
    <w:p w14:paraId="4404E4B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Bortone 2010: 180-181.</w:t>
      </w:r>
    </w:p>
  </w:footnote>
  <w:footnote w:id="337">
    <w:p w14:paraId="0AC82D16" w14:textId="099E9CB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In the translation, I consider δρήστην as the subject of the infinitive, since δρήστης “labourer” may be a metaphor for penis. Cf. Gerber 1999: 159. The scholiast on Euripides (</w:t>
      </w:r>
      <w:r w:rsidRPr="00B15395">
        <w:rPr>
          <w:rFonts w:cs="Times New Roman"/>
          <w:i/>
          <w:iCs/>
          <w:sz w:val="20"/>
          <w:szCs w:val="20"/>
          <w:lang w:val="en-US"/>
        </w:rPr>
        <w:t>Medea</w:t>
      </w:r>
      <w:r w:rsidRPr="00B15395">
        <w:rPr>
          <w:rFonts w:cs="Times New Roman"/>
          <w:sz w:val="20"/>
          <w:szCs w:val="20"/>
          <w:lang w:val="en-US"/>
        </w:rPr>
        <w:t xml:space="preserve"> 679) who reports this fragment explains δρήστης as one who did some works (οἷα δράσαντά τι); therefore Gerber translates the fragment as “And to fall upon her wineskin that works for hire.” However, Archil. fr. 244 has the word ἐργάτις to mean “a worker for hire.”</w:t>
      </w:r>
    </w:p>
  </w:footnote>
  <w:footnote w:id="338">
    <w:p w14:paraId="3C76533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So Gerber (1971: 168) who assumes the lizard is drinking urine (cf. West 1974: 149; Degani 1991: 57; Gerber 1999: 401).</w:t>
      </w:r>
    </w:p>
  </w:footnote>
  <w:footnote w:id="339">
    <w:p w14:paraId="22638E5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Bortone 2010: 131-132.</w:t>
      </w:r>
    </w:p>
  </w:footnote>
  <w:footnote w:id="340">
    <w:p w14:paraId="6057A6B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the contrary, in Homer there are cases of compounding prepositions with -πρό as second element, such as ἀποπρό, διαπρό περιπρό (cf. Kühner and Gerth 1898: II 528), and with -σύν, such as μεταξύ (cf. Dunkel 1982: 61; but other theories interpret -ξυ as a locative case ending *-</w:t>
      </w:r>
      <w:r w:rsidRPr="00B15395">
        <w:rPr>
          <w:rFonts w:cs="Times New Roman"/>
          <w:i/>
          <w:iCs/>
          <w:sz w:val="20"/>
          <w:szCs w:val="20"/>
          <w:lang w:val="en-US"/>
        </w:rPr>
        <w:t>su</w:t>
      </w:r>
      <w:r w:rsidRPr="00B15395">
        <w:rPr>
          <w:rFonts w:cs="Times New Roman"/>
          <w:sz w:val="20"/>
          <w:szCs w:val="20"/>
          <w:lang w:val="en-US"/>
        </w:rPr>
        <w:t>).</w:t>
      </w:r>
    </w:p>
  </w:footnote>
  <w:footnote w:id="341">
    <w:p w14:paraId="1DA4C7C1" w14:textId="3F35C09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Probably a reference to ejaculation, with “pipe” standing for penis and “container” for vagina (cf. Gerber 1999: 117).</w:t>
      </w:r>
    </w:p>
  </w:footnote>
  <w:footnote w:id="342">
    <w:p w14:paraId="558FECD6" w14:textId="6276670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Probably here “myrtle spray” is a metaphor for the female genitals (cf. Gerber 1999: 107).</w:t>
      </w:r>
    </w:p>
  </w:footnote>
  <w:footnote w:id="343">
    <w:p w14:paraId="79A8175F" w14:textId="0C3370A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Serv. </w:t>
      </w:r>
      <w:r w:rsidRPr="00B15395">
        <w:rPr>
          <w:rFonts w:cs="Times New Roman"/>
          <w:i/>
          <w:iCs/>
          <w:sz w:val="20"/>
          <w:szCs w:val="20"/>
          <w:lang w:val="en-US"/>
        </w:rPr>
        <w:t>Aen.</w:t>
      </w:r>
      <w:r w:rsidRPr="00B15395">
        <w:rPr>
          <w:rFonts w:cs="Times New Roman"/>
          <w:sz w:val="20"/>
          <w:szCs w:val="20"/>
          <w:lang w:val="en-US"/>
        </w:rPr>
        <w:t xml:space="preserve"> 1.412: </w:t>
      </w:r>
      <w:r w:rsidRPr="00B15395">
        <w:rPr>
          <w:rFonts w:cs="Times New Roman"/>
          <w:i/>
          <w:iCs/>
          <w:sz w:val="20"/>
          <w:szCs w:val="20"/>
          <w:lang w:val="en-US"/>
        </w:rPr>
        <w:t>Figura tmesis est, quae fit, cum secto uno sermone aliquid interponimus</w:t>
      </w:r>
      <w:r w:rsidRPr="00B15395">
        <w:rPr>
          <w:rFonts w:cs="Times New Roman"/>
          <w:sz w:val="20"/>
          <w:szCs w:val="20"/>
          <w:lang w:val="en-US"/>
        </w:rPr>
        <w:t xml:space="preserve"> “Tmesis is the rhetorical device that is formed by splitting up an expression and putting something in between”</w:t>
      </w:r>
    </w:p>
  </w:footnote>
  <w:footnote w:id="344">
    <w:p w14:paraId="40959B2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Horrocks 1981: 44.</w:t>
      </w:r>
    </w:p>
  </w:footnote>
  <w:footnote w:id="345">
    <w:p w14:paraId="466E534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Schwyzer and Debrunner 1950: 419; Fritz 1997: 1-2.</w:t>
      </w:r>
    </w:p>
  </w:footnote>
  <w:footnote w:id="346">
    <w:p w14:paraId="117DAD6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Lehmann 1983: 146.</w:t>
      </w:r>
    </w:p>
  </w:footnote>
  <w:footnote w:id="347">
    <w:p w14:paraId="1D71FD6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Smyth 1956: 365; Cooper 1998: II 1134.</w:t>
      </w:r>
    </w:p>
  </w:footnote>
  <w:footnote w:id="348">
    <w:p w14:paraId="3912CF4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 Saussure 1915: 253.</w:t>
      </w:r>
    </w:p>
  </w:footnote>
  <w:footnote w:id="349">
    <w:p w14:paraId="334E8A9F" w14:textId="1447EA09"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Cf. Bortone 2010: 134.</w:t>
      </w:r>
    </w:p>
  </w:footnote>
  <w:footnote w:id="350">
    <w:p w14:paraId="3A552C2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Horrocks 1981: 19-20.</w:t>
      </w:r>
    </w:p>
  </w:footnote>
  <w:footnote w:id="351">
    <w:p w14:paraId="708C403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Horrocks 1981: 45 for the extent of cohesion between particle and verb. </w:t>
      </w:r>
    </w:p>
  </w:footnote>
  <w:footnote w:id="352">
    <w:p w14:paraId="4F88E80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Baldi 1979: 58.</w:t>
      </w:r>
    </w:p>
  </w:footnote>
  <w:footnote w:id="353">
    <w:p w14:paraId="2141F3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Garcia Ramon 2010: 92-95 (course grammar: </w:t>
      </w:r>
      <w:r w:rsidRPr="00B15395">
        <w:rPr>
          <w:rFonts w:cs="Times New Roman"/>
          <w:i/>
          <w:iCs/>
          <w:sz w:val="20"/>
          <w:szCs w:val="20"/>
          <w:lang w:val="en-US"/>
        </w:rPr>
        <w:t>A concise handbook of Mycenaean Greek</w:t>
      </w:r>
      <w:r w:rsidRPr="00B15395">
        <w:rPr>
          <w:rFonts w:cs="Times New Roman"/>
          <w:sz w:val="20"/>
          <w:szCs w:val="20"/>
          <w:lang w:val="en-US"/>
        </w:rPr>
        <w:t>).</w:t>
      </w:r>
    </w:p>
  </w:footnote>
  <w:footnote w:id="354">
    <w:p w14:paraId="7A277FF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Bertrand 2014: 13.</w:t>
      </w:r>
    </w:p>
  </w:footnote>
  <w:footnote w:id="355">
    <w:p w14:paraId="58651A58" w14:textId="1D4D2AA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Dik 2007: 32; 1978: 130, where it is said that “a constituent with focus function presents the relatively most important or salient information with respect to the pragmatic information of the speaker and the addressee.”</w:t>
      </w:r>
    </w:p>
  </w:footnote>
  <w:footnote w:id="356">
    <w:p w14:paraId="5C9237DF" w14:textId="5E52F118"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This definition is based on Hannay 1991: 141 “topic function is assigned to a term that refers to an entity which the speaker takes to be part of or inferable from the shared pragmatic informatics of speaker and addressee and which the speaker regards as an appropriate foundation for constructing a message which is relevant to the subject matter of the discourse.” </w:t>
      </w:r>
    </w:p>
  </w:footnote>
  <w:footnote w:id="357">
    <w:p w14:paraId="0F8127D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Hessinger 1978: 211-223.</w:t>
      </w:r>
    </w:p>
  </w:footnote>
  <w:footnote w:id="358">
    <w:p w14:paraId="017C626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Cuzzolin, Putzu and Ramat 2006: 1-38.</w:t>
      </w:r>
    </w:p>
  </w:footnote>
  <w:footnote w:id="359">
    <w:p w14:paraId="5CD8A382" w14:textId="1682921A" w:rsidR="00D808B7" w:rsidRPr="0041663F" w:rsidRDefault="00D808B7">
      <w:pPr>
        <w:pStyle w:val="FootnoteText"/>
        <w:rPr>
          <w:lang w:val="en-US"/>
        </w:rPr>
      </w:pPr>
      <w:r>
        <w:rPr>
          <w:rStyle w:val="FootnoteReference"/>
        </w:rPr>
        <w:footnoteRef/>
      </w:r>
      <w:r>
        <w:t xml:space="preserve"> </w:t>
      </w:r>
      <w:r>
        <w:rPr>
          <w:lang w:val="en-US"/>
        </w:rPr>
        <w:t>Cf. Wackernagel 2009: 612-620.</w:t>
      </w:r>
    </w:p>
  </w:footnote>
  <w:footnote w:id="360">
    <w:p w14:paraId="1BD8AAF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Baker 1988; Smith 2005: 87-134.</w:t>
      </w:r>
    </w:p>
  </w:footnote>
  <w:footnote w:id="361">
    <w:p w14:paraId="6222B3F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Mithun 1984: 847-94.</w:t>
      </w:r>
    </w:p>
  </w:footnote>
  <w:footnote w:id="362">
    <w:p w14:paraId="686017D0"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Mithun 1986: 32-37.</w:t>
      </w:r>
    </w:p>
  </w:footnote>
  <w:footnote w:id="363">
    <w:p w14:paraId="2B202441"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Dik 2007: 169.</w:t>
      </w:r>
    </w:p>
  </w:footnote>
  <w:footnote w:id="364">
    <w:p w14:paraId="0B1BADA1" w14:textId="2A2BABF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nl-NL"/>
        </w:rPr>
        <w:tab/>
        <w:t xml:space="preserve">Cf. Slings 1997: 175. </w:t>
      </w:r>
      <w:r w:rsidRPr="00B15395">
        <w:rPr>
          <w:rFonts w:cs="Times New Roman"/>
          <w:sz w:val="20"/>
          <w:szCs w:val="20"/>
          <w:lang w:val="en-US"/>
        </w:rPr>
        <w:t>As for literary language, Slings continues: “it follows automatically that the simpler the information supplied in a clause or sentence is, the higher the chances are that the distribution phenomenon was experienced as “literary.”</w:t>
      </w:r>
      <w:r>
        <w:rPr>
          <w:rFonts w:cs="Times New Roman"/>
          <w:sz w:val="20"/>
          <w:szCs w:val="20"/>
          <w:lang w:val="en-US"/>
        </w:rPr>
        <w:t xml:space="preserve"> Cf. p. 63 n. 141.</w:t>
      </w:r>
    </w:p>
  </w:footnote>
  <w:footnote w:id="365">
    <w:p w14:paraId="3FE0AF10" w14:textId="1046F536"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Slings 1997: 179</w:t>
      </w:r>
      <w:r w:rsidR="0080187E">
        <w:rPr>
          <w:rFonts w:cs="Times New Roman"/>
          <w:sz w:val="20"/>
          <w:szCs w:val="20"/>
          <w:lang w:val="nl-NL"/>
        </w:rPr>
        <w:t>.</w:t>
      </w:r>
    </w:p>
  </w:footnote>
  <w:footnote w:id="366">
    <w:p w14:paraId="29A8CDC8" w14:textId="0D39CB7F"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1997d: 302</w:t>
      </w:r>
      <w:r w:rsidR="0080187E">
        <w:rPr>
          <w:rFonts w:cs="Times New Roman"/>
          <w:sz w:val="20"/>
          <w:szCs w:val="20"/>
          <w:lang w:val="nl-NL"/>
        </w:rPr>
        <w:t>.</w:t>
      </w:r>
    </w:p>
  </w:footnote>
  <w:footnote w:id="367">
    <w:p w14:paraId="7E696038"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Dik 2007: 177.</w:t>
      </w:r>
    </w:p>
  </w:footnote>
  <w:footnote w:id="368">
    <w:p w14:paraId="2B9D42D3" w14:textId="438BA698"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r>
      <w:r w:rsidRPr="00B15395">
        <w:rPr>
          <w:rFonts w:cs="Times New Roman"/>
          <w:sz w:val="20"/>
          <w:szCs w:val="20"/>
          <w:shd w:val="clear" w:color="FFFF00" w:fill="auto"/>
          <w:lang w:val="nl-NL"/>
        </w:rPr>
        <w:t>Cf. p. 143</w:t>
      </w:r>
      <w:r w:rsidRPr="00B15395">
        <w:rPr>
          <w:rFonts w:cs="Times New Roman"/>
          <w:sz w:val="20"/>
          <w:szCs w:val="20"/>
          <w:lang w:val="nl-NL"/>
        </w:rPr>
        <w:t>.</w:t>
      </w:r>
    </w:p>
  </w:footnote>
  <w:footnote w:id="369">
    <w:p w14:paraId="44D3B6F9"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Dik 2007: 208 n. 98.</w:t>
      </w:r>
    </w:p>
  </w:footnote>
  <w:footnote w:id="370">
    <w:p w14:paraId="6B5E21D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Descroix 1931: 334-335; Dik 1998: 50-55.</w:t>
      </w:r>
    </w:p>
  </w:footnote>
  <w:footnote w:id="371">
    <w:p w14:paraId="1546552F" w14:textId="5BCF15FB"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Dik 2007: 224 calls this category of words at the end of the line “fillers.”</w:t>
      </w:r>
    </w:p>
  </w:footnote>
  <w:footnote w:id="372">
    <w:p w14:paraId="463EB89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Dik 2007: 222.</w:t>
      </w:r>
    </w:p>
  </w:footnote>
  <w:footnote w:id="373">
    <w:p w14:paraId="73A34D4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Hillis Miller 2002: 38.</w:t>
      </w:r>
    </w:p>
  </w:footnote>
  <w:footnote w:id="374">
    <w:p w14:paraId="5AD787A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Harris 1988: x.</w:t>
      </w:r>
    </w:p>
  </w:footnote>
  <w:footnote w:id="375">
    <w:p w14:paraId="197D331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Eco 1975: 239-240.</w:t>
      </w:r>
    </w:p>
  </w:footnote>
  <w:footnote w:id="376">
    <w:p w14:paraId="731DF67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Hirsch 1976: 67-68.</w:t>
      </w:r>
    </w:p>
  </w:footnote>
  <w:footnote w:id="377">
    <w:p w14:paraId="5F85D9E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García Landa 1992: 100.</w:t>
      </w:r>
    </w:p>
  </w:footnote>
  <w:footnote w:id="378">
    <w:p w14:paraId="2D061BB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Calame: 2005: 13-16.</w:t>
      </w:r>
    </w:p>
  </w:footnote>
  <w:footnote w:id="379">
    <w:p w14:paraId="5E61DAF3" w14:textId="4E6E069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Calame 2005: 8-9; Derrida 1988: 13, “the performative does not have its referent [...] outside of itself”; Petrey 1990: 147-148.</w:t>
      </w:r>
    </w:p>
  </w:footnote>
  <w:footnote w:id="380">
    <w:p w14:paraId="6B19813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Foucault 1976: 222; Hirsch 1976: 25-26; Kristeva 1980: 131-132.</w:t>
      </w:r>
    </w:p>
  </w:footnote>
  <w:footnote w:id="381">
    <w:p w14:paraId="1EA85595" w14:textId="7D246B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r>
      <w:r w:rsidRPr="00B15395">
        <w:rPr>
          <w:rFonts w:cs="Times New Roman"/>
          <w:i/>
          <w:iCs/>
          <w:sz w:val="20"/>
          <w:szCs w:val="20"/>
          <w:lang w:val="en-US"/>
        </w:rPr>
        <w:t>Oxford English Dictionary</w:t>
      </w:r>
      <w:r w:rsidRPr="00B15395">
        <w:rPr>
          <w:rFonts w:cs="Times New Roman"/>
          <w:sz w:val="20"/>
          <w:szCs w:val="20"/>
          <w:lang w:val="en-US"/>
        </w:rPr>
        <w:t xml:space="preserve"> s.v. “invective.”</w:t>
      </w:r>
    </w:p>
  </w:footnote>
  <w:footnote w:id="382">
    <w:p w14:paraId="3AE7F4AB" w14:textId="1EB004D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meaning of the </w:t>
      </w:r>
      <w:r w:rsidRPr="00B15395">
        <w:rPr>
          <w:rFonts w:cs="Times New Roman"/>
          <w:i/>
          <w:iCs/>
          <w:sz w:val="20"/>
          <w:szCs w:val="20"/>
          <w:lang w:val="en-US"/>
        </w:rPr>
        <w:t>hapax legomenon</w:t>
      </w:r>
      <w:r w:rsidRPr="00B15395">
        <w:rPr>
          <w:rFonts w:cs="Times New Roman"/>
          <w:sz w:val="20"/>
          <w:szCs w:val="20"/>
          <w:lang w:val="en-US"/>
        </w:rPr>
        <w:t xml:space="preserve"> κατωμόχανος is not obvious, but the generally accepted interpretation “split open until the shoulders” is supported by similar hyperbolic images in Aristophanes </w:t>
      </w:r>
      <w:r w:rsidRPr="00B15395">
        <w:rPr>
          <w:rFonts w:cs="Times New Roman"/>
          <w:i/>
          <w:iCs/>
          <w:sz w:val="20"/>
          <w:szCs w:val="20"/>
          <w:lang w:val="en-US"/>
        </w:rPr>
        <w:t>Ach</w:t>
      </w:r>
      <w:r w:rsidRPr="00B15395">
        <w:rPr>
          <w:rFonts w:cs="Times New Roman"/>
          <w:sz w:val="20"/>
          <w:szCs w:val="20"/>
          <w:lang w:val="en-US"/>
        </w:rPr>
        <w:t xml:space="preserve">. 104 χαυνόπρωκτος, “asshole”,” </w:t>
      </w:r>
      <w:r w:rsidRPr="00B15395">
        <w:rPr>
          <w:rFonts w:cs="Times New Roman"/>
          <w:i/>
          <w:iCs/>
          <w:sz w:val="20"/>
          <w:szCs w:val="20"/>
          <w:lang w:val="en-US"/>
        </w:rPr>
        <w:t>Eq.</w:t>
      </w:r>
      <w:r w:rsidRPr="00B15395">
        <w:rPr>
          <w:rFonts w:cs="Times New Roman"/>
          <w:sz w:val="20"/>
          <w:szCs w:val="20"/>
          <w:lang w:val="en-US"/>
        </w:rPr>
        <w:t xml:space="preserve"> 964 ψωλὸν γενέσθαι δεῖ σε μέχρι τοῦ μυρρίνου, “you are doomed to be shaved off to the groin”; and Martial 6.37.1-2 </w:t>
      </w:r>
      <w:r w:rsidRPr="00B15395">
        <w:rPr>
          <w:rFonts w:cs="Times New Roman"/>
          <w:i/>
          <w:iCs/>
          <w:sz w:val="20"/>
          <w:szCs w:val="20"/>
          <w:lang w:val="en-US"/>
        </w:rPr>
        <w:t>secti podicis usque ad umbilicum / nullas reliquias habet Charinus</w:t>
      </w:r>
      <w:r w:rsidRPr="00B15395">
        <w:rPr>
          <w:rFonts w:cs="Times New Roman"/>
          <w:sz w:val="20"/>
          <w:szCs w:val="20"/>
          <w:lang w:val="en-US"/>
        </w:rPr>
        <w:t xml:space="preserve"> “Charinus has nothing left of his anus, which has been sheared off to the navel.” It is a three-member compound (the preposition κατά, the noun ὦμος and the verbal root of χαύνω), which is an unepic method of constructing compounds (Hawkins 2013: 119), but it has clearly been formed to echo and evoke epic κακομήχανος, used of Achilles’ wrath (</w:t>
      </w:r>
      <w:r w:rsidRPr="00B15395">
        <w:rPr>
          <w:rFonts w:cs="Times New Roman"/>
          <w:i/>
          <w:iCs/>
          <w:sz w:val="20"/>
          <w:szCs w:val="20"/>
          <w:lang w:val="en-US"/>
        </w:rPr>
        <w:t>Il.</w:t>
      </w:r>
      <w:r w:rsidRPr="00B15395">
        <w:rPr>
          <w:rFonts w:cs="Times New Roman"/>
          <w:sz w:val="20"/>
          <w:szCs w:val="20"/>
          <w:lang w:val="en-US"/>
        </w:rPr>
        <w:t xml:space="preserve"> 9.257) and of Helen and Antinous (</w:t>
      </w:r>
      <w:r w:rsidRPr="00B15395">
        <w:rPr>
          <w:rFonts w:cs="Times New Roman"/>
          <w:i/>
          <w:iCs/>
          <w:sz w:val="20"/>
          <w:szCs w:val="20"/>
          <w:lang w:val="en-US"/>
        </w:rPr>
        <w:t>Il.</w:t>
      </w:r>
      <w:r w:rsidRPr="00B15395">
        <w:rPr>
          <w:rFonts w:cs="Times New Roman"/>
          <w:sz w:val="20"/>
          <w:szCs w:val="20"/>
          <w:lang w:val="en-US"/>
        </w:rPr>
        <w:t xml:space="preserve"> 6.344, </w:t>
      </w:r>
      <w:r w:rsidRPr="00B15395">
        <w:rPr>
          <w:rFonts w:cs="Times New Roman"/>
          <w:i/>
          <w:iCs/>
          <w:sz w:val="20"/>
          <w:szCs w:val="20"/>
          <w:lang w:val="en-US"/>
        </w:rPr>
        <w:t>Od.</w:t>
      </w:r>
      <w:r w:rsidRPr="00B15395">
        <w:rPr>
          <w:rFonts w:cs="Times New Roman"/>
          <w:sz w:val="20"/>
          <w:szCs w:val="20"/>
          <w:lang w:val="en-US"/>
        </w:rPr>
        <w:t xml:space="preserve"> 16.418), bringers of bad luck like Mimnes. The vocative κατωμόχανε also phono-semantically matches πολυμήχανε, the epithet with which Odysseus is addressed 24 times in the </w:t>
      </w:r>
      <w:r w:rsidRPr="00B15395">
        <w:rPr>
          <w:rFonts w:cs="Times New Roman"/>
          <w:i/>
          <w:iCs/>
          <w:sz w:val="20"/>
          <w:szCs w:val="20"/>
          <w:lang w:val="en-US"/>
        </w:rPr>
        <w:t>Odyssey</w:t>
      </w:r>
      <w:r w:rsidRPr="00B15395">
        <w:rPr>
          <w:rFonts w:cs="Times New Roman"/>
          <w:sz w:val="20"/>
          <w:szCs w:val="20"/>
          <w:lang w:val="en-US"/>
        </w:rPr>
        <w:t>, inviting a parodic comparison between the clever Odysseus and the half-witted Mimnes.</w:t>
      </w:r>
    </w:p>
  </w:footnote>
  <w:footnote w:id="383">
    <w:p w14:paraId="6FA21F28" w14:textId="0FB908E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scholarship interprets the patronymic “son of Eurymedontes” as either genitive Εὐρυμεδοντιάδεω (cf. Degani 1991: 128; Gerber 1999: 458) or accusative Εὐρυμεδοντιάδεα (cf. Fick 1886: 266; West 1972: 458-459). Degani (1973/4: 148-149; 153-154) argues that the genitive better imitates the first line of the </w:t>
      </w:r>
      <w:r w:rsidRPr="00B15395">
        <w:rPr>
          <w:rFonts w:cs="Times New Roman"/>
          <w:i/>
          <w:iCs/>
          <w:sz w:val="20"/>
          <w:szCs w:val="20"/>
          <w:lang w:val="en-US"/>
        </w:rPr>
        <w:t>Iliad</w:t>
      </w:r>
      <w:r w:rsidRPr="00B15395">
        <w:rPr>
          <w:rFonts w:cs="Times New Roman"/>
          <w:sz w:val="20"/>
          <w:szCs w:val="20"/>
          <w:lang w:val="en-US"/>
        </w:rPr>
        <w:t xml:space="preserve"> (Μῆνιν ἄειδε θεὰ Πηληϊάδεω Ἀχιλῆος “godness, sing to me the wrath of Achilles, son of Peleus”), where there is the patronymic Πηληϊάδεω at the genitive. </w:t>
      </w:r>
    </w:p>
  </w:footnote>
  <w:footnote w:id="384">
    <w:p w14:paraId="399235F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identification of the Telchines in the </w:t>
      </w:r>
      <w:r w:rsidRPr="00B15395">
        <w:rPr>
          <w:rFonts w:cs="Times New Roman"/>
          <w:i/>
          <w:iCs/>
          <w:sz w:val="20"/>
          <w:szCs w:val="20"/>
          <w:lang w:val="en-US"/>
        </w:rPr>
        <w:t>Scholia Florentina</w:t>
      </w:r>
      <w:r w:rsidRPr="00B15395">
        <w:rPr>
          <w:rFonts w:cs="Times New Roman"/>
          <w:sz w:val="20"/>
          <w:szCs w:val="20"/>
          <w:lang w:val="en-US"/>
        </w:rPr>
        <w:t xml:space="preserve"> is notoriously controversial. Cf. Massimilla 1996: 200-202; Harder 2012 II: 13-14.</w:t>
      </w:r>
    </w:p>
  </w:footnote>
  <w:footnote w:id="385">
    <w:p w14:paraId="392D4F6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Cleanthes fr. 3.1; Hermeias fr. 1.1; Phoenix fr. 1.13; Zeno Citiensis 852.2.</w:t>
      </w:r>
    </w:p>
  </w:footnote>
  <w:footnote w:id="386">
    <w:p w14:paraId="1A4CC46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1991:103.</w:t>
      </w:r>
    </w:p>
  </w:footnote>
  <w:footnote w:id="387">
    <w:p w14:paraId="0E170839" w14:textId="4B735EC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the interpretation of πατήρ as “old,” cf. Tarditi 1968: 278.</w:t>
      </w:r>
    </w:p>
  </w:footnote>
  <w:footnote w:id="388">
    <w:p w14:paraId="24A328A8" w14:textId="0D1D17E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Both the words are totally new for Greek vocabulary and their etymology is nowadays unknown. νικύρτα is glossed in Hsychian Lexicon as δουλέκδουλος “slave (born) of a slave” and this definition reminds to Latin </w:t>
      </w:r>
      <w:r w:rsidRPr="00B15395">
        <w:rPr>
          <w:rFonts w:cs="Times New Roman"/>
          <w:i/>
          <w:iCs/>
          <w:sz w:val="20"/>
          <w:szCs w:val="20"/>
          <w:lang w:val="en-US"/>
        </w:rPr>
        <w:t>verna</w:t>
      </w:r>
      <w:r w:rsidRPr="00B15395">
        <w:rPr>
          <w:rFonts w:cs="Times New Roman"/>
          <w:sz w:val="20"/>
          <w:szCs w:val="20"/>
          <w:lang w:val="en-US"/>
        </w:rPr>
        <w:t xml:space="preserve"> “home-grown slave,” since the “slave of a slave” might be a slave born into the household (cf. Hawkins 2013: 207). The same meaning could fit also the second word, σάβαννι (Cf. Hawkins 2013: 209). Since the manuscript tradition is almost hopelessly corrupt, scholarship attempts to read the word as σίνδρωνι. The reason of this emendation comes from Athenaeus 6.267c, where Seleucus says σίνδρωνα δὲ τὸν δουλέκδουλον “síndrōn, that is the slave (born) of a slave.” One may compare this remark to Eustath. 537.15, where σίνδρωνες appears in a list of δουλικὰ ὀνόματα, and to Hsych. σ 685 Schmidt σίνδρων·... ἀπελευθέρους ἢ δούλους “</w:t>
      </w:r>
      <w:r w:rsidRPr="00B15395">
        <w:rPr>
          <w:rFonts w:cs="Times New Roman"/>
          <w:i/>
          <w:iCs/>
          <w:sz w:val="20"/>
          <w:szCs w:val="20"/>
          <w:lang w:val="en-US"/>
        </w:rPr>
        <w:t>síndrōn</w:t>
      </w:r>
      <w:r w:rsidRPr="00B15395">
        <w:rPr>
          <w:rFonts w:cs="Times New Roman"/>
          <w:sz w:val="20"/>
          <w:szCs w:val="20"/>
          <w:lang w:val="en-US"/>
        </w:rPr>
        <w:t>: emancipated slaves or slaves.” For a different interpretation of σάβαννι, cf. Taillardat 1997: 210-213.</w:t>
      </w:r>
    </w:p>
  </w:footnote>
  <w:footnote w:id="389">
    <w:p w14:paraId="225B867B" w14:textId="5FBE119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Hsych. ν 577 νικύρτας· δουλέκδουλος “</w:t>
      </w:r>
      <w:r w:rsidRPr="00B15395">
        <w:rPr>
          <w:rFonts w:cs="Times New Roman"/>
          <w:i/>
          <w:iCs/>
          <w:sz w:val="20"/>
          <w:szCs w:val="20"/>
          <w:lang w:val="en-US"/>
        </w:rPr>
        <w:t>nikúrtas</w:t>
      </w:r>
      <w:r w:rsidRPr="00B15395">
        <w:rPr>
          <w:rFonts w:cs="Times New Roman"/>
          <w:sz w:val="20"/>
          <w:szCs w:val="20"/>
          <w:lang w:val="en-US"/>
        </w:rPr>
        <w:t>: slave (born) of a slave.”</w:t>
      </w:r>
    </w:p>
  </w:footnote>
  <w:footnote w:id="390">
    <w:p w14:paraId="2C42E12B" w14:textId="13433B5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200 (ἐξωμίς); D’Alessio 1996: 605 n. 69 (ἐπωμίς).</w:t>
      </w:r>
    </w:p>
  </w:footnote>
  <w:footnote w:id="391">
    <w:p w14:paraId="1CC50936" w14:textId="426B1EE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Ve.</w:t>
      </w:r>
      <w:r w:rsidRPr="00B15395">
        <w:rPr>
          <w:rFonts w:cs="Times New Roman"/>
          <w:sz w:val="20"/>
          <w:szCs w:val="20"/>
          <w:lang w:val="en-US"/>
        </w:rPr>
        <w:t xml:space="preserve"> 443-444 οὐδὲν τῶν πάλαι μεμνημένοι / διφθερῶν κἀξωμίδων, ἃς οὗτος αὐτοῖς ἠμπόλα “not mindful of the leather coats and shirts he once bought for them.”</w:t>
      </w:r>
    </w:p>
  </w:footnote>
  <w:footnote w:id="392">
    <w:p w14:paraId="4DFF273F" w14:textId="45B1B49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See Eust. </w:t>
      </w:r>
      <w:r w:rsidRPr="00B15395">
        <w:rPr>
          <w:rFonts w:cs="Times New Roman"/>
          <w:i/>
          <w:iCs/>
          <w:sz w:val="20"/>
          <w:szCs w:val="20"/>
          <w:lang w:val="en-US"/>
        </w:rPr>
        <w:t xml:space="preserve">ad Od. </w:t>
      </w:r>
      <w:r w:rsidRPr="00B15395">
        <w:rPr>
          <w:rFonts w:cs="Times New Roman"/>
          <w:sz w:val="20"/>
          <w:szCs w:val="20"/>
          <w:lang w:val="en-US"/>
        </w:rPr>
        <w:t>2.155.36-7 καὶ συκοτραγίδης παρὰ Ἱππώνακτι καὶ Ἀρχιλόχῳ, διὰ τὸ εὐτελές, φασι, “so also Hipponax and Archilochus use the term ‘fig-eater,’ they say, due to the cheapness (of figs).”</w:t>
      </w:r>
    </w:p>
  </w:footnote>
  <w:footnote w:id="393">
    <w:p w14:paraId="5091726E" w14:textId="2A73F90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phrase lacks context, but it seems to refer to poverty. See also Ananius fr. 3 W, Phoenix fr. 6.6 Powell. Cf. Acosta-Hughes 2002: 58; Clayman 1980: 16; D’Alessio 1996: 589 n. 39; Kerkhecker 1999: 47 n. 200; Tarditi 1978: 1013-1021.</w:t>
      </w:r>
    </w:p>
  </w:footnote>
  <w:footnote w:id="394">
    <w:p w14:paraId="76DFB7EE" w14:textId="097D623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relationship would have been established by Polemon, the accredited inventor of parody as a literary genre. Cf. </w:t>
      </w:r>
      <w:r w:rsidRPr="00B15395">
        <w:rPr>
          <w:rFonts w:cs="Times New Roman"/>
          <w:i/>
          <w:iCs/>
          <w:sz w:val="20"/>
          <w:szCs w:val="20"/>
          <w:lang w:val="en-US"/>
        </w:rPr>
        <w:t>Commentary</w:t>
      </w:r>
      <w:r w:rsidRPr="00B15395">
        <w:rPr>
          <w:rFonts w:cs="Times New Roman"/>
          <w:sz w:val="20"/>
          <w:szCs w:val="20"/>
          <w:lang w:val="en-US"/>
        </w:rPr>
        <w:t xml:space="preserve"> to Hipponax’s fr. 129a ὄνομα Σάννος … φασι… παρὰ τὴν σαννάδα. Κρῆτας δὲ τὰς ἀγρίας αἶγας λέγειν σαννάδας φησὶν Πολέμων ἐν τοῖς Πρὸς Ἀντίγονον καὶ Ἀδαῖον “the name Sannos comes from σαννάς. Indeed, Polemon in his “</w:t>
      </w:r>
      <w:r w:rsidRPr="00B15395">
        <w:rPr>
          <w:rFonts w:cs="Times New Roman"/>
          <w:i/>
          <w:iCs/>
          <w:sz w:val="20"/>
          <w:szCs w:val="20"/>
          <w:lang w:val="en-US"/>
        </w:rPr>
        <w:t>Against Antigonos and Adaeos</w:t>
      </w:r>
      <w:r w:rsidRPr="00B15395">
        <w:rPr>
          <w:rFonts w:cs="Times New Roman"/>
          <w:sz w:val="20"/>
          <w:szCs w:val="20"/>
          <w:lang w:val="en-US"/>
        </w:rPr>
        <w:t>” says that the Cretans call the wild goats σαννάς.</w:t>
      </w:r>
    </w:p>
  </w:footnote>
  <w:footnote w:id="395">
    <w:p w14:paraId="7FA01AB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In particular, σαννάς is a Cretan word which seems to indicate a strongly greedy goat breed. </w:t>
      </w:r>
    </w:p>
  </w:footnote>
  <w:footnote w:id="396">
    <w:p w14:paraId="6EF3220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1973/74: 146.</w:t>
      </w:r>
    </w:p>
  </w:footnote>
  <w:footnote w:id="397">
    <w:p w14:paraId="006DA74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Archil. frs. 99.14,26; 105.1 (x2); 107.1; 126.15; 172.12; Hippon. fr. 30.1; Call. </w:t>
      </w:r>
      <w:r w:rsidRPr="00B15395">
        <w:rPr>
          <w:rFonts w:cs="Times New Roman"/>
          <w:i/>
          <w:iCs/>
          <w:sz w:val="20"/>
          <w:szCs w:val="20"/>
          <w:lang w:val="en-US"/>
        </w:rPr>
        <w:t xml:space="preserve">Ia. </w:t>
      </w:r>
      <w:r w:rsidRPr="00B15395">
        <w:rPr>
          <w:rFonts w:cs="Times New Roman"/>
          <w:sz w:val="20"/>
          <w:szCs w:val="20"/>
          <w:lang w:val="en-US"/>
        </w:rPr>
        <w:t xml:space="preserve">4.93; 13.15. </w:t>
      </w:r>
    </w:p>
  </w:footnote>
  <w:footnote w:id="398">
    <w:p w14:paraId="09B66FB6" w14:textId="7BA084B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Ran.</w:t>
      </w:r>
      <w:r w:rsidRPr="00B15395">
        <w:rPr>
          <w:rFonts w:cs="Times New Roman"/>
          <w:sz w:val="20"/>
          <w:szCs w:val="20"/>
          <w:lang w:val="en-US"/>
        </w:rPr>
        <w:t xml:space="preserve"> 482 ἀλλ’ οἶσε πρὸς τὴν καρδίαν μου σπογγιάν “bring me the sponge, and place it near my </w:t>
      </w:r>
      <w:r w:rsidRPr="00B15395">
        <w:rPr>
          <w:rFonts w:cs="Times New Roman"/>
          <w:i/>
          <w:iCs/>
          <w:sz w:val="20"/>
          <w:szCs w:val="20"/>
          <w:lang w:val="en-US"/>
        </w:rPr>
        <w:t>kardía</w:t>
      </w:r>
      <w:r w:rsidRPr="00B15395">
        <w:rPr>
          <w:rFonts w:cs="Times New Roman"/>
          <w:sz w:val="20"/>
          <w:szCs w:val="20"/>
          <w:lang w:val="en-US"/>
        </w:rPr>
        <w:t xml:space="preserve">”; </w:t>
      </w:r>
      <w:r w:rsidRPr="00B15395">
        <w:rPr>
          <w:rFonts w:cs="Times New Roman"/>
          <w:i/>
          <w:iCs/>
          <w:sz w:val="20"/>
          <w:szCs w:val="20"/>
          <w:lang w:val="en-US"/>
        </w:rPr>
        <w:t xml:space="preserve">AP </w:t>
      </w:r>
      <w:r w:rsidRPr="00B15395">
        <w:rPr>
          <w:rFonts w:cs="Times New Roman"/>
          <w:sz w:val="20"/>
          <w:szCs w:val="20"/>
          <w:lang w:val="en-US"/>
        </w:rPr>
        <w:t xml:space="preserve">5.47.5 (Rufinus) θυμὲ τάλας, τί πέπονθας; ἀνέγρεο μηδ’ ἀπόκαμνε “wretch </w:t>
      </w:r>
      <w:r w:rsidRPr="00B15395">
        <w:rPr>
          <w:rFonts w:cs="Times New Roman"/>
          <w:i/>
          <w:iCs/>
          <w:sz w:val="20"/>
          <w:szCs w:val="20"/>
          <w:lang w:val="en-US"/>
        </w:rPr>
        <w:t>thymós</w:t>
      </w:r>
      <w:r w:rsidRPr="00B15395">
        <w:rPr>
          <w:rFonts w:cs="Times New Roman"/>
          <w:sz w:val="20"/>
          <w:szCs w:val="20"/>
          <w:lang w:val="en-US"/>
        </w:rPr>
        <w:t>, what’s your problem? Wake up and don’t give up.”</w:t>
      </w:r>
    </w:p>
  </w:footnote>
  <w:footnote w:id="399">
    <w:p w14:paraId="36E85FB4" w14:textId="402B458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See Ar. </w:t>
      </w:r>
      <w:r w:rsidRPr="00B15395">
        <w:rPr>
          <w:rFonts w:cs="Times New Roman"/>
          <w:i/>
          <w:iCs/>
          <w:sz w:val="20"/>
          <w:szCs w:val="20"/>
          <w:lang w:val="en-US"/>
        </w:rPr>
        <w:t>Thesm</w:t>
      </w:r>
      <w:r w:rsidRPr="00B15395">
        <w:rPr>
          <w:rFonts w:cs="Times New Roman"/>
          <w:sz w:val="20"/>
          <w:szCs w:val="20"/>
          <w:lang w:val="en-US"/>
        </w:rPr>
        <w:t>. 647-648 ἰσθμόν τιν’ ἔχεις, ἄνθρωπ’· ἄνω τε καὶ κάτω</w:t>
      </w:r>
      <w:r w:rsidRPr="00B15395">
        <w:rPr>
          <w:rFonts w:cs="Times New Roman"/>
          <w:color w:val="808000"/>
          <w:sz w:val="20"/>
          <w:szCs w:val="20"/>
          <w:lang w:val="en-US"/>
        </w:rPr>
        <w:t xml:space="preserve"> / </w:t>
      </w:r>
      <w:r w:rsidRPr="00B15395">
        <w:rPr>
          <w:rFonts w:cs="Times New Roman"/>
          <w:sz w:val="20"/>
          <w:szCs w:val="20"/>
          <w:lang w:val="en-US"/>
        </w:rPr>
        <w:t xml:space="preserve">τὸ πέος διέλκεις πυκνότερον Κορινθίων “what a deep canal you’ve got there, my man! You glide that cock of yours back and forth faster than our neighbours the Corinthians, slide their barges through our isthmus!”; Eustath. </w:t>
      </w:r>
      <w:r w:rsidRPr="00B15395">
        <w:rPr>
          <w:rFonts w:cs="Times New Roman"/>
          <w:i/>
          <w:iCs/>
          <w:sz w:val="20"/>
          <w:szCs w:val="20"/>
          <w:lang w:val="en-US"/>
        </w:rPr>
        <w:t>ad Od</w:t>
      </w:r>
      <w:r w:rsidRPr="00B15395">
        <w:rPr>
          <w:rFonts w:cs="Times New Roman"/>
          <w:sz w:val="20"/>
          <w:szCs w:val="20"/>
          <w:lang w:val="en-US"/>
        </w:rPr>
        <w:t xml:space="preserve">. 2.148.17-9 ὡς δὲ κύων καὶ τῇ κωμῳδίᾳ ἐνέτηξε σκῶμμα γυναικεῖον, τὴν / εἰρημένην κύνειραν ἤγουν τὴν τὸν κύνα εἰρύουσαν, ὅ πέρ ἐστιν ἐφελκομένην, ὃν δὴ κύνα χοῖρον ἄλλη / κωμῳδία φησὶ; and especially </w:t>
      </w:r>
      <w:r w:rsidRPr="00B15395">
        <w:rPr>
          <w:rFonts w:cs="Times New Roman"/>
          <w:i/>
          <w:iCs/>
          <w:sz w:val="20"/>
          <w:szCs w:val="20"/>
          <w:lang w:val="en-US"/>
        </w:rPr>
        <w:t>AP</w:t>
      </w:r>
      <w:r w:rsidRPr="00B15395">
        <w:rPr>
          <w:rFonts w:cs="Times New Roman"/>
          <w:sz w:val="20"/>
          <w:szCs w:val="20"/>
          <w:lang w:val="en-US"/>
        </w:rPr>
        <w:t xml:space="preserve"> 9.554.1-2 (Argentarius.) Λάθριος, Ἡράκλεια, καλῶν ὑπὸ χείλεσιν ἕλκεις</w:t>
      </w:r>
      <w:r w:rsidRPr="00B15395">
        <w:rPr>
          <w:rFonts w:cs="Times New Roman"/>
          <w:color w:val="808000"/>
          <w:sz w:val="20"/>
          <w:szCs w:val="20"/>
          <w:lang w:val="en-US"/>
        </w:rPr>
        <w:t xml:space="preserve"> / </w:t>
      </w:r>
      <w:r w:rsidRPr="00B15395">
        <w:rPr>
          <w:rFonts w:cs="Times New Roman"/>
          <w:sz w:val="20"/>
          <w:szCs w:val="20"/>
          <w:lang w:val="en-US"/>
        </w:rPr>
        <w:t xml:space="preserve">κεῖνο (scil. τὸ πέος) “in secret, Heracleia, you do our pretty boys that service with your lips.” </w:t>
      </w:r>
    </w:p>
  </w:footnote>
  <w:footnote w:id="400">
    <w:p w14:paraId="0BAC3F6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It will be more frequent in the Imperial and Christian Greek literature, but from the archaic to the Hellenistic period it occurs only seven times: </w:t>
      </w:r>
      <w:r w:rsidRPr="00B15395">
        <w:rPr>
          <w:rFonts w:cs="Times New Roman"/>
          <w:i/>
          <w:iCs/>
          <w:sz w:val="20"/>
          <w:szCs w:val="20"/>
          <w:lang w:val="en-US"/>
        </w:rPr>
        <w:t>Il</w:t>
      </w:r>
      <w:r w:rsidRPr="00B15395">
        <w:rPr>
          <w:rFonts w:cs="Times New Roman"/>
          <w:sz w:val="20"/>
          <w:szCs w:val="20"/>
          <w:lang w:val="en-US"/>
        </w:rPr>
        <w:t xml:space="preserve">. 14.477; Hippon. fr. 20.3; Ar. </w:t>
      </w:r>
      <w:r w:rsidRPr="00B15395">
        <w:rPr>
          <w:rFonts w:cs="Times New Roman"/>
          <w:i/>
          <w:iCs/>
          <w:sz w:val="20"/>
          <w:szCs w:val="20"/>
          <w:lang w:val="en-US"/>
        </w:rPr>
        <w:t>Ec</w:t>
      </w:r>
      <w:r w:rsidRPr="00B15395">
        <w:rPr>
          <w:rFonts w:cs="Times New Roman"/>
          <w:sz w:val="20"/>
          <w:szCs w:val="20"/>
          <w:lang w:val="en-US"/>
        </w:rPr>
        <w:t xml:space="preserve">. 319, </w:t>
      </w:r>
      <w:r w:rsidRPr="00B15395">
        <w:rPr>
          <w:rFonts w:cs="Times New Roman"/>
          <w:i/>
          <w:iCs/>
          <w:sz w:val="20"/>
          <w:szCs w:val="20"/>
          <w:lang w:val="en-US"/>
        </w:rPr>
        <w:t xml:space="preserve">Ve. </w:t>
      </w:r>
      <w:r w:rsidRPr="00B15395">
        <w:rPr>
          <w:rFonts w:cs="Times New Roman"/>
          <w:sz w:val="20"/>
          <w:szCs w:val="20"/>
          <w:lang w:val="en-US"/>
        </w:rPr>
        <w:t xml:space="preserve">187; Thuc. 2.76.2; Plut. </w:t>
      </w:r>
      <w:r w:rsidRPr="00B15395">
        <w:rPr>
          <w:rFonts w:cs="Times New Roman"/>
          <w:i/>
          <w:iCs/>
          <w:sz w:val="20"/>
          <w:szCs w:val="20"/>
          <w:lang w:val="en-US"/>
        </w:rPr>
        <w:t xml:space="preserve">Alex. </w:t>
      </w:r>
      <w:r w:rsidRPr="00B15395">
        <w:rPr>
          <w:rFonts w:cs="Times New Roman"/>
          <w:sz w:val="20"/>
          <w:szCs w:val="20"/>
          <w:lang w:val="en-US"/>
        </w:rPr>
        <w:t xml:space="preserve">18.4, </w:t>
      </w:r>
      <w:r w:rsidRPr="00B15395">
        <w:rPr>
          <w:rFonts w:cs="Times New Roman"/>
          <w:i/>
          <w:iCs/>
          <w:sz w:val="20"/>
          <w:szCs w:val="20"/>
          <w:lang w:val="en-US"/>
        </w:rPr>
        <w:t>Ad principem ineruditum</w:t>
      </w:r>
      <w:r w:rsidRPr="00B15395">
        <w:rPr>
          <w:rFonts w:cs="Times New Roman"/>
          <w:sz w:val="20"/>
          <w:szCs w:val="20"/>
          <w:lang w:val="en-US"/>
        </w:rPr>
        <w:t xml:space="preserve"> 781e4.</w:t>
      </w:r>
    </w:p>
  </w:footnote>
  <w:footnote w:id="401">
    <w:p w14:paraId="6A099E8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Strab. 14.1.28, where the geographer describes Erythrae as being in the peninsula which he calls the peninsula of the Teians and the Erythraeans. He places the Teians on the south of the isthmus, the Clazomenians on the north side, and the Erythraeans dwell within it.</w:t>
      </w:r>
    </w:p>
  </w:footnote>
  <w:footnote w:id="402">
    <w:p w14:paraId="0E134C6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Liv. 37.27.</w:t>
      </w:r>
    </w:p>
  </w:footnote>
  <w:footnote w:id="403">
    <w:p w14:paraId="1567D1F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Ath. 3.94.27-8.</w:t>
      </w:r>
    </w:p>
  </w:footnote>
  <w:footnote w:id="404">
    <w:p w14:paraId="4AEE6E1C" w14:textId="3BCCCB4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Hsych. α 6332 Latte ἀποσκόλυπτε· ἀπολέπισον καὶ ἀποκόλουε. φασὶ καὶ τὸν περιτετμημένον τὸ αἰδοῖον ἀπεσκολυμμένον “strip off: deprive and cut short. Sometimes stripping off the penis, means the circumcision.” Indeed, Hdt. 2.104.9-11 uses περιτέμνω to indicate the circumcision (μοῦνοι πάντων ἀνθρώπων Κόλχοι καὶ Αἰγύπτιοι καὶ Αἰθίοπες περιτάμνονται ἀπ’ ἀρχῆς τὰ αἰδοῖα “the Colchians and Egyptians and Ethiopians are the only nations that have from the first practised circumcision”), and this means that at Herodotus’ times the meaning of ἀποσκολύπτω was not yet specific. </w:t>
      </w:r>
    </w:p>
  </w:footnote>
  <w:footnote w:id="405">
    <w:p w14:paraId="3802F44D" w14:textId="1DCD9D9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Hsych. σ 680 Hansen, where the same two words are glossed as τὸ τῆς γυναικός, “female genitals.”</w:t>
      </w:r>
    </w:p>
  </w:footnote>
  <w:footnote w:id="406">
    <w:p w14:paraId="6462F66D" w14:textId="28D947E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It could be an interesting coincidence that in some Italian regions there is the saying “fa’ ‘nda la cua,” literally “wag your tail” with the sexual meaning of “playing the field.”</w:t>
      </w:r>
    </w:p>
  </w:footnote>
  <w:footnote w:id="407">
    <w:p w14:paraId="4394A63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Arnott 2007 and Thompson 1895 </w:t>
      </w:r>
      <w:r w:rsidRPr="00B15395">
        <w:rPr>
          <w:rFonts w:cs="Times New Roman"/>
          <w:i/>
          <w:iCs/>
          <w:sz w:val="20"/>
          <w:szCs w:val="20"/>
          <w:lang w:val="en-US"/>
        </w:rPr>
        <w:t>s.v.</w:t>
      </w:r>
      <w:r w:rsidRPr="00B15395">
        <w:rPr>
          <w:rFonts w:cs="Times New Roman"/>
          <w:sz w:val="20"/>
          <w:szCs w:val="20"/>
          <w:lang w:val="en-US"/>
        </w:rPr>
        <w:t xml:space="preserve"> χαραδριός.</w:t>
      </w:r>
    </w:p>
  </w:footnote>
  <w:footnote w:id="408">
    <w:p w14:paraId="38BA488E" w14:textId="61B738F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Arist. </w:t>
      </w:r>
      <w:r w:rsidRPr="00B15395">
        <w:rPr>
          <w:rFonts w:cs="Times New Roman"/>
          <w:i/>
          <w:iCs/>
          <w:sz w:val="20"/>
          <w:szCs w:val="20"/>
          <w:lang w:val="en-US"/>
        </w:rPr>
        <w:t>HA</w:t>
      </w:r>
      <w:r w:rsidRPr="00B15395">
        <w:rPr>
          <w:rFonts w:cs="Times New Roman"/>
          <w:sz w:val="20"/>
          <w:szCs w:val="20"/>
          <w:lang w:val="en-US"/>
        </w:rPr>
        <w:t xml:space="preserve"> 4.5, 530b4-6 ἄλλα δὲ δύο γένη (</w:t>
      </w:r>
      <w:r w:rsidRPr="00B15395">
        <w:rPr>
          <w:rFonts w:cs="Times New Roman"/>
          <w:i/>
          <w:iCs/>
          <w:sz w:val="20"/>
          <w:szCs w:val="20"/>
          <w:lang w:val="en-US"/>
        </w:rPr>
        <w:t>scil.</w:t>
      </w:r>
      <w:r w:rsidRPr="00B15395">
        <w:rPr>
          <w:rFonts w:cs="Times New Roman"/>
          <w:sz w:val="20"/>
          <w:szCs w:val="20"/>
          <w:lang w:val="en-US"/>
        </w:rPr>
        <w:t xml:space="preserve"> τῶν ἐχίνων) τό τε τῶν σπατάγγων καὶ τὸ τῶν καλουμένων βρύσσων· γίνονται δ’οὗτοι πελάγιοι καὶ</w:t>
      </w:r>
      <w:r w:rsidRPr="00B15395">
        <w:rPr>
          <w:rFonts w:cs="Times New Roman"/>
          <w:i/>
          <w:iCs/>
          <w:color w:val="808000"/>
          <w:sz w:val="20"/>
          <w:szCs w:val="20"/>
          <w:lang w:val="en-US"/>
        </w:rPr>
        <w:t> </w:t>
      </w:r>
      <w:r w:rsidRPr="00B15395">
        <w:rPr>
          <w:rFonts w:cs="Times New Roman"/>
          <w:sz w:val="20"/>
          <w:szCs w:val="20"/>
          <w:lang w:val="en-US"/>
        </w:rPr>
        <w:t>σπάνιοι. Ἔτι αἱ ἐχινομῆτραι καλούμεναι, μεγέθει πάντων μέγισται. Πρὸς δὲ τούτοις ἄλλο γένος μεγέθει μὲν μικρόν, ἀκάνθας δὲ μεγάλας ἔχει καὶ σκληράς, γίνεται δ’ ἐκ τῆς θαλάττης ἐν πολλαῖς ὀργυιαῖς, ᾧ χρῶνται πρὸς τὰς στραγγουρίας τινές “there are two other species, </w:t>
      </w:r>
      <w:bookmarkStart w:id="2" w:name="id_30j0zll"/>
      <w:bookmarkEnd w:id="2"/>
      <w:r w:rsidRPr="00B15395">
        <w:rPr>
          <w:rFonts w:cs="Times New Roman"/>
          <w:sz w:val="20"/>
          <w:szCs w:val="20"/>
          <w:lang w:val="en-US"/>
        </w:rPr>
        <w:t>the spatangus, and the so-called bryssus, these animals are pelagic and </w:t>
      </w:r>
      <w:bookmarkStart w:id="3" w:name="id_1fob9te"/>
      <w:bookmarkEnd w:id="3"/>
      <w:r w:rsidRPr="00B15395">
        <w:rPr>
          <w:rFonts w:cs="Times New Roman"/>
          <w:sz w:val="20"/>
          <w:szCs w:val="20"/>
          <w:lang w:val="en-US"/>
        </w:rPr>
        <w:t xml:space="preserve">scarce. Further, there are the </w:t>
      </w:r>
      <w:r w:rsidRPr="00B15395">
        <w:rPr>
          <w:rFonts w:cs="Times New Roman"/>
          <w:i/>
          <w:iCs/>
          <w:sz w:val="20"/>
          <w:szCs w:val="20"/>
          <w:lang w:val="en-US"/>
        </w:rPr>
        <w:t>echinometrae</w:t>
      </w:r>
      <w:r w:rsidRPr="00B15395">
        <w:rPr>
          <w:rFonts w:cs="Times New Roman"/>
          <w:sz w:val="20"/>
          <w:szCs w:val="20"/>
          <w:lang w:val="en-US"/>
        </w:rPr>
        <w:t>, or ‘mother-urchins’,’ the largest </w:t>
      </w:r>
      <w:bookmarkStart w:id="4" w:name="id_3znysh7"/>
      <w:bookmarkEnd w:id="4"/>
      <w:r w:rsidRPr="00B15395">
        <w:rPr>
          <w:rFonts w:cs="Times New Roman"/>
          <w:sz w:val="20"/>
          <w:szCs w:val="20"/>
          <w:lang w:val="en-US"/>
        </w:rPr>
        <w:t>in size of all the species. In addition to these there is another species, </w:t>
      </w:r>
      <w:bookmarkStart w:id="5" w:name="id_2et92p0"/>
      <w:bookmarkEnd w:id="5"/>
      <w:r w:rsidRPr="00B15395">
        <w:rPr>
          <w:rFonts w:cs="Times New Roman"/>
          <w:sz w:val="20"/>
          <w:szCs w:val="20"/>
          <w:lang w:val="en-US"/>
        </w:rPr>
        <w:t>small in size, but furnished with large hard spines; it lives in the sea </w:t>
      </w:r>
      <w:bookmarkStart w:id="6" w:name="id_tyjcwt"/>
      <w:bookmarkEnd w:id="6"/>
      <w:r w:rsidRPr="00B15395">
        <w:rPr>
          <w:rFonts w:cs="Times New Roman"/>
          <w:sz w:val="20"/>
          <w:szCs w:val="20"/>
          <w:lang w:val="en-US"/>
        </w:rPr>
        <w:t>at a depth of several fathoms; and is used by some people as a specific </w:t>
      </w:r>
      <w:bookmarkStart w:id="7" w:name="id_3dy6vkm"/>
      <w:bookmarkEnd w:id="7"/>
      <w:r w:rsidRPr="00B15395">
        <w:rPr>
          <w:rFonts w:cs="Times New Roman"/>
          <w:sz w:val="20"/>
          <w:szCs w:val="20"/>
          <w:lang w:val="en-US"/>
        </w:rPr>
        <w:t>for cases of strangury.” (transl. Thompson 1895).</w:t>
      </w:r>
    </w:p>
  </w:footnote>
  <w:footnote w:id="409">
    <w:p w14:paraId="5D7E339F" w14:textId="1DAF54AE"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In formation of this kind, the vowel of connection is usually a /o/ or a long a /ā/ on the basis of the suffix vowel of the noun (cf. Weiss 2010: 109-110): i.e. λογογράφος, δικηφόρος. However, for metrical reasons, sometimes the vowels of connection were inverted: see ὑλοτόμος from ὕλη (</w:t>
      </w:r>
      <w:r w:rsidRPr="00B15395">
        <w:rPr>
          <w:rFonts w:cs="Times New Roman"/>
          <w:i/>
          <w:iCs/>
          <w:sz w:val="20"/>
          <w:szCs w:val="20"/>
          <w:lang w:val="en-US"/>
        </w:rPr>
        <w:t>Il</w:t>
      </w:r>
      <w:r w:rsidRPr="00B15395">
        <w:rPr>
          <w:rFonts w:cs="Times New Roman"/>
          <w:sz w:val="20"/>
          <w:szCs w:val="20"/>
          <w:lang w:val="en-US"/>
        </w:rPr>
        <w:t>. 23.114) or ἐλαφηβόλος (</w:t>
      </w:r>
      <w:r w:rsidRPr="00B15395">
        <w:rPr>
          <w:rFonts w:cs="Times New Roman"/>
          <w:i/>
          <w:iCs/>
          <w:sz w:val="20"/>
          <w:szCs w:val="20"/>
          <w:lang w:val="en-US"/>
        </w:rPr>
        <w:t>Il.</w:t>
      </w:r>
      <w:r w:rsidRPr="00B15395">
        <w:rPr>
          <w:rFonts w:cs="Times New Roman"/>
          <w:sz w:val="20"/>
          <w:szCs w:val="20"/>
          <w:lang w:val="en-US"/>
        </w:rPr>
        <w:t xml:space="preserve"> 17.319) from ἔλαφος. The latter kind, namely the substitution from -ο- to -η-, is especially due to the Greek propensity to avoid three consecutive short vowels (cf. West 1982: 3). In effect, in Hipponax’s line, iambic meter prefers a long vowel at the end of the first foot. However, I do not think that here the meter is the main reason for -η- as connection vowel; rather, I suggest that the sound is chosen as clue to recall the figure of Omphale.</w:t>
      </w:r>
    </w:p>
  </w:footnote>
  <w:footnote w:id="410">
    <w:p w14:paraId="4D8F31E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also Eustath. </w:t>
      </w:r>
      <w:r w:rsidRPr="00B15395">
        <w:rPr>
          <w:rFonts w:cs="Times New Roman"/>
          <w:i/>
          <w:iCs/>
          <w:sz w:val="20"/>
          <w:szCs w:val="20"/>
          <w:lang w:val="en-US"/>
        </w:rPr>
        <w:t>ad Od</w:t>
      </w:r>
      <w:r w:rsidRPr="00B15395">
        <w:rPr>
          <w:rFonts w:cs="Times New Roman"/>
          <w:sz w:val="20"/>
          <w:szCs w:val="20"/>
          <w:lang w:val="en-US"/>
        </w:rPr>
        <w:t>. 7.65 (1.259.35) τὸ δὲ ἐκ τοκήων τῶν αὐτῶν οἳ τέκον Ἀλκίνοον, ἔπεισέ φασι τὸν Ἡσίοδον, ἀδελφὴν Ἀλκινόου τὴν Ἀρήτην ὑπολαβεῖν. Ὅμηρος δὲ τὸ, τῶν αὐτῶν τοκήων, ἀντὶ προγόνων ἔλαβεν.</w:t>
      </w:r>
    </w:p>
  </w:footnote>
  <w:footnote w:id="411">
    <w:p w14:paraId="097A4E4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237.</w:t>
      </w:r>
    </w:p>
  </w:footnote>
  <w:footnote w:id="412">
    <w:p w14:paraId="3419A7B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figure of an old woman as pander is not unfamiliar in Hellenistic literature (for example, Gyllis in Herod. 1, the mother of Philista and Melixo in Theocr. </w:t>
      </w:r>
      <w:r w:rsidRPr="00B15395">
        <w:rPr>
          <w:rFonts w:cs="Times New Roman"/>
          <w:i/>
          <w:iCs/>
          <w:sz w:val="20"/>
          <w:szCs w:val="20"/>
          <w:lang w:val="en-US"/>
        </w:rPr>
        <w:t>Id</w:t>
      </w:r>
      <w:r w:rsidRPr="00B15395">
        <w:rPr>
          <w:rFonts w:cs="Times New Roman"/>
          <w:sz w:val="20"/>
          <w:szCs w:val="20"/>
          <w:lang w:val="en-US"/>
        </w:rPr>
        <w:t>. 2).</w:t>
      </w:r>
    </w:p>
  </w:footnote>
  <w:footnote w:id="413">
    <w:p w14:paraId="02DE791E" w14:textId="5D015DB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This is the version handed by Tzetzes: ὦ Ζεῦ πάτερ θεῶν Ὀλυμπίων πάλμυ, which presents the lack of synizesis in θεῶν and the so-called </w:t>
      </w:r>
      <w:r w:rsidRPr="00B15395">
        <w:rPr>
          <w:rFonts w:cs="Times New Roman"/>
          <w:i/>
          <w:iCs/>
          <w:sz w:val="20"/>
          <w:szCs w:val="20"/>
          <w:lang w:val="en-US"/>
        </w:rPr>
        <w:t>caesura mediana</w:t>
      </w:r>
      <w:r w:rsidRPr="00B15395">
        <w:rPr>
          <w:rFonts w:cs="Times New Roman"/>
          <w:sz w:val="20"/>
          <w:szCs w:val="20"/>
          <w:lang w:val="en-US"/>
        </w:rPr>
        <w:t xml:space="preserve">. The phenomenon of synizesis is a phonological feature typical of iambus, especially for the monosyllabic [e̯o] (&lt;͜εο&gt;) ending of the singular genitive in -εοϛ. Here, the case shows the ending of the plural genitive in -εων, where the synizesis is not so compulsory. With regard to </w:t>
      </w:r>
      <w:r w:rsidRPr="00B15395">
        <w:rPr>
          <w:rFonts w:cs="Times New Roman"/>
          <w:i/>
          <w:iCs/>
          <w:sz w:val="20"/>
          <w:szCs w:val="20"/>
          <w:lang w:val="en-US"/>
        </w:rPr>
        <w:t>caesura mediana</w:t>
      </w:r>
      <w:r w:rsidRPr="00B15395">
        <w:rPr>
          <w:rFonts w:cs="Times New Roman"/>
          <w:sz w:val="20"/>
          <w:szCs w:val="20"/>
          <w:lang w:val="en-US"/>
        </w:rPr>
        <w:t xml:space="preserve">, Hellenistic authors use it, as shown by this Phoenix’s fr. 2.15 Powell ἐγὼ δ’, ὅκοι πόδες | φέρωσιν, ὀφθαλμοὺς, while it seems to be avoided  in the archaic Greek literature. However, Hipponax’s manuscripts show two cases of </w:t>
      </w:r>
      <w:r w:rsidRPr="00B15395">
        <w:rPr>
          <w:rFonts w:cs="Times New Roman"/>
          <w:i/>
          <w:iCs/>
          <w:sz w:val="20"/>
          <w:szCs w:val="20"/>
          <w:lang w:val="en-US"/>
        </w:rPr>
        <w:t>caesura mediana</w:t>
      </w:r>
      <w:r w:rsidRPr="00B15395">
        <w:rPr>
          <w:rFonts w:cs="Times New Roman"/>
          <w:sz w:val="20"/>
          <w:szCs w:val="20"/>
          <w:lang w:val="en-US"/>
        </w:rPr>
        <w:t>, and the scholarship tends to emend them (Cf. Degani 1991: XXIX, West 1982: 39-42.). Cf. Hippon. fr. 43.4 ἔκρυψας, ὥς μὴ μοι | χίμετλα ῥήγνυται, where the sequence μὴ μοι is much more frequent than the adjusted μοι μὴ; and Hippon. fr. 47.1 ὦ Ζεῦ πάτερ θεῶν | Ὀλυμπίων πάλμυ, where it is  likely that Hipponax is accurately quoting the Homeric formula Ζεῦ πάτερ.</w:t>
      </w:r>
    </w:p>
  </w:footnote>
  <w:footnote w:id="414">
    <w:p w14:paraId="2BD91565" w14:textId="1875DBC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κράτος refers to Zeus for 11 times in the </w:t>
      </w:r>
      <w:r w:rsidRPr="00B15395">
        <w:rPr>
          <w:rFonts w:cs="Times New Roman"/>
          <w:i/>
          <w:iCs/>
          <w:sz w:val="20"/>
          <w:szCs w:val="20"/>
          <w:lang w:val="en-US"/>
        </w:rPr>
        <w:t>Iliad</w:t>
      </w:r>
      <w:r w:rsidRPr="00B15395">
        <w:rPr>
          <w:rFonts w:cs="Times New Roman"/>
          <w:sz w:val="20"/>
          <w:szCs w:val="20"/>
          <w:lang w:val="en-US"/>
        </w:rPr>
        <w:t xml:space="preserve"> and 7 times in the </w:t>
      </w:r>
      <w:r w:rsidRPr="00B15395">
        <w:rPr>
          <w:rFonts w:cs="Times New Roman"/>
          <w:i/>
          <w:iCs/>
          <w:sz w:val="20"/>
          <w:szCs w:val="20"/>
          <w:lang w:val="en-US"/>
        </w:rPr>
        <w:t>Odyssey</w:t>
      </w:r>
      <w:r w:rsidRPr="00B15395">
        <w:rPr>
          <w:rFonts w:cs="Times New Roman"/>
          <w:sz w:val="20"/>
          <w:szCs w:val="20"/>
          <w:lang w:val="en-US"/>
        </w:rPr>
        <w:t xml:space="preserve">. </w:t>
      </w:r>
    </w:p>
  </w:footnote>
  <w:footnote w:id="415">
    <w:p w14:paraId="42169595" w14:textId="0AD9EDE1"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 </w:t>
      </w:r>
      <w:r w:rsidRPr="00B15395">
        <w:rPr>
          <w:rFonts w:cs="Times New Roman"/>
          <w:i/>
          <w:iCs/>
          <w:sz w:val="20"/>
          <w:szCs w:val="20"/>
          <w:lang w:val="en-US"/>
        </w:rPr>
        <w:t>Plut</w:t>
      </w:r>
      <w:r w:rsidRPr="00B15395">
        <w:rPr>
          <w:rFonts w:cs="Times New Roman"/>
          <w:sz w:val="20"/>
          <w:szCs w:val="20"/>
          <w:lang w:val="en-US"/>
        </w:rPr>
        <w:t>. 131-2 Χρ. αὐτίκα γὰρ ἄρχει διὰ τί ὁ Ζεὺς τῶν θεῶν;</w:t>
      </w:r>
      <w:r w:rsidRPr="00B15395">
        <w:rPr>
          <w:rFonts w:cs="Times New Roman"/>
          <w:i/>
          <w:iCs/>
          <w:color w:val="808000"/>
          <w:sz w:val="20"/>
          <w:szCs w:val="20"/>
          <w:lang w:val="en-US"/>
        </w:rPr>
        <w:t> </w:t>
      </w:r>
      <w:r w:rsidRPr="00B15395">
        <w:rPr>
          <w:rFonts w:cs="Times New Roman"/>
          <w:sz w:val="20"/>
          <w:szCs w:val="20"/>
          <w:lang w:val="en-US"/>
        </w:rPr>
        <w:t>/ Κα. διὰ τἀργύριον· πλεῖστον γάρ ἐστ’ αὐτῷ “Chremylus: for instance, what is the basis of the power that Zeus wields over the other gods? Cario: money; he has so much of it.”</w:t>
      </w:r>
    </w:p>
  </w:footnote>
  <w:footnote w:id="416">
    <w:p w14:paraId="77755BC7" w14:textId="624105F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r>
      <w:r w:rsidRPr="00B15395">
        <w:rPr>
          <w:rFonts w:cs="Times New Roman"/>
          <w:sz w:val="20"/>
          <w:szCs w:val="20"/>
          <w:shd w:val="solid" w:color="FFFFFF" w:fill="FFFFFF"/>
          <w:lang w:val="en-US"/>
        </w:rPr>
        <w:t xml:space="preserve">A group of minor deities of Greek origin. The name appears to be of Semitic origin, signifying the “great gods,” and </w:t>
      </w:r>
      <w:r w:rsidRPr="00B15395">
        <w:rPr>
          <w:rFonts w:cs="Times New Roman"/>
          <w:color w:val="444444"/>
          <w:sz w:val="20"/>
          <w:szCs w:val="20"/>
          <w:shd w:val="solid" w:color="FFFFFF" w:fill="FFFFFF"/>
          <w:lang w:val="en-US"/>
        </w:rPr>
        <w:t>they were promoters of fertility and protectors of seafarers. </w:t>
      </w:r>
      <w:r w:rsidRPr="00B15395">
        <w:rPr>
          <w:rFonts w:cs="Times New Roman"/>
          <w:sz w:val="20"/>
          <w:szCs w:val="20"/>
          <w:shd w:val="solid" w:color="FFFFFF" w:fill="FFFFFF"/>
          <w:lang w:val="en-US"/>
        </w:rPr>
        <w:t>The chief seats of their worship were Lemnos, Samothrace, Thessalia, and Boeotia. They were originally only </w:t>
      </w:r>
      <w:r w:rsidRPr="00B15395">
        <w:rPr>
          <w:rFonts w:cs="Times New Roman"/>
          <w:sz w:val="20"/>
          <w:szCs w:val="20"/>
          <w:lang w:val="en-US"/>
        </w:rPr>
        <w:t>two</w:t>
      </w:r>
      <w:r w:rsidRPr="00B15395">
        <w:rPr>
          <w:rFonts w:cs="Times New Roman"/>
          <w:sz w:val="20"/>
          <w:szCs w:val="20"/>
          <w:shd w:val="solid" w:color="FFFFFF" w:fill="FFFFFF"/>
          <w:lang w:val="en-US"/>
        </w:rPr>
        <w:t> in </w:t>
      </w:r>
      <w:r w:rsidRPr="00B15395">
        <w:rPr>
          <w:rFonts w:cs="Times New Roman"/>
          <w:sz w:val="20"/>
          <w:szCs w:val="20"/>
          <w:lang w:val="en-US"/>
        </w:rPr>
        <w:t>number</w:t>
      </w:r>
      <w:r w:rsidRPr="00B15395">
        <w:rPr>
          <w:rFonts w:cs="Times New Roman"/>
          <w:sz w:val="20"/>
          <w:szCs w:val="20"/>
          <w:shd w:val="solid" w:color="FFFFFF" w:fill="FFFFFF"/>
          <w:lang w:val="en-US"/>
        </w:rPr>
        <w:t>, the elder identified with Dionysus, and the younger with Hermes, who was also known as Cadmilus. Cf. Blakely 2006: 32-54; Burkert 1985: 281-285; Musti 2001: 141-154.</w:t>
      </w:r>
    </w:p>
  </w:footnote>
  <w:footnote w:id="417">
    <w:p w14:paraId="118F76B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Hawkins 2013: 128.</w:t>
      </w:r>
    </w:p>
  </w:footnote>
  <w:footnote w:id="418">
    <w:p w14:paraId="47C9E47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Haas 1994: 411-412.</w:t>
      </w:r>
    </w:p>
  </w:footnote>
  <w:footnote w:id="419">
    <w:p w14:paraId="274F1DA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Frantz-Szabó, </w:t>
      </w:r>
      <w:r w:rsidRPr="00B15395">
        <w:rPr>
          <w:rFonts w:cs="Times New Roman"/>
          <w:i/>
          <w:iCs/>
          <w:sz w:val="20"/>
          <w:szCs w:val="20"/>
          <w:lang w:val="en-US"/>
        </w:rPr>
        <w:t>Reallexikon der Assyriologie</w:t>
      </w:r>
      <w:r w:rsidRPr="00B15395">
        <w:rPr>
          <w:rFonts w:cs="Times New Roman"/>
          <w:sz w:val="20"/>
          <w:szCs w:val="20"/>
          <w:lang w:val="en-US"/>
        </w:rPr>
        <w:t xml:space="preserve"> s.v. </w:t>
      </w:r>
      <w:r w:rsidRPr="00B15395">
        <w:rPr>
          <w:rFonts w:cs="Times New Roman"/>
          <w:i/>
          <w:iCs/>
          <w:sz w:val="20"/>
          <w:szCs w:val="20"/>
          <w:lang w:val="en-US"/>
        </w:rPr>
        <w:t>Malija(nni)</w:t>
      </w:r>
      <w:r w:rsidRPr="00B15395">
        <w:rPr>
          <w:rFonts w:cs="Times New Roman"/>
          <w:sz w:val="20"/>
          <w:szCs w:val="20"/>
          <w:lang w:val="en-US"/>
        </w:rPr>
        <w:t xml:space="preserve"> 7: 304-305; Lebrun 1982: 129-130.</w:t>
      </w:r>
    </w:p>
  </w:footnote>
  <w:footnote w:id="420">
    <w:p w14:paraId="2131306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Melchert 2004: s.v. </w:t>
      </w:r>
      <w:r w:rsidRPr="00B15395">
        <w:rPr>
          <w:rFonts w:cs="Times New Roman"/>
          <w:i/>
          <w:iCs/>
          <w:sz w:val="20"/>
          <w:szCs w:val="20"/>
          <w:lang w:val="en-US"/>
        </w:rPr>
        <w:t>Malija</w:t>
      </w:r>
      <w:r w:rsidRPr="00B15395">
        <w:rPr>
          <w:rFonts w:cs="Times New Roman"/>
          <w:sz w:val="20"/>
          <w:szCs w:val="20"/>
          <w:lang w:val="en-US"/>
        </w:rPr>
        <w:t>, for full list of attestations; Lebrun 1987: 243; Laroche 1967: 52-54, 61 and 1980: 4-5</w:t>
      </w:r>
    </w:p>
  </w:footnote>
  <w:footnote w:id="421">
    <w:p w14:paraId="771B1471" w14:textId="148D935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scene immediately would recall Plautus’ servants’ misadventures, where again the millstone is the most fearful punishment which must be avoided by servants at all costs. Indeed, the servant  Libanius cries out </w:t>
      </w:r>
      <w:r w:rsidRPr="00B15395">
        <w:rPr>
          <w:rFonts w:cs="Times New Roman"/>
          <w:i/>
          <w:iCs/>
          <w:sz w:val="20"/>
          <w:szCs w:val="20"/>
          <w:lang w:val="en-US"/>
        </w:rPr>
        <w:t>dic obsecro hercle serio quod te rogem, cave me mendaci quicquam […]</w:t>
      </w:r>
      <w:r w:rsidRPr="00B15395">
        <w:rPr>
          <w:rFonts w:cs="Times New Roman"/>
          <w:sz w:val="20"/>
          <w:szCs w:val="20"/>
          <w:lang w:val="en-US"/>
        </w:rPr>
        <w:t xml:space="preserve"> </w:t>
      </w:r>
      <w:r w:rsidRPr="00B15395">
        <w:rPr>
          <w:rFonts w:cs="Times New Roman"/>
          <w:i/>
          <w:iCs/>
          <w:sz w:val="20"/>
          <w:szCs w:val="20"/>
          <w:lang w:val="en-US"/>
        </w:rPr>
        <w:t>Num me illuc ducis, ubi lapis lapidem terit? […] Ubi flent nequam homines, qui polentam pinsitant. Apud festitudinas, ferricrepinas insulas, ubi vivos homines mortui incursant boves</w:t>
      </w:r>
      <w:r w:rsidRPr="00B15395">
        <w:rPr>
          <w:rFonts w:cs="Times New Roman"/>
          <w:sz w:val="20"/>
          <w:szCs w:val="20"/>
          <w:lang w:val="en-US"/>
        </w:rPr>
        <w:t xml:space="preserve"> “answer my question, I beg you, don’t mock me nor say anything false […] You’re not taking me off to the land where rock grinds rock, away in the Ironbongo-Clubbery Isles, the place where dead oxen assault live human beings” (</w:t>
      </w:r>
      <w:r w:rsidRPr="00B15395">
        <w:rPr>
          <w:rFonts w:cs="Times New Roman"/>
          <w:i/>
          <w:iCs/>
          <w:sz w:val="20"/>
          <w:szCs w:val="20"/>
          <w:lang w:val="en-US"/>
        </w:rPr>
        <w:t xml:space="preserve">Asinaria </w:t>
      </w:r>
      <w:r w:rsidRPr="00B15395">
        <w:rPr>
          <w:rFonts w:cs="Times New Roman"/>
          <w:sz w:val="20"/>
          <w:szCs w:val="20"/>
          <w:lang w:val="en-US"/>
        </w:rPr>
        <w:t>29-35).</w:t>
      </w:r>
    </w:p>
  </w:footnote>
  <w:footnote w:id="422">
    <w:p w14:paraId="64EC2D4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See Chantraine 1974: 125-128.</w:t>
      </w:r>
    </w:p>
  </w:footnote>
  <w:footnote w:id="423">
    <w:p w14:paraId="539120B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It is worth noting that the word μεδέων occurs five times in the </w:t>
      </w:r>
      <w:r w:rsidRPr="00B15395">
        <w:rPr>
          <w:rFonts w:cs="Times New Roman"/>
          <w:i/>
          <w:iCs/>
          <w:sz w:val="20"/>
          <w:szCs w:val="20"/>
          <w:lang w:val="en-US"/>
        </w:rPr>
        <w:t>Iliad</w:t>
      </w:r>
      <w:r w:rsidRPr="00B15395">
        <w:rPr>
          <w:rFonts w:cs="Times New Roman"/>
          <w:sz w:val="20"/>
          <w:szCs w:val="20"/>
          <w:lang w:val="en-US"/>
        </w:rPr>
        <w:t xml:space="preserve"> (3.276, 320; 7.202; 16.234; 24.308), but it never occurs in the </w:t>
      </w:r>
      <w:r w:rsidRPr="00B15395">
        <w:rPr>
          <w:rFonts w:cs="Times New Roman"/>
          <w:i/>
          <w:iCs/>
          <w:sz w:val="20"/>
          <w:szCs w:val="20"/>
          <w:lang w:val="en-US"/>
        </w:rPr>
        <w:t>Odyssey</w:t>
      </w:r>
      <w:r w:rsidRPr="00B15395">
        <w:rPr>
          <w:rFonts w:cs="Times New Roman"/>
          <w:sz w:val="20"/>
          <w:szCs w:val="20"/>
          <w:lang w:val="en-US"/>
        </w:rPr>
        <w:t xml:space="preserve">. </w:t>
      </w:r>
    </w:p>
  </w:footnote>
  <w:footnote w:id="424">
    <w:p w14:paraId="01A0908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Aeolic form of μεδέων (cf. LSJ</w:t>
      </w:r>
      <w:r w:rsidRPr="00B15395">
        <w:rPr>
          <w:rFonts w:cs="Times New Roman"/>
          <w:sz w:val="20"/>
          <w:szCs w:val="20"/>
          <w:vertAlign w:val="superscript"/>
          <w:lang w:val="en-US"/>
        </w:rPr>
        <w:t>9</w:t>
      </w:r>
      <w:r w:rsidRPr="00B15395">
        <w:rPr>
          <w:rFonts w:cs="Times New Roman"/>
          <w:sz w:val="20"/>
          <w:szCs w:val="20"/>
          <w:lang w:val="en-US"/>
        </w:rPr>
        <w:t>).</w:t>
      </w:r>
    </w:p>
  </w:footnote>
  <w:footnote w:id="425">
    <w:p w14:paraId="07D55D8B" w14:textId="7559D72B"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h. Merc.</w:t>
      </w:r>
      <w:r w:rsidRPr="00B15395">
        <w:rPr>
          <w:rFonts w:cs="Times New Roman"/>
          <w:sz w:val="20"/>
          <w:szCs w:val="20"/>
          <w:lang w:val="en-US"/>
        </w:rPr>
        <w:t xml:space="preserve"> 1 Ἑρμῆν ὕμνει Μοῦσα Διὸς καὶ Μαιάδος υἱόν “sing, Musa, Hermes, son of Zeus and Maia,” where there is the athematic noun Μαιάς; and Alc. fr. 308b.3 Μαῖα γέννατο Κρονίδαι μίγεισα “Maia generated you after lying with Zeus,” where it is used the thematic first declension noun Μαῖα. Hes. </w:t>
      </w:r>
      <w:r w:rsidRPr="00B15395">
        <w:rPr>
          <w:rFonts w:cs="Times New Roman"/>
          <w:i/>
          <w:iCs/>
          <w:sz w:val="20"/>
          <w:szCs w:val="20"/>
          <w:lang w:val="en-US"/>
        </w:rPr>
        <w:t>Th.</w:t>
      </w:r>
      <w:r w:rsidRPr="00B15395">
        <w:rPr>
          <w:rFonts w:cs="Times New Roman"/>
          <w:sz w:val="20"/>
          <w:szCs w:val="20"/>
          <w:lang w:val="en-US"/>
        </w:rPr>
        <w:t xml:space="preserve"> 938 shows the Ionic form Μαίη: Ζηνὶ δ’ ἄρ’ Ἀτλαντὶς Μαίη τέκε κύδιμον Ἑρμῆν “and Maia, the daughter of Atlas, bore to Zeus glorious Hermes.”</w:t>
      </w:r>
    </w:p>
  </w:footnote>
  <w:footnote w:id="426">
    <w:p w14:paraId="3915808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Many consider Hippon. fr. 37 as a continuation of Hippon. fr. 36, with or without an intervening lacuna. Cf. Degani 1991: 49, 52. </w:t>
      </w:r>
    </w:p>
  </w:footnote>
  <w:footnote w:id="427">
    <w:p w14:paraId="08F1383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58-59.</w:t>
      </w:r>
    </w:p>
  </w:footnote>
  <w:footnote w:id="428">
    <w:p w14:paraId="2906D9D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Ardizzoni 1960: 8.</w:t>
      </w:r>
    </w:p>
  </w:footnote>
  <w:footnote w:id="429">
    <w:p w14:paraId="06E005F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Bremmer 1983: 287.</w:t>
      </w:r>
    </w:p>
  </w:footnote>
  <w:footnote w:id="430">
    <w:p w14:paraId="5B51AE0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Bremmer 1983: 279-280.</w:t>
      </w:r>
    </w:p>
  </w:footnote>
  <w:footnote w:id="431">
    <w:p w14:paraId="786A45CE" w14:textId="0C120B8B"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t xml:space="preserve">According to </w:t>
      </w:r>
      <w:r w:rsidRPr="00B15395">
        <w:rPr>
          <w:rFonts w:cs="Times New Roman"/>
          <w:szCs w:val="20"/>
          <w:lang w:val="en-US"/>
        </w:rPr>
        <w:t xml:space="preserve">Bremmer 1983: 278, figs, barley bread, and cheese were not humble food. </w:t>
      </w:r>
    </w:p>
  </w:footnote>
  <w:footnote w:id="432">
    <w:p w14:paraId="70A0B3C4"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2013: 137.</w:t>
      </w:r>
    </w:p>
  </w:footnote>
  <w:footnote w:id="433">
    <w:p w14:paraId="3383ACEE"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Bakker 2013: 154.</w:t>
      </w:r>
    </w:p>
  </w:footnote>
  <w:footnote w:id="434">
    <w:p w14:paraId="5D8E0219"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Muhly 2006: 828.</w:t>
      </w:r>
    </w:p>
  </w:footnote>
  <w:footnote w:id="435">
    <w:p w14:paraId="2BF3588B"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Muhly 2006: 828.</w:t>
      </w:r>
    </w:p>
  </w:footnote>
  <w:footnote w:id="436">
    <w:p w14:paraId="31988FB5" w14:textId="2216E0A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nl-NL"/>
        </w:rPr>
        <w:tab/>
        <w:t xml:space="preserve">Cf. </w:t>
      </w:r>
      <w:r w:rsidRPr="00B15395">
        <w:rPr>
          <w:rFonts w:cs="Times New Roman"/>
          <w:i/>
          <w:iCs/>
          <w:sz w:val="20"/>
          <w:szCs w:val="20"/>
          <w:lang w:val="nl-NL"/>
        </w:rPr>
        <w:t>Il</w:t>
      </w:r>
      <w:r w:rsidRPr="00B15395">
        <w:rPr>
          <w:rFonts w:cs="Times New Roman"/>
          <w:sz w:val="20"/>
          <w:szCs w:val="20"/>
          <w:lang w:val="nl-NL"/>
        </w:rPr>
        <w:t>. 2.276; 9.398, 635; 10.220, 244, 319; 12.300; 20.174, 406 (</w:t>
      </w:r>
      <w:r w:rsidRPr="00B15395">
        <w:rPr>
          <w:rFonts w:cs="Times New Roman"/>
          <w:sz w:val="20"/>
          <w:szCs w:val="20"/>
          <w:lang w:val="en-US"/>
        </w:rPr>
        <w:t>θυμός</w:t>
      </w:r>
      <w:r w:rsidRPr="00B15395">
        <w:rPr>
          <w:rFonts w:cs="Times New Roman"/>
          <w:sz w:val="20"/>
          <w:szCs w:val="20"/>
          <w:lang w:val="nl-NL"/>
        </w:rPr>
        <w:t xml:space="preserve"> </w:t>
      </w:r>
      <w:r w:rsidRPr="00B15395">
        <w:rPr>
          <w:rFonts w:cs="Times New Roman"/>
          <w:sz w:val="20"/>
          <w:szCs w:val="20"/>
          <w:lang w:val="en-US"/>
        </w:rPr>
        <w:t>ἀγήνωρ</w:t>
      </w:r>
      <w:r w:rsidRPr="00B15395">
        <w:rPr>
          <w:rFonts w:cs="Times New Roman"/>
          <w:sz w:val="20"/>
          <w:szCs w:val="20"/>
          <w:lang w:val="nl-NL"/>
        </w:rPr>
        <w:t>); 24.42 (</w:t>
      </w:r>
      <w:r w:rsidRPr="00B15395">
        <w:rPr>
          <w:rFonts w:cs="Times New Roman"/>
          <w:sz w:val="20"/>
          <w:szCs w:val="20"/>
          <w:lang w:val="en-US"/>
        </w:rPr>
        <w:t>θυμῶι</w:t>
      </w:r>
      <w:r w:rsidRPr="00B15395">
        <w:rPr>
          <w:rFonts w:cs="Times New Roman"/>
          <w:sz w:val="20"/>
          <w:szCs w:val="20"/>
          <w:lang w:val="nl-NL"/>
        </w:rPr>
        <w:t xml:space="preserve"> </w:t>
      </w:r>
      <w:r w:rsidRPr="00B15395">
        <w:rPr>
          <w:rFonts w:cs="Times New Roman"/>
          <w:sz w:val="20"/>
          <w:szCs w:val="20"/>
          <w:lang w:val="en-US"/>
        </w:rPr>
        <w:t>ἀγήνορι</w:t>
      </w:r>
      <w:r w:rsidRPr="00B15395">
        <w:rPr>
          <w:rFonts w:cs="Times New Roman"/>
          <w:sz w:val="20"/>
          <w:szCs w:val="20"/>
          <w:lang w:val="nl-NL"/>
        </w:rPr>
        <w:t xml:space="preserve">). </w:t>
      </w:r>
      <w:r w:rsidRPr="00B15395">
        <w:rPr>
          <w:rFonts w:cs="Times New Roman"/>
          <w:i/>
          <w:iCs/>
          <w:sz w:val="20"/>
          <w:szCs w:val="20"/>
          <w:lang w:val="en-US"/>
        </w:rPr>
        <w:t>Od</w:t>
      </w:r>
      <w:r w:rsidRPr="00B15395">
        <w:rPr>
          <w:rFonts w:cs="Times New Roman"/>
          <w:sz w:val="20"/>
          <w:szCs w:val="20"/>
          <w:lang w:val="en-US"/>
        </w:rPr>
        <w:t xml:space="preserve">. 2.103; 4.548, 658; 9.213; 10.406, 466, 475, 550; 12.28, 324, 414; 14.219; 18.61; 19.148; 24.138 (θυμός ἀγήνωρ); 11.562 (θυμόν ἀγήνορα). The formula occurs especially in the nominative and it is more frequent in the </w:t>
      </w:r>
      <w:r w:rsidRPr="00B15395">
        <w:rPr>
          <w:rFonts w:cs="Times New Roman"/>
          <w:i/>
          <w:iCs/>
          <w:sz w:val="20"/>
          <w:szCs w:val="20"/>
          <w:lang w:val="en-US"/>
        </w:rPr>
        <w:t>Odyssey</w:t>
      </w:r>
      <w:r w:rsidRPr="00B15395">
        <w:rPr>
          <w:rFonts w:cs="Times New Roman"/>
          <w:sz w:val="20"/>
          <w:szCs w:val="20"/>
          <w:lang w:val="en-US"/>
        </w:rPr>
        <w:t xml:space="preserve">. </w:t>
      </w:r>
    </w:p>
  </w:footnote>
  <w:footnote w:id="437">
    <w:p w14:paraId="44CDE9F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l-GR"/>
        </w:rPr>
        <w:tab/>
      </w:r>
      <w:r w:rsidRPr="00B15395">
        <w:rPr>
          <w:rFonts w:cs="Times New Roman"/>
          <w:sz w:val="20"/>
          <w:szCs w:val="20"/>
          <w:lang w:val="en-US"/>
        </w:rPr>
        <w:t>Cf</w:t>
      </w:r>
      <w:r w:rsidRPr="00B15395">
        <w:rPr>
          <w:rFonts w:cs="Times New Roman"/>
          <w:sz w:val="20"/>
          <w:szCs w:val="20"/>
          <w:lang w:val="el-GR"/>
        </w:rPr>
        <w:t xml:space="preserve">. </w:t>
      </w:r>
      <w:r w:rsidRPr="00B15395">
        <w:rPr>
          <w:rFonts w:cs="Times New Roman"/>
          <w:i/>
          <w:iCs/>
          <w:sz w:val="20"/>
          <w:szCs w:val="20"/>
          <w:lang w:val="en-US"/>
        </w:rPr>
        <w:t>Il</w:t>
      </w:r>
      <w:r w:rsidRPr="00B15395">
        <w:rPr>
          <w:rFonts w:cs="Times New Roman"/>
          <w:sz w:val="20"/>
          <w:szCs w:val="20"/>
          <w:lang w:val="el-GR"/>
        </w:rPr>
        <w:t xml:space="preserve">. 9.19; 15.674 (μεγαλήτορι θυμῶι); 9.255, 629, 675; 11.403; 17.90, 626; 18.5; 20.343; 21.53, 552; 22.98 (μεγαλήτορα θυμόν). </w:t>
      </w:r>
      <w:r w:rsidRPr="00B15395">
        <w:rPr>
          <w:rFonts w:cs="Times New Roman"/>
          <w:i/>
          <w:iCs/>
          <w:sz w:val="20"/>
          <w:szCs w:val="20"/>
          <w:lang w:val="en-US"/>
        </w:rPr>
        <w:t>Od</w:t>
      </w:r>
      <w:r w:rsidRPr="00B15395">
        <w:rPr>
          <w:rFonts w:cs="Times New Roman"/>
          <w:sz w:val="20"/>
          <w:szCs w:val="20"/>
          <w:lang w:val="en-US"/>
        </w:rPr>
        <w:t xml:space="preserve">. 5.298, 355, 407, 464; 9. 299, 500 (μεγαλήτορα θυμόν). The formula occurs especially in the accusative, and it is much more frequent in the </w:t>
      </w:r>
      <w:r w:rsidRPr="00B15395">
        <w:rPr>
          <w:rFonts w:cs="Times New Roman"/>
          <w:i/>
          <w:iCs/>
          <w:sz w:val="20"/>
          <w:szCs w:val="20"/>
          <w:lang w:val="en-US"/>
        </w:rPr>
        <w:t>Iliad</w:t>
      </w:r>
      <w:r w:rsidRPr="00B15395">
        <w:rPr>
          <w:rFonts w:cs="Times New Roman"/>
          <w:sz w:val="20"/>
          <w:szCs w:val="20"/>
          <w:lang w:val="en-US"/>
        </w:rPr>
        <w:t>.</w:t>
      </w:r>
    </w:p>
  </w:footnote>
  <w:footnote w:id="438">
    <w:p w14:paraId="2A95B96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Bakker 2013: 142.</w:t>
      </w:r>
    </w:p>
  </w:footnote>
  <w:footnote w:id="439">
    <w:p w14:paraId="4CF70E0B" w14:textId="122A822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For </w:t>
      </w:r>
      <w:r w:rsidRPr="00B15395">
        <w:rPr>
          <w:rFonts w:cs="Times New Roman"/>
          <w:i/>
          <w:iCs/>
          <w:sz w:val="20"/>
          <w:szCs w:val="20"/>
          <w:lang w:val="en-US"/>
        </w:rPr>
        <w:t>thumos</w:t>
      </w:r>
      <w:r w:rsidRPr="00B15395">
        <w:rPr>
          <w:rFonts w:cs="Times New Roman"/>
          <w:sz w:val="20"/>
          <w:szCs w:val="20"/>
          <w:lang w:val="en-US"/>
        </w:rPr>
        <w:t xml:space="preserve"> as “fiery breath,” and hence associated with the </w:t>
      </w:r>
      <w:r w:rsidRPr="00B15395">
        <w:rPr>
          <w:rFonts w:cs="Times New Roman"/>
          <w:i/>
          <w:iCs/>
          <w:sz w:val="20"/>
          <w:szCs w:val="20"/>
          <w:lang w:val="en-US"/>
        </w:rPr>
        <w:t>phrenes</w:t>
      </w:r>
      <w:r w:rsidRPr="00B15395">
        <w:rPr>
          <w:rFonts w:cs="Times New Roman"/>
          <w:sz w:val="20"/>
          <w:szCs w:val="20"/>
          <w:lang w:val="en-US"/>
        </w:rPr>
        <w:t xml:space="preserve"> “lungs,” cf. Clarke 1999: 75-92.</w:t>
      </w:r>
    </w:p>
  </w:footnote>
  <w:footnote w:id="440">
    <w:p w14:paraId="3CE2A379" w14:textId="3693CBF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w:t>
      </w:r>
      <w:r w:rsidRPr="00B15395">
        <w:rPr>
          <w:rFonts w:cs="Times New Roman"/>
          <w:i/>
          <w:iCs/>
          <w:sz w:val="20"/>
          <w:szCs w:val="20"/>
          <w:lang w:val="en-US"/>
        </w:rPr>
        <w:t>locus classicus</w:t>
      </w:r>
      <w:r w:rsidRPr="00B15395">
        <w:rPr>
          <w:rFonts w:cs="Times New Roman"/>
          <w:sz w:val="20"/>
          <w:szCs w:val="20"/>
          <w:lang w:val="en-US"/>
        </w:rPr>
        <w:t xml:space="preserve"> of γαστήρ as a term of denigration in association with a poet’s inspiration is the Muses’ address to Hesiod at </w:t>
      </w:r>
      <w:r w:rsidRPr="00B15395">
        <w:rPr>
          <w:rFonts w:cs="Times New Roman"/>
          <w:i/>
          <w:iCs/>
          <w:sz w:val="20"/>
          <w:szCs w:val="20"/>
          <w:lang w:val="en-US"/>
        </w:rPr>
        <w:t>Th</w:t>
      </w:r>
      <w:r w:rsidRPr="00B15395">
        <w:rPr>
          <w:rFonts w:cs="Times New Roman"/>
          <w:sz w:val="20"/>
          <w:szCs w:val="20"/>
          <w:lang w:val="en-US"/>
        </w:rPr>
        <w:t>. 26 ποιμένες ἄγραυλοι, κάκ’ ἐλέγχεα, γαστέρες οἶον, / ἴδμεν ψεύδεα πολλὰ λέγειν ἐτύμοισιν ὁμοῖα, / ἴδμεν δ’ εὖτ’ ἐθέλωμεν ἀληθέα γηρύσασθαι “shepherds of the wilderness, wretched things of shame, mere bellies, we know how to speak many false things as though they were true; but we know, when we will, to utter true things.”</w:t>
      </w:r>
    </w:p>
  </w:footnote>
  <w:footnote w:id="441">
    <w:p w14:paraId="2048B31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 Hughes 2002: 175; Massimilla 1996: 222-7.</w:t>
      </w:r>
    </w:p>
  </w:footnote>
  <w:footnote w:id="442">
    <w:p w14:paraId="200B409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Gerber 1999: 184; Tarditi 1968: 154.</w:t>
      </w:r>
    </w:p>
  </w:footnote>
  <w:footnote w:id="443">
    <w:p w14:paraId="6ABA96E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especially </w:t>
      </w:r>
      <w:r w:rsidRPr="00B15395">
        <w:rPr>
          <w:rFonts w:cs="Times New Roman"/>
          <w:i/>
          <w:iCs/>
          <w:sz w:val="20"/>
          <w:szCs w:val="20"/>
          <w:lang w:val="en-US"/>
        </w:rPr>
        <w:t>AP</w:t>
      </w:r>
      <w:r w:rsidRPr="00B15395">
        <w:rPr>
          <w:rFonts w:cs="Times New Roman"/>
          <w:sz w:val="20"/>
          <w:szCs w:val="20"/>
          <w:lang w:val="en-US"/>
        </w:rPr>
        <w:t xml:space="preserve"> 7. 69-71, 351-2; Hor. </w:t>
      </w:r>
      <w:r w:rsidRPr="00B15395">
        <w:rPr>
          <w:rFonts w:cs="Times New Roman"/>
          <w:i/>
          <w:iCs/>
          <w:sz w:val="20"/>
          <w:szCs w:val="20"/>
          <w:lang w:val="en-US"/>
        </w:rPr>
        <w:t>Epod.</w:t>
      </w:r>
      <w:r w:rsidRPr="00B15395">
        <w:rPr>
          <w:rFonts w:cs="Times New Roman"/>
          <w:sz w:val="20"/>
          <w:szCs w:val="20"/>
          <w:lang w:val="en-US"/>
        </w:rPr>
        <w:t xml:space="preserve"> 6.11-3 with scholia </w:t>
      </w:r>
      <w:r w:rsidRPr="00B15395">
        <w:rPr>
          <w:rFonts w:cs="Times New Roman"/>
          <w:i/>
          <w:iCs/>
          <w:sz w:val="20"/>
          <w:szCs w:val="20"/>
          <w:lang w:val="en-US"/>
        </w:rPr>
        <w:t>ad loc</w:t>
      </w:r>
      <w:r w:rsidRPr="00B15395">
        <w:rPr>
          <w:rFonts w:cs="Times New Roman"/>
          <w:sz w:val="20"/>
          <w:szCs w:val="20"/>
          <w:lang w:val="en-US"/>
        </w:rPr>
        <w:t xml:space="preserve">., Eusth. </w:t>
      </w:r>
      <w:r w:rsidRPr="00B15395">
        <w:rPr>
          <w:rFonts w:cs="Times New Roman"/>
          <w:i/>
          <w:iCs/>
          <w:sz w:val="20"/>
          <w:szCs w:val="20"/>
          <w:lang w:val="en-US"/>
        </w:rPr>
        <w:t>ad Od.</w:t>
      </w:r>
      <w:r w:rsidRPr="00B15395">
        <w:rPr>
          <w:rFonts w:cs="Times New Roman"/>
          <w:sz w:val="20"/>
          <w:szCs w:val="20"/>
          <w:lang w:val="en-US"/>
        </w:rPr>
        <w:t xml:space="preserve"> 1684.45. </w:t>
      </w:r>
    </w:p>
  </w:footnote>
  <w:footnote w:id="444">
    <w:p w14:paraId="133C344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Carey 1986:61, who agrees with most shcolars in identifying the eagle with Lycambes. </w:t>
      </w:r>
    </w:p>
  </w:footnote>
  <w:footnote w:id="445">
    <w:p w14:paraId="07AD394B" w14:textId="1C6B2F1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nl-NL"/>
        </w:rPr>
        <w:tab/>
        <w:t xml:space="preserve">Orig. </w:t>
      </w:r>
      <w:r w:rsidRPr="00B15395">
        <w:rPr>
          <w:rFonts w:cs="Times New Roman"/>
          <w:i/>
          <w:iCs/>
          <w:sz w:val="20"/>
          <w:szCs w:val="20"/>
          <w:lang w:val="nl-NL"/>
        </w:rPr>
        <w:t>c. Celsum</w:t>
      </w:r>
      <w:r w:rsidRPr="00B15395">
        <w:rPr>
          <w:rFonts w:cs="Times New Roman"/>
          <w:sz w:val="20"/>
          <w:szCs w:val="20"/>
          <w:lang w:val="nl-NL"/>
        </w:rPr>
        <w:t xml:space="preserve"> 2.21; Dio Chrys. </w:t>
      </w:r>
      <w:r w:rsidRPr="00B15395">
        <w:rPr>
          <w:rFonts w:cs="Times New Roman"/>
          <w:sz w:val="20"/>
          <w:szCs w:val="20"/>
          <w:lang w:val="en-US"/>
        </w:rPr>
        <w:t>74.16. Cf. Carey’s 1986 comprehensive discussion regarding the consistency of the story and its characters as related in the ancients sources. The destruction of the children of a faithless eagle seems too suggestive to be coincidence, when the account we have of Lycambes is, precisely on of broken agreements and death for his daughters.</w:t>
      </w:r>
    </w:p>
  </w:footnote>
  <w:footnote w:id="446">
    <w:p w14:paraId="1B7BB502" w14:textId="387785C1"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Arist. </w:t>
      </w:r>
      <w:r w:rsidRPr="00B15395">
        <w:rPr>
          <w:rFonts w:cs="Times New Roman"/>
          <w:i/>
          <w:iCs/>
          <w:sz w:val="20"/>
          <w:szCs w:val="20"/>
          <w:lang w:val="en-US"/>
        </w:rPr>
        <w:t xml:space="preserve">Rhet. </w:t>
      </w:r>
      <w:r w:rsidRPr="00B15395">
        <w:rPr>
          <w:rFonts w:cs="Times New Roman"/>
          <w:sz w:val="20"/>
          <w:szCs w:val="20"/>
          <w:lang w:val="en-US"/>
        </w:rPr>
        <w:t>1394a2-4 εἰσὶ δ’ οἱ λόγοι δημηγορικοί, καὶ ἔχουσιν ἀγαθὸν τοῦτο, ὅτι πράγματα μὲν εὑρεῖν ὅμοια γεγενημένα χαλεπόν, λόγους δὲ ῥᾷον “fables are suitable for public speaking, and they have this advantage that, while it is difficult to find similar things that have really happened in the past, it is easier to invent fables.”</w:t>
      </w:r>
    </w:p>
  </w:footnote>
  <w:footnote w:id="447">
    <w:p w14:paraId="73DBE17E" w14:textId="5B636B6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See Arist. </w:t>
      </w:r>
      <w:r w:rsidRPr="00B15395">
        <w:rPr>
          <w:rFonts w:cs="Times New Roman"/>
          <w:i/>
          <w:iCs/>
          <w:sz w:val="20"/>
          <w:szCs w:val="20"/>
          <w:lang w:val="en-US"/>
        </w:rPr>
        <w:t>Rhet.</w:t>
      </w:r>
      <w:r w:rsidRPr="00B15395">
        <w:rPr>
          <w:rFonts w:cs="Times New Roman"/>
          <w:sz w:val="20"/>
          <w:szCs w:val="20"/>
          <w:lang w:val="en-US"/>
        </w:rPr>
        <w:t xml:space="preserve"> 1393a28-31 παραδειγμάτων δὲ εἴδη δύο· ἓν μὲν γάρ ἐστιν παραδείγματος εἶδος τὸ λέγειν πράγματα προγενομένα, ἓν δὲ τὸ αὐτὸν ποιεῖν. τούτου δὲ ἓν μὲν παραβολὴ ἓν δὲ λόγοι, οἷον οἱ Αἰσώπειοι καὶ Λιβυκοί, “there are two kinds of examples; namely, one which consists in relating things that have happened before, and another in inventing them oneself. The latter are subdivided into comparisons or fables, such as those of Aesop and the Libyan.” The Libyan fables are said to have been animal fables of African origin. Cf. also Quint. </w:t>
      </w:r>
      <w:r w:rsidRPr="00B15395">
        <w:rPr>
          <w:rFonts w:cs="Times New Roman"/>
          <w:i/>
          <w:iCs/>
          <w:sz w:val="20"/>
          <w:szCs w:val="20"/>
          <w:lang w:val="en-US"/>
        </w:rPr>
        <w:t>Inst. Or</w:t>
      </w:r>
      <w:r w:rsidRPr="00B15395">
        <w:rPr>
          <w:rFonts w:cs="Times New Roman"/>
          <w:sz w:val="20"/>
          <w:szCs w:val="20"/>
          <w:lang w:val="en-US"/>
        </w:rPr>
        <w:t xml:space="preserve">. 5.11.20 </w:t>
      </w:r>
      <w:r w:rsidRPr="00B15395">
        <w:rPr>
          <w:rFonts w:cs="Times New Roman"/>
          <w:i/>
          <w:iCs/>
          <w:sz w:val="20"/>
          <w:szCs w:val="20"/>
          <w:lang w:val="en-US"/>
        </w:rPr>
        <w:t xml:space="preserve">αἶνον Graeci uocant et αἰσωπείους, ut dixi, λόγους et λιβυκούς, nostrorum quidam, non sane recepto in usum nomine, apologationem, </w:t>
      </w:r>
      <w:r w:rsidRPr="00B15395">
        <w:rPr>
          <w:rFonts w:cs="Times New Roman"/>
          <w:sz w:val="20"/>
          <w:szCs w:val="20"/>
          <w:lang w:val="en-US"/>
        </w:rPr>
        <w:t xml:space="preserve">“the Greeks call this an </w:t>
      </w:r>
      <w:r w:rsidRPr="00B15395">
        <w:rPr>
          <w:rFonts w:cs="Times New Roman"/>
          <w:i/>
          <w:iCs/>
          <w:sz w:val="20"/>
          <w:szCs w:val="20"/>
          <w:lang w:val="en-US"/>
        </w:rPr>
        <w:t>ainos</w:t>
      </w:r>
      <w:r w:rsidRPr="00B15395">
        <w:rPr>
          <w:rFonts w:cs="Times New Roman"/>
          <w:sz w:val="20"/>
          <w:szCs w:val="20"/>
          <w:lang w:val="en-US"/>
        </w:rPr>
        <w:t xml:space="preserve">, and speak of Aesopic fables (as I said), and Lybian fables; some Roman writers use the word </w:t>
      </w:r>
      <w:r w:rsidRPr="00B15395">
        <w:rPr>
          <w:rFonts w:cs="Times New Roman"/>
          <w:i/>
          <w:iCs/>
          <w:sz w:val="20"/>
          <w:szCs w:val="20"/>
          <w:lang w:val="en-US"/>
        </w:rPr>
        <w:t>apologatio</w:t>
      </w:r>
      <w:r w:rsidRPr="00B15395">
        <w:rPr>
          <w:rFonts w:cs="Times New Roman"/>
          <w:sz w:val="20"/>
          <w:szCs w:val="20"/>
          <w:lang w:val="en-US"/>
        </w:rPr>
        <w:t>, though the name has not been accepted in common use.”</w:t>
      </w:r>
    </w:p>
  </w:footnote>
  <w:footnote w:id="448">
    <w:p w14:paraId="3E10B09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Thompson 1895: 102-104; Arnott 2007: 47-49.</w:t>
      </w:r>
    </w:p>
  </w:footnote>
  <w:footnote w:id="449">
    <w:p w14:paraId="215458D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Masson 1962: 162.</w:t>
      </w:r>
    </w:p>
  </w:footnote>
  <w:footnote w:id="450">
    <w:p w14:paraId="3BE0255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plural guttural is justified as poetic for </w:t>
      </w:r>
      <w:r w:rsidRPr="00B15395">
        <w:rPr>
          <w:rFonts w:cs="Times New Roman"/>
          <w:i/>
          <w:iCs/>
          <w:sz w:val="20"/>
          <w:szCs w:val="20"/>
          <w:lang w:val="en-US"/>
        </w:rPr>
        <w:t>de gutturis parte exteriore</w:t>
      </w:r>
      <w:r w:rsidRPr="00B15395">
        <w:rPr>
          <w:rFonts w:cs="Times New Roman"/>
          <w:sz w:val="20"/>
          <w:szCs w:val="20"/>
          <w:lang w:val="en-US"/>
        </w:rPr>
        <w:t>; cf. Bömer 1969: 432.</w:t>
      </w:r>
    </w:p>
  </w:footnote>
  <w:footnote w:id="451">
    <w:p w14:paraId="2105452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Bradley 2014: 3-6.</w:t>
      </w:r>
    </w:p>
  </w:footnote>
  <w:footnote w:id="452">
    <w:p w14:paraId="623B057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narrative proceeding is the same which we will find in modern authors, where the physical aspect reflects the behaviour. I am thinking especially to Sherlock Holmes investigation methods according to which specific criminal personalities respond to specific physical features.</w:t>
      </w:r>
    </w:p>
  </w:footnote>
  <w:footnote w:id="453">
    <w:p w14:paraId="0D4DA2B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Clements 2014: 46-59.</w:t>
      </w:r>
    </w:p>
  </w:footnote>
  <w:footnote w:id="454">
    <w:p w14:paraId="76670876" w14:textId="101B2D2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Instead, West 1974:143 suggests to read nose as penis, on the basis of two Hipponax’s fragments where the word ῥίς is surely for “penis”.” Cf. Hippon. fr. 25 τὴν ῥῖνα καὶ τὴν μύξαν ἐξαράξασα “she, bashing his nose and knocking out the mucus,” where ῥίς stands for “penis” and μύξα for “wick”; and fr 78.14: καὶ τῶι κιμαίωι τόν</w:t>
      </w:r>
      <w:hyperlink r:id="rId3" w:history="1">
        <w:r w:rsidRPr="00B15395">
          <w:rPr>
            <w:rFonts w:cs="Times New Roman"/>
            <w:sz w:val="20"/>
            <w:szCs w:val="20"/>
            <w:lang w:val="en-US"/>
          </w:rPr>
          <w:t>[</w:t>
        </w:r>
      </w:hyperlink>
      <w:r w:rsidRPr="00B15395">
        <w:rPr>
          <w:rFonts w:cs="Times New Roman"/>
          <w:sz w:val="20"/>
          <w:szCs w:val="20"/>
          <w:lang w:val="en-US"/>
        </w:rPr>
        <w:t>δε</w:t>
      </w:r>
      <w:hyperlink r:id="rId4" w:history="1">
        <w:r w:rsidRPr="00B15395">
          <w:rPr>
            <w:rFonts w:cs="Times New Roman"/>
            <w:sz w:val="20"/>
            <w:szCs w:val="20"/>
            <w:lang w:val="en-US"/>
          </w:rPr>
          <w:t>]</w:t>
        </w:r>
      </w:hyperlink>
      <w:r w:rsidRPr="00B15395">
        <w:rPr>
          <w:rFonts w:cs="Times New Roman"/>
          <w:sz w:val="20"/>
          <w:szCs w:val="20"/>
          <w:lang w:val="en-US"/>
        </w:rPr>
        <w:t> ῥῖνα φοινίξαÚ</w:t>
      </w:r>
      <w:hyperlink r:id="rId5" w:history="1">
        <w:r w:rsidRPr="00B15395">
          <w:rPr>
            <w:rFonts w:cs="Times New Roman"/>
            <w:sz w:val="20"/>
            <w:szCs w:val="20"/>
            <w:lang w:val="en-US"/>
          </w:rPr>
          <w:t>[</w:t>
        </w:r>
      </w:hyperlink>
      <w:r w:rsidRPr="00B15395">
        <w:rPr>
          <w:rFonts w:cs="Times New Roman"/>
          <w:sz w:val="20"/>
          <w:szCs w:val="20"/>
          <w:lang w:val="en-US"/>
        </w:rPr>
        <w:t>ς “and dyeing this red at the nose with the juice,” where probably ῥίς denotes his penis’ tips (for the imagery, cf. Henderson 1975: 243).</w:t>
      </w:r>
    </w:p>
  </w:footnote>
  <w:footnote w:id="455">
    <w:p w14:paraId="69BC7E7E" w14:textId="47608D2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Jacoby 3b.457.F2 (Epimenides): Paulus </w:t>
      </w:r>
      <w:r w:rsidRPr="00B15395">
        <w:rPr>
          <w:rFonts w:cs="Times New Roman"/>
          <w:i/>
          <w:iCs/>
          <w:sz w:val="20"/>
          <w:szCs w:val="20"/>
          <w:lang w:val="en-US"/>
        </w:rPr>
        <w:t>Ep. ad Titum</w:t>
      </w:r>
      <w:r w:rsidRPr="00B15395">
        <w:rPr>
          <w:rFonts w:cs="Times New Roman"/>
          <w:sz w:val="20"/>
          <w:szCs w:val="20"/>
          <w:lang w:val="en-US"/>
        </w:rPr>
        <w:t xml:space="preserve"> 1.12 εἶπέν τις ἐξ αὐτῶν (</w:t>
      </w:r>
      <w:r w:rsidRPr="00B15395">
        <w:rPr>
          <w:rFonts w:cs="Times New Roman"/>
          <w:i/>
          <w:iCs/>
          <w:sz w:val="20"/>
          <w:szCs w:val="20"/>
          <w:lang w:val="en-US"/>
        </w:rPr>
        <w:t>scil. </w:t>
      </w:r>
      <w:r w:rsidRPr="00B15395">
        <w:rPr>
          <w:rFonts w:cs="Times New Roman"/>
          <w:sz w:val="20"/>
          <w:szCs w:val="20"/>
          <w:lang w:val="en-US"/>
        </w:rPr>
        <w:t>τῶν Κρητῶν), ἴδιος αὐτῶν προφήτης· «Κρῆτες ἀεὶ ψεῦσται, κακὰ θηρία, γαστέρες ἀργα» “one of Crete’s own prophets has said it: ‘Cretans are always liars, evil brutes, idle bellies’.”</w:t>
      </w:r>
    </w:p>
  </w:footnote>
  <w:footnote w:id="456">
    <w:p w14:paraId="7F4D89B4" w14:textId="7DA0CF0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See Call. </w:t>
      </w:r>
      <w:r w:rsidRPr="00B15395">
        <w:rPr>
          <w:rFonts w:cs="Times New Roman"/>
          <w:i/>
          <w:iCs/>
          <w:sz w:val="20"/>
          <w:szCs w:val="20"/>
          <w:lang w:val="en-US"/>
        </w:rPr>
        <w:t>h.</w:t>
      </w:r>
      <w:r w:rsidRPr="00B15395">
        <w:rPr>
          <w:rFonts w:cs="Times New Roman"/>
          <w:sz w:val="20"/>
          <w:szCs w:val="20"/>
          <w:lang w:val="en-US"/>
        </w:rPr>
        <w:t xml:space="preserve"> </w:t>
      </w:r>
      <w:r w:rsidRPr="00B15395">
        <w:rPr>
          <w:rFonts w:cs="Times New Roman"/>
          <w:i/>
          <w:iCs/>
          <w:sz w:val="20"/>
          <w:szCs w:val="20"/>
          <w:lang w:val="en-US"/>
        </w:rPr>
        <w:t>to Zeus</w:t>
      </w:r>
      <w:r w:rsidRPr="00B15395">
        <w:rPr>
          <w:rFonts w:cs="Times New Roman"/>
          <w:sz w:val="20"/>
          <w:szCs w:val="20"/>
          <w:lang w:val="en-US"/>
        </w:rPr>
        <w:t xml:space="preserve"> 7-9 πότεροι, πάτερ, ἐψεύσαντο; / ‘Κρῆτες ἀεὶ ψεῦσται’· καὶ γὰρ τάφον, ὦ ἄνα, σεῖο / Κρῆτες ἐτεκτήναντο, “who of them, Father, lied to you? ‘Cretans are ever liars.’ The Cretans, Lord, built for you also a tomb”; </w:t>
      </w:r>
      <w:r w:rsidRPr="00B15395">
        <w:rPr>
          <w:rFonts w:cs="Times New Roman"/>
          <w:i/>
          <w:iCs/>
          <w:sz w:val="20"/>
          <w:szCs w:val="20"/>
          <w:lang w:val="en-US"/>
        </w:rPr>
        <w:t>Ia.</w:t>
      </w:r>
      <w:r w:rsidRPr="00B15395">
        <w:rPr>
          <w:rFonts w:cs="Times New Roman"/>
          <w:sz w:val="20"/>
          <w:szCs w:val="20"/>
          <w:lang w:val="en-US"/>
        </w:rPr>
        <w:t xml:space="preserve"> 1.10-11 οὗ τὸν πάλαι Πάγχαιον ὁ πλάσας Ζᾶνα / γέρων λαλάζων ἄδικα βιβλία ψήχει “where the old man who fashioned the ancient Panchaean Zeus chatters and scratches out his unrighteous books.”</w:t>
      </w:r>
    </w:p>
  </w:footnote>
  <w:footnote w:id="457">
    <w:p w14:paraId="5CA8A7BD" w14:textId="19B919E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184; D’Alessio 1996: 594 n. 46; Gutzwiller 1998: 193; Kerkhecker 1999: 52.</w:t>
      </w:r>
    </w:p>
  </w:footnote>
  <w:footnote w:id="458">
    <w:p w14:paraId="4D37E67C" w14:textId="4D2B33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191. Callimachus adopts the same rhetorical device in the </w:t>
      </w:r>
      <w:r w:rsidRPr="00B15395">
        <w:rPr>
          <w:rFonts w:cs="Times New Roman"/>
          <w:i/>
          <w:iCs/>
          <w:sz w:val="20"/>
          <w:szCs w:val="20"/>
          <w:lang w:val="en-US"/>
        </w:rPr>
        <w:t>Hecale</w:t>
      </w:r>
      <w:r w:rsidRPr="00B15395">
        <w:rPr>
          <w:rFonts w:cs="Times New Roman"/>
          <w:sz w:val="20"/>
          <w:szCs w:val="20"/>
          <w:lang w:val="en-US"/>
        </w:rPr>
        <w:t xml:space="preserve"> (frs. 280-291), where the chattering of the two crows and the reference to Theseus’ stay at Hecale’s hut constitute a reference to Callimachus’ </w:t>
      </w:r>
      <w:r w:rsidRPr="00B15395">
        <w:rPr>
          <w:rFonts w:cs="Times New Roman"/>
          <w:i/>
          <w:iCs/>
          <w:sz w:val="20"/>
          <w:szCs w:val="20"/>
          <w:lang w:val="en-US"/>
        </w:rPr>
        <w:t>Hecale</w:t>
      </w:r>
      <w:r w:rsidRPr="00B15395">
        <w:rPr>
          <w:rFonts w:cs="Times New Roman"/>
          <w:sz w:val="20"/>
          <w:szCs w:val="20"/>
          <w:lang w:val="en-US"/>
        </w:rPr>
        <w:t xml:space="preserve"> (cf. Dawson 1950: 54).</w:t>
      </w:r>
    </w:p>
  </w:footnote>
  <w:footnote w:id="459">
    <w:p w14:paraId="5A031BB0" w14:textId="24BD59BC"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references in the ancient lexica and scholia are generally either Καλλίμαχος ἐν χωλιάμβοις or Καλλίμαχος ἐν ἰάμβοις. The name ἴαμβοι may, as D’Alessio 1996: 43-44 suggests, derive ultimately from Callimachus’ conceptualisation of the genre in </w:t>
      </w:r>
      <w:r w:rsidRPr="00B15395">
        <w:rPr>
          <w:rFonts w:cs="Times New Roman"/>
          <w:i/>
          <w:iCs/>
          <w:sz w:val="20"/>
          <w:szCs w:val="20"/>
          <w:lang w:val="en-US"/>
        </w:rPr>
        <w:t>Iambus</w:t>
      </w:r>
      <w:r w:rsidRPr="00B15395">
        <w:rPr>
          <w:rFonts w:cs="Times New Roman"/>
          <w:sz w:val="20"/>
          <w:szCs w:val="20"/>
          <w:lang w:val="en-US"/>
        </w:rPr>
        <w:t xml:space="preserve"> 1.3 φέρων ἴαμβον οὐ μάχην ἀείδοντα “bringing an iambus which does not sing the Bupalean battle.” </w:t>
      </w:r>
    </w:p>
  </w:footnote>
  <w:footnote w:id="460">
    <w:p w14:paraId="444A1E0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iambs</w:t>
      </w:r>
      <w:r w:rsidRPr="00B15395">
        <w:rPr>
          <w:rFonts w:cs="Times New Roman"/>
          <w:i/>
          <w:iCs/>
          <w:sz w:val="20"/>
          <w:szCs w:val="20"/>
          <w:lang w:val="en-US"/>
        </w:rPr>
        <w:t xml:space="preserve"> </w:t>
      </w:r>
      <w:r w:rsidRPr="00B15395">
        <w:rPr>
          <w:rFonts w:cs="Times New Roman"/>
          <w:sz w:val="20"/>
          <w:szCs w:val="20"/>
          <w:lang w:val="en-US"/>
        </w:rPr>
        <w:t>and iambic metre, see West 1974: 22.</w:t>
      </w:r>
    </w:p>
  </w:footnote>
  <w:footnote w:id="461">
    <w:p w14:paraId="6A6FE73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8.</w:t>
      </w:r>
    </w:p>
  </w:footnote>
  <w:footnote w:id="462">
    <w:p w14:paraId="6206D51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8.</w:t>
      </w:r>
    </w:p>
  </w:footnote>
  <w:footnote w:id="463">
    <w:p w14:paraId="3B28D91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Dawson 1950: 142-144; Clayman 1980: 48-49; Gutzwiller 1998: 187-188.</w:t>
      </w:r>
    </w:p>
  </w:footnote>
  <w:footnote w:id="464">
    <w:p w14:paraId="440C72A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Puelma 1949: 323, 335; Dawson 1950: 141; Clayman 1980: 48.</w:t>
      </w:r>
    </w:p>
  </w:footnote>
  <w:footnote w:id="465">
    <w:p w14:paraId="64363C25" w14:textId="2480573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Gutzwiller 1996: 131-132 “the meaning of εἶδος that underlies this usage of πολυείδεια, then, is not ‘poem’ or ‘song’ but simply ‘type,’ ‘kind’ with possible reference to any number of literary subdivisions.”</w:t>
      </w:r>
    </w:p>
  </w:footnote>
  <w:footnote w:id="466">
    <w:p w14:paraId="0FAE327C" w14:textId="63250D7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Line 16 ἀρχαῖον εἴτ’ απÚαιÚ ìancient or απÚαιÚî may suggest a further differentiation of ancient and contemporary, which would reflect the dichotomy (Callimachus vs Hipponax) characterizing both this poem and </w:t>
      </w:r>
      <w:r w:rsidRPr="00B15395">
        <w:rPr>
          <w:rFonts w:cs="Times New Roman"/>
          <w:i/>
          <w:iCs/>
          <w:sz w:val="20"/>
          <w:szCs w:val="20"/>
          <w:lang w:val="en-US"/>
        </w:rPr>
        <w:t>Iambus</w:t>
      </w:r>
      <w:r w:rsidRPr="00B15395">
        <w:rPr>
          <w:rFonts w:cs="Times New Roman"/>
          <w:sz w:val="20"/>
          <w:szCs w:val="20"/>
          <w:lang w:val="en-US"/>
        </w:rPr>
        <w:t xml:space="preserve"> 1. </w:t>
      </w:r>
    </w:p>
  </w:footnote>
  <w:footnote w:id="467">
    <w:p w14:paraId="28D366C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9. </w:t>
      </w:r>
    </w:p>
  </w:footnote>
  <w:footnote w:id="468">
    <w:p w14:paraId="511A04A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Käppel 1992: 39-43 (concerning the paeans).</w:t>
      </w:r>
    </w:p>
  </w:footnote>
  <w:footnote w:id="469">
    <w:p w14:paraId="1ADF529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Cameron 1992: 305-312; Depew 1992: 313-330; Bulloch 1992: 331-334; Hunter 1997: 41; Kerkhecker 1999: 289.</w:t>
      </w:r>
    </w:p>
  </w:footnote>
  <w:footnote w:id="470">
    <w:p w14:paraId="046FEFBB" w14:textId="7E90D25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West 1974: 38 wonders whether Callimachus used the collective term ἴαμβοι in the Πίνακες or not? It is interesting that Callimachus never used it in quotations of Archilochus. See also Pfeiffer 1933: 267; Herter 1937: 159. Cf. West’s lists of quotations at </w:t>
      </w:r>
      <w:r w:rsidRPr="00B15395">
        <w:rPr>
          <w:rFonts w:cs="Times New Roman"/>
          <w:i/>
          <w:iCs/>
          <w:sz w:val="20"/>
          <w:szCs w:val="20"/>
          <w:lang w:val="en-US"/>
        </w:rPr>
        <w:t>IEG</w:t>
      </w:r>
      <w:r w:rsidRPr="00B15395">
        <w:rPr>
          <w:rFonts w:cs="Times New Roman"/>
          <w:sz w:val="20"/>
          <w:szCs w:val="20"/>
          <w:lang w:val="en-US"/>
        </w:rPr>
        <w:t xml:space="preserve"> I 1; 7; 32; 61.</w:t>
      </w:r>
    </w:p>
  </w:footnote>
  <w:footnote w:id="471">
    <w:p w14:paraId="554C84F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First observed and described for the mimetic hymns; cf. Depew 1993: 57-77; Cameron 1992: 305-312. </w:t>
      </w:r>
    </w:p>
  </w:footnote>
  <w:footnote w:id="472">
    <w:p w14:paraId="7396D69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Acosta-Hughes 2002: 3, where the relationship between iambic and elegiac genres is defined as oppositional. However, on the basis of my following discussion, I think that it would be better to consider this relationship quite close and not oppositional mainly for two reasons: firstly, the role that the elegiac language plays in the iambs; secondly, the Hellenistic ideas on genres as interconnected poetic sets. </w:t>
      </w:r>
    </w:p>
  </w:footnote>
  <w:footnote w:id="473">
    <w:p w14:paraId="7CB45D2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Two papyri attest this order of composition: the first (</w:t>
      </w:r>
      <w:r w:rsidRPr="00B15395">
        <w:rPr>
          <w:rFonts w:cs="Times New Roman"/>
          <w:i/>
          <w:iCs/>
          <w:sz w:val="20"/>
          <w:szCs w:val="20"/>
          <w:lang w:val="en-US"/>
        </w:rPr>
        <w:t>P.Oxy.</w:t>
      </w:r>
      <w:r w:rsidRPr="00B15395">
        <w:rPr>
          <w:rFonts w:cs="Times New Roman"/>
          <w:sz w:val="20"/>
          <w:szCs w:val="20"/>
          <w:lang w:val="en-US"/>
        </w:rPr>
        <w:t xml:space="preserve"> 1011, 4</w:t>
      </w:r>
      <w:r w:rsidRPr="00B15395">
        <w:rPr>
          <w:rFonts w:cs="Times New Roman"/>
          <w:sz w:val="20"/>
          <w:szCs w:val="20"/>
          <w:vertAlign w:val="superscript"/>
          <w:lang w:val="en-US"/>
        </w:rPr>
        <w:t>th</w:t>
      </w:r>
      <w:r w:rsidRPr="00B15395">
        <w:rPr>
          <w:rFonts w:cs="Times New Roman"/>
          <w:sz w:val="20"/>
          <w:szCs w:val="20"/>
          <w:lang w:val="en-US"/>
        </w:rPr>
        <w:t xml:space="preserve"> c. CE) is the most extensive source of these poems, which includes </w:t>
      </w:r>
      <w:r w:rsidRPr="00B15395">
        <w:rPr>
          <w:rFonts w:cs="Times New Roman"/>
          <w:i/>
          <w:iCs/>
          <w:sz w:val="20"/>
          <w:szCs w:val="20"/>
          <w:lang w:val="en-US"/>
        </w:rPr>
        <w:t>Aetia</w:t>
      </w:r>
      <w:r w:rsidRPr="00B15395">
        <w:rPr>
          <w:rFonts w:cs="Times New Roman"/>
          <w:sz w:val="20"/>
          <w:szCs w:val="20"/>
          <w:lang w:val="en-US"/>
        </w:rPr>
        <w:t xml:space="preserve"> 3-4, and </w:t>
      </w:r>
      <w:r w:rsidRPr="00B15395">
        <w:rPr>
          <w:rFonts w:cs="Times New Roman"/>
          <w:i/>
          <w:iCs/>
          <w:sz w:val="20"/>
          <w:szCs w:val="20"/>
          <w:lang w:val="en-US"/>
        </w:rPr>
        <w:t xml:space="preserve">Iambi </w:t>
      </w:r>
      <w:r w:rsidRPr="00B15395">
        <w:rPr>
          <w:rFonts w:cs="Times New Roman"/>
          <w:sz w:val="20"/>
          <w:szCs w:val="20"/>
          <w:lang w:val="en-US"/>
        </w:rPr>
        <w:t>1-4, 12, and 13; the second (</w:t>
      </w:r>
      <w:r w:rsidRPr="00B15395">
        <w:rPr>
          <w:rFonts w:cs="Times New Roman"/>
          <w:i/>
          <w:iCs/>
          <w:sz w:val="20"/>
          <w:szCs w:val="20"/>
          <w:lang w:val="en-US"/>
        </w:rPr>
        <w:t>P.Mil</w:t>
      </w:r>
      <w:r w:rsidRPr="00B15395">
        <w:rPr>
          <w:rFonts w:cs="Times New Roman"/>
          <w:sz w:val="20"/>
          <w:szCs w:val="20"/>
          <w:lang w:val="en-US"/>
        </w:rPr>
        <w:t xml:space="preserve">. I 18, known as the </w:t>
      </w:r>
      <w:r w:rsidRPr="00B15395">
        <w:rPr>
          <w:rFonts w:cs="Times New Roman"/>
          <w:i/>
          <w:iCs/>
          <w:sz w:val="20"/>
          <w:szCs w:val="20"/>
          <w:lang w:val="en-US"/>
        </w:rPr>
        <w:t>Milan Diegesis</w:t>
      </w:r>
      <w:r w:rsidRPr="00B15395">
        <w:rPr>
          <w:rFonts w:cs="Times New Roman"/>
          <w:sz w:val="20"/>
          <w:szCs w:val="20"/>
          <w:lang w:val="en-US"/>
        </w:rPr>
        <w:t>, 1</w:t>
      </w:r>
      <w:r w:rsidRPr="00B15395">
        <w:rPr>
          <w:rFonts w:cs="Times New Roman"/>
          <w:sz w:val="20"/>
          <w:szCs w:val="20"/>
          <w:vertAlign w:val="superscript"/>
          <w:lang w:val="en-US"/>
        </w:rPr>
        <w:t>st</w:t>
      </w:r>
      <w:r w:rsidRPr="00B15395">
        <w:rPr>
          <w:rFonts w:cs="Times New Roman"/>
          <w:sz w:val="20"/>
          <w:szCs w:val="20"/>
          <w:lang w:val="en-US"/>
        </w:rPr>
        <w:t>-2</w:t>
      </w:r>
      <w:r w:rsidRPr="00B15395">
        <w:rPr>
          <w:rFonts w:cs="Times New Roman"/>
          <w:sz w:val="20"/>
          <w:szCs w:val="20"/>
          <w:vertAlign w:val="superscript"/>
          <w:lang w:val="en-US"/>
        </w:rPr>
        <w:t>nd</w:t>
      </w:r>
      <w:r w:rsidRPr="00B15395">
        <w:rPr>
          <w:rFonts w:cs="Times New Roman"/>
          <w:sz w:val="20"/>
          <w:szCs w:val="20"/>
          <w:lang w:val="en-US"/>
        </w:rPr>
        <w:t xml:space="preserve"> c. CE) is a prose summary of the last two books of the </w:t>
      </w:r>
      <w:r w:rsidRPr="00B15395">
        <w:rPr>
          <w:rFonts w:cs="Times New Roman"/>
          <w:i/>
          <w:iCs/>
          <w:sz w:val="20"/>
          <w:szCs w:val="20"/>
          <w:lang w:val="en-US"/>
        </w:rPr>
        <w:t>Aetia</w:t>
      </w:r>
      <w:r w:rsidRPr="00B15395">
        <w:rPr>
          <w:rFonts w:cs="Times New Roman"/>
          <w:sz w:val="20"/>
          <w:szCs w:val="20"/>
          <w:lang w:val="en-US"/>
        </w:rPr>
        <w:t xml:space="preserve">, the </w:t>
      </w:r>
      <w:r w:rsidRPr="00B15395">
        <w:rPr>
          <w:rFonts w:cs="Times New Roman"/>
          <w:i/>
          <w:iCs/>
          <w:sz w:val="20"/>
          <w:szCs w:val="20"/>
          <w:lang w:val="en-US"/>
        </w:rPr>
        <w:t>Iambi</w:t>
      </w:r>
      <w:r w:rsidRPr="00B15395">
        <w:rPr>
          <w:rFonts w:cs="Times New Roman"/>
          <w:sz w:val="20"/>
          <w:szCs w:val="20"/>
          <w:lang w:val="en-US"/>
        </w:rPr>
        <w:t xml:space="preserve">, the four poems that follow the </w:t>
      </w:r>
      <w:r w:rsidRPr="00B15395">
        <w:rPr>
          <w:rFonts w:cs="Times New Roman"/>
          <w:i/>
          <w:iCs/>
          <w:sz w:val="20"/>
          <w:szCs w:val="20"/>
          <w:lang w:val="en-US"/>
        </w:rPr>
        <w:t>Iambi</w:t>
      </w:r>
      <w:r w:rsidRPr="00B15395">
        <w:rPr>
          <w:rFonts w:cs="Times New Roman"/>
          <w:sz w:val="20"/>
          <w:szCs w:val="20"/>
          <w:lang w:val="en-US"/>
        </w:rPr>
        <w:t xml:space="preserve">, and the </w:t>
      </w:r>
      <w:r w:rsidRPr="00B15395">
        <w:rPr>
          <w:rFonts w:cs="Times New Roman"/>
          <w:i/>
          <w:iCs/>
          <w:sz w:val="20"/>
          <w:szCs w:val="20"/>
          <w:lang w:val="en-US"/>
        </w:rPr>
        <w:t>Hecale</w:t>
      </w:r>
      <w:r w:rsidRPr="00B15395">
        <w:rPr>
          <w:rFonts w:cs="Times New Roman"/>
          <w:sz w:val="20"/>
          <w:szCs w:val="20"/>
          <w:lang w:val="en-US"/>
        </w:rPr>
        <w:t>. Cf. Acosta-Hughes 2002: 3; Kerkhecker 1999: 273-274.</w:t>
      </w:r>
    </w:p>
  </w:footnote>
  <w:footnote w:id="474">
    <w:p w14:paraId="2E65FDBA" w14:textId="57CA9BC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epilogue of </w:t>
      </w:r>
      <w:r w:rsidRPr="00B15395">
        <w:rPr>
          <w:rFonts w:cs="Times New Roman"/>
          <w:i/>
          <w:iCs/>
          <w:sz w:val="20"/>
          <w:szCs w:val="20"/>
          <w:lang w:val="en-US"/>
        </w:rPr>
        <w:t>Aetia</w:t>
      </w:r>
      <w:r w:rsidRPr="00B15395">
        <w:rPr>
          <w:rFonts w:cs="Times New Roman"/>
          <w:sz w:val="20"/>
          <w:szCs w:val="20"/>
          <w:lang w:val="en-US"/>
        </w:rPr>
        <w:t xml:space="preserve"> 4, or most probably in the first edition, of </w:t>
      </w:r>
      <w:r w:rsidRPr="00B15395">
        <w:rPr>
          <w:rFonts w:cs="Times New Roman"/>
          <w:i/>
          <w:iCs/>
          <w:sz w:val="20"/>
          <w:szCs w:val="20"/>
          <w:lang w:val="en-US"/>
        </w:rPr>
        <w:t>Aetia</w:t>
      </w:r>
      <w:r w:rsidRPr="00B15395">
        <w:rPr>
          <w:rFonts w:cs="Times New Roman"/>
          <w:sz w:val="20"/>
          <w:szCs w:val="20"/>
          <w:lang w:val="en-US"/>
        </w:rPr>
        <w:t xml:space="preserve"> 2. The </w:t>
      </w:r>
      <w:r w:rsidRPr="00B15395">
        <w:rPr>
          <w:rFonts w:cs="Times New Roman"/>
          <w:i/>
          <w:iCs/>
          <w:sz w:val="20"/>
          <w:szCs w:val="20"/>
          <w:lang w:val="en-US"/>
        </w:rPr>
        <w:t>Aetia</w:t>
      </w:r>
      <w:r w:rsidRPr="00B15395">
        <w:rPr>
          <w:rFonts w:cs="Times New Roman"/>
          <w:sz w:val="20"/>
          <w:szCs w:val="20"/>
          <w:lang w:val="en-US"/>
        </w:rPr>
        <w:t xml:space="preserve"> were in all probability reedited, quite possibly by the poet himself. Cf. Pfeiffer II xxxv-xxxvii; Parsons 1977: 48-50; Knox 1985: 59-65; 1993: 175-178; Cameron 1995: 141-162; D’Alessio 1996: 37-40, 46-47.</w:t>
      </w:r>
    </w:p>
  </w:footnote>
  <w:footnote w:id="475">
    <w:p w14:paraId="19C3A5B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Kranz 1961: 102-103.</w:t>
      </w:r>
    </w:p>
  </w:footnote>
  <w:footnote w:id="476">
    <w:p w14:paraId="01B8E221" w14:textId="2BA052E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Further evidence is found in the Latin use of </w:t>
      </w:r>
      <w:r w:rsidRPr="00B15395">
        <w:rPr>
          <w:rFonts w:cs="Times New Roman"/>
          <w:i/>
          <w:iCs/>
          <w:sz w:val="20"/>
          <w:szCs w:val="20"/>
          <w:lang w:val="en-US"/>
        </w:rPr>
        <w:t>pedestris</w:t>
      </w:r>
      <w:r w:rsidRPr="00B15395">
        <w:rPr>
          <w:rFonts w:cs="Times New Roman"/>
          <w:sz w:val="20"/>
          <w:szCs w:val="20"/>
          <w:lang w:val="en-US"/>
        </w:rPr>
        <w:t xml:space="preserve">, as in Hor. </w:t>
      </w:r>
      <w:r w:rsidRPr="00B15395">
        <w:rPr>
          <w:rFonts w:cs="Times New Roman"/>
          <w:i/>
          <w:iCs/>
          <w:sz w:val="20"/>
          <w:szCs w:val="20"/>
          <w:lang w:val="en-US"/>
        </w:rPr>
        <w:t>S</w:t>
      </w:r>
      <w:r w:rsidRPr="00B15395">
        <w:rPr>
          <w:rFonts w:cs="Times New Roman"/>
          <w:sz w:val="20"/>
          <w:szCs w:val="20"/>
          <w:lang w:val="en-US"/>
        </w:rPr>
        <w:t xml:space="preserve">. 2.6.17 </w:t>
      </w:r>
      <w:r w:rsidRPr="00B15395">
        <w:rPr>
          <w:rFonts w:cs="Times New Roman"/>
          <w:i/>
          <w:iCs/>
          <w:sz w:val="20"/>
          <w:szCs w:val="20"/>
          <w:lang w:val="en-US"/>
        </w:rPr>
        <w:t>satiris musaque pedestri</w:t>
      </w:r>
      <w:r w:rsidRPr="00B15395">
        <w:rPr>
          <w:rFonts w:cs="Times New Roman"/>
          <w:sz w:val="20"/>
          <w:szCs w:val="20"/>
          <w:lang w:val="en-US"/>
        </w:rPr>
        <w:t xml:space="preserve"> “through satires and the pedestrian Musa,” where the pedestrian Musa is the one who inspires the satire (cf. </w:t>
      </w:r>
      <w:r w:rsidRPr="00B15395">
        <w:rPr>
          <w:rFonts w:cs="Times New Roman"/>
          <w:i/>
          <w:iCs/>
          <w:sz w:val="20"/>
          <w:szCs w:val="20"/>
          <w:lang w:val="en-US"/>
        </w:rPr>
        <w:t>Epist</w:t>
      </w:r>
      <w:r w:rsidRPr="00B15395">
        <w:rPr>
          <w:rFonts w:cs="Times New Roman"/>
          <w:sz w:val="20"/>
          <w:szCs w:val="20"/>
          <w:lang w:val="en-US"/>
        </w:rPr>
        <w:t xml:space="preserve">. 2.1.250-251 </w:t>
      </w:r>
      <w:r w:rsidRPr="00B15395">
        <w:rPr>
          <w:rFonts w:cs="Times New Roman"/>
          <w:i/>
          <w:iCs/>
          <w:sz w:val="20"/>
          <w:szCs w:val="20"/>
          <w:lang w:val="en-US"/>
        </w:rPr>
        <w:t>sermones … / repentis per humum</w:t>
      </w:r>
      <w:r w:rsidRPr="00B15395">
        <w:rPr>
          <w:rFonts w:cs="Times New Roman"/>
          <w:sz w:val="20"/>
          <w:szCs w:val="20"/>
          <w:lang w:val="en-US"/>
        </w:rPr>
        <w:t xml:space="preserve"> “speeches which fly low”); and in Hor. </w:t>
      </w:r>
      <w:r w:rsidRPr="00B15395">
        <w:rPr>
          <w:rFonts w:cs="Times New Roman"/>
          <w:i/>
          <w:iCs/>
          <w:sz w:val="20"/>
          <w:szCs w:val="20"/>
          <w:lang w:val="en-US"/>
        </w:rPr>
        <w:t xml:space="preserve">Ars </w:t>
      </w:r>
      <w:r w:rsidRPr="00B15395">
        <w:rPr>
          <w:rFonts w:cs="Times New Roman"/>
          <w:sz w:val="20"/>
          <w:szCs w:val="20"/>
          <w:lang w:val="en-US"/>
        </w:rPr>
        <w:t xml:space="preserve">94-95 </w:t>
      </w:r>
      <w:r w:rsidRPr="00B15395">
        <w:rPr>
          <w:rFonts w:cs="Times New Roman"/>
          <w:i/>
          <w:iCs/>
          <w:sz w:val="20"/>
          <w:szCs w:val="20"/>
          <w:lang w:val="en-US"/>
        </w:rPr>
        <w:t>et tragicus plerumque dolet sermone pedestri</w:t>
      </w:r>
      <w:r w:rsidRPr="00B15395">
        <w:rPr>
          <w:rFonts w:cs="Times New Roman"/>
          <w:sz w:val="20"/>
          <w:szCs w:val="20"/>
          <w:lang w:val="en-US"/>
        </w:rPr>
        <w:t xml:space="preserve"> “and sometimes also the tragic poet grieves in humble style,” while ususally </w:t>
      </w:r>
      <w:r w:rsidRPr="00B15395">
        <w:rPr>
          <w:rFonts w:cs="Times New Roman"/>
          <w:i/>
          <w:iCs/>
          <w:sz w:val="20"/>
          <w:szCs w:val="20"/>
          <w:lang w:val="en-US"/>
        </w:rPr>
        <w:t>pedestri</w:t>
      </w:r>
      <w:r w:rsidRPr="00B15395">
        <w:rPr>
          <w:rFonts w:cs="Times New Roman"/>
          <w:sz w:val="20"/>
          <w:szCs w:val="20"/>
          <w:lang w:val="en-US"/>
        </w:rPr>
        <w:t xml:space="preserve"> indicates a language more suitable for comedy. </w:t>
      </w:r>
    </w:p>
  </w:footnote>
  <w:footnote w:id="477">
    <w:p w14:paraId="2CC7C9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Harder 2012 II:.866.</w:t>
      </w:r>
    </w:p>
  </w:footnote>
  <w:footnote w:id="478">
    <w:p w14:paraId="2233A451" w14:textId="5149A016" w:rsidR="00D808B7" w:rsidRPr="00B15395" w:rsidRDefault="00D808B7" w:rsidP="00B15395">
      <w:pPr>
        <w:pStyle w:val="FootnoteText"/>
        <w:tabs>
          <w:tab w:val="clear" w:pos="425"/>
          <w:tab w:val="left" w:pos="284"/>
        </w:tabs>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 xml:space="preserve">   Cf. Acosta-Hughes 2002: 4.</w:t>
      </w:r>
    </w:p>
  </w:footnote>
  <w:footnote w:id="479">
    <w:p w14:paraId="078A389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Clayman 1988: 280. </w:t>
      </w:r>
    </w:p>
  </w:footnote>
  <w:footnote w:id="480">
    <w:p w14:paraId="5CA940A8" w14:textId="1425EF5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Harder 2012 II: 869.</w:t>
      </w:r>
    </w:p>
  </w:footnote>
  <w:footnote w:id="481">
    <w:p w14:paraId="5770FCA2" w14:textId="7629F7BF" w:rsidR="00D808B7" w:rsidRPr="00B15395" w:rsidRDefault="00D808B7" w:rsidP="00B15395">
      <w:pPr>
        <w:tabs>
          <w:tab w:val="left" w:pos="284"/>
        </w:tabs>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 xml:space="preserve"> </w:t>
      </w:r>
      <w:r w:rsidRPr="00B15395">
        <w:rPr>
          <w:rFonts w:cs="Times New Roman"/>
          <w:sz w:val="20"/>
          <w:szCs w:val="20"/>
          <w:lang w:val="en-US"/>
        </w:rPr>
        <w:tab/>
        <w:t xml:space="preserve">Book 1 of Philodemus’ </w:t>
      </w:r>
      <w:r w:rsidRPr="00B15395">
        <w:rPr>
          <w:rFonts w:cs="Times New Roman"/>
          <w:i/>
          <w:iCs/>
          <w:sz w:val="20"/>
          <w:szCs w:val="20"/>
          <w:lang w:val="en-US"/>
        </w:rPr>
        <w:t>On Poems</w:t>
      </w:r>
      <w:r w:rsidRPr="00B15395">
        <w:rPr>
          <w:rFonts w:cs="Times New Roman"/>
          <w:sz w:val="20"/>
          <w:szCs w:val="20"/>
          <w:lang w:val="en-US"/>
        </w:rPr>
        <w:t xml:space="preserve"> was edited by Janko (2000), Book 2 by Mangoni (1993). For the poetics of Philodemus and the scholars he criticizes, cf. Armstrong 1995: 210-232; Asmis 1990: 147-201; 1991: 1-45; 1992a: 395-415; 1995: 148-177; 2004: 5-27; Janko 1991: 5-64; Obbink 2005: 18-42; Pace 1995: 111-190; Rispoli 2005: 71-81; Sider 1995: 35-41.</w:t>
      </w:r>
    </w:p>
  </w:footnote>
  <w:footnote w:id="482">
    <w:p w14:paraId="2498B92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Fantuzzi and Hunter 2004: 449-461; Harrison 2007: 2-10.</w:t>
      </w:r>
    </w:p>
  </w:footnote>
  <w:footnote w:id="483">
    <w:p w14:paraId="1202FE8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Janko 1991: 5-64.</w:t>
      </w:r>
    </w:p>
  </w:footnote>
  <w:footnote w:id="484">
    <w:p w14:paraId="17EA7AB3" w14:textId="19AE23D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Philodemus’ interest in the nature of literary genres, see Asmis 1992b: 206-231; Obbink 1995: 208 n. 62.</w:t>
      </w:r>
    </w:p>
  </w:footnote>
  <w:footnote w:id="485">
    <w:p w14:paraId="1971E4B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Greenberg 1955: 125-129, 175-176; Janko 1991: 5-64; 1995: 84; Armstrong 1995: 217.</w:t>
      </w:r>
    </w:p>
  </w:footnote>
  <w:footnote w:id="486">
    <w:p w14:paraId="4160297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Gomperz 1909: 1-7.</w:t>
      </w:r>
    </w:p>
  </w:footnote>
  <w:footnote w:id="487">
    <w:p w14:paraId="21233357"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Greenberg 1955: 129; Janko 1991: 25; Hammerstaedt 1997: 109.</w:t>
      </w:r>
    </w:p>
  </w:footnote>
  <w:footnote w:id="488">
    <w:p w14:paraId="5E754F2B"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Janko 1991: 5-64.</w:t>
      </w:r>
    </w:p>
  </w:footnote>
  <w:footnote w:id="489">
    <w:p w14:paraId="556B182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passage is lacunose, but it seems that Philodemus refutes the strong contraposition between comedy and iambs on one side and tragedy and epos on the other based on object of representation (μιμεῖσθαι). To exemplify his statement, Philodemus mentions Archilochus and Aristophanes as representatives respectively of iambic poetry and comedy, as well as Homer and Sophocles are their counterpart, since they are the representatives respectively of epic poetry and tragedy. For textual notes and English translation, cf. Janko 1991: 13.</w:t>
      </w:r>
    </w:p>
  </w:footnote>
  <w:footnote w:id="490">
    <w:p w14:paraId="088ABA2F" w14:textId="316654D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Hammerstaedt 1997: 110; Janko 1991: 25. The text of </w:t>
      </w:r>
      <w:r w:rsidRPr="00B15395">
        <w:rPr>
          <w:rFonts w:cs="Times New Roman"/>
          <w:i/>
          <w:iCs/>
          <w:sz w:val="20"/>
          <w:szCs w:val="20"/>
          <w:lang w:val="en-US"/>
        </w:rPr>
        <w:t>On Poems</w:t>
      </w:r>
      <w:r w:rsidRPr="00B15395">
        <w:rPr>
          <w:rFonts w:cs="Times New Roman"/>
          <w:sz w:val="20"/>
          <w:szCs w:val="20"/>
          <w:lang w:val="en-US"/>
        </w:rPr>
        <w:t xml:space="preserve"> 4 has been published by Janko 1991 and partially by Hammerstaedt 1997. The two sholars differ as to whether Philodemus asserted or denied that Archilochus and Aristophanes represented (Janko 1991: 13, 21) or not (Hammerstaedt 1997: 106) more human actions(ἀνθρωπικωτέρας). </w:t>
      </w:r>
    </w:p>
  </w:footnote>
  <w:footnote w:id="491">
    <w:p w14:paraId="6450169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Asmis 1995b: 172-173. </w:t>
      </w:r>
    </w:p>
  </w:footnote>
  <w:footnote w:id="492">
    <w:p w14:paraId="6F7FD52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Asmis 1992a: 162-163.</w:t>
      </w:r>
    </w:p>
  </w:footnote>
  <w:footnote w:id="493">
    <w:p w14:paraId="6AEBEC5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Asmis 1992a: 162-169.</w:t>
      </w:r>
    </w:p>
  </w:footnote>
  <w:footnote w:id="494">
    <w:p w14:paraId="4840D95C" w14:textId="7C6C870C"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Trans. Asmis 1992a: 162; final words after “extends” trans. Rotstein 2010: 140.</w:t>
      </w:r>
    </w:p>
  </w:footnote>
  <w:footnote w:id="495">
    <w:p w14:paraId="41F32068" w14:textId="7F3992A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On the notion of θέματα, “conventions,” which may be an equivalent to genre, see Fantuzzi and Hunter 2004: 458.</w:t>
      </w:r>
    </w:p>
  </w:footnote>
  <w:footnote w:id="496">
    <w:p w14:paraId="272EFF5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Asmis 1992a: 168; Fantuzzi and Hunter 2004: 459.</w:t>
      </w:r>
    </w:p>
  </w:footnote>
  <w:footnote w:id="497">
    <w:p w14:paraId="5107547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Fantuzzi and Hunter 2004: 459.</w:t>
      </w:r>
    </w:p>
  </w:footnote>
  <w:footnote w:id="498">
    <w:p w14:paraId="7D500DCD" w14:textId="28A4B6AF"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Degani 1984: 189 says “infine lo scanzonato impiego degli altisonanti, aulici patronimici di tradizione epica, che conferiscono a squallidi personaggi … un’investitura paradossalmente, ironicamente nomiliare … Sarà a tal proposito opportune soffermarci nel sorprendente e singolarissimo Μαιαδεύς, la cui valenza comico-parodico sembra sia fin qui puntualmente sfuggita agli interpreti di Ipponatte.” </w:t>
      </w:r>
    </w:p>
  </w:footnote>
  <w:footnote w:id="499">
    <w:p w14:paraId="53D7B6F3" w14:textId="4F15ECD5"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 xml:space="preserve">The force of the diminutives for tunic, sandals and shoes minimizes their value for humorous effect. </w:t>
      </w:r>
    </w:p>
  </w:footnote>
  <w:footnote w:id="500">
    <w:p w14:paraId="15927992" w14:textId="0B8BF184"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ab/>
        <w:t xml:space="preserve">Variously interpreted. Perhaps it refers to the other side, namely the other scale pan of the balance. In Tzetzes’ text the phrase is glossed with </w:t>
      </w:r>
      <w:r w:rsidRPr="00B15395">
        <w:rPr>
          <w:rFonts w:cs="Times New Roman"/>
          <w:szCs w:val="20"/>
          <w:lang w:val="el-GR"/>
        </w:rPr>
        <w:t>τοῦ</w:t>
      </w:r>
      <w:r w:rsidRPr="00B15395">
        <w:rPr>
          <w:rFonts w:cs="Times New Roman"/>
          <w:szCs w:val="20"/>
          <w:lang w:val="en-US"/>
        </w:rPr>
        <w:t xml:space="preserve"> </w:t>
      </w:r>
      <w:r w:rsidRPr="00B15395">
        <w:rPr>
          <w:rFonts w:cs="Times New Roman"/>
          <w:szCs w:val="20"/>
          <w:lang w:val="el-GR"/>
        </w:rPr>
        <w:t>νερτέρου</w:t>
      </w:r>
      <w:r w:rsidRPr="00B15395">
        <w:rPr>
          <w:rFonts w:cs="Times New Roman"/>
          <w:szCs w:val="20"/>
          <w:lang w:val="en-US"/>
        </w:rPr>
        <w:t xml:space="preserve"> </w:t>
      </w:r>
      <w:r w:rsidRPr="00B15395">
        <w:rPr>
          <w:rFonts w:cs="Times New Roman"/>
          <w:szCs w:val="20"/>
          <w:lang w:val="el-GR"/>
        </w:rPr>
        <w:t>μέρους</w:t>
      </w:r>
      <w:r w:rsidRPr="00B15395">
        <w:rPr>
          <w:rFonts w:cs="Times New Roman"/>
          <w:szCs w:val="20"/>
          <w:lang w:val="en-US"/>
        </w:rPr>
        <w:t xml:space="preserve"> </w:t>
      </w:r>
      <w:r w:rsidRPr="00B15395">
        <w:rPr>
          <w:rFonts w:cs="Times New Roman"/>
          <w:szCs w:val="20"/>
        </w:rPr>
        <w:t xml:space="preserve">“the lower part” (of the scales?). If this is correct, Hipponax is in effect asking that his accounts is balanced. I actually adopt Capra’s interpretation according to which Hipponax is referring to the monetary value of the objects he asked to Hermes in order to have an equal value on both sides of the scale. </w:t>
      </w:r>
    </w:p>
  </w:footnote>
  <w:footnote w:id="501">
    <w:p w14:paraId="2438D0DB" w14:textId="4600866D"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Degani 1984: 217, n. 96. The hymnic features, and especially the allusion to the opening lines of the Homeric </w:t>
      </w:r>
      <w:r w:rsidRPr="00B15395">
        <w:rPr>
          <w:rFonts w:cs="Times New Roman"/>
          <w:i/>
          <w:iCs/>
          <w:sz w:val="20"/>
          <w:szCs w:val="20"/>
          <w:lang w:val="en-US"/>
        </w:rPr>
        <w:t>Hymn</w:t>
      </w:r>
      <w:r w:rsidRPr="00B15395">
        <w:rPr>
          <w:rFonts w:cs="Times New Roman"/>
          <w:sz w:val="20"/>
          <w:szCs w:val="20"/>
          <w:lang w:val="en-US"/>
        </w:rPr>
        <w:t xml:space="preserve"> to Hermes have also another aspect here, given the role of Hermes in iambic poetry and his importance to iambic poets, and the nature of the hymn itself. For in a sense the </w:t>
      </w:r>
      <w:r w:rsidRPr="00B15395">
        <w:rPr>
          <w:rFonts w:cs="Times New Roman"/>
          <w:i/>
          <w:iCs/>
          <w:sz w:val="20"/>
          <w:szCs w:val="20"/>
          <w:lang w:val="en-US"/>
        </w:rPr>
        <w:t>Hymn to Hermes</w:t>
      </w:r>
      <w:r w:rsidRPr="00B15395">
        <w:rPr>
          <w:rFonts w:cs="Times New Roman"/>
          <w:sz w:val="20"/>
          <w:szCs w:val="20"/>
          <w:lang w:val="en-US"/>
        </w:rPr>
        <w:t>, with its tale of theft, cleverness, and laughter told in epic / hymnic language and metre, already contains something of a juxtaposition of genres. The importance of Hermes to iambic poets, and especially to Hipponax, renders this contrast of high and low in the Hipponax fragment appropriate. The poor, shivering poet has also his deity, who is a source, rather than of inspiration alone, of more immediate, physical succor. Poets of all genres anticipate material benefit (cf. Svenbro 1976: 173-186), but the material benefits that the choliambic poet seeks are of a “baser” nature, and Hipponax calls attention to their unelevated nature.</w:t>
      </w:r>
    </w:p>
  </w:footnote>
  <w:footnote w:id="502">
    <w:p w14:paraId="32B12405" w14:textId="36835A21"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Some choliambic poems of Catullus show the same combination: low metrical form and complex and elevated message (cf. Cat. 8; 60, where Catullus use</w:t>
      </w:r>
      <w:r>
        <w:rPr>
          <w:rFonts w:cs="Times New Roman"/>
          <w:sz w:val="20"/>
          <w:szCs w:val="20"/>
          <w:lang w:val="en-US"/>
        </w:rPr>
        <w:t>s</w:t>
      </w:r>
      <w:r w:rsidRPr="00B15395">
        <w:rPr>
          <w:rFonts w:cs="Times New Roman"/>
          <w:sz w:val="20"/>
          <w:szCs w:val="20"/>
          <w:lang w:val="en-US"/>
        </w:rPr>
        <w:t xml:space="preserve"> the choliambic metre for messages which have a serious </w:t>
      </w:r>
      <w:r>
        <w:rPr>
          <w:rFonts w:cs="Times New Roman"/>
          <w:sz w:val="20"/>
          <w:szCs w:val="20"/>
          <w:lang w:val="en-US"/>
        </w:rPr>
        <w:t>aspect</w:t>
      </w:r>
      <w:r w:rsidRPr="00B15395">
        <w:rPr>
          <w:rFonts w:cs="Times New Roman"/>
          <w:sz w:val="20"/>
          <w:szCs w:val="20"/>
          <w:lang w:val="en-US"/>
        </w:rPr>
        <w:t xml:space="preserve">). This attitude may reflect the Hellenistic conceptualization of literary genre, which differs from the hierarchical established by Aristotle, as shown above. </w:t>
      </w:r>
    </w:p>
  </w:footnote>
  <w:footnote w:id="503">
    <w:p w14:paraId="295D8071" w14:textId="5907397E"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Cf. Archil. fr. 324.1 W καλλίνικος ὁ τριπλόος κεχλαδώς “the triumphal song that rings out thrice.”</w:t>
      </w:r>
    </w:p>
  </w:footnote>
  <w:footnote w:id="504">
    <w:p w14:paraId="5728185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Nagy 1976: 191 (= Nagy 1979: 222) views these opposing types of praise and blame poetry as the two genres that represent an essential foundation of archaic Greece and its poetics. Cf. also Cingano 1995: 385; Gentili 2006: 107-114.</w:t>
      </w:r>
    </w:p>
  </w:footnote>
  <w:footnote w:id="505">
    <w:p w14:paraId="2F191CE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Hauvette 1905: 97-112.</w:t>
      </w:r>
    </w:p>
  </w:footnote>
  <w:footnote w:id="506">
    <w:p w14:paraId="7177456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Alexandrou 2016: 211.</w:t>
      </w:r>
    </w:p>
  </w:footnote>
  <w:footnote w:id="507">
    <w:p w14:paraId="2798476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Bullock and Toribio 2004: 91-93; Gardner-Chloros 2009b: 191-193; Muysken 2000: 221-249.</w:t>
      </w:r>
    </w:p>
  </w:footnote>
  <w:footnote w:id="508">
    <w:p w14:paraId="3DEE869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Sebba 2012: 1-26.</w:t>
      </w:r>
    </w:p>
  </w:footnote>
  <w:footnote w:id="509">
    <w:p w14:paraId="02AE519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Rudin 1996: 14. </w:t>
      </w:r>
    </w:p>
  </w:footnote>
  <w:footnote w:id="510">
    <w:p w14:paraId="747D7FB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Dionisotti and Grayson 1949: 92-98.</w:t>
      </w:r>
    </w:p>
  </w:footnote>
  <w:footnote w:id="511">
    <w:p w14:paraId="0D99C2F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Schendl 2000: 77-92.</w:t>
      </w:r>
    </w:p>
  </w:footnote>
  <w:footnote w:id="512">
    <w:p w14:paraId="5ED83CC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Vincent 1999/2000: 131-162.</w:t>
      </w:r>
    </w:p>
  </w:footnote>
  <w:footnote w:id="513">
    <w:p w14:paraId="28A0F5C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Callahan 2004: 113-114.</w:t>
      </w:r>
    </w:p>
  </w:footnote>
  <w:footnote w:id="514">
    <w:p w14:paraId="4202092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Traugott and Pratt 1980: 380-382.</w:t>
      </w:r>
    </w:p>
  </w:footnote>
  <w:footnote w:id="515">
    <w:p w14:paraId="6325A436"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Bernardelli 2010: 13.</w:t>
      </w:r>
    </w:p>
  </w:footnote>
  <w:footnote w:id="516">
    <w:p w14:paraId="3619884E"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Lipski 1982: 195.</w:t>
      </w:r>
    </w:p>
  </w:footnote>
  <w:footnote w:id="517">
    <w:p w14:paraId="0C8EE64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Myers-Scotton 1993: 68-70</w:t>
      </w:r>
    </w:p>
  </w:footnote>
  <w:footnote w:id="518">
    <w:p w14:paraId="61246E9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Diller 1997/1998: 506-537.</w:t>
      </w:r>
    </w:p>
  </w:footnote>
  <w:footnote w:id="519">
    <w:p w14:paraId="4DB3269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Callahan 2004: 81-98.</w:t>
      </w:r>
    </w:p>
  </w:footnote>
  <w:footnote w:id="520">
    <w:p w14:paraId="6CDC4E3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Callahan 2004: 99-120; Montes-Acalá 2007: 169; also Gumperz 1982: 59-99; Poplack 1980: 581-616 (for different types of code-switching in speech).</w:t>
      </w:r>
    </w:p>
  </w:footnote>
  <w:footnote w:id="521">
    <w:p w14:paraId="5E7BC551" w14:textId="0B3C550B"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Gerber 1999: 113. The metre is uncertain (many do not assume a lacuna and adopting Bergk’s emendation treat the metre as a combination of iambic trimeter and dimeter), and a few argue for two separate fragments (cf. Bossi 1990: 132-135; Luppe 1995: 247-249). </w:t>
      </w:r>
    </w:p>
  </w:footnote>
  <w:footnote w:id="522">
    <w:p w14:paraId="4D4D8C7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The interpretation of the fragment is much disputed. For a full discussion, cf. Bossi 1990: 135-137.</w:t>
      </w:r>
    </w:p>
  </w:footnote>
  <w:footnote w:id="523">
    <w:p w14:paraId="33129B7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Possibly imagery for a critical situation, cf. Gerber 1999: 225.</w:t>
      </w:r>
    </w:p>
  </w:footnote>
  <w:footnote w:id="524">
    <w:p w14:paraId="5469DCC1" w14:textId="3B75921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Chantraine 1942: 35 “ces contractions apparaissent comme ioniennes et relativements récentes […] elements de le parler de tous le jours.”</w:t>
      </w:r>
    </w:p>
  </w:footnote>
  <w:footnote w:id="525">
    <w:p w14:paraId="46F85D2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Diels 1910: 993-1002; West 1969: 113-134. </w:t>
      </w:r>
    </w:p>
  </w:footnote>
  <w:footnote w:id="526">
    <w:p w14:paraId="411B39D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West 1969: 118-120. Diels 1910: 993-1002 first compared the two texts. A translation of the text of the Babylonian tale may be found in Lambert 1960: 150 ff.</w:t>
      </w:r>
    </w:p>
  </w:footnote>
  <w:footnote w:id="527">
    <w:p w14:paraId="4D90088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Modern interpretations of </w:t>
      </w:r>
      <w:r w:rsidRPr="00B15395">
        <w:rPr>
          <w:rFonts w:cs="Times New Roman"/>
          <w:i/>
          <w:iCs/>
          <w:sz w:val="20"/>
          <w:szCs w:val="20"/>
          <w:lang w:val="en-US"/>
        </w:rPr>
        <w:t>Iambus</w:t>
      </w:r>
      <w:r w:rsidRPr="00B15395">
        <w:rPr>
          <w:rFonts w:cs="Times New Roman"/>
          <w:sz w:val="20"/>
          <w:szCs w:val="20"/>
          <w:lang w:val="en-US"/>
        </w:rPr>
        <w:t xml:space="preserve"> 4 have turned, rightly, to the agon of Aristophanes’ </w:t>
      </w:r>
      <w:r w:rsidRPr="00B15395">
        <w:rPr>
          <w:rFonts w:cs="Times New Roman"/>
          <w:i/>
          <w:iCs/>
          <w:sz w:val="20"/>
          <w:szCs w:val="20"/>
          <w:lang w:val="en-US"/>
        </w:rPr>
        <w:t>Ranae</w:t>
      </w:r>
      <w:r w:rsidRPr="00B15395">
        <w:rPr>
          <w:rFonts w:cs="Times New Roman"/>
          <w:sz w:val="20"/>
          <w:szCs w:val="20"/>
          <w:lang w:val="en-US"/>
        </w:rPr>
        <w:t xml:space="preserve">, being the stylistic debate of Aeschylus and Euripides an example of a similar dispute in earlier Greek literature. An agon more pertinent in some respects to that of </w:t>
      </w:r>
      <w:r w:rsidRPr="00B15395">
        <w:rPr>
          <w:rFonts w:cs="Times New Roman"/>
          <w:i/>
          <w:iCs/>
          <w:sz w:val="20"/>
          <w:szCs w:val="20"/>
          <w:lang w:val="en-US"/>
        </w:rPr>
        <w:t xml:space="preserve">Iambus </w:t>
      </w:r>
      <w:r w:rsidRPr="00B15395">
        <w:rPr>
          <w:rFonts w:cs="Times New Roman"/>
          <w:sz w:val="20"/>
          <w:szCs w:val="20"/>
          <w:lang w:val="en-US"/>
        </w:rPr>
        <w:t xml:space="preserve">4 is that of Tragedy and Elegy in Ovid’s </w:t>
      </w:r>
      <w:r w:rsidRPr="00B15395">
        <w:rPr>
          <w:rFonts w:cs="Times New Roman"/>
          <w:i/>
          <w:iCs/>
          <w:sz w:val="20"/>
          <w:szCs w:val="20"/>
          <w:lang w:val="en-US"/>
        </w:rPr>
        <w:t>Amores</w:t>
      </w:r>
      <w:r w:rsidRPr="00B15395">
        <w:rPr>
          <w:rFonts w:cs="Times New Roman"/>
          <w:sz w:val="20"/>
          <w:szCs w:val="20"/>
          <w:lang w:val="en-US"/>
        </w:rPr>
        <w:t xml:space="preserve"> 3.1: several features of this later poem strongly suggest that Ovid had the debate of </w:t>
      </w:r>
      <w:r w:rsidRPr="00B15395">
        <w:rPr>
          <w:rFonts w:cs="Times New Roman"/>
          <w:i/>
          <w:iCs/>
          <w:sz w:val="20"/>
          <w:szCs w:val="20"/>
          <w:lang w:val="en-US"/>
        </w:rPr>
        <w:t>Iambus</w:t>
      </w:r>
      <w:r w:rsidRPr="00B15395">
        <w:rPr>
          <w:rFonts w:cs="Times New Roman"/>
          <w:sz w:val="20"/>
          <w:szCs w:val="20"/>
          <w:lang w:val="en-US"/>
        </w:rPr>
        <w:t xml:space="preserve"> 4 in mind when he composed his work. This Roman elegiac parallel lends considerable support to interpreting the agon of </w:t>
      </w:r>
      <w:r w:rsidRPr="00B15395">
        <w:rPr>
          <w:rFonts w:cs="Times New Roman"/>
          <w:i/>
          <w:iCs/>
          <w:sz w:val="20"/>
          <w:szCs w:val="20"/>
          <w:lang w:val="en-US"/>
        </w:rPr>
        <w:t>Iambus</w:t>
      </w:r>
      <w:r w:rsidRPr="00B15395">
        <w:rPr>
          <w:rFonts w:cs="Times New Roman"/>
          <w:sz w:val="20"/>
          <w:szCs w:val="20"/>
          <w:lang w:val="en-US"/>
        </w:rPr>
        <w:t xml:space="preserve"> 4 as one of aesthetic styles. Cf. Acosta-Hughes 2002: 192 n. 64.</w:t>
      </w:r>
    </w:p>
  </w:footnote>
  <w:footnote w:id="528">
    <w:p w14:paraId="71EF4A3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191.</w:t>
      </w:r>
    </w:p>
  </w:footnote>
  <w:footnote w:id="529">
    <w:p w14:paraId="03FFD86F" w14:textId="7A8B51B9"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It is safe to assume that Callimachus, himself so much an antiquarian, had an interest in the collection of Aesopic fables assembled at Alexandria by Demetrius of Phalerum. Cf. Perry 1962: 287-346. On the relationship of Callimachus to Demetrius, Perry 1962: 311-312 observes that  “the book of Demetrius must have been the best known source and authority for Aesopic fables among the rhetoricians of the first and second centuries after Christ, as well as in the time of Callimachus, and no other collection of Aesopica in which these fables could have been found is known to us. There can be no certainty, however, concerning the provenience of these fables in any one case, since fables ascribed to Aesop’s telling were presumably reported or mentioned in passing here and there by historians, poets, and philosophers who wrote in the fourth century and in the Alexandrian age, and whose writings have not survived to us, just as they are reported in later authors, and in the works of Aristotle before the time of Demetrius. It is possible, therefore, that some of the odd fables … came from collections that we do not know, or from authors whose writings have been lost; but Demetrius is always the most probable source, because he published a collection of Aesopic fables and was widely known and respected as being among the foremost of Alexandrian scholars and collectors of cultural antiquities.”</w:t>
      </w:r>
    </w:p>
  </w:footnote>
  <w:footnote w:id="530">
    <w:p w14:paraId="3DE9201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2002: 198.</w:t>
      </w:r>
    </w:p>
  </w:footnote>
  <w:footnote w:id="531">
    <w:p w14:paraId="3380843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Alexis fr. 201.1 K-A, fr.  260.2 K-A; Ar. </w:t>
      </w:r>
      <w:r w:rsidRPr="00B15395">
        <w:rPr>
          <w:rFonts w:cs="Times New Roman"/>
          <w:i/>
          <w:iCs/>
          <w:sz w:val="20"/>
          <w:szCs w:val="20"/>
          <w:lang w:val="en-US"/>
        </w:rPr>
        <w:t>Eq</w:t>
      </w:r>
      <w:r w:rsidRPr="00B15395">
        <w:rPr>
          <w:rFonts w:cs="Times New Roman"/>
          <w:sz w:val="20"/>
          <w:szCs w:val="20"/>
          <w:lang w:val="en-US"/>
        </w:rPr>
        <w:t xml:space="preserve">. 806; </w:t>
      </w:r>
      <w:r w:rsidRPr="00B15395">
        <w:rPr>
          <w:rFonts w:cs="Times New Roman"/>
          <w:i/>
          <w:iCs/>
          <w:sz w:val="20"/>
          <w:szCs w:val="20"/>
          <w:lang w:val="en-US"/>
        </w:rPr>
        <w:t>Nu</w:t>
      </w:r>
      <w:r w:rsidRPr="00B15395">
        <w:rPr>
          <w:rFonts w:cs="Times New Roman"/>
          <w:sz w:val="20"/>
          <w:szCs w:val="20"/>
          <w:lang w:val="en-US"/>
        </w:rPr>
        <w:t>. 45, fr.408.2 K-A; fr. 938.1 K-A; Diph. fr. 87.4 K-A; Phryn. fr. 40 K-A..</w:t>
      </w:r>
    </w:p>
  </w:footnote>
  <w:footnote w:id="532">
    <w:p w14:paraId="645C3F57"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Calame 2005: 9-12.</w:t>
      </w:r>
    </w:p>
  </w:footnote>
  <w:footnote w:id="533">
    <w:p w14:paraId="55650B1F"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Greimas and Courtès 1979: 79-82, 102-6, 119-128; Manetti 1998: 61-70.</w:t>
      </w:r>
    </w:p>
  </w:footnote>
  <w:footnote w:id="534">
    <w:p w14:paraId="5FC296A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Foucault 1969: 73-104.</w:t>
      </w:r>
    </w:p>
  </w:footnote>
  <w:footnote w:id="535">
    <w:p w14:paraId="3196007A"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Genette 1983: 93-107.</w:t>
      </w:r>
    </w:p>
  </w:footnote>
  <w:footnote w:id="536">
    <w:p w14:paraId="7219EB6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Sartre 1976: 188-191.</w:t>
      </w:r>
    </w:p>
  </w:footnote>
  <w:footnote w:id="537">
    <w:p w14:paraId="2CCAE2E5"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Nagy 1996: 218-220.</w:t>
      </w:r>
    </w:p>
  </w:footnote>
  <w:footnote w:id="538">
    <w:p w14:paraId="7E6F29FA" w14:textId="0B3C1E95"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Gallavotti 1946: 17-20; Herter 1973: 216, 221-259; Lehnus 1993: 97. Some Callimachean pet topics: envy in </w:t>
      </w:r>
      <w:r w:rsidRPr="00B15395">
        <w:rPr>
          <w:rFonts w:cs="Times New Roman"/>
          <w:i/>
          <w:iCs/>
          <w:sz w:val="20"/>
          <w:szCs w:val="20"/>
          <w:lang w:val="en-US"/>
        </w:rPr>
        <w:t>Ia</w:t>
      </w:r>
      <w:r w:rsidRPr="00B15395">
        <w:rPr>
          <w:rFonts w:cs="Times New Roman"/>
          <w:i/>
          <w:iCs/>
          <w:sz w:val="20"/>
          <w:szCs w:val="20"/>
          <w:vertAlign w:val="superscript"/>
          <w:lang w:val="en-US"/>
        </w:rPr>
        <w:t>s</w:t>
      </w:r>
      <w:r w:rsidRPr="00B15395">
        <w:rPr>
          <w:rFonts w:cs="Times New Roman"/>
          <w:i/>
          <w:iCs/>
          <w:sz w:val="20"/>
          <w:szCs w:val="20"/>
          <w:lang w:val="en-US"/>
        </w:rPr>
        <w:t>.</w:t>
      </w:r>
      <w:r w:rsidRPr="00B15395">
        <w:rPr>
          <w:rFonts w:cs="Times New Roman"/>
          <w:sz w:val="20"/>
          <w:szCs w:val="20"/>
          <w:lang w:val="en-US"/>
        </w:rPr>
        <w:t xml:space="preserve">1 and 13; poverty in </w:t>
      </w:r>
      <w:r w:rsidRPr="00B15395">
        <w:rPr>
          <w:rFonts w:cs="Times New Roman"/>
          <w:i/>
          <w:iCs/>
          <w:sz w:val="20"/>
          <w:szCs w:val="20"/>
          <w:lang w:val="en-US"/>
        </w:rPr>
        <w:t>Ia</w:t>
      </w:r>
      <w:r w:rsidRPr="00B15395">
        <w:rPr>
          <w:rFonts w:cs="Times New Roman"/>
          <w:i/>
          <w:iCs/>
          <w:sz w:val="20"/>
          <w:szCs w:val="20"/>
          <w:vertAlign w:val="superscript"/>
          <w:lang w:val="en-US"/>
        </w:rPr>
        <w:t>s</w:t>
      </w:r>
      <w:r w:rsidRPr="00B15395">
        <w:rPr>
          <w:rFonts w:cs="Times New Roman"/>
          <w:i/>
          <w:iCs/>
          <w:sz w:val="20"/>
          <w:szCs w:val="20"/>
          <w:lang w:val="en-US"/>
        </w:rPr>
        <w:t xml:space="preserve">. </w:t>
      </w:r>
      <w:r w:rsidRPr="00B15395">
        <w:rPr>
          <w:rFonts w:cs="Times New Roman"/>
          <w:sz w:val="20"/>
          <w:szCs w:val="20"/>
          <w:lang w:val="en-US"/>
        </w:rPr>
        <w:t xml:space="preserve">3 and 5; αἴτια in </w:t>
      </w:r>
      <w:r w:rsidRPr="00B15395">
        <w:rPr>
          <w:rFonts w:cs="Times New Roman"/>
          <w:i/>
          <w:iCs/>
          <w:sz w:val="20"/>
          <w:szCs w:val="20"/>
          <w:lang w:val="en-US"/>
        </w:rPr>
        <w:t>Ia</w:t>
      </w:r>
      <w:r w:rsidRPr="00B15395">
        <w:rPr>
          <w:rFonts w:cs="Times New Roman"/>
          <w:i/>
          <w:iCs/>
          <w:sz w:val="20"/>
          <w:szCs w:val="20"/>
          <w:vertAlign w:val="superscript"/>
          <w:lang w:val="en-US"/>
        </w:rPr>
        <w:t>s</w:t>
      </w:r>
      <w:r w:rsidRPr="00B15395">
        <w:rPr>
          <w:rFonts w:cs="Times New Roman"/>
          <w:i/>
          <w:iCs/>
          <w:sz w:val="20"/>
          <w:szCs w:val="20"/>
          <w:lang w:val="en-US"/>
        </w:rPr>
        <w:t xml:space="preserve">. </w:t>
      </w:r>
      <w:r w:rsidRPr="00B15395">
        <w:rPr>
          <w:rFonts w:cs="Times New Roman"/>
          <w:sz w:val="20"/>
          <w:szCs w:val="20"/>
          <w:lang w:val="en-US"/>
        </w:rPr>
        <w:t xml:space="preserve">7-11. On the poet’s persona, see Gutzwiller 1998: 11-12. </w:t>
      </w:r>
    </w:p>
  </w:footnote>
  <w:footnote w:id="539">
    <w:p w14:paraId="401282DC" w14:textId="71C59640"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Rotstein 2010: 254. Pellizer 1990: 180 summarises the hypothesis: “almost all elegiac and iambic poetry from Archilochus onwards (…) finds its natural focus in the </w:t>
      </w:r>
      <w:r w:rsidRPr="00B15395">
        <w:rPr>
          <w:rFonts w:cs="Times New Roman"/>
          <w:i/>
          <w:iCs/>
          <w:sz w:val="20"/>
          <w:szCs w:val="20"/>
          <w:lang w:val="en-US"/>
        </w:rPr>
        <w:t>symposion</w:t>
      </w:r>
      <w:r w:rsidRPr="00B15395">
        <w:rPr>
          <w:rFonts w:cs="Times New Roman"/>
          <w:sz w:val="20"/>
          <w:szCs w:val="20"/>
          <w:lang w:val="en-US"/>
        </w:rPr>
        <w:t xml:space="preserve"> of the </w:t>
      </w:r>
      <w:r w:rsidRPr="00B15395">
        <w:rPr>
          <w:rFonts w:cs="Times New Roman"/>
          <w:i/>
          <w:iCs/>
          <w:sz w:val="20"/>
          <w:szCs w:val="20"/>
          <w:lang w:val="en-US"/>
        </w:rPr>
        <w:t>hetaireia</w:t>
      </w:r>
      <w:r w:rsidRPr="00B15395">
        <w:rPr>
          <w:rFonts w:cs="Times New Roman"/>
          <w:sz w:val="20"/>
          <w:szCs w:val="20"/>
          <w:lang w:val="en-US"/>
        </w:rPr>
        <w:t xml:space="preserve"> or the symposion of tyrants.” Rösler 1980: 230 qualifies this hypothesis as follows: “a general consideration of all possible social contexts and institutions compels us to see the symposion, not merely as one among many possibilities, but as the central place for the creation and performance of poetry. Strictly, this applies to the particular area of melic, elegiac, and iambic poetry which often makes direct and explicit reference to the sympotic situation.” Cf. Stehle 1997: 212-261 for the symposium as setting for the performance of poetry, with reservations about iambic poetry on p. 215 n. 11; and Aloni 2006: 87.</w:t>
      </w:r>
    </w:p>
  </w:footnote>
  <w:footnote w:id="540">
    <w:p w14:paraId="213313C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West 1974: 27.</w:t>
      </w:r>
    </w:p>
  </w:footnote>
  <w:footnote w:id="541">
    <w:p w14:paraId="3F8A9BAD"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Bartól 1992: 65. </w:t>
      </w:r>
    </w:p>
  </w:footnote>
  <w:footnote w:id="542">
    <w:p w14:paraId="4383024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Bartól 1992: 65.</w:t>
      </w:r>
    </w:p>
  </w:footnote>
  <w:footnote w:id="543">
    <w:p w14:paraId="13FB541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Kantzios 2005: 12-20.</w:t>
      </w:r>
    </w:p>
  </w:footnote>
  <w:footnote w:id="544">
    <w:p w14:paraId="2BD66262"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Carey 1986: 65.</w:t>
      </w:r>
    </w:p>
  </w:footnote>
  <w:footnote w:id="545">
    <w:p w14:paraId="2DAC78E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Acosta-Hughes and Stephens 2012: 130. Though technically the symposium takes place after the food has been consumed, most of our sources like Athenaeus and Plutarch tend to treat the symposium and banquet as interchangeable, cf. Lukinovich 1990: 263-268; P. Murray 1999: 251-263. Indeed, in Callimachus the hero or god who appears (often in disguise) is given a hospitable reception, cf. Hollis 2009: 341-357.</w:t>
      </w:r>
    </w:p>
  </w:footnote>
  <w:footnote w:id="546">
    <w:p w14:paraId="53A9759A" w14:textId="52E6DCF2"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Olson and Sens 2000: xliii-xlvi; Tecusan 1990: 238-260.</w:t>
      </w:r>
    </w:p>
  </w:footnote>
  <w:footnote w:id="547">
    <w:p w14:paraId="261EB1E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Athenaeus 196f-197a is quoting Callixinus.</w:t>
      </w:r>
    </w:p>
  </w:footnote>
  <w:footnote w:id="548">
    <w:p w14:paraId="1D0A6D9D" w14:textId="6A4652DA"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See, for example, the description of Alexander’s wedding at Susa; cf. West 1992: 373.</w:t>
      </w:r>
    </w:p>
  </w:footnote>
  <w:footnote w:id="549">
    <w:p w14:paraId="341BD07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O. Murray 1990b: 3-11.</w:t>
      </w:r>
    </w:p>
  </w:footnote>
  <w:footnote w:id="550">
    <w:p w14:paraId="2A183F91"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Bowie 1986: 15.</w:t>
      </w:r>
    </w:p>
  </w:footnote>
  <w:footnote w:id="551">
    <w:p w14:paraId="7F4B6035" w14:textId="29474954"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Dieg</w:t>
      </w:r>
      <w:r w:rsidRPr="00B15395">
        <w:rPr>
          <w:rFonts w:cs="Times New Roman"/>
          <w:sz w:val="20"/>
          <w:szCs w:val="20"/>
          <w:lang w:val="en-US"/>
        </w:rPr>
        <w:t>. 10.8-9 προτροπὴ τοῖς συμπόταις εἰς τὸ ἀγρυπνεῖν “an exhortation to the symposiasts to stay awake.”</w:t>
      </w:r>
    </w:p>
  </w:footnote>
  <w:footnote w:id="552">
    <w:p w14:paraId="09B6DCD9" w14:textId="37A51A76"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I argue that Callimachus’ “I” is not a private one, against Kerkhecker 1999: 294.</w:t>
      </w:r>
    </w:p>
  </w:footnote>
  <w:footnote w:id="553">
    <w:p w14:paraId="75AF206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example, the philosopher Menedemus of Eretria, who is mentioned in a letter purportedly written by Aristeas to Philocrates, probably in the second century BC. He was part of a symposium presided over by the king Ptolemy II where the participants exchange views on subjects like kingship. This same Menedemus was targeted by Lycophron in a satyr play (Diog. Laert. 6.102-105) in which he described dinner parties that included poets and scholars. Menedemus, finally, is mentioned in an epigram of Posidippus (104 A-B). Cf. Acosta-Hughes and Stephens 2012: 89; Bagnall 2002: 351-352.</w:t>
      </w:r>
    </w:p>
  </w:footnote>
  <w:footnote w:id="554">
    <w:p w14:paraId="781F21F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For a discussion of the potential addressee (whether Apollonius or Cleon) and whether the students are those of the speaker or the schoolteacher, cf. Acosta-Hughes 2002: 255-256.</w:t>
      </w:r>
    </w:p>
  </w:footnote>
  <w:footnote w:id="555">
    <w:p w14:paraId="5D67C398"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1988: 157-179.</w:t>
      </w:r>
    </w:p>
  </w:footnote>
  <w:footnote w:id="556">
    <w:p w14:paraId="70C7929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Bartol 1992a: 65-71; 1992b: 269-276.</w:t>
      </w:r>
    </w:p>
  </w:footnote>
  <w:footnote w:id="557">
    <w:p w14:paraId="334F3B57"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Bowie 1997: 105.</w:t>
      </w:r>
    </w:p>
  </w:footnote>
  <w:footnote w:id="558">
    <w:p w14:paraId="01A450F3"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Rotstein 2010: 151-166.</w:t>
      </w:r>
    </w:p>
  </w:footnote>
  <w:footnote w:id="559">
    <w:p w14:paraId="17C233AD"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Ed. Jaekel 1964; cf. Degani 1988: 157-179.</w:t>
      </w:r>
    </w:p>
  </w:footnote>
  <w:footnote w:id="560">
    <w:p w14:paraId="10452C93"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Proem</w:t>
      </w:r>
      <w:r w:rsidRPr="00B15395">
        <w:rPr>
          <w:rFonts w:cs="Times New Roman"/>
          <w:sz w:val="20"/>
          <w:szCs w:val="20"/>
          <w:lang w:val="en-US"/>
        </w:rPr>
        <w:t xml:space="preserve">. II 13 Luzzatto-La Penna 1998; Luzzatto 1985: 113-114 (where </w:t>
      </w:r>
      <w:r w:rsidRPr="00B15395">
        <w:rPr>
          <w:rFonts w:cs="Times New Roman"/>
          <w:i/>
          <w:iCs/>
          <w:sz w:val="20"/>
          <w:szCs w:val="20"/>
          <w:lang w:val="en-US"/>
        </w:rPr>
        <w:t>Proem</w:t>
      </w:r>
      <w:r w:rsidRPr="00B15395">
        <w:rPr>
          <w:rFonts w:cs="Times New Roman"/>
          <w:sz w:val="20"/>
          <w:szCs w:val="20"/>
          <w:lang w:val="en-US"/>
        </w:rPr>
        <w:t>. I 19 is clearly explained in a metrical-prosodic sense).</w:t>
      </w:r>
    </w:p>
  </w:footnote>
  <w:footnote w:id="561">
    <w:p w14:paraId="32EBB27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Rotstein 2010: 283.</w:t>
      </w:r>
    </w:p>
  </w:footnote>
  <w:footnote w:id="562">
    <w:p w14:paraId="17294855" w14:textId="77777777" w:rsidR="00D808B7" w:rsidRPr="00B15395" w:rsidRDefault="00D808B7" w:rsidP="00B15395">
      <w:pPr>
        <w:spacing w:line="240" w:lineRule="auto"/>
        <w:ind w:left="284" w:hanging="284"/>
        <w:rPr>
          <w:rFonts w:cs="Times New Roman"/>
          <w:sz w:val="20"/>
          <w:szCs w:val="20"/>
          <w:lang w:val="nl-NL"/>
        </w:rPr>
      </w:pPr>
      <w:r w:rsidRPr="00B15395">
        <w:rPr>
          <w:rStyle w:val="FootnoteReference"/>
          <w:rFonts w:cs="Times New Roman"/>
          <w:sz w:val="20"/>
          <w:szCs w:val="20"/>
          <w:lang w:val="en-US"/>
        </w:rPr>
        <w:footnoteRef/>
      </w:r>
      <w:r w:rsidRPr="00B15395">
        <w:rPr>
          <w:rFonts w:cs="Times New Roman"/>
          <w:sz w:val="20"/>
          <w:szCs w:val="20"/>
          <w:lang w:val="nl-NL"/>
        </w:rPr>
        <w:tab/>
        <w:t>Cf. Rotstein 2010: 283.</w:t>
      </w:r>
    </w:p>
  </w:footnote>
  <w:footnote w:id="563">
    <w:p w14:paraId="760349C9"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Call. fr. 380; Degani 1984: 173-176; Archil. frs. 384.39; 544; Hermipp. </w:t>
      </w:r>
      <w:r w:rsidRPr="00B15395">
        <w:rPr>
          <w:rFonts w:cs="Times New Roman"/>
          <w:i/>
          <w:iCs/>
          <w:sz w:val="20"/>
          <w:szCs w:val="20"/>
          <w:lang w:val="en-US"/>
        </w:rPr>
        <w:t>τοῦ Καλλιμαχείου</w:t>
      </w:r>
      <w:r w:rsidRPr="00B15395">
        <w:rPr>
          <w:rFonts w:cs="Times New Roman"/>
          <w:sz w:val="20"/>
          <w:szCs w:val="20"/>
          <w:lang w:val="en-US"/>
        </w:rPr>
        <w:t xml:space="preserve"> fr. 63 Wehrli. The only exception is Theoc. </w:t>
      </w:r>
      <w:r w:rsidRPr="00B15395">
        <w:rPr>
          <w:rFonts w:cs="Times New Roman"/>
          <w:i/>
          <w:iCs/>
          <w:sz w:val="20"/>
          <w:szCs w:val="20"/>
          <w:lang w:val="en-US"/>
        </w:rPr>
        <w:t>Ep</w:t>
      </w:r>
      <w:r w:rsidRPr="00B15395">
        <w:rPr>
          <w:rFonts w:cs="Times New Roman"/>
          <w:sz w:val="20"/>
          <w:szCs w:val="20"/>
          <w:lang w:val="en-US"/>
        </w:rPr>
        <w:t xml:space="preserve">. 21; cf. Bing 1988. </w:t>
      </w:r>
    </w:p>
  </w:footnote>
  <w:footnote w:id="564">
    <w:p w14:paraId="7207F7DB"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Testimonia</w:t>
      </w:r>
      <w:r w:rsidRPr="00B15395">
        <w:rPr>
          <w:rFonts w:cs="Times New Roman"/>
          <w:sz w:val="20"/>
          <w:szCs w:val="20"/>
          <w:lang w:val="en-US"/>
        </w:rPr>
        <w:t xml:space="preserve"> 15-17 Degani; Bühler 1964: 227; Degani 1984: 50-51, 178-184. For Hipponax as inventor of parody: cf. Hippon. fr. 126 D.; Pfeiffer 1968: 249; Degani  1973/74: 141-145.</w:t>
      </w:r>
    </w:p>
  </w:footnote>
  <w:footnote w:id="565">
    <w:p w14:paraId="36BC72B0"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w:t>
      </w:r>
      <w:r w:rsidRPr="00B15395">
        <w:rPr>
          <w:rFonts w:cs="Times New Roman"/>
          <w:i/>
          <w:iCs/>
          <w:sz w:val="20"/>
          <w:szCs w:val="20"/>
          <w:lang w:val="en-US"/>
        </w:rPr>
        <w:t>Testimonia</w:t>
      </w:r>
      <w:r w:rsidRPr="00B15395">
        <w:rPr>
          <w:rFonts w:cs="Times New Roman"/>
          <w:sz w:val="20"/>
          <w:szCs w:val="20"/>
          <w:lang w:val="en-US"/>
        </w:rPr>
        <w:t xml:space="preserve"> 7-19 Degani; Call. </w:t>
      </w:r>
      <w:r w:rsidRPr="00B15395">
        <w:rPr>
          <w:rFonts w:cs="Times New Roman"/>
          <w:i/>
          <w:iCs/>
          <w:sz w:val="20"/>
          <w:szCs w:val="20"/>
          <w:lang w:val="en-US"/>
        </w:rPr>
        <w:t>Ia.</w:t>
      </w:r>
      <w:r w:rsidRPr="00B15395">
        <w:rPr>
          <w:rFonts w:cs="Times New Roman"/>
          <w:sz w:val="20"/>
          <w:szCs w:val="20"/>
          <w:lang w:val="en-US"/>
        </w:rPr>
        <w:t xml:space="preserve"> 1.1-4; West 1974: 26. The only exception is Theocritus (</w:t>
      </w:r>
      <w:r w:rsidRPr="00B15395">
        <w:rPr>
          <w:rFonts w:cs="Times New Roman"/>
          <w:i/>
          <w:iCs/>
          <w:sz w:val="20"/>
          <w:szCs w:val="20"/>
          <w:lang w:val="en-US"/>
        </w:rPr>
        <w:t>Ep</w:t>
      </w:r>
      <w:r w:rsidRPr="00B15395">
        <w:rPr>
          <w:rFonts w:cs="Times New Roman"/>
          <w:sz w:val="20"/>
          <w:szCs w:val="20"/>
          <w:lang w:val="en-US"/>
        </w:rPr>
        <w:t xml:space="preserve">. 19): cf. Bing 1988. </w:t>
      </w:r>
    </w:p>
  </w:footnote>
  <w:footnote w:id="566">
    <w:p w14:paraId="437D2D2C"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Cf. Rhinth. fr. 10 Kaibel (= </w:t>
      </w:r>
      <w:r w:rsidRPr="00B15395">
        <w:rPr>
          <w:rFonts w:cs="Times New Roman"/>
          <w:i/>
          <w:iCs/>
          <w:sz w:val="20"/>
          <w:szCs w:val="20"/>
          <w:lang w:val="en-US"/>
        </w:rPr>
        <w:t>T</w:t>
      </w:r>
      <w:r w:rsidRPr="00B15395">
        <w:rPr>
          <w:rFonts w:cs="Times New Roman"/>
          <w:sz w:val="20"/>
          <w:szCs w:val="20"/>
          <w:lang w:val="en-US"/>
        </w:rPr>
        <w:t xml:space="preserve"> 45 Degani); Bühler 1964: 246-247. </w:t>
      </w:r>
    </w:p>
  </w:footnote>
  <w:footnote w:id="567">
    <w:p w14:paraId="343ADBE8" w14:textId="03DCB9F3"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 xml:space="preserve">The only surviving fragment of Diphilus’ </w:t>
      </w:r>
      <w:r w:rsidRPr="00B15395">
        <w:rPr>
          <w:rFonts w:cs="Times New Roman"/>
          <w:i/>
          <w:iCs/>
          <w:sz w:val="20"/>
          <w:szCs w:val="20"/>
          <w:lang w:val="en-US"/>
        </w:rPr>
        <w:t>Sappho</w:t>
      </w:r>
      <w:r w:rsidRPr="00B15395">
        <w:rPr>
          <w:rFonts w:cs="Times New Roman"/>
          <w:sz w:val="20"/>
          <w:szCs w:val="20"/>
          <w:lang w:val="en-US"/>
        </w:rPr>
        <w:t xml:space="preserve"> is transmitted by Athenaeus (486f = Diphil. fr. 70 </w:t>
      </w:r>
      <w:r w:rsidRPr="00B15395">
        <w:rPr>
          <w:rFonts w:cs="Times New Roman"/>
          <w:i/>
          <w:iCs/>
          <w:sz w:val="20"/>
          <w:szCs w:val="20"/>
          <w:lang w:val="en-US"/>
        </w:rPr>
        <w:t>PCG</w:t>
      </w:r>
      <w:r w:rsidRPr="00B15395">
        <w:rPr>
          <w:rFonts w:cs="Times New Roman"/>
          <w:sz w:val="20"/>
          <w:szCs w:val="20"/>
          <w:lang w:val="en-US"/>
        </w:rPr>
        <w:t xml:space="preserve"> V = II fr. 564 K</w:t>
      </w:r>
      <w:hyperlink r:id="rId6" w:history="1">
        <w:r w:rsidRPr="00B15395">
          <w:rPr>
            <w:rFonts w:cs="Times New Roman"/>
            <w:sz w:val="20"/>
            <w:szCs w:val="20"/>
            <w:lang w:val="en-US"/>
          </w:rPr>
          <w:t>)</w:t>
        </w:r>
      </w:hyperlink>
      <w:r w:rsidRPr="00B15395">
        <w:rPr>
          <w:rFonts w:cs="Times New Roman"/>
          <w:sz w:val="20"/>
          <w:szCs w:val="20"/>
          <w:lang w:val="en-US"/>
        </w:rPr>
        <w:t xml:space="preserve">: Ἀρχίλοχε, δέξαι τήνδε τὴν μετανιπτρίδα / μεστὴν Διὸς σωτῆρος, ἀγαθοῦ δαίμονος “Archilochus, drink from this cup which is full of Zeus the Savior, good power.” </w:t>
      </w:r>
      <w:r w:rsidRPr="00B15395">
        <w:rPr>
          <w:rFonts w:cs="Times New Roman"/>
          <w:i/>
          <w:iCs/>
          <w:sz w:val="20"/>
          <w:szCs w:val="20"/>
          <w:lang w:val="en-US"/>
        </w:rPr>
        <w:t>Sappho</w:t>
      </w:r>
      <w:r w:rsidRPr="00B15395">
        <w:rPr>
          <w:rFonts w:cs="Times New Roman"/>
          <w:sz w:val="20"/>
          <w:szCs w:val="20"/>
          <w:lang w:val="en-US"/>
        </w:rPr>
        <w:t xml:space="preserve"> was also the title of comedies by Antiphanes, Timocles, Ephippus, Ameipsias, and Amphis.</w:t>
      </w:r>
    </w:p>
  </w:footnote>
  <w:footnote w:id="568">
    <w:p w14:paraId="0E97E804" w14:textId="77777777" w:rsidR="00D808B7" w:rsidRPr="00B15395" w:rsidRDefault="00D808B7" w:rsidP="00B15395">
      <w:pPr>
        <w:spacing w:line="240" w:lineRule="auto"/>
        <w:ind w:left="284" w:hanging="284"/>
        <w:rPr>
          <w:rFonts w:cs="Times New Roman"/>
          <w:sz w:val="20"/>
          <w:szCs w:val="20"/>
        </w:rPr>
      </w:pPr>
      <w:r w:rsidRPr="00B15395">
        <w:rPr>
          <w:rStyle w:val="FootnoteReference"/>
          <w:rFonts w:cs="Times New Roman"/>
          <w:sz w:val="20"/>
          <w:szCs w:val="20"/>
          <w:lang w:val="en-US"/>
        </w:rPr>
        <w:footnoteRef/>
      </w:r>
      <w:r w:rsidRPr="00B15395">
        <w:rPr>
          <w:rFonts w:cs="Times New Roman"/>
          <w:sz w:val="20"/>
          <w:szCs w:val="20"/>
          <w:lang w:val="en-US"/>
        </w:rPr>
        <w:tab/>
        <w:t>Cf. Degani 1984: 33.</w:t>
      </w:r>
    </w:p>
  </w:footnote>
  <w:footnote w:id="569">
    <w:p w14:paraId="2A2D2216" w14:textId="049B3F4B"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lang w:val="en-US"/>
        </w:rPr>
        <w:tab/>
        <w:t xml:space="preserve">So Kerkhecker 1999: 293. </w:t>
      </w:r>
    </w:p>
  </w:footnote>
  <w:footnote w:id="570">
    <w:p w14:paraId="29BB308C" w14:textId="3B330547"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lang w:val="en-US"/>
        </w:rPr>
        <w:tab/>
        <w:t>Cf. p. 230 n. 116.</w:t>
      </w:r>
    </w:p>
  </w:footnote>
  <w:footnote w:id="571">
    <w:p w14:paraId="0D42332B" w14:textId="77777777"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lang w:val="en-US"/>
        </w:rPr>
        <w:tab/>
        <w:t>Cf. Rotstein 2010: 8-13.</w:t>
      </w:r>
    </w:p>
  </w:footnote>
  <w:footnote w:id="572">
    <w:p w14:paraId="3FB1B6F6" w14:textId="77777777"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Unfortunately, the limited information about the Stoic and Epicurean approaches to genre allows only for very cautious conclusions: it seems that strict divisions of genres were rejected, and that some Stoic scholars put forward a conventional, non-essentialist view of genres (cf. Rotstein 2010: 146). Cf. Fantuzzi and Hunter 2005: 43-44.</w:t>
      </w:r>
    </w:p>
  </w:footnote>
  <w:footnote w:id="573">
    <w:p w14:paraId="1FC4DA01" w14:textId="77777777"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Cf. Kerkhecker 1999: 271-282.</w:t>
      </w:r>
    </w:p>
  </w:footnote>
  <w:footnote w:id="574">
    <w:p w14:paraId="5DEC1BA6" w14:textId="77777777"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Cf. Schmidt 1993: 466, who claims: “das subjective Bekenntnis wird, als Jambus gegen den Jambiker, zur Reflexion über die privaten Voraussetzungen jambischen Dichtens.”</w:t>
      </w:r>
    </w:p>
  </w:footnote>
  <w:footnote w:id="575">
    <w:p w14:paraId="45ED8D7D" w14:textId="77777777" w:rsidR="00D808B7" w:rsidRPr="00B15395" w:rsidRDefault="00D808B7" w:rsidP="00B15395">
      <w:pPr>
        <w:pStyle w:val="FootnoteText"/>
        <w:spacing w:line="240" w:lineRule="auto"/>
        <w:rPr>
          <w:rFonts w:cs="Times New Roman"/>
          <w:szCs w:val="20"/>
        </w:rPr>
      </w:pPr>
      <w:r w:rsidRPr="00B15395">
        <w:rPr>
          <w:rStyle w:val="FootnoteReference"/>
          <w:rFonts w:cs="Times New Roman"/>
          <w:szCs w:val="20"/>
        </w:rPr>
        <w:footnoteRef/>
      </w:r>
      <w:r w:rsidRPr="00B15395">
        <w:rPr>
          <w:rFonts w:cs="Times New Roman"/>
          <w:szCs w:val="20"/>
        </w:rPr>
        <w:tab/>
        <w:t xml:space="preserve">Critias 88 B 44 D.-K. = Archil. fr. 295 West </w:t>
      </w:r>
      <w:r w:rsidRPr="00B15395">
        <w:rPr>
          <w:rFonts w:cs="Times New Roman"/>
          <w:szCs w:val="20"/>
          <w:lang w:val="el-GR"/>
        </w:rPr>
        <w:t>ὅτι</w:t>
      </w:r>
      <w:r w:rsidRPr="00B15395">
        <w:rPr>
          <w:rFonts w:cs="Times New Roman"/>
          <w:szCs w:val="20"/>
          <w:lang w:val="en-US"/>
        </w:rPr>
        <w:t xml:space="preserve"> </w:t>
      </w:r>
      <w:r w:rsidRPr="00B15395">
        <w:rPr>
          <w:rFonts w:cs="Times New Roman"/>
          <w:szCs w:val="20"/>
          <w:lang w:val="el-GR"/>
        </w:rPr>
        <w:t>κάκιστα</w:t>
      </w:r>
      <w:r w:rsidRPr="00B15395">
        <w:rPr>
          <w:rFonts w:cs="Times New Roman"/>
          <w:szCs w:val="20"/>
          <w:lang w:val="en-US"/>
        </w:rPr>
        <w:t xml:space="preserve"> </w:t>
      </w:r>
      <w:r w:rsidRPr="00B15395">
        <w:rPr>
          <w:rFonts w:cs="Times New Roman"/>
          <w:szCs w:val="20"/>
          <w:lang w:val="el-GR"/>
        </w:rPr>
        <w:t>ἑαυτὸν</w:t>
      </w:r>
      <w:r w:rsidRPr="00B15395">
        <w:rPr>
          <w:rFonts w:cs="Times New Roman"/>
          <w:szCs w:val="20"/>
          <w:lang w:val="en-US"/>
        </w:rPr>
        <w:t xml:space="preserve"> </w:t>
      </w:r>
      <w:r w:rsidRPr="00B15395">
        <w:rPr>
          <w:rFonts w:cs="Times New Roman"/>
          <w:szCs w:val="20"/>
          <w:lang w:val="el-GR"/>
        </w:rPr>
        <w:t>εἶπεν</w:t>
      </w:r>
      <w:r w:rsidRPr="00B15395">
        <w:rPr>
          <w:rFonts w:cs="Times New Roman"/>
          <w:szCs w:val="20"/>
          <w:lang w:val="en-US"/>
        </w:rPr>
        <w:t xml:space="preserve"> “because (</w:t>
      </w:r>
      <w:r w:rsidRPr="00B15395">
        <w:rPr>
          <w:rFonts w:cs="Times New Roman"/>
          <w:i/>
          <w:szCs w:val="20"/>
          <w:lang w:val="en-US"/>
        </w:rPr>
        <w:t>scil.</w:t>
      </w:r>
      <w:r w:rsidRPr="00B15395">
        <w:rPr>
          <w:rFonts w:cs="Times New Roman"/>
          <w:szCs w:val="20"/>
          <w:lang w:val="en-US"/>
        </w:rPr>
        <w:t xml:space="preserve"> Archilochus) said very bad things about himself</w:t>
      </w:r>
      <w:r w:rsidRPr="00B15395">
        <w:rPr>
          <w:rFonts w:cs="Times New Roman"/>
          <w:szCs w:val="20"/>
        </w:rPr>
        <w:t>.”</w:t>
      </w:r>
    </w:p>
  </w:footnote>
  <w:footnote w:id="576">
    <w:p w14:paraId="4559DA9D" w14:textId="68BBFCF2" w:rsidR="00D808B7" w:rsidRPr="00B15395" w:rsidRDefault="00D808B7" w:rsidP="00B15395">
      <w:pPr>
        <w:pStyle w:val="FootnoteText"/>
        <w:spacing w:line="240" w:lineRule="auto"/>
        <w:rPr>
          <w:rFonts w:cs="Times New Roman"/>
          <w:szCs w:val="20"/>
          <w:lang w:val="en-US"/>
        </w:rPr>
      </w:pPr>
      <w:r w:rsidRPr="00B15395">
        <w:rPr>
          <w:rStyle w:val="FootnoteReference"/>
          <w:rFonts w:cs="Times New Roman"/>
          <w:szCs w:val="20"/>
        </w:rPr>
        <w:footnoteRef/>
      </w:r>
      <w:r w:rsidRPr="00B15395">
        <w:rPr>
          <w:rFonts w:cs="Times New Roman"/>
          <w:szCs w:val="20"/>
        </w:rPr>
        <w:t xml:space="preserve"> </w:t>
      </w:r>
      <w:r w:rsidRPr="00B15395">
        <w:rPr>
          <w:rFonts w:cs="Times New Roman"/>
          <w:szCs w:val="20"/>
          <w:lang w:val="en-US"/>
        </w:rPr>
        <w:t>Cf. Kerkhecker 1999: 295.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lvlText w:val="●"/>
      <w:lvlJc w:val="left"/>
      <w:pPr>
        <w:tabs>
          <w:tab w:val="num" w:pos="416"/>
        </w:tabs>
        <w:ind w:left="776" w:hanging="416"/>
      </w:pPr>
      <w:rPr>
        <w:rFonts w:ascii="Arial" w:eastAsia="Times New Roman" w:hAnsi="Arial"/>
      </w:rPr>
    </w:lvl>
    <w:lvl w:ilvl="1">
      <w:start w:val="1"/>
      <w:numFmt w:val="bullet"/>
      <w:lvlText w:val="o"/>
      <w:lvlJc w:val="left"/>
      <w:pPr>
        <w:tabs>
          <w:tab w:val="num" w:pos="1136"/>
        </w:tabs>
        <w:ind w:left="1496" w:hanging="416"/>
      </w:pPr>
      <w:rPr>
        <w:rFonts w:ascii="Arial" w:eastAsia="Times New Roman" w:hAnsi="Arial"/>
      </w:rPr>
    </w:lvl>
    <w:lvl w:ilvl="2">
      <w:start w:val="1"/>
      <w:numFmt w:val="bullet"/>
      <w:lvlText w:val="▪"/>
      <w:lvlJc w:val="left"/>
      <w:pPr>
        <w:tabs>
          <w:tab w:val="num" w:pos="1856"/>
        </w:tabs>
        <w:ind w:left="2216" w:hanging="236"/>
      </w:pPr>
      <w:rPr>
        <w:rFonts w:ascii="Arial" w:eastAsia="Times New Roman" w:hAnsi="Arial"/>
      </w:rPr>
    </w:lvl>
    <w:lvl w:ilvl="3">
      <w:start w:val="1"/>
      <w:numFmt w:val="bullet"/>
      <w:lvlText w:val="●"/>
      <w:lvlJc w:val="left"/>
      <w:pPr>
        <w:tabs>
          <w:tab w:val="num" w:pos="2576"/>
        </w:tabs>
        <w:ind w:left="2936" w:hanging="416"/>
      </w:pPr>
      <w:rPr>
        <w:rFonts w:ascii="Arial" w:eastAsia="Times New Roman" w:hAnsi="Arial"/>
      </w:rPr>
    </w:lvl>
    <w:lvl w:ilvl="4">
      <w:start w:val="1"/>
      <w:numFmt w:val="bullet"/>
      <w:lvlText w:val="o"/>
      <w:lvlJc w:val="left"/>
      <w:pPr>
        <w:tabs>
          <w:tab w:val="num" w:pos="3296"/>
        </w:tabs>
        <w:ind w:left="3656" w:hanging="416"/>
      </w:pPr>
      <w:rPr>
        <w:rFonts w:ascii="Arial" w:eastAsia="Times New Roman" w:hAnsi="Arial"/>
      </w:rPr>
    </w:lvl>
    <w:lvl w:ilvl="5">
      <w:start w:val="1"/>
      <w:numFmt w:val="bullet"/>
      <w:lvlText w:val="▪"/>
      <w:lvlJc w:val="left"/>
      <w:pPr>
        <w:tabs>
          <w:tab w:val="num" w:pos="4016"/>
        </w:tabs>
        <w:ind w:left="4376" w:hanging="236"/>
      </w:pPr>
      <w:rPr>
        <w:rFonts w:ascii="Arial" w:eastAsia="Times New Roman" w:hAnsi="Arial"/>
      </w:rPr>
    </w:lvl>
    <w:lvl w:ilvl="6">
      <w:start w:val="1"/>
      <w:numFmt w:val="bullet"/>
      <w:lvlText w:val="●"/>
      <w:lvlJc w:val="left"/>
      <w:pPr>
        <w:tabs>
          <w:tab w:val="num" w:pos="4736"/>
        </w:tabs>
        <w:ind w:left="5096" w:hanging="416"/>
      </w:pPr>
      <w:rPr>
        <w:rFonts w:ascii="Arial" w:eastAsia="Times New Roman" w:hAnsi="Arial"/>
      </w:rPr>
    </w:lvl>
    <w:lvl w:ilvl="7">
      <w:start w:val="1"/>
      <w:numFmt w:val="bullet"/>
      <w:lvlText w:val="o"/>
      <w:lvlJc w:val="left"/>
      <w:pPr>
        <w:tabs>
          <w:tab w:val="num" w:pos="5456"/>
        </w:tabs>
        <w:ind w:left="5816" w:hanging="416"/>
      </w:pPr>
      <w:rPr>
        <w:rFonts w:ascii="Arial" w:eastAsia="Times New Roman" w:hAnsi="Arial"/>
      </w:rPr>
    </w:lvl>
    <w:lvl w:ilvl="8">
      <w:start w:val="1"/>
      <w:numFmt w:val="bullet"/>
      <w:lvlText w:val="▪"/>
      <w:lvlJc w:val="left"/>
      <w:pPr>
        <w:tabs>
          <w:tab w:val="num" w:pos="6176"/>
        </w:tabs>
        <w:ind w:left="6536" w:hanging="236"/>
      </w:pPr>
      <w:rPr>
        <w:rFonts w:ascii="Arial" w:eastAsia="Times New Roman" w:hAnsi="Arial"/>
      </w:rPr>
    </w:lvl>
  </w:abstractNum>
  <w:abstractNum w:abstractNumId="1">
    <w:nsid w:val="00000005"/>
    <w:multiLevelType w:val="multilevel"/>
    <w:tmpl w:val="00000005"/>
    <w:lvl w:ilvl="0">
      <w:start w:val="1"/>
      <w:numFmt w:val="bullet"/>
      <w:lvlText w:val="-"/>
      <w:lvlJc w:val="left"/>
      <w:pPr>
        <w:tabs>
          <w:tab w:val="num" w:pos="776"/>
        </w:tabs>
        <w:ind w:left="1136" w:hanging="776"/>
      </w:pPr>
      <w:rPr>
        <w:rFonts w:ascii="Arial" w:eastAsia="Times New Roman" w:hAnsi="Arial"/>
      </w:rPr>
    </w:lvl>
    <w:lvl w:ilvl="1">
      <w:start w:val="1"/>
      <w:numFmt w:val="bullet"/>
      <w:lvlText w:val="o"/>
      <w:lvlJc w:val="left"/>
      <w:pPr>
        <w:tabs>
          <w:tab w:val="num" w:pos="1496"/>
        </w:tabs>
        <w:ind w:left="1856" w:hanging="776"/>
      </w:pPr>
      <w:rPr>
        <w:rFonts w:ascii="Arial" w:eastAsia="Times New Roman" w:hAnsi="Arial"/>
      </w:rPr>
    </w:lvl>
    <w:lvl w:ilvl="2">
      <w:start w:val="1"/>
      <w:numFmt w:val="bullet"/>
      <w:lvlText w:val="▪"/>
      <w:lvlJc w:val="left"/>
      <w:pPr>
        <w:tabs>
          <w:tab w:val="num" w:pos="2216"/>
        </w:tabs>
        <w:ind w:left="2576" w:hanging="596"/>
      </w:pPr>
      <w:rPr>
        <w:rFonts w:ascii="Arial" w:eastAsia="Times New Roman" w:hAnsi="Arial"/>
      </w:rPr>
    </w:lvl>
    <w:lvl w:ilvl="3">
      <w:start w:val="1"/>
      <w:numFmt w:val="bullet"/>
      <w:lvlText w:val="●"/>
      <w:lvlJc w:val="left"/>
      <w:pPr>
        <w:tabs>
          <w:tab w:val="num" w:pos="2936"/>
        </w:tabs>
        <w:ind w:left="3296" w:hanging="776"/>
      </w:pPr>
      <w:rPr>
        <w:rFonts w:ascii="Arial" w:eastAsia="Times New Roman" w:hAnsi="Arial"/>
      </w:rPr>
    </w:lvl>
    <w:lvl w:ilvl="4">
      <w:start w:val="1"/>
      <w:numFmt w:val="bullet"/>
      <w:lvlText w:val="o"/>
      <w:lvlJc w:val="left"/>
      <w:pPr>
        <w:tabs>
          <w:tab w:val="num" w:pos="3656"/>
        </w:tabs>
        <w:ind w:left="4016" w:hanging="776"/>
      </w:pPr>
      <w:rPr>
        <w:rFonts w:ascii="Arial" w:eastAsia="Times New Roman" w:hAnsi="Arial"/>
      </w:rPr>
    </w:lvl>
    <w:lvl w:ilvl="5">
      <w:start w:val="1"/>
      <w:numFmt w:val="bullet"/>
      <w:lvlText w:val="▪"/>
      <w:lvlJc w:val="left"/>
      <w:pPr>
        <w:tabs>
          <w:tab w:val="num" w:pos="4376"/>
        </w:tabs>
        <w:ind w:left="4736" w:hanging="596"/>
      </w:pPr>
      <w:rPr>
        <w:rFonts w:ascii="Arial" w:eastAsia="Times New Roman" w:hAnsi="Arial"/>
      </w:rPr>
    </w:lvl>
    <w:lvl w:ilvl="6">
      <w:start w:val="1"/>
      <w:numFmt w:val="bullet"/>
      <w:lvlText w:val="●"/>
      <w:lvlJc w:val="left"/>
      <w:pPr>
        <w:tabs>
          <w:tab w:val="num" w:pos="5096"/>
        </w:tabs>
        <w:ind w:left="5456" w:hanging="776"/>
      </w:pPr>
      <w:rPr>
        <w:rFonts w:ascii="Arial" w:eastAsia="Times New Roman" w:hAnsi="Arial"/>
      </w:rPr>
    </w:lvl>
    <w:lvl w:ilvl="7">
      <w:start w:val="1"/>
      <w:numFmt w:val="bullet"/>
      <w:lvlText w:val="o"/>
      <w:lvlJc w:val="left"/>
      <w:pPr>
        <w:tabs>
          <w:tab w:val="num" w:pos="5816"/>
        </w:tabs>
        <w:ind w:left="6176" w:hanging="776"/>
      </w:pPr>
      <w:rPr>
        <w:rFonts w:ascii="Arial" w:eastAsia="Times New Roman" w:hAnsi="Arial"/>
      </w:rPr>
    </w:lvl>
    <w:lvl w:ilvl="8">
      <w:start w:val="1"/>
      <w:numFmt w:val="bullet"/>
      <w:lvlText w:val="▪"/>
      <w:lvlJc w:val="left"/>
      <w:pPr>
        <w:tabs>
          <w:tab w:val="num" w:pos="6536"/>
        </w:tabs>
        <w:ind w:left="6896" w:hanging="596"/>
      </w:pPr>
      <w:rPr>
        <w:rFonts w:ascii="Arial" w:eastAsia="Times New Roman" w:hAnsi="Arial"/>
      </w:rPr>
    </w:lvl>
  </w:abstractNum>
  <w:abstractNum w:abstractNumId="2">
    <w:nsid w:val="00000006"/>
    <w:multiLevelType w:val="multilevel"/>
    <w:tmpl w:val="00000006"/>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3">
    <w:nsid w:val="00000007"/>
    <w:multiLevelType w:val="multilevel"/>
    <w:tmpl w:val="00000007"/>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4">
    <w:nsid w:val="00000008"/>
    <w:multiLevelType w:val="multilevel"/>
    <w:tmpl w:val="00000008"/>
    <w:lvl w:ilvl="0">
      <w:start w:val="1"/>
      <w:numFmt w:val="lowerLetter"/>
      <w:lvlText w:val="%1)"/>
      <w:lvlJc w:val="left"/>
      <w:pPr>
        <w:tabs>
          <w:tab w:val="num" w:pos="450"/>
        </w:tabs>
        <w:ind w:left="810" w:hanging="450"/>
      </w:pPr>
      <w:rPr>
        <w:rFonts w:cs="Times New Roman"/>
      </w:rPr>
    </w:lvl>
    <w:lvl w:ilvl="1">
      <w:start w:val="1"/>
      <w:numFmt w:val="lowerLetter"/>
      <w:lvlText w:val="%2."/>
      <w:lvlJc w:val="left"/>
      <w:pPr>
        <w:tabs>
          <w:tab w:val="num" w:pos="1170"/>
        </w:tabs>
        <w:ind w:left="1530" w:hanging="450"/>
      </w:pPr>
      <w:rPr>
        <w:rFonts w:cs="Times New Roman"/>
      </w:rPr>
    </w:lvl>
    <w:lvl w:ilvl="2">
      <w:start w:val="1"/>
      <w:numFmt w:val="lowerRoman"/>
      <w:lvlText w:val="%3."/>
      <w:lvlJc w:val="right"/>
      <w:pPr>
        <w:tabs>
          <w:tab w:val="num" w:pos="2070"/>
        </w:tabs>
        <w:ind w:left="2250" w:hanging="270"/>
      </w:pPr>
      <w:rPr>
        <w:rFonts w:cs="Times New Roman"/>
      </w:rPr>
    </w:lvl>
    <w:lvl w:ilvl="3">
      <w:start w:val="1"/>
      <w:numFmt w:val="decimal"/>
      <w:lvlText w:val="%4."/>
      <w:lvlJc w:val="left"/>
      <w:pPr>
        <w:tabs>
          <w:tab w:val="num" w:pos="2610"/>
        </w:tabs>
        <w:ind w:left="2970" w:hanging="450"/>
      </w:pPr>
      <w:rPr>
        <w:rFonts w:cs="Times New Roman"/>
      </w:rPr>
    </w:lvl>
    <w:lvl w:ilvl="4">
      <w:start w:val="1"/>
      <w:numFmt w:val="lowerLetter"/>
      <w:lvlText w:val="%5."/>
      <w:lvlJc w:val="left"/>
      <w:pPr>
        <w:tabs>
          <w:tab w:val="num" w:pos="3330"/>
        </w:tabs>
        <w:ind w:left="3690" w:hanging="450"/>
      </w:pPr>
      <w:rPr>
        <w:rFonts w:cs="Times New Roman"/>
      </w:rPr>
    </w:lvl>
    <w:lvl w:ilvl="5">
      <w:start w:val="1"/>
      <w:numFmt w:val="lowerRoman"/>
      <w:lvlText w:val="%6."/>
      <w:lvlJc w:val="right"/>
      <w:pPr>
        <w:tabs>
          <w:tab w:val="num" w:pos="4230"/>
        </w:tabs>
        <w:ind w:left="4410" w:hanging="270"/>
      </w:pPr>
      <w:rPr>
        <w:rFonts w:cs="Times New Roman"/>
      </w:rPr>
    </w:lvl>
    <w:lvl w:ilvl="6">
      <w:start w:val="1"/>
      <w:numFmt w:val="decimal"/>
      <w:lvlText w:val="%7."/>
      <w:lvlJc w:val="left"/>
      <w:pPr>
        <w:tabs>
          <w:tab w:val="num" w:pos="4770"/>
        </w:tabs>
        <w:ind w:left="5130" w:hanging="450"/>
      </w:pPr>
      <w:rPr>
        <w:rFonts w:cs="Times New Roman"/>
      </w:rPr>
    </w:lvl>
    <w:lvl w:ilvl="7">
      <w:start w:val="1"/>
      <w:numFmt w:val="lowerLetter"/>
      <w:lvlText w:val="%8."/>
      <w:lvlJc w:val="left"/>
      <w:pPr>
        <w:tabs>
          <w:tab w:val="num" w:pos="5490"/>
        </w:tabs>
        <w:ind w:left="5850" w:hanging="450"/>
      </w:pPr>
      <w:rPr>
        <w:rFonts w:cs="Times New Roman"/>
      </w:rPr>
    </w:lvl>
    <w:lvl w:ilvl="8">
      <w:start w:val="1"/>
      <w:numFmt w:val="lowerRoman"/>
      <w:lvlText w:val="%9."/>
      <w:lvlJc w:val="right"/>
      <w:pPr>
        <w:tabs>
          <w:tab w:val="num" w:pos="6390"/>
        </w:tabs>
        <w:ind w:left="6570" w:hanging="270"/>
      </w:pPr>
      <w:rPr>
        <w:rFonts w:cs="Times New Roman"/>
      </w:rPr>
    </w:lvl>
  </w:abstractNum>
  <w:abstractNum w:abstractNumId="5">
    <w:nsid w:val="00000009"/>
    <w:multiLevelType w:val="multilevel"/>
    <w:tmpl w:val="00000009"/>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6">
    <w:nsid w:val="0000000A"/>
    <w:multiLevelType w:val="multilevel"/>
    <w:tmpl w:val="0000000A"/>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7">
    <w:nsid w:val="0000000B"/>
    <w:multiLevelType w:val="multilevel"/>
    <w:tmpl w:val="0000000B"/>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8">
    <w:nsid w:val="0000000C"/>
    <w:multiLevelType w:val="multilevel"/>
    <w:tmpl w:val="0000000C"/>
    <w:lvl w:ilvl="0">
      <w:start w:val="5"/>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9">
    <w:nsid w:val="0000000D"/>
    <w:multiLevelType w:val="multilevel"/>
    <w:tmpl w:val="0000000D"/>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10">
    <w:nsid w:val="0000000E"/>
    <w:multiLevelType w:val="multilevel"/>
    <w:tmpl w:val="0000000E"/>
    <w:lvl w:ilvl="0">
      <w:start w:val="10"/>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11">
    <w:nsid w:val="0000000F"/>
    <w:multiLevelType w:val="multilevel"/>
    <w:tmpl w:val="0000000F"/>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12">
    <w:nsid w:val="00000010"/>
    <w:multiLevelType w:val="multilevel"/>
    <w:tmpl w:val="00000010"/>
    <w:lvl w:ilvl="0">
      <w:start w:val="1"/>
      <w:numFmt w:val="bullet"/>
      <w:lvlText w:val="●"/>
      <w:lvlJc w:val="left"/>
      <w:pPr>
        <w:tabs>
          <w:tab w:val="num" w:pos="714"/>
        </w:tabs>
        <w:ind w:left="1074" w:hanging="714"/>
      </w:pPr>
      <w:rPr>
        <w:rFonts w:ascii="Arial" w:eastAsia="Times New Roman" w:hAnsi="Arial"/>
      </w:rPr>
    </w:lvl>
    <w:lvl w:ilvl="1">
      <w:start w:val="1"/>
      <w:numFmt w:val="lowerLetter"/>
      <w:lvlText w:val="%2."/>
      <w:lvlJc w:val="left"/>
      <w:pPr>
        <w:tabs>
          <w:tab w:val="num" w:pos="1434"/>
        </w:tabs>
        <w:ind w:left="1794" w:hanging="714"/>
      </w:pPr>
      <w:rPr>
        <w:rFonts w:cs="Times New Roman"/>
      </w:rPr>
    </w:lvl>
    <w:lvl w:ilvl="2">
      <w:start w:val="1"/>
      <w:numFmt w:val="lowerRoman"/>
      <w:lvlText w:val="%3."/>
      <w:lvlJc w:val="right"/>
      <w:pPr>
        <w:tabs>
          <w:tab w:val="num" w:pos="2334"/>
        </w:tabs>
        <w:ind w:left="2514" w:hanging="534"/>
      </w:pPr>
      <w:rPr>
        <w:rFonts w:cs="Times New Roman"/>
      </w:rPr>
    </w:lvl>
    <w:lvl w:ilvl="3">
      <w:start w:val="1"/>
      <w:numFmt w:val="decimal"/>
      <w:lvlText w:val="%4."/>
      <w:lvlJc w:val="left"/>
      <w:pPr>
        <w:tabs>
          <w:tab w:val="num" w:pos="2874"/>
        </w:tabs>
        <w:ind w:left="3234" w:hanging="714"/>
      </w:pPr>
      <w:rPr>
        <w:rFonts w:cs="Times New Roman"/>
      </w:rPr>
    </w:lvl>
    <w:lvl w:ilvl="4">
      <w:start w:val="1"/>
      <w:numFmt w:val="lowerLetter"/>
      <w:lvlText w:val="%5."/>
      <w:lvlJc w:val="left"/>
      <w:pPr>
        <w:tabs>
          <w:tab w:val="num" w:pos="3594"/>
        </w:tabs>
        <w:ind w:left="3954" w:hanging="714"/>
      </w:pPr>
      <w:rPr>
        <w:rFonts w:cs="Times New Roman"/>
      </w:rPr>
    </w:lvl>
    <w:lvl w:ilvl="5">
      <w:start w:val="1"/>
      <w:numFmt w:val="lowerRoman"/>
      <w:lvlText w:val="%6."/>
      <w:lvlJc w:val="right"/>
      <w:pPr>
        <w:tabs>
          <w:tab w:val="num" w:pos="4494"/>
        </w:tabs>
        <w:ind w:left="4674" w:hanging="534"/>
      </w:pPr>
      <w:rPr>
        <w:rFonts w:cs="Times New Roman"/>
      </w:rPr>
    </w:lvl>
    <w:lvl w:ilvl="6">
      <w:start w:val="1"/>
      <w:numFmt w:val="decimal"/>
      <w:lvlText w:val="%7."/>
      <w:lvlJc w:val="left"/>
      <w:pPr>
        <w:tabs>
          <w:tab w:val="num" w:pos="5034"/>
        </w:tabs>
        <w:ind w:left="5394" w:hanging="714"/>
      </w:pPr>
      <w:rPr>
        <w:rFonts w:cs="Times New Roman"/>
      </w:rPr>
    </w:lvl>
    <w:lvl w:ilvl="7">
      <w:start w:val="1"/>
      <w:numFmt w:val="lowerLetter"/>
      <w:lvlText w:val="%8."/>
      <w:lvlJc w:val="left"/>
      <w:pPr>
        <w:tabs>
          <w:tab w:val="num" w:pos="5754"/>
        </w:tabs>
        <w:ind w:left="6114" w:hanging="714"/>
      </w:pPr>
      <w:rPr>
        <w:rFonts w:cs="Times New Roman"/>
      </w:rPr>
    </w:lvl>
    <w:lvl w:ilvl="8">
      <w:start w:val="1"/>
      <w:numFmt w:val="lowerRoman"/>
      <w:lvlText w:val="%9."/>
      <w:lvlJc w:val="right"/>
      <w:pPr>
        <w:tabs>
          <w:tab w:val="num" w:pos="6654"/>
        </w:tabs>
        <w:ind w:left="6834" w:hanging="534"/>
      </w:pPr>
      <w:rPr>
        <w:rFonts w:cs="Times New Roman"/>
      </w:rPr>
    </w:lvl>
  </w:abstractNum>
  <w:abstractNum w:abstractNumId="13">
    <w:nsid w:val="00000011"/>
    <w:multiLevelType w:val="multilevel"/>
    <w:tmpl w:val="00000011"/>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14">
    <w:nsid w:val="00000012"/>
    <w:multiLevelType w:val="multilevel"/>
    <w:tmpl w:val="00000012"/>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15">
    <w:nsid w:val="00000013"/>
    <w:multiLevelType w:val="multilevel"/>
    <w:tmpl w:val="00000013"/>
    <w:lvl w:ilvl="0">
      <w:start w:val="2"/>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16">
    <w:nsid w:val="00000017"/>
    <w:multiLevelType w:val="multilevel"/>
    <w:tmpl w:val="00000017"/>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17">
    <w:nsid w:val="00000018"/>
    <w:multiLevelType w:val="multilevel"/>
    <w:tmpl w:val="00000018"/>
    <w:lvl w:ilvl="0">
      <w:start w:val="1"/>
      <w:numFmt w:val="lowerLetter"/>
      <w:lvlText w:val="%1)"/>
      <w:lvlJc w:val="left"/>
      <w:pPr>
        <w:tabs>
          <w:tab w:val="num" w:pos="424"/>
        </w:tabs>
        <w:ind w:left="784" w:hanging="424"/>
      </w:pPr>
      <w:rPr>
        <w:rFonts w:cs="Times New Roman"/>
      </w:rPr>
    </w:lvl>
    <w:lvl w:ilvl="1">
      <w:start w:val="1"/>
      <w:numFmt w:val="lowerLetter"/>
      <w:lvlText w:val="%2."/>
      <w:lvlJc w:val="left"/>
      <w:pPr>
        <w:tabs>
          <w:tab w:val="num" w:pos="1144"/>
        </w:tabs>
        <w:ind w:left="1504" w:hanging="424"/>
      </w:pPr>
      <w:rPr>
        <w:rFonts w:cs="Times New Roman"/>
      </w:rPr>
    </w:lvl>
    <w:lvl w:ilvl="2">
      <w:start w:val="1"/>
      <w:numFmt w:val="lowerRoman"/>
      <w:lvlText w:val="%3."/>
      <w:lvlJc w:val="right"/>
      <w:pPr>
        <w:tabs>
          <w:tab w:val="num" w:pos="2044"/>
        </w:tabs>
        <w:ind w:left="2224" w:hanging="244"/>
      </w:pPr>
      <w:rPr>
        <w:rFonts w:cs="Times New Roman"/>
      </w:rPr>
    </w:lvl>
    <w:lvl w:ilvl="3">
      <w:start w:val="1"/>
      <w:numFmt w:val="decimal"/>
      <w:lvlText w:val="%4."/>
      <w:lvlJc w:val="left"/>
      <w:pPr>
        <w:tabs>
          <w:tab w:val="num" w:pos="2584"/>
        </w:tabs>
        <w:ind w:left="2944" w:hanging="424"/>
      </w:pPr>
      <w:rPr>
        <w:rFonts w:cs="Times New Roman"/>
      </w:rPr>
    </w:lvl>
    <w:lvl w:ilvl="4">
      <w:start w:val="1"/>
      <w:numFmt w:val="lowerLetter"/>
      <w:lvlText w:val="%5."/>
      <w:lvlJc w:val="left"/>
      <w:pPr>
        <w:tabs>
          <w:tab w:val="num" w:pos="3304"/>
        </w:tabs>
        <w:ind w:left="3664" w:hanging="424"/>
      </w:pPr>
      <w:rPr>
        <w:rFonts w:cs="Times New Roman"/>
      </w:rPr>
    </w:lvl>
    <w:lvl w:ilvl="5">
      <w:start w:val="1"/>
      <w:numFmt w:val="lowerRoman"/>
      <w:lvlText w:val="%6."/>
      <w:lvlJc w:val="right"/>
      <w:pPr>
        <w:tabs>
          <w:tab w:val="num" w:pos="4204"/>
        </w:tabs>
        <w:ind w:left="4384" w:hanging="244"/>
      </w:pPr>
      <w:rPr>
        <w:rFonts w:cs="Times New Roman"/>
      </w:rPr>
    </w:lvl>
    <w:lvl w:ilvl="6">
      <w:start w:val="1"/>
      <w:numFmt w:val="decimal"/>
      <w:lvlText w:val="%7."/>
      <w:lvlJc w:val="left"/>
      <w:pPr>
        <w:tabs>
          <w:tab w:val="num" w:pos="4744"/>
        </w:tabs>
        <w:ind w:left="5104" w:hanging="424"/>
      </w:pPr>
      <w:rPr>
        <w:rFonts w:cs="Times New Roman"/>
      </w:rPr>
    </w:lvl>
    <w:lvl w:ilvl="7">
      <w:start w:val="1"/>
      <w:numFmt w:val="lowerLetter"/>
      <w:lvlText w:val="%8."/>
      <w:lvlJc w:val="left"/>
      <w:pPr>
        <w:tabs>
          <w:tab w:val="num" w:pos="5464"/>
        </w:tabs>
        <w:ind w:left="5824" w:hanging="424"/>
      </w:pPr>
      <w:rPr>
        <w:rFonts w:cs="Times New Roman"/>
      </w:rPr>
    </w:lvl>
    <w:lvl w:ilvl="8">
      <w:start w:val="1"/>
      <w:numFmt w:val="lowerRoman"/>
      <w:lvlText w:val="%9."/>
      <w:lvlJc w:val="right"/>
      <w:pPr>
        <w:tabs>
          <w:tab w:val="num" w:pos="6364"/>
        </w:tabs>
        <w:ind w:left="6544" w:hanging="244"/>
      </w:pPr>
      <w:rPr>
        <w:rFonts w:cs="Times New Roman"/>
      </w:rPr>
    </w:lvl>
  </w:abstractNum>
  <w:abstractNum w:abstractNumId="18">
    <w:nsid w:val="00000019"/>
    <w:multiLevelType w:val="multilevel"/>
    <w:tmpl w:val="00000019"/>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19">
    <w:nsid w:val="0000001A"/>
    <w:multiLevelType w:val="multilevel"/>
    <w:tmpl w:val="0000001A"/>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20">
    <w:nsid w:val="00000023"/>
    <w:multiLevelType w:val="multilevel"/>
    <w:tmpl w:val="00000023"/>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21">
    <w:nsid w:val="00000024"/>
    <w:multiLevelType w:val="multilevel"/>
    <w:tmpl w:val="00000024"/>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2">
    <w:nsid w:val="00000025"/>
    <w:multiLevelType w:val="multilevel"/>
    <w:tmpl w:val="00000025"/>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3">
    <w:nsid w:val="00000026"/>
    <w:multiLevelType w:val="multilevel"/>
    <w:tmpl w:val="00000026"/>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4">
    <w:nsid w:val="00000027"/>
    <w:multiLevelType w:val="multilevel"/>
    <w:tmpl w:val="00000027"/>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5">
    <w:nsid w:val="00000028"/>
    <w:multiLevelType w:val="multilevel"/>
    <w:tmpl w:val="00000028"/>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6">
    <w:nsid w:val="00000029"/>
    <w:multiLevelType w:val="multilevel"/>
    <w:tmpl w:val="00000029"/>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27">
    <w:nsid w:val="0000002A"/>
    <w:multiLevelType w:val="multilevel"/>
    <w:tmpl w:val="0000002A"/>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8">
    <w:nsid w:val="0000002B"/>
    <w:multiLevelType w:val="multilevel"/>
    <w:tmpl w:val="0000002B"/>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29">
    <w:nsid w:val="0000002C"/>
    <w:multiLevelType w:val="multilevel"/>
    <w:tmpl w:val="0000002C"/>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30">
    <w:nsid w:val="0000002D"/>
    <w:multiLevelType w:val="multilevel"/>
    <w:tmpl w:val="0000002D"/>
    <w:lvl w:ilvl="0">
      <w:start w:val="1"/>
      <w:numFmt w:val="lowerLetter"/>
      <w:lvlText w:val="%1)"/>
      <w:lvlJc w:val="left"/>
      <w:pPr>
        <w:tabs>
          <w:tab w:val="num" w:pos="424"/>
        </w:tabs>
        <w:ind w:left="784" w:hanging="424"/>
      </w:pPr>
      <w:rPr>
        <w:rFonts w:cs="Times New Roman"/>
      </w:rPr>
    </w:lvl>
    <w:lvl w:ilvl="1">
      <w:start w:val="1"/>
      <w:numFmt w:val="lowerLetter"/>
      <w:lvlText w:val="%2."/>
      <w:lvlJc w:val="left"/>
      <w:pPr>
        <w:tabs>
          <w:tab w:val="num" w:pos="1144"/>
        </w:tabs>
        <w:ind w:left="1504" w:hanging="424"/>
      </w:pPr>
      <w:rPr>
        <w:rFonts w:cs="Times New Roman"/>
      </w:rPr>
    </w:lvl>
    <w:lvl w:ilvl="2">
      <w:start w:val="1"/>
      <w:numFmt w:val="lowerRoman"/>
      <w:lvlText w:val="%3."/>
      <w:lvlJc w:val="right"/>
      <w:pPr>
        <w:tabs>
          <w:tab w:val="num" w:pos="2044"/>
        </w:tabs>
        <w:ind w:left="2224" w:hanging="244"/>
      </w:pPr>
      <w:rPr>
        <w:rFonts w:cs="Times New Roman"/>
      </w:rPr>
    </w:lvl>
    <w:lvl w:ilvl="3">
      <w:start w:val="1"/>
      <w:numFmt w:val="decimal"/>
      <w:lvlText w:val="%4."/>
      <w:lvlJc w:val="left"/>
      <w:pPr>
        <w:tabs>
          <w:tab w:val="num" w:pos="2584"/>
        </w:tabs>
        <w:ind w:left="2944" w:hanging="424"/>
      </w:pPr>
      <w:rPr>
        <w:rFonts w:cs="Times New Roman"/>
      </w:rPr>
    </w:lvl>
    <w:lvl w:ilvl="4">
      <w:start w:val="1"/>
      <w:numFmt w:val="lowerLetter"/>
      <w:lvlText w:val="%5."/>
      <w:lvlJc w:val="left"/>
      <w:pPr>
        <w:tabs>
          <w:tab w:val="num" w:pos="3304"/>
        </w:tabs>
        <w:ind w:left="3664" w:hanging="424"/>
      </w:pPr>
      <w:rPr>
        <w:rFonts w:cs="Times New Roman"/>
      </w:rPr>
    </w:lvl>
    <w:lvl w:ilvl="5">
      <w:start w:val="1"/>
      <w:numFmt w:val="lowerRoman"/>
      <w:lvlText w:val="%6."/>
      <w:lvlJc w:val="right"/>
      <w:pPr>
        <w:tabs>
          <w:tab w:val="num" w:pos="4204"/>
        </w:tabs>
        <w:ind w:left="4384" w:hanging="244"/>
      </w:pPr>
      <w:rPr>
        <w:rFonts w:cs="Times New Roman"/>
      </w:rPr>
    </w:lvl>
    <w:lvl w:ilvl="6">
      <w:start w:val="1"/>
      <w:numFmt w:val="decimal"/>
      <w:lvlText w:val="%7."/>
      <w:lvlJc w:val="left"/>
      <w:pPr>
        <w:tabs>
          <w:tab w:val="num" w:pos="4744"/>
        </w:tabs>
        <w:ind w:left="5104" w:hanging="424"/>
      </w:pPr>
      <w:rPr>
        <w:rFonts w:cs="Times New Roman"/>
      </w:rPr>
    </w:lvl>
    <w:lvl w:ilvl="7">
      <w:start w:val="1"/>
      <w:numFmt w:val="lowerLetter"/>
      <w:lvlText w:val="%8."/>
      <w:lvlJc w:val="left"/>
      <w:pPr>
        <w:tabs>
          <w:tab w:val="num" w:pos="5464"/>
        </w:tabs>
        <w:ind w:left="5824" w:hanging="424"/>
      </w:pPr>
      <w:rPr>
        <w:rFonts w:cs="Times New Roman"/>
      </w:rPr>
    </w:lvl>
    <w:lvl w:ilvl="8">
      <w:start w:val="1"/>
      <w:numFmt w:val="lowerRoman"/>
      <w:lvlText w:val="%9."/>
      <w:lvlJc w:val="right"/>
      <w:pPr>
        <w:tabs>
          <w:tab w:val="num" w:pos="6364"/>
        </w:tabs>
        <w:ind w:left="6544" w:hanging="244"/>
      </w:pPr>
      <w:rPr>
        <w:rFonts w:cs="Times New Roman"/>
      </w:rPr>
    </w:lvl>
  </w:abstractNum>
  <w:abstractNum w:abstractNumId="31">
    <w:nsid w:val="0000002E"/>
    <w:multiLevelType w:val="multilevel"/>
    <w:tmpl w:val="0000002E"/>
    <w:lvl w:ilvl="0">
      <w:start w:val="1"/>
      <w:numFmt w:val="bullet"/>
      <w:lvlText w:val="●"/>
      <w:lvlJc w:val="left"/>
      <w:pPr>
        <w:tabs>
          <w:tab w:val="num" w:pos="1144"/>
        </w:tabs>
        <w:ind w:left="1504" w:hanging="1144"/>
      </w:pPr>
      <w:rPr>
        <w:rFonts w:ascii="Arial" w:eastAsia="Times New Roman" w:hAnsi="Arial"/>
      </w:rPr>
    </w:lvl>
    <w:lvl w:ilvl="1">
      <w:start w:val="1"/>
      <w:numFmt w:val="bullet"/>
      <w:lvlText w:val="o"/>
      <w:lvlJc w:val="left"/>
      <w:pPr>
        <w:tabs>
          <w:tab w:val="num" w:pos="1864"/>
        </w:tabs>
        <w:ind w:left="2224" w:hanging="1144"/>
      </w:pPr>
      <w:rPr>
        <w:rFonts w:ascii="Arial" w:eastAsia="Times New Roman" w:hAnsi="Arial"/>
      </w:rPr>
    </w:lvl>
    <w:lvl w:ilvl="2">
      <w:start w:val="1"/>
      <w:numFmt w:val="bullet"/>
      <w:lvlText w:val="▪"/>
      <w:lvlJc w:val="left"/>
      <w:pPr>
        <w:tabs>
          <w:tab w:val="num" w:pos="2584"/>
        </w:tabs>
        <w:ind w:left="2944" w:hanging="964"/>
      </w:pPr>
      <w:rPr>
        <w:rFonts w:ascii="Arial" w:eastAsia="Times New Roman" w:hAnsi="Arial"/>
      </w:rPr>
    </w:lvl>
    <w:lvl w:ilvl="3">
      <w:start w:val="1"/>
      <w:numFmt w:val="bullet"/>
      <w:lvlText w:val="●"/>
      <w:lvlJc w:val="left"/>
      <w:pPr>
        <w:tabs>
          <w:tab w:val="num" w:pos="3304"/>
        </w:tabs>
        <w:ind w:left="3664" w:hanging="1144"/>
      </w:pPr>
      <w:rPr>
        <w:rFonts w:ascii="Arial" w:eastAsia="Times New Roman" w:hAnsi="Arial"/>
      </w:rPr>
    </w:lvl>
    <w:lvl w:ilvl="4">
      <w:start w:val="1"/>
      <w:numFmt w:val="bullet"/>
      <w:lvlText w:val="o"/>
      <w:lvlJc w:val="left"/>
      <w:pPr>
        <w:tabs>
          <w:tab w:val="num" w:pos="4024"/>
        </w:tabs>
        <w:ind w:left="4384" w:hanging="1144"/>
      </w:pPr>
      <w:rPr>
        <w:rFonts w:ascii="Arial" w:eastAsia="Times New Roman" w:hAnsi="Arial"/>
      </w:rPr>
    </w:lvl>
    <w:lvl w:ilvl="5">
      <w:start w:val="1"/>
      <w:numFmt w:val="bullet"/>
      <w:lvlText w:val="▪"/>
      <w:lvlJc w:val="left"/>
      <w:pPr>
        <w:tabs>
          <w:tab w:val="num" w:pos="4744"/>
        </w:tabs>
        <w:ind w:left="5104" w:hanging="964"/>
      </w:pPr>
      <w:rPr>
        <w:rFonts w:ascii="Arial" w:eastAsia="Times New Roman" w:hAnsi="Arial"/>
      </w:rPr>
    </w:lvl>
    <w:lvl w:ilvl="6">
      <w:start w:val="1"/>
      <w:numFmt w:val="bullet"/>
      <w:lvlText w:val="●"/>
      <w:lvlJc w:val="left"/>
      <w:pPr>
        <w:tabs>
          <w:tab w:val="num" w:pos="5464"/>
        </w:tabs>
        <w:ind w:left="5824" w:hanging="1144"/>
      </w:pPr>
      <w:rPr>
        <w:rFonts w:ascii="Arial" w:eastAsia="Times New Roman" w:hAnsi="Arial"/>
      </w:rPr>
    </w:lvl>
    <w:lvl w:ilvl="7">
      <w:start w:val="1"/>
      <w:numFmt w:val="bullet"/>
      <w:lvlText w:val="o"/>
      <w:lvlJc w:val="left"/>
      <w:pPr>
        <w:tabs>
          <w:tab w:val="num" w:pos="6184"/>
        </w:tabs>
        <w:ind w:left="6544" w:hanging="1144"/>
      </w:pPr>
      <w:rPr>
        <w:rFonts w:ascii="Arial" w:eastAsia="Times New Roman" w:hAnsi="Arial"/>
      </w:rPr>
    </w:lvl>
    <w:lvl w:ilvl="8">
      <w:start w:val="1"/>
      <w:numFmt w:val="bullet"/>
      <w:lvlText w:val="▪"/>
      <w:lvlJc w:val="left"/>
      <w:pPr>
        <w:tabs>
          <w:tab w:val="num" w:pos="6904"/>
        </w:tabs>
        <w:ind w:left="7264" w:hanging="964"/>
      </w:pPr>
      <w:rPr>
        <w:rFonts w:ascii="Arial" w:eastAsia="Times New Roman" w:hAnsi="Arial"/>
      </w:rPr>
    </w:lvl>
  </w:abstractNum>
  <w:abstractNum w:abstractNumId="32">
    <w:nsid w:val="0000002F"/>
    <w:multiLevelType w:val="multilevel"/>
    <w:tmpl w:val="0000002F"/>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33">
    <w:nsid w:val="00000030"/>
    <w:multiLevelType w:val="multilevel"/>
    <w:tmpl w:val="A3BA966A"/>
    <w:lvl w:ilvl="0">
      <w:start w:val="1"/>
      <w:numFmt w:val="decimal"/>
      <w:lvlText w:val="%1."/>
      <w:lvlJc w:val="left"/>
      <w:pPr>
        <w:tabs>
          <w:tab w:val="num" w:pos="360"/>
        </w:tabs>
        <w:ind w:left="720" w:hanging="360"/>
      </w:pPr>
      <w:rPr>
        <w:rFonts w:cs="Times New Roman"/>
      </w:rPr>
    </w:lvl>
    <w:lvl w:ilvl="1">
      <w:start w:val="2"/>
      <w:numFmt w:val="decimal"/>
      <w:lvlText w:val="%1.%2"/>
      <w:lvlJc w:val="left"/>
      <w:pPr>
        <w:tabs>
          <w:tab w:val="num" w:pos="360"/>
        </w:tabs>
        <w:ind w:left="720" w:firstLine="360"/>
      </w:pPr>
      <w:rPr>
        <w:rFonts w:cs="Times New Roman"/>
      </w:rPr>
    </w:lvl>
    <w:lvl w:ilvl="2">
      <w:start w:val="1"/>
      <w:numFmt w:val="decimal"/>
      <w:lvlText w:val="%1.%2.%3"/>
      <w:lvlJc w:val="left"/>
      <w:pPr>
        <w:tabs>
          <w:tab w:val="num" w:pos="360"/>
        </w:tabs>
        <w:ind w:left="1080" w:firstLine="900"/>
      </w:pPr>
      <w:rPr>
        <w:rFonts w:cs="Times New Roman"/>
      </w:rPr>
    </w:lvl>
    <w:lvl w:ilvl="3">
      <w:start w:val="1"/>
      <w:numFmt w:val="decimal"/>
      <w:lvlText w:val="%1.%2.%3.%4"/>
      <w:lvlJc w:val="left"/>
      <w:pPr>
        <w:tabs>
          <w:tab w:val="num" w:pos="360"/>
        </w:tabs>
        <w:ind w:left="1080" w:firstLine="1440"/>
      </w:pPr>
      <w:rPr>
        <w:rFonts w:cs="Times New Roman"/>
      </w:rPr>
    </w:lvl>
    <w:lvl w:ilvl="4">
      <w:start w:val="1"/>
      <w:numFmt w:val="decimal"/>
      <w:lvlText w:val="%1.%2.%3.%4.%5"/>
      <w:lvlJc w:val="left"/>
      <w:pPr>
        <w:tabs>
          <w:tab w:val="num" w:pos="360"/>
        </w:tabs>
        <w:ind w:left="1440" w:firstLine="1800"/>
      </w:pPr>
      <w:rPr>
        <w:rFonts w:cs="Times New Roman"/>
      </w:rPr>
    </w:lvl>
    <w:lvl w:ilvl="5">
      <w:start w:val="1"/>
      <w:numFmt w:val="decimal"/>
      <w:lvlText w:val="%1.%2.%3.%4.%5.%6"/>
      <w:lvlJc w:val="left"/>
      <w:pPr>
        <w:tabs>
          <w:tab w:val="num" w:pos="360"/>
        </w:tabs>
        <w:ind w:left="1440" w:firstLine="2700"/>
      </w:pPr>
      <w:rPr>
        <w:rFonts w:cs="Times New Roman"/>
      </w:rPr>
    </w:lvl>
    <w:lvl w:ilvl="6">
      <w:start w:val="1"/>
      <w:numFmt w:val="decimal"/>
      <w:lvlText w:val="%1.%2.%3.%4.%5.%6.%7"/>
      <w:lvlJc w:val="left"/>
      <w:pPr>
        <w:tabs>
          <w:tab w:val="num" w:pos="360"/>
        </w:tabs>
        <w:ind w:left="1800" w:firstLine="2880"/>
      </w:pPr>
      <w:rPr>
        <w:rFonts w:cs="Times New Roman"/>
      </w:rPr>
    </w:lvl>
    <w:lvl w:ilvl="7">
      <w:numFmt w:val="none"/>
      <w:lvlText w:val=""/>
      <w:lvlJc w:val="left"/>
      <w:pPr>
        <w:tabs>
          <w:tab w:val="num" w:pos="360"/>
        </w:tabs>
      </w:pPr>
      <w:rPr>
        <w:rFonts w:cs="Times New Roman"/>
      </w:rPr>
    </w:lvl>
    <w:lvl w:ilvl="8">
      <w:start w:val="1"/>
      <w:numFmt w:val="decimal"/>
      <w:lvlText w:val="%1.%2.%3.%4.%5.%6.%7.%8.%9"/>
      <w:lvlJc w:val="left"/>
      <w:pPr>
        <w:tabs>
          <w:tab w:val="num" w:pos="360"/>
        </w:tabs>
        <w:ind w:left="2160" w:firstLine="4140"/>
      </w:pPr>
      <w:rPr>
        <w:rFonts w:cs="Times New Roman"/>
      </w:rPr>
    </w:lvl>
  </w:abstractNum>
  <w:abstractNum w:abstractNumId="34">
    <w:nsid w:val="00000031"/>
    <w:multiLevelType w:val="multilevel"/>
    <w:tmpl w:val="00000031"/>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35">
    <w:nsid w:val="00000032"/>
    <w:multiLevelType w:val="multilevel"/>
    <w:tmpl w:val="00000032"/>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36">
    <w:nsid w:val="00000033"/>
    <w:multiLevelType w:val="multilevel"/>
    <w:tmpl w:val="00000033"/>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37">
    <w:nsid w:val="00000034"/>
    <w:multiLevelType w:val="multilevel"/>
    <w:tmpl w:val="00000034"/>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38">
    <w:nsid w:val="00000035"/>
    <w:multiLevelType w:val="multilevel"/>
    <w:tmpl w:val="00000035"/>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39">
    <w:nsid w:val="00000036"/>
    <w:multiLevelType w:val="multilevel"/>
    <w:tmpl w:val="00000036"/>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40">
    <w:nsid w:val="00000037"/>
    <w:multiLevelType w:val="multilevel"/>
    <w:tmpl w:val="00000037"/>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41">
    <w:nsid w:val="00000038"/>
    <w:multiLevelType w:val="multilevel"/>
    <w:tmpl w:val="00000038"/>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42">
    <w:nsid w:val="00000039"/>
    <w:multiLevelType w:val="multilevel"/>
    <w:tmpl w:val="00000039"/>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43">
    <w:nsid w:val="0000003A"/>
    <w:multiLevelType w:val="multilevel"/>
    <w:tmpl w:val="0000003A"/>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44">
    <w:nsid w:val="0000003B"/>
    <w:multiLevelType w:val="multilevel"/>
    <w:tmpl w:val="0000003B"/>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45">
    <w:nsid w:val="0000003C"/>
    <w:multiLevelType w:val="multilevel"/>
    <w:tmpl w:val="0000003C"/>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46">
    <w:nsid w:val="0000003D"/>
    <w:multiLevelType w:val="multilevel"/>
    <w:tmpl w:val="0000003D"/>
    <w:lvl w:ilvl="0">
      <w:start w:val="1"/>
      <w:numFmt w:val="bullet"/>
      <w:lvlText w:val="●"/>
      <w:lvlJc w:val="left"/>
      <w:pPr>
        <w:tabs>
          <w:tab w:val="num" w:pos="360"/>
        </w:tabs>
        <w:ind w:left="720" w:hanging="360"/>
      </w:pPr>
      <w:rPr>
        <w:rFonts w:ascii="Arial" w:eastAsia="Times New Roman" w:hAnsi="Arial"/>
        <w:sz w:val="24"/>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47">
    <w:nsid w:val="0000003E"/>
    <w:multiLevelType w:val="multilevel"/>
    <w:tmpl w:val="0000003E"/>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48">
    <w:nsid w:val="0000003F"/>
    <w:multiLevelType w:val="multilevel"/>
    <w:tmpl w:val="0000003F"/>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49">
    <w:nsid w:val="00000042"/>
    <w:multiLevelType w:val="multilevel"/>
    <w:tmpl w:val="00000042"/>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0">
    <w:nsid w:val="00000044"/>
    <w:multiLevelType w:val="multilevel"/>
    <w:tmpl w:val="E9D2DF18"/>
    <w:lvl w:ilvl="0">
      <w:start w:val="1"/>
      <w:numFmt w:val="decimal"/>
      <w:lvlText w:val="%1."/>
      <w:lvlJc w:val="left"/>
      <w:pPr>
        <w:tabs>
          <w:tab w:val="num" w:pos="360"/>
        </w:tabs>
        <w:ind w:left="720" w:hanging="360"/>
      </w:pPr>
      <w:rPr>
        <w:rFonts w:cs="Times New Roman"/>
      </w:rPr>
    </w:lvl>
    <w:lvl w:ilvl="1">
      <w:start w:val="2"/>
      <w:numFmt w:val="decimal"/>
      <w:lvlText w:val="%1.%2"/>
      <w:lvlJc w:val="left"/>
      <w:pPr>
        <w:tabs>
          <w:tab w:val="num" w:pos="360"/>
        </w:tabs>
        <w:ind w:left="720" w:firstLine="360"/>
      </w:pPr>
      <w:rPr>
        <w:rFonts w:cs="Times New Roman"/>
        <w:b/>
        <w:bCs/>
        <w:i w:val="0"/>
        <w:iCs w:val="0"/>
      </w:rPr>
    </w:lvl>
    <w:lvl w:ilvl="2">
      <w:start w:val="1"/>
      <w:numFmt w:val="decimal"/>
      <w:lvlText w:val="%1.%2.%3"/>
      <w:lvlJc w:val="left"/>
      <w:pPr>
        <w:tabs>
          <w:tab w:val="num" w:pos="360"/>
        </w:tabs>
        <w:ind w:left="1080" w:firstLine="900"/>
      </w:pPr>
      <w:rPr>
        <w:rFonts w:cs="Times New Roman"/>
        <w:b w:val="0"/>
        <w:bCs w:val="0"/>
        <w:i w:val="0"/>
        <w:iCs w:val="0"/>
      </w:rPr>
    </w:lvl>
    <w:lvl w:ilvl="3">
      <w:start w:val="1"/>
      <w:numFmt w:val="decimal"/>
      <w:lvlText w:val="%1.%2.%3.%4"/>
      <w:lvlJc w:val="left"/>
      <w:pPr>
        <w:tabs>
          <w:tab w:val="num" w:pos="360"/>
        </w:tabs>
        <w:ind w:left="1080" w:firstLine="1440"/>
      </w:pPr>
      <w:rPr>
        <w:rFonts w:cs="Times New Roman"/>
        <w:b w:val="0"/>
        <w:bCs w:val="0"/>
        <w:i w:val="0"/>
        <w:iCs w:val="0"/>
      </w:rPr>
    </w:lvl>
    <w:lvl w:ilvl="4">
      <w:start w:val="1"/>
      <w:numFmt w:val="decimal"/>
      <w:lvlText w:val="%1.%2.%3.%4.%5"/>
      <w:lvlJc w:val="left"/>
      <w:pPr>
        <w:tabs>
          <w:tab w:val="num" w:pos="360"/>
        </w:tabs>
        <w:ind w:left="1440" w:firstLine="1800"/>
      </w:pPr>
      <w:rPr>
        <w:rFonts w:cs="Times New Roman"/>
        <w:b w:val="0"/>
        <w:bCs w:val="0"/>
        <w:i w:val="0"/>
        <w:iCs w:val="0"/>
      </w:rPr>
    </w:lvl>
    <w:lvl w:ilvl="5">
      <w:start w:val="1"/>
      <w:numFmt w:val="decimal"/>
      <w:lvlText w:val="%1.%2.%3.%4.%5.%6"/>
      <w:lvlJc w:val="left"/>
      <w:pPr>
        <w:tabs>
          <w:tab w:val="num" w:pos="360"/>
        </w:tabs>
        <w:ind w:left="1440" w:firstLine="2700"/>
      </w:pPr>
      <w:rPr>
        <w:rFonts w:cs="Times New Roman"/>
        <w:b w:val="0"/>
        <w:bCs w:val="0"/>
        <w:i w:val="0"/>
        <w:iCs w:val="0"/>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51">
    <w:nsid w:val="00000045"/>
    <w:multiLevelType w:val="multilevel"/>
    <w:tmpl w:val="00000045"/>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2">
    <w:nsid w:val="00000046"/>
    <w:multiLevelType w:val="multilevel"/>
    <w:tmpl w:val="00000046"/>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3">
    <w:nsid w:val="00000047"/>
    <w:multiLevelType w:val="multilevel"/>
    <w:tmpl w:val="00000047"/>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4">
    <w:nsid w:val="00000048"/>
    <w:multiLevelType w:val="multilevel"/>
    <w:tmpl w:val="00000048"/>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5">
    <w:nsid w:val="00000049"/>
    <w:multiLevelType w:val="multilevel"/>
    <w:tmpl w:val="00000049"/>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6">
    <w:nsid w:val="0000004A"/>
    <w:multiLevelType w:val="multilevel"/>
    <w:tmpl w:val="0000004A"/>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7">
    <w:nsid w:val="0000004B"/>
    <w:multiLevelType w:val="multilevel"/>
    <w:tmpl w:val="0000004B"/>
    <w:lvl w:ilvl="0">
      <w:start w:val="3"/>
      <w:numFmt w:val="bullet"/>
      <w:lvlText w:val="-"/>
      <w:lvlJc w:val="left"/>
      <w:pPr>
        <w:tabs>
          <w:tab w:val="num" w:pos="360"/>
        </w:tabs>
        <w:ind w:left="720" w:hanging="360"/>
      </w:pPr>
      <w:rPr>
        <w:rFonts w:ascii="Arial" w:eastAsia="Times New Roman" w:hAnsi="Arial"/>
        <w:sz w:val="24"/>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8">
    <w:nsid w:val="0000004C"/>
    <w:multiLevelType w:val="multilevel"/>
    <w:tmpl w:val="0000004C"/>
    <w:lvl w:ilvl="0">
      <w:start w:val="3"/>
      <w:numFmt w:val="bullet"/>
      <w:lvlText w:val="-"/>
      <w:lvlJc w:val="left"/>
      <w:pPr>
        <w:tabs>
          <w:tab w:val="num" w:pos="360"/>
        </w:tabs>
        <w:ind w:left="720" w:hanging="360"/>
      </w:pPr>
      <w:rPr>
        <w:rFonts w:ascii="Arial" w:eastAsia="Times New Roman" w:hAnsi="Arial"/>
        <w:sz w:val="24"/>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59">
    <w:nsid w:val="0000004D"/>
    <w:multiLevelType w:val="multilevel"/>
    <w:tmpl w:val="0000004D"/>
    <w:lvl w:ilvl="0">
      <w:start w:val="3"/>
      <w:numFmt w:val="bullet"/>
      <w:lvlText w:val="-"/>
      <w:lvlJc w:val="left"/>
      <w:pPr>
        <w:tabs>
          <w:tab w:val="num" w:pos="360"/>
        </w:tabs>
        <w:ind w:left="720" w:hanging="360"/>
      </w:pPr>
      <w:rPr>
        <w:rFonts w:ascii="Arial" w:eastAsia="Times New Roman" w:hAnsi="Arial"/>
        <w:sz w:val="24"/>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60">
    <w:nsid w:val="0000004E"/>
    <w:multiLevelType w:val="multilevel"/>
    <w:tmpl w:val="0000004E"/>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61">
    <w:nsid w:val="0000004F"/>
    <w:multiLevelType w:val="multilevel"/>
    <w:tmpl w:val="0000004F"/>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62">
    <w:nsid w:val="00000050"/>
    <w:multiLevelType w:val="multilevel"/>
    <w:tmpl w:val="00000050"/>
    <w:lvl w:ilvl="0">
      <w:start w:val="1"/>
      <w:numFmt w:val="bullet"/>
      <w:lvlText w:val="−"/>
      <w:lvlJc w:val="left"/>
      <w:pPr>
        <w:tabs>
          <w:tab w:val="num" w:pos="786"/>
        </w:tabs>
        <w:ind w:left="1146" w:hanging="786"/>
      </w:pPr>
      <w:rPr>
        <w:rFonts w:ascii="Arial" w:eastAsia="Times New Roman" w:hAnsi="Arial"/>
      </w:rPr>
    </w:lvl>
    <w:lvl w:ilvl="1">
      <w:start w:val="1"/>
      <w:numFmt w:val="bullet"/>
      <w:lvlText w:val="o"/>
      <w:lvlJc w:val="left"/>
      <w:pPr>
        <w:tabs>
          <w:tab w:val="num" w:pos="1506"/>
        </w:tabs>
        <w:ind w:left="1866" w:hanging="786"/>
      </w:pPr>
      <w:rPr>
        <w:rFonts w:ascii="Arial" w:eastAsia="Times New Roman" w:hAnsi="Arial"/>
      </w:rPr>
    </w:lvl>
    <w:lvl w:ilvl="2">
      <w:start w:val="1"/>
      <w:numFmt w:val="bullet"/>
      <w:lvlText w:val="▪"/>
      <w:lvlJc w:val="left"/>
      <w:pPr>
        <w:tabs>
          <w:tab w:val="num" w:pos="2226"/>
        </w:tabs>
        <w:ind w:left="2586" w:hanging="606"/>
      </w:pPr>
      <w:rPr>
        <w:rFonts w:ascii="Arial" w:eastAsia="Times New Roman" w:hAnsi="Arial"/>
      </w:rPr>
    </w:lvl>
    <w:lvl w:ilvl="3">
      <w:start w:val="1"/>
      <w:numFmt w:val="bullet"/>
      <w:lvlText w:val="●"/>
      <w:lvlJc w:val="left"/>
      <w:pPr>
        <w:tabs>
          <w:tab w:val="num" w:pos="2946"/>
        </w:tabs>
        <w:ind w:left="3306" w:hanging="786"/>
      </w:pPr>
      <w:rPr>
        <w:rFonts w:ascii="Arial" w:eastAsia="Times New Roman" w:hAnsi="Arial"/>
      </w:rPr>
    </w:lvl>
    <w:lvl w:ilvl="4">
      <w:start w:val="1"/>
      <w:numFmt w:val="bullet"/>
      <w:lvlText w:val="o"/>
      <w:lvlJc w:val="left"/>
      <w:pPr>
        <w:tabs>
          <w:tab w:val="num" w:pos="3666"/>
        </w:tabs>
        <w:ind w:left="4026" w:hanging="786"/>
      </w:pPr>
      <w:rPr>
        <w:rFonts w:ascii="Arial" w:eastAsia="Times New Roman" w:hAnsi="Arial"/>
      </w:rPr>
    </w:lvl>
    <w:lvl w:ilvl="5">
      <w:start w:val="1"/>
      <w:numFmt w:val="bullet"/>
      <w:lvlText w:val="▪"/>
      <w:lvlJc w:val="left"/>
      <w:pPr>
        <w:tabs>
          <w:tab w:val="num" w:pos="4386"/>
        </w:tabs>
        <w:ind w:left="4746" w:hanging="606"/>
      </w:pPr>
      <w:rPr>
        <w:rFonts w:ascii="Arial" w:eastAsia="Times New Roman" w:hAnsi="Arial"/>
      </w:rPr>
    </w:lvl>
    <w:lvl w:ilvl="6">
      <w:start w:val="1"/>
      <w:numFmt w:val="bullet"/>
      <w:lvlText w:val="●"/>
      <w:lvlJc w:val="left"/>
      <w:pPr>
        <w:tabs>
          <w:tab w:val="num" w:pos="5106"/>
        </w:tabs>
        <w:ind w:left="5466" w:hanging="786"/>
      </w:pPr>
      <w:rPr>
        <w:rFonts w:ascii="Arial" w:eastAsia="Times New Roman" w:hAnsi="Arial"/>
      </w:rPr>
    </w:lvl>
    <w:lvl w:ilvl="7">
      <w:start w:val="1"/>
      <w:numFmt w:val="bullet"/>
      <w:lvlText w:val="o"/>
      <w:lvlJc w:val="left"/>
      <w:pPr>
        <w:tabs>
          <w:tab w:val="num" w:pos="5826"/>
        </w:tabs>
        <w:ind w:left="6186" w:hanging="786"/>
      </w:pPr>
      <w:rPr>
        <w:rFonts w:ascii="Arial" w:eastAsia="Times New Roman" w:hAnsi="Arial"/>
      </w:rPr>
    </w:lvl>
    <w:lvl w:ilvl="8">
      <w:start w:val="1"/>
      <w:numFmt w:val="bullet"/>
      <w:lvlText w:val="▪"/>
      <w:lvlJc w:val="left"/>
      <w:pPr>
        <w:tabs>
          <w:tab w:val="num" w:pos="6546"/>
        </w:tabs>
        <w:ind w:left="6906" w:hanging="606"/>
      </w:pPr>
      <w:rPr>
        <w:rFonts w:ascii="Arial" w:eastAsia="Times New Roman" w:hAnsi="Arial"/>
      </w:rPr>
    </w:lvl>
  </w:abstractNum>
  <w:abstractNum w:abstractNumId="63">
    <w:nsid w:val="00000051"/>
    <w:multiLevelType w:val="multilevel"/>
    <w:tmpl w:val="00000051"/>
    <w:lvl w:ilvl="0">
      <w:start w:val="1"/>
      <w:numFmt w:val="lowerLetter"/>
      <w:lvlText w:val="%1)"/>
      <w:lvlJc w:val="left"/>
      <w:pPr>
        <w:tabs>
          <w:tab w:val="num" w:pos="424"/>
        </w:tabs>
        <w:ind w:left="784" w:hanging="424"/>
      </w:pPr>
      <w:rPr>
        <w:rFonts w:cs="Times New Roman"/>
      </w:rPr>
    </w:lvl>
    <w:lvl w:ilvl="1">
      <w:start w:val="1"/>
      <w:numFmt w:val="lowerLetter"/>
      <w:lvlText w:val="%2."/>
      <w:lvlJc w:val="left"/>
      <w:pPr>
        <w:tabs>
          <w:tab w:val="num" w:pos="1144"/>
        </w:tabs>
        <w:ind w:left="1504" w:hanging="424"/>
      </w:pPr>
      <w:rPr>
        <w:rFonts w:cs="Times New Roman"/>
      </w:rPr>
    </w:lvl>
    <w:lvl w:ilvl="2">
      <w:start w:val="1"/>
      <w:numFmt w:val="lowerRoman"/>
      <w:lvlText w:val="%3."/>
      <w:lvlJc w:val="right"/>
      <w:pPr>
        <w:tabs>
          <w:tab w:val="num" w:pos="2044"/>
        </w:tabs>
        <w:ind w:left="2224" w:hanging="244"/>
      </w:pPr>
      <w:rPr>
        <w:rFonts w:cs="Times New Roman"/>
      </w:rPr>
    </w:lvl>
    <w:lvl w:ilvl="3">
      <w:start w:val="1"/>
      <w:numFmt w:val="decimal"/>
      <w:lvlText w:val="%4."/>
      <w:lvlJc w:val="left"/>
      <w:pPr>
        <w:tabs>
          <w:tab w:val="num" w:pos="2584"/>
        </w:tabs>
        <w:ind w:left="2944" w:hanging="424"/>
      </w:pPr>
      <w:rPr>
        <w:rFonts w:cs="Times New Roman"/>
      </w:rPr>
    </w:lvl>
    <w:lvl w:ilvl="4">
      <w:start w:val="1"/>
      <w:numFmt w:val="lowerLetter"/>
      <w:lvlText w:val="%5."/>
      <w:lvlJc w:val="left"/>
      <w:pPr>
        <w:tabs>
          <w:tab w:val="num" w:pos="3304"/>
        </w:tabs>
        <w:ind w:left="3664" w:hanging="424"/>
      </w:pPr>
      <w:rPr>
        <w:rFonts w:cs="Times New Roman"/>
      </w:rPr>
    </w:lvl>
    <w:lvl w:ilvl="5">
      <w:start w:val="1"/>
      <w:numFmt w:val="lowerRoman"/>
      <w:lvlText w:val="%6."/>
      <w:lvlJc w:val="right"/>
      <w:pPr>
        <w:tabs>
          <w:tab w:val="num" w:pos="4204"/>
        </w:tabs>
        <w:ind w:left="4384" w:hanging="244"/>
      </w:pPr>
      <w:rPr>
        <w:rFonts w:cs="Times New Roman"/>
      </w:rPr>
    </w:lvl>
    <w:lvl w:ilvl="6">
      <w:start w:val="1"/>
      <w:numFmt w:val="decimal"/>
      <w:lvlText w:val="%7."/>
      <w:lvlJc w:val="left"/>
      <w:pPr>
        <w:tabs>
          <w:tab w:val="num" w:pos="4744"/>
        </w:tabs>
        <w:ind w:left="5104" w:hanging="424"/>
      </w:pPr>
      <w:rPr>
        <w:rFonts w:cs="Times New Roman"/>
      </w:rPr>
    </w:lvl>
    <w:lvl w:ilvl="7">
      <w:start w:val="1"/>
      <w:numFmt w:val="lowerLetter"/>
      <w:lvlText w:val="%8."/>
      <w:lvlJc w:val="left"/>
      <w:pPr>
        <w:tabs>
          <w:tab w:val="num" w:pos="5464"/>
        </w:tabs>
        <w:ind w:left="5824" w:hanging="424"/>
      </w:pPr>
      <w:rPr>
        <w:rFonts w:cs="Times New Roman"/>
      </w:rPr>
    </w:lvl>
    <w:lvl w:ilvl="8">
      <w:start w:val="1"/>
      <w:numFmt w:val="lowerRoman"/>
      <w:lvlText w:val="%9."/>
      <w:lvlJc w:val="right"/>
      <w:pPr>
        <w:tabs>
          <w:tab w:val="num" w:pos="6364"/>
        </w:tabs>
        <w:ind w:left="6544" w:hanging="244"/>
      </w:pPr>
      <w:rPr>
        <w:rFonts w:cs="Times New Roman"/>
      </w:rPr>
    </w:lvl>
  </w:abstractNum>
  <w:abstractNum w:abstractNumId="64">
    <w:nsid w:val="00000052"/>
    <w:multiLevelType w:val="multilevel"/>
    <w:tmpl w:val="00000052"/>
    <w:lvl w:ilvl="0">
      <w:start w:val="1"/>
      <w:numFmt w:val="bullet"/>
      <w:lvlText w:val="−"/>
      <w:lvlJc w:val="left"/>
      <w:pPr>
        <w:tabs>
          <w:tab w:val="num" w:pos="1080"/>
        </w:tabs>
        <w:ind w:left="1440" w:hanging="1080"/>
      </w:pPr>
      <w:rPr>
        <w:rFonts w:ascii="Arial" w:eastAsia="Times New Roman" w:hAnsi="Arial"/>
      </w:rPr>
    </w:lvl>
    <w:lvl w:ilvl="1">
      <w:start w:val="1"/>
      <w:numFmt w:val="bullet"/>
      <w:lvlText w:val="o"/>
      <w:lvlJc w:val="left"/>
      <w:pPr>
        <w:tabs>
          <w:tab w:val="num" w:pos="1800"/>
        </w:tabs>
        <w:ind w:left="2160" w:hanging="1080"/>
      </w:pPr>
      <w:rPr>
        <w:rFonts w:ascii="Arial" w:eastAsia="Times New Roman" w:hAnsi="Arial"/>
      </w:rPr>
    </w:lvl>
    <w:lvl w:ilvl="2">
      <w:start w:val="1"/>
      <w:numFmt w:val="bullet"/>
      <w:lvlText w:val="▪"/>
      <w:lvlJc w:val="left"/>
      <w:pPr>
        <w:tabs>
          <w:tab w:val="num" w:pos="2520"/>
        </w:tabs>
        <w:ind w:left="2880" w:hanging="900"/>
      </w:pPr>
      <w:rPr>
        <w:rFonts w:ascii="Arial" w:eastAsia="Times New Roman" w:hAnsi="Arial"/>
      </w:rPr>
    </w:lvl>
    <w:lvl w:ilvl="3">
      <w:start w:val="1"/>
      <w:numFmt w:val="bullet"/>
      <w:lvlText w:val="●"/>
      <w:lvlJc w:val="left"/>
      <w:pPr>
        <w:tabs>
          <w:tab w:val="num" w:pos="3240"/>
        </w:tabs>
        <w:ind w:left="3600" w:hanging="1080"/>
      </w:pPr>
      <w:rPr>
        <w:rFonts w:ascii="Arial" w:eastAsia="Times New Roman" w:hAnsi="Arial"/>
      </w:rPr>
    </w:lvl>
    <w:lvl w:ilvl="4">
      <w:start w:val="1"/>
      <w:numFmt w:val="bullet"/>
      <w:lvlText w:val="o"/>
      <w:lvlJc w:val="left"/>
      <w:pPr>
        <w:tabs>
          <w:tab w:val="num" w:pos="3960"/>
        </w:tabs>
        <w:ind w:left="4320" w:hanging="1080"/>
      </w:pPr>
      <w:rPr>
        <w:rFonts w:ascii="Arial" w:eastAsia="Times New Roman" w:hAnsi="Arial"/>
      </w:rPr>
    </w:lvl>
    <w:lvl w:ilvl="5">
      <w:start w:val="1"/>
      <w:numFmt w:val="bullet"/>
      <w:lvlText w:val="▪"/>
      <w:lvlJc w:val="left"/>
      <w:pPr>
        <w:tabs>
          <w:tab w:val="num" w:pos="4680"/>
        </w:tabs>
        <w:ind w:left="5040" w:hanging="900"/>
      </w:pPr>
      <w:rPr>
        <w:rFonts w:ascii="Arial" w:eastAsia="Times New Roman" w:hAnsi="Arial"/>
      </w:rPr>
    </w:lvl>
    <w:lvl w:ilvl="6">
      <w:start w:val="1"/>
      <w:numFmt w:val="bullet"/>
      <w:lvlText w:val="●"/>
      <w:lvlJc w:val="left"/>
      <w:pPr>
        <w:tabs>
          <w:tab w:val="num" w:pos="5400"/>
        </w:tabs>
        <w:ind w:left="5760" w:hanging="1080"/>
      </w:pPr>
      <w:rPr>
        <w:rFonts w:ascii="Arial" w:eastAsia="Times New Roman" w:hAnsi="Arial"/>
      </w:rPr>
    </w:lvl>
    <w:lvl w:ilvl="7">
      <w:start w:val="1"/>
      <w:numFmt w:val="bullet"/>
      <w:lvlText w:val="o"/>
      <w:lvlJc w:val="left"/>
      <w:pPr>
        <w:tabs>
          <w:tab w:val="num" w:pos="6120"/>
        </w:tabs>
        <w:ind w:left="6480" w:hanging="1080"/>
      </w:pPr>
      <w:rPr>
        <w:rFonts w:ascii="Arial" w:eastAsia="Times New Roman" w:hAnsi="Arial"/>
      </w:rPr>
    </w:lvl>
    <w:lvl w:ilvl="8">
      <w:start w:val="1"/>
      <w:numFmt w:val="bullet"/>
      <w:lvlText w:val="▪"/>
      <w:lvlJc w:val="left"/>
      <w:pPr>
        <w:tabs>
          <w:tab w:val="num" w:pos="6840"/>
        </w:tabs>
        <w:ind w:left="7200" w:hanging="900"/>
      </w:pPr>
      <w:rPr>
        <w:rFonts w:ascii="Arial" w:eastAsia="Times New Roman" w:hAnsi="Arial"/>
      </w:rPr>
    </w:lvl>
  </w:abstractNum>
  <w:abstractNum w:abstractNumId="65">
    <w:nsid w:val="00000053"/>
    <w:multiLevelType w:val="multilevel"/>
    <w:tmpl w:val="00000053"/>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66">
    <w:nsid w:val="00000054"/>
    <w:multiLevelType w:val="multilevel"/>
    <w:tmpl w:val="332C88DC"/>
    <w:lvl w:ilvl="0">
      <w:start w:val="1"/>
      <w:numFmt w:val="decimal"/>
      <w:lvlText w:val="%1."/>
      <w:lvlJc w:val="left"/>
      <w:pPr>
        <w:tabs>
          <w:tab w:val="num" w:pos="360"/>
        </w:tabs>
        <w:ind w:left="720" w:hanging="360"/>
      </w:pPr>
      <w:rPr>
        <w:rFonts w:cs="Times New Roman"/>
      </w:rPr>
    </w:lvl>
    <w:lvl w:ilvl="1">
      <w:start w:val="2"/>
      <w:numFmt w:val="decimal"/>
      <w:lvlText w:val="%1.%2"/>
      <w:lvlJc w:val="left"/>
      <w:pPr>
        <w:tabs>
          <w:tab w:val="num" w:pos="360"/>
        </w:tabs>
        <w:ind w:left="720" w:firstLine="360"/>
      </w:pPr>
      <w:rPr>
        <w:rFonts w:cs="Times New Roman"/>
      </w:rPr>
    </w:lvl>
    <w:lvl w:ilvl="2">
      <w:start w:val="1"/>
      <w:numFmt w:val="decimal"/>
      <w:lvlText w:val="%1.%2.%3"/>
      <w:lvlJc w:val="left"/>
      <w:pPr>
        <w:tabs>
          <w:tab w:val="num" w:pos="360"/>
        </w:tabs>
        <w:ind w:left="1080" w:firstLine="900"/>
      </w:pPr>
      <w:rPr>
        <w:rFonts w:cs="Times New Roman"/>
      </w:rPr>
    </w:lvl>
    <w:lvl w:ilvl="3">
      <w:start w:val="1"/>
      <w:numFmt w:val="decimal"/>
      <w:lvlText w:val="%1.%2.%3.%4"/>
      <w:lvlJc w:val="left"/>
      <w:pPr>
        <w:tabs>
          <w:tab w:val="num" w:pos="360"/>
        </w:tabs>
        <w:ind w:left="1080" w:firstLine="1440"/>
      </w:pPr>
      <w:rPr>
        <w:rFonts w:cs="Times New Roman"/>
      </w:rPr>
    </w:lvl>
    <w:lvl w:ilvl="4">
      <w:start w:val="1"/>
      <w:numFmt w:val="decimal"/>
      <w:lvlText w:val="%1.%2.%3.%4.%5"/>
      <w:lvlJc w:val="left"/>
      <w:pPr>
        <w:tabs>
          <w:tab w:val="num" w:pos="360"/>
        </w:tabs>
        <w:ind w:left="1440" w:firstLine="1800"/>
      </w:pPr>
      <w:rPr>
        <w:rFonts w:cs="Times New Roman"/>
      </w:rPr>
    </w:lvl>
    <w:lvl w:ilvl="5">
      <w:start w:val="1"/>
      <w:numFmt w:val="decimal"/>
      <w:lvlText w:val="%1.%2.%3.%4.%5.%6"/>
      <w:lvlJc w:val="left"/>
      <w:pPr>
        <w:tabs>
          <w:tab w:val="num" w:pos="360"/>
        </w:tabs>
        <w:ind w:left="1440" w:firstLine="2700"/>
      </w:pPr>
      <w:rPr>
        <w:rFonts w:cs="Times New Roman"/>
      </w:rPr>
    </w:lvl>
    <w:lvl w:ilvl="6">
      <w:start w:val="1"/>
      <w:numFmt w:val="decimal"/>
      <w:lvlText w:val="%1.%2.%3.%4.%5.%6.%7"/>
      <w:lvlJc w:val="left"/>
      <w:pPr>
        <w:tabs>
          <w:tab w:val="num" w:pos="360"/>
        </w:tabs>
        <w:ind w:left="1800" w:firstLine="2880"/>
      </w:pPr>
      <w:rPr>
        <w:rFonts w:cs="Times New Roman"/>
      </w:rPr>
    </w:lvl>
    <w:lvl w:ilvl="7">
      <w:numFmt w:val="none"/>
      <w:lvlText w:val=""/>
      <w:lvlJc w:val="left"/>
      <w:pPr>
        <w:tabs>
          <w:tab w:val="num" w:pos="360"/>
        </w:tabs>
      </w:pPr>
      <w:rPr>
        <w:rFonts w:cs="Times New Roman"/>
      </w:rPr>
    </w:lvl>
    <w:lvl w:ilvl="8">
      <w:start w:val="1"/>
      <w:numFmt w:val="decimal"/>
      <w:lvlText w:val="%1.%2.%3.%4.%5.%6.%7.%8.%9"/>
      <w:lvlJc w:val="left"/>
      <w:pPr>
        <w:tabs>
          <w:tab w:val="num" w:pos="360"/>
        </w:tabs>
        <w:ind w:left="2160" w:firstLine="4140"/>
      </w:pPr>
      <w:rPr>
        <w:rFonts w:cs="Times New Roman"/>
      </w:rPr>
    </w:lvl>
  </w:abstractNum>
  <w:abstractNum w:abstractNumId="67">
    <w:nsid w:val="00000055"/>
    <w:multiLevelType w:val="multilevel"/>
    <w:tmpl w:val="00000055"/>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68">
    <w:nsid w:val="00000056"/>
    <w:multiLevelType w:val="multilevel"/>
    <w:tmpl w:val="00000056"/>
    <w:lvl w:ilvl="0">
      <w:start w:val="1"/>
      <w:numFmt w:val="decimal"/>
      <w:lvlText w:val="%1)"/>
      <w:lvlJc w:val="left"/>
      <w:pPr>
        <w:tabs>
          <w:tab w:val="num" w:pos="360"/>
        </w:tabs>
        <w:ind w:left="720" w:hanging="360"/>
      </w:pPr>
      <w:rPr>
        <w:rFonts w:cs="Times New Roman"/>
      </w:rPr>
    </w:lvl>
    <w:lvl w:ilvl="1">
      <w:start w:val="1"/>
      <w:numFmt w:val="lowerLetter"/>
      <w:lvlText w:val="%2."/>
      <w:lvlJc w:val="left"/>
      <w:pPr>
        <w:tabs>
          <w:tab w:val="num" w:pos="1080"/>
        </w:tabs>
        <w:ind w:left="1440" w:hanging="360"/>
      </w:pPr>
      <w:rPr>
        <w:rFonts w:cs="Times New Roman"/>
      </w:rPr>
    </w:lvl>
    <w:lvl w:ilvl="2">
      <w:start w:val="1"/>
      <w:numFmt w:val="lowerRoman"/>
      <w:lvlText w:val="%3."/>
      <w:lvlJc w:val="right"/>
      <w:pPr>
        <w:tabs>
          <w:tab w:val="num" w:pos="1980"/>
        </w:tabs>
        <w:ind w:left="2160" w:hanging="180"/>
      </w:pPr>
      <w:rPr>
        <w:rFonts w:cs="Times New Roman"/>
      </w:rPr>
    </w:lvl>
    <w:lvl w:ilvl="3">
      <w:start w:val="1"/>
      <w:numFmt w:val="decimal"/>
      <w:lvlText w:val="%4."/>
      <w:lvlJc w:val="left"/>
      <w:pPr>
        <w:tabs>
          <w:tab w:val="num" w:pos="2520"/>
        </w:tabs>
        <w:ind w:left="2880" w:hanging="360"/>
      </w:pPr>
      <w:rPr>
        <w:rFonts w:cs="Times New Roman"/>
      </w:rPr>
    </w:lvl>
    <w:lvl w:ilvl="4">
      <w:start w:val="1"/>
      <w:numFmt w:val="lowerLetter"/>
      <w:lvlText w:val="%5."/>
      <w:lvlJc w:val="left"/>
      <w:pPr>
        <w:tabs>
          <w:tab w:val="num" w:pos="3240"/>
        </w:tabs>
        <w:ind w:left="3600" w:hanging="360"/>
      </w:pPr>
      <w:rPr>
        <w:rFonts w:cs="Times New Roman"/>
      </w:rPr>
    </w:lvl>
    <w:lvl w:ilvl="5">
      <w:start w:val="1"/>
      <w:numFmt w:val="lowerRoman"/>
      <w:lvlText w:val="%6."/>
      <w:lvlJc w:val="right"/>
      <w:pPr>
        <w:tabs>
          <w:tab w:val="num" w:pos="4140"/>
        </w:tabs>
        <w:ind w:left="4320" w:hanging="180"/>
      </w:pPr>
      <w:rPr>
        <w:rFonts w:cs="Times New Roman"/>
      </w:rPr>
    </w:lvl>
    <w:lvl w:ilvl="6">
      <w:start w:val="1"/>
      <w:numFmt w:val="decimal"/>
      <w:lvlText w:val="%7."/>
      <w:lvlJc w:val="left"/>
      <w:pPr>
        <w:tabs>
          <w:tab w:val="num" w:pos="4680"/>
        </w:tabs>
        <w:ind w:left="5040" w:hanging="360"/>
      </w:pPr>
      <w:rPr>
        <w:rFonts w:cs="Times New Roman"/>
      </w:rPr>
    </w:lvl>
    <w:lvl w:ilvl="7">
      <w:start w:val="1"/>
      <w:numFmt w:val="lowerLetter"/>
      <w:lvlText w:val="%8."/>
      <w:lvlJc w:val="left"/>
      <w:pPr>
        <w:tabs>
          <w:tab w:val="num" w:pos="5400"/>
        </w:tabs>
        <w:ind w:left="5760" w:hanging="360"/>
      </w:pPr>
      <w:rPr>
        <w:rFonts w:cs="Times New Roman"/>
      </w:rPr>
    </w:lvl>
    <w:lvl w:ilvl="8">
      <w:start w:val="1"/>
      <w:numFmt w:val="lowerRoman"/>
      <w:lvlText w:val="%9."/>
      <w:lvlJc w:val="right"/>
      <w:pPr>
        <w:tabs>
          <w:tab w:val="num" w:pos="6300"/>
        </w:tabs>
        <w:ind w:left="6480" w:hanging="180"/>
      </w:pPr>
      <w:rPr>
        <w:rFonts w:cs="Times New Roman"/>
      </w:rPr>
    </w:lvl>
  </w:abstractNum>
  <w:abstractNum w:abstractNumId="69">
    <w:nsid w:val="00000057"/>
    <w:multiLevelType w:val="multilevel"/>
    <w:tmpl w:val="00000057"/>
    <w:lvl w:ilvl="0">
      <w:start w:val="1"/>
      <w:numFmt w:val="bullet"/>
      <w:lvlText w:val="●"/>
      <w:lvlJc w:val="left"/>
      <w:pPr>
        <w:tabs>
          <w:tab w:val="num" w:pos="360"/>
        </w:tabs>
        <w:ind w:left="720" w:hanging="360"/>
      </w:pPr>
      <w:rPr>
        <w:rFonts w:ascii="Arial" w:eastAsia="Times New Roman" w:hAnsi="Arial"/>
      </w:rPr>
    </w:lvl>
    <w:lvl w:ilvl="1">
      <w:start w:val="1"/>
      <w:numFmt w:val="bullet"/>
      <w:lvlText w:val="o"/>
      <w:lvlJc w:val="left"/>
      <w:pPr>
        <w:tabs>
          <w:tab w:val="num" w:pos="1080"/>
        </w:tabs>
        <w:ind w:left="1440" w:hanging="360"/>
      </w:pPr>
      <w:rPr>
        <w:rFonts w:ascii="Arial" w:eastAsia="Times New Roman" w:hAnsi="Arial"/>
      </w:rPr>
    </w:lvl>
    <w:lvl w:ilvl="2">
      <w:start w:val="1"/>
      <w:numFmt w:val="bullet"/>
      <w:lvlText w:val="▪"/>
      <w:lvlJc w:val="left"/>
      <w:pPr>
        <w:tabs>
          <w:tab w:val="num" w:pos="1800"/>
        </w:tabs>
        <w:ind w:left="2160" w:hanging="180"/>
      </w:pPr>
      <w:rPr>
        <w:rFonts w:ascii="Arial" w:eastAsia="Times New Roman" w:hAnsi="Arial"/>
      </w:rPr>
    </w:lvl>
    <w:lvl w:ilvl="3">
      <w:start w:val="1"/>
      <w:numFmt w:val="bullet"/>
      <w:lvlText w:val="●"/>
      <w:lvlJc w:val="left"/>
      <w:pPr>
        <w:tabs>
          <w:tab w:val="num" w:pos="2520"/>
        </w:tabs>
        <w:ind w:left="2880" w:hanging="360"/>
      </w:pPr>
      <w:rPr>
        <w:rFonts w:ascii="Arial" w:eastAsia="Times New Roman" w:hAnsi="Arial"/>
      </w:rPr>
    </w:lvl>
    <w:lvl w:ilvl="4">
      <w:start w:val="1"/>
      <w:numFmt w:val="bullet"/>
      <w:lvlText w:val="o"/>
      <w:lvlJc w:val="left"/>
      <w:pPr>
        <w:tabs>
          <w:tab w:val="num" w:pos="3240"/>
        </w:tabs>
        <w:ind w:left="3600" w:hanging="360"/>
      </w:pPr>
      <w:rPr>
        <w:rFonts w:ascii="Arial" w:eastAsia="Times New Roman" w:hAnsi="Arial"/>
      </w:rPr>
    </w:lvl>
    <w:lvl w:ilvl="5">
      <w:start w:val="1"/>
      <w:numFmt w:val="bullet"/>
      <w:lvlText w:val="▪"/>
      <w:lvlJc w:val="left"/>
      <w:pPr>
        <w:tabs>
          <w:tab w:val="num" w:pos="3960"/>
        </w:tabs>
        <w:ind w:left="4320" w:hanging="180"/>
      </w:pPr>
      <w:rPr>
        <w:rFonts w:ascii="Arial" w:eastAsia="Times New Roman" w:hAnsi="Arial"/>
      </w:rPr>
    </w:lvl>
    <w:lvl w:ilvl="6">
      <w:start w:val="1"/>
      <w:numFmt w:val="bullet"/>
      <w:lvlText w:val="●"/>
      <w:lvlJc w:val="left"/>
      <w:pPr>
        <w:tabs>
          <w:tab w:val="num" w:pos="4680"/>
        </w:tabs>
        <w:ind w:left="5040" w:hanging="360"/>
      </w:pPr>
      <w:rPr>
        <w:rFonts w:ascii="Arial" w:eastAsia="Times New Roman" w:hAnsi="Arial"/>
      </w:rPr>
    </w:lvl>
    <w:lvl w:ilvl="7">
      <w:start w:val="1"/>
      <w:numFmt w:val="bullet"/>
      <w:lvlText w:val="o"/>
      <w:lvlJc w:val="left"/>
      <w:pPr>
        <w:tabs>
          <w:tab w:val="num" w:pos="5400"/>
        </w:tabs>
        <w:ind w:left="5760" w:hanging="360"/>
      </w:pPr>
      <w:rPr>
        <w:rFonts w:ascii="Arial" w:eastAsia="Times New Roman" w:hAnsi="Arial"/>
      </w:rPr>
    </w:lvl>
    <w:lvl w:ilvl="8">
      <w:start w:val="1"/>
      <w:numFmt w:val="bullet"/>
      <w:lvlText w:val="▪"/>
      <w:lvlJc w:val="left"/>
      <w:pPr>
        <w:tabs>
          <w:tab w:val="num" w:pos="6120"/>
        </w:tabs>
        <w:ind w:left="6480" w:hanging="180"/>
      </w:pPr>
      <w:rPr>
        <w:rFonts w:ascii="Arial" w:eastAsia="Times New Roman" w:hAnsi="Arial"/>
      </w:rPr>
    </w:lvl>
  </w:abstractNum>
  <w:abstractNum w:abstractNumId="70">
    <w:nsid w:val="009909F4"/>
    <w:multiLevelType w:val="hybridMultilevel"/>
    <w:tmpl w:val="12D8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0348181A"/>
    <w:multiLevelType w:val="hybridMultilevel"/>
    <w:tmpl w:val="1CDA2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047709AA"/>
    <w:multiLevelType w:val="hybridMultilevel"/>
    <w:tmpl w:val="EBA4B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05AC4CA6"/>
    <w:multiLevelType w:val="hybridMultilevel"/>
    <w:tmpl w:val="A4969F4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4">
    <w:nsid w:val="0B8051AB"/>
    <w:multiLevelType w:val="hybridMultilevel"/>
    <w:tmpl w:val="9664EEDE"/>
    <w:lvl w:ilvl="0" w:tplc="99AE53D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5">
    <w:nsid w:val="0CF83867"/>
    <w:multiLevelType w:val="hybridMultilevel"/>
    <w:tmpl w:val="01E89400"/>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76">
    <w:nsid w:val="0D1102B9"/>
    <w:multiLevelType w:val="hybridMultilevel"/>
    <w:tmpl w:val="4346257C"/>
    <w:lvl w:ilvl="0" w:tplc="99AE53D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7">
    <w:nsid w:val="0F282494"/>
    <w:multiLevelType w:val="hybridMultilevel"/>
    <w:tmpl w:val="175C749E"/>
    <w:lvl w:ilvl="0" w:tplc="99AE53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10B76DC"/>
    <w:multiLevelType w:val="hybridMultilevel"/>
    <w:tmpl w:val="2C4EFC94"/>
    <w:lvl w:ilvl="0" w:tplc="99AE53D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9">
    <w:nsid w:val="12713ED3"/>
    <w:multiLevelType w:val="hybridMultilevel"/>
    <w:tmpl w:val="A626A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4606098"/>
    <w:multiLevelType w:val="hybridMultilevel"/>
    <w:tmpl w:val="E608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70B3576"/>
    <w:multiLevelType w:val="hybridMultilevel"/>
    <w:tmpl w:val="6530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E75981"/>
    <w:multiLevelType w:val="hybridMultilevel"/>
    <w:tmpl w:val="28CA2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FDE3910"/>
    <w:multiLevelType w:val="hybridMultilevel"/>
    <w:tmpl w:val="D8444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0726FE3"/>
    <w:multiLevelType w:val="hybridMultilevel"/>
    <w:tmpl w:val="FDD0B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32F0D0F"/>
    <w:multiLevelType w:val="hybridMultilevel"/>
    <w:tmpl w:val="3A08ACCA"/>
    <w:lvl w:ilvl="0" w:tplc="754C64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57E1D19"/>
    <w:multiLevelType w:val="hybridMultilevel"/>
    <w:tmpl w:val="EE20C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A716F6F"/>
    <w:multiLevelType w:val="multilevel"/>
    <w:tmpl w:val="AFDE8B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8">
    <w:nsid w:val="2ADF7628"/>
    <w:multiLevelType w:val="multilevel"/>
    <w:tmpl w:val="761A4E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2B534376"/>
    <w:multiLevelType w:val="hybridMultilevel"/>
    <w:tmpl w:val="88A24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EAB0284"/>
    <w:multiLevelType w:val="hybridMultilevel"/>
    <w:tmpl w:val="3DB84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8037BAB"/>
    <w:multiLevelType w:val="hybridMultilevel"/>
    <w:tmpl w:val="33CED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A657062"/>
    <w:multiLevelType w:val="hybridMultilevel"/>
    <w:tmpl w:val="565C8B34"/>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3B973D2A"/>
    <w:multiLevelType w:val="multilevel"/>
    <w:tmpl w:val="8B04AF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nsid w:val="3F65528E"/>
    <w:multiLevelType w:val="hybridMultilevel"/>
    <w:tmpl w:val="95848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FEA408D"/>
    <w:multiLevelType w:val="hybridMultilevel"/>
    <w:tmpl w:val="33C45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0FE1FB3"/>
    <w:multiLevelType w:val="hybridMultilevel"/>
    <w:tmpl w:val="ADAC4A1A"/>
    <w:lvl w:ilvl="0" w:tplc="99AE53D6">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7">
    <w:nsid w:val="42753E77"/>
    <w:multiLevelType w:val="hybridMultilevel"/>
    <w:tmpl w:val="200A8CF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44E96CEC"/>
    <w:multiLevelType w:val="hybridMultilevel"/>
    <w:tmpl w:val="C3E478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5366E47"/>
    <w:multiLevelType w:val="hybridMultilevel"/>
    <w:tmpl w:val="BEBA6BDC"/>
    <w:lvl w:ilvl="0" w:tplc="04090011">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00">
    <w:nsid w:val="48367AA7"/>
    <w:multiLevelType w:val="hybridMultilevel"/>
    <w:tmpl w:val="52DE7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8CE3CA3"/>
    <w:multiLevelType w:val="hybridMultilevel"/>
    <w:tmpl w:val="CDE6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9810C5E"/>
    <w:multiLevelType w:val="hybridMultilevel"/>
    <w:tmpl w:val="65FC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9D83342"/>
    <w:multiLevelType w:val="hybridMultilevel"/>
    <w:tmpl w:val="444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0AC0A33"/>
    <w:multiLevelType w:val="hybridMultilevel"/>
    <w:tmpl w:val="D15C718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5">
    <w:nsid w:val="52485278"/>
    <w:multiLevelType w:val="hybridMultilevel"/>
    <w:tmpl w:val="08DC5E5E"/>
    <w:lvl w:ilvl="0" w:tplc="99AE53D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6">
    <w:nsid w:val="53291F8A"/>
    <w:multiLevelType w:val="hybridMultilevel"/>
    <w:tmpl w:val="4A80A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34659AA"/>
    <w:multiLevelType w:val="hybridMultilevel"/>
    <w:tmpl w:val="0EAA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35D5E8D"/>
    <w:multiLevelType w:val="hybridMultilevel"/>
    <w:tmpl w:val="22E03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6815D89"/>
    <w:multiLevelType w:val="hybridMultilevel"/>
    <w:tmpl w:val="2F1484BC"/>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577A336D"/>
    <w:multiLevelType w:val="hybridMultilevel"/>
    <w:tmpl w:val="357C5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84D47C5"/>
    <w:multiLevelType w:val="hybridMultilevel"/>
    <w:tmpl w:val="031C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9350458"/>
    <w:multiLevelType w:val="hybridMultilevel"/>
    <w:tmpl w:val="A0E29FC8"/>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A9E38C1"/>
    <w:multiLevelType w:val="hybridMultilevel"/>
    <w:tmpl w:val="09B81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CB011F8"/>
    <w:multiLevelType w:val="hybridMultilevel"/>
    <w:tmpl w:val="F148FC08"/>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CC41B02"/>
    <w:multiLevelType w:val="hybridMultilevel"/>
    <w:tmpl w:val="8C563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D490A40"/>
    <w:multiLevelType w:val="hybridMultilevel"/>
    <w:tmpl w:val="D9A29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E32770A"/>
    <w:multiLevelType w:val="hybridMultilevel"/>
    <w:tmpl w:val="26841A30"/>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F4E05E4"/>
    <w:multiLevelType w:val="hybridMultilevel"/>
    <w:tmpl w:val="ABFEA62A"/>
    <w:lvl w:ilvl="0" w:tplc="FA7E5B4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7F16372"/>
    <w:multiLevelType w:val="hybridMultilevel"/>
    <w:tmpl w:val="B2F01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8B07950"/>
    <w:multiLevelType w:val="hybridMultilevel"/>
    <w:tmpl w:val="6C3A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04677B3"/>
    <w:multiLevelType w:val="hybridMultilevel"/>
    <w:tmpl w:val="9BBCEB12"/>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718B2887"/>
    <w:multiLevelType w:val="hybridMultilevel"/>
    <w:tmpl w:val="115AE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49E1DBE"/>
    <w:multiLevelType w:val="hybridMultilevel"/>
    <w:tmpl w:val="67245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5E80854"/>
    <w:multiLevelType w:val="multilevel"/>
    <w:tmpl w:val="5456C5A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nsid w:val="780F37D6"/>
    <w:multiLevelType w:val="hybridMultilevel"/>
    <w:tmpl w:val="B586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9BA23B5"/>
    <w:multiLevelType w:val="hybridMultilevel"/>
    <w:tmpl w:val="37A66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BCE6587"/>
    <w:multiLevelType w:val="hybridMultilevel"/>
    <w:tmpl w:val="8966B7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8">
    <w:nsid w:val="7F302F54"/>
    <w:multiLevelType w:val="hybridMultilevel"/>
    <w:tmpl w:val="680043A6"/>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7F4E3619"/>
    <w:multiLevelType w:val="hybridMultilevel"/>
    <w:tmpl w:val="5936E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F9D6EBC"/>
    <w:multiLevelType w:val="hybridMultilevel"/>
    <w:tmpl w:val="D3E0F82A"/>
    <w:lvl w:ilvl="0" w:tplc="99AE53D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9"/>
  </w:num>
  <w:num w:numId="2">
    <w:abstractNumId w:val="118"/>
  </w:num>
  <w:num w:numId="3">
    <w:abstractNumId w:val="98"/>
  </w:num>
  <w:num w:numId="4">
    <w:abstractNumId w:val="84"/>
  </w:num>
  <w:num w:numId="5">
    <w:abstractNumId w:val="128"/>
  </w:num>
  <w:num w:numId="6">
    <w:abstractNumId w:val="97"/>
  </w:num>
  <w:num w:numId="7">
    <w:abstractNumId w:val="127"/>
  </w:num>
  <w:num w:numId="8">
    <w:abstractNumId w:val="109"/>
  </w:num>
  <w:num w:numId="9">
    <w:abstractNumId w:val="114"/>
  </w:num>
  <w:num w:numId="10">
    <w:abstractNumId w:val="92"/>
  </w:num>
  <w:num w:numId="11">
    <w:abstractNumId w:val="117"/>
  </w:num>
  <w:num w:numId="12">
    <w:abstractNumId w:val="130"/>
  </w:num>
  <w:num w:numId="13">
    <w:abstractNumId w:val="121"/>
  </w:num>
  <w:num w:numId="14">
    <w:abstractNumId w:val="112"/>
  </w:num>
  <w:num w:numId="15">
    <w:abstractNumId w:val="71"/>
  </w:num>
  <w:num w:numId="16">
    <w:abstractNumId w:val="82"/>
  </w:num>
  <w:num w:numId="17">
    <w:abstractNumId w:val="88"/>
  </w:num>
  <w:num w:numId="18">
    <w:abstractNumId w:val="93"/>
  </w:num>
  <w:num w:numId="19">
    <w:abstractNumId w:val="124"/>
  </w:num>
  <w:num w:numId="20">
    <w:abstractNumId w:val="85"/>
  </w:num>
  <w:num w:numId="21">
    <w:abstractNumId w:val="126"/>
  </w:num>
  <w:num w:numId="22">
    <w:abstractNumId w:val="105"/>
  </w:num>
  <w:num w:numId="23">
    <w:abstractNumId w:val="76"/>
  </w:num>
  <w:num w:numId="24">
    <w:abstractNumId w:val="74"/>
  </w:num>
  <w:num w:numId="25">
    <w:abstractNumId w:val="0"/>
  </w:num>
  <w:num w:numId="26">
    <w:abstractNumId w:val="1"/>
  </w:num>
  <w:num w:numId="27">
    <w:abstractNumId w:val="2"/>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10"/>
  </w:num>
  <w:num w:numId="36">
    <w:abstractNumId w:val="11"/>
  </w:num>
  <w:num w:numId="37">
    <w:abstractNumId w:val="12"/>
  </w:num>
  <w:num w:numId="38">
    <w:abstractNumId w:val="13"/>
  </w:num>
  <w:num w:numId="39">
    <w:abstractNumId w:val="14"/>
  </w:num>
  <w:num w:numId="40">
    <w:abstractNumId w:val="15"/>
  </w:num>
  <w:num w:numId="41">
    <w:abstractNumId w:val="16"/>
  </w:num>
  <w:num w:numId="42">
    <w:abstractNumId w:val="17"/>
  </w:num>
  <w:num w:numId="43">
    <w:abstractNumId w:val="18"/>
  </w:num>
  <w:num w:numId="44">
    <w:abstractNumId w:val="19"/>
  </w:num>
  <w:num w:numId="45">
    <w:abstractNumId w:val="20"/>
  </w:num>
  <w:num w:numId="46">
    <w:abstractNumId w:val="21"/>
  </w:num>
  <w:num w:numId="47">
    <w:abstractNumId w:val="22"/>
  </w:num>
  <w:num w:numId="48">
    <w:abstractNumId w:val="23"/>
  </w:num>
  <w:num w:numId="49">
    <w:abstractNumId w:val="24"/>
  </w:num>
  <w:num w:numId="50">
    <w:abstractNumId w:val="78"/>
  </w:num>
  <w:num w:numId="51">
    <w:abstractNumId w:val="25"/>
  </w:num>
  <w:num w:numId="52">
    <w:abstractNumId w:val="26"/>
  </w:num>
  <w:num w:numId="53">
    <w:abstractNumId w:val="27"/>
  </w:num>
  <w:num w:numId="54">
    <w:abstractNumId w:val="28"/>
  </w:num>
  <w:num w:numId="55">
    <w:abstractNumId w:val="29"/>
  </w:num>
  <w:num w:numId="56">
    <w:abstractNumId w:val="30"/>
  </w:num>
  <w:num w:numId="57">
    <w:abstractNumId w:val="31"/>
  </w:num>
  <w:num w:numId="58">
    <w:abstractNumId w:val="32"/>
  </w:num>
  <w:num w:numId="59">
    <w:abstractNumId w:val="33"/>
  </w:num>
  <w:num w:numId="60">
    <w:abstractNumId w:val="34"/>
  </w:num>
  <w:num w:numId="61">
    <w:abstractNumId w:val="35"/>
  </w:num>
  <w:num w:numId="62">
    <w:abstractNumId w:val="36"/>
  </w:num>
  <w:num w:numId="63">
    <w:abstractNumId w:val="37"/>
  </w:num>
  <w:num w:numId="64">
    <w:abstractNumId w:val="38"/>
  </w:num>
  <w:num w:numId="65">
    <w:abstractNumId w:val="39"/>
  </w:num>
  <w:num w:numId="66">
    <w:abstractNumId w:val="40"/>
  </w:num>
  <w:num w:numId="67">
    <w:abstractNumId w:val="41"/>
  </w:num>
  <w:num w:numId="68">
    <w:abstractNumId w:val="42"/>
  </w:num>
  <w:num w:numId="69">
    <w:abstractNumId w:val="43"/>
  </w:num>
  <w:num w:numId="70">
    <w:abstractNumId w:val="44"/>
  </w:num>
  <w:num w:numId="71">
    <w:abstractNumId w:val="45"/>
  </w:num>
  <w:num w:numId="72">
    <w:abstractNumId w:val="46"/>
  </w:num>
  <w:num w:numId="73">
    <w:abstractNumId w:val="47"/>
  </w:num>
  <w:num w:numId="74">
    <w:abstractNumId w:val="48"/>
  </w:num>
  <w:num w:numId="75">
    <w:abstractNumId w:val="49"/>
  </w:num>
  <w:num w:numId="76">
    <w:abstractNumId w:val="50"/>
  </w:num>
  <w:num w:numId="77">
    <w:abstractNumId w:val="51"/>
  </w:num>
  <w:num w:numId="78">
    <w:abstractNumId w:val="52"/>
  </w:num>
  <w:num w:numId="79">
    <w:abstractNumId w:val="53"/>
  </w:num>
  <w:num w:numId="80">
    <w:abstractNumId w:val="54"/>
  </w:num>
  <w:num w:numId="81">
    <w:abstractNumId w:val="55"/>
  </w:num>
  <w:num w:numId="82">
    <w:abstractNumId w:val="56"/>
  </w:num>
  <w:num w:numId="83">
    <w:abstractNumId w:val="57"/>
  </w:num>
  <w:num w:numId="84">
    <w:abstractNumId w:val="58"/>
  </w:num>
  <w:num w:numId="85">
    <w:abstractNumId w:val="59"/>
  </w:num>
  <w:num w:numId="86">
    <w:abstractNumId w:val="60"/>
  </w:num>
  <w:num w:numId="87">
    <w:abstractNumId w:val="61"/>
  </w:num>
  <w:num w:numId="88">
    <w:abstractNumId w:val="62"/>
  </w:num>
  <w:num w:numId="89">
    <w:abstractNumId w:val="63"/>
  </w:num>
  <w:num w:numId="90">
    <w:abstractNumId w:val="64"/>
  </w:num>
  <w:num w:numId="91">
    <w:abstractNumId w:val="65"/>
  </w:num>
  <w:num w:numId="92">
    <w:abstractNumId w:val="66"/>
  </w:num>
  <w:num w:numId="93">
    <w:abstractNumId w:val="67"/>
  </w:num>
  <w:num w:numId="94">
    <w:abstractNumId w:val="68"/>
  </w:num>
  <w:num w:numId="95">
    <w:abstractNumId w:val="69"/>
  </w:num>
  <w:num w:numId="96">
    <w:abstractNumId w:val="87"/>
  </w:num>
  <w:num w:numId="9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81"/>
  </w:num>
  <w:num w:numId="172">
    <w:abstractNumId w:val="70"/>
  </w:num>
  <w:num w:numId="173">
    <w:abstractNumId w:val="90"/>
  </w:num>
  <w:num w:numId="174">
    <w:abstractNumId w:val="80"/>
  </w:num>
  <w:num w:numId="175">
    <w:abstractNumId w:val="113"/>
  </w:num>
  <w:num w:numId="176">
    <w:abstractNumId w:val="123"/>
  </w:num>
  <w:num w:numId="177">
    <w:abstractNumId w:val="111"/>
  </w:num>
  <w:num w:numId="178">
    <w:abstractNumId w:val="79"/>
  </w:num>
  <w:num w:numId="179">
    <w:abstractNumId w:val="94"/>
  </w:num>
  <w:num w:numId="180">
    <w:abstractNumId w:val="73"/>
  </w:num>
  <w:num w:numId="181">
    <w:abstractNumId w:val="75"/>
  </w:num>
  <w:num w:numId="182">
    <w:abstractNumId w:val="107"/>
  </w:num>
  <w:num w:numId="183">
    <w:abstractNumId w:val="120"/>
  </w:num>
  <w:num w:numId="184">
    <w:abstractNumId w:val="125"/>
  </w:num>
  <w:num w:numId="185">
    <w:abstractNumId w:val="119"/>
  </w:num>
  <w:num w:numId="186">
    <w:abstractNumId w:val="91"/>
  </w:num>
  <w:num w:numId="187">
    <w:abstractNumId w:val="95"/>
  </w:num>
  <w:num w:numId="188">
    <w:abstractNumId w:val="115"/>
  </w:num>
  <w:num w:numId="189">
    <w:abstractNumId w:val="83"/>
  </w:num>
  <w:num w:numId="190">
    <w:abstractNumId w:val="122"/>
  </w:num>
  <w:num w:numId="191">
    <w:abstractNumId w:val="101"/>
  </w:num>
  <w:num w:numId="192">
    <w:abstractNumId w:val="129"/>
  </w:num>
  <w:num w:numId="193">
    <w:abstractNumId w:val="108"/>
  </w:num>
  <w:num w:numId="194">
    <w:abstractNumId w:val="106"/>
  </w:num>
  <w:num w:numId="195">
    <w:abstractNumId w:val="86"/>
  </w:num>
  <w:num w:numId="196">
    <w:abstractNumId w:val="116"/>
  </w:num>
  <w:num w:numId="197">
    <w:abstractNumId w:val="103"/>
  </w:num>
  <w:num w:numId="198">
    <w:abstractNumId w:val="77"/>
  </w:num>
  <w:num w:numId="199">
    <w:abstractNumId w:val="110"/>
  </w:num>
  <w:num w:numId="200">
    <w:abstractNumId w:val="100"/>
  </w:num>
  <w:num w:numId="201">
    <w:abstractNumId w:val="72"/>
  </w:num>
  <w:num w:numId="202">
    <w:abstractNumId w:val="102"/>
  </w:num>
  <w:num w:numId="203">
    <w:abstractNumId w:val="99"/>
  </w:num>
  <w:num w:numId="204">
    <w:abstractNumId w:val="96"/>
  </w:num>
  <w:num w:numId="205">
    <w:abstractNumId w:val="104"/>
  </w:num>
  <w:numIdMacAtCleanup w:val="2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hideSpellingErrors/>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trackRevisions/>
  <w:defaultTabStop w:val="425"/>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A56"/>
    <w:rsid w:val="000016A3"/>
    <w:rsid w:val="00002374"/>
    <w:rsid w:val="000023B6"/>
    <w:rsid w:val="0000362C"/>
    <w:rsid w:val="000038AA"/>
    <w:rsid w:val="00005C19"/>
    <w:rsid w:val="00007771"/>
    <w:rsid w:val="00010859"/>
    <w:rsid w:val="000127C1"/>
    <w:rsid w:val="000127C9"/>
    <w:rsid w:val="00022E02"/>
    <w:rsid w:val="00024188"/>
    <w:rsid w:val="0002647E"/>
    <w:rsid w:val="0002661E"/>
    <w:rsid w:val="00027897"/>
    <w:rsid w:val="000278C0"/>
    <w:rsid w:val="0003048F"/>
    <w:rsid w:val="00032F64"/>
    <w:rsid w:val="00033A07"/>
    <w:rsid w:val="00035B38"/>
    <w:rsid w:val="000360EA"/>
    <w:rsid w:val="000363DF"/>
    <w:rsid w:val="00037D88"/>
    <w:rsid w:val="00037E5C"/>
    <w:rsid w:val="0004198F"/>
    <w:rsid w:val="00041F4E"/>
    <w:rsid w:val="00042200"/>
    <w:rsid w:val="00043FB1"/>
    <w:rsid w:val="00052893"/>
    <w:rsid w:val="00053E53"/>
    <w:rsid w:val="000561BD"/>
    <w:rsid w:val="000564D2"/>
    <w:rsid w:val="00056AF4"/>
    <w:rsid w:val="0006019D"/>
    <w:rsid w:val="00060A5E"/>
    <w:rsid w:val="00065345"/>
    <w:rsid w:val="00065DC4"/>
    <w:rsid w:val="00072014"/>
    <w:rsid w:val="000736C7"/>
    <w:rsid w:val="0007392A"/>
    <w:rsid w:val="00074026"/>
    <w:rsid w:val="00074F99"/>
    <w:rsid w:val="00075287"/>
    <w:rsid w:val="00075380"/>
    <w:rsid w:val="000756F0"/>
    <w:rsid w:val="00075F5F"/>
    <w:rsid w:val="00076606"/>
    <w:rsid w:val="00077C37"/>
    <w:rsid w:val="00081AA6"/>
    <w:rsid w:val="00082497"/>
    <w:rsid w:val="00082F3E"/>
    <w:rsid w:val="000847D0"/>
    <w:rsid w:val="000849F7"/>
    <w:rsid w:val="00085249"/>
    <w:rsid w:val="00085ED8"/>
    <w:rsid w:val="00086C97"/>
    <w:rsid w:val="00086E8C"/>
    <w:rsid w:val="000878F1"/>
    <w:rsid w:val="00090198"/>
    <w:rsid w:val="00093BFB"/>
    <w:rsid w:val="000960E3"/>
    <w:rsid w:val="0009750B"/>
    <w:rsid w:val="000A36B0"/>
    <w:rsid w:val="000A679B"/>
    <w:rsid w:val="000A783A"/>
    <w:rsid w:val="000B2F39"/>
    <w:rsid w:val="000B356B"/>
    <w:rsid w:val="000B415B"/>
    <w:rsid w:val="000B68F2"/>
    <w:rsid w:val="000B7BFD"/>
    <w:rsid w:val="000C1B91"/>
    <w:rsid w:val="000C2918"/>
    <w:rsid w:val="000C2BD1"/>
    <w:rsid w:val="000C383C"/>
    <w:rsid w:val="000C3C8E"/>
    <w:rsid w:val="000D47C0"/>
    <w:rsid w:val="000D513A"/>
    <w:rsid w:val="000D546F"/>
    <w:rsid w:val="000D6FD8"/>
    <w:rsid w:val="000D7889"/>
    <w:rsid w:val="000E0A7C"/>
    <w:rsid w:val="000E1825"/>
    <w:rsid w:val="000E2A93"/>
    <w:rsid w:val="000E4A18"/>
    <w:rsid w:val="000E4C7D"/>
    <w:rsid w:val="000E55D8"/>
    <w:rsid w:val="000F23C0"/>
    <w:rsid w:val="000F3112"/>
    <w:rsid w:val="000F4C57"/>
    <w:rsid w:val="000F505C"/>
    <w:rsid w:val="000F5A23"/>
    <w:rsid w:val="000F6675"/>
    <w:rsid w:val="000F6EC6"/>
    <w:rsid w:val="000F732B"/>
    <w:rsid w:val="000F7C79"/>
    <w:rsid w:val="000F7E96"/>
    <w:rsid w:val="001021A4"/>
    <w:rsid w:val="00111699"/>
    <w:rsid w:val="00112ECA"/>
    <w:rsid w:val="00115809"/>
    <w:rsid w:val="00117E4A"/>
    <w:rsid w:val="001225A3"/>
    <w:rsid w:val="001243F6"/>
    <w:rsid w:val="00125415"/>
    <w:rsid w:val="00127181"/>
    <w:rsid w:val="00130A1C"/>
    <w:rsid w:val="0013179E"/>
    <w:rsid w:val="00131B1E"/>
    <w:rsid w:val="00132750"/>
    <w:rsid w:val="00133D23"/>
    <w:rsid w:val="00136408"/>
    <w:rsid w:val="00137B08"/>
    <w:rsid w:val="00144268"/>
    <w:rsid w:val="00145708"/>
    <w:rsid w:val="001500B2"/>
    <w:rsid w:val="001505BE"/>
    <w:rsid w:val="00150D9F"/>
    <w:rsid w:val="00150EF5"/>
    <w:rsid w:val="00154039"/>
    <w:rsid w:val="001569FB"/>
    <w:rsid w:val="00165D36"/>
    <w:rsid w:val="00165EF2"/>
    <w:rsid w:val="00170072"/>
    <w:rsid w:val="0017318F"/>
    <w:rsid w:val="001750E2"/>
    <w:rsid w:val="0018027C"/>
    <w:rsid w:val="00181615"/>
    <w:rsid w:val="001827D2"/>
    <w:rsid w:val="00184C56"/>
    <w:rsid w:val="00185214"/>
    <w:rsid w:val="001858ED"/>
    <w:rsid w:val="00185CCF"/>
    <w:rsid w:val="00185DAB"/>
    <w:rsid w:val="00190283"/>
    <w:rsid w:val="0019078F"/>
    <w:rsid w:val="001924DE"/>
    <w:rsid w:val="00192795"/>
    <w:rsid w:val="0019495E"/>
    <w:rsid w:val="00196473"/>
    <w:rsid w:val="001A5CD6"/>
    <w:rsid w:val="001A7B74"/>
    <w:rsid w:val="001B0DFE"/>
    <w:rsid w:val="001B0E2B"/>
    <w:rsid w:val="001B2E89"/>
    <w:rsid w:val="001B37EC"/>
    <w:rsid w:val="001B4112"/>
    <w:rsid w:val="001B4DD9"/>
    <w:rsid w:val="001B6552"/>
    <w:rsid w:val="001B6D09"/>
    <w:rsid w:val="001B7E44"/>
    <w:rsid w:val="001C1591"/>
    <w:rsid w:val="001C2919"/>
    <w:rsid w:val="001C3054"/>
    <w:rsid w:val="001C5EA4"/>
    <w:rsid w:val="001D07BD"/>
    <w:rsid w:val="001D0E8C"/>
    <w:rsid w:val="001D1414"/>
    <w:rsid w:val="001D150A"/>
    <w:rsid w:val="001D2248"/>
    <w:rsid w:val="001D3547"/>
    <w:rsid w:val="001D5E78"/>
    <w:rsid w:val="001D7D5C"/>
    <w:rsid w:val="001E1AE5"/>
    <w:rsid w:val="001E4E36"/>
    <w:rsid w:val="001E50E4"/>
    <w:rsid w:val="001E68D5"/>
    <w:rsid w:val="001E6CE6"/>
    <w:rsid w:val="001E6DE9"/>
    <w:rsid w:val="001E7BF0"/>
    <w:rsid w:val="001F0C37"/>
    <w:rsid w:val="001F0E51"/>
    <w:rsid w:val="001F21E3"/>
    <w:rsid w:val="001F2446"/>
    <w:rsid w:val="001F4A6B"/>
    <w:rsid w:val="001F6547"/>
    <w:rsid w:val="001F655E"/>
    <w:rsid w:val="0020052A"/>
    <w:rsid w:val="0020119B"/>
    <w:rsid w:val="00201640"/>
    <w:rsid w:val="00204539"/>
    <w:rsid w:val="00210DA4"/>
    <w:rsid w:val="002123B1"/>
    <w:rsid w:val="00212D7C"/>
    <w:rsid w:val="0022204C"/>
    <w:rsid w:val="00222622"/>
    <w:rsid w:val="00224EBD"/>
    <w:rsid w:val="002268A7"/>
    <w:rsid w:val="00227EE7"/>
    <w:rsid w:val="002312E1"/>
    <w:rsid w:val="002319DF"/>
    <w:rsid w:val="00231E7D"/>
    <w:rsid w:val="002335C6"/>
    <w:rsid w:val="00234AB2"/>
    <w:rsid w:val="0024052E"/>
    <w:rsid w:val="00241546"/>
    <w:rsid w:val="00241F2D"/>
    <w:rsid w:val="0024326A"/>
    <w:rsid w:val="00243569"/>
    <w:rsid w:val="002503A4"/>
    <w:rsid w:val="002543A7"/>
    <w:rsid w:val="00255BFD"/>
    <w:rsid w:val="00256C66"/>
    <w:rsid w:val="00257E29"/>
    <w:rsid w:val="002603BA"/>
    <w:rsid w:val="00264F58"/>
    <w:rsid w:val="00271F89"/>
    <w:rsid w:val="00272A43"/>
    <w:rsid w:val="00272F31"/>
    <w:rsid w:val="00273DD9"/>
    <w:rsid w:val="0027403E"/>
    <w:rsid w:val="00274868"/>
    <w:rsid w:val="00275E09"/>
    <w:rsid w:val="002807DF"/>
    <w:rsid w:val="002818ED"/>
    <w:rsid w:val="0028721E"/>
    <w:rsid w:val="002873FE"/>
    <w:rsid w:val="00287996"/>
    <w:rsid w:val="00287C4A"/>
    <w:rsid w:val="00290F65"/>
    <w:rsid w:val="0029180E"/>
    <w:rsid w:val="00293AA1"/>
    <w:rsid w:val="00294FEF"/>
    <w:rsid w:val="00295094"/>
    <w:rsid w:val="002A1C1F"/>
    <w:rsid w:val="002A36BF"/>
    <w:rsid w:val="002A42A8"/>
    <w:rsid w:val="002A6E35"/>
    <w:rsid w:val="002A7266"/>
    <w:rsid w:val="002A7979"/>
    <w:rsid w:val="002B14AB"/>
    <w:rsid w:val="002B1C58"/>
    <w:rsid w:val="002B3481"/>
    <w:rsid w:val="002B3AD3"/>
    <w:rsid w:val="002C29A2"/>
    <w:rsid w:val="002C6619"/>
    <w:rsid w:val="002D605D"/>
    <w:rsid w:val="002D6A37"/>
    <w:rsid w:val="002D6C41"/>
    <w:rsid w:val="002E1307"/>
    <w:rsid w:val="002E171C"/>
    <w:rsid w:val="002E3ED7"/>
    <w:rsid w:val="002E430E"/>
    <w:rsid w:val="002E4B20"/>
    <w:rsid w:val="002E5569"/>
    <w:rsid w:val="002E68ED"/>
    <w:rsid w:val="002E7D84"/>
    <w:rsid w:val="002F02C6"/>
    <w:rsid w:val="002F03A7"/>
    <w:rsid w:val="002F13C9"/>
    <w:rsid w:val="002F1C26"/>
    <w:rsid w:val="002F2AE0"/>
    <w:rsid w:val="002F3F69"/>
    <w:rsid w:val="002F5196"/>
    <w:rsid w:val="002F55F1"/>
    <w:rsid w:val="002F5A17"/>
    <w:rsid w:val="002F5AF7"/>
    <w:rsid w:val="002F67EF"/>
    <w:rsid w:val="002F7200"/>
    <w:rsid w:val="002F7D12"/>
    <w:rsid w:val="003002D4"/>
    <w:rsid w:val="00300B97"/>
    <w:rsid w:val="003057BF"/>
    <w:rsid w:val="00305940"/>
    <w:rsid w:val="00306A6D"/>
    <w:rsid w:val="003079D5"/>
    <w:rsid w:val="00311337"/>
    <w:rsid w:val="003115E7"/>
    <w:rsid w:val="0031342D"/>
    <w:rsid w:val="00313EE6"/>
    <w:rsid w:val="0032082A"/>
    <w:rsid w:val="003216C9"/>
    <w:rsid w:val="00321B50"/>
    <w:rsid w:val="00322AEF"/>
    <w:rsid w:val="0032338A"/>
    <w:rsid w:val="00323861"/>
    <w:rsid w:val="003244F9"/>
    <w:rsid w:val="003277A4"/>
    <w:rsid w:val="00327853"/>
    <w:rsid w:val="00327E5C"/>
    <w:rsid w:val="00330164"/>
    <w:rsid w:val="00330EF3"/>
    <w:rsid w:val="00331D4E"/>
    <w:rsid w:val="003320B9"/>
    <w:rsid w:val="00333E78"/>
    <w:rsid w:val="00334F64"/>
    <w:rsid w:val="003362A0"/>
    <w:rsid w:val="003365A1"/>
    <w:rsid w:val="003424A8"/>
    <w:rsid w:val="00342BCB"/>
    <w:rsid w:val="00344486"/>
    <w:rsid w:val="00345945"/>
    <w:rsid w:val="00347B84"/>
    <w:rsid w:val="003520F5"/>
    <w:rsid w:val="003540DC"/>
    <w:rsid w:val="0035491D"/>
    <w:rsid w:val="00355B34"/>
    <w:rsid w:val="00356586"/>
    <w:rsid w:val="0035786C"/>
    <w:rsid w:val="00357FE2"/>
    <w:rsid w:val="00360E94"/>
    <w:rsid w:val="00365089"/>
    <w:rsid w:val="003654F8"/>
    <w:rsid w:val="00370494"/>
    <w:rsid w:val="00370B30"/>
    <w:rsid w:val="00371D1D"/>
    <w:rsid w:val="003722C7"/>
    <w:rsid w:val="0037386A"/>
    <w:rsid w:val="00373B4F"/>
    <w:rsid w:val="003756AF"/>
    <w:rsid w:val="00376A31"/>
    <w:rsid w:val="00377437"/>
    <w:rsid w:val="003778D7"/>
    <w:rsid w:val="00377BBE"/>
    <w:rsid w:val="003810A1"/>
    <w:rsid w:val="00382253"/>
    <w:rsid w:val="00383326"/>
    <w:rsid w:val="003833D9"/>
    <w:rsid w:val="003834F9"/>
    <w:rsid w:val="003872AD"/>
    <w:rsid w:val="003909FD"/>
    <w:rsid w:val="00390B1D"/>
    <w:rsid w:val="0039394D"/>
    <w:rsid w:val="00393B71"/>
    <w:rsid w:val="0039447D"/>
    <w:rsid w:val="00395D4E"/>
    <w:rsid w:val="00396A9F"/>
    <w:rsid w:val="003A0A96"/>
    <w:rsid w:val="003A33C8"/>
    <w:rsid w:val="003A53D6"/>
    <w:rsid w:val="003B1451"/>
    <w:rsid w:val="003B2A46"/>
    <w:rsid w:val="003B3376"/>
    <w:rsid w:val="003B700F"/>
    <w:rsid w:val="003B76A1"/>
    <w:rsid w:val="003C1ED2"/>
    <w:rsid w:val="003C57FB"/>
    <w:rsid w:val="003C592C"/>
    <w:rsid w:val="003D0870"/>
    <w:rsid w:val="003D228B"/>
    <w:rsid w:val="003D2DEE"/>
    <w:rsid w:val="003D3585"/>
    <w:rsid w:val="003D421E"/>
    <w:rsid w:val="003D78A9"/>
    <w:rsid w:val="003D7C20"/>
    <w:rsid w:val="003E02BF"/>
    <w:rsid w:val="003E04E9"/>
    <w:rsid w:val="003E04FD"/>
    <w:rsid w:val="003E0D56"/>
    <w:rsid w:val="003E1515"/>
    <w:rsid w:val="003E2C18"/>
    <w:rsid w:val="003E5F3E"/>
    <w:rsid w:val="003F190A"/>
    <w:rsid w:val="003F36B3"/>
    <w:rsid w:val="003F3B58"/>
    <w:rsid w:val="003F47D3"/>
    <w:rsid w:val="003F4E40"/>
    <w:rsid w:val="003F6C34"/>
    <w:rsid w:val="003F7617"/>
    <w:rsid w:val="00401A43"/>
    <w:rsid w:val="004068A8"/>
    <w:rsid w:val="004071EA"/>
    <w:rsid w:val="00410192"/>
    <w:rsid w:val="00412200"/>
    <w:rsid w:val="00415990"/>
    <w:rsid w:val="0041663F"/>
    <w:rsid w:val="004203C3"/>
    <w:rsid w:val="004209A0"/>
    <w:rsid w:val="00421CCD"/>
    <w:rsid w:val="0042546E"/>
    <w:rsid w:val="004311F9"/>
    <w:rsid w:val="004313B2"/>
    <w:rsid w:val="00432BB9"/>
    <w:rsid w:val="004351F0"/>
    <w:rsid w:val="00436865"/>
    <w:rsid w:val="00436DA3"/>
    <w:rsid w:val="00437209"/>
    <w:rsid w:val="00437428"/>
    <w:rsid w:val="0044053E"/>
    <w:rsid w:val="00440991"/>
    <w:rsid w:val="00440BAE"/>
    <w:rsid w:val="0044383B"/>
    <w:rsid w:val="004438D6"/>
    <w:rsid w:val="00444CA2"/>
    <w:rsid w:val="00446250"/>
    <w:rsid w:val="00446280"/>
    <w:rsid w:val="00446F71"/>
    <w:rsid w:val="00451AB3"/>
    <w:rsid w:val="00452A01"/>
    <w:rsid w:val="00452D45"/>
    <w:rsid w:val="00453491"/>
    <w:rsid w:val="00455E9F"/>
    <w:rsid w:val="00457CA1"/>
    <w:rsid w:val="00462B19"/>
    <w:rsid w:val="00465C5C"/>
    <w:rsid w:val="0046674C"/>
    <w:rsid w:val="00467459"/>
    <w:rsid w:val="004731A1"/>
    <w:rsid w:val="00475A69"/>
    <w:rsid w:val="00475B76"/>
    <w:rsid w:val="004779D5"/>
    <w:rsid w:val="004819D9"/>
    <w:rsid w:val="00484EC8"/>
    <w:rsid w:val="00487D30"/>
    <w:rsid w:val="0049021D"/>
    <w:rsid w:val="00493904"/>
    <w:rsid w:val="00493FB6"/>
    <w:rsid w:val="004944AC"/>
    <w:rsid w:val="0049748D"/>
    <w:rsid w:val="004A0742"/>
    <w:rsid w:val="004A109C"/>
    <w:rsid w:val="004A3075"/>
    <w:rsid w:val="004A3588"/>
    <w:rsid w:val="004B28A8"/>
    <w:rsid w:val="004B67DF"/>
    <w:rsid w:val="004B7471"/>
    <w:rsid w:val="004B7651"/>
    <w:rsid w:val="004C23D1"/>
    <w:rsid w:val="004C3336"/>
    <w:rsid w:val="004D0056"/>
    <w:rsid w:val="004D2116"/>
    <w:rsid w:val="004D2FB1"/>
    <w:rsid w:val="004D30C2"/>
    <w:rsid w:val="004D36CE"/>
    <w:rsid w:val="004D468F"/>
    <w:rsid w:val="004D6116"/>
    <w:rsid w:val="004E03FF"/>
    <w:rsid w:val="004E12C9"/>
    <w:rsid w:val="004E24A1"/>
    <w:rsid w:val="004E43F6"/>
    <w:rsid w:val="004E56B6"/>
    <w:rsid w:val="004F0ED4"/>
    <w:rsid w:val="004F1F0B"/>
    <w:rsid w:val="004F2D78"/>
    <w:rsid w:val="004F3207"/>
    <w:rsid w:val="004F61B0"/>
    <w:rsid w:val="00500EAE"/>
    <w:rsid w:val="005021A9"/>
    <w:rsid w:val="0050466E"/>
    <w:rsid w:val="00504C65"/>
    <w:rsid w:val="00504DCF"/>
    <w:rsid w:val="0051050C"/>
    <w:rsid w:val="00511219"/>
    <w:rsid w:val="0051126C"/>
    <w:rsid w:val="005122E4"/>
    <w:rsid w:val="00514654"/>
    <w:rsid w:val="0051491E"/>
    <w:rsid w:val="005152F0"/>
    <w:rsid w:val="00516B99"/>
    <w:rsid w:val="00516FBC"/>
    <w:rsid w:val="00517029"/>
    <w:rsid w:val="00517C97"/>
    <w:rsid w:val="00523C48"/>
    <w:rsid w:val="00524775"/>
    <w:rsid w:val="005247AC"/>
    <w:rsid w:val="005252D1"/>
    <w:rsid w:val="005262C7"/>
    <w:rsid w:val="00526A33"/>
    <w:rsid w:val="005277A2"/>
    <w:rsid w:val="00527E18"/>
    <w:rsid w:val="0053004F"/>
    <w:rsid w:val="00530B8C"/>
    <w:rsid w:val="00531231"/>
    <w:rsid w:val="00532444"/>
    <w:rsid w:val="00532CCC"/>
    <w:rsid w:val="00534A31"/>
    <w:rsid w:val="00534FD4"/>
    <w:rsid w:val="00536D1E"/>
    <w:rsid w:val="0054156A"/>
    <w:rsid w:val="00545643"/>
    <w:rsid w:val="005516E7"/>
    <w:rsid w:val="005537BE"/>
    <w:rsid w:val="005562D9"/>
    <w:rsid w:val="0055666A"/>
    <w:rsid w:val="00557DAA"/>
    <w:rsid w:val="00561D21"/>
    <w:rsid w:val="00562DC0"/>
    <w:rsid w:val="005659AE"/>
    <w:rsid w:val="0057007F"/>
    <w:rsid w:val="005704E0"/>
    <w:rsid w:val="00570787"/>
    <w:rsid w:val="00572331"/>
    <w:rsid w:val="005730D6"/>
    <w:rsid w:val="005732E0"/>
    <w:rsid w:val="00574FD8"/>
    <w:rsid w:val="00575A28"/>
    <w:rsid w:val="00580F0B"/>
    <w:rsid w:val="00581517"/>
    <w:rsid w:val="005858BE"/>
    <w:rsid w:val="0058612B"/>
    <w:rsid w:val="005865AA"/>
    <w:rsid w:val="005911EB"/>
    <w:rsid w:val="0059138F"/>
    <w:rsid w:val="005919C3"/>
    <w:rsid w:val="00592079"/>
    <w:rsid w:val="00592887"/>
    <w:rsid w:val="00593543"/>
    <w:rsid w:val="005A393C"/>
    <w:rsid w:val="005A417A"/>
    <w:rsid w:val="005A4FA3"/>
    <w:rsid w:val="005A5381"/>
    <w:rsid w:val="005A5ABF"/>
    <w:rsid w:val="005B0012"/>
    <w:rsid w:val="005B2921"/>
    <w:rsid w:val="005B50BD"/>
    <w:rsid w:val="005C02D7"/>
    <w:rsid w:val="005C1961"/>
    <w:rsid w:val="005C2652"/>
    <w:rsid w:val="005C38FA"/>
    <w:rsid w:val="005C6B48"/>
    <w:rsid w:val="005C7046"/>
    <w:rsid w:val="005D0D2D"/>
    <w:rsid w:val="005D3D2D"/>
    <w:rsid w:val="005D494B"/>
    <w:rsid w:val="005D7608"/>
    <w:rsid w:val="005D7644"/>
    <w:rsid w:val="005E0BC0"/>
    <w:rsid w:val="005E2BD6"/>
    <w:rsid w:val="005E543A"/>
    <w:rsid w:val="005E5C99"/>
    <w:rsid w:val="005E6E71"/>
    <w:rsid w:val="005F001E"/>
    <w:rsid w:val="005F0309"/>
    <w:rsid w:val="005F1A52"/>
    <w:rsid w:val="005F1FFC"/>
    <w:rsid w:val="005F2958"/>
    <w:rsid w:val="005F2AFA"/>
    <w:rsid w:val="005F4B7F"/>
    <w:rsid w:val="006015F8"/>
    <w:rsid w:val="006029EF"/>
    <w:rsid w:val="00603C08"/>
    <w:rsid w:val="00604CBF"/>
    <w:rsid w:val="00610F84"/>
    <w:rsid w:val="00611D94"/>
    <w:rsid w:val="00615134"/>
    <w:rsid w:val="00615A4F"/>
    <w:rsid w:val="00617812"/>
    <w:rsid w:val="0062153F"/>
    <w:rsid w:val="0062195A"/>
    <w:rsid w:val="00622F7F"/>
    <w:rsid w:val="00623B9C"/>
    <w:rsid w:val="00624AF8"/>
    <w:rsid w:val="00626534"/>
    <w:rsid w:val="00627C86"/>
    <w:rsid w:val="0063501C"/>
    <w:rsid w:val="006368FE"/>
    <w:rsid w:val="006372CF"/>
    <w:rsid w:val="006410B8"/>
    <w:rsid w:val="0064134A"/>
    <w:rsid w:val="00644264"/>
    <w:rsid w:val="00651020"/>
    <w:rsid w:val="006512C4"/>
    <w:rsid w:val="00651D1F"/>
    <w:rsid w:val="00653E3C"/>
    <w:rsid w:val="00657523"/>
    <w:rsid w:val="00660982"/>
    <w:rsid w:val="00661FBC"/>
    <w:rsid w:val="006634F3"/>
    <w:rsid w:val="00665681"/>
    <w:rsid w:val="00667916"/>
    <w:rsid w:val="00670F90"/>
    <w:rsid w:val="00673A12"/>
    <w:rsid w:val="006747C4"/>
    <w:rsid w:val="006749F5"/>
    <w:rsid w:val="00674B9A"/>
    <w:rsid w:val="0068225C"/>
    <w:rsid w:val="00682F30"/>
    <w:rsid w:val="00684248"/>
    <w:rsid w:val="0069149A"/>
    <w:rsid w:val="00694F85"/>
    <w:rsid w:val="00695A7C"/>
    <w:rsid w:val="00697879"/>
    <w:rsid w:val="006A2422"/>
    <w:rsid w:val="006A6EF9"/>
    <w:rsid w:val="006A72F3"/>
    <w:rsid w:val="006A7B22"/>
    <w:rsid w:val="006B09AB"/>
    <w:rsid w:val="006B396C"/>
    <w:rsid w:val="006B52E6"/>
    <w:rsid w:val="006B65F3"/>
    <w:rsid w:val="006C0202"/>
    <w:rsid w:val="006C28C5"/>
    <w:rsid w:val="006C3D99"/>
    <w:rsid w:val="006C4B21"/>
    <w:rsid w:val="006C4C9C"/>
    <w:rsid w:val="006C5C58"/>
    <w:rsid w:val="006C68E7"/>
    <w:rsid w:val="006C7E07"/>
    <w:rsid w:val="006C7F3A"/>
    <w:rsid w:val="006D29B5"/>
    <w:rsid w:val="006D56AC"/>
    <w:rsid w:val="006D6997"/>
    <w:rsid w:val="006E0919"/>
    <w:rsid w:val="006E0B7C"/>
    <w:rsid w:val="006E0DCE"/>
    <w:rsid w:val="006E2B20"/>
    <w:rsid w:val="006E597E"/>
    <w:rsid w:val="006F0872"/>
    <w:rsid w:val="006F278C"/>
    <w:rsid w:val="006F574E"/>
    <w:rsid w:val="006F6315"/>
    <w:rsid w:val="006F69E8"/>
    <w:rsid w:val="006F778F"/>
    <w:rsid w:val="007001C3"/>
    <w:rsid w:val="0070164C"/>
    <w:rsid w:val="007028FC"/>
    <w:rsid w:val="007032C7"/>
    <w:rsid w:val="00703FB4"/>
    <w:rsid w:val="00704F57"/>
    <w:rsid w:val="007052D8"/>
    <w:rsid w:val="0071113A"/>
    <w:rsid w:val="00712128"/>
    <w:rsid w:val="007147E5"/>
    <w:rsid w:val="007231C8"/>
    <w:rsid w:val="00724012"/>
    <w:rsid w:val="007255D1"/>
    <w:rsid w:val="00731814"/>
    <w:rsid w:val="00732637"/>
    <w:rsid w:val="0073427C"/>
    <w:rsid w:val="007358E4"/>
    <w:rsid w:val="00735946"/>
    <w:rsid w:val="00735F84"/>
    <w:rsid w:val="00745040"/>
    <w:rsid w:val="007476CC"/>
    <w:rsid w:val="00750B52"/>
    <w:rsid w:val="00750C36"/>
    <w:rsid w:val="00750FF6"/>
    <w:rsid w:val="00754A52"/>
    <w:rsid w:val="00754F18"/>
    <w:rsid w:val="007563C4"/>
    <w:rsid w:val="00756A40"/>
    <w:rsid w:val="00756BD3"/>
    <w:rsid w:val="00756ECF"/>
    <w:rsid w:val="00757A62"/>
    <w:rsid w:val="00757C56"/>
    <w:rsid w:val="00764926"/>
    <w:rsid w:val="00766A64"/>
    <w:rsid w:val="00766BB7"/>
    <w:rsid w:val="00767AB2"/>
    <w:rsid w:val="007713D2"/>
    <w:rsid w:val="00771DAB"/>
    <w:rsid w:val="00772668"/>
    <w:rsid w:val="0077342B"/>
    <w:rsid w:val="00773760"/>
    <w:rsid w:val="00775471"/>
    <w:rsid w:val="0077724F"/>
    <w:rsid w:val="00780F71"/>
    <w:rsid w:val="0078170E"/>
    <w:rsid w:val="007826AE"/>
    <w:rsid w:val="007831B2"/>
    <w:rsid w:val="00784A2D"/>
    <w:rsid w:val="007864E6"/>
    <w:rsid w:val="00786787"/>
    <w:rsid w:val="00787F69"/>
    <w:rsid w:val="007924CD"/>
    <w:rsid w:val="00792B72"/>
    <w:rsid w:val="00792F9F"/>
    <w:rsid w:val="007935F8"/>
    <w:rsid w:val="00794E48"/>
    <w:rsid w:val="00794F29"/>
    <w:rsid w:val="00796AA1"/>
    <w:rsid w:val="00797969"/>
    <w:rsid w:val="00797BEB"/>
    <w:rsid w:val="007A0615"/>
    <w:rsid w:val="007A37E8"/>
    <w:rsid w:val="007A4226"/>
    <w:rsid w:val="007B32E4"/>
    <w:rsid w:val="007B344D"/>
    <w:rsid w:val="007B3D6C"/>
    <w:rsid w:val="007B481E"/>
    <w:rsid w:val="007C2F28"/>
    <w:rsid w:val="007C41B8"/>
    <w:rsid w:val="007C420F"/>
    <w:rsid w:val="007C4D44"/>
    <w:rsid w:val="007D0081"/>
    <w:rsid w:val="007D00D3"/>
    <w:rsid w:val="007D414B"/>
    <w:rsid w:val="007D453B"/>
    <w:rsid w:val="007D50AC"/>
    <w:rsid w:val="007D78E3"/>
    <w:rsid w:val="007D7AE6"/>
    <w:rsid w:val="007E03C0"/>
    <w:rsid w:val="007E0563"/>
    <w:rsid w:val="007E1B43"/>
    <w:rsid w:val="007E213B"/>
    <w:rsid w:val="007E237C"/>
    <w:rsid w:val="007E683C"/>
    <w:rsid w:val="007F1E99"/>
    <w:rsid w:val="007F4100"/>
    <w:rsid w:val="007F5B5A"/>
    <w:rsid w:val="007F76E6"/>
    <w:rsid w:val="007F7FA1"/>
    <w:rsid w:val="0080186C"/>
    <w:rsid w:val="0080187E"/>
    <w:rsid w:val="00801909"/>
    <w:rsid w:val="0080251E"/>
    <w:rsid w:val="00802CD4"/>
    <w:rsid w:val="00803EB2"/>
    <w:rsid w:val="00805047"/>
    <w:rsid w:val="00805844"/>
    <w:rsid w:val="0080640D"/>
    <w:rsid w:val="008137F9"/>
    <w:rsid w:val="0081524F"/>
    <w:rsid w:val="00816B0A"/>
    <w:rsid w:val="00816B4A"/>
    <w:rsid w:val="00816C33"/>
    <w:rsid w:val="00823D24"/>
    <w:rsid w:val="00825A39"/>
    <w:rsid w:val="008301F0"/>
    <w:rsid w:val="00830A21"/>
    <w:rsid w:val="00831DAD"/>
    <w:rsid w:val="0083412B"/>
    <w:rsid w:val="00837757"/>
    <w:rsid w:val="008532F4"/>
    <w:rsid w:val="00854F51"/>
    <w:rsid w:val="00856B0F"/>
    <w:rsid w:val="00857120"/>
    <w:rsid w:val="00857BCA"/>
    <w:rsid w:val="0086139C"/>
    <w:rsid w:val="00861BD6"/>
    <w:rsid w:val="00861D30"/>
    <w:rsid w:val="00861D31"/>
    <w:rsid w:val="00862598"/>
    <w:rsid w:val="00870173"/>
    <w:rsid w:val="00871C57"/>
    <w:rsid w:val="00872D57"/>
    <w:rsid w:val="00881752"/>
    <w:rsid w:val="0088303D"/>
    <w:rsid w:val="008849B2"/>
    <w:rsid w:val="00884D2D"/>
    <w:rsid w:val="008855F3"/>
    <w:rsid w:val="008862BE"/>
    <w:rsid w:val="00887517"/>
    <w:rsid w:val="00890EB4"/>
    <w:rsid w:val="00893EE4"/>
    <w:rsid w:val="00896D90"/>
    <w:rsid w:val="00897BC7"/>
    <w:rsid w:val="008A04EE"/>
    <w:rsid w:val="008A1F25"/>
    <w:rsid w:val="008A20D6"/>
    <w:rsid w:val="008A330E"/>
    <w:rsid w:val="008A37FA"/>
    <w:rsid w:val="008A722E"/>
    <w:rsid w:val="008A7827"/>
    <w:rsid w:val="008B21F4"/>
    <w:rsid w:val="008B2B25"/>
    <w:rsid w:val="008B2EA1"/>
    <w:rsid w:val="008B41D5"/>
    <w:rsid w:val="008B5708"/>
    <w:rsid w:val="008B7A06"/>
    <w:rsid w:val="008C003F"/>
    <w:rsid w:val="008C1573"/>
    <w:rsid w:val="008C6021"/>
    <w:rsid w:val="008D054D"/>
    <w:rsid w:val="008D0ED3"/>
    <w:rsid w:val="008D1580"/>
    <w:rsid w:val="008D158D"/>
    <w:rsid w:val="008D340F"/>
    <w:rsid w:val="008D3F8D"/>
    <w:rsid w:val="008D5F6F"/>
    <w:rsid w:val="008D6BD8"/>
    <w:rsid w:val="008E3B27"/>
    <w:rsid w:val="008E3C87"/>
    <w:rsid w:val="008E4B9A"/>
    <w:rsid w:val="008E516D"/>
    <w:rsid w:val="008E5B9C"/>
    <w:rsid w:val="008F2D0D"/>
    <w:rsid w:val="008F2F7B"/>
    <w:rsid w:val="008F4234"/>
    <w:rsid w:val="008F4D0F"/>
    <w:rsid w:val="008F5B8B"/>
    <w:rsid w:val="008F6A01"/>
    <w:rsid w:val="00905F36"/>
    <w:rsid w:val="009102E1"/>
    <w:rsid w:val="00910B4E"/>
    <w:rsid w:val="0091231A"/>
    <w:rsid w:val="00912840"/>
    <w:rsid w:val="00912C11"/>
    <w:rsid w:val="009203E8"/>
    <w:rsid w:val="00924914"/>
    <w:rsid w:val="00925672"/>
    <w:rsid w:val="00926611"/>
    <w:rsid w:val="00930FED"/>
    <w:rsid w:val="00931B12"/>
    <w:rsid w:val="00932454"/>
    <w:rsid w:val="00933B0E"/>
    <w:rsid w:val="009341D9"/>
    <w:rsid w:val="009354D5"/>
    <w:rsid w:val="009367E1"/>
    <w:rsid w:val="00937376"/>
    <w:rsid w:val="00937994"/>
    <w:rsid w:val="00942D51"/>
    <w:rsid w:val="009439D7"/>
    <w:rsid w:val="00943E42"/>
    <w:rsid w:val="009441F3"/>
    <w:rsid w:val="00944EB2"/>
    <w:rsid w:val="00945FD0"/>
    <w:rsid w:val="00946190"/>
    <w:rsid w:val="009501B4"/>
    <w:rsid w:val="00951534"/>
    <w:rsid w:val="00951CB9"/>
    <w:rsid w:val="00952E71"/>
    <w:rsid w:val="00955814"/>
    <w:rsid w:val="0095772F"/>
    <w:rsid w:val="00957DCB"/>
    <w:rsid w:val="00960F34"/>
    <w:rsid w:val="0096100D"/>
    <w:rsid w:val="00961A19"/>
    <w:rsid w:val="009630F3"/>
    <w:rsid w:val="00965818"/>
    <w:rsid w:val="00965919"/>
    <w:rsid w:val="00965AE5"/>
    <w:rsid w:val="00966170"/>
    <w:rsid w:val="009670A4"/>
    <w:rsid w:val="00970821"/>
    <w:rsid w:val="00973833"/>
    <w:rsid w:val="0097549B"/>
    <w:rsid w:val="0097588B"/>
    <w:rsid w:val="00975FE0"/>
    <w:rsid w:val="009763E8"/>
    <w:rsid w:val="00982611"/>
    <w:rsid w:val="00983223"/>
    <w:rsid w:val="009844E5"/>
    <w:rsid w:val="009852DB"/>
    <w:rsid w:val="0098600F"/>
    <w:rsid w:val="009866B6"/>
    <w:rsid w:val="00990AD6"/>
    <w:rsid w:val="00991240"/>
    <w:rsid w:val="00994792"/>
    <w:rsid w:val="00996DB7"/>
    <w:rsid w:val="00996EC6"/>
    <w:rsid w:val="00997BEE"/>
    <w:rsid w:val="00997E19"/>
    <w:rsid w:val="009A14E1"/>
    <w:rsid w:val="009A24A6"/>
    <w:rsid w:val="009A3DBC"/>
    <w:rsid w:val="009A5D6A"/>
    <w:rsid w:val="009B2E4A"/>
    <w:rsid w:val="009B45ED"/>
    <w:rsid w:val="009B4E7F"/>
    <w:rsid w:val="009C2449"/>
    <w:rsid w:val="009C4864"/>
    <w:rsid w:val="009C5DA7"/>
    <w:rsid w:val="009C6477"/>
    <w:rsid w:val="009C729F"/>
    <w:rsid w:val="009D0A75"/>
    <w:rsid w:val="009D3F3F"/>
    <w:rsid w:val="009D7704"/>
    <w:rsid w:val="009E0EBF"/>
    <w:rsid w:val="009E2C55"/>
    <w:rsid w:val="009F243E"/>
    <w:rsid w:val="009F3685"/>
    <w:rsid w:val="009F3A9F"/>
    <w:rsid w:val="009F59C0"/>
    <w:rsid w:val="009F5D50"/>
    <w:rsid w:val="009F617D"/>
    <w:rsid w:val="009F6F11"/>
    <w:rsid w:val="00A00770"/>
    <w:rsid w:val="00A01AED"/>
    <w:rsid w:val="00A02B24"/>
    <w:rsid w:val="00A02B52"/>
    <w:rsid w:val="00A0491B"/>
    <w:rsid w:val="00A04C29"/>
    <w:rsid w:val="00A05354"/>
    <w:rsid w:val="00A072CA"/>
    <w:rsid w:val="00A1009F"/>
    <w:rsid w:val="00A103F2"/>
    <w:rsid w:val="00A11F1C"/>
    <w:rsid w:val="00A1447B"/>
    <w:rsid w:val="00A1629F"/>
    <w:rsid w:val="00A16368"/>
    <w:rsid w:val="00A167F5"/>
    <w:rsid w:val="00A17569"/>
    <w:rsid w:val="00A208A7"/>
    <w:rsid w:val="00A20FD2"/>
    <w:rsid w:val="00A211CA"/>
    <w:rsid w:val="00A21ADA"/>
    <w:rsid w:val="00A22631"/>
    <w:rsid w:val="00A22636"/>
    <w:rsid w:val="00A27E69"/>
    <w:rsid w:val="00A338B7"/>
    <w:rsid w:val="00A35B56"/>
    <w:rsid w:val="00A40093"/>
    <w:rsid w:val="00A42BF8"/>
    <w:rsid w:val="00A4301D"/>
    <w:rsid w:val="00A435A0"/>
    <w:rsid w:val="00A4481C"/>
    <w:rsid w:val="00A44FAE"/>
    <w:rsid w:val="00A46555"/>
    <w:rsid w:val="00A4673C"/>
    <w:rsid w:val="00A53A10"/>
    <w:rsid w:val="00A56003"/>
    <w:rsid w:val="00A57480"/>
    <w:rsid w:val="00A57BB4"/>
    <w:rsid w:val="00A60D7B"/>
    <w:rsid w:val="00A639F7"/>
    <w:rsid w:val="00A6543B"/>
    <w:rsid w:val="00A65A56"/>
    <w:rsid w:val="00A665BD"/>
    <w:rsid w:val="00A673A4"/>
    <w:rsid w:val="00A67B11"/>
    <w:rsid w:val="00A67CCE"/>
    <w:rsid w:val="00A7037C"/>
    <w:rsid w:val="00A723DA"/>
    <w:rsid w:val="00A73C15"/>
    <w:rsid w:val="00A74151"/>
    <w:rsid w:val="00A75557"/>
    <w:rsid w:val="00A75C9C"/>
    <w:rsid w:val="00A75D87"/>
    <w:rsid w:val="00A774C6"/>
    <w:rsid w:val="00A77F3E"/>
    <w:rsid w:val="00A803AE"/>
    <w:rsid w:val="00A81402"/>
    <w:rsid w:val="00A8337B"/>
    <w:rsid w:val="00A85F22"/>
    <w:rsid w:val="00A870CD"/>
    <w:rsid w:val="00A8748C"/>
    <w:rsid w:val="00A93142"/>
    <w:rsid w:val="00A94CE6"/>
    <w:rsid w:val="00A96E52"/>
    <w:rsid w:val="00AB0C21"/>
    <w:rsid w:val="00AB2ED3"/>
    <w:rsid w:val="00AB3B90"/>
    <w:rsid w:val="00AB7DC3"/>
    <w:rsid w:val="00AC3973"/>
    <w:rsid w:val="00AC4E00"/>
    <w:rsid w:val="00AC70C3"/>
    <w:rsid w:val="00AD1022"/>
    <w:rsid w:val="00AD2018"/>
    <w:rsid w:val="00AD29B9"/>
    <w:rsid w:val="00AD3535"/>
    <w:rsid w:val="00AD3DB7"/>
    <w:rsid w:val="00AD4BC8"/>
    <w:rsid w:val="00AE0B60"/>
    <w:rsid w:val="00AE50AD"/>
    <w:rsid w:val="00AE543A"/>
    <w:rsid w:val="00AE5721"/>
    <w:rsid w:val="00AE612F"/>
    <w:rsid w:val="00AE6F35"/>
    <w:rsid w:val="00AE724C"/>
    <w:rsid w:val="00AF0172"/>
    <w:rsid w:val="00AF062E"/>
    <w:rsid w:val="00AF1D39"/>
    <w:rsid w:val="00AF39AA"/>
    <w:rsid w:val="00AF3F80"/>
    <w:rsid w:val="00AF4B90"/>
    <w:rsid w:val="00B01EBF"/>
    <w:rsid w:val="00B03290"/>
    <w:rsid w:val="00B03986"/>
    <w:rsid w:val="00B03AB0"/>
    <w:rsid w:val="00B04037"/>
    <w:rsid w:val="00B057DE"/>
    <w:rsid w:val="00B069BD"/>
    <w:rsid w:val="00B074A4"/>
    <w:rsid w:val="00B10CE3"/>
    <w:rsid w:val="00B139B9"/>
    <w:rsid w:val="00B14C56"/>
    <w:rsid w:val="00B14D0C"/>
    <w:rsid w:val="00B14E4A"/>
    <w:rsid w:val="00B15395"/>
    <w:rsid w:val="00B17CCF"/>
    <w:rsid w:val="00B21E94"/>
    <w:rsid w:val="00B25D49"/>
    <w:rsid w:val="00B26887"/>
    <w:rsid w:val="00B274E6"/>
    <w:rsid w:val="00B27B7C"/>
    <w:rsid w:val="00B33738"/>
    <w:rsid w:val="00B35F83"/>
    <w:rsid w:val="00B36502"/>
    <w:rsid w:val="00B40339"/>
    <w:rsid w:val="00B423AE"/>
    <w:rsid w:val="00B436F8"/>
    <w:rsid w:val="00B44385"/>
    <w:rsid w:val="00B45553"/>
    <w:rsid w:val="00B45749"/>
    <w:rsid w:val="00B50C4A"/>
    <w:rsid w:val="00B5350D"/>
    <w:rsid w:val="00B57524"/>
    <w:rsid w:val="00B61D22"/>
    <w:rsid w:val="00B61EB9"/>
    <w:rsid w:val="00B62C5C"/>
    <w:rsid w:val="00B650F5"/>
    <w:rsid w:val="00B657AB"/>
    <w:rsid w:val="00B6652E"/>
    <w:rsid w:val="00B66CE2"/>
    <w:rsid w:val="00B702E8"/>
    <w:rsid w:val="00B70416"/>
    <w:rsid w:val="00B749B1"/>
    <w:rsid w:val="00B80221"/>
    <w:rsid w:val="00B8098C"/>
    <w:rsid w:val="00B85BFC"/>
    <w:rsid w:val="00B868A3"/>
    <w:rsid w:val="00B902AB"/>
    <w:rsid w:val="00B91128"/>
    <w:rsid w:val="00B9119A"/>
    <w:rsid w:val="00B92E1A"/>
    <w:rsid w:val="00B92E4B"/>
    <w:rsid w:val="00B96881"/>
    <w:rsid w:val="00B97452"/>
    <w:rsid w:val="00BA1D6D"/>
    <w:rsid w:val="00BA350A"/>
    <w:rsid w:val="00BA3590"/>
    <w:rsid w:val="00BA395C"/>
    <w:rsid w:val="00BA5F68"/>
    <w:rsid w:val="00BA60BF"/>
    <w:rsid w:val="00BA6A90"/>
    <w:rsid w:val="00BA6C80"/>
    <w:rsid w:val="00BB0EFD"/>
    <w:rsid w:val="00BB2679"/>
    <w:rsid w:val="00BB271E"/>
    <w:rsid w:val="00BB29CB"/>
    <w:rsid w:val="00BB4E00"/>
    <w:rsid w:val="00BB5CF1"/>
    <w:rsid w:val="00BB6A2A"/>
    <w:rsid w:val="00BC00F9"/>
    <w:rsid w:val="00BC045B"/>
    <w:rsid w:val="00BC04F8"/>
    <w:rsid w:val="00BC3D96"/>
    <w:rsid w:val="00BC787D"/>
    <w:rsid w:val="00BD06E6"/>
    <w:rsid w:val="00BD2DA1"/>
    <w:rsid w:val="00BD5150"/>
    <w:rsid w:val="00BD73E2"/>
    <w:rsid w:val="00BE22B6"/>
    <w:rsid w:val="00BE6ED2"/>
    <w:rsid w:val="00BF0977"/>
    <w:rsid w:val="00BF1159"/>
    <w:rsid w:val="00BF3428"/>
    <w:rsid w:val="00BF41D3"/>
    <w:rsid w:val="00BF4868"/>
    <w:rsid w:val="00BF5139"/>
    <w:rsid w:val="00C03EA5"/>
    <w:rsid w:val="00C0712D"/>
    <w:rsid w:val="00C07E71"/>
    <w:rsid w:val="00C117CE"/>
    <w:rsid w:val="00C12B11"/>
    <w:rsid w:val="00C133A3"/>
    <w:rsid w:val="00C14606"/>
    <w:rsid w:val="00C207A1"/>
    <w:rsid w:val="00C21CEC"/>
    <w:rsid w:val="00C22024"/>
    <w:rsid w:val="00C2265B"/>
    <w:rsid w:val="00C24741"/>
    <w:rsid w:val="00C26CB7"/>
    <w:rsid w:val="00C308ED"/>
    <w:rsid w:val="00C30DBC"/>
    <w:rsid w:val="00C318CE"/>
    <w:rsid w:val="00C3206B"/>
    <w:rsid w:val="00C357A4"/>
    <w:rsid w:val="00C374C5"/>
    <w:rsid w:val="00C37A24"/>
    <w:rsid w:val="00C37A3D"/>
    <w:rsid w:val="00C37CCE"/>
    <w:rsid w:val="00C41FA0"/>
    <w:rsid w:val="00C44E9A"/>
    <w:rsid w:val="00C45195"/>
    <w:rsid w:val="00C45858"/>
    <w:rsid w:val="00C57628"/>
    <w:rsid w:val="00C57FC5"/>
    <w:rsid w:val="00C622F7"/>
    <w:rsid w:val="00C64E21"/>
    <w:rsid w:val="00C6503A"/>
    <w:rsid w:val="00C66B2B"/>
    <w:rsid w:val="00C6744E"/>
    <w:rsid w:val="00C7020C"/>
    <w:rsid w:val="00C709D9"/>
    <w:rsid w:val="00C72B37"/>
    <w:rsid w:val="00C72DB7"/>
    <w:rsid w:val="00C73819"/>
    <w:rsid w:val="00C7385D"/>
    <w:rsid w:val="00C8101D"/>
    <w:rsid w:val="00C83927"/>
    <w:rsid w:val="00C8590C"/>
    <w:rsid w:val="00C85E19"/>
    <w:rsid w:val="00C9034E"/>
    <w:rsid w:val="00C9211F"/>
    <w:rsid w:val="00C926BF"/>
    <w:rsid w:val="00C94D59"/>
    <w:rsid w:val="00C95627"/>
    <w:rsid w:val="00C95CAE"/>
    <w:rsid w:val="00C96FB3"/>
    <w:rsid w:val="00C97873"/>
    <w:rsid w:val="00CA10DB"/>
    <w:rsid w:val="00CA1489"/>
    <w:rsid w:val="00CA6530"/>
    <w:rsid w:val="00CA6EAD"/>
    <w:rsid w:val="00CA6EDD"/>
    <w:rsid w:val="00CA7DFB"/>
    <w:rsid w:val="00CB1276"/>
    <w:rsid w:val="00CB1868"/>
    <w:rsid w:val="00CB32EB"/>
    <w:rsid w:val="00CB7AC9"/>
    <w:rsid w:val="00CC0615"/>
    <w:rsid w:val="00CC1F68"/>
    <w:rsid w:val="00CC2382"/>
    <w:rsid w:val="00CC36B3"/>
    <w:rsid w:val="00CC3F7F"/>
    <w:rsid w:val="00CC581A"/>
    <w:rsid w:val="00CC7690"/>
    <w:rsid w:val="00CC79D9"/>
    <w:rsid w:val="00CD162C"/>
    <w:rsid w:val="00CD2D2A"/>
    <w:rsid w:val="00CE028F"/>
    <w:rsid w:val="00CE0ADE"/>
    <w:rsid w:val="00CE35FD"/>
    <w:rsid w:val="00CE36A4"/>
    <w:rsid w:val="00CE67A3"/>
    <w:rsid w:val="00CE742F"/>
    <w:rsid w:val="00CF11FD"/>
    <w:rsid w:val="00CF22FF"/>
    <w:rsid w:val="00CF27E6"/>
    <w:rsid w:val="00CF4611"/>
    <w:rsid w:val="00CF5F59"/>
    <w:rsid w:val="00D006A3"/>
    <w:rsid w:val="00D016D5"/>
    <w:rsid w:val="00D05134"/>
    <w:rsid w:val="00D05A53"/>
    <w:rsid w:val="00D05BF0"/>
    <w:rsid w:val="00D067D0"/>
    <w:rsid w:val="00D07FB8"/>
    <w:rsid w:val="00D10A84"/>
    <w:rsid w:val="00D12C99"/>
    <w:rsid w:val="00D146EE"/>
    <w:rsid w:val="00D159E0"/>
    <w:rsid w:val="00D1619A"/>
    <w:rsid w:val="00D17BFC"/>
    <w:rsid w:val="00D17EA9"/>
    <w:rsid w:val="00D21884"/>
    <w:rsid w:val="00D23779"/>
    <w:rsid w:val="00D238A0"/>
    <w:rsid w:val="00D239B3"/>
    <w:rsid w:val="00D27BA8"/>
    <w:rsid w:val="00D27E69"/>
    <w:rsid w:val="00D3015A"/>
    <w:rsid w:val="00D30FD6"/>
    <w:rsid w:val="00D32937"/>
    <w:rsid w:val="00D32E4B"/>
    <w:rsid w:val="00D33DB6"/>
    <w:rsid w:val="00D33E15"/>
    <w:rsid w:val="00D341F9"/>
    <w:rsid w:val="00D42A80"/>
    <w:rsid w:val="00D44CA3"/>
    <w:rsid w:val="00D4518E"/>
    <w:rsid w:val="00D45C7C"/>
    <w:rsid w:val="00D46F6A"/>
    <w:rsid w:val="00D47296"/>
    <w:rsid w:val="00D47611"/>
    <w:rsid w:val="00D519E4"/>
    <w:rsid w:val="00D5239F"/>
    <w:rsid w:val="00D55D01"/>
    <w:rsid w:val="00D61CF2"/>
    <w:rsid w:val="00D62D40"/>
    <w:rsid w:val="00D630EB"/>
    <w:rsid w:val="00D636C5"/>
    <w:rsid w:val="00D640CB"/>
    <w:rsid w:val="00D71936"/>
    <w:rsid w:val="00D7418B"/>
    <w:rsid w:val="00D76646"/>
    <w:rsid w:val="00D808B7"/>
    <w:rsid w:val="00D80C70"/>
    <w:rsid w:val="00D81999"/>
    <w:rsid w:val="00D81E7C"/>
    <w:rsid w:val="00D81F14"/>
    <w:rsid w:val="00D83895"/>
    <w:rsid w:val="00D85DEF"/>
    <w:rsid w:val="00D91652"/>
    <w:rsid w:val="00D92287"/>
    <w:rsid w:val="00D9405B"/>
    <w:rsid w:val="00D96CDB"/>
    <w:rsid w:val="00D97EE7"/>
    <w:rsid w:val="00DA124B"/>
    <w:rsid w:val="00DA7A59"/>
    <w:rsid w:val="00DB0164"/>
    <w:rsid w:val="00DB0EF7"/>
    <w:rsid w:val="00DB1ADF"/>
    <w:rsid w:val="00DB1B10"/>
    <w:rsid w:val="00DB3110"/>
    <w:rsid w:val="00DB55C0"/>
    <w:rsid w:val="00DB5B36"/>
    <w:rsid w:val="00DB73E5"/>
    <w:rsid w:val="00DB7508"/>
    <w:rsid w:val="00DC0177"/>
    <w:rsid w:val="00DC51A6"/>
    <w:rsid w:val="00DD04E4"/>
    <w:rsid w:val="00DD0553"/>
    <w:rsid w:val="00DD0FFD"/>
    <w:rsid w:val="00DD1E0A"/>
    <w:rsid w:val="00DD25A2"/>
    <w:rsid w:val="00DD438C"/>
    <w:rsid w:val="00DD603E"/>
    <w:rsid w:val="00DD7339"/>
    <w:rsid w:val="00DD7B5F"/>
    <w:rsid w:val="00DE091A"/>
    <w:rsid w:val="00DE0C21"/>
    <w:rsid w:val="00DE0E45"/>
    <w:rsid w:val="00DE1E7D"/>
    <w:rsid w:val="00DE23EE"/>
    <w:rsid w:val="00DE3FB2"/>
    <w:rsid w:val="00DE4457"/>
    <w:rsid w:val="00DE4C55"/>
    <w:rsid w:val="00DE53BC"/>
    <w:rsid w:val="00DE69AE"/>
    <w:rsid w:val="00DE7ADD"/>
    <w:rsid w:val="00DE7BB3"/>
    <w:rsid w:val="00DE7D1B"/>
    <w:rsid w:val="00DF3133"/>
    <w:rsid w:val="00DF5129"/>
    <w:rsid w:val="00DF579D"/>
    <w:rsid w:val="00DF60FA"/>
    <w:rsid w:val="00DF70F6"/>
    <w:rsid w:val="00DF7FDE"/>
    <w:rsid w:val="00E0000D"/>
    <w:rsid w:val="00E00529"/>
    <w:rsid w:val="00E023A1"/>
    <w:rsid w:val="00E0254B"/>
    <w:rsid w:val="00E0441F"/>
    <w:rsid w:val="00E05ADC"/>
    <w:rsid w:val="00E06449"/>
    <w:rsid w:val="00E06A84"/>
    <w:rsid w:val="00E0792A"/>
    <w:rsid w:val="00E1250C"/>
    <w:rsid w:val="00E125F9"/>
    <w:rsid w:val="00E12711"/>
    <w:rsid w:val="00E1349D"/>
    <w:rsid w:val="00E16769"/>
    <w:rsid w:val="00E207E7"/>
    <w:rsid w:val="00E212BA"/>
    <w:rsid w:val="00E219EF"/>
    <w:rsid w:val="00E22E35"/>
    <w:rsid w:val="00E238E4"/>
    <w:rsid w:val="00E23BA0"/>
    <w:rsid w:val="00E23F00"/>
    <w:rsid w:val="00E24F18"/>
    <w:rsid w:val="00E253C7"/>
    <w:rsid w:val="00E25457"/>
    <w:rsid w:val="00E27B4B"/>
    <w:rsid w:val="00E336AE"/>
    <w:rsid w:val="00E343B0"/>
    <w:rsid w:val="00E34E81"/>
    <w:rsid w:val="00E35B20"/>
    <w:rsid w:val="00E36226"/>
    <w:rsid w:val="00E3699C"/>
    <w:rsid w:val="00E37109"/>
    <w:rsid w:val="00E416AE"/>
    <w:rsid w:val="00E436AA"/>
    <w:rsid w:val="00E43AF9"/>
    <w:rsid w:val="00E43B5F"/>
    <w:rsid w:val="00E467A0"/>
    <w:rsid w:val="00E46924"/>
    <w:rsid w:val="00E50468"/>
    <w:rsid w:val="00E50830"/>
    <w:rsid w:val="00E50E1B"/>
    <w:rsid w:val="00E50E3C"/>
    <w:rsid w:val="00E5202C"/>
    <w:rsid w:val="00E520A9"/>
    <w:rsid w:val="00E52996"/>
    <w:rsid w:val="00E54D6C"/>
    <w:rsid w:val="00E55A57"/>
    <w:rsid w:val="00E60931"/>
    <w:rsid w:val="00E60DE4"/>
    <w:rsid w:val="00E62E70"/>
    <w:rsid w:val="00E64AB0"/>
    <w:rsid w:val="00E66B2F"/>
    <w:rsid w:val="00E70C19"/>
    <w:rsid w:val="00E733EA"/>
    <w:rsid w:val="00E73D58"/>
    <w:rsid w:val="00E750E0"/>
    <w:rsid w:val="00E7609F"/>
    <w:rsid w:val="00E80BAA"/>
    <w:rsid w:val="00E82CF1"/>
    <w:rsid w:val="00E84C00"/>
    <w:rsid w:val="00E87AED"/>
    <w:rsid w:val="00E91286"/>
    <w:rsid w:val="00E95AF7"/>
    <w:rsid w:val="00E97446"/>
    <w:rsid w:val="00EA00C0"/>
    <w:rsid w:val="00EA073C"/>
    <w:rsid w:val="00EA14FC"/>
    <w:rsid w:val="00EA1D0E"/>
    <w:rsid w:val="00EA263E"/>
    <w:rsid w:val="00EA2737"/>
    <w:rsid w:val="00EA5290"/>
    <w:rsid w:val="00EB0BB8"/>
    <w:rsid w:val="00EB2E2E"/>
    <w:rsid w:val="00EB687C"/>
    <w:rsid w:val="00EB7F40"/>
    <w:rsid w:val="00EC02B6"/>
    <w:rsid w:val="00EC1111"/>
    <w:rsid w:val="00EC1B43"/>
    <w:rsid w:val="00EC1C1D"/>
    <w:rsid w:val="00EC2574"/>
    <w:rsid w:val="00EC4341"/>
    <w:rsid w:val="00EC5CE4"/>
    <w:rsid w:val="00EC623F"/>
    <w:rsid w:val="00EC6282"/>
    <w:rsid w:val="00EC65B7"/>
    <w:rsid w:val="00EC71C3"/>
    <w:rsid w:val="00EC7F5E"/>
    <w:rsid w:val="00ED4196"/>
    <w:rsid w:val="00ED5701"/>
    <w:rsid w:val="00ED5AAE"/>
    <w:rsid w:val="00ED5EE3"/>
    <w:rsid w:val="00ED7605"/>
    <w:rsid w:val="00ED7B9B"/>
    <w:rsid w:val="00EE0A4C"/>
    <w:rsid w:val="00EE2065"/>
    <w:rsid w:val="00EE7B54"/>
    <w:rsid w:val="00EF23E3"/>
    <w:rsid w:val="00EF4C55"/>
    <w:rsid w:val="00EF7BE5"/>
    <w:rsid w:val="00EF7DCD"/>
    <w:rsid w:val="00EF7E02"/>
    <w:rsid w:val="00F00C3B"/>
    <w:rsid w:val="00F00D48"/>
    <w:rsid w:val="00F00E98"/>
    <w:rsid w:val="00F00F8F"/>
    <w:rsid w:val="00F024D1"/>
    <w:rsid w:val="00F054E2"/>
    <w:rsid w:val="00F0579C"/>
    <w:rsid w:val="00F05CA9"/>
    <w:rsid w:val="00F05F90"/>
    <w:rsid w:val="00F07CC6"/>
    <w:rsid w:val="00F10D1B"/>
    <w:rsid w:val="00F11FA6"/>
    <w:rsid w:val="00F1270B"/>
    <w:rsid w:val="00F21513"/>
    <w:rsid w:val="00F21C8C"/>
    <w:rsid w:val="00F22D46"/>
    <w:rsid w:val="00F234EC"/>
    <w:rsid w:val="00F24EB5"/>
    <w:rsid w:val="00F30548"/>
    <w:rsid w:val="00F30876"/>
    <w:rsid w:val="00F32162"/>
    <w:rsid w:val="00F33BBB"/>
    <w:rsid w:val="00F361FF"/>
    <w:rsid w:val="00F4130F"/>
    <w:rsid w:val="00F42BC6"/>
    <w:rsid w:val="00F430E0"/>
    <w:rsid w:val="00F44155"/>
    <w:rsid w:val="00F4441A"/>
    <w:rsid w:val="00F4476E"/>
    <w:rsid w:val="00F46CBE"/>
    <w:rsid w:val="00F5272F"/>
    <w:rsid w:val="00F53344"/>
    <w:rsid w:val="00F5573B"/>
    <w:rsid w:val="00F557B1"/>
    <w:rsid w:val="00F55E6E"/>
    <w:rsid w:val="00F5650B"/>
    <w:rsid w:val="00F567D6"/>
    <w:rsid w:val="00F56C36"/>
    <w:rsid w:val="00F56C73"/>
    <w:rsid w:val="00F607AD"/>
    <w:rsid w:val="00F60C77"/>
    <w:rsid w:val="00F62854"/>
    <w:rsid w:val="00F64D93"/>
    <w:rsid w:val="00F676EB"/>
    <w:rsid w:val="00F74824"/>
    <w:rsid w:val="00F77EFD"/>
    <w:rsid w:val="00F80086"/>
    <w:rsid w:val="00F80101"/>
    <w:rsid w:val="00F81BA1"/>
    <w:rsid w:val="00F81C07"/>
    <w:rsid w:val="00F820F0"/>
    <w:rsid w:val="00F82571"/>
    <w:rsid w:val="00F83667"/>
    <w:rsid w:val="00F8468B"/>
    <w:rsid w:val="00F93EB3"/>
    <w:rsid w:val="00F955C4"/>
    <w:rsid w:val="00FA2C29"/>
    <w:rsid w:val="00FA3A1B"/>
    <w:rsid w:val="00FA5109"/>
    <w:rsid w:val="00FA62F9"/>
    <w:rsid w:val="00FA6E74"/>
    <w:rsid w:val="00FB46AA"/>
    <w:rsid w:val="00FB51A1"/>
    <w:rsid w:val="00FC0E97"/>
    <w:rsid w:val="00FC0F9F"/>
    <w:rsid w:val="00FC1E16"/>
    <w:rsid w:val="00FC2258"/>
    <w:rsid w:val="00FD52B0"/>
    <w:rsid w:val="00FD53B6"/>
    <w:rsid w:val="00FE06C4"/>
    <w:rsid w:val="00FE19A8"/>
    <w:rsid w:val="00FE2144"/>
    <w:rsid w:val="00FE31F1"/>
    <w:rsid w:val="00FE68B4"/>
    <w:rsid w:val="00FE7299"/>
    <w:rsid w:val="00FF222B"/>
    <w:rsid w:val="00FF2BA2"/>
    <w:rsid w:val="00FF44EF"/>
    <w:rsid w:val="00FF5BAD"/>
    <w:rsid w:val="00FF610E"/>
    <w:rsid w:val="00FF6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o:shapedefaults>
    <o:shapelayout v:ext="edit">
      <o:idmap v:ext="edit" data="1"/>
    </o:shapelayout>
  </w:shapeDefaults>
  <w:decimalSymbol w:val="."/>
  <w:listSeparator w:val=","/>
  <w14:docId w14:val="3AAA98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F1C"/>
    <w:pPr>
      <w:tabs>
        <w:tab w:val="left" w:pos="425"/>
      </w:tabs>
      <w:spacing w:line="400" w:lineRule="exact"/>
      <w:jc w:val="both"/>
    </w:pPr>
    <w:rPr>
      <w:rFonts w:ascii="Times New Roman" w:eastAsiaTheme="minorHAnsi" w:hAnsi="Times New Roman"/>
      <w:szCs w:val="22"/>
      <w:lang w:val="en-GB"/>
    </w:rPr>
  </w:style>
  <w:style w:type="paragraph" w:styleId="Heading1">
    <w:name w:val="heading 1"/>
    <w:basedOn w:val="Normal"/>
    <w:link w:val="Heading1Char"/>
    <w:uiPriority w:val="9"/>
    <w:qFormat/>
    <w:rsid w:val="003B2A46"/>
    <w:pPr>
      <w:spacing w:before="100" w:beforeAutospacing="1" w:after="100" w:afterAutospacing="1" w:line="240" w:lineRule="auto"/>
      <w:outlineLvl w:val="0"/>
    </w:pPr>
    <w:rPr>
      <w:rFonts w:ascii="Times" w:eastAsiaTheme="minorEastAsia" w:hAnsi="Times"/>
      <w:b/>
      <w:bCs/>
      <w:kern w:val="36"/>
      <w:sz w:val="48"/>
      <w:szCs w:val="48"/>
      <w:lang w:val="en-IE"/>
    </w:rPr>
  </w:style>
  <w:style w:type="paragraph" w:styleId="Heading2">
    <w:name w:val="heading 2"/>
    <w:basedOn w:val="Normal"/>
    <w:link w:val="Heading2Char"/>
    <w:uiPriority w:val="9"/>
    <w:qFormat/>
    <w:rsid w:val="003B2A46"/>
    <w:pPr>
      <w:spacing w:before="100" w:beforeAutospacing="1" w:after="100" w:afterAutospacing="1" w:line="240" w:lineRule="auto"/>
      <w:outlineLvl w:val="1"/>
    </w:pPr>
    <w:rPr>
      <w:rFonts w:ascii="Times" w:eastAsiaTheme="minorEastAsia" w:hAnsi="Times"/>
      <w:b/>
      <w:bCs/>
      <w:sz w:val="36"/>
      <w:szCs w:val="36"/>
      <w:lang w:val="en-IE"/>
    </w:rPr>
  </w:style>
  <w:style w:type="paragraph" w:styleId="Heading3">
    <w:name w:val="heading 3"/>
    <w:basedOn w:val="Normal"/>
    <w:link w:val="Heading3Char"/>
    <w:uiPriority w:val="9"/>
    <w:qFormat/>
    <w:rsid w:val="009A5D6A"/>
    <w:pPr>
      <w:keepNext/>
      <w:shd w:val="clear" w:color="auto" w:fill="FFFFFF"/>
      <w:spacing w:before="720" w:after="360"/>
      <w:jc w:val="center"/>
      <w:outlineLvl w:val="2"/>
    </w:pPr>
    <w:rPr>
      <w:rFonts w:eastAsia="Times New Roman" w:cs="Times New Roman"/>
      <w:b/>
      <w:bCs/>
      <w:szCs w:val="24"/>
      <w:lang w:eastAsia="it-IT"/>
    </w:rPr>
  </w:style>
  <w:style w:type="paragraph" w:styleId="Heading4">
    <w:name w:val="heading 4"/>
    <w:basedOn w:val="Normal"/>
    <w:next w:val="Normal"/>
    <w:link w:val="Heading4Char"/>
    <w:uiPriority w:val="9"/>
    <w:unhideWhenUsed/>
    <w:qFormat/>
    <w:rsid w:val="00DF70F6"/>
    <w:pPr>
      <w:keepNext/>
      <w:keepLines/>
      <w:spacing w:before="400"/>
      <w:outlineLvl w:val="3"/>
    </w:pPr>
    <w:rPr>
      <w:rFonts w:eastAsiaTheme="majorEastAsia" w:cstheme="majorBidi"/>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0B8"/>
    <w:pPr>
      <w:tabs>
        <w:tab w:val="center" w:pos="5387"/>
      </w:tabs>
      <w:contextualSpacing/>
    </w:pPr>
    <w:rPr>
      <w:rFonts w:cs="Times New Roman"/>
      <w:szCs w:val="24"/>
    </w:rPr>
  </w:style>
  <w:style w:type="table" w:styleId="TableGrid">
    <w:name w:val="Table Grid"/>
    <w:basedOn w:val="TableNormal"/>
    <w:uiPriority w:val="59"/>
    <w:rsid w:val="00B25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534FD4"/>
    <w:pPr>
      <w:spacing w:line="240" w:lineRule="exact"/>
      <w:ind w:left="284" w:hanging="284"/>
    </w:pPr>
    <w:rPr>
      <w:sz w:val="20"/>
      <w:szCs w:val="24"/>
    </w:rPr>
  </w:style>
  <w:style w:type="character" w:customStyle="1" w:styleId="FootnoteTextChar">
    <w:name w:val="Footnote Text Char"/>
    <w:basedOn w:val="DefaultParagraphFont"/>
    <w:link w:val="FootnoteText"/>
    <w:uiPriority w:val="99"/>
    <w:rsid w:val="00534FD4"/>
    <w:rPr>
      <w:rFonts w:ascii="Times New Roman" w:eastAsiaTheme="minorHAnsi" w:hAnsi="Times New Roman"/>
      <w:sz w:val="20"/>
      <w:lang w:val="en-GB"/>
    </w:rPr>
  </w:style>
  <w:style w:type="character" w:styleId="FootnoteReference">
    <w:name w:val="footnote reference"/>
    <w:basedOn w:val="DefaultParagraphFont"/>
    <w:uiPriority w:val="99"/>
    <w:unhideWhenUsed/>
    <w:rsid w:val="00323861"/>
    <w:rPr>
      <w:vertAlign w:val="superscript"/>
    </w:rPr>
  </w:style>
  <w:style w:type="character" w:styleId="CommentReference">
    <w:name w:val="annotation reference"/>
    <w:basedOn w:val="DefaultParagraphFont"/>
    <w:uiPriority w:val="99"/>
    <w:semiHidden/>
    <w:unhideWhenUsed/>
    <w:rsid w:val="00DD0FFD"/>
    <w:rPr>
      <w:sz w:val="18"/>
      <w:szCs w:val="18"/>
    </w:rPr>
  </w:style>
  <w:style w:type="paragraph" w:styleId="CommentText">
    <w:name w:val="annotation text"/>
    <w:basedOn w:val="Normal"/>
    <w:link w:val="CommentTextChar"/>
    <w:uiPriority w:val="99"/>
    <w:semiHidden/>
    <w:unhideWhenUsed/>
    <w:rsid w:val="00DD0FFD"/>
    <w:pPr>
      <w:spacing w:line="240" w:lineRule="auto"/>
    </w:pPr>
    <w:rPr>
      <w:szCs w:val="24"/>
    </w:rPr>
  </w:style>
  <w:style w:type="character" w:customStyle="1" w:styleId="CommentTextChar">
    <w:name w:val="Comment Text Char"/>
    <w:basedOn w:val="DefaultParagraphFont"/>
    <w:link w:val="CommentText"/>
    <w:uiPriority w:val="99"/>
    <w:semiHidden/>
    <w:rsid w:val="00DD0FFD"/>
    <w:rPr>
      <w:rFonts w:eastAsiaTheme="minorHAnsi"/>
      <w:lang w:val="en-GB"/>
    </w:rPr>
  </w:style>
  <w:style w:type="paragraph" w:styleId="CommentSubject">
    <w:name w:val="annotation subject"/>
    <w:basedOn w:val="CommentText"/>
    <w:next w:val="CommentText"/>
    <w:link w:val="CommentSubjectChar"/>
    <w:uiPriority w:val="99"/>
    <w:semiHidden/>
    <w:unhideWhenUsed/>
    <w:rsid w:val="00DD0FFD"/>
    <w:rPr>
      <w:b/>
      <w:bCs/>
      <w:sz w:val="20"/>
      <w:szCs w:val="20"/>
    </w:rPr>
  </w:style>
  <w:style w:type="character" w:customStyle="1" w:styleId="CommentSubjectChar">
    <w:name w:val="Comment Subject Char"/>
    <w:basedOn w:val="CommentTextChar"/>
    <w:link w:val="CommentSubject"/>
    <w:uiPriority w:val="99"/>
    <w:semiHidden/>
    <w:rsid w:val="00DD0FFD"/>
    <w:rPr>
      <w:rFonts w:eastAsiaTheme="minorHAnsi"/>
      <w:b/>
      <w:bCs/>
      <w:sz w:val="20"/>
      <w:szCs w:val="20"/>
      <w:lang w:val="en-GB"/>
    </w:rPr>
  </w:style>
  <w:style w:type="paragraph" w:styleId="BalloonText">
    <w:name w:val="Balloon Text"/>
    <w:basedOn w:val="Normal"/>
    <w:link w:val="BalloonTextChar"/>
    <w:uiPriority w:val="99"/>
    <w:semiHidden/>
    <w:unhideWhenUsed/>
    <w:rsid w:val="00DD0FFD"/>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D0FFD"/>
    <w:rPr>
      <w:rFonts w:ascii="Lucida Grande" w:eastAsiaTheme="minorHAnsi" w:hAnsi="Lucida Grande"/>
      <w:sz w:val="18"/>
      <w:szCs w:val="18"/>
      <w:lang w:val="en-GB"/>
    </w:rPr>
  </w:style>
  <w:style w:type="character" w:customStyle="1" w:styleId="Heading3Char">
    <w:name w:val="Heading 3 Char"/>
    <w:basedOn w:val="DefaultParagraphFont"/>
    <w:link w:val="Heading3"/>
    <w:uiPriority w:val="9"/>
    <w:rsid w:val="009A5D6A"/>
    <w:rPr>
      <w:rFonts w:ascii="Times New Roman" w:eastAsia="Times New Roman" w:hAnsi="Times New Roman" w:cs="Times New Roman"/>
      <w:b/>
      <w:bCs/>
      <w:shd w:val="clear" w:color="auto" w:fill="FFFFFF"/>
      <w:lang w:val="en-GB" w:eastAsia="it-IT"/>
    </w:rPr>
  </w:style>
  <w:style w:type="character" w:customStyle="1" w:styleId="apple-converted-space">
    <w:name w:val="apple-converted-space"/>
    <w:basedOn w:val="DefaultParagraphFont"/>
    <w:uiPriority w:val="99"/>
    <w:rsid w:val="00B35F83"/>
  </w:style>
  <w:style w:type="character" w:customStyle="1" w:styleId="mw-headline">
    <w:name w:val="mw-headline"/>
    <w:basedOn w:val="DefaultParagraphFont"/>
    <w:rsid w:val="00B35F83"/>
  </w:style>
  <w:style w:type="character" w:customStyle="1" w:styleId="mw-editsection-bracket">
    <w:name w:val="mw-editsection-bracket"/>
    <w:basedOn w:val="DefaultParagraphFont"/>
    <w:rsid w:val="00B35F83"/>
  </w:style>
  <w:style w:type="character" w:customStyle="1" w:styleId="txt">
    <w:name w:val="txt"/>
    <w:basedOn w:val="DefaultParagraphFont"/>
    <w:rsid w:val="00F361FF"/>
  </w:style>
  <w:style w:type="character" w:styleId="Hyperlink">
    <w:name w:val="Hyperlink"/>
    <w:basedOn w:val="DefaultParagraphFont"/>
    <w:unhideWhenUsed/>
    <w:rsid w:val="00F361FF"/>
    <w:rPr>
      <w:color w:val="0000FF"/>
      <w:u w:val="single"/>
    </w:rPr>
  </w:style>
  <w:style w:type="character" w:customStyle="1" w:styleId="rmargin">
    <w:name w:val="rmargin"/>
    <w:basedOn w:val="DefaultParagraphFont"/>
    <w:rsid w:val="00F361FF"/>
  </w:style>
  <w:style w:type="character" w:customStyle="1" w:styleId="primaryw">
    <w:name w:val="primaryw"/>
    <w:basedOn w:val="DefaultParagraphFont"/>
    <w:rsid w:val="0091231A"/>
  </w:style>
  <w:style w:type="paragraph" w:styleId="Footer">
    <w:name w:val="footer"/>
    <w:basedOn w:val="Normal"/>
    <w:link w:val="FooterChar"/>
    <w:uiPriority w:val="99"/>
    <w:unhideWhenUsed/>
    <w:rsid w:val="00DB1ADF"/>
    <w:pPr>
      <w:tabs>
        <w:tab w:val="center" w:pos="4320"/>
        <w:tab w:val="right" w:pos="8640"/>
      </w:tabs>
      <w:spacing w:line="240" w:lineRule="auto"/>
    </w:pPr>
  </w:style>
  <w:style w:type="character" w:customStyle="1" w:styleId="FooterChar">
    <w:name w:val="Footer Char"/>
    <w:basedOn w:val="DefaultParagraphFont"/>
    <w:link w:val="Footer"/>
    <w:uiPriority w:val="99"/>
    <w:rsid w:val="00DB1ADF"/>
    <w:rPr>
      <w:rFonts w:eastAsiaTheme="minorHAnsi"/>
      <w:sz w:val="22"/>
      <w:szCs w:val="22"/>
      <w:lang w:val="en-GB"/>
    </w:rPr>
  </w:style>
  <w:style w:type="character" w:styleId="PageNumber">
    <w:name w:val="page number"/>
    <w:basedOn w:val="DefaultParagraphFont"/>
    <w:uiPriority w:val="99"/>
    <w:semiHidden/>
    <w:unhideWhenUsed/>
    <w:rsid w:val="00DB1ADF"/>
  </w:style>
  <w:style w:type="paragraph" w:styleId="Revision">
    <w:name w:val="Revision"/>
    <w:hidden/>
    <w:uiPriority w:val="99"/>
    <w:semiHidden/>
    <w:rsid w:val="001500B2"/>
    <w:rPr>
      <w:rFonts w:eastAsiaTheme="minorHAnsi"/>
      <w:sz w:val="22"/>
      <w:szCs w:val="22"/>
      <w:lang w:val="en-GB"/>
    </w:rPr>
  </w:style>
  <w:style w:type="character" w:customStyle="1" w:styleId="a-size-large">
    <w:name w:val="a-size-large"/>
    <w:basedOn w:val="DefaultParagraphFont"/>
    <w:rsid w:val="00272F31"/>
  </w:style>
  <w:style w:type="character" w:styleId="Emphasis">
    <w:name w:val="Emphasis"/>
    <w:basedOn w:val="DefaultParagraphFont"/>
    <w:uiPriority w:val="20"/>
    <w:qFormat/>
    <w:rsid w:val="004F61B0"/>
    <w:rPr>
      <w:i/>
      <w:iCs/>
    </w:rPr>
  </w:style>
  <w:style w:type="character" w:customStyle="1" w:styleId="en">
    <w:name w:val="en"/>
    <w:basedOn w:val="DefaultParagraphFont"/>
    <w:rsid w:val="00AE724C"/>
  </w:style>
  <w:style w:type="character" w:styleId="FollowedHyperlink">
    <w:name w:val="FollowedHyperlink"/>
    <w:basedOn w:val="DefaultParagraphFont"/>
    <w:uiPriority w:val="99"/>
    <w:semiHidden/>
    <w:unhideWhenUsed/>
    <w:rsid w:val="00AE724C"/>
    <w:rPr>
      <w:color w:val="800080" w:themeColor="followedHyperlink"/>
      <w:u w:val="single"/>
    </w:rPr>
  </w:style>
  <w:style w:type="character" w:customStyle="1" w:styleId="Heading1Char">
    <w:name w:val="Heading 1 Char"/>
    <w:basedOn w:val="DefaultParagraphFont"/>
    <w:link w:val="Heading1"/>
    <w:uiPriority w:val="9"/>
    <w:rsid w:val="003B2A46"/>
    <w:rPr>
      <w:rFonts w:ascii="Times" w:hAnsi="Times"/>
      <w:b/>
      <w:bCs/>
      <w:kern w:val="36"/>
      <w:sz w:val="48"/>
      <w:szCs w:val="48"/>
      <w:lang w:val="en-IE"/>
    </w:rPr>
  </w:style>
  <w:style w:type="character" w:customStyle="1" w:styleId="Heading2Char">
    <w:name w:val="Heading 2 Char"/>
    <w:basedOn w:val="DefaultParagraphFont"/>
    <w:link w:val="Heading2"/>
    <w:uiPriority w:val="9"/>
    <w:rsid w:val="003B2A46"/>
    <w:rPr>
      <w:rFonts w:ascii="Times" w:hAnsi="Times"/>
      <w:b/>
      <w:bCs/>
      <w:sz w:val="36"/>
      <w:szCs w:val="36"/>
      <w:lang w:val="en-IE"/>
    </w:rPr>
  </w:style>
  <w:style w:type="paragraph" w:styleId="PlainText">
    <w:name w:val="Plain Text"/>
    <w:basedOn w:val="Normal"/>
    <w:link w:val="PlainTextChar"/>
    <w:unhideWhenUsed/>
    <w:rsid w:val="003B2A46"/>
    <w:pPr>
      <w:spacing w:line="240" w:lineRule="auto"/>
    </w:pPr>
    <w:rPr>
      <w:rFonts w:ascii="Courier New" w:eastAsia="Times New Roman" w:hAnsi="Courier New" w:cs="Courier New"/>
      <w:sz w:val="20"/>
      <w:szCs w:val="20"/>
      <w:lang w:eastAsia="ru-RU"/>
    </w:rPr>
  </w:style>
  <w:style w:type="character" w:customStyle="1" w:styleId="PlainTextChar">
    <w:name w:val="Plain Text Char"/>
    <w:basedOn w:val="DefaultParagraphFont"/>
    <w:link w:val="PlainText"/>
    <w:rsid w:val="003B2A46"/>
    <w:rPr>
      <w:rFonts w:ascii="Courier New" w:eastAsia="Times New Roman" w:hAnsi="Courier New" w:cs="Courier New"/>
      <w:sz w:val="20"/>
      <w:szCs w:val="20"/>
      <w:lang w:val="en-GB" w:eastAsia="ru-RU"/>
    </w:rPr>
  </w:style>
  <w:style w:type="paragraph" w:customStyle="1" w:styleId="blo">
    <w:name w:val="blo"/>
    <w:basedOn w:val="Normal"/>
    <w:rsid w:val="00F74824"/>
    <w:pPr>
      <w:tabs>
        <w:tab w:val="clear" w:pos="425"/>
        <w:tab w:val="left" w:pos="426"/>
      </w:tabs>
      <w:ind w:firstLine="425"/>
      <w:textAlignment w:val="bottom"/>
    </w:pPr>
    <w:rPr>
      <w:rFonts w:cs="Times New Roman"/>
      <w:szCs w:val="24"/>
    </w:rPr>
  </w:style>
  <w:style w:type="paragraph" w:customStyle="1" w:styleId="Blockquote">
    <w:name w:val="Blockquote"/>
    <w:basedOn w:val="Normal"/>
    <w:qFormat/>
    <w:rsid w:val="001E50E4"/>
    <w:pPr>
      <w:tabs>
        <w:tab w:val="clear" w:pos="425"/>
        <w:tab w:val="left" w:pos="426"/>
      </w:tabs>
      <w:spacing w:line="280" w:lineRule="exact"/>
      <w:jc w:val="left"/>
      <w:textAlignment w:val="bottom"/>
    </w:pPr>
    <w:rPr>
      <w:rFonts w:cs="Times New Roman"/>
      <w:sz w:val="20"/>
      <w:szCs w:val="24"/>
    </w:rPr>
  </w:style>
  <w:style w:type="character" w:customStyle="1" w:styleId="Heading4Char">
    <w:name w:val="Heading 4 Char"/>
    <w:basedOn w:val="DefaultParagraphFont"/>
    <w:link w:val="Heading4"/>
    <w:uiPriority w:val="9"/>
    <w:rsid w:val="00DF70F6"/>
    <w:rPr>
      <w:rFonts w:ascii="Times New Roman" w:eastAsiaTheme="majorEastAsia" w:hAnsi="Times New Roman" w:cstheme="majorBidi"/>
      <w:b/>
      <w:bCs/>
      <w:lang w:val="en-GB"/>
    </w:rPr>
  </w:style>
  <w:style w:type="paragraph" w:styleId="Header">
    <w:name w:val="header"/>
    <w:basedOn w:val="Normal"/>
    <w:link w:val="HeaderChar"/>
    <w:uiPriority w:val="99"/>
    <w:unhideWhenUsed/>
    <w:rsid w:val="00A803AE"/>
    <w:pPr>
      <w:tabs>
        <w:tab w:val="center" w:pos="4320"/>
        <w:tab w:val="right" w:pos="8640"/>
      </w:tabs>
      <w:spacing w:line="240" w:lineRule="auto"/>
    </w:pPr>
  </w:style>
  <w:style w:type="character" w:customStyle="1" w:styleId="HeaderChar">
    <w:name w:val="Header Char"/>
    <w:basedOn w:val="DefaultParagraphFont"/>
    <w:link w:val="Header"/>
    <w:uiPriority w:val="99"/>
    <w:rsid w:val="00A803AE"/>
    <w:rPr>
      <w:rFonts w:ascii="Times New Roman" w:eastAsiaTheme="minorHAnsi" w:hAnsi="Times New Roman"/>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F1C"/>
    <w:pPr>
      <w:tabs>
        <w:tab w:val="left" w:pos="425"/>
      </w:tabs>
      <w:spacing w:line="400" w:lineRule="exact"/>
      <w:jc w:val="both"/>
    </w:pPr>
    <w:rPr>
      <w:rFonts w:ascii="Times New Roman" w:eastAsiaTheme="minorHAnsi" w:hAnsi="Times New Roman"/>
      <w:szCs w:val="22"/>
      <w:lang w:val="en-GB"/>
    </w:rPr>
  </w:style>
  <w:style w:type="paragraph" w:styleId="Heading1">
    <w:name w:val="heading 1"/>
    <w:basedOn w:val="Normal"/>
    <w:link w:val="Heading1Char"/>
    <w:uiPriority w:val="9"/>
    <w:qFormat/>
    <w:rsid w:val="003B2A46"/>
    <w:pPr>
      <w:spacing w:before="100" w:beforeAutospacing="1" w:after="100" w:afterAutospacing="1" w:line="240" w:lineRule="auto"/>
      <w:outlineLvl w:val="0"/>
    </w:pPr>
    <w:rPr>
      <w:rFonts w:ascii="Times" w:eastAsiaTheme="minorEastAsia" w:hAnsi="Times"/>
      <w:b/>
      <w:bCs/>
      <w:kern w:val="36"/>
      <w:sz w:val="48"/>
      <w:szCs w:val="48"/>
      <w:lang w:val="en-IE"/>
    </w:rPr>
  </w:style>
  <w:style w:type="paragraph" w:styleId="Heading2">
    <w:name w:val="heading 2"/>
    <w:basedOn w:val="Normal"/>
    <w:link w:val="Heading2Char"/>
    <w:uiPriority w:val="9"/>
    <w:qFormat/>
    <w:rsid w:val="003B2A46"/>
    <w:pPr>
      <w:spacing w:before="100" w:beforeAutospacing="1" w:after="100" w:afterAutospacing="1" w:line="240" w:lineRule="auto"/>
      <w:outlineLvl w:val="1"/>
    </w:pPr>
    <w:rPr>
      <w:rFonts w:ascii="Times" w:eastAsiaTheme="minorEastAsia" w:hAnsi="Times"/>
      <w:b/>
      <w:bCs/>
      <w:sz w:val="36"/>
      <w:szCs w:val="36"/>
      <w:lang w:val="en-IE"/>
    </w:rPr>
  </w:style>
  <w:style w:type="paragraph" w:styleId="Heading3">
    <w:name w:val="heading 3"/>
    <w:basedOn w:val="Normal"/>
    <w:link w:val="Heading3Char"/>
    <w:uiPriority w:val="9"/>
    <w:qFormat/>
    <w:rsid w:val="009A5D6A"/>
    <w:pPr>
      <w:keepNext/>
      <w:shd w:val="clear" w:color="auto" w:fill="FFFFFF"/>
      <w:spacing w:before="720" w:after="360"/>
      <w:jc w:val="center"/>
      <w:outlineLvl w:val="2"/>
    </w:pPr>
    <w:rPr>
      <w:rFonts w:eastAsia="Times New Roman" w:cs="Times New Roman"/>
      <w:b/>
      <w:bCs/>
      <w:szCs w:val="24"/>
      <w:lang w:eastAsia="it-IT"/>
    </w:rPr>
  </w:style>
  <w:style w:type="paragraph" w:styleId="Heading4">
    <w:name w:val="heading 4"/>
    <w:basedOn w:val="Normal"/>
    <w:next w:val="Normal"/>
    <w:link w:val="Heading4Char"/>
    <w:uiPriority w:val="9"/>
    <w:unhideWhenUsed/>
    <w:qFormat/>
    <w:rsid w:val="00DF70F6"/>
    <w:pPr>
      <w:keepNext/>
      <w:keepLines/>
      <w:spacing w:before="400"/>
      <w:outlineLvl w:val="3"/>
    </w:pPr>
    <w:rPr>
      <w:rFonts w:eastAsiaTheme="majorEastAsia" w:cstheme="majorBidi"/>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0B8"/>
    <w:pPr>
      <w:tabs>
        <w:tab w:val="center" w:pos="5387"/>
      </w:tabs>
      <w:contextualSpacing/>
    </w:pPr>
    <w:rPr>
      <w:rFonts w:cs="Times New Roman"/>
      <w:szCs w:val="24"/>
    </w:rPr>
  </w:style>
  <w:style w:type="table" w:styleId="TableGrid">
    <w:name w:val="Table Grid"/>
    <w:basedOn w:val="TableNormal"/>
    <w:uiPriority w:val="59"/>
    <w:rsid w:val="00B25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534FD4"/>
    <w:pPr>
      <w:spacing w:line="240" w:lineRule="exact"/>
      <w:ind w:left="284" w:hanging="284"/>
    </w:pPr>
    <w:rPr>
      <w:sz w:val="20"/>
      <w:szCs w:val="24"/>
    </w:rPr>
  </w:style>
  <w:style w:type="character" w:customStyle="1" w:styleId="FootnoteTextChar">
    <w:name w:val="Footnote Text Char"/>
    <w:basedOn w:val="DefaultParagraphFont"/>
    <w:link w:val="FootnoteText"/>
    <w:uiPriority w:val="99"/>
    <w:rsid w:val="00534FD4"/>
    <w:rPr>
      <w:rFonts w:ascii="Times New Roman" w:eastAsiaTheme="minorHAnsi" w:hAnsi="Times New Roman"/>
      <w:sz w:val="20"/>
      <w:lang w:val="en-GB"/>
    </w:rPr>
  </w:style>
  <w:style w:type="character" w:styleId="FootnoteReference">
    <w:name w:val="footnote reference"/>
    <w:basedOn w:val="DefaultParagraphFont"/>
    <w:uiPriority w:val="99"/>
    <w:unhideWhenUsed/>
    <w:rsid w:val="00323861"/>
    <w:rPr>
      <w:vertAlign w:val="superscript"/>
    </w:rPr>
  </w:style>
  <w:style w:type="character" w:styleId="CommentReference">
    <w:name w:val="annotation reference"/>
    <w:basedOn w:val="DefaultParagraphFont"/>
    <w:uiPriority w:val="99"/>
    <w:semiHidden/>
    <w:unhideWhenUsed/>
    <w:rsid w:val="00DD0FFD"/>
    <w:rPr>
      <w:sz w:val="18"/>
      <w:szCs w:val="18"/>
    </w:rPr>
  </w:style>
  <w:style w:type="paragraph" w:styleId="CommentText">
    <w:name w:val="annotation text"/>
    <w:basedOn w:val="Normal"/>
    <w:link w:val="CommentTextChar"/>
    <w:uiPriority w:val="99"/>
    <w:semiHidden/>
    <w:unhideWhenUsed/>
    <w:rsid w:val="00DD0FFD"/>
    <w:pPr>
      <w:spacing w:line="240" w:lineRule="auto"/>
    </w:pPr>
    <w:rPr>
      <w:szCs w:val="24"/>
    </w:rPr>
  </w:style>
  <w:style w:type="character" w:customStyle="1" w:styleId="CommentTextChar">
    <w:name w:val="Comment Text Char"/>
    <w:basedOn w:val="DefaultParagraphFont"/>
    <w:link w:val="CommentText"/>
    <w:uiPriority w:val="99"/>
    <w:semiHidden/>
    <w:rsid w:val="00DD0FFD"/>
    <w:rPr>
      <w:rFonts w:eastAsiaTheme="minorHAnsi"/>
      <w:lang w:val="en-GB"/>
    </w:rPr>
  </w:style>
  <w:style w:type="paragraph" w:styleId="CommentSubject">
    <w:name w:val="annotation subject"/>
    <w:basedOn w:val="CommentText"/>
    <w:next w:val="CommentText"/>
    <w:link w:val="CommentSubjectChar"/>
    <w:uiPriority w:val="99"/>
    <w:semiHidden/>
    <w:unhideWhenUsed/>
    <w:rsid w:val="00DD0FFD"/>
    <w:rPr>
      <w:b/>
      <w:bCs/>
      <w:sz w:val="20"/>
      <w:szCs w:val="20"/>
    </w:rPr>
  </w:style>
  <w:style w:type="character" w:customStyle="1" w:styleId="CommentSubjectChar">
    <w:name w:val="Comment Subject Char"/>
    <w:basedOn w:val="CommentTextChar"/>
    <w:link w:val="CommentSubject"/>
    <w:uiPriority w:val="99"/>
    <w:semiHidden/>
    <w:rsid w:val="00DD0FFD"/>
    <w:rPr>
      <w:rFonts w:eastAsiaTheme="minorHAnsi"/>
      <w:b/>
      <w:bCs/>
      <w:sz w:val="20"/>
      <w:szCs w:val="20"/>
      <w:lang w:val="en-GB"/>
    </w:rPr>
  </w:style>
  <w:style w:type="paragraph" w:styleId="BalloonText">
    <w:name w:val="Balloon Text"/>
    <w:basedOn w:val="Normal"/>
    <w:link w:val="BalloonTextChar"/>
    <w:uiPriority w:val="99"/>
    <w:semiHidden/>
    <w:unhideWhenUsed/>
    <w:rsid w:val="00DD0FFD"/>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D0FFD"/>
    <w:rPr>
      <w:rFonts w:ascii="Lucida Grande" w:eastAsiaTheme="minorHAnsi" w:hAnsi="Lucida Grande"/>
      <w:sz w:val="18"/>
      <w:szCs w:val="18"/>
      <w:lang w:val="en-GB"/>
    </w:rPr>
  </w:style>
  <w:style w:type="character" w:customStyle="1" w:styleId="Heading3Char">
    <w:name w:val="Heading 3 Char"/>
    <w:basedOn w:val="DefaultParagraphFont"/>
    <w:link w:val="Heading3"/>
    <w:uiPriority w:val="9"/>
    <w:rsid w:val="009A5D6A"/>
    <w:rPr>
      <w:rFonts w:ascii="Times New Roman" w:eastAsia="Times New Roman" w:hAnsi="Times New Roman" w:cs="Times New Roman"/>
      <w:b/>
      <w:bCs/>
      <w:shd w:val="clear" w:color="auto" w:fill="FFFFFF"/>
      <w:lang w:val="en-GB" w:eastAsia="it-IT"/>
    </w:rPr>
  </w:style>
  <w:style w:type="character" w:customStyle="1" w:styleId="apple-converted-space">
    <w:name w:val="apple-converted-space"/>
    <w:basedOn w:val="DefaultParagraphFont"/>
    <w:uiPriority w:val="99"/>
    <w:rsid w:val="00B35F83"/>
  </w:style>
  <w:style w:type="character" w:customStyle="1" w:styleId="mw-headline">
    <w:name w:val="mw-headline"/>
    <w:basedOn w:val="DefaultParagraphFont"/>
    <w:rsid w:val="00B35F83"/>
  </w:style>
  <w:style w:type="character" w:customStyle="1" w:styleId="mw-editsection-bracket">
    <w:name w:val="mw-editsection-bracket"/>
    <w:basedOn w:val="DefaultParagraphFont"/>
    <w:rsid w:val="00B35F83"/>
  </w:style>
  <w:style w:type="character" w:customStyle="1" w:styleId="txt">
    <w:name w:val="txt"/>
    <w:basedOn w:val="DefaultParagraphFont"/>
    <w:rsid w:val="00F361FF"/>
  </w:style>
  <w:style w:type="character" w:styleId="Hyperlink">
    <w:name w:val="Hyperlink"/>
    <w:basedOn w:val="DefaultParagraphFont"/>
    <w:unhideWhenUsed/>
    <w:rsid w:val="00F361FF"/>
    <w:rPr>
      <w:color w:val="0000FF"/>
      <w:u w:val="single"/>
    </w:rPr>
  </w:style>
  <w:style w:type="character" w:customStyle="1" w:styleId="rmargin">
    <w:name w:val="rmargin"/>
    <w:basedOn w:val="DefaultParagraphFont"/>
    <w:rsid w:val="00F361FF"/>
  </w:style>
  <w:style w:type="character" w:customStyle="1" w:styleId="primaryw">
    <w:name w:val="primaryw"/>
    <w:basedOn w:val="DefaultParagraphFont"/>
    <w:rsid w:val="0091231A"/>
  </w:style>
  <w:style w:type="paragraph" w:styleId="Footer">
    <w:name w:val="footer"/>
    <w:basedOn w:val="Normal"/>
    <w:link w:val="FooterChar"/>
    <w:uiPriority w:val="99"/>
    <w:unhideWhenUsed/>
    <w:rsid w:val="00DB1ADF"/>
    <w:pPr>
      <w:tabs>
        <w:tab w:val="center" w:pos="4320"/>
        <w:tab w:val="right" w:pos="8640"/>
      </w:tabs>
      <w:spacing w:line="240" w:lineRule="auto"/>
    </w:pPr>
  </w:style>
  <w:style w:type="character" w:customStyle="1" w:styleId="FooterChar">
    <w:name w:val="Footer Char"/>
    <w:basedOn w:val="DefaultParagraphFont"/>
    <w:link w:val="Footer"/>
    <w:uiPriority w:val="99"/>
    <w:rsid w:val="00DB1ADF"/>
    <w:rPr>
      <w:rFonts w:eastAsiaTheme="minorHAnsi"/>
      <w:sz w:val="22"/>
      <w:szCs w:val="22"/>
      <w:lang w:val="en-GB"/>
    </w:rPr>
  </w:style>
  <w:style w:type="character" w:styleId="PageNumber">
    <w:name w:val="page number"/>
    <w:basedOn w:val="DefaultParagraphFont"/>
    <w:uiPriority w:val="99"/>
    <w:semiHidden/>
    <w:unhideWhenUsed/>
    <w:rsid w:val="00DB1ADF"/>
  </w:style>
  <w:style w:type="paragraph" w:styleId="Revision">
    <w:name w:val="Revision"/>
    <w:hidden/>
    <w:uiPriority w:val="99"/>
    <w:semiHidden/>
    <w:rsid w:val="001500B2"/>
    <w:rPr>
      <w:rFonts w:eastAsiaTheme="minorHAnsi"/>
      <w:sz w:val="22"/>
      <w:szCs w:val="22"/>
      <w:lang w:val="en-GB"/>
    </w:rPr>
  </w:style>
  <w:style w:type="character" w:customStyle="1" w:styleId="a-size-large">
    <w:name w:val="a-size-large"/>
    <w:basedOn w:val="DefaultParagraphFont"/>
    <w:rsid w:val="00272F31"/>
  </w:style>
  <w:style w:type="character" w:styleId="Emphasis">
    <w:name w:val="Emphasis"/>
    <w:basedOn w:val="DefaultParagraphFont"/>
    <w:uiPriority w:val="20"/>
    <w:qFormat/>
    <w:rsid w:val="004F61B0"/>
    <w:rPr>
      <w:i/>
      <w:iCs/>
    </w:rPr>
  </w:style>
  <w:style w:type="character" w:customStyle="1" w:styleId="en">
    <w:name w:val="en"/>
    <w:basedOn w:val="DefaultParagraphFont"/>
    <w:rsid w:val="00AE724C"/>
  </w:style>
  <w:style w:type="character" w:styleId="FollowedHyperlink">
    <w:name w:val="FollowedHyperlink"/>
    <w:basedOn w:val="DefaultParagraphFont"/>
    <w:uiPriority w:val="99"/>
    <w:semiHidden/>
    <w:unhideWhenUsed/>
    <w:rsid w:val="00AE724C"/>
    <w:rPr>
      <w:color w:val="800080" w:themeColor="followedHyperlink"/>
      <w:u w:val="single"/>
    </w:rPr>
  </w:style>
  <w:style w:type="character" w:customStyle="1" w:styleId="Heading1Char">
    <w:name w:val="Heading 1 Char"/>
    <w:basedOn w:val="DefaultParagraphFont"/>
    <w:link w:val="Heading1"/>
    <w:uiPriority w:val="9"/>
    <w:rsid w:val="003B2A46"/>
    <w:rPr>
      <w:rFonts w:ascii="Times" w:hAnsi="Times"/>
      <w:b/>
      <w:bCs/>
      <w:kern w:val="36"/>
      <w:sz w:val="48"/>
      <w:szCs w:val="48"/>
      <w:lang w:val="en-IE"/>
    </w:rPr>
  </w:style>
  <w:style w:type="character" w:customStyle="1" w:styleId="Heading2Char">
    <w:name w:val="Heading 2 Char"/>
    <w:basedOn w:val="DefaultParagraphFont"/>
    <w:link w:val="Heading2"/>
    <w:uiPriority w:val="9"/>
    <w:rsid w:val="003B2A46"/>
    <w:rPr>
      <w:rFonts w:ascii="Times" w:hAnsi="Times"/>
      <w:b/>
      <w:bCs/>
      <w:sz w:val="36"/>
      <w:szCs w:val="36"/>
      <w:lang w:val="en-IE"/>
    </w:rPr>
  </w:style>
  <w:style w:type="paragraph" w:styleId="PlainText">
    <w:name w:val="Plain Text"/>
    <w:basedOn w:val="Normal"/>
    <w:link w:val="PlainTextChar"/>
    <w:unhideWhenUsed/>
    <w:rsid w:val="003B2A46"/>
    <w:pPr>
      <w:spacing w:line="240" w:lineRule="auto"/>
    </w:pPr>
    <w:rPr>
      <w:rFonts w:ascii="Courier New" w:eastAsia="Times New Roman" w:hAnsi="Courier New" w:cs="Courier New"/>
      <w:sz w:val="20"/>
      <w:szCs w:val="20"/>
      <w:lang w:eastAsia="ru-RU"/>
    </w:rPr>
  </w:style>
  <w:style w:type="character" w:customStyle="1" w:styleId="PlainTextChar">
    <w:name w:val="Plain Text Char"/>
    <w:basedOn w:val="DefaultParagraphFont"/>
    <w:link w:val="PlainText"/>
    <w:rsid w:val="003B2A46"/>
    <w:rPr>
      <w:rFonts w:ascii="Courier New" w:eastAsia="Times New Roman" w:hAnsi="Courier New" w:cs="Courier New"/>
      <w:sz w:val="20"/>
      <w:szCs w:val="20"/>
      <w:lang w:val="en-GB" w:eastAsia="ru-RU"/>
    </w:rPr>
  </w:style>
  <w:style w:type="paragraph" w:customStyle="1" w:styleId="blo">
    <w:name w:val="blo"/>
    <w:basedOn w:val="Normal"/>
    <w:rsid w:val="00F74824"/>
    <w:pPr>
      <w:tabs>
        <w:tab w:val="clear" w:pos="425"/>
        <w:tab w:val="left" w:pos="426"/>
      </w:tabs>
      <w:ind w:firstLine="425"/>
      <w:textAlignment w:val="bottom"/>
    </w:pPr>
    <w:rPr>
      <w:rFonts w:cs="Times New Roman"/>
      <w:szCs w:val="24"/>
    </w:rPr>
  </w:style>
  <w:style w:type="paragraph" w:customStyle="1" w:styleId="Blockquote">
    <w:name w:val="Blockquote"/>
    <w:basedOn w:val="Normal"/>
    <w:qFormat/>
    <w:rsid w:val="001E50E4"/>
    <w:pPr>
      <w:tabs>
        <w:tab w:val="clear" w:pos="425"/>
        <w:tab w:val="left" w:pos="426"/>
      </w:tabs>
      <w:spacing w:line="280" w:lineRule="exact"/>
      <w:jc w:val="left"/>
      <w:textAlignment w:val="bottom"/>
    </w:pPr>
    <w:rPr>
      <w:rFonts w:cs="Times New Roman"/>
      <w:sz w:val="20"/>
      <w:szCs w:val="24"/>
    </w:rPr>
  </w:style>
  <w:style w:type="character" w:customStyle="1" w:styleId="Heading4Char">
    <w:name w:val="Heading 4 Char"/>
    <w:basedOn w:val="DefaultParagraphFont"/>
    <w:link w:val="Heading4"/>
    <w:uiPriority w:val="9"/>
    <w:rsid w:val="00DF70F6"/>
    <w:rPr>
      <w:rFonts w:ascii="Times New Roman" w:eastAsiaTheme="majorEastAsia" w:hAnsi="Times New Roman" w:cstheme="majorBidi"/>
      <w:b/>
      <w:bCs/>
      <w:lang w:val="en-GB"/>
    </w:rPr>
  </w:style>
  <w:style w:type="paragraph" w:styleId="Header">
    <w:name w:val="header"/>
    <w:basedOn w:val="Normal"/>
    <w:link w:val="HeaderChar"/>
    <w:uiPriority w:val="99"/>
    <w:unhideWhenUsed/>
    <w:rsid w:val="00A803AE"/>
    <w:pPr>
      <w:tabs>
        <w:tab w:val="center" w:pos="4320"/>
        <w:tab w:val="right" w:pos="8640"/>
      </w:tabs>
      <w:spacing w:line="240" w:lineRule="auto"/>
    </w:pPr>
  </w:style>
  <w:style w:type="character" w:customStyle="1" w:styleId="HeaderChar">
    <w:name w:val="Header Char"/>
    <w:basedOn w:val="DefaultParagraphFont"/>
    <w:link w:val="Header"/>
    <w:uiPriority w:val="99"/>
    <w:rsid w:val="00A803AE"/>
    <w:rPr>
      <w:rFonts w:ascii="Times New Roman" w:eastAsiaTheme="minorHAnsi" w:hAnsi="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21895">
      <w:bodyDiv w:val="1"/>
      <w:marLeft w:val="0"/>
      <w:marRight w:val="0"/>
      <w:marTop w:val="0"/>
      <w:marBottom w:val="0"/>
      <w:divBdr>
        <w:top w:val="none" w:sz="0" w:space="0" w:color="auto"/>
        <w:left w:val="none" w:sz="0" w:space="0" w:color="auto"/>
        <w:bottom w:val="none" w:sz="0" w:space="0" w:color="auto"/>
        <w:right w:val="none" w:sz="0" w:space="0" w:color="auto"/>
      </w:divBdr>
    </w:div>
    <w:div w:id="3213979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printerSettings" Target="printerSettings/printerSettings9.bin"/><Relationship Id="rId102" Type="http://schemas.openxmlformats.org/officeDocument/2006/relationships/hyperlink" Target="http://www.stoa.org/diotima/anthology/" TargetMode="External"/><Relationship Id="rId103" Type="http://schemas.openxmlformats.org/officeDocument/2006/relationships/footer" Target="footer9.xml"/><Relationship Id="rId104" Type="http://schemas.openxmlformats.org/officeDocument/2006/relationships/footer" Target="footer10.xml"/><Relationship Id="rId105" Type="http://schemas.openxmlformats.org/officeDocument/2006/relationships/printerSettings" Target="printerSettings/printerSettings10.bin"/><Relationship Id="rId106" Type="http://schemas.openxmlformats.org/officeDocument/2006/relationships/fontTable" Target="fontTable.xml"/><Relationship Id="rId10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printerSettings" Target="printerSettings/printerSettings1.bin"/><Relationship Id="rId12" Type="http://schemas.openxmlformats.org/officeDocument/2006/relationships/printerSettings" Target="printerSettings/printerSettings2.bin"/><Relationship Id="rId13" Type="http://schemas.openxmlformats.org/officeDocument/2006/relationships/printerSettings" Target="printerSettings/printerSettings3.bin"/><Relationship Id="rId14" Type="http://schemas.openxmlformats.org/officeDocument/2006/relationships/printerSettings" Target="printerSettings/printerSettings4.bin"/><Relationship Id="rId15" Type="http://schemas.openxmlformats.org/officeDocument/2006/relationships/hyperlink" Target="http://www.tlg.uci.edu.elib.tcd.ie/help/BetaManual/online/Q3.html" TargetMode="External"/><Relationship Id="rId16" Type="http://schemas.openxmlformats.org/officeDocument/2006/relationships/hyperlink" Target="http://www.tlg.uci.edu.elib.tcd.ie/help/BetaManual/online/Q3.html" TargetMode="External"/><Relationship Id="rId17" Type="http://schemas.openxmlformats.org/officeDocument/2006/relationships/hyperlink" Target="http://www.tlg.uci.edu.elib.tcd.ie/help/BetaManual/online/Q3.html" TargetMode="External"/><Relationship Id="rId18" Type="http://schemas.openxmlformats.org/officeDocument/2006/relationships/hyperlink" Target="http://www.tlg.uci.edu.elib.tcd.ie/help/BetaManual/online/Q3.html" TargetMode="External"/><Relationship Id="rId19" Type="http://schemas.openxmlformats.org/officeDocument/2006/relationships/hyperlink" Target="http://www.tlg.uci.edu.elib.tcd.ie/help/BetaManual/online/Q3.html" TargetMode="External"/><Relationship Id="rId30" Type="http://schemas.openxmlformats.org/officeDocument/2006/relationships/hyperlink" Target="http://www.tlg.uci.edu/help/BetaManual/online/SB.html" TargetMode="External"/><Relationship Id="rId31" Type="http://schemas.openxmlformats.org/officeDocument/2006/relationships/hyperlink" Target="http://www.tlg.uci.edu/help/BetaManual/online/excl.html" TargetMode="External"/><Relationship Id="rId32" Type="http://schemas.openxmlformats.org/officeDocument/2006/relationships/hyperlink" Target="http://www.tlg.uci.edu/help/BetaManual/online/SB.html" TargetMode="External"/><Relationship Id="rId33" Type="http://schemas.openxmlformats.org/officeDocument/2006/relationships/hyperlink" Target="http://www.tlg.uci.edu/help/BetaManual/online/Q6.html" TargetMode="External"/><Relationship Id="rId34" Type="http://schemas.openxmlformats.org/officeDocument/2006/relationships/printerSettings" Target="printerSettings/printerSettings5.bin"/><Relationship Id="rId35" Type="http://schemas.openxmlformats.org/officeDocument/2006/relationships/hyperlink" Target="http://www.tlg.uci.edu.elib.tcd.ie/help/BetaManual/online/excl.html" TargetMode="External"/><Relationship Id="rId36" Type="http://schemas.openxmlformats.org/officeDocument/2006/relationships/hyperlink" Target="http://www.tlg.uci.edu.elib.tcd.ie/help/BetaManual/online/P.html" TargetMode="External"/><Relationship Id="rId37" Type="http://schemas.openxmlformats.org/officeDocument/2006/relationships/hyperlink" Target="http://www.tlg.uci.edu.elib.tcd.ie/help/BetaManual/online/excl.html" TargetMode="External"/><Relationship Id="rId38" Type="http://schemas.openxmlformats.org/officeDocument/2006/relationships/hyperlink" Target="http://www.tlg.uci.edu.elib.tcd.ie/help/BetaManual/online/Q.html" TargetMode="External"/><Relationship Id="rId39" Type="http://schemas.openxmlformats.org/officeDocument/2006/relationships/hyperlink" Target="http://www.tlg.uci.edu.elib.tcd.ie/help/BetaManual/online/excl.html" TargetMode="External"/><Relationship Id="rId50" Type="http://schemas.openxmlformats.org/officeDocument/2006/relationships/hyperlink" Target="http://www.tlg.uci.edu.elib.tcd.ie/help/BetaManual/online/SB.html" TargetMode="External"/><Relationship Id="rId51" Type="http://schemas.openxmlformats.org/officeDocument/2006/relationships/hyperlink" Target="http://en.wikipedia.org/wiki/%C3%87e%C5%9Fme" TargetMode="External"/><Relationship Id="rId52" Type="http://schemas.openxmlformats.org/officeDocument/2006/relationships/hyperlink" Target="http://en.wikipedia.org/w/index.php?title=Bay_of_Erythrae&amp;action=edit&amp;redlink=1" TargetMode="External"/><Relationship Id="rId53" Type="http://schemas.openxmlformats.org/officeDocument/2006/relationships/hyperlink" Target="http://en.wikipedia.org/w/index.php?title=Bay_of_Erythrae&amp;action=edit&amp;redlink=1" TargetMode="External"/><Relationship Id="rId54" Type="http://schemas.openxmlformats.org/officeDocument/2006/relationships/hyperlink" Target="http://en.wikipedia.org/w/index.php?title=Bay_of_Erythrae&amp;action=edit&amp;redlink=1" TargetMode="External"/><Relationship Id="rId55" Type="http://schemas.openxmlformats.org/officeDocument/2006/relationships/hyperlink" Target="http://en.wikipedia.org/w/index.php?title=Bay_of_Erythrae&amp;action=edit&amp;redlink=1" TargetMode="External"/><Relationship Id="rId56" Type="http://schemas.openxmlformats.org/officeDocument/2006/relationships/hyperlink" Target="http://en.wikipedia.org/w/index.php?title=Bay_of_Erythrae&amp;action=edit&amp;redlink=1" TargetMode="External"/><Relationship Id="rId57" Type="http://schemas.openxmlformats.org/officeDocument/2006/relationships/hyperlink" Target="http://en.wikipedia.org/w/index.php?title=Mimas_(mountain)&amp;action=edit&amp;redlink=1" TargetMode="External"/><Relationship Id="rId58" Type="http://schemas.openxmlformats.org/officeDocument/2006/relationships/hyperlink" Target="http://en.wikipedia.org/w/index.php?title=Corycus_(mountain)&amp;action=edit&amp;redlink=1" TargetMode="External"/><Relationship Id="rId59" Type="http://schemas.openxmlformats.org/officeDocument/2006/relationships/hyperlink" Target="http://en.wikipedia.org/wiki/Chios" TargetMode="External"/><Relationship Id="rId70" Type="http://schemas.openxmlformats.org/officeDocument/2006/relationships/hyperlink" Target="http://www.tlg.uci.edu.elib.tcd.ie/help/BetaManual/online/excl.html" TargetMode="External"/><Relationship Id="rId71" Type="http://schemas.openxmlformats.org/officeDocument/2006/relationships/hyperlink" Target="http://www.tlg.uci.edu.elib.tcd.ie/help/BetaManual/online/Q.html" TargetMode="External"/><Relationship Id="rId72" Type="http://schemas.openxmlformats.org/officeDocument/2006/relationships/hyperlink" Target="http://www.tlg.uci.edu.elib.tcd.ie/help/BetaManual/online/Q.html" TargetMode="External"/><Relationship Id="rId73" Type="http://schemas.openxmlformats.org/officeDocument/2006/relationships/hyperlink" Target="http://en.wikipedia.org/wiki/Achilles" TargetMode="External"/><Relationship Id="rId74" Type="http://schemas.openxmlformats.org/officeDocument/2006/relationships/hyperlink" Target="http://en.wikipedia.org/wiki/Odysseus" TargetMode="External"/><Relationship Id="rId75" Type="http://schemas.openxmlformats.org/officeDocument/2006/relationships/hyperlink" Target="http://en.wikipedia.org/wiki/Diomedes" TargetMode="External"/><Relationship Id="rId76" Type="http://schemas.openxmlformats.org/officeDocument/2006/relationships/hyperlink" Target="http://www.tlg.uci.edu.elib.tcd.ie/help/BetaManual/online/SB.html" TargetMode="External"/><Relationship Id="rId77" Type="http://schemas.openxmlformats.org/officeDocument/2006/relationships/hyperlink" Target="http://www.tlg.uci.edu.elib.tcd.ie/help/BetaManual/online/excl.html" TargetMode="External"/><Relationship Id="rId78" Type="http://schemas.openxmlformats.org/officeDocument/2006/relationships/hyperlink" Target="http://www.tlg.uci.edu.elib.tcd.ie/help/BetaManual/online/SB.html" TargetMode="External"/><Relationship Id="rId79" Type="http://schemas.openxmlformats.org/officeDocument/2006/relationships/footer" Target="footer3.xml"/><Relationship Id="rId90" Type="http://schemas.openxmlformats.org/officeDocument/2006/relationships/hyperlink" Target="http://www.tlg.uci.edu/help/BetaManual/online/excl.html" TargetMode="External"/><Relationship Id="rId91" Type="http://schemas.openxmlformats.org/officeDocument/2006/relationships/hyperlink" Target="http://www.tlg.uci.edu/help/BetaManual/online/SB.html" TargetMode="External"/><Relationship Id="rId92" Type="http://schemas.openxmlformats.org/officeDocument/2006/relationships/hyperlink" Target="http://www.tlg.uci.edu/help/BetaManual/online/excl.html" TargetMode="External"/><Relationship Id="rId93" Type="http://schemas.openxmlformats.org/officeDocument/2006/relationships/hyperlink" Target="http://www.tlg.uci.edu/help/BetaManual/online/SB.html" TargetMode="External"/><Relationship Id="rId94" Type="http://schemas.openxmlformats.org/officeDocument/2006/relationships/footer" Target="footer5.xml"/><Relationship Id="rId95" Type="http://schemas.openxmlformats.org/officeDocument/2006/relationships/footer" Target="footer6.xml"/><Relationship Id="rId96" Type="http://schemas.openxmlformats.org/officeDocument/2006/relationships/printerSettings" Target="printerSettings/printerSettings8.bin"/><Relationship Id="rId97" Type="http://schemas.openxmlformats.org/officeDocument/2006/relationships/hyperlink" Target="https://en.wikipedia.org/wiki/Pragmatics" TargetMode="External"/><Relationship Id="rId98" Type="http://schemas.openxmlformats.org/officeDocument/2006/relationships/hyperlink" Target="https://en.wikipedia.org/wiki/Discourse" TargetMode="External"/><Relationship Id="rId99" Type="http://schemas.openxmlformats.org/officeDocument/2006/relationships/footer" Target="footer7.xml"/><Relationship Id="rId20" Type="http://schemas.openxmlformats.org/officeDocument/2006/relationships/hyperlink" Target="http://www.tlg.uci.edu.elib.tcd.ie/help/BetaManual/online/Q3.html" TargetMode="External"/><Relationship Id="rId21" Type="http://schemas.openxmlformats.org/officeDocument/2006/relationships/hyperlink" Target="http://www.tlg.uci.edu/help/BetaManual/online/SB5.html" TargetMode="External"/><Relationship Id="rId22" Type="http://schemas.openxmlformats.org/officeDocument/2006/relationships/hyperlink" Target="http://www.tlg.uci.edu/help/BetaManual/online/SB5.html" TargetMode="External"/><Relationship Id="rId23" Type="http://schemas.openxmlformats.org/officeDocument/2006/relationships/hyperlink" Target="http://www.tlg.uci.edu/help/BetaManual/online/SB5.html" TargetMode="External"/><Relationship Id="rId24" Type="http://schemas.openxmlformats.org/officeDocument/2006/relationships/hyperlink" Target="http://www.tlg.uci.edu/help/BetaManual/online/SB5.html" TargetMode="External"/><Relationship Id="rId25" Type="http://schemas.openxmlformats.org/officeDocument/2006/relationships/hyperlink" Target="http://www.tlg.uci.edu/help/BetaManual/online/SB.html" TargetMode="External"/><Relationship Id="rId26" Type="http://schemas.openxmlformats.org/officeDocument/2006/relationships/hyperlink" Target="http://www.tlg.uci.edu/help/BetaManual/online/excl.html" TargetMode="External"/><Relationship Id="rId27" Type="http://schemas.openxmlformats.org/officeDocument/2006/relationships/hyperlink" Target="http://www.tlg.uci.edu/help/BetaManual/online/SB.html" TargetMode="External"/><Relationship Id="rId28" Type="http://schemas.openxmlformats.org/officeDocument/2006/relationships/hyperlink" Target="http://www.tlg.uci.edu/help/BetaManual/online/excl.html" TargetMode="External"/><Relationship Id="rId29" Type="http://schemas.openxmlformats.org/officeDocument/2006/relationships/hyperlink" Target="http://www.tlg.uci.edu/help/BetaManual/online/SB.html" TargetMode="External"/><Relationship Id="rId40" Type="http://schemas.openxmlformats.org/officeDocument/2006/relationships/hyperlink" Target="http://www.tlg.uci.edu.elib.tcd.ie/help/BetaManual/online/Q.html" TargetMode="External"/><Relationship Id="rId41" Type="http://schemas.openxmlformats.org/officeDocument/2006/relationships/hyperlink" Target="http://www.tlg.uci.edu.elib.tcd.ie/help/BetaManual/online/SB.html" TargetMode="External"/><Relationship Id="rId42" Type="http://schemas.openxmlformats.org/officeDocument/2006/relationships/hyperlink" Target="http://www.tlg.uci.edu.elib.tcd.ie/help/BetaManual/online/excl.html" TargetMode="External"/><Relationship Id="rId43" Type="http://schemas.openxmlformats.org/officeDocument/2006/relationships/hyperlink" Target="http://www.tlg.uci.edu.elib.tcd.ie/help/BetaManual/online/SB.html" TargetMode="External"/><Relationship Id="rId44" Type="http://schemas.openxmlformats.org/officeDocument/2006/relationships/hyperlink" Target="http://www.tlg.uci.edu.elib.tcd.ie/help/BetaManual/online/SB.html" TargetMode="External"/><Relationship Id="rId45" Type="http://schemas.openxmlformats.org/officeDocument/2006/relationships/hyperlink" Target="http://www.tlg.uci.edu/help/BetaManual/online/SB.html" TargetMode="External"/><Relationship Id="rId46" Type="http://schemas.openxmlformats.org/officeDocument/2006/relationships/printerSettings" Target="printerSettings/printerSettings6.bin"/><Relationship Id="rId47" Type="http://schemas.openxmlformats.org/officeDocument/2006/relationships/hyperlink" Target="http://www.tlg.uci.edu.elib.tcd.ie/help/BetaManual/online/P.html" TargetMode="External"/><Relationship Id="rId48" Type="http://schemas.openxmlformats.org/officeDocument/2006/relationships/hyperlink" Target="http://www.tlg.uci.edu.elib.tcd.ie/help/BetaManual/online/SB.html" TargetMode="External"/><Relationship Id="rId49" Type="http://schemas.openxmlformats.org/officeDocument/2006/relationships/hyperlink" Target="http://www.tlg.uci.edu.elib.tcd.ie/help/BetaManual/online/SB.html" TargetMode="External"/><Relationship Id="rId60" Type="http://schemas.openxmlformats.org/officeDocument/2006/relationships/hyperlink" Target="http://www.tlg.uci.edu.elib.tcd.ie/help/BetaManual/online/SB3.html" TargetMode="External"/><Relationship Id="rId61" Type="http://schemas.openxmlformats.org/officeDocument/2006/relationships/hyperlink" Target="http://www.tlg.uci.edu.elib.tcd.ie/help/BetaManual/online/SB3.html" TargetMode="External"/><Relationship Id="rId62" Type="http://schemas.openxmlformats.org/officeDocument/2006/relationships/hyperlink" Target="http://www.tlg.uci.edu.elib.tcd.ie/help/BetaManual/online/P.html" TargetMode="External"/><Relationship Id="rId63" Type="http://schemas.openxmlformats.org/officeDocument/2006/relationships/hyperlink" Target="http://www.tlg.uci.edu.elib.tcd.ie/help/BetaManual/online/SB.html" TargetMode="External"/><Relationship Id="rId64" Type="http://schemas.openxmlformats.org/officeDocument/2006/relationships/hyperlink" Target="http://www.tlg.uci.edu.elib.tcd.ie/help/BetaManual/online/excl.html" TargetMode="External"/><Relationship Id="rId65" Type="http://schemas.openxmlformats.org/officeDocument/2006/relationships/hyperlink" Target="http://www.tlg.uci.edu.elib.tcd.ie/help/BetaManual/online/SB.html" TargetMode="External"/><Relationship Id="rId66" Type="http://schemas.openxmlformats.org/officeDocument/2006/relationships/hyperlink" Target="http://www.tlg.uci.edu.elib.tcd.ie/help/BetaManual/online/excl.html" TargetMode="External"/><Relationship Id="rId67" Type="http://schemas.openxmlformats.org/officeDocument/2006/relationships/hyperlink" Target="http://www.tlg.uci.edu.elib.tcd.ie/help/BetaManual/online/SB.html" TargetMode="External"/><Relationship Id="rId68" Type="http://schemas.openxmlformats.org/officeDocument/2006/relationships/hyperlink" Target="http://www.tlg.uci.edu.elib.tcd.ie/help/BetaManual/online/excl.html" TargetMode="External"/><Relationship Id="rId69" Type="http://schemas.openxmlformats.org/officeDocument/2006/relationships/hyperlink" Target="http://www.tlg.uci.edu.elib.tcd.ie/help/BetaManual/online/SB.html" TargetMode="External"/><Relationship Id="rId100" Type="http://schemas.openxmlformats.org/officeDocument/2006/relationships/footer" Target="footer8.xml"/><Relationship Id="rId80" Type="http://schemas.openxmlformats.org/officeDocument/2006/relationships/footer" Target="footer4.xml"/><Relationship Id="rId81" Type="http://schemas.openxmlformats.org/officeDocument/2006/relationships/printerSettings" Target="printerSettings/printerSettings7.bin"/><Relationship Id="rId82" Type="http://schemas.openxmlformats.org/officeDocument/2006/relationships/hyperlink" Target="http://www.tlg.uci.edu/help/BetaManual/online/SB.html" TargetMode="External"/><Relationship Id="rId83" Type="http://schemas.openxmlformats.org/officeDocument/2006/relationships/hyperlink" Target="http://www.tlg.uci.edu/help/BetaManual/online/SB.html" TargetMode="External"/><Relationship Id="rId84" Type="http://schemas.openxmlformats.org/officeDocument/2006/relationships/hyperlink" Target="http://www.tlg.uci.edu/help/BetaManual/online/SB.html" TargetMode="External"/><Relationship Id="rId85" Type="http://schemas.openxmlformats.org/officeDocument/2006/relationships/hyperlink" Target="http://www.tlg.uci.edu/help/BetaManual/online/excl.html" TargetMode="External"/><Relationship Id="rId86" Type="http://schemas.openxmlformats.org/officeDocument/2006/relationships/hyperlink" Target="http://www.tlg.uci.edu/help/BetaManual/online/SB.html" TargetMode="External"/><Relationship Id="rId87" Type="http://schemas.openxmlformats.org/officeDocument/2006/relationships/hyperlink" Target="http://www.tlg.uci.edu.elib.tcd.ie/help/BetaManual/online/SB.html" TargetMode="External"/><Relationship Id="rId88" Type="http://schemas.openxmlformats.org/officeDocument/2006/relationships/hyperlink" Target="http://www.tlg.uci.edu/help/BetaManual/online/P15.html" TargetMode="External"/><Relationship Id="rId89" Type="http://schemas.openxmlformats.org/officeDocument/2006/relationships/hyperlink" Target="http://www.tlg.uci.edu/help/BetaManual/online/excl.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tlg.uci.edu.elib.tcd.ie/help/BetaManual/online/SB.html" TargetMode="External"/><Relationship Id="rId4" Type="http://schemas.openxmlformats.org/officeDocument/2006/relationships/hyperlink" Target="http://www.tlg.uci.edu.elib.tcd.ie/help/BetaManual/online/SB.html" TargetMode="External"/><Relationship Id="rId5" Type="http://schemas.openxmlformats.org/officeDocument/2006/relationships/hyperlink" Target="http://www.tlg.uci.edu.elib.tcd.ie/help/BetaManual/online/SB.html" TargetMode="External"/><Relationship Id="rId6" Type="http://schemas.openxmlformats.org/officeDocument/2006/relationships/hyperlink" Target="http://www.tlg.uci.edu/help/BetaManual/online/SB1.html" TargetMode="External"/><Relationship Id="rId1" Type="http://schemas.openxmlformats.org/officeDocument/2006/relationships/hyperlink" Target="http://www.tlg.uci.edu.elib.tcd.ie/help/BetaManual/online/Q.html" TargetMode="External"/><Relationship Id="rId2" Type="http://schemas.openxmlformats.org/officeDocument/2006/relationships/hyperlink" Target="http://www.tlg.uci.edu.elib.tcd.ie/help/BetaManual/online/Q.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4F031-6AD1-734B-99D1-284A9FB8D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268</Pages>
  <Words>87253</Words>
  <Characters>497343</Characters>
  <Application>Microsoft Macintosh Word</Application>
  <DocSecurity>0</DocSecurity>
  <Lines>4144</Lines>
  <Paragraphs>1166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Felisari</dc:creator>
  <cp:keywords/>
  <dc:description/>
  <cp:lastModifiedBy>Clara Felisari</cp:lastModifiedBy>
  <cp:revision>2</cp:revision>
  <cp:lastPrinted>2017-09-02T16:06:00Z</cp:lastPrinted>
  <dcterms:created xsi:type="dcterms:W3CDTF">2017-10-12T17:34:00Z</dcterms:created>
  <dcterms:modified xsi:type="dcterms:W3CDTF">2017-10-12T17:34:00Z</dcterms:modified>
</cp:coreProperties>
</file>