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19C7" w:rsidRPr="0034079E" w:rsidRDefault="0034079E" w:rsidP="0034079E">
      <w:pPr>
        <w:autoSpaceDE w:val="0"/>
        <w:autoSpaceDN w:val="0"/>
        <w:adjustRightInd w:val="0"/>
        <w:spacing w:after="0" w:line="240" w:lineRule="auto"/>
        <w:rPr>
          <w:rFonts w:ascii="OpenSans-Semibold" w:hAnsi="OpenSans-Semibold" w:cs="OpenSans-Semibold"/>
          <w:sz w:val="32"/>
          <w:szCs w:val="32"/>
        </w:rPr>
      </w:pPr>
      <w:r w:rsidRPr="0034079E">
        <w:rPr>
          <w:rFonts w:ascii="OpenSans-Semibold" w:hAnsi="OpenSans-Semibold" w:cs="OpenSans-Semibold"/>
          <w:sz w:val="32"/>
          <w:szCs w:val="32"/>
        </w:rPr>
        <w:t>Social Constructionism and Social Care:</w:t>
      </w:r>
      <w:r>
        <w:rPr>
          <w:rFonts w:ascii="OpenSans-Semibold" w:hAnsi="OpenSans-Semibold" w:cs="OpenSans-Semibold"/>
          <w:sz w:val="32"/>
          <w:szCs w:val="32"/>
        </w:rPr>
        <w:t xml:space="preserve"> </w:t>
      </w:r>
      <w:r w:rsidRPr="0034079E">
        <w:rPr>
          <w:rFonts w:ascii="OpenSans-Semibold" w:hAnsi="OpenSans-Semibold" w:cs="OpenSans-Semibold"/>
          <w:sz w:val="32"/>
          <w:szCs w:val="32"/>
        </w:rPr>
        <w:t>Theoretically Informed Review of the Literature</w:t>
      </w:r>
      <w:r>
        <w:rPr>
          <w:rFonts w:ascii="OpenSans-Semibold" w:hAnsi="OpenSans-Semibold" w:cs="OpenSans-Semibold"/>
          <w:sz w:val="32"/>
          <w:szCs w:val="32"/>
        </w:rPr>
        <w:t xml:space="preserve"> </w:t>
      </w:r>
      <w:r w:rsidRPr="0034079E">
        <w:rPr>
          <w:rFonts w:ascii="OpenSans-Semibold" w:hAnsi="OpenSans-Semibold" w:cs="OpenSans-Semibold"/>
          <w:sz w:val="32"/>
          <w:szCs w:val="32"/>
        </w:rPr>
        <w:t>on Evidence Informed Practice Within the</w:t>
      </w:r>
      <w:r>
        <w:rPr>
          <w:rFonts w:ascii="OpenSans-Semibold" w:hAnsi="OpenSans-Semibold" w:cs="OpenSans-Semibold"/>
          <w:sz w:val="32"/>
          <w:szCs w:val="32"/>
        </w:rPr>
        <w:t xml:space="preserve"> </w:t>
      </w:r>
      <w:r w:rsidRPr="0034079E">
        <w:rPr>
          <w:rFonts w:ascii="OpenSans-Semibold" w:hAnsi="OpenSans-Semibold" w:cs="OpenSans-Semibold"/>
          <w:sz w:val="32"/>
          <w:szCs w:val="32"/>
        </w:rPr>
        <w:t>Professionalisation of Social Care Professionals</w:t>
      </w:r>
      <w:r>
        <w:rPr>
          <w:rFonts w:ascii="OpenSans-Semibold" w:hAnsi="OpenSans-Semibold" w:cs="OpenSans-Semibold"/>
          <w:sz w:val="32"/>
          <w:szCs w:val="32"/>
        </w:rPr>
        <w:t xml:space="preserve"> </w:t>
      </w:r>
      <w:r w:rsidRPr="0034079E">
        <w:rPr>
          <w:rFonts w:ascii="OpenSans-Semibold" w:hAnsi="OpenSans-Semibold" w:cs="OpenSans-Semibold"/>
          <w:sz w:val="32"/>
          <w:szCs w:val="32"/>
        </w:rPr>
        <w:t>Who Work with Children in Ireland</w:t>
      </w:r>
    </w:p>
    <w:p w:rsidR="0034079E" w:rsidRDefault="0034079E" w:rsidP="0034079E">
      <w:pPr>
        <w:jc w:val="both"/>
      </w:pPr>
    </w:p>
    <w:p w:rsidR="0034079E" w:rsidRDefault="0034079E" w:rsidP="0034079E">
      <w:pPr>
        <w:jc w:val="both"/>
      </w:pPr>
      <w:r>
        <w:t xml:space="preserve">The professionalisation of social care practice in Ireland, after a period of dormancy, has experienced rapid advancement toward statutory regulation and reform. Yet, the limited literature available in Ireland on the subject matter, almost exclusively predates these changes. This paper presents a theoretically informed commentary on the literature related to Evidence-Informed Practice (EIP) and professionalisation of social care professionals who work with children in Ireland. A key proposition of this paper is that rather than being distinct and autonomous, EIP may be most constructively understood as an integrated feature of professionalisation in social care. This is illustrated within themes identified in the body of literature related to EIP. Overall, the literature review in this paper is explicitly subjective, rather than systematic, and declared as operating broadly from a Social Constructionist orientation. The implicit Social Constructionist approach declared from the outset, is later overtly applied through a theoretical framework derived from Burr (2015) and </w:t>
      </w:r>
      <w:proofErr w:type="spellStart"/>
      <w:r>
        <w:t>Gergin</w:t>
      </w:r>
      <w:proofErr w:type="spellEnd"/>
      <w:r>
        <w:t xml:space="preserve"> (1985), to inform discussion on EIP within professionalisation of social care professionals. The intention is, that discussion will generate learning for practitioners seeking to improve practice with children in the field, by addressing some of the significant challenges and practice concerns identified in the former review. It is proposed that, because of its nature as a historically and culturally unique moment in time, intensifying professionalisation of social care in Ireland provides a valuable opportunity for practitioners seeking to improve practice with children. This opportunity lies in the potential for practitioners to use the process of professionalisation as a platform to compel higher standards for social care in Ireland, including better standards of EIP, through such measures as lobbying and advocacy work.</w:t>
      </w:r>
    </w:p>
    <w:p w:rsidR="00503D81" w:rsidRPr="001722E5" w:rsidRDefault="00503D81" w:rsidP="00503D81">
      <w:pPr>
        <w:autoSpaceDE w:val="0"/>
        <w:autoSpaceDN w:val="0"/>
        <w:adjustRightInd w:val="0"/>
        <w:spacing w:after="0" w:line="240" w:lineRule="auto"/>
        <w:rPr>
          <w:rFonts w:ascii="AdvOT3b30f6db.B" w:hAnsi="AdvOT3b30f6db.B" w:cs="AdvOT3b30f6db.B"/>
          <w:b/>
        </w:rPr>
      </w:pPr>
      <w:r w:rsidRPr="001722E5">
        <w:rPr>
          <w:rFonts w:ascii="AdvOT3b30f6db.B" w:hAnsi="AdvOT3b30f6db.B" w:cs="AdvOT3b30f6db.B"/>
          <w:b/>
        </w:rPr>
        <w:t>Introduction</w:t>
      </w:r>
    </w:p>
    <w:p w:rsidR="00503D81" w:rsidRDefault="00503D81" w:rsidP="00503D81">
      <w:pPr>
        <w:autoSpaceDE w:val="0"/>
        <w:autoSpaceDN w:val="0"/>
        <w:adjustRightInd w:val="0"/>
        <w:spacing w:after="0" w:line="240" w:lineRule="auto"/>
        <w:rPr>
          <w:rFonts w:ascii="AdvOT3b30f6db.B" w:hAnsi="AdvOT3b30f6db.B" w:cs="AdvOT3b30f6db.B"/>
        </w:rPr>
      </w:pPr>
    </w:p>
    <w:p w:rsidR="00503D81" w:rsidRDefault="00503D81" w:rsidP="00503D81">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sz w:val="21"/>
          <w:szCs w:val="21"/>
        </w:rPr>
        <w:t xml:space="preserve">This paper presents an overview of the literature on professionalisation and Evidence-Informed Practice (EIP) in social care work with children in Ireland. Evidence-Based </w:t>
      </w:r>
      <w:r>
        <w:rPr>
          <w:rFonts w:ascii="AdvOT1ef757c0" w:hAnsi="AdvOT1ef757c0" w:cs="AdvOT1ef757c0"/>
          <w:color w:val="000000"/>
          <w:sz w:val="21"/>
          <w:szCs w:val="21"/>
        </w:rPr>
        <w:t>Practice (EBP) as a counterpart concept to EIP is incorporated within this. To facilitate this overview, clear de</w:t>
      </w:r>
      <w:r>
        <w:rPr>
          <w:rFonts w:ascii="AdvOT1ef757c0+fb" w:hAnsi="AdvOT1ef757c0+fb" w:cs="AdvOT1ef757c0+fb"/>
          <w:color w:val="000000"/>
          <w:sz w:val="21"/>
          <w:szCs w:val="21"/>
        </w:rPr>
        <w:t>fi</w:t>
      </w:r>
      <w:r>
        <w:rPr>
          <w:rFonts w:ascii="AdvOT1ef757c0" w:hAnsi="AdvOT1ef757c0" w:cs="AdvOT1ef757c0"/>
          <w:color w:val="000000"/>
          <w:sz w:val="21"/>
          <w:szCs w:val="21"/>
        </w:rPr>
        <w:t>nitions will be provided for the pertinent concepts of professionalisation, EIP and EBP. Throughout this paper, it will be possible to trace one central and sustaining argument. More speci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cally, the argument is that as social care practice with children moves toward the position of a statutorily registered profession, alongside this, practitioners will be expected to work in more evidence-informed ways. In making this argument, the paper therefore examines processes of professionalisation, and drives towards EIP and EBP, in combination rather than separately. </w:t>
      </w:r>
    </w:p>
    <w:p w:rsidR="00503D81" w:rsidRDefault="00503D81" w:rsidP="00503D81">
      <w:pPr>
        <w:autoSpaceDE w:val="0"/>
        <w:autoSpaceDN w:val="0"/>
        <w:adjustRightInd w:val="0"/>
        <w:spacing w:after="0" w:line="240" w:lineRule="auto"/>
        <w:ind w:firstLine="720"/>
        <w:jc w:val="both"/>
        <w:rPr>
          <w:rFonts w:ascii="AdvOT1ef757c0" w:hAnsi="AdvOT1ef757c0" w:cs="AdvOT1ef757c0"/>
          <w:color w:val="000000"/>
          <w:sz w:val="21"/>
          <w:szCs w:val="21"/>
        </w:rPr>
      </w:pPr>
      <w:r>
        <w:rPr>
          <w:rFonts w:ascii="AdvOT1ef757c0" w:hAnsi="AdvOT1ef757c0" w:cs="AdvOT1ef757c0"/>
          <w:color w:val="000000"/>
          <w:sz w:val="21"/>
          <w:szCs w:val="21"/>
        </w:rPr>
        <w:t xml:space="preserve">In conducting this review, literature was sourced through manual searches of electronic databases and library archives predominantly. Within this, the purposive inclusion of some material that was not peer-reviewed sought to prevent the omission of </w:t>
      </w:r>
      <w:r>
        <w:rPr>
          <w:rFonts w:ascii="AdvOT1ef757c0+20" w:hAnsi="AdvOT1ef757c0+20" w:cs="AdvOT1ef757c0+20"/>
          <w:color w:val="000000"/>
          <w:sz w:val="21"/>
          <w:szCs w:val="21"/>
        </w:rPr>
        <w:t>“</w:t>
      </w:r>
      <w:r>
        <w:rPr>
          <w:rFonts w:ascii="AdvOT1ef757c0" w:hAnsi="AdvOT1ef757c0" w:cs="AdvOT1ef757c0"/>
          <w:color w:val="000000"/>
          <w:sz w:val="21"/>
          <w:szCs w:val="21"/>
        </w:rPr>
        <w:t>grey literature</w:t>
      </w:r>
      <w:r>
        <w:rPr>
          <w:rFonts w:ascii="AdvOT1ef757c0+20" w:hAnsi="AdvOT1ef757c0+20" w:cs="AdvOT1ef757c0+20"/>
          <w:color w:val="000000"/>
          <w:sz w:val="21"/>
          <w:szCs w:val="21"/>
        </w:rPr>
        <w:t>”</w:t>
      </w:r>
      <w:r>
        <w:rPr>
          <w:rFonts w:ascii="AdvOT1ef757c0" w:hAnsi="AdvOT1ef757c0" w:cs="AdvOT1ef757c0"/>
          <w:color w:val="000000"/>
          <w:sz w:val="21"/>
          <w:szCs w:val="21"/>
        </w:rPr>
        <w:t xml:space="preserve">. To avoid </w:t>
      </w:r>
      <w:r>
        <w:rPr>
          <w:rFonts w:ascii="AdvOT1ef757c0+20" w:hAnsi="AdvOT1ef757c0+20" w:cs="AdvOT1ef757c0+20"/>
          <w:color w:val="000000"/>
          <w:sz w:val="21"/>
          <w:szCs w:val="21"/>
        </w:rPr>
        <w:t>“</w:t>
      </w:r>
      <w:r>
        <w:rPr>
          <w:rFonts w:ascii="AdvOT1ef757c0+fb" w:hAnsi="AdvOT1ef757c0+fb" w:cs="AdvOT1ef757c0+fb"/>
          <w:color w:val="000000"/>
          <w:sz w:val="21"/>
          <w:szCs w:val="21"/>
        </w:rPr>
        <w:t>fi</w:t>
      </w:r>
      <w:r>
        <w:rPr>
          <w:rFonts w:ascii="AdvOT1ef757c0" w:hAnsi="AdvOT1ef757c0" w:cs="AdvOT1ef757c0"/>
          <w:color w:val="000000"/>
          <w:sz w:val="21"/>
          <w:szCs w:val="21"/>
        </w:rPr>
        <w:t>le-drawer</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 xml:space="preserve">problem (a phenomenon where material with negative results is not published and therefore omitted inappropriately) the author also conducted consultations with academic peers to ascertain if there were any non-published materials that met appropriate quality standards, that should also be included (Bryman, </w:t>
      </w:r>
      <w:r>
        <w:rPr>
          <w:rFonts w:ascii="AdvOT1ef757c0" w:hAnsi="AdvOT1ef757c0" w:cs="AdvOT1ef757c0"/>
          <w:color w:val="000085"/>
          <w:sz w:val="21"/>
          <w:szCs w:val="21"/>
        </w:rPr>
        <w:t>2016</w:t>
      </w:r>
      <w:r>
        <w:rPr>
          <w:rFonts w:ascii="AdvOT1ef757c0" w:hAnsi="AdvOT1ef757c0" w:cs="AdvOT1ef757c0"/>
          <w:color w:val="000000"/>
          <w:sz w:val="21"/>
          <w:szCs w:val="21"/>
        </w:rPr>
        <w:t xml:space="preserve">). After searches, however, no such material was evident. </w:t>
      </w:r>
    </w:p>
    <w:p w:rsidR="00503D81" w:rsidRDefault="00503D81" w:rsidP="00503D81">
      <w:pPr>
        <w:autoSpaceDE w:val="0"/>
        <w:autoSpaceDN w:val="0"/>
        <w:adjustRightInd w:val="0"/>
        <w:spacing w:after="0" w:line="240" w:lineRule="auto"/>
        <w:ind w:firstLine="720"/>
        <w:jc w:val="both"/>
        <w:rPr>
          <w:rFonts w:ascii="AdvOT1ef757c0" w:hAnsi="AdvOT1ef757c0" w:cs="AdvOT1ef757c0"/>
          <w:color w:val="000000"/>
          <w:sz w:val="21"/>
          <w:szCs w:val="21"/>
        </w:rPr>
      </w:pPr>
      <w:r>
        <w:rPr>
          <w:rFonts w:ascii="AdvOT1ef757c0" w:hAnsi="AdvOT1ef757c0" w:cs="AdvOT1ef757c0"/>
          <w:color w:val="000000"/>
          <w:sz w:val="21"/>
          <w:szCs w:val="21"/>
        </w:rPr>
        <w:t>Within the review, a Social Constructionist lens is declared from the outset, and following a subjective commentary on the literature, is explicitly applied through a theoretical framework derived from Burr (</w:t>
      </w:r>
      <w:r>
        <w:rPr>
          <w:rFonts w:ascii="AdvOT1ef757c0" w:hAnsi="AdvOT1ef757c0" w:cs="AdvOT1ef757c0"/>
          <w:color w:val="000085"/>
          <w:sz w:val="21"/>
          <w:szCs w:val="21"/>
        </w:rPr>
        <w:t>2015</w:t>
      </w:r>
      <w:r>
        <w:rPr>
          <w:rFonts w:ascii="AdvOT1ef757c0" w:hAnsi="AdvOT1ef757c0" w:cs="AdvOT1ef757c0"/>
          <w:color w:val="000000"/>
          <w:sz w:val="21"/>
          <w:szCs w:val="21"/>
        </w:rPr>
        <w:t xml:space="preserve">) and </w:t>
      </w:r>
      <w:proofErr w:type="spellStart"/>
      <w:r>
        <w:rPr>
          <w:rFonts w:ascii="AdvOT1ef757c0" w:hAnsi="AdvOT1ef757c0" w:cs="AdvOT1ef757c0"/>
          <w:color w:val="000000"/>
          <w:sz w:val="21"/>
          <w:szCs w:val="21"/>
        </w:rPr>
        <w:t>Gergin</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1985</w:t>
      </w:r>
      <w:r>
        <w:rPr>
          <w:rFonts w:ascii="AdvOT1ef757c0" w:hAnsi="AdvOT1ef757c0" w:cs="AdvOT1ef757c0"/>
          <w:color w:val="000000"/>
          <w:sz w:val="21"/>
          <w:szCs w:val="21"/>
        </w:rPr>
        <w:t xml:space="preserve">). This assists with achieving a less passive and more critical epistemological line within the discussion that follows. The purpose of the discussion is to generate learning for practitioners seeking to improve practice among social care professionals working with </w:t>
      </w:r>
      <w:r>
        <w:rPr>
          <w:rFonts w:ascii="AdvOT1ef757c0" w:hAnsi="AdvOT1ef757c0" w:cs="AdvOT1ef757c0"/>
          <w:color w:val="000000"/>
          <w:sz w:val="21"/>
          <w:szCs w:val="21"/>
        </w:rPr>
        <w:lastRenderedPageBreak/>
        <w:t>children by addressing some of the signi</w:t>
      </w:r>
      <w:r>
        <w:rPr>
          <w:rFonts w:ascii="AdvOT1ef757c0+fb" w:hAnsi="AdvOT1ef757c0+fb" w:cs="AdvOT1ef757c0+fb"/>
          <w:color w:val="000000"/>
          <w:sz w:val="21"/>
          <w:szCs w:val="21"/>
        </w:rPr>
        <w:t>fi</w:t>
      </w:r>
      <w:r>
        <w:rPr>
          <w:rFonts w:ascii="AdvOT1ef757c0" w:hAnsi="AdvOT1ef757c0" w:cs="AdvOT1ef757c0"/>
          <w:color w:val="000000"/>
          <w:sz w:val="21"/>
          <w:szCs w:val="21"/>
        </w:rPr>
        <w:t>cant challenges and concerns identi</w:t>
      </w:r>
      <w:r>
        <w:rPr>
          <w:rFonts w:ascii="AdvOT1ef757c0+fb" w:hAnsi="AdvOT1ef757c0+fb" w:cs="AdvOT1ef757c0+fb"/>
          <w:color w:val="000000"/>
          <w:sz w:val="21"/>
          <w:szCs w:val="21"/>
        </w:rPr>
        <w:t>fi</w:t>
      </w:r>
      <w:r>
        <w:rPr>
          <w:rFonts w:ascii="AdvOT1ef757c0" w:hAnsi="AdvOT1ef757c0" w:cs="AdvOT1ef757c0"/>
          <w:color w:val="000000"/>
          <w:sz w:val="21"/>
          <w:szCs w:val="21"/>
        </w:rPr>
        <w:t>ed in the review of the literature.</w:t>
      </w:r>
    </w:p>
    <w:p w:rsidR="001722E5" w:rsidRDefault="001722E5" w:rsidP="00503D81">
      <w:pPr>
        <w:autoSpaceDE w:val="0"/>
        <w:autoSpaceDN w:val="0"/>
        <w:adjustRightInd w:val="0"/>
        <w:spacing w:after="0" w:line="240" w:lineRule="auto"/>
        <w:ind w:firstLine="720"/>
        <w:jc w:val="both"/>
        <w:rPr>
          <w:rFonts w:ascii="AdvOT1ef757c0" w:hAnsi="AdvOT1ef757c0" w:cs="AdvOT1ef757c0"/>
          <w:color w:val="000000"/>
          <w:sz w:val="21"/>
          <w:szCs w:val="21"/>
        </w:rPr>
      </w:pPr>
    </w:p>
    <w:p w:rsidR="001722E5" w:rsidRPr="00EC3FA1" w:rsidRDefault="001722E5" w:rsidP="001722E5">
      <w:pPr>
        <w:autoSpaceDE w:val="0"/>
        <w:autoSpaceDN w:val="0"/>
        <w:adjustRightInd w:val="0"/>
        <w:spacing w:after="0" w:line="240" w:lineRule="auto"/>
        <w:rPr>
          <w:rFonts w:ascii="AdvOT3b30f6db.B" w:hAnsi="AdvOT3b30f6db.B" w:cs="AdvOT3b30f6db.B"/>
          <w:b/>
          <w:color w:val="000000"/>
        </w:rPr>
      </w:pPr>
      <w:r w:rsidRPr="00EC3FA1">
        <w:rPr>
          <w:rFonts w:ascii="AdvOT3b30f6db.B" w:hAnsi="AdvOT3b30f6db.B" w:cs="AdvOT3b30f6db.B"/>
          <w:b/>
          <w:color w:val="000000"/>
        </w:rPr>
        <w:t>Rationale for the study</w:t>
      </w:r>
    </w:p>
    <w:p w:rsidR="001722E5" w:rsidRDefault="001722E5" w:rsidP="001722E5">
      <w:pPr>
        <w:autoSpaceDE w:val="0"/>
        <w:autoSpaceDN w:val="0"/>
        <w:adjustRightInd w:val="0"/>
        <w:spacing w:after="0" w:line="240" w:lineRule="auto"/>
        <w:rPr>
          <w:rFonts w:ascii="AdvOT3b30f6db.B" w:hAnsi="AdvOT3b30f6db.B" w:cs="AdvOT3b30f6db.B"/>
          <w:color w:val="000000"/>
        </w:rPr>
      </w:pPr>
    </w:p>
    <w:p w:rsidR="001722E5" w:rsidRDefault="001722E5" w:rsidP="001722E5">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color w:val="000000"/>
          <w:sz w:val="21"/>
          <w:szCs w:val="21"/>
        </w:rPr>
        <w:t xml:space="preserve">The review is timely and necessary for several reasons. Firstly, social care practice in Ireland is undergoing a major period of reform (Byrne, </w:t>
      </w:r>
      <w:r>
        <w:rPr>
          <w:rFonts w:ascii="AdvOT1ef757c0" w:hAnsi="AdvOT1ef757c0" w:cs="AdvOT1ef757c0"/>
          <w:color w:val="000085"/>
          <w:sz w:val="21"/>
          <w:szCs w:val="21"/>
        </w:rPr>
        <w:t>2016</w:t>
      </w:r>
      <w:r>
        <w:rPr>
          <w:rFonts w:ascii="AdvOT1ef757c0" w:hAnsi="AdvOT1ef757c0" w:cs="AdvOT1ef757c0"/>
          <w:color w:val="000000"/>
          <w:sz w:val="21"/>
          <w:szCs w:val="21"/>
        </w:rPr>
        <w:t xml:space="preserve">; McSweeney, Smith, &amp; Williams, </w:t>
      </w:r>
      <w:r>
        <w:rPr>
          <w:rFonts w:ascii="AdvOT1ef757c0" w:hAnsi="AdvOT1ef757c0" w:cs="AdvOT1ef757c0"/>
          <w:color w:val="000085"/>
          <w:sz w:val="21"/>
          <w:szCs w:val="21"/>
        </w:rPr>
        <w:t>2016</w:t>
      </w:r>
      <w:r>
        <w:rPr>
          <w:rFonts w:ascii="AdvOT1ef757c0" w:hAnsi="AdvOT1ef757c0" w:cs="AdvOT1ef757c0"/>
          <w:color w:val="000000"/>
          <w:sz w:val="21"/>
          <w:szCs w:val="21"/>
        </w:rPr>
        <w:t>). This has included the establishment of the Social Care Workers Registration Board within CORU</w:t>
      </w:r>
      <w:r>
        <w:rPr>
          <w:rFonts w:ascii="AdvOT1ef757c0" w:hAnsi="AdvOT1ef757c0" w:cs="AdvOT1ef757c0"/>
          <w:color w:val="000085"/>
          <w:sz w:val="14"/>
          <w:szCs w:val="14"/>
        </w:rPr>
        <w:t xml:space="preserve">1 </w:t>
      </w:r>
      <w:r>
        <w:rPr>
          <w:rFonts w:ascii="AdvOT1ef757c0" w:hAnsi="AdvOT1ef757c0" w:cs="AdvOT1ef757c0"/>
          <w:color w:val="000000"/>
          <w:sz w:val="21"/>
          <w:szCs w:val="21"/>
        </w:rPr>
        <w:t>in 2015; draft Code of Professional Conduct and Ethics for social care workers in 2016; Standards of Pro</w:t>
      </w:r>
      <w:r>
        <w:rPr>
          <w:rFonts w:ascii="AdvOT1ef757c0+fb" w:hAnsi="AdvOT1ef757c0+fb" w:cs="AdvOT1ef757c0+fb"/>
          <w:color w:val="000000"/>
          <w:sz w:val="21"/>
          <w:szCs w:val="21"/>
        </w:rPr>
        <w:t>fi</w:t>
      </w:r>
      <w:r>
        <w:rPr>
          <w:rFonts w:ascii="AdvOT1ef757c0" w:hAnsi="AdvOT1ef757c0" w:cs="AdvOT1ef757c0"/>
          <w:color w:val="000000"/>
          <w:sz w:val="21"/>
          <w:szCs w:val="21"/>
        </w:rPr>
        <w:t>ciency for Social Care Workers in 2017 (</w:t>
      </w:r>
      <w:r>
        <w:rPr>
          <w:rFonts w:ascii="AdvOT1ef757c0" w:hAnsi="AdvOT1ef757c0" w:cs="AdvOT1ef757c0"/>
          <w:color w:val="000085"/>
          <w:sz w:val="21"/>
          <w:szCs w:val="21"/>
        </w:rPr>
        <w:t>2017a</w:t>
      </w:r>
      <w:r>
        <w:rPr>
          <w:rFonts w:ascii="AdvOT1ef757c0" w:hAnsi="AdvOT1ef757c0" w:cs="AdvOT1ef757c0"/>
          <w:color w:val="000000"/>
          <w:sz w:val="21"/>
          <w:szCs w:val="21"/>
        </w:rPr>
        <w:t>); and Criteria for Education and Training Programmes in 2017 (</w:t>
      </w:r>
      <w:r>
        <w:rPr>
          <w:rFonts w:ascii="AdvOT1ef757c0" w:hAnsi="AdvOT1ef757c0" w:cs="AdvOT1ef757c0"/>
          <w:color w:val="000085"/>
          <w:sz w:val="21"/>
          <w:szCs w:val="21"/>
        </w:rPr>
        <w:t>2017b</w:t>
      </w:r>
      <w:r>
        <w:rPr>
          <w:rFonts w:ascii="AdvOT1ef757c0" w:hAnsi="AdvOT1ef757c0" w:cs="AdvOT1ef757c0"/>
          <w:color w:val="000000"/>
          <w:sz w:val="21"/>
          <w:szCs w:val="21"/>
        </w:rPr>
        <w:t xml:space="preserve">) (Power &amp; Darcy, </w:t>
      </w:r>
      <w:r>
        <w:rPr>
          <w:rFonts w:ascii="AdvOT1ef757c0" w:hAnsi="AdvOT1ef757c0" w:cs="AdvOT1ef757c0"/>
          <w:color w:val="000085"/>
          <w:sz w:val="21"/>
          <w:szCs w:val="21"/>
        </w:rPr>
        <w:t>2017</w:t>
      </w:r>
      <w:r>
        <w:rPr>
          <w:rFonts w:ascii="AdvOT1ef757c0" w:hAnsi="AdvOT1ef757c0" w:cs="AdvOT1ef757c0"/>
          <w:color w:val="000000"/>
          <w:sz w:val="21"/>
          <w:szCs w:val="21"/>
        </w:rPr>
        <w:t>). The cornerstone development of the Health and Social Care Professionals Act 2005, which included social care workers as a profession to undergo statutory registration by CORU, was centrally in</w:t>
      </w:r>
      <w:r>
        <w:rPr>
          <w:rFonts w:ascii="AdvOT1ef757c0+fb" w:hAnsi="AdvOT1ef757c0+fb" w:cs="AdvOT1ef757c0+fb"/>
          <w:color w:val="000000"/>
          <w:sz w:val="21"/>
          <w:szCs w:val="21"/>
        </w:rPr>
        <w:t>fl</w:t>
      </w:r>
      <w:r>
        <w:rPr>
          <w:rFonts w:ascii="AdvOT1ef757c0" w:hAnsi="AdvOT1ef757c0" w:cs="AdvOT1ef757c0"/>
          <w:color w:val="000000"/>
          <w:sz w:val="21"/>
          <w:szCs w:val="21"/>
        </w:rPr>
        <w:t xml:space="preserve">uential in provoking the changes (Byrne, </w:t>
      </w:r>
      <w:r>
        <w:rPr>
          <w:rFonts w:ascii="AdvOT1ef757c0" w:hAnsi="AdvOT1ef757c0" w:cs="AdvOT1ef757c0"/>
          <w:color w:val="000085"/>
          <w:sz w:val="21"/>
          <w:szCs w:val="21"/>
        </w:rPr>
        <w:t>2016</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&amp; </w:t>
      </w:r>
      <w:proofErr w:type="spellStart"/>
      <w:r>
        <w:rPr>
          <w:rFonts w:ascii="AdvOT1ef757c0" w:hAnsi="AdvOT1ef757c0" w:cs="AdvOT1ef757c0"/>
          <w:color w:val="000000"/>
          <w:sz w:val="21"/>
          <w:szCs w:val="21"/>
        </w:rPr>
        <w:t>O</w:t>
      </w:r>
      <w:r>
        <w:rPr>
          <w:rFonts w:ascii="AdvOT1ef757c0+20" w:hAnsi="AdvOT1ef757c0+20" w:cs="AdvOT1ef757c0+20"/>
          <w:color w:val="000000"/>
          <w:sz w:val="21"/>
          <w:szCs w:val="21"/>
        </w:rPr>
        <w:t>’</w:t>
      </w:r>
      <w:r>
        <w:rPr>
          <w:rFonts w:ascii="AdvOT1ef757c0" w:hAnsi="AdvOT1ef757c0" w:cs="AdvOT1ef757c0"/>
          <w:color w:val="000000"/>
          <w:sz w:val="21"/>
          <w:szCs w:val="21"/>
        </w:rPr>
        <w:t>Doherty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xml:space="preserve">; Joint Committee on Social Care Professionals, </w:t>
      </w:r>
      <w:r>
        <w:rPr>
          <w:rFonts w:ascii="AdvOT1ef757c0" w:hAnsi="AdvOT1ef757c0" w:cs="AdvOT1ef757c0"/>
          <w:color w:val="000085"/>
          <w:sz w:val="21"/>
          <w:szCs w:val="21"/>
        </w:rPr>
        <w:t>2002</w:t>
      </w:r>
      <w:r>
        <w:rPr>
          <w:rFonts w:ascii="AdvOT1ef757c0" w:hAnsi="AdvOT1ef757c0" w:cs="AdvOT1ef757c0"/>
          <w:color w:val="000000"/>
          <w:sz w:val="21"/>
          <w:szCs w:val="21"/>
        </w:rPr>
        <w:t xml:space="preserve">; McSweeney et al., </w:t>
      </w:r>
      <w:r>
        <w:rPr>
          <w:rFonts w:ascii="AdvOT1ef757c0" w:hAnsi="AdvOT1ef757c0" w:cs="AdvOT1ef757c0"/>
          <w:color w:val="000085"/>
          <w:sz w:val="21"/>
          <w:szCs w:val="21"/>
        </w:rPr>
        <w:t>2016</w:t>
      </w:r>
      <w:r>
        <w:rPr>
          <w:rFonts w:ascii="AdvOT1ef757c0" w:hAnsi="AdvOT1ef757c0" w:cs="AdvOT1ef757c0"/>
          <w:color w:val="000000"/>
          <w:sz w:val="21"/>
          <w:szCs w:val="21"/>
        </w:rPr>
        <w:t xml:space="preserve">; Power &amp; Darcy, </w:t>
      </w:r>
      <w:r>
        <w:rPr>
          <w:rFonts w:ascii="AdvOT1ef757c0" w:hAnsi="AdvOT1ef757c0" w:cs="AdvOT1ef757c0"/>
          <w:color w:val="000085"/>
          <w:sz w:val="21"/>
          <w:szCs w:val="21"/>
        </w:rPr>
        <w:t>2017</w:t>
      </w:r>
      <w:r>
        <w:rPr>
          <w:rFonts w:ascii="AdvOT1ef757c0" w:hAnsi="AdvOT1ef757c0" w:cs="AdvOT1ef757c0"/>
          <w:color w:val="000000"/>
          <w:sz w:val="21"/>
          <w:szCs w:val="21"/>
        </w:rPr>
        <w:t xml:space="preserve">; Williams &amp; </w:t>
      </w:r>
      <w:proofErr w:type="spellStart"/>
      <w:r>
        <w:rPr>
          <w:rFonts w:ascii="AdvOT1ef757c0" w:hAnsi="AdvOT1ef757c0" w:cs="AdvOT1ef757c0"/>
          <w:color w:val="000000"/>
          <w:sz w:val="21"/>
          <w:szCs w:val="21"/>
        </w:rPr>
        <w:t>Lalor</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2001</w:t>
      </w:r>
      <w:r>
        <w:rPr>
          <w:rFonts w:ascii="AdvOT1ef757c0" w:hAnsi="AdvOT1ef757c0" w:cs="AdvOT1ef757c0"/>
          <w:color w:val="000000"/>
          <w:sz w:val="21"/>
          <w:szCs w:val="21"/>
        </w:rPr>
        <w:t>). To date the limited literature available in Ireland on social care practice almost exclusively predates these changes establishing a requirement for an updated review of knowledge. In addition to this, the Irish case of social care with children may further be of international interest as a site of inquiry into social care professions undergoing change. Accordingly, much of the concluding observations of this paper are generalisable beyond the Irish context.</w:t>
      </w:r>
    </w:p>
    <w:p w:rsidR="001722E5" w:rsidRDefault="001722E5" w:rsidP="001722E5">
      <w:pPr>
        <w:autoSpaceDE w:val="0"/>
        <w:autoSpaceDN w:val="0"/>
        <w:adjustRightInd w:val="0"/>
        <w:spacing w:after="0" w:line="240" w:lineRule="auto"/>
        <w:ind w:firstLine="720"/>
        <w:jc w:val="both"/>
        <w:rPr>
          <w:rFonts w:ascii="AdvOT1ef757c0" w:hAnsi="AdvOT1ef757c0" w:cs="AdvOT1ef757c0"/>
          <w:color w:val="000000"/>
          <w:sz w:val="21"/>
          <w:szCs w:val="21"/>
        </w:rPr>
      </w:pPr>
      <w:r>
        <w:rPr>
          <w:rFonts w:ascii="AdvOT1ef757c0" w:hAnsi="AdvOT1ef757c0" w:cs="AdvOT1ef757c0"/>
          <w:color w:val="000000"/>
          <w:sz w:val="21"/>
          <w:szCs w:val="21"/>
        </w:rPr>
        <w:t xml:space="preserve">Secondly, the paper seeks to conform to, and address the need for less generic literature on social care practice. Stevens, </w:t>
      </w:r>
      <w:proofErr w:type="spellStart"/>
      <w:r>
        <w:rPr>
          <w:rFonts w:ascii="AdvOT1ef757c0" w:hAnsi="AdvOT1ef757c0" w:cs="AdvOT1ef757c0"/>
          <w:color w:val="000000"/>
          <w:sz w:val="21"/>
          <w:szCs w:val="21"/>
        </w:rPr>
        <w:t>Liabo</w:t>
      </w:r>
      <w:proofErr w:type="spellEnd"/>
      <w:r>
        <w:rPr>
          <w:rFonts w:ascii="AdvOT1ef757c0" w:hAnsi="AdvOT1ef757c0" w:cs="AdvOT1ef757c0"/>
          <w:color w:val="000000"/>
          <w:sz w:val="21"/>
          <w:szCs w:val="21"/>
        </w:rPr>
        <w:t>, and Roberts (</w:t>
      </w:r>
      <w:r>
        <w:rPr>
          <w:rFonts w:ascii="AdvOT1ef757c0" w:hAnsi="AdvOT1ef757c0" w:cs="AdvOT1ef757c0"/>
          <w:color w:val="000085"/>
          <w:sz w:val="21"/>
          <w:szCs w:val="21"/>
        </w:rPr>
        <w:t>2007</w:t>
      </w:r>
      <w:r>
        <w:rPr>
          <w:rFonts w:ascii="AdvOT1ef757c0" w:hAnsi="AdvOT1ef757c0" w:cs="AdvOT1ef757c0"/>
          <w:color w:val="000000"/>
          <w:sz w:val="21"/>
          <w:szCs w:val="21"/>
        </w:rPr>
        <w:t>) articulate how di</w:t>
      </w:r>
      <w:r>
        <w:rPr>
          <w:rFonts w:ascii="AdvOT1ef757c0+fb" w:hAnsi="AdvOT1ef757c0+fb" w:cs="AdvOT1ef757c0+fb"/>
          <w:color w:val="000000"/>
          <w:sz w:val="21"/>
          <w:szCs w:val="21"/>
        </w:rPr>
        <w:t>ff</w:t>
      </w:r>
      <w:r>
        <w:rPr>
          <w:rFonts w:ascii="AdvOT1ef757c0" w:hAnsi="AdvOT1ef757c0" w:cs="AdvOT1ef757c0"/>
          <w:color w:val="000000"/>
          <w:sz w:val="21"/>
          <w:szCs w:val="21"/>
        </w:rPr>
        <w:t>erent countries construct di</w:t>
      </w:r>
      <w:r>
        <w:rPr>
          <w:rFonts w:ascii="AdvOT1ef757c0+fb" w:hAnsi="AdvOT1ef757c0+fb" w:cs="AdvOT1ef757c0+fb"/>
          <w:color w:val="000000"/>
          <w:sz w:val="21"/>
          <w:szCs w:val="21"/>
        </w:rPr>
        <w:t>ff</w:t>
      </w:r>
      <w:r>
        <w:rPr>
          <w:rFonts w:ascii="AdvOT1ef757c0" w:hAnsi="AdvOT1ef757c0" w:cs="AdvOT1ef757c0"/>
          <w:color w:val="000000"/>
          <w:sz w:val="21"/>
          <w:szCs w:val="21"/>
        </w:rPr>
        <w:t xml:space="preserve">erent knowledge and research needs for social care practitioners, linked to such features as variance in population socio-demographics. Added to this are altering knowledge requirements dependent upon which population group is practiced with (Stevens et al., </w:t>
      </w:r>
      <w:r>
        <w:rPr>
          <w:rFonts w:ascii="AdvOT1ef757c0" w:hAnsi="AdvOT1ef757c0" w:cs="AdvOT1ef757c0"/>
          <w:color w:val="000085"/>
          <w:sz w:val="21"/>
          <w:szCs w:val="21"/>
        </w:rPr>
        <w:t>2007</w:t>
      </w:r>
      <w:r>
        <w:rPr>
          <w:rFonts w:ascii="AdvOT1ef757c0" w:hAnsi="AdvOT1ef757c0" w:cs="AdvOT1ef757c0"/>
          <w:color w:val="000000"/>
          <w:sz w:val="21"/>
          <w:szCs w:val="21"/>
        </w:rPr>
        <w:t xml:space="preserve">). This paper focuses on social care work that is undertaken with children. The focus on children is chosen due to the </w:t>
      </w:r>
      <w:r>
        <w:rPr>
          <w:rFonts w:ascii="AdvOT1ef757c0+fb" w:hAnsi="AdvOT1ef757c0+fb" w:cs="AdvOT1ef757c0+fb"/>
          <w:color w:val="000000"/>
          <w:sz w:val="21"/>
          <w:szCs w:val="21"/>
        </w:rPr>
        <w:t>fi</w:t>
      </w:r>
      <w:r>
        <w:rPr>
          <w:rFonts w:ascii="AdvOT1ef757c0" w:hAnsi="AdvOT1ef757c0" w:cs="AdvOT1ef757c0"/>
          <w:color w:val="000000"/>
          <w:sz w:val="21"/>
          <w:szCs w:val="21"/>
        </w:rPr>
        <w:t>eld</w:t>
      </w:r>
      <w:r>
        <w:rPr>
          <w:rFonts w:ascii="AdvOT1ef757c0+20" w:hAnsi="AdvOT1ef757c0+20" w:cs="AdvOT1ef757c0+20"/>
          <w:color w:val="000000"/>
          <w:sz w:val="21"/>
          <w:szCs w:val="21"/>
        </w:rPr>
        <w:t>’</w:t>
      </w:r>
      <w:r>
        <w:rPr>
          <w:rFonts w:ascii="AdvOT1ef757c0" w:hAnsi="AdvOT1ef757c0" w:cs="AdvOT1ef757c0"/>
          <w:color w:val="000000"/>
          <w:sz w:val="21"/>
          <w:szCs w:val="21"/>
        </w:rPr>
        <w:t xml:space="preserve">s particularly developed policy and legislative context in Ireland that, in part, places an emphasis on the use of evidence (Department of Health and Children, </w:t>
      </w:r>
      <w:r>
        <w:rPr>
          <w:rFonts w:ascii="AdvOT1ef757c0" w:hAnsi="AdvOT1ef757c0" w:cs="AdvOT1ef757c0"/>
          <w:color w:val="000085"/>
          <w:sz w:val="21"/>
          <w:szCs w:val="21"/>
        </w:rPr>
        <w:t>2004</w:t>
      </w:r>
      <w:r>
        <w:rPr>
          <w:rFonts w:ascii="AdvOT1ef757c0" w:hAnsi="AdvOT1ef757c0" w:cs="AdvOT1ef757c0"/>
          <w:color w:val="000000"/>
          <w:sz w:val="21"/>
          <w:szCs w:val="21"/>
        </w:rPr>
        <w:t xml:space="preserve">; HIQA, </w:t>
      </w:r>
      <w:r>
        <w:rPr>
          <w:rFonts w:ascii="AdvOT1ef757c0" w:hAnsi="AdvOT1ef757c0" w:cs="AdvOT1ef757c0"/>
          <w:color w:val="000085"/>
          <w:sz w:val="21"/>
          <w:szCs w:val="21"/>
        </w:rPr>
        <w:t>2012</w:t>
      </w:r>
      <w:r>
        <w:rPr>
          <w:rFonts w:ascii="AdvOT1ef757c0" w:hAnsi="AdvOT1ef757c0" w:cs="AdvOT1ef757c0"/>
          <w:color w:val="000000"/>
          <w:sz w:val="21"/>
          <w:szCs w:val="21"/>
        </w:rPr>
        <w:t>). In adopting this focus, the intention is to provide a consistent population group throughout the paper in the instances where insights are related to practice settings. The purpose of this strategy is to prevent insights from being too broad in nature. Notwithstanding this, much of the focus of the paper will remain relevant to all forms of social care.</w:t>
      </w:r>
    </w:p>
    <w:p w:rsidR="001722E5" w:rsidRDefault="001722E5" w:rsidP="008D516E">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color w:val="000000"/>
          <w:sz w:val="21"/>
          <w:szCs w:val="21"/>
        </w:rPr>
        <w:tab/>
        <w:t>Considering further the greater speci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city required in social care practice literature, the Irish context also contains a multiplicity of job titles regarded to varying degrees as constituting social care practice (Hutchinson, </w:t>
      </w:r>
      <w:r>
        <w:rPr>
          <w:rFonts w:ascii="AdvOT1ef757c0" w:hAnsi="AdvOT1ef757c0" w:cs="AdvOT1ef757c0"/>
          <w:color w:val="000085"/>
          <w:sz w:val="21"/>
          <w:szCs w:val="21"/>
        </w:rPr>
        <w:t>2017</w:t>
      </w:r>
      <w:r>
        <w:rPr>
          <w:rFonts w:ascii="AdvOT1ef757c0" w:hAnsi="AdvOT1ef757c0" w:cs="AdvOT1ef757c0"/>
          <w:color w:val="000000"/>
          <w:sz w:val="21"/>
          <w:szCs w:val="21"/>
        </w:rPr>
        <w:t xml:space="preserve">; Power &amp; Darcy, </w:t>
      </w:r>
      <w:r>
        <w:rPr>
          <w:rFonts w:ascii="AdvOT1ef757c0" w:hAnsi="AdvOT1ef757c0" w:cs="AdvOT1ef757c0"/>
          <w:color w:val="000085"/>
          <w:sz w:val="21"/>
          <w:szCs w:val="21"/>
        </w:rPr>
        <w:t>2017</w:t>
      </w:r>
      <w:r>
        <w:rPr>
          <w:rFonts w:ascii="AdvOT1ef757c0" w:hAnsi="AdvOT1ef757c0" w:cs="AdvOT1ef757c0"/>
          <w:color w:val="000000"/>
          <w:sz w:val="21"/>
          <w:szCs w:val="21"/>
        </w:rPr>
        <w:t xml:space="preserve">; Williams &amp; </w:t>
      </w:r>
      <w:proofErr w:type="spellStart"/>
      <w:r>
        <w:rPr>
          <w:rFonts w:ascii="AdvOT1ef757c0" w:hAnsi="AdvOT1ef757c0" w:cs="AdvOT1ef757c0"/>
          <w:color w:val="000000"/>
          <w:sz w:val="21"/>
          <w:szCs w:val="21"/>
        </w:rPr>
        <w:t>Lalor</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2001</w:t>
      </w:r>
      <w:r>
        <w:rPr>
          <w:rFonts w:ascii="AdvOT1ef757c0" w:hAnsi="AdvOT1ef757c0" w:cs="AdvOT1ef757c0"/>
          <w:color w:val="000000"/>
          <w:sz w:val="21"/>
          <w:szCs w:val="21"/>
        </w:rPr>
        <w:t xml:space="preserve">). Among these job titles include, </w:t>
      </w:r>
      <w:r>
        <w:rPr>
          <w:rFonts w:ascii="AdvOT1ef757c0+20" w:hAnsi="AdvOT1ef757c0+20" w:cs="AdvOT1ef757c0+20"/>
          <w:color w:val="000000"/>
          <w:sz w:val="21"/>
          <w:szCs w:val="21"/>
        </w:rPr>
        <w:t>“</w:t>
      </w:r>
      <w:r>
        <w:rPr>
          <w:rFonts w:ascii="AdvOT1ef757c0" w:hAnsi="AdvOT1ef757c0" w:cs="AdvOT1ef757c0"/>
          <w:color w:val="000000"/>
          <w:sz w:val="21"/>
          <w:szCs w:val="21"/>
        </w:rPr>
        <w:t>project worker, outreach worker, aftercare worker, family support worker, support worker, care worker, night shift supervisor, locum worker</w:t>
      </w:r>
      <w:r>
        <w:rPr>
          <w:rFonts w:ascii="AdvOT1ef757c0+20" w:hAnsi="AdvOT1ef757c0+20" w:cs="AdvOT1ef757c0+20"/>
          <w:color w:val="000000"/>
          <w:sz w:val="21"/>
          <w:szCs w:val="21"/>
        </w:rPr>
        <w:t>”</w:t>
      </w:r>
      <w:r>
        <w:rPr>
          <w:rFonts w:ascii="AdvOT1ef757c0" w:hAnsi="AdvOT1ef757c0" w:cs="AdvOT1ef757c0"/>
          <w:color w:val="000000"/>
          <w:sz w:val="21"/>
          <w:szCs w:val="21"/>
        </w:rPr>
        <w:t xml:space="preserve"> and with regard to the speci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c focus on children in this paper, </w:t>
      </w:r>
      <w:r>
        <w:rPr>
          <w:rFonts w:ascii="AdvOT1ef757c0+20" w:hAnsi="AdvOT1ef757c0+20" w:cs="AdvOT1ef757c0+20"/>
          <w:color w:val="000000"/>
          <w:sz w:val="21"/>
          <w:szCs w:val="21"/>
        </w:rPr>
        <w:t>“</w:t>
      </w:r>
      <w:r>
        <w:rPr>
          <w:rFonts w:ascii="AdvOT1ef757c0" w:hAnsi="AdvOT1ef757c0" w:cs="AdvOT1ef757c0"/>
          <w:color w:val="000000"/>
          <w:sz w:val="21"/>
          <w:szCs w:val="21"/>
        </w:rPr>
        <w:t>community childcare worker</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 xml:space="preserve">(Byrne, </w:t>
      </w:r>
      <w:r>
        <w:rPr>
          <w:rFonts w:ascii="AdvOT1ef757c0" w:hAnsi="AdvOT1ef757c0" w:cs="AdvOT1ef757c0"/>
          <w:color w:val="000085"/>
          <w:sz w:val="21"/>
          <w:szCs w:val="21"/>
        </w:rPr>
        <w:t>2016</w:t>
      </w:r>
      <w:r>
        <w:rPr>
          <w:rFonts w:ascii="AdvOT1ef757c0" w:hAnsi="AdvOT1ef757c0" w:cs="AdvOT1ef757c0"/>
          <w:color w:val="000000"/>
          <w:sz w:val="21"/>
          <w:szCs w:val="21"/>
        </w:rPr>
        <w:t>, p. 14). This circumstance occurs in lieu of protection and re</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nement of the title which will be acquired through statutory registration (Byrne, </w:t>
      </w:r>
      <w:r>
        <w:rPr>
          <w:rFonts w:ascii="AdvOT1ef757c0" w:hAnsi="AdvOT1ef757c0" w:cs="AdvOT1ef757c0"/>
          <w:color w:val="000085"/>
          <w:sz w:val="21"/>
          <w:szCs w:val="21"/>
        </w:rPr>
        <w:t>2016</w:t>
      </w:r>
      <w:r>
        <w:rPr>
          <w:rFonts w:ascii="AdvOT1ef757c0" w:hAnsi="AdvOT1ef757c0" w:cs="AdvOT1ef757c0"/>
          <w:color w:val="000000"/>
          <w:sz w:val="21"/>
          <w:szCs w:val="21"/>
        </w:rPr>
        <w:t>). To compound matters, much of the literature on increased promotion of EBP and EIP appeals to the cognate but di</w:t>
      </w:r>
      <w:r>
        <w:rPr>
          <w:rFonts w:ascii="AdvOT1ef757c0+fb" w:hAnsi="AdvOT1ef757c0+fb" w:cs="AdvOT1ef757c0+fb"/>
          <w:color w:val="000000"/>
          <w:sz w:val="21"/>
          <w:szCs w:val="21"/>
        </w:rPr>
        <w:t>ff</w:t>
      </w:r>
      <w:r>
        <w:rPr>
          <w:rFonts w:ascii="AdvOT1ef757c0" w:hAnsi="AdvOT1ef757c0" w:cs="AdvOT1ef757c0"/>
          <w:color w:val="000000"/>
          <w:sz w:val="21"/>
          <w:szCs w:val="21"/>
        </w:rPr>
        <w:t xml:space="preserve">erent discipline of social work (Byrne, </w:t>
      </w:r>
      <w:r>
        <w:rPr>
          <w:rFonts w:ascii="AdvOT1ef757c0" w:hAnsi="AdvOT1ef757c0" w:cs="AdvOT1ef757c0"/>
          <w:color w:val="000085"/>
          <w:sz w:val="21"/>
          <w:szCs w:val="21"/>
        </w:rPr>
        <w:t>2016</w:t>
      </w:r>
      <w:r>
        <w:rPr>
          <w:rFonts w:ascii="AdvOT1ef757c0" w:hAnsi="AdvOT1ef757c0" w:cs="AdvOT1ef757c0"/>
          <w:color w:val="000000"/>
          <w:sz w:val="21"/>
          <w:szCs w:val="21"/>
        </w:rPr>
        <w:t xml:space="preserve">; Christ et al., </w:t>
      </w:r>
      <w:r>
        <w:rPr>
          <w:rFonts w:ascii="AdvOT1ef757c0" w:hAnsi="AdvOT1ef757c0" w:cs="AdvOT1ef757c0"/>
          <w:color w:val="000085"/>
          <w:sz w:val="21"/>
          <w:szCs w:val="21"/>
        </w:rPr>
        <w:t>2011</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Gambrill</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2007</w:t>
      </w:r>
      <w:r>
        <w:rPr>
          <w:rFonts w:ascii="AdvOT1ef757c0" w:hAnsi="AdvOT1ef757c0" w:cs="AdvOT1ef757c0"/>
          <w:color w:val="000000"/>
          <w:sz w:val="21"/>
          <w:szCs w:val="21"/>
        </w:rPr>
        <w:t xml:space="preserve">; Gibbs, </w:t>
      </w:r>
      <w:r>
        <w:rPr>
          <w:rFonts w:ascii="AdvOT1ef757c0" w:hAnsi="AdvOT1ef757c0" w:cs="AdvOT1ef757c0"/>
          <w:color w:val="000085"/>
          <w:sz w:val="21"/>
          <w:szCs w:val="21"/>
        </w:rPr>
        <w:t>2003</w:t>
      </w:r>
      <w:r>
        <w:rPr>
          <w:rFonts w:ascii="AdvOT1ef757c0" w:hAnsi="AdvOT1ef757c0" w:cs="AdvOT1ef757c0"/>
          <w:color w:val="000000"/>
          <w:sz w:val="21"/>
          <w:szCs w:val="21"/>
        </w:rPr>
        <w:t xml:space="preserve">; Gibbs &amp; </w:t>
      </w:r>
      <w:proofErr w:type="spellStart"/>
      <w:r>
        <w:rPr>
          <w:rFonts w:ascii="AdvOT1ef757c0" w:hAnsi="AdvOT1ef757c0" w:cs="AdvOT1ef757c0"/>
          <w:color w:val="000000"/>
          <w:sz w:val="21"/>
          <w:szCs w:val="21"/>
        </w:rPr>
        <w:t>Gambrill</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2002</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Gray</w:t>
      </w:r>
      <w:proofErr w:type="spellEnd"/>
      <w:r>
        <w:rPr>
          <w:rFonts w:ascii="AdvOT1ef757c0" w:hAnsi="AdvOT1ef757c0" w:cs="AdvOT1ef757c0"/>
          <w:color w:val="000000"/>
          <w:sz w:val="21"/>
          <w:szCs w:val="21"/>
        </w:rPr>
        <w:t xml:space="preserve">, Joy, Plath, &amp; Webb, </w:t>
      </w:r>
      <w:r>
        <w:rPr>
          <w:rFonts w:ascii="AdvOT1ef757c0" w:hAnsi="AdvOT1ef757c0" w:cs="AdvOT1ef757c0"/>
          <w:color w:val="000085"/>
          <w:sz w:val="21"/>
          <w:szCs w:val="21"/>
        </w:rPr>
        <w:t>2013</w:t>
      </w:r>
      <w:r>
        <w:rPr>
          <w:rFonts w:ascii="AdvOT1ef757c0" w:hAnsi="AdvOT1ef757c0" w:cs="AdvOT1ef757c0"/>
          <w:color w:val="000000"/>
          <w:sz w:val="21"/>
          <w:szCs w:val="21"/>
        </w:rPr>
        <w:t xml:space="preserve">). In part, the circumstance derives from a potentially more developed </w:t>
      </w:r>
      <w:proofErr w:type="spellStart"/>
      <w:r>
        <w:rPr>
          <w:rFonts w:ascii="AdvOT1ef757c0" w:hAnsi="AdvOT1ef757c0" w:cs="AdvOT1ef757c0"/>
          <w:color w:val="000000"/>
          <w:sz w:val="21"/>
          <w:szCs w:val="21"/>
        </w:rPr>
        <w:t>disciplinespeci</w:t>
      </w:r>
      <w:r>
        <w:rPr>
          <w:rFonts w:ascii="AdvOT1ef757c0+fb" w:hAnsi="AdvOT1ef757c0+fb" w:cs="AdvOT1ef757c0+fb"/>
          <w:color w:val="000000"/>
          <w:sz w:val="21"/>
          <w:szCs w:val="21"/>
        </w:rPr>
        <w:t>fi</w:t>
      </w:r>
      <w:r>
        <w:rPr>
          <w:rFonts w:ascii="AdvOT1ef757c0" w:hAnsi="AdvOT1ef757c0" w:cs="AdvOT1ef757c0"/>
          <w:color w:val="000000"/>
          <w:sz w:val="21"/>
          <w:szCs w:val="21"/>
        </w:rPr>
        <w:t>c</w:t>
      </w:r>
      <w:proofErr w:type="spellEnd"/>
      <w:r>
        <w:rPr>
          <w:rFonts w:ascii="AdvOT1ef757c0" w:hAnsi="AdvOT1ef757c0" w:cs="AdvOT1ef757c0"/>
          <w:color w:val="000000"/>
          <w:sz w:val="21"/>
          <w:szCs w:val="21"/>
        </w:rPr>
        <w:t xml:space="preserve"> knowledge base on EBP and EIP within social work. This is illustrated, for example, through the</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increased instance of subject-speci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c fora such as </w:t>
      </w:r>
      <w:r>
        <w:rPr>
          <w:rFonts w:ascii="AdvOT1ef757c0+20" w:hAnsi="AdvOT1ef757c0+20" w:cs="AdvOT1ef757c0+20"/>
          <w:color w:val="000000"/>
          <w:sz w:val="21"/>
          <w:szCs w:val="21"/>
        </w:rPr>
        <w:t>“</w:t>
      </w:r>
      <w:r>
        <w:rPr>
          <w:rFonts w:ascii="AdvOT1ef757c0" w:hAnsi="AdvOT1ef757c0" w:cs="AdvOT1ef757c0"/>
          <w:color w:val="000000"/>
          <w:sz w:val="21"/>
          <w:szCs w:val="21"/>
        </w:rPr>
        <w:t>Journal of Evidenced</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Based Social Work,</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that fall</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within specialist evidence-based journals emergent</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in health and social care since the 1990s (Moule</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&amp; </w:t>
      </w:r>
      <w:proofErr w:type="spellStart"/>
      <w:r>
        <w:rPr>
          <w:rFonts w:ascii="AdvOT1ef757c0" w:hAnsi="AdvOT1ef757c0" w:cs="AdvOT1ef757c0"/>
          <w:color w:val="000000"/>
          <w:sz w:val="21"/>
          <w:szCs w:val="21"/>
        </w:rPr>
        <w:t>Hek</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Despite commonalities,</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there is however a greater distinction between social work</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and social care as occupations</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in Ireland who work with children amongst other population groups</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w:t>
      </w:r>
      <w:proofErr w:type="spellStart"/>
      <w:r>
        <w:rPr>
          <w:rFonts w:ascii="AdvOT1ef757c0" w:hAnsi="AdvOT1ef757c0" w:cs="AdvOT1ef757c0"/>
          <w:color w:val="000000"/>
          <w:sz w:val="21"/>
          <w:szCs w:val="21"/>
        </w:rPr>
        <w:t>Lalor</w:t>
      </w:r>
      <w:proofErr w:type="spellEnd"/>
      <w:r>
        <w:rPr>
          <w:rFonts w:ascii="AdvOT1ef757c0" w:hAnsi="AdvOT1ef757c0" w:cs="AdvOT1ef757c0"/>
          <w:color w:val="000000"/>
          <w:sz w:val="21"/>
          <w:szCs w:val="21"/>
        </w:rPr>
        <w:t xml:space="preserve"> &amp; Share,</w:t>
      </w:r>
      <w:r w:rsidR="008D516E">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O</w:t>
      </w:r>
      <w:r>
        <w:rPr>
          <w:rFonts w:ascii="AdvOT1ef757c0+20" w:hAnsi="AdvOT1ef757c0+20" w:cs="AdvOT1ef757c0+20"/>
          <w:color w:val="000000"/>
          <w:sz w:val="21"/>
          <w:szCs w:val="21"/>
        </w:rPr>
        <w:t>’</w:t>
      </w:r>
      <w:r>
        <w:rPr>
          <w:rFonts w:ascii="AdvOT1ef757c0" w:hAnsi="AdvOT1ef757c0" w:cs="AdvOT1ef757c0"/>
          <w:color w:val="000000"/>
          <w:sz w:val="21"/>
          <w:szCs w:val="21"/>
        </w:rPr>
        <w:t xml:space="preserve">Connor &amp; Murphy, </w:t>
      </w:r>
      <w:r>
        <w:rPr>
          <w:rFonts w:ascii="AdvOT1ef757c0" w:hAnsi="AdvOT1ef757c0" w:cs="AdvOT1ef757c0"/>
          <w:color w:val="000085"/>
          <w:sz w:val="21"/>
          <w:szCs w:val="21"/>
        </w:rPr>
        <w:t>2006</w:t>
      </w:r>
      <w:r>
        <w:rPr>
          <w:rFonts w:ascii="AdvOT1ef757c0" w:hAnsi="AdvOT1ef757c0" w:cs="AdvOT1ef757c0"/>
          <w:color w:val="000000"/>
          <w:sz w:val="21"/>
          <w:szCs w:val="21"/>
        </w:rPr>
        <w:t>). Such distinction can lead to</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misconceptions when</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literature</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is covertly and prevalently applied from social work to social care (see </w:t>
      </w:r>
      <w:proofErr w:type="spellStart"/>
      <w:r>
        <w:rPr>
          <w:rFonts w:ascii="AdvOT1ef757c0" w:hAnsi="AdvOT1ef757c0" w:cs="AdvOT1ef757c0"/>
          <w:color w:val="000000"/>
          <w:sz w:val="21"/>
          <w:szCs w:val="21"/>
        </w:rPr>
        <w:t>Mosson</w:t>
      </w:r>
      <w:proofErr w:type="spellEnd"/>
      <w:r>
        <w:rPr>
          <w:rFonts w:ascii="AdvOT1ef757c0" w:hAnsi="AdvOT1ef757c0" w:cs="AdvOT1ef757c0"/>
          <w:color w:val="000000"/>
          <w:sz w:val="21"/>
          <w:szCs w:val="21"/>
        </w:rPr>
        <w:t>, Hasson,</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Wallen, &amp; Von Thiele Schwarz, </w:t>
      </w:r>
      <w:r>
        <w:rPr>
          <w:rFonts w:ascii="AdvOT1ef757c0" w:hAnsi="AdvOT1ef757c0" w:cs="AdvOT1ef757c0"/>
          <w:color w:val="000085"/>
          <w:sz w:val="21"/>
          <w:szCs w:val="21"/>
        </w:rPr>
        <w:t>2017</w:t>
      </w:r>
      <w:r>
        <w:rPr>
          <w:rFonts w:ascii="AdvOT1ef757c0" w:hAnsi="AdvOT1ef757c0" w:cs="AdvOT1ef757c0"/>
          <w:color w:val="000000"/>
          <w:sz w:val="21"/>
          <w:szCs w:val="21"/>
        </w:rPr>
        <w:t>). Taking account of this and the overall lack of clarity</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characterising the </w:t>
      </w:r>
      <w:r>
        <w:rPr>
          <w:rFonts w:ascii="AdvOT1ef757c0+fb" w:hAnsi="AdvOT1ef757c0+fb" w:cs="AdvOT1ef757c0+fb"/>
          <w:color w:val="000000"/>
          <w:sz w:val="21"/>
          <w:szCs w:val="21"/>
        </w:rPr>
        <w:t>fi</w:t>
      </w:r>
      <w:r>
        <w:rPr>
          <w:rFonts w:ascii="AdvOT1ef757c0" w:hAnsi="AdvOT1ef757c0" w:cs="AdvOT1ef757c0"/>
          <w:color w:val="000000"/>
          <w:sz w:val="21"/>
          <w:szCs w:val="21"/>
        </w:rPr>
        <w:t>eld, this paper seeks to re</w:t>
      </w:r>
      <w:r>
        <w:rPr>
          <w:rFonts w:ascii="AdvOT1ef757c0+fb" w:hAnsi="AdvOT1ef757c0+fb" w:cs="AdvOT1ef757c0+fb"/>
          <w:color w:val="000000"/>
          <w:sz w:val="21"/>
          <w:szCs w:val="21"/>
        </w:rPr>
        <w:t>fi</w:t>
      </w:r>
      <w:r>
        <w:rPr>
          <w:rFonts w:ascii="AdvOT1ef757c0" w:hAnsi="AdvOT1ef757c0" w:cs="AdvOT1ef757c0"/>
          <w:color w:val="000000"/>
          <w:sz w:val="21"/>
          <w:szCs w:val="21"/>
        </w:rPr>
        <w:t>ne the subject matter of professionalisation</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and EIP to</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the speci</w:t>
      </w:r>
      <w:r>
        <w:rPr>
          <w:rFonts w:ascii="AdvOT1ef757c0+fb" w:hAnsi="AdvOT1ef757c0+fb" w:cs="AdvOT1ef757c0+fb"/>
          <w:color w:val="000000"/>
          <w:sz w:val="21"/>
          <w:szCs w:val="21"/>
        </w:rPr>
        <w:t>fi</w:t>
      </w:r>
      <w:r>
        <w:rPr>
          <w:rFonts w:ascii="AdvOT1ef757c0" w:hAnsi="AdvOT1ef757c0" w:cs="AdvOT1ef757c0"/>
          <w:color w:val="000000"/>
          <w:sz w:val="21"/>
          <w:szCs w:val="21"/>
        </w:rPr>
        <w:t>c case of social care practitioners who work with children in</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Ireland. In doing so it also</w:t>
      </w:r>
      <w:r w:rsidR="008D516E">
        <w:rPr>
          <w:rFonts w:ascii="AdvOT1ef757c0" w:hAnsi="AdvOT1ef757c0" w:cs="AdvOT1ef757c0"/>
          <w:color w:val="000000"/>
          <w:sz w:val="21"/>
          <w:szCs w:val="21"/>
        </w:rPr>
        <w:t xml:space="preserve"> </w:t>
      </w:r>
      <w:r>
        <w:rPr>
          <w:rFonts w:ascii="AdvOT1ef757c0" w:hAnsi="AdvOT1ef757c0" w:cs="AdvOT1ef757c0"/>
          <w:color w:val="000000"/>
          <w:sz w:val="21"/>
          <w:szCs w:val="21"/>
        </w:rPr>
        <w:t>makes a unique contribution to present knowledge on this matter.</w:t>
      </w:r>
    </w:p>
    <w:p w:rsidR="001722E5" w:rsidRDefault="001722E5" w:rsidP="00EC3FA1">
      <w:pPr>
        <w:autoSpaceDE w:val="0"/>
        <w:autoSpaceDN w:val="0"/>
        <w:adjustRightInd w:val="0"/>
        <w:spacing w:after="0" w:line="240" w:lineRule="auto"/>
        <w:ind w:firstLine="720"/>
        <w:jc w:val="both"/>
        <w:rPr>
          <w:rFonts w:ascii="AdvOT1ef757c0" w:hAnsi="AdvOT1ef757c0" w:cs="AdvOT1ef757c0"/>
          <w:color w:val="000000"/>
          <w:sz w:val="21"/>
          <w:szCs w:val="21"/>
        </w:rPr>
      </w:pPr>
      <w:r>
        <w:rPr>
          <w:rFonts w:ascii="AdvOT1ef757c0" w:hAnsi="AdvOT1ef757c0" w:cs="AdvOT1ef757c0"/>
          <w:color w:val="000000"/>
          <w:sz w:val="21"/>
          <w:szCs w:val="21"/>
        </w:rPr>
        <w:t>Finally, existing literature indicates that there are serious and speci</w:t>
      </w:r>
      <w:r>
        <w:rPr>
          <w:rFonts w:ascii="AdvOT1ef757c0+fb" w:hAnsi="AdvOT1ef757c0+fb" w:cs="AdvOT1ef757c0+fb"/>
          <w:color w:val="000000"/>
          <w:sz w:val="21"/>
          <w:szCs w:val="21"/>
        </w:rPr>
        <w:t>fi</w:t>
      </w:r>
      <w:r>
        <w:rPr>
          <w:rFonts w:ascii="AdvOT1ef757c0" w:hAnsi="AdvOT1ef757c0" w:cs="AdvOT1ef757c0"/>
          <w:color w:val="000000"/>
          <w:sz w:val="21"/>
          <w:szCs w:val="21"/>
        </w:rPr>
        <w:t>c challenges per</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pertaining to professionalisation and EIP for social care practitioners to overcome in their</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work with</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lastRenderedPageBreak/>
        <w:t>children. For example, inadequate training and education; practitioner awareness;</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fear and</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resistance; ambiguity about job roles and practitioner numbers; and related</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considerations such as</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the impact upon children and service users, public con</w:t>
      </w:r>
      <w:r>
        <w:rPr>
          <w:rFonts w:ascii="AdvOT1ef757c0+fb" w:hAnsi="AdvOT1ef757c0+fb" w:cs="AdvOT1ef757c0+fb"/>
          <w:color w:val="000000"/>
          <w:sz w:val="21"/>
          <w:szCs w:val="21"/>
        </w:rPr>
        <w:t>fi</w:t>
      </w:r>
      <w:r>
        <w:rPr>
          <w:rFonts w:ascii="AdvOT1ef757c0" w:hAnsi="AdvOT1ef757c0" w:cs="AdvOT1ef757c0"/>
          <w:color w:val="000000"/>
          <w:sz w:val="21"/>
          <w:szCs w:val="21"/>
        </w:rPr>
        <w:t>dence and</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sta</w:t>
      </w:r>
      <w:r>
        <w:rPr>
          <w:rFonts w:ascii="AdvOT1ef757c0+fb" w:hAnsi="AdvOT1ef757c0+fb" w:cs="AdvOT1ef757c0+fb"/>
          <w:color w:val="000000"/>
          <w:sz w:val="21"/>
          <w:szCs w:val="21"/>
        </w:rPr>
        <w:t xml:space="preserve">ff </w:t>
      </w:r>
      <w:r>
        <w:rPr>
          <w:rFonts w:ascii="AdvOT1ef757c0" w:hAnsi="AdvOT1ef757c0" w:cs="AdvOT1ef757c0"/>
          <w:color w:val="000000"/>
          <w:sz w:val="21"/>
          <w:szCs w:val="21"/>
        </w:rPr>
        <w:t xml:space="preserve">morale (Finnerty, </w:t>
      </w:r>
      <w:r>
        <w:rPr>
          <w:rFonts w:ascii="AdvOT1ef757c0" w:hAnsi="AdvOT1ef757c0" w:cs="AdvOT1ef757c0"/>
          <w:color w:val="000085"/>
          <w:sz w:val="21"/>
          <w:szCs w:val="21"/>
        </w:rPr>
        <w:t>2012</w:t>
      </w:r>
      <w:r>
        <w:rPr>
          <w:rFonts w:ascii="AdvOT1ef757c0" w:hAnsi="AdvOT1ef757c0" w:cs="AdvOT1ef757c0"/>
          <w:color w:val="000000"/>
          <w:sz w:val="21"/>
          <w:szCs w:val="21"/>
        </w:rPr>
        <w:t>; Power</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&amp; Darcy, </w:t>
      </w:r>
      <w:r>
        <w:rPr>
          <w:rFonts w:ascii="AdvOT1ef757c0" w:hAnsi="AdvOT1ef757c0" w:cs="AdvOT1ef757c0"/>
          <w:color w:val="000085"/>
          <w:sz w:val="21"/>
          <w:szCs w:val="21"/>
        </w:rPr>
        <w:t>2017</w:t>
      </w:r>
      <w:r>
        <w:rPr>
          <w:rFonts w:ascii="AdvOT1ef757c0" w:hAnsi="AdvOT1ef757c0" w:cs="AdvOT1ef757c0"/>
          <w:color w:val="000000"/>
          <w:sz w:val="21"/>
          <w:szCs w:val="21"/>
        </w:rPr>
        <w:t xml:space="preserve">; Williams &amp; </w:t>
      </w:r>
      <w:proofErr w:type="spellStart"/>
      <w:r>
        <w:rPr>
          <w:rFonts w:ascii="AdvOT1ef757c0" w:hAnsi="AdvOT1ef757c0" w:cs="AdvOT1ef757c0"/>
          <w:color w:val="000000"/>
          <w:sz w:val="21"/>
          <w:szCs w:val="21"/>
        </w:rPr>
        <w:t>Lalor</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2001</w:t>
      </w:r>
      <w:r>
        <w:rPr>
          <w:rFonts w:ascii="AdvOT1ef757c0" w:hAnsi="AdvOT1ef757c0" w:cs="AdvOT1ef757c0"/>
          <w:color w:val="000000"/>
          <w:sz w:val="21"/>
          <w:szCs w:val="21"/>
        </w:rPr>
        <w:t>). In this</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context, it is arguably conclusive that there are</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challenges and major changes afoot</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(Byrne, </w:t>
      </w:r>
      <w:r>
        <w:rPr>
          <w:rFonts w:ascii="AdvOT1ef757c0" w:hAnsi="AdvOT1ef757c0" w:cs="AdvOT1ef757c0"/>
          <w:color w:val="000085"/>
          <w:sz w:val="21"/>
          <w:szCs w:val="21"/>
        </w:rPr>
        <w:t>2016</w:t>
      </w:r>
      <w:r>
        <w:rPr>
          <w:rFonts w:ascii="AdvOT1ef757c0" w:hAnsi="AdvOT1ef757c0" w:cs="AdvOT1ef757c0"/>
          <w:color w:val="000000"/>
          <w:sz w:val="21"/>
          <w:szCs w:val="21"/>
        </w:rPr>
        <w:t xml:space="preserve">; Finnerty, </w:t>
      </w:r>
      <w:r>
        <w:rPr>
          <w:rFonts w:ascii="AdvOT1ef757c0" w:hAnsi="AdvOT1ef757c0" w:cs="AdvOT1ef757c0"/>
          <w:color w:val="000085"/>
          <w:sz w:val="21"/>
          <w:szCs w:val="21"/>
        </w:rPr>
        <w:t>2012</w:t>
      </w:r>
      <w:r>
        <w:rPr>
          <w:rFonts w:ascii="AdvOT1ef757c0" w:hAnsi="AdvOT1ef757c0" w:cs="AdvOT1ef757c0"/>
          <w:color w:val="000000"/>
          <w:sz w:val="21"/>
          <w:szCs w:val="21"/>
        </w:rPr>
        <w:t xml:space="preserve">; McSweeney et al., </w:t>
      </w:r>
      <w:r>
        <w:rPr>
          <w:rFonts w:ascii="AdvOT1ef757c0" w:hAnsi="AdvOT1ef757c0" w:cs="AdvOT1ef757c0"/>
          <w:color w:val="000085"/>
          <w:sz w:val="21"/>
          <w:szCs w:val="21"/>
        </w:rPr>
        <w:t>2016</w:t>
      </w:r>
      <w:r>
        <w:rPr>
          <w:rFonts w:ascii="AdvOT1ef757c0" w:hAnsi="AdvOT1ef757c0" w:cs="AdvOT1ef757c0"/>
          <w:color w:val="000000"/>
          <w:sz w:val="21"/>
          <w:szCs w:val="21"/>
        </w:rPr>
        <w:t>; Power &amp;</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Darcy, </w:t>
      </w:r>
      <w:r>
        <w:rPr>
          <w:rFonts w:ascii="AdvOT1ef757c0" w:hAnsi="AdvOT1ef757c0" w:cs="AdvOT1ef757c0"/>
          <w:color w:val="000085"/>
          <w:sz w:val="21"/>
          <w:szCs w:val="21"/>
        </w:rPr>
        <w:t>2017</w:t>
      </w:r>
      <w:r>
        <w:rPr>
          <w:rFonts w:ascii="AdvOT1ef757c0" w:hAnsi="AdvOT1ef757c0" w:cs="AdvOT1ef757c0"/>
          <w:color w:val="000000"/>
          <w:sz w:val="21"/>
          <w:szCs w:val="21"/>
        </w:rPr>
        <w:t>). Therefore,</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I propose that an up-to-date synopsis of literature followed by the critical</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application of</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a social constructionist lens may assist practitioners to think through this major</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transition</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period. Here the central and sustaining argument, alluded to earlier, is that social care</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practitioners will be increasingly expected to work in more evidence-informed ways</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and that this will</w:t>
      </w:r>
      <w:r w:rsidR="00EC3FA1">
        <w:rPr>
          <w:rFonts w:ascii="AdvOT1ef757c0" w:hAnsi="AdvOT1ef757c0" w:cs="AdvOT1ef757c0"/>
          <w:color w:val="000000"/>
          <w:sz w:val="21"/>
          <w:szCs w:val="21"/>
        </w:rPr>
        <w:t xml:space="preserve"> </w:t>
      </w:r>
      <w:r>
        <w:rPr>
          <w:rFonts w:ascii="AdvOT1ef757c0" w:hAnsi="AdvOT1ef757c0" w:cs="AdvOT1ef757c0"/>
          <w:color w:val="000000"/>
          <w:sz w:val="21"/>
          <w:szCs w:val="21"/>
        </w:rPr>
        <w:t>be related to, rather than distinct from, processes of professionalisation.</w:t>
      </w:r>
    </w:p>
    <w:p w:rsidR="00974872" w:rsidRDefault="00974872" w:rsidP="00974872">
      <w:pPr>
        <w:autoSpaceDE w:val="0"/>
        <w:autoSpaceDN w:val="0"/>
        <w:adjustRightInd w:val="0"/>
        <w:spacing w:after="0" w:line="240" w:lineRule="auto"/>
        <w:jc w:val="both"/>
        <w:rPr>
          <w:rFonts w:ascii="AdvOT1ef757c0" w:hAnsi="AdvOT1ef757c0" w:cs="AdvOT1ef757c0"/>
          <w:color w:val="000000"/>
          <w:sz w:val="21"/>
          <w:szCs w:val="21"/>
        </w:rPr>
      </w:pPr>
    </w:p>
    <w:p w:rsidR="00974872" w:rsidRPr="00974872" w:rsidRDefault="00974872" w:rsidP="00974872">
      <w:pPr>
        <w:autoSpaceDE w:val="0"/>
        <w:autoSpaceDN w:val="0"/>
        <w:adjustRightInd w:val="0"/>
        <w:spacing w:after="0" w:line="240" w:lineRule="auto"/>
        <w:jc w:val="both"/>
        <w:rPr>
          <w:rFonts w:ascii="AdvOT1ef757c0" w:hAnsi="AdvOT1ef757c0" w:cs="AdvOT1ef757c0"/>
          <w:color w:val="000000"/>
          <w:sz w:val="28"/>
          <w:szCs w:val="28"/>
        </w:rPr>
      </w:pPr>
      <w:r w:rsidRPr="00974872">
        <w:rPr>
          <w:rFonts w:ascii="AdvOT1ef757c0" w:hAnsi="AdvOT1ef757c0" w:cs="AdvOT1ef757c0"/>
          <w:color w:val="000000"/>
          <w:sz w:val="28"/>
          <w:szCs w:val="28"/>
        </w:rPr>
        <w:t>Review of EIP as an aspect of professionalisation for social care in Ireland</w:t>
      </w:r>
    </w:p>
    <w:p w:rsidR="00974872" w:rsidRDefault="00974872" w:rsidP="00974872">
      <w:pPr>
        <w:autoSpaceDE w:val="0"/>
        <w:autoSpaceDN w:val="0"/>
        <w:adjustRightInd w:val="0"/>
        <w:spacing w:after="0" w:line="240" w:lineRule="auto"/>
        <w:jc w:val="both"/>
        <w:rPr>
          <w:rFonts w:ascii="AdvOTd0125be5.BI" w:hAnsi="AdvOTd0125be5.BI" w:cs="AdvOTd0125be5.BI"/>
          <w:i/>
          <w:sz w:val="21"/>
          <w:szCs w:val="21"/>
        </w:rPr>
      </w:pPr>
      <w:r w:rsidRPr="00974872">
        <w:rPr>
          <w:rFonts w:ascii="AdvOTd0125be5.BI" w:hAnsi="AdvOTd0125be5.BI" w:cs="AdvOTd0125be5.BI"/>
          <w:i/>
          <w:sz w:val="21"/>
          <w:szCs w:val="21"/>
        </w:rPr>
        <w:t>Evidence-informed practice versus evidence-based practice</w:t>
      </w:r>
    </w:p>
    <w:p w:rsidR="00974872" w:rsidRDefault="00974872" w:rsidP="00974872">
      <w:pPr>
        <w:autoSpaceDE w:val="0"/>
        <w:autoSpaceDN w:val="0"/>
        <w:adjustRightInd w:val="0"/>
        <w:spacing w:after="0" w:line="240" w:lineRule="auto"/>
        <w:jc w:val="both"/>
        <w:rPr>
          <w:rFonts w:ascii="AdvOTd0125be5.BI" w:hAnsi="AdvOTd0125be5.BI" w:cs="AdvOTd0125be5.BI"/>
          <w:i/>
          <w:sz w:val="21"/>
          <w:szCs w:val="21"/>
        </w:rPr>
      </w:pPr>
    </w:p>
    <w:p w:rsidR="00BD533B" w:rsidRDefault="00974872" w:rsidP="00852996">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color w:val="000000"/>
          <w:sz w:val="21"/>
          <w:szCs w:val="21"/>
        </w:rPr>
        <w:t xml:space="preserve">As a starting point, </w:t>
      </w:r>
      <w:r>
        <w:rPr>
          <w:rFonts w:ascii="AdvOT1ef757c0+20" w:hAnsi="AdvOT1ef757c0+20" w:cs="AdvOT1ef757c0+20"/>
          <w:color w:val="000000"/>
          <w:sz w:val="21"/>
          <w:szCs w:val="21"/>
        </w:rPr>
        <w:t>“</w:t>
      </w:r>
      <w:r>
        <w:rPr>
          <w:rFonts w:ascii="AdvOT1ef757c0" w:hAnsi="AdvOT1ef757c0" w:cs="AdvOT1ef757c0"/>
          <w:color w:val="000000"/>
          <w:sz w:val="21"/>
          <w:szCs w:val="21"/>
        </w:rPr>
        <w:t>evidence</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may be de</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ned as </w:t>
      </w:r>
      <w:r>
        <w:rPr>
          <w:rFonts w:ascii="AdvOT1ef757c0+20" w:hAnsi="AdvOT1ef757c0+20" w:cs="AdvOT1ef757c0+20"/>
          <w:color w:val="000000"/>
          <w:sz w:val="21"/>
          <w:szCs w:val="21"/>
        </w:rPr>
        <w:t>“</w:t>
      </w:r>
      <w:r>
        <w:rPr>
          <w:rFonts w:ascii="AdvOT1ef757c0" w:hAnsi="AdvOT1ef757c0" w:cs="AdvOT1ef757c0"/>
          <w:color w:val="000000"/>
          <w:sz w:val="21"/>
          <w:szCs w:val="21"/>
        </w:rPr>
        <w:t>an argument or assertion backed by information</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w:t>
      </w:r>
      <w:proofErr w:type="spellStart"/>
      <w:r>
        <w:rPr>
          <w:rFonts w:ascii="AdvOT1ef757c0" w:hAnsi="AdvOT1ef757c0" w:cs="AdvOT1ef757c0"/>
          <w:color w:val="000000"/>
          <w:sz w:val="21"/>
          <w:szCs w:val="21"/>
        </w:rPr>
        <w:t>Cairney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2016</w:t>
      </w:r>
      <w:r>
        <w:rPr>
          <w:rFonts w:ascii="AdvOT1ef757c0" w:hAnsi="AdvOT1ef757c0" w:cs="AdvOT1ef757c0"/>
          <w:color w:val="000000"/>
          <w:sz w:val="21"/>
          <w:szCs w:val="21"/>
        </w:rPr>
        <w:t>, p. 3). From here, the de</w:t>
      </w:r>
      <w:r>
        <w:rPr>
          <w:rFonts w:ascii="AdvOT1ef757c0+fb" w:hAnsi="AdvOT1ef757c0+fb" w:cs="AdvOT1ef757c0+fb"/>
          <w:color w:val="000000"/>
          <w:sz w:val="21"/>
          <w:szCs w:val="21"/>
        </w:rPr>
        <w:t>fi</w:t>
      </w:r>
      <w:r>
        <w:rPr>
          <w:rFonts w:ascii="AdvOT1ef757c0" w:hAnsi="AdvOT1ef757c0" w:cs="AdvOT1ef757c0"/>
          <w:color w:val="000000"/>
          <w:sz w:val="21"/>
          <w:szCs w:val="21"/>
        </w:rPr>
        <w:t>nition of the concept of EBP, according to Aveyard and Sharp (</w:t>
      </w:r>
      <w:r>
        <w:rPr>
          <w:rFonts w:ascii="AdvOT1ef757c0" w:hAnsi="AdvOT1ef757c0" w:cs="AdvOT1ef757c0"/>
          <w:color w:val="000085"/>
          <w:sz w:val="21"/>
          <w:szCs w:val="21"/>
        </w:rPr>
        <w:t>2009</w:t>
      </w:r>
      <w:r>
        <w:rPr>
          <w:rFonts w:ascii="AdvOT1ef757c0" w:hAnsi="AdvOT1ef757c0" w:cs="AdvOT1ef757c0"/>
          <w:color w:val="000000"/>
          <w:sz w:val="21"/>
          <w:szCs w:val="21"/>
        </w:rPr>
        <w:t xml:space="preserve">, p. 4), is </w:t>
      </w:r>
      <w:r>
        <w:rPr>
          <w:rFonts w:ascii="AdvOT1ef757c0+20" w:hAnsi="AdvOT1ef757c0+20" w:cs="AdvOT1ef757c0+20"/>
          <w:color w:val="000000"/>
          <w:sz w:val="21"/>
          <w:szCs w:val="21"/>
        </w:rPr>
        <w:t>“</w:t>
      </w:r>
      <w:r>
        <w:rPr>
          <w:rFonts w:ascii="AdvOT1ef757c0" w:hAnsi="AdvOT1ef757c0" w:cs="AdvOT1ef757c0"/>
          <w:color w:val="000000"/>
          <w:sz w:val="21"/>
          <w:szCs w:val="21"/>
        </w:rPr>
        <w:t>practice that is supported by a clear, up-to-date rationale, taking into account the patient/client</w:t>
      </w:r>
      <w:r>
        <w:rPr>
          <w:rFonts w:ascii="AdvOT1ef757c0+20" w:hAnsi="AdvOT1ef757c0+20" w:cs="AdvOT1ef757c0+20"/>
          <w:color w:val="000000"/>
          <w:sz w:val="21"/>
          <w:szCs w:val="21"/>
        </w:rPr>
        <w:t>’</w:t>
      </w:r>
      <w:r>
        <w:rPr>
          <w:rFonts w:ascii="AdvOT1ef757c0" w:hAnsi="AdvOT1ef757c0" w:cs="AdvOT1ef757c0"/>
          <w:color w:val="000000"/>
          <w:sz w:val="21"/>
          <w:szCs w:val="21"/>
        </w:rPr>
        <w:t>s preferences and using your own judgement</w:t>
      </w:r>
      <w:r>
        <w:rPr>
          <w:rFonts w:ascii="AdvOT1ef757c0+20" w:hAnsi="AdvOT1ef757c0+20" w:cs="AdvOT1ef757c0+20"/>
          <w:color w:val="000000"/>
          <w:sz w:val="21"/>
          <w:szCs w:val="21"/>
        </w:rPr>
        <w:t>”</w:t>
      </w:r>
      <w:r>
        <w:rPr>
          <w:rFonts w:ascii="AdvOT1ef757c0" w:hAnsi="AdvOT1ef757c0" w:cs="AdvOT1ef757c0"/>
          <w:color w:val="000000"/>
          <w:sz w:val="21"/>
          <w:szCs w:val="21"/>
        </w:rPr>
        <w:t xml:space="preserve">. Originally, both EBP and EIP were drawn from medicine into social professions (Austin &amp; Claassen, </w:t>
      </w:r>
      <w:r>
        <w:rPr>
          <w:rFonts w:ascii="AdvOT1ef757c0" w:hAnsi="AdvOT1ef757c0" w:cs="AdvOT1ef757c0"/>
          <w:color w:val="000085"/>
          <w:sz w:val="21"/>
          <w:szCs w:val="21"/>
        </w:rPr>
        <w:t>2008</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xml:space="preserve">; Gibbs &amp; </w:t>
      </w:r>
      <w:proofErr w:type="spellStart"/>
      <w:r>
        <w:rPr>
          <w:rFonts w:ascii="AdvOT1ef757c0" w:hAnsi="AdvOT1ef757c0" w:cs="AdvOT1ef757c0"/>
          <w:color w:val="000000"/>
          <w:sz w:val="21"/>
          <w:szCs w:val="21"/>
        </w:rPr>
        <w:t>Gambrill</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2002</w:t>
      </w:r>
      <w:r>
        <w:rPr>
          <w:rFonts w:ascii="AdvOT1ef757c0" w:hAnsi="AdvOT1ef757c0" w:cs="AdvOT1ef757c0"/>
          <w:color w:val="000000"/>
          <w:sz w:val="21"/>
          <w:szCs w:val="21"/>
        </w:rPr>
        <w:t xml:space="preserve">; Mullen, Bledsoe, &amp; Bellamy, </w:t>
      </w:r>
      <w:r>
        <w:rPr>
          <w:rFonts w:ascii="AdvOT1ef757c0" w:hAnsi="AdvOT1ef757c0" w:cs="AdvOT1ef757c0"/>
          <w:color w:val="000085"/>
          <w:sz w:val="21"/>
          <w:szCs w:val="21"/>
        </w:rPr>
        <w:t>2008</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&amp; Slonim-</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In this context, both concepts were often de</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ned through inheritance as, </w:t>
      </w:r>
      <w:r>
        <w:rPr>
          <w:rFonts w:ascii="AdvOT1ef757c0+20" w:hAnsi="AdvOT1ef757c0+20" w:cs="AdvOT1ef757c0+20"/>
          <w:color w:val="000000"/>
          <w:sz w:val="21"/>
          <w:szCs w:val="21"/>
        </w:rPr>
        <w:t>“</w:t>
      </w:r>
      <w:r>
        <w:rPr>
          <w:rFonts w:ascii="AdvOT1ef757c0" w:hAnsi="AdvOT1ef757c0" w:cs="AdvOT1ef757c0"/>
          <w:color w:val="000000"/>
          <w:sz w:val="21"/>
          <w:szCs w:val="21"/>
        </w:rPr>
        <w:t>the conscientious, explicit, and judicious use of current best evidence in making decisions about the care of</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 xml:space="preserve">patients, and later within social care, children and service users (Sackett, Rosenberg, </w:t>
      </w:r>
      <w:proofErr w:type="spellStart"/>
      <w:r>
        <w:rPr>
          <w:rFonts w:ascii="AdvOT1ef757c0" w:hAnsi="AdvOT1ef757c0" w:cs="AdvOT1ef757c0"/>
          <w:color w:val="000000"/>
          <w:sz w:val="21"/>
          <w:szCs w:val="21"/>
        </w:rPr>
        <w:t>Gray</w:t>
      </w:r>
      <w:proofErr w:type="spellEnd"/>
      <w:r>
        <w:rPr>
          <w:rFonts w:ascii="AdvOT1ef757c0" w:hAnsi="AdvOT1ef757c0" w:cs="AdvOT1ef757c0"/>
          <w:color w:val="000000"/>
          <w:sz w:val="21"/>
          <w:szCs w:val="21"/>
        </w:rPr>
        <w:t xml:space="preserve">, Haynes, &amp; Richardson, </w:t>
      </w:r>
      <w:r>
        <w:rPr>
          <w:rFonts w:ascii="AdvOT1ef757c0" w:hAnsi="AdvOT1ef757c0" w:cs="AdvOT1ef757c0"/>
          <w:color w:val="000085"/>
          <w:sz w:val="21"/>
          <w:szCs w:val="21"/>
        </w:rPr>
        <w:t>1996</w:t>
      </w:r>
      <w:r>
        <w:rPr>
          <w:rFonts w:ascii="AdvOT1ef757c0" w:hAnsi="AdvOT1ef757c0" w:cs="AdvOT1ef757c0"/>
          <w:color w:val="000000"/>
          <w:sz w:val="21"/>
          <w:szCs w:val="21"/>
        </w:rPr>
        <w:t>, p. 2). To date, this de</w:t>
      </w:r>
      <w:r>
        <w:rPr>
          <w:rFonts w:ascii="AdvOT1ef757c0+fb" w:hAnsi="AdvOT1ef757c0+fb" w:cs="AdvOT1ef757c0+fb"/>
          <w:color w:val="000000"/>
          <w:sz w:val="21"/>
          <w:szCs w:val="21"/>
        </w:rPr>
        <w:t>fi</w:t>
      </w:r>
      <w:r>
        <w:rPr>
          <w:rFonts w:ascii="AdvOT1ef757c0" w:hAnsi="AdvOT1ef757c0" w:cs="AdvOT1ef757c0"/>
          <w:color w:val="000000"/>
          <w:sz w:val="21"/>
          <w:szCs w:val="21"/>
        </w:rPr>
        <w:t>nition regularly features in the literature for social professions including social care practice in Ireland with children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xml:space="preserve">; Gibbs &amp; </w:t>
      </w:r>
      <w:proofErr w:type="spellStart"/>
      <w:r>
        <w:rPr>
          <w:rFonts w:ascii="AdvOT1ef757c0" w:hAnsi="AdvOT1ef757c0" w:cs="AdvOT1ef757c0"/>
          <w:color w:val="000000"/>
          <w:sz w:val="21"/>
          <w:szCs w:val="21"/>
        </w:rPr>
        <w:t>Gambrill</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2002</w:t>
      </w:r>
      <w:r>
        <w:rPr>
          <w:rFonts w:ascii="AdvOT1ef757c0" w:hAnsi="AdvOT1ef757c0" w:cs="AdvOT1ef757c0"/>
          <w:color w:val="000000"/>
          <w:sz w:val="21"/>
          <w:szCs w:val="21"/>
        </w:rPr>
        <w:t>). The role of evidence in social care is, however, both contestable and contested. As a starting point, terminology should be established, and as it stands the term Evidence-Informed Practice (EIP) has garnered preference above the formerly more prevalent reference to Evidence-Based Practice (EBP) in the broader literature. This re</w:t>
      </w:r>
      <w:r>
        <w:rPr>
          <w:rFonts w:ascii="AdvOT1ef757c0+fb" w:hAnsi="AdvOT1ef757c0+fb" w:cs="AdvOT1ef757c0+fb"/>
          <w:color w:val="000000"/>
          <w:sz w:val="21"/>
          <w:szCs w:val="21"/>
        </w:rPr>
        <w:t>fl</w:t>
      </w:r>
      <w:r>
        <w:rPr>
          <w:rFonts w:ascii="AdvOT1ef757c0" w:hAnsi="AdvOT1ef757c0" w:cs="AdvOT1ef757c0"/>
          <w:color w:val="000000"/>
          <w:sz w:val="21"/>
          <w:szCs w:val="21"/>
        </w:rPr>
        <w:t>ects some overall decentralisation of the role of evidence as a source of knowledge for practice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&amp; Slonim-</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EIP as a concept now features regularly in Irish social care literature and policy on children</w:t>
      </w:r>
      <w:r>
        <w:rPr>
          <w:rFonts w:ascii="AdvOT1ef757c0+20" w:hAnsi="AdvOT1ef757c0+20" w:cs="AdvOT1ef757c0+20"/>
          <w:color w:val="000000"/>
          <w:sz w:val="21"/>
          <w:szCs w:val="21"/>
        </w:rPr>
        <w:t>’</w:t>
      </w:r>
      <w:r>
        <w:rPr>
          <w:rFonts w:ascii="AdvOT1ef757c0" w:hAnsi="AdvOT1ef757c0" w:cs="AdvOT1ef757c0"/>
          <w:color w:val="000000"/>
          <w:sz w:val="21"/>
          <w:szCs w:val="21"/>
        </w:rPr>
        <w:t xml:space="preserve">s services (Buckley &amp; Whelan, </w:t>
      </w:r>
      <w:r>
        <w:rPr>
          <w:rFonts w:ascii="AdvOT1ef757c0" w:hAnsi="AdvOT1ef757c0" w:cs="AdvOT1ef757c0"/>
          <w:color w:val="000085"/>
          <w:sz w:val="21"/>
          <w:szCs w:val="21"/>
        </w:rPr>
        <w:t>2009</w:t>
      </w:r>
      <w:r>
        <w:rPr>
          <w:rFonts w:ascii="AdvOT1ef757c0" w:hAnsi="AdvOT1ef757c0" w:cs="AdvOT1ef757c0"/>
          <w:color w:val="000000"/>
          <w:sz w:val="21"/>
          <w:szCs w:val="21"/>
        </w:rPr>
        <w:t>). In working with children, both concepts are centrally</w:t>
      </w:r>
      <w:r w:rsidR="00852996">
        <w:rPr>
          <w:rFonts w:ascii="AdvOT1ef757c0" w:hAnsi="AdvOT1ef757c0" w:cs="AdvOT1ef757c0"/>
          <w:color w:val="000000"/>
          <w:sz w:val="21"/>
          <w:szCs w:val="21"/>
        </w:rPr>
        <w:t xml:space="preserve"> </w:t>
      </w:r>
      <w:r>
        <w:rPr>
          <w:rFonts w:ascii="AdvOT1ef757c0" w:hAnsi="AdvOT1ef757c0" w:cs="AdvOT1ef757c0"/>
          <w:color w:val="000000"/>
          <w:sz w:val="21"/>
          <w:szCs w:val="21"/>
        </w:rPr>
        <w:t>concerned with using evidence in making decisions in practice (</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&amp; Slonim-</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w:t>
      </w:r>
      <w:r w:rsidR="00852996">
        <w:rPr>
          <w:rFonts w:ascii="AdvOT1ef757c0" w:hAnsi="AdvOT1ef757c0" w:cs="AdvOT1ef757c0"/>
          <w:color w:val="000000"/>
          <w:sz w:val="21"/>
          <w:szCs w:val="21"/>
        </w:rPr>
        <w:t xml:space="preserve"> </w:t>
      </w:r>
    </w:p>
    <w:p w:rsidR="00852996" w:rsidRDefault="00852996" w:rsidP="00BD533B">
      <w:pPr>
        <w:autoSpaceDE w:val="0"/>
        <w:autoSpaceDN w:val="0"/>
        <w:adjustRightInd w:val="0"/>
        <w:spacing w:after="0" w:line="240" w:lineRule="auto"/>
        <w:ind w:firstLine="720"/>
        <w:jc w:val="both"/>
        <w:rPr>
          <w:rFonts w:ascii="AdvOT1ef757c0" w:hAnsi="AdvOT1ef757c0" w:cs="AdvOT1ef757c0"/>
          <w:color w:val="000000"/>
          <w:sz w:val="21"/>
          <w:szCs w:val="21"/>
        </w:rPr>
      </w:pPr>
      <w:r>
        <w:rPr>
          <w:rFonts w:ascii="AdvOT1ef757c0" w:hAnsi="AdvOT1ef757c0" w:cs="AdvOT1ef757c0"/>
          <w:color w:val="000000"/>
          <w:sz w:val="21"/>
          <w:szCs w:val="21"/>
        </w:rPr>
        <w:t xml:space="preserve">Before moving to examine these concepts in more detail, it is useful to </w:t>
      </w:r>
      <w:r>
        <w:rPr>
          <w:rFonts w:ascii="AdvOT1ef757c0+fb" w:hAnsi="AdvOT1ef757c0+fb" w:cs="AdvOT1ef757c0+fb"/>
          <w:color w:val="000000"/>
          <w:sz w:val="21"/>
          <w:szCs w:val="21"/>
        </w:rPr>
        <w:t>fi</w:t>
      </w:r>
      <w:r>
        <w:rPr>
          <w:rFonts w:ascii="AdvOT1ef757c0" w:hAnsi="AdvOT1ef757c0" w:cs="AdvOT1ef757c0"/>
          <w:color w:val="000000"/>
          <w:sz w:val="21"/>
          <w:szCs w:val="21"/>
        </w:rPr>
        <w:t>rst consider the di</w:t>
      </w:r>
      <w:r>
        <w:rPr>
          <w:rFonts w:ascii="AdvOT1ef757c0+fb" w:hAnsi="AdvOT1ef757c0+fb" w:cs="AdvOT1ef757c0+fb"/>
          <w:color w:val="000000"/>
          <w:sz w:val="21"/>
          <w:szCs w:val="21"/>
        </w:rPr>
        <w:t>ff</w:t>
      </w:r>
      <w:r>
        <w:rPr>
          <w:rFonts w:ascii="AdvOT1ef757c0" w:hAnsi="AdvOT1ef757c0" w:cs="AdvOT1ef757c0"/>
          <w:color w:val="000000"/>
          <w:sz w:val="21"/>
          <w:szCs w:val="21"/>
        </w:rPr>
        <w:t xml:space="preserve">erences between the two approaches in work with children. There are </w:t>
      </w:r>
      <w:proofErr w:type="gramStart"/>
      <w:r>
        <w:rPr>
          <w:rFonts w:ascii="AdvOT1ef757c0" w:hAnsi="AdvOT1ef757c0" w:cs="AdvOT1ef757c0"/>
          <w:color w:val="000000"/>
          <w:sz w:val="21"/>
          <w:szCs w:val="21"/>
        </w:rPr>
        <w:t>a number of</w:t>
      </w:r>
      <w:proofErr w:type="gramEnd"/>
      <w:r>
        <w:rPr>
          <w:rFonts w:ascii="AdvOT1ef757c0" w:hAnsi="AdvOT1ef757c0" w:cs="AdvOT1ef757c0"/>
          <w:color w:val="000000"/>
          <w:sz w:val="21"/>
          <w:szCs w:val="21"/>
        </w:rPr>
        <w:t xml:space="preserve"> strengths to EIP that evidence-based ways of working do not have. Strengths of EIP include that practitioners can take account of evidence in making decisions within their practice with children and yet are not as constrained by evidence within those decisions, as would be the case with EBP. In this way, EIP allows </w:t>
      </w:r>
      <w:r>
        <w:rPr>
          <w:rFonts w:ascii="AdvOT1ef757c0+fb" w:hAnsi="AdvOT1ef757c0+fb" w:cs="AdvOT1ef757c0+fb"/>
          <w:color w:val="000000"/>
          <w:sz w:val="21"/>
          <w:szCs w:val="21"/>
        </w:rPr>
        <w:t>fl</w:t>
      </w:r>
      <w:r>
        <w:rPr>
          <w:rFonts w:ascii="AdvOT1ef757c0" w:hAnsi="AdvOT1ef757c0" w:cs="AdvOT1ef757c0"/>
          <w:color w:val="000000"/>
          <w:sz w:val="21"/>
          <w:szCs w:val="21"/>
        </w:rPr>
        <w:t>exibility for practitioners to account for other important factors, such as the child</w:t>
      </w:r>
      <w:r>
        <w:rPr>
          <w:rFonts w:ascii="AdvOT1ef757c0+20" w:hAnsi="AdvOT1ef757c0+20" w:cs="AdvOT1ef757c0+20"/>
          <w:color w:val="000000"/>
          <w:sz w:val="21"/>
          <w:szCs w:val="21"/>
        </w:rPr>
        <w:t>’</w:t>
      </w:r>
      <w:r>
        <w:rPr>
          <w:rFonts w:ascii="AdvOT1ef757c0" w:hAnsi="AdvOT1ef757c0" w:cs="AdvOT1ef757c0"/>
          <w:color w:val="000000"/>
          <w:sz w:val="21"/>
          <w:szCs w:val="21"/>
        </w:rPr>
        <w:t>s voice, and the limitations of using scienti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c evidence in complex social situations with children. Evidence therefore </w:t>
      </w:r>
      <w:r>
        <w:rPr>
          <w:rFonts w:ascii="AdvOT7d6df7ab.I" w:hAnsi="AdvOT7d6df7ab.I" w:cs="AdvOT7d6df7ab.I"/>
          <w:color w:val="000000"/>
          <w:sz w:val="21"/>
          <w:szCs w:val="21"/>
        </w:rPr>
        <w:t xml:space="preserve">informs </w:t>
      </w:r>
      <w:r>
        <w:rPr>
          <w:rFonts w:ascii="AdvOT1ef757c0" w:hAnsi="AdvOT1ef757c0" w:cs="AdvOT1ef757c0"/>
          <w:color w:val="000000"/>
          <w:sz w:val="21"/>
          <w:szCs w:val="21"/>
        </w:rPr>
        <w:t xml:space="preserve">the decision made in practice but does not need to be the </w:t>
      </w:r>
      <w:r>
        <w:rPr>
          <w:rFonts w:ascii="AdvOT7d6df7ab.I" w:hAnsi="AdvOT7d6df7ab.I" w:cs="AdvOT7d6df7ab.I"/>
          <w:color w:val="000000"/>
          <w:sz w:val="21"/>
          <w:szCs w:val="21"/>
        </w:rPr>
        <w:t xml:space="preserve">basis </w:t>
      </w:r>
      <w:r>
        <w:rPr>
          <w:rFonts w:ascii="AdvOT1ef757c0" w:hAnsi="AdvOT1ef757c0" w:cs="AdvOT1ef757c0"/>
          <w:color w:val="000000"/>
          <w:sz w:val="21"/>
          <w:szCs w:val="21"/>
        </w:rPr>
        <w:t>of making that decision (</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&amp; Slonim </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Notwithstanding such bene</w:t>
      </w:r>
      <w:r>
        <w:rPr>
          <w:rFonts w:ascii="AdvOT1ef757c0+fb" w:hAnsi="AdvOT1ef757c0+fb" w:cs="AdvOT1ef757c0+fb"/>
          <w:color w:val="000000"/>
          <w:sz w:val="21"/>
          <w:szCs w:val="21"/>
        </w:rPr>
        <w:t>fi</w:t>
      </w:r>
      <w:r>
        <w:rPr>
          <w:rFonts w:ascii="AdvOT1ef757c0" w:hAnsi="AdvOT1ef757c0" w:cs="AdvOT1ef757c0"/>
          <w:color w:val="000000"/>
          <w:sz w:val="21"/>
          <w:szCs w:val="21"/>
        </w:rPr>
        <w:t>ts, EIP also has some potential weaknesses when compared to EBP. When decisions in social care work are only required to be informed by evidence, rather than based upon evidence, there is potentially more scope for the practitioner to impose their own agenda and bias, rather than making decisions based upon sound and reliable evidence within child care practice. In this way, EIP practice decisions may not always be as e</w:t>
      </w:r>
      <w:r>
        <w:rPr>
          <w:rFonts w:ascii="AdvOT1ef757c0+fb" w:hAnsi="AdvOT1ef757c0+fb" w:cs="AdvOT1ef757c0+fb"/>
          <w:color w:val="000000"/>
          <w:sz w:val="21"/>
          <w:szCs w:val="21"/>
        </w:rPr>
        <w:t>ff</w:t>
      </w:r>
      <w:r>
        <w:rPr>
          <w:rFonts w:ascii="AdvOT1ef757c0" w:hAnsi="AdvOT1ef757c0" w:cs="AdvOT1ef757c0"/>
          <w:color w:val="000000"/>
          <w:sz w:val="21"/>
          <w:szCs w:val="21"/>
        </w:rPr>
        <w:t>ective or justi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able as EBP decisions. Overall, </w:t>
      </w:r>
      <w:proofErr w:type="gramStart"/>
      <w:r>
        <w:rPr>
          <w:rFonts w:ascii="AdvOT1ef757c0" w:hAnsi="AdvOT1ef757c0" w:cs="AdvOT1ef757c0"/>
          <w:color w:val="000000"/>
          <w:sz w:val="21"/>
          <w:szCs w:val="21"/>
        </w:rPr>
        <w:t>it is clear that both</w:t>
      </w:r>
      <w:proofErr w:type="gramEnd"/>
      <w:r>
        <w:rPr>
          <w:rFonts w:ascii="AdvOT1ef757c0" w:hAnsi="AdvOT1ef757c0" w:cs="AdvOT1ef757c0"/>
          <w:color w:val="000000"/>
          <w:sz w:val="21"/>
          <w:szCs w:val="21"/>
        </w:rPr>
        <w:t xml:space="preserve"> approaches come with respective strengths and weaknesses. In this context, practitioners must carefully consider the </w:t>
      </w:r>
      <w:proofErr w:type="gramStart"/>
      <w:r>
        <w:rPr>
          <w:rFonts w:ascii="AdvOT1ef757c0" w:hAnsi="AdvOT1ef757c0" w:cs="AdvOT1ef757c0"/>
          <w:color w:val="000000"/>
          <w:sz w:val="21"/>
          <w:szCs w:val="21"/>
        </w:rPr>
        <w:t>particular context</w:t>
      </w:r>
      <w:proofErr w:type="gramEnd"/>
      <w:r>
        <w:rPr>
          <w:rFonts w:ascii="AdvOT1ef757c0" w:hAnsi="AdvOT1ef757c0" w:cs="AdvOT1ef757c0"/>
          <w:color w:val="000000"/>
          <w:sz w:val="21"/>
          <w:szCs w:val="21"/>
        </w:rPr>
        <w:t xml:space="preserve"> of their practice in selecting which approach to use (Aveyard &amp; Sharp, </w:t>
      </w:r>
      <w:r>
        <w:rPr>
          <w:rFonts w:ascii="AdvOT1ef757c0" w:hAnsi="AdvOT1ef757c0" w:cs="AdvOT1ef757c0"/>
          <w:color w:val="000085"/>
          <w:sz w:val="21"/>
          <w:szCs w:val="21"/>
        </w:rPr>
        <w:t>2009</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&amp; Slonim-</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Moving forward, both terms of EBP and EIP will feature in accordance with their respective uptake in the material.</w:t>
      </w:r>
    </w:p>
    <w:p w:rsidR="005C657B" w:rsidRDefault="005C657B" w:rsidP="005C657B">
      <w:pPr>
        <w:autoSpaceDE w:val="0"/>
        <w:autoSpaceDN w:val="0"/>
        <w:adjustRightInd w:val="0"/>
        <w:spacing w:after="0" w:line="240" w:lineRule="auto"/>
        <w:ind w:firstLine="720"/>
        <w:jc w:val="both"/>
        <w:rPr>
          <w:rFonts w:ascii="AdvOT1ef757c0" w:hAnsi="AdvOT1ef757c0" w:cs="AdvOT1ef757c0"/>
          <w:color w:val="000000"/>
          <w:sz w:val="21"/>
          <w:szCs w:val="21"/>
        </w:rPr>
      </w:pPr>
      <w:r>
        <w:rPr>
          <w:rFonts w:ascii="AdvOT1ef757c0" w:hAnsi="AdvOT1ef757c0" w:cs="AdvOT1ef757c0"/>
          <w:sz w:val="21"/>
          <w:szCs w:val="21"/>
        </w:rPr>
        <w:t>Across the literature it would seem that EIP often does not narrowly refer to scienti</w:t>
      </w:r>
      <w:r>
        <w:rPr>
          <w:rFonts w:ascii="AdvOT1ef757c0+fb" w:hAnsi="AdvOT1ef757c0+fb" w:cs="AdvOT1ef757c0+fb"/>
          <w:sz w:val="21"/>
          <w:szCs w:val="21"/>
        </w:rPr>
        <w:t>fi</w:t>
      </w:r>
      <w:r>
        <w:rPr>
          <w:rFonts w:ascii="AdvOT1ef757c0" w:hAnsi="AdvOT1ef757c0" w:cs="AdvOT1ef757c0"/>
          <w:sz w:val="21"/>
          <w:szCs w:val="21"/>
        </w:rPr>
        <w:t xml:space="preserve">c research </w:t>
      </w:r>
      <w:r>
        <w:rPr>
          <w:rFonts w:ascii="AdvOT1ef757c0+fb" w:hAnsi="AdvOT1ef757c0+fb" w:cs="AdvOT1ef757c0+fb"/>
          <w:sz w:val="21"/>
          <w:szCs w:val="21"/>
        </w:rPr>
        <w:t>fi</w:t>
      </w:r>
      <w:r>
        <w:rPr>
          <w:rFonts w:ascii="AdvOT1ef757c0" w:hAnsi="AdvOT1ef757c0" w:cs="AdvOT1ef757c0"/>
          <w:sz w:val="21"/>
          <w:szCs w:val="21"/>
        </w:rPr>
        <w:t xml:space="preserve">ndings but the application of ideologies and values, culture, literature, theory, </w:t>
      </w:r>
      <w:r>
        <w:rPr>
          <w:rFonts w:ascii="AdvOT1ef757c0" w:hAnsi="AdvOT1ef757c0" w:cs="AdvOT1ef757c0"/>
          <w:color w:val="000000"/>
          <w:sz w:val="21"/>
          <w:szCs w:val="21"/>
        </w:rPr>
        <w:t xml:space="preserve">policy and guidance, practitioners skills and past experience, and service users input such as the voice of the child (Buckley &amp; Whelan, </w:t>
      </w:r>
      <w:r>
        <w:rPr>
          <w:rFonts w:ascii="AdvOT1ef757c0" w:hAnsi="AdvOT1ef757c0" w:cs="AdvOT1ef757c0"/>
          <w:color w:val="000085"/>
          <w:sz w:val="21"/>
          <w:szCs w:val="21"/>
        </w:rPr>
        <w:t>2009</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Lewig</w:t>
      </w:r>
      <w:proofErr w:type="spellEnd"/>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Arney</w:t>
      </w:r>
      <w:proofErr w:type="spellEnd"/>
      <w:r>
        <w:rPr>
          <w:rFonts w:ascii="AdvOT1ef757c0" w:hAnsi="AdvOT1ef757c0" w:cs="AdvOT1ef757c0"/>
          <w:color w:val="000000"/>
          <w:sz w:val="21"/>
          <w:szCs w:val="21"/>
        </w:rPr>
        <w:t xml:space="preserve">, &amp; Scott, </w:t>
      </w:r>
      <w:r>
        <w:rPr>
          <w:rFonts w:ascii="AdvOT1ef757c0" w:hAnsi="AdvOT1ef757c0" w:cs="AdvOT1ef757c0"/>
          <w:color w:val="000085"/>
          <w:sz w:val="21"/>
          <w:szCs w:val="21"/>
        </w:rPr>
        <w:t>2006</w:t>
      </w:r>
      <w:r>
        <w:rPr>
          <w:rFonts w:ascii="AdvOT1ef757c0" w:hAnsi="AdvOT1ef757c0" w:cs="AdvOT1ef757c0"/>
          <w:color w:val="000000"/>
          <w:sz w:val="21"/>
          <w:szCs w:val="21"/>
        </w:rPr>
        <w:t xml:space="preserve">; Moule &amp; </w:t>
      </w:r>
      <w:proofErr w:type="spellStart"/>
      <w:r>
        <w:rPr>
          <w:rFonts w:ascii="AdvOT1ef757c0" w:hAnsi="AdvOT1ef757c0" w:cs="AdvOT1ef757c0"/>
          <w:color w:val="000000"/>
          <w:sz w:val="21"/>
          <w:szCs w:val="21"/>
        </w:rPr>
        <w:t>Hek</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&amp; Slonim-</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xml:space="preserve">; Walter, Nutley, Percy-Smith, </w:t>
      </w:r>
      <w:proofErr w:type="spellStart"/>
      <w:r>
        <w:rPr>
          <w:rFonts w:ascii="AdvOT1ef757c0" w:hAnsi="AdvOT1ef757c0" w:cs="AdvOT1ef757c0"/>
          <w:color w:val="000000"/>
          <w:sz w:val="21"/>
          <w:szCs w:val="21"/>
        </w:rPr>
        <w:t>McNeish</w:t>
      </w:r>
      <w:proofErr w:type="spellEnd"/>
      <w:r>
        <w:rPr>
          <w:rFonts w:ascii="AdvOT1ef757c0" w:hAnsi="AdvOT1ef757c0" w:cs="AdvOT1ef757c0"/>
          <w:color w:val="000000"/>
          <w:sz w:val="21"/>
          <w:szCs w:val="21"/>
        </w:rPr>
        <w:t xml:space="preserve">, &amp; Frost </w:t>
      </w:r>
      <w:r>
        <w:rPr>
          <w:rFonts w:ascii="AdvOT1ef757c0" w:hAnsi="AdvOT1ef757c0" w:cs="AdvOT1ef757c0"/>
          <w:color w:val="000085"/>
          <w:sz w:val="21"/>
          <w:szCs w:val="21"/>
        </w:rPr>
        <w:t>2004</w:t>
      </w:r>
      <w:r>
        <w:rPr>
          <w:rFonts w:ascii="AdvOT1ef757c0" w:hAnsi="AdvOT1ef757c0" w:cs="AdvOT1ef757c0"/>
          <w:color w:val="000000"/>
          <w:sz w:val="21"/>
          <w:szCs w:val="21"/>
        </w:rPr>
        <w:t xml:space="preserve">; Research in Practice, </w:t>
      </w:r>
      <w:r>
        <w:rPr>
          <w:rFonts w:ascii="AdvOT1ef757c0" w:hAnsi="AdvOT1ef757c0" w:cs="AdvOT1ef757c0"/>
          <w:color w:val="000085"/>
          <w:sz w:val="21"/>
          <w:szCs w:val="21"/>
        </w:rPr>
        <w:t>2006</w:t>
      </w:r>
      <w:r>
        <w:rPr>
          <w:rFonts w:ascii="AdvOT1ef757c0" w:hAnsi="AdvOT1ef757c0" w:cs="AdvOT1ef757c0"/>
          <w:color w:val="000000"/>
          <w:sz w:val="21"/>
          <w:szCs w:val="21"/>
        </w:rPr>
        <w:t xml:space="preserve">). Within this, some </w:t>
      </w:r>
      <w:r>
        <w:rPr>
          <w:rFonts w:ascii="AdvOT1ef757c0" w:hAnsi="AdvOT1ef757c0" w:cs="AdvOT1ef757c0"/>
          <w:color w:val="000000"/>
          <w:sz w:val="21"/>
          <w:szCs w:val="21"/>
        </w:rPr>
        <w:lastRenderedPageBreak/>
        <w:t xml:space="preserve">authors even consider there to be a need for research to take a minority position within these factors (Research in Practice, </w:t>
      </w:r>
      <w:r>
        <w:rPr>
          <w:rFonts w:ascii="AdvOT1ef757c0" w:hAnsi="AdvOT1ef757c0" w:cs="AdvOT1ef757c0"/>
          <w:color w:val="000085"/>
          <w:sz w:val="21"/>
          <w:szCs w:val="21"/>
        </w:rPr>
        <w:t>2006</w:t>
      </w:r>
      <w:r>
        <w:rPr>
          <w:rFonts w:ascii="AdvOT1ef757c0" w:hAnsi="AdvOT1ef757c0" w:cs="AdvOT1ef757c0"/>
          <w:color w:val="000000"/>
          <w:sz w:val="21"/>
          <w:szCs w:val="21"/>
        </w:rPr>
        <w:t>). In addition, Austin and Claassen (</w:t>
      </w:r>
      <w:r>
        <w:rPr>
          <w:rFonts w:ascii="AdvOT1ef757c0" w:hAnsi="AdvOT1ef757c0" w:cs="AdvOT1ef757c0"/>
          <w:color w:val="000085"/>
          <w:sz w:val="21"/>
          <w:szCs w:val="21"/>
        </w:rPr>
        <w:t>2008</w:t>
      </w:r>
      <w:r>
        <w:rPr>
          <w:rFonts w:ascii="AdvOT1ef757c0" w:hAnsi="AdvOT1ef757c0" w:cs="AdvOT1ef757c0"/>
          <w:color w:val="000000"/>
          <w:sz w:val="21"/>
          <w:szCs w:val="21"/>
        </w:rPr>
        <w:t xml:space="preserve">, p. 2) assert that EBP incorporates, </w:t>
      </w:r>
      <w:r>
        <w:rPr>
          <w:rFonts w:ascii="AdvOT1ef757c0+20" w:hAnsi="AdvOT1ef757c0+20" w:cs="AdvOT1ef757c0+20"/>
          <w:color w:val="000000"/>
          <w:sz w:val="21"/>
          <w:szCs w:val="21"/>
        </w:rPr>
        <w:t>“</w:t>
      </w:r>
      <w:r>
        <w:rPr>
          <w:rFonts w:ascii="AdvOT1ef757c0" w:hAnsi="AdvOT1ef757c0" w:cs="AdvOT1ef757c0"/>
          <w:color w:val="000000"/>
          <w:sz w:val="21"/>
          <w:szCs w:val="21"/>
        </w:rPr>
        <w:t>the integration of the expertise of individual practitioners with the best available evidence within the context of values and expectations of clients.</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The caveat for Glasby (</w:t>
      </w:r>
      <w:r>
        <w:rPr>
          <w:rFonts w:ascii="AdvOT1ef757c0" w:hAnsi="AdvOT1ef757c0" w:cs="AdvOT1ef757c0"/>
          <w:color w:val="000085"/>
          <w:sz w:val="21"/>
          <w:szCs w:val="21"/>
        </w:rPr>
        <w:t>2011</w:t>
      </w:r>
      <w:r>
        <w:rPr>
          <w:rFonts w:ascii="AdvOT1ef757c0" w:hAnsi="AdvOT1ef757c0" w:cs="AdvOT1ef757c0"/>
          <w:color w:val="000000"/>
          <w:sz w:val="21"/>
          <w:szCs w:val="21"/>
        </w:rPr>
        <w:t>), is that there may be several problems with re</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ning the concept of EBP any further than this. Achieving exactness also poses the risk of adhering to only one epistemology and allocating status to certain types of knowledge above others. Within this intellectual ambience, numerous authors articulate the disputed and indistinct nature of the term </w:t>
      </w:r>
      <w:r>
        <w:rPr>
          <w:rFonts w:ascii="AdvOT1ef757c0+20" w:hAnsi="AdvOT1ef757c0+20" w:cs="AdvOT1ef757c0+20"/>
          <w:color w:val="000000"/>
          <w:sz w:val="21"/>
          <w:szCs w:val="21"/>
        </w:rPr>
        <w:t>“</w:t>
      </w:r>
      <w:r>
        <w:rPr>
          <w:rFonts w:ascii="AdvOT1ef757c0" w:hAnsi="AdvOT1ef757c0" w:cs="AdvOT1ef757c0"/>
          <w:color w:val="000000"/>
          <w:sz w:val="21"/>
          <w:szCs w:val="21"/>
        </w:rPr>
        <w:t>evidence</w:t>
      </w:r>
      <w:r>
        <w:rPr>
          <w:rFonts w:ascii="AdvOT1ef757c0+20" w:hAnsi="AdvOT1ef757c0+20" w:cs="AdvOT1ef757c0+20"/>
          <w:color w:val="000000"/>
          <w:sz w:val="21"/>
          <w:szCs w:val="21"/>
        </w:rPr>
        <w:t>”</w:t>
      </w:r>
      <w:r>
        <w:rPr>
          <w:rFonts w:ascii="AdvOT1ef757c0" w:hAnsi="AdvOT1ef757c0" w:cs="AdvOT1ef757c0"/>
          <w:color w:val="000000"/>
          <w:sz w:val="21"/>
          <w:szCs w:val="21"/>
        </w:rPr>
        <w:t xml:space="preserve"> (Glasby, </w:t>
      </w:r>
      <w:r>
        <w:rPr>
          <w:rFonts w:ascii="AdvOT1ef757c0" w:hAnsi="AdvOT1ef757c0" w:cs="AdvOT1ef757c0"/>
          <w:color w:val="000085"/>
          <w:sz w:val="21"/>
          <w:szCs w:val="21"/>
        </w:rPr>
        <w:t>2011</w:t>
      </w:r>
      <w:r>
        <w:rPr>
          <w:rFonts w:ascii="AdvOT1ef757c0" w:hAnsi="AdvOT1ef757c0" w:cs="AdvOT1ef757c0"/>
          <w:color w:val="000000"/>
          <w:sz w:val="21"/>
          <w:szCs w:val="21"/>
        </w:rPr>
        <w:t xml:space="preserve">; Moule &amp; </w:t>
      </w:r>
      <w:proofErr w:type="spellStart"/>
      <w:r>
        <w:rPr>
          <w:rFonts w:ascii="AdvOT1ef757c0" w:hAnsi="AdvOT1ef757c0" w:cs="AdvOT1ef757c0"/>
          <w:color w:val="000000"/>
          <w:sz w:val="21"/>
          <w:szCs w:val="21"/>
        </w:rPr>
        <w:t>Hek</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xml:space="preserve">; Walter et al., </w:t>
      </w:r>
      <w:r>
        <w:rPr>
          <w:rFonts w:ascii="AdvOT1ef757c0" w:hAnsi="AdvOT1ef757c0" w:cs="AdvOT1ef757c0"/>
          <w:color w:val="000085"/>
          <w:sz w:val="21"/>
          <w:szCs w:val="21"/>
        </w:rPr>
        <w:t>2004</w:t>
      </w:r>
      <w:r>
        <w:rPr>
          <w:rFonts w:ascii="AdvOT1ef757c0" w:hAnsi="AdvOT1ef757c0" w:cs="AdvOT1ef757c0"/>
          <w:color w:val="000000"/>
          <w:sz w:val="21"/>
          <w:szCs w:val="21"/>
        </w:rPr>
        <w:t xml:space="preserve">; Research in Practice, </w:t>
      </w:r>
      <w:r>
        <w:rPr>
          <w:rFonts w:ascii="AdvOT1ef757c0" w:hAnsi="AdvOT1ef757c0" w:cs="AdvOT1ef757c0"/>
          <w:color w:val="000085"/>
          <w:sz w:val="21"/>
          <w:szCs w:val="21"/>
        </w:rPr>
        <w:t>2006</w:t>
      </w:r>
      <w:r>
        <w:rPr>
          <w:rFonts w:ascii="AdvOT1ef757c0" w:hAnsi="AdvOT1ef757c0" w:cs="AdvOT1ef757c0"/>
          <w:color w:val="000000"/>
          <w:sz w:val="21"/>
          <w:szCs w:val="21"/>
        </w:rPr>
        <w:t xml:space="preserve">). Here practitioners </w:t>
      </w:r>
      <w:r>
        <w:rPr>
          <w:rFonts w:ascii="AdvOT1ef757c0+20" w:hAnsi="AdvOT1ef757c0+20" w:cs="AdvOT1ef757c0+20"/>
          <w:color w:val="000000"/>
          <w:sz w:val="21"/>
          <w:szCs w:val="21"/>
        </w:rPr>
        <w:t>“</w:t>
      </w:r>
      <w:r>
        <w:rPr>
          <w:rFonts w:ascii="AdvOT1ef757c0" w:hAnsi="AdvOT1ef757c0" w:cs="AdvOT1ef757c0"/>
          <w:color w:val="000000"/>
          <w:sz w:val="21"/>
          <w:szCs w:val="21"/>
        </w:rPr>
        <w:t>use of self</w:t>
      </w:r>
      <w:r>
        <w:rPr>
          <w:rFonts w:ascii="AdvOT1ef757c0+20" w:hAnsi="AdvOT1ef757c0+20" w:cs="AdvOT1ef757c0+20"/>
          <w:color w:val="000000"/>
          <w:sz w:val="21"/>
          <w:szCs w:val="21"/>
        </w:rPr>
        <w:t>”</w:t>
      </w:r>
      <w:r>
        <w:rPr>
          <w:rFonts w:ascii="AdvOT1ef757c0" w:hAnsi="AdvOT1ef757c0" w:cs="AdvOT1ef757c0"/>
          <w:color w:val="000000"/>
          <w:sz w:val="21"/>
          <w:szCs w:val="21"/>
        </w:rPr>
        <w:t>, expertise, the child</w:t>
      </w:r>
      <w:r>
        <w:rPr>
          <w:rFonts w:ascii="AdvOT1ef757c0+20" w:hAnsi="AdvOT1ef757c0+20" w:cs="AdvOT1ef757c0+20"/>
          <w:color w:val="000000"/>
          <w:sz w:val="21"/>
          <w:szCs w:val="21"/>
        </w:rPr>
        <w:t>’</w:t>
      </w:r>
      <w:r>
        <w:rPr>
          <w:rFonts w:ascii="AdvOT1ef757c0" w:hAnsi="AdvOT1ef757c0" w:cs="AdvOT1ef757c0"/>
          <w:color w:val="000000"/>
          <w:sz w:val="21"/>
          <w:szCs w:val="21"/>
        </w:rPr>
        <w:t>s voice and wishes, and professional discretion are central ordering principles within Irish Social Care Practice that inevitably, and to varying extents, in</w:t>
      </w:r>
      <w:r>
        <w:rPr>
          <w:rFonts w:ascii="AdvOT1ef757c0+fb" w:hAnsi="AdvOT1ef757c0+fb" w:cs="AdvOT1ef757c0+fb"/>
          <w:color w:val="000000"/>
          <w:sz w:val="21"/>
          <w:szCs w:val="21"/>
        </w:rPr>
        <w:t>fl</w:t>
      </w:r>
      <w:r>
        <w:rPr>
          <w:rFonts w:ascii="AdvOT1ef757c0" w:hAnsi="AdvOT1ef757c0" w:cs="AdvOT1ef757c0"/>
          <w:color w:val="000000"/>
          <w:sz w:val="21"/>
          <w:szCs w:val="21"/>
        </w:rPr>
        <w:t xml:space="preserve">uence the processes of EBP and EIP (Barratt &amp; Cooke, </w:t>
      </w:r>
      <w:r>
        <w:rPr>
          <w:rFonts w:ascii="AdvOT1ef757c0" w:hAnsi="AdvOT1ef757c0" w:cs="AdvOT1ef757c0"/>
          <w:color w:val="000085"/>
          <w:sz w:val="21"/>
          <w:szCs w:val="21"/>
        </w:rPr>
        <w:t>2001</w:t>
      </w:r>
      <w:r>
        <w:rPr>
          <w:rFonts w:ascii="AdvOT1ef757c0" w:hAnsi="AdvOT1ef757c0" w:cs="AdvOT1ef757c0"/>
          <w:color w:val="000000"/>
          <w:sz w:val="21"/>
          <w:szCs w:val="21"/>
        </w:rPr>
        <w:t xml:space="preserve">; CORU, </w:t>
      </w:r>
      <w:r>
        <w:rPr>
          <w:rFonts w:ascii="AdvOT1ef757c0" w:hAnsi="AdvOT1ef757c0" w:cs="AdvOT1ef757c0"/>
          <w:color w:val="000085"/>
          <w:sz w:val="21"/>
          <w:szCs w:val="21"/>
        </w:rPr>
        <w:t>2017b</w:t>
      </w:r>
      <w:r>
        <w:rPr>
          <w:rFonts w:ascii="AdvOT1ef757c0" w:hAnsi="AdvOT1ef757c0" w:cs="AdvOT1ef757c0"/>
          <w:color w:val="000000"/>
          <w:sz w:val="21"/>
          <w:szCs w:val="21"/>
        </w:rPr>
        <w:t xml:space="preserve">; Kilkelly, </w:t>
      </w:r>
      <w:r>
        <w:rPr>
          <w:rFonts w:ascii="AdvOT1ef757c0" w:hAnsi="AdvOT1ef757c0" w:cs="AdvOT1ef757c0"/>
          <w:color w:val="000085"/>
          <w:sz w:val="21"/>
          <w:szCs w:val="21"/>
        </w:rPr>
        <w:t>2017</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Lalor</w:t>
      </w:r>
      <w:proofErr w:type="spellEnd"/>
      <w:r>
        <w:rPr>
          <w:rFonts w:ascii="AdvOT1ef757c0" w:hAnsi="AdvOT1ef757c0" w:cs="AdvOT1ef757c0"/>
          <w:color w:val="000000"/>
          <w:sz w:val="21"/>
          <w:szCs w:val="21"/>
        </w:rPr>
        <w:t xml:space="preserve"> &amp; Share, </w:t>
      </w:r>
      <w:r>
        <w:rPr>
          <w:rFonts w:ascii="AdvOT1ef757c0" w:hAnsi="AdvOT1ef757c0" w:cs="AdvOT1ef757c0"/>
          <w:color w:val="000085"/>
          <w:sz w:val="21"/>
          <w:szCs w:val="21"/>
        </w:rPr>
        <w:t>2013</w:t>
      </w:r>
      <w:r>
        <w:rPr>
          <w:rFonts w:ascii="AdvOT1ef757c0" w:hAnsi="AdvOT1ef757c0" w:cs="AdvOT1ef757c0"/>
          <w:color w:val="000000"/>
          <w:sz w:val="21"/>
          <w:szCs w:val="21"/>
        </w:rPr>
        <w:t xml:space="preserve">). In particular, the participation of children in decisions about their lives, including having their voices and opinions taken seriously, is of increasing importance in Ireland (Kilkelly, </w:t>
      </w:r>
      <w:r>
        <w:rPr>
          <w:rFonts w:ascii="AdvOT1ef757c0" w:hAnsi="AdvOT1ef757c0" w:cs="AdvOT1ef757c0"/>
          <w:color w:val="000085"/>
          <w:sz w:val="21"/>
          <w:szCs w:val="21"/>
        </w:rPr>
        <w:t>2017</w:t>
      </w:r>
      <w:r>
        <w:rPr>
          <w:rFonts w:ascii="AdvOT1ef757c0" w:hAnsi="AdvOT1ef757c0" w:cs="AdvOT1ef757c0"/>
          <w:color w:val="000000"/>
          <w:sz w:val="21"/>
          <w:szCs w:val="21"/>
        </w:rPr>
        <w:t>).</w:t>
      </w:r>
    </w:p>
    <w:p w:rsidR="00603CD2" w:rsidRDefault="00603CD2" w:rsidP="00603CD2">
      <w:pPr>
        <w:autoSpaceDE w:val="0"/>
        <w:autoSpaceDN w:val="0"/>
        <w:adjustRightInd w:val="0"/>
        <w:spacing w:after="0" w:line="240" w:lineRule="auto"/>
        <w:ind w:firstLine="720"/>
        <w:jc w:val="both"/>
        <w:rPr>
          <w:rFonts w:ascii="AdvOT1ef757c0" w:hAnsi="AdvOT1ef757c0" w:cs="AdvOT1ef757c0"/>
          <w:color w:val="000000"/>
          <w:sz w:val="21"/>
          <w:szCs w:val="21"/>
        </w:rPr>
      </w:pPr>
      <w:r>
        <w:rPr>
          <w:rFonts w:ascii="AdvOT1ef757c0" w:hAnsi="AdvOT1ef757c0" w:cs="AdvOT1ef757c0"/>
          <w:color w:val="000000"/>
          <w:sz w:val="21"/>
          <w:szCs w:val="21"/>
        </w:rPr>
        <w:t>Therefore, because EIP and EBP are concepts that were originally derived from medicine, there is a need to adapt the concepts for use in non-medical practice settings such as in social care practice with children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This is because taking evidenced-informed ways of working from medical settings, and applying them in social care practice settings, is an approach that is not without problems. According to Buckley and Whelan</w:t>
      </w:r>
      <w:r>
        <w:rPr>
          <w:rFonts w:ascii="AdvOT1ef757c0+20" w:hAnsi="AdvOT1ef757c0+20" w:cs="AdvOT1ef757c0+20"/>
          <w:color w:val="000000"/>
          <w:sz w:val="21"/>
          <w:szCs w:val="21"/>
        </w:rPr>
        <w:t>’</w:t>
      </w:r>
      <w:r>
        <w:rPr>
          <w:rFonts w:ascii="AdvOT1ef757c0" w:hAnsi="AdvOT1ef757c0" w:cs="AdvOT1ef757c0"/>
          <w:color w:val="000000"/>
          <w:sz w:val="21"/>
          <w:szCs w:val="21"/>
        </w:rPr>
        <w:t>s (</w:t>
      </w:r>
      <w:r>
        <w:rPr>
          <w:rFonts w:ascii="AdvOT1ef757c0" w:hAnsi="AdvOT1ef757c0" w:cs="AdvOT1ef757c0"/>
          <w:color w:val="000085"/>
          <w:sz w:val="21"/>
          <w:szCs w:val="21"/>
        </w:rPr>
        <w:t>2009</w:t>
      </w:r>
      <w:r>
        <w:rPr>
          <w:rFonts w:ascii="AdvOT1ef757c0" w:hAnsi="AdvOT1ef757c0" w:cs="AdvOT1ef757c0"/>
          <w:color w:val="000000"/>
          <w:sz w:val="21"/>
          <w:szCs w:val="21"/>
        </w:rPr>
        <w:t>, p. 10) review of Irish children</w:t>
      </w:r>
      <w:r>
        <w:rPr>
          <w:rFonts w:ascii="AdvOT1ef757c0+20" w:hAnsi="AdvOT1ef757c0+20" w:cs="AdvOT1ef757c0+20"/>
          <w:color w:val="000000"/>
          <w:sz w:val="21"/>
          <w:szCs w:val="21"/>
        </w:rPr>
        <w:t>’</w:t>
      </w:r>
      <w:r>
        <w:rPr>
          <w:rFonts w:ascii="AdvOT1ef757c0" w:hAnsi="AdvOT1ef757c0" w:cs="AdvOT1ef757c0"/>
          <w:color w:val="000000"/>
          <w:sz w:val="21"/>
          <w:szCs w:val="21"/>
        </w:rPr>
        <w:t xml:space="preserve">s services, increased utilisation of EBP in social care practice has, </w:t>
      </w:r>
      <w:r>
        <w:rPr>
          <w:rFonts w:ascii="AdvOT1ef757c0+20" w:hAnsi="AdvOT1ef757c0+20" w:cs="AdvOT1ef757c0+20"/>
          <w:color w:val="000000"/>
          <w:sz w:val="21"/>
          <w:szCs w:val="21"/>
        </w:rPr>
        <w:t>“</w:t>
      </w:r>
      <w:r>
        <w:rPr>
          <w:rFonts w:ascii="AdvOT1ef757c0" w:hAnsi="AdvOT1ef757c0" w:cs="AdvOT1ef757c0"/>
          <w:color w:val="000000"/>
          <w:sz w:val="21"/>
          <w:szCs w:val="21"/>
        </w:rPr>
        <w:t>led to some modi</w:t>
      </w:r>
      <w:r>
        <w:rPr>
          <w:rFonts w:ascii="AdvOT1ef757c0+fb" w:hAnsi="AdvOT1ef757c0+fb" w:cs="AdvOT1ef757c0+fb"/>
          <w:color w:val="000000"/>
          <w:sz w:val="21"/>
          <w:szCs w:val="21"/>
        </w:rPr>
        <w:t>fi</w:t>
      </w:r>
      <w:r>
        <w:rPr>
          <w:rFonts w:ascii="AdvOT1ef757c0" w:hAnsi="AdvOT1ef757c0" w:cs="AdvOT1ef757c0"/>
          <w:color w:val="000000"/>
          <w:sz w:val="21"/>
          <w:szCs w:val="21"/>
        </w:rPr>
        <w:t>cations in the way in which it is considered, and it has evolved to re</w:t>
      </w:r>
      <w:r>
        <w:rPr>
          <w:rFonts w:ascii="AdvOT1ef757c0+fb" w:hAnsi="AdvOT1ef757c0+fb" w:cs="AdvOT1ef757c0+fb"/>
          <w:color w:val="000000"/>
          <w:sz w:val="21"/>
          <w:szCs w:val="21"/>
        </w:rPr>
        <w:t>fl</w:t>
      </w:r>
      <w:r>
        <w:rPr>
          <w:rFonts w:ascii="AdvOT1ef757c0" w:hAnsi="AdvOT1ef757c0" w:cs="AdvOT1ef757c0"/>
          <w:color w:val="000000"/>
          <w:sz w:val="21"/>
          <w:szCs w:val="21"/>
        </w:rPr>
        <w:t>ect the somewhat unscienti</w:t>
      </w:r>
      <w:r>
        <w:rPr>
          <w:rFonts w:ascii="AdvOT1ef757c0+fb" w:hAnsi="AdvOT1ef757c0+fb" w:cs="AdvOT1ef757c0+fb"/>
          <w:color w:val="000000"/>
          <w:sz w:val="21"/>
          <w:szCs w:val="21"/>
        </w:rPr>
        <w:t>fi</w:t>
      </w:r>
      <w:r>
        <w:rPr>
          <w:rFonts w:ascii="AdvOT1ef757c0" w:hAnsi="AdvOT1ef757c0" w:cs="AdvOT1ef757c0"/>
          <w:color w:val="000000"/>
          <w:sz w:val="21"/>
          <w:szCs w:val="21"/>
        </w:rPr>
        <w:t>c base from which social care practice operates</w:t>
      </w:r>
      <w:r>
        <w:rPr>
          <w:rFonts w:ascii="AdvOT1ef757c0+20" w:hAnsi="AdvOT1ef757c0+20" w:cs="AdvOT1ef757c0+20"/>
          <w:color w:val="000000"/>
          <w:sz w:val="21"/>
          <w:szCs w:val="21"/>
        </w:rPr>
        <w:t>”</w:t>
      </w:r>
      <w:r>
        <w:rPr>
          <w:rFonts w:ascii="AdvOT1ef757c0" w:hAnsi="AdvOT1ef757c0" w:cs="AdvOT1ef757c0"/>
          <w:color w:val="000000"/>
          <w:sz w:val="21"/>
          <w:szCs w:val="21"/>
        </w:rPr>
        <w:t xml:space="preserve"> (Buckley &amp; Whelan, </w:t>
      </w:r>
      <w:r>
        <w:rPr>
          <w:rFonts w:ascii="AdvOT1ef757c0" w:hAnsi="AdvOT1ef757c0" w:cs="AdvOT1ef757c0"/>
          <w:color w:val="000085"/>
          <w:sz w:val="21"/>
          <w:szCs w:val="21"/>
        </w:rPr>
        <w:t>2009</w:t>
      </w:r>
      <w:r>
        <w:rPr>
          <w:rFonts w:ascii="AdvOT1ef757c0" w:hAnsi="AdvOT1ef757c0" w:cs="AdvOT1ef757c0"/>
          <w:color w:val="000000"/>
          <w:sz w:val="21"/>
          <w:szCs w:val="21"/>
        </w:rPr>
        <w:t>, p. 100).</w:t>
      </w:r>
    </w:p>
    <w:p w:rsidR="00AB19F3" w:rsidRDefault="00AB19F3" w:rsidP="00AB19F3">
      <w:pPr>
        <w:autoSpaceDE w:val="0"/>
        <w:autoSpaceDN w:val="0"/>
        <w:adjustRightInd w:val="0"/>
        <w:spacing w:after="0" w:line="240" w:lineRule="auto"/>
        <w:jc w:val="both"/>
        <w:rPr>
          <w:rFonts w:ascii="AdvOT1ef757c0" w:hAnsi="AdvOT1ef757c0" w:cs="AdvOT1ef757c0"/>
          <w:color w:val="000000"/>
          <w:sz w:val="21"/>
          <w:szCs w:val="21"/>
        </w:rPr>
      </w:pPr>
    </w:p>
    <w:p w:rsidR="00AB19F3" w:rsidRDefault="00AB19F3" w:rsidP="00AB19F3">
      <w:pPr>
        <w:autoSpaceDE w:val="0"/>
        <w:autoSpaceDN w:val="0"/>
        <w:adjustRightInd w:val="0"/>
        <w:spacing w:after="0" w:line="240" w:lineRule="auto"/>
        <w:jc w:val="both"/>
        <w:rPr>
          <w:rFonts w:ascii="AdvOTd0125be5.BI" w:hAnsi="AdvOTd0125be5.BI" w:cs="AdvOTd0125be5.BI"/>
          <w:i/>
          <w:sz w:val="21"/>
          <w:szCs w:val="21"/>
        </w:rPr>
      </w:pPr>
      <w:r w:rsidRPr="00AB19F3">
        <w:rPr>
          <w:rFonts w:ascii="AdvOTd0125be5.BI" w:hAnsi="AdvOTd0125be5.BI" w:cs="AdvOTd0125be5.BI"/>
          <w:i/>
          <w:sz w:val="21"/>
          <w:szCs w:val="21"/>
        </w:rPr>
        <w:t>EIP, EBP and social care with children</w:t>
      </w:r>
    </w:p>
    <w:p w:rsidR="00AB19F3" w:rsidRDefault="00AB19F3" w:rsidP="00AB19F3">
      <w:pPr>
        <w:autoSpaceDE w:val="0"/>
        <w:autoSpaceDN w:val="0"/>
        <w:adjustRightInd w:val="0"/>
        <w:spacing w:after="0" w:line="240" w:lineRule="auto"/>
        <w:jc w:val="both"/>
        <w:rPr>
          <w:rFonts w:ascii="AdvOTd0125be5.BI" w:hAnsi="AdvOTd0125be5.BI" w:cs="AdvOTd0125be5.BI"/>
          <w:i/>
          <w:sz w:val="21"/>
          <w:szCs w:val="21"/>
        </w:rPr>
      </w:pPr>
    </w:p>
    <w:p w:rsidR="00AB19F3" w:rsidRDefault="00AB19F3" w:rsidP="00AB19F3">
      <w:pPr>
        <w:autoSpaceDE w:val="0"/>
        <w:autoSpaceDN w:val="0"/>
        <w:adjustRightInd w:val="0"/>
        <w:spacing w:after="0" w:line="240" w:lineRule="auto"/>
        <w:jc w:val="both"/>
        <w:rPr>
          <w:rFonts w:ascii="AdvOT1ef757c0" w:hAnsi="AdvOT1ef757c0" w:cs="AdvOT1ef757c0"/>
          <w:sz w:val="21"/>
          <w:szCs w:val="21"/>
        </w:rPr>
      </w:pPr>
      <w:r>
        <w:rPr>
          <w:rFonts w:ascii="AdvOT1ef757c0" w:hAnsi="AdvOT1ef757c0" w:cs="AdvOT1ef757c0"/>
          <w:color w:val="000000"/>
          <w:sz w:val="21"/>
          <w:szCs w:val="21"/>
        </w:rPr>
        <w:t xml:space="preserve">This proposedly </w:t>
      </w:r>
      <w:r>
        <w:rPr>
          <w:rFonts w:ascii="AdvOT1ef757c0+20" w:hAnsi="AdvOT1ef757c0+20" w:cs="AdvOT1ef757c0+20"/>
          <w:color w:val="000000"/>
          <w:sz w:val="21"/>
          <w:szCs w:val="21"/>
        </w:rPr>
        <w:t>“</w:t>
      </w:r>
      <w:r>
        <w:rPr>
          <w:rFonts w:ascii="AdvOT1ef757c0" w:hAnsi="AdvOT1ef757c0" w:cs="AdvOT1ef757c0"/>
          <w:color w:val="000000"/>
          <w:sz w:val="21"/>
          <w:szCs w:val="21"/>
        </w:rPr>
        <w:t>unscienti</w:t>
      </w:r>
      <w:r>
        <w:rPr>
          <w:rFonts w:ascii="AdvOT1ef757c0+fb" w:hAnsi="AdvOT1ef757c0+fb" w:cs="AdvOT1ef757c0+fb"/>
          <w:color w:val="000000"/>
          <w:sz w:val="21"/>
          <w:szCs w:val="21"/>
        </w:rPr>
        <w:t>fi</w:t>
      </w:r>
      <w:r>
        <w:rPr>
          <w:rFonts w:ascii="AdvOT1ef757c0" w:hAnsi="AdvOT1ef757c0" w:cs="AdvOT1ef757c0"/>
          <w:color w:val="000000"/>
          <w:sz w:val="21"/>
          <w:szCs w:val="21"/>
        </w:rPr>
        <w:t>c</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or intuitive orientation of social care with children appears manifest in varied forms. Some Irish instructional texts on social care may o</w:t>
      </w:r>
      <w:r>
        <w:rPr>
          <w:rFonts w:ascii="AdvOT1ef757c0+fb" w:hAnsi="AdvOT1ef757c0+fb" w:cs="AdvOT1ef757c0+fb"/>
          <w:color w:val="000000"/>
          <w:sz w:val="21"/>
          <w:szCs w:val="21"/>
        </w:rPr>
        <w:t>ff</w:t>
      </w:r>
      <w:r>
        <w:rPr>
          <w:rFonts w:ascii="AdvOT1ef757c0" w:hAnsi="AdvOT1ef757c0" w:cs="AdvOT1ef757c0"/>
          <w:color w:val="000000"/>
          <w:sz w:val="21"/>
          <w:szCs w:val="21"/>
        </w:rPr>
        <w:t>er limited exposure to issues of evidence and research, in favour of practice and re</w:t>
      </w:r>
      <w:r>
        <w:rPr>
          <w:rFonts w:ascii="AdvOT1ef757c0+fb" w:hAnsi="AdvOT1ef757c0+fb" w:cs="AdvOT1ef757c0+fb"/>
          <w:color w:val="000000"/>
          <w:sz w:val="21"/>
          <w:szCs w:val="21"/>
        </w:rPr>
        <w:t>fl</w:t>
      </w:r>
      <w:r>
        <w:rPr>
          <w:rFonts w:ascii="AdvOT1ef757c0" w:hAnsi="AdvOT1ef757c0" w:cs="AdvOT1ef757c0"/>
          <w:color w:val="000000"/>
          <w:sz w:val="21"/>
          <w:szCs w:val="21"/>
        </w:rPr>
        <w:t xml:space="preserve">ective positionings (such as McCann, </w:t>
      </w:r>
      <w:proofErr w:type="spellStart"/>
      <w:r>
        <w:rPr>
          <w:rFonts w:ascii="AdvOT1ef757c0" w:hAnsi="AdvOT1ef757c0" w:cs="AdvOT1ef757c0"/>
          <w:color w:val="000000"/>
          <w:sz w:val="21"/>
          <w:szCs w:val="21"/>
        </w:rPr>
        <w:t>DeRoiste</w:t>
      </w:r>
      <w:proofErr w:type="spellEnd"/>
      <w:r>
        <w:rPr>
          <w:rFonts w:ascii="AdvOT1ef757c0" w:hAnsi="AdvOT1ef757c0" w:cs="AdvOT1ef757c0"/>
          <w:color w:val="000000"/>
          <w:sz w:val="21"/>
          <w:szCs w:val="21"/>
        </w:rPr>
        <w:t xml:space="preserve">, &amp; McHugh, </w:t>
      </w:r>
      <w:r>
        <w:rPr>
          <w:rFonts w:ascii="AdvOT1ef757c0" w:hAnsi="AdvOT1ef757c0" w:cs="AdvOT1ef757c0"/>
          <w:color w:val="000085"/>
          <w:sz w:val="21"/>
          <w:szCs w:val="21"/>
        </w:rPr>
        <w:t>2009</w:t>
      </w:r>
      <w:r>
        <w:rPr>
          <w:rFonts w:ascii="AdvOT1ef757c0" w:hAnsi="AdvOT1ef757c0" w:cs="AdvOT1ef757c0"/>
          <w:color w:val="000000"/>
          <w:sz w:val="21"/>
          <w:szCs w:val="21"/>
        </w:rPr>
        <w:t>). Alternatively, authors may focus critically upon how evidence might be practically applied in social care practice and social care environments (</w:t>
      </w:r>
      <w:proofErr w:type="spellStart"/>
      <w:r>
        <w:rPr>
          <w:rFonts w:ascii="AdvOT1ef757c0" w:hAnsi="AdvOT1ef757c0" w:cs="AdvOT1ef757c0"/>
          <w:color w:val="000000"/>
          <w:sz w:val="21"/>
          <w:szCs w:val="21"/>
        </w:rPr>
        <w:t>Gray</w:t>
      </w:r>
      <w:proofErr w:type="spellEnd"/>
      <w:r>
        <w:rPr>
          <w:rFonts w:ascii="AdvOT1ef757c0" w:hAnsi="AdvOT1ef757c0" w:cs="AdvOT1ef757c0"/>
          <w:color w:val="000000"/>
          <w:sz w:val="21"/>
          <w:szCs w:val="21"/>
        </w:rPr>
        <w:t xml:space="preserve"> et al., </w:t>
      </w:r>
      <w:r>
        <w:rPr>
          <w:rFonts w:ascii="AdvOT1ef757c0" w:hAnsi="AdvOT1ef757c0" w:cs="AdvOT1ef757c0"/>
          <w:color w:val="000085"/>
          <w:sz w:val="21"/>
          <w:szCs w:val="21"/>
        </w:rPr>
        <w:t>2013</w:t>
      </w:r>
      <w:r>
        <w:rPr>
          <w:rFonts w:ascii="AdvOT1ef757c0" w:hAnsi="AdvOT1ef757c0" w:cs="AdvOT1ef757c0"/>
          <w:color w:val="000000"/>
          <w:sz w:val="21"/>
          <w:szCs w:val="21"/>
        </w:rPr>
        <w:t xml:space="preserve">; Mullen, </w:t>
      </w:r>
      <w:proofErr w:type="spellStart"/>
      <w:r>
        <w:rPr>
          <w:rFonts w:ascii="AdvOT1ef757c0" w:hAnsi="AdvOT1ef757c0" w:cs="AdvOT1ef757c0"/>
          <w:color w:val="000000"/>
          <w:sz w:val="21"/>
          <w:szCs w:val="21"/>
        </w:rPr>
        <w:t>Shlonsky</w:t>
      </w:r>
      <w:proofErr w:type="spellEnd"/>
      <w:r>
        <w:rPr>
          <w:rFonts w:ascii="AdvOT1ef757c0" w:hAnsi="AdvOT1ef757c0" w:cs="AdvOT1ef757c0"/>
          <w:color w:val="000000"/>
          <w:sz w:val="21"/>
          <w:szCs w:val="21"/>
        </w:rPr>
        <w:t xml:space="preserve">, Bledsoe, &amp; Bellamy, </w:t>
      </w:r>
      <w:r>
        <w:rPr>
          <w:rFonts w:ascii="AdvOT1ef757c0" w:hAnsi="AdvOT1ef757c0" w:cs="AdvOT1ef757c0"/>
          <w:color w:val="000085"/>
          <w:sz w:val="21"/>
          <w:szCs w:val="21"/>
        </w:rPr>
        <w:t>2005</w:t>
      </w:r>
      <w:r>
        <w:rPr>
          <w:rFonts w:ascii="AdvOT1ef757c0" w:hAnsi="AdvOT1ef757c0" w:cs="AdvOT1ef757c0"/>
          <w:color w:val="000000"/>
          <w:sz w:val="21"/>
          <w:szCs w:val="21"/>
        </w:rPr>
        <w:t>). EBP may be de</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ned within the nature of the practical application of research methods (Aarons &amp; Sommerfeld, </w:t>
      </w:r>
      <w:r>
        <w:rPr>
          <w:rFonts w:ascii="AdvOT1ef757c0" w:hAnsi="AdvOT1ef757c0" w:cs="AdvOT1ef757c0"/>
          <w:color w:val="000085"/>
          <w:sz w:val="21"/>
          <w:szCs w:val="21"/>
        </w:rPr>
        <w:t>2012</w:t>
      </w:r>
      <w:r>
        <w:rPr>
          <w:rFonts w:ascii="AdvOT1ef757c0" w:hAnsi="AdvOT1ef757c0" w:cs="AdvOT1ef757c0"/>
          <w:color w:val="000000"/>
          <w:sz w:val="21"/>
          <w:szCs w:val="21"/>
        </w:rPr>
        <w:t xml:space="preserve">; Chamberlain et al., </w:t>
      </w:r>
      <w:r>
        <w:rPr>
          <w:rFonts w:ascii="AdvOT1ef757c0" w:hAnsi="AdvOT1ef757c0" w:cs="AdvOT1ef757c0"/>
          <w:color w:val="000085"/>
          <w:sz w:val="21"/>
          <w:szCs w:val="21"/>
        </w:rPr>
        <w:t>2008</w:t>
      </w:r>
      <w:r>
        <w:rPr>
          <w:rFonts w:ascii="AdvOT1ef757c0" w:hAnsi="AdvOT1ef757c0" w:cs="AdvOT1ef757c0"/>
          <w:color w:val="000000"/>
          <w:sz w:val="21"/>
          <w:szCs w:val="21"/>
        </w:rPr>
        <w:t xml:space="preserve">). Alternatively, sources endorse the value for social care practitioners in aspiring to practice that is </w:t>
      </w:r>
      <w:r>
        <w:rPr>
          <w:rFonts w:ascii="AdvOT1ef757c0+20" w:hAnsi="AdvOT1ef757c0+20" w:cs="AdvOT1ef757c0+20"/>
          <w:color w:val="000000"/>
          <w:sz w:val="21"/>
          <w:szCs w:val="21"/>
        </w:rPr>
        <w:t>“</w:t>
      </w:r>
      <w:r>
        <w:rPr>
          <w:rFonts w:ascii="AdvOT1ef757c0" w:hAnsi="AdvOT1ef757c0" w:cs="AdvOT1ef757c0"/>
          <w:color w:val="000000"/>
          <w:sz w:val="21"/>
          <w:szCs w:val="21"/>
        </w:rPr>
        <w:t>research aware</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 xml:space="preserve">or </w:t>
      </w:r>
      <w:r>
        <w:rPr>
          <w:rFonts w:ascii="AdvOT1ef757c0+20" w:hAnsi="AdvOT1ef757c0+20" w:cs="AdvOT1ef757c0+20"/>
          <w:color w:val="000000"/>
          <w:sz w:val="21"/>
          <w:szCs w:val="21"/>
        </w:rPr>
        <w:t>“</w:t>
      </w:r>
      <w:r>
        <w:rPr>
          <w:rFonts w:ascii="AdvOT1ef757c0" w:hAnsi="AdvOT1ef757c0" w:cs="AdvOT1ef757c0"/>
          <w:color w:val="000000"/>
          <w:sz w:val="21"/>
          <w:szCs w:val="21"/>
        </w:rPr>
        <w:t>research literate</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in their work with children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xml:space="preserve">; Fisher, </w:t>
      </w:r>
      <w:r>
        <w:rPr>
          <w:rFonts w:ascii="AdvOT1ef757c0" w:hAnsi="AdvOT1ef757c0" w:cs="AdvOT1ef757c0"/>
          <w:color w:val="000085"/>
          <w:sz w:val="21"/>
          <w:szCs w:val="21"/>
        </w:rPr>
        <w:t>2016</w:t>
      </w:r>
      <w:r>
        <w:rPr>
          <w:rFonts w:ascii="AdvOT1ef757c0" w:hAnsi="AdvOT1ef757c0" w:cs="AdvOT1ef757c0"/>
          <w:color w:val="000000"/>
          <w:sz w:val="21"/>
          <w:szCs w:val="21"/>
        </w:rPr>
        <w:t xml:space="preserve">; Moule &amp; </w:t>
      </w:r>
      <w:proofErr w:type="spellStart"/>
      <w:r>
        <w:rPr>
          <w:rFonts w:ascii="AdvOT1ef757c0" w:hAnsi="AdvOT1ef757c0" w:cs="AdvOT1ef757c0"/>
          <w:color w:val="000000"/>
          <w:sz w:val="21"/>
          <w:szCs w:val="21"/>
        </w:rPr>
        <w:t>Hek</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xml:space="preserve">, p. 2). Finally, some authors conceptualise EBP as though it were a process of decision-making (Austin &amp; Claassen, </w:t>
      </w:r>
      <w:r>
        <w:rPr>
          <w:rFonts w:ascii="AdvOT1ef757c0" w:hAnsi="AdvOT1ef757c0" w:cs="AdvOT1ef757c0"/>
          <w:color w:val="000085"/>
          <w:sz w:val="21"/>
          <w:szCs w:val="21"/>
        </w:rPr>
        <w:t>2008</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Gray</w:t>
      </w:r>
      <w:proofErr w:type="spellEnd"/>
      <w:r>
        <w:rPr>
          <w:rFonts w:ascii="AdvOT1ef757c0" w:hAnsi="AdvOT1ef757c0" w:cs="AdvOT1ef757c0"/>
          <w:color w:val="000000"/>
          <w:sz w:val="21"/>
          <w:szCs w:val="21"/>
        </w:rPr>
        <w:t xml:space="preserve"> et al., </w:t>
      </w:r>
      <w:r>
        <w:rPr>
          <w:rFonts w:ascii="AdvOT1ef757c0" w:hAnsi="AdvOT1ef757c0" w:cs="AdvOT1ef757c0"/>
          <w:color w:val="000085"/>
          <w:sz w:val="21"/>
          <w:szCs w:val="21"/>
        </w:rPr>
        <w:t>2013</w:t>
      </w:r>
      <w:r>
        <w:rPr>
          <w:rFonts w:ascii="AdvOT1ef757c0" w:hAnsi="AdvOT1ef757c0" w:cs="AdvOT1ef757c0"/>
          <w:color w:val="000000"/>
          <w:sz w:val="21"/>
          <w:szCs w:val="21"/>
        </w:rPr>
        <w:t xml:space="preserve">; Moule &amp; </w:t>
      </w:r>
      <w:proofErr w:type="spellStart"/>
      <w:r>
        <w:rPr>
          <w:rFonts w:ascii="AdvOT1ef757c0" w:hAnsi="AdvOT1ef757c0" w:cs="AdvOT1ef757c0"/>
          <w:color w:val="000000"/>
          <w:sz w:val="21"/>
          <w:szCs w:val="21"/>
        </w:rPr>
        <w:t>Hek</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To further explore the varied literature, three themes are focused upon in the following. These are (1) EIP as a feature of social care professionalisation in Ireland, (2) concerns and challenges to achieving EIP on the road to professionalisation, and (3) bene</w:t>
      </w:r>
      <w:r>
        <w:rPr>
          <w:rFonts w:ascii="AdvOT1ef757c0+fb" w:hAnsi="AdvOT1ef757c0+fb" w:cs="AdvOT1ef757c0+fb"/>
          <w:color w:val="000000"/>
          <w:sz w:val="21"/>
          <w:szCs w:val="21"/>
        </w:rPr>
        <w:t>fi</w:t>
      </w:r>
      <w:r>
        <w:rPr>
          <w:rFonts w:ascii="AdvOT1ef757c0" w:hAnsi="AdvOT1ef757c0" w:cs="AdvOT1ef757c0"/>
          <w:color w:val="000000"/>
          <w:sz w:val="21"/>
          <w:szCs w:val="21"/>
        </w:rPr>
        <w:t>ts of</w:t>
      </w:r>
      <w:r w:rsidRPr="00AB19F3">
        <w:rPr>
          <w:rFonts w:ascii="AdvOT1ef757c0" w:hAnsi="AdvOT1ef757c0" w:cs="AdvOT1ef757c0"/>
          <w:sz w:val="21"/>
          <w:szCs w:val="21"/>
        </w:rPr>
        <w:t xml:space="preserve"> </w:t>
      </w:r>
      <w:r>
        <w:rPr>
          <w:rFonts w:ascii="AdvOT1ef757c0" w:hAnsi="AdvOT1ef757c0" w:cs="AdvOT1ef757c0"/>
          <w:sz w:val="21"/>
          <w:szCs w:val="21"/>
        </w:rPr>
        <w:t>EIP for professionalisation in children</w:t>
      </w:r>
      <w:r>
        <w:rPr>
          <w:rFonts w:ascii="AdvOT1ef757c0+20" w:hAnsi="AdvOT1ef757c0+20" w:cs="AdvOT1ef757c0+20"/>
          <w:sz w:val="21"/>
          <w:szCs w:val="21"/>
        </w:rPr>
        <w:t>’</w:t>
      </w:r>
      <w:r>
        <w:rPr>
          <w:rFonts w:ascii="AdvOT1ef757c0" w:hAnsi="AdvOT1ef757c0" w:cs="AdvOT1ef757c0"/>
          <w:sz w:val="21"/>
          <w:szCs w:val="21"/>
        </w:rPr>
        <w:t xml:space="preserve">s social care in Ireland. The common thread that runs through </w:t>
      </w:r>
      <w:proofErr w:type="gramStart"/>
      <w:r>
        <w:rPr>
          <w:rFonts w:ascii="AdvOT1ef757c0" w:hAnsi="AdvOT1ef757c0" w:cs="AdvOT1ef757c0"/>
          <w:sz w:val="21"/>
          <w:szCs w:val="21"/>
        </w:rPr>
        <w:t>all of</w:t>
      </w:r>
      <w:proofErr w:type="gramEnd"/>
      <w:r>
        <w:rPr>
          <w:rFonts w:ascii="AdvOT1ef757c0" w:hAnsi="AdvOT1ef757c0" w:cs="AdvOT1ef757c0"/>
          <w:sz w:val="21"/>
          <w:szCs w:val="21"/>
        </w:rPr>
        <w:t xml:space="preserve"> these themes re</w:t>
      </w:r>
      <w:r>
        <w:rPr>
          <w:rFonts w:ascii="AdvOT1ef757c0+fb" w:hAnsi="AdvOT1ef757c0+fb" w:cs="AdvOT1ef757c0+fb"/>
          <w:sz w:val="21"/>
          <w:szCs w:val="21"/>
        </w:rPr>
        <w:t>fl</w:t>
      </w:r>
      <w:r>
        <w:rPr>
          <w:rFonts w:ascii="AdvOT1ef757c0" w:hAnsi="AdvOT1ef757c0" w:cs="AdvOT1ef757c0"/>
          <w:sz w:val="21"/>
          <w:szCs w:val="21"/>
        </w:rPr>
        <w:t>ects the argument underpinning this paper. Namely, that social-care workers who work with children will be increasingly expected to work in more evidence-informed ways, and that this drive will be related to, rather than distinct from, processes of professionalisation.</w:t>
      </w:r>
    </w:p>
    <w:p w:rsidR="00AB19F3" w:rsidRPr="00AB19F3" w:rsidRDefault="00AB19F3" w:rsidP="00AB19F3">
      <w:pPr>
        <w:autoSpaceDE w:val="0"/>
        <w:autoSpaceDN w:val="0"/>
        <w:adjustRightInd w:val="0"/>
        <w:spacing w:after="0" w:line="240" w:lineRule="auto"/>
        <w:jc w:val="both"/>
        <w:rPr>
          <w:rFonts w:ascii="AdvOT1ef757c0" w:hAnsi="AdvOT1ef757c0" w:cs="AdvOT1ef757c0"/>
          <w:i/>
          <w:sz w:val="21"/>
          <w:szCs w:val="21"/>
        </w:rPr>
      </w:pPr>
    </w:p>
    <w:p w:rsidR="00AB19F3" w:rsidRPr="00AB19F3" w:rsidRDefault="00AB19F3" w:rsidP="00AB19F3">
      <w:pPr>
        <w:autoSpaceDE w:val="0"/>
        <w:autoSpaceDN w:val="0"/>
        <w:adjustRightInd w:val="0"/>
        <w:spacing w:after="0" w:line="240" w:lineRule="auto"/>
        <w:jc w:val="both"/>
        <w:rPr>
          <w:rFonts w:ascii="AdvOTd0125be5.BI" w:hAnsi="AdvOTd0125be5.BI" w:cs="AdvOTd0125be5.BI"/>
          <w:i/>
          <w:sz w:val="21"/>
          <w:szCs w:val="21"/>
        </w:rPr>
      </w:pPr>
      <w:r w:rsidRPr="00AB19F3">
        <w:rPr>
          <w:rFonts w:ascii="AdvOTd0125be5.BI" w:hAnsi="AdvOTd0125be5.BI" w:cs="AdvOTd0125be5.BI"/>
          <w:i/>
          <w:sz w:val="21"/>
          <w:szCs w:val="21"/>
        </w:rPr>
        <w:t>EIP as a feature of social care professionalisation in Ireland</w:t>
      </w:r>
    </w:p>
    <w:p w:rsidR="00AB19F3" w:rsidRDefault="00AB19F3" w:rsidP="00AB19F3">
      <w:pPr>
        <w:autoSpaceDE w:val="0"/>
        <w:autoSpaceDN w:val="0"/>
        <w:adjustRightInd w:val="0"/>
        <w:spacing w:after="0" w:line="240" w:lineRule="auto"/>
        <w:jc w:val="both"/>
        <w:rPr>
          <w:rFonts w:ascii="AdvOTd0125be5.BI" w:hAnsi="AdvOTd0125be5.BI" w:cs="AdvOTd0125be5.BI"/>
          <w:sz w:val="21"/>
          <w:szCs w:val="21"/>
        </w:rPr>
      </w:pPr>
    </w:p>
    <w:p w:rsidR="00AB19F3" w:rsidRDefault="00AB19F3" w:rsidP="00F624FF">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color w:val="000000"/>
          <w:sz w:val="21"/>
          <w:szCs w:val="21"/>
        </w:rPr>
        <w:t>EIP in Ireland is compelled by and embedded within processes of professionalisation and regulation. To explore this further, this section will examine EIP as a feature of professionalisation. First, I will de</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ne the term </w:t>
      </w:r>
      <w:r>
        <w:rPr>
          <w:rFonts w:ascii="AdvOT1ef757c0+20" w:hAnsi="AdvOT1ef757c0+20" w:cs="AdvOT1ef757c0+20"/>
          <w:color w:val="000000"/>
          <w:sz w:val="21"/>
          <w:szCs w:val="21"/>
        </w:rPr>
        <w:t>“</w:t>
      </w:r>
      <w:r>
        <w:rPr>
          <w:rFonts w:ascii="AdvOT1ef757c0" w:hAnsi="AdvOT1ef757c0" w:cs="AdvOT1ef757c0"/>
          <w:color w:val="000000"/>
          <w:sz w:val="21"/>
          <w:szCs w:val="21"/>
        </w:rPr>
        <w:t>professionalisation</w:t>
      </w:r>
      <w:r>
        <w:rPr>
          <w:rFonts w:ascii="AdvOT1ef757c0+20" w:hAnsi="AdvOT1ef757c0+20" w:cs="AdvOT1ef757c0+20"/>
          <w:color w:val="000000"/>
          <w:sz w:val="21"/>
          <w:szCs w:val="21"/>
        </w:rPr>
        <w:t>”</w:t>
      </w:r>
      <w:r>
        <w:rPr>
          <w:rFonts w:ascii="AdvOT1ef757c0" w:hAnsi="AdvOT1ef757c0" w:cs="AdvOT1ef757c0"/>
          <w:color w:val="000000"/>
          <w:sz w:val="21"/>
          <w:szCs w:val="21"/>
        </w:rPr>
        <w:t>. The concept of professionalisation features in a wide variety of literature such as from sociological and feminist perspectives (Gri</w:t>
      </w:r>
      <w:r>
        <w:rPr>
          <w:rFonts w:ascii="AdvOT1ef757c0+fb" w:hAnsi="AdvOT1ef757c0+fb" w:cs="AdvOT1ef757c0+fb"/>
          <w:color w:val="000000"/>
          <w:sz w:val="21"/>
          <w:szCs w:val="21"/>
        </w:rPr>
        <w:t>ffi</w:t>
      </w:r>
      <w:r>
        <w:rPr>
          <w:rFonts w:ascii="AdvOT1ef757c0" w:hAnsi="AdvOT1ef757c0" w:cs="AdvOT1ef757c0"/>
          <w:color w:val="000000"/>
          <w:sz w:val="21"/>
          <w:szCs w:val="21"/>
        </w:rPr>
        <w:t xml:space="preserve">n, Green, &amp; </w:t>
      </w:r>
      <w:proofErr w:type="spellStart"/>
      <w:r>
        <w:rPr>
          <w:rFonts w:ascii="AdvOT1ef757c0" w:hAnsi="AdvOT1ef757c0" w:cs="AdvOT1ef757c0"/>
          <w:color w:val="000000"/>
          <w:sz w:val="21"/>
          <w:szCs w:val="21"/>
        </w:rPr>
        <w:t>Medhurst</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2005</w:t>
      </w:r>
      <w:r>
        <w:rPr>
          <w:rFonts w:ascii="AdvOT1ef757c0" w:hAnsi="AdvOT1ef757c0" w:cs="AdvOT1ef757c0"/>
          <w:color w:val="000000"/>
          <w:sz w:val="21"/>
          <w:szCs w:val="21"/>
        </w:rPr>
        <w:t>). It can be de</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ned as the process by which an activity undergoes </w:t>
      </w:r>
      <w:r>
        <w:rPr>
          <w:rFonts w:ascii="AdvOT1ef757c0+20" w:hAnsi="AdvOT1ef757c0+20" w:cs="AdvOT1ef757c0+20"/>
          <w:color w:val="000000"/>
          <w:sz w:val="21"/>
          <w:szCs w:val="21"/>
        </w:rPr>
        <w:t>“</w:t>
      </w:r>
      <w:r>
        <w:rPr>
          <w:rFonts w:ascii="AdvOT1ef757c0" w:hAnsi="AdvOT1ef757c0" w:cs="AdvOT1ef757c0"/>
          <w:color w:val="000000"/>
          <w:sz w:val="21"/>
          <w:szCs w:val="21"/>
        </w:rPr>
        <w:t>legitimisation as a profession</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 xml:space="preserve">(Power &amp; Darcy, </w:t>
      </w:r>
      <w:r>
        <w:rPr>
          <w:rFonts w:ascii="AdvOT1ef757c0" w:hAnsi="AdvOT1ef757c0" w:cs="AdvOT1ef757c0"/>
          <w:color w:val="000085"/>
          <w:sz w:val="21"/>
          <w:szCs w:val="21"/>
        </w:rPr>
        <w:t>2017</w:t>
      </w:r>
      <w:r>
        <w:rPr>
          <w:rFonts w:ascii="AdvOT1ef757c0" w:hAnsi="AdvOT1ef757c0" w:cs="AdvOT1ef757c0"/>
          <w:color w:val="000000"/>
          <w:sz w:val="21"/>
          <w:szCs w:val="21"/>
        </w:rPr>
        <w:t xml:space="preserve">, p. 4). Acknowledging that the term </w:t>
      </w:r>
      <w:r>
        <w:rPr>
          <w:rFonts w:ascii="AdvOT1ef757c0+20" w:hAnsi="AdvOT1ef757c0+20" w:cs="AdvOT1ef757c0+20"/>
          <w:color w:val="000000"/>
          <w:sz w:val="21"/>
          <w:szCs w:val="21"/>
        </w:rPr>
        <w:t>“</w:t>
      </w:r>
      <w:r>
        <w:rPr>
          <w:rFonts w:ascii="AdvOT1ef757c0" w:hAnsi="AdvOT1ef757c0" w:cs="AdvOT1ef757c0"/>
          <w:color w:val="000000"/>
          <w:sz w:val="21"/>
          <w:szCs w:val="21"/>
        </w:rPr>
        <w:t>profession</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 xml:space="preserve">is contested and that it is often not clear what separates a job from a profession, professionalisation ultimately entails social care work transforming into a </w:t>
      </w:r>
      <w:r>
        <w:rPr>
          <w:rFonts w:ascii="AdvOT1ef757c0+20" w:hAnsi="AdvOT1ef757c0+20" w:cs="AdvOT1ef757c0+20"/>
          <w:color w:val="000000"/>
          <w:sz w:val="21"/>
          <w:szCs w:val="21"/>
        </w:rPr>
        <w:t>“</w:t>
      </w:r>
      <w:r>
        <w:rPr>
          <w:rFonts w:ascii="AdvOT1ef757c0" w:hAnsi="AdvOT1ef757c0" w:cs="AdvOT1ef757c0"/>
          <w:color w:val="000000"/>
          <w:sz w:val="21"/>
          <w:szCs w:val="21"/>
        </w:rPr>
        <w:t>legitimate</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profession (Gri</w:t>
      </w:r>
      <w:r>
        <w:rPr>
          <w:rFonts w:ascii="AdvOT1ef757c0+fb" w:hAnsi="AdvOT1ef757c0+fb" w:cs="AdvOT1ef757c0+fb"/>
          <w:color w:val="000000"/>
          <w:sz w:val="21"/>
          <w:szCs w:val="21"/>
        </w:rPr>
        <w:t>ffi</w:t>
      </w:r>
      <w:r>
        <w:rPr>
          <w:rFonts w:ascii="AdvOT1ef757c0" w:hAnsi="AdvOT1ef757c0" w:cs="AdvOT1ef757c0"/>
          <w:color w:val="000000"/>
          <w:sz w:val="21"/>
          <w:szCs w:val="21"/>
        </w:rPr>
        <w:t xml:space="preserve">n et al., </w:t>
      </w:r>
      <w:r>
        <w:rPr>
          <w:rFonts w:ascii="AdvOT1ef757c0" w:hAnsi="AdvOT1ef757c0" w:cs="AdvOT1ef757c0"/>
          <w:color w:val="000085"/>
          <w:sz w:val="21"/>
          <w:szCs w:val="21"/>
        </w:rPr>
        <w:t>2005</w:t>
      </w:r>
      <w:r>
        <w:rPr>
          <w:rFonts w:ascii="AdvOT1ef757c0" w:hAnsi="AdvOT1ef757c0" w:cs="AdvOT1ef757c0"/>
          <w:color w:val="000000"/>
          <w:sz w:val="21"/>
          <w:szCs w:val="21"/>
        </w:rPr>
        <w:t xml:space="preserve">; Power &amp; Darcy, </w:t>
      </w:r>
      <w:r>
        <w:rPr>
          <w:rFonts w:ascii="AdvOT1ef757c0" w:hAnsi="AdvOT1ef757c0" w:cs="AdvOT1ef757c0"/>
          <w:color w:val="000085"/>
          <w:sz w:val="21"/>
          <w:szCs w:val="21"/>
        </w:rPr>
        <w:t>2017</w:t>
      </w:r>
      <w:r>
        <w:rPr>
          <w:rFonts w:ascii="AdvOT1ef757c0" w:hAnsi="AdvOT1ef757c0" w:cs="AdvOT1ef757c0"/>
          <w:color w:val="000000"/>
          <w:sz w:val="21"/>
          <w:szCs w:val="21"/>
        </w:rPr>
        <w:t xml:space="preserve">; Williams &amp; </w:t>
      </w:r>
      <w:proofErr w:type="spellStart"/>
      <w:r>
        <w:rPr>
          <w:rFonts w:ascii="AdvOT1ef757c0" w:hAnsi="AdvOT1ef757c0" w:cs="AdvOT1ef757c0"/>
          <w:color w:val="000000"/>
          <w:sz w:val="21"/>
          <w:szCs w:val="21"/>
        </w:rPr>
        <w:t>Lalor</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2001</w:t>
      </w:r>
      <w:r>
        <w:rPr>
          <w:rFonts w:ascii="AdvOT1ef757c0" w:hAnsi="AdvOT1ef757c0" w:cs="AdvOT1ef757c0"/>
          <w:color w:val="000000"/>
          <w:sz w:val="21"/>
          <w:szCs w:val="21"/>
        </w:rPr>
        <w:t>). In the literature, this process seems to entail acquisition</w:t>
      </w:r>
      <w:r w:rsidR="00F624FF">
        <w:rPr>
          <w:rFonts w:ascii="AdvOT1ef757c0" w:hAnsi="AdvOT1ef757c0" w:cs="AdvOT1ef757c0"/>
          <w:color w:val="000000"/>
          <w:sz w:val="21"/>
          <w:szCs w:val="21"/>
        </w:rPr>
        <w:t xml:space="preserve"> </w:t>
      </w:r>
      <w:r>
        <w:rPr>
          <w:rFonts w:ascii="AdvOT1ef757c0" w:hAnsi="AdvOT1ef757c0" w:cs="AdvOT1ef757c0"/>
          <w:color w:val="000000"/>
          <w:sz w:val="21"/>
          <w:szCs w:val="21"/>
        </w:rPr>
        <w:t>of legal protection of the</w:t>
      </w:r>
      <w:r w:rsidR="00F624FF">
        <w:rPr>
          <w:rFonts w:ascii="AdvOT1ef757c0" w:hAnsi="AdvOT1ef757c0" w:cs="AdvOT1ef757c0"/>
          <w:color w:val="000000"/>
          <w:sz w:val="21"/>
          <w:szCs w:val="21"/>
        </w:rPr>
        <w:t xml:space="preserve"> </w:t>
      </w:r>
      <w:r>
        <w:rPr>
          <w:rFonts w:ascii="AdvOT1ef757c0" w:hAnsi="AdvOT1ef757c0" w:cs="AdvOT1ef757c0"/>
          <w:color w:val="000000"/>
          <w:sz w:val="21"/>
          <w:szCs w:val="21"/>
        </w:rPr>
        <w:lastRenderedPageBreak/>
        <w:t xml:space="preserve">professional title of </w:t>
      </w:r>
      <w:r>
        <w:rPr>
          <w:rFonts w:ascii="AdvOT1ef757c0+20" w:hAnsi="AdvOT1ef757c0+20" w:cs="AdvOT1ef757c0+20"/>
          <w:color w:val="000000"/>
          <w:sz w:val="21"/>
          <w:szCs w:val="21"/>
        </w:rPr>
        <w:t>“</w:t>
      </w:r>
      <w:r>
        <w:rPr>
          <w:rFonts w:ascii="AdvOT1ef757c0" w:hAnsi="AdvOT1ef757c0" w:cs="AdvOT1ef757c0"/>
          <w:color w:val="000000"/>
          <w:sz w:val="21"/>
          <w:szCs w:val="21"/>
        </w:rPr>
        <w:t>social care worker</w:t>
      </w:r>
      <w:r>
        <w:rPr>
          <w:rFonts w:ascii="AdvOT1ef757c0+20" w:hAnsi="AdvOT1ef757c0+20" w:cs="AdvOT1ef757c0+20"/>
          <w:color w:val="000000"/>
          <w:sz w:val="21"/>
          <w:szCs w:val="21"/>
        </w:rPr>
        <w:t>”</w:t>
      </w:r>
      <w:r>
        <w:rPr>
          <w:rFonts w:ascii="AdvOT1ef757c0" w:hAnsi="AdvOT1ef757c0" w:cs="AdvOT1ef757c0"/>
          <w:color w:val="000000"/>
          <w:sz w:val="21"/>
          <w:szCs w:val="21"/>
        </w:rPr>
        <w:t>, the establishment</w:t>
      </w:r>
      <w:r w:rsidR="00F624FF">
        <w:rPr>
          <w:rFonts w:ascii="AdvOT1ef757c0" w:hAnsi="AdvOT1ef757c0" w:cs="AdvOT1ef757c0"/>
          <w:color w:val="000000"/>
          <w:sz w:val="21"/>
          <w:szCs w:val="21"/>
        </w:rPr>
        <w:t xml:space="preserve"> </w:t>
      </w:r>
      <w:r>
        <w:rPr>
          <w:rFonts w:ascii="AdvOT1ef757c0" w:hAnsi="AdvOT1ef757c0" w:cs="AdvOT1ef757c0"/>
          <w:color w:val="000000"/>
          <w:sz w:val="21"/>
          <w:szCs w:val="21"/>
        </w:rPr>
        <w:t>of a statutory register for social care</w:t>
      </w:r>
      <w:r w:rsidR="00F624FF">
        <w:rPr>
          <w:rFonts w:ascii="AdvOT1ef757c0" w:hAnsi="AdvOT1ef757c0" w:cs="AdvOT1ef757c0"/>
          <w:color w:val="000000"/>
          <w:sz w:val="21"/>
          <w:szCs w:val="21"/>
        </w:rPr>
        <w:t xml:space="preserve"> </w:t>
      </w:r>
      <w:r>
        <w:rPr>
          <w:rFonts w:ascii="AdvOT1ef757c0" w:hAnsi="AdvOT1ef757c0" w:cs="AdvOT1ef757c0"/>
          <w:color w:val="000000"/>
          <w:sz w:val="21"/>
          <w:szCs w:val="21"/>
        </w:rPr>
        <w:t>work, and the imposition of minimum standards of</w:t>
      </w:r>
      <w:r w:rsidR="00F624FF">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education, among other things (Byrne, </w:t>
      </w:r>
      <w:r>
        <w:rPr>
          <w:rFonts w:ascii="AdvOT1ef757c0" w:hAnsi="AdvOT1ef757c0" w:cs="AdvOT1ef757c0"/>
          <w:color w:val="000085"/>
          <w:sz w:val="21"/>
          <w:szCs w:val="21"/>
        </w:rPr>
        <w:t>2016</w:t>
      </w:r>
      <w:r>
        <w:rPr>
          <w:rFonts w:ascii="AdvOT1ef757c0" w:hAnsi="AdvOT1ef757c0" w:cs="AdvOT1ef757c0"/>
          <w:color w:val="000000"/>
          <w:sz w:val="21"/>
          <w:szCs w:val="21"/>
        </w:rPr>
        <w:t>;</w:t>
      </w:r>
      <w:r w:rsidR="00F624FF">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xml:space="preserve">; Power &amp; Darcy, </w:t>
      </w:r>
      <w:r>
        <w:rPr>
          <w:rFonts w:ascii="AdvOT1ef757c0" w:hAnsi="AdvOT1ef757c0" w:cs="AdvOT1ef757c0"/>
          <w:color w:val="000085"/>
          <w:sz w:val="21"/>
          <w:szCs w:val="21"/>
        </w:rPr>
        <w:t>2017</w:t>
      </w:r>
      <w:r>
        <w:rPr>
          <w:rFonts w:ascii="AdvOT1ef757c0" w:hAnsi="AdvOT1ef757c0" w:cs="AdvOT1ef757c0"/>
          <w:color w:val="000000"/>
          <w:sz w:val="21"/>
          <w:szCs w:val="21"/>
        </w:rPr>
        <w:t>; Williams</w:t>
      </w:r>
      <w:r w:rsidR="00F624FF">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&amp; </w:t>
      </w:r>
      <w:proofErr w:type="spellStart"/>
      <w:r>
        <w:rPr>
          <w:rFonts w:ascii="AdvOT1ef757c0" w:hAnsi="AdvOT1ef757c0" w:cs="AdvOT1ef757c0"/>
          <w:color w:val="000000"/>
          <w:sz w:val="21"/>
          <w:szCs w:val="21"/>
        </w:rPr>
        <w:t>Lalor</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2001</w:t>
      </w:r>
      <w:r>
        <w:rPr>
          <w:rFonts w:ascii="AdvOT1ef757c0" w:hAnsi="AdvOT1ef757c0" w:cs="AdvOT1ef757c0"/>
          <w:color w:val="000000"/>
          <w:sz w:val="21"/>
          <w:szCs w:val="21"/>
        </w:rPr>
        <w:t xml:space="preserve">). In order to work </w:t>
      </w:r>
      <w:r>
        <w:rPr>
          <w:rFonts w:ascii="AdvOT1ef757c0+20" w:hAnsi="AdvOT1ef757c0+20" w:cs="AdvOT1ef757c0+20"/>
          <w:color w:val="000000"/>
          <w:sz w:val="21"/>
          <w:szCs w:val="21"/>
        </w:rPr>
        <w:t>“</w:t>
      </w:r>
      <w:r>
        <w:rPr>
          <w:rFonts w:ascii="AdvOT1ef757c0" w:hAnsi="AdvOT1ef757c0" w:cs="AdvOT1ef757c0"/>
          <w:color w:val="000000"/>
          <w:sz w:val="21"/>
          <w:szCs w:val="21"/>
        </w:rPr>
        <w:t>professionally</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in</w:t>
      </w:r>
      <w:r w:rsidR="00F624FF">
        <w:rPr>
          <w:rFonts w:ascii="AdvOT1ef757c0" w:hAnsi="AdvOT1ef757c0" w:cs="AdvOT1ef757c0"/>
          <w:color w:val="000000"/>
          <w:sz w:val="21"/>
          <w:szCs w:val="21"/>
        </w:rPr>
        <w:t xml:space="preserve"> </w:t>
      </w:r>
      <w:r>
        <w:rPr>
          <w:rFonts w:ascii="AdvOT1ef757c0" w:hAnsi="AdvOT1ef757c0" w:cs="AdvOT1ef757c0"/>
          <w:color w:val="000000"/>
          <w:sz w:val="21"/>
          <w:szCs w:val="21"/>
        </w:rPr>
        <w:t>the context of children</w:t>
      </w:r>
      <w:r>
        <w:rPr>
          <w:rFonts w:ascii="AdvOT1ef757c0+20" w:hAnsi="AdvOT1ef757c0+20" w:cs="AdvOT1ef757c0+20"/>
          <w:color w:val="000000"/>
          <w:sz w:val="21"/>
          <w:szCs w:val="21"/>
        </w:rPr>
        <w:t>’</w:t>
      </w:r>
      <w:r>
        <w:rPr>
          <w:rFonts w:ascii="AdvOT1ef757c0" w:hAnsi="AdvOT1ef757c0" w:cs="AdvOT1ef757c0"/>
          <w:color w:val="000000"/>
          <w:sz w:val="21"/>
          <w:szCs w:val="21"/>
        </w:rPr>
        <w:t>s services,</w:t>
      </w:r>
      <w:r w:rsidR="00F624FF">
        <w:rPr>
          <w:rFonts w:ascii="AdvOT1ef757c0" w:hAnsi="AdvOT1ef757c0" w:cs="AdvOT1ef757c0"/>
          <w:color w:val="000000"/>
          <w:sz w:val="21"/>
          <w:szCs w:val="21"/>
        </w:rPr>
        <w:t xml:space="preserve"> </w:t>
      </w:r>
      <w:r>
        <w:rPr>
          <w:rFonts w:ascii="AdvOT1ef757c0" w:hAnsi="AdvOT1ef757c0" w:cs="AdvOT1ef757c0"/>
          <w:color w:val="000000"/>
          <w:sz w:val="21"/>
          <w:szCs w:val="21"/>
        </w:rPr>
        <w:t>Irish social care workers would have to achieve standards of</w:t>
      </w:r>
      <w:r w:rsidR="00F624FF">
        <w:rPr>
          <w:rFonts w:ascii="AdvOT1ef757c0" w:hAnsi="AdvOT1ef757c0" w:cs="AdvOT1ef757c0"/>
          <w:color w:val="000000"/>
          <w:sz w:val="21"/>
          <w:szCs w:val="21"/>
        </w:rPr>
        <w:t xml:space="preserve"> </w:t>
      </w:r>
      <w:r>
        <w:rPr>
          <w:rFonts w:ascii="AdvOT1ef757c0" w:hAnsi="AdvOT1ef757c0" w:cs="AdvOT1ef757c0"/>
          <w:color w:val="000000"/>
          <w:sz w:val="21"/>
          <w:szCs w:val="21"/>
        </w:rPr>
        <w:t>pro</w:t>
      </w:r>
      <w:r>
        <w:rPr>
          <w:rFonts w:ascii="AdvOT1ef757c0+fb" w:hAnsi="AdvOT1ef757c0+fb" w:cs="AdvOT1ef757c0+fb"/>
          <w:color w:val="000000"/>
          <w:sz w:val="21"/>
          <w:szCs w:val="21"/>
        </w:rPr>
        <w:t>fi</w:t>
      </w:r>
      <w:r>
        <w:rPr>
          <w:rFonts w:ascii="AdvOT1ef757c0" w:hAnsi="AdvOT1ef757c0" w:cs="AdvOT1ef757c0"/>
          <w:color w:val="000000"/>
          <w:sz w:val="21"/>
          <w:szCs w:val="21"/>
        </w:rPr>
        <w:t>ciency established by</w:t>
      </w:r>
      <w:r w:rsidR="00F624FF">
        <w:rPr>
          <w:rFonts w:ascii="AdvOT1ef757c0" w:hAnsi="AdvOT1ef757c0" w:cs="AdvOT1ef757c0"/>
          <w:color w:val="000000"/>
          <w:sz w:val="21"/>
          <w:szCs w:val="21"/>
        </w:rPr>
        <w:t xml:space="preserve"> </w:t>
      </w:r>
      <w:proofErr w:type="gramStart"/>
      <w:r>
        <w:rPr>
          <w:rFonts w:ascii="AdvOT1ef757c0" w:hAnsi="AdvOT1ef757c0" w:cs="AdvOT1ef757c0"/>
          <w:color w:val="000000"/>
          <w:sz w:val="21"/>
          <w:szCs w:val="21"/>
        </w:rPr>
        <w:t>CORU, and</w:t>
      </w:r>
      <w:proofErr w:type="gramEnd"/>
      <w:r>
        <w:rPr>
          <w:rFonts w:ascii="AdvOT1ef757c0" w:hAnsi="AdvOT1ef757c0" w:cs="AdvOT1ef757c0"/>
          <w:color w:val="000000"/>
          <w:sz w:val="21"/>
          <w:szCs w:val="21"/>
        </w:rPr>
        <w:t xml:space="preserve"> adhere to a professional code of conduct and ethics, or they</w:t>
      </w:r>
      <w:r w:rsidR="00F624FF">
        <w:rPr>
          <w:rFonts w:ascii="AdvOT1ef757c0" w:hAnsi="AdvOT1ef757c0" w:cs="AdvOT1ef757c0"/>
          <w:color w:val="000000"/>
          <w:sz w:val="21"/>
          <w:szCs w:val="21"/>
        </w:rPr>
        <w:t xml:space="preserve"> </w:t>
      </w:r>
      <w:r>
        <w:rPr>
          <w:rFonts w:ascii="AdvOT1ef757c0" w:hAnsi="AdvOT1ef757c0" w:cs="AdvOT1ef757c0"/>
          <w:color w:val="000000"/>
          <w:sz w:val="21"/>
          <w:szCs w:val="21"/>
        </w:rPr>
        <w:t>could risk</w:t>
      </w:r>
      <w:r w:rsidR="00F624FF">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losing their entitlement to practice as a social care worker (Byrne, </w:t>
      </w:r>
      <w:r>
        <w:rPr>
          <w:rFonts w:ascii="AdvOT1ef757c0" w:hAnsi="AdvOT1ef757c0" w:cs="AdvOT1ef757c0"/>
          <w:color w:val="000085"/>
          <w:sz w:val="21"/>
          <w:szCs w:val="21"/>
        </w:rPr>
        <w:t>2016</w:t>
      </w:r>
      <w:r>
        <w:rPr>
          <w:rFonts w:ascii="AdvOT1ef757c0" w:hAnsi="AdvOT1ef757c0" w:cs="AdvOT1ef757c0"/>
          <w:color w:val="000000"/>
          <w:sz w:val="21"/>
          <w:szCs w:val="21"/>
        </w:rPr>
        <w:t>). Social care</w:t>
      </w:r>
      <w:r w:rsidR="00F624FF">
        <w:rPr>
          <w:rFonts w:ascii="AdvOT1ef757c0" w:hAnsi="AdvOT1ef757c0" w:cs="AdvOT1ef757c0"/>
          <w:color w:val="000000"/>
          <w:sz w:val="21"/>
          <w:szCs w:val="21"/>
        </w:rPr>
        <w:t xml:space="preserve"> </w:t>
      </w:r>
      <w:r>
        <w:rPr>
          <w:rFonts w:ascii="AdvOT1ef757c0" w:hAnsi="AdvOT1ef757c0" w:cs="AdvOT1ef757c0"/>
          <w:color w:val="000000"/>
          <w:sz w:val="21"/>
          <w:szCs w:val="21"/>
        </w:rPr>
        <w:t>workers will also need to understand the role of evidence in their work with children.</w:t>
      </w:r>
    </w:p>
    <w:p w:rsidR="0079207A" w:rsidRDefault="0079207A" w:rsidP="00CE0CAF">
      <w:pPr>
        <w:autoSpaceDE w:val="0"/>
        <w:autoSpaceDN w:val="0"/>
        <w:adjustRightInd w:val="0"/>
        <w:spacing w:after="0" w:line="240" w:lineRule="auto"/>
        <w:ind w:firstLine="720"/>
        <w:jc w:val="both"/>
        <w:rPr>
          <w:rFonts w:ascii="AdvOT1ef757c0" w:hAnsi="AdvOT1ef757c0" w:cs="AdvOT1ef757c0"/>
          <w:color w:val="000000"/>
          <w:sz w:val="21"/>
          <w:szCs w:val="21"/>
        </w:rPr>
      </w:pPr>
      <w:r>
        <w:rPr>
          <w:rFonts w:ascii="AdvOT1ef757c0" w:hAnsi="AdvOT1ef757c0" w:cs="AdvOT1ef757c0"/>
          <w:color w:val="000000"/>
          <w:sz w:val="21"/>
          <w:szCs w:val="21"/>
        </w:rPr>
        <w:t>CORU Standards of Pro</w:t>
      </w:r>
      <w:r>
        <w:rPr>
          <w:rFonts w:ascii="AdvOT1ef757c0+fb" w:hAnsi="AdvOT1ef757c0+fb" w:cs="AdvOT1ef757c0+fb"/>
          <w:color w:val="000000"/>
          <w:sz w:val="21"/>
          <w:szCs w:val="21"/>
        </w:rPr>
        <w:t>fi</w:t>
      </w:r>
      <w:r>
        <w:rPr>
          <w:rFonts w:ascii="AdvOT1ef757c0" w:hAnsi="AdvOT1ef757c0" w:cs="AdvOT1ef757c0"/>
          <w:color w:val="000000"/>
          <w:sz w:val="21"/>
          <w:szCs w:val="21"/>
        </w:rPr>
        <w:t>ciency (</w:t>
      </w:r>
      <w:r>
        <w:rPr>
          <w:rFonts w:ascii="AdvOT1ef757c0" w:hAnsi="AdvOT1ef757c0" w:cs="AdvOT1ef757c0"/>
          <w:color w:val="000085"/>
          <w:sz w:val="21"/>
          <w:szCs w:val="21"/>
        </w:rPr>
        <w:t>2017b</w:t>
      </w:r>
      <w:r>
        <w:rPr>
          <w:rFonts w:ascii="AdvOT1ef757c0" w:hAnsi="AdvOT1ef757c0" w:cs="AdvOT1ef757c0"/>
          <w:color w:val="000000"/>
          <w:sz w:val="21"/>
          <w:szCs w:val="21"/>
        </w:rPr>
        <w:t xml:space="preserve">, p. 9) for Irish social care workers require that </w:t>
      </w:r>
      <w:r>
        <w:rPr>
          <w:rFonts w:ascii="AdvOT1ef757c0+20" w:hAnsi="AdvOT1ef757c0+20" w:cs="AdvOT1ef757c0+20"/>
          <w:color w:val="000000"/>
          <w:sz w:val="21"/>
          <w:szCs w:val="21"/>
        </w:rPr>
        <w:t>“</w:t>
      </w:r>
      <w:r>
        <w:rPr>
          <w:rFonts w:ascii="AdvOT1ef757c0" w:hAnsi="AdvOT1ef757c0" w:cs="AdvOT1ef757c0"/>
          <w:color w:val="000000"/>
          <w:sz w:val="21"/>
          <w:szCs w:val="21"/>
        </w:rPr>
        <w:t>principles</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 xml:space="preserve">and </w:t>
      </w:r>
      <w:r>
        <w:rPr>
          <w:rFonts w:ascii="AdvOT1ef757c0+20" w:hAnsi="AdvOT1ef757c0+20" w:cs="AdvOT1ef757c0+20"/>
          <w:color w:val="000000"/>
          <w:sz w:val="21"/>
          <w:szCs w:val="21"/>
        </w:rPr>
        <w:t>“</w:t>
      </w:r>
      <w:r>
        <w:rPr>
          <w:rFonts w:ascii="AdvOT1ef757c0" w:hAnsi="AdvOT1ef757c0" w:cs="AdvOT1ef757c0"/>
          <w:color w:val="000000"/>
          <w:sz w:val="21"/>
          <w:szCs w:val="21"/>
        </w:rPr>
        <w:t>applications</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of EIP and scienti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c inquiry are known by registrants. It elaborates that practitioners will </w:t>
      </w:r>
      <w:r>
        <w:rPr>
          <w:rFonts w:ascii="AdvOT1ef757c0+20" w:hAnsi="AdvOT1ef757c0+20" w:cs="AdvOT1ef757c0+20"/>
          <w:color w:val="000000"/>
          <w:sz w:val="21"/>
          <w:szCs w:val="21"/>
        </w:rPr>
        <w:t>“</w:t>
      </w:r>
      <w:r>
        <w:rPr>
          <w:rFonts w:ascii="AdvOT1ef757c0" w:hAnsi="AdvOT1ef757c0" w:cs="AdvOT1ef757c0"/>
          <w:color w:val="000000"/>
          <w:sz w:val="21"/>
          <w:szCs w:val="21"/>
        </w:rPr>
        <w:t>demonstrate skills in evidence-informed practice, including an understanding of competing theories, concepts and frameworks underpinning social care work and demonstrate an ability to apply the appropriate method in professional practice</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(p. 9). In work with children, this might include theories of child development or understanding the implications of children</w:t>
      </w:r>
      <w:r>
        <w:rPr>
          <w:rFonts w:ascii="AdvOT1ef757c0+20" w:hAnsi="AdvOT1ef757c0+20" w:cs="AdvOT1ef757c0+20"/>
          <w:color w:val="000000"/>
          <w:sz w:val="21"/>
          <w:szCs w:val="21"/>
        </w:rPr>
        <w:t>’</w:t>
      </w:r>
      <w:r>
        <w:rPr>
          <w:rFonts w:ascii="AdvOT1ef757c0" w:hAnsi="AdvOT1ef757c0" w:cs="AdvOT1ef757c0"/>
          <w:color w:val="000000"/>
          <w:sz w:val="21"/>
          <w:szCs w:val="21"/>
        </w:rPr>
        <w:t xml:space="preserve">s rights for practice (Kilkelly, </w:t>
      </w:r>
      <w:r>
        <w:rPr>
          <w:rFonts w:ascii="AdvOT1ef757c0" w:hAnsi="AdvOT1ef757c0" w:cs="AdvOT1ef757c0"/>
          <w:color w:val="000085"/>
          <w:sz w:val="21"/>
          <w:szCs w:val="21"/>
        </w:rPr>
        <w:t>2017</w:t>
      </w:r>
      <w:r>
        <w:rPr>
          <w:rFonts w:ascii="AdvOT1ef757c0" w:hAnsi="AdvOT1ef757c0" w:cs="AdvOT1ef757c0"/>
          <w:color w:val="000000"/>
          <w:sz w:val="21"/>
          <w:szCs w:val="21"/>
        </w:rPr>
        <w:t xml:space="preserve">). Within this, ethical considerations may also interface with the use of EIP (Banks, </w:t>
      </w:r>
      <w:r>
        <w:rPr>
          <w:rFonts w:ascii="AdvOT1ef757c0" w:hAnsi="AdvOT1ef757c0" w:cs="AdvOT1ef757c0"/>
          <w:color w:val="000085"/>
          <w:sz w:val="21"/>
          <w:szCs w:val="21"/>
        </w:rPr>
        <w:t>2004</w:t>
      </w:r>
      <w:r>
        <w:rPr>
          <w:rFonts w:ascii="AdvOT1ef757c0" w:hAnsi="AdvOT1ef757c0" w:cs="AdvOT1ef757c0"/>
          <w:color w:val="000000"/>
          <w:sz w:val="21"/>
          <w:szCs w:val="21"/>
        </w:rPr>
        <w:t xml:space="preserve">, </w:t>
      </w:r>
      <w:r>
        <w:rPr>
          <w:rFonts w:ascii="AdvOT1ef757c0" w:hAnsi="AdvOT1ef757c0" w:cs="AdvOT1ef757c0"/>
          <w:color w:val="000085"/>
          <w:sz w:val="21"/>
          <w:szCs w:val="21"/>
        </w:rPr>
        <w:t>2007</w:t>
      </w:r>
      <w:r>
        <w:rPr>
          <w:rFonts w:ascii="AdvOT1ef757c0" w:hAnsi="AdvOT1ef757c0" w:cs="AdvOT1ef757c0"/>
          <w:color w:val="000000"/>
          <w:sz w:val="21"/>
          <w:szCs w:val="21"/>
        </w:rPr>
        <w:t>). The UK</w:t>
      </w:r>
      <w:r>
        <w:rPr>
          <w:rFonts w:ascii="AdvOT1ef757c0+20" w:hAnsi="AdvOT1ef757c0+20" w:cs="AdvOT1ef757c0+20"/>
          <w:color w:val="000000"/>
          <w:sz w:val="21"/>
          <w:szCs w:val="21"/>
        </w:rPr>
        <w:t>’</w:t>
      </w:r>
      <w:r>
        <w:rPr>
          <w:rFonts w:ascii="AdvOT1ef757c0" w:hAnsi="AdvOT1ef757c0" w:cs="AdvOT1ef757c0"/>
          <w:color w:val="000000"/>
          <w:sz w:val="21"/>
          <w:szCs w:val="21"/>
        </w:rPr>
        <w:t xml:space="preserve">s Social Care Institute for Excellence, for example, makes prescriptions for the profession related to the need to conduct practice using evidence (Fisher, </w:t>
      </w:r>
      <w:r>
        <w:rPr>
          <w:rFonts w:ascii="AdvOT1ef757c0" w:hAnsi="AdvOT1ef757c0" w:cs="AdvOT1ef757c0"/>
          <w:color w:val="000085"/>
          <w:sz w:val="21"/>
          <w:szCs w:val="21"/>
        </w:rPr>
        <w:t>2016</w:t>
      </w:r>
      <w:r>
        <w:rPr>
          <w:rFonts w:ascii="AdvOT1ef757c0" w:hAnsi="AdvOT1ef757c0" w:cs="AdvOT1ef757c0"/>
          <w:color w:val="000000"/>
          <w:sz w:val="21"/>
          <w:szCs w:val="21"/>
        </w:rPr>
        <w:t xml:space="preserve">). Furthermore, within CORU criterion for the education of social care practitioners in Ireland, it is concluded that </w:t>
      </w:r>
      <w:r>
        <w:rPr>
          <w:rFonts w:ascii="AdvOT1ef757c0+20" w:hAnsi="AdvOT1ef757c0+20" w:cs="AdvOT1ef757c0+20"/>
          <w:color w:val="000000"/>
          <w:sz w:val="21"/>
          <w:szCs w:val="21"/>
        </w:rPr>
        <w:t>“</w:t>
      </w:r>
      <w:r>
        <w:rPr>
          <w:rFonts w:ascii="AdvOT1ef757c0" w:hAnsi="AdvOT1ef757c0" w:cs="AdvOT1ef757c0"/>
          <w:color w:val="000000"/>
          <w:sz w:val="21"/>
          <w:szCs w:val="21"/>
        </w:rPr>
        <w:t>curriculum must be guided by evidence-informed professional knowledge</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w:t>
      </w:r>
      <w:r>
        <w:rPr>
          <w:rFonts w:ascii="AdvOT1ef757c0" w:hAnsi="AdvOT1ef757c0" w:cs="AdvOT1ef757c0"/>
          <w:color w:val="000085"/>
          <w:sz w:val="21"/>
          <w:szCs w:val="21"/>
        </w:rPr>
        <w:t>2017a</w:t>
      </w:r>
      <w:r>
        <w:rPr>
          <w:rFonts w:ascii="AdvOT1ef757c0" w:hAnsi="AdvOT1ef757c0" w:cs="AdvOT1ef757c0"/>
          <w:color w:val="000000"/>
          <w:sz w:val="21"/>
          <w:szCs w:val="21"/>
        </w:rPr>
        <w:t>, p. 10). This would need to include more specialised knowledge on speci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c populations such as children (CORU, </w:t>
      </w:r>
      <w:r>
        <w:rPr>
          <w:rFonts w:ascii="AdvOT1ef757c0" w:hAnsi="AdvOT1ef757c0" w:cs="AdvOT1ef757c0"/>
          <w:color w:val="000085"/>
          <w:sz w:val="21"/>
          <w:szCs w:val="21"/>
        </w:rPr>
        <w:t>2017a</w:t>
      </w:r>
      <w:r>
        <w:rPr>
          <w:rFonts w:ascii="AdvOT1ef757c0" w:hAnsi="AdvOT1ef757c0" w:cs="AdvOT1ef757c0"/>
          <w:color w:val="000000"/>
          <w:sz w:val="21"/>
          <w:szCs w:val="21"/>
        </w:rPr>
        <w:t>). It is perhaps clear, therefore, that both the education and practice of social care workers who work with children in Ireland must involve evidence-informed and evidence-based ways of working.</w:t>
      </w:r>
    </w:p>
    <w:p w:rsidR="00CE0CAF" w:rsidRDefault="009D5847" w:rsidP="00CE0CAF">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color w:val="000000"/>
          <w:sz w:val="21"/>
          <w:szCs w:val="21"/>
        </w:rPr>
        <w:t>In the case example of practice with children, the Agenda for Children</w:t>
      </w:r>
      <w:r>
        <w:rPr>
          <w:rFonts w:ascii="AdvOT1ef757c0+20" w:hAnsi="AdvOT1ef757c0+20" w:cs="AdvOT1ef757c0+20"/>
          <w:color w:val="000000"/>
          <w:sz w:val="21"/>
          <w:szCs w:val="21"/>
        </w:rPr>
        <w:t>’</w:t>
      </w:r>
      <w:r>
        <w:rPr>
          <w:rFonts w:ascii="AdvOT1ef757c0" w:hAnsi="AdvOT1ef757c0" w:cs="AdvOT1ef757c0"/>
          <w:color w:val="000000"/>
          <w:sz w:val="21"/>
          <w:szCs w:val="21"/>
        </w:rPr>
        <w:t>s Services and National Children</w:t>
      </w:r>
      <w:r>
        <w:rPr>
          <w:rFonts w:ascii="AdvOT1ef757c0+20" w:hAnsi="AdvOT1ef757c0+20" w:cs="AdvOT1ef757c0+20"/>
          <w:color w:val="000000"/>
          <w:sz w:val="21"/>
          <w:szCs w:val="21"/>
        </w:rPr>
        <w:t>’</w:t>
      </w:r>
      <w:r>
        <w:rPr>
          <w:rFonts w:ascii="AdvOT1ef757c0" w:hAnsi="AdvOT1ef757c0" w:cs="AdvOT1ef757c0"/>
          <w:color w:val="000000"/>
          <w:sz w:val="21"/>
          <w:szCs w:val="21"/>
        </w:rPr>
        <w:t xml:space="preserve">s Strategy, for instance, promote an evidence-informed orientation (Minister for Children, </w:t>
      </w:r>
      <w:r>
        <w:rPr>
          <w:rFonts w:ascii="AdvOT1ef757c0" w:hAnsi="AdvOT1ef757c0" w:cs="AdvOT1ef757c0"/>
          <w:color w:val="000085"/>
          <w:sz w:val="21"/>
          <w:szCs w:val="21"/>
        </w:rPr>
        <w:t>2007</w:t>
      </w:r>
      <w:r>
        <w:rPr>
          <w:rFonts w:ascii="AdvOT1ef757c0" w:hAnsi="AdvOT1ef757c0" w:cs="AdvOT1ef757c0"/>
          <w:color w:val="000000"/>
          <w:sz w:val="21"/>
          <w:szCs w:val="21"/>
        </w:rPr>
        <w:t xml:space="preserve">). </w:t>
      </w:r>
    </w:p>
    <w:p w:rsidR="00721EDC" w:rsidRDefault="009D5847" w:rsidP="00721EDC">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color w:val="000000"/>
          <w:sz w:val="21"/>
          <w:szCs w:val="21"/>
        </w:rPr>
        <w:t>Accordingly, Department of Health and Children policy states that practitioners should draw on evidence in their work, providing examples of</w:t>
      </w:r>
      <w:r w:rsidR="002537DB">
        <w:rPr>
          <w:rFonts w:ascii="AdvOT1ef757c0" w:hAnsi="AdvOT1ef757c0" w:cs="AdvOT1ef757c0"/>
          <w:color w:val="000000"/>
          <w:sz w:val="21"/>
          <w:szCs w:val="21"/>
        </w:rPr>
        <w:t xml:space="preserve"> sources such as local statistical evidence (</w:t>
      </w:r>
      <w:r w:rsidR="002537DB">
        <w:rPr>
          <w:rFonts w:ascii="AdvOT1ef757c0" w:hAnsi="AdvOT1ef757c0" w:cs="AdvOT1ef757c0"/>
          <w:color w:val="000085"/>
          <w:sz w:val="21"/>
          <w:szCs w:val="21"/>
        </w:rPr>
        <w:t>2004</w:t>
      </w:r>
      <w:r w:rsidR="002537DB">
        <w:rPr>
          <w:rFonts w:ascii="AdvOT1ef757c0" w:hAnsi="AdvOT1ef757c0" w:cs="AdvOT1ef757c0"/>
          <w:color w:val="000000"/>
          <w:sz w:val="21"/>
          <w:szCs w:val="21"/>
        </w:rPr>
        <w:t xml:space="preserve">). Towards some </w:t>
      </w:r>
      <w:r w:rsidR="002537DB">
        <w:rPr>
          <w:rFonts w:ascii="AdvOT1ef757c0+fb" w:hAnsi="AdvOT1ef757c0+fb" w:cs="AdvOT1ef757c0+fb"/>
          <w:color w:val="000000"/>
          <w:sz w:val="21"/>
          <w:szCs w:val="21"/>
        </w:rPr>
        <w:t>fi</w:t>
      </w:r>
      <w:r w:rsidR="002537DB">
        <w:rPr>
          <w:rFonts w:ascii="AdvOT1ef757c0" w:hAnsi="AdvOT1ef757c0" w:cs="AdvOT1ef757c0"/>
          <w:color w:val="000000"/>
          <w:sz w:val="21"/>
          <w:szCs w:val="21"/>
        </w:rPr>
        <w:t>nal illustration, the Health Information and Quality Authority (HIQA) standards (</w:t>
      </w:r>
      <w:r w:rsidR="002537DB">
        <w:rPr>
          <w:rFonts w:ascii="AdvOT1ef757c0" w:hAnsi="AdvOT1ef757c0" w:cs="AdvOT1ef757c0"/>
          <w:color w:val="000085"/>
          <w:sz w:val="21"/>
          <w:szCs w:val="21"/>
        </w:rPr>
        <w:t>2012</w:t>
      </w:r>
      <w:r w:rsidR="002537DB">
        <w:rPr>
          <w:rFonts w:ascii="AdvOT1ef757c0" w:hAnsi="AdvOT1ef757c0" w:cs="AdvOT1ef757c0"/>
          <w:color w:val="000000"/>
          <w:sz w:val="21"/>
          <w:szCs w:val="21"/>
        </w:rPr>
        <w:t>) for children</w:t>
      </w:r>
      <w:r w:rsidR="002537DB">
        <w:rPr>
          <w:rFonts w:ascii="AdvOT1ef757c0+20" w:hAnsi="AdvOT1ef757c0+20" w:cs="AdvOT1ef757c0+20"/>
          <w:color w:val="000000"/>
          <w:sz w:val="21"/>
          <w:szCs w:val="21"/>
        </w:rPr>
        <w:t>’</w:t>
      </w:r>
      <w:r w:rsidR="002537DB">
        <w:rPr>
          <w:rFonts w:ascii="AdvOT1ef757c0" w:hAnsi="AdvOT1ef757c0" w:cs="AdvOT1ef757c0"/>
          <w:color w:val="000000"/>
          <w:sz w:val="21"/>
          <w:szCs w:val="21"/>
        </w:rPr>
        <w:t xml:space="preserve">s services explicitly promote practice based upon </w:t>
      </w:r>
      <w:r w:rsidR="002537DB">
        <w:rPr>
          <w:rFonts w:ascii="AdvOT1ef757c0+20" w:hAnsi="AdvOT1ef757c0+20" w:cs="AdvOT1ef757c0+20"/>
          <w:color w:val="000000"/>
          <w:sz w:val="21"/>
          <w:szCs w:val="21"/>
        </w:rPr>
        <w:t>“</w:t>
      </w:r>
      <w:r w:rsidR="002537DB">
        <w:rPr>
          <w:rFonts w:ascii="AdvOT1ef757c0" w:hAnsi="AdvOT1ef757c0" w:cs="AdvOT1ef757c0"/>
          <w:color w:val="000000"/>
          <w:sz w:val="21"/>
          <w:szCs w:val="21"/>
        </w:rPr>
        <w:t>evidence.</w:t>
      </w:r>
      <w:r w:rsidR="002537DB">
        <w:rPr>
          <w:rFonts w:ascii="AdvOT1ef757c0+20" w:hAnsi="AdvOT1ef757c0+20" w:cs="AdvOT1ef757c0+20"/>
          <w:color w:val="000000"/>
          <w:sz w:val="21"/>
          <w:szCs w:val="21"/>
        </w:rPr>
        <w:t xml:space="preserve">” </w:t>
      </w:r>
      <w:r w:rsidR="002537DB">
        <w:rPr>
          <w:rFonts w:ascii="AdvOT1ef757c0" w:hAnsi="AdvOT1ef757c0" w:cs="AdvOT1ef757c0"/>
          <w:color w:val="000000"/>
          <w:sz w:val="21"/>
          <w:szCs w:val="21"/>
        </w:rPr>
        <w:t>Paradoxically, however, despite drives to implement research evidence, existing evidence that veri</w:t>
      </w:r>
      <w:r w:rsidR="002537DB">
        <w:rPr>
          <w:rFonts w:ascii="AdvOT1ef757c0+fb" w:hAnsi="AdvOT1ef757c0+fb" w:cs="AdvOT1ef757c0+fb"/>
          <w:color w:val="000000"/>
          <w:sz w:val="21"/>
          <w:szCs w:val="21"/>
        </w:rPr>
        <w:t>fi</w:t>
      </w:r>
      <w:r w:rsidR="002537DB">
        <w:rPr>
          <w:rFonts w:ascii="AdvOT1ef757c0" w:hAnsi="AdvOT1ef757c0" w:cs="AdvOT1ef757c0"/>
          <w:color w:val="000000"/>
          <w:sz w:val="21"/>
          <w:szCs w:val="21"/>
        </w:rPr>
        <w:t>es that social care policy and practice is expansively research based is lacking (Barnardo</w:t>
      </w:r>
      <w:r w:rsidR="002537DB">
        <w:rPr>
          <w:rFonts w:ascii="AdvOT1ef757c0+20" w:hAnsi="AdvOT1ef757c0+20" w:cs="AdvOT1ef757c0+20"/>
          <w:color w:val="000000"/>
          <w:sz w:val="21"/>
          <w:szCs w:val="21"/>
        </w:rPr>
        <w:t>’</w:t>
      </w:r>
      <w:r w:rsidR="002537DB">
        <w:rPr>
          <w:rFonts w:ascii="AdvOT1ef757c0" w:hAnsi="AdvOT1ef757c0" w:cs="AdvOT1ef757c0"/>
          <w:color w:val="000000"/>
          <w:sz w:val="21"/>
          <w:szCs w:val="21"/>
        </w:rPr>
        <w:t xml:space="preserve">s, </w:t>
      </w:r>
      <w:r w:rsidR="002537DB">
        <w:rPr>
          <w:rFonts w:ascii="AdvOT1ef757c0" w:hAnsi="AdvOT1ef757c0" w:cs="AdvOT1ef757c0"/>
          <w:color w:val="000085"/>
          <w:sz w:val="21"/>
          <w:szCs w:val="21"/>
        </w:rPr>
        <w:t>2000</w:t>
      </w:r>
      <w:r w:rsidR="002537DB">
        <w:rPr>
          <w:rFonts w:ascii="AdvOT1ef757c0" w:hAnsi="AdvOT1ef757c0" w:cs="AdvOT1ef757c0"/>
          <w:color w:val="000000"/>
          <w:sz w:val="21"/>
          <w:szCs w:val="21"/>
        </w:rPr>
        <w:t xml:space="preserve">). Rather, it is substantially evidenced that social care practice lacks application of research </w:t>
      </w:r>
      <w:r w:rsidR="002537DB">
        <w:rPr>
          <w:rFonts w:ascii="AdvOT1ef757c0+fb" w:hAnsi="AdvOT1ef757c0+fb" w:cs="AdvOT1ef757c0+fb"/>
          <w:color w:val="000000"/>
          <w:sz w:val="21"/>
          <w:szCs w:val="21"/>
        </w:rPr>
        <w:t>fi</w:t>
      </w:r>
      <w:r w:rsidR="002537DB">
        <w:rPr>
          <w:rFonts w:ascii="AdvOT1ef757c0" w:hAnsi="AdvOT1ef757c0" w:cs="AdvOT1ef757c0"/>
          <w:color w:val="000000"/>
          <w:sz w:val="21"/>
          <w:szCs w:val="21"/>
        </w:rPr>
        <w:t xml:space="preserve">ndings, including practice with </w:t>
      </w:r>
      <w:proofErr w:type="gramStart"/>
      <w:r w:rsidR="002537DB">
        <w:rPr>
          <w:rFonts w:ascii="AdvOT1ef757c0" w:hAnsi="AdvOT1ef757c0" w:cs="AdvOT1ef757c0"/>
          <w:color w:val="000000"/>
          <w:sz w:val="21"/>
          <w:szCs w:val="21"/>
        </w:rPr>
        <w:t>children in particular</w:t>
      </w:r>
      <w:proofErr w:type="gramEnd"/>
      <w:r w:rsidR="002537DB">
        <w:rPr>
          <w:rFonts w:ascii="AdvOT1ef757c0" w:hAnsi="AdvOT1ef757c0" w:cs="AdvOT1ef757c0"/>
          <w:color w:val="000000"/>
          <w:sz w:val="21"/>
          <w:szCs w:val="21"/>
        </w:rPr>
        <w:t xml:space="preserve"> (</w:t>
      </w:r>
      <w:proofErr w:type="spellStart"/>
      <w:r w:rsidR="002537DB">
        <w:rPr>
          <w:rFonts w:ascii="AdvOT1ef757c0" w:hAnsi="AdvOT1ef757c0" w:cs="AdvOT1ef757c0"/>
          <w:color w:val="000000"/>
          <w:sz w:val="21"/>
          <w:szCs w:val="21"/>
        </w:rPr>
        <w:t>Barnados</w:t>
      </w:r>
      <w:proofErr w:type="spellEnd"/>
      <w:r w:rsidR="002537DB">
        <w:rPr>
          <w:rFonts w:ascii="AdvOT1ef757c0" w:hAnsi="AdvOT1ef757c0" w:cs="AdvOT1ef757c0"/>
          <w:color w:val="000000"/>
          <w:sz w:val="21"/>
          <w:szCs w:val="21"/>
        </w:rPr>
        <w:t xml:space="preserve">, </w:t>
      </w:r>
      <w:r w:rsidR="002537DB">
        <w:rPr>
          <w:rFonts w:ascii="AdvOT1ef757c0" w:hAnsi="AdvOT1ef757c0" w:cs="AdvOT1ef757c0"/>
          <w:color w:val="000085"/>
          <w:sz w:val="21"/>
          <w:szCs w:val="21"/>
        </w:rPr>
        <w:t>2000</w:t>
      </w:r>
      <w:r w:rsidR="002537DB">
        <w:rPr>
          <w:rFonts w:ascii="AdvOT1ef757c0" w:hAnsi="AdvOT1ef757c0" w:cs="AdvOT1ef757c0"/>
          <w:color w:val="000000"/>
          <w:sz w:val="21"/>
          <w:szCs w:val="21"/>
        </w:rPr>
        <w:t xml:space="preserve">; </w:t>
      </w:r>
      <w:proofErr w:type="spellStart"/>
      <w:r w:rsidR="002537DB">
        <w:rPr>
          <w:rFonts w:ascii="AdvOT1ef757c0" w:hAnsi="AdvOT1ef757c0" w:cs="AdvOT1ef757c0"/>
          <w:color w:val="000000"/>
          <w:sz w:val="21"/>
          <w:szCs w:val="21"/>
        </w:rPr>
        <w:t>Gambrill</w:t>
      </w:r>
      <w:proofErr w:type="spellEnd"/>
      <w:r w:rsidR="002537DB">
        <w:rPr>
          <w:rFonts w:ascii="AdvOT1ef757c0" w:hAnsi="AdvOT1ef757c0" w:cs="AdvOT1ef757c0"/>
          <w:color w:val="000000"/>
          <w:sz w:val="21"/>
          <w:szCs w:val="21"/>
        </w:rPr>
        <w:t xml:space="preserve">, </w:t>
      </w:r>
      <w:r w:rsidR="002537DB">
        <w:rPr>
          <w:rFonts w:ascii="AdvOT1ef757c0" w:hAnsi="AdvOT1ef757c0" w:cs="AdvOT1ef757c0"/>
          <w:color w:val="000085"/>
          <w:sz w:val="21"/>
          <w:szCs w:val="21"/>
        </w:rPr>
        <w:t>1999</w:t>
      </w:r>
      <w:r w:rsidR="002537DB">
        <w:rPr>
          <w:rFonts w:ascii="AdvOT1ef757c0" w:hAnsi="AdvOT1ef757c0" w:cs="AdvOT1ef757c0"/>
          <w:color w:val="000000"/>
          <w:sz w:val="21"/>
          <w:szCs w:val="21"/>
        </w:rPr>
        <w:t xml:space="preserve">; Randall, </w:t>
      </w:r>
      <w:proofErr w:type="spellStart"/>
      <w:r w:rsidR="002537DB">
        <w:rPr>
          <w:rFonts w:ascii="AdvOT1ef757c0" w:hAnsi="AdvOT1ef757c0" w:cs="AdvOT1ef757c0"/>
          <w:color w:val="000000"/>
          <w:sz w:val="21"/>
          <w:szCs w:val="21"/>
        </w:rPr>
        <w:t>Cowley</w:t>
      </w:r>
      <w:proofErr w:type="spellEnd"/>
      <w:r w:rsidR="002537DB">
        <w:rPr>
          <w:rFonts w:ascii="AdvOT1ef757c0" w:hAnsi="AdvOT1ef757c0" w:cs="AdvOT1ef757c0"/>
          <w:color w:val="000000"/>
          <w:sz w:val="21"/>
          <w:szCs w:val="21"/>
        </w:rPr>
        <w:t xml:space="preserve">, &amp; Tomlinson, </w:t>
      </w:r>
      <w:r w:rsidR="002537DB">
        <w:rPr>
          <w:rFonts w:ascii="AdvOT1ef757c0" w:hAnsi="AdvOT1ef757c0" w:cs="AdvOT1ef757c0"/>
          <w:color w:val="000085"/>
          <w:sz w:val="21"/>
          <w:szCs w:val="21"/>
        </w:rPr>
        <w:t>2000</w:t>
      </w:r>
      <w:r w:rsidR="002537DB">
        <w:rPr>
          <w:rFonts w:ascii="AdvOT1ef757c0" w:hAnsi="AdvOT1ef757c0" w:cs="AdvOT1ef757c0"/>
          <w:color w:val="000000"/>
          <w:sz w:val="21"/>
          <w:szCs w:val="21"/>
        </w:rPr>
        <w:t xml:space="preserve">; Sheldon &amp; </w:t>
      </w:r>
      <w:proofErr w:type="spellStart"/>
      <w:r w:rsidR="002537DB">
        <w:rPr>
          <w:rFonts w:ascii="AdvOT1ef757c0" w:hAnsi="AdvOT1ef757c0" w:cs="AdvOT1ef757c0"/>
          <w:color w:val="000000"/>
          <w:sz w:val="21"/>
          <w:szCs w:val="21"/>
        </w:rPr>
        <w:t>Chilvers</w:t>
      </w:r>
      <w:proofErr w:type="spellEnd"/>
      <w:r w:rsidR="002537DB">
        <w:rPr>
          <w:rFonts w:ascii="AdvOT1ef757c0" w:hAnsi="AdvOT1ef757c0" w:cs="AdvOT1ef757c0"/>
          <w:color w:val="000000"/>
          <w:sz w:val="21"/>
          <w:szCs w:val="21"/>
        </w:rPr>
        <w:t xml:space="preserve">, </w:t>
      </w:r>
      <w:r w:rsidR="002537DB">
        <w:rPr>
          <w:rFonts w:ascii="AdvOT1ef757c0" w:hAnsi="AdvOT1ef757c0" w:cs="AdvOT1ef757c0"/>
          <w:color w:val="000085"/>
          <w:sz w:val="21"/>
          <w:szCs w:val="21"/>
        </w:rPr>
        <w:t>2000</w:t>
      </w:r>
      <w:r w:rsidR="002537DB">
        <w:rPr>
          <w:rFonts w:ascii="AdvOT1ef757c0" w:hAnsi="AdvOT1ef757c0" w:cs="AdvOT1ef757c0"/>
          <w:color w:val="000000"/>
          <w:sz w:val="21"/>
          <w:szCs w:val="21"/>
        </w:rPr>
        <w:t xml:space="preserve">; Stevens et al., </w:t>
      </w:r>
      <w:r w:rsidR="002537DB">
        <w:rPr>
          <w:rFonts w:ascii="AdvOT1ef757c0" w:hAnsi="AdvOT1ef757c0" w:cs="AdvOT1ef757c0"/>
          <w:color w:val="000085"/>
          <w:sz w:val="21"/>
          <w:szCs w:val="21"/>
        </w:rPr>
        <w:t>2007</w:t>
      </w:r>
      <w:r w:rsidR="002537DB">
        <w:rPr>
          <w:rFonts w:ascii="AdvOT1ef757c0" w:hAnsi="AdvOT1ef757c0" w:cs="AdvOT1ef757c0"/>
          <w:color w:val="000000"/>
          <w:sz w:val="21"/>
          <w:szCs w:val="21"/>
        </w:rPr>
        <w:t>). Notwithstanding this, processes of registration and professionalisation will, however, directly impact on the education of professionals and their knowledge base (Gri</w:t>
      </w:r>
      <w:r w:rsidR="002537DB">
        <w:rPr>
          <w:rFonts w:ascii="AdvOT1ef757c0+fb" w:hAnsi="AdvOT1ef757c0+fb" w:cs="AdvOT1ef757c0+fb"/>
          <w:color w:val="000000"/>
          <w:sz w:val="21"/>
          <w:szCs w:val="21"/>
        </w:rPr>
        <w:t>ffi</w:t>
      </w:r>
      <w:r w:rsidR="002537DB">
        <w:rPr>
          <w:rFonts w:ascii="AdvOT1ef757c0" w:hAnsi="AdvOT1ef757c0" w:cs="AdvOT1ef757c0"/>
          <w:color w:val="000000"/>
          <w:sz w:val="21"/>
          <w:szCs w:val="21"/>
        </w:rPr>
        <w:t xml:space="preserve">n, Green, &amp; </w:t>
      </w:r>
      <w:proofErr w:type="spellStart"/>
      <w:r w:rsidR="002537DB">
        <w:rPr>
          <w:rFonts w:ascii="AdvOT1ef757c0" w:hAnsi="AdvOT1ef757c0" w:cs="AdvOT1ef757c0"/>
          <w:color w:val="000000"/>
          <w:sz w:val="21"/>
          <w:szCs w:val="21"/>
        </w:rPr>
        <w:t>Medhurst</w:t>
      </w:r>
      <w:proofErr w:type="spellEnd"/>
      <w:r w:rsidR="002537DB">
        <w:rPr>
          <w:rFonts w:ascii="AdvOT1ef757c0" w:hAnsi="AdvOT1ef757c0" w:cs="AdvOT1ef757c0"/>
          <w:color w:val="000000"/>
          <w:sz w:val="21"/>
          <w:szCs w:val="21"/>
        </w:rPr>
        <w:t xml:space="preserve">, </w:t>
      </w:r>
      <w:r w:rsidR="002537DB">
        <w:rPr>
          <w:rFonts w:ascii="AdvOT1ef757c0" w:hAnsi="AdvOT1ef757c0" w:cs="AdvOT1ef757c0"/>
          <w:color w:val="000085"/>
          <w:sz w:val="21"/>
          <w:szCs w:val="21"/>
        </w:rPr>
        <w:t>2005</w:t>
      </w:r>
      <w:r w:rsidR="002537DB">
        <w:rPr>
          <w:rFonts w:ascii="AdvOT1ef757c0" w:hAnsi="AdvOT1ef757c0" w:cs="AdvOT1ef757c0"/>
          <w:color w:val="000000"/>
          <w:sz w:val="21"/>
          <w:szCs w:val="21"/>
        </w:rPr>
        <w:t>; O</w:t>
      </w:r>
      <w:r w:rsidR="002537DB">
        <w:rPr>
          <w:rFonts w:ascii="AdvOT1ef757c0+20" w:hAnsi="AdvOT1ef757c0+20" w:cs="AdvOT1ef757c0+20"/>
          <w:color w:val="000000"/>
          <w:sz w:val="21"/>
          <w:szCs w:val="21"/>
        </w:rPr>
        <w:t>’</w:t>
      </w:r>
      <w:r w:rsidR="002537DB">
        <w:rPr>
          <w:rFonts w:ascii="AdvOT1ef757c0" w:hAnsi="AdvOT1ef757c0" w:cs="AdvOT1ef757c0"/>
          <w:color w:val="000000"/>
          <w:sz w:val="21"/>
          <w:szCs w:val="21"/>
        </w:rPr>
        <w:t xml:space="preserve">Connor &amp; Murphy, </w:t>
      </w:r>
      <w:r w:rsidR="002537DB">
        <w:rPr>
          <w:rFonts w:ascii="AdvOT1ef757c0" w:hAnsi="AdvOT1ef757c0" w:cs="AdvOT1ef757c0"/>
          <w:color w:val="000085"/>
          <w:sz w:val="21"/>
          <w:szCs w:val="21"/>
        </w:rPr>
        <w:t>2006</w:t>
      </w:r>
      <w:r w:rsidR="002537DB">
        <w:rPr>
          <w:rFonts w:ascii="AdvOT1ef757c0" w:hAnsi="AdvOT1ef757c0" w:cs="AdvOT1ef757c0"/>
          <w:color w:val="000000"/>
          <w:sz w:val="21"/>
          <w:szCs w:val="21"/>
        </w:rPr>
        <w:t>). In terms of the most obvious and direct e</w:t>
      </w:r>
      <w:r w:rsidR="002537DB">
        <w:rPr>
          <w:rFonts w:ascii="AdvOT1ef757c0+fb" w:hAnsi="AdvOT1ef757c0+fb" w:cs="AdvOT1ef757c0+fb"/>
          <w:color w:val="000000"/>
          <w:sz w:val="21"/>
          <w:szCs w:val="21"/>
        </w:rPr>
        <w:t>ff</w:t>
      </w:r>
      <w:r w:rsidR="002537DB">
        <w:rPr>
          <w:rFonts w:ascii="AdvOT1ef757c0" w:hAnsi="AdvOT1ef757c0" w:cs="AdvOT1ef757c0"/>
          <w:color w:val="000000"/>
          <w:sz w:val="21"/>
          <w:szCs w:val="21"/>
        </w:rPr>
        <w:t>ect, in Ireland, only practitioners quali</w:t>
      </w:r>
      <w:r w:rsidR="002537DB">
        <w:rPr>
          <w:rFonts w:ascii="AdvOT1ef757c0+fb" w:hAnsi="AdvOT1ef757c0+fb" w:cs="AdvOT1ef757c0+fb"/>
          <w:color w:val="000000"/>
          <w:sz w:val="21"/>
          <w:szCs w:val="21"/>
        </w:rPr>
        <w:t>fi</w:t>
      </w:r>
      <w:r w:rsidR="002537DB">
        <w:rPr>
          <w:rFonts w:ascii="AdvOT1ef757c0" w:hAnsi="AdvOT1ef757c0" w:cs="AdvOT1ef757c0"/>
          <w:color w:val="000000"/>
          <w:sz w:val="21"/>
          <w:szCs w:val="21"/>
        </w:rPr>
        <w:t xml:space="preserve">ed to degree level, including completion of mandatory curriculum content on EIP, will now be able to practice using the title </w:t>
      </w:r>
      <w:r w:rsidR="002537DB">
        <w:rPr>
          <w:rFonts w:ascii="AdvOT1ef757c0+20" w:hAnsi="AdvOT1ef757c0+20" w:cs="AdvOT1ef757c0+20"/>
          <w:color w:val="000000"/>
          <w:sz w:val="21"/>
          <w:szCs w:val="21"/>
        </w:rPr>
        <w:t>“</w:t>
      </w:r>
      <w:r w:rsidR="002537DB">
        <w:rPr>
          <w:rFonts w:ascii="AdvOT1ef757c0" w:hAnsi="AdvOT1ef757c0" w:cs="AdvOT1ef757c0"/>
          <w:color w:val="000000"/>
          <w:sz w:val="21"/>
          <w:szCs w:val="21"/>
        </w:rPr>
        <w:t>Social Care Worker</w:t>
      </w:r>
      <w:r w:rsidR="002537DB">
        <w:rPr>
          <w:rFonts w:ascii="AdvOT1ef757c0+20" w:hAnsi="AdvOT1ef757c0+20" w:cs="AdvOT1ef757c0+20"/>
          <w:color w:val="000000"/>
          <w:sz w:val="21"/>
          <w:szCs w:val="21"/>
        </w:rPr>
        <w:t xml:space="preserve">” </w:t>
      </w:r>
      <w:r w:rsidR="002537DB">
        <w:rPr>
          <w:rFonts w:ascii="AdvOT1ef757c0" w:hAnsi="AdvOT1ef757c0" w:cs="AdvOT1ef757c0"/>
          <w:color w:val="000000"/>
          <w:sz w:val="21"/>
          <w:szCs w:val="21"/>
        </w:rPr>
        <w:t xml:space="preserve">(Byrne, </w:t>
      </w:r>
      <w:r w:rsidR="002537DB">
        <w:rPr>
          <w:rFonts w:ascii="AdvOT1ef757c0" w:hAnsi="AdvOT1ef757c0" w:cs="AdvOT1ef757c0"/>
          <w:color w:val="000085"/>
          <w:sz w:val="21"/>
          <w:szCs w:val="21"/>
        </w:rPr>
        <w:t>2016</w:t>
      </w:r>
      <w:r w:rsidR="002537DB">
        <w:rPr>
          <w:rFonts w:ascii="AdvOT1ef757c0" w:hAnsi="AdvOT1ef757c0" w:cs="AdvOT1ef757c0"/>
          <w:color w:val="000000"/>
          <w:sz w:val="21"/>
          <w:szCs w:val="21"/>
        </w:rPr>
        <w:t>). Whilst Buckley and Whelan</w:t>
      </w:r>
      <w:r w:rsidR="002537DB">
        <w:rPr>
          <w:rFonts w:ascii="AdvOT1ef757c0+20" w:hAnsi="AdvOT1ef757c0+20" w:cs="AdvOT1ef757c0+20"/>
          <w:color w:val="000000"/>
          <w:sz w:val="21"/>
          <w:szCs w:val="21"/>
        </w:rPr>
        <w:t>’</w:t>
      </w:r>
      <w:r w:rsidR="002537DB">
        <w:rPr>
          <w:rFonts w:ascii="AdvOT1ef757c0" w:hAnsi="AdvOT1ef757c0" w:cs="AdvOT1ef757c0"/>
          <w:color w:val="000000"/>
          <w:sz w:val="21"/>
          <w:szCs w:val="21"/>
        </w:rPr>
        <w:t>s assertion that work in social care children</w:t>
      </w:r>
      <w:r w:rsidR="002537DB">
        <w:rPr>
          <w:rFonts w:ascii="AdvOT1ef757c0+20" w:hAnsi="AdvOT1ef757c0+20" w:cs="AdvOT1ef757c0+20"/>
          <w:color w:val="000000"/>
          <w:sz w:val="21"/>
          <w:szCs w:val="21"/>
        </w:rPr>
        <w:t>’</w:t>
      </w:r>
      <w:r w:rsidR="002537DB">
        <w:rPr>
          <w:rFonts w:ascii="AdvOT1ef757c0" w:hAnsi="AdvOT1ef757c0" w:cs="AdvOT1ef757c0"/>
          <w:color w:val="000000"/>
          <w:sz w:val="21"/>
          <w:szCs w:val="21"/>
        </w:rPr>
        <w:t xml:space="preserve">s services in Ireland </w:t>
      </w:r>
      <w:r w:rsidR="002537DB">
        <w:rPr>
          <w:rFonts w:ascii="AdvOT1ef757c0+20" w:hAnsi="AdvOT1ef757c0+20" w:cs="AdvOT1ef757c0+20"/>
          <w:color w:val="000000"/>
          <w:sz w:val="21"/>
          <w:szCs w:val="21"/>
        </w:rPr>
        <w:t>“</w:t>
      </w:r>
      <w:r w:rsidR="002537DB">
        <w:rPr>
          <w:rFonts w:ascii="AdvOT1ef757c0" w:hAnsi="AdvOT1ef757c0" w:cs="AdvOT1ef757c0"/>
          <w:color w:val="000000"/>
          <w:sz w:val="21"/>
          <w:szCs w:val="21"/>
        </w:rPr>
        <w:t>must be informed by sound evidence</w:t>
      </w:r>
      <w:r w:rsidR="002537DB">
        <w:rPr>
          <w:rFonts w:ascii="AdvOT1ef757c0+20" w:hAnsi="AdvOT1ef757c0+20" w:cs="AdvOT1ef757c0+20"/>
          <w:color w:val="000000"/>
          <w:sz w:val="21"/>
          <w:szCs w:val="21"/>
        </w:rPr>
        <w:t xml:space="preserve">” </w:t>
      </w:r>
      <w:r w:rsidR="002537DB">
        <w:rPr>
          <w:rFonts w:ascii="AdvOT1ef757c0" w:hAnsi="AdvOT1ef757c0" w:cs="AdvOT1ef757c0"/>
          <w:color w:val="000000"/>
          <w:sz w:val="21"/>
          <w:szCs w:val="21"/>
        </w:rPr>
        <w:t>(</w:t>
      </w:r>
      <w:r w:rsidR="002537DB">
        <w:rPr>
          <w:rFonts w:ascii="AdvOT1ef757c0" w:hAnsi="AdvOT1ef757c0" w:cs="AdvOT1ef757c0"/>
          <w:color w:val="000085"/>
          <w:sz w:val="21"/>
          <w:szCs w:val="21"/>
        </w:rPr>
        <w:t>2009</w:t>
      </w:r>
      <w:r w:rsidR="002537DB">
        <w:rPr>
          <w:rFonts w:ascii="AdvOT1ef757c0" w:hAnsi="AdvOT1ef757c0" w:cs="AdvOT1ef757c0"/>
          <w:color w:val="000000"/>
          <w:sz w:val="21"/>
          <w:szCs w:val="21"/>
        </w:rPr>
        <w:t xml:space="preserve">, p. 89) is perhaps now conclusive, in this milieu, </w:t>
      </w:r>
      <w:proofErr w:type="spellStart"/>
      <w:r w:rsidR="002537DB">
        <w:rPr>
          <w:rFonts w:ascii="AdvOT1ef757c0" w:hAnsi="AdvOT1ef757c0" w:cs="AdvOT1ef757c0"/>
          <w:color w:val="000000"/>
          <w:sz w:val="21"/>
          <w:szCs w:val="21"/>
        </w:rPr>
        <w:t>Farrelly</w:t>
      </w:r>
      <w:proofErr w:type="spellEnd"/>
      <w:r w:rsidR="002537DB">
        <w:rPr>
          <w:rFonts w:ascii="AdvOT1ef757c0" w:hAnsi="AdvOT1ef757c0" w:cs="AdvOT1ef757c0"/>
          <w:color w:val="000000"/>
          <w:sz w:val="21"/>
          <w:szCs w:val="21"/>
        </w:rPr>
        <w:t xml:space="preserve"> (</w:t>
      </w:r>
      <w:r w:rsidR="002537DB">
        <w:rPr>
          <w:rFonts w:ascii="AdvOT1ef757c0" w:hAnsi="AdvOT1ef757c0" w:cs="AdvOT1ef757c0"/>
          <w:color w:val="000085"/>
          <w:sz w:val="21"/>
          <w:szCs w:val="21"/>
        </w:rPr>
        <w:t>2013</w:t>
      </w:r>
      <w:r w:rsidR="002537DB">
        <w:rPr>
          <w:rFonts w:ascii="AdvOT1ef757c0" w:hAnsi="AdvOT1ef757c0" w:cs="AdvOT1ef757c0"/>
          <w:color w:val="000000"/>
          <w:sz w:val="21"/>
          <w:szCs w:val="21"/>
        </w:rPr>
        <w:t>, p. 151) con</w:t>
      </w:r>
      <w:r w:rsidR="002537DB">
        <w:rPr>
          <w:rFonts w:ascii="AdvOT1ef757c0+fb" w:hAnsi="AdvOT1ef757c0+fb" w:cs="AdvOT1ef757c0+fb"/>
          <w:color w:val="000000"/>
          <w:sz w:val="21"/>
          <w:szCs w:val="21"/>
        </w:rPr>
        <w:t>fi</w:t>
      </w:r>
      <w:r w:rsidR="002537DB">
        <w:rPr>
          <w:rFonts w:ascii="AdvOT1ef757c0" w:hAnsi="AdvOT1ef757c0" w:cs="AdvOT1ef757c0"/>
          <w:color w:val="000000"/>
          <w:sz w:val="21"/>
          <w:szCs w:val="21"/>
        </w:rPr>
        <w:t xml:space="preserve">rms also the need to </w:t>
      </w:r>
      <w:r w:rsidR="002537DB">
        <w:rPr>
          <w:rFonts w:ascii="AdvOT1ef757c0+20" w:hAnsi="AdvOT1ef757c0+20" w:cs="AdvOT1ef757c0+20"/>
          <w:color w:val="000000"/>
          <w:sz w:val="21"/>
          <w:szCs w:val="21"/>
        </w:rPr>
        <w:t>“</w:t>
      </w:r>
      <w:r w:rsidR="002537DB">
        <w:rPr>
          <w:rFonts w:ascii="AdvOT1ef757c0" w:hAnsi="AdvOT1ef757c0" w:cs="AdvOT1ef757c0"/>
          <w:color w:val="000000"/>
          <w:sz w:val="21"/>
          <w:szCs w:val="21"/>
        </w:rPr>
        <w:t>unpack</w:t>
      </w:r>
      <w:r w:rsidR="002537DB">
        <w:rPr>
          <w:rFonts w:ascii="AdvOT1ef757c0+20" w:hAnsi="AdvOT1ef757c0+20" w:cs="AdvOT1ef757c0+20"/>
          <w:color w:val="000000"/>
          <w:sz w:val="21"/>
          <w:szCs w:val="21"/>
        </w:rPr>
        <w:t xml:space="preserve">” </w:t>
      </w:r>
      <w:r w:rsidR="002537DB">
        <w:rPr>
          <w:rFonts w:ascii="AdvOT1ef757c0" w:hAnsi="AdvOT1ef757c0" w:cs="AdvOT1ef757c0"/>
          <w:color w:val="000000"/>
          <w:sz w:val="21"/>
          <w:szCs w:val="21"/>
        </w:rPr>
        <w:t>the notion of EBP for Irish social care practitioners.</w:t>
      </w:r>
      <w:r w:rsidR="00721EDC">
        <w:rPr>
          <w:rFonts w:ascii="AdvOT1ef757c0" w:hAnsi="AdvOT1ef757c0" w:cs="AdvOT1ef757c0"/>
          <w:color w:val="000000"/>
          <w:sz w:val="21"/>
          <w:szCs w:val="21"/>
        </w:rPr>
        <w:t xml:space="preserve"> </w:t>
      </w:r>
    </w:p>
    <w:p w:rsidR="00CE0CAF" w:rsidRDefault="00721EDC" w:rsidP="00721EDC">
      <w:pPr>
        <w:autoSpaceDE w:val="0"/>
        <w:autoSpaceDN w:val="0"/>
        <w:adjustRightInd w:val="0"/>
        <w:spacing w:after="0" w:line="240" w:lineRule="auto"/>
        <w:ind w:firstLine="720"/>
        <w:jc w:val="both"/>
        <w:rPr>
          <w:rFonts w:ascii="AdvOT1ef757c0" w:hAnsi="AdvOT1ef757c0" w:cs="AdvOT1ef757c0"/>
          <w:color w:val="000000"/>
          <w:sz w:val="21"/>
          <w:szCs w:val="21"/>
        </w:rPr>
      </w:pPr>
      <w:r>
        <w:rPr>
          <w:rFonts w:ascii="AdvOT1ef757c0" w:hAnsi="AdvOT1ef757c0" w:cs="AdvOT1ef757c0"/>
          <w:color w:val="000000"/>
          <w:sz w:val="21"/>
          <w:szCs w:val="21"/>
        </w:rPr>
        <w:t>In this section, we have examined EIP as a feature of social care professionalisation in Ireland. Within this, an increasingly emergent theme has surrounded the nature of professionalisation, as entailing a requirement for practitioners to work in more evidence informed ways. Here, it has also been illustrated that even beyond the case of professionalisation, evidence remains a requirement for practice, and yet, existing evidence to suggest that this requirement is being met, is ironically absent (Barnardo</w:t>
      </w:r>
      <w:r>
        <w:rPr>
          <w:rFonts w:ascii="AdvOT1ef757c0+20" w:hAnsi="AdvOT1ef757c0+20" w:cs="AdvOT1ef757c0+20"/>
          <w:color w:val="000000"/>
          <w:sz w:val="21"/>
          <w:szCs w:val="21"/>
        </w:rPr>
        <w:t>’</w:t>
      </w:r>
      <w:r>
        <w:rPr>
          <w:rFonts w:ascii="AdvOT1ef757c0" w:hAnsi="AdvOT1ef757c0" w:cs="AdvOT1ef757c0"/>
          <w:color w:val="000000"/>
          <w:sz w:val="21"/>
          <w:szCs w:val="21"/>
        </w:rPr>
        <w:t xml:space="preserve">s, </w:t>
      </w:r>
      <w:r>
        <w:rPr>
          <w:rFonts w:ascii="AdvOT1ef757c0" w:hAnsi="AdvOT1ef757c0" w:cs="AdvOT1ef757c0"/>
          <w:color w:val="000085"/>
          <w:sz w:val="21"/>
          <w:szCs w:val="21"/>
        </w:rPr>
        <w:t>2000</w:t>
      </w:r>
      <w:r>
        <w:rPr>
          <w:rFonts w:ascii="AdvOT1ef757c0" w:hAnsi="AdvOT1ef757c0" w:cs="AdvOT1ef757c0"/>
          <w:color w:val="000000"/>
          <w:sz w:val="21"/>
          <w:szCs w:val="21"/>
        </w:rPr>
        <w:t>). The relevance of this to professionalisation is central, as a shift toward increased evidence in practice can be considered both necessary and inevitable.</w:t>
      </w:r>
    </w:p>
    <w:p w:rsidR="00721EDC" w:rsidRDefault="00721EDC" w:rsidP="00721EDC">
      <w:pPr>
        <w:autoSpaceDE w:val="0"/>
        <w:autoSpaceDN w:val="0"/>
        <w:adjustRightInd w:val="0"/>
        <w:spacing w:after="0" w:line="240" w:lineRule="auto"/>
        <w:ind w:firstLine="720"/>
        <w:jc w:val="both"/>
        <w:rPr>
          <w:rFonts w:ascii="AdvOT1ef757c0" w:hAnsi="AdvOT1ef757c0" w:cs="AdvOT1ef757c0"/>
          <w:color w:val="000000"/>
          <w:sz w:val="21"/>
          <w:szCs w:val="21"/>
        </w:rPr>
      </w:pPr>
    </w:p>
    <w:p w:rsidR="00721EDC" w:rsidRPr="0020382E" w:rsidRDefault="006548E2" w:rsidP="006548E2">
      <w:pPr>
        <w:autoSpaceDE w:val="0"/>
        <w:autoSpaceDN w:val="0"/>
        <w:adjustRightInd w:val="0"/>
        <w:spacing w:after="0" w:line="240" w:lineRule="auto"/>
        <w:rPr>
          <w:rFonts w:ascii="AdvOTd0125be5.BI" w:hAnsi="AdvOTd0125be5.BI" w:cs="AdvOTd0125be5.BI"/>
          <w:b/>
          <w:sz w:val="21"/>
          <w:szCs w:val="21"/>
        </w:rPr>
      </w:pPr>
      <w:r w:rsidRPr="0020382E">
        <w:rPr>
          <w:rFonts w:ascii="AdvOTd0125be5.BI" w:hAnsi="AdvOTd0125be5.BI" w:cs="AdvOTd0125be5.BI"/>
          <w:b/>
          <w:sz w:val="21"/>
          <w:szCs w:val="21"/>
        </w:rPr>
        <w:t>Concerns and challenges to achieving EIP on the road to professionalisation in social care practice with children in Ireland</w:t>
      </w:r>
    </w:p>
    <w:p w:rsidR="006548E2" w:rsidRDefault="006548E2" w:rsidP="006548E2">
      <w:pPr>
        <w:autoSpaceDE w:val="0"/>
        <w:autoSpaceDN w:val="0"/>
        <w:adjustRightInd w:val="0"/>
        <w:spacing w:after="0" w:line="240" w:lineRule="auto"/>
        <w:rPr>
          <w:rFonts w:ascii="AdvOTd0125be5.BI" w:hAnsi="AdvOTd0125be5.BI" w:cs="AdvOTd0125be5.BI"/>
          <w:sz w:val="21"/>
          <w:szCs w:val="21"/>
        </w:rPr>
      </w:pPr>
    </w:p>
    <w:p w:rsidR="006548E2" w:rsidRDefault="006548E2" w:rsidP="006548E2">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color w:val="000000"/>
          <w:sz w:val="21"/>
          <w:szCs w:val="21"/>
        </w:rPr>
        <w:t xml:space="preserve">The sustaining argument of this paper is that social care practitioners will be increasingly expected to work in more evidence-informed ways, and that rather than being a separate pressure, this constitutes an integrated feature of wider processes of professionalisation. There are many concerns and </w:t>
      </w:r>
      <w:r>
        <w:rPr>
          <w:rFonts w:ascii="AdvOT1ef757c0" w:hAnsi="AdvOT1ef757c0" w:cs="AdvOT1ef757c0"/>
          <w:color w:val="000000"/>
          <w:sz w:val="21"/>
          <w:szCs w:val="21"/>
        </w:rPr>
        <w:lastRenderedPageBreak/>
        <w:t>challenges surrounding EIP and EBP in Irish social care practice with children. Practitioners may lack research skills, or practical resources such as time (Barnardo</w:t>
      </w:r>
      <w:r>
        <w:rPr>
          <w:rFonts w:ascii="AdvOT1ef757c0+20" w:hAnsi="AdvOT1ef757c0+20" w:cs="AdvOT1ef757c0+20"/>
          <w:color w:val="000000"/>
          <w:sz w:val="21"/>
          <w:szCs w:val="21"/>
        </w:rPr>
        <w:t>’</w:t>
      </w:r>
      <w:r>
        <w:rPr>
          <w:rFonts w:ascii="AdvOT1ef757c0" w:hAnsi="AdvOT1ef757c0" w:cs="AdvOT1ef757c0"/>
          <w:color w:val="000000"/>
          <w:sz w:val="21"/>
          <w:szCs w:val="21"/>
        </w:rPr>
        <w:t xml:space="preserve">s, </w:t>
      </w:r>
      <w:r>
        <w:rPr>
          <w:rFonts w:ascii="AdvOT1ef757c0" w:hAnsi="AdvOT1ef757c0" w:cs="AdvOT1ef757c0"/>
          <w:color w:val="000085"/>
          <w:sz w:val="21"/>
          <w:szCs w:val="21"/>
        </w:rPr>
        <w:t>2000</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xml:space="preserve">). Research funding can also be limited for social care enquiries (Marsh &amp; Fisher, </w:t>
      </w:r>
      <w:r>
        <w:rPr>
          <w:rFonts w:ascii="AdvOT1ef757c0" w:hAnsi="AdvOT1ef757c0" w:cs="AdvOT1ef757c0"/>
          <w:color w:val="000085"/>
          <w:sz w:val="21"/>
          <w:szCs w:val="21"/>
        </w:rPr>
        <w:t>2005</w:t>
      </w:r>
      <w:r>
        <w:rPr>
          <w:rFonts w:ascii="AdvOT1ef757c0" w:hAnsi="AdvOT1ef757c0" w:cs="AdvOT1ef757c0"/>
          <w:color w:val="000000"/>
          <w:sz w:val="21"/>
          <w:szCs w:val="21"/>
        </w:rPr>
        <w:t xml:space="preserve">). The culture of the profession including practitioner perspectives, or problems between it and the culture, skills </w:t>
      </w:r>
      <w:proofErr w:type="gramStart"/>
      <w:r>
        <w:rPr>
          <w:rFonts w:ascii="AdvOT1ef757c0" w:hAnsi="AdvOT1ef757c0" w:cs="AdvOT1ef757c0"/>
          <w:color w:val="000000"/>
          <w:sz w:val="21"/>
          <w:szCs w:val="21"/>
        </w:rPr>
        <w:t>and  practices</w:t>
      </w:r>
      <w:proofErr w:type="gramEnd"/>
      <w:r>
        <w:rPr>
          <w:rFonts w:ascii="AdvOT1ef757c0" w:hAnsi="AdvOT1ef757c0" w:cs="AdvOT1ef757c0"/>
          <w:color w:val="000000"/>
          <w:sz w:val="21"/>
          <w:szCs w:val="21"/>
        </w:rPr>
        <w:t xml:space="preserve"> of the research community, may not su</w:t>
      </w:r>
      <w:r>
        <w:rPr>
          <w:rFonts w:ascii="AdvOT1ef757c0+fb" w:hAnsi="AdvOT1ef757c0+fb" w:cs="AdvOT1ef757c0+fb"/>
          <w:color w:val="000000"/>
          <w:sz w:val="21"/>
          <w:szCs w:val="21"/>
        </w:rPr>
        <w:t>ffi</w:t>
      </w:r>
      <w:r>
        <w:rPr>
          <w:rFonts w:ascii="AdvOT1ef757c0" w:hAnsi="AdvOT1ef757c0" w:cs="AdvOT1ef757c0"/>
          <w:color w:val="000000"/>
          <w:sz w:val="21"/>
          <w:szCs w:val="21"/>
        </w:rPr>
        <w:t xml:space="preserve">ciently support research integration (Buckley &amp; Whelan, </w:t>
      </w:r>
      <w:r>
        <w:rPr>
          <w:rFonts w:ascii="AdvOT1ef757c0" w:hAnsi="AdvOT1ef757c0" w:cs="AdvOT1ef757c0"/>
          <w:color w:val="000085"/>
          <w:sz w:val="21"/>
          <w:szCs w:val="21"/>
        </w:rPr>
        <w:t>2009</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xml:space="preserve">; Walter et al., </w:t>
      </w:r>
      <w:r>
        <w:rPr>
          <w:rFonts w:ascii="AdvOT1ef757c0" w:hAnsi="AdvOT1ef757c0" w:cs="AdvOT1ef757c0"/>
          <w:color w:val="000085"/>
          <w:sz w:val="21"/>
          <w:szCs w:val="21"/>
        </w:rPr>
        <w:t>2004</w:t>
      </w:r>
      <w:r>
        <w:rPr>
          <w:rFonts w:ascii="AdvOT1ef757c0" w:hAnsi="AdvOT1ef757c0" w:cs="AdvOT1ef757c0"/>
          <w:color w:val="000000"/>
          <w:sz w:val="21"/>
          <w:szCs w:val="21"/>
        </w:rPr>
        <w:t xml:space="preserve">). Aarons and colleagues, for instance, establish that attitudes are an obstacle to EIP, within the development of their Evidence-Based Practice Attitude Scale (EBPAS) underpinned by research evidence to support the validity and reliability of the scale (Aarons, </w:t>
      </w:r>
      <w:r>
        <w:rPr>
          <w:rFonts w:ascii="AdvOT1ef757c0" w:hAnsi="AdvOT1ef757c0" w:cs="AdvOT1ef757c0"/>
          <w:color w:val="000085"/>
          <w:sz w:val="21"/>
          <w:szCs w:val="21"/>
        </w:rPr>
        <w:t>2004</w:t>
      </w:r>
      <w:r>
        <w:rPr>
          <w:rFonts w:ascii="AdvOT1ef757c0" w:hAnsi="AdvOT1ef757c0" w:cs="AdvOT1ef757c0"/>
          <w:color w:val="000000"/>
          <w:sz w:val="21"/>
          <w:szCs w:val="21"/>
        </w:rPr>
        <w:t xml:space="preserve">, </w:t>
      </w:r>
      <w:r>
        <w:rPr>
          <w:rFonts w:ascii="AdvOT1ef757c0" w:hAnsi="AdvOT1ef757c0" w:cs="AdvOT1ef757c0"/>
          <w:color w:val="000085"/>
          <w:sz w:val="21"/>
          <w:szCs w:val="21"/>
        </w:rPr>
        <w:t>2006</w:t>
      </w:r>
      <w:r>
        <w:rPr>
          <w:rFonts w:ascii="AdvOT1ef757c0" w:hAnsi="AdvOT1ef757c0" w:cs="AdvOT1ef757c0"/>
          <w:color w:val="000000"/>
          <w:sz w:val="21"/>
          <w:szCs w:val="21"/>
        </w:rPr>
        <w:t xml:space="preserve">; Aarons et al., </w:t>
      </w:r>
      <w:r>
        <w:rPr>
          <w:rFonts w:ascii="AdvOT1ef757c0" w:hAnsi="AdvOT1ef757c0" w:cs="AdvOT1ef757c0"/>
          <w:color w:val="000085"/>
          <w:sz w:val="21"/>
          <w:szCs w:val="21"/>
        </w:rPr>
        <w:t>2010</w:t>
      </w:r>
      <w:r>
        <w:rPr>
          <w:rFonts w:ascii="AdvOT1ef757c0" w:hAnsi="AdvOT1ef757c0" w:cs="AdvOT1ef757c0"/>
          <w:color w:val="000000"/>
          <w:sz w:val="21"/>
          <w:szCs w:val="21"/>
        </w:rPr>
        <w:t xml:space="preserve">; Aarons, McDonald, Sheehan, &amp; Walrath-Greene, </w:t>
      </w:r>
      <w:r>
        <w:rPr>
          <w:rFonts w:ascii="AdvOT1ef757c0" w:hAnsi="AdvOT1ef757c0" w:cs="AdvOT1ef757c0"/>
          <w:color w:val="000085"/>
          <w:sz w:val="21"/>
          <w:szCs w:val="21"/>
        </w:rPr>
        <w:t>2007</w:t>
      </w:r>
      <w:r>
        <w:rPr>
          <w:rFonts w:ascii="AdvOT1ef757c0" w:hAnsi="AdvOT1ef757c0" w:cs="AdvOT1ef757c0"/>
          <w:color w:val="000000"/>
          <w:sz w:val="21"/>
          <w:szCs w:val="21"/>
        </w:rPr>
        <w:t xml:space="preserve">; Aarons &amp; </w:t>
      </w:r>
      <w:proofErr w:type="spellStart"/>
      <w:r>
        <w:rPr>
          <w:rFonts w:ascii="AdvOT1ef757c0" w:hAnsi="AdvOT1ef757c0" w:cs="AdvOT1ef757c0"/>
          <w:color w:val="000000"/>
          <w:sz w:val="21"/>
          <w:szCs w:val="21"/>
        </w:rPr>
        <w:t>Sawitzky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2006</w:t>
      </w:r>
      <w:r>
        <w:rPr>
          <w:rFonts w:ascii="AdvOT1ef757c0" w:hAnsi="AdvOT1ef757c0" w:cs="AdvOT1ef757c0"/>
          <w:color w:val="000000"/>
          <w:sz w:val="21"/>
          <w:szCs w:val="21"/>
        </w:rPr>
        <w:t>). Furthermore, positivist, quantitative, experimental design studies may not naturally translate into the complexity of social care practice with children, account for the individual needs of children, or practitioner skill sets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xml:space="preserve">; Moule &amp; </w:t>
      </w:r>
      <w:proofErr w:type="spellStart"/>
      <w:r>
        <w:rPr>
          <w:rFonts w:ascii="AdvOT1ef757c0" w:hAnsi="AdvOT1ef757c0" w:cs="AdvOT1ef757c0"/>
          <w:color w:val="000000"/>
          <w:sz w:val="21"/>
          <w:szCs w:val="21"/>
        </w:rPr>
        <w:t>Hek</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xml:space="preserve">; Staller, </w:t>
      </w:r>
      <w:r>
        <w:rPr>
          <w:rFonts w:ascii="AdvOT1ef757c0" w:hAnsi="AdvOT1ef757c0" w:cs="AdvOT1ef757c0"/>
          <w:color w:val="000085"/>
          <w:sz w:val="21"/>
          <w:szCs w:val="21"/>
        </w:rPr>
        <w:t>2006</w:t>
      </w:r>
      <w:r>
        <w:rPr>
          <w:rFonts w:ascii="AdvOT1ef757c0" w:hAnsi="AdvOT1ef757c0" w:cs="AdvOT1ef757c0"/>
          <w:color w:val="000000"/>
          <w:sz w:val="21"/>
          <w:szCs w:val="21"/>
        </w:rPr>
        <w:t>).</w:t>
      </w:r>
    </w:p>
    <w:p w:rsidR="006548E2" w:rsidRDefault="006548E2" w:rsidP="0020382E">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color w:val="000000"/>
          <w:sz w:val="21"/>
          <w:szCs w:val="21"/>
        </w:rPr>
        <w:tab/>
        <w:t>E</w:t>
      </w:r>
      <w:r>
        <w:rPr>
          <w:rFonts w:ascii="AdvOT1ef757c0+fb" w:hAnsi="AdvOT1ef757c0+fb" w:cs="AdvOT1ef757c0+fb"/>
          <w:color w:val="000000"/>
          <w:sz w:val="21"/>
          <w:szCs w:val="21"/>
        </w:rPr>
        <w:t>ff</w:t>
      </w:r>
      <w:r>
        <w:rPr>
          <w:rFonts w:ascii="AdvOT1ef757c0" w:hAnsi="AdvOT1ef757c0" w:cs="AdvOT1ef757c0"/>
          <w:color w:val="000000"/>
          <w:sz w:val="21"/>
          <w:szCs w:val="21"/>
        </w:rPr>
        <w:t xml:space="preserve">orts to improve skill sets can be undermined by a lack of educational and professional standardisation in the industry. In Ireland, for instance, there are a multiplicity of job titles, used to varying degrees, in place of the designation of a social care practitioner in work with children (Hutchinson, </w:t>
      </w:r>
      <w:r>
        <w:rPr>
          <w:rFonts w:ascii="AdvOT1ef757c0" w:hAnsi="AdvOT1ef757c0" w:cs="AdvOT1ef757c0"/>
          <w:color w:val="000085"/>
          <w:sz w:val="21"/>
          <w:szCs w:val="21"/>
        </w:rPr>
        <w:t>2017</w:t>
      </w:r>
      <w:r>
        <w:rPr>
          <w:rFonts w:ascii="AdvOT1ef757c0" w:hAnsi="AdvOT1ef757c0" w:cs="AdvOT1ef757c0"/>
          <w:color w:val="000000"/>
          <w:sz w:val="21"/>
          <w:szCs w:val="21"/>
        </w:rPr>
        <w:t xml:space="preserve">; Power &amp; Darcy, </w:t>
      </w:r>
      <w:r>
        <w:rPr>
          <w:rFonts w:ascii="AdvOT1ef757c0" w:hAnsi="AdvOT1ef757c0" w:cs="AdvOT1ef757c0"/>
          <w:color w:val="000085"/>
          <w:sz w:val="21"/>
          <w:szCs w:val="21"/>
        </w:rPr>
        <w:t>2017</w:t>
      </w:r>
      <w:r>
        <w:rPr>
          <w:rFonts w:ascii="AdvOT1ef757c0" w:hAnsi="AdvOT1ef757c0" w:cs="AdvOT1ef757c0"/>
          <w:color w:val="000000"/>
          <w:sz w:val="21"/>
          <w:szCs w:val="21"/>
        </w:rPr>
        <w:t xml:space="preserve">; Williams &amp; </w:t>
      </w:r>
      <w:proofErr w:type="spellStart"/>
      <w:r>
        <w:rPr>
          <w:rFonts w:ascii="AdvOT1ef757c0" w:hAnsi="AdvOT1ef757c0" w:cs="AdvOT1ef757c0"/>
          <w:color w:val="000000"/>
          <w:sz w:val="21"/>
          <w:szCs w:val="21"/>
        </w:rPr>
        <w:t>Lalor</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2001</w:t>
      </w:r>
      <w:r>
        <w:rPr>
          <w:rFonts w:ascii="AdvOT1ef757c0" w:hAnsi="AdvOT1ef757c0" w:cs="AdvOT1ef757c0"/>
          <w:color w:val="000000"/>
          <w:sz w:val="21"/>
          <w:szCs w:val="21"/>
        </w:rPr>
        <w:t xml:space="preserve">). </w:t>
      </w:r>
      <w:r>
        <w:rPr>
          <w:rFonts w:ascii="AdvOT1ef757c0+20" w:hAnsi="AdvOT1ef757c0+20" w:cs="AdvOT1ef757c0+20"/>
          <w:color w:val="000000"/>
          <w:sz w:val="21"/>
          <w:szCs w:val="21"/>
        </w:rPr>
        <w:t>“</w:t>
      </w:r>
      <w:r>
        <w:rPr>
          <w:rFonts w:ascii="AdvOT1ef757c0" w:hAnsi="AdvOT1ef757c0" w:cs="AdvOT1ef757c0"/>
          <w:color w:val="000000"/>
          <w:sz w:val="21"/>
          <w:szCs w:val="21"/>
        </w:rPr>
        <w:t>Community childcare worker</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 xml:space="preserve">(Byrne, </w:t>
      </w:r>
      <w:r>
        <w:rPr>
          <w:rFonts w:ascii="AdvOT1ef757c0" w:hAnsi="AdvOT1ef757c0" w:cs="AdvOT1ef757c0"/>
          <w:color w:val="000085"/>
          <w:sz w:val="21"/>
          <w:szCs w:val="21"/>
        </w:rPr>
        <w:t>2016</w:t>
      </w:r>
      <w:r>
        <w:rPr>
          <w:rFonts w:ascii="AdvOT1ef757c0" w:hAnsi="AdvOT1ef757c0" w:cs="AdvOT1ef757c0"/>
          <w:color w:val="000000"/>
          <w:sz w:val="21"/>
          <w:szCs w:val="21"/>
        </w:rPr>
        <w:t xml:space="preserve">, p. 14), and </w:t>
      </w:r>
      <w:r>
        <w:rPr>
          <w:rFonts w:ascii="AdvOT1ef757c0+20" w:hAnsi="AdvOT1ef757c0+20" w:cs="AdvOT1ef757c0+20"/>
          <w:color w:val="000000"/>
          <w:sz w:val="21"/>
          <w:szCs w:val="21"/>
        </w:rPr>
        <w:t>“</w:t>
      </w:r>
      <w:r>
        <w:rPr>
          <w:rFonts w:ascii="AdvOT1ef757c0" w:hAnsi="AdvOT1ef757c0" w:cs="AdvOT1ef757c0"/>
          <w:color w:val="000000"/>
          <w:sz w:val="21"/>
          <w:szCs w:val="21"/>
        </w:rPr>
        <w:t>residential child care worker</w:t>
      </w:r>
      <w:r>
        <w:rPr>
          <w:rFonts w:ascii="AdvOT1ef757c0+20" w:hAnsi="AdvOT1ef757c0+20" w:cs="AdvOT1ef757c0+20"/>
          <w:color w:val="000000"/>
          <w:sz w:val="21"/>
          <w:szCs w:val="21"/>
        </w:rPr>
        <w:t>”</w:t>
      </w:r>
      <w:r>
        <w:rPr>
          <w:rFonts w:ascii="AdvOT1ef757c0" w:hAnsi="AdvOT1ef757c0" w:cs="AdvOT1ef757c0"/>
          <w:color w:val="000000"/>
          <w:sz w:val="21"/>
          <w:szCs w:val="21"/>
        </w:rPr>
        <w:t xml:space="preserve"> are two such examples (Williams &amp; </w:t>
      </w:r>
      <w:proofErr w:type="spellStart"/>
      <w:r>
        <w:rPr>
          <w:rFonts w:ascii="AdvOT1ef757c0" w:hAnsi="AdvOT1ef757c0" w:cs="AdvOT1ef757c0"/>
          <w:color w:val="000000"/>
          <w:sz w:val="21"/>
          <w:szCs w:val="21"/>
        </w:rPr>
        <w:t>Lalor</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2001</w:t>
      </w:r>
      <w:r>
        <w:rPr>
          <w:rFonts w:ascii="AdvOT1ef757c0" w:hAnsi="AdvOT1ef757c0" w:cs="AdvOT1ef757c0"/>
          <w:color w:val="000000"/>
          <w:sz w:val="21"/>
          <w:szCs w:val="21"/>
        </w:rPr>
        <w:t>). Allied professional literature, in this milieu, draws heavily on social work scholarship with associated bene</w:t>
      </w:r>
      <w:r>
        <w:rPr>
          <w:rFonts w:ascii="AdvOT1ef757c0+fb" w:hAnsi="AdvOT1ef757c0+fb" w:cs="AdvOT1ef757c0+fb"/>
          <w:color w:val="000000"/>
          <w:sz w:val="21"/>
          <w:szCs w:val="21"/>
        </w:rPr>
        <w:t>fi</w:t>
      </w:r>
      <w:r>
        <w:rPr>
          <w:rFonts w:ascii="AdvOT1ef757c0" w:hAnsi="AdvOT1ef757c0" w:cs="AdvOT1ef757c0"/>
          <w:color w:val="000000"/>
          <w:sz w:val="21"/>
          <w:szCs w:val="21"/>
        </w:rPr>
        <w:t>ts and challenges. Here, Buckley and Whelan (</w:t>
      </w:r>
      <w:r>
        <w:rPr>
          <w:rFonts w:ascii="AdvOT1ef757c0" w:hAnsi="AdvOT1ef757c0" w:cs="AdvOT1ef757c0"/>
          <w:color w:val="000085"/>
          <w:sz w:val="21"/>
          <w:szCs w:val="21"/>
        </w:rPr>
        <w:t>2009</w:t>
      </w:r>
      <w:r>
        <w:rPr>
          <w:rFonts w:ascii="AdvOT1ef757c0" w:hAnsi="AdvOT1ef757c0" w:cs="AdvOT1ef757c0"/>
          <w:color w:val="000000"/>
          <w:sz w:val="21"/>
          <w:szCs w:val="21"/>
        </w:rPr>
        <w:t xml:space="preserve">) identify Eileen </w:t>
      </w:r>
      <w:proofErr w:type="spellStart"/>
      <w:r>
        <w:rPr>
          <w:rFonts w:ascii="AdvOT1ef757c0" w:hAnsi="AdvOT1ef757c0" w:cs="AdvOT1ef757c0"/>
          <w:color w:val="000000"/>
          <w:sz w:val="21"/>
          <w:szCs w:val="21"/>
        </w:rPr>
        <w:t>Gambrill</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2006</w:t>
      </w:r>
      <w:r>
        <w:rPr>
          <w:rFonts w:ascii="AdvOT1ef757c0" w:hAnsi="AdvOT1ef757c0" w:cs="AdvOT1ef757c0"/>
          <w:color w:val="000000"/>
          <w:sz w:val="21"/>
          <w:szCs w:val="21"/>
        </w:rPr>
        <w:t xml:space="preserve">) as an authority on EBP. As </w:t>
      </w:r>
      <w:proofErr w:type="spellStart"/>
      <w:r>
        <w:rPr>
          <w:rFonts w:ascii="AdvOT1ef757c0" w:hAnsi="AdvOT1ef757c0" w:cs="AdvOT1ef757c0"/>
          <w:color w:val="000000"/>
          <w:sz w:val="21"/>
          <w:szCs w:val="21"/>
        </w:rPr>
        <w:t>Gambrill</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2006</w:t>
      </w:r>
      <w:r>
        <w:rPr>
          <w:rFonts w:ascii="AdvOT1ef757c0" w:hAnsi="AdvOT1ef757c0" w:cs="AdvOT1ef757c0"/>
          <w:color w:val="000000"/>
          <w:sz w:val="21"/>
          <w:szCs w:val="21"/>
        </w:rPr>
        <w:t xml:space="preserve">) explains, EBP utilises evidence rather than authority, </w:t>
      </w:r>
      <w:r>
        <w:rPr>
          <w:rFonts w:ascii="AdvOT1ef757c0+20" w:hAnsi="AdvOT1ef757c0+20" w:cs="AdvOT1ef757c0+20"/>
          <w:color w:val="000000"/>
          <w:sz w:val="21"/>
          <w:szCs w:val="21"/>
        </w:rPr>
        <w:t>“</w:t>
      </w:r>
      <w:r>
        <w:rPr>
          <w:rFonts w:ascii="AdvOT1ef757c0" w:hAnsi="AdvOT1ef757c0" w:cs="AdvOT1ef757c0"/>
          <w:color w:val="000000"/>
          <w:sz w:val="21"/>
          <w:szCs w:val="21"/>
        </w:rPr>
        <w:t>consensus, anecdotal experience or tradition</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 xml:space="preserve">(p. 339) as its source of guiding information. Gibbs and </w:t>
      </w:r>
      <w:proofErr w:type="spellStart"/>
      <w:r>
        <w:rPr>
          <w:rFonts w:ascii="AdvOT1ef757c0" w:hAnsi="AdvOT1ef757c0" w:cs="AdvOT1ef757c0"/>
          <w:color w:val="000000"/>
          <w:sz w:val="21"/>
          <w:szCs w:val="21"/>
        </w:rPr>
        <w:t>Gambrill</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2002</w:t>
      </w:r>
      <w:r>
        <w:rPr>
          <w:rFonts w:ascii="AdvOT1ef757c0" w:hAnsi="AdvOT1ef757c0" w:cs="AdvOT1ef757c0"/>
          <w:color w:val="000000"/>
          <w:sz w:val="21"/>
          <w:szCs w:val="21"/>
        </w:rPr>
        <w:t>, p. 452) describe describes the evidence-based professional as one who poses speci</w:t>
      </w:r>
      <w:r>
        <w:rPr>
          <w:rFonts w:ascii="AdvOT1ef757c0+fb" w:hAnsi="AdvOT1ef757c0+fb" w:cs="AdvOT1ef757c0+fb"/>
          <w:color w:val="000000"/>
          <w:sz w:val="21"/>
          <w:szCs w:val="21"/>
        </w:rPr>
        <w:t>fi</w:t>
      </w:r>
      <w:r>
        <w:rPr>
          <w:rFonts w:ascii="AdvOT1ef757c0" w:hAnsi="AdvOT1ef757c0" w:cs="AdvOT1ef757c0"/>
          <w:color w:val="000000"/>
          <w:sz w:val="21"/>
          <w:szCs w:val="21"/>
        </w:rPr>
        <w:t>c answerable questions, regarding decisions in their practice with children. The practitioner then seeks out evidence, applies it through action, and evaluates it (for instance, through questioning its validity). The process, as outlined here, would, however, appear to deploy speci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c skills, necessarily consolidated by a positive attitudinal orientation towards EIP in work with children, and as prior noted, this may be varyingly absent (Buckley &amp; Whelan, </w:t>
      </w:r>
      <w:r>
        <w:rPr>
          <w:rFonts w:ascii="AdvOT1ef757c0" w:hAnsi="AdvOT1ef757c0" w:cs="AdvOT1ef757c0"/>
          <w:color w:val="000085"/>
          <w:sz w:val="21"/>
          <w:szCs w:val="21"/>
        </w:rPr>
        <w:t>2009</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xml:space="preserve">; Walter et al., </w:t>
      </w:r>
      <w:r>
        <w:rPr>
          <w:rFonts w:ascii="AdvOT1ef757c0" w:hAnsi="AdvOT1ef757c0" w:cs="AdvOT1ef757c0"/>
          <w:color w:val="000085"/>
          <w:sz w:val="21"/>
          <w:szCs w:val="21"/>
        </w:rPr>
        <w:t>2004</w:t>
      </w:r>
      <w:r>
        <w:rPr>
          <w:rFonts w:ascii="AdvOT1ef757c0" w:hAnsi="AdvOT1ef757c0" w:cs="AdvOT1ef757c0"/>
          <w:color w:val="000000"/>
          <w:sz w:val="21"/>
          <w:szCs w:val="21"/>
        </w:rPr>
        <w:t xml:space="preserve">). In the broader literature, the process of EIP and EBP involves discerning what is the best evidence, whilst drawing on practice experience, and considering contextual factors (Buckley &amp; Whelan, </w:t>
      </w:r>
      <w:r>
        <w:rPr>
          <w:rFonts w:ascii="AdvOT1ef757c0" w:hAnsi="AdvOT1ef757c0" w:cs="AdvOT1ef757c0"/>
          <w:color w:val="000085"/>
          <w:sz w:val="21"/>
          <w:szCs w:val="21"/>
        </w:rPr>
        <w:t>2009</w:t>
      </w:r>
      <w:r>
        <w:rPr>
          <w:rFonts w:ascii="AdvOT1ef757c0" w:hAnsi="AdvOT1ef757c0" w:cs="AdvOT1ef757c0"/>
          <w:color w:val="000000"/>
          <w:sz w:val="21"/>
          <w:szCs w:val="21"/>
        </w:rPr>
        <w:t xml:space="preserve">; Mullen et al., </w:t>
      </w:r>
      <w:r>
        <w:rPr>
          <w:rFonts w:ascii="AdvOT1ef757c0" w:hAnsi="AdvOT1ef757c0" w:cs="AdvOT1ef757c0"/>
          <w:color w:val="000085"/>
          <w:sz w:val="21"/>
          <w:szCs w:val="21"/>
        </w:rPr>
        <w:t>2008</w:t>
      </w:r>
      <w:r>
        <w:rPr>
          <w:rFonts w:ascii="AdvOT1ef757c0" w:hAnsi="AdvOT1ef757c0" w:cs="AdvOT1ef757c0"/>
          <w:color w:val="000000"/>
          <w:sz w:val="21"/>
          <w:szCs w:val="21"/>
        </w:rPr>
        <w:t xml:space="preserve">). Furthermore, this process can be broken down in simple and predictable steps. In many accounts, EBP in social care follows </w:t>
      </w:r>
      <w:r>
        <w:rPr>
          <w:rFonts w:ascii="AdvOT1ef757c0+fb" w:hAnsi="AdvOT1ef757c0+fb" w:cs="AdvOT1ef757c0+fb"/>
          <w:color w:val="000000"/>
          <w:sz w:val="21"/>
          <w:szCs w:val="21"/>
        </w:rPr>
        <w:t>fi</w:t>
      </w:r>
      <w:r>
        <w:rPr>
          <w:rFonts w:ascii="AdvOT1ef757c0" w:hAnsi="AdvOT1ef757c0" w:cs="AdvOT1ef757c0"/>
          <w:color w:val="000000"/>
          <w:sz w:val="21"/>
          <w:szCs w:val="21"/>
        </w:rPr>
        <w:t>ve steps. In sum, (1) one identi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es a problem, (2) </w:t>
      </w:r>
      <w:r>
        <w:rPr>
          <w:rFonts w:ascii="AdvOT1ef757c0+fb" w:hAnsi="AdvOT1ef757c0+fb" w:cs="AdvOT1ef757c0+fb"/>
          <w:color w:val="000000"/>
          <w:sz w:val="21"/>
          <w:szCs w:val="21"/>
        </w:rPr>
        <w:t>fi</w:t>
      </w:r>
      <w:r>
        <w:rPr>
          <w:rFonts w:ascii="AdvOT1ef757c0" w:hAnsi="AdvOT1ef757c0" w:cs="AdvOT1ef757c0"/>
          <w:color w:val="000000"/>
          <w:sz w:val="21"/>
          <w:szCs w:val="21"/>
        </w:rPr>
        <w:t>nds the best available evidence, (3) appraises the evidence for validity, (4) applies the evidence in the context of the child</w:t>
      </w:r>
      <w:r>
        <w:rPr>
          <w:rFonts w:ascii="AdvOT1ef757c0+20" w:hAnsi="AdvOT1ef757c0+20" w:cs="AdvOT1ef757c0+20"/>
          <w:color w:val="000000"/>
          <w:sz w:val="21"/>
          <w:szCs w:val="21"/>
        </w:rPr>
        <w:t>’</w:t>
      </w:r>
      <w:r>
        <w:rPr>
          <w:rFonts w:ascii="AdvOT1ef757c0" w:hAnsi="AdvOT1ef757c0" w:cs="AdvOT1ef757c0"/>
          <w:color w:val="000000"/>
          <w:sz w:val="21"/>
          <w:szCs w:val="21"/>
        </w:rPr>
        <w:t xml:space="preserve">s preferences, and </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nally, (5) evaluates (Moule &amp; </w:t>
      </w:r>
      <w:proofErr w:type="spellStart"/>
      <w:r>
        <w:rPr>
          <w:rFonts w:ascii="AdvOT1ef757c0" w:hAnsi="AdvOT1ef757c0" w:cs="AdvOT1ef757c0"/>
          <w:color w:val="000000"/>
          <w:sz w:val="21"/>
          <w:szCs w:val="21"/>
        </w:rPr>
        <w:t>Hek</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pp. 8</w:t>
      </w:r>
      <w:r>
        <w:rPr>
          <w:rFonts w:ascii="AdvOT1ef757c0+20" w:hAnsi="AdvOT1ef757c0+20" w:cs="AdvOT1ef757c0+20"/>
          <w:color w:val="000000"/>
          <w:sz w:val="21"/>
          <w:szCs w:val="21"/>
        </w:rPr>
        <w:t>–</w:t>
      </w:r>
      <w:r>
        <w:rPr>
          <w:rFonts w:ascii="AdvOT1ef757c0" w:hAnsi="AdvOT1ef757c0" w:cs="AdvOT1ef757c0"/>
          <w:color w:val="000000"/>
          <w:sz w:val="21"/>
          <w:szCs w:val="21"/>
        </w:rPr>
        <w:t xml:space="preserve">9; </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&amp; Slonim-</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Within this, the</w:t>
      </w:r>
      <w:r w:rsidR="0020382E">
        <w:rPr>
          <w:rFonts w:ascii="AdvOT1ef757c0" w:hAnsi="AdvOT1ef757c0" w:cs="AdvOT1ef757c0"/>
          <w:color w:val="000000"/>
          <w:sz w:val="21"/>
          <w:szCs w:val="21"/>
        </w:rPr>
        <w:t xml:space="preserve"> role of interpersonal dynamics of knowledge construction involving practitioners and children or service users in social care practice has been emphasised more by some authors than others (Barratt &amp; Cooke, </w:t>
      </w:r>
      <w:r w:rsidR="0020382E">
        <w:rPr>
          <w:rFonts w:ascii="AdvOT1ef757c0" w:hAnsi="AdvOT1ef757c0" w:cs="AdvOT1ef757c0"/>
          <w:color w:val="000085"/>
          <w:sz w:val="21"/>
          <w:szCs w:val="21"/>
        </w:rPr>
        <w:t>2001</w:t>
      </w:r>
      <w:r w:rsidR="0020382E">
        <w:rPr>
          <w:rFonts w:ascii="AdvOT1ef757c0" w:hAnsi="AdvOT1ef757c0" w:cs="AdvOT1ef757c0"/>
          <w:color w:val="000000"/>
          <w:sz w:val="21"/>
          <w:szCs w:val="21"/>
        </w:rPr>
        <w:t xml:space="preserve">; Davies, Nutley, &amp; Walter, </w:t>
      </w:r>
      <w:r w:rsidR="0020382E">
        <w:rPr>
          <w:rFonts w:ascii="AdvOT1ef757c0" w:hAnsi="AdvOT1ef757c0" w:cs="AdvOT1ef757c0"/>
          <w:color w:val="000085"/>
          <w:sz w:val="21"/>
          <w:szCs w:val="21"/>
        </w:rPr>
        <w:t>2008</w:t>
      </w:r>
      <w:r w:rsidR="0020382E">
        <w:rPr>
          <w:rFonts w:ascii="AdvOT1ef757c0" w:hAnsi="AdvOT1ef757c0" w:cs="AdvOT1ef757c0"/>
          <w:color w:val="000000"/>
          <w:sz w:val="21"/>
          <w:szCs w:val="21"/>
        </w:rPr>
        <w:t xml:space="preserve">; </w:t>
      </w:r>
      <w:proofErr w:type="spellStart"/>
      <w:r w:rsidR="0020382E">
        <w:rPr>
          <w:rFonts w:ascii="AdvOT1ef757c0" w:hAnsi="AdvOT1ef757c0" w:cs="AdvOT1ef757c0"/>
          <w:color w:val="000000"/>
          <w:sz w:val="21"/>
          <w:szCs w:val="21"/>
        </w:rPr>
        <w:t>Nevo</w:t>
      </w:r>
      <w:proofErr w:type="spellEnd"/>
      <w:r w:rsidR="0020382E">
        <w:rPr>
          <w:rFonts w:ascii="AdvOT1ef757c0" w:hAnsi="AdvOT1ef757c0" w:cs="AdvOT1ef757c0"/>
          <w:color w:val="000000"/>
          <w:sz w:val="21"/>
          <w:szCs w:val="21"/>
        </w:rPr>
        <w:t xml:space="preserve"> &amp; Slonim-</w:t>
      </w:r>
      <w:proofErr w:type="spellStart"/>
      <w:r w:rsidR="0020382E">
        <w:rPr>
          <w:rFonts w:ascii="AdvOT1ef757c0" w:hAnsi="AdvOT1ef757c0" w:cs="AdvOT1ef757c0"/>
          <w:color w:val="000000"/>
          <w:sz w:val="21"/>
          <w:szCs w:val="21"/>
        </w:rPr>
        <w:t>Nevo</w:t>
      </w:r>
      <w:proofErr w:type="spellEnd"/>
      <w:r w:rsidR="0020382E">
        <w:rPr>
          <w:rFonts w:ascii="AdvOT1ef757c0" w:hAnsi="AdvOT1ef757c0" w:cs="AdvOT1ef757c0"/>
          <w:color w:val="000000"/>
          <w:sz w:val="21"/>
          <w:szCs w:val="21"/>
        </w:rPr>
        <w:t xml:space="preserve">, </w:t>
      </w:r>
      <w:r w:rsidR="0020382E">
        <w:rPr>
          <w:rFonts w:ascii="AdvOT1ef757c0" w:hAnsi="AdvOT1ef757c0" w:cs="AdvOT1ef757c0"/>
          <w:color w:val="000085"/>
          <w:sz w:val="21"/>
          <w:szCs w:val="21"/>
        </w:rPr>
        <w:t>2011</w:t>
      </w:r>
      <w:r w:rsidR="0020382E">
        <w:rPr>
          <w:rFonts w:ascii="AdvOT1ef757c0" w:hAnsi="AdvOT1ef757c0" w:cs="AdvOT1ef757c0"/>
          <w:color w:val="000000"/>
          <w:sz w:val="21"/>
          <w:szCs w:val="21"/>
        </w:rPr>
        <w:t>). These dynamics refer to, in varying degrees, aspects of evidence informed work such as how much the process is in</w:t>
      </w:r>
      <w:r w:rsidR="0020382E">
        <w:rPr>
          <w:rFonts w:ascii="AdvOT1ef757c0+fb" w:hAnsi="AdvOT1ef757c0+fb" w:cs="AdvOT1ef757c0+fb"/>
          <w:color w:val="000000"/>
          <w:sz w:val="21"/>
          <w:szCs w:val="21"/>
        </w:rPr>
        <w:t>fl</w:t>
      </w:r>
      <w:r w:rsidR="0020382E">
        <w:rPr>
          <w:rFonts w:ascii="AdvOT1ef757c0" w:hAnsi="AdvOT1ef757c0" w:cs="AdvOT1ef757c0"/>
          <w:color w:val="000000"/>
          <w:sz w:val="21"/>
          <w:szCs w:val="21"/>
        </w:rPr>
        <w:t>uenced by the child, how much attention is given to the child</w:t>
      </w:r>
      <w:r w:rsidR="0020382E">
        <w:rPr>
          <w:rFonts w:ascii="AdvOT1ef757c0+20" w:hAnsi="AdvOT1ef757c0+20" w:cs="AdvOT1ef757c0+20"/>
          <w:color w:val="000000"/>
          <w:sz w:val="21"/>
          <w:szCs w:val="21"/>
        </w:rPr>
        <w:t>’</w:t>
      </w:r>
      <w:r w:rsidR="0020382E">
        <w:rPr>
          <w:rFonts w:ascii="AdvOT1ef757c0" w:hAnsi="AdvOT1ef757c0" w:cs="AdvOT1ef757c0"/>
          <w:color w:val="000000"/>
          <w:sz w:val="21"/>
          <w:szCs w:val="21"/>
        </w:rPr>
        <w:t xml:space="preserve">s voice, or how much power the individual practitioner </w:t>
      </w:r>
      <w:proofErr w:type="gramStart"/>
      <w:r w:rsidR="0020382E">
        <w:rPr>
          <w:rFonts w:ascii="AdvOT1ef757c0" w:hAnsi="AdvOT1ef757c0" w:cs="AdvOT1ef757c0"/>
          <w:color w:val="000000"/>
          <w:sz w:val="21"/>
          <w:szCs w:val="21"/>
        </w:rPr>
        <w:t>has to</w:t>
      </w:r>
      <w:proofErr w:type="gramEnd"/>
      <w:r w:rsidR="0020382E">
        <w:rPr>
          <w:rFonts w:ascii="AdvOT1ef757c0" w:hAnsi="AdvOT1ef757c0" w:cs="AdvOT1ef757c0"/>
          <w:color w:val="000000"/>
          <w:sz w:val="21"/>
          <w:szCs w:val="21"/>
        </w:rPr>
        <w:t xml:space="preserve"> conduct their work.</w:t>
      </w:r>
    </w:p>
    <w:p w:rsidR="0020382E" w:rsidRDefault="0020382E" w:rsidP="0020382E">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color w:val="000000"/>
          <w:sz w:val="21"/>
          <w:szCs w:val="21"/>
        </w:rPr>
        <w:tab/>
        <w:t>Yet despite the implicit and varied skills, dispositions and resources necessary to realise EIP in Irish social care with children; processes of professionalisation allied to accountability, compliance and increased regulation leave little doubt as to practitioner</w:t>
      </w:r>
      <w:r>
        <w:rPr>
          <w:rFonts w:ascii="AdvOT1ef757c0+20" w:hAnsi="AdvOT1ef757c0+20" w:cs="AdvOT1ef757c0+20"/>
          <w:color w:val="000000"/>
          <w:sz w:val="21"/>
          <w:szCs w:val="21"/>
        </w:rPr>
        <w:t>’</w:t>
      </w:r>
      <w:r>
        <w:rPr>
          <w:rFonts w:ascii="AdvOT1ef757c0" w:hAnsi="AdvOT1ef757c0" w:cs="AdvOT1ef757c0"/>
          <w:color w:val="000000"/>
          <w:sz w:val="21"/>
          <w:szCs w:val="21"/>
        </w:rPr>
        <w:t xml:space="preserve">s obligation to do so (McSweeney et al., </w:t>
      </w:r>
      <w:r>
        <w:rPr>
          <w:rFonts w:ascii="AdvOT1ef757c0" w:hAnsi="AdvOT1ef757c0" w:cs="AdvOT1ef757c0"/>
          <w:color w:val="000085"/>
          <w:sz w:val="21"/>
          <w:szCs w:val="21"/>
        </w:rPr>
        <w:t>2016</w:t>
      </w:r>
      <w:r>
        <w:rPr>
          <w:rFonts w:ascii="AdvOT1ef757c0" w:hAnsi="AdvOT1ef757c0" w:cs="AdvOT1ef757c0"/>
          <w:color w:val="000000"/>
          <w:sz w:val="21"/>
          <w:szCs w:val="21"/>
        </w:rPr>
        <w:t xml:space="preserve">; Power &amp; Darcy, </w:t>
      </w:r>
      <w:r>
        <w:rPr>
          <w:rFonts w:ascii="AdvOT1ef757c0" w:hAnsi="AdvOT1ef757c0" w:cs="AdvOT1ef757c0"/>
          <w:color w:val="000085"/>
          <w:sz w:val="21"/>
          <w:szCs w:val="21"/>
        </w:rPr>
        <w:t>2017</w:t>
      </w:r>
      <w:r>
        <w:rPr>
          <w:rFonts w:ascii="AdvOT1ef757c0" w:hAnsi="AdvOT1ef757c0" w:cs="AdvOT1ef757c0"/>
          <w:color w:val="000000"/>
          <w:sz w:val="21"/>
          <w:szCs w:val="21"/>
        </w:rPr>
        <w:t>). Further, practitioners may feel a shift towards more professionalised practice is in their best interests. From an examination of research priorities for practitioners who work with children in social care in the UK, Stevens et al. (</w:t>
      </w:r>
      <w:r>
        <w:rPr>
          <w:rFonts w:ascii="AdvOT1ef757c0" w:hAnsi="AdvOT1ef757c0" w:cs="AdvOT1ef757c0"/>
          <w:color w:val="000085"/>
          <w:sz w:val="21"/>
          <w:szCs w:val="21"/>
        </w:rPr>
        <w:t>2007</w:t>
      </w:r>
      <w:r>
        <w:rPr>
          <w:rFonts w:ascii="AdvOT1ef757c0" w:hAnsi="AdvOT1ef757c0" w:cs="AdvOT1ef757c0"/>
          <w:color w:val="000000"/>
          <w:sz w:val="21"/>
          <w:szCs w:val="21"/>
        </w:rPr>
        <w:t>) demonstrate practitioner</w:t>
      </w:r>
      <w:r>
        <w:rPr>
          <w:rFonts w:ascii="AdvOT1ef757c0+20" w:hAnsi="AdvOT1ef757c0+20" w:cs="AdvOT1ef757c0+20"/>
          <w:color w:val="000000"/>
          <w:sz w:val="21"/>
          <w:szCs w:val="21"/>
        </w:rPr>
        <w:t>’</w:t>
      </w:r>
      <w:r>
        <w:rPr>
          <w:rFonts w:ascii="AdvOT1ef757c0" w:hAnsi="AdvOT1ef757c0" w:cs="AdvOT1ef757c0"/>
          <w:color w:val="000000"/>
          <w:sz w:val="21"/>
          <w:szCs w:val="21"/>
        </w:rPr>
        <w:t>s professed need for robust studies that address the e</w:t>
      </w:r>
      <w:r>
        <w:rPr>
          <w:rFonts w:ascii="AdvOT1ef757c0+fb" w:hAnsi="AdvOT1ef757c0+fb" w:cs="AdvOT1ef757c0+fb"/>
          <w:color w:val="000000"/>
          <w:sz w:val="21"/>
          <w:szCs w:val="21"/>
        </w:rPr>
        <w:t>ff</w:t>
      </w:r>
      <w:r>
        <w:rPr>
          <w:rFonts w:ascii="AdvOT1ef757c0" w:hAnsi="AdvOT1ef757c0" w:cs="AdvOT1ef757c0"/>
          <w:color w:val="000000"/>
          <w:sz w:val="21"/>
          <w:szCs w:val="21"/>
        </w:rPr>
        <w:t>ectiveness of interventions. The basis of the research, however, lay in the broad observation that in social care, as it stands, research is insu</w:t>
      </w:r>
      <w:r>
        <w:rPr>
          <w:rFonts w:ascii="AdvOT1ef757c0+fb" w:hAnsi="AdvOT1ef757c0+fb" w:cs="AdvOT1ef757c0+fb"/>
          <w:color w:val="000000"/>
          <w:sz w:val="21"/>
          <w:szCs w:val="21"/>
        </w:rPr>
        <w:t>ffi</w:t>
      </w:r>
      <w:r>
        <w:rPr>
          <w:rFonts w:ascii="AdvOT1ef757c0" w:hAnsi="AdvOT1ef757c0" w:cs="AdvOT1ef757c0"/>
          <w:color w:val="000000"/>
          <w:sz w:val="21"/>
          <w:szCs w:val="21"/>
        </w:rPr>
        <w:t xml:space="preserve">ciently relevant to practice (Stevens et al., </w:t>
      </w:r>
      <w:r>
        <w:rPr>
          <w:rFonts w:ascii="AdvOT1ef757c0" w:hAnsi="AdvOT1ef757c0" w:cs="AdvOT1ef757c0"/>
          <w:color w:val="000085"/>
          <w:sz w:val="21"/>
          <w:szCs w:val="21"/>
        </w:rPr>
        <w:t>2007</w:t>
      </w:r>
      <w:r>
        <w:rPr>
          <w:rFonts w:ascii="AdvOT1ef757c0" w:hAnsi="AdvOT1ef757c0" w:cs="AdvOT1ef757c0"/>
          <w:color w:val="000000"/>
          <w:sz w:val="21"/>
          <w:szCs w:val="21"/>
        </w:rPr>
        <w:t>).</w:t>
      </w:r>
    </w:p>
    <w:p w:rsidR="0020382E" w:rsidRPr="0020382E" w:rsidRDefault="0020382E" w:rsidP="0020382E">
      <w:pPr>
        <w:autoSpaceDE w:val="0"/>
        <w:autoSpaceDN w:val="0"/>
        <w:adjustRightInd w:val="0"/>
        <w:spacing w:after="0" w:line="240" w:lineRule="auto"/>
        <w:jc w:val="both"/>
        <w:rPr>
          <w:rFonts w:ascii="AdvOT1ef757c0" w:hAnsi="AdvOT1ef757c0" w:cs="AdvOT1ef757c0"/>
          <w:b/>
          <w:color w:val="000000"/>
          <w:sz w:val="21"/>
          <w:szCs w:val="21"/>
        </w:rPr>
      </w:pPr>
    </w:p>
    <w:p w:rsidR="0020382E" w:rsidRPr="0020382E" w:rsidRDefault="0020382E" w:rsidP="0020382E">
      <w:pPr>
        <w:autoSpaceDE w:val="0"/>
        <w:autoSpaceDN w:val="0"/>
        <w:adjustRightInd w:val="0"/>
        <w:spacing w:after="0" w:line="240" w:lineRule="auto"/>
        <w:jc w:val="both"/>
        <w:rPr>
          <w:rFonts w:ascii="AdvOTd0125be5.BI" w:hAnsi="AdvOTd0125be5.BI" w:cs="AdvOTd0125be5.BI"/>
          <w:b/>
          <w:sz w:val="21"/>
          <w:szCs w:val="21"/>
        </w:rPr>
      </w:pPr>
      <w:r w:rsidRPr="0020382E">
        <w:rPr>
          <w:rFonts w:ascii="AdvOTd0125be5.BI" w:hAnsi="AdvOTd0125be5.BI" w:cs="AdvOTd0125be5.BI"/>
          <w:b/>
          <w:sz w:val="21"/>
          <w:szCs w:val="21"/>
        </w:rPr>
        <w:t>Bene</w:t>
      </w:r>
      <w:r w:rsidRPr="0020382E">
        <w:rPr>
          <w:rFonts w:ascii="AdvOTd0125be5.BI+fb" w:hAnsi="AdvOTd0125be5.BI+fb" w:cs="AdvOTd0125be5.BI+fb"/>
          <w:b/>
          <w:sz w:val="21"/>
          <w:szCs w:val="21"/>
        </w:rPr>
        <w:t>fi</w:t>
      </w:r>
      <w:r w:rsidRPr="0020382E">
        <w:rPr>
          <w:rFonts w:ascii="AdvOTd0125be5.BI" w:hAnsi="AdvOTd0125be5.BI" w:cs="AdvOTd0125be5.BI"/>
          <w:b/>
          <w:sz w:val="21"/>
          <w:szCs w:val="21"/>
        </w:rPr>
        <w:t>ts of EIP for professionalisation in children</w:t>
      </w:r>
      <w:r w:rsidRPr="0020382E">
        <w:rPr>
          <w:rFonts w:ascii="AdvOTd0125be5.BI+20" w:hAnsi="AdvOTd0125be5.BI+20" w:cs="AdvOTd0125be5.BI+20"/>
          <w:b/>
          <w:sz w:val="21"/>
          <w:szCs w:val="21"/>
        </w:rPr>
        <w:t>’</w:t>
      </w:r>
      <w:r w:rsidRPr="0020382E">
        <w:rPr>
          <w:rFonts w:ascii="AdvOTd0125be5.BI" w:hAnsi="AdvOTd0125be5.BI" w:cs="AdvOTd0125be5.BI"/>
          <w:b/>
          <w:sz w:val="21"/>
          <w:szCs w:val="21"/>
        </w:rPr>
        <w:t>s social care in Ireland</w:t>
      </w:r>
    </w:p>
    <w:p w:rsidR="0020382E" w:rsidRPr="0020382E" w:rsidRDefault="0020382E" w:rsidP="0020382E">
      <w:pPr>
        <w:autoSpaceDE w:val="0"/>
        <w:autoSpaceDN w:val="0"/>
        <w:adjustRightInd w:val="0"/>
        <w:spacing w:after="0" w:line="240" w:lineRule="auto"/>
        <w:jc w:val="both"/>
        <w:rPr>
          <w:rFonts w:ascii="AdvOTd0125be5.BI" w:hAnsi="AdvOTd0125be5.BI" w:cs="AdvOTd0125be5.BI"/>
          <w:b/>
          <w:sz w:val="21"/>
          <w:szCs w:val="21"/>
        </w:rPr>
      </w:pPr>
    </w:p>
    <w:p w:rsidR="0020382E" w:rsidRDefault="0020382E" w:rsidP="008F7FD9">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sz w:val="21"/>
          <w:szCs w:val="21"/>
        </w:rPr>
        <w:t>By now, perhaps a sense of EIP as an embedded feature of professionalisation, in the</w:t>
      </w:r>
      <w:r w:rsidR="006D3540">
        <w:rPr>
          <w:rFonts w:ascii="AdvOT1ef757c0" w:hAnsi="AdvOT1ef757c0" w:cs="AdvOT1ef757c0"/>
          <w:sz w:val="21"/>
          <w:szCs w:val="21"/>
        </w:rPr>
        <w:t xml:space="preserve"> </w:t>
      </w:r>
      <w:r>
        <w:rPr>
          <w:rFonts w:ascii="AdvOT1ef757c0" w:hAnsi="AdvOT1ef757c0" w:cs="AdvOT1ef757c0"/>
          <w:sz w:val="21"/>
          <w:szCs w:val="21"/>
        </w:rPr>
        <w:t xml:space="preserve">context of increased accountability and external regulation of social care with children </w:t>
      </w:r>
      <w:r>
        <w:rPr>
          <w:rFonts w:ascii="AdvOT1ef757c0" w:hAnsi="AdvOT1ef757c0" w:cs="AdvOT1ef757c0"/>
          <w:color w:val="000000"/>
          <w:sz w:val="21"/>
          <w:szCs w:val="21"/>
        </w:rPr>
        <w:t xml:space="preserve">in Ireland,  has been impressed (Byrne, </w:t>
      </w:r>
      <w:r>
        <w:rPr>
          <w:rFonts w:ascii="AdvOT1ef757c0" w:hAnsi="AdvOT1ef757c0" w:cs="AdvOT1ef757c0"/>
          <w:color w:val="000085"/>
          <w:sz w:val="21"/>
          <w:szCs w:val="21"/>
        </w:rPr>
        <w:t>2016</w:t>
      </w:r>
      <w:r>
        <w:rPr>
          <w:rFonts w:ascii="AdvOT1ef757c0" w:hAnsi="AdvOT1ef757c0" w:cs="AdvOT1ef757c0"/>
          <w:color w:val="000000"/>
          <w:sz w:val="21"/>
          <w:szCs w:val="21"/>
        </w:rPr>
        <w:t xml:space="preserve">; McSweeney et al., </w:t>
      </w:r>
      <w:r>
        <w:rPr>
          <w:rFonts w:ascii="AdvOT1ef757c0" w:hAnsi="AdvOT1ef757c0" w:cs="AdvOT1ef757c0"/>
          <w:color w:val="000085"/>
          <w:sz w:val="21"/>
          <w:szCs w:val="21"/>
        </w:rPr>
        <w:t>2016</w:t>
      </w:r>
      <w:r>
        <w:rPr>
          <w:rFonts w:ascii="AdvOT1ef757c0" w:hAnsi="AdvOT1ef757c0" w:cs="AdvOT1ef757c0"/>
          <w:color w:val="000000"/>
          <w:sz w:val="21"/>
          <w:szCs w:val="21"/>
        </w:rPr>
        <w:t>). In the following, the bene</w:t>
      </w:r>
      <w:r>
        <w:rPr>
          <w:rFonts w:ascii="AdvOT1ef757c0+fb" w:hAnsi="AdvOT1ef757c0+fb" w:cs="AdvOT1ef757c0+fb"/>
          <w:color w:val="000000"/>
          <w:sz w:val="21"/>
          <w:szCs w:val="21"/>
        </w:rPr>
        <w:t>fi</w:t>
      </w:r>
      <w:r>
        <w:rPr>
          <w:rFonts w:ascii="AdvOT1ef757c0" w:hAnsi="AdvOT1ef757c0" w:cs="AdvOT1ef757c0"/>
          <w:color w:val="000000"/>
          <w:sz w:val="21"/>
          <w:szCs w:val="21"/>
        </w:rPr>
        <w:t>ts of EIP for the professionalisation of children</w:t>
      </w:r>
      <w:r>
        <w:rPr>
          <w:rFonts w:ascii="AdvOT1ef757c0+20" w:hAnsi="AdvOT1ef757c0+20" w:cs="AdvOT1ef757c0+20"/>
          <w:color w:val="000000"/>
          <w:sz w:val="21"/>
          <w:szCs w:val="21"/>
        </w:rPr>
        <w:t>’</w:t>
      </w:r>
      <w:r>
        <w:rPr>
          <w:rFonts w:ascii="AdvOT1ef757c0" w:hAnsi="AdvOT1ef757c0" w:cs="AdvOT1ef757c0"/>
          <w:color w:val="000000"/>
          <w:sz w:val="21"/>
          <w:szCs w:val="21"/>
        </w:rPr>
        <w:t xml:space="preserve">s social care in Ireland will be considered. The inseparable nature of </w:t>
      </w:r>
      <w:r>
        <w:rPr>
          <w:rFonts w:ascii="AdvOT1ef757c0" w:hAnsi="AdvOT1ef757c0" w:cs="AdvOT1ef757c0"/>
          <w:color w:val="000000"/>
          <w:sz w:val="21"/>
          <w:szCs w:val="21"/>
        </w:rPr>
        <w:lastRenderedPageBreak/>
        <w:t>EIP and EBP from discourses and practices of professionalisation of social care for children in Ireland is perhaps evident from the perceptible bene</w:t>
      </w:r>
      <w:r>
        <w:rPr>
          <w:rFonts w:ascii="AdvOT1ef757c0+fb" w:hAnsi="AdvOT1ef757c0+fb" w:cs="AdvOT1ef757c0+fb"/>
          <w:color w:val="000000"/>
          <w:sz w:val="21"/>
          <w:szCs w:val="21"/>
        </w:rPr>
        <w:t>fi</w:t>
      </w:r>
      <w:r>
        <w:rPr>
          <w:rFonts w:ascii="AdvOT1ef757c0" w:hAnsi="AdvOT1ef757c0" w:cs="AdvOT1ef757c0"/>
          <w:color w:val="000000"/>
          <w:sz w:val="21"/>
          <w:szCs w:val="21"/>
        </w:rPr>
        <w:t>ts of EIP and EBP. EBP approach in social care seeks to improve e</w:t>
      </w:r>
      <w:r>
        <w:rPr>
          <w:rFonts w:ascii="AdvOT1ef757c0+fb" w:hAnsi="AdvOT1ef757c0+fb" w:cs="AdvOT1ef757c0+fb"/>
          <w:color w:val="000000"/>
          <w:sz w:val="21"/>
          <w:szCs w:val="21"/>
        </w:rPr>
        <w:t>ff</w:t>
      </w:r>
      <w:r>
        <w:rPr>
          <w:rFonts w:ascii="AdvOT1ef757c0" w:hAnsi="AdvOT1ef757c0" w:cs="AdvOT1ef757c0"/>
          <w:color w:val="000000"/>
          <w:sz w:val="21"/>
          <w:szCs w:val="21"/>
        </w:rPr>
        <w:t xml:space="preserve">ectiveness and accountability through best-known evidence (Marsh &amp; Fisher, </w:t>
      </w:r>
      <w:r>
        <w:rPr>
          <w:rFonts w:ascii="AdvOT1ef757c0" w:hAnsi="AdvOT1ef757c0" w:cs="AdvOT1ef757c0"/>
          <w:color w:val="000085"/>
          <w:sz w:val="21"/>
          <w:szCs w:val="21"/>
        </w:rPr>
        <w:t>2005</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Mosson</w:t>
      </w:r>
      <w:proofErr w:type="spellEnd"/>
      <w:r>
        <w:rPr>
          <w:rFonts w:ascii="AdvOT1ef757c0" w:hAnsi="AdvOT1ef757c0" w:cs="AdvOT1ef757c0"/>
          <w:color w:val="000000"/>
          <w:sz w:val="21"/>
          <w:szCs w:val="21"/>
        </w:rPr>
        <w:t xml:space="preserve"> et al., </w:t>
      </w:r>
      <w:r>
        <w:rPr>
          <w:rFonts w:ascii="AdvOT1ef757c0" w:hAnsi="AdvOT1ef757c0" w:cs="AdvOT1ef757c0"/>
          <w:color w:val="000085"/>
          <w:sz w:val="21"/>
          <w:szCs w:val="21"/>
        </w:rPr>
        <w:t>2017</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&amp; Slonim-</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This is sometimes framed as an ethical imperative (</w:t>
      </w:r>
      <w:proofErr w:type="spellStart"/>
      <w:r>
        <w:rPr>
          <w:rFonts w:ascii="AdvOT1ef757c0" w:hAnsi="AdvOT1ef757c0" w:cs="AdvOT1ef757c0"/>
          <w:color w:val="000000"/>
          <w:sz w:val="21"/>
          <w:szCs w:val="21"/>
        </w:rPr>
        <w:t>Mosson</w:t>
      </w:r>
      <w:proofErr w:type="spellEnd"/>
      <w:r>
        <w:rPr>
          <w:rFonts w:ascii="AdvOT1ef757c0" w:hAnsi="AdvOT1ef757c0" w:cs="AdvOT1ef757c0"/>
          <w:color w:val="000000"/>
          <w:sz w:val="21"/>
          <w:szCs w:val="21"/>
        </w:rPr>
        <w:t xml:space="preserve"> et al., </w:t>
      </w:r>
      <w:r>
        <w:rPr>
          <w:rFonts w:ascii="AdvOT1ef757c0" w:hAnsi="AdvOT1ef757c0" w:cs="AdvOT1ef757c0"/>
          <w:color w:val="000085"/>
          <w:sz w:val="21"/>
          <w:szCs w:val="21"/>
        </w:rPr>
        <w:t>2017</w:t>
      </w:r>
      <w:r>
        <w:rPr>
          <w:rFonts w:ascii="AdvOT1ef757c0" w:hAnsi="AdvOT1ef757c0" w:cs="AdvOT1ef757c0"/>
          <w:color w:val="000000"/>
          <w:sz w:val="21"/>
          <w:szCs w:val="21"/>
        </w:rPr>
        <w:t xml:space="preserve">). EBP has also been purported to improve service delivery outcomes and improve practitioner and service user relationships (Marsh &amp; Fisher, </w:t>
      </w:r>
      <w:r>
        <w:rPr>
          <w:rFonts w:ascii="AdvOT1ef757c0" w:hAnsi="AdvOT1ef757c0" w:cs="AdvOT1ef757c0"/>
          <w:color w:val="000085"/>
          <w:sz w:val="21"/>
          <w:szCs w:val="21"/>
        </w:rPr>
        <w:t>2005</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Mosson</w:t>
      </w:r>
      <w:proofErr w:type="spellEnd"/>
      <w:r>
        <w:rPr>
          <w:rFonts w:ascii="AdvOT1ef757c0" w:hAnsi="AdvOT1ef757c0" w:cs="AdvOT1ef757c0"/>
          <w:color w:val="000000"/>
          <w:sz w:val="21"/>
          <w:szCs w:val="21"/>
        </w:rPr>
        <w:t xml:space="preserve"> et al., </w:t>
      </w:r>
      <w:r>
        <w:rPr>
          <w:rFonts w:ascii="AdvOT1ef757c0" w:hAnsi="AdvOT1ef757c0" w:cs="AdvOT1ef757c0"/>
          <w:color w:val="000085"/>
          <w:sz w:val="21"/>
          <w:szCs w:val="21"/>
        </w:rPr>
        <w:t>2017</w:t>
      </w:r>
      <w:r>
        <w:rPr>
          <w:rFonts w:ascii="AdvOT1ef757c0" w:hAnsi="AdvOT1ef757c0" w:cs="AdvOT1ef757c0"/>
          <w:color w:val="000000"/>
          <w:sz w:val="21"/>
          <w:szCs w:val="21"/>
        </w:rPr>
        <w:t xml:space="preserve">; Moule &amp; </w:t>
      </w:r>
      <w:proofErr w:type="spellStart"/>
      <w:r>
        <w:rPr>
          <w:rFonts w:ascii="AdvOT1ef757c0" w:hAnsi="AdvOT1ef757c0" w:cs="AdvOT1ef757c0"/>
          <w:color w:val="000000"/>
          <w:sz w:val="21"/>
          <w:szCs w:val="21"/>
        </w:rPr>
        <w:t>Hek</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&amp; Slonim-</w:t>
      </w:r>
      <w:proofErr w:type="spellStart"/>
      <w:r>
        <w:rPr>
          <w:rFonts w:ascii="AdvOT1ef757c0" w:hAnsi="AdvOT1ef757c0" w:cs="AdvOT1ef757c0"/>
          <w:color w:val="000000"/>
          <w:sz w:val="21"/>
          <w:szCs w:val="21"/>
        </w:rPr>
        <w:t>Nevo</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Marsh and Fisher (</w:t>
      </w:r>
      <w:r>
        <w:rPr>
          <w:rFonts w:ascii="AdvOT1ef757c0" w:hAnsi="AdvOT1ef757c0" w:cs="AdvOT1ef757c0"/>
          <w:color w:val="000085"/>
          <w:sz w:val="21"/>
          <w:szCs w:val="21"/>
        </w:rPr>
        <w:t>2005</w:t>
      </w:r>
      <w:r>
        <w:rPr>
          <w:rFonts w:ascii="AdvOT1ef757c0" w:hAnsi="AdvOT1ef757c0" w:cs="AdvOT1ef757c0"/>
          <w:color w:val="000000"/>
          <w:sz w:val="21"/>
          <w:szCs w:val="21"/>
        </w:rPr>
        <w:t>) add that safeguarding of service users; promotion of their life chances; challenges to assumptions about the social care profession and more informed service user and public opinions are direct bene</w:t>
      </w:r>
      <w:r>
        <w:rPr>
          <w:rFonts w:ascii="AdvOT1ef757c0+fb" w:hAnsi="AdvOT1ef757c0+fb" w:cs="AdvOT1ef757c0+fb"/>
          <w:color w:val="000000"/>
          <w:sz w:val="21"/>
          <w:szCs w:val="21"/>
        </w:rPr>
        <w:t>fi</w:t>
      </w:r>
      <w:r>
        <w:rPr>
          <w:rFonts w:ascii="AdvOT1ef757c0" w:hAnsi="AdvOT1ef757c0" w:cs="AdvOT1ef757c0"/>
          <w:color w:val="000000"/>
          <w:sz w:val="21"/>
          <w:szCs w:val="21"/>
        </w:rPr>
        <w:t>ts. Here it is clear that working in a more evidence</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informed</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way also achieves many of the goals that processes of</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professionalisation are</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geared toward, such as improving the image and value of social care </w:t>
      </w:r>
      <w:proofErr w:type="gramStart"/>
      <w:r>
        <w:rPr>
          <w:rFonts w:ascii="AdvOT1ef757c0" w:hAnsi="AdvOT1ef757c0" w:cs="AdvOT1ef757c0"/>
          <w:color w:val="000000"/>
          <w:sz w:val="21"/>
          <w:szCs w:val="21"/>
        </w:rPr>
        <w:t>work,</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and</w:t>
      </w:r>
      <w:proofErr w:type="gramEnd"/>
      <w:r>
        <w:rPr>
          <w:rFonts w:ascii="AdvOT1ef757c0" w:hAnsi="AdvOT1ef757c0" w:cs="AdvOT1ef757c0"/>
          <w:color w:val="000000"/>
          <w:sz w:val="21"/>
          <w:szCs w:val="21"/>
        </w:rPr>
        <w:t xml:space="preserve"> improving</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children</w:t>
      </w:r>
      <w:r>
        <w:rPr>
          <w:rFonts w:ascii="AdvOT1ef757c0+20" w:hAnsi="AdvOT1ef757c0+20" w:cs="AdvOT1ef757c0+20"/>
          <w:color w:val="000000"/>
          <w:sz w:val="21"/>
          <w:szCs w:val="21"/>
        </w:rPr>
        <w:t>’</w:t>
      </w:r>
      <w:r>
        <w:rPr>
          <w:rFonts w:ascii="AdvOT1ef757c0" w:hAnsi="AdvOT1ef757c0" w:cs="AdvOT1ef757c0"/>
          <w:color w:val="000000"/>
          <w:sz w:val="21"/>
          <w:szCs w:val="21"/>
        </w:rPr>
        <w:t xml:space="preserve">s lives. Furthermore,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p. 151) identi</w:t>
      </w:r>
      <w:r>
        <w:rPr>
          <w:rFonts w:ascii="AdvOT1ef757c0+fb" w:hAnsi="AdvOT1ef757c0+fb" w:cs="AdvOT1ef757c0+fb"/>
          <w:color w:val="000000"/>
          <w:sz w:val="21"/>
          <w:szCs w:val="21"/>
        </w:rPr>
        <w:t>fi</w:t>
      </w:r>
      <w:r>
        <w:rPr>
          <w:rFonts w:ascii="AdvOT1ef757c0" w:hAnsi="AdvOT1ef757c0" w:cs="AdvOT1ef757c0"/>
          <w:color w:val="000000"/>
          <w:sz w:val="21"/>
          <w:szCs w:val="21"/>
        </w:rPr>
        <w:t>es Williams</w:t>
      </w:r>
      <w:r>
        <w:rPr>
          <w:rFonts w:ascii="AdvOT1ef757c0+20" w:hAnsi="AdvOT1ef757c0+20" w:cs="AdvOT1ef757c0+20"/>
          <w:color w:val="000000"/>
          <w:sz w:val="21"/>
          <w:szCs w:val="21"/>
        </w:rPr>
        <w:t>’</w:t>
      </w:r>
      <w:r>
        <w:rPr>
          <w:rFonts w:ascii="AdvOT1ef757c0" w:hAnsi="AdvOT1ef757c0" w:cs="AdvOT1ef757c0"/>
          <w:color w:val="000000"/>
          <w:sz w:val="21"/>
          <w:szCs w:val="21"/>
        </w:rPr>
        <w:t>s (</w:t>
      </w:r>
      <w:r>
        <w:rPr>
          <w:rFonts w:ascii="AdvOT1ef757c0" w:hAnsi="AdvOT1ef757c0" w:cs="AdvOT1ef757c0"/>
          <w:color w:val="000085"/>
          <w:sz w:val="21"/>
          <w:szCs w:val="21"/>
        </w:rPr>
        <w:t>2000</w:t>
      </w:r>
      <w:r>
        <w:rPr>
          <w:rFonts w:ascii="AdvOT1ef757c0" w:hAnsi="AdvOT1ef757c0" w:cs="AdvOT1ef757c0"/>
          <w:color w:val="000000"/>
          <w:sz w:val="21"/>
          <w:szCs w:val="21"/>
        </w:rPr>
        <w:t>)</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work as</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relevant for Irish practitioners; namely, his account of the bene</w:t>
      </w:r>
      <w:r>
        <w:rPr>
          <w:rFonts w:ascii="AdvOT1ef757c0+fb" w:hAnsi="AdvOT1ef757c0+fb" w:cs="AdvOT1ef757c0+fb"/>
          <w:color w:val="000000"/>
          <w:sz w:val="21"/>
          <w:szCs w:val="21"/>
        </w:rPr>
        <w:t>fi</w:t>
      </w:r>
      <w:r>
        <w:rPr>
          <w:rFonts w:ascii="AdvOT1ef757c0" w:hAnsi="AdvOT1ef757c0" w:cs="AdvOT1ef757c0"/>
          <w:color w:val="000000"/>
          <w:sz w:val="21"/>
          <w:szCs w:val="21"/>
        </w:rPr>
        <w:t>ts of EBP for social care</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practitioners within a Seminar Paper delivered in Wales. Bene</w:t>
      </w:r>
      <w:r>
        <w:rPr>
          <w:rFonts w:ascii="AdvOT1ef757c0+fb" w:hAnsi="AdvOT1ef757c0+fb" w:cs="AdvOT1ef757c0+fb"/>
          <w:color w:val="000000"/>
          <w:sz w:val="21"/>
          <w:szCs w:val="21"/>
        </w:rPr>
        <w:t>fi</w:t>
      </w:r>
      <w:r>
        <w:rPr>
          <w:rFonts w:ascii="AdvOT1ef757c0" w:hAnsi="AdvOT1ef757c0" w:cs="AdvOT1ef757c0"/>
          <w:color w:val="000000"/>
          <w:sz w:val="21"/>
          <w:szCs w:val="21"/>
        </w:rPr>
        <w:t>ts outlined include more</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e</w:t>
      </w:r>
      <w:r>
        <w:rPr>
          <w:rFonts w:ascii="AdvOT1ef757c0+fb" w:hAnsi="AdvOT1ef757c0+fb" w:cs="AdvOT1ef757c0+fb"/>
          <w:color w:val="000000"/>
          <w:sz w:val="21"/>
          <w:szCs w:val="21"/>
        </w:rPr>
        <w:t>ff</w:t>
      </w:r>
      <w:r>
        <w:rPr>
          <w:rFonts w:ascii="AdvOT1ef757c0" w:hAnsi="AdvOT1ef757c0" w:cs="AdvOT1ef757c0"/>
          <w:color w:val="000000"/>
          <w:sz w:val="21"/>
          <w:szCs w:val="21"/>
        </w:rPr>
        <w:t>ective</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social care interventions; improved resource e</w:t>
      </w:r>
      <w:r>
        <w:rPr>
          <w:rFonts w:ascii="AdvOT1ef757c0+fb" w:hAnsi="AdvOT1ef757c0+fb" w:cs="AdvOT1ef757c0+fb"/>
          <w:color w:val="000000"/>
          <w:sz w:val="21"/>
          <w:szCs w:val="21"/>
        </w:rPr>
        <w:t>ffi</w:t>
      </w:r>
      <w:r>
        <w:rPr>
          <w:rFonts w:ascii="AdvOT1ef757c0" w:hAnsi="AdvOT1ef757c0" w:cs="AdvOT1ef757c0"/>
          <w:color w:val="000000"/>
          <w:sz w:val="21"/>
          <w:szCs w:val="21"/>
        </w:rPr>
        <w:t>ciency; improved analytical practice;</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raising of the</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status of social care professionals, and improved public con</w:t>
      </w:r>
      <w:r>
        <w:rPr>
          <w:rFonts w:ascii="AdvOT1ef757c0+fb" w:hAnsi="AdvOT1ef757c0+fb" w:cs="AdvOT1ef757c0+fb"/>
          <w:color w:val="000000"/>
          <w:sz w:val="21"/>
          <w:szCs w:val="21"/>
        </w:rPr>
        <w:t>fi</w:t>
      </w:r>
      <w:r>
        <w:rPr>
          <w:rFonts w:ascii="AdvOT1ef757c0" w:hAnsi="AdvOT1ef757c0" w:cs="AdvOT1ef757c0"/>
          <w:color w:val="000000"/>
          <w:sz w:val="21"/>
          <w:szCs w:val="21"/>
        </w:rPr>
        <w:t>dence in</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social care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p.</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151). Resources for practitioners are also available in</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order to achieve these bene</w:t>
      </w:r>
      <w:r>
        <w:rPr>
          <w:rFonts w:ascii="AdvOT1ef757c0+fb" w:hAnsi="AdvOT1ef757c0+fb" w:cs="AdvOT1ef757c0+fb"/>
          <w:color w:val="000000"/>
          <w:sz w:val="21"/>
          <w:szCs w:val="21"/>
        </w:rPr>
        <w:t>fi</w:t>
      </w:r>
      <w:r>
        <w:rPr>
          <w:rFonts w:ascii="AdvOT1ef757c0" w:hAnsi="AdvOT1ef757c0" w:cs="AdvOT1ef757c0"/>
          <w:color w:val="000000"/>
          <w:sz w:val="21"/>
          <w:szCs w:val="21"/>
        </w:rPr>
        <w:t>ts. Byrne (</w:t>
      </w:r>
      <w:r>
        <w:rPr>
          <w:rFonts w:ascii="AdvOT1ef757c0" w:hAnsi="AdvOT1ef757c0" w:cs="AdvOT1ef757c0"/>
          <w:color w:val="000085"/>
          <w:sz w:val="21"/>
          <w:szCs w:val="21"/>
        </w:rPr>
        <w:t>2009</w:t>
      </w:r>
      <w:r>
        <w:rPr>
          <w:rFonts w:ascii="AdvOT1ef757c0" w:hAnsi="AdvOT1ef757c0" w:cs="AdvOT1ef757c0"/>
          <w:color w:val="000000"/>
          <w:sz w:val="21"/>
          <w:szCs w:val="21"/>
        </w:rPr>
        <w:t>),</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for instance, describes social care practice</w:t>
      </w:r>
      <w:r w:rsidR="006D3540">
        <w:rPr>
          <w:rFonts w:ascii="AdvOT1ef757c0" w:hAnsi="AdvOT1ef757c0" w:cs="AdvOT1ef757c0"/>
          <w:color w:val="000000"/>
          <w:sz w:val="21"/>
          <w:szCs w:val="21"/>
        </w:rPr>
        <w:t xml:space="preserve"> </w:t>
      </w:r>
      <w:r>
        <w:rPr>
          <w:rFonts w:ascii="AdvOT1ef757c0" w:hAnsi="AdvOT1ef757c0" w:cs="AdvOT1ef757c0"/>
          <w:color w:val="000000"/>
          <w:sz w:val="21"/>
          <w:szCs w:val="21"/>
        </w:rPr>
        <w:t>in children</w:t>
      </w:r>
      <w:r>
        <w:rPr>
          <w:rFonts w:ascii="AdvOT1ef757c0+20" w:hAnsi="AdvOT1ef757c0+20" w:cs="AdvOT1ef757c0+20"/>
          <w:color w:val="000000"/>
          <w:sz w:val="21"/>
          <w:szCs w:val="21"/>
        </w:rPr>
        <w:t>’</w:t>
      </w:r>
      <w:r>
        <w:rPr>
          <w:rFonts w:ascii="AdvOT1ef757c0" w:hAnsi="AdvOT1ef757c0" w:cs="AdvOT1ef757c0"/>
          <w:color w:val="000000"/>
          <w:sz w:val="21"/>
          <w:szCs w:val="21"/>
        </w:rPr>
        <w:t>s residential care as entailing a bio-psycho-social model. Di</w:t>
      </w:r>
      <w:r>
        <w:rPr>
          <w:rFonts w:ascii="AdvOT1ef757c0+fb" w:hAnsi="AdvOT1ef757c0+fb" w:cs="AdvOT1ef757c0+fb"/>
          <w:color w:val="000000"/>
          <w:sz w:val="21"/>
          <w:szCs w:val="21"/>
        </w:rPr>
        <w:t>ff</w:t>
      </w:r>
      <w:r>
        <w:rPr>
          <w:rFonts w:ascii="AdvOT1ef757c0" w:hAnsi="AdvOT1ef757c0" w:cs="AdvOT1ef757c0"/>
          <w:color w:val="000000"/>
          <w:sz w:val="21"/>
          <w:szCs w:val="21"/>
        </w:rPr>
        <w:t>erences</w:t>
      </w:r>
      <w:r w:rsidR="008F7FD9">
        <w:rPr>
          <w:rFonts w:ascii="AdvOT1ef757c0" w:hAnsi="AdvOT1ef757c0" w:cs="AdvOT1ef757c0"/>
          <w:color w:val="000000"/>
          <w:sz w:val="21"/>
          <w:szCs w:val="21"/>
        </w:rPr>
        <w:t xml:space="preserve"> </w:t>
      </w:r>
      <w:proofErr w:type="spellStart"/>
      <w:r w:rsidR="008F7FD9">
        <w:rPr>
          <w:rFonts w:ascii="AdvOT1ef757c0" w:hAnsi="AdvOT1ef757c0" w:cs="AdvOT1ef757c0"/>
          <w:color w:val="000000"/>
          <w:sz w:val="21"/>
          <w:szCs w:val="21"/>
        </w:rPr>
        <w:t>Di</w:t>
      </w:r>
      <w:r w:rsidR="008F7FD9">
        <w:rPr>
          <w:rFonts w:ascii="AdvOT1ef757c0+fb" w:hAnsi="AdvOT1ef757c0+fb" w:cs="AdvOT1ef757c0+fb"/>
          <w:color w:val="000000"/>
          <w:sz w:val="21"/>
          <w:szCs w:val="21"/>
        </w:rPr>
        <w:t>ff</w:t>
      </w:r>
      <w:r w:rsidR="008F7FD9">
        <w:rPr>
          <w:rFonts w:ascii="AdvOT1ef757c0" w:hAnsi="AdvOT1ef757c0" w:cs="AdvOT1ef757c0"/>
          <w:color w:val="000000"/>
          <w:sz w:val="21"/>
          <w:szCs w:val="21"/>
        </w:rPr>
        <w:t>erences</w:t>
      </w:r>
      <w:proofErr w:type="spellEnd"/>
      <w:r w:rsidR="008F7FD9">
        <w:rPr>
          <w:rFonts w:ascii="AdvOT1ef757c0" w:hAnsi="AdvOT1ef757c0" w:cs="AdvOT1ef757c0"/>
          <w:color w:val="000000"/>
          <w:sz w:val="21"/>
          <w:szCs w:val="21"/>
        </w:rPr>
        <w:t xml:space="preserve"> between Irish social care and medical professions allied to such models, for </w:t>
      </w:r>
      <w:proofErr w:type="spellStart"/>
      <w:r w:rsidR="008F7FD9">
        <w:rPr>
          <w:rFonts w:ascii="AdvOT1ef757c0" w:hAnsi="AdvOT1ef757c0" w:cs="AdvOT1ef757c0"/>
          <w:color w:val="000000"/>
          <w:sz w:val="21"/>
          <w:szCs w:val="21"/>
        </w:rPr>
        <w:t>Farrelly</w:t>
      </w:r>
      <w:proofErr w:type="spellEnd"/>
      <w:r w:rsidR="008F7FD9">
        <w:rPr>
          <w:rFonts w:ascii="AdvOT1ef757c0" w:hAnsi="AdvOT1ef757c0" w:cs="AdvOT1ef757c0"/>
          <w:color w:val="000000"/>
          <w:sz w:val="21"/>
          <w:szCs w:val="21"/>
        </w:rPr>
        <w:t xml:space="preserve"> (</w:t>
      </w:r>
      <w:r w:rsidR="008F7FD9">
        <w:rPr>
          <w:rFonts w:ascii="AdvOT1ef757c0" w:hAnsi="AdvOT1ef757c0" w:cs="AdvOT1ef757c0"/>
          <w:color w:val="000085"/>
          <w:sz w:val="21"/>
          <w:szCs w:val="21"/>
        </w:rPr>
        <w:t>2013</w:t>
      </w:r>
      <w:r w:rsidR="008F7FD9">
        <w:rPr>
          <w:rFonts w:ascii="AdvOT1ef757c0" w:hAnsi="AdvOT1ef757c0" w:cs="AdvOT1ef757c0"/>
          <w:color w:val="000000"/>
          <w:sz w:val="21"/>
          <w:szCs w:val="21"/>
        </w:rPr>
        <w:t>), do not have to prevent practitioners from achieving the bene</w:t>
      </w:r>
      <w:r w:rsidR="008F7FD9">
        <w:rPr>
          <w:rFonts w:ascii="AdvOT1ef757c0+fb" w:hAnsi="AdvOT1ef757c0+fb" w:cs="AdvOT1ef757c0+fb"/>
          <w:color w:val="000000"/>
          <w:sz w:val="21"/>
          <w:szCs w:val="21"/>
        </w:rPr>
        <w:t>fi</w:t>
      </w:r>
      <w:r w:rsidR="008F7FD9">
        <w:rPr>
          <w:rFonts w:ascii="AdvOT1ef757c0" w:hAnsi="AdvOT1ef757c0" w:cs="AdvOT1ef757c0"/>
          <w:color w:val="000000"/>
          <w:sz w:val="21"/>
          <w:szCs w:val="21"/>
        </w:rPr>
        <w:t>ts of EIP and EBP. This is because of the establishment of the Campbell Collaboration that o</w:t>
      </w:r>
      <w:r w:rsidR="008F7FD9">
        <w:rPr>
          <w:rFonts w:ascii="AdvOT1ef757c0+fb" w:hAnsi="AdvOT1ef757c0+fb" w:cs="AdvOT1ef757c0+fb"/>
          <w:color w:val="000000"/>
          <w:sz w:val="21"/>
          <w:szCs w:val="21"/>
        </w:rPr>
        <w:t>ff</w:t>
      </w:r>
      <w:r w:rsidR="008F7FD9">
        <w:rPr>
          <w:rFonts w:ascii="AdvOT1ef757c0" w:hAnsi="AdvOT1ef757c0" w:cs="AdvOT1ef757c0"/>
          <w:color w:val="000000"/>
          <w:sz w:val="21"/>
          <w:szCs w:val="21"/>
        </w:rPr>
        <w:t xml:space="preserve">ers a necessary alternative to the medically synonymous Cochrane Collaboration. The latter facilitates </w:t>
      </w:r>
      <w:proofErr w:type="gramStart"/>
      <w:r w:rsidR="008F7FD9">
        <w:rPr>
          <w:rFonts w:ascii="AdvOT1ef757c0" w:hAnsi="AdvOT1ef757c0" w:cs="AdvOT1ef757c0"/>
          <w:color w:val="000000"/>
          <w:sz w:val="21"/>
          <w:szCs w:val="21"/>
        </w:rPr>
        <w:t>evidence based</w:t>
      </w:r>
      <w:proofErr w:type="gramEnd"/>
      <w:r w:rsidR="008F7FD9">
        <w:rPr>
          <w:rFonts w:ascii="AdvOT1ef757c0" w:hAnsi="AdvOT1ef757c0" w:cs="AdvOT1ef757c0"/>
          <w:color w:val="000000"/>
          <w:sz w:val="21"/>
          <w:szCs w:val="21"/>
        </w:rPr>
        <w:t xml:space="preserve"> interventions in health, whilst the former focuses upon social, educational and behavioural domains including speci</w:t>
      </w:r>
      <w:r w:rsidR="008F7FD9">
        <w:rPr>
          <w:rFonts w:ascii="AdvOT1ef757c0+fb" w:hAnsi="AdvOT1ef757c0+fb" w:cs="AdvOT1ef757c0+fb"/>
          <w:color w:val="000000"/>
          <w:sz w:val="21"/>
          <w:szCs w:val="21"/>
        </w:rPr>
        <w:t>fi</w:t>
      </w:r>
      <w:r w:rsidR="008F7FD9">
        <w:rPr>
          <w:rFonts w:ascii="AdvOT1ef757c0" w:hAnsi="AdvOT1ef757c0" w:cs="AdvOT1ef757c0"/>
          <w:color w:val="000000"/>
          <w:sz w:val="21"/>
          <w:szCs w:val="21"/>
        </w:rPr>
        <w:t>c resources for work with children (</w:t>
      </w:r>
      <w:proofErr w:type="spellStart"/>
      <w:r w:rsidR="008F7FD9">
        <w:rPr>
          <w:rFonts w:ascii="AdvOT1ef757c0" w:hAnsi="AdvOT1ef757c0" w:cs="AdvOT1ef757c0"/>
          <w:color w:val="000000"/>
          <w:sz w:val="21"/>
          <w:szCs w:val="21"/>
        </w:rPr>
        <w:t>Farrelly</w:t>
      </w:r>
      <w:proofErr w:type="spellEnd"/>
      <w:r w:rsidR="008F7FD9">
        <w:rPr>
          <w:rFonts w:ascii="AdvOT1ef757c0" w:hAnsi="AdvOT1ef757c0" w:cs="AdvOT1ef757c0"/>
          <w:color w:val="000000"/>
          <w:sz w:val="21"/>
          <w:szCs w:val="21"/>
        </w:rPr>
        <w:t xml:space="preserve">, </w:t>
      </w:r>
      <w:r w:rsidR="008F7FD9">
        <w:rPr>
          <w:rFonts w:ascii="AdvOT1ef757c0" w:hAnsi="AdvOT1ef757c0" w:cs="AdvOT1ef757c0"/>
          <w:color w:val="000085"/>
          <w:sz w:val="21"/>
          <w:szCs w:val="21"/>
        </w:rPr>
        <w:t>2013</w:t>
      </w:r>
      <w:r w:rsidR="008F7FD9">
        <w:rPr>
          <w:rFonts w:ascii="AdvOT1ef757c0" w:hAnsi="AdvOT1ef757c0" w:cs="AdvOT1ef757c0"/>
          <w:color w:val="000000"/>
          <w:sz w:val="21"/>
          <w:szCs w:val="21"/>
        </w:rPr>
        <w:t>). With the support of the Campbell Collaboration, social care practitioners can maximise the bene</w:t>
      </w:r>
      <w:r w:rsidR="008F7FD9">
        <w:rPr>
          <w:rFonts w:ascii="AdvOT1ef757c0+fb" w:hAnsi="AdvOT1ef757c0+fb" w:cs="AdvOT1ef757c0+fb"/>
          <w:color w:val="000000"/>
          <w:sz w:val="21"/>
          <w:szCs w:val="21"/>
        </w:rPr>
        <w:t>fi</w:t>
      </w:r>
      <w:r w:rsidR="008F7FD9">
        <w:rPr>
          <w:rFonts w:ascii="AdvOT1ef757c0" w:hAnsi="AdvOT1ef757c0" w:cs="AdvOT1ef757c0"/>
          <w:color w:val="000000"/>
          <w:sz w:val="21"/>
          <w:szCs w:val="21"/>
        </w:rPr>
        <w:t>ts of using evidence to inform their work.</w:t>
      </w:r>
    </w:p>
    <w:p w:rsidR="00486261" w:rsidRDefault="00486261" w:rsidP="00700074">
      <w:pPr>
        <w:autoSpaceDE w:val="0"/>
        <w:autoSpaceDN w:val="0"/>
        <w:adjustRightInd w:val="0"/>
        <w:spacing w:after="0" w:line="240" w:lineRule="auto"/>
        <w:ind w:firstLine="720"/>
        <w:jc w:val="both"/>
        <w:rPr>
          <w:rFonts w:ascii="AdvOT1ef757c0" w:hAnsi="AdvOT1ef757c0" w:cs="AdvOT1ef757c0"/>
          <w:sz w:val="21"/>
          <w:szCs w:val="21"/>
        </w:rPr>
      </w:pPr>
      <w:r>
        <w:rPr>
          <w:rFonts w:ascii="AdvOT1ef757c0" w:hAnsi="AdvOT1ef757c0" w:cs="AdvOT1ef757c0"/>
          <w:color w:val="000000"/>
          <w:sz w:val="21"/>
          <w:szCs w:val="21"/>
        </w:rPr>
        <w:t>Practitioners should remain cautious, nonetheless, in seeking to maximise the bene</w:t>
      </w:r>
      <w:r>
        <w:rPr>
          <w:rFonts w:ascii="AdvOT1ef757c0+fb" w:hAnsi="AdvOT1ef757c0+fb" w:cs="AdvOT1ef757c0+fb"/>
          <w:color w:val="000000"/>
          <w:sz w:val="21"/>
          <w:szCs w:val="21"/>
        </w:rPr>
        <w:t>fi</w:t>
      </w:r>
      <w:r>
        <w:rPr>
          <w:rFonts w:ascii="AdvOT1ef757c0" w:hAnsi="AdvOT1ef757c0" w:cs="AdvOT1ef757c0"/>
          <w:color w:val="000000"/>
          <w:sz w:val="21"/>
          <w:szCs w:val="21"/>
        </w:rPr>
        <w:t>ts of EBP and EIP, due to the need to inform their work in other ways, as ultimately EBP and EIP are only one knowledge strategy for Irish practitioners. In the literature surrounding the Irish context, Pawson and colleagues</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 xml:space="preserve">research commissioned by the Social Care Institute for Excellence (SCIE) from the UK is among the most notable contributions to mapping the knowledge base of social care practice against a set of generic standards (Pawson, Boaz, Grayson, Long, &amp; Branes, </w:t>
      </w:r>
      <w:r>
        <w:rPr>
          <w:rFonts w:ascii="AdvOT1ef757c0" w:hAnsi="AdvOT1ef757c0" w:cs="AdvOT1ef757c0"/>
          <w:color w:val="000085"/>
          <w:sz w:val="21"/>
          <w:szCs w:val="21"/>
        </w:rPr>
        <w:t>2003</w:t>
      </w:r>
      <w:r>
        <w:rPr>
          <w:rFonts w:ascii="AdvOT1ef757c0" w:hAnsi="AdvOT1ef757c0" w:cs="AdvOT1ef757c0"/>
          <w:color w:val="000000"/>
          <w:sz w:val="21"/>
          <w:szCs w:val="21"/>
        </w:rPr>
        <w:t>). This work is tested and progressed in Long, Grayson, and Boaz (</w:t>
      </w:r>
      <w:r>
        <w:rPr>
          <w:rFonts w:ascii="AdvOT1ef757c0" w:hAnsi="AdvOT1ef757c0" w:cs="AdvOT1ef757c0"/>
          <w:color w:val="000085"/>
          <w:sz w:val="21"/>
          <w:szCs w:val="21"/>
        </w:rPr>
        <w:t>2006</w:t>
      </w:r>
      <w:r>
        <w:rPr>
          <w:rFonts w:ascii="AdvOT1ef757c0" w:hAnsi="AdvOT1ef757c0" w:cs="AdvOT1ef757c0"/>
          <w:color w:val="000000"/>
          <w:sz w:val="21"/>
          <w:szCs w:val="21"/>
        </w:rPr>
        <w:t xml:space="preserve">) and integrated into Irish social care practice literature in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According to Pawson et al. (</w:t>
      </w:r>
      <w:r>
        <w:rPr>
          <w:rFonts w:ascii="AdvOT1ef757c0" w:hAnsi="AdvOT1ef757c0" w:cs="AdvOT1ef757c0"/>
          <w:color w:val="000085"/>
          <w:sz w:val="21"/>
          <w:szCs w:val="21"/>
        </w:rPr>
        <w:t>2003</w:t>
      </w:r>
      <w:r>
        <w:rPr>
          <w:rFonts w:ascii="AdvOT1ef757c0" w:hAnsi="AdvOT1ef757c0" w:cs="AdvOT1ef757c0"/>
          <w:color w:val="000000"/>
          <w:sz w:val="21"/>
          <w:szCs w:val="21"/>
        </w:rPr>
        <w:t xml:space="preserve">) sources of knowledge in social care may be divided into </w:t>
      </w:r>
      <w:r>
        <w:rPr>
          <w:rFonts w:ascii="AdvOT1ef757c0+fb" w:hAnsi="AdvOT1ef757c0+fb" w:cs="AdvOT1ef757c0+fb"/>
          <w:color w:val="000000"/>
          <w:sz w:val="21"/>
          <w:szCs w:val="21"/>
        </w:rPr>
        <w:t>fi</w:t>
      </w:r>
      <w:r>
        <w:rPr>
          <w:rFonts w:ascii="AdvOT1ef757c0" w:hAnsi="AdvOT1ef757c0" w:cs="AdvOT1ef757c0"/>
          <w:color w:val="000000"/>
          <w:sz w:val="21"/>
          <w:szCs w:val="21"/>
        </w:rPr>
        <w:t>ve generic categories, only one of which is research knowledge. Other sources pertain to knowledge gathered from children/service users; practice generated knowledge; knowledge arising from organisational contexts, and from the wider policy context. The policy context surrounding practice with children, incidentally, is also in</w:t>
      </w:r>
      <w:r>
        <w:rPr>
          <w:rFonts w:ascii="AdvOT1ef757c0+fb" w:hAnsi="AdvOT1ef757c0+fb" w:cs="AdvOT1ef757c0+fb"/>
          <w:color w:val="000000"/>
          <w:sz w:val="21"/>
          <w:szCs w:val="21"/>
        </w:rPr>
        <w:t>fi</w:t>
      </w:r>
      <w:r>
        <w:rPr>
          <w:rFonts w:ascii="AdvOT1ef757c0" w:hAnsi="AdvOT1ef757c0" w:cs="AdvOT1ef757c0"/>
          <w:color w:val="000000"/>
          <w:sz w:val="21"/>
          <w:szCs w:val="21"/>
        </w:rPr>
        <w:t>ltrated by its own evidence-informed initiatives in Ireland (</w:t>
      </w:r>
      <w:proofErr w:type="spellStart"/>
      <w:r>
        <w:rPr>
          <w:rFonts w:ascii="AdvOT1ef757c0" w:hAnsi="AdvOT1ef757c0" w:cs="AdvOT1ef757c0"/>
          <w:color w:val="000000"/>
          <w:sz w:val="21"/>
          <w:szCs w:val="21"/>
        </w:rPr>
        <w:t>Mulkeen</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2016</w:t>
      </w:r>
      <w:r>
        <w:rPr>
          <w:rFonts w:ascii="AdvOT1ef757c0" w:hAnsi="AdvOT1ef757c0" w:cs="AdvOT1ef757c0"/>
          <w:color w:val="000000"/>
          <w:sz w:val="21"/>
          <w:szCs w:val="21"/>
        </w:rPr>
        <w:t>).</w:t>
      </w:r>
      <w:r w:rsidR="00700074">
        <w:rPr>
          <w:rFonts w:ascii="AdvOT1ef757c0" w:hAnsi="AdvOT1ef757c0" w:cs="AdvOT1ef757c0"/>
          <w:color w:val="000000"/>
          <w:sz w:val="21"/>
          <w:szCs w:val="21"/>
        </w:rPr>
        <w:t xml:space="preserve"> </w:t>
      </w:r>
      <w:r>
        <w:rPr>
          <w:rFonts w:ascii="AdvOT1ef757c0" w:hAnsi="AdvOT1ef757c0" w:cs="AdvOT1ef757c0"/>
          <w:color w:val="000000"/>
          <w:sz w:val="21"/>
          <w:szCs w:val="21"/>
        </w:rPr>
        <w:t>Overall, it remains the case that EBP and EIP, despite clear bene</w:t>
      </w:r>
      <w:r>
        <w:rPr>
          <w:rFonts w:ascii="AdvOT1ef757c0+fb" w:hAnsi="AdvOT1ef757c0+fb" w:cs="AdvOT1ef757c0+fb"/>
          <w:color w:val="000000"/>
          <w:sz w:val="21"/>
          <w:szCs w:val="21"/>
        </w:rPr>
        <w:t>fi</w:t>
      </w:r>
      <w:r>
        <w:rPr>
          <w:rFonts w:ascii="AdvOT1ef757c0" w:hAnsi="AdvOT1ef757c0" w:cs="AdvOT1ef757c0"/>
          <w:color w:val="000000"/>
          <w:sz w:val="21"/>
          <w:szCs w:val="21"/>
        </w:rPr>
        <w:t>ts outlined in this</w:t>
      </w:r>
      <w:r w:rsidR="00700074">
        <w:rPr>
          <w:rFonts w:ascii="AdvOT1ef757c0" w:hAnsi="AdvOT1ef757c0" w:cs="AdvOT1ef757c0"/>
          <w:color w:val="000000"/>
          <w:sz w:val="21"/>
          <w:szCs w:val="21"/>
        </w:rPr>
        <w:t xml:space="preserve"> </w:t>
      </w:r>
      <w:r w:rsidR="00700074">
        <w:rPr>
          <w:rFonts w:ascii="AdvOT1ef757c0" w:hAnsi="AdvOT1ef757c0" w:cs="AdvOT1ef757c0"/>
          <w:sz w:val="21"/>
          <w:szCs w:val="21"/>
        </w:rPr>
        <w:t>section, should not consider the only knowledge strategy for social care practitioners who</w:t>
      </w:r>
      <w:r w:rsidR="00700074">
        <w:rPr>
          <w:rFonts w:ascii="AdvOT1ef757c0" w:hAnsi="AdvOT1ef757c0" w:cs="AdvOT1ef757c0"/>
          <w:color w:val="000000"/>
          <w:sz w:val="21"/>
          <w:szCs w:val="21"/>
        </w:rPr>
        <w:t xml:space="preserve"> </w:t>
      </w:r>
      <w:r w:rsidR="00700074">
        <w:rPr>
          <w:rFonts w:ascii="AdvOT1ef757c0" w:hAnsi="AdvOT1ef757c0" w:cs="AdvOT1ef757c0"/>
          <w:sz w:val="21"/>
          <w:szCs w:val="21"/>
        </w:rPr>
        <w:t>work with children in Ireland.</w:t>
      </w:r>
    </w:p>
    <w:p w:rsidR="00AF4A38" w:rsidRPr="00AF4A38" w:rsidRDefault="00AF4A38" w:rsidP="00AF4A38">
      <w:pPr>
        <w:autoSpaceDE w:val="0"/>
        <w:autoSpaceDN w:val="0"/>
        <w:adjustRightInd w:val="0"/>
        <w:spacing w:after="0" w:line="240" w:lineRule="auto"/>
        <w:jc w:val="both"/>
        <w:rPr>
          <w:rFonts w:ascii="AdvOT1ef757c0" w:hAnsi="AdvOT1ef757c0" w:cs="AdvOT1ef757c0"/>
          <w:b/>
          <w:sz w:val="21"/>
          <w:szCs w:val="21"/>
        </w:rPr>
      </w:pPr>
    </w:p>
    <w:p w:rsidR="00AF4A38" w:rsidRPr="00AF4A38" w:rsidRDefault="00AF4A38" w:rsidP="00AF4A38">
      <w:pPr>
        <w:autoSpaceDE w:val="0"/>
        <w:autoSpaceDN w:val="0"/>
        <w:adjustRightInd w:val="0"/>
        <w:spacing w:after="0" w:line="240" w:lineRule="auto"/>
        <w:jc w:val="both"/>
        <w:rPr>
          <w:rFonts w:ascii="AdvOT3b30f6db.B" w:hAnsi="AdvOT3b30f6db.B" w:cs="AdvOT3b30f6db.B"/>
          <w:b/>
        </w:rPr>
      </w:pPr>
      <w:r w:rsidRPr="00AF4A38">
        <w:rPr>
          <w:rFonts w:ascii="AdvOT3b30f6db.B" w:hAnsi="AdvOT3b30f6db.B" w:cs="AdvOT3b30f6db.B"/>
          <w:b/>
        </w:rPr>
        <w:t>Looking to the future: strategies for social care practice with children</w:t>
      </w:r>
    </w:p>
    <w:p w:rsidR="00AF4A38" w:rsidRDefault="00AF4A38" w:rsidP="00AF4A38">
      <w:pPr>
        <w:autoSpaceDE w:val="0"/>
        <w:autoSpaceDN w:val="0"/>
        <w:adjustRightInd w:val="0"/>
        <w:spacing w:after="0" w:line="240" w:lineRule="auto"/>
        <w:jc w:val="both"/>
        <w:rPr>
          <w:rFonts w:ascii="AdvOT3b30f6db.B" w:hAnsi="AdvOT3b30f6db.B" w:cs="AdvOT3b30f6db.B"/>
        </w:rPr>
      </w:pPr>
    </w:p>
    <w:p w:rsidR="00AF4A38" w:rsidRDefault="00AF4A38" w:rsidP="00AF4A38">
      <w:pPr>
        <w:autoSpaceDE w:val="0"/>
        <w:autoSpaceDN w:val="0"/>
        <w:adjustRightInd w:val="0"/>
        <w:spacing w:after="0" w:line="240" w:lineRule="auto"/>
        <w:jc w:val="both"/>
        <w:rPr>
          <w:rFonts w:ascii="AdvOT1ef757c0" w:hAnsi="AdvOT1ef757c0" w:cs="AdvOT1ef757c0"/>
          <w:sz w:val="21"/>
          <w:szCs w:val="21"/>
        </w:rPr>
      </w:pPr>
      <w:r>
        <w:rPr>
          <w:rFonts w:ascii="AdvOT1ef757c0" w:hAnsi="AdvOT1ef757c0" w:cs="AdvOT1ef757c0"/>
          <w:sz w:val="21"/>
          <w:szCs w:val="21"/>
        </w:rPr>
        <w:t xml:space="preserve">The major period of reform underway in social care practice should be viewed as an opportunity to compel heightened standards of social care practice for children. </w:t>
      </w:r>
      <w:proofErr w:type="gramStart"/>
      <w:r>
        <w:rPr>
          <w:rFonts w:ascii="AdvOT1ef757c0" w:hAnsi="AdvOT1ef757c0" w:cs="AdvOT1ef757c0"/>
          <w:sz w:val="21"/>
          <w:szCs w:val="21"/>
        </w:rPr>
        <w:t>With this in mind, throughout</w:t>
      </w:r>
      <w:proofErr w:type="gramEnd"/>
      <w:r>
        <w:rPr>
          <w:rFonts w:ascii="AdvOT1ef757c0" w:hAnsi="AdvOT1ef757c0" w:cs="AdvOT1ef757c0"/>
          <w:sz w:val="21"/>
          <w:szCs w:val="21"/>
        </w:rPr>
        <w:t xml:space="preserve"> this paper, a central argument has been progressed. Here the case has been made that as social care practice with children moves toward the position of a statutorily registered profession, alongside this, practitioners will inevitably be expected to work in more evidence-informed ways. It is therefore most conducive to understanding to combine, rather than separate, processes of professionalisation and drives towards evidence-informed practice.</w:t>
      </w:r>
    </w:p>
    <w:p w:rsidR="00AF4A38" w:rsidRDefault="00AF4A38" w:rsidP="00AF4A38">
      <w:pPr>
        <w:autoSpaceDE w:val="0"/>
        <w:autoSpaceDN w:val="0"/>
        <w:adjustRightInd w:val="0"/>
        <w:spacing w:after="0" w:line="240" w:lineRule="auto"/>
        <w:ind w:firstLine="720"/>
        <w:jc w:val="both"/>
        <w:rPr>
          <w:rFonts w:ascii="AdvOT1ef757c0" w:hAnsi="AdvOT1ef757c0" w:cs="AdvOT1ef757c0"/>
          <w:color w:val="000000"/>
          <w:sz w:val="21"/>
          <w:szCs w:val="21"/>
        </w:rPr>
      </w:pPr>
      <w:r>
        <w:rPr>
          <w:rFonts w:ascii="AdvOT1ef757c0" w:hAnsi="AdvOT1ef757c0" w:cs="AdvOT1ef757c0"/>
          <w:color w:val="000000"/>
          <w:sz w:val="21"/>
          <w:szCs w:val="21"/>
        </w:rPr>
        <w:t>The proposition within the following is that a critical and explicit application of a social constructionist lens o</w:t>
      </w:r>
      <w:r>
        <w:rPr>
          <w:rFonts w:ascii="AdvOT1ef757c0+fb" w:hAnsi="AdvOT1ef757c0+fb" w:cs="AdvOT1ef757c0+fb"/>
          <w:color w:val="000000"/>
          <w:sz w:val="21"/>
          <w:szCs w:val="21"/>
        </w:rPr>
        <w:t>ff</w:t>
      </w:r>
      <w:r>
        <w:rPr>
          <w:rFonts w:ascii="AdvOT1ef757c0" w:hAnsi="AdvOT1ef757c0" w:cs="AdvOT1ef757c0"/>
          <w:color w:val="000000"/>
          <w:sz w:val="21"/>
          <w:szCs w:val="21"/>
        </w:rPr>
        <w:t>ers a speci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c theoretical orientation (Burr, </w:t>
      </w:r>
      <w:r>
        <w:rPr>
          <w:rFonts w:ascii="AdvOT1ef757c0" w:hAnsi="AdvOT1ef757c0" w:cs="AdvOT1ef757c0"/>
          <w:color w:val="000085"/>
          <w:sz w:val="21"/>
          <w:szCs w:val="21"/>
        </w:rPr>
        <w:t>2015</w:t>
      </w:r>
      <w:r>
        <w:rPr>
          <w:rFonts w:ascii="AdvOT1ef757c0" w:hAnsi="AdvOT1ef757c0" w:cs="AdvOT1ef757c0"/>
          <w:color w:val="000000"/>
          <w:sz w:val="21"/>
          <w:szCs w:val="21"/>
        </w:rPr>
        <w:t xml:space="preserve">), that in epistemological terms, is aligned to processes of professionalisation of social care in Ireland. The argument is, that any professionalisation of a social occupation is by its very nature socially constructed, dynamic, malleable and politicised (Payne, </w:t>
      </w:r>
      <w:r>
        <w:rPr>
          <w:rFonts w:ascii="AdvOT1ef757c0" w:hAnsi="AdvOT1ef757c0" w:cs="AdvOT1ef757c0"/>
          <w:color w:val="000085"/>
          <w:sz w:val="21"/>
          <w:szCs w:val="21"/>
        </w:rPr>
        <w:t>2014</w:t>
      </w:r>
      <w:r>
        <w:rPr>
          <w:rFonts w:ascii="AdvOT1ef757c0" w:hAnsi="AdvOT1ef757c0" w:cs="AdvOT1ef757c0"/>
          <w:color w:val="000000"/>
          <w:sz w:val="21"/>
          <w:szCs w:val="21"/>
        </w:rPr>
        <w:t xml:space="preserve">). In this context, the postmodernist basis of social constructionism seems </w:t>
      </w:r>
      <w:r>
        <w:rPr>
          <w:rFonts w:ascii="AdvOT1ef757c0" w:hAnsi="AdvOT1ef757c0" w:cs="AdvOT1ef757c0"/>
          <w:color w:val="000000"/>
          <w:sz w:val="21"/>
          <w:szCs w:val="21"/>
        </w:rPr>
        <w:lastRenderedPageBreak/>
        <w:t xml:space="preserve">particularly aligned with such complexity (Burr, </w:t>
      </w:r>
      <w:r>
        <w:rPr>
          <w:rFonts w:ascii="AdvOT1ef757c0" w:hAnsi="AdvOT1ef757c0" w:cs="AdvOT1ef757c0"/>
          <w:color w:val="000085"/>
          <w:sz w:val="21"/>
          <w:szCs w:val="21"/>
        </w:rPr>
        <w:t>2015</w:t>
      </w:r>
      <w:r>
        <w:rPr>
          <w:rFonts w:ascii="AdvOT1ef757c0" w:hAnsi="AdvOT1ef757c0" w:cs="AdvOT1ef757c0"/>
          <w:color w:val="000000"/>
          <w:sz w:val="21"/>
          <w:szCs w:val="21"/>
        </w:rPr>
        <w:t xml:space="preserve">). This is not to dismiss practical features of professionalisation in Ireland which appear to satisfy clear modernist imperatives. These characteristics, perhaps conclusively, impose a quasi-modernist order through increased </w:t>
      </w:r>
      <w:proofErr w:type="spellStart"/>
      <w:r>
        <w:rPr>
          <w:rFonts w:ascii="AdvOT1ef757c0" w:hAnsi="AdvOT1ef757c0" w:cs="AdvOT1ef757c0"/>
          <w:color w:val="000000"/>
          <w:sz w:val="21"/>
          <w:szCs w:val="21"/>
        </w:rPr>
        <w:t>proceduralisation</w:t>
      </w:r>
      <w:proofErr w:type="spellEnd"/>
      <w:r>
        <w:rPr>
          <w:rFonts w:ascii="AdvOT1ef757c0" w:hAnsi="AdvOT1ef757c0" w:cs="AdvOT1ef757c0"/>
          <w:color w:val="000000"/>
          <w:sz w:val="21"/>
          <w:szCs w:val="21"/>
        </w:rPr>
        <w:t xml:space="preserve">, standardisation, compliance, external regulation, accountability (Byrne, </w:t>
      </w:r>
      <w:r>
        <w:rPr>
          <w:rFonts w:ascii="AdvOT1ef757c0" w:hAnsi="AdvOT1ef757c0" w:cs="AdvOT1ef757c0"/>
          <w:color w:val="000085"/>
          <w:sz w:val="21"/>
          <w:szCs w:val="21"/>
        </w:rPr>
        <w:t>2016</w:t>
      </w:r>
      <w:r>
        <w:rPr>
          <w:rFonts w:ascii="AdvOT1ef757c0" w:hAnsi="AdvOT1ef757c0" w:cs="AdvOT1ef757c0"/>
          <w:color w:val="000000"/>
          <w:sz w:val="21"/>
          <w:szCs w:val="21"/>
        </w:rPr>
        <w:t>; Gallagher &amp; O</w:t>
      </w:r>
      <w:r>
        <w:rPr>
          <w:rFonts w:ascii="AdvOT1ef757c0+20" w:hAnsi="AdvOT1ef757c0+20" w:cs="AdvOT1ef757c0+20"/>
          <w:color w:val="000000"/>
          <w:sz w:val="21"/>
          <w:szCs w:val="21"/>
        </w:rPr>
        <w:t>’</w:t>
      </w:r>
      <w:r>
        <w:rPr>
          <w:rFonts w:ascii="AdvOT1ef757c0" w:hAnsi="AdvOT1ef757c0" w:cs="AdvOT1ef757c0"/>
          <w:color w:val="000000"/>
          <w:sz w:val="21"/>
          <w:szCs w:val="21"/>
        </w:rPr>
        <w:t xml:space="preserve">Toole, </w:t>
      </w:r>
      <w:r>
        <w:rPr>
          <w:rFonts w:ascii="AdvOT1ef757c0" w:hAnsi="AdvOT1ef757c0" w:cs="AdvOT1ef757c0"/>
          <w:color w:val="000085"/>
          <w:sz w:val="21"/>
          <w:szCs w:val="21"/>
        </w:rPr>
        <w:t>1999</w:t>
      </w:r>
      <w:r>
        <w:rPr>
          <w:rFonts w:ascii="AdvOT1ef757c0" w:hAnsi="AdvOT1ef757c0" w:cs="AdvOT1ef757c0"/>
          <w:color w:val="000000"/>
          <w:sz w:val="21"/>
          <w:szCs w:val="21"/>
        </w:rPr>
        <w:t xml:space="preserve">; McSweeney et al., </w:t>
      </w:r>
      <w:r>
        <w:rPr>
          <w:rFonts w:ascii="AdvOT1ef757c0" w:hAnsi="AdvOT1ef757c0" w:cs="AdvOT1ef757c0"/>
          <w:color w:val="000085"/>
          <w:sz w:val="21"/>
          <w:szCs w:val="21"/>
        </w:rPr>
        <w:t>2016</w:t>
      </w:r>
      <w:r>
        <w:rPr>
          <w:rFonts w:ascii="AdvOT1ef757c0" w:hAnsi="AdvOT1ef757c0" w:cs="AdvOT1ef757c0"/>
          <w:color w:val="000000"/>
          <w:sz w:val="21"/>
          <w:szCs w:val="21"/>
        </w:rPr>
        <w:t xml:space="preserve">; Power &amp; Darcy, </w:t>
      </w:r>
      <w:r>
        <w:rPr>
          <w:rFonts w:ascii="AdvOT1ef757c0" w:hAnsi="AdvOT1ef757c0" w:cs="AdvOT1ef757c0"/>
          <w:color w:val="000085"/>
          <w:sz w:val="21"/>
          <w:szCs w:val="21"/>
        </w:rPr>
        <w:t>2017</w:t>
      </w:r>
      <w:r>
        <w:rPr>
          <w:rFonts w:ascii="AdvOT1ef757c0" w:hAnsi="AdvOT1ef757c0" w:cs="AdvOT1ef757c0"/>
          <w:color w:val="000000"/>
          <w:sz w:val="21"/>
          <w:szCs w:val="21"/>
        </w:rPr>
        <w:t>) and most vividly, the usage of scienti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c inquiry within EIP and EBP to make sense of the social reality of children (Aveyard &amp; Sharp, </w:t>
      </w:r>
      <w:r>
        <w:rPr>
          <w:rFonts w:ascii="AdvOT1ef757c0" w:hAnsi="AdvOT1ef757c0" w:cs="AdvOT1ef757c0"/>
          <w:color w:val="000085"/>
          <w:sz w:val="21"/>
          <w:szCs w:val="21"/>
        </w:rPr>
        <w:t>2009</w:t>
      </w:r>
      <w:r>
        <w:rPr>
          <w:rFonts w:ascii="AdvOT1ef757c0" w:hAnsi="AdvOT1ef757c0" w:cs="AdvOT1ef757c0"/>
          <w:color w:val="000000"/>
          <w:sz w:val="21"/>
          <w:szCs w:val="21"/>
        </w:rPr>
        <w:t xml:space="preserve">; Minister for Children, </w:t>
      </w:r>
      <w:r>
        <w:rPr>
          <w:rFonts w:ascii="AdvOT1ef757c0" w:hAnsi="AdvOT1ef757c0" w:cs="AdvOT1ef757c0"/>
          <w:color w:val="000085"/>
          <w:sz w:val="21"/>
          <w:szCs w:val="21"/>
        </w:rPr>
        <w:t>2007</w:t>
      </w:r>
      <w:r>
        <w:rPr>
          <w:rFonts w:ascii="AdvOT1ef757c0" w:hAnsi="AdvOT1ef757c0" w:cs="AdvOT1ef757c0"/>
          <w:color w:val="000000"/>
          <w:sz w:val="21"/>
          <w:szCs w:val="21"/>
        </w:rPr>
        <w:t>). Yet overarching these structuring and positivist in</w:t>
      </w:r>
      <w:r>
        <w:rPr>
          <w:rFonts w:ascii="AdvOT1ef757c0+fb" w:hAnsi="AdvOT1ef757c0+fb" w:cs="AdvOT1ef757c0+fb"/>
          <w:color w:val="000000"/>
          <w:sz w:val="21"/>
          <w:szCs w:val="21"/>
        </w:rPr>
        <w:t>fl</w:t>
      </w:r>
      <w:r>
        <w:rPr>
          <w:rFonts w:ascii="AdvOT1ef757c0" w:hAnsi="AdvOT1ef757c0" w:cs="AdvOT1ef757c0"/>
          <w:color w:val="000000"/>
          <w:sz w:val="21"/>
          <w:szCs w:val="21"/>
        </w:rPr>
        <w:t xml:space="preserve">uences, at a discursive, cultural and political level, postmodernist leanings of the social constructionist approach (Burr, </w:t>
      </w:r>
      <w:r>
        <w:rPr>
          <w:rFonts w:ascii="AdvOT1ef757c0" w:hAnsi="AdvOT1ef757c0" w:cs="AdvOT1ef757c0"/>
          <w:color w:val="000085"/>
          <w:sz w:val="21"/>
          <w:szCs w:val="21"/>
        </w:rPr>
        <w:t>2015</w:t>
      </w:r>
      <w:r>
        <w:rPr>
          <w:rFonts w:ascii="AdvOT1ef757c0" w:hAnsi="AdvOT1ef757c0" w:cs="AdvOT1ef757c0"/>
          <w:color w:val="000000"/>
          <w:sz w:val="21"/>
          <w:szCs w:val="21"/>
        </w:rPr>
        <w:t xml:space="preserve">) appear more conducive to understanding the diverse interplay of stakeholder discourses that vie for leverage within professionalisation (Power &amp; Darcy, </w:t>
      </w:r>
      <w:r>
        <w:rPr>
          <w:rFonts w:ascii="AdvOT1ef757c0" w:hAnsi="AdvOT1ef757c0" w:cs="AdvOT1ef757c0"/>
          <w:color w:val="000085"/>
          <w:sz w:val="21"/>
          <w:szCs w:val="21"/>
        </w:rPr>
        <w:t>2017</w:t>
      </w:r>
      <w:r>
        <w:rPr>
          <w:rFonts w:ascii="AdvOT1ef757c0" w:hAnsi="AdvOT1ef757c0" w:cs="AdvOT1ef757c0"/>
          <w:color w:val="000000"/>
          <w:sz w:val="21"/>
          <w:szCs w:val="21"/>
        </w:rPr>
        <w:t xml:space="preserve">). The predominantly sociological position of social constructionist theory further </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ts with the macro-societal scale change processes professionalisation entails (Burr, </w:t>
      </w:r>
      <w:r>
        <w:rPr>
          <w:rFonts w:ascii="AdvOT1ef757c0" w:hAnsi="AdvOT1ef757c0" w:cs="AdvOT1ef757c0"/>
          <w:color w:val="000085"/>
          <w:sz w:val="21"/>
          <w:szCs w:val="21"/>
        </w:rPr>
        <w:t>2015</w:t>
      </w:r>
      <w:r>
        <w:rPr>
          <w:rFonts w:ascii="AdvOT1ef757c0" w:hAnsi="AdvOT1ef757c0" w:cs="AdvOT1ef757c0"/>
          <w:color w:val="000000"/>
          <w:sz w:val="21"/>
          <w:szCs w:val="21"/>
        </w:rPr>
        <w:t xml:space="preserve">; Power &amp; Darcy, </w:t>
      </w:r>
      <w:r>
        <w:rPr>
          <w:rFonts w:ascii="AdvOT1ef757c0" w:hAnsi="AdvOT1ef757c0" w:cs="AdvOT1ef757c0"/>
          <w:color w:val="000085"/>
          <w:sz w:val="21"/>
          <w:szCs w:val="21"/>
        </w:rPr>
        <w:t>2017</w:t>
      </w:r>
      <w:r>
        <w:rPr>
          <w:rFonts w:ascii="AdvOT1ef757c0" w:hAnsi="AdvOT1ef757c0" w:cs="AdvOT1ef757c0"/>
          <w:color w:val="000000"/>
          <w:sz w:val="21"/>
          <w:szCs w:val="21"/>
        </w:rPr>
        <w:t xml:space="preserve">). Finally, the critical social focus of social constructionism (Burr, </w:t>
      </w:r>
      <w:r>
        <w:rPr>
          <w:rFonts w:ascii="AdvOT1ef757c0" w:hAnsi="AdvOT1ef757c0" w:cs="AdvOT1ef757c0"/>
          <w:color w:val="000085"/>
          <w:sz w:val="21"/>
          <w:szCs w:val="21"/>
        </w:rPr>
        <w:t>2015</w:t>
      </w:r>
      <w:r>
        <w:rPr>
          <w:rFonts w:ascii="AdvOT1ef757c0" w:hAnsi="AdvOT1ef757c0" w:cs="AdvOT1ef757c0"/>
          <w:color w:val="000000"/>
          <w:sz w:val="21"/>
          <w:szCs w:val="21"/>
        </w:rPr>
        <w:t>) may help to avert any naivety in this analysis towards the complexity of social reality for Irish practitioners who must work with children in challenging, complicated, non-linear and at times contradictory practice milieu (</w:t>
      </w:r>
      <w:proofErr w:type="spellStart"/>
      <w:r>
        <w:rPr>
          <w:rFonts w:ascii="AdvOT1ef757c0" w:hAnsi="AdvOT1ef757c0" w:cs="AdvOT1ef757c0"/>
          <w:color w:val="000000"/>
          <w:sz w:val="21"/>
          <w:szCs w:val="21"/>
        </w:rPr>
        <w:t>Lalor</w:t>
      </w:r>
      <w:proofErr w:type="spellEnd"/>
      <w:r>
        <w:rPr>
          <w:rFonts w:ascii="AdvOT1ef757c0" w:hAnsi="AdvOT1ef757c0" w:cs="AdvOT1ef757c0"/>
          <w:color w:val="000000"/>
          <w:sz w:val="21"/>
          <w:szCs w:val="21"/>
        </w:rPr>
        <w:t xml:space="preserve"> &amp; Share, </w:t>
      </w:r>
      <w:r>
        <w:rPr>
          <w:rFonts w:ascii="AdvOT1ef757c0" w:hAnsi="AdvOT1ef757c0" w:cs="AdvOT1ef757c0"/>
          <w:color w:val="000085"/>
          <w:sz w:val="21"/>
          <w:szCs w:val="21"/>
        </w:rPr>
        <w:t>2013</w:t>
      </w:r>
      <w:r>
        <w:rPr>
          <w:rFonts w:ascii="AdvOT1ef757c0" w:hAnsi="AdvOT1ef757c0" w:cs="AdvOT1ef757c0"/>
          <w:color w:val="000000"/>
          <w:sz w:val="21"/>
          <w:szCs w:val="21"/>
        </w:rPr>
        <w:t>).</w:t>
      </w:r>
    </w:p>
    <w:p w:rsidR="0012211F" w:rsidRDefault="0012211F" w:rsidP="00892EF0">
      <w:pPr>
        <w:autoSpaceDE w:val="0"/>
        <w:autoSpaceDN w:val="0"/>
        <w:adjustRightInd w:val="0"/>
        <w:spacing w:after="0" w:line="240" w:lineRule="auto"/>
        <w:ind w:firstLine="720"/>
        <w:jc w:val="both"/>
        <w:rPr>
          <w:rFonts w:ascii="AdvOT1ef757c0" w:hAnsi="AdvOT1ef757c0" w:cs="AdvOT1ef757c0"/>
          <w:sz w:val="21"/>
          <w:szCs w:val="21"/>
        </w:rPr>
      </w:pPr>
      <w:r>
        <w:rPr>
          <w:rFonts w:ascii="AdvOT1ef757c0" w:hAnsi="AdvOT1ef757c0" w:cs="AdvOT1ef757c0"/>
          <w:sz w:val="21"/>
          <w:szCs w:val="21"/>
        </w:rPr>
        <w:t>In making the claim that professionalisation of social care work in children</w:t>
      </w:r>
      <w:r>
        <w:rPr>
          <w:rFonts w:ascii="AdvOT1ef757c0+20" w:hAnsi="AdvOT1ef757c0+20" w:cs="AdvOT1ef757c0+20"/>
          <w:sz w:val="21"/>
          <w:szCs w:val="21"/>
        </w:rPr>
        <w:t>’</w:t>
      </w:r>
      <w:r>
        <w:rPr>
          <w:rFonts w:ascii="AdvOT1ef757c0" w:hAnsi="AdvOT1ef757c0" w:cs="AdvOT1ef757c0"/>
          <w:sz w:val="21"/>
          <w:szCs w:val="21"/>
        </w:rPr>
        <w:t xml:space="preserve">s services, as a social occupation, is ultimately socially constructed, </w:t>
      </w:r>
      <w:proofErr w:type="gramStart"/>
      <w:r>
        <w:rPr>
          <w:rFonts w:ascii="AdvOT1ef757c0" w:hAnsi="AdvOT1ef757c0" w:cs="AdvOT1ef757c0"/>
          <w:sz w:val="21"/>
          <w:szCs w:val="21"/>
        </w:rPr>
        <w:t>a number of</w:t>
      </w:r>
      <w:proofErr w:type="gramEnd"/>
      <w:r>
        <w:rPr>
          <w:rFonts w:ascii="AdvOT1ef757c0" w:hAnsi="AdvOT1ef757c0" w:cs="AdvOT1ef757c0"/>
          <w:sz w:val="21"/>
          <w:szCs w:val="21"/>
        </w:rPr>
        <w:t xml:space="preserve"> potential arguments could be raised. One such argument, progressed in the following sections, is that practitioners should seek to increase their in</w:t>
      </w:r>
      <w:r>
        <w:rPr>
          <w:rFonts w:ascii="AdvOT1ef757c0+fb" w:hAnsi="AdvOT1ef757c0+fb" w:cs="AdvOT1ef757c0+fb"/>
          <w:sz w:val="21"/>
          <w:szCs w:val="21"/>
        </w:rPr>
        <w:t>fl</w:t>
      </w:r>
      <w:r>
        <w:rPr>
          <w:rFonts w:ascii="AdvOT1ef757c0" w:hAnsi="AdvOT1ef757c0" w:cs="AdvOT1ef757c0"/>
          <w:sz w:val="21"/>
          <w:szCs w:val="21"/>
        </w:rPr>
        <w:t xml:space="preserve">uence on this process. Notwithstanding the validity of such a proposition, there is also an obvious counter-argument that must be acknowledged. Workers also have freedom and agency within the </w:t>
      </w:r>
      <w:proofErr w:type="gramStart"/>
      <w:r>
        <w:rPr>
          <w:rFonts w:ascii="AdvOT1ef757c0" w:hAnsi="AdvOT1ef757c0" w:cs="AdvOT1ef757c0"/>
          <w:sz w:val="21"/>
          <w:szCs w:val="21"/>
        </w:rPr>
        <w:t>system</w:t>
      </w:r>
      <w:proofErr w:type="gramEnd"/>
      <w:r>
        <w:rPr>
          <w:rFonts w:ascii="AdvOT1ef757c0" w:hAnsi="AdvOT1ef757c0" w:cs="AdvOT1ef757c0"/>
          <w:sz w:val="21"/>
          <w:szCs w:val="21"/>
        </w:rPr>
        <w:t xml:space="preserve"> and this has important implications. Without external regulation, benchmarking and monitoring, the few practitioners who do practice poorly in their work with children, have more freedom to e</w:t>
      </w:r>
      <w:r>
        <w:rPr>
          <w:rFonts w:ascii="AdvOT1ef757c0+fb" w:hAnsi="AdvOT1ef757c0+fb" w:cs="AdvOT1ef757c0+fb"/>
          <w:sz w:val="21"/>
          <w:szCs w:val="21"/>
        </w:rPr>
        <w:t>ff</w:t>
      </w:r>
      <w:r>
        <w:rPr>
          <w:rFonts w:ascii="AdvOT1ef757c0" w:hAnsi="AdvOT1ef757c0" w:cs="AdvOT1ef757c0"/>
          <w:sz w:val="21"/>
          <w:szCs w:val="21"/>
        </w:rPr>
        <w:t>ect and shape the overall profession. In this way, external constraints imposed upon the profession can have positive implications even when constraining</w:t>
      </w:r>
      <w:r w:rsidR="00892EF0">
        <w:rPr>
          <w:rFonts w:ascii="AdvOT1ef757c0" w:hAnsi="AdvOT1ef757c0" w:cs="AdvOT1ef757c0"/>
          <w:sz w:val="21"/>
          <w:szCs w:val="21"/>
        </w:rPr>
        <w:t xml:space="preserve"> practitioner agency. Social constructionism in the context of professionalisation of social care with children is not, therefore, a straight forward matter.</w:t>
      </w:r>
    </w:p>
    <w:p w:rsidR="00083C4D" w:rsidRDefault="00083C4D" w:rsidP="00083C4D">
      <w:pPr>
        <w:autoSpaceDE w:val="0"/>
        <w:autoSpaceDN w:val="0"/>
        <w:adjustRightInd w:val="0"/>
        <w:spacing w:after="0" w:line="240" w:lineRule="auto"/>
        <w:ind w:firstLine="720"/>
        <w:jc w:val="both"/>
        <w:rPr>
          <w:rFonts w:ascii="AdvOT1ef757c0" w:hAnsi="AdvOT1ef757c0" w:cs="AdvOT1ef757c0"/>
          <w:color w:val="000000"/>
          <w:sz w:val="21"/>
          <w:szCs w:val="21"/>
        </w:rPr>
      </w:pPr>
      <w:r>
        <w:rPr>
          <w:rFonts w:ascii="AdvOT1ef757c0" w:hAnsi="AdvOT1ef757c0" w:cs="AdvOT1ef757c0"/>
          <w:color w:val="000000"/>
          <w:sz w:val="21"/>
          <w:szCs w:val="21"/>
        </w:rPr>
        <w:t>Whilst acknowledging these factors, a more conclusive de</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nition of social constructionism, it appears, is not possible in the context of its expansive interpretations (Burr, </w:t>
      </w:r>
      <w:r>
        <w:rPr>
          <w:rFonts w:ascii="AdvOT1ef757c0" w:hAnsi="AdvOT1ef757c0" w:cs="AdvOT1ef757c0"/>
          <w:color w:val="000085"/>
          <w:sz w:val="21"/>
          <w:szCs w:val="21"/>
        </w:rPr>
        <w:t>2015</w:t>
      </w:r>
      <w:r>
        <w:rPr>
          <w:rFonts w:ascii="AdvOT1ef757c0" w:hAnsi="AdvOT1ef757c0" w:cs="AdvOT1ef757c0"/>
          <w:color w:val="000000"/>
          <w:sz w:val="21"/>
          <w:szCs w:val="21"/>
        </w:rPr>
        <w:t>). According to Burr (</w:t>
      </w:r>
      <w:r>
        <w:rPr>
          <w:rFonts w:ascii="AdvOT1ef757c0" w:hAnsi="AdvOT1ef757c0" w:cs="AdvOT1ef757c0"/>
          <w:color w:val="000085"/>
          <w:sz w:val="21"/>
          <w:szCs w:val="21"/>
        </w:rPr>
        <w:t>2015</w:t>
      </w:r>
      <w:r>
        <w:rPr>
          <w:rFonts w:ascii="AdvOT1ef757c0" w:hAnsi="AdvOT1ef757c0" w:cs="AdvOT1ef757c0"/>
          <w:color w:val="000000"/>
          <w:sz w:val="21"/>
          <w:szCs w:val="21"/>
        </w:rPr>
        <w:t>, pp. 2</w:t>
      </w:r>
      <w:r>
        <w:rPr>
          <w:rFonts w:ascii="AdvOT1ef757c0+20" w:hAnsi="AdvOT1ef757c0+20" w:cs="AdvOT1ef757c0+20"/>
          <w:color w:val="000000"/>
          <w:sz w:val="21"/>
          <w:szCs w:val="21"/>
        </w:rPr>
        <w:t>–</w:t>
      </w:r>
      <w:r>
        <w:rPr>
          <w:rFonts w:ascii="AdvOT1ef757c0" w:hAnsi="AdvOT1ef757c0" w:cs="AdvOT1ef757c0"/>
          <w:color w:val="000000"/>
          <w:sz w:val="21"/>
          <w:szCs w:val="21"/>
        </w:rPr>
        <w:t>5), however, four de</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ning assumptions of the theoretical orientation derived from </w:t>
      </w:r>
      <w:proofErr w:type="spellStart"/>
      <w:r>
        <w:rPr>
          <w:rFonts w:ascii="AdvOT1ef757c0" w:hAnsi="AdvOT1ef757c0" w:cs="AdvOT1ef757c0"/>
          <w:color w:val="000000"/>
          <w:sz w:val="21"/>
          <w:szCs w:val="21"/>
        </w:rPr>
        <w:t>Gergin</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1985</w:t>
      </w:r>
      <w:r>
        <w:rPr>
          <w:rFonts w:ascii="AdvOT1ef757c0" w:hAnsi="AdvOT1ef757c0" w:cs="AdvOT1ef757c0"/>
          <w:color w:val="000000"/>
          <w:sz w:val="21"/>
          <w:szCs w:val="21"/>
        </w:rPr>
        <w:t>) o</w:t>
      </w:r>
      <w:r>
        <w:rPr>
          <w:rFonts w:ascii="AdvOT1ef757c0+fb" w:hAnsi="AdvOT1ef757c0+fb" w:cs="AdvOT1ef757c0+fb"/>
          <w:color w:val="000000"/>
          <w:sz w:val="21"/>
          <w:szCs w:val="21"/>
        </w:rPr>
        <w:t>ff</w:t>
      </w:r>
      <w:r>
        <w:rPr>
          <w:rFonts w:ascii="AdvOT1ef757c0" w:hAnsi="AdvOT1ef757c0" w:cs="AdvOT1ef757c0"/>
          <w:color w:val="000000"/>
          <w:sz w:val="21"/>
          <w:szCs w:val="21"/>
        </w:rPr>
        <w:t>er some substitute for de</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nition. In </w:t>
      </w:r>
      <w:proofErr w:type="gramStart"/>
      <w:r>
        <w:rPr>
          <w:rFonts w:ascii="AdvOT1ef757c0" w:hAnsi="AdvOT1ef757c0" w:cs="AdvOT1ef757c0"/>
          <w:color w:val="000000"/>
          <w:sz w:val="21"/>
          <w:szCs w:val="21"/>
        </w:rPr>
        <w:t>drawing to a close</w:t>
      </w:r>
      <w:proofErr w:type="gramEnd"/>
      <w:r>
        <w:rPr>
          <w:rFonts w:ascii="AdvOT1ef757c0" w:hAnsi="AdvOT1ef757c0" w:cs="AdvOT1ef757c0"/>
          <w:color w:val="000000"/>
          <w:sz w:val="21"/>
          <w:szCs w:val="21"/>
        </w:rPr>
        <w:t xml:space="preserve">, these four assumptions provide a working conceptual framework when applied thematically to critically establish learning for practitioners seeking to improve practice in the </w:t>
      </w:r>
      <w:r>
        <w:rPr>
          <w:rFonts w:ascii="AdvOT1ef757c0+fb" w:hAnsi="AdvOT1ef757c0+fb" w:cs="AdvOT1ef757c0+fb"/>
          <w:color w:val="000000"/>
          <w:sz w:val="21"/>
          <w:szCs w:val="21"/>
        </w:rPr>
        <w:t>fi</w:t>
      </w:r>
      <w:r>
        <w:rPr>
          <w:rFonts w:ascii="AdvOT1ef757c0" w:hAnsi="AdvOT1ef757c0" w:cs="AdvOT1ef757c0"/>
          <w:color w:val="000000"/>
          <w:sz w:val="21"/>
          <w:szCs w:val="21"/>
        </w:rPr>
        <w:t>eld, by addressing some of the signi</w:t>
      </w:r>
      <w:r>
        <w:rPr>
          <w:rFonts w:ascii="AdvOT1ef757c0+fb" w:hAnsi="AdvOT1ef757c0+fb" w:cs="AdvOT1ef757c0+fb"/>
          <w:color w:val="000000"/>
          <w:sz w:val="21"/>
          <w:szCs w:val="21"/>
        </w:rPr>
        <w:t>fi</w:t>
      </w:r>
      <w:r>
        <w:rPr>
          <w:rFonts w:ascii="AdvOT1ef757c0" w:hAnsi="AdvOT1ef757c0" w:cs="AdvOT1ef757c0"/>
          <w:color w:val="000000"/>
          <w:sz w:val="21"/>
          <w:szCs w:val="21"/>
        </w:rPr>
        <w:t>cant challenges and practice concerns formally identi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ed in the review of literature. The framework is applied cumulatively, and as a result, the </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rst thematic assumption referred to as </w:t>
      </w:r>
      <w:r>
        <w:rPr>
          <w:rFonts w:ascii="AdvOT1ef757c0+20" w:hAnsi="AdvOT1ef757c0+20" w:cs="AdvOT1ef757c0+20"/>
          <w:color w:val="000000"/>
          <w:sz w:val="21"/>
          <w:szCs w:val="21"/>
        </w:rPr>
        <w:t>“</w:t>
      </w:r>
      <w:r>
        <w:rPr>
          <w:rFonts w:ascii="AdvOT1ef757c0" w:hAnsi="AdvOT1ef757c0" w:cs="AdvOT1ef757c0"/>
          <w:color w:val="000000"/>
          <w:sz w:val="21"/>
          <w:szCs w:val="21"/>
        </w:rPr>
        <w:t xml:space="preserve">historical and cultural </w:t>
      </w:r>
      <w:proofErr w:type="spellStart"/>
      <w:r>
        <w:rPr>
          <w:rFonts w:ascii="AdvOT1ef757c0" w:hAnsi="AdvOT1ef757c0" w:cs="AdvOT1ef757c0"/>
          <w:color w:val="000000"/>
          <w:sz w:val="21"/>
          <w:szCs w:val="21"/>
        </w:rPr>
        <w:t>speci</w:t>
      </w:r>
      <w:r>
        <w:rPr>
          <w:rFonts w:ascii="AdvOT1ef757c0+fb" w:hAnsi="AdvOT1ef757c0+fb" w:cs="AdvOT1ef757c0+fb"/>
          <w:color w:val="000000"/>
          <w:sz w:val="21"/>
          <w:szCs w:val="21"/>
        </w:rPr>
        <w:t>fi</w:t>
      </w:r>
      <w:r>
        <w:rPr>
          <w:rFonts w:ascii="AdvOT1ef757c0" w:hAnsi="AdvOT1ef757c0" w:cs="AdvOT1ef757c0"/>
          <w:color w:val="000000"/>
          <w:sz w:val="21"/>
          <w:szCs w:val="21"/>
        </w:rPr>
        <w:t>ty</w:t>
      </w:r>
      <w:proofErr w:type="spellEnd"/>
      <w:r>
        <w:rPr>
          <w:rFonts w:ascii="AdvOT1ef757c0+20" w:hAnsi="AdvOT1ef757c0+20" w:cs="AdvOT1ef757c0+20"/>
          <w:color w:val="000000"/>
          <w:sz w:val="21"/>
          <w:szCs w:val="21"/>
        </w:rPr>
        <w:t>”</w:t>
      </w:r>
      <w:r>
        <w:rPr>
          <w:rFonts w:ascii="AdvOT1ef757c0" w:hAnsi="AdvOT1ef757c0" w:cs="AdvOT1ef757c0"/>
          <w:color w:val="000000"/>
          <w:sz w:val="21"/>
          <w:szCs w:val="21"/>
        </w:rPr>
        <w:t xml:space="preserve">, lays a foundation and context for the later thematic assumptions and therefore is most developed. This builds toward the </w:t>
      </w:r>
      <w:r>
        <w:rPr>
          <w:rFonts w:ascii="AdvOT1ef757c0+fb" w:hAnsi="AdvOT1ef757c0+fb" w:cs="AdvOT1ef757c0+fb"/>
          <w:color w:val="000000"/>
          <w:sz w:val="21"/>
          <w:szCs w:val="21"/>
        </w:rPr>
        <w:t>fi</w:t>
      </w:r>
      <w:r>
        <w:rPr>
          <w:rFonts w:ascii="AdvOT1ef757c0" w:hAnsi="AdvOT1ef757c0" w:cs="AdvOT1ef757c0"/>
          <w:color w:val="000000"/>
          <w:sz w:val="21"/>
          <w:szCs w:val="21"/>
        </w:rPr>
        <w:t>nal thematic assumption, namely that practitioners must adopt a critical stance towards taken for granted knowledge, that concludes the overall analysis.</w:t>
      </w:r>
    </w:p>
    <w:p w:rsidR="0001295D" w:rsidRPr="0001295D" w:rsidRDefault="0001295D" w:rsidP="0001295D">
      <w:pPr>
        <w:autoSpaceDE w:val="0"/>
        <w:autoSpaceDN w:val="0"/>
        <w:adjustRightInd w:val="0"/>
        <w:spacing w:after="0" w:line="240" w:lineRule="auto"/>
        <w:jc w:val="both"/>
        <w:rPr>
          <w:rFonts w:ascii="AdvOT1ef757c0" w:hAnsi="AdvOT1ef757c0" w:cs="AdvOT1ef757c0"/>
          <w:b/>
          <w:color w:val="000000"/>
          <w:sz w:val="21"/>
          <w:szCs w:val="21"/>
        </w:rPr>
      </w:pPr>
    </w:p>
    <w:p w:rsidR="0001295D" w:rsidRPr="0001295D" w:rsidRDefault="0001295D" w:rsidP="0001295D">
      <w:pPr>
        <w:autoSpaceDE w:val="0"/>
        <w:autoSpaceDN w:val="0"/>
        <w:adjustRightInd w:val="0"/>
        <w:spacing w:after="0" w:line="240" w:lineRule="auto"/>
        <w:jc w:val="both"/>
        <w:rPr>
          <w:rFonts w:ascii="AdvOTd0125be5.BI" w:hAnsi="AdvOTd0125be5.BI" w:cs="AdvOTd0125be5.BI"/>
          <w:b/>
          <w:sz w:val="21"/>
          <w:szCs w:val="21"/>
        </w:rPr>
      </w:pPr>
      <w:r w:rsidRPr="0001295D">
        <w:rPr>
          <w:rFonts w:ascii="AdvOTd0125be5.BI" w:hAnsi="AdvOTd0125be5.BI" w:cs="AdvOTd0125be5.BI"/>
          <w:b/>
          <w:sz w:val="21"/>
          <w:szCs w:val="21"/>
        </w:rPr>
        <w:t xml:space="preserve">Historical and cultural </w:t>
      </w:r>
      <w:proofErr w:type="spellStart"/>
      <w:r w:rsidRPr="0001295D">
        <w:rPr>
          <w:rFonts w:ascii="AdvOTd0125be5.BI" w:hAnsi="AdvOTd0125be5.BI" w:cs="AdvOTd0125be5.BI"/>
          <w:b/>
          <w:sz w:val="21"/>
          <w:szCs w:val="21"/>
        </w:rPr>
        <w:t>speci</w:t>
      </w:r>
      <w:r w:rsidRPr="0001295D">
        <w:rPr>
          <w:rFonts w:ascii="AdvOTd0125be5.BI+fb" w:hAnsi="AdvOTd0125be5.BI+fb" w:cs="AdvOTd0125be5.BI+fb"/>
          <w:b/>
          <w:sz w:val="21"/>
          <w:szCs w:val="21"/>
        </w:rPr>
        <w:t>fi</w:t>
      </w:r>
      <w:r w:rsidRPr="0001295D">
        <w:rPr>
          <w:rFonts w:ascii="AdvOTd0125be5.BI" w:hAnsi="AdvOTd0125be5.BI" w:cs="AdvOTd0125be5.BI"/>
          <w:b/>
          <w:sz w:val="21"/>
          <w:szCs w:val="21"/>
        </w:rPr>
        <w:t>ty</w:t>
      </w:r>
      <w:proofErr w:type="spellEnd"/>
    </w:p>
    <w:p w:rsidR="0001295D" w:rsidRDefault="0001295D" w:rsidP="0001295D">
      <w:pPr>
        <w:autoSpaceDE w:val="0"/>
        <w:autoSpaceDN w:val="0"/>
        <w:adjustRightInd w:val="0"/>
        <w:spacing w:after="0" w:line="240" w:lineRule="auto"/>
        <w:jc w:val="both"/>
        <w:rPr>
          <w:rFonts w:ascii="AdvOTd0125be5.BI" w:hAnsi="AdvOTd0125be5.BI" w:cs="AdvOTd0125be5.BI"/>
          <w:sz w:val="21"/>
          <w:szCs w:val="21"/>
        </w:rPr>
      </w:pPr>
    </w:p>
    <w:p w:rsidR="0001295D" w:rsidRDefault="0001295D" w:rsidP="000063DD">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color w:val="000000"/>
          <w:sz w:val="21"/>
          <w:szCs w:val="21"/>
        </w:rPr>
        <w:t>From a Social Constructionist perspective, drives towards EIP and EBP as part of professionalisation of social care with children in Ireland derive from a speci</w:t>
      </w:r>
      <w:r>
        <w:rPr>
          <w:rFonts w:ascii="AdvOT1ef757c0+fb" w:hAnsi="AdvOT1ef757c0+fb" w:cs="AdvOT1ef757c0+fb"/>
          <w:color w:val="000000"/>
          <w:sz w:val="21"/>
          <w:szCs w:val="21"/>
        </w:rPr>
        <w:t>fi</w:t>
      </w:r>
      <w:r>
        <w:rPr>
          <w:rFonts w:ascii="AdvOT1ef757c0" w:hAnsi="AdvOT1ef757c0" w:cs="AdvOT1ef757c0"/>
          <w:color w:val="000000"/>
          <w:sz w:val="21"/>
          <w:szCs w:val="21"/>
        </w:rPr>
        <w:t>c historical and cultural context rather than having an essentialist basis. The vili</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cation of social work as a profession in the media features in the Irish literature (Garrett &amp; </w:t>
      </w:r>
      <w:proofErr w:type="spellStart"/>
      <w:r>
        <w:rPr>
          <w:rFonts w:ascii="AdvOT1ef757c0" w:hAnsi="AdvOT1ef757c0" w:cs="AdvOT1ef757c0"/>
          <w:color w:val="000000"/>
          <w:sz w:val="21"/>
          <w:szCs w:val="21"/>
        </w:rPr>
        <w:t>Gaughen</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xml:space="preserve">; Stalk, </w:t>
      </w:r>
      <w:r>
        <w:rPr>
          <w:rFonts w:ascii="AdvOT1ef757c0" w:hAnsi="AdvOT1ef757c0" w:cs="AdvOT1ef757c0"/>
          <w:color w:val="000085"/>
          <w:sz w:val="21"/>
          <w:szCs w:val="21"/>
        </w:rPr>
        <w:t>2010</w:t>
      </w:r>
      <w:r>
        <w:rPr>
          <w:rFonts w:ascii="AdvOT1ef757c0" w:hAnsi="AdvOT1ef757c0" w:cs="AdvOT1ef757c0"/>
          <w:color w:val="000000"/>
          <w:sz w:val="21"/>
          <w:szCs w:val="21"/>
        </w:rPr>
        <w:t>). This negative scrutiny has a direct e</w:t>
      </w:r>
      <w:r>
        <w:rPr>
          <w:rFonts w:ascii="AdvOT1ef757c0+fb" w:hAnsi="AdvOT1ef757c0+fb" w:cs="AdvOT1ef757c0+fb"/>
          <w:color w:val="000000"/>
          <w:sz w:val="21"/>
          <w:szCs w:val="21"/>
        </w:rPr>
        <w:t>ff</w:t>
      </w:r>
      <w:r>
        <w:rPr>
          <w:rFonts w:ascii="AdvOT1ef757c0" w:hAnsi="AdvOT1ef757c0" w:cs="AdvOT1ef757c0"/>
          <w:color w:val="000000"/>
          <w:sz w:val="21"/>
          <w:szCs w:val="21"/>
        </w:rPr>
        <w:t xml:space="preserve">ect on the profession such as attracting the best candidates, employee morale, and </w:t>
      </w:r>
      <w:r>
        <w:rPr>
          <w:rFonts w:ascii="AdvOT1ef757c0+20" w:hAnsi="AdvOT1ef757c0+20" w:cs="AdvOT1ef757c0+20"/>
          <w:color w:val="000000"/>
          <w:sz w:val="21"/>
          <w:szCs w:val="21"/>
        </w:rPr>
        <w:t>“</w:t>
      </w:r>
      <w:r>
        <w:rPr>
          <w:rFonts w:ascii="AdvOT1ef757c0" w:hAnsi="AdvOT1ef757c0" w:cs="AdvOT1ef757c0"/>
          <w:color w:val="000000"/>
          <w:sz w:val="21"/>
          <w:szCs w:val="21"/>
        </w:rPr>
        <w:t>alarming implications for practice</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 xml:space="preserve">(Garrett &amp; </w:t>
      </w:r>
      <w:proofErr w:type="spellStart"/>
      <w:r>
        <w:rPr>
          <w:rFonts w:ascii="AdvOT1ef757c0" w:hAnsi="AdvOT1ef757c0" w:cs="AdvOT1ef757c0"/>
          <w:color w:val="000000"/>
          <w:sz w:val="21"/>
          <w:szCs w:val="21"/>
        </w:rPr>
        <w:t>Gaughen</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2011</w:t>
      </w:r>
      <w:r>
        <w:rPr>
          <w:rFonts w:ascii="AdvOT1ef757c0" w:hAnsi="AdvOT1ef757c0" w:cs="AdvOT1ef757c0"/>
          <w:color w:val="000000"/>
          <w:sz w:val="21"/>
          <w:szCs w:val="21"/>
        </w:rPr>
        <w:t xml:space="preserve">; Stalk, </w:t>
      </w:r>
      <w:r>
        <w:rPr>
          <w:rFonts w:ascii="AdvOT1ef757c0" w:hAnsi="AdvOT1ef757c0" w:cs="AdvOT1ef757c0"/>
          <w:color w:val="000085"/>
          <w:sz w:val="21"/>
          <w:szCs w:val="21"/>
        </w:rPr>
        <w:t>2010</w:t>
      </w:r>
      <w:r>
        <w:rPr>
          <w:rFonts w:ascii="AdvOT1ef757c0" w:hAnsi="AdvOT1ef757c0" w:cs="AdvOT1ef757c0"/>
          <w:color w:val="000000"/>
          <w:sz w:val="21"/>
          <w:szCs w:val="21"/>
        </w:rPr>
        <w:t>, p. 10). Henderson and Franklin (</w:t>
      </w:r>
      <w:r>
        <w:rPr>
          <w:rFonts w:ascii="AdvOT1ef757c0" w:hAnsi="AdvOT1ef757c0" w:cs="AdvOT1ef757c0"/>
          <w:color w:val="000085"/>
          <w:sz w:val="21"/>
          <w:szCs w:val="21"/>
        </w:rPr>
        <w:t>2007</w:t>
      </w:r>
      <w:r>
        <w:rPr>
          <w:rFonts w:ascii="AdvOT1ef757c0" w:hAnsi="AdvOT1ef757c0" w:cs="AdvOT1ef757c0"/>
          <w:color w:val="000000"/>
          <w:sz w:val="21"/>
          <w:szCs w:val="21"/>
        </w:rPr>
        <w:t>) conducted research in television representation of social care professions in the UK and found that social care workers and social workers are largely perceived by the public as synonymous. In Ireland, similar observations are made of social care as a cognate discipline to social work given the ambiguity of the role, detailed earlier (</w:t>
      </w:r>
      <w:proofErr w:type="spellStart"/>
      <w:r>
        <w:rPr>
          <w:rFonts w:ascii="AdvOT1ef757c0" w:hAnsi="AdvOT1ef757c0" w:cs="AdvOT1ef757c0"/>
          <w:color w:val="000000"/>
          <w:sz w:val="21"/>
          <w:szCs w:val="21"/>
        </w:rPr>
        <w:t>Lalor</w:t>
      </w:r>
      <w:proofErr w:type="spellEnd"/>
      <w:r>
        <w:rPr>
          <w:rFonts w:ascii="AdvOT1ef757c0" w:hAnsi="AdvOT1ef757c0" w:cs="AdvOT1ef757c0"/>
          <w:color w:val="000000"/>
          <w:sz w:val="21"/>
          <w:szCs w:val="21"/>
        </w:rPr>
        <w:t xml:space="preserve"> &amp; Share, </w:t>
      </w:r>
      <w:r>
        <w:rPr>
          <w:rFonts w:ascii="AdvOT1ef757c0" w:hAnsi="AdvOT1ef757c0" w:cs="AdvOT1ef757c0"/>
          <w:color w:val="000085"/>
          <w:sz w:val="21"/>
          <w:szCs w:val="21"/>
        </w:rPr>
        <w:t>2013</w:t>
      </w:r>
      <w:r>
        <w:rPr>
          <w:rFonts w:ascii="AdvOT1ef757c0" w:hAnsi="AdvOT1ef757c0" w:cs="AdvOT1ef757c0"/>
          <w:color w:val="000000"/>
          <w:sz w:val="21"/>
          <w:szCs w:val="21"/>
        </w:rPr>
        <w:t xml:space="preserve">; McSweeney, </w:t>
      </w:r>
      <w:r>
        <w:rPr>
          <w:rFonts w:ascii="AdvOT1ef757c0" w:hAnsi="AdvOT1ef757c0" w:cs="AdvOT1ef757c0"/>
          <w:color w:val="000085"/>
          <w:sz w:val="21"/>
          <w:szCs w:val="21"/>
        </w:rPr>
        <w:t>2018</w:t>
      </w:r>
      <w:r>
        <w:rPr>
          <w:rFonts w:ascii="AdvOT1ef757c0" w:hAnsi="AdvOT1ef757c0" w:cs="AdvOT1ef757c0"/>
          <w:color w:val="000000"/>
          <w:sz w:val="21"/>
          <w:szCs w:val="21"/>
        </w:rPr>
        <w:t>). Indeed, practice concerns overlap greatly for both occupations. Related to this, in Ireland and the UK a process of public awakening to child abuse throughout the 1990s and 2000s with high pro</w:t>
      </w:r>
      <w:r>
        <w:rPr>
          <w:rFonts w:ascii="AdvOT1ef757c0+fb" w:hAnsi="AdvOT1ef757c0+fb" w:cs="AdvOT1ef757c0+fb"/>
          <w:color w:val="000000"/>
          <w:sz w:val="21"/>
          <w:szCs w:val="21"/>
        </w:rPr>
        <w:t>fi</w:t>
      </w:r>
      <w:r>
        <w:rPr>
          <w:rFonts w:ascii="AdvOT1ef757c0" w:hAnsi="AdvOT1ef757c0" w:cs="AdvOT1ef757c0"/>
          <w:color w:val="000000"/>
          <w:sz w:val="21"/>
          <w:szCs w:val="21"/>
        </w:rPr>
        <w:t>le cases in the media such as Kelly Fitzgerald, Victoria Climbié, Baby P and the Roscommon Case, and inquiry reports such as Commission to Inquire into Child Abuse Report (</w:t>
      </w:r>
      <w:r>
        <w:rPr>
          <w:rFonts w:ascii="AdvOT1ef757c0" w:hAnsi="AdvOT1ef757c0" w:cs="AdvOT1ef757c0"/>
          <w:color w:val="000085"/>
          <w:sz w:val="21"/>
          <w:szCs w:val="21"/>
        </w:rPr>
        <w:t>2009</w:t>
      </w:r>
      <w:r>
        <w:rPr>
          <w:rFonts w:ascii="AdvOT1ef757c0" w:hAnsi="AdvOT1ef757c0" w:cs="AdvOT1ef757c0"/>
          <w:color w:val="000000"/>
          <w:sz w:val="21"/>
          <w:szCs w:val="21"/>
        </w:rPr>
        <w:t xml:space="preserve">), re-landscaped child protection services in Ireland (Burns &amp; McGregor, </w:t>
      </w:r>
      <w:r>
        <w:rPr>
          <w:rFonts w:ascii="AdvOT1ef757c0" w:hAnsi="AdvOT1ef757c0" w:cs="AdvOT1ef757c0"/>
          <w:color w:val="000085"/>
          <w:sz w:val="21"/>
          <w:szCs w:val="21"/>
        </w:rPr>
        <w:t>2018</w:t>
      </w:r>
      <w:r>
        <w:rPr>
          <w:rFonts w:ascii="AdvOT1ef757c0" w:hAnsi="AdvOT1ef757c0" w:cs="AdvOT1ef757c0"/>
          <w:color w:val="000000"/>
          <w:sz w:val="21"/>
          <w:szCs w:val="21"/>
        </w:rPr>
        <w:t xml:space="preserve">; Ferguson, </w:t>
      </w:r>
      <w:r>
        <w:rPr>
          <w:rFonts w:ascii="AdvOT1ef757c0" w:hAnsi="AdvOT1ef757c0" w:cs="AdvOT1ef757c0"/>
          <w:color w:val="000085"/>
          <w:sz w:val="21"/>
          <w:szCs w:val="21"/>
        </w:rPr>
        <w:t>2004</w:t>
      </w:r>
      <w:r>
        <w:rPr>
          <w:rFonts w:ascii="AdvOT1ef757c0" w:hAnsi="AdvOT1ef757c0" w:cs="AdvOT1ef757c0"/>
          <w:color w:val="000000"/>
          <w:sz w:val="21"/>
          <w:szCs w:val="21"/>
        </w:rPr>
        <w:t xml:space="preserve">; Howard, </w:t>
      </w:r>
      <w:r>
        <w:rPr>
          <w:rFonts w:ascii="AdvOT1ef757c0" w:hAnsi="AdvOT1ef757c0" w:cs="AdvOT1ef757c0"/>
          <w:color w:val="000085"/>
          <w:sz w:val="21"/>
          <w:szCs w:val="21"/>
        </w:rPr>
        <w:t>2012</w:t>
      </w:r>
      <w:r>
        <w:rPr>
          <w:rFonts w:ascii="AdvOT1ef757c0" w:hAnsi="AdvOT1ef757c0" w:cs="AdvOT1ef757c0"/>
          <w:color w:val="000000"/>
          <w:sz w:val="21"/>
          <w:szCs w:val="21"/>
        </w:rPr>
        <w:t xml:space="preserve">; McGregor, </w:t>
      </w:r>
      <w:r>
        <w:rPr>
          <w:rFonts w:ascii="AdvOT1ef757c0" w:hAnsi="AdvOT1ef757c0" w:cs="AdvOT1ef757c0"/>
          <w:color w:val="000085"/>
          <w:sz w:val="21"/>
          <w:szCs w:val="21"/>
        </w:rPr>
        <w:t>2014</w:t>
      </w:r>
      <w:r>
        <w:rPr>
          <w:rFonts w:ascii="AdvOT1ef757c0" w:hAnsi="AdvOT1ef757c0" w:cs="AdvOT1ef757c0"/>
          <w:color w:val="000000"/>
          <w:sz w:val="21"/>
          <w:szCs w:val="21"/>
        </w:rPr>
        <w:t xml:space="preserve">). Residential social care practice </w:t>
      </w:r>
      <w:r>
        <w:rPr>
          <w:rFonts w:ascii="AdvOT1ef757c0" w:hAnsi="AdvOT1ef757c0" w:cs="AdvOT1ef757c0"/>
          <w:color w:val="000000"/>
          <w:sz w:val="21"/>
          <w:szCs w:val="21"/>
        </w:rPr>
        <w:lastRenderedPageBreak/>
        <w:t>with children was also greatly impacted (</w:t>
      </w:r>
      <w:proofErr w:type="spellStart"/>
      <w:r>
        <w:rPr>
          <w:rFonts w:ascii="AdvOT1ef757c0" w:hAnsi="AdvOT1ef757c0" w:cs="AdvOT1ef757c0"/>
          <w:color w:val="000000"/>
          <w:sz w:val="21"/>
          <w:szCs w:val="21"/>
        </w:rPr>
        <w:t>Crimmens</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1998</w:t>
      </w:r>
      <w:r>
        <w:rPr>
          <w:rFonts w:ascii="AdvOT1ef757c0" w:hAnsi="AdvOT1ef757c0" w:cs="AdvOT1ef757c0"/>
          <w:color w:val="000000"/>
          <w:sz w:val="21"/>
          <w:szCs w:val="21"/>
        </w:rPr>
        <w:t xml:space="preserve">). The later re-transformation of Irish child protection and welfare services with the establishment of </w:t>
      </w:r>
      <w:proofErr w:type="spellStart"/>
      <w:r>
        <w:rPr>
          <w:rFonts w:ascii="AdvOT1ef757c0" w:hAnsi="AdvOT1ef757c0" w:cs="AdvOT1ef757c0"/>
          <w:color w:val="000000"/>
          <w:sz w:val="21"/>
          <w:szCs w:val="21"/>
        </w:rPr>
        <w:t>Tusla</w:t>
      </w:r>
      <w:proofErr w:type="spellEnd"/>
      <w:r>
        <w:rPr>
          <w:rFonts w:ascii="AdvOT1ef757c0" w:hAnsi="AdvOT1ef757c0" w:cs="AdvOT1ef757c0"/>
          <w:color w:val="000000"/>
          <w:sz w:val="21"/>
          <w:szCs w:val="21"/>
        </w:rPr>
        <w:t>, Child and Family Agency, according to McGregor (</w:t>
      </w:r>
      <w:r>
        <w:rPr>
          <w:rFonts w:ascii="AdvOT1ef757c0" w:hAnsi="AdvOT1ef757c0" w:cs="AdvOT1ef757c0"/>
          <w:color w:val="000085"/>
          <w:sz w:val="21"/>
          <w:szCs w:val="21"/>
        </w:rPr>
        <w:t>2014</w:t>
      </w:r>
      <w:r>
        <w:rPr>
          <w:rFonts w:ascii="AdvOT1ef757c0" w:hAnsi="AdvOT1ef757c0" w:cs="AdvOT1ef757c0"/>
          <w:color w:val="000000"/>
          <w:sz w:val="21"/>
          <w:szCs w:val="21"/>
        </w:rPr>
        <w:t>, p. 771) has been accompanied by public discourse surrounding children</w:t>
      </w:r>
      <w:r>
        <w:rPr>
          <w:rFonts w:ascii="AdvOT1ef757c0+20" w:hAnsi="AdvOT1ef757c0+20" w:cs="AdvOT1ef757c0+20"/>
          <w:color w:val="000000"/>
          <w:sz w:val="21"/>
          <w:szCs w:val="21"/>
        </w:rPr>
        <w:t>’</w:t>
      </w:r>
      <w:r>
        <w:rPr>
          <w:rFonts w:ascii="AdvOT1ef757c0" w:hAnsi="AdvOT1ef757c0" w:cs="AdvOT1ef757c0"/>
          <w:color w:val="000000"/>
          <w:sz w:val="21"/>
          <w:szCs w:val="21"/>
        </w:rPr>
        <w:t xml:space="preserve">s rights, early intervention and participation in </w:t>
      </w:r>
      <w:r>
        <w:rPr>
          <w:rFonts w:ascii="AdvOT1ef757c0+20" w:hAnsi="AdvOT1ef757c0+20" w:cs="AdvOT1ef757c0+20"/>
          <w:color w:val="000000"/>
          <w:sz w:val="21"/>
          <w:szCs w:val="21"/>
        </w:rPr>
        <w:t>“</w:t>
      </w:r>
      <w:r>
        <w:rPr>
          <w:rFonts w:ascii="AdvOT1ef757c0" w:hAnsi="AdvOT1ef757c0" w:cs="AdvOT1ef757c0"/>
          <w:color w:val="000000"/>
          <w:sz w:val="21"/>
          <w:szCs w:val="21"/>
        </w:rPr>
        <w:t>a quest to purge the mistakes of the past.</w:t>
      </w:r>
      <w:r>
        <w:rPr>
          <w:rFonts w:ascii="AdvOT1ef757c0+20" w:hAnsi="AdvOT1ef757c0+20" w:cs="AdvOT1ef757c0+20"/>
          <w:color w:val="000000"/>
          <w:sz w:val="21"/>
          <w:szCs w:val="21"/>
        </w:rPr>
        <w:t xml:space="preserve">” </w:t>
      </w:r>
      <w:r>
        <w:rPr>
          <w:rFonts w:ascii="AdvOT1ef757c0" w:hAnsi="AdvOT1ef757c0" w:cs="AdvOT1ef757c0"/>
          <w:color w:val="000000"/>
          <w:sz w:val="21"/>
          <w:szCs w:val="21"/>
        </w:rPr>
        <w:t>In this speci</w:t>
      </w:r>
      <w:r>
        <w:rPr>
          <w:rFonts w:ascii="AdvOT1ef757c0+fb" w:hAnsi="AdvOT1ef757c0+fb" w:cs="AdvOT1ef757c0+fb"/>
          <w:color w:val="000000"/>
          <w:sz w:val="21"/>
          <w:szCs w:val="21"/>
        </w:rPr>
        <w:t>fi</w:t>
      </w:r>
      <w:r>
        <w:rPr>
          <w:rFonts w:ascii="AdvOT1ef757c0" w:hAnsi="AdvOT1ef757c0" w:cs="AdvOT1ef757c0"/>
          <w:color w:val="000000"/>
          <w:sz w:val="21"/>
          <w:szCs w:val="21"/>
        </w:rPr>
        <w:t>c historical and cultural context, advocacy, lobbying and awareness-raising at a broad level must retain, or perhaps intensify its importance for social care practitioners, academics and allies, seeking to promote constructive discourses in the best interests of the children that they support. More speci</w:t>
      </w:r>
      <w:r>
        <w:rPr>
          <w:rFonts w:ascii="AdvOT1ef757c0+fb" w:hAnsi="AdvOT1ef757c0+fb" w:cs="AdvOT1ef757c0+fb"/>
          <w:color w:val="000000"/>
          <w:sz w:val="21"/>
          <w:szCs w:val="21"/>
        </w:rPr>
        <w:t>fi</w:t>
      </w:r>
      <w:r>
        <w:rPr>
          <w:rFonts w:ascii="AdvOT1ef757c0" w:hAnsi="AdvOT1ef757c0" w:cs="AdvOT1ef757c0"/>
          <w:color w:val="000000"/>
          <w:sz w:val="21"/>
          <w:szCs w:val="21"/>
        </w:rPr>
        <w:t>cally, it is argued that the present transitory time of professionalisation presents a compelling opportunity to do so. As articulated in the CORU Standards of Pro</w:t>
      </w:r>
      <w:r>
        <w:rPr>
          <w:rFonts w:ascii="AdvOT1ef757c0+fb" w:hAnsi="AdvOT1ef757c0+fb" w:cs="AdvOT1ef757c0+fb"/>
          <w:color w:val="000000"/>
          <w:sz w:val="21"/>
          <w:szCs w:val="21"/>
        </w:rPr>
        <w:t>fi</w:t>
      </w:r>
      <w:r>
        <w:rPr>
          <w:rFonts w:ascii="AdvOT1ef757c0" w:hAnsi="AdvOT1ef757c0" w:cs="AdvOT1ef757c0"/>
          <w:color w:val="000000"/>
          <w:sz w:val="21"/>
          <w:szCs w:val="21"/>
        </w:rPr>
        <w:t>ciency (</w:t>
      </w:r>
      <w:r>
        <w:rPr>
          <w:rFonts w:ascii="AdvOT1ef757c0" w:hAnsi="AdvOT1ef757c0" w:cs="AdvOT1ef757c0"/>
          <w:color w:val="000085"/>
          <w:sz w:val="21"/>
          <w:szCs w:val="21"/>
        </w:rPr>
        <w:t>2017b</w:t>
      </w:r>
      <w:r>
        <w:rPr>
          <w:rFonts w:ascii="AdvOT1ef757c0" w:hAnsi="AdvOT1ef757c0" w:cs="AdvOT1ef757c0"/>
          <w:color w:val="000000"/>
          <w:sz w:val="21"/>
          <w:szCs w:val="21"/>
        </w:rPr>
        <w:t xml:space="preserve">, p. 10), practitioners must </w:t>
      </w:r>
      <w:r>
        <w:rPr>
          <w:rFonts w:ascii="AdvOT1ef757c0+20" w:hAnsi="AdvOT1ef757c0+20" w:cs="AdvOT1ef757c0+20"/>
          <w:color w:val="000000"/>
          <w:sz w:val="21"/>
          <w:szCs w:val="21"/>
        </w:rPr>
        <w:t>“</w:t>
      </w:r>
      <w:r>
        <w:rPr>
          <w:rFonts w:ascii="AdvOT1ef757c0" w:hAnsi="AdvOT1ef757c0" w:cs="AdvOT1ef757c0"/>
          <w:color w:val="000000"/>
          <w:sz w:val="21"/>
          <w:szCs w:val="21"/>
        </w:rPr>
        <w:t>recognise the role of</w:t>
      </w:r>
      <w:r w:rsidR="000063DD">
        <w:rPr>
          <w:rFonts w:ascii="AdvOT1ef757c0" w:hAnsi="AdvOT1ef757c0" w:cs="AdvOT1ef757c0"/>
          <w:color w:val="000000"/>
          <w:sz w:val="21"/>
          <w:szCs w:val="21"/>
        </w:rPr>
        <w:t xml:space="preserve"> advocacy</w:t>
      </w:r>
      <w:r w:rsidR="000063DD">
        <w:rPr>
          <w:rFonts w:ascii="AdvOT1ef757c0+20" w:hAnsi="AdvOT1ef757c0+20" w:cs="AdvOT1ef757c0+20"/>
          <w:color w:val="000000"/>
          <w:sz w:val="21"/>
          <w:szCs w:val="21"/>
        </w:rPr>
        <w:t>”</w:t>
      </w:r>
      <w:r w:rsidR="000063DD">
        <w:rPr>
          <w:rFonts w:ascii="AdvOT1ef757c0" w:hAnsi="AdvOT1ef757c0" w:cs="AdvOT1ef757c0"/>
          <w:color w:val="000000"/>
          <w:sz w:val="21"/>
          <w:szCs w:val="21"/>
        </w:rPr>
        <w:t>. In this context, seeking to e</w:t>
      </w:r>
      <w:r w:rsidR="000063DD">
        <w:rPr>
          <w:rFonts w:ascii="AdvOT1ef757c0+fb" w:hAnsi="AdvOT1ef757c0+fb" w:cs="AdvOT1ef757c0+fb"/>
          <w:color w:val="000000"/>
          <w:sz w:val="21"/>
          <w:szCs w:val="21"/>
        </w:rPr>
        <w:t>ff</w:t>
      </w:r>
      <w:r w:rsidR="000063DD">
        <w:rPr>
          <w:rFonts w:ascii="AdvOT1ef757c0" w:hAnsi="AdvOT1ef757c0" w:cs="AdvOT1ef757c0"/>
          <w:color w:val="000000"/>
          <w:sz w:val="21"/>
          <w:szCs w:val="21"/>
        </w:rPr>
        <w:t xml:space="preserve">ect change in public perceptions and discourses may also attend to existing claims that challenges ahead for social care practice in Ireland will in part be a result of the failure of policy-makers to react to issues (McSweeney et al., </w:t>
      </w:r>
      <w:r w:rsidR="000063DD">
        <w:rPr>
          <w:rFonts w:ascii="AdvOT1ef757c0" w:hAnsi="AdvOT1ef757c0" w:cs="AdvOT1ef757c0"/>
          <w:color w:val="000085"/>
          <w:sz w:val="21"/>
          <w:szCs w:val="21"/>
        </w:rPr>
        <w:t>2016</w:t>
      </w:r>
      <w:r w:rsidR="000063DD">
        <w:rPr>
          <w:rFonts w:ascii="AdvOT1ef757c0" w:hAnsi="AdvOT1ef757c0" w:cs="AdvOT1ef757c0"/>
          <w:color w:val="000000"/>
          <w:sz w:val="21"/>
          <w:szCs w:val="21"/>
        </w:rPr>
        <w:t xml:space="preserve">). </w:t>
      </w:r>
      <w:proofErr w:type="gramStart"/>
      <w:r w:rsidR="000063DD">
        <w:rPr>
          <w:rFonts w:ascii="AdvOT1ef757c0" w:hAnsi="AdvOT1ef757c0" w:cs="AdvOT1ef757c0"/>
          <w:color w:val="000000"/>
          <w:sz w:val="21"/>
          <w:szCs w:val="21"/>
        </w:rPr>
        <w:t>With this in mind, the</w:t>
      </w:r>
      <w:proofErr w:type="gramEnd"/>
      <w:r w:rsidR="000063DD">
        <w:rPr>
          <w:rFonts w:ascii="AdvOT1ef757c0" w:hAnsi="AdvOT1ef757c0" w:cs="AdvOT1ef757c0"/>
          <w:color w:val="000000"/>
          <w:sz w:val="21"/>
          <w:szCs w:val="21"/>
        </w:rPr>
        <w:t xml:space="preserve"> overall focus in this section has been on the notion of historical and cultural </w:t>
      </w:r>
      <w:proofErr w:type="spellStart"/>
      <w:r w:rsidR="000063DD">
        <w:rPr>
          <w:rFonts w:ascii="AdvOT1ef757c0" w:hAnsi="AdvOT1ef757c0" w:cs="AdvOT1ef757c0"/>
          <w:color w:val="000000"/>
          <w:sz w:val="21"/>
          <w:szCs w:val="21"/>
        </w:rPr>
        <w:t>speci</w:t>
      </w:r>
      <w:r w:rsidR="000063DD">
        <w:rPr>
          <w:rFonts w:ascii="AdvOT1ef757c0+fb" w:hAnsi="AdvOT1ef757c0+fb" w:cs="AdvOT1ef757c0+fb"/>
          <w:color w:val="000000"/>
          <w:sz w:val="21"/>
          <w:szCs w:val="21"/>
        </w:rPr>
        <w:t>fi</w:t>
      </w:r>
      <w:r w:rsidR="000063DD">
        <w:rPr>
          <w:rFonts w:ascii="AdvOT1ef757c0" w:hAnsi="AdvOT1ef757c0" w:cs="AdvOT1ef757c0"/>
          <w:color w:val="000000"/>
          <w:sz w:val="21"/>
          <w:szCs w:val="21"/>
        </w:rPr>
        <w:t>ty</w:t>
      </w:r>
      <w:proofErr w:type="spellEnd"/>
      <w:r w:rsidR="000063DD">
        <w:rPr>
          <w:rFonts w:ascii="AdvOT1ef757c0" w:hAnsi="AdvOT1ef757c0" w:cs="AdvOT1ef757c0"/>
          <w:color w:val="000000"/>
          <w:sz w:val="21"/>
          <w:szCs w:val="21"/>
        </w:rPr>
        <w:t>. The de</w:t>
      </w:r>
      <w:r w:rsidR="000063DD">
        <w:rPr>
          <w:rFonts w:ascii="AdvOT1ef757c0+fb" w:hAnsi="AdvOT1ef757c0+fb" w:cs="AdvOT1ef757c0+fb"/>
          <w:color w:val="000000"/>
          <w:sz w:val="21"/>
          <w:szCs w:val="21"/>
        </w:rPr>
        <w:t>fi</w:t>
      </w:r>
      <w:r w:rsidR="000063DD">
        <w:rPr>
          <w:rFonts w:ascii="AdvOT1ef757c0" w:hAnsi="AdvOT1ef757c0" w:cs="AdvOT1ef757c0"/>
          <w:color w:val="000000"/>
          <w:sz w:val="21"/>
          <w:szCs w:val="21"/>
        </w:rPr>
        <w:t xml:space="preserve">ning implication of this is clear: in order to be best understood and predicted, professionalisation of social care with children in Ireland must be considered within </w:t>
      </w:r>
      <w:proofErr w:type="gramStart"/>
      <w:r w:rsidR="000063DD">
        <w:rPr>
          <w:rFonts w:ascii="AdvOT1ef757c0" w:hAnsi="AdvOT1ef757c0" w:cs="AdvOT1ef757c0"/>
          <w:color w:val="000000"/>
          <w:sz w:val="21"/>
          <w:szCs w:val="21"/>
        </w:rPr>
        <w:t>its particular, and</w:t>
      </w:r>
      <w:proofErr w:type="gramEnd"/>
      <w:r w:rsidR="000063DD">
        <w:rPr>
          <w:rFonts w:ascii="AdvOT1ef757c0" w:hAnsi="AdvOT1ef757c0" w:cs="AdvOT1ef757c0"/>
          <w:color w:val="000000"/>
          <w:sz w:val="21"/>
          <w:szCs w:val="21"/>
        </w:rPr>
        <w:t xml:space="preserve"> ultimately unique, cultural and historical context. Presently, this context includes increased drives toward EIP and EBP as professionalisation of social care practice with children in Ireland leads to increasing regulation of the work.</w:t>
      </w:r>
    </w:p>
    <w:p w:rsidR="00183E0D" w:rsidRPr="00183E0D" w:rsidRDefault="00183E0D" w:rsidP="000063DD">
      <w:pPr>
        <w:autoSpaceDE w:val="0"/>
        <w:autoSpaceDN w:val="0"/>
        <w:adjustRightInd w:val="0"/>
        <w:spacing w:after="0" w:line="240" w:lineRule="auto"/>
        <w:jc w:val="both"/>
        <w:rPr>
          <w:rFonts w:ascii="AdvOT1ef757c0" w:hAnsi="AdvOT1ef757c0" w:cs="AdvOT1ef757c0"/>
          <w:b/>
          <w:color w:val="000000"/>
          <w:sz w:val="21"/>
          <w:szCs w:val="21"/>
        </w:rPr>
      </w:pPr>
    </w:p>
    <w:p w:rsidR="00183E0D" w:rsidRPr="00183E0D" w:rsidRDefault="00183E0D" w:rsidP="000063DD">
      <w:pPr>
        <w:autoSpaceDE w:val="0"/>
        <w:autoSpaceDN w:val="0"/>
        <w:adjustRightInd w:val="0"/>
        <w:spacing w:after="0" w:line="240" w:lineRule="auto"/>
        <w:jc w:val="both"/>
        <w:rPr>
          <w:rFonts w:ascii="AdvOTd0125be5.BI" w:hAnsi="AdvOTd0125be5.BI" w:cs="AdvOTd0125be5.BI"/>
          <w:b/>
          <w:sz w:val="21"/>
          <w:szCs w:val="21"/>
        </w:rPr>
      </w:pPr>
      <w:r w:rsidRPr="00183E0D">
        <w:rPr>
          <w:rFonts w:ascii="AdvOTd0125be5.BI" w:hAnsi="AdvOTd0125be5.BI" w:cs="AdvOTd0125be5.BI"/>
          <w:b/>
          <w:sz w:val="21"/>
          <w:szCs w:val="21"/>
        </w:rPr>
        <w:t>Knowledge is sustained by social processes</w:t>
      </w:r>
    </w:p>
    <w:p w:rsidR="00183E0D" w:rsidRDefault="00183E0D" w:rsidP="000063DD">
      <w:pPr>
        <w:autoSpaceDE w:val="0"/>
        <w:autoSpaceDN w:val="0"/>
        <w:adjustRightInd w:val="0"/>
        <w:spacing w:after="0" w:line="240" w:lineRule="auto"/>
        <w:jc w:val="both"/>
        <w:rPr>
          <w:rFonts w:ascii="AdvOTd0125be5.BI" w:hAnsi="AdvOTd0125be5.BI" w:cs="AdvOTd0125be5.BI"/>
          <w:sz w:val="21"/>
          <w:szCs w:val="21"/>
        </w:rPr>
      </w:pPr>
    </w:p>
    <w:p w:rsidR="00183E0D" w:rsidRDefault="00183E0D" w:rsidP="00183E0D">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color w:val="000000"/>
          <w:sz w:val="21"/>
          <w:szCs w:val="21"/>
        </w:rPr>
        <w:t xml:space="preserve">Underpinning the requirement for advocacy is the implicit </w:t>
      </w:r>
      <w:proofErr w:type="spellStart"/>
      <w:r>
        <w:rPr>
          <w:rFonts w:ascii="AdvOT1ef757c0" w:hAnsi="AdvOT1ef757c0" w:cs="AdvOT1ef757c0"/>
          <w:color w:val="000000"/>
          <w:sz w:val="21"/>
          <w:szCs w:val="21"/>
        </w:rPr>
        <w:t>byline</w:t>
      </w:r>
      <w:proofErr w:type="spellEnd"/>
      <w:r>
        <w:rPr>
          <w:rFonts w:ascii="AdvOT1ef757c0" w:hAnsi="AdvOT1ef757c0" w:cs="AdvOT1ef757c0"/>
          <w:color w:val="000000"/>
          <w:sz w:val="21"/>
          <w:szCs w:val="21"/>
        </w:rPr>
        <w:t xml:space="preserve"> that knowledge is sustained by social processes. This proposition constitutes a second de</w:t>
      </w:r>
      <w:r>
        <w:rPr>
          <w:rFonts w:ascii="AdvOT1ef757c0+fb" w:hAnsi="AdvOT1ef757c0+fb" w:cs="AdvOT1ef757c0+fb"/>
          <w:color w:val="000000"/>
          <w:sz w:val="21"/>
          <w:szCs w:val="21"/>
        </w:rPr>
        <w:t>fi</w:t>
      </w:r>
      <w:r>
        <w:rPr>
          <w:rFonts w:ascii="AdvOT1ef757c0" w:hAnsi="AdvOT1ef757c0" w:cs="AdvOT1ef757c0"/>
          <w:color w:val="000000"/>
          <w:sz w:val="21"/>
          <w:szCs w:val="21"/>
        </w:rPr>
        <w:t xml:space="preserve">ning assumption of social constructionism (Burr, </w:t>
      </w:r>
      <w:r>
        <w:rPr>
          <w:rFonts w:ascii="AdvOT1ef757c0" w:hAnsi="AdvOT1ef757c0" w:cs="AdvOT1ef757c0"/>
          <w:color w:val="000085"/>
          <w:sz w:val="21"/>
          <w:szCs w:val="21"/>
        </w:rPr>
        <w:t>2015</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Gergin</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1985</w:t>
      </w:r>
      <w:r>
        <w:rPr>
          <w:rFonts w:ascii="AdvOT1ef757c0" w:hAnsi="AdvOT1ef757c0" w:cs="AdvOT1ef757c0"/>
          <w:color w:val="000000"/>
          <w:sz w:val="21"/>
          <w:szCs w:val="21"/>
        </w:rPr>
        <w:t>). In Ireland, Power and Darcy (</w:t>
      </w:r>
      <w:r>
        <w:rPr>
          <w:rFonts w:ascii="AdvOT1ef757c0" w:hAnsi="AdvOT1ef757c0" w:cs="AdvOT1ef757c0"/>
          <w:color w:val="000085"/>
          <w:sz w:val="21"/>
          <w:szCs w:val="21"/>
        </w:rPr>
        <w:t>2017</w:t>
      </w:r>
      <w:r>
        <w:rPr>
          <w:rFonts w:ascii="AdvOT1ef757c0" w:hAnsi="AdvOT1ef757c0" w:cs="AdvOT1ef757c0"/>
          <w:color w:val="000000"/>
          <w:sz w:val="21"/>
          <w:szCs w:val="21"/>
        </w:rPr>
        <w:t xml:space="preserve">, p. 30) examine awareness amongst social care practitioners of registration and conclude that registration is often viewed through a </w:t>
      </w:r>
      <w:r>
        <w:rPr>
          <w:rFonts w:ascii="AdvOT1ef757c0+20" w:hAnsi="AdvOT1ef757c0+20" w:cs="AdvOT1ef757c0+20"/>
          <w:color w:val="000000"/>
          <w:sz w:val="21"/>
          <w:szCs w:val="21"/>
        </w:rPr>
        <w:t>“</w:t>
      </w:r>
      <w:r>
        <w:rPr>
          <w:rFonts w:ascii="AdvOT1ef757c0" w:hAnsi="AdvOT1ef757c0" w:cs="AdvOT1ef757c0"/>
          <w:color w:val="000000"/>
          <w:sz w:val="21"/>
          <w:szCs w:val="21"/>
        </w:rPr>
        <w:t>localised or parochial lens, within which social care workers are relatively powerless to input</w:t>
      </w:r>
      <w:r w:rsidRPr="003647E0">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regarding a process that is largely employer led. Yet, despite their omission from this </w:t>
      </w:r>
      <w:r w:rsidRPr="003647E0">
        <w:rPr>
          <w:rFonts w:ascii="AdvOT1ef757c0" w:hAnsi="AdvOT1ef757c0" w:cs="AdvOT1ef757c0"/>
          <w:color w:val="000000"/>
          <w:sz w:val="21"/>
          <w:szCs w:val="21"/>
        </w:rPr>
        <w:t>“</w:t>
      </w:r>
      <w:r>
        <w:rPr>
          <w:rFonts w:ascii="AdvOT1ef757c0" w:hAnsi="AdvOT1ef757c0" w:cs="AdvOT1ef757c0"/>
          <w:color w:val="000000"/>
          <w:sz w:val="21"/>
          <w:szCs w:val="21"/>
        </w:rPr>
        <w:t>employer led process</w:t>
      </w:r>
      <w:r w:rsidRPr="003647E0">
        <w:rPr>
          <w:rFonts w:ascii="AdvOT1ef757c0" w:hAnsi="AdvOT1ef757c0" w:cs="AdvOT1ef757c0"/>
          <w:color w:val="000000"/>
          <w:sz w:val="21"/>
          <w:szCs w:val="21"/>
        </w:rPr>
        <w:t>”</w:t>
      </w:r>
      <w:r>
        <w:rPr>
          <w:rFonts w:ascii="AdvOT1ef757c0" w:hAnsi="AdvOT1ef757c0" w:cs="AdvOT1ef757c0"/>
          <w:color w:val="000000"/>
          <w:sz w:val="21"/>
          <w:szCs w:val="21"/>
        </w:rPr>
        <w:t>, Power and Darcy (</w:t>
      </w:r>
      <w:r w:rsidRPr="003647E0">
        <w:rPr>
          <w:rFonts w:ascii="AdvOT1ef757c0" w:hAnsi="AdvOT1ef757c0" w:cs="AdvOT1ef757c0"/>
          <w:color w:val="000000"/>
          <w:sz w:val="21"/>
          <w:szCs w:val="21"/>
        </w:rPr>
        <w:t>2017</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fi</w:t>
      </w:r>
      <w:r>
        <w:rPr>
          <w:rFonts w:ascii="AdvOT1ef757c0" w:hAnsi="AdvOT1ef757c0" w:cs="AdvOT1ef757c0"/>
          <w:color w:val="000000"/>
          <w:sz w:val="21"/>
          <w:szCs w:val="21"/>
        </w:rPr>
        <w:t xml:space="preserve">nd that the individualised nature of regulatory framework </w:t>
      </w:r>
      <w:r w:rsidRPr="003647E0">
        <w:rPr>
          <w:rFonts w:ascii="AdvOT1ef757c0" w:hAnsi="AdvOT1ef757c0" w:cs="AdvOT1ef757c0"/>
          <w:color w:val="000000"/>
          <w:sz w:val="21"/>
          <w:szCs w:val="21"/>
        </w:rPr>
        <w:t>“</w:t>
      </w:r>
      <w:r>
        <w:rPr>
          <w:rFonts w:ascii="AdvOT1ef757c0" w:hAnsi="AdvOT1ef757c0" w:cs="AdvOT1ef757c0"/>
          <w:color w:val="000000"/>
          <w:sz w:val="21"/>
          <w:szCs w:val="21"/>
        </w:rPr>
        <w:t>places the onus squarely on the individual social care worker.</w:t>
      </w:r>
      <w:r w:rsidRPr="003647E0">
        <w:rPr>
          <w:rFonts w:ascii="AdvOT1ef757c0" w:hAnsi="AdvOT1ef757c0" w:cs="AdvOT1ef757c0"/>
          <w:color w:val="000000"/>
          <w:sz w:val="21"/>
          <w:szCs w:val="21"/>
        </w:rPr>
        <w:t xml:space="preserve">” </w:t>
      </w:r>
      <w:r>
        <w:rPr>
          <w:rFonts w:ascii="AdvOT1ef757c0" w:hAnsi="AdvOT1ef757c0" w:cs="AdvOT1ef757c0"/>
          <w:color w:val="000000"/>
          <w:sz w:val="21"/>
          <w:szCs w:val="21"/>
        </w:rPr>
        <w:t>The intention here is not to provoke a sense of anxiety, but rather, practitioners who traditionally and worthily garner their resources and attention exclusively towards the children that they work with, need also to attune to peripheral social processes that, to varying extents, construct the vision and prototype for the new professionally regulated social care practice. Perhaps this is most important, because inevitably, professionalisation will have complex consequences for children in practice (</w:t>
      </w:r>
      <w:proofErr w:type="spellStart"/>
      <w:r>
        <w:rPr>
          <w:rFonts w:ascii="AdvOT1ef757c0" w:hAnsi="AdvOT1ef757c0" w:cs="AdvOT1ef757c0"/>
          <w:color w:val="000000"/>
          <w:sz w:val="21"/>
          <w:szCs w:val="21"/>
        </w:rPr>
        <w:t>Lalor</w:t>
      </w:r>
      <w:proofErr w:type="spellEnd"/>
      <w:r>
        <w:rPr>
          <w:rFonts w:ascii="AdvOT1ef757c0" w:hAnsi="AdvOT1ef757c0" w:cs="AdvOT1ef757c0"/>
          <w:color w:val="000000"/>
          <w:sz w:val="21"/>
          <w:szCs w:val="21"/>
        </w:rPr>
        <w:t xml:space="preserve"> &amp; Share, </w:t>
      </w:r>
      <w:r w:rsidRPr="003647E0">
        <w:rPr>
          <w:rFonts w:ascii="AdvOT1ef757c0" w:hAnsi="AdvOT1ef757c0" w:cs="AdvOT1ef757c0"/>
          <w:color w:val="000000"/>
          <w:sz w:val="21"/>
          <w:szCs w:val="21"/>
        </w:rPr>
        <w:t>2013</w:t>
      </w:r>
      <w:r>
        <w:rPr>
          <w:rFonts w:ascii="AdvOT1ef757c0" w:hAnsi="AdvOT1ef757c0" w:cs="AdvOT1ef757c0"/>
          <w:color w:val="000000"/>
          <w:sz w:val="21"/>
          <w:szCs w:val="21"/>
        </w:rPr>
        <w:t>). Overall, the social constructionist notion that knowledge is sustained by social processes has been the focus of this section. The implications of this for professionalisation, highlighted already, includes that social processes can both impose experiences of powerlessness, and of accountability, upon practitioners. In the context of drives towards EIP and EBP within professionalisation of social care practice with children in Ireland, using evidence to support decision-making may be one way for practitioners to retain a sense of power in their practice.</w:t>
      </w:r>
    </w:p>
    <w:p w:rsidR="003647E0" w:rsidRDefault="003647E0" w:rsidP="00183E0D">
      <w:pPr>
        <w:autoSpaceDE w:val="0"/>
        <w:autoSpaceDN w:val="0"/>
        <w:adjustRightInd w:val="0"/>
        <w:spacing w:after="0" w:line="240" w:lineRule="auto"/>
        <w:jc w:val="both"/>
        <w:rPr>
          <w:rFonts w:ascii="AdvOT1ef757c0" w:hAnsi="AdvOT1ef757c0" w:cs="AdvOT1ef757c0"/>
          <w:color w:val="000000"/>
          <w:sz w:val="21"/>
          <w:szCs w:val="21"/>
        </w:rPr>
      </w:pPr>
    </w:p>
    <w:p w:rsidR="003647E0" w:rsidRPr="003647E0" w:rsidRDefault="003647E0" w:rsidP="003647E0">
      <w:pPr>
        <w:autoSpaceDE w:val="0"/>
        <w:autoSpaceDN w:val="0"/>
        <w:adjustRightInd w:val="0"/>
        <w:spacing w:after="0" w:line="240" w:lineRule="auto"/>
        <w:jc w:val="both"/>
        <w:rPr>
          <w:rFonts w:ascii="AdvOT1ef757c0" w:hAnsi="AdvOT1ef757c0" w:cs="AdvOT1ef757c0"/>
          <w:b/>
          <w:color w:val="000000"/>
          <w:sz w:val="21"/>
          <w:szCs w:val="21"/>
        </w:rPr>
      </w:pPr>
      <w:r w:rsidRPr="003647E0">
        <w:rPr>
          <w:rFonts w:ascii="AdvOT1ef757c0" w:hAnsi="AdvOT1ef757c0" w:cs="AdvOT1ef757c0"/>
          <w:b/>
          <w:color w:val="000000"/>
          <w:sz w:val="21"/>
          <w:szCs w:val="21"/>
        </w:rPr>
        <w:t>Knowledge and social action go together</w:t>
      </w:r>
    </w:p>
    <w:p w:rsidR="003647E0" w:rsidRPr="003647E0" w:rsidRDefault="003647E0" w:rsidP="003647E0">
      <w:pPr>
        <w:autoSpaceDE w:val="0"/>
        <w:autoSpaceDN w:val="0"/>
        <w:adjustRightInd w:val="0"/>
        <w:spacing w:after="0" w:line="240" w:lineRule="auto"/>
        <w:jc w:val="both"/>
        <w:rPr>
          <w:rFonts w:ascii="AdvOT1ef757c0" w:hAnsi="AdvOT1ef757c0" w:cs="AdvOT1ef757c0"/>
          <w:color w:val="000000"/>
          <w:sz w:val="21"/>
          <w:szCs w:val="21"/>
        </w:rPr>
      </w:pPr>
    </w:p>
    <w:p w:rsidR="003647E0" w:rsidRDefault="003647E0" w:rsidP="004912F4">
      <w:pPr>
        <w:autoSpaceDE w:val="0"/>
        <w:autoSpaceDN w:val="0"/>
        <w:adjustRightInd w:val="0"/>
        <w:spacing w:after="0" w:line="240" w:lineRule="auto"/>
        <w:jc w:val="both"/>
        <w:rPr>
          <w:rFonts w:ascii="AdvOT1ef757c0" w:hAnsi="AdvOT1ef757c0" w:cs="AdvOT1ef757c0"/>
          <w:color w:val="000000"/>
          <w:sz w:val="21"/>
          <w:szCs w:val="21"/>
        </w:rPr>
      </w:pPr>
      <w:r w:rsidRPr="003647E0">
        <w:rPr>
          <w:rFonts w:ascii="AdvOT1ef757c0" w:hAnsi="AdvOT1ef757c0" w:cs="AdvOT1ef757c0"/>
          <w:color w:val="000000"/>
          <w:sz w:val="21"/>
          <w:szCs w:val="21"/>
        </w:rPr>
        <w:t>Notwithstanding Power and Darcy (2017) observations about the contradictory position</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of</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practitioners assuming accountability without power of input into professionalisation, a</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social</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constructionist perspective should also provoke new confidence in practitioners</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that, at the very least,</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the direction of professionalisation, or the role of EIP and EBP</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within this, is not inevitable. In this</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respect, Burr (2015) states that social processes</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(such as professionalisation) “can produce a variety</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of possible versions of events.” As</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it stands for the social professions, numerous authors articulate</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disconnection between</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all or some of the triad of evidence, policy and practice (Aarons &amp; Sommerfeld,</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2012;</w:t>
      </w:r>
      <w:r>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 xml:space="preserve">Eccles, Grimshaw, Walker, Johnston, &amp; Pitts, 2005; </w:t>
      </w:r>
      <w:proofErr w:type="spellStart"/>
      <w:r w:rsidRPr="003647E0">
        <w:rPr>
          <w:rFonts w:ascii="AdvOT1ef757c0" w:hAnsi="AdvOT1ef757c0" w:cs="AdvOT1ef757c0"/>
          <w:color w:val="000000"/>
          <w:sz w:val="21"/>
          <w:szCs w:val="21"/>
        </w:rPr>
        <w:t>Locock</w:t>
      </w:r>
      <w:proofErr w:type="spellEnd"/>
      <w:r w:rsidRPr="003647E0">
        <w:rPr>
          <w:rFonts w:ascii="AdvOT1ef757c0" w:hAnsi="AdvOT1ef757c0" w:cs="AdvOT1ef757c0"/>
          <w:color w:val="000000"/>
          <w:sz w:val="21"/>
          <w:szCs w:val="21"/>
        </w:rPr>
        <w:t xml:space="preserve"> &amp; Boaz, 2004).</w:t>
      </w:r>
      <w:r w:rsidR="004912F4">
        <w:rPr>
          <w:rFonts w:ascii="AdvOT1ef757c0" w:hAnsi="AdvOT1ef757c0" w:cs="AdvOT1ef757c0"/>
          <w:color w:val="000000"/>
          <w:sz w:val="21"/>
          <w:szCs w:val="21"/>
        </w:rPr>
        <w:t xml:space="preserve"> </w:t>
      </w:r>
      <w:r w:rsidRPr="003647E0">
        <w:rPr>
          <w:rFonts w:ascii="AdvOT1ef757c0" w:hAnsi="AdvOT1ef757c0" w:cs="AdvOT1ef757c0"/>
          <w:color w:val="000000"/>
          <w:sz w:val="21"/>
          <w:szCs w:val="21"/>
        </w:rPr>
        <w:t>Additionally,</w:t>
      </w:r>
      <w:r w:rsidR="004912F4">
        <w:rPr>
          <w:rFonts w:ascii="AdvOT1ef757c0" w:hAnsi="AdvOT1ef757c0" w:cs="AdvOT1ef757c0"/>
          <w:color w:val="000000"/>
          <w:sz w:val="21"/>
          <w:szCs w:val="21"/>
        </w:rPr>
        <w:t xml:space="preserve"> some authors identify a forced connection that denies their di</w:t>
      </w:r>
      <w:r w:rsidR="004912F4">
        <w:rPr>
          <w:rFonts w:ascii="AdvOT1ef757c0+fb" w:hAnsi="AdvOT1ef757c0+fb" w:cs="AdvOT1ef757c0+fb"/>
          <w:color w:val="000000"/>
          <w:sz w:val="21"/>
          <w:szCs w:val="21"/>
        </w:rPr>
        <w:t>ff</w:t>
      </w:r>
      <w:r w:rsidR="004912F4">
        <w:rPr>
          <w:rFonts w:ascii="AdvOT1ef757c0" w:hAnsi="AdvOT1ef757c0" w:cs="AdvOT1ef757c0"/>
          <w:color w:val="000000"/>
          <w:sz w:val="21"/>
          <w:szCs w:val="21"/>
        </w:rPr>
        <w:t xml:space="preserve">ering traditions (Glasby, </w:t>
      </w:r>
      <w:r w:rsidR="004912F4">
        <w:rPr>
          <w:rFonts w:ascii="AdvOT1ef757c0" w:hAnsi="AdvOT1ef757c0" w:cs="AdvOT1ef757c0"/>
          <w:color w:val="000085"/>
          <w:sz w:val="21"/>
          <w:szCs w:val="21"/>
        </w:rPr>
        <w:t>2011</w:t>
      </w:r>
      <w:r w:rsidR="004912F4">
        <w:rPr>
          <w:rFonts w:ascii="AdvOT1ef757c0" w:hAnsi="AdvOT1ef757c0" w:cs="AdvOT1ef757c0"/>
          <w:color w:val="000000"/>
          <w:sz w:val="21"/>
          <w:szCs w:val="21"/>
        </w:rPr>
        <w:t xml:space="preserve">; </w:t>
      </w:r>
      <w:proofErr w:type="spellStart"/>
      <w:r w:rsidR="004912F4">
        <w:rPr>
          <w:rFonts w:ascii="AdvOT1ef757c0" w:hAnsi="AdvOT1ef757c0" w:cs="AdvOT1ef757c0"/>
          <w:color w:val="000000"/>
          <w:sz w:val="21"/>
          <w:szCs w:val="21"/>
        </w:rPr>
        <w:t>Locock</w:t>
      </w:r>
      <w:proofErr w:type="spellEnd"/>
      <w:r w:rsidR="004912F4">
        <w:rPr>
          <w:rFonts w:ascii="AdvOT1ef757c0" w:hAnsi="AdvOT1ef757c0" w:cs="AdvOT1ef757c0"/>
          <w:color w:val="000000"/>
          <w:sz w:val="21"/>
          <w:szCs w:val="21"/>
        </w:rPr>
        <w:t xml:space="preserve"> &amp; Boaz, </w:t>
      </w:r>
      <w:r w:rsidR="004912F4">
        <w:rPr>
          <w:rFonts w:ascii="AdvOT1ef757c0" w:hAnsi="AdvOT1ef757c0" w:cs="AdvOT1ef757c0"/>
          <w:color w:val="000085"/>
          <w:sz w:val="21"/>
          <w:szCs w:val="21"/>
        </w:rPr>
        <w:t>2004</w:t>
      </w:r>
      <w:r w:rsidR="004912F4">
        <w:rPr>
          <w:rFonts w:ascii="AdvOT1ef757c0" w:hAnsi="AdvOT1ef757c0" w:cs="AdvOT1ef757c0"/>
          <w:color w:val="000000"/>
          <w:sz w:val="21"/>
          <w:szCs w:val="21"/>
        </w:rPr>
        <w:t>). Against this backdrop, practitioners will likely encounter conditions of resistance in seeking to make change happen beyond the direct practice realm with children (to in</w:t>
      </w:r>
      <w:r w:rsidR="004912F4">
        <w:rPr>
          <w:rFonts w:ascii="AdvOT1ef757c0+fb" w:hAnsi="AdvOT1ef757c0+fb" w:cs="AdvOT1ef757c0+fb"/>
          <w:color w:val="000000"/>
          <w:sz w:val="21"/>
          <w:szCs w:val="21"/>
        </w:rPr>
        <w:t>fl</w:t>
      </w:r>
      <w:r w:rsidR="004912F4">
        <w:rPr>
          <w:rFonts w:ascii="AdvOT1ef757c0" w:hAnsi="AdvOT1ef757c0" w:cs="AdvOT1ef757c0"/>
          <w:color w:val="000000"/>
          <w:sz w:val="21"/>
          <w:szCs w:val="21"/>
        </w:rPr>
        <w:t>uence evidence or policy domains). Nevertheless, drawing on a social constructionist perspective, it is evident that ultimately change is possible and may, more speci</w:t>
      </w:r>
      <w:r w:rsidR="004912F4">
        <w:rPr>
          <w:rFonts w:ascii="AdvOT1ef757c0+fb" w:hAnsi="AdvOT1ef757c0+fb" w:cs="AdvOT1ef757c0+fb"/>
          <w:color w:val="000000"/>
          <w:sz w:val="21"/>
          <w:szCs w:val="21"/>
        </w:rPr>
        <w:t>fi</w:t>
      </w:r>
      <w:r w:rsidR="004912F4">
        <w:rPr>
          <w:rFonts w:ascii="AdvOT1ef757c0" w:hAnsi="AdvOT1ef757c0" w:cs="AdvOT1ef757c0"/>
          <w:color w:val="000000"/>
          <w:sz w:val="21"/>
          <w:szCs w:val="21"/>
        </w:rPr>
        <w:t>cally, be constructively a</w:t>
      </w:r>
      <w:r w:rsidR="004912F4">
        <w:rPr>
          <w:rFonts w:ascii="AdvOT1ef757c0+fb" w:hAnsi="AdvOT1ef757c0+fb" w:cs="AdvOT1ef757c0+fb"/>
          <w:color w:val="000000"/>
          <w:sz w:val="21"/>
          <w:szCs w:val="21"/>
        </w:rPr>
        <w:t>ff</w:t>
      </w:r>
      <w:r w:rsidR="004912F4">
        <w:rPr>
          <w:rFonts w:ascii="AdvOT1ef757c0" w:hAnsi="AdvOT1ef757c0" w:cs="AdvOT1ef757c0"/>
          <w:color w:val="000000"/>
          <w:sz w:val="21"/>
          <w:szCs w:val="21"/>
        </w:rPr>
        <w:t xml:space="preserve">ected by practitioners </w:t>
      </w:r>
      <w:r w:rsidR="004912F4">
        <w:rPr>
          <w:rFonts w:ascii="AdvOT1ef757c0" w:hAnsi="AdvOT1ef757c0" w:cs="AdvOT1ef757c0"/>
          <w:color w:val="000000"/>
          <w:sz w:val="21"/>
          <w:szCs w:val="21"/>
        </w:rPr>
        <w:lastRenderedPageBreak/>
        <w:t>through social processes (such as advocacy). The overall implication of this for professionalisation is that ultimately, practitioners should feel encouraged to intervene into changes underway, as through lobbying, advocacy, or other social actions, progressive steps can be taken. In this context, increased pressure for EIP and EBP in social care practice with children is one change that practitioners may believe requires intervention.</w:t>
      </w:r>
    </w:p>
    <w:p w:rsidR="00016707" w:rsidRDefault="00016707" w:rsidP="004912F4">
      <w:pPr>
        <w:autoSpaceDE w:val="0"/>
        <w:autoSpaceDN w:val="0"/>
        <w:adjustRightInd w:val="0"/>
        <w:spacing w:after="0" w:line="240" w:lineRule="auto"/>
        <w:jc w:val="both"/>
        <w:rPr>
          <w:rFonts w:ascii="AdvOT1ef757c0" w:hAnsi="AdvOT1ef757c0" w:cs="AdvOT1ef757c0"/>
          <w:color w:val="000000"/>
          <w:sz w:val="21"/>
          <w:szCs w:val="21"/>
        </w:rPr>
      </w:pPr>
    </w:p>
    <w:p w:rsidR="00016707" w:rsidRDefault="00016707" w:rsidP="004912F4">
      <w:pPr>
        <w:autoSpaceDE w:val="0"/>
        <w:autoSpaceDN w:val="0"/>
        <w:adjustRightInd w:val="0"/>
        <w:spacing w:after="0" w:line="240" w:lineRule="auto"/>
        <w:jc w:val="both"/>
        <w:rPr>
          <w:rFonts w:ascii="AdvOTd0125be5.BI" w:hAnsi="AdvOTd0125be5.BI" w:cs="AdvOTd0125be5.BI"/>
          <w:b/>
          <w:sz w:val="21"/>
          <w:szCs w:val="21"/>
        </w:rPr>
      </w:pPr>
      <w:r w:rsidRPr="00016707">
        <w:rPr>
          <w:rFonts w:ascii="AdvOTd0125be5.BI" w:hAnsi="AdvOTd0125be5.BI" w:cs="AdvOTd0125be5.BI"/>
          <w:b/>
          <w:sz w:val="21"/>
          <w:szCs w:val="21"/>
        </w:rPr>
        <w:t>Critical stance towards taken for granted knowledge</w:t>
      </w:r>
    </w:p>
    <w:p w:rsidR="002776A0" w:rsidRDefault="002776A0" w:rsidP="004912F4">
      <w:pPr>
        <w:autoSpaceDE w:val="0"/>
        <w:autoSpaceDN w:val="0"/>
        <w:adjustRightInd w:val="0"/>
        <w:spacing w:after="0" w:line="240" w:lineRule="auto"/>
        <w:jc w:val="both"/>
        <w:rPr>
          <w:rFonts w:ascii="AdvOTd0125be5.BI" w:hAnsi="AdvOTd0125be5.BI" w:cs="AdvOTd0125be5.BI"/>
          <w:b/>
          <w:sz w:val="21"/>
          <w:szCs w:val="21"/>
        </w:rPr>
      </w:pPr>
    </w:p>
    <w:p w:rsidR="002776A0" w:rsidRDefault="002776A0" w:rsidP="002776A0">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color w:val="000000"/>
          <w:sz w:val="21"/>
          <w:szCs w:val="21"/>
        </w:rPr>
        <w:t xml:space="preserve">To make change happen, a </w:t>
      </w:r>
      <w:r>
        <w:rPr>
          <w:rFonts w:ascii="AdvOT1ef757c0+fb" w:hAnsi="AdvOT1ef757c0+fb" w:cs="AdvOT1ef757c0+fb"/>
          <w:color w:val="000000"/>
          <w:sz w:val="21"/>
          <w:szCs w:val="21"/>
        </w:rPr>
        <w:t>fi</w:t>
      </w:r>
      <w:r>
        <w:rPr>
          <w:rFonts w:ascii="AdvOT1ef757c0" w:hAnsi="AdvOT1ef757c0" w:cs="AdvOT1ef757c0"/>
          <w:color w:val="000000"/>
          <w:sz w:val="21"/>
          <w:szCs w:val="21"/>
        </w:rPr>
        <w:t>nal insight from social constructionism may aid practitioners</w:t>
      </w:r>
      <w:r>
        <w:rPr>
          <w:rFonts w:ascii="AdvOT1ef757c0" w:hAnsi="AdvOT1ef757c0" w:cs="AdvOT1ef757c0"/>
          <w:color w:val="000000"/>
          <w:sz w:val="21"/>
          <w:szCs w:val="21"/>
        </w:rPr>
        <w:t xml:space="preserve"> </w:t>
      </w:r>
      <w:r>
        <w:rPr>
          <w:rFonts w:ascii="AdvOT1ef757c0" w:hAnsi="AdvOT1ef757c0" w:cs="AdvOT1ef757c0"/>
          <w:color w:val="000000"/>
          <w:sz w:val="21"/>
          <w:szCs w:val="21"/>
        </w:rPr>
        <w:t>to</w:t>
      </w:r>
      <w:r>
        <w:rPr>
          <w:rFonts w:ascii="AdvOT1ef757c0" w:hAnsi="AdvOT1ef757c0" w:cs="AdvOT1ef757c0"/>
          <w:color w:val="000000"/>
          <w:sz w:val="21"/>
          <w:szCs w:val="21"/>
        </w:rPr>
        <w:t xml:space="preserve"> </w:t>
      </w:r>
      <w:r>
        <w:rPr>
          <w:rFonts w:ascii="AdvOT1ef757c0" w:hAnsi="AdvOT1ef757c0" w:cs="AdvOT1ef757c0"/>
          <w:color w:val="000000"/>
          <w:sz w:val="21"/>
          <w:szCs w:val="21"/>
        </w:rPr>
        <w:t>negotiate the complexity outlined in this review. Speci</w:t>
      </w:r>
      <w:r>
        <w:rPr>
          <w:rFonts w:ascii="AdvOT1ef757c0+fb" w:hAnsi="AdvOT1ef757c0+fb" w:cs="AdvOT1ef757c0+fb"/>
          <w:color w:val="000000"/>
          <w:sz w:val="21"/>
          <w:szCs w:val="21"/>
        </w:rPr>
        <w:t>fi</w:t>
      </w:r>
      <w:r>
        <w:rPr>
          <w:rFonts w:ascii="AdvOT1ef757c0" w:hAnsi="AdvOT1ef757c0" w:cs="AdvOT1ef757c0"/>
          <w:color w:val="000000"/>
          <w:sz w:val="21"/>
          <w:szCs w:val="21"/>
        </w:rPr>
        <w:t>cally, practitioners should seek</w:t>
      </w:r>
      <w:r>
        <w:rPr>
          <w:rFonts w:ascii="AdvOT1ef757c0" w:hAnsi="AdvOT1ef757c0" w:cs="AdvOT1ef757c0"/>
          <w:color w:val="000000"/>
          <w:sz w:val="21"/>
          <w:szCs w:val="21"/>
        </w:rPr>
        <w:t xml:space="preserve"> </w:t>
      </w:r>
      <w:r>
        <w:rPr>
          <w:rFonts w:ascii="AdvOT1ef757c0" w:hAnsi="AdvOT1ef757c0" w:cs="AdvOT1ef757c0"/>
          <w:color w:val="000000"/>
          <w:sz w:val="21"/>
          <w:szCs w:val="21"/>
        </w:rPr>
        <w:t>to adopt a</w:t>
      </w:r>
      <w:r>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critical stance taken for granted knowledge (Burr, </w:t>
      </w:r>
      <w:r>
        <w:rPr>
          <w:rFonts w:ascii="AdvOT1ef757c0" w:hAnsi="AdvOT1ef757c0" w:cs="AdvOT1ef757c0"/>
          <w:color w:val="000085"/>
          <w:sz w:val="21"/>
          <w:szCs w:val="21"/>
        </w:rPr>
        <w:t>2015</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Gergin</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1985</w:t>
      </w:r>
      <w:r>
        <w:rPr>
          <w:rFonts w:ascii="AdvOT1ef757c0" w:hAnsi="AdvOT1ef757c0" w:cs="AdvOT1ef757c0"/>
          <w:color w:val="000000"/>
          <w:sz w:val="21"/>
          <w:szCs w:val="21"/>
        </w:rPr>
        <w:t>). Whilst</w:t>
      </w:r>
      <w:r>
        <w:rPr>
          <w:rFonts w:ascii="AdvOT1ef757c0" w:hAnsi="AdvOT1ef757c0" w:cs="AdvOT1ef757c0"/>
          <w:color w:val="000000"/>
          <w:sz w:val="21"/>
          <w:szCs w:val="21"/>
        </w:rPr>
        <w:t xml:space="preserve"> </w:t>
      </w:r>
      <w:r>
        <w:rPr>
          <w:rFonts w:ascii="AdvOT1ef757c0" w:hAnsi="AdvOT1ef757c0" w:cs="AdvOT1ef757c0"/>
          <w:color w:val="000000"/>
          <w:sz w:val="21"/>
          <w:szCs w:val="21"/>
        </w:rPr>
        <w:t>within EBP, the</w:t>
      </w:r>
      <w:r>
        <w:rPr>
          <w:rFonts w:ascii="AdvOT1ef757c0" w:hAnsi="AdvOT1ef757c0" w:cs="AdvOT1ef757c0"/>
          <w:color w:val="000000"/>
          <w:sz w:val="21"/>
          <w:szCs w:val="21"/>
        </w:rPr>
        <w:t xml:space="preserve"> </w:t>
      </w:r>
      <w:r>
        <w:rPr>
          <w:rFonts w:ascii="AdvOT1ef757c0" w:hAnsi="AdvOT1ef757c0" w:cs="AdvOT1ef757c0"/>
          <w:color w:val="000000"/>
          <w:sz w:val="21"/>
          <w:szCs w:val="21"/>
        </w:rPr>
        <w:t>hierarchy of social scienti</w:t>
      </w:r>
      <w:r>
        <w:rPr>
          <w:rFonts w:ascii="AdvOT1ef757c0+fb" w:hAnsi="AdvOT1ef757c0+fb" w:cs="AdvOT1ef757c0+fb"/>
          <w:color w:val="000000"/>
          <w:sz w:val="21"/>
          <w:szCs w:val="21"/>
        </w:rPr>
        <w:t>fi</w:t>
      </w:r>
      <w:r>
        <w:rPr>
          <w:rFonts w:ascii="AdvOT1ef757c0" w:hAnsi="AdvOT1ef757c0" w:cs="AdvOT1ef757c0"/>
          <w:color w:val="000000"/>
          <w:sz w:val="21"/>
          <w:szCs w:val="21"/>
        </w:rPr>
        <w:t>c knowledge situates meta-analysis and randomised</w:t>
      </w:r>
      <w:r>
        <w:rPr>
          <w:rFonts w:ascii="AdvOT1ef757c0" w:hAnsi="AdvOT1ef757c0" w:cs="AdvOT1ef757c0"/>
          <w:color w:val="000000"/>
          <w:sz w:val="21"/>
          <w:szCs w:val="21"/>
        </w:rPr>
        <w:t xml:space="preserve"> </w:t>
      </w:r>
      <w:r>
        <w:rPr>
          <w:rFonts w:ascii="AdvOT1ef757c0" w:hAnsi="AdvOT1ef757c0" w:cs="AdvOT1ef757c0"/>
          <w:color w:val="000000"/>
          <w:sz w:val="21"/>
          <w:szCs w:val="21"/>
        </w:rPr>
        <w:t>control trials (RCT)</w:t>
      </w:r>
      <w:r>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at the top (Glasby, </w:t>
      </w:r>
      <w:r>
        <w:rPr>
          <w:rFonts w:ascii="AdvOT1ef757c0" w:hAnsi="AdvOT1ef757c0" w:cs="AdvOT1ef757c0"/>
          <w:color w:val="000085"/>
          <w:sz w:val="21"/>
          <w:szCs w:val="21"/>
        </w:rPr>
        <w:t>2011</w:t>
      </w:r>
      <w:r>
        <w:rPr>
          <w:rFonts w:ascii="AdvOT1ef757c0" w:hAnsi="AdvOT1ef757c0" w:cs="AdvOT1ef757c0"/>
          <w:color w:val="000000"/>
          <w:sz w:val="21"/>
          <w:szCs w:val="21"/>
        </w:rPr>
        <w:t>), as noted there are many</w:t>
      </w:r>
      <w:r>
        <w:rPr>
          <w:rFonts w:ascii="AdvOT1ef757c0" w:hAnsi="AdvOT1ef757c0" w:cs="AdvOT1ef757c0"/>
          <w:color w:val="000000"/>
          <w:sz w:val="21"/>
          <w:szCs w:val="21"/>
        </w:rPr>
        <w:t xml:space="preserve"> </w:t>
      </w:r>
      <w:r>
        <w:rPr>
          <w:rFonts w:ascii="AdvOT1ef757c0" w:hAnsi="AdvOT1ef757c0" w:cs="AdvOT1ef757c0"/>
          <w:color w:val="000000"/>
          <w:sz w:val="21"/>
          <w:szCs w:val="21"/>
        </w:rPr>
        <w:t>avenues for knowledge acquisition for social care</w:t>
      </w:r>
      <w:r>
        <w:rPr>
          <w:rFonts w:ascii="AdvOT1ef757c0" w:hAnsi="AdvOT1ef757c0" w:cs="AdvOT1ef757c0"/>
          <w:color w:val="000000"/>
          <w:sz w:val="21"/>
          <w:szCs w:val="21"/>
        </w:rPr>
        <w:t xml:space="preserve"> </w:t>
      </w:r>
      <w:r>
        <w:rPr>
          <w:rFonts w:ascii="AdvOT1ef757c0" w:hAnsi="AdvOT1ef757c0" w:cs="AdvOT1ef757c0"/>
          <w:color w:val="000000"/>
          <w:sz w:val="21"/>
          <w:szCs w:val="21"/>
        </w:rPr>
        <w:t>practitioners such as that derived</w:t>
      </w:r>
      <w:r>
        <w:rPr>
          <w:rFonts w:ascii="AdvOT1ef757c0" w:hAnsi="AdvOT1ef757c0" w:cs="AdvOT1ef757c0"/>
          <w:color w:val="000000"/>
          <w:sz w:val="21"/>
          <w:szCs w:val="21"/>
        </w:rPr>
        <w:t xml:space="preserve"> </w:t>
      </w:r>
      <w:r>
        <w:rPr>
          <w:rFonts w:ascii="AdvOT1ef757c0" w:hAnsi="AdvOT1ef757c0" w:cs="AdvOT1ef757c0"/>
          <w:color w:val="000000"/>
          <w:sz w:val="21"/>
          <w:szCs w:val="21"/>
        </w:rPr>
        <w:t>from the children they work with (</w:t>
      </w:r>
      <w:proofErr w:type="spellStart"/>
      <w:r>
        <w:rPr>
          <w:rFonts w:ascii="AdvOT1ef757c0" w:hAnsi="AdvOT1ef757c0" w:cs="AdvOT1ef757c0"/>
          <w:color w:val="000000"/>
          <w:sz w:val="21"/>
          <w:szCs w:val="21"/>
        </w:rPr>
        <w:t>Farrelly</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2013</w:t>
      </w:r>
      <w:r>
        <w:rPr>
          <w:rFonts w:ascii="AdvOT1ef757c0" w:hAnsi="AdvOT1ef757c0" w:cs="AdvOT1ef757c0"/>
          <w:color w:val="000000"/>
          <w:sz w:val="21"/>
          <w:szCs w:val="21"/>
        </w:rPr>
        <w:t>; Long et al.,</w:t>
      </w:r>
      <w:r>
        <w:rPr>
          <w:rFonts w:ascii="AdvOT1ef757c0" w:hAnsi="AdvOT1ef757c0" w:cs="AdvOT1ef757c0"/>
          <w:color w:val="000000"/>
          <w:sz w:val="21"/>
          <w:szCs w:val="21"/>
        </w:rPr>
        <w:t xml:space="preserve"> </w:t>
      </w:r>
      <w:r>
        <w:rPr>
          <w:rFonts w:ascii="AdvOT1ef757c0" w:hAnsi="AdvOT1ef757c0" w:cs="AdvOT1ef757c0"/>
          <w:color w:val="000085"/>
          <w:sz w:val="21"/>
          <w:szCs w:val="21"/>
        </w:rPr>
        <w:t>2006</w:t>
      </w:r>
      <w:r>
        <w:rPr>
          <w:rFonts w:ascii="AdvOT1ef757c0" w:hAnsi="AdvOT1ef757c0" w:cs="AdvOT1ef757c0"/>
          <w:color w:val="000000"/>
          <w:sz w:val="21"/>
          <w:szCs w:val="21"/>
        </w:rPr>
        <w:t>; Pawson et al.,</w:t>
      </w:r>
      <w:r>
        <w:rPr>
          <w:rFonts w:ascii="AdvOT1ef757c0" w:hAnsi="AdvOT1ef757c0" w:cs="AdvOT1ef757c0"/>
          <w:color w:val="000000"/>
          <w:sz w:val="21"/>
          <w:szCs w:val="21"/>
        </w:rPr>
        <w:t xml:space="preserve"> </w:t>
      </w:r>
      <w:r>
        <w:rPr>
          <w:rFonts w:ascii="AdvOT1ef757c0" w:hAnsi="AdvOT1ef757c0" w:cs="AdvOT1ef757c0"/>
          <w:color w:val="000085"/>
          <w:sz w:val="21"/>
          <w:szCs w:val="21"/>
        </w:rPr>
        <w:t>2003</w:t>
      </w:r>
      <w:r>
        <w:rPr>
          <w:rFonts w:ascii="AdvOT1ef757c0" w:hAnsi="AdvOT1ef757c0" w:cs="AdvOT1ef757c0"/>
          <w:color w:val="000000"/>
          <w:sz w:val="21"/>
          <w:szCs w:val="21"/>
        </w:rPr>
        <w:t>). Standardisation, formalisation and increased expectations around</w:t>
      </w:r>
      <w:r>
        <w:rPr>
          <w:rFonts w:ascii="AdvOT1ef757c0" w:hAnsi="AdvOT1ef757c0" w:cs="AdvOT1ef757c0"/>
          <w:color w:val="000000"/>
          <w:sz w:val="21"/>
          <w:szCs w:val="21"/>
        </w:rPr>
        <w:t xml:space="preserve"> </w:t>
      </w:r>
      <w:r>
        <w:rPr>
          <w:rFonts w:ascii="AdvOT1ef757c0" w:hAnsi="AdvOT1ef757c0" w:cs="AdvOT1ef757c0"/>
          <w:color w:val="000000"/>
          <w:sz w:val="21"/>
          <w:szCs w:val="21"/>
        </w:rPr>
        <w:t>evidencing professional</w:t>
      </w:r>
      <w:r>
        <w:rPr>
          <w:rFonts w:ascii="AdvOT1ef757c0" w:hAnsi="AdvOT1ef757c0" w:cs="AdvOT1ef757c0"/>
          <w:color w:val="000000"/>
          <w:sz w:val="21"/>
          <w:szCs w:val="21"/>
        </w:rPr>
        <w:t xml:space="preserve"> </w:t>
      </w:r>
      <w:r>
        <w:rPr>
          <w:rFonts w:ascii="AdvOT1ef757c0" w:hAnsi="AdvOT1ef757c0" w:cs="AdvOT1ef757c0"/>
          <w:color w:val="000000"/>
          <w:sz w:val="21"/>
          <w:szCs w:val="21"/>
        </w:rPr>
        <w:t>knowledge lie ahead of Irish practitioners undergoing professionalisation</w:t>
      </w:r>
      <w:r>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(CORU, </w:t>
      </w:r>
      <w:r>
        <w:rPr>
          <w:rFonts w:ascii="AdvOT1ef757c0" w:hAnsi="AdvOT1ef757c0" w:cs="AdvOT1ef757c0"/>
          <w:color w:val="000085"/>
          <w:sz w:val="21"/>
          <w:szCs w:val="21"/>
        </w:rPr>
        <w:t>2017b</w:t>
      </w:r>
      <w:r>
        <w:rPr>
          <w:rFonts w:ascii="AdvOT1ef757c0" w:hAnsi="AdvOT1ef757c0" w:cs="AdvOT1ef757c0"/>
          <w:color w:val="000000"/>
          <w:sz w:val="21"/>
          <w:szCs w:val="21"/>
        </w:rPr>
        <w:t>). As it stands, however, a survey of professional learning practices of</w:t>
      </w:r>
      <w:r>
        <w:rPr>
          <w:rFonts w:ascii="AdvOT1ef757c0" w:hAnsi="AdvOT1ef757c0" w:cs="AdvOT1ef757c0"/>
          <w:color w:val="000000"/>
          <w:sz w:val="21"/>
          <w:szCs w:val="21"/>
        </w:rPr>
        <w:t xml:space="preserve"> </w:t>
      </w:r>
      <w:r>
        <w:rPr>
          <w:rFonts w:ascii="AdvOT1ef757c0" w:hAnsi="AdvOT1ef757c0" w:cs="AdvOT1ef757c0"/>
          <w:color w:val="000000"/>
          <w:sz w:val="21"/>
          <w:szCs w:val="21"/>
        </w:rPr>
        <w:t>social care</w:t>
      </w:r>
      <w:r>
        <w:rPr>
          <w:rFonts w:ascii="AdvOT1ef757c0" w:hAnsi="AdvOT1ef757c0" w:cs="AdvOT1ef757c0"/>
          <w:color w:val="000000"/>
          <w:sz w:val="21"/>
          <w:szCs w:val="21"/>
        </w:rPr>
        <w:t xml:space="preserve"> </w:t>
      </w:r>
      <w:r>
        <w:rPr>
          <w:rFonts w:ascii="AdvOT1ef757c0" w:hAnsi="AdvOT1ef757c0" w:cs="AdvOT1ef757c0"/>
          <w:color w:val="000000"/>
          <w:sz w:val="21"/>
          <w:szCs w:val="21"/>
        </w:rPr>
        <w:t>workers in Ireland found only 11% of participants had a professional development</w:t>
      </w:r>
      <w:r>
        <w:rPr>
          <w:rFonts w:ascii="AdvOT1ef757c0" w:hAnsi="AdvOT1ef757c0" w:cs="AdvOT1ef757c0"/>
          <w:color w:val="000000"/>
          <w:sz w:val="21"/>
          <w:szCs w:val="21"/>
        </w:rPr>
        <w:t xml:space="preserve"> </w:t>
      </w:r>
      <w:r>
        <w:rPr>
          <w:rFonts w:ascii="AdvOT1ef757c0" w:hAnsi="AdvOT1ef757c0" w:cs="AdvOT1ef757c0"/>
          <w:color w:val="000000"/>
          <w:sz w:val="21"/>
          <w:szCs w:val="21"/>
        </w:rPr>
        <w:t>plan and</w:t>
      </w:r>
      <w:r>
        <w:rPr>
          <w:rFonts w:ascii="AdvOT1ef757c0" w:hAnsi="AdvOT1ef757c0" w:cs="AdvOT1ef757c0"/>
          <w:color w:val="000000"/>
          <w:sz w:val="21"/>
          <w:szCs w:val="21"/>
        </w:rPr>
        <w:t xml:space="preserve"> </w:t>
      </w:r>
      <w:r>
        <w:rPr>
          <w:rFonts w:ascii="AdvOT1ef757c0" w:hAnsi="AdvOT1ef757c0" w:cs="AdvOT1ef757c0"/>
          <w:color w:val="000000"/>
          <w:sz w:val="21"/>
          <w:szCs w:val="21"/>
        </w:rPr>
        <w:t>knowledge acquisition was ad hoc (Irish Association of Social Care</w:t>
      </w:r>
      <w:r>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Workers, </w:t>
      </w:r>
      <w:r>
        <w:rPr>
          <w:rFonts w:ascii="AdvOT1ef757c0" w:hAnsi="AdvOT1ef757c0" w:cs="AdvOT1ef757c0"/>
          <w:color w:val="000085"/>
          <w:sz w:val="21"/>
          <w:szCs w:val="21"/>
        </w:rPr>
        <w:t>2014</w:t>
      </w:r>
      <w:r>
        <w:rPr>
          <w:rFonts w:ascii="AdvOT1ef757c0" w:hAnsi="AdvOT1ef757c0" w:cs="AdvOT1ef757c0"/>
          <w:color w:val="000000"/>
          <w:sz w:val="21"/>
          <w:szCs w:val="21"/>
        </w:rPr>
        <w:t>). In a climate of</w:t>
      </w:r>
      <w:r>
        <w:rPr>
          <w:rFonts w:ascii="AdvOT1ef757c0" w:hAnsi="AdvOT1ef757c0" w:cs="AdvOT1ef757c0"/>
          <w:color w:val="000000"/>
          <w:sz w:val="21"/>
          <w:szCs w:val="21"/>
        </w:rPr>
        <w:t xml:space="preserve"> </w:t>
      </w:r>
      <w:r>
        <w:rPr>
          <w:rFonts w:ascii="AdvOT1ef757c0" w:hAnsi="AdvOT1ef757c0" w:cs="AdvOT1ef757c0"/>
          <w:color w:val="000000"/>
          <w:sz w:val="21"/>
          <w:szCs w:val="21"/>
        </w:rPr>
        <w:t>change in the nature and form of social care practice</w:t>
      </w:r>
      <w:r>
        <w:rPr>
          <w:rFonts w:ascii="AdvOT1ef757c0" w:hAnsi="AdvOT1ef757c0" w:cs="AdvOT1ef757c0"/>
          <w:color w:val="000000"/>
          <w:sz w:val="21"/>
          <w:szCs w:val="21"/>
        </w:rPr>
        <w:t xml:space="preserve"> </w:t>
      </w:r>
      <w:r>
        <w:rPr>
          <w:rFonts w:ascii="AdvOT1ef757c0" w:hAnsi="AdvOT1ef757c0" w:cs="AdvOT1ef757c0"/>
          <w:color w:val="000000"/>
          <w:sz w:val="21"/>
          <w:szCs w:val="21"/>
        </w:rPr>
        <w:t>with children in Ireland, a critical stance on</w:t>
      </w:r>
      <w:r>
        <w:rPr>
          <w:rFonts w:ascii="AdvOT1ef757c0" w:hAnsi="AdvOT1ef757c0" w:cs="AdvOT1ef757c0"/>
          <w:color w:val="000000"/>
          <w:sz w:val="21"/>
          <w:szCs w:val="21"/>
        </w:rPr>
        <w:t xml:space="preserve"> </w:t>
      </w:r>
      <w:r>
        <w:rPr>
          <w:rFonts w:ascii="AdvOT1ef757c0" w:hAnsi="AdvOT1ef757c0" w:cs="AdvOT1ef757c0"/>
          <w:color w:val="000000"/>
          <w:sz w:val="21"/>
          <w:szCs w:val="21"/>
        </w:rPr>
        <w:t>taken for granted knowledge may aid practitioners</w:t>
      </w:r>
      <w:r>
        <w:rPr>
          <w:rFonts w:ascii="AdvOT1ef757c0" w:hAnsi="AdvOT1ef757c0" w:cs="AdvOT1ef757c0"/>
          <w:color w:val="000000"/>
          <w:sz w:val="21"/>
          <w:szCs w:val="21"/>
        </w:rPr>
        <w:t xml:space="preserve"> </w:t>
      </w:r>
      <w:r>
        <w:rPr>
          <w:rFonts w:ascii="AdvOT1ef757c0" w:hAnsi="AdvOT1ef757c0" w:cs="AdvOT1ef757c0"/>
          <w:color w:val="000000"/>
          <w:sz w:val="21"/>
          <w:szCs w:val="21"/>
        </w:rPr>
        <w:t>in making evaluations about the validity and</w:t>
      </w:r>
      <w:r>
        <w:rPr>
          <w:rFonts w:ascii="AdvOT1ef757c0" w:hAnsi="AdvOT1ef757c0" w:cs="AdvOT1ef757c0"/>
          <w:color w:val="000000"/>
          <w:sz w:val="21"/>
          <w:szCs w:val="21"/>
        </w:rPr>
        <w:t xml:space="preserve"> </w:t>
      </w:r>
      <w:r>
        <w:rPr>
          <w:rFonts w:ascii="AdvOT1ef757c0" w:hAnsi="AdvOT1ef757c0" w:cs="AdvOT1ef757c0"/>
          <w:color w:val="000000"/>
          <w:sz w:val="21"/>
          <w:szCs w:val="21"/>
        </w:rPr>
        <w:t>credibility of knowledge used to</w:t>
      </w:r>
      <w:r>
        <w:rPr>
          <w:rFonts w:ascii="AdvOT1ef757c0" w:hAnsi="AdvOT1ef757c0" w:cs="AdvOT1ef757c0"/>
          <w:color w:val="000000"/>
          <w:sz w:val="21"/>
          <w:szCs w:val="21"/>
        </w:rPr>
        <w:t xml:space="preserve"> </w:t>
      </w:r>
      <w:r>
        <w:rPr>
          <w:rFonts w:ascii="AdvOT1ef757c0" w:hAnsi="AdvOT1ef757c0" w:cs="AdvOT1ef757c0"/>
          <w:color w:val="000000"/>
          <w:sz w:val="21"/>
          <w:szCs w:val="21"/>
        </w:rPr>
        <w:t>inform practice, as requirements for knowledge evolve due to</w:t>
      </w:r>
      <w:r>
        <w:rPr>
          <w:rFonts w:ascii="AdvOT1ef757c0" w:hAnsi="AdvOT1ef757c0" w:cs="AdvOT1ef757c0"/>
          <w:color w:val="000000"/>
          <w:sz w:val="21"/>
          <w:szCs w:val="21"/>
        </w:rPr>
        <w:t xml:space="preserve"> </w:t>
      </w:r>
      <w:r>
        <w:rPr>
          <w:rFonts w:ascii="AdvOT1ef757c0" w:hAnsi="AdvOT1ef757c0" w:cs="AdvOT1ef757c0"/>
          <w:color w:val="000000"/>
          <w:sz w:val="21"/>
          <w:szCs w:val="21"/>
        </w:rPr>
        <w:t>professionalisation (Burr,</w:t>
      </w:r>
      <w:r>
        <w:rPr>
          <w:rFonts w:ascii="AdvOT1ef757c0" w:hAnsi="AdvOT1ef757c0" w:cs="AdvOT1ef757c0"/>
          <w:color w:val="000000"/>
          <w:sz w:val="21"/>
          <w:szCs w:val="21"/>
        </w:rPr>
        <w:t xml:space="preserve"> </w:t>
      </w:r>
      <w:r>
        <w:rPr>
          <w:rFonts w:ascii="AdvOT1ef757c0" w:hAnsi="AdvOT1ef757c0" w:cs="AdvOT1ef757c0"/>
          <w:color w:val="000085"/>
          <w:sz w:val="21"/>
          <w:szCs w:val="21"/>
        </w:rPr>
        <w:t>2015</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Gergin</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1985</w:t>
      </w:r>
      <w:r>
        <w:rPr>
          <w:rFonts w:ascii="AdvOT1ef757c0" w:hAnsi="AdvOT1ef757c0" w:cs="AdvOT1ef757c0"/>
          <w:color w:val="000000"/>
          <w:sz w:val="21"/>
          <w:szCs w:val="21"/>
        </w:rPr>
        <w:t>). The implication, for practitioners, of taking a critical</w:t>
      </w:r>
      <w:r>
        <w:rPr>
          <w:rFonts w:ascii="AdvOT1ef757c0" w:hAnsi="AdvOT1ef757c0" w:cs="AdvOT1ef757c0"/>
          <w:color w:val="000000"/>
          <w:sz w:val="21"/>
          <w:szCs w:val="21"/>
        </w:rPr>
        <w:t xml:space="preserve"> </w:t>
      </w:r>
      <w:r>
        <w:rPr>
          <w:rFonts w:ascii="AdvOT1ef757c0" w:hAnsi="AdvOT1ef757c0" w:cs="AdvOT1ef757c0"/>
          <w:color w:val="000000"/>
          <w:sz w:val="21"/>
          <w:szCs w:val="21"/>
        </w:rPr>
        <w:t>stance</w:t>
      </w:r>
      <w:r>
        <w:rPr>
          <w:rFonts w:ascii="AdvOT1ef757c0" w:hAnsi="AdvOT1ef757c0" w:cs="AdvOT1ef757c0"/>
          <w:color w:val="000000"/>
          <w:sz w:val="21"/>
          <w:szCs w:val="21"/>
        </w:rPr>
        <w:t xml:space="preserve"> </w:t>
      </w:r>
      <w:r>
        <w:rPr>
          <w:rFonts w:ascii="AdvOT1ef757c0" w:hAnsi="AdvOT1ef757c0" w:cs="AdvOT1ef757c0"/>
          <w:color w:val="000000"/>
          <w:sz w:val="21"/>
          <w:szCs w:val="21"/>
        </w:rPr>
        <w:t>towards taken for granted knowledge is related to better preparedness and an enhanced</w:t>
      </w:r>
      <w:r>
        <w:rPr>
          <w:rFonts w:ascii="AdvOT1ef757c0" w:hAnsi="AdvOT1ef757c0" w:cs="AdvOT1ef757c0"/>
          <w:color w:val="000000"/>
          <w:sz w:val="21"/>
          <w:szCs w:val="21"/>
        </w:rPr>
        <w:t xml:space="preserve"> </w:t>
      </w:r>
      <w:r>
        <w:rPr>
          <w:rFonts w:ascii="AdvOT1ef757c0" w:hAnsi="AdvOT1ef757c0" w:cs="AdvOT1ef757c0"/>
          <w:color w:val="000000"/>
          <w:sz w:val="21"/>
          <w:szCs w:val="21"/>
        </w:rPr>
        <w:t>capacity to question important changes underway.</w:t>
      </w:r>
    </w:p>
    <w:p w:rsidR="00D85335" w:rsidRDefault="00D85335" w:rsidP="002776A0">
      <w:pPr>
        <w:autoSpaceDE w:val="0"/>
        <w:autoSpaceDN w:val="0"/>
        <w:adjustRightInd w:val="0"/>
        <w:spacing w:after="0" w:line="240" w:lineRule="auto"/>
        <w:jc w:val="both"/>
        <w:rPr>
          <w:rFonts w:ascii="AdvOT1ef757c0" w:hAnsi="AdvOT1ef757c0" w:cs="AdvOT1ef757c0"/>
          <w:color w:val="000000"/>
          <w:sz w:val="21"/>
          <w:szCs w:val="21"/>
        </w:rPr>
      </w:pPr>
    </w:p>
    <w:p w:rsidR="00D85335" w:rsidRPr="00D85335" w:rsidRDefault="00D85335" w:rsidP="00D85335">
      <w:pPr>
        <w:autoSpaceDE w:val="0"/>
        <w:autoSpaceDN w:val="0"/>
        <w:adjustRightInd w:val="0"/>
        <w:spacing w:after="0" w:line="240" w:lineRule="auto"/>
        <w:rPr>
          <w:rFonts w:ascii="AdvOT3b30f6db.B" w:hAnsi="AdvOT3b30f6db.B" w:cs="AdvOT3b30f6db.B"/>
          <w:b/>
          <w:color w:val="000000"/>
        </w:rPr>
      </w:pPr>
      <w:r w:rsidRPr="00D85335">
        <w:rPr>
          <w:rFonts w:ascii="AdvOT3b30f6db.B" w:hAnsi="AdvOT3b30f6db.B" w:cs="AdvOT3b30f6db.B"/>
          <w:b/>
          <w:color w:val="000000"/>
        </w:rPr>
        <w:t>Conclusion</w:t>
      </w:r>
    </w:p>
    <w:p w:rsidR="00D85335" w:rsidRDefault="00D85335" w:rsidP="00D85335">
      <w:pPr>
        <w:autoSpaceDE w:val="0"/>
        <w:autoSpaceDN w:val="0"/>
        <w:adjustRightInd w:val="0"/>
        <w:spacing w:after="0" w:line="240" w:lineRule="auto"/>
        <w:jc w:val="both"/>
        <w:rPr>
          <w:rFonts w:ascii="AdvOT3b30f6db.B" w:hAnsi="AdvOT3b30f6db.B" w:cs="AdvOT3b30f6db.B"/>
          <w:color w:val="000000"/>
        </w:rPr>
      </w:pPr>
    </w:p>
    <w:p w:rsidR="00D85335" w:rsidRDefault="00D85335" w:rsidP="00D85335">
      <w:pPr>
        <w:autoSpaceDE w:val="0"/>
        <w:autoSpaceDN w:val="0"/>
        <w:adjustRightInd w:val="0"/>
        <w:spacing w:after="0" w:line="240" w:lineRule="auto"/>
        <w:jc w:val="both"/>
        <w:rPr>
          <w:rFonts w:ascii="AdvOT1ef757c0" w:hAnsi="AdvOT1ef757c0" w:cs="AdvOT1ef757c0"/>
          <w:color w:val="000000"/>
          <w:sz w:val="21"/>
          <w:szCs w:val="21"/>
        </w:rPr>
      </w:pPr>
      <w:r>
        <w:rPr>
          <w:rFonts w:ascii="AdvOT1ef757c0" w:hAnsi="AdvOT1ef757c0" w:cs="AdvOT1ef757c0"/>
          <w:color w:val="000000"/>
          <w:sz w:val="21"/>
          <w:szCs w:val="21"/>
        </w:rPr>
        <w:t>Whilst professionalisation of social care practice in Ireland has long been anticipated,</w:t>
      </w:r>
      <w:r>
        <w:rPr>
          <w:rFonts w:ascii="AdvOT1ef757c0" w:hAnsi="AdvOT1ef757c0" w:cs="AdvOT1ef757c0"/>
          <w:color w:val="000000"/>
          <w:sz w:val="21"/>
          <w:szCs w:val="21"/>
        </w:rPr>
        <w:t xml:space="preserve"> </w:t>
      </w:r>
      <w:r>
        <w:rPr>
          <w:rFonts w:ascii="AdvOT1ef757c0" w:hAnsi="AdvOT1ef757c0" w:cs="AdvOT1ef757c0"/>
          <w:color w:val="000000"/>
          <w:sz w:val="21"/>
          <w:szCs w:val="21"/>
        </w:rPr>
        <w:t>encompassing</w:t>
      </w:r>
      <w:r>
        <w:rPr>
          <w:rFonts w:ascii="AdvOT1ef757c0" w:hAnsi="AdvOT1ef757c0" w:cs="AdvOT1ef757c0"/>
          <w:color w:val="000000"/>
          <w:sz w:val="21"/>
          <w:szCs w:val="21"/>
        </w:rPr>
        <w:t xml:space="preserve"> </w:t>
      </w:r>
      <w:r>
        <w:rPr>
          <w:rFonts w:ascii="AdvOT1ef757c0" w:hAnsi="AdvOT1ef757c0" w:cs="AdvOT1ef757c0"/>
          <w:color w:val="000000"/>
          <w:sz w:val="21"/>
          <w:szCs w:val="21"/>
        </w:rPr>
        <w:t>both periods of dormancy and spurts of change (see Gallagher &amp;</w:t>
      </w:r>
      <w:r>
        <w:rPr>
          <w:rFonts w:ascii="AdvOT1ef757c0" w:hAnsi="AdvOT1ef757c0" w:cs="AdvOT1ef757c0"/>
          <w:color w:val="000000"/>
          <w:sz w:val="21"/>
          <w:szCs w:val="21"/>
        </w:rPr>
        <w:t xml:space="preserve"> </w:t>
      </w:r>
      <w:r>
        <w:rPr>
          <w:rFonts w:ascii="AdvOT1ef757c0" w:hAnsi="AdvOT1ef757c0" w:cs="AdvOT1ef757c0"/>
          <w:color w:val="000000"/>
          <w:sz w:val="21"/>
          <w:szCs w:val="21"/>
        </w:rPr>
        <w:t>O</w:t>
      </w:r>
      <w:r>
        <w:rPr>
          <w:rFonts w:ascii="AdvOT1ef757c0+20" w:hAnsi="AdvOT1ef757c0+20" w:cs="AdvOT1ef757c0+20"/>
          <w:color w:val="000000"/>
          <w:sz w:val="21"/>
          <w:szCs w:val="21"/>
        </w:rPr>
        <w:t>’</w:t>
      </w:r>
      <w:r>
        <w:rPr>
          <w:rFonts w:ascii="AdvOT1ef757c0" w:hAnsi="AdvOT1ef757c0" w:cs="AdvOT1ef757c0"/>
          <w:color w:val="000000"/>
          <w:sz w:val="21"/>
          <w:szCs w:val="21"/>
        </w:rPr>
        <w:t xml:space="preserve">Toole, </w:t>
      </w:r>
      <w:r>
        <w:rPr>
          <w:rFonts w:ascii="AdvOT1ef757c0" w:hAnsi="AdvOT1ef757c0" w:cs="AdvOT1ef757c0"/>
          <w:color w:val="000085"/>
          <w:sz w:val="21"/>
          <w:szCs w:val="21"/>
        </w:rPr>
        <w:t>1999</w:t>
      </w:r>
      <w:r>
        <w:rPr>
          <w:rFonts w:ascii="AdvOT1ef757c0" w:hAnsi="AdvOT1ef757c0" w:cs="AdvOT1ef757c0"/>
          <w:color w:val="000000"/>
          <w:sz w:val="21"/>
          <w:szCs w:val="21"/>
        </w:rPr>
        <w:t>), the most recent</w:t>
      </w:r>
      <w:r>
        <w:rPr>
          <w:rFonts w:ascii="AdvOT1ef757c0" w:hAnsi="AdvOT1ef757c0" w:cs="AdvOT1ef757c0"/>
          <w:color w:val="000000"/>
          <w:sz w:val="21"/>
          <w:szCs w:val="21"/>
        </w:rPr>
        <w:t xml:space="preserve"> </w:t>
      </w:r>
      <w:r>
        <w:rPr>
          <w:rFonts w:ascii="AdvOT1ef757c0" w:hAnsi="AdvOT1ef757c0" w:cs="AdvOT1ef757c0"/>
          <w:color w:val="000000"/>
          <w:sz w:val="21"/>
          <w:szCs w:val="21"/>
        </w:rPr>
        <w:t>strides towards statutory regulation and reform are exceptional</w:t>
      </w:r>
      <w:r>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in their magnitude (Byrne, </w:t>
      </w:r>
      <w:r>
        <w:rPr>
          <w:rFonts w:ascii="AdvOT1ef757c0" w:hAnsi="AdvOT1ef757c0" w:cs="AdvOT1ef757c0"/>
          <w:color w:val="000085"/>
          <w:sz w:val="21"/>
          <w:szCs w:val="21"/>
        </w:rPr>
        <w:t>2016</w:t>
      </w:r>
      <w:r>
        <w:rPr>
          <w:rFonts w:ascii="AdvOT1ef757c0" w:hAnsi="AdvOT1ef757c0" w:cs="AdvOT1ef757c0"/>
          <w:color w:val="000000"/>
          <w:sz w:val="21"/>
          <w:szCs w:val="21"/>
        </w:rPr>
        <w:t>;</w:t>
      </w:r>
      <w:r>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McSweeney et al., </w:t>
      </w:r>
      <w:r>
        <w:rPr>
          <w:rFonts w:ascii="AdvOT1ef757c0" w:hAnsi="AdvOT1ef757c0" w:cs="AdvOT1ef757c0"/>
          <w:color w:val="000085"/>
          <w:sz w:val="21"/>
          <w:szCs w:val="21"/>
        </w:rPr>
        <w:t>2016</w:t>
      </w:r>
      <w:r>
        <w:rPr>
          <w:rFonts w:ascii="AdvOT1ef757c0" w:hAnsi="AdvOT1ef757c0" w:cs="AdvOT1ef757c0"/>
          <w:color w:val="000000"/>
          <w:sz w:val="21"/>
          <w:szCs w:val="21"/>
        </w:rPr>
        <w:t>). This has included publishing</w:t>
      </w:r>
      <w:r>
        <w:rPr>
          <w:rFonts w:ascii="AdvOT1ef757c0" w:hAnsi="AdvOT1ef757c0" w:cs="AdvOT1ef757c0"/>
          <w:color w:val="000000"/>
          <w:sz w:val="21"/>
          <w:szCs w:val="21"/>
        </w:rPr>
        <w:t xml:space="preserve"> </w:t>
      </w:r>
      <w:r>
        <w:rPr>
          <w:rFonts w:ascii="AdvOT1ef757c0" w:hAnsi="AdvOT1ef757c0" w:cs="AdvOT1ef757c0"/>
          <w:color w:val="000000"/>
          <w:sz w:val="21"/>
          <w:szCs w:val="21"/>
        </w:rPr>
        <w:t>of a draft Code of Professional Conduct and</w:t>
      </w:r>
      <w:r>
        <w:rPr>
          <w:rFonts w:ascii="AdvOT1ef757c0" w:hAnsi="AdvOT1ef757c0" w:cs="AdvOT1ef757c0"/>
          <w:color w:val="000000"/>
          <w:sz w:val="21"/>
          <w:szCs w:val="21"/>
        </w:rPr>
        <w:t xml:space="preserve"> </w:t>
      </w:r>
      <w:r>
        <w:rPr>
          <w:rFonts w:ascii="AdvOT1ef757c0" w:hAnsi="AdvOT1ef757c0" w:cs="AdvOT1ef757c0"/>
          <w:color w:val="000000"/>
          <w:sz w:val="21"/>
          <w:szCs w:val="21"/>
        </w:rPr>
        <w:t>Ethics for Social Care Workers in</w:t>
      </w:r>
      <w:r>
        <w:rPr>
          <w:rFonts w:ascii="AdvOT1ef757c0" w:hAnsi="AdvOT1ef757c0" w:cs="AdvOT1ef757c0"/>
          <w:color w:val="000000"/>
          <w:sz w:val="21"/>
          <w:szCs w:val="21"/>
        </w:rPr>
        <w:t xml:space="preserve"> </w:t>
      </w:r>
      <w:r>
        <w:rPr>
          <w:rFonts w:ascii="AdvOT1ef757c0" w:hAnsi="AdvOT1ef757c0" w:cs="AdvOT1ef757c0"/>
          <w:color w:val="000000"/>
          <w:sz w:val="21"/>
          <w:szCs w:val="21"/>
        </w:rPr>
        <w:t>2016, and Standards of Pro</w:t>
      </w:r>
      <w:r>
        <w:rPr>
          <w:rFonts w:ascii="AdvOT1ef757c0+fb" w:hAnsi="AdvOT1ef757c0+fb" w:cs="AdvOT1ef757c0+fb"/>
          <w:color w:val="000000"/>
          <w:sz w:val="21"/>
          <w:szCs w:val="21"/>
        </w:rPr>
        <w:t>fi</w:t>
      </w:r>
      <w:r>
        <w:rPr>
          <w:rFonts w:ascii="AdvOT1ef757c0" w:hAnsi="AdvOT1ef757c0" w:cs="AdvOT1ef757c0"/>
          <w:color w:val="000000"/>
          <w:sz w:val="21"/>
          <w:szCs w:val="21"/>
        </w:rPr>
        <w:t>ciency for Social Care Workers in 2017</w:t>
      </w:r>
      <w:r>
        <w:rPr>
          <w:rFonts w:ascii="AdvOT1ef757c0" w:hAnsi="AdvOT1ef757c0" w:cs="AdvOT1ef757c0"/>
          <w:color w:val="000000"/>
          <w:sz w:val="21"/>
          <w:szCs w:val="21"/>
        </w:rPr>
        <w:t xml:space="preserve"> </w:t>
      </w:r>
      <w:r>
        <w:rPr>
          <w:rFonts w:ascii="AdvOT1ef757c0" w:hAnsi="AdvOT1ef757c0" w:cs="AdvOT1ef757c0"/>
          <w:color w:val="000000"/>
          <w:sz w:val="21"/>
          <w:szCs w:val="21"/>
        </w:rPr>
        <w:t>(Power &amp; Darcy,</w:t>
      </w:r>
      <w:r>
        <w:rPr>
          <w:rFonts w:ascii="AdvOT1ef757c0" w:hAnsi="AdvOT1ef757c0" w:cs="AdvOT1ef757c0"/>
          <w:color w:val="000000"/>
          <w:sz w:val="21"/>
          <w:szCs w:val="21"/>
        </w:rPr>
        <w:t xml:space="preserve"> </w:t>
      </w:r>
      <w:r>
        <w:rPr>
          <w:rFonts w:ascii="AdvOT1ef757c0" w:hAnsi="AdvOT1ef757c0" w:cs="AdvOT1ef757c0"/>
          <w:color w:val="000085"/>
          <w:sz w:val="21"/>
          <w:szCs w:val="21"/>
        </w:rPr>
        <w:t>2017</w:t>
      </w:r>
      <w:r>
        <w:rPr>
          <w:rFonts w:ascii="AdvOT1ef757c0" w:hAnsi="AdvOT1ef757c0" w:cs="AdvOT1ef757c0"/>
          <w:color w:val="000000"/>
          <w:sz w:val="21"/>
          <w:szCs w:val="21"/>
        </w:rPr>
        <w:t>). Application of a social constructionist framework derived from Burr (</w:t>
      </w:r>
      <w:r>
        <w:rPr>
          <w:rFonts w:ascii="AdvOT1ef757c0" w:hAnsi="AdvOT1ef757c0" w:cs="AdvOT1ef757c0"/>
          <w:color w:val="000085"/>
          <w:sz w:val="21"/>
          <w:szCs w:val="21"/>
        </w:rPr>
        <w:t>2015</w:t>
      </w:r>
      <w:r>
        <w:rPr>
          <w:rFonts w:ascii="AdvOT1ef757c0" w:hAnsi="AdvOT1ef757c0" w:cs="AdvOT1ef757c0"/>
          <w:color w:val="000000"/>
          <w:sz w:val="21"/>
          <w:szCs w:val="21"/>
        </w:rPr>
        <w:t>)</w:t>
      </w:r>
      <w:r>
        <w:rPr>
          <w:rFonts w:ascii="AdvOT1ef757c0" w:hAnsi="AdvOT1ef757c0" w:cs="AdvOT1ef757c0"/>
          <w:color w:val="000000"/>
          <w:sz w:val="21"/>
          <w:szCs w:val="21"/>
        </w:rPr>
        <w:t xml:space="preserve"> </w:t>
      </w:r>
      <w:r>
        <w:rPr>
          <w:rFonts w:ascii="AdvOT1ef757c0" w:hAnsi="AdvOT1ef757c0" w:cs="AdvOT1ef757c0"/>
          <w:color w:val="000000"/>
          <w:sz w:val="21"/>
          <w:szCs w:val="21"/>
        </w:rPr>
        <w:t>and</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Gergin</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1985</w:t>
      </w:r>
      <w:r>
        <w:rPr>
          <w:rFonts w:ascii="AdvOT1ef757c0" w:hAnsi="AdvOT1ef757c0" w:cs="AdvOT1ef757c0"/>
          <w:color w:val="000000"/>
          <w:sz w:val="21"/>
          <w:szCs w:val="21"/>
        </w:rPr>
        <w:t>), sought to progress the overview of the literature on professionalisation</w:t>
      </w:r>
      <w:r>
        <w:rPr>
          <w:rFonts w:ascii="AdvOT1ef757c0" w:hAnsi="AdvOT1ef757c0" w:cs="AdvOT1ef757c0"/>
          <w:color w:val="000000"/>
          <w:sz w:val="21"/>
          <w:szCs w:val="21"/>
        </w:rPr>
        <w:t xml:space="preserve"> </w:t>
      </w:r>
      <w:r>
        <w:rPr>
          <w:rFonts w:ascii="AdvOT1ef757c0" w:hAnsi="AdvOT1ef757c0" w:cs="AdvOT1ef757c0"/>
          <w:color w:val="000000"/>
          <w:sz w:val="21"/>
          <w:szCs w:val="21"/>
        </w:rPr>
        <w:t>and EIP</w:t>
      </w:r>
      <w:r>
        <w:rPr>
          <w:rFonts w:ascii="AdvOT1ef757c0" w:hAnsi="AdvOT1ef757c0" w:cs="AdvOT1ef757c0"/>
          <w:color w:val="000000"/>
          <w:sz w:val="21"/>
          <w:szCs w:val="21"/>
        </w:rPr>
        <w:t xml:space="preserve"> </w:t>
      </w:r>
      <w:r>
        <w:rPr>
          <w:rFonts w:ascii="AdvOT1ef757c0" w:hAnsi="AdvOT1ef757c0" w:cs="AdvOT1ef757c0"/>
          <w:color w:val="000000"/>
          <w:sz w:val="21"/>
          <w:szCs w:val="21"/>
        </w:rPr>
        <w:t>and EBP in this paper, towards generating learning for practitioners seeking to</w:t>
      </w:r>
      <w:r>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improve practice with children in the </w:t>
      </w:r>
      <w:r>
        <w:rPr>
          <w:rFonts w:ascii="AdvOT1ef757c0+fb" w:hAnsi="AdvOT1ef757c0+fb" w:cs="AdvOT1ef757c0+fb"/>
          <w:color w:val="000000"/>
          <w:sz w:val="21"/>
          <w:szCs w:val="21"/>
        </w:rPr>
        <w:t>fi</w:t>
      </w:r>
      <w:r>
        <w:rPr>
          <w:rFonts w:ascii="AdvOT1ef757c0" w:hAnsi="AdvOT1ef757c0" w:cs="AdvOT1ef757c0"/>
          <w:color w:val="000000"/>
          <w:sz w:val="21"/>
          <w:szCs w:val="21"/>
        </w:rPr>
        <w:t>eld. It did so with the intention of addressing</w:t>
      </w:r>
      <w:r>
        <w:rPr>
          <w:rFonts w:ascii="AdvOT1ef757c0" w:hAnsi="AdvOT1ef757c0" w:cs="AdvOT1ef757c0"/>
          <w:color w:val="000000"/>
          <w:sz w:val="21"/>
          <w:szCs w:val="21"/>
        </w:rPr>
        <w:t xml:space="preserve"> </w:t>
      </w:r>
      <w:r>
        <w:rPr>
          <w:rFonts w:ascii="AdvOT1ef757c0" w:hAnsi="AdvOT1ef757c0" w:cs="AdvOT1ef757c0"/>
          <w:color w:val="000000"/>
          <w:sz w:val="21"/>
          <w:szCs w:val="21"/>
        </w:rPr>
        <w:t>some of the signi</w:t>
      </w:r>
      <w:r>
        <w:rPr>
          <w:rFonts w:ascii="AdvOT1ef757c0+fb" w:hAnsi="AdvOT1ef757c0+fb" w:cs="AdvOT1ef757c0+fb"/>
          <w:color w:val="000000"/>
          <w:sz w:val="21"/>
          <w:szCs w:val="21"/>
        </w:rPr>
        <w:t>fi</w:t>
      </w:r>
      <w:r>
        <w:rPr>
          <w:rFonts w:ascii="AdvOT1ef757c0" w:hAnsi="AdvOT1ef757c0" w:cs="AdvOT1ef757c0"/>
          <w:color w:val="000000"/>
          <w:sz w:val="21"/>
          <w:szCs w:val="21"/>
        </w:rPr>
        <w:t>cant challenges and practice concerns identi</w:t>
      </w:r>
      <w:r>
        <w:rPr>
          <w:rFonts w:ascii="AdvOT1ef757c0+fb" w:hAnsi="AdvOT1ef757c0+fb" w:cs="AdvOT1ef757c0+fb"/>
          <w:color w:val="000000"/>
          <w:sz w:val="21"/>
          <w:szCs w:val="21"/>
        </w:rPr>
        <w:t>fi</w:t>
      </w:r>
      <w:r>
        <w:rPr>
          <w:rFonts w:ascii="AdvOT1ef757c0" w:hAnsi="AdvOT1ef757c0" w:cs="AdvOT1ef757c0"/>
          <w:color w:val="000000"/>
          <w:sz w:val="21"/>
          <w:szCs w:val="21"/>
        </w:rPr>
        <w:t>ed in the former review.</w:t>
      </w:r>
      <w:r>
        <w:rPr>
          <w:rFonts w:ascii="AdvOT1ef757c0" w:hAnsi="AdvOT1ef757c0" w:cs="AdvOT1ef757c0"/>
          <w:color w:val="000000"/>
          <w:sz w:val="21"/>
          <w:szCs w:val="21"/>
        </w:rPr>
        <w:t xml:space="preserve"> </w:t>
      </w:r>
      <w:r>
        <w:rPr>
          <w:rFonts w:ascii="AdvOT1ef757c0" w:hAnsi="AdvOT1ef757c0" w:cs="AdvOT1ef757c0"/>
          <w:color w:val="000000"/>
          <w:sz w:val="21"/>
          <w:szCs w:val="21"/>
        </w:rPr>
        <w:t>Within this, the argument has been made that</w:t>
      </w:r>
      <w:r>
        <w:rPr>
          <w:rFonts w:ascii="AdvOT1ef757c0" w:hAnsi="AdvOT1ef757c0" w:cs="AdvOT1ef757c0"/>
          <w:color w:val="000000"/>
          <w:sz w:val="21"/>
          <w:szCs w:val="21"/>
        </w:rPr>
        <w:t xml:space="preserve"> </w:t>
      </w:r>
      <w:r>
        <w:rPr>
          <w:rFonts w:ascii="AdvOT1ef757c0" w:hAnsi="AdvOT1ef757c0" w:cs="AdvOT1ef757c0"/>
          <w:color w:val="000000"/>
          <w:sz w:val="21"/>
          <w:szCs w:val="21"/>
        </w:rPr>
        <w:t>professionalisation, and EIP and EBP,</w:t>
      </w:r>
      <w:r>
        <w:rPr>
          <w:rFonts w:ascii="AdvOT1ef757c0" w:hAnsi="AdvOT1ef757c0" w:cs="AdvOT1ef757c0"/>
          <w:color w:val="000000"/>
          <w:sz w:val="21"/>
          <w:szCs w:val="21"/>
        </w:rPr>
        <w:t xml:space="preserve"> </w:t>
      </w:r>
      <w:r>
        <w:rPr>
          <w:rFonts w:ascii="AdvOT1ef757c0" w:hAnsi="AdvOT1ef757c0" w:cs="AdvOT1ef757c0"/>
          <w:color w:val="000000"/>
          <w:sz w:val="21"/>
          <w:szCs w:val="21"/>
        </w:rPr>
        <w:t>are interrelated rather than separate in</w:t>
      </w:r>
      <w:r>
        <w:rPr>
          <w:rFonts w:ascii="AdvOT1ef757c0+fb" w:hAnsi="AdvOT1ef757c0+fb" w:cs="AdvOT1ef757c0+fb"/>
          <w:color w:val="000000"/>
          <w:sz w:val="21"/>
          <w:szCs w:val="21"/>
        </w:rPr>
        <w:t>fl</w:t>
      </w:r>
      <w:r>
        <w:rPr>
          <w:rFonts w:ascii="AdvOT1ef757c0" w:hAnsi="AdvOT1ef757c0" w:cs="AdvOT1ef757c0"/>
          <w:color w:val="000000"/>
          <w:sz w:val="21"/>
          <w:szCs w:val="21"/>
        </w:rPr>
        <w:t>uences on the nature</w:t>
      </w:r>
      <w:r>
        <w:rPr>
          <w:rFonts w:ascii="AdvOT1ef757c0" w:hAnsi="AdvOT1ef757c0" w:cs="AdvOT1ef757c0"/>
          <w:color w:val="000000"/>
          <w:sz w:val="21"/>
          <w:szCs w:val="21"/>
        </w:rPr>
        <w:t xml:space="preserve"> </w:t>
      </w:r>
      <w:r>
        <w:rPr>
          <w:rFonts w:ascii="AdvOT1ef757c0" w:hAnsi="AdvOT1ef757c0" w:cs="AdvOT1ef757c0"/>
          <w:color w:val="000000"/>
          <w:sz w:val="21"/>
          <w:szCs w:val="21"/>
        </w:rPr>
        <w:t>of social care in Ireland. Furthermore,</w:t>
      </w:r>
      <w:r>
        <w:rPr>
          <w:rFonts w:ascii="AdvOT1ef757c0" w:hAnsi="AdvOT1ef757c0" w:cs="AdvOT1ef757c0"/>
          <w:color w:val="000000"/>
          <w:sz w:val="21"/>
          <w:szCs w:val="21"/>
        </w:rPr>
        <w:t xml:space="preserve"> </w:t>
      </w:r>
      <w:r>
        <w:rPr>
          <w:rFonts w:ascii="AdvOT1ef757c0" w:hAnsi="AdvOT1ef757c0" w:cs="AdvOT1ef757c0"/>
          <w:color w:val="000000"/>
          <w:sz w:val="21"/>
          <w:szCs w:val="21"/>
        </w:rPr>
        <w:t>the impact of both upon Irish social care practice for children</w:t>
      </w:r>
      <w:r>
        <w:rPr>
          <w:rFonts w:ascii="AdvOT1ef757c0" w:hAnsi="AdvOT1ef757c0" w:cs="AdvOT1ef757c0"/>
          <w:color w:val="000000"/>
          <w:sz w:val="21"/>
          <w:szCs w:val="21"/>
        </w:rPr>
        <w:t xml:space="preserve"> </w:t>
      </w:r>
      <w:r>
        <w:rPr>
          <w:rFonts w:ascii="AdvOT1ef757c0" w:hAnsi="AdvOT1ef757c0" w:cs="AdvOT1ef757c0"/>
          <w:color w:val="000000"/>
          <w:sz w:val="21"/>
          <w:szCs w:val="21"/>
        </w:rPr>
        <w:t>is predominantly</w:t>
      </w:r>
      <w:r>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socially constructed alongside competing stakeholder priorities. </w:t>
      </w:r>
      <w:proofErr w:type="gramStart"/>
      <w:r>
        <w:rPr>
          <w:rFonts w:ascii="AdvOT1ef757c0" w:hAnsi="AdvOT1ef757c0" w:cs="AdvOT1ef757c0"/>
          <w:color w:val="000000"/>
          <w:sz w:val="21"/>
          <w:szCs w:val="21"/>
        </w:rPr>
        <w:t>With this in mind,</w:t>
      </w:r>
      <w:r>
        <w:rPr>
          <w:rFonts w:ascii="AdvOT1ef757c0" w:hAnsi="AdvOT1ef757c0" w:cs="AdvOT1ef757c0"/>
          <w:color w:val="000000"/>
          <w:sz w:val="21"/>
          <w:szCs w:val="21"/>
        </w:rPr>
        <w:t xml:space="preserve"> </w:t>
      </w:r>
      <w:r>
        <w:rPr>
          <w:rFonts w:ascii="AdvOT1ef757c0" w:hAnsi="AdvOT1ef757c0" w:cs="AdvOT1ef757c0"/>
          <w:color w:val="000000"/>
          <w:sz w:val="21"/>
          <w:szCs w:val="21"/>
        </w:rPr>
        <w:t>this</w:t>
      </w:r>
      <w:proofErr w:type="gramEnd"/>
      <w:r>
        <w:rPr>
          <w:rFonts w:ascii="AdvOT1ef757c0" w:hAnsi="AdvOT1ef757c0" w:cs="AdvOT1ef757c0"/>
          <w:color w:val="000000"/>
          <w:sz w:val="21"/>
          <w:szCs w:val="21"/>
        </w:rPr>
        <w:t xml:space="preserve"> </w:t>
      </w:r>
      <w:r>
        <w:rPr>
          <w:rFonts w:ascii="AdvOT1ef757c0" w:hAnsi="AdvOT1ef757c0" w:cs="AdvOT1ef757c0"/>
          <w:color w:val="000000"/>
          <w:sz w:val="21"/>
          <w:szCs w:val="21"/>
        </w:rPr>
        <w:t>paper has argued that by this very nature, and as a historically and culturally speci</w:t>
      </w:r>
      <w:r>
        <w:rPr>
          <w:rFonts w:ascii="AdvOT1ef757c0+fb" w:hAnsi="AdvOT1ef757c0+fb" w:cs="AdvOT1ef757c0+fb"/>
          <w:color w:val="000000"/>
          <w:sz w:val="21"/>
          <w:szCs w:val="21"/>
        </w:rPr>
        <w:t>fi</w:t>
      </w:r>
      <w:r>
        <w:rPr>
          <w:rFonts w:ascii="AdvOT1ef757c0" w:hAnsi="AdvOT1ef757c0" w:cs="AdvOT1ef757c0"/>
          <w:color w:val="000000"/>
          <w:sz w:val="21"/>
          <w:szCs w:val="21"/>
        </w:rPr>
        <w:t>c</w:t>
      </w:r>
      <w:r>
        <w:rPr>
          <w:rFonts w:ascii="AdvOT1ef757c0" w:hAnsi="AdvOT1ef757c0" w:cs="AdvOT1ef757c0"/>
          <w:color w:val="000000"/>
          <w:sz w:val="21"/>
          <w:szCs w:val="21"/>
        </w:rPr>
        <w:t xml:space="preserve"> </w:t>
      </w:r>
      <w:r>
        <w:rPr>
          <w:rFonts w:ascii="AdvOT1ef757c0" w:hAnsi="AdvOT1ef757c0" w:cs="AdvOT1ef757c0"/>
          <w:color w:val="000000"/>
          <w:sz w:val="21"/>
          <w:szCs w:val="21"/>
        </w:rPr>
        <w:t>moment in</w:t>
      </w:r>
      <w:r>
        <w:rPr>
          <w:rFonts w:ascii="AdvOT1ef757c0" w:hAnsi="AdvOT1ef757c0" w:cs="AdvOT1ef757c0"/>
          <w:color w:val="000000"/>
          <w:sz w:val="21"/>
          <w:szCs w:val="21"/>
        </w:rPr>
        <w:t xml:space="preserve"> </w:t>
      </w:r>
      <w:r>
        <w:rPr>
          <w:rFonts w:ascii="AdvOT1ef757c0" w:hAnsi="AdvOT1ef757c0" w:cs="AdvOT1ef757c0"/>
          <w:color w:val="000000"/>
          <w:sz w:val="21"/>
          <w:szCs w:val="21"/>
        </w:rPr>
        <w:t>time, the professionalisation of social care provides a valuable window of</w:t>
      </w:r>
      <w:r>
        <w:rPr>
          <w:rFonts w:ascii="AdvOT1ef757c0" w:hAnsi="AdvOT1ef757c0" w:cs="AdvOT1ef757c0"/>
          <w:color w:val="000000"/>
          <w:sz w:val="21"/>
          <w:szCs w:val="21"/>
        </w:rPr>
        <w:t xml:space="preserve"> </w:t>
      </w:r>
      <w:r>
        <w:rPr>
          <w:rFonts w:ascii="AdvOT1ef757c0" w:hAnsi="AdvOT1ef757c0" w:cs="AdvOT1ef757c0"/>
          <w:color w:val="000000"/>
          <w:sz w:val="21"/>
          <w:szCs w:val="21"/>
        </w:rPr>
        <w:t>opportunity for</w:t>
      </w:r>
      <w:r>
        <w:rPr>
          <w:rFonts w:ascii="AdvOT1ef757c0" w:hAnsi="AdvOT1ef757c0" w:cs="AdvOT1ef757c0"/>
          <w:color w:val="000000"/>
          <w:sz w:val="21"/>
          <w:szCs w:val="21"/>
        </w:rPr>
        <w:t xml:space="preserve"> </w:t>
      </w:r>
      <w:r>
        <w:rPr>
          <w:rFonts w:ascii="AdvOT1ef757c0" w:hAnsi="AdvOT1ef757c0" w:cs="AdvOT1ef757c0"/>
          <w:color w:val="000000"/>
          <w:sz w:val="21"/>
          <w:szCs w:val="21"/>
        </w:rPr>
        <w:t>practitioners seeking to make change happen. In this context, a social constructionist</w:t>
      </w:r>
      <w:r>
        <w:rPr>
          <w:rFonts w:ascii="AdvOT1ef757c0" w:hAnsi="AdvOT1ef757c0" w:cs="AdvOT1ef757c0"/>
          <w:color w:val="000000"/>
          <w:sz w:val="21"/>
          <w:szCs w:val="21"/>
        </w:rPr>
        <w:t xml:space="preserve"> </w:t>
      </w:r>
      <w:r>
        <w:rPr>
          <w:rFonts w:ascii="AdvOT1ef757c0" w:hAnsi="AdvOT1ef757c0" w:cs="AdvOT1ef757c0"/>
          <w:color w:val="000000"/>
          <w:sz w:val="21"/>
          <w:szCs w:val="21"/>
        </w:rPr>
        <w:t>lens would</w:t>
      </w:r>
      <w:r>
        <w:rPr>
          <w:rFonts w:ascii="AdvOT1ef757c0" w:hAnsi="AdvOT1ef757c0" w:cs="AdvOT1ef757c0"/>
          <w:color w:val="000000"/>
          <w:sz w:val="21"/>
          <w:szCs w:val="21"/>
        </w:rPr>
        <w:t xml:space="preserve"> </w:t>
      </w:r>
      <w:r>
        <w:rPr>
          <w:rFonts w:ascii="AdvOT1ef757c0" w:hAnsi="AdvOT1ef757c0" w:cs="AdvOT1ef757c0"/>
          <w:color w:val="000000"/>
          <w:sz w:val="21"/>
          <w:szCs w:val="21"/>
        </w:rPr>
        <w:t>imply that social processes such as advocacy, lobbying, and awareness-</w:t>
      </w:r>
      <w:r>
        <w:rPr>
          <w:rFonts w:ascii="AdvOT1ef757c0" w:hAnsi="AdvOT1ef757c0" w:cs="AdvOT1ef757c0"/>
          <w:color w:val="000000"/>
          <w:sz w:val="21"/>
          <w:szCs w:val="21"/>
        </w:rPr>
        <w:t xml:space="preserve"> </w:t>
      </w:r>
      <w:r>
        <w:rPr>
          <w:rFonts w:ascii="AdvOT1ef757c0" w:hAnsi="AdvOT1ef757c0" w:cs="AdvOT1ef757c0"/>
          <w:color w:val="000000"/>
          <w:sz w:val="21"/>
          <w:szCs w:val="21"/>
        </w:rPr>
        <w:t>raising; alongside a critical</w:t>
      </w:r>
      <w:r>
        <w:rPr>
          <w:rFonts w:ascii="AdvOT1ef757c0" w:hAnsi="AdvOT1ef757c0" w:cs="AdvOT1ef757c0"/>
          <w:color w:val="000000"/>
          <w:sz w:val="21"/>
          <w:szCs w:val="21"/>
        </w:rPr>
        <w:t xml:space="preserve"> </w:t>
      </w:r>
      <w:r>
        <w:rPr>
          <w:rFonts w:ascii="AdvOT1ef757c0" w:hAnsi="AdvOT1ef757c0" w:cs="AdvOT1ef757c0"/>
          <w:color w:val="000000"/>
          <w:sz w:val="21"/>
          <w:szCs w:val="21"/>
        </w:rPr>
        <w:t>stance on taken for granted knowledge, may aid</w:t>
      </w:r>
      <w:r>
        <w:rPr>
          <w:rFonts w:ascii="AdvOT1ef757c0" w:hAnsi="AdvOT1ef757c0" w:cs="AdvOT1ef757c0"/>
          <w:color w:val="000000"/>
          <w:sz w:val="21"/>
          <w:szCs w:val="21"/>
        </w:rPr>
        <w:t xml:space="preserve"> </w:t>
      </w:r>
      <w:r>
        <w:rPr>
          <w:rFonts w:ascii="AdvOT1ef757c0" w:hAnsi="AdvOT1ef757c0" w:cs="AdvOT1ef757c0"/>
          <w:color w:val="000000"/>
          <w:sz w:val="21"/>
          <w:szCs w:val="21"/>
        </w:rPr>
        <w:t xml:space="preserve">practitioners in negotiating the complexities ahead (Burr, </w:t>
      </w:r>
      <w:r>
        <w:rPr>
          <w:rFonts w:ascii="AdvOT1ef757c0" w:hAnsi="AdvOT1ef757c0" w:cs="AdvOT1ef757c0"/>
          <w:color w:val="000085"/>
          <w:sz w:val="21"/>
          <w:szCs w:val="21"/>
        </w:rPr>
        <w:t>2015</w:t>
      </w:r>
      <w:r>
        <w:rPr>
          <w:rFonts w:ascii="AdvOT1ef757c0" w:hAnsi="AdvOT1ef757c0" w:cs="AdvOT1ef757c0"/>
          <w:color w:val="000000"/>
          <w:sz w:val="21"/>
          <w:szCs w:val="21"/>
        </w:rPr>
        <w:t xml:space="preserve">; </w:t>
      </w:r>
      <w:proofErr w:type="spellStart"/>
      <w:r>
        <w:rPr>
          <w:rFonts w:ascii="AdvOT1ef757c0" w:hAnsi="AdvOT1ef757c0" w:cs="AdvOT1ef757c0"/>
          <w:color w:val="000000"/>
          <w:sz w:val="21"/>
          <w:szCs w:val="21"/>
        </w:rPr>
        <w:t>Gergin</w:t>
      </w:r>
      <w:proofErr w:type="spellEnd"/>
      <w:r>
        <w:rPr>
          <w:rFonts w:ascii="AdvOT1ef757c0" w:hAnsi="AdvOT1ef757c0" w:cs="AdvOT1ef757c0"/>
          <w:color w:val="000000"/>
          <w:sz w:val="21"/>
          <w:szCs w:val="21"/>
        </w:rPr>
        <w:t xml:space="preserve">, </w:t>
      </w:r>
      <w:r>
        <w:rPr>
          <w:rFonts w:ascii="AdvOT1ef757c0" w:hAnsi="AdvOT1ef757c0" w:cs="AdvOT1ef757c0"/>
          <w:color w:val="000085"/>
          <w:sz w:val="21"/>
          <w:szCs w:val="21"/>
        </w:rPr>
        <w:t>1985</w:t>
      </w:r>
      <w:r>
        <w:rPr>
          <w:rFonts w:ascii="AdvOT1ef757c0" w:hAnsi="AdvOT1ef757c0" w:cs="AdvOT1ef757c0"/>
          <w:color w:val="000000"/>
          <w:sz w:val="21"/>
          <w:szCs w:val="21"/>
        </w:rPr>
        <w:t>).</w:t>
      </w:r>
    </w:p>
    <w:p w:rsidR="00F670D0" w:rsidRDefault="00F670D0" w:rsidP="00D85335">
      <w:pPr>
        <w:autoSpaceDE w:val="0"/>
        <w:autoSpaceDN w:val="0"/>
        <w:adjustRightInd w:val="0"/>
        <w:spacing w:after="0" w:line="240" w:lineRule="auto"/>
        <w:jc w:val="both"/>
        <w:rPr>
          <w:rFonts w:ascii="AdvOT1ef757c0" w:hAnsi="AdvOT1ef757c0" w:cs="AdvOT1ef757c0"/>
          <w:color w:val="000000"/>
          <w:sz w:val="21"/>
          <w:szCs w:val="21"/>
        </w:rPr>
      </w:pPr>
    </w:p>
    <w:p w:rsidR="00F670D0" w:rsidRPr="00F670D0" w:rsidRDefault="00F670D0" w:rsidP="00F670D0">
      <w:pPr>
        <w:autoSpaceDE w:val="0"/>
        <w:autoSpaceDN w:val="0"/>
        <w:adjustRightInd w:val="0"/>
        <w:spacing w:after="0" w:line="240" w:lineRule="auto"/>
        <w:rPr>
          <w:rFonts w:ascii="AdvOT3b30f6db.B" w:hAnsi="AdvOT3b30f6db.B" w:cs="AdvOT3b30f6db.B"/>
          <w:b/>
          <w:color w:val="000000"/>
        </w:rPr>
      </w:pPr>
      <w:r w:rsidRPr="00F670D0">
        <w:rPr>
          <w:rFonts w:ascii="AdvOT3b30f6db.B" w:hAnsi="AdvOT3b30f6db.B" w:cs="AdvOT3b30f6db.B"/>
          <w:b/>
          <w:color w:val="000000"/>
        </w:rPr>
        <w:t>Note</w:t>
      </w:r>
    </w:p>
    <w:p w:rsidR="00F670D0" w:rsidRDefault="00F670D0" w:rsidP="00F670D0">
      <w:pPr>
        <w:autoSpaceDE w:val="0"/>
        <w:autoSpaceDN w:val="0"/>
        <w:adjustRightInd w:val="0"/>
        <w:spacing w:after="0" w:line="240" w:lineRule="auto"/>
        <w:rPr>
          <w:rFonts w:ascii="AdvOT3b30f6db.B" w:hAnsi="AdvOT3b30f6db.B" w:cs="AdvOT3b30f6db.B"/>
          <w:color w:val="000000"/>
        </w:rPr>
      </w:pPr>
    </w:p>
    <w:p w:rsidR="00F670D0" w:rsidRDefault="00F670D0" w:rsidP="00F670D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1. CORU is the Health and Social Care Professionals Council in Ireland. CORU monitors and</w:t>
      </w:r>
    </w:p>
    <w:p w:rsidR="00F670D0" w:rsidRDefault="00F670D0" w:rsidP="00F670D0">
      <w:pPr>
        <w:autoSpaceDE w:val="0"/>
        <w:autoSpaceDN w:val="0"/>
        <w:adjustRightInd w:val="0"/>
        <w:spacing w:after="0" w:line="240" w:lineRule="auto"/>
        <w:jc w:val="both"/>
        <w:rPr>
          <w:rFonts w:ascii="AdvOT1ef757c0" w:hAnsi="AdvOT1ef757c0" w:cs="AdvOT1ef757c0"/>
          <w:color w:val="000000"/>
          <w:sz w:val="19"/>
          <w:szCs w:val="19"/>
        </w:rPr>
      </w:pPr>
      <w:r>
        <w:rPr>
          <w:rFonts w:ascii="AdvOT1ef757c0" w:hAnsi="AdvOT1ef757c0" w:cs="AdvOT1ef757c0"/>
          <w:color w:val="000000"/>
          <w:sz w:val="19"/>
          <w:szCs w:val="19"/>
        </w:rPr>
        <w:t xml:space="preserve">regulates </w:t>
      </w:r>
      <w:proofErr w:type="gramStart"/>
      <w:r>
        <w:rPr>
          <w:rFonts w:ascii="AdvOT1ef757c0" w:hAnsi="AdvOT1ef757c0" w:cs="AdvOT1ef757c0"/>
          <w:color w:val="000000"/>
          <w:sz w:val="19"/>
          <w:szCs w:val="19"/>
        </w:rPr>
        <w:t>a number of</w:t>
      </w:r>
      <w:proofErr w:type="gramEnd"/>
      <w:r>
        <w:rPr>
          <w:rFonts w:ascii="AdvOT1ef757c0" w:hAnsi="AdvOT1ef757c0" w:cs="AdvOT1ef757c0"/>
          <w:color w:val="000000"/>
          <w:sz w:val="19"/>
          <w:szCs w:val="19"/>
        </w:rPr>
        <w:t xml:space="preserve"> professions in Ireland such as social work (CORU, </w:t>
      </w:r>
      <w:r>
        <w:rPr>
          <w:rFonts w:ascii="AdvOT1ef757c0" w:hAnsi="AdvOT1ef757c0" w:cs="AdvOT1ef757c0"/>
          <w:color w:val="000085"/>
          <w:sz w:val="19"/>
          <w:szCs w:val="19"/>
        </w:rPr>
        <w:t>2017b</w:t>
      </w:r>
      <w:r>
        <w:rPr>
          <w:rFonts w:ascii="AdvOT1ef757c0" w:hAnsi="AdvOT1ef757c0" w:cs="AdvOT1ef757c0"/>
          <w:color w:val="000000"/>
          <w:sz w:val="19"/>
          <w:szCs w:val="19"/>
        </w:rPr>
        <w:t>).</w:t>
      </w:r>
    </w:p>
    <w:p w:rsidR="00F670D0" w:rsidRDefault="00F670D0" w:rsidP="00F670D0">
      <w:pPr>
        <w:autoSpaceDE w:val="0"/>
        <w:autoSpaceDN w:val="0"/>
        <w:adjustRightInd w:val="0"/>
        <w:spacing w:after="0" w:line="240" w:lineRule="auto"/>
        <w:jc w:val="both"/>
        <w:rPr>
          <w:rFonts w:ascii="AdvOT1ef757c0" w:hAnsi="AdvOT1ef757c0" w:cs="AdvOT1ef757c0"/>
          <w:color w:val="000000"/>
          <w:sz w:val="19"/>
          <w:szCs w:val="19"/>
        </w:rPr>
      </w:pPr>
    </w:p>
    <w:p w:rsidR="00F670D0" w:rsidRPr="00F670D0" w:rsidRDefault="00F670D0" w:rsidP="00F670D0">
      <w:pPr>
        <w:autoSpaceDE w:val="0"/>
        <w:autoSpaceDN w:val="0"/>
        <w:adjustRightInd w:val="0"/>
        <w:spacing w:after="0" w:line="240" w:lineRule="auto"/>
        <w:jc w:val="both"/>
        <w:rPr>
          <w:rFonts w:ascii="AdvOT1ef757c0" w:hAnsi="AdvOT1ef757c0" w:cs="AdvOT1ef757c0"/>
          <w:b/>
          <w:color w:val="000000"/>
          <w:sz w:val="21"/>
          <w:szCs w:val="21"/>
        </w:rPr>
      </w:pPr>
      <w:r w:rsidRPr="00F670D0">
        <w:rPr>
          <w:rFonts w:ascii="AdvOT1ef757c0" w:hAnsi="AdvOT1ef757c0" w:cs="AdvOT1ef757c0"/>
          <w:b/>
          <w:color w:val="000000"/>
          <w:sz w:val="21"/>
          <w:szCs w:val="21"/>
        </w:rPr>
        <w:t>Notes on contributor</w:t>
      </w:r>
    </w:p>
    <w:p w:rsidR="00F670D0" w:rsidRPr="00F670D0" w:rsidRDefault="00F670D0" w:rsidP="00F670D0">
      <w:pPr>
        <w:autoSpaceDE w:val="0"/>
        <w:autoSpaceDN w:val="0"/>
        <w:adjustRightInd w:val="0"/>
        <w:spacing w:after="0" w:line="240" w:lineRule="auto"/>
        <w:jc w:val="both"/>
        <w:rPr>
          <w:rFonts w:ascii="AdvOT1ef757c0" w:hAnsi="AdvOT1ef757c0" w:cs="AdvOT1ef757c0"/>
          <w:color w:val="000000"/>
          <w:sz w:val="21"/>
          <w:szCs w:val="21"/>
        </w:rPr>
      </w:pPr>
    </w:p>
    <w:p w:rsidR="00F670D0" w:rsidRPr="00F670D0" w:rsidRDefault="00F670D0" w:rsidP="00F670D0">
      <w:pPr>
        <w:autoSpaceDE w:val="0"/>
        <w:autoSpaceDN w:val="0"/>
        <w:adjustRightInd w:val="0"/>
        <w:spacing w:after="0" w:line="240" w:lineRule="auto"/>
        <w:jc w:val="both"/>
        <w:rPr>
          <w:rFonts w:ascii="AdvOT1ef757c0" w:hAnsi="AdvOT1ef757c0" w:cs="AdvOT1ef757c0"/>
          <w:color w:val="000000"/>
          <w:sz w:val="21"/>
          <w:szCs w:val="21"/>
        </w:rPr>
      </w:pPr>
      <w:r w:rsidRPr="00F670D0">
        <w:rPr>
          <w:rFonts w:ascii="AdvOT1ef757c0" w:hAnsi="AdvOT1ef757c0" w:cs="AdvOT1ef757c0"/>
          <w:color w:val="000000"/>
          <w:sz w:val="21"/>
          <w:szCs w:val="21"/>
        </w:rPr>
        <w:t>Dr Susan Flynn lectures full time in social sciences and social work, and has research interests in the</w:t>
      </w:r>
    </w:p>
    <w:p w:rsidR="00F670D0" w:rsidRPr="00F670D0" w:rsidRDefault="00F670D0" w:rsidP="00F670D0">
      <w:pPr>
        <w:autoSpaceDE w:val="0"/>
        <w:autoSpaceDN w:val="0"/>
        <w:adjustRightInd w:val="0"/>
        <w:spacing w:after="0" w:line="240" w:lineRule="auto"/>
        <w:jc w:val="both"/>
        <w:rPr>
          <w:rFonts w:ascii="AdvOT1ef757c0" w:hAnsi="AdvOT1ef757c0" w:cs="AdvOT1ef757c0"/>
          <w:color w:val="000000"/>
          <w:sz w:val="21"/>
          <w:szCs w:val="21"/>
        </w:rPr>
      </w:pPr>
      <w:r w:rsidRPr="00F670D0">
        <w:rPr>
          <w:rFonts w:ascii="AdvOT1ef757c0" w:hAnsi="AdvOT1ef757c0" w:cs="AdvOT1ef757c0"/>
          <w:color w:val="000000"/>
          <w:sz w:val="21"/>
          <w:szCs w:val="21"/>
        </w:rPr>
        <w:t>effects of the economy on social work, and the contemporary nature of social work in Ireland</w:t>
      </w:r>
    </w:p>
    <w:p w:rsidR="00F670D0" w:rsidRDefault="00F670D0" w:rsidP="00F670D0">
      <w:pPr>
        <w:autoSpaceDE w:val="0"/>
        <w:autoSpaceDN w:val="0"/>
        <w:adjustRightInd w:val="0"/>
        <w:spacing w:after="0" w:line="240" w:lineRule="auto"/>
        <w:jc w:val="both"/>
        <w:rPr>
          <w:rFonts w:ascii="AdvOT1ef757c0" w:hAnsi="AdvOT1ef757c0" w:cs="AdvOT1ef757c0"/>
          <w:b/>
          <w:color w:val="000000"/>
          <w:sz w:val="21"/>
          <w:szCs w:val="21"/>
        </w:rPr>
      </w:pPr>
      <w:r w:rsidRPr="00CE2829">
        <w:rPr>
          <w:rFonts w:ascii="AdvOT1ef757c0" w:hAnsi="AdvOT1ef757c0" w:cs="AdvOT1ef757c0"/>
          <w:b/>
          <w:color w:val="000000"/>
          <w:sz w:val="21"/>
          <w:szCs w:val="21"/>
        </w:rPr>
        <w:lastRenderedPageBreak/>
        <w:t>Acknowledgements</w:t>
      </w:r>
    </w:p>
    <w:p w:rsidR="00CE2829" w:rsidRPr="00CE2829" w:rsidRDefault="00CE2829" w:rsidP="00F670D0">
      <w:pPr>
        <w:autoSpaceDE w:val="0"/>
        <w:autoSpaceDN w:val="0"/>
        <w:adjustRightInd w:val="0"/>
        <w:spacing w:after="0" w:line="240" w:lineRule="auto"/>
        <w:jc w:val="both"/>
        <w:rPr>
          <w:rFonts w:ascii="AdvOT1ef757c0" w:hAnsi="AdvOT1ef757c0" w:cs="AdvOT1ef757c0"/>
          <w:b/>
          <w:color w:val="000000"/>
          <w:sz w:val="21"/>
          <w:szCs w:val="21"/>
        </w:rPr>
      </w:pPr>
    </w:p>
    <w:p w:rsidR="00F670D0" w:rsidRPr="00F670D0" w:rsidRDefault="00F670D0" w:rsidP="00F670D0">
      <w:pPr>
        <w:autoSpaceDE w:val="0"/>
        <w:autoSpaceDN w:val="0"/>
        <w:adjustRightInd w:val="0"/>
        <w:spacing w:after="0" w:line="240" w:lineRule="auto"/>
        <w:jc w:val="both"/>
        <w:rPr>
          <w:rFonts w:ascii="AdvOT1ef757c0" w:hAnsi="AdvOT1ef757c0" w:cs="AdvOT1ef757c0"/>
          <w:color w:val="000000"/>
          <w:sz w:val="21"/>
          <w:szCs w:val="21"/>
        </w:rPr>
      </w:pPr>
      <w:r w:rsidRPr="00F670D0">
        <w:rPr>
          <w:rFonts w:ascii="AdvOT1ef757c0" w:hAnsi="AdvOT1ef757c0" w:cs="AdvOT1ef757c0"/>
          <w:color w:val="000000"/>
          <w:sz w:val="21"/>
          <w:szCs w:val="21"/>
        </w:rPr>
        <w:t>The author wishes to acknowledge the helpful advice provided by two anonymous reviewers of this</w:t>
      </w:r>
    </w:p>
    <w:p w:rsidR="00F670D0" w:rsidRDefault="00F670D0" w:rsidP="00F670D0">
      <w:pPr>
        <w:autoSpaceDE w:val="0"/>
        <w:autoSpaceDN w:val="0"/>
        <w:adjustRightInd w:val="0"/>
        <w:spacing w:after="0" w:line="240" w:lineRule="auto"/>
        <w:jc w:val="both"/>
        <w:rPr>
          <w:rFonts w:ascii="AdvOT1ef757c0" w:hAnsi="AdvOT1ef757c0" w:cs="AdvOT1ef757c0"/>
          <w:color w:val="000000"/>
          <w:sz w:val="21"/>
          <w:szCs w:val="21"/>
        </w:rPr>
      </w:pPr>
      <w:r w:rsidRPr="00F670D0">
        <w:rPr>
          <w:rFonts w:ascii="AdvOT1ef757c0" w:hAnsi="AdvOT1ef757c0" w:cs="AdvOT1ef757c0"/>
          <w:color w:val="000000"/>
          <w:sz w:val="21"/>
          <w:szCs w:val="21"/>
        </w:rPr>
        <w:t>manuscript.</w:t>
      </w:r>
    </w:p>
    <w:p w:rsidR="00CE2829" w:rsidRPr="00F670D0" w:rsidRDefault="00CE2829" w:rsidP="00F670D0">
      <w:pPr>
        <w:autoSpaceDE w:val="0"/>
        <w:autoSpaceDN w:val="0"/>
        <w:adjustRightInd w:val="0"/>
        <w:spacing w:after="0" w:line="240" w:lineRule="auto"/>
        <w:jc w:val="both"/>
        <w:rPr>
          <w:rFonts w:ascii="AdvOT1ef757c0" w:hAnsi="AdvOT1ef757c0" w:cs="AdvOT1ef757c0"/>
          <w:color w:val="000000"/>
          <w:sz w:val="21"/>
          <w:szCs w:val="21"/>
        </w:rPr>
      </w:pPr>
    </w:p>
    <w:p w:rsidR="00F670D0" w:rsidRDefault="00F670D0" w:rsidP="00F670D0">
      <w:pPr>
        <w:autoSpaceDE w:val="0"/>
        <w:autoSpaceDN w:val="0"/>
        <w:adjustRightInd w:val="0"/>
        <w:spacing w:after="0" w:line="240" w:lineRule="auto"/>
        <w:jc w:val="both"/>
        <w:rPr>
          <w:rFonts w:ascii="AdvOT1ef757c0" w:hAnsi="AdvOT1ef757c0" w:cs="AdvOT1ef757c0"/>
          <w:b/>
          <w:color w:val="000000"/>
          <w:sz w:val="21"/>
          <w:szCs w:val="21"/>
        </w:rPr>
      </w:pPr>
      <w:r w:rsidRPr="00CE2829">
        <w:rPr>
          <w:rFonts w:ascii="AdvOT1ef757c0" w:hAnsi="AdvOT1ef757c0" w:cs="AdvOT1ef757c0"/>
          <w:b/>
          <w:color w:val="000000"/>
          <w:sz w:val="21"/>
          <w:szCs w:val="21"/>
        </w:rPr>
        <w:t>Disclosure statement</w:t>
      </w:r>
    </w:p>
    <w:p w:rsidR="00CE2829" w:rsidRPr="00CE2829" w:rsidRDefault="00CE2829" w:rsidP="00F670D0">
      <w:pPr>
        <w:autoSpaceDE w:val="0"/>
        <w:autoSpaceDN w:val="0"/>
        <w:adjustRightInd w:val="0"/>
        <w:spacing w:after="0" w:line="240" w:lineRule="auto"/>
        <w:jc w:val="both"/>
        <w:rPr>
          <w:rFonts w:ascii="AdvOT1ef757c0" w:hAnsi="AdvOT1ef757c0" w:cs="AdvOT1ef757c0"/>
          <w:b/>
          <w:color w:val="000000"/>
          <w:sz w:val="21"/>
          <w:szCs w:val="21"/>
        </w:rPr>
      </w:pPr>
    </w:p>
    <w:p w:rsidR="00F670D0" w:rsidRDefault="00F670D0" w:rsidP="00F670D0">
      <w:pPr>
        <w:autoSpaceDE w:val="0"/>
        <w:autoSpaceDN w:val="0"/>
        <w:adjustRightInd w:val="0"/>
        <w:spacing w:after="0" w:line="240" w:lineRule="auto"/>
        <w:jc w:val="both"/>
        <w:rPr>
          <w:rFonts w:ascii="AdvOT1ef757c0" w:hAnsi="AdvOT1ef757c0" w:cs="AdvOT1ef757c0"/>
          <w:color w:val="000000"/>
          <w:sz w:val="21"/>
          <w:szCs w:val="21"/>
        </w:rPr>
      </w:pPr>
      <w:r w:rsidRPr="00F670D0">
        <w:rPr>
          <w:rFonts w:ascii="AdvOT1ef757c0" w:hAnsi="AdvOT1ef757c0" w:cs="AdvOT1ef757c0"/>
          <w:color w:val="000000"/>
          <w:sz w:val="21"/>
          <w:szCs w:val="21"/>
        </w:rPr>
        <w:t>No potential conflict of interest was reported by the author.</w:t>
      </w:r>
    </w:p>
    <w:p w:rsidR="00CE2829" w:rsidRPr="00F670D0" w:rsidRDefault="00CE2829" w:rsidP="00F670D0">
      <w:pPr>
        <w:autoSpaceDE w:val="0"/>
        <w:autoSpaceDN w:val="0"/>
        <w:adjustRightInd w:val="0"/>
        <w:spacing w:after="0" w:line="240" w:lineRule="auto"/>
        <w:jc w:val="both"/>
        <w:rPr>
          <w:rFonts w:ascii="AdvOT1ef757c0" w:hAnsi="AdvOT1ef757c0" w:cs="AdvOT1ef757c0"/>
          <w:color w:val="000000"/>
          <w:sz w:val="21"/>
          <w:szCs w:val="21"/>
        </w:rPr>
      </w:pPr>
    </w:p>
    <w:p w:rsidR="00F670D0" w:rsidRDefault="00F670D0" w:rsidP="00F670D0">
      <w:pPr>
        <w:autoSpaceDE w:val="0"/>
        <w:autoSpaceDN w:val="0"/>
        <w:adjustRightInd w:val="0"/>
        <w:spacing w:after="0" w:line="240" w:lineRule="auto"/>
        <w:jc w:val="both"/>
        <w:rPr>
          <w:rFonts w:ascii="AdvOT1ef757c0" w:hAnsi="AdvOT1ef757c0" w:cs="AdvOT1ef757c0"/>
          <w:b/>
          <w:color w:val="000000"/>
          <w:sz w:val="21"/>
          <w:szCs w:val="21"/>
        </w:rPr>
      </w:pPr>
      <w:r w:rsidRPr="00CE2829">
        <w:rPr>
          <w:rFonts w:ascii="AdvOT1ef757c0" w:hAnsi="AdvOT1ef757c0" w:cs="AdvOT1ef757c0"/>
          <w:b/>
          <w:color w:val="000000"/>
          <w:sz w:val="21"/>
          <w:szCs w:val="21"/>
        </w:rPr>
        <w:t>ORCID</w:t>
      </w:r>
    </w:p>
    <w:p w:rsidR="00CE2829" w:rsidRPr="00CE2829" w:rsidRDefault="00CE2829" w:rsidP="00F670D0">
      <w:pPr>
        <w:autoSpaceDE w:val="0"/>
        <w:autoSpaceDN w:val="0"/>
        <w:adjustRightInd w:val="0"/>
        <w:spacing w:after="0" w:line="240" w:lineRule="auto"/>
        <w:jc w:val="both"/>
        <w:rPr>
          <w:rFonts w:ascii="AdvOT1ef757c0" w:hAnsi="AdvOT1ef757c0" w:cs="AdvOT1ef757c0"/>
          <w:b/>
          <w:color w:val="000000"/>
          <w:sz w:val="21"/>
          <w:szCs w:val="21"/>
        </w:rPr>
      </w:pPr>
    </w:p>
    <w:p w:rsidR="00F670D0" w:rsidRDefault="00F670D0" w:rsidP="00F670D0">
      <w:pPr>
        <w:autoSpaceDE w:val="0"/>
        <w:autoSpaceDN w:val="0"/>
        <w:adjustRightInd w:val="0"/>
        <w:spacing w:after="0" w:line="240" w:lineRule="auto"/>
        <w:jc w:val="both"/>
        <w:rPr>
          <w:rFonts w:ascii="AdvOT1ef757c0" w:hAnsi="AdvOT1ef757c0" w:cs="AdvOT1ef757c0"/>
          <w:color w:val="000000"/>
          <w:sz w:val="21"/>
          <w:szCs w:val="21"/>
        </w:rPr>
      </w:pPr>
      <w:r w:rsidRPr="00F670D0">
        <w:rPr>
          <w:rFonts w:ascii="AdvOT1ef757c0" w:hAnsi="AdvOT1ef757c0" w:cs="AdvOT1ef757c0"/>
          <w:color w:val="000000"/>
          <w:sz w:val="21"/>
          <w:szCs w:val="21"/>
        </w:rPr>
        <w:t xml:space="preserve">Susan Flynn </w:t>
      </w:r>
      <w:hyperlink r:id="rId4" w:history="1">
        <w:r w:rsidR="00CE2829" w:rsidRPr="00BB092A">
          <w:rPr>
            <w:rStyle w:val="Hyperlink"/>
            <w:rFonts w:ascii="AdvOT1ef757c0" w:hAnsi="AdvOT1ef757c0" w:cs="AdvOT1ef757c0"/>
            <w:sz w:val="21"/>
            <w:szCs w:val="21"/>
          </w:rPr>
          <w:t>http://orcid.org/0000-0002-2807-0866</w:t>
        </w:r>
      </w:hyperlink>
    </w:p>
    <w:p w:rsidR="00CE2829" w:rsidRPr="00F670D0" w:rsidRDefault="00CE2829" w:rsidP="00F670D0">
      <w:pPr>
        <w:autoSpaceDE w:val="0"/>
        <w:autoSpaceDN w:val="0"/>
        <w:adjustRightInd w:val="0"/>
        <w:spacing w:after="0" w:line="240" w:lineRule="auto"/>
        <w:jc w:val="both"/>
        <w:rPr>
          <w:rFonts w:ascii="AdvOT1ef757c0" w:hAnsi="AdvOT1ef757c0" w:cs="AdvOT1ef757c0"/>
          <w:color w:val="000000"/>
          <w:sz w:val="21"/>
          <w:szCs w:val="21"/>
        </w:rPr>
      </w:pPr>
    </w:p>
    <w:p w:rsidR="00F670D0" w:rsidRDefault="00F670D0" w:rsidP="00F670D0">
      <w:pPr>
        <w:autoSpaceDE w:val="0"/>
        <w:autoSpaceDN w:val="0"/>
        <w:adjustRightInd w:val="0"/>
        <w:spacing w:after="0" w:line="240" w:lineRule="auto"/>
        <w:jc w:val="both"/>
        <w:rPr>
          <w:rFonts w:ascii="AdvOT1ef757c0" w:hAnsi="AdvOT1ef757c0" w:cs="AdvOT1ef757c0"/>
          <w:b/>
          <w:color w:val="000000"/>
          <w:sz w:val="21"/>
          <w:szCs w:val="21"/>
        </w:rPr>
      </w:pPr>
      <w:r w:rsidRPr="00CE2829">
        <w:rPr>
          <w:rFonts w:ascii="AdvOT1ef757c0" w:hAnsi="AdvOT1ef757c0" w:cs="AdvOT1ef757c0"/>
          <w:b/>
          <w:color w:val="000000"/>
          <w:sz w:val="21"/>
          <w:szCs w:val="21"/>
        </w:rPr>
        <w:t>References</w:t>
      </w:r>
    </w:p>
    <w:p w:rsidR="00CE2829" w:rsidRDefault="00CE2829" w:rsidP="00F670D0">
      <w:pPr>
        <w:autoSpaceDE w:val="0"/>
        <w:autoSpaceDN w:val="0"/>
        <w:adjustRightInd w:val="0"/>
        <w:spacing w:after="0" w:line="240" w:lineRule="auto"/>
        <w:jc w:val="both"/>
        <w:rPr>
          <w:rFonts w:ascii="AdvOT1ef757c0" w:hAnsi="AdvOT1ef757c0" w:cs="AdvOT1ef757c0"/>
          <w:b/>
          <w:color w:val="000000"/>
          <w:sz w:val="21"/>
          <w:szCs w:val="21"/>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Aarons, G. A. (</w:t>
      </w:r>
      <w:r>
        <w:rPr>
          <w:rFonts w:ascii="AdvOT1ef757c0" w:hAnsi="AdvOT1ef757c0" w:cs="AdvOT1ef757c0"/>
          <w:color w:val="000085"/>
          <w:sz w:val="19"/>
          <w:szCs w:val="19"/>
        </w:rPr>
        <w:t>2004</w:t>
      </w:r>
      <w:r>
        <w:rPr>
          <w:rFonts w:ascii="AdvOT1ef757c0" w:hAnsi="AdvOT1ef757c0" w:cs="AdvOT1ef757c0"/>
          <w:color w:val="000000"/>
          <w:sz w:val="19"/>
          <w:szCs w:val="19"/>
        </w:rPr>
        <w:t>). Mental health provider attitudes toward adoption of evidence-based practice: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The Evidence-Based Practice Attitude Scale (EBPAS). </w:t>
      </w:r>
      <w:r>
        <w:rPr>
          <w:rFonts w:ascii="AdvOT7d6df7ab.I" w:hAnsi="AdvOT7d6df7ab.I" w:cs="AdvOT7d6df7ab.I"/>
          <w:color w:val="000000"/>
          <w:sz w:val="19"/>
          <w:szCs w:val="19"/>
        </w:rPr>
        <w:t>Mental Health Services Research</w:t>
      </w:r>
      <w:r>
        <w:rPr>
          <w:rFonts w:ascii="AdvOT1ef757c0" w:hAnsi="AdvOT1ef757c0" w:cs="AdvOT1ef757c0"/>
          <w:color w:val="000000"/>
          <w:sz w:val="19"/>
          <w:szCs w:val="19"/>
        </w:rPr>
        <w:t xml:space="preserve">, </w:t>
      </w:r>
      <w:r>
        <w:rPr>
          <w:rFonts w:ascii="AdvOT7d6df7ab.I" w:hAnsi="AdvOT7d6df7ab.I" w:cs="AdvOT7d6df7ab.I"/>
          <w:color w:val="000000"/>
          <w:sz w:val="19"/>
          <w:szCs w:val="19"/>
        </w:rPr>
        <w:t>6</w:t>
      </w:r>
      <w:r>
        <w:rPr>
          <w:rFonts w:ascii="AdvOT1ef757c0" w:hAnsi="AdvOT1ef757c0" w:cs="AdvOT1ef757c0"/>
          <w:color w:val="000000"/>
          <w:sz w:val="19"/>
          <w:szCs w:val="19"/>
        </w:rPr>
        <w:t>(2),</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61</w:t>
      </w:r>
      <w:r>
        <w:rPr>
          <w:rFonts w:ascii="AdvOT1ef757c0+20" w:hAnsi="AdvOT1ef757c0+20" w:cs="AdvOT1ef757c0+20"/>
          <w:color w:val="000000"/>
          <w:sz w:val="19"/>
          <w:szCs w:val="19"/>
        </w:rPr>
        <w:t>–</w:t>
      </w:r>
      <w:r>
        <w:rPr>
          <w:rFonts w:ascii="AdvOT1ef757c0" w:hAnsi="AdvOT1ef757c0" w:cs="AdvOT1ef757c0"/>
          <w:color w:val="000000"/>
          <w:sz w:val="19"/>
          <w:szCs w:val="19"/>
        </w:rPr>
        <w:t>74.</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Aarons, G. A. (</w:t>
      </w:r>
      <w:r>
        <w:rPr>
          <w:rFonts w:ascii="AdvOT1ef757c0" w:hAnsi="AdvOT1ef757c0" w:cs="AdvOT1ef757c0"/>
          <w:color w:val="000085"/>
          <w:sz w:val="19"/>
          <w:szCs w:val="19"/>
        </w:rPr>
        <w:t>2006</w:t>
      </w:r>
      <w:r>
        <w:rPr>
          <w:rFonts w:ascii="AdvOT1ef757c0" w:hAnsi="AdvOT1ef757c0" w:cs="AdvOT1ef757c0"/>
          <w:color w:val="000000"/>
          <w:sz w:val="19"/>
          <w:szCs w:val="19"/>
        </w:rPr>
        <w:t>). Transformational and transactional leadership: Association with attitudes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toward evidence-based practice. </w:t>
      </w:r>
      <w:r>
        <w:rPr>
          <w:rFonts w:ascii="AdvOT7d6df7ab.I" w:hAnsi="AdvOT7d6df7ab.I" w:cs="AdvOT7d6df7ab.I"/>
          <w:color w:val="000000"/>
          <w:sz w:val="19"/>
          <w:szCs w:val="19"/>
        </w:rPr>
        <w:t>Psychiatric Services</w:t>
      </w:r>
      <w:r>
        <w:rPr>
          <w:rFonts w:ascii="AdvOT1ef757c0" w:hAnsi="AdvOT1ef757c0" w:cs="AdvOT1ef757c0"/>
          <w:color w:val="000000"/>
          <w:sz w:val="19"/>
          <w:szCs w:val="19"/>
        </w:rPr>
        <w:t xml:space="preserve">, </w:t>
      </w:r>
      <w:r>
        <w:rPr>
          <w:rFonts w:ascii="AdvOT7d6df7ab.I" w:hAnsi="AdvOT7d6df7ab.I" w:cs="AdvOT7d6df7ab.I"/>
          <w:color w:val="000000"/>
          <w:sz w:val="19"/>
          <w:szCs w:val="19"/>
        </w:rPr>
        <w:t>57</w:t>
      </w:r>
      <w:r>
        <w:rPr>
          <w:rFonts w:ascii="AdvOT1ef757c0" w:hAnsi="AdvOT1ef757c0" w:cs="AdvOT1ef757c0"/>
          <w:color w:val="000000"/>
          <w:sz w:val="19"/>
          <w:szCs w:val="19"/>
        </w:rPr>
        <w:t>(8), 1162</w:t>
      </w:r>
      <w:r>
        <w:rPr>
          <w:rFonts w:ascii="AdvOT1ef757c0+20" w:hAnsi="AdvOT1ef757c0+20" w:cs="AdvOT1ef757c0+20"/>
          <w:color w:val="000000"/>
          <w:sz w:val="19"/>
          <w:szCs w:val="19"/>
        </w:rPr>
        <w:t>–</w:t>
      </w:r>
      <w:r>
        <w:rPr>
          <w:rFonts w:ascii="AdvOT1ef757c0" w:hAnsi="AdvOT1ef757c0" w:cs="AdvOT1ef757c0"/>
          <w:color w:val="000000"/>
          <w:sz w:val="19"/>
          <w:szCs w:val="19"/>
        </w:rPr>
        <w:t>1169.</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Aarons, G. A., Glisson, C., </w:t>
      </w:r>
      <w:proofErr w:type="spellStart"/>
      <w:r>
        <w:rPr>
          <w:rFonts w:ascii="AdvOT1ef757c0" w:hAnsi="AdvOT1ef757c0" w:cs="AdvOT1ef757c0"/>
          <w:color w:val="000000"/>
          <w:sz w:val="19"/>
          <w:szCs w:val="19"/>
        </w:rPr>
        <w:t>Hoagwood</w:t>
      </w:r>
      <w:proofErr w:type="spellEnd"/>
      <w:r>
        <w:rPr>
          <w:rFonts w:ascii="AdvOT1ef757c0" w:hAnsi="AdvOT1ef757c0" w:cs="AdvOT1ef757c0"/>
          <w:color w:val="000000"/>
          <w:sz w:val="19"/>
          <w:szCs w:val="19"/>
        </w:rPr>
        <w:t xml:space="preserve">, K., Kelleher, K., Landsverk, J., &amp; </w:t>
      </w:r>
      <w:proofErr w:type="spellStart"/>
      <w:r>
        <w:rPr>
          <w:rFonts w:ascii="AdvOT1ef757c0" w:hAnsi="AdvOT1ef757c0" w:cs="AdvOT1ef757c0"/>
          <w:color w:val="000000"/>
          <w:sz w:val="19"/>
          <w:szCs w:val="19"/>
        </w:rPr>
        <w:t>Cafri</w:t>
      </w:r>
      <w:proofErr w:type="spellEnd"/>
      <w:r>
        <w:rPr>
          <w:rFonts w:ascii="AdvOT1ef757c0" w:hAnsi="AdvOT1ef757c0" w:cs="AdvOT1ef757c0"/>
          <w:color w:val="000000"/>
          <w:sz w:val="19"/>
          <w:szCs w:val="19"/>
        </w:rPr>
        <w:t>, G. (</w:t>
      </w:r>
      <w:r>
        <w:rPr>
          <w:rFonts w:ascii="AdvOT1ef757c0" w:hAnsi="AdvOT1ef757c0" w:cs="AdvOT1ef757c0"/>
          <w:color w:val="000085"/>
          <w:sz w:val="19"/>
          <w:szCs w:val="19"/>
        </w:rPr>
        <w:t>2010</w:t>
      </w:r>
      <w:r>
        <w:rPr>
          <w:rFonts w:ascii="AdvOT1ef757c0" w:hAnsi="AdvOT1ef757c0" w:cs="AdvOT1ef757c0"/>
          <w:color w:val="000000"/>
          <w:sz w:val="19"/>
          <w:szCs w:val="19"/>
        </w:rPr>
        <w:t>).</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Psychometric properties and United States national norms of the Evidence-Based Practice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Attitude Scale (EBPAS). </w:t>
      </w:r>
      <w:r>
        <w:rPr>
          <w:rFonts w:ascii="AdvOT7d6df7ab.I" w:hAnsi="AdvOT7d6df7ab.I" w:cs="AdvOT7d6df7ab.I"/>
          <w:color w:val="000000"/>
          <w:sz w:val="19"/>
          <w:szCs w:val="19"/>
        </w:rPr>
        <w:t>Psychological Assessment</w:t>
      </w:r>
      <w:r>
        <w:rPr>
          <w:rFonts w:ascii="AdvOT1ef757c0" w:hAnsi="AdvOT1ef757c0" w:cs="AdvOT1ef757c0"/>
          <w:color w:val="000000"/>
          <w:sz w:val="19"/>
          <w:szCs w:val="19"/>
        </w:rPr>
        <w:t xml:space="preserve">, </w:t>
      </w:r>
      <w:r>
        <w:rPr>
          <w:rFonts w:ascii="AdvOT7d6df7ab.I" w:hAnsi="AdvOT7d6df7ab.I" w:cs="AdvOT7d6df7ab.I"/>
          <w:color w:val="000000"/>
          <w:sz w:val="19"/>
          <w:szCs w:val="19"/>
        </w:rPr>
        <w:t>22</w:t>
      </w:r>
      <w:r>
        <w:rPr>
          <w:rFonts w:ascii="AdvOT1ef757c0" w:hAnsi="AdvOT1ef757c0" w:cs="AdvOT1ef757c0"/>
          <w:color w:val="000000"/>
          <w:sz w:val="19"/>
          <w:szCs w:val="19"/>
        </w:rPr>
        <w:t>(2), 356</w:t>
      </w:r>
      <w:r>
        <w:rPr>
          <w:rFonts w:ascii="AdvOT1ef757c0+20" w:hAnsi="AdvOT1ef757c0+20" w:cs="AdvOT1ef757c0+20"/>
          <w:color w:val="000000"/>
          <w:sz w:val="19"/>
          <w:szCs w:val="19"/>
        </w:rPr>
        <w:t>–</w:t>
      </w:r>
      <w:r>
        <w:rPr>
          <w:rFonts w:ascii="AdvOT1ef757c0" w:hAnsi="AdvOT1ef757c0" w:cs="AdvOT1ef757c0"/>
          <w:color w:val="000000"/>
          <w:sz w:val="19"/>
          <w:szCs w:val="19"/>
        </w:rPr>
        <w:t>365.</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Aarons, G. A., McDonald, E. J., Sheehan, A. K., &amp; Walrath-Greene, C. M. (</w:t>
      </w:r>
      <w:r>
        <w:rPr>
          <w:rFonts w:ascii="AdvOT1ef757c0" w:hAnsi="AdvOT1ef757c0" w:cs="AdvOT1ef757c0"/>
          <w:color w:val="000085"/>
          <w:sz w:val="19"/>
          <w:szCs w:val="19"/>
        </w:rPr>
        <w:t>2007</w:t>
      </w:r>
      <w:r>
        <w:rPr>
          <w:rFonts w:ascii="AdvOT1ef757c0" w:hAnsi="AdvOT1ef757c0" w:cs="AdvOT1ef757c0"/>
          <w:color w:val="000000"/>
          <w:sz w:val="19"/>
          <w:szCs w:val="19"/>
        </w:rPr>
        <w:t>). Con</w:t>
      </w:r>
      <w:r>
        <w:rPr>
          <w:rFonts w:ascii="AdvOT1ef757c0+fb" w:hAnsi="AdvOT1ef757c0+fb" w:cs="AdvOT1ef757c0+fb"/>
          <w:color w:val="000000"/>
          <w:sz w:val="19"/>
          <w:szCs w:val="19"/>
        </w:rPr>
        <w:t>fi</w:t>
      </w:r>
      <w:r>
        <w:rPr>
          <w:rFonts w:ascii="AdvOT1ef757c0" w:hAnsi="AdvOT1ef757c0" w:cs="AdvOT1ef757c0"/>
          <w:color w:val="000000"/>
          <w:sz w:val="19"/>
          <w:szCs w:val="19"/>
        </w:rPr>
        <w:t>rmatory</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factor analysis of the evidence-based practice Attitude scale (EBPAS) in a geographically</w:t>
      </w: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 xml:space="preserve">diverse sample of community mental health providers. </w:t>
      </w:r>
      <w:r>
        <w:rPr>
          <w:rFonts w:ascii="AdvOT7d6df7ab.I" w:hAnsi="AdvOT7d6df7ab.I" w:cs="AdvOT7d6df7ab.I"/>
          <w:color w:val="000000"/>
          <w:sz w:val="19"/>
          <w:szCs w:val="19"/>
        </w:rPr>
        <w:t>Administration and Policy in Mental</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Health and Mental Health Services Research</w:t>
      </w:r>
      <w:r>
        <w:rPr>
          <w:rFonts w:ascii="AdvOT1ef757c0" w:hAnsi="AdvOT1ef757c0" w:cs="AdvOT1ef757c0"/>
          <w:color w:val="000000"/>
          <w:sz w:val="19"/>
          <w:szCs w:val="19"/>
        </w:rPr>
        <w:t xml:space="preserve">, </w:t>
      </w:r>
      <w:r>
        <w:rPr>
          <w:rFonts w:ascii="AdvOT7d6df7ab.I" w:hAnsi="AdvOT7d6df7ab.I" w:cs="AdvOT7d6df7ab.I"/>
          <w:color w:val="000000"/>
          <w:sz w:val="19"/>
          <w:szCs w:val="19"/>
        </w:rPr>
        <w:t>34</w:t>
      </w:r>
      <w:r>
        <w:rPr>
          <w:rFonts w:ascii="AdvOT1ef757c0" w:hAnsi="AdvOT1ef757c0" w:cs="AdvOT1ef757c0"/>
          <w:color w:val="000000"/>
          <w:sz w:val="19"/>
          <w:szCs w:val="19"/>
        </w:rPr>
        <w:t>, 465</w:t>
      </w:r>
      <w:r>
        <w:rPr>
          <w:rFonts w:ascii="AdvOT1ef757c0+20" w:hAnsi="AdvOT1ef757c0+20" w:cs="AdvOT1ef757c0+20"/>
          <w:color w:val="000000"/>
          <w:sz w:val="19"/>
          <w:szCs w:val="19"/>
        </w:rPr>
        <w:t>–</w:t>
      </w:r>
      <w:r>
        <w:rPr>
          <w:rFonts w:ascii="AdvOT1ef757c0" w:hAnsi="AdvOT1ef757c0" w:cs="AdvOT1ef757c0"/>
          <w:color w:val="000000"/>
          <w:sz w:val="19"/>
          <w:szCs w:val="19"/>
        </w:rPr>
        <w:t>469.</w:t>
      </w:r>
    </w:p>
    <w:p w:rsidR="00736380" w:rsidRDefault="00736380" w:rsidP="00736380">
      <w:pPr>
        <w:autoSpaceDE w:val="0"/>
        <w:autoSpaceDN w:val="0"/>
        <w:adjustRightInd w:val="0"/>
        <w:spacing w:after="0" w:line="240" w:lineRule="auto"/>
        <w:rPr>
          <w:rFonts w:ascii="AdvOT46dcae81" w:hAnsi="AdvOT46dcae81" w:cs="AdvOT46dcae81"/>
          <w:color w:val="000000"/>
          <w:sz w:val="15"/>
          <w:szCs w:val="15"/>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Aarons, G. A., &amp; </w:t>
      </w:r>
      <w:proofErr w:type="spellStart"/>
      <w:r>
        <w:rPr>
          <w:rFonts w:ascii="AdvOT1ef757c0" w:hAnsi="AdvOT1ef757c0" w:cs="AdvOT1ef757c0"/>
          <w:color w:val="000000"/>
          <w:sz w:val="19"/>
          <w:szCs w:val="19"/>
        </w:rPr>
        <w:t>Sawitzky</w:t>
      </w:r>
      <w:proofErr w:type="spellEnd"/>
      <w:r>
        <w:rPr>
          <w:rFonts w:ascii="AdvOT1ef757c0" w:hAnsi="AdvOT1ef757c0" w:cs="AdvOT1ef757c0"/>
          <w:color w:val="000000"/>
          <w:sz w:val="19"/>
          <w:szCs w:val="19"/>
        </w:rPr>
        <w:t>, A. C. (</w:t>
      </w:r>
      <w:r>
        <w:rPr>
          <w:rFonts w:ascii="AdvOT1ef757c0" w:hAnsi="AdvOT1ef757c0" w:cs="AdvOT1ef757c0"/>
          <w:color w:val="000085"/>
          <w:sz w:val="19"/>
          <w:szCs w:val="19"/>
        </w:rPr>
        <w:t>2006</w:t>
      </w:r>
      <w:r>
        <w:rPr>
          <w:rFonts w:ascii="AdvOT1ef757c0" w:hAnsi="AdvOT1ef757c0" w:cs="AdvOT1ef757c0"/>
          <w:color w:val="000000"/>
          <w:sz w:val="19"/>
          <w:szCs w:val="19"/>
        </w:rPr>
        <w:t>). Organizational culture and climate and mental health provider</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attitudes toward evidence-based practice. </w:t>
      </w:r>
      <w:r>
        <w:rPr>
          <w:rFonts w:ascii="AdvOT7d6df7ab.I" w:hAnsi="AdvOT7d6df7ab.I" w:cs="AdvOT7d6df7ab.I"/>
          <w:color w:val="000000"/>
          <w:sz w:val="19"/>
          <w:szCs w:val="19"/>
        </w:rPr>
        <w:t>Psychological Services</w:t>
      </w:r>
      <w:r>
        <w:rPr>
          <w:rFonts w:ascii="AdvOT1ef757c0" w:hAnsi="AdvOT1ef757c0" w:cs="AdvOT1ef757c0"/>
          <w:color w:val="000000"/>
          <w:sz w:val="19"/>
          <w:szCs w:val="19"/>
        </w:rPr>
        <w:t xml:space="preserve">, </w:t>
      </w:r>
      <w:r>
        <w:rPr>
          <w:rFonts w:ascii="AdvOT7d6df7ab.I" w:hAnsi="AdvOT7d6df7ab.I" w:cs="AdvOT7d6df7ab.I"/>
          <w:color w:val="000000"/>
          <w:sz w:val="19"/>
          <w:szCs w:val="19"/>
        </w:rPr>
        <w:t>3</w:t>
      </w:r>
      <w:r>
        <w:rPr>
          <w:rFonts w:ascii="AdvOT1ef757c0" w:hAnsi="AdvOT1ef757c0" w:cs="AdvOT1ef757c0"/>
          <w:color w:val="000000"/>
          <w:sz w:val="19"/>
          <w:szCs w:val="19"/>
        </w:rPr>
        <w:t>(1), 61</w:t>
      </w:r>
      <w:r>
        <w:rPr>
          <w:rFonts w:ascii="AdvOT1ef757c0+20" w:hAnsi="AdvOT1ef757c0+20" w:cs="AdvOT1ef757c0+20"/>
          <w:color w:val="000000"/>
          <w:sz w:val="19"/>
          <w:szCs w:val="19"/>
        </w:rPr>
        <w:t>–</w:t>
      </w:r>
      <w:r>
        <w:rPr>
          <w:rFonts w:ascii="AdvOT1ef757c0" w:hAnsi="AdvOT1ef757c0" w:cs="AdvOT1ef757c0"/>
          <w:color w:val="000000"/>
          <w:sz w:val="19"/>
          <w:szCs w:val="19"/>
        </w:rPr>
        <w:t>72.</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Aarons, G. A., &amp; Sommerfeld, D. H. (</w:t>
      </w:r>
      <w:r>
        <w:rPr>
          <w:rFonts w:ascii="AdvOT1ef757c0" w:hAnsi="AdvOT1ef757c0" w:cs="AdvOT1ef757c0"/>
          <w:color w:val="000085"/>
          <w:sz w:val="19"/>
          <w:szCs w:val="19"/>
        </w:rPr>
        <w:t>2012</w:t>
      </w:r>
      <w:r>
        <w:rPr>
          <w:rFonts w:ascii="AdvOT1ef757c0" w:hAnsi="AdvOT1ef757c0" w:cs="AdvOT1ef757c0"/>
          <w:color w:val="000000"/>
          <w:sz w:val="19"/>
          <w:szCs w:val="19"/>
        </w:rPr>
        <w:t>). Leadership, innovation climate, and attitudes toward</w:t>
      </w: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 xml:space="preserve">evidence-based practice during a </w:t>
      </w:r>
      <w:proofErr w:type="gramStart"/>
      <w:r>
        <w:rPr>
          <w:rFonts w:ascii="AdvOT1ef757c0" w:hAnsi="AdvOT1ef757c0" w:cs="AdvOT1ef757c0"/>
          <w:color w:val="000000"/>
          <w:sz w:val="19"/>
          <w:szCs w:val="19"/>
        </w:rPr>
        <w:t>state wide</w:t>
      </w:r>
      <w:proofErr w:type="gramEnd"/>
      <w:r>
        <w:rPr>
          <w:rFonts w:ascii="AdvOT1ef757c0" w:hAnsi="AdvOT1ef757c0" w:cs="AdvOT1ef757c0"/>
          <w:color w:val="000000"/>
          <w:sz w:val="19"/>
          <w:szCs w:val="19"/>
        </w:rPr>
        <w:t xml:space="preserve"> implementation. </w:t>
      </w:r>
      <w:r>
        <w:rPr>
          <w:rFonts w:ascii="AdvOT7d6df7ab.I" w:hAnsi="AdvOT7d6df7ab.I" w:cs="AdvOT7d6df7ab.I"/>
          <w:color w:val="000000"/>
          <w:sz w:val="19"/>
          <w:szCs w:val="19"/>
        </w:rPr>
        <w:t>Journal of the American Academy of</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Child and Adolescent Psychiatry</w:t>
      </w:r>
      <w:r>
        <w:rPr>
          <w:rFonts w:ascii="AdvOT1ef757c0" w:hAnsi="AdvOT1ef757c0" w:cs="AdvOT1ef757c0"/>
          <w:color w:val="000000"/>
          <w:sz w:val="19"/>
          <w:szCs w:val="19"/>
        </w:rPr>
        <w:t xml:space="preserve">, </w:t>
      </w:r>
      <w:r>
        <w:rPr>
          <w:rFonts w:ascii="AdvOT7d6df7ab.I" w:hAnsi="AdvOT7d6df7ab.I" w:cs="AdvOT7d6df7ab.I"/>
          <w:color w:val="000000"/>
          <w:sz w:val="19"/>
          <w:szCs w:val="19"/>
        </w:rPr>
        <w:t>51</w:t>
      </w:r>
      <w:r>
        <w:rPr>
          <w:rFonts w:ascii="AdvOT1ef757c0" w:hAnsi="AdvOT1ef757c0" w:cs="AdvOT1ef757c0"/>
          <w:color w:val="000000"/>
          <w:sz w:val="19"/>
          <w:szCs w:val="19"/>
        </w:rPr>
        <w:t>(4), 423</w:t>
      </w:r>
      <w:r>
        <w:rPr>
          <w:rFonts w:ascii="AdvOT1ef757c0+20" w:hAnsi="AdvOT1ef757c0+20" w:cs="AdvOT1ef757c0+20"/>
          <w:color w:val="000000"/>
          <w:sz w:val="19"/>
          <w:szCs w:val="19"/>
        </w:rPr>
        <w:t>–</w:t>
      </w:r>
      <w:r>
        <w:rPr>
          <w:rFonts w:ascii="AdvOT1ef757c0" w:hAnsi="AdvOT1ef757c0" w:cs="AdvOT1ef757c0"/>
          <w:color w:val="000000"/>
          <w:sz w:val="19"/>
          <w:szCs w:val="19"/>
        </w:rPr>
        <w:t>431.</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Austin, M. J., &amp; Claassen, J. (</w:t>
      </w:r>
      <w:r>
        <w:rPr>
          <w:rFonts w:ascii="AdvOT1ef757c0" w:hAnsi="AdvOT1ef757c0" w:cs="AdvOT1ef757c0"/>
          <w:color w:val="000085"/>
          <w:sz w:val="19"/>
          <w:szCs w:val="19"/>
        </w:rPr>
        <w:t>2008</w:t>
      </w:r>
      <w:r>
        <w:rPr>
          <w:rFonts w:ascii="AdvOT1ef757c0" w:hAnsi="AdvOT1ef757c0" w:cs="AdvOT1ef757c0"/>
          <w:color w:val="000000"/>
          <w:sz w:val="19"/>
          <w:szCs w:val="19"/>
        </w:rPr>
        <w:t>). Implementing evidence-based practice in human service organizations: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Preliminary lessons from the frontlines. </w:t>
      </w:r>
      <w:r>
        <w:rPr>
          <w:rFonts w:ascii="AdvOT7d6df7ab.I" w:hAnsi="AdvOT7d6df7ab.I" w:cs="AdvOT7d6df7ab.I"/>
          <w:color w:val="000000"/>
          <w:sz w:val="19"/>
          <w:szCs w:val="19"/>
        </w:rPr>
        <w:t>Journal of Evidence-based Social Work</w:t>
      </w:r>
      <w:r>
        <w:rPr>
          <w:rFonts w:ascii="AdvOT1ef757c0" w:hAnsi="AdvOT1ef757c0" w:cs="AdvOT1ef757c0"/>
          <w:color w:val="000000"/>
          <w:sz w:val="19"/>
          <w:szCs w:val="19"/>
        </w:rPr>
        <w:t xml:space="preserve">, </w:t>
      </w:r>
      <w:r>
        <w:rPr>
          <w:rFonts w:ascii="AdvOT7d6df7ab.I" w:hAnsi="AdvOT7d6df7ab.I" w:cs="AdvOT7d6df7ab.I"/>
          <w:color w:val="000000"/>
          <w:sz w:val="19"/>
          <w:szCs w:val="19"/>
        </w:rPr>
        <w:t>5</w:t>
      </w:r>
      <w:r>
        <w:rPr>
          <w:rFonts w:ascii="AdvOT1ef757c0" w:hAnsi="AdvOT1ef757c0" w:cs="AdvOT1ef757c0"/>
          <w:color w:val="000000"/>
          <w:sz w:val="19"/>
          <w:szCs w:val="19"/>
        </w:rPr>
        <w:t>(1</w:t>
      </w:r>
      <w:r>
        <w:rPr>
          <w:rFonts w:ascii="AdvOT1ef757c0+20" w:hAnsi="AdvOT1ef757c0+20" w:cs="AdvOT1ef757c0+20"/>
          <w:color w:val="000000"/>
          <w:sz w:val="19"/>
          <w:szCs w:val="19"/>
        </w:rPr>
        <w:t>–</w:t>
      </w:r>
      <w:r>
        <w:rPr>
          <w:rFonts w:ascii="AdvOT1ef757c0" w:hAnsi="AdvOT1ef757c0" w:cs="AdvOT1ef757c0"/>
          <w:color w:val="000000"/>
          <w:sz w:val="19"/>
          <w:szCs w:val="19"/>
        </w:rPr>
        <w:t>2),</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271</w:t>
      </w:r>
      <w:r>
        <w:rPr>
          <w:rFonts w:ascii="AdvOT1ef757c0+20" w:hAnsi="AdvOT1ef757c0+20" w:cs="AdvOT1ef757c0+20"/>
          <w:color w:val="000000"/>
          <w:sz w:val="19"/>
          <w:szCs w:val="19"/>
        </w:rPr>
        <w:t>–</w:t>
      </w:r>
      <w:r>
        <w:rPr>
          <w:rFonts w:ascii="AdvOT1ef757c0" w:hAnsi="AdvOT1ef757c0" w:cs="AdvOT1ef757c0"/>
          <w:color w:val="000000"/>
          <w:sz w:val="19"/>
          <w:szCs w:val="19"/>
        </w:rPr>
        <w:t>293.</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Aveyard, H., &amp; Sharp, P. (</w:t>
      </w:r>
      <w:r>
        <w:rPr>
          <w:rFonts w:ascii="AdvOT1ef757c0" w:hAnsi="AdvOT1ef757c0" w:cs="AdvOT1ef757c0"/>
          <w:color w:val="000085"/>
          <w:sz w:val="19"/>
          <w:szCs w:val="19"/>
        </w:rPr>
        <w:t>2009</w:t>
      </w:r>
      <w:r>
        <w:rPr>
          <w:rFonts w:ascii="AdvOT1ef757c0" w:hAnsi="AdvOT1ef757c0" w:cs="AdvOT1ef757c0"/>
          <w:color w:val="000000"/>
          <w:sz w:val="19"/>
          <w:szCs w:val="19"/>
        </w:rPr>
        <w:t xml:space="preserve">). </w:t>
      </w:r>
      <w:r>
        <w:rPr>
          <w:rFonts w:ascii="AdvOT7d6df7ab.I" w:hAnsi="AdvOT7d6df7ab.I" w:cs="AdvOT7d6df7ab.I"/>
          <w:color w:val="000000"/>
          <w:sz w:val="19"/>
          <w:szCs w:val="19"/>
        </w:rPr>
        <w:t xml:space="preserve">A </w:t>
      </w:r>
      <w:proofErr w:type="gramStart"/>
      <w:r>
        <w:rPr>
          <w:rFonts w:ascii="AdvOT7d6df7ab.I" w:hAnsi="AdvOT7d6df7ab.I" w:cs="AdvOT7d6df7ab.I"/>
          <w:color w:val="000000"/>
          <w:sz w:val="19"/>
          <w:szCs w:val="19"/>
        </w:rPr>
        <w:t>beginners</w:t>
      </w:r>
      <w:proofErr w:type="gramEnd"/>
      <w:r>
        <w:rPr>
          <w:rFonts w:ascii="AdvOT7d6df7ab.I" w:hAnsi="AdvOT7d6df7ab.I" w:cs="AdvOT7d6df7ab.I"/>
          <w:color w:val="000000"/>
          <w:sz w:val="19"/>
          <w:szCs w:val="19"/>
        </w:rPr>
        <w:t xml:space="preserve"> guide to evidence-based practice in health and social</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 xml:space="preserve">care </w:t>
      </w:r>
      <w:r>
        <w:rPr>
          <w:rFonts w:ascii="AdvOT1ef757c0" w:hAnsi="AdvOT1ef757c0" w:cs="AdvOT1ef757c0"/>
          <w:color w:val="000000"/>
          <w:sz w:val="19"/>
          <w:szCs w:val="19"/>
        </w:rPr>
        <w:t>(2nd ed.). Milton Keynes: Open University Press.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Banks, S. (</w:t>
      </w:r>
      <w:r>
        <w:rPr>
          <w:rFonts w:ascii="AdvOT1ef757c0" w:hAnsi="AdvOT1ef757c0" w:cs="AdvOT1ef757c0"/>
          <w:color w:val="000085"/>
          <w:sz w:val="19"/>
          <w:szCs w:val="19"/>
        </w:rPr>
        <w:t>2004</w:t>
      </w:r>
      <w:r>
        <w:rPr>
          <w:rFonts w:ascii="AdvOT1ef757c0" w:hAnsi="AdvOT1ef757c0" w:cs="AdvOT1ef757c0"/>
          <w:color w:val="000000"/>
          <w:sz w:val="19"/>
          <w:szCs w:val="19"/>
        </w:rPr>
        <w:t xml:space="preserve">). </w:t>
      </w:r>
      <w:r>
        <w:rPr>
          <w:rFonts w:ascii="AdvOT7d6df7ab.I" w:hAnsi="AdvOT7d6df7ab.I" w:cs="AdvOT7d6df7ab.I"/>
          <w:color w:val="000000"/>
          <w:sz w:val="19"/>
          <w:szCs w:val="19"/>
        </w:rPr>
        <w:t>Ethics, accountability and the social professions</w:t>
      </w:r>
      <w:r>
        <w:rPr>
          <w:rFonts w:ascii="AdvOT1ef757c0" w:hAnsi="AdvOT1ef757c0" w:cs="AdvOT1ef757c0"/>
          <w:color w:val="000000"/>
          <w:sz w:val="19"/>
          <w:szCs w:val="19"/>
        </w:rPr>
        <w:t>. Basingstoke: Palgrave MacMillan.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Banks, S. (</w:t>
      </w:r>
      <w:r>
        <w:rPr>
          <w:rFonts w:ascii="AdvOT1ef757c0" w:hAnsi="AdvOT1ef757c0" w:cs="AdvOT1ef757c0"/>
          <w:color w:val="000085"/>
          <w:sz w:val="19"/>
          <w:szCs w:val="19"/>
        </w:rPr>
        <w:t>2007</w:t>
      </w:r>
      <w:r>
        <w:rPr>
          <w:rFonts w:ascii="AdvOT1ef757c0" w:hAnsi="AdvOT1ef757c0" w:cs="AdvOT1ef757c0"/>
          <w:color w:val="000000"/>
          <w:sz w:val="19"/>
          <w:szCs w:val="19"/>
        </w:rPr>
        <w:t xml:space="preserve">). </w:t>
      </w:r>
      <w:r>
        <w:rPr>
          <w:rFonts w:ascii="AdvOT7d6df7ab.I" w:hAnsi="AdvOT7d6df7ab.I" w:cs="AdvOT7d6df7ab.I"/>
          <w:color w:val="000000"/>
          <w:sz w:val="19"/>
          <w:szCs w:val="19"/>
        </w:rPr>
        <w:t>Between equity and empathy: Social professions and the new accountability</w:t>
      </w:r>
      <w:r>
        <w:rPr>
          <w:rFonts w:ascii="AdvOT1ef757c0" w:hAnsi="AdvOT1ef757c0" w:cs="AdvOT1ef757c0"/>
          <w:color w:val="000000"/>
          <w:sz w:val="19"/>
          <w:szCs w:val="19"/>
        </w:rPr>
        <w:t>.</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r>
        <w:rPr>
          <w:rFonts w:ascii="AdvOT1ef757c0" w:hAnsi="AdvOT1ef757c0" w:cs="AdvOT1ef757c0"/>
          <w:color w:val="000000"/>
          <w:sz w:val="19"/>
          <w:szCs w:val="19"/>
        </w:rPr>
        <w:t xml:space="preserve">Retrieved from </w:t>
      </w:r>
      <w:hyperlink r:id="rId5" w:history="1">
        <w:r w:rsidRPr="00151C74">
          <w:rPr>
            <w:rStyle w:val="Hyperlink"/>
            <w:rFonts w:ascii="AdvOT1ef757c0" w:hAnsi="AdvOT1ef757c0" w:cs="AdvOT1ef757c0"/>
            <w:sz w:val="19"/>
            <w:szCs w:val="19"/>
          </w:rPr>
          <w:t>https://doaj.org/article/6805cf34b9bc4e33a1994b3bbb766708</w:t>
        </w:r>
      </w:hyperlink>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Barnardo</w:t>
      </w:r>
      <w:r>
        <w:rPr>
          <w:rFonts w:ascii="AdvOT1ef757c0+20" w:hAnsi="AdvOT1ef757c0+20" w:cs="AdvOT1ef757c0+20"/>
          <w:color w:val="000000"/>
          <w:sz w:val="19"/>
          <w:szCs w:val="19"/>
        </w:rPr>
        <w:t>’</w:t>
      </w:r>
      <w:r>
        <w:rPr>
          <w:rFonts w:ascii="AdvOT1ef757c0" w:hAnsi="AdvOT1ef757c0" w:cs="AdvOT1ef757c0"/>
          <w:color w:val="000000"/>
          <w:sz w:val="19"/>
          <w:szCs w:val="19"/>
        </w:rPr>
        <w:t>s. (</w:t>
      </w:r>
      <w:r>
        <w:rPr>
          <w:rFonts w:ascii="AdvOT1ef757c0" w:hAnsi="AdvOT1ef757c0" w:cs="AdvOT1ef757c0"/>
          <w:color w:val="000085"/>
          <w:sz w:val="19"/>
          <w:szCs w:val="19"/>
        </w:rPr>
        <w:t>2000</w:t>
      </w:r>
      <w:r>
        <w:rPr>
          <w:rFonts w:ascii="AdvOT1ef757c0" w:hAnsi="AdvOT1ef757c0" w:cs="AdvOT1ef757c0"/>
          <w:color w:val="000000"/>
          <w:sz w:val="19"/>
          <w:szCs w:val="19"/>
        </w:rPr>
        <w:t xml:space="preserve">). </w:t>
      </w:r>
      <w:r>
        <w:rPr>
          <w:rFonts w:ascii="AdvOT7d6df7ab.I+20" w:hAnsi="AdvOT7d6df7ab.I+20" w:cs="AdvOT7d6df7ab.I+20"/>
          <w:color w:val="000000"/>
          <w:sz w:val="19"/>
          <w:szCs w:val="19"/>
        </w:rPr>
        <w:t>‘</w:t>
      </w:r>
      <w:r>
        <w:rPr>
          <w:rFonts w:ascii="AdvOT7d6df7ab.I" w:hAnsi="AdvOT7d6df7ab.I" w:cs="AdvOT7d6df7ab.I"/>
          <w:color w:val="000000"/>
          <w:sz w:val="19"/>
          <w:szCs w:val="19"/>
        </w:rPr>
        <w:t>What works? Making connections: Linking research and practice</w:t>
      </w:r>
      <w:r>
        <w:rPr>
          <w:rFonts w:ascii="AdvOT7d6df7ab.I+20" w:hAnsi="AdvOT7d6df7ab.I+20" w:cs="AdvOT7d6df7ab.I+20"/>
          <w:color w:val="000000"/>
          <w:sz w:val="19"/>
          <w:szCs w:val="19"/>
        </w:rPr>
        <w:t xml:space="preserve">’ </w:t>
      </w:r>
      <w:r>
        <w:rPr>
          <w:rFonts w:ascii="AdvOT7d6df7ab.I" w:hAnsi="AdvOT7d6df7ab.I" w:cs="AdvOT7d6df7ab.I"/>
          <w:color w:val="000000"/>
          <w:sz w:val="19"/>
          <w:szCs w:val="19"/>
        </w:rPr>
        <w:t>A review by</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roofErr w:type="spellStart"/>
      <w:r>
        <w:rPr>
          <w:rFonts w:ascii="AdvOT7d6df7ab.I" w:hAnsi="AdvOT7d6df7ab.I" w:cs="AdvOT7d6df7ab.I"/>
          <w:color w:val="000000"/>
          <w:sz w:val="19"/>
          <w:szCs w:val="19"/>
        </w:rPr>
        <w:t>Bardardo</w:t>
      </w:r>
      <w:r>
        <w:rPr>
          <w:rFonts w:ascii="AdvOT7d6df7ab.I+20" w:hAnsi="AdvOT7d6df7ab.I+20" w:cs="AdvOT7d6df7ab.I+20"/>
          <w:color w:val="000000"/>
          <w:sz w:val="19"/>
          <w:szCs w:val="19"/>
        </w:rPr>
        <w:t>’</w:t>
      </w:r>
      <w:r>
        <w:rPr>
          <w:rFonts w:ascii="AdvOT7d6df7ab.I" w:hAnsi="AdvOT7d6df7ab.I" w:cs="AdvOT7d6df7ab.I"/>
          <w:color w:val="000000"/>
          <w:sz w:val="19"/>
          <w:szCs w:val="19"/>
        </w:rPr>
        <w:t>s</w:t>
      </w:r>
      <w:proofErr w:type="spellEnd"/>
      <w:r>
        <w:rPr>
          <w:rFonts w:ascii="AdvOT7d6df7ab.I" w:hAnsi="AdvOT7d6df7ab.I" w:cs="AdvOT7d6df7ab.I"/>
          <w:color w:val="000000"/>
          <w:sz w:val="19"/>
          <w:szCs w:val="19"/>
        </w:rPr>
        <w:t xml:space="preserve"> research and development team supported by the Joseph Rowntree Foundation</w:t>
      </w:r>
      <w:r>
        <w:rPr>
          <w:rFonts w:ascii="AdvOT1ef757c0" w:hAnsi="AdvOT1ef757c0" w:cs="AdvOT1ef757c0"/>
          <w:color w:val="000000"/>
          <w:sz w:val="19"/>
          <w:szCs w:val="19"/>
        </w:rPr>
        <w:t>.</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Essex: Author.</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Barratt, P. M., &amp; Cooke, J. C. (</w:t>
      </w:r>
      <w:r>
        <w:rPr>
          <w:rFonts w:ascii="AdvOT1ef757c0" w:hAnsi="AdvOT1ef757c0" w:cs="AdvOT1ef757c0"/>
          <w:color w:val="000085"/>
          <w:sz w:val="19"/>
          <w:szCs w:val="19"/>
        </w:rPr>
        <w:t>2001</w:t>
      </w:r>
      <w:r>
        <w:rPr>
          <w:rFonts w:ascii="AdvOT1ef757c0" w:hAnsi="AdvOT1ef757c0" w:cs="AdvOT1ef757c0"/>
          <w:color w:val="000000"/>
          <w:sz w:val="19"/>
          <w:szCs w:val="19"/>
        </w:rPr>
        <w:t xml:space="preserve">). </w:t>
      </w:r>
      <w:r>
        <w:rPr>
          <w:rFonts w:ascii="AdvOT7d6df7ab.I" w:hAnsi="AdvOT7d6df7ab.I" w:cs="AdvOT7d6df7ab.I"/>
          <w:color w:val="000000"/>
          <w:sz w:val="19"/>
          <w:szCs w:val="19"/>
        </w:rPr>
        <w:t>REAL evidence-based practice in teams: Action pack. Research</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in practice</w:t>
      </w:r>
      <w:r>
        <w:rPr>
          <w:rFonts w:ascii="AdvOT1ef757c0" w:hAnsi="AdvOT1ef757c0" w:cs="AdvOT1ef757c0"/>
          <w:color w:val="000000"/>
          <w:sz w:val="19"/>
          <w:szCs w:val="19"/>
        </w:rPr>
        <w:t>. She</w:t>
      </w:r>
      <w:r>
        <w:rPr>
          <w:rFonts w:ascii="AdvOT1ef757c0+fb" w:hAnsi="AdvOT1ef757c0+fb" w:cs="AdvOT1ef757c0+fb"/>
          <w:color w:val="000000"/>
          <w:sz w:val="19"/>
          <w:szCs w:val="19"/>
        </w:rPr>
        <w:t>ffi</w:t>
      </w:r>
      <w:r>
        <w:rPr>
          <w:rFonts w:ascii="AdvOT1ef757c0" w:hAnsi="AdvOT1ef757c0" w:cs="AdvOT1ef757c0"/>
          <w:color w:val="000000"/>
          <w:sz w:val="19"/>
          <w:szCs w:val="19"/>
        </w:rPr>
        <w:t>eld: She</w:t>
      </w:r>
      <w:r>
        <w:rPr>
          <w:rFonts w:ascii="AdvOT1ef757c0+fb" w:hAnsi="AdvOT1ef757c0+fb" w:cs="AdvOT1ef757c0+fb"/>
          <w:color w:val="000000"/>
          <w:sz w:val="19"/>
          <w:szCs w:val="19"/>
        </w:rPr>
        <w:t>ffi</w:t>
      </w:r>
      <w:r>
        <w:rPr>
          <w:rFonts w:ascii="AdvOT1ef757c0" w:hAnsi="AdvOT1ef757c0" w:cs="AdvOT1ef757c0"/>
          <w:color w:val="000000"/>
          <w:sz w:val="19"/>
          <w:szCs w:val="19"/>
        </w:rPr>
        <w:t>eld University.</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Bryman, A. (</w:t>
      </w:r>
      <w:r>
        <w:rPr>
          <w:rFonts w:ascii="AdvOT1ef757c0" w:hAnsi="AdvOT1ef757c0" w:cs="AdvOT1ef757c0"/>
          <w:color w:val="000085"/>
          <w:sz w:val="19"/>
          <w:szCs w:val="19"/>
        </w:rPr>
        <w:t>2016</w:t>
      </w:r>
      <w:r>
        <w:rPr>
          <w:rFonts w:ascii="AdvOT1ef757c0" w:hAnsi="AdvOT1ef757c0" w:cs="AdvOT1ef757c0"/>
          <w:color w:val="000000"/>
          <w:sz w:val="19"/>
          <w:szCs w:val="19"/>
        </w:rPr>
        <w:t xml:space="preserve">). </w:t>
      </w:r>
      <w:r>
        <w:rPr>
          <w:rFonts w:ascii="AdvOT7d6df7ab.I" w:hAnsi="AdvOT7d6df7ab.I" w:cs="AdvOT7d6df7ab.I"/>
          <w:color w:val="000000"/>
          <w:sz w:val="19"/>
          <w:szCs w:val="19"/>
        </w:rPr>
        <w:t xml:space="preserve">Social research methods </w:t>
      </w:r>
      <w:r>
        <w:rPr>
          <w:rFonts w:ascii="AdvOT1ef757c0" w:hAnsi="AdvOT1ef757c0" w:cs="AdvOT1ef757c0"/>
          <w:color w:val="000000"/>
          <w:sz w:val="19"/>
          <w:szCs w:val="19"/>
        </w:rPr>
        <w:t>(5th ed.). Oxford: Oxford University Press.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Buckley, H., &amp; Whelan, S. (</w:t>
      </w:r>
      <w:r>
        <w:rPr>
          <w:rFonts w:ascii="AdvOT1ef757c0" w:hAnsi="AdvOT1ef757c0" w:cs="AdvOT1ef757c0"/>
          <w:color w:val="000085"/>
          <w:sz w:val="19"/>
          <w:szCs w:val="19"/>
        </w:rPr>
        <w:t>2009</w:t>
      </w:r>
      <w:r>
        <w:rPr>
          <w:rFonts w:ascii="AdvOT1ef757c0" w:hAnsi="AdvOT1ef757c0" w:cs="AdvOT1ef757c0"/>
          <w:color w:val="000000"/>
          <w:sz w:val="19"/>
          <w:szCs w:val="19"/>
        </w:rPr>
        <w:t xml:space="preserve">). </w:t>
      </w:r>
      <w:r>
        <w:rPr>
          <w:rFonts w:ascii="AdvOT7d6df7ab.I" w:hAnsi="AdvOT7d6df7ab.I" w:cs="AdvOT7d6df7ab.I"/>
          <w:color w:val="000000"/>
          <w:sz w:val="19"/>
          <w:szCs w:val="19"/>
        </w:rPr>
        <w:t>Putting research evidence to work: Key issues for research utilisation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lastRenderedPageBreak/>
        <w:t>in Irish children</w:t>
      </w:r>
      <w:r>
        <w:rPr>
          <w:rFonts w:ascii="AdvOT7d6df7ab.I+20" w:hAnsi="AdvOT7d6df7ab.I+20" w:cs="AdvOT7d6df7ab.I+20"/>
          <w:color w:val="000000"/>
          <w:sz w:val="19"/>
          <w:szCs w:val="19"/>
        </w:rPr>
        <w:t>’</w:t>
      </w:r>
      <w:r>
        <w:rPr>
          <w:rFonts w:ascii="AdvOT7d6df7ab.I" w:hAnsi="AdvOT7d6df7ab.I" w:cs="AdvOT7d6df7ab.I"/>
          <w:color w:val="000000"/>
          <w:sz w:val="19"/>
          <w:szCs w:val="19"/>
        </w:rPr>
        <w:t xml:space="preserve">s services? </w:t>
      </w:r>
      <w:r>
        <w:rPr>
          <w:rFonts w:ascii="AdvOT1ef757c0" w:hAnsi="AdvOT1ef757c0" w:cs="AdvOT1ef757c0"/>
          <w:color w:val="000000"/>
          <w:sz w:val="19"/>
          <w:szCs w:val="19"/>
        </w:rPr>
        <w:t>Dublin: Children Acts Advisory Board.</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Burns, K., &amp; McGregor, C. (</w:t>
      </w:r>
      <w:r>
        <w:rPr>
          <w:rFonts w:ascii="AdvOT1ef757c0" w:hAnsi="AdvOT1ef757c0" w:cs="AdvOT1ef757c0"/>
          <w:color w:val="000085"/>
          <w:sz w:val="19"/>
          <w:szCs w:val="19"/>
        </w:rPr>
        <w:t>2018</w:t>
      </w:r>
      <w:r>
        <w:rPr>
          <w:rFonts w:ascii="AdvOT1ef757c0" w:hAnsi="AdvOT1ef757c0" w:cs="AdvOT1ef757c0"/>
          <w:color w:val="000000"/>
          <w:sz w:val="19"/>
          <w:szCs w:val="19"/>
        </w:rPr>
        <w:t>). Child protection and welfare systems in Ireland: Continuities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and discontinuities of the present. In L. Merkel-Holguin, J. D. Fluke, &amp; R. Krugman (Eds.),</w:t>
      </w: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7d6df7ab.I" w:hAnsi="AdvOT7d6df7ab.I" w:cs="AdvOT7d6df7ab.I"/>
          <w:color w:val="000000"/>
          <w:sz w:val="19"/>
          <w:szCs w:val="19"/>
        </w:rPr>
        <w:t>National systems of child protection: Understanding the international variability and context</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 xml:space="preserve">for developing policy and practice </w:t>
      </w:r>
      <w:r>
        <w:rPr>
          <w:rFonts w:ascii="AdvOT1ef757c0" w:hAnsi="AdvOT1ef757c0" w:cs="AdvOT1ef757c0"/>
          <w:color w:val="000000"/>
          <w:sz w:val="19"/>
          <w:szCs w:val="19"/>
        </w:rPr>
        <w:t>(pp. 115</w:t>
      </w:r>
      <w:r>
        <w:rPr>
          <w:rFonts w:ascii="AdvOT1ef757c0+20" w:hAnsi="AdvOT1ef757c0+20" w:cs="AdvOT1ef757c0+20"/>
          <w:color w:val="000000"/>
          <w:sz w:val="19"/>
          <w:szCs w:val="19"/>
        </w:rPr>
        <w:t>–</w:t>
      </w:r>
      <w:r>
        <w:rPr>
          <w:rFonts w:ascii="AdvOT1ef757c0" w:hAnsi="AdvOT1ef757c0" w:cs="AdvOT1ef757c0"/>
          <w:color w:val="000000"/>
          <w:sz w:val="19"/>
          <w:szCs w:val="19"/>
        </w:rPr>
        <w:t>138). Dordrecht: Springer International</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Publishing/Palgrave Macmillan.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Burr, V. (</w:t>
      </w:r>
      <w:r>
        <w:rPr>
          <w:rFonts w:ascii="AdvOT1ef757c0" w:hAnsi="AdvOT1ef757c0" w:cs="AdvOT1ef757c0"/>
          <w:color w:val="000085"/>
          <w:sz w:val="19"/>
          <w:szCs w:val="19"/>
        </w:rPr>
        <w:t>2015</w:t>
      </w:r>
      <w:r>
        <w:rPr>
          <w:rFonts w:ascii="AdvOT1ef757c0" w:hAnsi="AdvOT1ef757c0" w:cs="AdvOT1ef757c0"/>
          <w:color w:val="000000"/>
          <w:sz w:val="19"/>
          <w:szCs w:val="19"/>
        </w:rPr>
        <w:t xml:space="preserve">). </w:t>
      </w:r>
      <w:r>
        <w:rPr>
          <w:rFonts w:ascii="AdvOT7d6df7ab.I" w:hAnsi="AdvOT7d6df7ab.I" w:cs="AdvOT7d6df7ab.I"/>
          <w:color w:val="000000"/>
          <w:sz w:val="19"/>
          <w:szCs w:val="19"/>
        </w:rPr>
        <w:t xml:space="preserve">Social constructionism </w:t>
      </w:r>
      <w:r>
        <w:rPr>
          <w:rFonts w:ascii="AdvOT1ef757c0" w:hAnsi="AdvOT1ef757c0" w:cs="AdvOT1ef757c0"/>
          <w:color w:val="000000"/>
          <w:sz w:val="19"/>
          <w:szCs w:val="19"/>
        </w:rPr>
        <w:t>(3rd ed.). London: Routledge.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Byrne, C. (</w:t>
      </w:r>
      <w:r>
        <w:rPr>
          <w:rFonts w:ascii="AdvOT1ef757c0" w:hAnsi="AdvOT1ef757c0" w:cs="AdvOT1ef757c0"/>
          <w:color w:val="000085"/>
          <w:sz w:val="19"/>
          <w:szCs w:val="19"/>
        </w:rPr>
        <w:t>2016</w:t>
      </w:r>
      <w:r>
        <w:rPr>
          <w:rFonts w:ascii="AdvOT1ef757c0" w:hAnsi="AdvOT1ef757c0" w:cs="AdvOT1ef757c0"/>
          <w:color w:val="000000"/>
          <w:sz w:val="19"/>
          <w:szCs w:val="19"/>
        </w:rPr>
        <w:t>). Ready or not? Statutory registration, regulation and continuing professional</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development for social care workers in Ireland. </w:t>
      </w:r>
      <w:r>
        <w:rPr>
          <w:rFonts w:ascii="AdvOT7d6df7ab.I" w:hAnsi="AdvOT7d6df7ab.I" w:cs="AdvOT7d6df7ab.I"/>
          <w:color w:val="000000"/>
          <w:sz w:val="19"/>
          <w:szCs w:val="19"/>
        </w:rPr>
        <w:t>Administration</w:t>
      </w:r>
      <w:r>
        <w:rPr>
          <w:rFonts w:ascii="AdvOT1ef757c0" w:hAnsi="AdvOT1ef757c0" w:cs="AdvOT1ef757c0"/>
          <w:color w:val="000000"/>
          <w:sz w:val="19"/>
          <w:szCs w:val="19"/>
        </w:rPr>
        <w:t xml:space="preserve">, </w:t>
      </w:r>
      <w:r>
        <w:rPr>
          <w:rFonts w:ascii="AdvOT7d6df7ab.I" w:hAnsi="AdvOT7d6df7ab.I" w:cs="AdvOT7d6df7ab.I"/>
          <w:color w:val="000000"/>
          <w:sz w:val="19"/>
          <w:szCs w:val="19"/>
        </w:rPr>
        <w:t>64</w:t>
      </w:r>
      <w:r>
        <w:rPr>
          <w:rFonts w:ascii="AdvOT1ef757c0" w:hAnsi="AdvOT1ef757c0" w:cs="AdvOT1ef757c0"/>
          <w:color w:val="000000"/>
          <w:sz w:val="19"/>
          <w:szCs w:val="19"/>
        </w:rPr>
        <w:t>(2), 9</w:t>
      </w:r>
      <w:r>
        <w:rPr>
          <w:rFonts w:ascii="AdvOT1ef757c0+20" w:hAnsi="AdvOT1ef757c0+20" w:cs="AdvOT1ef757c0+20"/>
          <w:color w:val="000000"/>
          <w:sz w:val="19"/>
          <w:szCs w:val="19"/>
        </w:rPr>
        <w:t>–</w:t>
      </w:r>
      <w:r>
        <w:rPr>
          <w:rFonts w:ascii="AdvOT1ef757c0" w:hAnsi="AdvOT1ef757c0" w:cs="AdvOT1ef757c0"/>
          <w:color w:val="000000"/>
          <w:sz w:val="19"/>
          <w:szCs w:val="19"/>
        </w:rPr>
        <w:t>29.</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Byrne, J. (</w:t>
      </w:r>
      <w:r>
        <w:rPr>
          <w:rFonts w:ascii="AdvOT1ef757c0" w:hAnsi="AdvOT1ef757c0" w:cs="AdvOT1ef757c0"/>
          <w:color w:val="000085"/>
          <w:sz w:val="19"/>
          <w:szCs w:val="19"/>
        </w:rPr>
        <w:t>2009</w:t>
      </w:r>
      <w:r>
        <w:rPr>
          <w:rFonts w:ascii="AdvOT1ef757c0" w:hAnsi="AdvOT1ef757c0" w:cs="AdvOT1ef757c0"/>
          <w:color w:val="000000"/>
          <w:sz w:val="19"/>
          <w:szCs w:val="19"/>
        </w:rPr>
        <w:t xml:space="preserve">). Personal and professional development for social care workers. In K. </w:t>
      </w:r>
      <w:proofErr w:type="spellStart"/>
      <w:r>
        <w:rPr>
          <w:rFonts w:ascii="AdvOT1ef757c0" w:hAnsi="AdvOT1ef757c0" w:cs="AdvOT1ef757c0"/>
          <w:color w:val="000000"/>
          <w:sz w:val="19"/>
          <w:szCs w:val="19"/>
        </w:rPr>
        <w:t>Lalor</w:t>
      </w:r>
      <w:proofErr w:type="spellEnd"/>
      <w:r>
        <w:rPr>
          <w:rFonts w:ascii="AdvOT1ef757c0" w:hAnsi="AdvOT1ef757c0" w:cs="AdvOT1ef757c0"/>
          <w:color w:val="000000"/>
          <w:sz w:val="19"/>
          <w:szCs w:val="19"/>
        </w:rPr>
        <w:t xml:space="preserve"> &amp; P.</w:t>
      </w:r>
    </w:p>
    <w:p w:rsidR="00736380" w:rsidRDefault="00736380" w:rsidP="00736380">
      <w:pPr>
        <w:autoSpaceDE w:val="0"/>
        <w:autoSpaceDN w:val="0"/>
        <w:adjustRightInd w:val="0"/>
        <w:spacing w:after="0" w:line="240" w:lineRule="auto"/>
        <w:rPr>
          <w:rFonts w:ascii="AdvOT1ef757c0+20" w:hAnsi="AdvOT1ef757c0+20" w:cs="AdvOT1ef757c0+20"/>
          <w:color w:val="000000"/>
          <w:sz w:val="19"/>
          <w:szCs w:val="19"/>
        </w:rPr>
      </w:pPr>
      <w:r>
        <w:rPr>
          <w:rFonts w:ascii="AdvOT1ef757c0" w:hAnsi="AdvOT1ef757c0" w:cs="AdvOT1ef757c0"/>
          <w:color w:val="000000"/>
          <w:sz w:val="19"/>
          <w:szCs w:val="19"/>
        </w:rPr>
        <w:t xml:space="preserve">Share (Eds.), </w:t>
      </w:r>
      <w:r>
        <w:rPr>
          <w:rFonts w:ascii="AdvOT7d6df7ab.I" w:hAnsi="AdvOT7d6df7ab.I" w:cs="AdvOT7d6df7ab.I"/>
          <w:color w:val="000000"/>
          <w:sz w:val="19"/>
          <w:szCs w:val="19"/>
        </w:rPr>
        <w:t xml:space="preserve">Applied social care, an introduction for students in Ireland </w:t>
      </w:r>
      <w:r>
        <w:rPr>
          <w:rFonts w:ascii="AdvOT1ef757c0" w:hAnsi="AdvOT1ef757c0" w:cs="AdvOT1ef757c0"/>
          <w:color w:val="000000"/>
          <w:sz w:val="19"/>
          <w:szCs w:val="19"/>
        </w:rPr>
        <w:t>(2nd ed.). (pp. 227</w:t>
      </w:r>
      <w:r>
        <w:rPr>
          <w:rFonts w:ascii="AdvOT1ef757c0+20" w:hAnsi="AdvOT1ef757c0+20" w:cs="AdvOT1ef757c0+20"/>
          <w:color w:val="000000"/>
          <w:sz w:val="19"/>
          <w:szCs w:val="19"/>
        </w:rPr>
        <w:t>–</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234). Dublin: MacMillan.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roofErr w:type="spellStart"/>
      <w:r>
        <w:rPr>
          <w:rFonts w:ascii="AdvOT1ef757c0" w:hAnsi="AdvOT1ef757c0" w:cs="AdvOT1ef757c0"/>
          <w:color w:val="000000"/>
          <w:sz w:val="19"/>
          <w:szCs w:val="19"/>
        </w:rPr>
        <w:t>Cairney</w:t>
      </w:r>
      <w:proofErr w:type="spellEnd"/>
      <w:r>
        <w:rPr>
          <w:rFonts w:ascii="AdvOT1ef757c0" w:hAnsi="AdvOT1ef757c0" w:cs="AdvOT1ef757c0"/>
          <w:color w:val="000000"/>
          <w:sz w:val="19"/>
          <w:szCs w:val="19"/>
        </w:rPr>
        <w:t>, P. (</w:t>
      </w:r>
      <w:r>
        <w:rPr>
          <w:rFonts w:ascii="AdvOT1ef757c0" w:hAnsi="AdvOT1ef757c0" w:cs="AdvOT1ef757c0"/>
          <w:color w:val="000085"/>
          <w:sz w:val="19"/>
          <w:szCs w:val="19"/>
        </w:rPr>
        <w:t>2016</w:t>
      </w:r>
      <w:r>
        <w:rPr>
          <w:rFonts w:ascii="AdvOT1ef757c0" w:hAnsi="AdvOT1ef757c0" w:cs="AdvOT1ef757c0"/>
          <w:color w:val="000000"/>
          <w:sz w:val="19"/>
          <w:szCs w:val="19"/>
        </w:rPr>
        <w:t xml:space="preserve">). </w:t>
      </w:r>
      <w:r>
        <w:rPr>
          <w:rFonts w:ascii="AdvOT7d6df7ab.I" w:hAnsi="AdvOT7d6df7ab.I" w:cs="AdvOT7d6df7ab.I"/>
          <w:color w:val="000000"/>
          <w:sz w:val="19"/>
          <w:szCs w:val="19"/>
        </w:rPr>
        <w:t>The politics of evidence-based policy making</w:t>
      </w:r>
      <w:r>
        <w:rPr>
          <w:rFonts w:ascii="AdvOT1ef757c0" w:hAnsi="AdvOT1ef757c0" w:cs="AdvOT1ef757c0"/>
          <w:color w:val="000000"/>
          <w:sz w:val="19"/>
          <w:szCs w:val="19"/>
        </w:rPr>
        <w:t>. London: Palgrave.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Chamberlain, P., Brown, C. H., Saldana, L., Reid, J., Wang, W., </w:t>
      </w:r>
      <w:proofErr w:type="spellStart"/>
      <w:r>
        <w:rPr>
          <w:rFonts w:ascii="AdvOT1ef757c0" w:hAnsi="AdvOT1ef757c0" w:cs="AdvOT1ef757c0"/>
          <w:color w:val="000000"/>
          <w:sz w:val="19"/>
          <w:szCs w:val="19"/>
        </w:rPr>
        <w:t>Marsenich</w:t>
      </w:r>
      <w:proofErr w:type="spellEnd"/>
      <w:r>
        <w:rPr>
          <w:rFonts w:ascii="AdvOT1ef757c0" w:hAnsi="AdvOT1ef757c0" w:cs="AdvOT1ef757c0"/>
          <w:color w:val="000000"/>
          <w:sz w:val="19"/>
          <w:szCs w:val="19"/>
        </w:rPr>
        <w:t xml:space="preserve">, </w:t>
      </w:r>
      <w:proofErr w:type="gramStart"/>
      <w:r>
        <w:rPr>
          <w:rFonts w:ascii="AdvOT1ef757c0" w:hAnsi="AdvOT1ef757c0" w:cs="AdvOT1ef757c0"/>
          <w:color w:val="000000"/>
          <w:sz w:val="19"/>
          <w:szCs w:val="19"/>
        </w:rPr>
        <w:t>L.,</w:t>
      </w:r>
      <w:r>
        <w:rPr>
          <w:rFonts w:ascii="AdvOT1ef757c0+20" w:hAnsi="AdvOT1ef757c0+20" w:cs="AdvOT1ef757c0+20"/>
          <w:color w:val="000000"/>
          <w:sz w:val="19"/>
          <w:szCs w:val="19"/>
        </w:rPr>
        <w:t>…</w:t>
      </w:r>
      <w:proofErr w:type="spellStart"/>
      <w:proofErr w:type="gramEnd"/>
      <w:r>
        <w:rPr>
          <w:rFonts w:ascii="AdvOT1ef757c0" w:hAnsi="AdvOT1ef757c0" w:cs="AdvOT1ef757c0"/>
          <w:color w:val="000000"/>
          <w:sz w:val="19"/>
          <w:szCs w:val="19"/>
        </w:rPr>
        <w:t>Bouwman</w:t>
      </w:r>
      <w:proofErr w:type="spellEnd"/>
      <w:r>
        <w:rPr>
          <w:rFonts w:ascii="AdvOT1ef757c0" w:hAnsi="AdvOT1ef757c0" w:cs="AdvOT1ef757c0"/>
          <w:color w:val="000000"/>
          <w:sz w:val="19"/>
          <w:szCs w:val="19"/>
        </w:rPr>
        <w:t>, G.</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w:t>
      </w:r>
      <w:r>
        <w:rPr>
          <w:rFonts w:ascii="AdvOT1ef757c0" w:hAnsi="AdvOT1ef757c0" w:cs="AdvOT1ef757c0"/>
          <w:color w:val="000085"/>
          <w:sz w:val="19"/>
          <w:szCs w:val="19"/>
        </w:rPr>
        <w:t>2008</w:t>
      </w:r>
      <w:r>
        <w:rPr>
          <w:rFonts w:ascii="AdvOT1ef757c0" w:hAnsi="AdvOT1ef757c0" w:cs="AdvOT1ef757c0"/>
          <w:color w:val="000000"/>
          <w:sz w:val="19"/>
          <w:szCs w:val="19"/>
        </w:rPr>
        <w:t>). Engaging and recruiting counties in an experiment on implementing evidence-based</w:t>
      </w: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 xml:space="preserve">practice in California. </w:t>
      </w:r>
      <w:r>
        <w:rPr>
          <w:rFonts w:ascii="AdvOT7d6df7ab.I" w:hAnsi="AdvOT7d6df7ab.I" w:cs="AdvOT7d6df7ab.I"/>
          <w:color w:val="000000"/>
          <w:sz w:val="19"/>
          <w:szCs w:val="19"/>
        </w:rPr>
        <w:t>Administration and Policy in Mental Health and Mental Health Services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Research</w:t>
      </w:r>
      <w:r>
        <w:rPr>
          <w:rFonts w:ascii="AdvOT1ef757c0" w:hAnsi="AdvOT1ef757c0" w:cs="AdvOT1ef757c0"/>
          <w:color w:val="000000"/>
          <w:sz w:val="19"/>
          <w:szCs w:val="19"/>
        </w:rPr>
        <w:t xml:space="preserve">, </w:t>
      </w:r>
      <w:r>
        <w:rPr>
          <w:rFonts w:ascii="AdvOT7d6df7ab.I" w:hAnsi="AdvOT7d6df7ab.I" w:cs="AdvOT7d6df7ab.I"/>
          <w:color w:val="000000"/>
          <w:sz w:val="19"/>
          <w:szCs w:val="19"/>
        </w:rPr>
        <w:t>35</w:t>
      </w:r>
      <w:r>
        <w:rPr>
          <w:rFonts w:ascii="AdvOT1ef757c0" w:hAnsi="AdvOT1ef757c0" w:cs="AdvOT1ef757c0"/>
          <w:color w:val="000000"/>
          <w:sz w:val="19"/>
          <w:szCs w:val="19"/>
        </w:rPr>
        <w:t>(4), 250</w:t>
      </w:r>
      <w:r>
        <w:rPr>
          <w:rFonts w:ascii="AdvOT1ef757c0+20" w:hAnsi="AdvOT1ef757c0+20" w:cs="AdvOT1ef757c0+20"/>
          <w:color w:val="000000"/>
          <w:sz w:val="19"/>
          <w:szCs w:val="19"/>
        </w:rPr>
        <w:t>–</w:t>
      </w:r>
      <w:r>
        <w:rPr>
          <w:rFonts w:ascii="AdvOT1ef757c0" w:hAnsi="AdvOT1ef757c0" w:cs="AdvOT1ef757c0"/>
          <w:color w:val="000000"/>
          <w:sz w:val="19"/>
          <w:szCs w:val="19"/>
        </w:rPr>
        <w:t>260.</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Christ, G., Stein, G., </w:t>
      </w:r>
      <w:proofErr w:type="spellStart"/>
      <w:r>
        <w:rPr>
          <w:rFonts w:ascii="AdvOT1ef757c0" w:hAnsi="AdvOT1ef757c0" w:cs="AdvOT1ef757c0"/>
          <w:color w:val="000000"/>
          <w:sz w:val="19"/>
          <w:szCs w:val="19"/>
        </w:rPr>
        <w:t>Cadell</w:t>
      </w:r>
      <w:proofErr w:type="spellEnd"/>
      <w:r>
        <w:rPr>
          <w:rFonts w:ascii="AdvOT1ef757c0" w:hAnsi="AdvOT1ef757c0" w:cs="AdvOT1ef757c0"/>
          <w:color w:val="000000"/>
          <w:sz w:val="19"/>
          <w:szCs w:val="19"/>
        </w:rPr>
        <w:t xml:space="preserve">, S., </w:t>
      </w:r>
      <w:proofErr w:type="spellStart"/>
      <w:r>
        <w:rPr>
          <w:rFonts w:ascii="AdvOT1ef757c0" w:hAnsi="AdvOT1ef757c0" w:cs="AdvOT1ef757c0"/>
          <w:color w:val="000000"/>
          <w:sz w:val="19"/>
          <w:szCs w:val="19"/>
        </w:rPr>
        <w:t>Boelk</w:t>
      </w:r>
      <w:proofErr w:type="spellEnd"/>
      <w:r>
        <w:rPr>
          <w:rFonts w:ascii="AdvOT1ef757c0" w:hAnsi="AdvOT1ef757c0" w:cs="AdvOT1ef757c0"/>
          <w:color w:val="000000"/>
          <w:sz w:val="19"/>
          <w:szCs w:val="19"/>
        </w:rPr>
        <w:t xml:space="preserve">, A., Kazanjian, A., &amp; </w:t>
      </w:r>
      <w:proofErr w:type="spellStart"/>
      <w:r>
        <w:rPr>
          <w:rFonts w:ascii="AdvOT1ef757c0" w:hAnsi="AdvOT1ef757c0" w:cs="AdvOT1ef757c0"/>
          <w:color w:val="000000"/>
          <w:sz w:val="19"/>
          <w:szCs w:val="19"/>
        </w:rPr>
        <w:t>Bosma</w:t>
      </w:r>
      <w:proofErr w:type="spellEnd"/>
      <w:r>
        <w:rPr>
          <w:rFonts w:ascii="AdvOT1ef757c0" w:hAnsi="AdvOT1ef757c0" w:cs="AdvOT1ef757c0"/>
          <w:color w:val="000000"/>
          <w:sz w:val="19"/>
          <w:szCs w:val="19"/>
        </w:rPr>
        <w:t>, H. (</w:t>
      </w:r>
      <w:r>
        <w:rPr>
          <w:rFonts w:ascii="AdvOT1ef757c0" w:hAnsi="AdvOT1ef757c0" w:cs="AdvOT1ef757c0"/>
          <w:color w:val="000085"/>
          <w:sz w:val="19"/>
          <w:szCs w:val="19"/>
        </w:rPr>
        <w:t>2011</w:t>
      </w:r>
      <w:r>
        <w:rPr>
          <w:rFonts w:ascii="AdvOT1ef757c0" w:hAnsi="AdvOT1ef757c0" w:cs="AdvOT1ef757c0"/>
          <w:color w:val="000000"/>
          <w:sz w:val="19"/>
          <w:szCs w:val="19"/>
        </w:rPr>
        <w:t>). Enhancing social work</w:t>
      </w: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 xml:space="preserve">practice through evidence-based research: Best practices for delivering care to families. </w:t>
      </w:r>
      <w:r>
        <w:rPr>
          <w:rFonts w:ascii="AdvOT7d6df7ab.I" w:hAnsi="AdvOT7d6df7ab.I" w:cs="AdvOT7d6df7ab.I"/>
          <w:color w:val="000000"/>
          <w:sz w:val="19"/>
          <w:szCs w:val="19"/>
        </w:rPr>
        <w:t>Journal of</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Pain and Symptom Management</w:t>
      </w:r>
      <w:r>
        <w:rPr>
          <w:rFonts w:ascii="AdvOT1ef757c0" w:hAnsi="AdvOT1ef757c0" w:cs="AdvOT1ef757c0"/>
          <w:color w:val="000000"/>
          <w:sz w:val="19"/>
          <w:szCs w:val="19"/>
        </w:rPr>
        <w:t xml:space="preserve">, </w:t>
      </w:r>
      <w:r>
        <w:rPr>
          <w:rFonts w:ascii="AdvOT7d6df7ab.I" w:hAnsi="AdvOT7d6df7ab.I" w:cs="AdvOT7d6df7ab.I"/>
          <w:color w:val="000000"/>
          <w:sz w:val="19"/>
          <w:szCs w:val="19"/>
        </w:rPr>
        <w:t>41</w:t>
      </w:r>
      <w:r>
        <w:rPr>
          <w:rFonts w:ascii="AdvOT1ef757c0" w:hAnsi="AdvOT1ef757c0" w:cs="AdvOT1ef757c0"/>
          <w:color w:val="000000"/>
          <w:sz w:val="19"/>
          <w:szCs w:val="19"/>
        </w:rPr>
        <w:t>(1), 176.</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Commission to Inquire into Child Abuse Report. (</w:t>
      </w:r>
      <w:r>
        <w:rPr>
          <w:rFonts w:ascii="AdvOT1ef757c0" w:hAnsi="AdvOT1ef757c0" w:cs="AdvOT1ef757c0"/>
          <w:color w:val="000085"/>
          <w:sz w:val="19"/>
          <w:szCs w:val="19"/>
        </w:rPr>
        <w:t>2009</w:t>
      </w:r>
      <w:r>
        <w:rPr>
          <w:rFonts w:ascii="AdvOT1ef757c0" w:hAnsi="AdvOT1ef757c0" w:cs="AdvOT1ef757c0"/>
          <w:color w:val="000000"/>
          <w:sz w:val="19"/>
          <w:szCs w:val="19"/>
        </w:rPr>
        <w:t xml:space="preserve">). </w:t>
      </w:r>
      <w:r>
        <w:rPr>
          <w:rFonts w:ascii="AdvOT7d6df7ab.I" w:hAnsi="AdvOT7d6df7ab.I" w:cs="AdvOT7d6df7ab.I"/>
          <w:color w:val="000000"/>
          <w:sz w:val="19"/>
          <w:szCs w:val="19"/>
        </w:rPr>
        <w:t>Report of the commission to Inquire into</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child abuse</w:t>
      </w:r>
      <w:r>
        <w:rPr>
          <w:rFonts w:ascii="AdvOT1ef757c0" w:hAnsi="AdvOT1ef757c0" w:cs="AdvOT1ef757c0"/>
          <w:color w:val="000000"/>
          <w:sz w:val="19"/>
          <w:szCs w:val="19"/>
        </w:rPr>
        <w:t>. Dublin: Department of Health and Children.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r>
        <w:rPr>
          <w:rFonts w:ascii="AdvOT1ef757c0" w:hAnsi="AdvOT1ef757c0" w:cs="AdvOT1ef757c0"/>
          <w:color w:val="000000"/>
          <w:sz w:val="19"/>
          <w:szCs w:val="19"/>
        </w:rPr>
        <w:t>CORU. (</w:t>
      </w:r>
      <w:r>
        <w:rPr>
          <w:rFonts w:ascii="AdvOT1ef757c0" w:hAnsi="AdvOT1ef757c0" w:cs="AdvOT1ef757c0"/>
          <w:color w:val="000085"/>
          <w:sz w:val="19"/>
          <w:szCs w:val="19"/>
        </w:rPr>
        <w:t>2017a</w:t>
      </w:r>
      <w:r>
        <w:rPr>
          <w:rFonts w:ascii="AdvOT1ef757c0" w:hAnsi="AdvOT1ef757c0" w:cs="AdvOT1ef757c0"/>
          <w:color w:val="000000"/>
          <w:sz w:val="19"/>
          <w:szCs w:val="19"/>
        </w:rPr>
        <w:t xml:space="preserve">). </w:t>
      </w:r>
      <w:r>
        <w:rPr>
          <w:rFonts w:ascii="AdvOT7d6df7ab.I" w:hAnsi="AdvOT7d6df7ab.I" w:cs="AdvOT7d6df7ab.I"/>
          <w:color w:val="000000"/>
          <w:sz w:val="19"/>
          <w:szCs w:val="19"/>
        </w:rPr>
        <w:t>Requirements for education and training programmes</w:t>
      </w:r>
      <w:r>
        <w:rPr>
          <w:rFonts w:ascii="AdvOT1ef757c0" w:hAnsi="AdvOT1ef757c0" w:cs="AdvOT1ef757c0"/>
          <w:color w:val="000000"/>
          <w:sz w:val="19"/>
          <w:szCs w:val="19"/>
        </w:rPr>
        <w:t xml:space="preserve">. Retrieved from </w:t>
      </w:r>
      <w:r>
        <w:rPr>
          <w:rFonts w:ascii="AdvOT1ef757c0" w:hAnsi="AdvOT1ef757c0" w:cs="AdvOT1ef757c0"/>
          <w:color w:val="000085"/>
          <w:sz w:val="19"/>
          <w:szCs w:val="19"/>
        </w:rPr>
        <w:t>http://coru.</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85"/>
          <w:sz w:val="19"/>
          <w:szCs w:val="19"/>
        </w:rPr>
        <w:t>ie/uploads/documents/Criteria_for_Education_and_Training_Programmes</w:t>
      </w:r>
      <w:proofErr w:type="gramStart"/>
      <w:r>
        <w:rPr>
          <w:rFonts w:ascii="AdvOT1ef757c0" w:hAnsi="AdvOT1ef757c0" w:cs="AdvOT1ef757c0"/>
          <w:color w:val="000085"/>
          <w:sz w:val="19"/>
          <w:szCs w:val="19"/>
        </w:rPr>
        <w:t>_(</w:t>
      </w:r>
      <w:proofErr w:type="gramEnd"/>
      <w:r>
        <w:rPr>
          <w:rFonts w:ascii="AdvOT1ef757c0" w:hAnsi="AdvOT1ef757c0" w:cs="AdvOT1ef757c0"/>
          <w:color w:val="000085"/>
          <w:sz w:val="19"/>
          <w:szCs w:val="19"/>
        </w:rPr>
        <w:t>31.05</w:t>
      </w:r>
      <w:r>
        <w:rPr>
          <w:rFonts w:ascii="AdvOT1ef757c0" w:hAnsi="AdvOT1ef757c0" w:cs="AdvOT1ef757c0"/>
          <w:color w:val="000000"/>
          <w:sz w:val="19"/>
          <w:szCs w:val="19"/>
        </w:rPr>
        <w:t>).pdf</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CORU. (</w:t>
      </w:r>
      <w:r>
        <w:rPr>
          <w:rFonts w:ascii="AdvOT1ef757c0" w:hAnsi="AdvOT1ef757c0" w:cs="AdvOT1ef757c0"/>
          <w:color w:val="000085"/>
          <w:sz w:val="19"/>
          <w:szCs w:val="19"/>
        </w:rPr>
        <w:t>2017b</w:t>
      </w:r>
      <w:r>
        <w:rPr>
          <w:rFonts w:ascii="AdvOT1ef757c0" w:hAnsi="AdvOT1ef757c0" w:cs="AdvOT1ef757c0"/>
          <w:color w:val="000000"/>
          <w:sz w:val="19"/>
          <w:szCs w:val="19"/>
        </w:rPr>
        <w:t xml:space="preserve">). </w:t>
      </w:r>
      <w:r>
        <w:rPr>
          <w:rFonts w:ascii="AdvOT7d6df7ab.I" w:hAnsi="AdvOT7d6df7ab.I" w:cs="AdvOT7d6df7ab.I"/>
          <w:color w:val="000000"/>
          <w:sz w:val="19"/>
          <w:szCs w:val="19"/>
        </w:rPr>
        <w:t>Social care workers registration board, standards of pro</w:t>
      </w:r>
      <w:r>
        <w:rPr>
          <w:rFonts w:ascii="AdvOT7d6df7ab.I+fb" w:hAnsi="AdvOT7d6df7ab.I+fb" w:cs="AdvOT7d6df7ab.I+fb"/>
          <w:color w:val="000000"/>
          <w:sz w:val="19"/>
          <w:szCs w:val="19"/>
        </w:rPr>
        <w:t>fi</w:t>
      </w:r>
      <w:r>
        <w:rPr>
          <w:rFonts w:ascii="AdvOT7d6df7ab.I" w:hAnsi="AdvOT7d6df7ab.I" w:cs="AdvOT7d6df7ab.I"/>
          <w:color w:val="000000"/>
          <w:sz w:val="19"/>
          <w:szCs w:val="19"/>
        </w:rPr>
        <w:t>ciency for social care</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r>
        <w:rPr>
          <w:rFonts w:ascii="AdvOT7d6df7ab.I" w:hAnsi="AdvOT7d6df7ab.I" w:cs="AdvOT7d6df7ab.I"/>
          <w:color w:val="000000"/>
          <w:sz w:val="19"/>
          <w:szCs w:val="19"/>
        </w:rPr>
        <w:t>workers</w:t>
      </w:r>
      <w:r>
        <w:rPr>
          <w:rFonts w:ascii="AdvOT1ef757c0" w:hAnsi="AdvOT1ef757c0" w:cs="AdvOT1ef757c0"/>
          <w:color w:val="000000"/>
          <w:sz w:val="19"/>
          <w:szCs w:val="19"/>
        </w:rPr>
        <w:t xml:space="preserve">. Retrieved from </w:t>
      </w:r>
      <w:r>
        <w:rPr>
          <w:rFonts w:ascii="AdvOT1ef757c0" w:hAnsi="AdvOT1ef757c0" w:cs="AdvOT1ef757c0"/>
          <w:color w:val="000085"/>
          <w:sz w:val="19"/>
          <w:szCs w:val="19"/>
        </w:rPr>
        <w:t>http://coru.ie/uploads/documents/Standards_of_Pro</w:t>
      </w:r>
      <w:r>
        <w:rPr>
          <w:rFonts w:ascii="AdvOT1ef757c0+fb" w:hAnsi="AdvOT1ef757c0+fb" w:cs="AdvOT1ef757c0+fb"/>
          <w:color w:val="000085"/>
          <w:sz w:val="19"/>
          <w:szCs w:val="19"/>
        </w:rPr>
        <w:t>fi</w:t>
      </w:r>
      <w:r>
        <w:rPr>
          <w:rFonts w:ascii="AdvOT1ef757c0" w:hAnsi="AdvOT1ef757c0" w:cs="AdvOT1ef757c0"/>
          <w:color w:val="000085"/>
          <w:sz w:val="19"/>
          <w:szCs w:val="19"/>
        </w:rPr>
        <w:t>ciency_for_</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85"/>
          <w:sz w:val="19"/>
          <w:szCs w:val="19"/>
        </w:rPr>
        <w:t>Social_Care_Workers</w:t>
      </w:r>
      <w:proofErr w:type="gramStart"/>
      <w:r>
        <w:rPr>
          <w:rFonts w:ascii="AdvOT1ef757c0" w:hAnsi="AdvOT1ef757c0" w:cs="AdvOT1ef757c0"/>
          <w:color w:val="000085"/>
          <w:sz w:val="19"/>
          <w:szCs w:val="19"/>
        </w:rPr>
        <w:t>_(</w:t>
      </w:r>
      <w:proofErr w:type="gramEnd"/>
      <w:r>
        <w:rPr>
          <w:rFonts w:ascii="AdvOT1ef757c0" w:hAnsi="AdvOT1ef757c0" w:cs="AdvOT1ef757c0"/>
          <w:color w:val="000085"/>
          <w:sz w:val="19"/>
          <w:szCs w:val="19"/>
        </w:rPr>
        <w:t>31.05</w:t>
      </w:r>
      <w:r>
        <w:rPr>
          <w:rFonts w:ascii="AdvOT1ef757c0" w:hAnsi="AdvOT1ef757c0" w:cs="AdvOT1ef757c0"/>
          <w:color w:val="000000"/>
          <w:sz w:val="19"/>
          <w:szCs w:val="19"/>
        </w:rPr>
        <w:t>).pdf</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roofErr w:type="spellStart"/>
      <w:r>
        <w:rPr>
          <w:rFonts w:ascii="AdvOT1ef757c0" w:hAnsi="AdvOT1ef757c0" w:cs="AdvOT1ef757c0"/>
          <w:color w:val="000000"/>
          <w:sz w:val="19"/>
          <w:szCs w:val="19"/>
        </w:rPr>
        <w:t>Crimmens</w:t>
      </w:r>
      <w:proofErr w:type="spellEnd"/>
      <w:r>
        <w:rPr>
          <w:rFonts w:ascii="AdvOT1ef757c0" w:hAnsi="AdvOT1ef757c0" w:cs="AdvOT1ef757c0"/>
          <w:color w:val="000000"/>
          <w:sz w:val="19"/>
          <w:szCs w:val="19"/>
        </w:rPr>
        <w:t>, D. (</w:t>
      </w:r>
      <w:r>
        <w:rPr>
          <w:rFonts w:ascii="AdvOT1ef757c0" w:hAnsi="AdvOT1ef757c0" w:cs="AdvOT1ef757c0"/>
          <w:color w:val="000085"/>
          <w:sz w:val="19"/>
          <w:szCs w:val="19"/>
        </w:rPr>
        <w:t>1998</w:t>
      </w:r>
      <w:r>
        <w:rPr>
          <w:rFonts w:ascii="AdvOT1ef757c0" w:hAnsi="AdvOT1ef757c0" w:cs="AdvOT1ef757c0"/>
          <w:color w:val="000000"/>
          <w:sz w:val="19"/>
          <w:szCs w:val="19"/>
        </w:rPr>
        <w:t>). Training for residential child care workers in Europe: Comparing</w:t>
      </w: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 xml:space="preserve">approaches in The Netherlands. Ireland and the United Kingdom. </w:t>
      </w:r>
      <w:r>
        <w:rPr>
          <w:rFonts w:ascii="AdvOT7d6df7ab.I" w:hAnsi="AdvOT7d6df7ab.I" w:cs="AdvOT7d6df7ab.I"/>
          <w:color w:val="000000"/>
          <w:sz w:val="19"/>
          <w:szCs w:val="19"/>
        </w:rPr>
        <w:t>Social Work Education</w:t>
      </w:r>
      <w:r>
        <w:rPr>
          <w:rFonts w:ascii="AdvOT1ef757c0" w:hAnsi="AdvOT1ef757c0" w:cs="AdvOT1ef757c0"/>
          <w:color w:val="000000"/>
          <w:sz w:val="19"/>
          <w:szCs w:val="19"/>
        </w:rPr>
        <w:t xml:space="preserve">, </w:t>
      </w:r>
      <w:r>
        <w:rPr>
          <w:rFonts w:ascii="AdvOT7d6df7ab.I" w:hAnsi="AdvOT7d6df7ab.I" w:cs="AdvOT7d6df7ab.I"/>
          <w:color w:val="000000"/>
          <w:sz w:val="19"/>
          <w:szCs w:val="19"/>
        </w:rPr>
        <w:t>17</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(3), 309</w:t>
      </w:r>
      <w:r>
        <w:rPr>
          <w:rFonts w:ascii="AdvOT1ef757c0+20" w:hAnsi="AdvOT1ef757c0+20" w:cs="AdvOT1ef757c0+20"/>
          <w:color w:val="000000"/>
          <w:sz w:val="19"/>
          <w:szCs w:val="19"/>
        </w:rPr>
        <w:t>–</w:t>
      </w:r>
      <w:r>
        <w:rPr>
          <w:rFonts w:ascii="AdvOT1ef757c0" w:hAnsi="AdvOT1ef757c0" w:cs="AdvOT1ef757c0"/>
          <w:color w:val="000000"/>
          <w:sz w:val="19"/>
          <w:szCs w:val="19"/>
        </w:rPr>
        <w:t>320.</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Davies, H., Nutley, S., &amp; Walter, I. (</w:t>
      </w:r>
      <w:r>
        <w:rPr>
          <w:rFonts w:ascii="AdvOT1ef757c0" w:hAnsi="AdvOT1ef757c0" w:cs="AdvOT1ef757c0"/>
          <w:color w:val="000085"/>
          <w:sz w:val="19"/>
          <w:szCs w:val="19"/>
        </w:rPr>
        <w:t>2008</w:t>
      </w:r>
      <w:r>
        <w:rPr>
          <w:rFonts w:ascii="AdvOT1ef757c0" w:hAnsi="AdvOT1ef757c0" w:cs="AdvOT1ef757c0"/>
          <w:color w:val="000000"/>
          <w:sz w:val="19"/>
          <w:szCs w:val="19"/>
        </w:rPr>
        <w:t xml:space="preserve">). Why </w:t>
      </w:r>
      <w:r>
        <w:rPr>
          <w:rFonts w:ascii="AdvOT1ef757c0+20" w:hAnsi="AdvOT1ef757c0+20" w:cs="AdvOT1ef757c0+20"/>
          <w:color w:val="000000"/>
          <w:sz w:val="19"/>
          <w:szCs w:val="19"/>
        </w:rPr>
        <w:t>“</w:t>
      </w:r>
      <w:r>
        <w:rPr>
          <w:rFonts w:ascii="AdvOT1ef757c0" w:hAnsi="AdvOT1ef757c0" w:cs="AdvOT1ef757c0"/>
          <w:color w:val="000000"/>
          <w:sz w:val="19"/>
          <w:szCs w:val="19"/>
        </w:rPr>
        <w:t>knowledge transfer</w:t>
      </w:r>
      <w:r>
        <w:rPr>
          <w:rFonts w:ascii="AdvOT1ef757c0+20" w:hAnsi="AdvOT1ef757c0+20" w:cs="AdvOT1ef757c0+20"/>
          <w:color w:val="000000"/>
          <w:sz w:val="19"/>
          <w:szCs w:val="19"/>
        </w:rPr>
        <w:t xml:space="preserve">” </w:t>
      </w:r>
      <w:r>
        <w:rPr>
          <w:rFonts w:ascii="AdvOT1ef757c0" w:hAnsi="AdvOT1ef757c0" w:cs="AdvOT1ef757c0"/>
          <w:color w:val="000000"/>
          <w:sz w:val="19"/>
          <w:szCs w:val="19"/>
        </w:rPr>
        <w:t>is misconceived for applied</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social research. </w:t>
      </w:r>
      <w:r>
        <w:rPr>
          <w:rFonts w:ascii="AdvOT7d6df7ab.I" w:hAnsi="AdvOT7d6df7ab.I" w:cs="AdvOT7d6df7ab.I"/>
          <w:color w:val="000000"/>
          <w:sz w:val="19"/>
          <w:szCs w:val="19"/>
        </w:rPr>
        <w:t>Journal of Health Services Research and Policy</w:t>
      </w:r>
      <w:r>
        <w:rPr>
          <w:rFonts w:ascii="AdvOT1ef757c0" w:hAnsi="AdvOT1ef757c0" w:cs="AdvOT1ef757c0"/>
          <w:color w:val="000000"/>
          <w:sz w:val="19"/>
          <w:szCs w:val="19"/>
        </w:rPr>
        <w:t xml:space="preserve">, </w:t>
      </w:r>
      <w:r>
        <w:rPr>
          <w:rFonts w:ascii="AdvOT7d6df7ab.I" w:hAnsi="AdvOT7d6df7ab.I" w:cs="AdvOT7d6df7ab.I"/>
          <w:color w:val="000000"/>
          <w:sz w:val="19"/>
          <w:szCs w:val="19"/>
        </w:rPr>
        <w:t>13</w:t>
      </w:r>
      <w:r>
        <w:rPr>
          <w:rFonts w:ascii="AdvOT1ef757c0" w:hAnsi="AdvOT1ef757c0" w:cs="AdvOT1ef757c0"/>
          <w:color w:val="000000"/>
          <w:sz w:val="19"/>
          <w:szCs w:val="19"/>
        </w:rPr>
        <w:t>(3), 188</w:t>
      </w:r>
      <w:r>
        <w:rPr>
          <w:rFonts w:ascii="AdvOT1ef757c0+20" w:hAnsi="AdvOT1ef757c0+20" w:cs="AdvOT1ef757c0+20"/>
          <w:color w:val="000000"/>
          <w:sz w:val="19"/>
          <w:szCs w:val="19"/>
        </w:rPr>
        <w:t>–</w:t>
      </w:r>
      <w:r>
        <w:rPr>
          <w:rFonts w:ascii="AdvOT1ef757c0" w:hAnsi="AdvOT1ef757c0" w:cs="AdvOT1ef757c0"/>
          <w:color w:val="000000"/>
          <w:sz w:val="19"/>
          <w:szCs w:val="19"/>
        </w:rPr>
        <w:t>190.</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Department of Health and Children. (</w:t>
      </w:r>
      <w:r>
        <w:rPr>
          <w:rFonts w:ascii="AdvOT1ef757c0" w:hAnsi="AdvOT1ef757c0" w:cs="AdvOT1ef757c0"/>
          <w:color w:val="000085"/>
          <w:sz w:val="19"/>
          <w:szCs w:val="19"/>
        </w:rPr>
        <w:t>2004</w:t>
      </w:r>
      <w:r>
        <w:rPr>
          <w:rFonts w:ascii="AdvOT1ef757c0" w:hAnsi="AdvOT1ef757c0" w:cs="AdvOT1ef757c0"/>
          <w:color w:val="000000"/>
          <w:sz w:val="19"/>
          <w:szCs w:val="19"/>
        </w:rPr>
        <w:t xml:space="preserve">). </w:t>
      </w:r>
      <w:r>
        <w:rPr>
          <w:rFonts w:ascii="AdvOT7d6df7ab.I" w:hAnsi="AdvOT7d6df7ab.I" w:cs="AdvOT7d6df7ab.I"/>
          <w:color w:val="000000"/>
          <w:sz w:val="19"/>
          <w:szCs w:val="19"/>
        </w:rPr>
        <w:t>Working for children and families: Exploring good</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practice</w:t>
      </w:r>
      <w:r>
        <w:rPr>
          <w:rFonts w:ascii="AdvOT1ef757c0" w:hAnsi="AdvOT1ef757c0" w:cs="AdvOT1ef757c0"/>
          <w:color w:val="000000"/>
          <w:sz w:val="19"/>
          <w:szCs w:val="19"/>
        </w:rPr>
        <w:t>. Dublin: The Stationary O</w:t>
      </w:r>
      <w:r>
        <w:rPr>
          <w:rFonts w:ascii="AdvOT1ef757c0+fb" w:hAnsi="AdvOT1ef757c0+fb" w:cs="AdvOT1ef757c0+fb"/>
          <w:color w:val="000000"/>
          <w:sz w:val="19"/>
          <w:szCs w:val="19"/>
        </w:rPr>
        <w:t>ffi</w:t>
      </w:r>
      <w:r>
        <w:rPr>
          <w:rFonts w:ascii="AdvOT1ef757c0" w:hAnsi="AdvOT1ef757c0" w:cs="AdvOT1ef757c0"/>
          <w:color w:val="000000"/>
          <w:sz w:val="19"/>
          <w:szCs w:val="19"/>
        </w:rPr>
        <w:t>ce.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Eccles, M., Grimshaw, J., Walker, A., Johnston, M., &amp; Pitts, N. (</w:t>
      </w:r>
      <w:r>
        <w:rPr>
          <w:rFonts w:ascii="AdvOT1ef757c0" w:hAnsi="AdvOT1ef757c0" w:cs="AdvOT1ef757c0"/>
          <w:color w:val="000085"/>
          <w:sz w:val="19"/>
          <w:szCs w:val="19"/>
        </w:rPr>
        <w:t>2005</w:t>
      </w:r>
      <w:r>
        <w:rPr>
          <w:rFonts w:ascii="AdvOT1ef757c0" w:hAnsi="AdvOT1ef757c0" w:cs="AdvOT1ef757c0"/>
          <w:color w:val="000000"/>
          <w:sz w:val="19"/>
          <w:szCs w:val="19"/>
        </w:rPr>
        <w:t xml:space="preserve">). Changing the </w:t>
      </w:r>
      <w:proofErr w:type="spellStart"/>
      <w:r>
        <w:rPr>
          <w:rFonts w:ascii="AdvOT1ef757c0" w:hAnsi="AdvOT1ef757c0" w:cs="AdvOT1ef757c0"/>
          <w:color w:val="000000"/>
          <w:sz w:val="19"/>
          <w:szCs w:val="19"/>
        </w:rPr>
        <w:t>behavior</w:t>
      </w:r>
      <w:proofErr w:type="spellEnd"/>
      <w:r>
        <w:rPr>
          <w:rFonts w:ascii="AdvOT1ef757c0" w:hAnsi="AdvOT1ef757c0" w:cs="AdvOT1ef757c0"/>
          <w:color w:val="000000"/>
          <w:sz w:val="19"/>
          <w:szCs w:val="19"/>
        </w:rPr>
        <w:t xml:space="preserve"> of</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healthcare professionals: The use of theory in promoting the uptake of research </w:t>
      </w:r>
      <w:r>
        <w:rPr>
          <w:rFonts w:ascii="AdvOT1ef757c0+fb" w:hAnsi="AdvOT1ef757c0+fb" w:cs="AdvOT1ef757c0+fb"/>
          <w:color w:val="000000"/>
          <w:sz w:val="19"/>
          <w:szCs w:val="19"/>
        </w:rPr>
        <w:t>fi</w:t>
      </w:r>
      <w:r>
        <w:rPr>
          <w:rFonts w:ascii="AdvOT1ef757c0" w:hAnsi="AdvOT1ef757c0" w:cs="AdvOT1ef757c0"/>
          <w:color w:val="000000"/>
          <w:sz w:val="19"/>
          <w:szCs w:val="19"/>
        </w:rPr>
        <w:t>ndings.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Journal of Clinical Epidemiology</w:t>
      </w:r>
      <w:r>
        <w:rPr>
          <w:rFonts w:ascii="AdvOT1ef757c0" w:hAnsi="AdvOT1ef757c0" w:cs="AdvOT1ef757c0"/>
          <w:color w:val="000000"/>
          <w:sz w:val="19"/>
          <w:szCs w:val="19"/>
        </w:rPr>
        <w:t xml:space="preserve">, </w:t>
      </w:r>
      <w:r>
        <w:rPr>
          <w:rFonts w:ascii="AdvOT7d6df7ab.I" w:hAnsi="AdvOT7d6df7ab.I" w:cs="AdvOT7d6df7ab.I"/>
          <w:color w:val="000000"/>
          <w:sz w:val="19"/>
          <w:szCs w:val="19"/>
        </w:rPr>
        <w:t>58</w:t>
      </w:r>
      <w:r>
        <w:rPr>
          <w:rFonts w:ascii="AdvOT1ef757c0" w:hAnsi="AdvOT1ef757c0" w:cs="AdvOT1ef757c0"/>
          <w:color w:val="000000"/>
          <w:sz w:val="19"/>
          <w:szCs w:val="19"/>
        </w:rPr>
        <w:t>(2), 107</w:t>
      </w:r>
      <w:r>
        <w:rPr>
          <w:rFonts w:ascii="AdvOT1ef757c0+20" w:hAnsi="AdvOT1ef757c0+20" w:cs="AdvOT1ef757c0+20"/>
          <w:color w:val="000000"/>
          <w:sz w:val="19"/>
          <w:szCs w:val="19"/>
        </w:rPr>
        <w:t>–</w:t>
      </w:r>
      <w:r>
        <w:rPr>
          <w:rFonts w:ascii="AdvOT1ef757c0" w:hAnsi="AdvOT1ef757c0" w:cs="AdvOT1ef757c0"/>
          <w:color w:val="000000"/>
          <w:sz w:val="19"/>
          <w:szCs w:val="19"/>
        </w:rPr>
        <w:t>112.</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proofErr w:type="spellStart"/>
      <w:r>
        <w:rPr>
          <w:rFonts w:ascii="AdvOT1ef757c0" w:hAnsi="AdvOT1ef757c0" w:cs="AdvOT1ef757c0"/>
          <w:color w:val="000000"/>
          <w:sz w:val="19"/>
          <w:szCs w:val="19"/>
        </w:rPr>
        <w:t>Farrelly</w:t>
      </w:r>
      <w:proofErr w:type="spellEnd"/>
      <w:r>
        <w:rPr>
          <w:rFonts w:ascii="AdvOT1ef757c0" w:hAnsi="AdvOT1ef757c0" w:cs="AdvOT1ef757c0"/>
          <w:color w:val="000000"/>
          <w:sz w:val="19"/>
          <w:szCs w:val="19"/>
        </w:rPr>
        <w:t>, T. (</w:t>
      </w:r>
      <w:r>
        <w:rPr>
          <w:rFonts w:ascii="AdvOT1ef757c0" w:hAnsi="AdvOT1ef757c0" w:cs="AdvOT1ef757c0"/>
          <w:color w:val="000085"/>
          <w:sz w:val="19"/>
          <w:szCs w:val="19"/>
        </w:rPr>
        <w:t>2013</w:t>
      </w:r>
      <w:r>
        <w:rPr>
          <w:rFonts w:ascii="AdvOT1ef757c0" w:hAnsi="AdvOT1ef757c0" w:cs="AdvOT1ef757c0"/>
          <w:color w:val="000000"/>
          <w:sz w:val="19"/>
          <w:szCs w:val="19"/>
        </w:rPr>
        <w:t xml:space="preserve">). Evidence-based practice in social care. In K. </w:t>
      </w:r>
      <w:proofErr w:type="spellStart"/>
      <w:r>
        <w:rPr>
          <w:rFonts w:ascii="AdvOT1ef757c0" w:hAnsi="AdvOT1ef757c0" w:cs="AdvOT1ef757c0"/>
          <w:color w:val="000000"/>
          <w:sz w:val="19"/>
          <w:szCs w:val="19"/>
        </w:rPr>
        <w:t>Lalor</w:t>
      </w:r>
      <w:proofErr w:type="spellEnd"/>
      <w:r>
        <w:rPr>
          <w:rFonts w:ascii="AdvOT1ef757c0" w:hAnsi="AdvOT1ef757c0" w:cs="AdvOT1ef757c0"/>
          <w:color w:val="000000"/>
          <w:sz w:val="19"/>
          <w:szCs w:val="19"/>
        </w:rPr>
        <w:t xml:space="preserve"> &amp; P. Share (Eds.), </w:t>
      </w:r>
      <w:r>
        <w:rPr>
          <w:rFonts w:ascii="AdvOT7d6df7ab.I" w:hAnsi="AdvOT7d6df7ab.I" w:cs="AdvOT7d6df7ab.I"/>
          <w:color w:val="000000"/>
          <w:sz w:val="19"/>
          <w:szCs w:val="19"/>
        </w:rPr>
        <w:t>Applied</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 xml:space="preserve">social care: An introduction for students in Ireland </w:t>
      </w:r>
      <w:r>
        <w:rPr>
          <w:rFonts w:ascii="AdvOT1ef757c0" w:hAnsi="AdvOT1ef757c0" w:cs="AdvOT1ef757c0"/>
          <w:color w:val="000000"/>
          <w:sz w:val="19"/>
          <w:szCs w:val="19"/>
        </w:rPr>
        <w:t>(pp. 150</w:t>
      </w:r>
      <w:r>
        <w:rPr>
          <w:rFonts w:ascii="AdvOT1ef757c0+20" w:hAnsi="AdvOT1ef757c0+20" w:cs="AdvOT1ef757c0+20"/>
          <w:color w:val="000000"/>
          <w:sz w:val="19"/>
          <w:szCs w:val="19"/>
        </w:rPr>
        <w:t>–</w:t>
      </w:r>
      <w:r>
        <w:rPr>
          <w:rFonts w:ascii="AdvOT1ef757c0" w:hAnsi="AdvOT1ef757c0" w:cs="AdvOT1ef757c0"/>
          <w:color w:val="000000"/>
          <w:sz w:val="19"/>
          <w:szCs w:val="19"/>
        </w:rPr>
        <w:t>165). Dublin: Gill and Macmillan.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roofErr w:type="spellStart"/>
      <w:r>
        <w:rPr>
          <w:rFonts w:ascii="AdvOT1ef757c0" w:hAnsi="AdvOT1ef757c0" w:cs="AdvOT1ef757c0"/>
          <w:color w:val="000000"/>
          <w:sz w:val="19"/>
          <w:szCs w:val="19"/>
        </w:rPr>
        <w:t>Farrelly</w:t>
      </w:r>
      <w:proofErr w:type="spellEnd"/>
      <w:r>
        <w:rPr>
          <w:rFonts w:ascii="AdvOT1ef757c0" w:hAnsi="AdvOT1ef757c0" w:cs="AdvOT1ef757c0"/>
          <w:color w:val="000000"/>
          <w:sz w:val="19"/>
          <w:szCs w:val="19"/>
        </w:rPr>
        <w:t xml:space="preserve">, T., &amp; </w:t>
      </w:r>
      <w:proofErr w:type="spellStart"/>
      <w:r>
        <w:rPr>
          <w:rFonts w:ascii="AdvOT1ef757c0" w:hAnsi="AdvOT1ef757c0" w:cs="AdvOT1ef757c0"/>
          <w:color w:val="000000"/>
          <w:sz w:val="19"/>
          <w:szCs w:val="19"/>
        </w:rPr>
        <w:t>O</w:t>
      </w:r>
      <w:r>
        <w:rPr>
          <w:rFonts w:ascii="AdvOT1ef757c0+20" w:hAnsi="AdvOT1ef757c0+20" w:cs="AdvOT1ef757c0+20"/>
          <w:color w:val="000000"/>
          <w:sz w:val="19"/>
          <w:szCs w:val="19"/>
        </w:rPr>
        <w:t>’</w:t>
      </w:r>
      <w:r>
        <w:rPr>
          <w:rFonts w:ascii="AdvOT1ef757c0" w:hAnsi="AdvOT1ef757c0" w:cs="AdvOT1ef757c0"/>
          <w:color w:val="000000"/>
          <w:sz w:val="19"/>
          <w:szCs w:val="19"/>
        </w:rPr>
        <w:t>Doherty</w:t>
      </w:r>
      <w:proofErr w:type="spellEnd"/>
      <w:r>
        <w:rPr>
          <w:rFonts w:ascii="AdvOT1ef757c0" w:hAnsi="AdvOT1ef757c0" w:cs="AdvOT1ef757c0"/>
          <w:color w:val="000000"/>
          <w:sz w:val="19"/>
          <w:szCs w:val="19"/>
        </w:rPr>
        <w:t>, T. (</w:t>
      </w:r>
      <w:r>
        <w:rPr>
          <w:rFonts w:ascii="AdvOT1ef757c0" w:hAnsi="AdvOT1ef757c0" w:cs="AdvOT1ef757c0"/>
          <w:color w:val="000085"/>
          <w:sz w:val="19"/>
          <w:szCs w:val="19"/>
        </w:rPr>
        <w:t>2011</w:t>
      </w:r>
      <w:r>
        <w:rPr>
          <w:rFonts w:ascii="AdvOT1ef757c0" w:hAnsi="AdvOT1ef757c0" w:cs="AdvOT1ef757c0"/>
          <w:color w:val="000000"/>
          <w:sz w:val="19"/>
          <w:szCs w:val="19"/>
        </w:rPr>
        <w:t xml:space="preserve">). Social care, after the Act </w:t>
      </w:r>
      <w:r>
        <w:rPr>
          <w:rFonts w:ascii="AdvOT1ef757c0+20" w:hAnsi="AdvOT1ef757c0+20" w:cs="AdvOT1ef757c0+20"/>
          <w:color w:val="000000"/>
          <w:sz w:val="19"/>
          <w:szCs w:val="19"/>
        </w:rPr>
        <w:t xml:space="preserve">– </w:t>
      </w:r>
      <w:r>
        <w:rPr>
          <w:rFonts w:ascii="AdvOT1ef757c0" w:hAnsi="AdvOT1ef757c0" w:cs="AdvOT1ef757c0"/>
          <w:color w:val="000000"/>
          <w:sz w:val="19"/>
          <w:szCs w:val="19"/>
        </w:rPr>
        <w:t>re</w:t>
      </w:r>
      <w:r>
        <w:rPr>
          <w:rFonts w:ascii="AdvOT1ef757c0+fb" w:hAnsi="AdvOT1ef757c0+fb" w:cs="AdvOT1ef757c0+fb"/>
          <w:color w:val="000000"/>
          <w:sz w:val="19"/>
          <w:szCs w:val="19"/>
        </w:rPr>
        <w:t>fl</w:t>
      </w:r>
      <w:r>
        <w:rPr>
          <w:rFonts w:ascii="AdvOT1ef757c0" w:hAnsi="AdvOT1ef757c0" w:cs="AdvOT1ef757c0"/>
          <w:color w:val="000000"/>
          <w:sz w:val="19"/>
          <w:szCs w:val="19"/>
        </w:rPr>
        <w:t xml:space="preserve">ections </w:t>
      </w:r>
      <w:r>
        <w:rPr>
          <w:rFonts w:ascii="AdvOT1ef757c0+fb" w:hAnsi="AdvOT1ef757c0+fb" w:cs="AdvOT1ef757c0+fb"/>
          <w:color w:val="000000"/>
          <w:sz w:val="19"/>
          <w:szCs w:val="19"/>
        </w:rPr>
        <w:t>fi</w:t>
      </w:r>
      <w:r>
        <w:rPr>
          <w:rFonts w:ascii="AdvOT1ef757c0" w:hAnsi="AdvOT1ef757c0" w:cs="AdvOT1ef757c0"/>
          <w:color w:val="000000"/>
          <w:sz w:val="19"/>
          <w:szCs w:val="19"/>
        </w:rPr>
        <w:t>ve years on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after the passing of the health and social care professionals Act 2005. </w:t>
      </w:r>
      <w:r>
        <w:rPr>
          <w:rFonts w:ascii="AdvOT7d6df7ab.I" w:hAnsi="AdvOT7d6df7ab.I" w:cs="AdvOT7d6df7ab.I"/>
          <w:color w:val="000000"/>
          <w:sz w:val="19"/>
          <w:szCs w:val="19"/>
        </w:rPr>
        <w:t>Administration</w:t>
      </w:r>
      <w:r>
        <w:rPr>
          <w:rFonts w:ascii="AdvOT1ef757c0" w:hAnsi="AdvOT1ef757c0" w:cs="AdvOT1ef757c0"/>
          <w:color w:val="000000"/>
          <w:sz w:val="19"/>
          <w:szCs w:val="19"/>
        </w:rPr>
        <w:t xml:space="preserve">, </w:t>
      </w:r>
      <w:r>
        <w:rPr>
          <w:rFonts w:ascii="AdvOT7d6df7ab.I" w:hAnsi="AdvOT7d6df7ab.I" w:cs="AdvOT7d6df7ab.I"/>
          <w:color w:val="000000"/>
          <w:sz w:val="19"/>
          <w:szCs w:val="19"/>
        </w:rPr>
        <w:t>59</w:t>
      </w:r>
      <w:r>
        <w:rPr>
          <w:rFonts w:ascii="AdvOT1ef757c0" w:hAnsi="AdvOT1ef757c0" w:cs="AdvOT1ef757c0"/>
          <w:color w:val="000000"/>
          <w:sz w:val="19"/>
          <w:szCs w:val="19"/>
        </w:rPr>
        <w:t>(2),</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73</w:t>
      </w:r>
      <w:r>
        <w:rPr>
          <w:rFonts w:ascii="AdvOT1ef757c0+20" w:hAnsi="AdvOT1ef757c0+20" w:cs="AdvOT1ef757c0+20"/>
          <w:color w:val="000000"/>
          <w:sz w:val="19"/>
          <w:szCs w:val="19"/>
        </w:rPr>
        <w:t>–</w:t>
      </w:r>
      <w:r>
        <w:rPr>
          <w:rFonts w:ascii="AdvOT1ef757c0" w:hAnsi="AdvOT1ef757c0" w:cs="AdvOT1ef757c0"/>
          <w:color w:val="000000"/>
          <w:sz w:val="19"/>
          <w:szCs w:val="19"/>
        </w:rPr>
        <w:t>83.</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Ferguson, H. (</w:t>
      </w:r>
      <w:r>
        <w:rPr>
          <w:rFonts w:ascii="AdvOT1ef757c0" w:hAnsi="AdvOT1ef757c0" w:cs="AdvOT1ef757c0"/>
          <w:color w:val="000085"/>
          <w:sz w:val="19"/>
          <w:szCs w:val="19"/>
        </w:rPr>
        <w:t>2004</w:t>
      </w:r>
      <w:r>
        <w:rPr>
          <w:rFonts w:ascii="AdvOT1ef757c0" w:hAnsi="AdvOT1ef757c0" w:cs="AdvOT1ef757c0"/>
          <w:color w:val="000000"/>
          <w:sz w:val="19"/>
          <w:szCs w:val="19"/>
        </w:rPr>
        <w:t xml:space="preserve">). </w:t>
      </w:r>
      <w:r>
        <w:rPr>
          <w:rFonts w:ascii="AdvOT7d6df7ab.I" w:hAnsi="AdvOT7d6df7ab.I" w:cs="AdvOT7d6df7ab.I"/>
          <w:color w:val="000000"/>
          <w:sz w:val="19"/>
          <w:szCs w:val="19"/>
        </w:rPr>
        <w:t>Protecting children in time: Child abuse, child protection and the consequences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of modernity</w:t>
      </w:r>
      <w:r>
        <w:rPr>
          <w:rFonts w:ascii="AdvOT1ef757c0" w:hAnsi="AdvOT1ef757c0" w:cs="AdvOT1ef757c0"/>
          <w:color w:val="000000"/>
          <w:sz w:val="19"/>
          <w:szCs w:val="19"/>
        </w:rPr>
        <w:t>. Basingstoke: Palgrave MacMillan.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r>
        <w:rPr>
          <w:rFonts w:ascii="AdvOT1ef757c0" w:hAnsi="AdvOT1ef757c0" w:cs="AdvOT1ef757c0"/>
          <w:color w:val="000000"/>
          <w:sz w:val="19"/>
          <w:szCs w:val="19"/>
        </w:rPr>
        <w:t>Finnerty, K. C. (</w:t>
      </w:r>
      <w:r>
        <w:rPr>
          <w:rFonts w:ascii="AdvOT1ef757c0" w:hAnsi="AdvOT1ef757c0" w:cs="AdvOT1ef757c0"/>
          <w:color w:val="000085"/>
          <w:sz w:val="19"/>
          <w:szCs w:val="19"/>
        </w:rPr>
        <w:t>2012</w:t>
      </w:r>
      <w:r>
        <w:rPr>
          <w:rFonts w:ascii="AdvOT1ef757c0" w:hAnsi="AdvOT1ef757c0" w:cs="AdvOT1ef757c0"/>
          <w:color w:val="000000"/>
          <w:sz w:val="19"/>
          <w:szCs w:val="19"/>
        </w:rPr>
        <w:t xml:space="preserve">). </w:t>
      </w:r>
      <w:r>
        <w:rPr>
          <w:rFonts w:ascii="AdvOT7d6df7ab.I" w:hAnsi="AdvOT7d6df7ab.I" w:cs="AdvOT7d6df7ab.I"/>
          <w:color w:val="000000"/>
          <w:sz w:val="19"/>
          <w:szCs w:val="19"/>
        </w:rPr>
        <w:t>Professional identity and the Irish social care worker</w:t>
      </w:r>
      <w:r>
        <w:rPr>
          <w:rFonts w:ascii="AdvOT1ef757c0" w:hAnsi="AdvOT1ef757c0" w:cs="AdvOT1ef757c0"/>
          <w:color w:val="000000"/>
          <w:sz w:val="19"/>
          <w:szCs w:val="19"/>
        </w:rPr>
        <w:t xml:space="preserve">. Retrieved from </w:t>
      </w:r>
      <w:r>
        <w:rPr>
          <w:rFonts w:ascii="AdvOT1ef757c0" w:hAnsi="AdvOT1ef757c0" w:cs="AdvOT1ef757c0"/>
          <w:color w:val="000085"/>
          <w:sz w:val="19"/>
          <w:szCs w:val="19"/>
        </w:rPr>
        <w:t>https://</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r>
        <w:rPr>
          <w:rFonts w:ascii="AdvOT1ef757c0" w:hAnsi="AdvOT1ef757c0" w:cs="AdvOT1ef757c0"/>
          <w:color w:val="000085"/>
          <w:sz w:val="19"/>
          <w:szCs w:val="19"/>
        </w:rPr>
        <w:t>lra.le.ac.uk/handle/2381/10922</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Fisher, M. (</w:t>
      </w:r>
      <w:r>
        <w:rPr>
          <w:rFonts w:ascii="AdvOT1ef757c0" w:hAnsi="AdvOT1ef757c0" w:cs="AdvOT1ef757c0"/>
          <w:color w:val="000085"/>
          <w:sz w:val="19"/>
          <w:szCs w:val="19"/>
        </w:rPr>
        <w:t>2016</w:t>
      </w:r>
      <w:r>
        <w:rPr>
          <w:rFonts w:ascii="AdvOT1ef757c0" w:hAnsi="AdvOT1ef757c0" w:cs="AdvOT1ef757c0"/>
          <w:color w:val="000000"/>
          <w:sz w:val="19"/>
          <w:szCs w:val="19"/>
        </w:rPr>
        <w:t>). The social care Institute for Excellence and evidence-based policy and practice.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British Journal of Social Work</w:t>
      </w:r>
      <w:r>
        <w:rPr>
          <w:rFonts w:ascii="AdvOT1ef757c0" w:hAnsi="AdvOT1ef757c0" w:cs="AdvOT1ef757c0"/>
          <w:color w:val="000000"/>
          <w:sz w:val="19"/>
          <w:szCs w:val="19"/>
        </w:rPr>
        <w:t xml:space="preserve">, </w:t>
      </w:r>
      <w:r>
        <w:rPr>
          <w:rFonts w:ascii="AdvOT7d6df7ab.I" w:hAnsi="AdvOT7d6df7ab.I" w:cs="AdvOT7d6df7ab.I"/>
          <w:color w:val="000000"/>
          <w:sz w:val="19"/>
          <w:szCs w:val="19"/>
        </w:rPr>
        <w:t>46</w:t>
      </w:r>
      <w:r>
        <w:rPr>
          <w:rFonts w:ascii="AdvOT1ef757c0" w:hAnsi="AdvOT1ef757c0" w:cs="AdvOT1ef757c0"/>
          <w:color w:val="000000"/>
          <w:sz w:val="19"/>
          <w:szCs w:val="19"/>
        </w:rPr>
        <w:t>(2), 498</w:t>
      </w:r>
      <w:r>
        <w:rPr>
          <w:rFonts w:ascii="AdvOT1ef757c0+20" w:hAnsi="AdvOT1ef757c0+20" w:cs="AdvOT1ef757c0+20"/>
          <w:color w:val="000000"/>
          <w:sz w:val="19"/>
          <w:szCs w:val="19"/>
        </w:rPr>
        <w:t>–</w:t>
      </w:r>
      <w:r>
        <w:rPr>
          <w:rFonts w:ascii="AdvOT1ef757c0" w:hAnsi="AdvOT1ef757c0" w:cs="AdvOT1ef757c0"/>
          <w:color w:val="000000"/>
          <w:sz w:val="19"/>
          <w:szCs w:val="19"/>
        </w:rPr>
        <w:t>513.</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Gallagher, C., &amp; O</w:t>
      </w:r>
      <w:r>
        <w:rPr>
          <w:rFonts w:ascii="AdvOT1ef757c0+20" w:hAnsi="AdvOT1ef757c0+20" w:cs="AdvOT1ef757c0+20"/>
          <w:color w:val="000000"/>
          <w:sz w:val="19"/>
          <w:szCs w:val="19"/>
        </w:rPr>
        <w:t>’</w:t>
      </w:r>
      <w:r>
        <w:rPr>
          <w:rFonts w:ascii="AdvOT1ef757c0" w:hAnsi="AdvOT1ef757c0" w:cs="AdvOT1ef757c0"/>
          <w:color w:val="000000"/>
          <w:sz w:val="19"/>
          <w:szCs w:val="19"/>
        </w:rPr>
        <w:t>Toole, J. (</w:t>
      </w:r>
      <w:r>
        <w:rPr>
          <w:rFonts w:ascii="AdvOT1ef757c0" w:hAnsi="AdvOT1ef757c0" w:cs="AdvOT1ef757c0"/>
          <w:color w:val="000085"/>
          <w:sz w:val="19"/>
          <w:szCs w:val="19"/>
        </w:rPr>
        <w:t>1999</w:t>
      </w:r>
      <w:r>
        <w:rPr>
          <w:rFonts w:ascii="AdvOT1ef757c0" w:hAnsi="AdvOT1ef757c0" w:cs="AdvOT1ef757c0"/>
          <w:color w:val="000000"/>
          <w:sz w:val="19"/>
          <w:szCs w:val="19"/>
        </w:rPr>
        <w:t xml:space="preserve">). Towards a sociological understanding of social care work. </w:t>
      </w:r>
      <w:r>
        <w:rPr>
          <w:rFonts w:ascii="AdvOT7d6df7ab.I" w:hAnsi="AdvOT7d6df7ab.I" w:cs="AdvOT7d6df7ab.I"/>
          <w:color w:val="000000"/>
          <w:sz w:val="19"/>
          <w:szCs w:val="19"/>
        </w:rPr>
        <w:t>Irish</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Journal of Social Work Research</w:t>
      </w:r>
      <w:r>
        <w:rPr>
          <w:rFonts w:ascii="AdvOT1ef757c0" w:hAnsi="AdvOT1ef757c0" w:cs="AdvOT1ef757c0"/>
          <w:color w:val="000000"/>
          <w:sz w:val="19"/>
          <w:szCs w:val="19"/>
        </w:rPr>
        <w:t xml:space="preserve">, </w:t>
      </w:r>
      <w:r>
        <w:rPr>
          <w:rFonts w:ascii="AdvOT7d6df7ab.I" w:hAnsi="AdvOT7d6df7ab.I" w:cs="AdvOT7d6df7ab.I"/>
          <w:color w:val="000000"/>
          <w:sz w:val="19"/>
          <w:szCs w:val="19"/>
        </w:rPr>
        <w:t>2</w:t>
      </w:r>
      <w:r>
        <w:rPr>
          <w:rFonts w:ascii="AdvOT1ef757c0" w:hAnsi="AdvOT1ef757c0" w:cs="AdvOT1ef757c0"/>
          <w:color w:val="000000"/>
          <w:sz w:val="19"/>
          <w:szCs w:val="19"/>
        </w:rPr>
        <w:t>(1), 69</w:t>
      </w:r>
      <w:r>
        <w:rPr>
          <w:rFonts w:ascii="AdvOT1ef757c0+20" w:hAnsi="AdvOT1ef757c0+20" w:cs="AdvOT1ef757c0+20"/>
          <w:color w:val="000000"/>
          <w:sz w:val="19"/>
          <w:szCs w:val="19"/>
        </w:rPr>
        <w:t>–</w:t>
      </w:r>
      <w:r>
        <w:rPr>
          <w:rFonts w:ascii="AdvOT1ef757c0" w:hAnsi="AdvOT1ef757c0" w:cs="AdvOT1ef757c0"/>
          <w:color w:val="000000"/>
          <w:sz w:val="19"/>
          <w:szCs w:val="19"/>
        </w:rPr>
        <w:t>86.</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proofErr w:type="spellStart"/>
      <w:r>
        <w:rPr>
          <w:rFonts w:ascii="AdvOT1ef757c0" w:hAnsi="AdvOT1ef757c0" w:cs="AdvOT1ef757c0"/>
          <w:color w:val="000000"/>
          <w:sz w:val="19"/>
          <w:szCs w:val="19"/>
        </w:rPr>
        <w:t>Gambrill</w:t>
      </w:r>
      <w:proofErr w:type="spellEnd"/>
      <w:r>
        <w:rPr>
          <w:rFonts w:ascii="AdvOT1ef757c0" w:hAnsi="AdvOT1ef757c0" w:cs="AdvOT1ef757c0"/>
          <w:color w:val="000000"/>
          <w:sz w:val="19"/>
          <w:szCs w:val="19"/>
        </w:rPr>
        <w:t>, E. (</w:t>
      </w:r>
      <w:r>
        <w:rPr>
          <w:rFonts w:ascii="AdvOT1ef757c0" w:hAnsi="AdvOT1ef757c0" w:cs="AdvOT1ef757c0"/>
          <w:color w:val="000085"/>
          <w:sz w:val="19"/>
          <w:szCs w:val="19"/>
        </w:rPr>
        <w:t>1999</w:t>
      </w:r>
      <w:r>
        <w:rPr>
          <w:rFonts w:ascii="AdvOT1ef757c0" w:hAnsi="AdvOT1ef757c0" w:cs="AdvOT1ef757c0"/>
          <w:color w:val="000000"/>
          <w:sz w:val="19"/>
          <w:szCs w:val="19"/>
        </w:rPr>
        <w:t xml:space="preserve">). Evidence-based practice: An alternative to authority-based practice. </w:t>
      </w:r>
      <w:r>
        <w:rPr>
          <w:rFonts w:ascii="AdvOT7d6df7ab.I" w:hAnsi="AdvOT7d6df7ab.I" w:cs="AdvOT7d6df7ab.I"/>
          <w:color w:val="000000"/>
          <w:sz w:val="19"/>
          <w:szCs w:val="19"/>
        </w:rPr>
        <w:t>Families in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Society: The Journal of Contemporary Human Services</w:t>
      </w:r>
      <w:r>
        <w:rPr>
          <w:rFonts w:ascii="AdvOT1ef757c0" w:hAnsi="AdvOT1ef757c0" w:cs="AdvOT1ef757c0"/>
          <w:color w:val="000000"/>
          <w:sz w:val="19"/>
          <w:szCs w:val="19"/>
        </w:rPr>
        <w:t xml:space="preserve">, </w:t>
      </w:r>
      <w:r>
        <w:rPr>
          <w:rFonts w:ascii="AdvOT7d6df7ab.I" w:hAnsi="AdvOT7d6df7ab.I" w:cs="AdvOT7d6df7ab.I"/>
          <w:color w:val="000000"/>
          <w:sz w:val="19"/>
          <w:szCs w:val="19"/>
        </w:rPr>
        <w:t>80</w:t>
      </w:r>
      <w:r>
        <w:rPr>
          <w:rFonts w:ascii="AdvOT1ef757c0" w:hAnsi="AdvOT1ef757c0" w:cs="AdvOT1ef757c0"/>
          <w:color w:val="000000"/>
          <w:sz w:val="19"/>
          <w:szCs w:val="19"/>
        </w:rPr>
        <w:t>(4), 341</w:t>
      </w:r>
      <w:r>
        <w:rPr>
          <w:rFonts w:ascii="AdvOT1ef757c0+20" w:hAnsi="AdvOT1ef757c0+20" w:cs="AdvOT1ef757c0+20"/>
          <w:color w:val="000000"/>
          <w:sz w:val="19"/>
          <w:szCs w:val="19"/>
        </w:rPr>
        <w:t>–</w:t>
      </w:r>
      <w:r>
        <w:rPr>
          <w:rFonts w:ascii="AdvOT1ef757c0" w:hAnsi="AdvOT1ef757c0" w:cs="AdvOT1ef757c0"/>
          <w:color w:val="000000"/>
          <w:sz w:val="19"/>
          <w:szCs w:val="19"/>
        </w:rPr>
        <w:t>349.</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proofErr w:type="spellStart"/>
      <w:r>
        <w:rPr>
          <w:rFonts w:ascii="AdvOT1ef757c0" w:hAnsi="AdvOT1ef757c0" w:cs="AdvOT1ef757c0"/>
          <w:color w:val="000000"/>
          <w:sz w:val="19"/>
          <w:szCs w:val="19"/>
        </w:rPr>
        <w:t>Gambrill</w:t>
      </w:r>
      <w:proofErr w:type="spellEnd"/>
      <w:r>
        <w:rPr>
          <w:rFonts w:ascii="AdvOT1ef757c0" w:hAnsi="AdvOT1ef757c0" w:cs="AdvOT1ef757c0"/>
          <w:color w:val="000000"/>
          <w:sz w:val="19"/>
          <w:szCs w:val="19"/>
        </w:rPr>
        <w:t>, E. (</w:t>
      </w:r>
      <w:r>
        <w:rPr>
          <w:rFonts w:ascii="AdvOT1ef757c0" w:hAnsi="AdvOT1ef757c0" w:cs="AdvOT1ef757c0"/>
          <w:color w:val="000085"/>
          <w:sz w:val="19"/>
          <w:szCs w:val="19"/>
        </w:rPr>
        <w:t>2006</w:t>
      </w:r>
      <w:r>
        <w:rPr>
          <w:rFonts w:ascii="AdvOT1ef757c0" w:hAnsi="AdvOT1ef757c0" w:cs="AdvOT1ef757c0"/>
          <w:color w:val="000000"/>
          <w:sz w:val="19"/>
          <w:szCs w:val="19"/>
        </w:rPr>
        <w:t xml:space="preserve">). Evidence based practice and policy: Choices ahead. </w:t>
      </w:r>
      <w:r>
        <w:rPr>
          <w:rFonts w:ascii="AdvOT7d6df7ab.I" w:hAnsi="AdvOT7d6df7ab.I" w:cs="AdvOT7d6df7ab.I"/>
          <w:color w:val="000000"/>
          <w:sz w:val="19"/>
          <w:szCs w:val="19"/>
        </w:rPr>
        <w:t>Research on Social Work</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Practice</w:t>
      </w:r>
      <w:r>
        <w:rPr>
          <w:rFonts w:ascii="AdvOT1ef757c0" w:hAnsi="AdvOT1ef757c0" w:cs="AdvOT1ef757c0"/>
          <w:color w:val="000000"/>
          <w:sz w:val="19"/>
          <w:szCs w:val="19"/>
        </w:rPr>
        <w:t xml:space="preserve">, </w:t>
      </w:r>
      <w:r>
        <w:rPr>
          <w:rFonts w:ascii="AdvOT7d6df7ab.I" w:hAnsi="AdvOT7d6df7ab.I" w:cs="AdvOT7d6df7ab.I"/>
          <w:color w:val="000000"/>
          <w:sz w:val="19"/>
          <w:szCs w:val="19"/>
        </w:rPr>
        <w:t>16</w:t>
      </w:r>
      <w:r>
        <w:rPr>
          <w:rFonts w:ascii="AdvOT1ef757c0" w:hAnsi="AdvOT1ef757c0" w:cs="AdvOT1ef757c0"/>
          <w:color w:val="000000"/>
          <w:sz w:val="19"/>
          <w:szCs w:val="19"/>
        </w:rPr>
        <w:t>(3), 338</w:t>
      </w:r>
      <w:r>
        <w:rPr>
          <w:rFonts w:ascii="AdvOT1ef757c0+20" w:hAnsi="AdvOT1ef757c0+20" w:cs="AdvOT1ef757c0+20"/>
          <w:color w:val="000000"/>
          <w:sz w:val="19"/>
          <w:szCs w:val="19"/>
        </w:rPr>
        <w:t>–</w:t>
      </w:r>
      <w:r>
        <w:rPr>
          <w:rFonts w:ascii="AdvOT1ef757c0" w:hAnsi="AdvOT1ef757c0" w:cs="AdvOT1ef757c0"/>
          <w:color w:val="000000"/>
          <w:sz w:val="19"/>
          <w:szCs w:val="19"/>
        </w:rPr>
        <w:t>357.</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roofErr w:type="spellStart"/>
      <w:r>
        <w:rPr>
          <w:rFonts w:ascii="AdvOT1ef757c0" w:hAnsi="AdvOT1ef757c0" w:cs="AdvOT1ef757c0"/>
          <w:color w:val="000000"/>
          <w:sz w:val="19"/>
          <w:szCs w:val="19"/>
        </w:rPr>
        <w:t>Gambrill</w:t>
      </w:r>
      <w:proofErr w:type="spellEnd"/>
      <w:r>
        <w:rPr>
          <w:rFonts w:ascii="AdvOT1ef757c0" w:hAnsi="AdvOT1ef757c0" w:cs="AdvOT1ef757c0"/>
          <w:color w:val="000000"/>
          <w:sz w:val="19"/>
          <w:szCs w:val="19"/>
        </w:rPr>
        <w:t>, E. (</w:t>
      </w:r>
      <w:r>
        <w:rPr>
          <w:rFonts w:ascii="AdvOT1ef757c0" w:hAnsi="AdvOT1ef757c0" w:cs="AdvOT1ef757c0"/>
          <w:color w:val="000085"/>
          <w:sz w:val="19"/>
          <w:szCs w:val="19"/>
        </w:rPr>
        <w:t>2007</w:t>
      </w:r>
      <w:r>
        <w:rPr>
          <w:rFonts w:ascii="AdvOT1ef757c0" w:hAnsi="AdvOT1ef757c0" w:cs="AdvOT1ef757c0"/>
          <w:color w:val="000000"/>
          <w:sz w:val="19"/>
          <w:szCs w:val="19"/>
        </w:rPr>
        <w:t>). Transparency as the route to evidence-informed professional education.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Research on Social Work Practice</w:t>
      </w:r>
      <w:r>
        <w:rPr>
          <w:rFonts w:ascii="AdvOT1ef757c0" w:hAnsi="AdvOT1ef757c0" w:cs="AdvOT1ef757c0"/>
          <w:color w:val="000000"/>
          <w:sz w:val="19"/>
          <w:szCs w:val="19"/>
        </w:rPr>
        <w:t xml:space="preserve">, </w:t>
      </w:r>
      <w:r>
        <w:rPr>
          <w:rFonts w:ascii="AdvOT7d6df7ab.I" w:hAnsi="AdvOT7d6df7ab.I" w:cs="AdvOT7d6df7ab.I"/>
          <w:color w:val="000000"/>
          <w:sz w:val="19"/>
          <w:szCs w:val="19"/>
        </w:rPr>
        <w:t>17</w:t>
      </w:r>
      <w:r>
        <w:rPr>
          <w:rFonts w:ascii="AdvOT1ef757c0" w:hAnsi="AdvOT1ef757c0" w:cs="AdvOT1ef757c0"/>
          <w:color w:val="000000"/>
          <w:sz w:val="19"/>
          <w:szCs w:val="19"/>
        </w:rPr>
        <w:t>(5), 553</w:t>
      </w:r>
      <w:r>
        <w:rPr>
          <w:rFonts w:ascii="AdvOT1ef757c0+20" w:hAnsi="AdvOT1ef757c0+20" w:cs="AdvOT1ef757c0+20"/>
          <w:color w:val="000000"/>
          <w:sz w:val="19"/>
          <w:szCs w:val="19"/>
        </w:rPr>
        <w:t>–</w:t>
      </w:r>
      <w:r>
        <w:rPr>
          <w:rFonts w:ascii="AdvOT1ef757c0" w:hAnsi="AdvOT1ef757c0" w:cs="AdvOT1ef757c0"/>
          <w:color w:val="000000"/>
          <w:sz w:val="19"/>
          <w:szCs w:val="19"/>
        </w:rPr>
        <w:t>560.</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Garrett, P. M., &amp; </w:t>
      </w:r>
      <w:proofErr w:type="spellStart"/>
      <w:r>
        <w:rPr>
          <w:rFonts w:ascii="AdvOT1ef757c0" w:hAnsi="AdvOT1ef757c0" w:cs="AdvOT1ef757c0"/>
          <w:color w:val="000000"/>
          <w:sz w:val="19"/>
          <w:szCs w:val="19"/>
        </w:rPr>
        <w:t>Gaughen</w:t>
      </w:r>
      <w:proofErr w:type="spellEnd"/>
      <w:r>
        <w:rPr>
          <w:rFonts w:ascii="AdvOT1ef757c0" w:hAnsi="AdvOT1ef757c0" w:cs="AdvOT1ef757c0"/>
          <w:color w:val="000000"/>
          <w:sz w:val="19"/>
          <w:szCs w:val="19"/>
        </w:rPr>
        <w:t>, R. (</w:t>
      </w:r>
      <w:r>
        <w:rPr>
          <w:rFonts w:ascii="AdvOT1ef757c0" w:hAnsi="AdvOT1ef757c0" w:cs="AdvOT1ef757c0"/>
          <w:color w:val="000085"/>
          <w:sz w:val="19"/>
          <w:szCs w:val="19"/>
        </w:rPr>
        <w:t>2011</w:t>
      </w:r>
      <w:r>
        <w:rPr>
          <w:rFonts w:ascii="AdvOT1ef757c0" w:hAnsi="AdvOT1ef757c0" w:cs="AdvOT1ef757c0"/>
          <w:color w:val="000000"/>
          <w:sz w:val="19"/>
          <w:szCs w:val="19"/>
        </w:rPr>
        <w:t xml:space="preserve">). The </w:t>
      </w:r>
      <w:r>
        <w:rPr>
          <w:rFonts w:ascii="AdvOT1ef757c0+20" w:hAnsi="AdvOT1ef757c0+20" w:cs="AdvOT1ef757c0+20"/>
          <w:color w:val="000000"/>
          <w:sz w:val="19"/>
          <w:szCs w:val="19"/>
        </w:rPr>
        <w:t>“</w:t>
      </w:r>
      <w:r>
        <w:rPr>
          <w:rFonts w:ascii="AdvOT1ef757c0" w:hAnsi="AdvOT1ef757c0" w:cs="AdvOT1ef757c0"/>
          <w:color w:val="000000"/>
          <w:sz w:val="19"/>
          <w:szCs w:val="19"/>
        </w:rPr>
        <w:t>most twisted and unaccountable force in the state</w:t>
      </w:r>
      <w:r>
        <w:rPr>
          <w:rFonts w:ascii="AdvOT1ef757c0+20" w:hAnsi="AdvOT1ef757c0+20" w:cs="AdvOT1ef757c0+20"/>
          <w:color w:val="000000"/>
          <w:sz w:val="19"/>
          <w:szCs w:val="19"/>
        </w:rPr>
        <w:t>”</w:t>
      </w:r>
      <w:r>
        <w:rPr>
          <w:rFonts w:ascii="AdvOT1ef757c0" w:hAnsi="AdvOT1ef757c0" w:cs="AdvOT1ef757c0"/>
          <w:color w:val="000000"/>
          <w:sz w:val="19"/>
          <w:szCs w:val="19"/>
        </w:rPr>
        <w:t>?</w:t>
      </w: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 xml:space="preserve">Newspaper accounts of social work in the Republic of Ireland in troubled times. </w:t>
      </w:r>
      <w:r>
        <w:rPr>
          <w:rFonts w:ascii="AdvOT7d6df7ab.I" w:hAnsi="AdvOT7d6df7ab.I" w:cs="AdvOT7d6df7ab.I"/>
          <w:color w:val="000000"/>
          <w:sz w:val="19"/>
          <w:szCs w:val="19"/>
        </w:rPr>
        <w:t>Journal of</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Social Work</w:t>
      </w:r>
      <w:r>
        <w:rPr>
          <w:rFonts w:ascii="AdvOT1ef757c0" w:hAnsi="AdvOT1ef757c0" w:cs="AdvOT1ef757c0"/>
          <w:color w:val="000000"/>
          <w:sz w:val="19"/>
          <w:szCs w:val="19"/>
        </w:rPr>
        <w:t xml:space="preserve">, </w:t>
      </w:r>
      <w:r>
        <w:rPr>
          <w:rFonts w:ascii="AdvOT7d6df7ab.I" w:hAnsi="AdvOT7d6df7ab.I" w:cs="AdvOT7d6df7ab.I"/>
          <w:color w:val="000000"/>
          <w:sz w:val="19"/>
          <w:szCs w:val="19"/>
        </w:rPr>
        <w:t>12</w:t>
      </w:r>
      <w:r>
        <w:rPr>
          <w:rFonts w:ascii="AdvOT1ef757c0" w:hAnsi="AdvOT1ef757c0" w:cs="AdvOT1ef757c0"/>
          <w:color w:val="000000"/>
          <w:sz w:val="19"/>
          <w:szCs w:val="19"/>
        </w:rPr>
        <w:t>(3), 267</w:t>
      </w:r>
      <w:r>
        <w:rPr>
          <w:rFonts w:ascii="AdvOT1ef757c0+20" w:hAnsi="AdvOT1ef757c0+20" w:cs="AdvOT1ef757c0+20"/>
          <w:color w:val="000000"/>
          <w:sz w:val="19"/>
          <w:szCs w:val="19"/>
        </w:rPr>
        <w:t>–</w:t>
      </w:r>
      <w:r>
        <w:rPr>
          <w:rFonts w:ascii="AdvOT1ef757c0" w:hAnsi="AdvOT1ef757c0" w:cs="AdvOT1ef757c0"/>
          <w:color w:val="000000"/>
          <w:sz w:val="19"/>
          <w:szCs w:val="19"/>
        </w:rPr>
        <w:t>286.</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proofErr w:type="spellStart"/>
      <w:r>
        <w:rPr>
          <w:rFonts w:ascii="AdvOT1ef757c0" w:hAnsi="AdvOT1ef757c0" w:cs="AdvOT1ef757c0"/>
          <w:color w:val="000000"/>
          <w:sz w:val="19"/>
          <w:szCs w:val="19"/>
        </w:rPr>
        <w:t>Gergin</w:t>
      </w:r>
      <w:proofErr w:type="spellEnd"/>
      <w:r>
        <w:rPr>
          <w:rFonts w:ascii="AdvOT1ef757c0" w:hAnsi="AdvOT1ef757c0" w:cs="AdvOT1ef757c0"/>
          <w:color w:val="000000"/>
          <w:sz w:val="19"/>
          <w:szCs w:val="19"/>
        </w:rPr>
        <w:t>, K. J. (</w:t>
      </w:r>
      <w:r>
        <w:rPr>
          <w:rFonts w:ascii="AdvOT1ef757c0" w:hAnsi="AdvOT1ef757c0" w:cs="AdvOT1ef757c0"/>
          <w:color w:val="000085"/>
          <w:sz w:val="19"/>
          <w:szCs w:val="19"/>
        </w:rPr>
        <w:t>1985</w:t>
      </w:r>
      <w:r>
        <w:rPr>
          <w:rFonts w:ascii="AdvOT1ef757c0" w:hAnsi="AdvOT1ef757c0" w:cs="AdvOT1ef757c0"/>
          <w:color w:val="000000"/>
          <w:sz w:val="19"/>
          <w:szCs w:val="19"/>
        </w:rPr>
        <w:t xml:space="preserve">). The social constructionist movement in modern psychology. </w:t>
      </w:r>
      <w:r>
        <w:rPr>
          <w:rFonts w:ascii="AdvOT7d6df7ab.I" w:hAnsi="AdvOT7d6df7ab.I" w:cs="AdvOT7d6df7ab.I"/>
          <w:color w:val="000000"/>
          <w:sz w:val="19"/>
          <w:szCs w:val="19"/>
        </w:rPr>
        <w:t>The American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Psychologist</w:t>
      </w:r>
      <w:r>
        <w:rPr>
          <w:rFonts w:ascii="AdvOT1ef757c0" w:hAnsi="AdvOT1ef757c0" w:cs="AdvOT1ef757c0"/>
          <w:color w:val="000000"/>
          <w:sz w:val="19"/>
          <w:szCs w:val="19"/>
        </w:rPr>
        <w:t xml:space="preserve">, </w:t>
      </w:r>
      <w:r>
        <w:rPr>
          <w:rFonts w:ascii="AdvOT7d6df7ab.I" w:hAnsi="AdvOT7d6df7ab.I" w:cs="AdvOT7d6df7ab.I"/>
          <w:color w:val="000000"/>
          <w:sz w:val="19"/>
          <w:szCs w:val="19"/>
        </w:rPr>
        <w:t>40</w:t>
      </w:r>
      <w:r>
        <w:rPr>
          <w:rFonts w:ascii="AdvOT1ef757c0" w:hAnsi="AdvOT1ef757c0" w:cs="AdvOT1ef757c0"/>
          <w:color w:val="000000"/>
          <w:sz w:val="19"/>
          <w:szCs w:val="19"/>
        </w:rPr>
        <w:t>(3), 266</w:t>
      </w:r>
      <w:r>
        <w:rPr>
          <w:rFonts w:ascii="AdvOT1ef757c0+20" w:hAnsi="AdvOT1ef757c0+20" w:cs="AdvOT1ef757c0+20"/>
          <w:color w:val="000000"/>
          <w:sz w:val="19"/>
          <w:szCs w:val="19"/>
        </w:rPr>
        <w:t>–</w:t>
      </w:r>
      <w:r>
        <w:rPr>
          <w:rFonts w:ascii="AdvOT1ef757c0" w:hAnsi="AdvOT1ef757c0" w:cs="AdvOT1ef757c0"/>
          <w:color w:val="000000"/>
          <w:sz w:val="19"/>
          <w:szCs w:val="19"/>
        </w:rPr>
        <w:t>275.</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Gibbs, L. E. (</w:t>
      </w:r>
      <w:r>
        <w:rPr>
          <w:rFonts w:ascii="AdvOT1ef757c0" w:hAnsi="AdvOT1ef757c0" w:cs="AdvOT1ef757c0"/>
          <w:color w:val="000085"/>
          <w:sz w:val="19"/>
          <w:szCs w:val="19"/>
        </w:rPr>
        <w:t>2003</w:t>
      </w:r>
      <w:r>
        <w:rPr>
          <w:rFonts w:ascii="AdvOT1ef757c0" w:hAnsi="AdvOT1ef757c0" w:cs="AdvOT1ef757c0"/>
          <w:color w:val="000000"/>
          <w:sz w:val="19"/>
          <w:szCs w:val="19"/>
        </w:rPr>
        <w:t xml:space="preserve">). </w:t>
      </w:r>
      <w:r>
        <w:rPr>
          <w:rFonts w:ascii="AdvOT7d6df7ab.I" w:hAnsi="AdvOT7d6df7ab.I" w:cs="AdvOT7d6df7ab.I"/>
          <w:color w:val="000000"/>
          <w:sz w:val="19"/>
          <w:szCs w:val="19"/>
        </w:rPr>
        <w:t>Evidence-based practice for helping professions</w:t>
      </w:r>
      <w:r>
        <w:rPr>
          <w:rFonts w:ascii="AdvOT1ef757c0" w:hAnsi="AdvOT1ef757c0" w:cs="AdvOT1ef757c0"/>
          <w:color w:val="000000"/>
          <w:sz w:val="19"/>
          <w:szCs w:val="19"/>
        </w:rPr>
        <w:t>. Paci</w:t>
      </w:r>
      <w:r>
        <w:rPr>
          <w:rFonts w:ascii="AdvOT1ef757c0+fb" w:hAnsi="AdvOT1ef757c0+fb" w:cs="AdvOT1ef757c0+fb"/>
          <w:color w:val="000000"/>
          <w:sz w:val="19"/>
          <w:szCs w:val="19"/>
        </w:rPr>
        <w:t>fi</w:t>
      </w:r>
      <w:r>
        <w:rPr>
          <w:rFonts w:ascii="AdvOT1ef757c0" w:hAnsi="AdvOT1ef757c0" w:cs="AdvOT1ef757c0"/>
          <w:color w:val="000000"/>
          <w:sz w:val="19"/>
          <w:szCs w:val="19"/>
        </w:rPr>
        <w:t>c Grove, CA: Brooks/Cole.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Gibbs, L. E., &amp; </w:t>
      </w:r>
      <w:proofErr w:type="spellStart"/>
      <w:r>
        <w:rPr>
          <w:rFonts w:ascii="AdvOT1ef757c0" w:hAnsi="AdvOT1ef757c0" w:cs="AdvOT1ef757c0"/>
          <w:color w:val="000000"/>
          <w:sz w:val="19"/>
          <w:szCs w:val="19"/>
        </w:rPr>
        <w:t>Gambrill</w:t>
      </w:r>
      <w:proofErr w:type="spellEnd"/>
      <w:r>
        <w:rPr>
          <w:rFonts w:ascii="AdvOT1ef757c0" w:hAnsi="AdvOT1ef757c0" w:cs="AdvOT1ef757c0"/>
          <w:color w:val="000000"/>
          <w:sz w:val="19"/>
          <w:szCs w:val="19"/>
        </w:rPr>
        <w:t>, E. (</w:t>
      </w:r>
      <w:r>
        <w:rPr>
          <w:rFonts w:ascii="AdvOT1ef757c0" w:hAnsi="AdvOT1ef757c0" w:cs="AdvOT1ef757c0"/>
          <w:color w:val="000085"/>
          <w:sz w:val="19"/>
          <w:szCs w:val="19"/>
        </w:rPr>
        <w:t>2002</w:t>
      </w:r>
      <w:r>
        <w:rPr>
          <w:rFonts w:ascii="AdvOT1ef757c0" w:hAnsi="AdvOT1ef757c0" w:cs="AdvOT1ef757c0"/>
          <w:color w:val="000000"/>
          <w:sz w:val="19"/>
          <w:szCs w:val="19"/>
        </w:rPr>
        <w:t>). Evidence-based practice: Counterarguments to objections.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Research on Social Work Practice</w:t>
      </w:r>
      <w:r>
        <w:rPr>
          <w:rFonts w:ascii="AdvOT1ef757c0" w:hAnsi="AdvOT1ef757c0" w:cs="AdvOT1ef757c0"/>
          <w:color w:val="000000"/>
          <w:sz w:val="19"/>
          <w:szCs w:val="19"/>
        </w:rPr>
        <w:t xml:space="preserve">, </w:t>
      </w:r>
      <w:r>
        <w:rPr>
          <w:rFonts w:ascii="AdvOT7d6df7ab.I" w:hAnsi="AdvOT7d6df7ab.I" w:cs="AdvOT7d6df7ab.I"/>
          <w:color w:val="000000"/>
          <w:sz w:val="19"/>
          <w:szCs w:val="19"/>
        </w:rPr>
        <w:t>12</w:t>
      </w:r>
      <w:r>
        <w:rPr>
          <w:rFonts w:ascii="AdvOT1ef757c0" w:hAnsi="AdvOT1ef757c0" w:cs="AdvOT1ef757c0"/>
          <w:color w:val="000000"/>
          <w:sz w:val="19"/>
          <w:szCs w:val="19"/>
        </w:rPr>
        <w:t>(3), 452</w:t>
      </w:r>
      <w:r>
        <w:rPr>
          <w:rFonts w:ascii="AdvOT1ef757c0+20" w:hAnsi="AdvOT1ef757c0+20" w:cs="AdvOT1ef757c0+20"/>
          <w:color w:val="000000"/>
          <w:sz w:val="19"/>
          <w:szCs w:val="19"/>
        </w:rPr>
        <w:t>–</w:t>
      </w:r>
      <w:r>
        <w:rPr>
          <w:rFonts w:ascii="AdvOT1ef757c0" w:hAnsi="AdvOT1ef757c0" w:cs="AdvOT1ef757c0"/>
          <w:color w:val="000000"/>
          <w:sz w:val="19"/>
          <w:szCs w:val="19"/>
        </w:rPr>
        <w:t>476.</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Glasby, J. (</w:t>
      </w:r>
      <w:r>
        <w:rPr>
          <w:rFonts w:ascii="AdvOT1ef757c0" w:hAnsi="AdvOT1ef757c0" w:cs="AdvOT1ef757c0"/>
          <w:color w:val="000085"/>
          <w:sz w:val="19"/>
          <w:szCs w:val="19"/>
        </w:rPr>
        <w:t>2011</w:t>
      </w:r>
      <w:r>
        <w:rPr>
          <w:rFonts w:ascii="AdvOT1ef757c0" w:hAnsi="AdvOT1ef757c0" w:cs="AdvOT1ef757c0"/>
          <w:color w:val="000000"/>
          <w:sz w:val="19"/>
          <w:szCs w:val="19"/>
        </w:rPr>
        <w:t xml:space="preserve">). </w:t>
      </w:r>
      <w:r>
        <w:rPr>
          <w:rFonts w:ascii="AdvOT7d6df7ab.I" w:hAnsi="AdvOT7d6df7ab.I" w:cs="AdvOT7d6df7ab.I"/>
          <w:color w:val="000000"/>
          <w:sz w:val="19"/>
          <w:szCs w:val="19"/>
        </w:rPr>
        <w:t>Evidence, policy and practice: Critical perspectives in health and social care</w:t>
      </w:r>
      <w:r>
        <w:rPr>
          <w:rFonts w:ascii="AdvOT1ef757c0" w:hAnsi="AdvOT1ef757c0" w:cs="AdvOT1ef757c0"/>
          <w:color w:val="000000"/>
          <w:sz w:val="19"/>
          <w:szCs w:val="19"/>
        </w:rPr>
        <w:t>. Bristol:</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Policy Press.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roofErr w:type="spellStart"/>
      <w:r>
        <w:rPr>
          <w:rFonts w:ascii="AdvOT1ef757c0" w:hAnsi="AdvOT1ef757c0" w:cs="AdvOT1ef757c0"/>
          <w:color w:val="000000"/>
          <w:sz w:val="19"/>
          <w:szCs w:val="19"/>
        </w:rPr>
        <w:t>Gray</w:t>
      </w:r>
      <w:proofErr w:type="spellEnd"/>
      <w:r>
        <w:rPr>
          <w:rFonts w:ascii="AdvOT1ef757c0" w:hAnsi="AdvOT1ef757c0" w:cs="AdvOT1ef757c0"/>
          <w:color w:val="000000"/>
          <w:sz w:val="19"/>
          <w:szCs w:val="19"/>
        </w:rPr>
        <w:t>, M., Joy, E., Plath, D., &amp; Webb, S. A. (</w:t>
      </w:r>
      <w:r>
        <w:rPr>
          <w:rFonts w:ascii="AdvOT1ef757c0" w:hAnsi="AdvOT1ef757c0" w:cs="AdvOT1ef757c0"/>
          <w:color w:val="000085"/>
          <w:sz w:val="19"/>
          <w:szCs w:val="19"/>
        </w:rPr>
        <w:t>2013</w:t>
      </w:r>
      <w:r>
        <w:rPr>
          <w:rFonts w:ascii="AdvOT1ef757c0" w:hAnsi="AdvOT1ef757c0" w:cs="AdvOT1ef757c0"/>
          <w:color w:val="000000"/>
          <w:sz w:val="19"/>
          <w:szCs w:val="19"/>
        </w:rPr>
        <w:t>). Implementing evidence-based practice: A review</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of the empirical research literature. </w:t>
      </w:r>
      <w:r>
        <w:rPr>
          <w:rFonts w:ascii="AdvOT7d6df7ab.I" w:hAnsi="AdvOT7d6df7ab.I" w:cs="AdvOT7d6df7ab.I"/>
          <w:color w:val="000000"/>
          <w:sz w:val="19"/>
          <w:szCs w:val="19"/>
        </w:rPr>
        <w:t>Research on Social Work Practice</w:t>
      </w:r>
      <w:r>
        <w:rPr>
          <w:rFonts w:ascii="AdvOT1ef757c0" w:hAnsi="AdvOT1ef757c0" w:cs="AdvOT1ef757c0"/>
          <w:color w:val="000000"/>
          <w:sz w:val="19"/>
          <w:szCs w:val="19"/>
        </w:rPr>
        <w:t xml:space="preserve">, </w:t>
      </w:r>
      <w:r>
        <w:rPr>
          <w:rFonts w:ascii="AdvOT7d6df7ab.I" w:hAnsi="AdvOT7d6df7ab.I" w:cs="AdvOT7d6df7ab.I"/>
          <w:color w:val="000000"/>
          <w:sz w:val="19"/>
          <w:szCs w:val="19"/>
        </w:rPr>
        <w:t>23</w:t>
      </w:r>
      <w:r>
        <w:rPr>
          <w:rFonts w:ascii="AdvOT1ef757c0" w:hAnsi="AdvOT1ef757c0" w:cs="AdvOT1ef757c0"/>
          <w:color w:val="000000"/>
          <w:sz w:val="19"/>
          <w:szCs w:val="19"/>
        </w:rPr>
        <w:t>(2), 157</w:t>
      </w:r>
      <w:r>
        <w:rPr>
          <w:rFonts w:ascii="AdvOT1ef757c0+20" w:hAnsi="AdvOT1ef757c0+20" w:cs="AdvOT1ef757c0+20"/>
          <w:color w:val="000000"/>
          <w:sz w:val="19"/>
          <w:szCs w:val="19"/>
        </w:rPr>
        <w:t>–</w:t>
      </w:r>
      <w:r>
        <w:rPr>
          <w:rFonts w:ascii="AdvOT1ef757c0" w:hAnsi="AdvOT1ef757c0" w:cs="AdvOT1ef757c0"/>
          <w:color w:val="000000"/>
          <w:sz w:val="19"/>
          <w:szCs w:val="19"/>
        </w:rPr>
        <w:t>166.</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Gri</w:t>
      </w:r>
      <w:r>
        <w:rPr>
          <w:rFonts w:ascii="AdvOT1ef757c0+fb" w:hAnsi="AdvOT1ef757c0+fb" w:cs="AdvOT1ef757c0+fb"/>
          <w:color w:val="000000"/>
          <w:sz w:val="19"/>
          <w:szCs w:val="19"/>
        </w:rPr>
        <w:t>ffi</w:t>
      </w:r>
      <w:r>
        <w:rPr>
          <w:rFonts w:ascii="AdvOT1ef757c0" w:hAnsi="AdvOT1ef757c0" w:cs="AdvOT1ef757c0"/>
          <w:color w:val="000000"/>
          <w:sz w:val="19"/>
          <w:szCs w:val="19"/>
        </w:rPr>
        <w:t xml:space="preserve">n, G., Green, T., &amp; </w:t>
      </w:r>
      <w:proofErr w:type="spellStart"/>
      <w:r>
        <w:rPr>
          <w:rFonts w:ascii="AdvOT1ef757c0" w:hAnsi="AdvOT1ef757c0" w:cs="AdvOT1ef757c0"/>
          <w:color w:val="000000"/>
          <w:sz w:val="19"/>
          <w:szCs w:val="19"/>
        </w:rPr>
        <w:t>Medhurst</w:t>
      </w:r>
      <w:proofErr w:type="spellEnd"/>
      <w:r>
        <w:rPr>
          <w:rFonts w:ascii="AdvOT1ef757c0" w:hAnsi="AdvOT1ef757c0" w:cs="AdvOT1ef757c0"/>
          <w:color w:val="000000"/>
          <w:sz w:val="19"/>
          <w:szCs w:val="19"/>
        </w:rPr>
        <w:t>, P. (</w:t>
      </w:r>
      <w:r>
        <w:rPr>
          <w:rFonts w:ascii="AdvOT1ef757c0" w:hAnsi="AdvOT1ef757c0" w:cs="AdvOT1ef757c0"/>
          <w:color w:val="000085"/>
          <w:sz w:val="19"/>
          <w:szCs w:val="19"/>
        </w:rPr>
        <w:t>2005</w:t>
      </w:r>
      <w:r>
        <w:rPr>
          <w:rFonts w:ascii="AdvOT1ef757c0" w:hAnsi="AdvOT1ef757c0" w:cs="AdvOT1ef757c0"/>
          <w:color w:val="000000"/>
          <w:sz w:val="19"/>
          <w:szCs w:val="19"/>
        </w:rPr>
        <w:t xml:space="preserve">). </w:t>
      </w:r>
      <w:r>
        <w:rPr>
          <w:rFonts w:ascii="AdvOT7d6df7ab.I" w:hAnsi="AdvOT7d6df7ab.I" w:cs="AdvOT7d6df7ab.I"/>
          <w:color w:val="000000"/>
          <w:sz w:val="19"/>
          <w:szCs w:val="19"/>
        </w:rPr>
        <w:t>The Relationship between the process of professionalization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in academe and interdisciplinarity: A comparative study of eight European countries</w:t>
      </w:r>
      <w:r>
        <w:rPr>
          <w:rFonts w:ascii="AdvOT1ef757c0" w:hAnsi="AdvOT1ef757c0" w:cs="AdvOT1ef757c0"/>
          <w:color w:val="000000"/>
          <w:sz w:val="19"/>
          <w:szCs w:val="19"/>
        </w:rPr>
        <w:t>.</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Hull: University of Hull.</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Henderson, L., &amp; Franklin, B. (</w:t>
      </w:r>
      <w:r>
        <w:rPr>
          <w:rFonts w:ascii="AdvOT1ef757c0" w:hAnsi="AdvOT1ef757c0" w:cs="AdvOT1ef757c0"/>
          <w:color w:val="000085"/>
          <w:sz w:val="19"/>
          <w:szCs w:val="19"/>
        </w:rPr>
        <w:t>2007</w:t>
      </w:r>
      <w:r>
        <w:rPr>
          <w:rFonts w:ascii="AdvOT1ef757c0" w:hAnsi="AdvOT1ef757c0" w:cs="AdvOT1ef757c0"/>
          <w:color w:val="000000"/>
          <w:sz w:val="19"/>
          <w:szCs w:val="19"/>
        </w:rPr>
        <w:t>). Sad not bad: Images of social care professionals in popular UK</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television. </w:t>
      </w:r>
      <w:r>
        <w:rPr>
          <w:rFonts w:ascii="AdvOT7d6df7ab.I" w:hAnsi="AdvOT7d6df7ab.I" w:cs="AdvOT7d6df7ab.I"/>
          <w:color w:val="000000"/>
          <w:sz w:val="19"/>
          <w:szCs w:val="19"/>
        </w:rPr>
        <w:t>Journal of Social Work</w:t>
      </w:r>
      <w:r>
        <w:rPr>
          <w:rFonts w:ascii="AdvOT1ef757c0" w:hAnsi="AdvOT1ef757c0" w:cs="AdvOT1ef757c0"/>
          <w:color w:val="000000"/>
          <w:sz w:val="19"/>
          <w:szCs w:val="19"/>
        </w:rPr>
        <w:t xml:space="preserve">, </w:t>
      </w:r>
      <w:r>
        <w:rPr>
          <w:rFonts w:ascii="AdvOT7d6df7ab.I" w:hAnsi="AdvOT7d6df7ab.I" w:cs="AdvOT7d6df7ab.I"/>
          <w:color w:val="000000"/>
          <w:sz w:val="19"/>
          <w:szCs w:val="19"/>
        </w:rPr>
        <w:t>7</w:t>
      </w:r>
      <w:r>
        <w:rPr>
          <w:rFonts w:ascii="AdvOT1ef757c0" w:hAnsi="AdvOT1ef757c0" w:cs="AdvOT1ef757c0"/>
          <w:color w:val="000000"/>
          <w:sz w:val="19"/>
          <w:szCs w:val="19"/>
        </w:rPr>
        <w:t>(3), 133</w:t>
      </w:r>
      <w:r>
        <w:rPr>
          <w:rFonts w:ascii="AdvOT1ef757c0+20" w:hAnsi="AdvOT1ef757c0+20" w:cs="AdvOT1ef757c0+20"/>
          <w:color w:val="000000"/>
          <w:sz w:val="19"/>
          <w:szCs w:val="19"/>
        </w:rPr>
        <w:t>–</w:t>
      </w:r>
      <w:r>
        <w:rPr>
          <w:rFonts w:ascii="AdvOT1ef757c0" w:hAnsi="AdvOT1ef757c0" w:cs="AdvOT1ef757c0"/>
          <w:color w:val="000000"/>
          <w:sz w:val="19"/>
          <w:szCs w:val="19"/>
        </w:rPr>
        <w:t>153.</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r>
        <w:rPr>
          <w:rFonts w:ascii="AdvOT1ef757c0" w:hAnsi="AdvOT1ef757c0" w:cs="AdvOT1ef757c0"/>
          <w:color w:val="000000"/>
          <w:sz w:val="19"/>
          <w:szCs w:val="19"/>
        </w:rPr>
        <w:t>HIQA. (</w:t>
      </w:r>
      <w:r>
        <w:rPr>
          <w:rFonts w:ascii="AdvOT1ef757c0" w:hAnsi="AdvOT1ef757c0" w:cs="AdvOT1ef757c0"/>
          <w:color w:val="000085"/>
          <w:sz w:val="19"/>
          <w:szCs w:val="19"/>
        </w:rPr>
        <w:t>2012</w:t>
      </w:r>
      <w:r>
        <w:rPr>
          <w:rFonts w:ascii="AdvOT1ef757c0" w:hAnsi="AdvOT1ef757c0" w:cs="AdvOT1ef757c0"/>
          <w:color w:val="000000"/>
          <w:sz w:val="19"/>
          <w:szCs w:val="19"/>
        </w:rPr>
        <w:t xml:space="preserve">). </w:t>
      </w:r>
      <w:r>
        <w:rPr>
          <w:rFonts w:ascii="AdvOT7d6df7ab.I" w:hAnsi="AdvOT7d6df7ab.I" w:cs="AdvOT7d6df7ab.I"/>
          <w:color w:val="000000"/>
          <w:sz w:val="19"/>
          <w:szCs w:val="19"/>
        </w:rPr>
        <w:t>National standards for the protection and welfare of children</w:t>
      </w:r>
      <w:r>
        <w:rPr>
          <w:rFonts w:ascii="AdvOT1ef757c0" w:hAnsi="AdvOT1ef757c0" w:cs="AdvOT1ef757c0"/>
          <w:color w:val="000000"/>
          <w:sz w:val="19"/>
          <w:szCs w:val="19"/>
        </w:rPr>
        <w:t xml:space="preserve">. Retrieved from </w:t>
      </w:r>
      <w:r>
        <w:rPr>
          <w:rFonts w:ascii="AdvOT1ef757c0" w:hAnsi="AdvOT1ef757c0" w:cs="AdvOT1ef757c0"/>
          <w:color w:val="000085"/>
          <w:sz w:val="19"/>
          <w:szCs w:val="19"/>
        </w:rPr>
        <w:t>https://</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hyperlink r:id="rId6" w:history="1">
        <w:r w:rsidRPr="00151C74">
          <w:rPr>
            <w:rStyle w:val="Hyperlink"/>
            <w:rFonts w:ascii="AdvOT1ef757c0" w:hAnsi="AdvOT1ef757c0" w:cs="AdvOT1ef757c0"/>
            <w:sz w:val="19"/>
            <w:szCs w:val="19"/>
          </w:rPr>
          <w:t>www.hiqa.ie/sites/default/</w:t>
        </w:r>
        <w:r w:rsidRPr="00151C74">
          <w:rPr>
            <w:rStyle w:val="Hyperlink"/>
            <w:rFonts w:ascii="AdvOT1ef757c0+fb" w:hAnsi="AdvOT1ef757c0+fb" w:cs="AdvOT1ef757c0+fb"/>
            <w:sz w:val="19"/>
            <w:szCs w:val="19"/>
          </w:rPr>
          <w:t>fi</w:t>
        </w:r>
        <w:r w:rsidRPr="00151C74">
          <w:rPr>
            <w:rStyle w:val="Hyperlink"/>
            <w:rFonts w:ascii="AdvOT1ef757c0" w:hAnsi="AdvOT1ef757c0" w:cs="AdvOT1ef757c0"/>
            <w:sz w:val="19"/>
            <w:szCs w:val="19"/>
          </w:rPr>
          <w:t>les/2017-01/Child-Protection-Welfare-Standards_2.pdf</w:t>
        </w:r>
      </w:hyperlink>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Howard, N. (</w:t>
      </w:r>
      <w:r>
        <w:rPr>
          <w:rFonts w:ascii="AdvOT1ef757c0" w:hAnsi="AdvOT1ef757c0" w:cs="AdvOT1ef757c0"/>
          <w:color w:val="000085"/>
          <w:sz w:val="19"/>
          <w:szCs w:val="19"/>
        </w:rPr>
        <w:t>2012</w:t>
      </w:r>
      <w:r>
        <w:rPr>
          <w:rFonts w:ascii="AdvOT1ef757c0" w:hAnsi="AdvOT1ef757c0" w:cs="AdvOT1ef757c0"/>
          <w:color w:val="000000"/>
          <w:sz w:val="19"/>
          <w:szCs w:val="19"/>
        </w:rPr>
        <w:t>). The Ryan Report: A practitioner</w:t>
      </w:r>
      <w:r>
        <w:rPr>
          <w:rFonts w:ascii="AdvOT1ef757c0+20" w:hAnsi="AdvOT1ef757c0+20" w:cs="AdvOT1ef757c0+20"/>
          <w:color w:val="000000"/>
          <w:sz w:val="19"/>
          <w:szCs w:val="19"/>
        </w:rPr>
        <w:t>’</w:t>
      </w:r>
      <w:r>
        <w:rPr>
          <w:rFonts w:ascii="AdvOT1ef757c0" w:hAnsi="AdvOT1ef757c0" w:cs="AdvOT1ef757c0"/>
          <w:color w:val="000000"/>
          <w:sz w:val="19"/>
          <w:szCs w:val="19"/>
        </w:rPr>
        <w:t>s perspective on the implications for Irish</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child care. </w:t>
      </w:r>
      <w:r>
        <w:rPr>
          <w:rFonts w:ascii="AdvOT7d6df7ab.I" w:hAnsi="AdvOT7d6df7ab.I" w:cs="AdvOT7d6df7ab.I"/>
          <w:color w:val="000000"/>
          <w:sz w:val="19"/>
          <w:szCs w:val="19"/>
        </w:rPr>
        <w:t>Irish Journal of Applied Social Studies</w:t>
      </w:r>
      <w:r>
        <w:rPr>
          <w:rFonts w:ascii="AdvOT1ef757c0" w:hAnsi="AdvOT1ef757c0" w:cs="AdvOT1ef757c0"/>
          <w:color w:val="000000"/>
          <w:sz w:val="19"/>
          <w:szCs w:val="19"/>
        </w:rPr>
        <w:t xml:space="preserve">, </w:t>
      </w:r>
      <w:r>
        <w:rPr>
          <w:rFonts w:ascii="AdvOT7d6df7ab.I" w:hAnsi="AdvOT7d6df7ab.I" w:cs="AdvOT7d6df7ab.I"/>
          <w:color w:val="000000"/>
          <w:sz w:val="19"/>
          <w:szCs w:val="19"/>
        </w:rPr>
        <w:t>12</w:t>
      </w:r>
      <w:r>
        <w:rPr>
          <w:rFonts w:ascii="AdvOT1ef757c0" w:hAnsi="AdvOT1ef757c0" w:cs="AdvOT1ef757c0"/>
          <w:color w:val="000000"/>
          <w:sz w:val="19"/>
          <w:szCs w:val="19"/>
        </w:rPr>
        <w:t>(1), 38</w:t>
      </w:r>
      <w:r>
        <w:rPr>
          <w:rFonts w:ascii="AdvOT1ef757c0+20" w:hAnsi="AdvOT1ef757c0+20" w:cs="AdvOT1ef757c0+20"/>
          <w:color w:val="000000"/>
          <w:sz w:val="19"/>
          <w:szCs w:val="19"/>
        </w:rPr>
        <w:t>–</w:t>
      </w:r>
      <w:r>
        <w:rPr>
          <w:rFonts w:ascii="AdvOT1ef757c0" w:hAnsi="AdvOT1ef757c0" w:cs="AdvOT1ef757c0"/>
          <w:color w:val="000000"/>
          <w:sz w:val="19"/>
          <w:szCs w:val="19"/>
        </w:rPr>
        <w:t>48.</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Hutchinson, D. (</w:t>
      </w:r>
      <w:r>
        <w:rPr>
          <w:rFonts w:ascii="AdvOT1ef757c0" w:hAnsi="AdvOT1ef757c0" w:cs="AdvOT1ef757c0"/>
          <w:color w:val="000085"/>
          <w:sz w:val="19"/>
          <w:szCs w:val="19"/>
        </w:rPr>
        <w:t>2017</w:t>
      </w:r>
      <w:r>
        <w:rPr>
          <w:rFonts w:ascii="AdvOT1ef757c0" w:hAnsi="AdvOT1ef757c0" w:cs="AdvOT1ef757c0"/>
          <w:color w:val="000000"/>
          <w:sz w:val="19"/>
          <w:szCs w:val="19"/>
        </w:rPr>
        <w:t xml:space="preserve">). </w:t>
      </w:r>
      <w:r>
        <w:rPr>
          <w:rFonts w:ascii="AdvOT7d6df7ab.I" w:hAnsi="AdvOT7d6df7ab.I" w:cs="AdvOT7d6df7ab.I"/>
          <w:color w:val="000000"/>
          <w:sz w:val="19"/>
          <w:szCs w:val="19"/>
        </w:rPr>
        <w:t xml:space="preserve">Social care workers registration board </w:t>
      </w:r>
      <w:r>
        <w:rPr>
          <w:rFonts w:ascii="AdvOT7d6df7ab.I+20" w:hAnsi="AdvOT7d6df7ab.I+20" w:cs="AdvOT7d6df7ab.I+20"/>
          <w:color w:val="000000"/>
          <w:sz w:val="19"/>
          <w:szCs w:val="19"/>
        </w:rPr>
        <w:t xml:space="preserve">– </w:t>
      </w:r>
      <w:r>
        <w:rPr>
          <w:rFonts w:ascii="AdvOT7d6df7ab.I" w:hAnsi="AdvOT7d6df7ab.I" w:cs="AdvOT7d6df7ab.I"/>
          <w:color w:val="000000"/>
          <w:sz w:val="19"/>
          <w:szCs w:val="19"/>
        </w:rPr>
        <w:t>Standards of pro</w:t>
      </w:r>
      <w:r>
        <w:rPr>
          <w:rFonts w:ascii="AdvOT7d6df7ab.I+fb" w:hAnsi="AdvOT7d6df7ab.I+fb" w:cs="AdvOT7d6df7ab.I+fb"/>
          <w:color w:val="000000"/>
          <w:sz w:val="19"/>
          <w:szCs w:val="19"/>
        </w:rPr>
        <w:t>fi</w:t>
      </w:r>
      <w:r>
        <w:rPr>
          <w:rFonts w:ascii="AdvOT7d6df7ab.I" w:hAnsi="AdvOT7d6df7ab.I" w:cs="AdvOT7d6df7ab.I"/>
          <w:color w:val="000000"/>
          <w:sz w:val="19"/>
          <w:szCs w:val="19"/>
        </w:rPr>
        <w:t>ciency for social</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r>
        <w:rPr>
          <w:rFonts w:ascii="AdvOT7d6df7ab.I" w:hAnsi="AdvOT7d6df7ab.I" w:cs="AdvOT7d6df7ab.I"/>
          <w:color w:val="000000"/>
          <w:sz w:val="19"/>
          <w:szCs w:val="19"/>
        </w:rPr>
        <w:t>care workers</w:t>
      </w:r>
      <w:r>
        <w:rPr>
          <w:rFonts w:ascii="AdvOT1ef757c0" w:hAnsi="AdvOT1ef757c0" w:cs="AdvOT1ef757c0"/>
          <w:color w:val="000000"/>
          <w:sz w:val="19"/>
          <w:szCs w:val="19"/>
        </w:rPr>
        <w:t xml:space="preserve">. Retrieved from </w:t>
      </w:r>
      <w:r>
        <w:rPr>
          <w:rFonts w:ascii="AdvOT1ef757c0" w:hAnsi="AdvOT1ef757c0" w:cs="AdvOT1ef757c0"/>
          <w:color w:val="000085"/>
          <w:sz w:val="19"/>
          <w:szCs w:val="19"/>
        </w:rPr>
        <w:t>http://coru.ie/uploads/documents/Dunia_Hutchinson_Notes_on_</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r>
        <w:rPr>
          <w:rFonts w:ascii="AdvOT1ef757c0" w:hAnsi="AdvOT1ef757c0" w:cs="AdvOT1ef757c0"/>
          <w:color w:val="000085"/>
          <w:sz w:val="19"/>
          <w:szCs w:val="19"/>
        </w:rPr>
        <w:t>Speech_31.5.17.pdf</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p>
    <w:p w:rsidR="00736380" w:rsidRDefault="00736380" w:rsidP="00736380">
      <w:pPr>
        <w:autoSpaceDE w:val="0"/>
        <w:autoSpaceDN w:val="0"/>
        <w:adjustRightInd w:val="0"/>
        <w:spacing w:after="0" w:line="240" w:lineRule="auto"/>
        <w:rPr>
          <w:rFonts w:ascii="AdvOT7d6df7ab.I+20" w:hAnsi="AdvOT7d6df7ab.I+20" w:cs="AdvOT7d6df7ab.I+20"/>
          <w:color w:val="000000"/>
          <w:sz w:val="19"/>
          <w:szCs w:val="19"/>
        </w:rPr>
      </w:pPr>
      <w:r>
        <w:rPr>
          <w:rFonts w:ascii="AdvOT1ef757c0" w:hAnsi="AdvOT1ef757c0" w:cs="AdvOT1ef757c0"/>
          <w:color w:val="000000"/>
          <w:sz w:val="19"/>
          <w:szCs w:val="19"/>
        </w:rPr>
        <w:t>Irish Association of Social Care Workers. (</w:t>
      </w:r>
      <w:r>
        <w:rPr>
          <w:rFonts w:ascii="AdvOT1ef757c0" w:hAnsi="AdvOT1ef757c0" w:cs="AdvOT1ef757c0"/>
          <w:color w:val="000085"/>
          <w:sz w:val="19"/>
          <w:szCs w:val="19"/>
        </w:rPr>
        <w:t>2014</w:t>
      </w:r>
      <w:r>
        <w:rPr>
          <w:rFonts w:ascii="AdvOT1ef757c0" w:hAnsi="AdvOT1ef757c0" w:cs="AdvOT1ef757c0"/>
          <w:color w:val="000000"/>
          <w:sz w:val="19"/>
          <w:szCs w:val="19"/>
        </w:rPr>
        <w:t xml:space="preserve">). </w:t>
      </w:r>
      <w:r>
        <w:rPr>
          <w:rFonts w:ascii="AdvOT7d6df7ab.I" w:hAnsi="AdvOT7d6df7ab.I" w:cs="AdvOT7d6df7ab.I"/>
          <w:color w:val="000000"/>
          <w:sz w:val="19"/>
          <w:szCs w:val="19"/>
        </w:rPr>
        <w:t xml:space="preserve">Report on </w:t>
      </w:r>
      <w:r>
        <w:rPr>
          <w:rFonts w:ascii="AdvOT7d6df7ab.I+fb" w:hAnsi="AdvOT7d6df7ab.I+fb" w:cs="AdvOT7d6df7ab.I+fb"/>
          <w:color w:val="000000"/>
          <w:sz w:val="19"/>
          <w:szCs w:val="19"/>
        </w:rPr>
        <w:t>fi</w:t>
      </w:r>
      <w:r>
        <w:rPr>
          <w:rFonts w:ascii="AdvOT7d6df7ab.I" w:hAnsi="AdvOT7d6df7ab.I" w:cs="AdvOT7d6df7ab.I"/>
          <w:color w:val="000000"/>
          <w:sz w:val="19"/>
          <w:szCs w:val="19"/>
        </w:rPr>
        <w:t>ndings of social care workers CPD</w:t>
      </w:r>
      <w:r>
        <w:rPr>
          <w:rFonts w:ascii="AdvOT7d6df7ab.I+20" w:hAnsi="AdvOT7d6df7ab.I+20" w:cs="AdvOT7d6df7ab.I+20"/>
          <w:color w:val="000000"/>
          <w:sz w:val="19"/>
          <w:szCs w:val="19"/>
        </w:rPr>
        <w:t>’</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r>
        <w:rPr>
          <w:rFonts w:ascii="AdvOT7d6df7ab.I" w:hAnsi="AdvOT7d6df7ab.I" w:cs="AdvOT7d6df7ab.I"/>
          <w:color w:val="000000"/>
          <w:sz w:val="19"/>
          <w:szCs w:val="19"/>
        </w:rPr>
        <w:t>Needs Assessment Survey</w:t>
      </w:r>
      <w:r>
        <w:rPr>
          <w:rFonts w:ascii="AdvOT1ef757c0" w:hAnsi="AdvOT1ef757c0" w:cs="AdvOT1ef757c0"/>
          <w:color w:val="000000"/>
          <w:sz w:val="19"/>
          <w:szCs w:val="19"/>
        </w:rPr>
        <w:t xml:space="preserve">. Retrieved from </w:t>
      </w:r>
      <w:r>
        <w:rPr>
          <w:rFonts w:ascii="AdvOT1ef757c0" w:hAnsi="AdvOT1ef757c0" w:cs="AdvOT1ef757c0"/>
          <w:color w:val="000085"/>
          <w:sz w:val="19"/>
          <w:szCs w:val="19"/>
        </w:rPr>
        <w:t>https://socialcareireland.ie/continuing-professionaldevelopment/%</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r>
        <w:rPr>
          <w:rFonts w:ascii="AdvOT1ef757c0" w:hAnsi="AdvOT1ef757c0" w:cs="AdvOT1ef757c0"/>
          <w:color w:val="000085"/>
          <w:sz w:val="19"/>
          <w:szCs w:val="19"/>
        </w:rPr>
        <w:t>20continuing-professional-development-report/</w:t>
      </w:r>
    </w:p>
    <w:p w:rsidR="00736380" w:rsidRDefault="00736380" w:rsidP="00736380">
      <w:pPr>
        <w:tabs>
          <w:tab w:val="left" w:pos="5529"/>
        </w:tabs>
        <w:autoSpaceDE w:val="0"/>
        <w:autoSpaceDN w:val="0"/>
        <w:adjustRightInd w:val="0"/>
        <w:spacing w:after="0" w:line="240" w:lineRule="auto"/>
        <w:rPr>
          <w:rFonts w:ascii="AdvOT1ef757c0" w:hAnsi="AdvOT1ef757c0" w:cs="AdvOT1ef757c0"/>
          <w:color w:val="000085"/>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Joint Committee on Social Care Professionals. (</w:t>
      </w:r>
      <w:r>
        <w:rPr>
          <w:rFonts w:ascii="AdvOT1ef757c0" w:hAnsi="AdvOT1ef757c0" w:cs="AdvOT1ef757c0"/>
          <w:color w:val="000085"/>
          <w:sz w:val="19"/>
          <w:szCs w:val="19"/>
        </w:rPr>
        <w:t>2002</w:t>
      </w:r>
      <w:r>
        <w:rPr>
          <w:rFonts w:ascii="AdvOT1ef757c0" w:hAnsi="AdvOT1ef757c0" w:cs="AdvOT1ef757c0"/>
          <w:color w:val="000000"/>
          <w:sz w:val="19"/>
          <w:szCs w:val="19"/>
        </w:rPr>
        <w:t xml:space="preserve">). </w:t>
      </w:r>
      <w:r>
        <w:rPr>
          <w:rFonts w:ascii="AdvOT7d6df7ab.I" w:hAnsi="AdvOT7d6df7ab.I" w:cs="AdvOT7d6df7ab.I"/>
          <w:color w:val="000000"/>
          <w:sz w:val="19"/>
          <w:szCs w:val="19"/>
        </w:rPr>
        <w:t>Final report of joint committee on social care</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r>
        <w:rPr>
          <w:rFonts w:ascii="AdvOT7d6df7ab.I" w:hAnsi="AdvOT7d6df7ab.I" w:cs="AdvOT7d6df7ab.I"/>
          <w:color w:val="000000"/>
          <w:sz w:val="19"/>
          <w:szCs w:val="19"/>
        </w:rPr>
        <w:t>professionals</w:t>
      </w:r>
      <w:r>
        <w:rPr>
          <w:rFonts w:ascii="AdvOT1ef757c0" w:hAnsi="AdvOT1ef757c0" w:cs="AdvOT1ef757c0"/>
          <w:color w:val="000000"/>
          <w:sz w:val="19"/>
          <w:szCs w:val="19"/>
        </w:rPr>
        <w:t xml:space="preserve">. Retrieved from </w:t>
      </w:r>
      <w:r>
        <w:rPr>
          <w:rFonts w:ascii="AdvOT1ef757c0" w:hAnsi="AdvOT1ef757c0" w:cs="AdvOT1ef757c0"/>
          <w:color w:val="000085"/>
          <w:sz w:val="19"/>
          <w:szCs w:val="19"/>
        </w:rPr>
        <w:t>https://www.lenus.ie/bitstream/handle/10147/46110/10672.pdf;</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proofErr w:type="spellStart"/>
      <w:r>
        <w:rPr>
          <w:rFonts w:ascii="AdvOT1ef757c0" w:hAnsi="AdvOT1ef757c0" w:cs="AdvOT1ef757c0"/>
          <w:color w:val="000085"/>
          <w:sz w:val="19"/>
          <w:szCs w:val="19"/>
        </w:rPr>
        <w:t>jsessionid</w:t>
      </w:r>
      <w:proofErr w:type="spellEnd"/>
      <w:r>
        <w:rPr>
          <w:rFonts w:ascii="AdvOT1ef757c0" w:hAnsi="AdvOT1ef757c0" w:cs="AdvOT1ef757c0"/>
          <w:color w:val="000085"/>
          <w:sz w:val="19"/>
          <w:szCs w:val="19"/>
        </w:rPr>
        <w:t>=099AF247322E81254ECACB8FD7FF313D?sequence=1</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Kilkelly, U. (</w:t>
      </w:r>
      <w:r>
        <w:rPr>
          <w:rFonts w:ascii="AdvOT1ef757c0" w:hAnsi="AdvOT1ef757c0" w:cs="AdvOT1ef757c0"/>
          <w:color w:val="000085"/>
          <w:sz w:val="19"/>
          <w:szCs w:val="19"/>
        </w:rPr>
        <w:t>2017</w:t>
      </w:r>
      <w:r>
        <w:rPr>
          <w:rFonts w:ascii="AdvOT1ef757c0" w:hAnsi="AdvOT1ef757c0" w:cs="AdvOT1ef757c0"/>
          <w:color w:val="000000"/>
          <w:sz w:val="19"/>
          <w:szCs w:val="19"/>
        </w:rPr>
        <w:t xml:space="preserve">). </w:t>
      </w:r>
      <w:r>
        <w:rPr>
          <w:rFonts w:ascii="AdvOT7d6df7ab.I" w:hAnsi="AdvOT7d6df7ab.I" w:cs="AdvOT7d6df7ab.I"/>
          <w:color w:val="000000"/>
          <w:sz w:val="19"/>
          <w:szCs w:val="19"/>
        </w:rPr>
        <w:t>Children</w:t>
      </w:r>
      <w:r>
        <w:rPr>
          <w:rFonts w:ascii="AdvOT7d6df7ab.I+20" w:hAnsi="AdvOT7d6df7ab.I+20" w:cs="AdvOT7d6df7ab.I+20"/>
          <w:color w:val="000000"/>
          <w:sz w:val="19"/>
          <w:szCs w:val="19"/>
        </w:rPr>
        <w:t>’</w:t>
      </w:r>
      <w:r>
        <w:rPr>
          <w:rFonts w:ascii="AdvOT7d6df7ab.I" w:hAnsi="AdvOT7d6df7ab.I" w:cs="AdvOT7d6df7ab.I"/>
          <w:color w:val="000000"/>
          <w:sz w:val="19"/>
          <w:szCs w:val="19"/>
        </w:rPr>
        <w:t>s rights</w:t>
      </w:r>
      <w:r>
        <w:rPr>
          <w:rFonts w:ascii="AdvOT1ef757c0" w:hAnsi="AdvOT1ef757c0" w:cs="AdvOT1ef757c0"/>
          <w:color w:val="000000"/>
          <w:sz w:val="19"/>
          <w:szCs w:val="19"/>
        </w:rPr>
        <w:t>. London: Routledge.</w:t>
      </w:r>
    </w:p>
    <w:p w:rsidR="00736380" w:rsidRDefault="00736380" w:rsidP="00736380">
      <w:pPr>
        <w:autoSpaceDE w:val="0"/>
        <w:autoSpaceDN w:val="0"/>
        <w:adjustRightInd w:val="0"/>
        <w:spacing w:after="0" w:line="240" w:lineRule="auto"/>
        <w:rPr>
          <w:rFonts w:ascii="AdvOT46dcae81" w:hAnsi="AdvOT46dcae81" w:cs="AdvOT46dcae81"/>
          <w:color w:val="000000"/>
          <w:sz w:val="15"/>
          <w:szCs w:val="15"/>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roofErr w:type="spellStart"/>
      <w:r>
        <w:rPr>
          <w:rFonts w:ascii="AdvOT1ef757c0" w:hAnsi="AdvOT1ef757c0" w:cs="AdvOT1ef757c0"/>
          <w:color w:val="000000"/>
          <w:sz w:val="19"/>
          <w:szCs w:val="19"/>
        </w:rPr>
        <w:t>Lalor</w:t>
      </w:r>
      <w:proofErr w:type="spellEnd"/>
      <w:r>
        <w:rPr>
          <w:rFonts w:ascii="AdvOT1ef757c0" w:hAnsi="AdvOT1ef757c0" w:cs="AdvOT1ef757c0"/>
          <w:color w:val="000000"/>
          <w:sz w:val="19"/>
          <w:szCs w:val="19"/>
        </w:rPr>
        <w:t>, K., &amp; Share, P. (</w:t>
      </w:r>
      <w:r>
        <w:rPr>
          <w:rFonts w:ascii="AdvOT1ef757c0" w:hAnsi="AdvOT1ef757c0" w:cs="AdvOT1ef757c0"/>
          <w:color w:val="000085"/>
          <w:sz w:val="19"/>
          <w:szCs w:val="19"/>
        </w:rPr>
        <w:t>2013</w:t>
      </w:r>
      <w:r>
        <w:rPr>
          <w:rFonts w:ascii="AdvOT1ef757c0" w:hAnsi="AdvOT1ef757c0" w:cs="AdvOT1ef757c0"/>
          <w:color w:val="000000"/>
          <w:sz w:val="19"/>
          <w:szCs w:val="19"/>
        </w:rPr>
        <w:t xml:space="preserve">). </w:t>
      </w:r>
      <w:r>
        <w:rPr>
          <w:rFonts w:ascii="AdvOT7d6df7ab.I" w:hAnsi="AdvOT7d6df7ab.I" w:cs="AdvOT7d6df7ab.I"/>
          <w:color w:val="000000"/>
          <w:sz w:val="19"/>
          <w:szCs w:val="19"/>
        </w:rPr>
        <w:t xml:space="preserve">An introduction for students in Ireland </w:t>
      </w:r>
      <w:r>
        <w:rPr>
          <w:rFonts w:ascii="AdvOT1ef757c0" w:hAnsi="AdvOT1ef757c0" w:cs="AdvOT1ef757c0"/>
          <w:color w:val="000000"/>
          <w:sz w:val="19"/>
          <w:szCs w:val="19"/>
        </w:rPr>
        <w:t>(3rd ed.). Dublin: Gill</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Education.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roofErr w:type="spellStart"/>
      <w:r>
        <w:rPr>
          <w:rFonts w:ascii="AdvOT1ef757c0" w:hAnsi="AdvOT1ef757c0" w:cs="AdvOT1ef757c0"/>
          <w:color w:val="000000"/>
          <w:sz w:val="19"/>
          <w:szCs w:val="19"/>
        </w:rPr>
        <w:t>Lewig</w:t>
      </w:r>
      <w:proofErr w:type="spellEnd"/>
      <w:r>
        <w:rPr>
          <w:rFonts w:ascii="AdvOT1ef757c0" w:hAnsi="AdvOT1ef757c0" w:cs="AdvOT1ef757c0"/>
          <w:color w:val="000000"/>
          <w:sz w:val="19"/>
          <w:szCs w:val="19"/>
        </w:rPr>
        <w:t xml:space="preserve">, K., </w:t>
      </w:r>
      <w:proofErr w:type="spellStart"/>
      <w:r>
        <w:rPr>
          <w:rFonts w:ascii="AdvOT1ef757c0" w:hAnsi="AdvOT1ef757c0" w:cs="AdvOT1ef757c0"/>
          <w:color w:val="000000"/>
          <w:sz w:val="19"/>
          <w:szCs w:val="19"/>
        </w:rPr>
        <w:t>Arney</w:t>
      </w:r>
      <w:proofErr w:type="spellEnd"/>
      <w:r>
        <w:rPr>
          <w:rFonts w:ascii="AdvOT1ef757c0" w:hAnsi="AdvOT1ef757c0" w:cs="AdvOT1ef757c0"/>
          <w:color w:val="000000"/>
          <w:sz w:val="19"/>
          <w:szCs w:val="19"/>
        </w:rPr>
        <w:t>, F., &amp; Scott, D. (</w:t>
      </w:r>
      <w:r>
        <w:rPr>
          <w:rFonts w:ascii="AdvOT1ef757c0" w:hAnsi="AdvOT1ef757c0" w:cs="AdvOT1ef757c0"/>
          <w:color w:val="000085"/>
          <w:sz w:val="19"/>
          <w:szCs w:val="19"/>
        </w:rPr>
        <w:t>2006</w:t>
      </w:r>
      <w:r>
        <w:rPr>
          <w:rFonts w:ascii="AdvOT1ef757c0" w:hAnsi="AdvOT1ef757c0" w:cs="AdvOT1ef757c0"/>
          <w:color w:val="000000"/>
          <w:sz w:val="19"/>
          <w:szCs w:val="19"/>
        </w:rPr>
        <w:t>). Closing the research-policy and research-practice gaps: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Ideas for child and family services. </w:t>
      </w:r>
      <w:r>
        <w:rPr>
          <w:rFonts w:ascii="AdvOT7d6df7ab.I" w:hAnsi="AdvOT7d6df7ab.I" w:cs="AdvOT7d6df7ab.I"/>
          <w:color w:val="000000"/>
          <w:sz w:val="19"/>
          <w:szCs w:val="19"/>
        </w:rPr>
        <w:t>Family Matters</w:t>
      </w:r>
      <w:r>
        <w:rPr>
          <w:rFonts w:ascii="AdvOT1ef757c0" w:hAnsi="AdvOT1ef757c0" w:cs="AdvOT1ef757c0"/>
          <w:color w:val="000000"/>
          <w:sz w:val="19"/>
          <w:szCs w:val="19"/>
        </w:rPr>
        <w:t xml:space="preserve">, </w:t>
      </w:r>
      <w:r>
        <w:rPr>
          <w:rFonts w:ascii="AdvOT7d6df7ab.I" w:hAnsi="AdvOT7d6df7ab.I" w:cs="AdvOT7d6df7ab.I"/>
          <w:color w:val="000000"/>
          <w:sz w:val="19"/>
          <w:szCs w:val="19"/>
        </w:rPr>
        <w:t>74</w:t>
      </w:r>
      <w:r>
        <w:rPr>
          <w:rFonts w:ascii="AdvOT1ef757c0" w:hAnsi="AdvOT1ef757c0" w:cs="AdvOT1ef757c0"/>
          <w:color w:val="000000"/>
          <w:sz w:val="19"/>
          <w:szCs w:val="19"/>
        </w:rPr>
        <w:t>, 12</w:t>
      </w:r>
      <w:r>
        <w:rPr>
          <w:rFonts w:ascii="AdvOT1ef757c0+20" w:hAnsi="AdvOT1ef757c0+20" w:cs="AdvOT1ef757c0+20"/>
          <w:color w:val="000000"/>
          <w:sz w:val="19"/>
          <w:szCs w:val="19"/>
        </w:rPr>
        <w:t>–</w:t>
      </w:r>
      <w:r>
        <w:rPr>
          <w:rFonts w:ascii="AdvOT1ef757c0" w:hAnsi="AdvOT1ef757c0" w:cs="AdvOT1ef757c0"/>
          <w:color w:val="000000"/>
          <w:sz w:val="19"/>
          <w:szCs w:val="19"/>
        </w:rPr>
        <w:t>19.</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proofErr w:type="spellStart"/>
      <w:r>
        <w:rPr>
          <w:rFonts w:ascii="AdvOT1ef757c0" w:hAnsi="AdvOT1ef757c0" w:cs="AdvOT1ef757c0"/>
          <w:color w:val="000000"/>
          <w:sz w:val="19"/>
          <w:szCs w:val="19"/>
        </w:rPr>
        <w:t>Locock</w:t>
      </w:r>
      <w:proofErr w:type="spellEnd"/>
      <w:r>
        <w:rPr>
          <w:rFonts w:ascii="AdvOT1ef757c0" w:hAnsi="AdvOT1ef757c0" w:cs="AdvOT1ef757c0"/>
          <w:color w:val="000000"/>
          <w:sz w:val="19"/>
          <w:szCs w:val="19"/>
        </w:rPr>
        <w:t>, L., &amp; Boaz, A. (</w:t>
      </w:r>
      <w:r>
        <w:rPr>
          <w:rFonts w:ascii="AdvOT1ef757c0" w:hAnsi="AdvOT1ef757c0" w:cs="AdvOT1ef757c0"/>
          <w:color w:val="000085"/>
          <w:sz w:val="19"/>
          <w:szCs w:val="19"/>
        </w:rPr>
        <w:t>2004</w:t>
      </w:r>
      <w:r>
        <w:rPr>
          <w:rFonts w:ascii="AdvOT1ef757c0" w:hAnsi="AdvOT1ef757c0" w:cs="AdvOT1ef757c0"/>
          <w:color w:val="000000"/>
          <w:sz w:val="19"/>
          <w:szCs w:val="19"/>
        </w:rPr>
        <w:t xml:space="preserve">). Research, policy and practice-worlds apart? </w:t>
      </w:r>
      <w:r>
        <w:rPr>
          <w:rFonts w:ascii="AdvOT7d6df7ab.I" w:hAnsi="AdvOT7d6df7ab.I" w:cs="AdvOT7d6df7ab.I"/>
          <w:color w:val="000000"/>
          <w:sz w:val="19"/>
          <w:szCs w:val="19"/>
        </w:rPr>
        <w:t>Journal of Society and</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Social Policy</w:t>
      </w:r>
      <w:r>
        <w:rPr>
          <w:rFonts w:ascii="AdvOT1ef757c0" w:hAnsi="AdvOT1ef757c0" w:cs="AdvOT1ef757c0"/>
          <w:color w:val="000000"/>
          <w:sz w:val="19"/>
          <w:szCs w:val="19"/>
        </w:rPr>
        <w:t xml:space="preserve">, </w:t>
      </w:r>
      <w:r>
        <w:rPr>
          <w:rFonts w:ascii="AdvOT7d6df7ab.I" w:hAnsi="AdvOT7d6df7ab.I" w:cs="AdvOT7d6df7ab.I"/>
          <w:color w:val="000000"/>
          <w:sz w:val="19"/>
          <w:szCs w:val="19"/>
        </w:rPr>
        <w:t>3</w:t>
      </w:r>
      <w:r>
        <w:rPr>
          <w:rFonts w:ascii="AdvOT1ef757c0" w:hAnsi="AdvOT1ef757c0" w:cs="AdvOT1ef757c0"/>
          <w:color w:val="000000"/>
          <w:sz w:val="19"/>
          <w:szCs w:val="19"/>
        </w:rPr>
        <w:t>(4), 375</w:t>
      </w:r>
      <w:r>
        <w:rPr>
          <w:rFonts w:ascii="AdvOT1ef757c0+20" w:hAnsi="AdvOT1ef757c0+20" w:cs="AdvOT1ef757c0+20"/>
          <w:color w:val="000000"/>
          <w:sz w:val="19"/>
          <w:szCs w:val="19"/>
        </w:rPr>
        <w:t>–</w:t>
      </w:r>
      <w:r>
        <w:rPr>
          <w:rFonts w:ascii="AdvOT1ef757c0" w:hAnsi="AdvOT1ef757c0" w:cs="AdvOT1ef757c0"/>
          <w:color w:val="000000"/>
          <w:sz w:val="19"/>
          <w:szCs w:val="19"/>
        </w:rPr>
        <w:t>384.</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Long, A. F., Grayson, L., &amp; Boaz, A. (</w:t>
      </w:r>
      <w:r>
        <w:rPr>
          <w:rFonts w:ascii="AdvOT1ef757c0" w:hAnsi="AdvOT1ef757c0" w:cs="AdvOT1ef757c0"/>
          <w:color w:val="000085"/>
          <w:sz w:val="19"/>
          <w:szCs w:val="19"/>
        </w:rPr>
        <w:t>2006</w:t>
      </w:r>
      <w:r>
        <w:rPr>
          <w:rFonts w:ascii="AdvOT1ef757c0" w:hAnsi="AdvOT1ef757c0" w:cs="AdvOT1ef757c0"/>
          <w:color w:val="000000"/>
          <w:sz w:val="19"/>
          <w:szCs w:val="19"/>
        </w:rPr>
        <w:t>). Assessing the quality of knowledge in social care: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Exploring the potential of a set of generic standards. </w:t>
      </w:r>
      <w:r>
        <w:rPr>
          <w:rFonts w:ascii="AdvOT7d6df7ab.I" w:hAnsi="AdvOT7d6df7ab.I" w:cs="AdvOT7d6df7ab.I"/>
          <w:color w:val="000000"/>
          <w:sz w:val="19"/>
          <w:szCs w:val="19"/>
        </w:rPr>
        <w:t>The British Journal of Social Work</w:t>
      </w:r>
      <w:r>
        <w:rPr>
          <w:rFonts w:ascii="AdvOT1ef757c0" w:hAnsi="AdvOT1ef757c0" w:cs="AdvOT1ef757c0"/>
          <w:color w:val="000000"/>
          <w:sz w:val="19"/>
          <w:szCs w:val="19"/>
        </w:rPr>
        <w:t xml:space="preserve">, </w:t>
      </w:r>
      <w:r>
        <w:rPr>
          <w:rFonts w:ascii="AdvOT7d6df7ab.I" w:hAnsi="AdvOT7d6df7ab.I" w:cs="AdvOT7d6df7ab.I"/>
          <w:color w:val="000000"/>
          <w:sz w:val="19"/>
          <w:szCs w:val="19"/>
        </w:rPr>
        <w:t>36</w:t>
      </w:r>
      <w:r>
        <w:rPr>
          <w:rFonts w:ascii="AdvOT1ef757c0" w:hAnsi="AdvOT1ef757c0" w:cs="AdvOT1ef757c0"/>
          <w:color w:val="000000"/>
          <w:sz w:val="19"/>
          <w:szCs w:val="19"/>
        </w:rPr>
        <w:t>(2),</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207</w:t>
      </w:r>
      <w:r>
        <w:rPr>
          <w:rFonts w:ascii="AdvOT1ef757c0+20" w:hAnsi="AdvOT1ef757c0+20" w:cs="AdvOT1ef757c0+20"/>
          <w:color w:val="000000"/>
          <w:sz w:val="19"/>
          <w:szCs w:val="19"/>
        </w:rPr>
        <w:t>–</w:t>
      </w:r>
      <w:r>
        <w:rPr>
          <w:rFonts w:ascii="AdvOT1ef757c0" w:hAnsi="AdvOT1ef757c0" w:cs="AdvOT1ef757c0"/>
          <w:color w:val="000000"/>
          <w:sz w:val="19"/>
          <w:szCs w:val="19"/>
        </w:rPr>
        <w:t>226.</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Marsh, P., &amp; Fisher, M. (</w:t>
      </w:r>
      <w:r>
        <w:rPr>
          <w:rFonts w:ascii="AdvOT1ef757c0" w:hAnsi="AdvOT1ef757c0" w:cs="AdvOT1ef757c0"/>
          <w:color w:val="000085"/>
          <w:sz w:val="19"/>
          <w:szCs w:val="19"/>
        </w:rPr>
        <w:t>2005</w:t>
      </w:r>
      <w:r>
        <w:rPr>
          <w:rFonts w:ascii="AdvOT1ef757c0" w:hAnsi="AdvOT1ef757c0" w:cs="AdvOT1ef757c0"/>
          <w:color w:val="000000"/>
          <w:sz w:val="19"/>
          <w:szCs w:val="19"/>
        </w:rPr>
        <w:t xml:space="preserve">). </w:t>
      </w:r>
      <w:r>
        <w:rPr>
          <w:rFonts w:ascii="AdvOT7d6df7ab.I" w:hAnsi="AdvOT7d6df7ab.I" w:cs="AdvOT7d6df7ab.I"/>
          <w:color w:val="000000"/>
          <w:sz w:val="19"/>
          <w:szCs w:val="19"/>
        </w:rPr>
        <w:t>Developing an evidence base for social work and social care practice</w:t>
      </w:r>
      <w:r>
        <w:rPr>
          <w:rFonts w:ascii="AdvOT1ef757c0" w:hAnsi="AdvOT1ef757c0" w:cs="AdvOT1ef757c0"/>
          <w:color w:val="000000"/>
          <w:sz w:val="19"/>
          <w:szCs w:val="19"/>
        </w:rPr>
        <w:t>.</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London: Social Care Institute for Excellence.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McCann, C., </w:t>
      </w:r>
      <w:proofErr w:type="spellStart"/>
      <w:r>
        <w:rPr>
          <w:rFonts w:ascii="AdvOT1ef757c0" w:hAnsi="AdvOT1ef757c0" w:cs="AdvOT1ef757c0"/>
          <w:color w:val="000000"/>
          <w:sz w:val="19"/>
          <w:szCs w:val="19"/>
        </w:rPr>
        <w:t>DeRoiste</w:t>
      </w:r>
      <w:proofErr w:type="spellEnd"/>
      <w:r>
        <w:rPr>
          <w:rFonts w:ascii="AdvOT1ef757c0" w:hAnsi="AdvOT1ef757c0" w:cs="AdvOT1ef757c0"/>
          <w:color w:val="000000"/>
          <w:sz w:val="19"/>
          <w:szCs w:val="19"/>
        </w:rPr>
        <w:t>, A., &amp; McHugh, J. (</w:t>
      </w:r>
      <w:r>
        <w:rPr>
          <w:rFonts w:ascii="AdvOT1ef757c0" w:hAnsi="AdvOT1ef757c0" w:cs="AdvOT1ef757c0"/>
          <w:color w:val="000085"/>
          <w:sz w:val="19"/>
          <w:szCs w:val="19"/>
        </w:rPr>
        <w:t>2009</w:t>
      </w:r>
      <w:r>
        <w:rPr>
          <w:rFonts w:ascii="AdvOT1ef757c0" w:hAnsi="AdvOT1ef757c0" w:cs="AdvOT1ef757c0"/>
          <w:color w:val="000000"/>
          <w:sz w:val="19"/>
          <w:szCs w:val="19"/>
        </w:rPr>
        <w:t xml:space="preserve">). </w:t>
      </w:r>
      <w:r>
        <w:rPr>
          <w:rFonts w:ascii="AdvOT7d6df7ab.I" w:hAnsi="AdvOT7d6df7ab.I" w:cs="AdvOT7d6df7ab.I"/>
          <w:color w:val="000000"/>
          <w:sz w:val="19"/>
          <w:szCs w:val="19"/>
        </w:rPr>
        <w:t>Social care practice in Ireland: An integrated perspective</w:t>
      </w:r>
      <w:r>
        <w:rPr>
          <w:rFonts w:ascii="AdvOT1ef757c0" w:hAnsi="AdvOT1ef757c0" w:cs="AdvOT1ef757c0"/>
          <w:color w:val="000000"/>
          <w:sz w:val="19"/>
          <w:szCs w:val="19"/>
        </w:rPr>
        <w:t>.</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Dublin: Gill &amp; McMillan.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20" w:hAnsi="AdvOT1ef757c0+20" w:cs="AdvOT1ef757c0+20"/>
          <w:color w:val="000000"/>
          <w:sz w:val="19"/>
          <w:szCs w:val="19"/>
        </w:rPr>
      </w:pPr>
      <w:r>
        <w:rPr>
          <w:rFonts w:ascii="AdvOT1ef757c0" w:hAnsi="AdvOT1ef757c0" w:cs="AdvOT1ef757c0"/>
          <w:color w:val="000000"/>
          <w:sz w:val="19"/>
          <w:szCs w:val="19"/>
        </w:rPr>
        <w:t>McGregor, C. (</w:t>
      </w:r>
      <w:r>
        <w:rPr>
          <w:rFonts w:ascii="AdvOT1ef757c0" w:hAnsi="AdvOT1ef757c0" w:cs="AdvOT1ef757c0"/>
          <w:color w:val="000085"/>
          <w:sz w:val="19"/>
          <w:szCs w:val="19"/>
        </w:rPr>
        <w:t>2014</w:t>
      </w:r>
      <w:r>
        <w:rPr>
          <w:rFonts w:ascii="AdvOT1ef757c0" w:hAnsi="AdvOT1ef757c0" w:cs="AdvOT1ef757c0"/>
          <w:color w:val="000000"/>
          <w:sz w:val="19"/>
          <w:szCs w:val="19"/>
        </w:rPr>
        <w:t xml:space="preserve">). Why is history important at moments of transition? The case of </w:t>
      </w:r>
      <w:r>
        <w:rPr>
          <w:rFonts w:ascii="AdvOT1ef757c0+20" w:hAnsi="AdvOT1ef757c0+20" w:cs="AdvOT1ef757c0+20"/>
          <w:color w:val="000000"/>
          <w:sz w:val="19"/>
          <w:szCs w:val="19"/>
        </w:rPr>
        <w:t>‘</w:t>
      </w:r>
      <w:r>
        <w:rPr>
          <w:rFonts w:ascii="AdvOT1ef757c0" w:hAnsi="AdvOT1ef757c0" w:cs="AdvOT1ef757c0"/>
          <w:color w:val="000000"/>
          <w:sz w:val="19"/>
          <w:szCs w:val="19"/>
        </w:rPr>
        <w:t>transformation</w:t>
      </w:r>
      <w:r>
        <w:rPr>
          <w:rFonts w:ascii="AdvOT1ef757c0+20" w:hAnsi="AdvOT1ef757c0+20" w:cs="AdvOT1ef757c0+20"/>
          <w:color w:val="000000"/>
          <w:sz w:val="19"/>
          <w:szCs w:val="19"/>
        </w:rPr>
        <w:t>’</w:t>
      </w: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 xml:space="preserve">of Irish Child Welfare via the new Child and Family Agency. </w:t>
      </w:r>
      <w:r>
        <w:rPr>
          <w:rFonts w:ascii="AdvOT7d6df7ab.I" w:hAnsi="AdvOT7d6df7ab.I" w:cs="AdvOT7d6df7ab.I"/>
          <w:color w:val="000000"/>
          <w:sz w:val="19"/>
          <w:szCs w:val="19"/>
        </w:rPr>
        <w:t>European Journal of Social</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Work</w:t>
      </w:r>
      <w:r>
        <w:rPr>
          <w:rFonts w:ascii="AdvOT1ef757c0" w:hAnsi="AdvOT1ef757c0" w:cs="AdvOT1ef757c0"/>
          <w:color w:val="000000"/>
          <w:sz w:val="19"/>
          <w:szCs w:val="19"/>
        </w:rPr>
        <w:t xml:space="preserve">, </w:t>
      </w:r>
      <w:r>
        <w:rPr>
          <w:rFonts w:ascii="AdvOT7d6df7ab.I" w:hAnsi="AdvOT7d6df7ab.I" w:cs="AdvOT7d6df7ab.I"/>
          <w:color w:val="000000"/>
          <w:sz w:val="19"/>
          <w:szCs w:val="19"/>
        </w:rPr>
        <w:t>17</w:t>
      </w:r>
      <w:r>
        <w:rPr>
          <w:rFonts w:ascii="AdvOT1ef757c0" w:hAnsi="AdvOT1ef757c0" w:cs="AdvOT1ef757c0"/>
          <w:color w:val="000000"/>
          <w:sz w:val="19"/>
          <w:szCs w:val="19"/>
        </w:rPr>
        <w:t>(5), 771</w:t>
      </w:r>
      <w:r>
        <w:rPr>
          <w:rFonts w:ascii="AdvOT1ef757c0+20" w:hAnsi="AdvOT1ef757c0+20" w:cs="AdvOT1ef757c0+20"/>
          <w:color w:val="000000"/>
          <w:sz w:val="19"/>
          <w:szCs w:val="19"/>
        </w:rPr>
        <w:t>–</w:t>
      </w:r>
      <w:r>
        <w:rPr>
          <w:rFonts w:ascii="AdvOT1ef757c0" w:hAnsi="AdvOT1ef757c0" w:cs="AdvOT1ef757c0"/>
          <w:color w:val="000000"/>
          <w:sz w:val="19"/>
          <w:szCs w:val="19"/>
        </w:rPr>
        <w:t>783.</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McSweeney, F. (</w:t>
      </w:r>
      <w:r>
        <w:rPr>
          <w:rFonts w:ascii="AdvOT1ef757c0" w:hAnsi="AdvOT1ef757c0" w:cs="AdvOT1ef757c0"/>
          <w:color w:val="000085"/>
          <w:sz w:val="19"/>
          <w:szCs w:val="19"/>
        </w:rPr>
        <w:t>2018</w:t>
      </w:r>
      <w:r>
        <w:rPr>
          <w:rFonts w:ascii="AdvOT1ef757c0" w:hAnsi="AdvOT1ef757c0" w:cs="AdvOT1ef757c0"/>
          <w:color w:val="000000"/>
          <w:sz w:val="19"/>
          <w:szCs w:val="19"/>
        </w:rPr>
        <w:t>). Themes in the supervision of social care students in Ireland: Building resilience.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European Journal of Social Work</w:t>
      </w:r>
      <w:r>
        <w:rPr>
          <w:rFonts w:ascii="AdvOT1ef757c0" w:hAnsi="AdvOT1ef757c0" w:cs="AdvOT1ef757c0"/>
          <w:color w:val="000000"/>
          <w:sz w:val="19"/>
          <w:szCs w:val="19"/>
        </w:rPr>
        <w:t xml:space="preserve">, </w:t>
      </w:r>
      <w:r>
        <w:rPr>
          <w:rFonts w:ascii="AdvOT7d6df7ab.I" w:hAnsi="AdvOT7d6df7ab.I" w:cs="AdvOT7d6df7ab.I"/>
          <w:color w:val="000000"/>
          <w:sz w:val="19"/>
          <w:szCs w:val="19"/>
        </w:rPr>
        <w:t>21</w:t>
      </w:r>
      <w:r>
        <w:rPr>
          <w:rFonts w:ascii="AdvOT1ef757c0" w:hAnsi="AdvOT1ef757c0" w:cs="AdvOT1ef757c0"/>
          <w:color w:val="000000"/>
          <w:sz w:val="19"/>
          <w:szCs w:val="19"/>
        </w:rPr>
        <w:t>(3), 374</w:t>
      </w:r>
      <w:r>
        <w:rPr>
          <w:rFonts w:ascii="AdvOT1ef757c0+20" w:hAnsi="AdvOT1ef757c0+20" w:cs="AdvOT1ef757c0+20"/>
          <w:color w:val="000000"/>
          <w:sz w:val="19"/>
          <w:szCs w:val="19"/>
        </w:rPr>
        <w:t>–</w:t>
      </w:r>
      <w:r>
        <w:rPr>
          <w:rFonts w:ascii="AdvOT1ef757c0" w:hAnsi="AdvOT1ef757c0" w:cs="AdvOT1ef757c0"/>
          <w:color w:val="000000"/>
          <w:sz w:val="19"/>
          <w:szCs w:val="19"/>
        </w:rPr>
        <w:t>388.</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McSweeney, F., Smith, K., &amp; Williams, D. (</w:t>
      </w:r>
      <w:r>
        <w:rPr>
          <w:rFonts w:ascii="AdvOT1ef757c0" w:hAnsi="AdvOT1ef757c0" w:cs="AdvOT1ef757c0"/>
          <w:color w:val="000085"/>
          <w:sz w:val="19"/>
          <w:szCs w:val="19"/>
        </w:rPr>
        <w:t>2016</w:t>
      </w:r>
      <w:r>
        <w:rPr>
          <w:rFonts w:ascii="AdvOT1ef757c0" w:hAnsi="AdvOT1ef757c0" w:cs="AdvOT1ef757c0"/>
          <w:color w:val="000000"/>
          <w:sz w:val="19"/>
          <w:szCs w:val="19"/>
        </w:rPr>
        <w:t>). Re</w:t>
      </w:r>
      <w:r>
        <w:rPr>
          <w:rFonts w:ascii="AdvOT1ef757c0+fb" w:hAnsi="AdvOT1ef757c0+fb" w:cs="AdvOT1ef757c0+fb"/>
          <w:color w:val="000000"/>
          <w:sz w:val="19"/>
          <w:szCs w:val="19"/>
        </w:rPr>
        <w:t>fl</w:t>
      </w:r>
      <w:r>
        <w:rPr>
          <w:rFonts w:ascii="AdvOT1ef757c0" w:hAnsi="AdvOT1ef757c0" w:cs="AdvOT1ef757c0"/>
          <w:color w:val="000000"/>
          <w:sz w:val="19"/>
          <w:szCs w:val="19"/>
        </w:rPr>
        <w:t>ections on the provision, organisation and</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management of social care in Ireland. </w:t>
      </w:r>
      <w:r>
        <w:rPr>
          <w:rFonts w:ascii="AdvOT7d6df7ab.I" w:hAnsi="AdvOT7d6df7ab.I" w:cs="AdvOT7d6df7ab.I"/>
          <w:color w:val="000000"/>
          <w:sz w:val="19"/>
          <w:szCs w:val="19"/>
        </w:rPr>
        <w:t>Administration</w:t>
      </w:r>
      <w:r>
        <w:rPr>
          <w:rFonts w:ascii="AdvOT1ef757c0" w:hAnsi="AdvOT1ef757c0" w:cs="AdvOT1ef757c0"/>
          <w:color w:val="000000"/>
          <w:sz w:val="19"/>
          <w:szCs w:val="19"/>
        </w:rPr>
        <w:t xml:space="preserve">, </w:t>
      </w:r>
      <w:r>
        <w:rPr>
          <w:rFonts w:ascii="AdvOT7d6df7ab.I" w:hAnsi="AdvOT7d6df7ab.I" w:cs="AdvOT7d6df7ab.I"/>
          <w:color w:val="000000"/>
          <w:sz w:val="19"/>
          <w:szCs w:val="19"/>
        </w:rPr>
        <w:t>64</w:t>
      </w:r>
      <w:r>
        <w:rPr>
          <w:rFonts w:ascii="AdvOT1ef757c0" w:hAnsi="AdvOT1ef757c0" w:cs="AdvOT1ef757c0"/>
          <w:color w:val="000000"/>
          <w:sz w:val="19"/>
          <w:szCs w:val="19"/>
        </w:rPr>
        <w:t>(2), 1</w:t>
      </w:r>
      <w:r>
        <w:rPr>
          <w:rFonts w:ascii="AdvOT1ef757c0+20" w:hAnsi="AdvOT1ef757c0+20" w:cs="AdvOT1ef757c0+20"/>
          <w:color w:val="000000"/>
          <w:sz w:val="19"/>
          <w:szCs w:val="19"/>
        </w:rPr>
        <w:t>–</w:t>
      </w:r>
      <w:r>
        <w:rPr>
          <w:rFonts w:ascii="AdvOT1ef757c0" w:hAnsi="AdvOT1ef757c0" w:cs="AdvOT1ef757c0"/>
          <w:color w:val="000000"/>
          <w:sz w:val="19"/>
          <w:szCs w:val="19"/>
        </w:rPr>
        <w:t>6.</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Minister for Children. (</w:t>
      </w:r>
      <w:r>
        <w:rPr>
          <w:rFonts w:ascii="AdvOT1ef757c0" w:hAnsi="AdvOT1ef757c0" w:cs="AdvOT1ef757c0"/>
          <w:color w:val="000085"/>
          <w:sz w:val="19"/>
          <w:szCs w:val="19"/>
        </w:rPr>
        <w:t>2007</w:t>
      </w:r>
      <w:r>
        <w:rPr>
          <w:rFonts w:ascii="AdvOT1ef757c0" w:hAnsi="AdvOT1ef757c0" w:cs="AdvOT1ef757c0"/>
          <w:color w:val="000000"/>
          <w:sz w:val="19"/>
          <w:szCs w:val="19"/>
        </w:rPr>
        <w:t xml:space="preserve">). </w:t>
      </w:r>
      <w:r>
        <w:rPr>
          <w:rFonts w:ascii="AdvOT7d6df7ab.I" w:hAnsi="AdvOT7d6df7ab.I" w:cs="AdvOT7d6df7ab.I"/>
          <w:color w:val="000000"/>
          <w:sz w:val="19"/>
          <w:szCs w:val="19"/>
        </w:rPr>
        <w:t>The agenda for children</w:t>
      </w:r>
      <w:r>
        <w:rPr>
          <w:rFonts w:ascii="AdvOT7d6df7ab.I+20" w:hAnsi="AdvOT7d6df7ab.I+20" w:cs="AdvOT7d6df7ab.I+20"/>
          <w:color w:val="000000"/>
          <w:sz w:val="19"/>
          <w:szCs w:val="19"/>
        </w:rPr>
        <w:t>’</w:t>
      </w:r>
      <w:r>
        <w:rPr>
          <w:rFonts w:ascii="AdvOT7d6df7ab.I" w:hAnsi="AdvOT7d6df7ab.I" w:cs="AdvOT7d6df7ab.I"/>
          <w:color w:val="000000"/>
          <w:sz w:val="19"/>
          <w:szCs w:val="19"/>
        </w:rPr>
        <w:t>s services</w:t>
      </w:r>
      <w:r>
        <w:rPr>
          <w:rFonts w:ascii="AdvOT1ef757c0" w:hAnsi="AdvOT1ef757c0" w:cs="AdvOT1ef757c0"/>
          <w:color w:val="000000"/>
          <w:sz w:val="19"/>
          <w:szCs w:val="19"/>
        </w:rPr>
        <w:t>. Dublin: O</w:t>
      </w:r>
      <w:r>
        <w:rPr>
          <w:rFonts w:ascii="AdvOT1ef757c0+fb" w:hAnsi="AdvOT1ef757c0+fb" w:cs="AdvOT1ef757c0+fb"/>
          <w:color w:val="000000"/>
          <w:sz w:val="19"/>
          <w:szCs w:val="19"/>
        </w:rPr>
        <w:t>ffi</w:t>
      </w:r>
      <w:r>
        <w:rPr>
          <w:rFonts w:ascii="AdvOT1ef757c0" w:hAnsi="AdvOT1ef757c0" w:cs="AdvOT1ef757c0"/>
          <w:color w:val="000000"/>
          <w:sz w:val="19"/>
          <w:szCs w:val="19"/>
        </w:rPr>
        <w:t>ce of the Minister for</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Children and Youth A</w:t>
      </w:r>
      <w:r>
        <w:rPr>
          <w:rFonts w:ascii="AdvOT1ef757c0+fb" w:hAnsi="AdvOT1ef757c0+fb" w:cs="AdvOT1ef757c0+fb"/>
          <w:color w:val="000000"/>
          <w:sz w:val="19"/>
          <w:szCs w:val="19"/>
        </w:rPr>
        <w:t>ff</w:t>
      </w:r>
      <w:r>
        <w:rPr>
          <w:rFonts w:ascii="AdvOT1ef757c0" w:hAnsi="AdvOT1ef757c0" w:cs="AdvOT1ef757c0"/>
          <w:color w:val="000000"/>
          <w:sz w:val="19"/>
          <w:szCs w:val="19"/>
        </w:rPr>
        <w:t>airs.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roofErr w:type="spellStart"/>
      <w:r>
        <w:rPr>
          <w:rFonts w:ascii="AdvOT1ef757c0" w:hAnsi="AdvOT1ef757c0" w:cs="AdvOT1ef757c0"/>
          <w:color w:val="000000"/>
          <w:sz w:val="19"/>
          <w:szCs w:val="19"/>
        </w:rPr>
        <w:t>Mosson</w:t>
      </w:r>
      <w:proofErr w:type="spellEnd"/>
      <w:r>
        <w:rPr>
          <w:rFonts w:ascii="AdvOT1ef757c0" w:hAnsi="AdvOT1ef757c0" w:cs="AdvOT1ef757c0"/>
          <w:color w:val="000000"/>
          <w:sz w:val="19"/>
          <w:szCs w:val="19"/>
        </w:rPr>
        <w:t>, R., Hasson, H., Wallen, L., &amp; Von Thiele Schwarz, U. (</w:t>
      </w:r>
      <w:r>
        <w:rPr>
          <w:rFonts w:ascii="AdvOT1ef757c0" w:hAnsi="AdvOT1ef757c0" w:cs="AdvOT1ef757c0"/>
          <w:color w:val="000085"/>
          <w:sz w:val="19"/>
          <w:szCs w:val="19"/>
        </w:rPr>
        <w:t>2017</w:t>
      </w:r>
      <w:r>
        <w:rPr>
          <w:rFonts w:ascii="AdvOT1ef757c0" w:hAnsi="AdvOT1ef757c0" w:cs="AdvOT1ef757c0"/>
          <w:color w:val="000000"/>
          <w:sz w:val="19"/>
          <w:szCs w:val="19"/>
        </w:rPr>
        <w:t>). Exploring the role of line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managers in implementing evidence-based practice in social services and older people care.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British Journal of Social Work</w:t>
      </w:r>
      <w:r>
        <w:rPr>
          <w:rFonts w:ascii="AdvOT1ef757c0" w:hAnsi="AdvOT1ef757c0" w:cs="AdvOT1ef757c0"/>
          <w:color w:val="000000"/>
          <w:sz w:val="19"/>
          <w:szCs w:val="19"/>
        </w:rPr>
        <w:t xml:space="preserve">, </w:t>
      </w:r>
      <w:r>
        <w:rPr>
          <w:rFonts w:ascii="AdvOT7d6df7ab.I" w:hAnsi="AdvOT7d6df7ab.I" w:cs="AdvOT7d6df7ab.I"/>
          <w:color w:val="000000"/>
          <w:sz w:val="19"/>
          <w:szCs w:val="19"/>
        </w:rPr>
        <w:t>47</w:t>
      </w:r>
      <w:r>
        <w:rPr>
          <w:rFonts w:ascii="AdvOT1ef757c0" w:hAnsi="AdvOT1ef757c0" w:cs="AdvOT1ef757c0"/>
          <w:color w:val="000000"/>
          <w:sz w:val="19"/>
          <w:szCs w:val="19"/>
        </w:rPr>
        <w:t>(2), 542</w:t>
      </w:r>
      <w:r>
        <w:rPr>
          <w:rFonts w:ascii="AdvOT1ef757c0+20" w:hAnsi="AdvOT1ef757c0+20" w:cs="AdvOT1ef757c0+20"/>
          <w:color w:val="000000"/>
          <w:sz w:val="19"/>
          <w:szCs w:val="19"/>
        </w:rPr>
        <w:t>–</w:t>
      </w:r>
      <w:r>
        <w:rPr>
          <w:rFonts w:ascii="AdvOT1ef757c0" w:hAnsi="AdvOT1ef757c0" w:cs="AdvOT1ef757c0"/>
          <w:color w:val="000000"/>
          <w:sz w:val="19"/>
          <w:szCs w:val="19"/>
        </w:rPr>
        <w:t>560.</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 xml:space="preserve">Moule, P., &amp; </w:t>
      </w:r>
      <w:proofErr w:type="spellStart"/>
      <w:r>
        <w:rPr>
          <w:rFonts w:ascii="AdvOT1ef757c0" w:hAnsi="AdvOT1ef757c0" w:cs="AdvOT1ef757c0"/>
          <w:color w:val="000000"/>
          <w:sz w:val="19"/>
          <w:szCs w:val="19"/>
        </w:rPr>
        <w:t>Hek</w:t>
      </w:r>
      <w:proofErr w:type="spellEnd"/>
      <w:r>
        <w:rPr>
          <w:rFonts w:ascii="AdvOT1ef757c0" w:hAnsi="AdvOT1ef757c0" w:cs="AdvOT1ef757c0"/>
          <w:color w:val="000000"/>
          <w:sz w:val="19"/>
          <w:szCs w:val="19"/>
        </w:rPr>
        <w:t>, G. (</w:t>
      </w:r>
      <w:r>
        <w:rPr>
          <w:rFonts w:ascii="AdvOT1ef757c0" w:hAnsi="AdvOT1ef757c0" w:cs="AdvOT1ef757c0"/>
          <w:color w:val="000085"/>
          <w:sz w:val="19"/>
          <w:szCs w:val="19"/>
        </w:rPr>
        <w:t>2011</w:t>
      </w:r>
      <w:r>
        <w:rPr>
          <w:rFonts w:ascii="AdvOT1ef757c0" w:hAnsi="AdvOT1ef757c0" w:cs="AdvOT1ef757c0"/>
          <w:color w:val="000000"/>
          <w:sz w:val="19"/>
          <w:szCs w:val="19"/>
        </w:rPr>
        <w:t xml:space="preserve">). </w:t>
      </w:r>
      <w:r>
        <w:rPr>
          <w:rFonts w:ascii="AdvOT7d6df7ab.I" w:hAnsi="AdvOT7d6df7ab.I" w:cs="AdvOT7d6df7ab.I"/>
          <w:color w:val="000000"/>
          <w:sz w:val="19"/>
          <w:szCs w:val="19"/>
        </w:rPr>
        <w:t>Making sense of research: An introduction for health and social care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practitioners</w:t>
      </w:r>
      <w:r>
        <w:rPr>
          <w:rFonts w:ascii="AdvOT1ef757c0" w:hAnsi="AdvOT1ef757c0" w:cs="AdvOT1ef757c0"/>
          <w:color w:val="000000"/>
          <w:sz w:val="19"/>
          <w:szCs w:val="19"/>
        </w:rPr>
        <w:t>. London: Sage.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proofErr w:type="spellStart"/>
      <w:r>
        <w:rPr>
          <w:rFonts w:ascii="AdvOT1ef757c0" w:hAnsi="AdvOT1ef757c0" w:cs="AdvOT1ef757c0"/>
          <w:color w:val="000000"/>
          <w:sz w:val="19"/>
          <w:szCs w:val="19"/>
        </w:rPr>
        <w:t>Mulkeen</w:t>
      </w:r>
      <w:proofErr w:type="spellEnd"/>
      <w:r>
        <w:rPr>
          <w:rFonts w:ascii="AdvOT1ef757c0" w:hAnsi="AdvOT1ef757c0" w:cs="AdvOT1ef757c0"/>
          <w:color w:val="000000"/>
          <w:sz w:val="19"/>
          <w:szCs w:val="19"/>
        </w:rPr>
        <w:t>, M. (</w:t>
      </w:r>
      <w:r>
        <w:rPr>
          <w:rFonts w:ascii="AdvOT1ef757c0" w:hAnsi="AdvOT1ef757c0" w:cs="AdvOT1ef757c0"/>
          <w:color w:val="000085"/>
          <w:sz w:val="19"/>
          <w:szCs w:val="19"/>
        </w:rPr>
        <w:t>2016</w:t>
      </w:r>
      <w:r>
        <w:rPr>
          <w:rFonts w:ascii="AdvOT1ef757c0" w:hAnsi="AdvOT1ef757c0" w:cs="AdvOT1ef757c0"/>
          <w:color w:val="000000"/>
          <w:sz w:val="19"/>
          <w:szCs w:val="19"/>
        </w:rPr>
        <w:t xml:space="preserve">). Going to market! An exploration of markets in social care. </w:t>
      </w:r>
      <w:r>
        <w:rPr>
          <w:rFonts w:ascii="AdvOT7d6df7ab.I" w:hAnsi="AdvOT7d6df7ab.I" w:cs="AdvOT7d6df7ab.I"/>
          <w:color w:val="000000"/>
          <w:sz w:val="19"/>
          <w:szCs w:val="19"/>
        </w:rPr>
        <w:t>Administration</w:t>
      </w:r>
      <w:r>
        <w:rPr>
          <w:rFonts w:ascii="AdvOT1ef757c0" w:hAnsi="AdvOT1ef757c0" w:cs="AdvOT1ef757c0"/>
          <w:color w:val="000000"/>
          <w:sz w:val="19"/>
          <w:szCs w:val="19"/>
        </w:rPr>
        <w:t xml:space="preserve">, </w:t>
      </w:r>
      <w:r>
        <w:rPr>
          <w:rFonts w:ascii="AdvOT7d6df7ab.I" w:hAnsi="AdvOT7d6df7ab.I" w:cs="AdvOT7d6df7ab.I"/>
          <w:color w:val="000000"/>
          <w:sz w:val="19"/>
          <w:szCs w:val="19"/>
        </w:rPr>
        <w:t>64</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(2), 33</w:t>
      </w:r>
      <w:r>
        <w:rPr>
          <w:rFonts w:ascii="AdvOT1ef757c0+20" w:hAnsi="AdvOT1ef757c0+20" w:cs="AdvOT1ef757c0+20"/>
          <w:color w:val="000000"/>
          <w:sz w:val="19"/>
          <w:szCs w:val="19"/>
        </w:rPr>
        <w:t>–</w:t>
      </w:r>
      <w:r>
        <w:rPr>
          <w:rFonts w:ascii="AdvOT1ef757c0" w:hAnsi="AdvOT1ef757c0" w:cs="AdvOT1ef757c0"/>
          <w:color w:val="000000"/>
          <w:sz w:val="19"/>
          <w:szCs w:val="19"/>
        </w:rPr>
        <w:t>59.</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Mullen, E. J., Bledsoe, S. E., &amp; Bellamy, J. L. (</w:t>
      </w:r>
      <w:r>
        <w:rPr>
          <w:rFonts w:ascii="AdvOT1ef757c0" w:hAnsi="AdvOT1ef757c0" w:cs="AdvOT1ef757c0"/>
          <w:color w:val="000085"/>
          <w:sz w:val="19"/>
          <w:szCs w:val="19"/>
        </w:rPr>
        <w:t>2008</w:t>
      </w:r>
      <w:r>
        <w:rPr>
          <w:rFonts w:ascii="AdvOT1ef757c0" w:hAnsi="AdvOT1ef757c0" w:cs="AdvOT1ef757c0"/>
          <w:color w:val="000000"/>
          <w:sz w:val="19"/>
          <w:szCs w:val="19"/>
        </w:rPr>
        <w:t>). Implementing evidence-based social work practice.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Research on Social Work Practice</w:t>
      </w:r>
      <w:r>
        <w:rPr>
          <w:rFonts w:ascii="AdvOT1ef757c0" w:hAnsi="AdvOT1ef757c0" w:cs="AdvOT1ef757c0"/>
          <w:color w:val="000000"/>
          <w:sz w:val="19"/>
          <w:szCs w:val="19"/>
        </w:rPr>
        <w:t xml:space="preserve">, </w:t>
      </w:r>
      <w:r>
        <w:rPr>
          <w:rFonts w:ascii="AdvOT7d6df7ab.I" w:hAnsi="AdvOT7d6df7ab.I" w:cs="AdvOT7d6df7ab.I"/>
          <w:color w:val="000000"/>
          <w:sz w:val="19"/>
          <w:szCs w:val="19"/>
        </w:rPr>
        <w:t>18</w:t>
      </w:r>
      <w:r>
        <w:rPr>
          <w:rFonts w:ascii="AdvOT1ef757c0" w:hAnsi="AdvOT1ef757c0" w:cs="AdvOT1ef757c0"/>
          <w:color w:val="000000"/>
          <w:sz w:val="19"/>
          <w:szCs w:val="19"/>
        </w:rPr>
        <w:t>(4), 325</w:t>
      </w:r>
      <w:r>
        <w:rPr>
          <w:rFonts w:ascii="AdvOT1ef757c0+20" w:hAnsi="AdvOT1ef757c0+20" w:cs="AdvOT1ef757c0+20"/>
          <w:color w:val="000000"/>
          <w:sz w:val="19"/>
          <w:szCs w:val="19"/>
        </w:rPr>
        <w:t>–</w:t>
      </w:r>
      <w:r>
        <w:rPr>
          <w:rFonts w:ascii="AdvOT1ef757c0" w:hAnsi="AdvOT1ef757c0" w:cs="AdvOT1ef757c0"/>
          <w:color w:val="000000"/>
          <w:sz w:val="19"/>
          <w:szCs w:val="19"/>
        </w:rPr>
        <w:t>338.</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Mullen, E. J., </w:t>
      </w:r>
      <w:proofErr w:type="spellStart"/>
      <w:r>
        <w:rPr>
          <w:rFonts w:ascii="AdvOT1ef757c0" w:hAnsi="AdvOT1ef757c0" w:cs="AdvOT1ef757c0"/>
          <w:color w:val="000000"/>
          <w:sz w:val="19"/>
          <w:szCs w:val="19"/>
        </w:rPr>
        <w:t>Shlonsky</w:t>
      </w:r>
      <w:proofErr w:type="spellEnd"/>
      <w:r>
        <w:rPr>
          <w:rFonts w:ascii="AdvOT1ef757c0" w:hAnsi="AdvOT1ef757c0" w:cs="AdvOT1ef757c0"/>
          <w:color w:val="000000"/>
          <w:sz w:val="19"/>
          <w:szCs w:val="19"/>
        </w:rPr>
        <w:t>, A., Bledsoe, S. E., &amp; Bellamy, J. L. (</w:t>
      </w:r>
      <w:r>
        <w:rPr>
          <w:rFonts w:ascii="AdvOT1ef757c0" w:hAnsi="AdvOT1ef757c0" w:cs="AdvOT1ef757c0"/>
          <w:color w:val="000085"/>
          <w:sz w:val="19"/>
          <w:szCs w:val="19"/>
        </w:rPr>
        <w:t>2005</w:t>
      </w:r>
      <w:r>
        <w:rPr>
          <w:rFonts w:ascii="AdvOT1ef757c0" w:hAnsi="AdvOT1ef757c0" w:cs="AdvOT1ef757c0"/>
          <w:color w:val="000000"/>
          <w:sz w:val="19"/>
          <w:szCs w:val="19"/>
        </w:rPr>
        <w:t>). From concept to implementation:</w:t>
      </w: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 xml:space="preserve">Challenges facing evidence-based social work. </w:t>
      </w:r>
      <w:r>
        <w:rPr>
          <w:rFonts w:ascii="AdvOT7d6df7ab.I" w:hAnsi="AdvOT7d6df7ab.I" w:cs="AdvOT7d6df7ab.I"/>
          <w:color w:val="000000"/>
          <w:sz w:val="19"/>
          <w:szCs w:val="19"/>
        </w:rPr>
        <w:t>Evidence &amp; Policy: A Journal of Research, Debate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and Practice</w:t>
      </w:r>
      <w:r>
        <w:rPr>
          <w:rFonts w:ascii="AdvOT1ef757c0" w:hAnsi="AdvOT1ef757c0" w:cs="AdvOT1ef757c0"/>
          <w:color w:val="000000"/>
          <w:sz w:val="19"/>
          <w:szCs w:val="19"/>
        </w:rPr>
        <w:t xml:space="preserve">, </w:t>
      </w:r>
      <w:r>
        <w:rPr>
          <w:rFonts w:ascii="AdvOT7d6df7ab.I" w:hAnsi="AdvOT7d6df7ab.I" w:cs="AdvOT7d6df7ab.I"/>
          <w:color w:val="000000"/>
          <w:sz w:val="19"/>
          <w:szCs w:val="19"/>
        </w:rPr>
        <w:t>1</w:t>
      </w:r>
      <w:r>
        <w:rPr>
          <w:rFonts w:ascii="AdvOT1ef757c0" w:hAnsi="AdvOT1ef757c0" w:cs="AdvOT1ef757c0"/>
          <w:color w:val="000000"/>
          <w:sz w:val="19"/>
          <w:szCs w:val="19"/>
        </w:rPr>
        <w:t>(1), 61</w:t>
      </w:r>
      <w:r>
        <w:rPr>
          <w:rFonts w:ascii="AdvOT1ef757c0+20" w:hAnsi="AdvOT1ef757c0+20" w:cs="AdvOT1ef757c0+20"/>
          <w:color w:val="000000"/>
          <w:sz w:val="19"/>
          <w:szCs w:val="19"/>
        </w:rPr>
        <w:t>–</w:t>
      </w:r>
      <w:r>
        <w:rPr>
          <w:rFonts w:ascii="AdvOT1ef757c0" w:hAnsi="AdvOT1ef757c0" w:cs="AdvOT1ef757c0"/>
          <w:color w:val="000000"/>
          <w:sz w:val="19"/>
          <w:szCs w:val="19"/>
        </w:rPr>
        <w:t>84.</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roofErr w:type="spellStart"/>
      <w:r>
        <w:rPr>
          <w:rFonts w:ascii="AdvOT1ef757c0" w:hAnsi="AdvOT1ef757c0" w:cs="AdvOT1ef757c0"/>
          <w:color w:val="000000"/>
          <w:sz w:val="19"/>
          <w:szCs w:val="19"/>
        </w:rPr>
        <w:t>Nevo</w:t>
      </w:r>
      <w:proofErr w:type="spellEnd"/>
      <w:r>
        <w:rPr>
          <w:rFonts w:ascii="AdvOT1ef757c0" w:hAnsi="AdvOT1ef757c0" w:cs="AdvOT1ef757c0"/>
          <w:color w:val="000000"/>
          <w:sz w:val="19"/>
          <w:szCs w:val="19"/>
        </w:rPr>
        <w:t>, I., &amp; Slonim-</w:t>
      </w:r>
      <w:proofErr w:type="spellStart"/>
      <w:r>
        <w:rPr>
          <w:rFonts w:ascii="AdvOT1ef757c0" w:hAnsi="AdvOT1ef757c0" w:cs="AdvOT1ef757c0"/>
          <w:color w:val="000000"/>
          <w:sz w:val="19"/>
          <w:szCs w:val="19"/>
        </w:rPr>
        <w:t>Nevo</w:t>
      </w:r>
      <w:proofErr w:type="spellEnd"/>
      <w:r>
        <w:rPr>
          <w:rFonts w:ascii="AdvOT1ef757c0" w:hAnsi="AdvOT1ef757c0" w:cs="AdvOT1ef757c0"/>
          <w:color w:val="000000"/>
          <w:sz w:val="19"/>
          <w:szCs w:val="19"/>
        </w:rPr>
        <w:t>, V. (</w:t>
      </w:r>
      <w:r>
        <w:rPr>
          <w:rFonts w:ascii="AdvOT1ef757c0" w:hAnsi="AdvOT1ef757c0" w:cs="AdvOT1ef757c0"/>
          <w:color w:val="000085"/>
          <w:sz w:val="19"/>
          <w:szCs w:val="19"/>
        </w:rPr>
        <w:t>2011</w:t>
      </w:r>
      <w:r>
        <w:rPr>
          <w:rFonts w:ascii="AdvOT1ef757c0" w:hAnsi="AdvOT1ef757c0" w:cs="AdvOT1ef757c0"/>
          <w:color w:val="000000"/>
          <w:sz w:val="19"/>
          <w:szCs w:val="19"/>
        </w:rPr>
        <w:t xml:space="preserve">). The myth of evidence-based practice: Towards </w:t>
      </w:r>
      <w:proofErr w:type="spellStart"/>
      <w:r>
        <w:rPr>
          <w:rFonts w:ascii="AdvOT1ef757c0" w:hAnsi="AdvOT1ef757c0" w:cs="AdvOT1ef757c0"/>
          <w:color w:val="000000"/>
          <w:sz w:val="19"/>
          <w:szCs w:val="19"/>
        </w:rPr>
        <w:t>evidenceinformed</w:t>
      </w:r>
      <w:proofErr w:type="spellEnd"/>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practice. </w:t>
      </w:r>
      <w:r>
        <w:rPr>
          <w:rFonts w:ascii="AdvOT7d6df7ab.I" w:hAnsi="AdvOT7d6df7ab.I" w:cs="AdvOT7d6df7ab.I"/>
          <w:color w:val="000000"/>
          <w:sz w:val="19"/>
          <w:szCs w:val="19"/>
        </w:rPr>
        <w:t>British Journal of Social Work</w:t>
      </w:r>
      <w:r>
        <w:rPr>
          <w:rFonts w:ascii="AdvOT1ef757c0" w:hAnsi="AdvOT1ef757c0" w:cs="AdvOT1ef757c0"/>
          <w:color w:val="000000"/>
          <w:sz w:val="19"/>
          <w:szCs w:val="19"/>
        </w:rPr>
        <w:t xml:space="preserve">, </w:t>
      </w:r>
      <w:r>
        <w:rPr>
          <w:rFonts w:ascii="AdvOT7d6df7ab.I" w:hAnsi="AdvOT7d6df7ab.I" w:cs="AdvOT7d6df7ab.I"/>
          <w:color w:val="000000"/>
          <w:sz w:val="19"/>
          <w:szCs w:val="19"/>
        </w:rPr>
        <w:t>41</w:t>
      </w:r>
      <w:r>
        <w:rPr>
          <w:rFonts w:ascii="AdvOT1ef757c0" w:hAnsi="AdvOT1ef757c0" w:cs="AdvOT1ef757c0"/>
          <w:color w:val="000000"/>
          <w:sz w:val="19"/>
          <w:szCs w:val="19"/>
        </w:rPr>
        <w:t>(6), 1176</w:t>
      </w:r>
      <w:r>
        <w:rPr>
          <w:rFonts w:ascii="AdvOT1ef757c0+20" w:hAnsi="AdvOT1ef757c0+20" w:cs="AdvOT1ef757c0+20"/>
          <w:color w:val="000000"/>
          <w:sz w:val="19"/>
          <w:szCs w:val="19"/>
        </w:rPr>
        <w:t>–</w:t>
      </w:r>
      <w:r>
        <w:rPr>
          <w:rFonts w:ascii="AdvOT1ef757c0" w:hAnsi="AdvOT1ef757c0" w:cs="AdvOT1ef757c0"/>
          <w:color w:val="000000"/>
          <w:sz w:val="19"/>
          <w:szCs w:val="19"/>
        </w:rPr>
        <w:t>1197.</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 xml:space="preserve">Nutley, S., Walter, I., Percy-Smith, J., </w:t>
      </w:r>
      <w:proofErr w:type="spellStart"/>
      <w:r>
        <w:rPr>
          <w:rFonts w:ascii="AdvOT1ef757c0" w:hAnsi="AdvOT1ef757c0" w:cs="AdvOT1ef757c0"/>
          <w:color w:val="000000"/>
          <w:sz w:val="19"/>
          <w:szCs w:val="19"/>
        </w:rPr>
        <w:t>McNeish</w:t>
      </w:r>
      <w:proofErr w:type="spellEnd"/>
      <w:r>
        <w:rPr>
          <w:rFonts w:ascii="AdvOT1ef757c0" w:hAnsi="AdvOT1ef757c0" w:cs="AdvOT1ef757c0"/>
          <w:color w:val="000000"/>
          <w:sz w:val="19"/>
          <w:szCs w:val="19"/>
        </w:rPr>
        <w:t>, D., &amp; Frost, S. (</w:t>
      </w:r>
      <w:r>
        <w:rPr>
          <w:rFonts w:ascii="AdvOT1ef757c0" w:hAnsi="AdvOT1ef757c0" w:cs="AdvOT1ef757c0"/>
          <w:color w:val="000085"/>
          <w:sz w:val="19"/>
          <w:szCs w:val="19"/>
        </w:rPr>
        <w:t>2004</w:t>
      </w:r>
      <w:r>
        <w:rPr>
          <w:rFonts w:ascii="AdvOT1ef757c0" w:hAnsi="AdvOT1ef757c0" w:cs="AdvOT1ef757c0"/>
          <w:color w:val="000000"/>
          <w:sz w:val="19"/>
          <w:szCs w:val="19"/>
        </w:rPr>
        <w:t xml:space="preserve">). </w:t>
      </w:r>
      <w:r>
        <w:rPr>
          <w:rFonts w:ascii="AdvOT7d6df7ab.I" w:hAnsi="AdvOT7d6df7ab.I" w:cs="AdvOT7d6df7ab.I"/>
          <w:color w:val="000000"/>
          <w:sz w:val="19"/>
          <w:szCs w:val="19"/>
        </w:rPr>
        <w:t>Improving the use of research</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in social care practice</w:t>
      </w:r>
      <w:r>
        <w:rPr>
          <w:rFonts w:ascii="AdvOT1ef757c0" w:hAnsi="AdvOT1ef757c0" w:cs="AdvOT1ef757c0"/>
          <w:color w:val="000000"/>
          <w:sz w:val="19"/>
          <w:szCs w:val="19"/>
        </w:rPr>
        <w:t>. London: Social Care Institute for Excellence.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O</w:t>
      </w:r>
      <w:r>
        <w:rPr>
          <w:rFonts w:ascii="AdvOT1ef757c0+20" w:hAnsi="AdvOT1ef757c0+20" w:cs="AdvOT1ef757c0+20"/>
          <w:color w:val="000000"/>
          <w:sz w:val="19"/>
          <w:szCs w:val="19"/>
        </w:rPr>
        <w:t>’</w:t>
      </w:r>
      <w:r>
        <w:rPr>
          <w:rFonts w:ascii="AdvOT1ef757c0" w:hAnsi="AdvOT1ef757c0" w:cs="AdvOT1ef757c0"/>
          <w:color w:val="000000"/>
          <w:sz w:val="19"/>
          <w:szCs w:val="19"/>
        </w:rPr>
        <w:t>Connor, T., &amp; Murphy, M. (</w:t>
      </w:r>
      <w:r>
        <w:rPr>
          <w:rFonts w:ascii="AdvOT1ef757c0" w:hAnsi="AdvOT1ef757c0" w:cs="AdvOT1ef757c0"/>
          <w:color w:val="000085"/>
          <w:sz w:val="19"/>
          <w:szCs w:val="19"/>
        </w:rPr>
        <w:t>2006</w:t>
      </w:r>
      <w:r>
        <w:rPr>
          <w:rFonts w:ascii="AdvOT1ef757c0" w:hAnsi="AdvOT1ef757c0" w:cs="AdvOT1ef757c0"/>
          <w:color w:val="000000"/>
          <w:sz w:val="19"/>
          <w:szCs w:val="19"/>
        </w:rPr>
        <w:t xml:space="preserve">). </w:t>
      </w:r>
      <w:r>
        <w:rPr>
          <w:rFonts w:ascii="AdvOT7d6df7ab.I" w:hAnsi="AdvOT7d6df7ab.I" w:cs="AdvOT7d6df7ab.I"/>
          <w:color w:val="000000"/>
          <w:sz w:val="19"/>
          <w:szCs w:val="19"/>
        </w:rPr>
        <w:t>Social care in Ireland: Theory, policy and practice</w:t>
      </w:r>
      <w:r>
        <w:rPr>
          <w:rFonts w:ascii="AdvOT1ef757c0" w:hAnsi="AdvOT1ef757c0" w:cs="AdvOT1ef757c0"/>
          <w:color w:val="000000"/>
          <w:sz w:val="19"/>
          <w:szCs w:val="19"/>
        </w:rPr>
        <w:t>. Cork: Cork</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Institute of Technology Press.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lastRenderedPageBreak/>
        <w:t>Pawson, P., Boaz, A., Grayson, L., Long, A., &amp; Branes, C. (</w:t>
      </w:r>
      <w:r>
        <w:rPr>
          <w:rFonts w:ascii="AdvOT1ef757c0" w:hAnsi="AdvOT1ef757c0" w:cs="AdvOT1ef757c0"/>
          <w:color w:val="000085"/>
          <w:sz w:val="19"/>
          <w:szCs w:val="19"/>
        </w:rPr>
        <w:t>2003</w:t>
      </w:r>
      <w:r>
        <w:rPr>
          <w:rFonts w:ascii="AdvOT1ef757c0" w:hAnsi="AdvOT1ef757c0" w:cs="AdvOT1ef757c0"/>
          <w:color w:val="000000"/>
          <w:sz w:val="19"/>
          <w:szCs w:val="19"/>
        </w:rPr>
        <w:t xml:space="preserve">). </w:t>
      </w:r>
      <w:r>
        <w:rPr>
          <w:rFonts w:ascii="AdvOT7d6df7ab.I" w:hAnsi="AdvOT7d6df7ab.I" w:cs="AdvOT7d6df7ab.I"/>
          <w:color w:val="000000"/>
          <w:sz w:val="19"/>
          <w:szCs w:val="19"/>
        </w:rPr>
        <w:t>Types and quality of knowledge in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social care</w:t>
      </w:r>
      <w:r>
        <w:rPr>
          <w:rFonts w:ascii="AdvOT1ef757c0" w:hAnsi="AdvOT1ef757c0" w:cs="AdvOT1ef757c0"/>
          <w:color w:val="000000"/>
          <w:sz w:val="19"/>
          <w:szCs w:val="19"/>
        </w:rPr>
        <w:t>. London: Social Care Institute.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Payne, M. (</w:t>
      </w:r>
      <w:r>
        <w:rPr>
          <w:rFonts w:ascii="AdvOT1ef757c0" w:hAnsi="AdvOT1ef757c0" w:cs="AdvOT1ef757c0"/>
          <w:color w:val="000085"/>
          <w:sz w:val="19"/>
          <w:szCs w:val="19"/>
        </w:rPr>
        <w:t>2014</w:t>
      </w:r>
      <w:r>
        <w:rPr>
          <w:rFonts w:ascii="AdvOT1ef757c0" w:hAnsi="AdvOT1ef757c0" w:cs="AdvOT1ef757c0"/>
          <w:color w:val="000000"/>
          <w:sz w:val="19"/>
          <w:szCs w:val="19"/>
        </w:rPr>
        <w:t xml:space="preserve">). </w:t>
      </w:r>
      <w:r>
        <w:rPr>
          <w:rFonts w:ascii="AdvOT7d6df7ab.I" w:hAnsi="AdvOT7d6df7ab.I" w:cs="AdvOT7d6df7ab.I"/>
          <w:color w:val="000000"/>
          <w:sz w:val="19"/>
          <w:szCs w:val="19"/>
        </w:rPr>
        <w:t xml:space="preserve">Modern social work theory </w:t>
      </w:r>
      <w:r>
        <w:rPr>
          <w:rFonts w:ascii="AdvOT1ef757c0" w:hAnsi="AdvOT1ef757c0" w:cs="AdvOT1ef757c0"/>
          <w:color w:val="000000"/>
          <w:sz w:val="19"/>
          <w:szCs w:val="19"/>
        </w:rPr>
        <w:t>(Eds). London: Palgrave Macmillan.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Power, M., &amp; Darcy, P. (</w:t>
      </w:r>
      <w:r>
        <w:rPr>
          <w:rFonts w:ascii="AdvOT1ef757c0" w:hAnsi="AdvOT1ef757c0" w:cs="AdvOT1ef757c0"/>
          <w:color w:val="000085"/>
          <w:sz w:val="19"/>
          <w:szCs w:val="19"/>
        </w:rPr>
        <w:t>2017</w:t>
      </w:r>
      <w:r>
        <w:rPr>
          <w:rFonts w:ascii="AdvOT1ef757c0" w:hAnsi="AdvOT1ef757c0" w:cs="AdvOT1ef757c0"/>
          <w:color w:val="000000"/>
          <w:sz w:val="19"/>
          <w:szCs w:val="19"/>
        </w:rPr>
        <w:t xml:space="preserve">). </w:t>
      </w:r>
      <w:r>
        <w:rPr>
          <w:rFonts w:ascii="AdvOT7d6df7ab.I" w:hAnsi="AdvOT7d6df7ab.I" w:cs="AdvOT7d6df7ab.I"/>
          <w:color w:val="000000"/>
          <w:sz w:val="19"/>
          <w:szCs w:val="19"/>
        </w:rPr>
        <w:t>Statutory registration awareness among social care workers in</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Ireland</w:t>
      </w:r>
      <w:r>
        <w:rPr>
          <w:rFonts w:ascii="AdvOT1ef757c0" w:hAnsi="AdvOT1ef757c0" w:cs="AdvOT1ef757c0"/>
          <w:color w:val="000000"/>
          <w:sz w:val="19"/>
          <w:szCs w:val="19"/>
        </w:rPr>
        <w:t>. Dublin: Health Service Executive.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Randall, J., </w:t>
      </w:r>
      <w:proofErr w:type="spellStart"/>
      <w:r>
        <w:rPr>
          <w:rFonts w:ascii="AdvOT1ef757c0" w:hAnsi="AdvOT1ef757c0" w:cs="AdvOT1ef757c0"/>
          <w:color w:val="000000"/>
          <w:sz w:val="19"/>
          <w:szCs w:val="19"/>
        </w:rPr>
        <w:t>Cowley</w:t>
      </w:r>
      <w:proofErr w:type="spellEnd"/>
      <w:r>
        <w:rPr>
          <w:rFonts w:ascii="AdvOT1ef757c0" w:hAnsi="AdvOT1ef757c0" w:cs="AdvOT1ef757c0"/>
          <w:color w:val="000000"/>
          <w:sz w:val="19"/>
          <w:szCs w:val="19"/>
        </w:rPr>
        <w:t>, P., &amp; Tomlinson, P. (</w:t>
      </w:r>
      <w:r>
        <w:rPr>
          <w:rFonts w:ascii="AdvOT1ef757c0" w:hAnsi="AdvOT1ef757c0" w:cs="AdvOT1ef757c0"/>
          <w:color w:val="000085"/>
          <w:sz w:val="19"/>
          <w:szCs w:val="19"/>
        </w:rPr>
        <w:t>2000</w:t>
      </w:r>
      <w:r>
        <w:rPr>
          <w:rFonts w:ascii="AdvOT1ef757c0" w:hAnsi="AdvOT1ef757c0" w:cs="AdvOT1ef757c0"/>
          <w:color w:val="000000"/>
          <w:sz w:val="19"/>
          <w:szCs w:val="19"/>
        </w:rPr>
        <w:t>). Overcoming barriers to e</w:t>
      </w:r>
      <w:r>
        <w:rPr>
          <w:rFonts w:ascii="AdvOT1ef757c0+fb" w:hAnsi="AdvOT1ef757c0+fb" w:cs="AdvOT1ef757c0+fb"/>
          <w:color w:val="000000"/>
          <w:sz w:val="19"/>
          <w:szCs w:val="19"/>
        </w:rPr>
        <w:t>ff</w:t>
      </w:r>
      <w:r>
        <w:rPr>
          <w:rFonts w:ascii="AdvOT1ef757c0" w:hAnsi="AdvOT1ef757c0" w:cs="AdvOT1ef757c0"/>
          <w:color w:val="000000"/>
          <w:sz w:val="19"/>
          <w:szCs w:val="19"/>
        </w:rPr>
        <w:t>ective practice in child</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care. </w:t>
      </w:r>
      <w:r>
        <w:rPr>
          <w:rFonts w:ascii="AdvOT7d6df7ab.I" w:hAnsi="AdvOT7d6df7ab.I" w:cs="AdvOT7d6df7ab.I"/>
          <w:color w:val="000000"/>
          <w:sz w:val="19"/>
          <w:szCs w:val="19"/>
        </w:rPr>
        <w:t>Child and Family Social Work</w:t>
      </w:r>
      <w:r>
        <w:rPr>
          <w:rFonts w:ascii="AdvOT1ef757c0" w:hAnsi="AdvOT1ef757c0" w:cs="AdvOT1ef757c0"/>
          <w:color w:val="000000"/>
          <w:sz w:val="19"/>
          <w:szCs w:val="19"/>
        </w:rPr>
        <w:t xml:space="preserve">, </w:t>
      </w:r>
      <w:r>
        <w:rPr>
          <w:rFonts w:ascii="AdvOT7d6df7ab.I" w:hAnsi="AdvOT7d6df7ab.I" w:cs="AdvOT7d6df7ab.I"/>
          <w:color w:val="000000"/>
          <w:sz w:val="19"/>
          <w:szCs w:val="19"/>
        </w:rPr>
        <w:t>5</w:t>
      </w:r>
      <w:r>
        <w:rPr>
          <w:rFonts w:ascii="AdvOT1ef757c0" w:hAnsi="AdvOT1ef757c0" w:cs="AdvOT1ef757c0"/>
          <w:color w:val="000000"/>
          <w:sz w:val="19"/>
          <w:szCs w:val="19"/>
        </w:rPr>
        <w:t>(4), 343</w:t>
      </w:r>
      <w:r>
        <w:rPr>
          <w:rFonts w:ascii="AdvOT1ef757c0+20" w:hAnsi="AdvOT1ef757c0+20" w:cs="AdvOT1ef757c0+20"/>
          <w:color w:val="000000"/>
          <w:sz w:val="19"/>
          <w:szCs w:val="19"/>
        </w:rPr>
        <w:t>–</w:t>
      </w:r>
      <w:r>
        <w:rPr>
          <w:rFonts w:ascii="AdvOT1ef757c0" w:hAnsi="AdvOT1ef757c0" w:cs="AdvOT1ef757c0"/>
          <w:color w:val="000000"/>
          <w:sz w:val="19"/>
          <w:szCs w:val="19"/>
        </w:rPr>
        <w:t>352.</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Research in Practice. (</w:t>
      </w:r>
      <w:r>
        <w:rPr>
          <w:rFonts w:ascii="AdvOT1ef757c0" w:hAnsi="AdvOT1ef757c0" w:cs="AdvOT1ef757c0"/>
          <w:color w:val="000085"/>
          <w:sz w:val="19"/>
          <w:szCs w:val="19"/>
        </w:rPr>
        <w:t>2006</w:t>
      </w:r>
      <w:r>
        <w:rPr>
          <w:rFonts w:ascii="AdvOT1ef757c0" w:hAnsi="AdvOT1ef757c0" w:cs="AdvOT1ef757c0"/>
          <w:color w:val="000000"/>
          <w:sz w:val="19"/>
          <w:szCs w:val="19"/>
        </w:rPr>
        <w:t xml:space="preserve">). </w:t>
      </w:r>
      <w:r>
        <w:rPr>
          <w:rFonts w:ascii="AdvOT7d6df7ab.I" w:hAnsi="AdvOT7d6df7ab.I" w:cs="AdvOT7d6df7ab.I"/>
          <w:color w:val="000000"/>
          <w:sz w:val="19"/>
          <w:szCs w:val="19"/>
        </w:rPr>
        <w:t>Firm foundations: A practical guide to organisational support for the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use of research evidence</w:t>
      </w:r>
      <w:r>
        <w:rPr>
          <w:rFonts w:ascii="AdvOT1ef757c0" w:hAnsi="AdvOT1ef757c0" w:cs="AdvOT1ef757c0"/>
          <w:color w:val="000000"/>
          <w:sz w:val="19"/>
          <w:szCs w:val="19"/>
        </w:rPr>
        <w:t xml:space="preserve">. </w:t>
      </w:r>
      <w:proofErr w:type="spellStart"/>
      <w:r>
        <w:rPr>
          <w:rFonts w:ascii="AdvOT1ef757c0" w:hAnsi="AdvOT1ef757c0" w:cs="AdvOT1ef757c0"/>
          <w:color w:val="000000"/>
          <w:sz w:val="19"/>
          <w:szCs w:val="19"/>
        </w:rPr>
        <w:t>Dartington</w:t>
      </w:r>
      <w:proofErr w:type="spellEnd"/>
      <w:r>
        <w:rPr>
          <w:rFonts w:ascii="AdvOT1ef757c0" w:hAnsi="AdvOT1ef757c0" w:cs="AdvOT1ef757c0"/>
          <w:color w:val="000000"/>
          <w:sz w:val="19"/>
          <w:szCs w:val="19"/>
        </w:rPr>
        <w:t>: Author.</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Sackett, D. L., Rosenberg, W. M., </w:t>
      </w:r>
      <w:proofErr w:type="spellStart"/>
      <w:r>
        <w:rPr>
          <w:rFonts w:ascii="AdvOT1ef757c0" w:hAnsi="AdvOT1ef757c0" w:cs="AdvOT1ef757c0"/>
          <w:color w:val="000000"/>
          <w:sz w:val="19"/>
          <w:szCs w:val="19"/>
        </w:rPr>
        <w:t>Gray</w:t>
      </w:r>
      <w:proofErr w:type="spellEnd"/>
      <w:r>
        <w:rPr>
          <w:rFonts w:ascii="AdvOT1ef757c0" w:hAnsi="AdvOT1ef757c0" w:cs="AdvOT1ef757c0"/>
          <w:color w:val="000000"/>
          <w:sz w:val="19"/>
          <w:szCs w:val="19"/>
        </w:rPr>
        <w:t>, J. A., Haynes, R. B., &amp; Richardson, W. S. (</w:t>
      </w:r>
      <w:r>
        <w:rPr>
          <w:rFonts w:ascii="AdvOT1ef757c0" w:hAnsi="AdvOT1ef757c0" w:cs="AdvOT1ef757c0"/>
          <w:color w:val="000085"/>
          <w:sz w:val="19"/>
          <w:szCs w:val="19"/>
        </w:rPr>
        <w:t>1996</w:t>
      </w:r>
      <w:r>
        <w:rPr>
          <w:rFonts w:ascii="AdvOT1ef757c0" w:hAnsi="AdvOT1ef757c0" w:cs="AdvOT1ef757c0"/>
          <w:color w:val="000000"/>
          <w:sz w:val="19"/>
          <w:szCs w:val="19"/>
        </w:rPr>
        <w:t>). Evidence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based medicine: What it is and what it isn</w:t>
      </w:r>
      <w:r>
        <w:rPr>
          <w:rFonts w:ascii="AdvOT1ef757c0+20" w:hAnsi="AdvOT1ef757c0+20" w:cs="AdvOT1ef757c0+20"/>
          <w:color w:val="000000"/>
          <w:sz w:val="19"/>
          <w:szCs w:val="19"/>
        </w:rPr>
        <w:t>’</w:t>
      </w:r>
      <w:r>
        <w:rPr>
          <w:rFonts w:ascii="AdvOT1ef757c0" w:hAnsi="AdvOT1ef757c0" w:cs="AdvOT1ef757c0"/>
          <w:color w:val="000000"/>
          <w:sz w:val="19"/>
          <w:szCs w:val="19"/>
        </w:rPr>
        <w:t xml:space="preserve">t. </w:t>
      </w:r>
      <w:r>
        <w:rPr>
          <w:rFonts w:ascii="AdvOT7d6df7ab.I" w:hAnsi="AdvOT7d6df7ab.I" w:cs="AdvOT7d6df7ab.I"/>
          <w:color w:val="000000"/>
          <w:sz w:val="19"/>
          <w:szCs w:val="19"/>
        </w:rPr>
        <w:t>BMJ</w:t>
      </w:r>
      <w:r>
        <w:rPr>
          <w:rFonts w:ascii="AdvOT1ef757c0" w:hAnsi="AdvOT1ef757c0" w:cs="AdvOT1ef757c0"/>
          <w:color w:val="000000"/>
          <w:sz w:val="19"/>
          <w:szCs w:val="19"/>
        </w:rPr>
        <w:t xml:space="preserve">, </w:t>
      </w:r>
      <w:r>
        <w:rPr>
          <w:rFonts w:ascii="AdvOT7d6df7ab.I" w:hAnsi="AdvOT7d6df7ab.I" w:cs="AdvOT7d6df7ab.I"/>
          <w:color w:val="000000"/>
          <w:sz w:val="19"/>
          <w:szCs w:val="19"/>
        </w:rPr>
        <w:t>312</w:t>
      </w:r>
      <w:r>
        <w:rPr>
          <w:rFonts w:ascii="AdvOT1ef757c0" w:hAnsi="AdvOT1ef757c0" w:cs="AdvOT1ef757c0"/>
          <w:color w:val="000000"/>
          <w:sz w:val="19"/>
          <w:szCs w:val="19"/>
        </w:rPr>
        <w:t>(7023), 71</w:t>
      </w:r>
      <w:r>
        <w:rPr>
          <w:rFonts w:ascii="AdvOT1ef757c0+20" w:hAnsi="AdvOT1ef757c0+20" w:cs="AdvOT1ef757c0+20"/>
          <w:color w:val="000000"/>
          <w:sz w:val="19"/>
          <w:szCs w:val="19"/>
        </w:rPr>
        <w:t>–</w:t>
      </w:r>
      <w:r>
        <w:rPr>
          <w:rFonts w:ascii="AdvOT1ef757c0" w:hAnsi="AdvOT1ef757c0" w:cs="AdvOT1ef757c0"/>
          <w:color w:val="000000"/>
          <w:sz w:val="19"/>
          <w:szCs w:val="19"/>
        </w:rPr>
        <w:t>72.</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Sheldon, B., &amp; </w:t>
      </w:r>
      <w:proofErr w:type="spellStart"/>
      <w:r>
        <w:rPr>
          <w:rFonts w:ascii="AdvOT1ef757c0" w:hAnsi="AdvOT1ef757c0" w:cs="AdvOT1ef757c0"/>
          <w:color w:val="000000"/>
          <w:sz w:val="19"/>
          <w:szCs w:val="19"/>
        </w:rPr>
        <w:t>Chilvers</w:t>
      </w:r>
      <w:proofErr w:type="spellEnd"/>
      <w:r>
        <w:rPr>
          <w:rFonts w:ascii="AdvOT1ef757c0" w:hAnsi="AdvOT1ef757c0" w:cs="AdvOT1ef757c0"/>
          <w:color w:val="000000"/>
          <w:sz w:val="19"/>
          <w:szCs w:val="19"/>
        </w:rPr>
        <w:t>, R. (</w:t>
      </w:r>
      <w:r>
        <w:rPr>
          <w:rFonts w:ascii="AdvOT1ef757c0" w:hAnsi="AdvOT1ef757c0" w:cs="AdvOT1ef757c0"/>
          <w:color w:val="000085"/>
          <w:sz w:val="19"/>
          <w:szCs w:val="19"/>
        </w:rPr>
        <w:t>2000</w:t>
      </w:r>
      <w:r>
        <w:rPr>
          <w:rFonts w:ascii="AdvOT1ef757c0" w:hAnsi="AdvOT1ef757c0" w:cs="AdvOT1ef757c0"/>
          <w:color w:val="000000"/>
          <w:sz w:val="19"/>
          <w:szCs w:val="19"/>
        </w:rPr>
        <w:t xml:space="preserve">). </w:t>
      </w:r>
      <w:r>
        <w:rPr>
          <w:rFonts w:ascii="AdvOT7d6df7ab.I" w:hAnsi="AdvOT7d6df7ab.I" w:cs="AdvOT7d6df7ab.I"/>
          <w:color w:val="000000"/>
          <w:sz w:val="19"/>
          <w:szCs w:val="19"/>
        </w:rPr>
        <w:t>Evidence-based social care: A study of prospects and problems</w:t>
      </w:r>
      <w:r>
        <w:rPr>
          <w:rFonts w:ascii="AdvOT1ef757c0" w:hAnsi="AdvOT1ef757c0" w:cs="AdvOT1ef757c0"/>
          <w:color w:val="000000"/>
          <w:sz w:val="19"/>
          <w:szCs w:val="19"/>
        </w:rPr>
        <w:t>.</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Lyme Regis: Russell House Publishing.</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Stalk, M. (</w:t>
      </w:r>
      <w:r>
        <w:rPr>
          <w:rFonts w:ascii="AdvOT1ef757c0" w:hAnsi="AdvOT1ef757c0" w:cs="AdvOT1ef757c0"/>
          <w:color w:val="000085"/>
          <w:sz w:val="19"/>
          <w:szCs w:val="19"/>
        </w:rPr>
        <w:t>2010</w:t>
      </w:r>
      <w:r>
        <w:rPr>
          <w:rFonts w:ascii="AdvOT1ef757c0" w:hAnsi="AdvOT1ef757c0" w:cs="AdvOT1ef757c0"/>
          <w:color w:val="000000"/>
          <w:sz w:val="19"/>
          <w:szCs w:val="19"/>
        </w:rPr>
        <w:t xml:space="preserve">). </w:t>
      </w:r>
      <w:r>
        <w:rPr>
          <w:rFonts w:ascii="AdvOT7d6df7ab.I" w:hAnsi="AdvOT7d6df7ab.I" w:cs="AdvOT7d6df7ab.I"/>
          <w:color w:val="000000"/>
          <w:sz w:val="19"/>
          <w:szCs w:val="19"/>
        </w:rPr>
        <w:t>Scapegoats or sacri</w:t>
      </w:r>
      <w:r>
        <w:rPr>
          <w:rFonts w:ascii="AdvOT7d6df7ab.I+fb" w:hAnsi="AdvOT7d6df7ab.I+fb" w:cs="AdvOT7d6df7ab.I+fb"/>
          <w:color w:val="000000"/>
          <w:sz w:val="19"/>
          <w:szCs w:val="19"/>
        </w:rPr>
        <w:t>fi</w:t>
      </w:r>
      <w:r>
        <w:rPr>
          <w:rFonts w:ascii="AdvOT7d6df7ab.I" w:hAnsi="AdvOT7d6df7ab.I" w:cs="AdvOT7d6df7ab.I"/>
          <w:color w:val="000000"/>
          <w:sz w:val="19"/>
          <w:szCs w:val="19"/>
        </w:rPr>
        <w:t>cial lambs? How media vili</w:t>
      </w:r>
      <w:r>
        <w:rPr>
          <w:rFonts w:ascii="AdvOT7d6df7ab.I+fb" w:hAnsi="AdvOT7d6df7ab.I+fb" w:cs="AdvOT7d6df7ab.I+fb"/>
          <w:color w:val="000000"/>
          <w:sz w:val="19"/>
          <w:szCs w:val="19"/>
        </w:rPr>
        <w:t>fi</w:t>
      </w:r>
      <w:r>
        <w:rPr>
          <w:rFonts w:ascii="AdvOT7d6df7ab.I" w:hAnsi="AdvOT7d6df7ab.I" w:cs="AdvOT7d6df7ab.I"/>
          <w:color w:val="000000"/>
          <w:sz w:val="19"/>
          <w:szCs w:val="19"/>
        </w:rPr>
        <w:t>cation of social workers impacts on</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r>
        <w:rPr>
          <w:rFonts w:ascii="AdvOT7d6df7ab.I" w:hAnsi="AdvOT7d6df7ab.I" w:cs="AdvOT7d6df7ab.I"/>
          <w:color w:val="000000"/>
          <w:sz w:val="19"/>
          <w:szCs w:val="19"/>
        </w:rPr>
        <w:t>work practices</w:t>
      </w:r>
      <w:r>
        <w:rPr>
          <w:rFonts w:ascii="AdvOT1ef757c0" w:hAnsi="AdvOT1ef757c0" w:cs="AdvOT1ef757c0"/>
          <w:color w:val="000000"/>
          <w:sz w:val="19"/>
          <w:szCs w:val="19"/>
        </w:rPr>
        <w:t xml:space="preserve">. Retrieved from </w:t>
      </w:r>
      <w:r>
        <w:rPr>
          <w:rFonts w:ascii="AdvOT1ef757c0" w:hAnsi="AdvOT1ef757c0" w:cs="AdvOT1ef757c0"/>
          <w:color w:val="000085"/>
          <w:sz w:val="19"/>
          <w:szCs w:val="19"/>
        </w:rPr>
        <w:t>https://www.ucc.ie/en/media/academic/appliedsocialstudies/</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r>
        <w:rPr>
          <w:rFonts w:ascii="AdvOT1ef757c0" w:hAnsi="AdvOT1ef757c0" w:cs="AdvOT1ef757c0"/>
          <w:color w:val="000085"/>
          <w:sz w:val="19"/>
          <w:szCs w:val="19"/>
        </w:rPr>
        <w:t>docs/MartinaStack.pdf</w:t>
      </w:r>
    </w:p>
    <w:p w:rsidR="00736380" w:rsidRDefault="00736380" w:rsidP="00736380">
      <w:pPr>
        <w:autoSpaceDE w:val="0"/>
        <w:autoSpaceDN w:val="0"/>
        <w:adjustRightInd w:val="0"/>
        <w:spacing w:after="0" w:line="240" w:lineRule="auto"/>
        <w:rPr>
          <w:rFonts w:ascii="AdvOT1ef757c0" w:hAnsi="AdvOT1ef757c0" w:cs="AdvOT1ef757c0"/>
          <w:color w:val="000085"/>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Staller, K. M. (</w:t>
      </w:r>
      <w:r>
        <w:rPr>
          <w:rFonts w:ascii="AdvOT1ef757c0" w:hAnsi="AdvOT1ef757c0" w:cs="AdvOT1ef757c0"/>
          <w:color w:val="000085"/>
          <w:sz w:val="19"/>
          <w:szCs w:val="19"/>
        </w:rPr>
        <w:t>2006</w:t>
      </w:r>
      <w:r>
        <w:rPr>
          <w:rFonts w:ascii="AdvOT1ef757c0" w:hAnsi="AdvOT1ef757c0" w:cs="AdvOT1ef757c0"/>
          <w:color w:val="000000"/>
          <w:sz w:val="19"/>
          <w:szCs w:val="19"/>
        </w:rPr>
        <w:t>). Railroads, runaways, &amp; researchers: Returning evidence rhetoric to its practice</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base. </w:t>
      </w:r>
      <w:r>
        <w:rPr>
          <w:rFonts w:ascii="AdvOT7d6df7ab.I" w:hAnsi="AdvOT7d6df7ab.I" w:cs="AdvOT7d6df7ab.I"/>
          <w:color w:val="000000"/>
          <w:sz w:val="19"/>
          <w:szCs w:val="19"/>
        </w:rPr>
        <w:t>Qualitative Inquiry</w:t>
      </w:r>
      <w:r>
        <w:rPr>
          <w:rFonts w:ascii="AdvOT1ef757c0" w:hAnsi="AdvOT1ef757c0" w:cs="AdvOT1ef757c0"/>
          <w:color w:val="000000"/>
          <w:sz w:val="19"/>
          <w:szCs w:val="19"/>
        </w:rPr>
        <w:t xml:space="preserve">, </w:t>
      </w:r>
      <w:r>
        <w:rPr>
          <w:rFonts w:ascii="AdvOT7d6df7ab.I" w:hAnsi="AdvOT7d6df7ab.I" w:cs="AdvOT7d6df7ab.I"/>
          <w:color w:val="000000"/>
          <w:sz w:val="19"/>
          <w:szCs w:val="19"/>
        </w:rPr>
        <w:t>12</w:t>
      </w:r>
      <w:r>
        <w:rPr>
          <w:rFonts w:ascii="AdvOT1ef757c0" w:hAnsi="AdvOT1ef757c0" w:cs="AdvOT1ef757c0"/>
          <w:color w:val="000000"/>
          <w:sz w:val="19"/>
          <w:szCs w:val="19"/>
        </w:rPr>
        <w:t>(3), 503</w:t>
      </w:r>
      <w:r>
        <w:rPr>
          <w:rFonts w:ascii="AdvOT1ef757c0+20" w:hAnsi="AdvOT1ef757c0+20" w:cs="AdvOT1ef757c0+20"/>
          <w:color w:val="000000"/>
          <w:sz w:val="19"/>
          <w:szCs w:val="19"/>
        </w:rPr>
        <w:t>–</w:t>
      </w:r>
      <w:r>
        <w:rPr>
          <w:rFonts w:ascii="AdvOT1ef757c0" w:hAnsi="AdvOT1ef757c0" w:cs="AdvOT1ef757c0"/>
          <w:color w:val="000000"/>
          <w:sz w:val="19"/>
          <w:szCs w:val="19"/>
        </w:rPr>
        <w:t>522.</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Stevens, M., </w:t>
      </w:r>
      <w:proofErr w:type="spellStart"/>
      <w:r>
        <w:rPr>
          <w:rFonts w:ascii="AdvOT1ef757c0" w:hAnsi="AdvOT1ef757c0" w:cs="AdvOT1ef757c0"/>
          <w:color w:val="000000"/>
          <w:sz w:val="19"/>
          <w:szCs w:val="19"/>
        </w:rPr>
        <w:t>Liabo</w:t>
      </w:r>
      <w:proofErr w:type="spellEnd"/>
      <w:r>
        <w:rPr>
          <w:rFonts w:ascii="AdvOT1ef757c0" w:hAnsi="AdvOT1ef757c0" w:cs="AdvOT1ef757c0"/>
          <w:color w:val="000000"/>
          <w:sz w:val="19"/>
          <w:szCs w:val="19"/>
        </w:rPr>
        <w:t>, K., &amp; Roberts, H. (</w:t>
      </w:r>
      <w:r>
        <w:rPr>
          <w:rFonts w:ascii="AdvOT1ef757c0" w:hAnsi="AdvOT1ef757c0" w:cs="AdvOT1ef757c0"/>
          <w:color w:val="000085"/>
          <w:sz w:val="19"/>
          <w:szCs w:val="19"/>
        </w:rPr>
        <w:t>2007</w:t>
      </w:r>
      <w:r>
        <w:rPr>
          <w:rFonts w:ascii="AdvOT1ef757c0" w:hAnsi="AdvOT1ef757c0" w:cs="AdvOT1ef757c0"/>
          <w:color w:val="000000"/>
          <w:sz w:val="19"/>
          <w:szCs w:val="19"/>
        </w:rPr>
        <w:t>). A review of the research priorities of practitioners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working with children in social care. </w:t>
      </w:r>
      <w:r>
        <w:rPr>
          <w:rFonts w:ascii="AdvOT7d6df7ab.I" w:hAnsi="AdvOT7d6df7ab.I" w:cs="AdvOT7d6df7ab.I"/>
          <w:color w:val="000000"/>
          <w:sz w:val="19"/>
          <w:szCs w:val="19"/>
        </w:rPr>
        <w:t>Child and Family Social Work</w:t>
      </w:r>
      <w:r>
        <w:rPr>
          <w:rFonts w:ascii="AdvOT1ef757c0" w:hAnsi="AdvOT1ef757c0" w:cs="AdvOT1ef757c0"/>
          <w:color w:val="000000"/>
          <w:sz w:val="19"/>
          <w:szCs w:val="19"/>
        </w:rPr>
        <w:t xml:space="preserve">, </w:t>
      </w:r>
      <w:r>
        <w:rPr>
          <w:rFonts w:ascii="AdvOT7d6df7ab.I" w:hAnsi="AdvOT7d6df7ab.I" w:cs="AdvOT7d6df7ab.I"/>
          <w:color w:val="000000"/>
          <w:sz w:val="19"/>
          <w:szCs w:val="19"/>
        </w:rPr>
        <w:t>12</w:t>
      </w:r>
      <w:r>
        <w:rPr>
          <w:rFonts w:ascii="AdvOT1ef757c0" w:hAnsi="AdvOT1ef757c0" w:cs="AdvOT1ef757c0"/>
          <w:color w:val="000000"/>
          <w:sz w:val="19"/>
          <w:szCs w:val="19"/>
        </w:rPr>
        <w:t>(4), 295</w:t>
      </w:r>
      <w:r>
        <w:rPr>
          <w:rFonts w:ascii="AdvOT1ef757c0+20" w:hAnsi="AdvOT1ef757c0+20" w:cs="AdvOT1ef757c0+20"/>
          <w:color w:val="000000"/>
          <w:sz w:val="19"/>
          <w:szCs w:val="19"/>
        </w:rPr>
        <w:t>–</w:t>
      </w:r>
      <w:r>
        <w:rPr>
          <w:rFonts w:ascii="AdvOT1ef757c0" w:hAnsi="AdvOT1ef757c0" w:cs="AdvOT1ef757c0"/>
          <w:color w:val="000000"/>
          <w:sz w:val="19"/>
          <w:szCs w:val="19"/>
        </w:rPr>
        <w:t>305.</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 xml:space="preserve">Walter, I., Nutley, S., Percy-Smith, J., </w:t>
      </w:r>
      <w:proofErr w:type="spellStart"/>
      <w:r>
        <w:rPr>
          <w:rFonts w:ascii="AdvOT1ef757c0" w:hAnsi="AdvOT1ef757c0" w:cs="AdvOT1ef757c0"/>
          <w:color w:val="000000"/>
          <w:sz w:val="19"/>
          <w:szCs w:val="19"/>
        </w:rPr>
        <w:t>McNeish</w:t>
      </w:r>
      <w:proofErr w:type="spellEnd"/>
      <w:r>
        <w:rPr>
          <w:rFonts w:ascii="AdvOT1ef757c0" w:hAnsi="AdvOT1ef757c0" w:cs="AdvOT1ef757c0"/>
          <w:color w:val="000000"/>
          <w:sz w:val="19"/>
          <w:szCs w:val="19"/>
        </w:rPr>
        <w:t>, D., &amp; Frost, S. (</w:t>
      </w:r>
      <w:r>
        <w:rPr>
          <w:rFonts w:ascii="AdvOT1ef757c0" w:hAnsi="AdvOT1ef757c0" w:cs="AdvOT1ef757c0"/>
          <w:color w:val="000085"/>
          <w:sz w:val="19"/>
          <w:szCs w:val="19"/>
        </w:rPr>
        <w:t>2004</w:t>
      </w:r>
      <w:r>
        <w:rPr>
          <w:rFonts w:ascii="AdvOT1ef757c0" w:hAnsi="AdvOT1ef757c0" w:cs="AdvOT1ef757c0"/>
          <w:color w:val="000000"/>
          <w:sz w:val="19"/>
          <w:szCs w:val="19"/>
        </w:rPr>
        <w:t xml:space="preserve">). </w:t>
      </w:r>
      <w:r>
        <w:rPr>
          <w:rFonts w:ascii="AdvOT7d6df7ab.I" w:hAnsi="AdvOT7d6df7ab.I" w:cs="AdvOT7d6df7ab.I"/>
          <w:color w:val="000000"/>
          <w:sz w:val="19"/>
          <w:szCs w:val="19"/>
        </w:rPr>
        <w:t>Improving the use of research</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in social care: Knowledge review</w:t>
      </w:r>
      <w:r>
        <w:rPr>
          <w:rFonts w:ascii="AdvOT1ef757c0" w:hAnsi="AdvOT1ef757c0" w:cs="AdvOT1ef757c0"/>
          <w:color w:val="000000"/>
          <w:sz w:val="19"/>
          <w:szCs w:val="19"/>
        </w:rPr>
        <w:t>. Bristol: Policy Press.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1ef757c0" w:hAnsi="AdvOT1ef757c0" w:cs="AdvOT1ef757c0"/>
          <w:color w:val="000000"/>
          <w:sz w:val="19"/>
          <w:szCs w:val="19"/>
        </w:rPr>
        <w:t xml:space="preserve">Williams, D., &amp; </w:t>
      </w:r>
      <w:proofErr w:type="spellStart"/>
      <w:r>
        <w:rPr>
          <w:rFonts w:ascii="AdvOT1ef757c0" w:hAnsi="AdvOT1ef757c0" w:cs="AdvOT1ef757c0"/>
          <w:color w:val="000000"/>
          <w:sz w:val="19"/>
          <w:szCs w:val="19"/>
        </w:rPr>
        <w:t>Lalor</w:t>
      </w:r>
      <w:proofErr w:type="spellEnd"/>
      <w:r>
        <w:rPr>
          <w:rFonts w:ascii="AdvOT1ef757c0" w:hAnsi="AdvOT1ef757c0" w:cs="AdvOT1ef757c0"/>
          <w:color w:val="000000"/>
          <w:sz w:val="19"/>
          <w:szCs w:val="19"/>
        </w:rPr>
        <w:t>, K. (</w:t>
      </w:r>
      <w:r>
        <w:rPr>
          <w:rFonts w:ascii="AdvOT1ef757c0" w:hAnsi="AdvOT1ef757c0" w:cs="AdvOT1ef757c0"/>
          <w:color w:val="000085"/>
          <w:sz w:val="19"/>
          <w:szCs w:val="19"/>
        </w:rPr>
        <w:t>2001</w:t>
      </w:r>
      <w:r>
        <w:rPr>
          <w:rFonts w:ascii="AdvOT1ef757c0" w:hAnsi="AdvOT1ef757c0" w:cs="AdvOT1ef757c0"/>
          <w:color w:val="000000"/>
          <w:sz w:val="19"/>
          <w:szCs w:val="19"/>
        </w:rPr>
        <w:t>). Obstacles to the professionalisation of residential child care work.</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Irish Journal of Applied Social Studies</w:t>
      </w:r>
      <w:r>
        <w:rPr>
          <w:rFonts w:ascii="AdvOT1ef757c0" w:hAnsi="AdvOT1ef757c0" w:cs="AdvOT1ef757c0"/>
          <w:color w:val="000000"/>
          <w:sz w:val="19"/>
          <w:szCs w:val="19"/>
        </w:rPr>
        <w:t xml:space="preserve">, </w:t>
      </w:r>
      <w:r>
        <w:rPr>
          <w:rFonts w:ascii="AdvOT7d6df7ab.I" w:hAnsi="AdvOT7d6df7ab.I" w:cs="AdvOT7d6df7ab.I"/>
          <w:color w:val="000000"/>
          <w:sz w:val="19"/>
          <w:szCs w:val="19"/>
        </w:rPr>
        <w:t>2</w:t>
      </w:r>
      <w:r>
        <w:rPr>
          <w:rFonts w:ascii="AdvOT1ef757c0" w:hAnsi="AdvOT1ef757c0" w:cs="AdvOT1ef757c0"/>
          <w:color w:val="000000"/>
          <w:sz w:val="19"/>
          <w:szCs w:val="19"/>
        </w:rPr>
        <w:t>(3), 73</w:t>
      </w:r>
      <w:r>
        <w:rPr>
          <w:rFonts w:ascii="AdvOT1ef757c0+20" w:hAnsi="AdvOT1ef757c0+20" w:cs="AdvOT1ef757c0+20"/>
          <w:color w:val="000000"/>
          <w:sz w:val="19"/>
          <w:szCs w:val="19"/>
        </w:rPr>
        <w:t>–</w:t>
      </w:r>
      <w:r>
        <w:rPr>
          <w:rFonts w:ascii="AdvOT1ef757c0" w:hAnsi="AdvOT1ef757c0" w:cs="AdvOT1ef757c0"/>
          <w:color w:val="000000"/>
          <w:sz w:val="19"/>
          <w:szCs w:val="19"/>
        </w:rPr>
        <w:t>90.</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bookmarkStart w:id="0" w:name="_GoBack"/>
      <w:bookmarkEnd w:id="0"/>
    </w:p>
    <w:p w:rsidR="00736380" w:rsidRDefault="00736380" w:rsidP="00736380">
      <w:pPr>
        <w:autoSpaceDE w:val="0"/>
        <w:autoSpaceDN w:val="0"/>
        <w:adjustRightInd w:val="0"/>
        <w:spacing w:after="0" w:line="240" w:lineRule="auto"/>
        <w:rPr>
          <w:rFonts w:ascii="AdvOT7d6df7ab.I" w:hAnsi="AdvOT7d6df7ab.I" w:cs="AdvOT7d6df7ab.I"/>
          <w:color w:val="000000"/>
          <w:sz w:val="19"/>
          <w:szCs w:val="19"/>
        </w:rPr>
      </w:pPr>
      <w:r>
        <w:rPr>
          <w:rFonts w:ascii="AdvOT1ef757c0" w:hAnsi="AdvOT1ef757c0" w:cs="AdvOT1ef757c0"/>
          <w:color w:val="000000"/>
          <w:sz w:val="19"/>
          <w:szCs w:val="19"/>
        </w:rPr>
        <w:t>Williams, G. (</w:t>
      </w:r>
      <w:r>
        <w:rPr>
          <w:rFonts w:ascii="AdvOT1ef757c0" w:hAnsi="AdvOT1ef757c0" w:cs="AdvOT1ef757c0"/>
          <w:color w:val="000085"/>
          <w:sz w:val="19"/>
          <w:szCs w:val="19"/>
        </w:rPr>
        <w:t>2000</w:t>
      </w:r>
      <w:r>
        <w:rPr>
          <w:rFonts w:ascii="AdvOT1ef757c0" w:hAnsi="AdvOT1ef757c0" w:cs="AdvOT1ef757c0"/>
          <w:color w:val="000000"/>
          <w:sz w:val="19"/>
          <w:szCs w:val="19"/>
        </w:rPr>
        <w:t>). Research agenda and social care in Wales</w:t>
      </w:r>
      <w:r>
        <w:rPr>
          <w:rFonts w:ascii="AdvOT7d6df7ab.I" w:hAnsi="AdvOT7d6df7ab.I" w:cs="AdvOT7d6df7ab.I"/>
          <w:color w:val="000000"/>
          <w:sz w:val="19"/>
          <w:szCs w:val="19"/>
        </w:rPr>
        <w:t>. Paper delivered at What Works as</w:t>
      </w:r>
    </w:p>
    <w:p w:rsidR="00736380" w:rsidRDefault="00736380" w:rsidP="00736380">
      <w:pPr>
        <w:autoSpaceDE w:val="0"/>
        <w:autoSpaceDN w:val="0"/>
        <w:adjustRightInd w:val="0"/>
        <w:spacing w:after="0" w:line="240" w:lineRule="auto"/>
        <w:rPr>
          <w:rFonts w:ascii="AdvOT1ef757c0" w:hAnsi="AdvOT1ef757c0" w:cs="AdvOT1ef757c0"/>
          <w:color w:val="000000"/>
          <w:sz w:val="19"/>
          <w:szCs w:val="19"/>
        </w:rPr>
      </w:pPr>
      <w:r>
        <w:rPr>
          <w:rFonts w:ascii="AdvOT7d6df7ab.I" w:hAnsi="AdvOT7d6df7ab.I" w:cs="AdvOT7d6df7ab.I"/>
          <w:color w:val="000000"/>
          <w:sz w:val="19"/>
          <w:szCs w:val="19"/>
        </w:rPr>
        <w:t>Evidence for Practice? The Methodological Repertoire in an Applied Discipline Seminar</w:t>
      </w:r>
      <w:r>
        <w:rPr>
          <w:rFonts w:ascii="AdvOT1ef757c0" w:hAnsi="AdvOT1ef757c0" w:cs="AdvOT1ef757c0"/>
          <w:color w:val="000000"/>
          <w:sz w:val="19"/>
          <w:szCs w:val="19"/>
        </w:rPr>
        <w:t>. 27 April</w:t>
      </w:r>
    </w:p>
    <w:p w:rsidR="00CE2829" w:rsidRPr="00CE2829" w:rsidRDefault="00736380" w:rsidP="00736380">
      <w:pPr>
        <w:autoSpaceDE w:val="0"/>
        <w:autoSpaceDN w:val="0"/>
        <w:adjustRightInd w:val="0"/>
        <w:spacing w:after="0" w:line="240" w:lineRule="auto"/>
        <w:jc w:val="both"/>
        <w:rPr>
          <w:rFonts w:ascii="AdvOT1ef757c0" w:hAnsi="AdvOT1ef757c0" w:cs="AdvOT1ef757c0"/>
          <w:b/>
          <w:color w:val="000000"/>
          <w:sz w:val="21"/>
          <w:szCs w:val="21"/>
        </w:rPr>
      </w:pPr>
      <w:r>
        <w:rPr>
          <w:rFonts w:ascii="AdvOT1ef757c0" w:hAnsi="AdvOT1ef757c0" w:cs="AdvOT1ef757c0"/>
          <w:color w:val="000000"/>
          <w:sz w:val="19"/>
          <w:szCs w:val="19"/>
        </w:rPr>
        <w:t>2000, Cardi</w:t>
      </w:r>
      <w:r>
        <w:rPr>
          <w:rFonts w:ascii="AdvOT1ef757c0+fb" w:hAnsi="AdvOT1ef757c0+fb" w:cs="AdvOT1ef757c0+fb"/>
          <w:color w:val="000000"/>
          <w:sz w:val="19"/>
          <w:szCs w:val="19"/>
        </w:rPr>
        <w:t>ff</w:t>
      </w:r>
      <w:r>
        <w:rPr>
          <w:rFonts w:ascii="AdvOT1ef757c0" w:hAnsi="AdvOT1ef757c0" w:cs="AdvOT1ef757c0"/>
          <w:color w:val="000000"/>
          <w:sz w:val="19"/>
          <w:szCs w:val="19"/>
        </w:rPr>
        <w:t>.</w:t>
      </w:r>
    </w:p>
    <w:sectPr w:rsidR="00CE2829" w:rsidRPr="00CE28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ans-Semibold">
    <w:altName w:val="Calibri"/>
    <w:panose1 w:val="00000000000000000000"/>
    <w:charset w:val="00"/>
    <w:family w:val="auto"/>
    <w:notTrueType/>
    <w:pitch w:val="default"/>
    <w:sig w:usb0="00000003" w:usb1="00000000" w:usb2="00000000" w:usb3="00000000" w:csb0="00000001" w:csb1="00000000"/>
  </w:font>
  <w:font w:name="AdvOT3b30f6db.B">
    <w:altName w:val="Calibri"/>
    <w:panose1 w:val="00000000000000000000"/>
    <w:charset w:val="00"/>
    <w:family w:val="swiss"/>
    <w:notTrueType/>
    <w:pitch w:val="default"/>
    <w:sig w:usb0="00000003" w:usb1="00000000" w:usb2="00000000" w:usb3="00000000" w:csb0="00000001" w:csb1="00000000"/>
  </w:font>
  <w:font w:name="AdvOT1ef757c0">
    <w:altName w:val="Cambria"/>
    <w:panose1 w:val="00000000000000000000"/>
    <w:charset w:val="00"/>
    <w:family w:val="roman"/>
    <w:notTrueType/>
    <w:pitch w:val="default"/>
    <w:sig w:usb0="00000003" w:usb1="00000000" w:usb2="00000000" w:usb3="00000000" w:csb0="00000001" w:csb1="00000000"/>
  </w:font>
  <w:font w:name="AdvOT1ef757c0+fb">
    <w:altName w:val="Calibri"/>
    <w:panose1 w:val="00000000000000000000"/>
    <w:charset w:val="00"/>
    <w:family w:val="auto"/>
    <w:notTrueType/>
    <w:pitch w:val="default"/>
    <w:sig w:usb0="00000003" w:usb1="00000000" w:usb2="00000000" w:usb3="00000000" w:csb0="00000001" w:csb1="00000000"/>
  </w:font>
  <w:font w:name="AdvOT1ef757c0+20">
    <w:altName w:val="Calibri"/>
    <w:panose1 w:val="00000000000000000000"/>
    <w:charset w:val="00"/>
    <w:family w:val="swiss"/>
    <w:notTrueType/>
    <w:pitch w:val="default"/>
    <w:sig w:usb0="00000003" w:usb1="00000000" w:usb2="00000000" w:usb3="00000000" w:csb0="00000001" w:csb1="00000000"/>
  </w:font>
  <w:font w:name="AdvOTd0125be5.BI">
    <w:altName w:val="Calibri"/>
    <w:panose1 w:val="00000000000000000000"/>
    <w:charset w:val="00"/>
    <w:family w:val="swiss"/>
    <w:notTrueType/>
    <w:pitch w:val="default"/>
    <w:sig w:usb0="00000003" w:usb1="00000000" w:usb2="00000000" w:usb3="00000000" w:csb0="00000001" w:csb1="00000000"/>
  </w:font>
  <w:font w:name="AdvOT7d6df7ab.I">
    <w:altName w:val="Calibri"/>
    <w:panose1 w:val="00000000000000000000"/>
    <w:charset w:val="00"/>
    <w:family w:val="swiss"/>
    <w:notTrueType/>
    <w:pitch w:val="default"/>
    <w:sig w:usb0="00000003" w:usb1="00000000" w:usb2="00000000" w:usb3="00000000" w:csb0="00000001" w:csb1="00000000"/>
  </w:font>
  <w:font w:name="AdvOTd0125be5.BI+fb">
    <w:altName w:val="Calibri"/>
    <w:panose1 w:val="00000000000000000000"/>
    <w:charset w:val="00"/>
    <w:family w:val="auto"/>
    <w:notTrueType/>
    <w:pitch w:val="default"/>
    <w:sig w:usb0="00000003" w:usb1="00000000" w:usb2="00000000" w:usb3="00000000" w:csb0="00000001" w:csb1="00000000"/>
  </w:font>
  <w:font w:name="AdvOTd0125be5.BI+20">
    <w:altName w:val="Calibri"/>
    <w:panose1 w:val="00000000000000000000"/>
    <w:charset w:val="00"/>
    <w:family w:val="swiss"/>
    <w:notTrueType/>
    <w:pitch w:val="default"/>
    <w:sig w:usb0="00000003" w:usb1="00000000" w:usb2="00000000" w:usb3="00000000" w:csb0="00000001" w:csb1="00000000"/>
  </w:font>
  <w:font w:name="AdvOT46dcae81">
    <w:altName w:val="Calibri"/>
    <w:panose1 w:val="00000000000000000000"/>
    <w:charset w:val="00"/>
    <w:family w:val="swiss"/>
    <w:notTrueType/>
    <w:pitch w:val="default"/>
    <w:sig w:usb0="00000003" w:usb1="00000000" w:usb2="00000000" w:usb3="00000000" w:csb0="00000001" w:csb1="00000000"/>
  </w:font>
  <w:font w:name="AdvOT7d6df7ab.I+20">
    <w:altName w:val="Calibri"/>
    <w:panose1 w:val="00000000000000000000"/>
    <w:charset w:val="00"/>
    <w:family w:val="swiss"/>
    <w:notTrueType/>
    <w:pitch w:val="default"/>
    <w:sig w:usb0="00000003" w:usb1="00000000" w:usb2="00000000" w:usb3="00000000" w:csb0="00000001" w:csb1="00000000"/>
  </w:font>
  <w:font w:name="AdvOT7d6df7ab.I+fb">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79E"/>
    <w:rsid w:val="000063DD"/>
    <w:rsid w:val="0001295D"/>
    <w:rsid w:val="00016707"/>
    <w:rsid w:val="00083C4D"/>
    <w:rsid w:val="0012211F"/>
    <w:rsid w:val="001722E5"/>
    <w:rsid w:val="00183E0D"/>
    <w:rsid w:val="0020382E"/>
    <w:rsid w:val="002537DB"/>
    <w:rsid w:val="002747C9"/>
    <w:rsid w:val="002776A0"/>
    <w:rsid w:val="0034079E"/>
    <w:rsid w:val="003647E0"/>
    <w:rsid w:val="00486261"/>
    <w:rsid w:val="004912F4"/>
    <w:rsid w:val="00503D81"/>
    <w:rsid w:val="005C657B"/>
    <w:rsid w:val="00603CD2"/>
    <w:rsid w:val="006548E2"/>
    <w:rsid w:val="006D3540"/>
    <w:rsid w:val="00700074"/>
    <w:rsid w:val="00721EDC"/>
    <w:rsid w:val="00736380"/>
    <w:rsid w:val="0079207A"/>
    <w:rsid w:val="00852996"/>
    <w:rsid w:val="00892EF0"/>
    <w:rsid w:val="008D516E"/>
    <w:rsid w:val="008F7FD9"/>
    <w:rsid w:val="00974872"/>
    <w:rsid w:val="009D5847"/>
    <w:rsid w:val="00AB19F3"/>
    <w:rsid w:val="00AF4A38"/>
    <w:rsid w:val="00BD533B"/>
    <w:rsid w:val="00C56A08"/>
    <w:rsid w:val="00CE0CAF"/>
    <w:rsid w:val="00CE2829"/>
    <w:rsid w:val="00D85335"/>
    <w:rsid w:val="00EC3FA1"/>
    <w:rsid w:val="00F319C7"/>
    <w:rsid w:val="00F624FF"/>
    <w:rsid w:val="00F670D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D7769"/>
  <w15:chartTrackingRefBased/>
  <w15:docId w15:val="{4AA4F368-F028-4B07-AC4F-10A49D4B5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2829"/>
    <w:rPr>
      <w:color w:val="0563C1" w:themeColor="hyperlink"/>
      <w:u w:val="single"/>
    </w:rPr>
  </w:style>
  <w:style w:type="character" w:styleId="UnresolvedMention">
    <w:name w:val="Unresolved Mention"/>
    <w:basedOn w:val="DefaultParagraphFont"/>
    <w:uiPriority w:val="99"/>
    <w:semiHidden/>
    <w:unhideWhenUsed/>
    <w:rsid w:val="00CE2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iqa.ie/sites/default/files/2017-01/Child-Protection-Welfare-Standards_2.pdf" TargetMode="External"/><Relationship Id="rId5" Type="http://schemas.openxmlformats.org/officeDocument/2006/relationships/hyperlink" Target="https://doaj.org/article/6805cf34b9bc4e33a1994b3bbb766708" TargetMode="External"/><Relationship Id="rId4" Type="http://schemas.openxmlformats.org/officeDocument/2006/relationships/hyperlink" Target="http://orcid.org/0000-0002-2807-08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15</Pages>
  <Words>9476</Words>
  <Characters>54019</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8</cp:revision>
  <dcterms:created xsi:type="dcterms:W3CDTF">2019-12-10T17:37:00Z</dcterms:created>
  <dcterms:modified xsi:type="dcterms:W3CDTF">2019-12-10T17:48:00Z</dcterms:modified>
</cp:coreProperties>
</file>