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163" w:rsidRPr="00243CFD" w:rsidRDefault="00364163" w:rsidP="00364163">
      <w:pPr>
        <w:spacing w:line="360" w:lineRule="auto"/>
        <w:jc w:val="center"/>
        <w:rPr>
          <w:b/>
        </w:rPr>
      </w:pPr>
      <w:r>
        <w:rPr>
          <w:b/>
        </w:rPr>
        <w:t>R</w:t>
      </w:r>
      <w:r w:rsidRPr="00243CFD">
        <w:rPr>
          <w:b/>
        </w:rPr>
        <w:t xml:space="preserve">ivastigmine </w:t>
      </w:r>
      <w:r>
        <w:rPr>
          <w:b/>
        </w:rPr>
        <w:t>h</w:t>
      </w:r>
      <w:r w:rsidRPr="00243CFD">
        <w:rPr>
          <w:b/>
        </w:rPr>
        <w:t xml:space="preserve">ydrogen tartrate </w:t>
      </w:r>
      <w:r>
        <w:rPr>
          <w:b/>
        </w:rPr>
        <w:t>p</w:t>
      </w:r>
      <w:r w:rsidRPr="00243CFD">
        <w:rPr>
          <w:b/>
        </w:rPr>
        <w:t>olymorp</w:t>
      </w:r>
      <w:r>
        <w:rPr>
          <w:b/>
        </w:rPr>
        <w:t>hs: solid-state characterisation of</w:t>
      </w:r>
      <w:r w:rsidRPr="00243CFD">
        <w:rPr>
          <w:b/>
        </w:rPr>
        <w:t xml:space="preserve"> transition</w:t>
      </w:r>
      <w:r>
        <w:rPr>
          <w:b/>
        </w:rPr>
        <w:t xml:space="preserve"> and polymorphic conversion via milling</w:t>
      </w:r>
    </w:p>
    <w:p w:rsidR="00364163" w:rsidRPr="00CE5DC9" w:rsidRDefault="00364163" w:rsidP="00364163">
      <w:pPr>
        <w:spacing w:line="360" w:lineRule="auto"/>
        <w:jc w:val="both"/>
        <w:rPr>
          <w:lang w:val="pt-PT"/>
        </w:rPr>
      </w:pPr>
      <w:r w:rsidRPr="00CE5DC9">
        <w:rPr>
          <w:lang w:val="pt-PT"/>
        </w:rPr>
        <w:t>Maria Inês Amaro</w:t>
      </w:r>
      <w:r w:rsidRPr="00CE5DC9">
        <w:rPr>
          <w:vertAlign w:val="superscript"/>
          <w:lang w:val="pt-PT"/>
        </w:rPr>
        <w:t>1</w:t>
      </w:r>
      <w:r w:rsidRPr="00CE5DC9">
        <w:rPr>
          <w:lang w:val="pt-PT"/>
        </w:rPr>
        <w:t>; Alice Simon</w:t>
      </w:r>
      <w:r w:rsidRPr="00CE5DC9">
        <w:rPr>
          <w:vertAlign w:val="superscript"/>
          <w:lang w:val="pt-PT"/>
        </w:rPr>
        <w:t>1,2</w:t>
      </w:r>
      <w:r w:rsidRPr="00CE5DC9">
        <w:rPr>
          <w:lang w:val="pt-PT"/>
        </w:rPr>
        <w:t>; Lúcio Mendes Cabral</w:t>
      </w:r>
      <w:r w:rsidRPr="00CE5DC9">
        <w:rPr>
          <w:vertAlign w:val="superscript"/>
          <w:lang w:val="pt-PT"/>
        </w:rPr>
        <w:t>2</w:t>
      </w:r>
      <w:r w:rsidRPr="00CE5DC9">
        <w:rPr>
          <w:lang w:val="pt-PT"/>
        </w:rPr>
        <w:t>;  Valéria Pereira de Sousa</w:t>
      </w:r>
      <w:r w:rsidRPr="00CE5DC9">
        <w:rPr>
          <w:vertAlign w:val="superscript"/>
          <w:lang w:val="pt-PT"/>
        </w:rPr>
        <w:t>2</w:t>
      </w:r>
      <w:r w:rsidRPr="00CE5DC9">
        <w:rPr>
          <w:lang w:val="pt-PT"/>
        </w:rPr>
        <w:t>; Anne Marie Healy</w:t>
      </w:r>
      <w:r w:rsidRPr="00CE5DC9">
        <w:rPr>
          <w:vertAlign w:val="superscript"/>
          <w:lang w:val="pt-PT"/>
        </w:rPr>
        <w:t>1</w:t>
      </w:r>
    </w:p>
    <w:p w:rsidR="00364163" w:rsidRPr="00243CFD" w:rsidRDefault="00364163" w:rsidP="00364163">
      <w:pPr>
        <w:spacing w:line="360" w:lineRule="auto"/>
        <w:jc w:val="both"/>
      </w:pPr>
      <w:r w:rsidRPr="00243CFD">
        <w:t>1 School of Pharmacy and Pharmaceutical Sciences, Trinity College Dublin, Dublin 2, Ireland.</w:t>
      </w:r>
    </w:p>
    <w:p w:rsidR="00364163" w:rsidRPr="00CE5DC9" w:rsidRDefault="00364163" w:rsidP="00364163">
      <w:pPr>
        <w:spacing w:line="360" w:lineRule="auto"/>
        <w:jc w:val="both"/>
        <w:rPr>
          <w:lang w:val="pt-PT"/>
        </w:rPr>
      </w:pPr>
      <w:r w:rsidRPr="00CE5DC9">
        <w:rPr>
          <w:lang w:val="pt-PT"/>
        </w:rPr>
        <w:t>2 Faculdade de Farmácia, Universidade Federal do Rio de Janeiro, Rio de Janeiro, Brazil.</w:t>
      </w: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CE5DC9" w:rsidRDefault="00364163" w:rsidP="00364163">
      <w:pPr>
        <w:spacing w:line="360" w:lineRule="auto"/>
        <w:jc w:val="both"/>
        <w:rPr>
          <w:lang w:val="pt-PT"/>
        </w:rPr>
      </w:pPr>
    </w:p>
    <w:p w:rsidR="00364163" w:rsidRPr="00243CFD" w:rsidRDefault="00364163" w:rsidP="00364163">
      <w:pPr>
        <w:spacing w:line="360" w:lineRule="auto"/>
        <w:jc w:val="both"/>
        <w:rPr>
          <w:b/>
        </w:rPr>
      </w:pPr>
      <w:r w:rsidRPr="00243CFD">
        <w:rPr>
          <w:b/>
        </w:rPr>
        <w:t>Corresponding author:</w:t>
      </w:r>
    </w:p>
    <w:p w:rsidR="00364163" w:rsidRPr="00243CFD" w:rsidRDefault="00364163" w:rsidP="00364163">
      <w:pPr>
        <w:spacing w:line="360" w:lineRule="auto"/>
        <w:jc w:val="both"/>
      </w:pPr>
      <w:r w:rsidRPr="00243CFD">
        <w:t>Maria Inês Amaro</w:t>
      </w:r>
    </w:p>
    <w:p w:rsidR="00364163" w:rsidRPr="00243CFD" w:rsidRDefault="00364163" w:rsidP="00364163">
      <w:pPr>
        <w:spacing w:line="360" w:lineRule="auto"/>
        <w:jc w:val="both"/>
      </w:pPr>
      <w:r w:rsidRPr="00243CFD">
        <w:t>School of Pharmacy and Pharmaceutical Sciences, Trinity College, University of Dublin, Dublin 2, Ireland</w:t>
      </w:r>
    </w:p>
    <w:p w:rsidR="00364163" w:rsidRPr="00243CFD" w:rsidRDefault="00364163" w:rsidP="00364163">
      <w:pPr>
        <w:spacing w:line="360" w:lineRule="auto"/>
        <w:jc w:val="both"/>
      </w:pPr>
      <w:r w:rsidRPr="00243CFD">
        <w:t>Phone: +353-1-896</w:t>
      </w:r>
      <w:r>
        <w:t>3317</w:t>
      </w:r>
    </w:p>
    <w:p w:rsidR="00364163" w:rsidRPr="00CE5DC9" w:rsidRDefault="00364163" w:rsidP="00364163">
      <w:pPr>
        <w:spacing w:line="360" w:lineRule="auto"/>
        <w:jc w:val="both"/>
        <w:rPr>
          <w:lang w:val="en-US"/>
        </w:rPr>
      </w:pPr>
      <w:r w:rsidRPr="00CE5DC9">
        <w:rPr>
          <w:lang w:val="en-US"/>
        </w:rPr>
        <w:t>Fax: +353-1-8962810</w:t>
      </w:r>
    </w:p>
    <w:p w:rsidR="00364163" w:rsidRPr="00CE5DC9" w:rsidRDefault="00412EE4" w:rsidP="00364163">
      <w:pPr>
        <w:spacing w:line="360" w:lineRule="auto"/>
        <w:jc w:val="both"/>
        <w:rPr>
          <w:rStyle w:val="Hyperlink"/>
          <w:lang w:val="en-US"/>
        </w:rPr>
      </w:pPr>
      <w:r w:rsidRPr="00CE5DC9">
        <w:rPr>
          <w:lang w:val="en-US"/>
        </w:rPr>
        <w:t>E-mail</w:t>
      </w:r>
      <w:r w:rsidR="00364163" w:rsidRPr="00CE5DC9">
        <w:rPr>
          <w:lang w:val="en-US"/>
        </w:rPr>
        <w:t>: amarom@tcd.ie</w:t>
      </w:r>
    </w:p>
    <w:p w:rsidR="00364163" w:rsidRDefault="00364163" w:rsidP="00364163"/>
    <w:p w:rsidR="00364163" w:rsidRDefault="00364163" w:rsidP="005561EB">
      <w:pPr>
        <w:spacing w:line="360" w:lineRule="auto"/>
        <w:jc w:val="both"/>
        <w:rPr>
          <w:b/>
        </w:rPr>
      </w:pPr>
    </w:p>
    <w:p w:rsidR="00364163" w:rsidRPr="00CE5DC9" w:rsidRDefault="00364163" w:rsidP="00364163">
      <w:pPr>
        <w:spacing w:line="360" w:lineRule="auto"/>
        <w:jc w:val="both"/>
        <w:rPr>
          <w:b/>
          <w:lang w:val="en-US"/>
        </w:rPr>
      </w:pPr>
      <w:r w:rsidRPr="00CE5DC9">
        <w:rPr>
          <w:b/>
          <w:lang w:val="en-US"/>
        </w:rPr>
        <w:t>ABSTRACT</w:t>
      </w:r>
    </w:p>
    <w:p w:rsidR="00364163" w:rsidRDefault="000F0FF1" w:rsidP="00364163">
      <w:pPr>
        <w:spacing w:line="360" w:lineRule="auto"/>
        <w:jc w:val="both"/>
      </w:pPr>
      <w:proofErr w:type="spellStart"/>
      <w:r>
        <w:lastRenderedPageBreak/>
        <w:t>Rivastigmine</w:t>
      </w:r>
      <w:proofErr w:type="spellEnd"/>
      <w:r>
        <w:t xml:space="preserve"> (RHT) is an </w:t>
      </w:r>
      <w:r w:rsidR="00FB045D">
        <w:t xml:space="preserve">active pharmaceutical ingredient that is </w:t>
      </w:r>
      <w:r>
        <w:t xml:space="preserve">used for the treatment of mild to moderately severe dementia in Alzheimer’s disease, and is known to present two polymorphic forms and to </w:t>
      </w:r>
      <w:proofErr w:type="spellStart"/>
      <w:r>
        <w:t>amorphise</w:t>
      </w:r>
      <w:proofErr w:type="spellEnd"/>
      <w:r>
        <w:t xml:space="preserve"> upon granulation. To date there is no information in the scientific or patent literature on polymorphic transition and stability. Hence, the aim of the current study was to gain a fundamental understanding of the polymorphic forms by (1) evaluating RHT thermodynamic stability (monotropy or enantiotropy) and (2) </w:t>
      </w:r>
      <w:r w:rsidR="00FB045D">
        <w:t xml:space="preserve">investigating </w:t>
      </w:r>
      <w:r>
        <w:t>the potential for polymorphic transformation upon milling. The two polymorphic and amorphous forms were characterised using X-ray powder diffractometry, thermal analyses, infra-red spectroscopy and water sorption analysis. The polymorphic transition was found to be spontaneous (ΔG</w:t>
      </w:r>
      <w:r>
        <w:rPr>
          <w:vertAlign w:val="subscript"/>
        </w:rPr>
        <w:t>0</w:t>
      </w:r>
      <w:r>
        <w:t>&lt;0) and exothermic (ΔH</w:t>
      </w:r>
      <w:r>
        <w:rPr>
          <w:vertAlign w:val="subscript"/>
        </w:rPr>
        <w:t>0</w:t>
      </w:r>
      <w:r>
        <w:t>&lt;0), indicative of a monotropic polymorph pair. The kinetic studies showed a fast initial polymorphic transition characterised by a heterogeneous nucleation, followed by a slow crystal growth. Ball milling can be used to promote the polymorphic transition and for the production of RHT amorphous form.</w:t>
      </w:r>
    </w:p>
    <w:p w:rsidR="00364163" w:rsidRDefault="00364163" w:rsidP="00364163">
      <w:pPr>
        <w:spacing w:line="360" w:lineRule="auto"/>
        <w:jc w:val="both"/>
      </w:pPr>
      <w:r w:rsidRPr="00C90A06">
        <w:rPr>
          <w:b/>
        </w:rPr>
        <w:t>Keywords:</w:t>
      </w:r>
      <w:r>
        <w:rPr>
          <w:b/>
        </w:rPr>
        <w:t xml:space="preserve"> </w:t>
      </w:r>
      <w:r w:rsidRPr="00C90A06">
        <w:t>Rivastigmine hydrogen tartrate; polymorphism; monotropy; enantiotropy</w:t>
      </w: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364163" w:rsidRDefault="00364163" w:rsidP="005561EB">
      <w:pPr>
        <w:spacing w:line="360" w:lineRule="auto"/>
        <w:jc w:val="both"/>
        <w:rPr>
          <w:b/>
        </w:rPr>
      </w:pPr>
    </w:p>
    <w:p w:rsidR="00FB045D" w:rsidRDefault="00FB045D" w:rsidP="005561EB">
      <w:pPr>
        <w:spacing w:line="360" w:lineRule="auto"/>
        <w:jc w:val="both"/>
        <w:rPr>
          <w:b/>
        </w:rPr>
      </w:pPr>
    </w:p>
    <w:p w:rsidR="00FB045D" w:rsidRDefault="00FB045D" w:rsidP="005561EB">
      <w:pPr>
        <w:spacing w:line="360" w:lineRule="auto"/>
        <w:jc w:val="both"/>
        <w:rPr>
          <w:b/>
        </w:rPr>
      </w:pPr>
    </w:p>
    <w:p w:rsidR="003F6316" w:rsidRDefault="003F6316" w:rsidP="005561EB">
      <w:pPr>
        <w:spacing w:line="360" w:lineRule="auto"/>
        <w:jc w:val="both"/>
        <w:rPr>
          <w:b/>
        </w:rPr>
      </w:pPr>
    </w:p>
    <w:p w:rsidR="003F6316" w:rsidRDefault="003F6316" w:rsidP="005561EB">
      <w:pPr>
        <w:spacing w:line="360" w:lineRule="auto"/>
        <w:jc w:val="both"/>
        <w:rPr>
          <w:b/>
        </w:rPr>
      </w:pPr>
    </w:p>
    <w:p w:rsidR="0050186C" w:rsidRDefault="0050186C" w:rsidP="005561EB">
      <w:pPr>
        <w:spacing w:line="360" w:lineRule="auto"/>
        <w:jc w:val="both"/>
        <w:rPr>
          <w:b/>
        </w:rPr>
      </w:pPr>
      <w:bookmarkStart w:id="0" w:name="_GoBack"/>
      <w:bookmarkEnd w:id="0"/>
    </w:p>
    <w:p w:rsidR="00364163" w:rsidRDefault="00364163" w:rsidP="005561EB">
      <w:pPr>
        <w:spacing w:line="360" w:lineRule="auto"/>
        <w:jc w:val="both"/>
        <w:rPr>
          <w:b/>
        </w:rPr>
      </w:pPr>
    </w:p>
    <w:p w:rsidR="001638DA" w:rsidRPr="003F6316" w:rsidRDefault="001638DA" w:rsidP="005561EB">
      <w:pPr>
        <w:pStyle w:val="ListParagraph"/>
        <w:numPr>
          <w:ilvl w:val="0"/>
          <w:numId w:val="1"/>
        </w:numPr>
        <w:spacing w:line="360" w:lineRule="auto"/>
        <w:jc w:val="both"/>
        <w:rPr>
          <w:b/>
        </w:rPr>
      </w:pPr>
      <w:r w:rsidRPr="003F6316">
        <w:rPr>
          <w:b/>
        </w:rPr>
        <w:lastRenderedPageBreak/>
        <w:t>INTRODUCTION</w:t>
      </w:r>
    </w:p>
    <w:p w:rsidR="005E2AB9" w:rsidRPr="003F6316" w:rsidRDefault="00A8211E" w:rsidP="00243CFD">
      <w:pPr>
        <w:spacing w:line="360" w:lineRule="auto"/>
        <w:jc w:val="both"/>
      </w:pPr>
      <w:r w:rsidRPr="003F6316">
        <w:t>Rivastigmine is</w:t>
      </w:r>
      <w:r w:rsidR="0065362F" w:rsidRPr="003F6316">
        <w:t xml:space="preserve"> currently</w:t>
      </w:r>
      <w:r w:rsidRPr="003F6316">
        <w:t xml:space="preserve"> a commonly used </w:t>
      </w:r>
      <w:r w:rsidR="00C90A06" w:rsidRPr="003F6316">
        <w:t xml:space="preserve">active pharmaceutical ingredient (API) </w:t>
      </w:r>
      <w:r w:rsidRPr="003F6316">
        <w:t>for the symptomatic treatment of mild to moderately severe de</w:t>
      </w:r>
      <w:r w:rsidR="00507132" w:rsidRPr="003F6316">
        <w:t>mentia in Alzheimer’s disease</w:t>
      </w:r>
      <w:r w:rsidRPr="003F6316">
        <w:t xml:space="preserve">. It has been </w:t>
      </w:r>
      <w:r w:rsidR="00095F91" w:rsidRPr="003F6316">
        <w:t xml:space="preserve">commercialised </w:t>
      </w:r>
      <w:r w:rsidRPr="003F6316">
        <w:t>as capsules</w:t>
      </w:r>
      <w:r w:rsidR="00A202C3" w:rsidRPr="003F6316">
        <w:t xml:space="preserve">, </w:t>
      </w:r>
      <w:r w:rsidR="00FB045D" w:rsidRPr="003F6316">
        <w:t xml:space="preserve">an </w:t>
      </w:r>
      <w:r w:rsidR="00A202C3" w:rsidRPr="003F6316">
        <w:t>oral solution</w:t>
      </w:r>
      <w:r w:rsidRPr="003F6316">
        <w:t xml:space="preserve"> and patches (Exelon</w:t>
      </w:r>
      <w:r w:rsidR="00810F52" w:rsidRPr="003F6316">
        <w:t xml:space="preserve">®, Exelon® Oral solution </w:t>
      </w:r>
      <w:r w:rsidR="00507132" w:rsidRPr="003F6316">
        <w:t>and Exelon®Patch</w:t>
      </w:r>
      <w:r w:rsidRPr="003F6316">
        <w:t xml:space="preserve"> by Novartis</w:t>
      </w:r>
      <w:r w:rsidR="0065362F" w:rsidRPr="003F6316">
        <w:t>)</w:t>
      </w:r>
      <w:r w:rsidR="004D5AA6" w:rsidRPr="003F6316">
        <w:t xml:space="preserve"> </w:t>
      </w:r>
      <w:r w:rsidR="00C568B1" w:rsidRPr="003F6316">
        <w:t>since 2008</w:t>
      </w:r>
      <w:r w:rsidR="00095F91" w:rsidRPr="003F6316">
        <w:t>. Some</w:t>
      </w:r>
      <w:r w:rsidR="00C6344D" w:rsidRPr="003F6316">
        <w:t xml:space="preserve"> research</w:t>
      </w:r>
      <w:r w:rsidR="00095F91" w:rsidRPr="003F6316">
        <w:t xml:space="preserve"> ha</w:t>
      </w:r>
      <w:r w:rsidR="00AA3A31" w:rsidRPr="003F6316">
        <w:t>s</w:t>
      </w:r>
      <w:r w:rsidR="00095F91" w:rsidRPr="003F6316">
        <w:t xml:space="preserve"> been undertaken</w:t>
      </w:r>
      <w:r w:rsidR="004D5AA6" w:rsidRPr="003F6316">
        <w:t xml:space="preserve"> on </w:t>
      </w:r>
      <w:r w:rsidRPr="003F6316">
        <w:t xml:space="preserve">other forms of </w:t>
      </w:r>
      <w:r w:rsidR="004D5AA6" w:rsidRPr="003F6316">
        <w:t xml:space="preserve">drug </w:t>
      </w:r>
      <w:r w:rsidRPr="003F6316">
        <w:t>delivery</w:t>
      </w:r>
      <w:r w:rsidR="00507132" w:rsidRPr="003F6316">
        <w:t xml:space="preserve">: controlled release tablets </w:t>
      </w:r>
      <w:r w:rsidR="002333DA" w:rsidRPr="003F6316">
        <w:fldChar w:fldCharType="begin" w:fldLock="1"/>
      </w:r>
      <w:r w:rsidR="00364163" w:rsidRPr="003F6316">
        <w:instrText>ADDIN CSL_CITATION { "citationItems" : [ { "id" : "ITEM-1", "itemData" : { "author" : [ { "dropping-particle" : "", "family" : "Ogorka", "given" : "J", "non-dropping-particle" : "", "parse-names" : false, "suffix" : "" }, { "dropping-particle" : "", "family" : "Kalb", "given" : "O", "non-dropping-particle" : "", "parse-names" : false, "suffix" : "" } ], "container-title" : "EP Patent 1,121,104", "id" : "ITEM-1", "issued" : { "date-parts" : [ [ "2005" ] ] }, "title" : "New controlled release oral formulations for rivastigmine", "type" : "patent" }, "uris" : [ "http://www.mendeley.com/documents/?uuid=6113b5de-c273-4988-8306-cbd9e7108a97" ] } ], "mendeley" : { "previouslyFormattedCitation" : "&lt;sup&gt;[1]&lt;/sup&gt;" }, "properties" : { "noteIndex" : 0 }, "schema" : "https://github.com/citation-style-language/schema/raw/master/csl-citation.json" }</w:instrText>
      </w:r>
      <w:r w:rsidR="002333DA" w:rsidRPr="003F6316">
        <w:fldChar w:fldCharType="separate"/>
      </w:r>
      <w:r w:rsidR="00364163" w:rsidRPr="003F6316">
        <w:rPr>
          <w:noProof/>
          <w:vertAlign w:val="superscript"/>
        </w:rPr>
        <w:t>[1]</w:t>
      </w:r>
      <w:r w:rsidR="002333DA" w:rsidRPr="003F6316">
        <w:fldChar w:fldCharType="end"/>
      </w:r>
      <w:r w:rsidR="00507132" w:rsidRPr="003F6316">
        <w:t xml:space="preserve">; buccoadhesive films </w:t>
      </w:r>
      <w:r w:rsidR="002333DA" w:rsidRPr="003F6316">
        <w:fldChar w:fldCharType="begin" w:fldLock="1"/>
      </w:r>
      <w:r w:rsidR="00364163" w:rsidRPr="003F6316">
        <w:instrText>ADDIN CSL_CITATION { "citationItems" : [ { "id" : "ITEM-1", "itemData" : { "DOI" : "10.3109/03639045.2012.665926", "ISSN" : "1520-5762", "PMID" : "22409834", "abstract" : "CONTEXT: Rivastigmine, an anti-Alzheimer's drug, suffers from major predicaments like low oral bioavailability, severe GI adverse effects related to rapid fluctuations in drug plasma levels, and high frequency of dosing.\n\nOBJECTIVE: The present investigation aims at developing buccoadhesive films capable of delivering the drug in vivo in a sustained manner. Augmentation of drug bioavailability by the avoidance of first-pass effect through the buccal route and reduction in GI side effects would be other key advantages of this system.\n\nMETHODS: Buccoadhesive films of rivastigmine were systematically designed and evaluated for in vitro drug release, ex vivo buccal permeation and ex vivo buccoadhesive strength. Optimal composition of the polymer blends was rationally chosen using a central composite design and overlay plot. In vivo pharmacokinetic studies were carried out in rabbits, and attempts were made to establish in vitro/ in vivo correlations (IVIVC).\n\nRESULTS: Besides possessing the requisite drug release regulation, the optimized formulation exhibited excellent buccoadhesion, and buccal permeation. Pharmacokinetic studies indicated extension of plasma drug levels and level A of IVIVC was successfully established.\n\nDISCUSSION: Excellent buccal bioadhesion and transmucosal permeation, coupled with drug release control, ratify the potential of the optimized formulation to deliver the drug in a controlled and site-specific manner. Successful establishment of IVIVC substantiated the judicious choice of in vitro dissolution media for simulating the in vivo conditions.\n\nCONCLUSION: Besides unraveling the polymer synergism, the study helped in developing an optimal once-a-day buccoadhesive drug delivery system exhibiting excellent trans-buccal permeation and buccoadhesive characteristics with improved bioavailability potential.", "author" : [ { "dropping-particle" : "", "family" : "Kapil", "given" : "Rishi", "non-dropping-particle" : "", "parse-names" : false, "suffix" : "" }, { "dropping-particle" : "", "family" : "Dhawan", "given" : "Sanju", "non-dropping-particle" : "", "parse-names" : false, "suffix" : "" }, { "dropping-particle" : "", "family" : "Beg", "given" : "Sarwar", "non-dropping-particle" : "", "parse-names" : false, "suffix" : "" }, { "dropping-particle" : "", "family" : "Singh", "given" : "Bhupinder", "non-dropping-particle" : "", "parse-names" : false, "suffix" : "" } ], "container-title" : "Drug development and industrial pharmacy", "id" : "ITEM-1", "issue" : "3", "issued" : { "date-parts" : [ [ "2013", "3" ] ] }, "page" : "466-80", "title" : "Buccoadhesive films for once-a-day administration of rivastigmine: systematic formulation development and pharmacokinetic evaluation.", "type" : "article-journal", "volume" : "39" }, "uris" : [ "http://www.mendeley.com/documents/?uuid=8a9e4145-b478-4bf9-a507-d48f508b21a2" ] } ], "mendeley" : { "previouslyFormattedCitation" : "&lt;sup&gt;[2]&lt;/sup&gt;" }, "properties" : { "noteIndex" : 0 }, "schema" : "https://github.com/citation-style-language/schema/raw/master/csl-citation.json" }</w:instrText>
      </w:r>
      <w:r w:rsidR="002333DA" w:rsidRPr="003F6316">
        <w:fldChar w:fldCharType="separate"/>
      </w:r>
      <w:r w:rsidR="00364163" w:rsidRPr="003F6316">
        <w:rPr>
          <w:noProof/>
          <w:vertAlign w:val="superscript"/>
        </w:rPr>
        <w:t>[2]</w:t>
      </w:r>
      <w:r w:rsidR="002333DA" w:rsidRPr="003F6316">
        <w:fldChar w:fldCharType="end"/>
      </w:r>
      <w:r w:rsidR="00507132" w:rsidRPr="003F6316">
        <w:t>; liposomes for oral, intraperiton</w:t>
      </w:r>
      <w:r w:rsidR="00C568B1" w:rsidRPr="003F6316">
        <w:t>e</w:t>
      </w:r>
      <w:r w:rsidR="00507132" w:rsidRPr="003F6316">
        <w:t xml:space="preserve">al and intranasal </w:t>
      </w:r>
      <w:r w:rsidR="00095F91" w:rsidRPr="003F6316">
        <w:t xml:space="preserve">administration </w:t>
      </w:r>
      <w:r w:rsidR="002333DA" w:rsidRPr="003F6316">
        <w:fldChar w:fldCharType="begin" w:fldLock="1"/>
      </w:r>
      <w:r w:rsidR="00364163" w:rsidRPr="003F6316">
        <w:instrText>ADDIN CSL_CITATION { "citationItems" : [ { "id" : "ITEM-1", "itemData" : { "DOI" : "10.3109/03639045.2010.541262", "ISSN" : "1520-5762", "PMID" : "21231901", "abstract" : "The aim of this study was to determine the transportations of rivastigmine containing from various liposome formulations through Madin Darby Canine Kidney (MDCK) cells monolayer and to compare the in vitro test results with in vivo. There is no other liposome formulation of rivastigmine and the transportations of rivastigmine through MDCK cell monolayers or related study available in the literature. Cytotoxicity (MTT) test was used to determine cell viabilities. The effect of sodium-taurocholate or dimethyl-beta-cyclodextrine as penetration enhancer was also investigated. Characterization and stability studies for liposome formulations were performed. Permeation experiments of rivastigmine were performed through MDCK cells and dialysis membrane. The kinetic of release from liposomes was also investigated. The highest apparent permeability coefficient (log. values) was obtained with sodium-taurocholate liposomes for -1.15\u2009\u00b1\u20090.16 for MDCK cell. Rivastigmine liposomes and solutions were also administered to mice orally and intraperitonally. Acetylcholinesterase (AChE) activity was determined by Ellman method. AChE% inhibition values were calculated for both blood and brain after administration of rivastigmine solution and liposomes. The highest AChE inhibition was observed for rivastigmine-sodium-taurocholate liposomes. Histological observations of the mice' brains were performed under transmission electron microscope (TEM). The histological results were also indicated and supported all these findings.", "author" : [ { "dropping-particle" : "", "family" : "Mutlu", "given" : "N Ba\u015faran", "non-dropping-particle" : "", "parse-names" : false, "suffix" : "" }, { "dropping-particle" : "", "family" : "De\u011fim", "given" : "Zelihag\u00fcl", "non-dropping-particle" : "", "parse-names" : false, "suffix" : "" }, { "dropping-particle" : "", "family" : "Yilmaz", "given" : "\u015e\u00fckran", "non-dropping-particle" : "", "parse-names" : false, "suffix" : "" }, { "dropping-particle" : "", "family" : "E\u015fsiz", "given" : "Din\u00e7", "non-dropping-particle" : "", "parse-names" : false, "suffix" : "" }, { "dropping-particle" : "", "family" : "Nacar", "given" : "Ahmet", "non-dropping-particle" : "", "parse-names" : false, "suffix" : "" } ], "container-title" : "Drug development and industrial pharmacy", "id" : "ITEM-1", "issue" : "7", "issued" : { "date-parts" : [ [ "2011", "7" ] ] }, "page" : "775-89", "title" : "New perspective for the treatment of Alzheimer diseases: liposomal rivastigmine formulations.", "type" : "article-journal", "volume" : "37" }, "uris" : [ "http://www.mendeley.com/documents/?uuid=cb61e5f6-e406-4d5e-a994-33d59abf3f6e" ] }, { "id" : "ITEM-2", "itemData" : { "DOI" : "10.3109/10717544.2012.714813", "ISSN" : "1521-0464", "PMID" : "22931301", "abstract" : "A novel polysorbate-80 (PS(80))-attached amphiphilic copolymer comprising a hydrophilic \u03b1,\u03b2-poly(N-2-hydroxyethyl)-D,L-aspartamide (PHEA) backbone and hydrophobic squalenyl-C(17) (Sq(17)) portions was synthesized and characterized; the formation of polymeric micelles was also evaluated. Rivastigmine free-base (Riv), a hydrophobic drug employed to treat Alzheimer's disease, was chosen as model drug to investigate micelle's ability to incorporate hydrophobic molecules and target them to neuronal cells. Micelle formation was studied through analyses including fluorescence spectroscopy and 2D (1)H-NMR NOESY experiments. Finally, the capacity of Riv-loaded micelles, versus free drug, to penetrate mouse neuroblastoma cells (Neuro2a) was evaluated. 2D (1)H-NMR NOESY experiments demonstrated that the PHEA-EDA-Sq(17)-PS(80) copolymer self-assembles into micelle structures in water, with a micelle core formed by hydrophobic interaction between Sq(17) alkyl chains. Fluorescence probe studies revealed the CAC of PHEA-EDA-Sq(17)-PS(80) micelles, which was 0.25 mg mL(-1). The micelles obtained had a nanometric hydrodynamic diameter with narrow size distribution and negative surface charge. The PHEA-EDA-Sq(17)-PS(80) micelles incorporated a large amount of Riv, and the system maintained the stability of Riv after incubation in human plasma. An in vitro biological assay evidenced no cytotoxic effects of either empty or loaded micelles on the neuronal cell lines tested. Moreover, the micelles are internalized by neuroblastoma cell lines with drug uptake depending on the micelles concentration.", "author" : [ { "dropping-particle" : "", "family" : "Scialabba", "given" : "C", "non-dropping-particle" : "", "parse-names" : false, "suffix" : "" }, { "dropping-particle" : "", "family" : "Rocco", "given" : "F", "non-dropping-particle" : "", "parse-names" : false, "suffix" : "" }, { "dropping-particle" : "", "family" : "Licciardi", "given" : "M", "non-dropping-particle" : "", "parse-names" : false, "suffix" : "" }, { "dropping-particle" : "", "family" : "Pitarresi", "given" : "G", "non-dropping-particle" : "", "parse-names" : false, "suffix" : "" }, { "dropping-particle" : "", "family" : "Ceruti", "given" : "M", "non-dropping-particle" : "", "parse-names" : false, "suffix" : "" }, { "dropping-particle" : "", "family" : "Giammona", "given" : "G", "non-dropping-particle" : "", "parse-names" : false, "suffix" : "" } ], "container-title" : "Drug delivery", "id" : "ITEM-2", "issue" : "6", "issued" : { "date-parts" : [ [ "2012", "8" ] ] }, "page" : "307-16", "title" : "Amphiphilic polyaspartamide copolymer-based micelles for rivastigmine delivery to neuronal cells.", "type" : "article-journal", "volume" : "19" }, "uris" : [ "http://www.mendeley.com/documents/?uuid=f05f8ce5-6220-4bcf-872c-a75dd1afd5f0" ] }, { "id" : "ITEM-3", "itemData" : { "DOI" : "10.1016/j.ijpharm.2013.05.009", "ISSN" : "1873-3476", "PMID" : "23680731", "abstract" : "Alzheimer's disease (AD) is a common progressive neurodegenerative disorder associated with cholinergic neurons degeneration. The blood-brain barrier (BBB) not only provides protection for the brain but also hinders the treatment and diagnosis of this neurological disease, because the drugs must cross BBB to reach the lesions. The present work was aimed at formulating rivastigmine liposomes (Lp) and cell-penetrating peptide (CPP) modified liposomes (CPP-Lp) to improve rivastigmine distribution in brain and proceed to enhance pharmacodynamics by intranasal (IN) administration and minimize side effects. The results revealed that Lp especially the CPP-Lp can enhance the permeability across the BBB by murine brain microvascular endothelial cells model in vitro. IN administration of rivastigmine solution and rivastigmine liposomes demonstrated the capacity to improve rivastigmine distribution and adequate retention in CNS regions especially in hippocampus and cortex, which were the regions most affected by AD, than that of IV administration. Importantly, the lagging but intense inhibition of acetylcholinesterase (AChE) and butyrylcholinesterase (BuChE) activities were relative to the extended release, absorption and retention. In addition, there was very mild nasal toxicity of liposomal formulations. The data suggest that rivastigmine liposomes especially CPP-Lp improve the brain delivery and enhance pharmacodynamics which respect to BBB penetration and nasal olfactory pathway into brain after IN administration, and simultaneously decrease the hepatic first pass metabolism and gastrointestinal adverse effects.", "author" : [ { "dropping-particle" : "", "family" : "Yang", "given" : "Zhen-Zhen", "non-dropping-particle" : "", "parse-names" : false, "suffix" : "" }, { "dropping-particle" : "", "family" : "Zhang", "given" : "Yan-Qing", "non-dropping-particle" : "", "parse-names" : false, "suffix" : "" }, { "dropping-particle" : "", "family" : "Wang", "given" : "Zhan-Zhang", "non-dropping-particle" : "", "parse-names" : false, "suffix" : "" }, { "dropping-particle" : "", "family" : "Wu", "given" : "Kai", "non-dropping-particle" : "", "parse-names" : false, "suffix" : "" }, { "dropping-particle" : "", "family" : "Lou", "given" : "Jin-Ning", "non-dropping-particle" : "", "parse-names" : false, "suffix" : "" }, { "dropping-particle" : "", "family" : "Qi", "given" : "Xian-Rong", "non-dropping-particle" : "", "parse-names" : false, "suffix" : "" } ], "container-title" : "International journal of pharmaceutics", "id" : "ITEM-3", "issue" : "1-2", "issued" : { "date-parts" : [ [ "2013", "8", "16" ] ] }, "page" : "344-54", "publisher" : "Elsevier B.V.", "title" : "Enhanced brain distribution and pharmacodynamics of rivastigmine by liposomes following intranasal administration.", "type" : "article-journal", "volume" : "452" }, "uris" : [ "http://www.mendeley.com/documents/?uuid=16531998-c144-42eb-83b2-fd0ad3c87fee" ] } ], "mendeley" : { "previouslyFormattedCitation" : "&lt;sup&gt;[3\u20135]&lt;/sup&gt;" }, "properties" : { "noteIndex" : 0 }, "schema" : "https://github.com/citation-style-language/schema/raw/master/csl-citation.json" }</w:instrText>
      </w:r>
      <w:r w:rsidR="002333DA" w:rsidRPr="003F6316">
        <w:fldChar w:fldCharType="separate"/>
      </w:r>
      <w:r w:rsidR="00364163" w:rsidRPr="003F6316">
        <w:rPr>
          <w:noProof/>
          <w:vertAlign w:val="superscript"/>
        </w:rPr>
        <w:t>[3–5]</w:t>
      </w:r>
      <w:r w:rsidR="002333DA" w:rsidRPr="003F6316">
        <w:fldChar w:fldCharType="end"/>
      </w:r>
      <w:r w:rsidR="00095F91" w:rsidRPr="003F6316">
        <w:t>;</w:t>
      </w:r>
      <w:r w:rsidR="00507132" w:rsidRPr="003F6316">
        <w:t xml:space="preserve"> nanoparticles for i.v</w:t>
      </w:r>
      <w:r w:rsidR="00095F91" w:rsidRPr="003F6316">
        <w:t xml:space="preserve">. or </w:t>
      </w:r>
      <w:r w:rsidR="00507132" w:rsidRPr="003F6316">
        <w:t>intraperito</w:t>
      </w:r>
      <w:r w:rsidR="00095F91" w:rsidRPr="003F6316">
        <w:t>n</w:t>
      </w:r>
      <w:r w:rsidR="00507132" w:rsidRPr="003F6316">
        <w:t xml:space="preserve">eal administration </w:t>
      </w:r>
      <w:r w:rsidR="002333DA" w:rsidRPr="003F6316">
        <w:fldChar w:fldCharType="begin" w:fldLock="1"/>
      </w:r>
      <w:r w:rsidR="00364163" w:rsidRPr="003F6316">
        <w:instrText>ADDIN CSL_CITATION { "citationItems" : [ { "id" : "ITEM-1", "itemData" : { "DOI" : "10.1002/mabi.200700165", "ISSN" : "1616-5195", "PMID" : "18041108", "abstract" : "The preparation and characterization of surface-PEGylated polymeric nanoparticles are described. These systems were obtained by UV irradiation of PHM and PHM-PEG(2000) as an inverse microemulsion, using an aqueous solution of the PHM/PHM-PEG(2000) copolymer mixture as the internal phase and triacetin saturated with water as the external phase, and characterized by dimensional analysis, zeta-potential measurements and XPS. in vitro biological tests demonstrated their cell compatibility and their ability to escape from phagocytosis. Rivastigmine was encapsulated into the nanoparticle structure and drug-release profiles from loaded samples were investigated in PBS at pH = 7.4 and human plasma.", "author" : [ { "dropping-particle" : "", "family" : "Craparo", "given" : "Emanuela Fabiola", "non-dropping-particle" : "", "parse-names" : false, "suffix" : "" }, { "dropping-particle" : "", "family" : "Pitarresi", "given" : "Giovanna", "non-dropping-particle" : "", "parse-names" : false, "suffix" : "" }, { "dropping-particle" : "", "family" : "Bond\u00ec", "given" : "Maria Luisa", "non-dropping-particle" : "", "parse-names" : false, "suffix" : "" }, { "dropping-particle" : "", "family" : "Casaletto", "given" : "Maria Pia", "non-dropping-particle" : "", "parse-names" : false, "suffix" : "" }, { "dropping-particle" : "", "family" : "Licciardi", "given" : "Mariano", "non-dropping-particle" : "", "parse-names" : false, "suffix" : "" }, { "dropping-particle" : "", "family" : "Giammona", "given" : "Gaetano", "non-dropping-particle" : "", "parse-names" : false, "suffix" : "" } ], "container-title" : "Macromolecular bioscience", "id" : "ITEM-1", "issue" : "3", "issued" : { "date-parts" : [ [ "2008", "3", "10" ] ] }, "page" : "247-59", "title" : "A nanoparticulate drug-delivery system for rivastigmine: physico-chemical and in vitro biological characterization.", "type" : "article-journal", "volume" : "8" }, "uris" : [ "http://www.mendeley.com/documents/?uuid=c55d6bbd-dab2-45e5-85db-c194195cf11b" ] }, { "id" : "ITEM-2", "itemData" : { "DOI" : "10.1016/j.brainres.2008.01.039", "ISSN" : "0006-8993", "PMID" : "18291351", "abstract" : "Alzheimer's disease is a progressive and fatal neurodegenerative disorder manifested by cognitive and memory deterioration, progressive impairment of activities of daily living, and a variety of neuropsychiatric symptoms and behavioral disturbances. Alzheimer's disease affects 15 million people worldwide and it has been estimated that Alzheimer's disease affects 4.5 million Americans. Rivastigmine is a reversible cholinesterase inhibitor used for the treatment of Alzheimer's disease. Central nervous system drug efficacy depends upon the ability of a drug to cross the blood-brain barrier and reach therapeutic concentrations in brain following systemic administration. The clinical failures of most of the potentially effective therapeutics to treat the central nervous system disorders are often not due to a lack of drug potency but rather shortcomings in the method by which the drug is delivered. Hence, considering the importance of treating Alzheimer's disease, we made an attempt to target the anti-Alzheimer's drug rivastigmine in the brain by using poly(n-butylcyanoacrylate) nanoparticles. The drug was administered as a free drug, bound to nanoparticles and also bound to nanoparticles coated with polysorbate 80. In the brain a significant increase in rivastigmine uptake was observed in the case of poly(n-butylcyanoacrylate) nanoparticles coated with 1% polysorbate 80 compared to the free drug. In conclusion that the present study demonstrates that the brain concentration of intravenously injected rivastigmine can be enhanced over 3.82 fold by binding to poly(n-butylcyanoacrylate) nanoparticles coated with 1% nonionic surfactant polysorbate 80.", "author" : [ { "dropping-particle" : "", "family" : "Wilson", "given" : "Barnabas", "non-dropping-particle" : "", "parse-names" : false, "suffix" : "" }, { "dropping-particle" : "", "family" : "Samanta", "given" : "Malay Kumar", "non-dropping-particle" : "", "parse-names" : false, "suffix" : "" }, { "dropping-particle" : "", "family" : "Santhi", "given" : "Kumaraswamy", "non-dropping-particle" : "", "parse-names" : false, "suffix" : "" }, { "dropping-particle" : "", "family" : "Kumar", "given" : "Kokilampal Perumal Sampath", "non-dropping-particle" : "", "parse-names" : false, "suffix" : "" }, { "dropping-particle" : "", "family" : "Paramakrishnan", "given" : "Nallupillai", "non-dropping-particle" : "", "parse-names" : false, "suffix" : "" }, { "dropping-particle" : "", "family" : "Suresh", "given" : "Bhojraj", "non-dropping-particle" : "", "parse-names" : false, "suffix" : "" } ], "container-title" : "Brain research", "id" : "ITEM-2", "issued" : { "date-parts" : [ [ "2008", "3", "20" ] ] }, "page" : "159-68", "title" : "Poly(n-butylcyanoacrylate) nanoparticles coated with polysorbate 80 for the targeted delivery of rivastigmine into the brain to treat Alzheimer's disease.", "type" : "article-journal", "volume" : "1200" }, "uris" : [ "http://www.mendeley.com/documents/?uuid=a4085bcc-d3c5-48f4-a060-c827135d8b99" ] }, { "id" : "ITEM-3", "itemData" : { "DOI" : "10.1016/j.ejpb.2010.07.007", "ISSN" : "1873-3441", "PMID" : "20637869", "abstract" : "Sustained release nanoparticulate formulations of Rivastigmine tartrate (RT) were prepared, optimized (using factorial design) and characterized using the biodegradable polymers, PLGA and PBCA as carriers. The pharmacodynamic performances of the nanoparticles (NPs) were evaluated for brain targeting and memory improvement in scopolamine-induced amnesic mice using Morris Water Maze Test. PLGA NPs were prepared by nanoprecipitation technique, while PBCA NPs were prepared by emulsion polymerization technique. Effect of key formulation variables on particle size (PS) and percentage drug entrapment (PDE) of NPs was studied by using factorial design. PLGA NPs showed PS of 135.6\u00b14.2nm and PDE of 74.46\u00b10.76 %, whereas PBCA NPS showed PS of 146.8\u00b12.6nm and PDE of 57.32\u00b10.91%. FTIR and GPC characterization confirmed complete polymerization of n-butyl cyanoacrylate (nBCA) monomer into PBCA. DSC thermograms indicated that RT was dispersed as amorphous state in both PLGA and PBCA NPs. TEM studies indicated that the NPs were spherical. In vitro studies showed 30.86\u00b12.07% and 43.59\u00b13.80% release from PLGA and PBCA NPs in 72h, respectively. Pharmacodynamic study demonstrated faster regain of memory loss in amnesic mice with both PLGA and PBCA NPs when compared to RT solution. This indicates rapid and higher extent of transport of RT into the mice brain and thus shows the suitability of both NPs as potential carriers for providing sustained brain delivery of RT.", "author" : [ { "dropping-particle" : "", "family" : "Joshi", "given" : "Shrinidh a", "non-dropping-particle" : "", "parse-names" : false, "suffix" : "" }, { "dropping-particle" : "", "family" : "Chavhan", "given" : "Sandip S", "non-dropping-particle" : "", "parse-names" : false, "suffix" : "" }, { "dropping-particle" : "", "family" : "Sawant", "given" : "Krutika K", "non-dropping-particle" : "", "parse-names" : false, "suffix" : "" } ], "container-title" : "European journal of pharmaceutics and biopharmaceutics : official journal of Arbeitsgemeinschaft f\u00fcr Pharmazeutische Verfahrenstechnik e.V", "id" : "ITEM-3", "issue" : "2", "issued" : { "date-parts" : [ [ "2010", "10" ] ] }, "page" : "189-99", "publisher" : "Elsevier B.V.", "title" : "Rivastigmine-loaded PLGA and PBCA nanoparticles: preparation, optimization, characterization, in vitro and pharmacodynamic studies.", "type" : "article-journal", "volume" : "76" }, "uris" : [ "http://www.mendeley.com/documents/?uuid=651777cb-66f0-4554-a4ee-c665dc9356b2" ] }, { "id" : "ITEM-4", "itemData" : { "DOI" : "10.1016/j.ejps.2012.04.013", "ISSN" : "1879-0720", "PMID" : "22561106", "abstract" : "The rivastigmine (RHT) loaded chitosan nanoparticles (CS-RHT NPs) were prepared by ionic gelation method to improve the bioavailability and enhance the uptake of RHT to the brain via intranasal (i.n.) delivery. CS-RHT NPs were characterized for particles size, particle size distribution (PDI), encapsulation efficiency, zeta potential and in vitro release study. Nose-to-brain delivery of placebo nanoparticles (CS-NPs) was investigated by confocal laser scanning microscopy technique using rhodamine-123 as a marker. The brain/blood ratio of RHT for different formulations were 0.235, 0.790 and 1.712 of RHT (i.v.), RHT (i.n.), and CS-RHT NPs (i.n.) respectively at 30 min are indicative of direct nose to brain transport bypassing the BBB. The brain concentration achieved from i.n. administration of CS-NPs (966 \u00b1 20.66 ng ml(-1); t(max) 60 min) was significantly higher than those achieved after i.v. administration of RHT sol (387 \u00b1 29.51 ngml(-1); t(max) 30 min), and i.n. administration of RHT solution (508.66 \u00b1 22.50 ng ml(-1); t(max) 60 min). The higher drug transport efficiency (355 \u00b1 13.52%) and direct transport percentage (71.80 \u00b1 6.71%) were found with CS-RHT NPs as compared to other formulation. These results suggest that CS-RHT NPs have better brain targeting efficiency and are a promising approach for i.n. delivery of RHT for the treatment and prevention of Alzheimer's disease (AD).", "author" : [ { "dropping-particle" : "", "family" : "Fazil", "given" : "Mohammad", "non-dropping-particle" : "", "parse-names" : false, "suffix" : "" }, { "dropping-particle" : "", "family" : "Md", "given" : "Shadab", "non-dropping-particle" : "", "parse-names" : false, "suffix" : "" }, { "dropping-particle" : "", "family" : "Haque", "given" : "Shadabul", "non-dropping-particle" : "", "parse-names" : false, "suffix" : "" }, { "dropping-particle" : "", "family" : "Kumar", "given" : "Manish", "non-dropping-particle" : "", "parse-names" : false, "suffix" : "" }, { "dropping-particle" : "", "family" : "Baboota", "given" : "Sanjula", "non-dropping-particle" : "", "parse-names" : false, "suffix" : "" }, { "dropping-particle" : "", "family" : "Sahni", "given" : "Jasjeet Kaur", "non-dropping-particle" : "", "parse-names" : false, "suffix" : "" }, { "dropping-particle" : "", "family" : "Ali", "given" : "Javed", "non-dropping-particle" : "", "parse-names" : false, "suffix" : "" } ], "container-title" : "European journal of pharmaceutical sciences : official journal of the European Federation for Pharmaceutical Sciences", "id" : "ITEM-4", "issue" : "1", "issued" : { "date-parts" : [ [ "2012", "8", "30" ] ] }, "page" : "6-15", "publisher" : "Elsevier B.V.", "title" : "Development and evaluation of rivastigmine loaded chitosan nanoparticles for brain targeting.", "type" : "article-journal", "volume" : "47" }, "uris" : [ "http://www.mendeley.com/documents/?uuid=dd8a9699-5ba2-4629-9f6d-e1676a026b44" ] }, { "id" : "ITEM-5", "itemData" : { "DOI" : "10.1016/j.ijbiomac.2013.04.024", "ISSN" : "1879-0003", "PMID" : "23597710", "abstract" : "The study aims at formulation and optimization brain targeted nanoparticles (NP) of Rivastigmine (RT) to improve its therapeutic potential and to verify its safety profile. The NP were optimized using a two factor three level (3(2)) central composite design aiming to minimize particle size; maximize zeta potential and drug entrapment efficiency of NP. The optimized formulation (cRTNP) was evaluated using in vitro drug release study; in vivo behavioral, and biochemical and maximum tolerated dose (MTD) study. The optimized formulation evidenced a significant reversal of scopolamine-induced amnesia by Tween 80(\u00ae) coated nanoparticles as compared to both pure RT as well as uncoated nanoparticles. The MTD of RT was increased by 10% by formulating them as cRTNP. Thus, formulation of RT as cRTNP improved the therapeutic and safety profile of RT.", "author" : [ { "dropping-particle" : "", "family" : "Nagpal", "given" : "Kalpana", "non-dropping-particle" : "", "parse-names" : false, "suffix" : "" }, { "dropping-particle" : "", "family" : "Singh", "given" : "S K", "non-dropping-particle" : "", "parse-names" : false, "suffix" : "" }, { "dropping-particle" : "", "family" : "Mishra", "given" : "D N", "non-dropping-particle" : "", "parse-names" : false, "suffix" : "" } ], "container-title" : "International journal of biological macromolecules", "id" : "ITEM-5", "issued" : { "date-parts" : [ [ "2013", "8" ] ] }, "page" : "72-83", "publisher" : "Elsevier B.V.", "title" : "Optimization of brain targeted chitosan nanoparticles of Rivastigmine for improved efficacy and safety.", "type" : "article-journal", "volume" : "59" }, "uris" : [ "http://www.mendeley.com/documents/?uuid=690150e2-a2c5-40ca-82c9-c276fa0a1683" ] }, { "id" : "ITEM-6", "itemData" : { "author" : [ { "dropping-particle" : "", "family" : "Ismail", "given" : "MF", "non-dropping-particle" : "", "parse-names" : false, "suffix" : "" } ], "container-title" : "International journal of Nanomedicine", "id" : "ITEM-6", "issued" : { "date-parts" : [ [ "2013" ] ] }, "page" : "393-406", "title" : "Potential therapeutic effect of nanobased formulation of rivastigmine on rat model of Alzheimer's disease", "type" : "article-journal" }, "uris" : [ "http://www.mendeley.com/documents/?uuid=c3dcc7b3-c3b4-48c0-884f-0680a33c0394" ] } ], "mendeley" : { "previouslyFormattedCitation" : "&lt;sup&gt;[6\u201311]&lt;/sup&gt;" }, "properties" : { "noteIndex" : 0 }, "schema" : "https://github.com/citation-style-language/schema/raw/master/csl-citation.json" }</w:instrText>
      </w:r>
      <w:r w:rsidR="002333DA" w:rsidRPr="003F6316">
        <w:fldChar w:fldCharType="separate"/>
      </w:r>
      <w:r w:rsidR="00364163" w:rsidRPr="003F6316">
        <w:rPr>
          <w:noProof/>
          <w:vertAlign w:val="superscript"/>
        </w:rPr>
        <w:t>[6–11]</w:t>
      </w:r>
      <w:r w:rsidR="002333DA" w:rsidRPr="003F6316">
        <w:fldChar w:fldCharType="end"/>
      </w:r>
      <w:r w:rsidR="00FB045D" w:rsidRPr="003F6316">
        <w:t xml:space="preserve"> - but none have been marketed to date</w:t>
      </w:r>
    </w:p>
    <w:p w:rsidR="00E17AFB" w:rsidRPr="003F6316" w:rsidRDefault="001638DA" w:rsidP="00E17AFB">
      <w:pPr>
        <w:spacing w:line="360" w:lineRule="auto"/>
        <w:jc w:val="both"/>
      </w:pPr>
      <w:r w:rsidRPr="003F6316">
        <w:t>Rivastigmine</w:t>
      </w:r>
      <w:r w:rsidR="0095353A" w:rsidRPr="003F6316">
        <w:t xml:space="preserve"> hydrogen tartrate (RHT) </w:t>
      </w:r>
      <w:r w:rsidRPr="003F6316">
        <w:t>is a carbamate derivative</w:t>
      </w:r>
      <w:r w:rsidR="0095353A" w:rsidRPr="003F6316">
        <w:t xml:space="preserve"> ((s)-N-ethyl-N-methyl-3-[1-1(</w:t>
      </w:r>
      <w:proofErr w:type="spellStart"/>
      <w:r w:rsidR="0095353A" w:rsidRPr="003F6316">
        <w:t>dimethylamino</w:t>
      </w:r>
      <w:proofErr w:type="spellEnd"/>
      <w:r w:rsidR="0095353A" w:rsidRPr="003F6316">
        <w:t xml:space="preserve">)ethyl]-phenyl carbamate hydrogen-(2R,3R)-tartrate) </w:t>
      </w:r>
      <w:r w:rsidR="00A321C4" w:rsidRPr="003F6316">
        <w:t xml:space="preserve">(Figure 1) </w:t>
      </w:r>
      <w:r w:rsidRPr="003F6316">
        <w:t>that reversibly and non-competitively inhibits the metabolism of acetylcholinesterase (AChE) and butyrylcholinesterase (BuChE), preferentially in the central nervous system</w:t>
      </w:r>
      <w:r w:rsidR="00EE29F0" w:rsidRPr="003F6316">
        <w:t xml:space="preserve"> </w:t>
      </w:r>
      <w:r w:rsidR="002333DA" w:rsidRPr="003F6316">
        <w:fldChar w:fldCharType="begin" w:fldLock="1"/>
      </w:r>
      <w:r w:rsidR="00364163" w:rsidRPr="003F6316">
        <w:instrText>ADDIN CSL_CITATION { "citationItems" : [ { "id" : "ITEM-1", "itemData" : { "author" : [ { "dropping-particle" : "", "family" : "Williams", "given" : "BR", "non-dropping-particle" : "", "parse-names" : false, "suffix" : "" }, { "dropping-particle" : "", "family" : "Nazarians", "given" : "A", "non-dropping-particle" : "", "parse-names" : false, "suffix" : "" }, { "dropping-particle" : "", "family" : "Gill", "given" : "MA", "non-dropping-particle" : "", "parse-names" : false, "suffix" : "" } ], "container-title" : "Clinical therapeutics", "id" : "ITEM-1", "issued" : { "date-parts" : [ [ "2003" ] ] }, "page" : "1634-1653", "title" : "A review of rivastigmine: a reversible cholinesterase inhibitor", "type" : "article-journal" }, "uris" : [ "http://www.mendeley.com/documents/?uuid=e6285f31-2523-42d1-9f34-fdfc154be6ec" ] } ], "mendeley" : { "previouslyFormattedCitation" : "&lt;sup&gt;[12]&lt;/sup&gt;" }, "properties" : { "noteIndex" : 0 }, "schema" : "https://github.com/citation-style-language/schema/raw/master/csl-citation.json" }</w:instrText>
      </w:r>
      <w:r w:rsidR="002333DA" w:rsidRPr="003F6316">
        <w:fldChar w:fldCharType="separate"/>
      </w:r>
      <w:r w:rsidR="00364163" w:rsidRPr="003F6316">
        <w:rPr>
          <w:noProof/>
          <w:vertAlign w:val="superscript"/>
        </w:rPr>
        <w:t>[12]</w:t>
      </w:r>
      <w:r w:rsidR="002333DA" w:rsidRPr="003F6316">
        <w:fldChar w:fldCharType="end"/>
      </w:r>
      <w:r w:rsidRPr="003F6316">
        <w:t>.</w:t>
      </w:r>
      <w:r w:rsidR="00E17AFB" w:rsidRPr="003F6316">
        <w:t xml:space="preserve"> RHT</w:t>
      </w:r>
      <w:r w:rsidR="00480FC2" w:rsidRPr="003F6316">
        <w:t>,</w:t>
      </w:r>
      <w:r w:rsidR="00E17AFB" w:rsidRPr="003F6316">
        <w:t xml:space="preserve"> </w:t>
      </w:r>
      <w:r w:rsidR="00480FC2" w:rsidRPr="003F6316">
        <w:t xml:space="preserve">as a 3 mg oral dose, </w:t>
      </w:r>
      <w:r w:rsidR="00E17AFB" w:rsidRPr="003F6316">
        <w:t xml:space="preserve">presents a </w:t>
      </w:r>
      <w:r w:rsidR="00480FC2" w:rsidRPr="003F6316">
        <w:t>pharmacok</w:t>
      </w:r>
      <w:r w:rsidR="00E17AFB" w:rsidRPr="003F6316">
        <w:t>ineti</w:t>
      </w:r>
      <w:r w:rsidR="00480FC2" w:rsidRPr="003F6316">
        <w:t>c</w:t>
      </w:r>
      <w:r w:rsidR="00E17AFB" w:rsidRPr="003F6316">
        <w:t xml:space="preserve"> half-life of 1.5</w:t>
      </w:r>
      <w:r w:rsidR="00095F91" w:rsidRPr="003F6316">
        <w:t xml:space="preserve"> </w:t>
      </w:r>
      <w:r w:rsidR="00E17AFB" w:rsidRPr="003F6316">
        <w:t>h and a bioavailability of 36%</w:t>
      </w:r>
      <w:r w:rsidR="00480FC2" w:rsidRPr="003F6316">
        <w:t>;</w:t>
      </w:r>
      <w:r w:rsidR="00E17AFB" w:rsidRPr="003F6316">
        <w:t xml:space="preserve"> however its pharmacodynamic half-life is approximately 10</w:t>
      </w:r>
      <w:r w:rsidR="00095F91" w:rsidRPr="003F6316">
        <w:t xml:space="preserve"> </w:t>
      </w:r>
      <w:r w:rsidR="00E17AFB" w:rsidRPr="003F6316">
        <w:t xml:space="preserve">h due to </w:t>
      </w:r>
      <w:r w:rsidR="00480FC2" w:rsidRPr="003F6316">
        <w:t>binding to the esteratic site of the AChE enzyme</w:t>
      </w:r>
      <w:r w:rsidR="006150A7" w:rsidRPr="003F6316">
        <w:t>. The</w:t>
      </w:r>
      <w:r w:rsidR="002333DA" w:rsidRPr="003F6316">
        <w:t xml:space="preserve"> dissociation </w:t>
      </w:r>
      <w:r w:rsidR="006150A7" w:rsidRPr="003F6316">
        <w:t xml:space="preserve">of the API from the esteratic site </w:t>
      </w:r>
      <w:r w:rsidR="002333DA" w:rsidRPr="003F6316">
        <w:t>is slower than acetylcholine</w:t>
      </w:r>
      <w:r w:rsidR="00480FC2" w:rsidRPr="003F6316">
        <w:t xml:space="preserve"> </w:t>
      </w:r>
      <w:r w:rsidR="002333DA" w:rsidRPr="003F6316">
        <w:fldChar w:fldCharType="begin" w:fldLock="1"/>
      </w:r>
      <w:r w:rsidR="00364163" w:rsidRPr="003F6316">
        <w:instrText>ADDIN CSL_CITATION { "citationItems" : [ { "id" : "ITEM-1", "itemData" : { "author" : [ { "dropping-particle" : "", "family" : "Agid", "given" : "Y", "non-dropping-particle" : "", "parse-names" : false, "suffix" : "" }, { "dropping-particle" : "", "family" : "Dubois", "given" : "B", "non-dropping-particle" : "", "parse-names" : false, "suffix" : "" }, { "dropping-particle" : "", "family" : "Anand", "given" : "Ravi", "non-dropping-particle" : "", "parse-names" : false, "suffix" : "" }, { "dropping-particle" : "", "family" : "Gharabawi", "given" : "George", "non-dropping-particle" : "", "parse-names" : false, "suffix" : "" } ], "container-title" : "Current Therapeutic Research", "id" : "ITEM-1", "issue" : "12", "issued" : { "date-parts" : [ [ "1998" ] ] }, "page" : "837-845", "title" : "Efficacy and tolerability of rivastigmine in patients with dementia of the Alzheimer type", "type" : "article-journal", "volume" : "59" }, "uris" : [ "http://www.mendeley.com/documents/?uuid=0bd031a3-064c-440b-86bb-3ce4281bf74a" ] }, { "id" : "ITEM-2", "itemData" : { "DOI" : "10.1016/S0149-2918(98)80127-6", "ISSN" : "01492918", "author" : [ { "dropping-particle" : "", "family" : "Polinsky", "given" : "Ronald J.", "non-dropping-particle" : "", "parse-names" : false, "suffix" : "" } ], "container-title" : "Clinical Therapeutics", "id" : "ITEM-2", "issue" : "4", "issued" : { "date-parts" : [ [ "1998", "7" ] ] }, "page" : "634-647", "title" : "Clinical pharmacology of rivastigmine: a new-generation acetylcholinesterase inhibitor for the treatment of alzheimer's disease", "type" : "article-journal", "volume" : "20" }, "uris" : [ "http://www.mendeley.com/documents/?uuid=4c1c1d2f-87d1-4851-91eb-073f3e1b7ec3" ] }, { "id" : "ITEM-3", "itemData" : { "author" : [ { "dropping-particle" : "", "family" : "Williams", "given" : "BR", "non-dropping-particle" : "", "parse-names" : false, "suffix" : "" }, { "dropping-particle" : "", "family" : "Nazarians", "given" : "A", "non-dropping-particle" : "", "parse-names" : false, "suffix" : "" }, { "dropping-particle" : "", "family" : "Gill", "given" : "MA", "non-dropping-particle" : "", "parse-names" : false, "suffix" : "" } ], "container-title" : "Clinical therapeutics", "id" : "ITEM-3", "issued" : { "date-parts" : [ [ "2003" ] ] }, "page" : "1634-1653", "title" : "A review of rivastigmine: a reversible cholinesterase inhibitor", "type" : "article-journal" }, "uris" : [ "http://www.mendeley.com/documents/?uuid=e6285f31-2523-42d1-9f34-fdfc154be6ec" ] } ], "mendeley" : { "previouslyFormattedCitation" : "&lt;sup&gt;[12\u201314]&lt;/sup&gt;" }, "properties" : { "noteIndex" : 0 }, "schema" : "https://github.com/citation-style-language/schema/raw/master/csl-citation.json" }</w:instrText>
      </w:r>
      <w:r w:rsidR="002333DA" w:rsidRPr="003F6316">
        <w:fldChar w:fldCharType="separate"/>
      </w:r>
      <w:r w:rsidR="00364163" w:rsidRPr="003F6316">
        <w:rPr>
          <w:noProof/>
          <w:vertAlign w:val="superscript"/>
        </w:rPr>
        <w:t>[12–14]</w:t>
      </w:r>
      <w:r w:rsidR="002333DA" w:rsidRPr="003F6316">
        <w:fldChar w:fldCharType="end"/>
      </w:r>
      <w:r w:rsidR="00480FC2" w:rsidRPr="003F6316">
        <w:t>.</w:t>
      </w:r>
    </w:p>
    <w:p w:rsidR="001638DA" w:rsidRPr="003F6316" w:rsidRDefault="005050B3" w:rsidP="00243CFD">
      <w:pPr>
        <w:spacing w:line="360" w:lineRule="auto"/>
        <w:jc w:val="both"/>
      </w:pPr>
      <w:r w:rsidRPr="003F6316">
        <w:t>RHT is reported to be a white crystalline powder, very soluble in water, soluble in ethanol and acetonitrile, slightly soluble in n-octanol, and very slightly soluble in ethyl acetate</w:t>
      </w:r>
      <w:r w:rsidR="00810F52" w:rsidRPr="003F6316">
        <w:t xml:space="preserve"> </w:t>
      </w:r>
      <w:r w:rsidR="00810F52" w:rsidRPr="003F6316">
        <w:rPr>
          <w:vertAlign w:val="superscript"/>
        </w:rPr>
        <w:t>[15]</w:t>
      </w:r>
      <w:r w:rsidRPr="003F6316">
        <w:t xml:space="preserve">. The reported melting point is 123-125 °C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"id" : "ITEM-2", "itemData" : { "author" : [ { "dropping-particle" : "", "family" : "Overeem", "given" : "Arjanne", "non-dropping-particle" : "", "parse-names" : false, "suffix" : "" }, { "dropping-particle" : "", "family" : "Vinent", "given" : "HT", "non-dropping-particle" : "", "parse-names" : false, "suffix" : "" } ], "container-title" : "US Patent App. 12/044,626", "id" : "ITEM-2", "issue" : "19", "issued" : { "date-parts" : [ [ "2008" ] ] }, "page" : "0-11", "title" : "Polymorphs of rivastigmine hydrogentartrate", "type" : "patent", "volume" : "1111" }, "uris" : [ "http://www.mendeley.com/documents/?uuid=152118b9-7f82-41ac-aff3-ffd9b9a74095" ] } ], "mendeley" : { "previouslyFormattedCitation" : "&lt;sup&gt;[15,16]&lt;/sup&gt;" }, "properties" : { "noteIndex" : 0 }, "schema" : "https://github.com/citation-style-language/schema/raw/master/csl-citation.json" }</w:instrText>
      </w:r>
      <w:r w:rsidR="002333DA" w:rsidRPr="003F6316">
        <w:fldChar w:fldCharType="separate"/>
      </w:r>
      <w:r w:rsidR="00364163" w:rsidRPr="003F6316">
        <w:rPr>
          <w:noProof/>
          <w:vertAlign w:val="superscript"/>
        </w:rPr>
        <w:t>[15,16]</w:t>
      </w:r>
      <w:r w:rsidR="002333DA" w:rsidRPr="003F6316">
        <w:fldChar w:fldCharType="end"/>
      </w:r>
      <w:r w:rsidRPr="003F6316">
        <w:t>. T</w:t>
      </w:r>
      <w:r w:rsidR="001638DA" w:rsidRPr="003F6316">
        <w:t>wo polymorphic forms</w:t>
      </w:r>
      <w:r w:rsidRPr="003F6316">
        <w:t xml:space="preserve"> have been identified: </w:t>
      </w:r>
      <w:r w:rsidR="007C3A11" w:rsidRPr="003F6316">
        <w:t>F</w:t>
      </w:r>
      <w:r w:rsidRPr="003F6316">
        <w:t>orm</w:t>
      </w:r>
      <w:r w:rsidR="001638DA" w:rsidRPr="003F6316">
        <w:t xml:space="preserve"> I</w:t>
      </w:r>
      <w:r w:rsidRPr="003F6316">
        <w:t xml:space="preserve"> </w:t>
      </w:r>
      <w:r w:rsidR="001638DA" w:rsidRPr="003F6316">
        <w:t xml:space="preserve">and </w:t>
      </w:r>
      <w:r w:rsidR="007C3A11" w:rsidRPr="003F6316">
        <w:t>F</w:t>
      </w:r>
      <w:r w:rsidRPr="003F6316">
        <w:t xml:space="preserve">orm </w:t>
      </w:r>
      <w:r w:rsidR="001638DA" w:rsidRPr="003F6316">
        <w:t>II</w:t>
      </w:r>
      <w:r w:rsidRPr="003F6316">
        <w:t xml:space="preserve">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"mendeley" : { "previouslyFormattedCitation" : "&lt;sup&gt;[15]&lt;/sup&gt;" }, "properties" : { "noteIndex" : 0 }, "schema" : "https://github.com/citation-style-language/schema/raw/master/csl-citation.json" }</w:instrText>
      </w:r>
      <w:r w:rsidR="002333DA" w:rsidRPr="003F6316">
        <w:fldChar w:fldCharType="separate"/>
      </w:r>
      <w:r w:rsidR="00364163" w:rsidRPr="003F6316">
        <w:rPr>
          <w:noProof/>
          <w:vertAlign w:val="superscript"/>
        </w:rPr>
        <w:t>[15]</w:t>
      </w:r>
      <w:r w:rsidR="002333DA" w:rsidRPr="003F6316">
        <w:fldChar w:fldCharType="end"/>
      </w:r>
      <w:r w:rsidRPr="003F6316">
        <w:t xml:space="preserve">. The </w:t>
      </w:r>
      <w:r w:rsidR="001638DA" w:rsidRPr="003F6316">
        <w:t>amorphisation</w:t>
      </w:r>
      <w:r w:rsidRPr="003F6316">
        <w:t xml:space="preserve"> of RHT </w:t>
      </w:r>
      <w:r w:rsidR="007C3A11" w:rsidRPr="003F6316">
        <w:t>F</w:t>
      </w:r>
      <w:r w:rsidRPr="003F6316">
        <w:t>orm I and II</w:t>
      </w:r>
      <w:r w:rsidR="001638DA" w:rsidRPr="003F6316">
        <w:t xml:space="preserve"> upon granulation </w:t>
      </w:r>
      <w:r w:rsidRPr="003F6316">
        <w:t xml:space="preserve">and freeze drying has also been reported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"id" : "ITEM-2", "itemData" : { "author" : [ { "dropping-particle" : "", "family" : "Overeem", "given" : "Arjanne", "non-dropping-particle" : "", "parse-names" : false, "suffix" : "" }, { "dropping-particle" : "", "family" : "Vinent", "given" : "HT", "non-dropping-particle" : "", "parse-names" : false, "suffix" : "" } ], "container-title" : "US Patent App. 12/044,626", "id" : "ITEM-2", "issue" : "19", "issued" : { "date-parts" : [ [ "2008" ] ] }, "page" : "0-11", "title" : "Polymorphs of rivastigmine hydrogentartrate", "type" : "patent", "volume" : "1111" }, "uris" : [ "http://www.mendeley.com/documents/?uuid=152118b9-7f82-41ac-aff3-ffd9b9a74095" ] } ], "mendeley" : { "previouslyFormattedCitation" : "&lt;sup&gt;[15,16]&lt;/sup&gt;" }, "properties" : { "noteIndex" : 0 }, "schema" : "https://github.com/citation-style-language/schema/raw/master/csl-citation.json" }</w:instrText>
      </w:r>
      <w:r w:rsidR="002333DA" w:rsidRPr="003F6316">
        <w:fldChar w:fldCharType="separate"/>
      </w:r>
      <w:r w:rsidR="00364163" w:rsidRPr="003F6316">
        <w:rPr>
          <w:noProof/>
          <w:vertAlign w:val="superscript"/>
        </w:rPr>
        <w:t>[15,16]</w:t>
      </w:r>
      <w:r w:rsidR="002333DA" w:rsidRPr="003F6316">
        <w:fldChar w:fldCharType="end"/>
      </w:r>
      <w:r w:rsidR="001638DA" w:rsidRPr="003F6316">
        <w:t>.</w:t>
      </w:r>
      <w:r w:rsidR="00973874" w:rsidRPr="003F6316">
        <w:t xml:space="preserve"> </w:t>
      </w:r>
    </w:p>
    <w:p w:rsidR="00AF0F97" w:rsidRPr="003F6316" w:rsidRDefault="0045668D" w:rsidP="00AF0F97">
      <w:pPr>
        <w:spacing w:line="360" w:lineRule="auto"/>
        <w:jc w:val="both"/>
      </w:pPr>
      <w:r w:rsidRPr="003F6316">
        <w:t xml:space="preserve">Polymorphism is the ability of a </w:t>
      </w:r>
      <w:r w:rsidR="00877D09" w:rsidRPr="003F6316">
        <w:t>compound in the solid-</w:t>
      </w:r>
      <w:r w:rsidRPr="003F6316">
        <w:t xml:space="preserve">state to exist in different crystalline </w:t>
      </w:r>
      <w:r w:rsidR="00095F91" w:rsidRPr="003F6316">
        <w:t xml:space="preserve">forms, </w:t>
      </w:r>
      <w:r w:rsidRPr="003F6316">
        <w:t xml:space="preserve">having the same chemical composition </w:t>
      </w:r>
      <w:r w:rsidR="00810F52" w:rsidRPr="003F6316">
        <w:rPr>
          <w:vertAlign w:val="superscript"/>
        </w:rPr>
        <w:t>[18]</w:t>
      </w:r>
      <w:r w:rsidR="00F065AE" w:rsidRPr="003F6316">
        <w:t>.</w:t>
      </w:r>
      <w:r w:rsidR="00877D09" w:rsidRPr="003F6316">
        <w:t xml:space="preserve"> </w:t>
      </w:r>
      <w:r w:rsidR="001638DA" w:rsidRPr="003F6316">
        <w:t xml:space="preserve">Polymorphic </w:t>
      </w:r>
      <w:r w:rsidR="00095F91" w:rsidRPr="003F6316">
        <w:t>f</w:t>
      </w:r>
      <w:r w:rsidR="007C3A11" w:rsidRPr="003F6316">
        <w:t>orm</w:t>
      </w:r>
      <w:r w:rsidR="001638DA" w:rsidRPr="003F6316">
        <w:t>s are known to present di</w:t>
      </w:r>
      <w:r w:rsidR="00877D09" w:rsidRPr="003F6316">
        <w:t>fferent properties in the solid-</w:t>
      </w:r>
      <w:r w:rsidR="001638DA" w:rsidRPr="003F6316">
        <w:t xml:space="preserve">state, such as: melting temperature, heat capacity, conductivity, volume, density, viscosity, crystal hardness and shape, refractive index, solubility, stability, etc., which can affect the “processability” and bioavailability of the </w:t>
      </w:r>
      <w:r w:rsidR="005069CB" w:rsidRPr="003F6316">
        <w:t xml:space="preserve">API </w:t>
      </w:r>
      <w:r w:rsidR="00810F52" w:rsidRPr="003F6316">
        <w:rPr>
          <w:vertAlign w:val="superscript"/>
        </w:rPr>
        <w:t>[18-20]</w:t>
      </w:r>
      <w:r w:rsidR="001638DA" w:rsidRPr="003F6316">
        <w:t>.</w:t>
      </w:r>
      <w:r w:rsidR="00A11EBF" w:rsidRPr="003F6316">
        <w:t xml:space="preserve"> Hence, it is </w:t>
      </w:r>
      <w:r w:rsidR="00095F91" w:rsidRPr="003F6316">
        <w:t xml:space="preserve">crucial </w:t>
      </w:r>
      <w:r w:rsidR="00A11EBF" w:rsidRPr="003F6316">
        <w:t xml:space="preserve">to identify the different polymorphs of a compound, to determine the polymorph stability, and to assess the </w:t>
      </w:r>
      <w:r w:rsidR="00095F91" w:rsidRPr="003F6316">
        <w:t xml:space="preserve">effect of </w:t>
      </w:r>
      <w:r w:rsidR="00A11EBF" w:rsidRPr="003F6316">
        <w:t>processing conditions on polymorph generation</w:t>
      </w:r>
      <w:r w:rsidR="00095F91" w:rsidRPr="003F6316">
        <w:t xml:space="preserve"> or transition</w:t>
      </w:r>
      <w:r w:rsidR="00DC4118" w:rsidRPr="003F6316">
        <w:t xml:space="preserve"> </w:t>
      </w:r>
      <w:r w:rsidR="002333DA" w:rsidRPr="003F6316">
        <w:fldChar w:fldCharType="begin" w:fldLock="1"/>
      </w:r>
      <w:r w:rsidR="00364163" w:rsidRPr="003F6316">
        <w:instrText>ADDIN CSL_CITATION { "citationItems" : [ { "id" : "ITEM-1", "itemData" : { "author" : [ { "dropping-particle" : "", "family" : "Craig", "given" : "D.Q.M.", "non-dropping-particle" : "", "parse-names" : false, "suffix" : "" }, { "dropping-particle" : "", "family" : "Reading", "given" : "M.", "non-dropping-particle" : "", "parse-names" : false, "suffix" : "" } ], "id" : "ITEM-1", "issued" : { "date-parts" : [ [ "2007" ] ] }, "publisher" : "CRC Press Raylor&amp;Francis Group", "publisher-place" : "United States America", "title" : "Thermal analysis of pharamceuticals", "type" : "book" }, "uris" : [ "http://www.mendeley.com/documents/?uuid=d1529338-3d79-4b26-96cf-85bb0bdf06aa" ] } ], "mendeley" : { "previouslyFormattedCitation" : "&lt;sup&gt;[17]&lt;/sup&gt;" }, "properties" : { "noteIndex" : 0 }, "schema" : "https://github.com/citation-style-language/schema/raw/master/csl-citation.json" }</w:instrText>
      </w:r>
      <w:r w:rsidR="002333DA" w:rsidRPr="003F6316">
        <w:fldChar w:fldCharType="separate"/>
      </w:r>
      <w:r w:rsidR="00364163" w:rsidRPr="003F6316">
        <w:rPr>
          <w:noProof/>
          <w:vertAlign w:val="superscript"/>
        </w:rPr>
        <w:t>[17]</w:t>
      </w:r>
      <w:r w:rsidR="002333DA" w:rsidRPr="003F6316">
        <w:fldChar w:fldCharType="end"/>
      </w:r>
      <w:r w:rsidR="00A11EBF" w:rsidRPr="003F6316">
        <w:t xml:space="preserve">. The thermodynamic and kinetic relationships </w:t>
      </w:r>
      <w:r w:rsidR="00095F91" w:rsidRPr="003F6316">
        <w:t>between</w:t>
      </w:r>
      <w:r w:rsidR="00A11EBF" w:rsidRPr="003F6316">
        <w:t xml:space="preserve"> polymorphs and the physicochemical properties of the polymorphs are particularly relevant </w:t>
      </w:r>
      <w:r w:rsidR="00095F91" w:rsidRPr="003F6316">
        <w:t>in aiding</w:t>
      </w:r>
      <w:r w:rsidR="00A11EBF" w:rsidRPr="003F6316">
        <w:t xml:space="preserve"> the formulator </w:t>
      </w:r>
      <w:r w:rsidR="00095F91" w:rsidRPr="003F6316">
        <w:t xml:space="preserve">to determine </w:t>
      </w:r>
      <w:r w:rsidR="00A11EBF" w:rsidRPr="003F6316">
        <w:t xml:space="preserve">the likely stability of the material at any </w:t>
      </w:r>
      <w:r w:rsidR="00C90A06" w:rsidRPr="003F6316">
        <w:t xml:space="preserve">given </w:t>
      </w:r>
      <w:r w:rsidR="00A11EBF" w:rsidRPr="003F6316">
        <w:t xml:space="preserve">temperature </w:t>
      </w:r>
      <w:r w:rsidR="00810F52" w:rsidRPr="003F6316">
        <w:rPr>
          <w:vertAlign w:val="superscript"/>
        </w:rPr>
        <w:t>[21,</w:t>
      </w:r>
      <w:r w:rsidR="0063318B" w:rsidRPr="003F6316">
        <w:rPr>
          <w:vertAlign w:val="superscript"/>
        </w:rPr>
        <w:t xml:space="preserve"> </w:t>
      </w:r>
      <w:r w:rsidR="00810F52" w:rsidRPr="003F6316">
        <w:rPr>
          <w:vertAlign w:val="superscript"/>
        </w:rPr>
        <w:t>23]</w:t>
      </w:r>
      <w:r w:rsidR="00A11EBF" w:rsidRPr="003F6316">
        <w:t>.</w:t>
      </w:r>
      <w:r w:rsidR="00AF0F97" w:rsidRPr="003F6316">
        <w:t xml:space="preserve"> </w:t>
      </w:r>
    </w:p>
    <w:p w:rsidR="003E6D57" w:rsidRPr="003F6316" w:rsidRDefault="00AF0F97" w:rsidP="003E6D57">
      <w:pPr>
        <w:spacing w:line="360" w:lineRule="auto"/>
        <w:jc w:val="both"/>
        <w:rPr>
          <w:color w:val="0070C0"/>
        </w:rPr>
      </w:pPr>
      <w:r w:rsidRPr="003F6316">
        <w:t xml:space="preserve">Currently it is </w:t>
      </w:r>
      <w:r w:rsidR="00450809" w:rsidRPr="003F6316">
        <w:t>accepted</w:t>
      </w:r>
      <w:r w:rsidRPr="003F6316">
        <w:t xml:space="preserve"> that </w:t>
      </w:r>
      <w:r w:rsidR="00877D09" w:rsidRPr="003F6316">
        <w:t>the form for which the free enthalpy is lowest at a given temperature and pressure is th</w:t>
      </w:r>
      <w:r w:rsidR="000659EB" w:rsidRPr="003F6316">
        <w:t>e most thermodynamically stable; t</w:t>
      </w:r>
      <w:r w:rsidR="00877D09" w:rsidRPr="003F6316">
        <w:t xml:space="preserve">he other form </w:t>
      </w:r>
      <w:r w:rsidRPr="003F6316">
        <w:t>is</w:t>
      </w:r>
      <w:r w:rsidR="00877D09" w:rsidRPr="003F6316">
        <w:t xml:space="preserve"> said to be in a metastable state</w:t>
      </w:r>
      <w:r w:rsidRPr="003F6316">
        <w:t xml:space="preserve"> – </w:t>
      </w:r>
      <w:r w:rsidR="00AA3A31" w:rsidRPr="003F6316">
        <w:lastRenderedPageBreak/>
        <w:t xml:space="preserve">the </w:t>
      </w:r>
      <w:r w:rsidRPr="003F6316">
        <w:t xml:space="preserve">metastable form </w:t>
      </w:r>
      <w:r w:rsidR="00810F52" w:rsidRPr="003F6316">
        <w:rPr>
          <w:vertAlign w:val="superscript"/>
        </w:rPr>
        <w:t>[18]</w:t>
      </w:r>
      <w:r w:rsidR="00877D09" w:rsidRPr="003F6316">
        <w:t xml:space="preserve">. </w:t>
      </w:r>
      <w:r w:rsidRPr="003F6316">
        <w:t>Polymo</w:t>
      </w:r>
      <w:r w:rsidR="000545EB" w:rsidRPr="003F6316">
        <w:t>rph</w:t>
      </w:r>
      <w:r w:rsidRPr="003F6316">
        <w:t xml:space="preserve">s are often categorised as being </w:t>
      </w:r>
      <w:r w:rsidR="00095F91" w:rsidRPr="003F6316">
        <w:t xml:space="preserve">either </w:t>
      </w:r>
      <w:r w:rsidRPr="003F6316">
        <w:t>ena</w:t>
      </w:r>
      <w:r w:rsidR="00450809" w:rsidRPr="003F6316">
        <w:t>n</w:t>
      </w:r>
      <w:r w:rsidRPr="003F6316">
        <w:t>tiotropic or monotropic</w:t>
      </w:r>
      <w:r w:rsidR="00450809" w:rsidRPr="003F6316">
        <w:t xml:space="preserve"> </w:t>
      </w:r>
      <w:r w:rsidR="00095F91" w:rsidRPr="003F6316">
        <w:t xml:space="preserve">with regard to their thermodynamic behaviour/stability </w:t>
      </w:r>
      <w:r w:rsidR="002333DA" w:rsidRPr="003F6316">
        <w:rPr>
          <w:vertAlign w:val="superscript"/>
        </w:rPr>
        <w:fldChar w:fldCharType="begin" w:fldLock="1"/>
      </w:r>
      <w:r w:rsidR="00364163" w:rsidRPr="003F6316">
        <w:rPr>
          <w:vertAlign w:val="superscript"/>
        </w:rPr>
        <w:instrText>ADDIN CSL_CITATION { "citationItems" : [ { "id" : "ITEM-1", "itemData" : { "author" : [ { "dropping-particle" : "", "family" : "Giron", "given" : "D", "non-dropping-particle" : "", "parse-names" : false, "suffix" : "" } ], "container-title" : "Thermochimica Acta", "id" : "ITEM-1", "issue" : "94", "issued" : { "date-parts" : [ [ "1995" ] ] }, "page" : "1-59", "title" : "Thermal analysis and calorimetric methods in the characterisation of polymorphs and solvates", "type" : "article-journal", "volume" : "248" }, "uris" : [ "http://www.mendeley.com/documents/?uuid=0f2a1e7e-f359-47e2-a812-49a438532a1b" ] } ], "mendeley" : { "manualFormatting" : "[", "previouslyFormattedCitation" : "&lt;sup&gt;[18]&lt;/sup&gt;" }, "properties" : { "noteIndex" : 0 }, "schema" : "https://github.com/citation-style-language/schema/raw/master/csl-citation.json" }</w:instrText>
      </w:r>
      <w:r w:rsidR="002333DA" w:rsidRPr="003F6316">
        <w:rPr>
          <w:vertAlign w:val="superscript"/>
        </w:rPr>
        <w:fldChar w:fldCharType="separate"/>
      </w:r>
      <w:r w:rsidR="0063318B" w:rsidRPr="003F6316">
        <w:rPr>
          <w:noProof/>
          <w:vertAlign w:val="superscript"/>
        </w:rPr>
        <w:t>[</w:t>
      </w:r>
      <w:r w:rsidR="002333DA" w:rsidRPr="003F6316">
        <w:rPr>
          <w:vertAlign w:val="superscript"/>
        </w:rPr>
        <w:fldChar w:fldCharType="end"/>
      </w:r>
      <w:r w:rsidR="0063318B" w:rsidRPr="003F6316">
        <w:rPr>
          <w:vertAlign w:val="superscript"/>
        </w:rPr>
        <w:t>18, 19, 21]</w:t>
      </w:r>
      <w:r w:rsidR="00450809" w:rsidRPr="003F6316">
        <w:t>.</w:t>
      </w:r>
      <w:r w:rsidR="00F020BD" w:rsidRPr="003F6316">
        <w:t xml:space="preserve"> If each crystalline form is the most stable within a given temperature range, the change from one form to another is reversible and is said to be enantiotropic. However, if only one of the forms is stable over the entire temperature range, the change is irreversible or monotropic </w:t>
      </w:r>
      <w:r w:rsidR="00F020BD" w:rsidRPr="003F6316">
        <w:rPr>
          <w:vertAlign w:val="superscript"/>
        </w:rPr>
        <w:fldChar w:fldCharType="begin" w:fldLock="1"/>
      </w:r>
      <w:r w:rsidR="00364163" w:rsidRPr="003F6316">
        <w:rPr>
          <w:vertAlign w:val="superscript"/>
        </w:rPr>
        <w:instrText>ADDIN CSL_CITATION { "citationItems" : [ { "id" : "ITEM-1", "itemData" : { "author" : [ { "dropping-particle" : "", "family" : "Giron", "given" : "D", "non-dropping-particle" : "", "parse-names" : false, "suffix" : "" } ], "container-title" : "Thermochimica Acta", "id" : "ITEM-1", "issue" : "94", "issued" : { "date-parts" : [ [ "1995" ] ] }, "page" : "1-59", "title" : "Thermal analysis and calorimetric methods in the characterisation of polymorphs and solvates", "type" : "article-journal", "volume" : "248" }, "uris" : [ "http://www.mendeley.com/documents/?uuid=0f2a1e7e-f359-47e2-a812-49a438532a1b" ] } ], "mendeley" : { "manualFormatting" : "[", "previouslyFormattedCitation" : "&lt;sup&gt;[18]&lt;/sup&gt;" }, "properties" : { "noteIndex" : 0 }, "schema" : "https://github.com/citation-style-language/schema/raw/master/csl-citation.json" }</w:instrText>
      </w:r>
      <w:r w:rsidR="00F020BD" w:rsidRPr="003F6316">
        <w:rPr>
          <w:vertAlign w:val="superscript"/>
        </w:rPr>
        <w:fldChar w:fldCharType="separate"/>
      </w:r>
      <w:r w:rsidR="00F020BD" w:rsidRPr="003F6316">
        <w:rPr>
          <w:noProof/>
          <w:vertAlign w:val="superscript"/>
        </w:rPr>
        <w:t>[</w:t>
      </w:r>
      <w:r w:rsidR="00F020BD" w:rsidRPr="003F6316">
        <w:rPr>
          <w:vertAlign w:val="superscript"/>
        </w:rPr>
        <w:fldChar w:fldCharType="end"/>
      </w:r>
      <w:r w:rsidR="00F020BD" w:rsidRPr="003F6316">
        <w:rPr>
          <w:vertAlign w:val="superscript"/>
        </w:rPr>
        <w:t>18, 19, 21]</w:t>
      </w:r>
      <w:r w:rsidR="00F020BD" w:rsidRPr="003F6316">
        <w:t xml:space="preserve">. </w:t>
      </w:r>
      <w:r w:rsidR="005F0834" w:rsidRPr="003F6316">
        <w:t xml:space="preserve"> </w:t>
      </w:r>
    </w:p>
    <w:p w:rsidR="001638DA" w:rsidRPr="003F6316" w:rsidRDefault="001638DA" w:rsidP="00243CFD">
      <w:pPr>
        <w:spacing w:line="360" w:lineRule="auto"/>
        <w:jc w:val="both"/>
      </w:pPr>
      <w:r w:rsidRPr="003F6316">
        <w:t xml:space="preserve">Polymorphic transitions can be obtained by </w:t>
      </w:r>
      <w:r w:rsidR="003F3487" w:rsidRPr="003F6316">
        <w:t>changes in</w:t>
      </w:r>
      <w:r w:rsidR="00D914D0" w:rsidRPr="003F6316">
        <w:t xml:space="preserve"> temperature, pressure, or relative humidity</w:t>
      </w:r>
      <w:r w:rsidRPr="003F6316">
        <w:t xml:space="preserve">, </w:t>
      </w:r>
      <w:r w:rsidR="00D914D0" w:rsidRPr="003F6316">
        <w:t xml:space="preserve">crystallisation from various organic solvents, and </w:t>
      </w:r>
      <w:r w:rsidR="00AA3A31" w:rsidRPr="003F6316">
        <w:t xml:space="preserve">by </w:t>
      </w:r>
      <w:r w:rsidR="00D914D0" w:rsidRPr="003F6316">
        <w:t>comminutio</w:t>
      </w:r>
      <w:r w:rsidR="00AA3A31" w:rsidRPr="003F6316">
        <w:t>n</w:t>
      </w:r>
      <w:r w:rsidR="00D914D0" w:rsidRPr="003F6316">
        <w:t xml:space="preserve">. These conditions are often </w:t>
      </w:r>
      <w:r w:rsidR="00425AA1" w:rsidRPr="003F6316">
        <w:t>encounter</w:t>
      </w:r>
      <w:r w:rsidR="00B1562C" w:rsidRPr="003F6316">
        <w:t>ed</w:t>
      </w:r>
      <w:r w:rsidR="00D914D0" w:rsidRPr="003F6316">
        <w:t xml:space="preserve"> in processes </w:t>
      </w:r>
      <w:r w:rsidRPr="003F6316">
        <w:t xml:space="preserve">such as </w:t>
      </w:r>
      <w:r w:rsidR="00D914D0" w:rsidRPr="003F6316">
        <w:t xml:space="preserve">drying, milling, granulation, spray drying, freeze drying and compression </w:t>
      </w:r>
      <w:r w:rsidR="002333DA" w:rsidRPr="003F6316">
        <w:fldChar w:fldCharType="begin" w:fldLock="1"/>
      </w:r>
      <w:r w:rsidR="00364163" w:rsidRPr="003F6316">
        <w:instrText>ADDIN CSL_CITATION { "citationItems" : [ { "id" : "ITEM-1", "itemData" : { "DOI" : "10.1021/js970249n", "ISSN" : "0022-3549", "PMID" : "9548905", "abstract" : "From the known crystal structure of aspartame hemihydrate, designated form 1, the theoretical powder X-ray diffraction (PXRD) pattern was calculated. This PXRD pattern differs significantly from that of the commercially available aspartame hemihydrate, which is therefore a different polymorph, designated form II. Form II transforms to form I during ball-milling or on heating for 30 min at 160 degrees C in the presence of steam. The two polymorphs were compared by PXRD, differential scanning calorimetry, thermogravimetric analysis, Karl Fischer titrimetry, Fourier transform infrared (FTIR) absorption spectroscopy, 13C solid-state nuclear magnetic resonance (SSNMR) spectroscopy, scanning electron microscopy, particle size analysis, and measurements of true density and intrinsic dissolution rate. Comparison of the 13C SSNMR and FTIR spectra of the two polymorphs suggests that the crystal structure of form II is less symmetric, with the side chains located in multiple environments. Although both hemihydrate polymorphs on heating in the absence of moisture dehydrate to a crystalline anhydrate, form I does so at a lower temperature, suggesting weaker interactions of water with aspartame molecules. At higher temperatures the anhydrate from both hemihydrate polymorphs yields 3-(carboxymethyl)-6-benzyl-2,5-dioxopiperazine (DKP) by a cyclization reaction for which the temperature, reaction enthalpy, and activation energy are very similar. Both hemihydrate forms, when in contact with liquid water, yield the 2.5-hydrate.", "author" : [ { "dropping-particle" : "", "family" : "Leung", "given" : "S S", "non-dropping-particle" : "", "parse-names" : false, "suffix" : "" }, { "dropping-particle" : "", "family" : "Padden", "given" : "B E", "non-dropping-particle" : "", "parse-names" : false, "suffix" : "" }, { "dropping-particle" : "", "family" : "Munson", "given" : "E J", "non-dropping-particle" : "", "parse-names" : false, "suffix" : "" }, { "dropping-particle" : "", "family" : "Grant", "given" : "D J", "non-dropping-particle" : "", "parse-names" : false, "suffix" : "" } ], "container-title" : "Journal of pharmaceutical sciences", "id" : "ITEM-1", "issue" : "4", "issued" : { "date-parts" : [ [ "1998", "4" ] ] }, "page" : "501-7", "title" : "Solid-state characterization of two polymorphs of aspartame hemihydrate.", "type" : "article-journal", "volume" : "87" }, "uris" : [ "http://www.mendeley.com/documents/?uuid=b62f8375-a8f3-4eb3-8fed-c6b669f63a50" ] }, { "id" : "ITEM-2", "itemData" : { "DOI" : "10.1002/jps", "author" : [ { "dropping-particle" : "", "family" : "Colombo", "given" : "I", "non-dropping-particle" : "", "parse-names" : false, "suffix" : "" }, { "dropping-particle" : "", "family" : "Grassi", "given" : "G", "non-dropping-particle" : "", "parse-names" : false, "suffix" : "" }, { "dropping-particle" : "", "family" : "Grassi", "given" : "M", "non-dropping-particle" : "", "parse-names" : false, "suffix" : "" } ], "container-title" : "Journal of pharmaceutical sciences", "id" : "ITEM-2", "issue" : "11", "issued" : { "date-parts" : [ [ "2009" ] ] }, "page" : "3961-3986", "title" : "Drug mechanochemical activation", "type" : "article-journal", "volume" : "98" }, "uris" : [ "http://www.mendeley.com/documents/?uuid=d4f083c9-4be3-4395-8bc2-aba0fd4def6f" ] }, { "id" : "ITEM-3", "itemData" : { "ISSN" : "0022-3549", "PMID" : "11948548", "abstract" : "A bulk powder of sulfamerazine polymorph II in a narrow distribution of particle size was prepared for the first time. The two known sulfamerazine polymorphs, I and II, were physically characterized by optical microscopy, powder X-ray diffractometry, differential scanning calorimetry, carbon-13 solid-state nuclear magnetic resonance spectroscopy, and measurements of aqueous solubility and density. The thermodynamics and kinetics of the transition between the polymorphs was examined under various pharmaceutically relevant conditions, such as heating, cooling, milling, compaction, and contact with solvents. The two polymorphs were found to be enantiotropes with slow kinetics of interconversion. The thermodynamic transition temperature lies between 51 and 54 degrees C, with polymorph II stable at lower temperatures. Ostwald's Rule of Stages explains the crystallization of the polymorphs from various solvents and may account for the delay in the discovery of polymorph II.", "author" : [ { "dropping-particle" : "", "family" : "Zhang", "given" : "Geoff G Z", "non-dropping-particle" : "", "parse-names" : false, "suffix" : "" }, { "dropping-particle" : "", "family" : "Gu", "given" : "Chonghui", "non-dropping-particle" : "", "parse-names" : false, "suffix" : "" }, { "dropping-particle" : "", "family" : "Zell", "given" : "Mark T", "non-dropping-particle" : "", "parse-names" : false, "suffix" : "" }, { "dropping-particle" : "", "family" : "Burkhardt", "given" : "R Todd", "non-dropping-particle" : "", "parse-names" : false, "suffix" : "" }, { "dropping-particle" : "", "family" : "Munson", "given" : "Eric J", "non-dropping-particle" : "", "parse-names" : false, "suffix" : "" }, { "dropping-particle" : "", "family" : "Grant", "given" : "David J W", "non-dropping-particle" : "", "parse-names" : false, "suffix" : "" } ], "container-title" : "Journal of pharmaceutical sciences", "id" : "ITEM-3", "issue" : "4", "issued" : { "date-parts" : [ [ "2002", "4" ] ] }, "page" : "1089-100", "title" : "Crystallization and transitions of sulfamerazine polymorphs.", "type" : "article-journal", "volume" : "91" }, "uris" : [ "http://www.mendeley.com/documents/?uuid=fe0171e6-dd4a-469f-b782-bf04b30f6dde" ] } ], "mendeley" : { "previouslyFormattedCitation" : "&lt;sup&gt;[19\u201321]&lt;/sup&gt;" }, "properties" : { "noteIndex" : 0 }, "schema" : "https://github.com/citation-style-language/schema/raw/master/csl-citation.json" }</w:instrText>
      </w:r>
      <w:r w:rsidR="002333DA" w:rsidRPr="003F6316">
        <w:fldChar w:fldCharType="separate"/>
      </w:r>
      <w:r w:rsidR="00364163" w:rsidRPr="003F6316">
        <w:rPr>
          <w:noProof/>
          <w:vertAlign w:val="superscript"/>
        </w:rPr>
        <w:t>[19–21]</w:t>
      </w:r>
      <w:r w:rsidR="002333DA" w:rsidRPr="003F6316">
        <w:fldChar w:fldCharType="end"/>
      </w:r>
      <w:r w:rsidR="00060E2D" w:rsidRPr="003F6316">
        <w:t>.</w:t>
      </w:r>
    </w:p>
    <w:p w:rsidR="00060E2D" w:rsidRPr="003F6316" w:rsidRDefault="00623357" w:rsidP="00243CFD">
      <w:pPr>
        <w:spacing w:line="360" w:lineRule="auto"/>
        <w:jc w:val="both"/>
      </w:pPr>
      <w:r w:rsidRPr="003F6316">
        <w:t>Published work on</w:t>
      </w:r>
      <w:r w:rsidR="00060E2D" w:rsidRPr="003F6316">
        <w:t xml:space="preserve"> rivastigmine hydrogen tartrate</w:t>
      </w:r>
      <w:r w:rsidRPr="003F6316">
        <w:t xml:space="preserve"> has only identified the different </w:t>
      </w:r>
      <w:r w:rsidR="00FB045D" w:rsidRPr="003F6316">
        <w:t xml:space="preserve">polymorphic </w:t>
      </w:r>
      <w:r w:rsidRPr="003F6316">
        <w:t xml:space="preserve">forms and </w:t>
      </w:r>
      <w:r w:rsidR="00D60422" w:rsidRPr="003F6316">
        <w:t>how to attain them by crystallisation</w:t>
      </w:r>
      <w:r w:rsidRPr="003F6316">
        <w:t xml:space="preserve">, with </w:t>
      </w:r>
      <w:r w:rsidR="006E309E" w:rsidRPr="003F6316">
        <w:t xml:space="preserve">no </w:t>
      </w:r>
      <w:r w:rsidR="000526F6" w:rsidRPr="003F6316">
        <w:t>reports</w:t>
      </w:r>
      <w:r w:rsidR="006E309E" w:rsidRPr="003F6316">
        <w:t xml:space="preserve"> on the thermodynamics and stability of the polymorphic transition</w:t>
      </w:r>
      <w:r w:rsidR="006856DA" w:rsidRPr="003F6316">
        <w:t xml:space="preserve"> nor </w:t>
      </w:r>
      <w:r w:rsidR="000526F6" w:rsidRPr="003F6316">
        <w:t>on</w:t>
      </w:r>
      <w:r w:rsidR="006E309E" w:rsidRPr="003F6316">
        <w:t xml:space="preserve"> production </w:t>
      </w:r>
      <w:r w:rsidR="000526F6" w:rsidRPr="003F6316">
        <w:t>by means of</w:t>
      </w:r>
      <w:r w:rsidR="006E309E" w:rsidRPr="003F6316">
        <w:t xml:space="preserve"> other processing techniques;</w:t>
      </w:r>
      <w:r w:rsidR="000526F6" w:rsidRPr="003F6316">
        <w:t xml:space="preserve"> </w:t>
      </w:r>
      <w:proofErr w:type="gramStart"/>
      <w:r w:rsidR="006E309E" w:rsidRPr="003F6316">
        <w:t>all r</w:t>
      </w:r>
      <w:r w:rsidRPr="003F6316">
        <w:t xml:space="preserve">emaining work </w:t>
      </w:r>
      <w:r w:rsidR="006E309E" w:rsidRPr="003F6316">
        <w:t>has</w:t>
      </w:r>
      <w:proofErr w:type="gramEnd"/>
      <w:r w:rsidR="006E309E" w:rsidRPr="003F6316">
        <w:t xml:space="preserve"> </w:t>
      </w:r>
      <w:r w:rsidRPr="003F6316">
        <w:t>focus</w:t>
      </w:r>
      <w:r w:rsidR="006E309E" w:rsidRPr="003F6316">
        <w:t>ed</w:t>
      </w:r>
      <w:r w:rsidRPr="003F6316">
        <w:t xml:space="preserve"> on formulation, pharmacology and pharmacokinetics of </w:t>
      </w:r>
      <w:r w:rsidR="00B1562C" w:rsidRPr="003F6316">
        <w:t>dosage forms</w:t>
      </w:r>
      <w:r w:rsidRPr="003F6316">
        <w:t>.</w:t>
      </w:r>
      <w:r w:rsidR="00060E2D" w:rsidRPr="003F6316">
        <w:t xml:space="preserve"> </w:t>
      </w:r>
      <w:r w:rsidRPr="003F6316">
        <w:t>As it is important for a formulator to fully comprehend the possible transformations an API can undergo</w:t>
      </w:r>
      <w:r w:rsidR="000526F6" w:rsidRPr="003F6316">
        <w:t>,</w:t>
      </w:r>
      <w:r w:rsidR="006E309E" w:rsidRPr="003F6316">
        <w:t xml:space="preserve"> </w:t>
      </w:r>
      <w:r w:rsidR="000526F6" w:rsidRPr="003F6316">
        <w:t>as well as being</w:t>
      </w:r>
      <w:r w:rsidR="006E309E" w:rsidRPr="003F6316">
        <w:t xml:space="preserve"> a requirement </w:t>
      </w:r>
      <w:r w:rsidR="00D2590B" w:rsidRPr="003F6316">
        <w:t>for the regulatory</w:t>
      </w:r>
      <w:r w:rsidR="006E309E" w:rsidRPr="003F6316">
        <w:t xml:space="preserve"> authorities</w:t>
      </w:r>
      <w:r w:rsidR="007E5021" w:rsidRPr="003F6316">
        <w:t>,</w:t>
      </w:r>
      <w:r w:rsidRPr="003F6316">
        <w:t xml:space="preserve"> the </w:t>
      </w:r>
      <w:r w:rsidR="00B1562C" w:rsidRPr="003F6316">
        <w:t xml:space="preserve">present </w:t>
      </w:r>
      <w:r w:rsidRPr="003F6316">
        <w:t>study aims to</w:t>
      </w:r>
      <w:r w:rsidR="008D34C5" w:rsidRPr="003F6316">
        <w:t xml:space="preserve"> gain</w:t>
      </w:r>
      <w:r w:rsidR="00D2590B" w:rsidRPr="003F6316">
        <w:t xml:space="preserve"> a novel and</w:t>
      </w:r>
      <w:r w:rsidR="008D34C5" w:rsidRPr="003F6316">
        <w:t xml:space="preserve"> fundamental understanding of the polymorphic forms by</w:t>
      </w:r>
      <w:r w:rsidRPr="003F6316">
        <w:t xml:space="preserve"> (1) </w:t>
      </w:r>
      <w:r w:rsidR="00E158A4" w:rsidRPr="003F6316">
        <w:t>evaluat</w:t>
      </w:r>
      <w:r w:rsidR="008D34C5" w:rsidRPr="003F6316">
        <w:t>ing</w:t>
      </w:r>
      <w:r w:rsidR="00E158A4" w:rsidRPr="003F6316">
        <w:t xml:space="preserve"> RHT thermodynamic stability</w:t>
      </w:r>
      <w:r w:rsidR="000915A1" w:rsidRPr="003F6316">
        <w:t xml:space="preserve"> </w:t>
      </w:r>
      <w:r w:rsidR="00B1562C" w:rsidRPr="003F6316">
        <w:t xml:space="preserve">in order to </w:t>
      </w:r>
      <w:r w:rsidR="000915A1" w:rsidRPr="003F6316">
        <w:t xml:space="preserve">define whether the two polymorphic forms are </w:t>
      </w:r>
      <w:proofErr w:type="spellStart"/>
      <w:r w:rsidR="000915A1" w:rsidRPr="003F6316">
        <w:t>monotropic</w:t>
      </w:r>
      <w:proofErr w:type="spellEnd"/>
      <w:r w:rsidR="000915A1" w:rsidRPr="003F6316">
        <w:t xml:space="preserve"> or </w:t>
      </w:r>
      <w:proofErr w:type="spellStart"/>
      <w:r w:rsidR="000915A1" w:rsidRPr="003F6316">
        <w:t>enantiotropic</w:t>
      </w:r>
      <w:proofErr w:type="spellEnd"/>
      <w:r w:rsidRPr="003F6316">
        <w:t xml:space="preserve"> and (2) investigat</w:t>
      </w:r>
      <w:r w:rsidR="00FB045D" w:rsidRPr="003F6316">
        <w:t>ing</w:t>
      </w:r>
      <w:r w:rsidRPr="003F6316">
        <w:t xml:space="preserve"> the potential for polymorphic transformation of RHT on milling.</w:t>
      </w:r>
    </w:p>
    <w:p w:rsidR="00AA3A31" w:rsidRPr="003F6316" w:rsidRDefault="00AA3A31" w:rsidP="00243CFD">
      <w:pPr>
        <w:spacing w:line="360" w:lineRule="auto"/>
        <w:jc w:val="both"/>
      </w:pPr>
    </w:p>
    <w:p w:rsidR="001638DA" w:rsidRPr="003F6316" w:rsidRDefault="001638DA" w:rsidP="005561EB">
      <w:pPr>
        <w:pStyle w:val="ListParagraph"/>
        <w:numPr>
          <w:ilvl w:val="0"/>
          <w:numId w:val="1"/>
        </w:numPr>
        <w:spacing w:line="360" w:lineRule="auto"/>
        <w:jc w:val="both"/>
        <w:rPr>
          <w:b/>
        </w:rPr>
      </w:pPr>
      <w:r w:rsidRPr="003F6316">
        <w:rPr>
          <w:b/>
        </w:rPr>
        <w:t>MATERIALS</w:t>
      </w:r>
      <w:r w:rsidR="00243CFD" w:rsidRPr="003F6316">
        <w:rPr>
          <w:b/>
        </w:rPr>
        <w:t xml:space="preserve"> AND METHODS</w:t>
      </w:r>
    </w:p>
    <w:p w:rsidR="00243CFD" w:rsidRPr="003F6316" w:rsidRDefault="00243CFD" w:rsidP="005561EB">
      <w:pPr>
        <w:pStyle w:val="ListParagraph"/>
        <w:numPr>
          <w:ilvl w:val="1"/>
          <w:numId w:val="1"/>
        </w:numPr>
        <w:spacing w:line="360" w:lineRule="auto"/>
        <w:jc w:val="both"/>
        <w:rPr>
          <w:b/>
        </w:rPr>
      </w:pPr>
      <w:r w:rsidRPr="003F6316">
        <w:rPr>
          <w:b/>
        </w:rPr>
        <w:t>Materials</w:t>
      </w:r>
    </w:p>
    <w:p w:rsidR="00243CFD" w:rsidRPr="003F6316" w:rsidRDefault="00243CFD" w:rsidP="00243CFD">
      <w:pPr>
        <w:spacing w:line="360" w:lineRule="auto"/>
        <w:jc w:val="both"/>
      </w:pPr>
      <w:r w:rsidRPr="003F6316">
        <w:t>Rivastigmine hydrogen tartrate was purchased from Jiuzhou Pharmaceutical (China</w:t>
      </w:r>
      <w:r w:rsidR="00B1562C" w:rsidRPr="003F6316">
        <w:t>)</w:t>
      </w:r>
      <w:r w:rsidRPr="003F6316">
        <w:t xml:space="preserve"> and ammonium phosphate from Sigma-Aldrich (Ireland). Methanol (MeOH) and Acetonitrile were purchased from Fisher Scientific (Ireland) and, deionised water was obtained from a </w:t>
      </w:r>
      <w:r w:rsidR="00746ADF" w:rsidRPr="003F6316">
        <w:t>Syn</w:t>
      </w:r>
      <w:r w:rsidR="00F020BD" w:rsidRPr="003F6316">
        <w:t>ergy® water purification system</w:t>
      </w:r>
      <w:r w:rsidR="00746ADF" w:rsidRPr="003F6316">
        <w:t xml:space="preserve"> (Merck Millipore, US)</w:t>
      </w:r>
      <w:r w:rsidRPr="003F6316">
        <w:t>.</w:t>
      </w:r>
    </w:p>
    <w:p w:rsidR="00E1196C" w:rsidRPr="003F6316" w:rsidRDefault="00E1196C" w:rsidP="00243CFD">
      <w:pPr>
        <w:spacing w:line="360" w:lineRule="auto"/>
        <w:jc w:val="both"/>
      </w:pPr>
    </w:p>
    <w:p w:rsidR="00243CFD" w:rsidRPr="003F6316" w:rsidRDefault="00243CFD" w:rsidP="005561EB">
      <w:pPr>
        <w:pStyle w:val="ListParagraph"/>
        <w:numPr>
          <w:ilvl w:val="1"/>
          <w:numId w:val="1"/>
        </w:numPr>
        <w:spacing w:line="360" w:lineRule="auto"/>
        <w:jc w:val="both"/>
        <w:rPr>
          <w:b/>
        </w:rPr>
      </w:pPr>
      <w:r w:rsidRPr="003F6316">
        <w:rPr>
          <w:b/>
        </w:rPr>
        <w:t>Methods</w:t>
      </w:r>
    </w:p>
    <w:p w:rsidR="009773F7" w:rsidRPr="003F6316" w:rsidRDefault="009A4760" w:rsidP="009A4760">
      <w:pPr>
        <w:pStyle w:val="ListParagraph"/>
        <w:numPr>
          <w:ilvl w:val="2"/>
          <w:numId w:val="1"/>
        </w:numPr>
        <w:spacing w:line="360" w:lineRule="auto"/>
        <w:jc w:val="both"/>
      </w:pPr>
      <w:r w:rsidRPr="003F6316">
        <w:rPr>
          <w:b/>
        </w:rPr>
        <w:t xml:space="preserve">Recrystallisation of RHT </w:t>
      </w:r>
    </w:p>
    <w:p w:rsidR="00C87161" w:rsidRPr="003F6316" w:rsidRDefault="009A4760" w:rsidP="00DC4118">
      <w:pPr>
        <w:spacing w:line="360" w:lineRule="auto"/>
        <w:jc w:val="both"/>
      </w:pPr>
      <w:r w:rsidRPr="003F6316">
        <w:t xml:space="preserve">Production of </w:t>
      </w:r>
      <w:r w:rsidR="00A04D89" w:rsidRPr="003F6316">
        <w:t xml:space="preserve">RHT polymorphic forms was </w:t>
      </w:r>
      <w:r w:rsidR="00086FC8" w:rsidRPr="003F6316">
        <w:t>performed</w:t>
      </w:r>
      <w:r w:rsidR="00A04D89" w:rsidRPr="003F6316">
        <w:t xml:space="preserve"> by single-solvent recrystallization. </w:t>
      </w:r>
      <w:r w:rsidR="00FD75AA" w:rsidRPr="003F6316">
        <w:t>“</w:t>
      </w:r>
      <w:r w:rsidR="00EA3387" w:rsidRPr="003F6316">
        <w:t>A</w:t>
      </w:r>
      <w:r w:rsidR="00FD75AA" w:rsidRPr="003F6316">
        <w:t xml:space="preserve">s </w:t>
      </w:r>
      <w:r w:rsidR="00AA3A31" w:rsidRPr="003F6316">
        <w:t>supplied</w:t>
      </w:r>
      <w:r w:rsidR="00FD75AA" w:rsidRPr="003F6316">
        <w:t>” RHT</w:t>
      </w:r>
      <w:r w:rsidR="00A04D89" w:rsidRPr="003F6316">
        <w:t xml:space="preserve"> was dissolved in the smallest volume of hot solvent to make a saturated solution. </w:t>
      </w:r>
      <w:r w:rsidR="009773F7" w:rsidRPr="003F6316">
        <w:t>The chosen solvents were ethanol</w:t>
      </w:r>
      <w:r w:rsidR="00B1562C" w:rsidRPr="003F6316">
        <w:t>,</w:t>
      </w:r>
      <w:r w:rsidR="009773F7" w:rsidRPr="003F6316">
        <w:t xml:space="preserve"> to produce </w:t>
      </w:r>
      <w:r w:rsidR="00EA3387" w:rsidRPr="003F6316">
        <w:t>F</w:t>
      </w:r>
      <w:r w:rsidR="009773F7" w:rsidRPr="003F6316">
        <w:t>orm II</w:t>
      </w:r>
      <w:r w:rsidR="00B1562C" w:rsidRPr="003F6316">
        <w:t>,</w:t>
      </w:r>
      <w:r w:rsidR="009773F7" w:rsidRPr="003F6316">
        <w:t xml:space="preserve"> and isopropanol</w:t>
      </w:r>
      <w:r w:rsidR="00B1562C" w:rsidRPr="003F6316">
        <w:t>,</w:t>
      </w:r>
      <w:r w:rsidR="009773F7" w:rsidRPr="003F6316">
        <w:t xml:space="preserve"> to produce </w:t>
      </w:r>
      <w:r w:rsidR="007C3A11" w:rsidRPr="003F6316">
        <w:t>Form</w:t>
      </w:r>
      <w:r w:rsidR="00086FC8" w:rsidRPr="003F6316">
        <w:t xml:space="preserve"> I</w:t>
      </w:r>
      <w:r w:rsidR="009773F7" w:rsidRPr="003F6316">
        <w:t xml:space="preserve">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"mendeley" : { "previouslyFormattedCitation" : "&lt;sup&gt;[15]&lt;/sup&gt;" }, "properties" : { "noteIndex" : 0 }, "schema" : "https://github.com/citation-style-language/schema/raw/master/csl-citation.json" }</w:instrText>
      </w:r>
      <w:r w:rsidR="002333DA" w:rsidRPr="003F6316">
        <w:fldChar w:fldCharType="separate"/>
      </w:r>
      <w:r w:rsidR="00364163" w:rsidRPr="003F6316">
        <w:rPr>
          <w:noProof/>
          <w:vertAlign w:val="superscript"/>
        </w:rPr>
        <w:t>[15]</w:t>
      </w:r>
      <w:r w:rsidR="002333DA" w:rsidRPr="003F6316">
        <w:fldChar w:fldCharType="end"/>
      </w:r>
      <w:r w:rsidR="009773F7" w:rsidRPr="003F6316">
        <w:t xml:space="preserve">. </w:t>
      </w:r>
      <w:r w:rsidR="00A04D89" w:rsidRPr="003F6316">
        <w:t xml:space="preserve">Once dissolved, the </w:t>
      </w:r>
      <w:r w:rsidR="00A04D89" w:rsidRPr="003F6316">
        <w:lastRenderedPageBreak/>
        <w:t xml:space="preserve">solution was </w:t>
      </w:r>
      <w:r w:rsidR="00B1562C" w:rsidRPr="003F6316">
        <w:t xml:space="preserve">placed </w:t>
      </w:r>
      <w:r w:rsidR="00A04D89" w:rsidRPr="003F6316">
        <w:t>in a water bath (4 °C) for</w:t>
      </w:r>
      <w:r w:rsidR="00B1562C" w:rsidRPr="003F6316">
        <w:t xml:space="preserve"> </w:t>
      </w:r>
      <w:r w:rsidR="00086FC8" w:rsidRPr="003F6316">
        <w:t>1</w:t>
      </w:r>
      <w:r w:rsidR="00A04D89" w:rsidRPr="003F6316">
        <w:t xml:space="preserve"> to </w:t>
      </w:r>
      <w:r w:rsidR="00086FC8" w:rsidRPr="003F6316">
        <w:t>2</w:t>
      </w:r>
      <w:r w:rsidR="00A04D89" w:rsidRPr="003F6316">
        <w:t xml:space="preserve"> min</w:t>
      </w:r>
      <w:r w:rsidR="00C90A06" w:rsidRPr="003F6316">
        <w:t>utes</w:t>
      </w:r>
      <w:r w:rsidR="00A04D89" w:rsidRPr="003F6316">
        <w:t xml:space="preserve"> to initiate nucleation, after which, the solution was left at room temperature to promote crystal growth. The slurry was then </w:t>
      </w:r>
      <w:r w:rsidR="00B1562C" w:rsidRPr="003F6316">
        <w:t xml:space="preserve">filtered </w:t>
      </w:r>
      <w:r w:rsidR="007156F1" w:rsidRPr="003F6316">
        <w:t>and crystals dried at 30-4</w:t>
      </w:r>
      <w:r w:rsidR="00A04D89" w:rsidRPr="003F6316">
        <w:t xml:space="preserve">0 °C </w:t>
      </w:r>
      <w:r w:rsidR="007156F1" w:rsidRPr="003F6316">
        <w:t xml:space="preserve">for RHT </w:t>
      </w:r>
      <w:r w:rsidR="007C3A11" w:rsidRPr="003F6316">
        <w:t>Form</w:t>
      </w:r>
      <w:r w:rsidR="007156F1" w:rsidRPr="003F6316">
        <w:t xml:space="preserve"> I and 20-30 °C </w:t>
      </w:r>
      <w:r w:rsidR="00086FC8" w:rsidRPr="003F6316">
        <w:t xml:space="preserve">for </w:t>
      </w:r>
      <w:r w:rsidR="007C3A11" w:rsidRPr="003F6316">
        <w:t>Form</w:t>
      </w:r>
      <w:r w:rsidR="00086FC8" w:rsidRPr="003F6316">
        <w:t xml:space="preserve"> II</w:t>
      </w:r>
      <w:r w:rsidR="00FB045D" w:rsidRPr="003F6316">
        <w:t>,</w:t>
      </w:r>
      <w:r w:rsidR="00086FC8" w:rsidRPr="003F6316">
        <w:t xml:space="preserve"> </w:t>
      </w:r>
      <w:r w:rsidR="00A04D89" w:rsidRPr="003F6316">
        <w:t xml:space="preserve">as </w:t>
      </w:r>
      <w:r w:rsidR="00B1562C" w:rsidRPr="003F6316">
        <w:t xml:space="preserve">described by </w:t>
      </w:r>
      <w:r w:rsidR="00626E16" w:rsidRPr="003F6316">
        <w:t xml:space="preserve">Benkic et al. </w:t>
      </w:r>
      <w:r w:rsidR="00F020BD" w:rsidRPr="003F6316">
        <w:rPr>
          <w:vertAlign w:val="superscript"/>
        </w:rPr>
        <w:t>[15]</w:t>
      </w:r>
      <w:r w:rsidR="00A04D89" w:rsidRPr="003F6316">
        <w:t xml:space="preserve"> </w:t>
      </w:r>
    </w:p>
    <w:p w:rsidR="00531193" w:rsidRPr="003F6316" w:rsidRDefault="00531193" w:rsidP="00C87161">
      <w:pPr>
        <w:pStyle w:val="ListParagraph"/>
        <w:numPr>
          <w:ilvl w:val="2"/>
          <w:numId w:val="1"/>
        </w:numPr>
        <w:spacing w:line="360" w:lineRule="auto"/>
        <w:jc w:val="both"/>
        <w:rPr>
          <w:rFonts w:eastAsia="Arial Unicode MS"/>
          <w:b/>
        </w:rPr>
      </w:pPr>
      <w:r w:rsidRPr="003F6316">
        <w:rPr>
          <w:rFonts w:eastAsia="Arial Unicode MS"/>
          <w:b/>
        </w:rPr>
        <w:t>Milling studies</w:t>
      </w:r>
    </w:p>
    <w:p w:rsidR="00531193" w:rsidRPr="003F6316" w:rsidRDefault="00531193" w:rsidP="00531193">
      <w:pPr>
        <w:spacing w:line="360" w:lineRule="auto"/>
        <w:jc w:val="both"/>
        <w:rPr>
          <w:rFonts w:eastAsia="Arial Unicode MS"/>
        </w:rPr>
      </w:pPr>
      <w:r w:rsidRPr="003F6316">
        <w:rPr>
          <w:rFonts w:eastAsia="Arial Unicode MS"/>
        </w:rPr>
        <w:t xml:space="preserve">Ball milling experiments were performed in a Retsch planetary ball mill PM100 at room temperature. One gram of </w:t>
      </w:r>
      <w:r w:rsidR="001A057C" w:rsidRPr="003F6316">
        <w:rPr>
          <w:rFonts w:eastAsia="Arial Unicode MS"/>
        </w:rPr>
        <w:t xml:space="preserve">“as supplied” </w:t>
      </w:r>
      <w:r w:rsidRPr="003F6316">
        <w:rPr>
          <w:rFonts w:eastAsia="Arial Unicode MS"/>
        </w:rPr>
        <w:t>RHT was loaded into a 50 ml stainless steel jar, with 3 stainless steel balls of 20 mm diameter</w:t>
      </w:r>
      <w:r w:rsidR="005513EA" w:rsidRPr="003F6316">
        <w:rPr>
          <w:rFonts w:eastAsia="Arial Unicode MS"/>
        </w:rPr>
        <w:t>, resulting in a ball to powder mass ratio of 100:1</w:t>
      </w:r>
      <w:r w:rsidRPr="003F6316">
        <w:rPr>
          <w:rFonts w:eastAsia="Arial Unicode MS"/>
        </w:rPr>
        <w:t>. Rotation speed was set to 400 rpm and samples were collected at different time points</w:t>
      </w:r>
      <w:r w:rsidR="001A057C" w:rsidRPr="003F6316">
        <w:rPr>
          <w:rFonts w:eastAsia="Arial Unicode MS"/>
        </w:rPr>
        <w:t xml:space="preserve"> (15 min, 30 min, 1h, 2h and</w:t>
      </w:r>
      <w:r w:rsidRPr="003F6316">
        <w:rPr>
          <w:rFonts w:eastAsia="Arial Unicode MS"/>
        </w:rPr>
        <w:t xml:space="preserve"> 3h). Another set of experiments consisted </w:t>
      </w:r>
      <w:r w:rsidR="00B1562C" w:rsidRPr="003F6316">
        <w:rPr>
          <w:rFonts w:eastAsia="Arial Unicode MS"/>
        </w:rPr>
        <w:t xml:space="preserve">of continuous milling of </w:t>
      </w:r>
      <w:r w:rsidR="001A057C" w:rsidRPr="003F6316">
        <w:rPr>
          <w:rFonts w:eastAsia="Arial Unicode MS"/>
        </w:rPr>
        <w:t xml:space="preserve">“as supplied” </w:t>
      </w:r>
      <w:r w:rsidRPr="003F6316">
        <w:rPr>
          <w:rFonts w:eastAsia="Arial Unicode MS"/>
        </w:rPr>
        <w:t>RHT for 1 h, 2h and 3h at the conditions described above. Experiments were performed in triplicate.</w:t>
      </w:r>
    </w:p>
    <w:p w:rsidR="00684EC6" w:rsidRPr="003F6316" w:rsidRDefault="00684EC6" w:rsidP="00684EC6">
      <w:pPr>
        <w:pStyle w:val="ListParagraph"/>
        <w:numPr>
          <w:ilvl w:val="2"/>
          <w:numId w:val="1"/>
        </w:numPr>
        <w:spacing w:line="360" w:lineRule="auto"/>
        <w:jc w:val="both"/>
        <w:rPr>
          <w:b/>
        </w:rPr>
      </w:pPr>
      <w:r w:rsidRPr="003F6316">
        <w:rPr>
          <w:b/>
        </w:rPr>
        <w:t>Scanning Electron Microscopy (SEM)</w:t>
      </w:r>
    </w:p>
    <w:p w:rsidR="00684EC6" w:rsidRPr="003F6316" w:rsidRDefault="00684EC6" w:rsidP="00C90A06">
      <w:pPr>
        <w:spacing w:line="360" w:lineRule="auto"/>
        <w:jc w:val="both"/>
        <w:rPr>
          <w:b/>
        </w:rPr>
      </w:pPr>
      <w:r w:rsidRPr="003F6316">
        <w:t xml:space="preserve">SEM micrographs of spray-dried materials were made </w:t>
      </w:r>
      <w:r w:rsidR="00EA3387" w:rsidRPr="003F6316">
        <w:t xml:space="preserve">using </w:t>
      </w:r>
      <w:r w:rsidRPr="003F6316">
        <w:t xml:space="preserve">a Zeiss Ultra Plus (Germany). </w:t>
      </w:r>
      <w:r w:rsidR="008051C5" w:rsidRPr="003F6316">
        <w:t xml:space="preserve">Sample preparation and visualisation </w:t>
      </w:r>
      <w:r w:rsidR="00FB045D" w:rsidRPr="003F6316">
        <w:t>was as described</w:t>
      </w:r>
      <w:r w:rsidR="008051C5" w:rsidRPr="003F6316">
        <w:t xml:space="preserve"> by Tewes et al. </w:t>
      </w:r>
      <w:r w:rsidR="008051C5" w:rsidRPr="003F6316">
        <w:rPr>
          <w:vertAlign w:val="superscript"/>
        </w:rPr>
        <w:t>[24]</w:t>
      </w:r>
      <w:r w:rsidR="008051C5" w:rsidRPr="003F6316">
        <w:t>.</w:t>
      </w:r>
    </w:p>
    <w:p w:rsidR="00243CFD" w:rsidRPr="003F6316" w:rsidRDefault="00243CFD" w:rsidP="00531193">
      <w:pPr>
        <w:pStyle w:val="ListParagraph"/>
        <w:numPr>
          <w:ilvl w:val="2"/>
          <w:numId w:val="1"/>
        </w:numPr>
        <w:spacing w:line="360" w:lineRule="auto"/>
        <w:jc w:val="both"/>
        <w:rPr>
          <w:b/>
        </w:rPr>
      </w:pPr>
      <w:r w:rsidRPr="003F6316">
        <w:rPr>
          <w:b/>
        </w:rPr>
        <w:t xml:space="preserve">Powder </w:t>
      </w:r>
      <w:r w:rsidR="00967E8F" w:rsidRPr="003F6316">
        <w:rPr>
          <w:b/>
        </w:rPr>
        <w:t xml:space="preserve">X-Ray </w:t>
      </w:r>
      <w:r w:rsidRPr="003F6316">
        <w:rPr>
          <w:b/>
        </w:rPr>
        <w:t>Diffraction (</w:t>
      </w:r>
      <w:r w:rsidR="00967E8F" w:rsidRPr="003F6316">
        <w:rPr>
          <w:b/>
        </w:rPr>
        <w:t>PXRD</w:t>
      </w:r>
      <w:r w:rsidRPr="003F6316">
        <w:rPr>
          <w:b/>
        </w:rPr>
        <w:t>)</w:t>
      </w:r>
    </w:p>
    <w:p w:rsidR="00243CFD" w:rsidRPr="003F6316" w:rsidRDefault="00EA3387" w:rsidP="00243CFD">
      <w:pPr>
        <w:spacing w:line="360" w:lineRule="auto"/>
        <w:jc w:val="both"/>
      </w:pPr>
      <w:r w:rsidRPr="003F6316">
        <w:t>PXRD</w:t>
      </w:r>
      <w:r w:rsidR="00243CFD" w:rsidRPr="003F6316">
        <w:t xml:space="preserve"> measurements </w:t>
      </w:r>
      <w:r w:rsidR="00845071" w:rsidRPr="003F6316">
        <w:t xml:space="preserve">were obtained </w:t>
      </w:r>
      <w:r w:rsidR="00243CFD" w:rsidRPr="003F6316">
        <w:t xml:space="preserve">using a Rigaku MiniFlex II desktop X-ray diffractometer (Rigaku, Japan) </w:t>
      </w:r>
      <w:r w:rsidR="00341B40" w:rsidRPr="003F6316">
        <w:t xml:space="preserve">as described by Tewes et al. </w:t>
      </w:r>
      <w:r w:rsidR="00341B40" w:rsidRPr="003F6316">
        <w:rPr>
          <w:vertAlign w:val="superscript"/>
        </w:rPr>
        <w:t>[24</w:t>
      </w:r>
      <w:proofErr w:type="gramStart"/>
      <w:r w:rsidR="00341B40" w:rsidRPr="003F6316">
        <w:rPr>
          <w:vertAlign w:val="superscript"/>
        </w:rPr>
        <w:t>]</w:t>
      </w:r>
      <w:r w:rsidR="00243CFD" w:rsidRPr="003F6316">
        <w:t xml:space="preserve"> .</w:t>
      </w:r>
      <w:proofErr w:type="gramEnd"/>
      <w:r w:rsidR="00243CFD" w:rsidRPr="003F6316">
        <w:t xml:space="preserve"> Measurements were taken from </w:t>
      </w:r>
      <w:r w:rsidR="00845071" w:rsidRPr="003F6316">
        <w:t>3</w:t>
      </w:r>
      <w:r w:rsidR="00243CFD" w:rsidRPr="003F6316">
        <w:t xml:space="preserve">° to 40° on the two </w:t>
      </w:r>
      <w:r w:rsidR="00C90A06" w:rsidRPr="003F6316">
        <w:t xml:space="preserve">theta </w:t>
      </w:r>
      <w:r w:rsidR="00243CFD" w:rsidRPr="003F6316">
        <w:t>sc</w:t>
      </w:r>
      <w:r w:rsidR="00845071" w:rsidRPr="003F6316">
        <w:t>ale at a step size of 0.05 °/s</w:t>
      </w:r>
      <w:r w:rsidR="001A057C" w:rsidRPr="003F6316">
        <w:t>.</w:t>
      </w:r>
      <w:r w:rsidR="00D60422" w:rsidRPr="003F6316">
        <w:t xml:space="preserve"> </w:t>
      </w:r>
      <w:r w:rsidR="00F020BD" w:rsidRPr="003F6316">
        <w:t>Analyses were</w:t>
      </w:r>
      <w:r w:rsidR="00D60422" w:rsidRPr="003F6316">
        <w:t xml:space="preserve"> performed in triplicate.</w:t>
      </w:r>
    </w:p>
    <w:p w:rsidR="00845071" w:rsidRPr="003F6316" w:rsidRDefault="00845071" w:rsidP="00531193">
      <w:pPr>
        <w:pStyle w:val="ListParagraph"/>
        <w:numPr>
          <w:ilvl w:val="2"/>
          <w:numId w:val="1"/>
        </w:numPr>
        <w:spacing w:line="360" w:lineRule="auto"/>
        <w:jc w:val="both"/>
        <w:rPr>
          <w:b/>
        </w:rPr>
      </w:pPr>
      <w:r w:rsidRPr="003F6316">
        <w:rPr>
          <w:b/>
        </w:rPr>
        <w:t xml:space="preserve">Differential Scanning Calorimetry (DSC) </w:t>
      </w:r>
    </w:p>
    <w:p w:rsidR="00243CFD" w:rsidRPr="003F6316" w:rsidRDefault="00845071" w:rsidP="00ED3BD8">
      <w:pPr>
        <w:spacing w:line="360" w:lineRule="auto"/>
        <w:jc w:val="both"/>
      </w:pPr>
      <w:r w:rsidRPr="003F6316">
        <w:t>DSC</w:t>
      </w:r>
      <w:r w:rsidR="00243CFD" w:rsidRPr="003F6316">
        <w:t xml:space="preserve"> scans were </w:t>
      </w:r>
      <w:r w:rsidR="00FB045D" w:rsidRPr="003F6316">
        <w:t>performed using</w:t>
      </w:r>
      <w:r w:rsidR="00243CFD" w:rsidRPr="003F6316">
        <w:t xml:space="preserve"> a </w:t>
      </w:r>
      <w:r w:rsidR="00ED3BD8" w:rsidRPr="003F6316">
        <w:t>DSC Q200 (TA Instruments, United Kingdom)</w:t>
      </w:r>
      <w:r w:rsidR="00573B43" w:rsidRPr="003F6316">
        <w:t xml:space="preserve"> with</w:t>
      </w:r>
      <w:r w:rsidR="00243CFD" w:rsidRPr="003F6316">
        <w:t xml:space="preserve"> </w:t>
      </w:r>
      <w:r w:rsidR="00573B43" w:rsidRPr="003F6316">
        <w:t>n</w:t>
      </w:r>
      <w:r w:rsidR="00243CFD" w:rsidRPr="003F6316">
        <w:t>itrogen as the purge gas</w:t>
      </w:r>
      <w:r w:rsidR="00243CFD" w:rsidRPr="003F6316">
        <w:rPr>
          <w:color w:val="548DD4"/>
        </w:rPr>
        <w:t xml:space="preserve">. </w:t>
      </w:r>
      <w:r w:rsidR="00243CFD" w:rsidRPr="003F6316">
        <w:t xml:space="preserve">Samples were loaded into sealed aluminium pans with </w:t>
      </w:r>
      <w:r w:rsidR="007319E7" w:rsidRPr="003F6316">
        <w:t>one</w:t>
      </w:r>
      <w:r w:rsidR="00243CFD" w:rsidRPr="003F6316">
        <w:t xml:space="preserve"> vent hole and scanned over a temperature range of </w:t>
      </w:r>
      <w:r w:rsidR="007319E7" w:rsidRPr="003F6316">
        <w:t>0</w:t>
      </w:r>
      <w:r w:rsidR="00243CFD" w:rsidRPr="003F6316">
        <w:t>–</w:t>
      </w:r>
      <w:r w:rsidR="007319E7" w:rsidRPr="003F6316">
        <w:t>150</w:t>
      </w:r>
      <w:r w:rsidR="00243CFD" w:rsidRPr="003F6316">
        <w:t xml:space="preserve"> °C with </w:t>
      </w:r>
      <w:r w:rsidR="007319E7" w:rsidRPr="003F6316">
        <w:t>different</w:t>
      </w:r>
      <w:r w:rsidR="00243CFD" w:rsidRPr="003F6316">
        <w:t xml:space="preserve"> scanning rate</w:t>
      </w:r>
      <w:r w:rsidR="007319E7" w:rsidRPr="003F6316">
        <w:t>s:</w:t>
      </w:r>
      <w:r w:rsidR="00243CFD" w:rsidRPr="003F6316">
        <w:t xml:space="preserve"> </w:t>
      </w:r>
      <w:r w:rsidR="001A057C" w:rsidRPr="003F6316">
        <w:t>1,</w:t>
      </w:r>
      <w:r w:rsidR="00EB06B4" w:rsidRPr="003F6316">
        <w:t xml:space="preserve"> 2.5</w:t>
      </w:r>
      <w:r w:rsidR="007319E7" w:rsidRPr="003F6316">
        <w:t xml:space="preserve">, 5, </w:t>
      </w:r>
      <w:r w:rsidR="001601E0" w:rsidRPr="003F6316">
        <w:t xml:space="preserve">and </w:t>
      </w:r>
      <w:r w:rsidR="007319E7" w:rsidRPr="003F6316">
        <w:t xml:space="preserve">10 °C/min. </w:t>
      </w:r>
      <w:r w:rsidR="00243CFD" w:rsidRPr="003F6316">
        <w:t>Each measurement was performed in triplicate.</w:t>
      </w:r>
    </w:p>
    <w:p w:rsidR="00475943" w:rsidRPr="003F6316" w:rsidRDefault="00475943" w:rsidP="00C90A06">
      <w:pPr>
        <w:pStyle w:val="ListParagraph"/>
        <w:numPr>
          <w:ilvl w:val="2"/>
          <w:numId w:val="1"/>
        </w:numPr>
        <w:spacing w:line="360" w:lineRule="auto"/>
        <w:jc w:val="both"/>
        <w:rPr>
          <w:b/>
        </w:rPr>
      </w:pPr>
      <w:r w:rsidRPr="003F6316">
        <w:rPr>
          <w:b/>
        </w:rPr>
        <w:t>Thermogravimetric analysis (TGA)</w:t>
      </w:r>
    </w:p>
    <w:p w:rsidR="00475943" w:rsidRPr="003F6316" w:rsidRDefault="00573B43" w:rsidP="00C90A06">
      <w:pPr>
        <w:spacing w:line="360" w:lineRule="auto"/>
        <w:jc w:val="both"/>
        <w:rPr>
          <w:b/>
        </w:rPr>
      </w:pPr>
      <w:r w:rsidRPr="003F6316">
        <w:t>TGA</w:t>
      </w:r>
      <w:r w:rsidR="00475943" w:rsidRPr="003F6316">
        <w:t xml:space="preserve"> was used to determine the amount of water content </w:t>
      </w:r>
      <w:r w:rsidRPr="003F6316">
        <w:t xml:space="preserve">(defined as the weight loss in TGA between 25 and 100 °C) </w:t>
      </w:r>
      <w:r w:rsidR="00475943" w:rsidRPr="003F6316">
        <w:t xml:space="preserve">contained in RHT after continuous milling as described in 2.2.2. All measurements were performed with a </w:t>
      </w:r>
      <w:proofErr w:type="spellStart"/>
      <w:r w:rsidR="00475943" w:rsidRPr="003F6316">
        <w:t>Mettler</w:t>
      </w:r>
      <w:proofErr w:type="spellEnd"/>
      <w:r w:rsidR="00475943" w:rsidRPr="003F6316">
        <w:t xml:space="preserve"> TG 50 (Switzerland) module linked to a </w:t>
      </w:r>
      <w:proofErr w:type="spellStart"/>
      <w:r w:rsidR="00475943" w:rsidRPr="003F6316">
        <w:t>Mettler</w:t>
      </w:r>
      <w:proofErr w:type="spellEnd"/>
      <w:r w:rsidR="00475943" w:rsidRPr="003F6316">
        <w:t xml:space="preserve"> MT5 balance</w:t>
      </w:r>
      <w:r w:rsidR="008051C5" w:rsidRPr="003F6316">
        <w:t xml:space="preserve"> as previously described by Tewes et al. [24]</w:t>
      </w:r>
      <w:r w:rsidR="00475943" w:rsidRPr="003F6316">
        <w:t>. A temperature range of 25 – 200°C was employed with a heating rate of 10 °C/min. Presented results are the average of triplicate analyses.</w:t>
      </w:r>
    </w:p>
    <w:p w:rsidR="00845071" w:rsidRPr="003F6316" w:rsidRDefault="00845071" w:rsidP="00531193">
      <w:pPr>
        <w:pStyle w:val="ListParagraph"/>
        <w:numPr>
          <w:ilvl w:val="2"/>
          <w:numId w:val="1"/>
        </w:numPr>
        <w:spacing w:line="360" w:lineRule="auto"/>
        <w:jc w:val="both"/>
        <w:rPr>
          <w:b/>
        </w:rPr>
      </w:pPr>
      <w:r w:rsidRPr="003F6316">
        <w:rPr>
          <w:b/>
        </w:rPr>
        <w:t xml:space="preserve">Attenuated total </w:t>
      </w:r>
      <w:r w:rsidR="0047116E" w:rsidRPr="003F6316">
        <w:rPr>
          <w:b/>
        </w:rPr>
        <w:t>reflection Fourier transform</w:t>
      </w:r>
      <w:r w:rsidRPr="003F6316">
        <w:rPr>
          <w:b/>
        </w:rPr>
        <w:t xml:space="preserve"> infra-red spectroscopy (ATR-FTIR)</w:t>
      </w:r>
    </w:p>
    <w:p w:rsidR="00845071" w:rsidRPr="003F6316" w:rsidRDefault="00845071" w:rsidP="00243CFD">
      <w:pPr>
        <w:spacing w:line="360" w:lineRule="auto"/>
        <w:jc w:val="both"/>
      </w:pPr>
      <w:r w:rsidRPr="003F6316">
        <w:lastRenderedPageBreak/>
        <w:t>Infrared spectra were recorded on a PerkinElmer Spectrum 1 FT-IR Spectrometer (USA), working under Spectrum v5.0.1 software</w:t>
      </w:r>
      <w:r w:rsidR="008051C5" w:rsidRPr="003F6316">
        <w:t xml:space="preserve"> as described by Tewes et al. [24]</w:t>
      </w:r>
      <w:r w:rsidRPr="003F6316">
        <w:t>. Each measurement was performed in triplicate.</w:t>
      </w:r>
    </w:p>
    <w:p w:rsidR="0084343F" w:rsidRPr="003F6316" w:rsidRDefault="0084343F" w:rsidP="00531193">
      <w:pPr>
        <w:pStyle w:val="ListParagraph"/>
        <w:numPr>
          <w:ilvl w:val="2"/>
          <w:numId w:val="1"/>
        </w:numPr>
        <w:spacing w:line="360" w:lineRule="auto"/>
        <w:jc w:val="both"/>
        <w:rPr>
          <w:b/>
        </w:rPr>
      </w:pPr>
      <w:r w:rsidRPr="003F6316">
        <w:rPr>
          <w:b/>
        </w:rPr>
        <w:t xml:space="preserve">Helium </w:t>
      </w:r>
      <w:proofErr w:type="spellStart"/>
      <w:r w:rsidRPr="003F6316">
        <w:rPr>
          <w:b/>
        </w:rPr>
        <w:t>pycnometry</w:t>
      </w:r>
      <w:proofErr w:type="spellEnd"/>
    </w:p>
    <w:p w:rsidR="0084343F" w:rsidRPr="003F6316" w:rsidRDefault="0084343F" w:rsidP="0084343F">
      <w:pPr>
        <w:spacing w:line="360" w:lineRule="auto"/>
        <w:jc w:val="both"/>
        <w:rPr>
          <w:color w:val="548DD4"/>
        </w:rPr>
      </w:pPr>
      <w:r w:rsidRPr="003F6316">
        <w:t xml:space="preserve">True density was measured </w:t>
      </w:r>
      <w:r w:rsidR="00573B43" w:rsidRPr="003F6316">
        <w:t>using a</w:t>
      </w:r>
      <w:r w:rsidR="00FB045D" w:rsidRPr="003F6316">
        <w:t>n</w:t>
      </w:r>
      <w:r w:rsidR="00573B43" w:rsidRPr="003F6316">
        <w:t xml:space="preserve"> </w:t>
      </w:r>
      <w:proofErr w:type="spellStart"/>
      <w:r w:rsidRPr="003F6316">
        <w:t>AccuPyc</w:t>
      </w:r>
      <w:proofErr w:type="spellEnd"/>
      <w:r w:rsidRPr="003F6316">
        <w:t xml:space="preserve"> 1330 Pycnometer </w:t>
      </w:r>
      <w:proofErr w:type="spellStart"/>
      <w:proofErr w:type="gramStart"/>
      <w:r w:rsidRPr="003F6316">
        <w:t>MicromeriticsTM</w:t>
      </w:r>
      <w:proofErr w:type="spellEnd"/>
      <w:r w:rsidRPr="003F6316">
        <w:t xml:space="preserve">  (</w:t>
      </w:r>
      <w:proofErr w:type="gramEnd"/>
      <w:r w:rsidRPr="003F6316">
        <w:t>USA)</w:t>
      </w:r>
      <w:r w:rsidR="00573B43" w:rsidRPr="003F6316">
        <w:t>.</w:t>
      </w:r>
      <w:r w:rsidR="00FB045D" w:rsidRPr="003F6316">
        <w:t xml:space="preserve"> </w:t>
      </w:r>
      <w:r w:rsidRPr="003F6316">
        <w:t>Samples were dried for 12 h prior to analysis using a vacuum oven (</w:t>
      </w:r>
      <w:proofErr w:type="spellStart"/>
      <w:r w:rsidR="00FB045D" w:rsidRPr="003F6316">
        <w:t>Gallenkamp</w:t>
      </w:r>
      <w:proofErr w:type="spellEnd"/>
      <w:r w:rsidRPr="003F6316">
        <w:t>, UK) operated at 25 °C and −600 mbar pressure. Each measurement was performed in triplicate.</w:t>
      </w:r>
    </w:p>
    <w:p w:rsidR="00DA3AC7" w:rsidRPr="003F6316" w:rsidRDefault="00243CFD" w:rsidP="00531193">
      <w:pPr>
        <w:pStyle w:val="ListParagraph"/>
        <w:numPr>
          <w:ilvl w:val="2"/>
          <w:numId w:val="1"/>
        </w:numPr>
        <w:spacing w:line="360" w:lineRule="auto"/>
        <w:jc w:val="both"/>
        <w:rPr>
          <w:b/>
        </w:rPr>
      </w:pPr>
      <w:r w:rsidRPr="003F6316">
        <w:rPr>
          <w:b/>
        </w:rPr>
        <w:t>Intrinsic dissolution</w:t>
      </w:r>
    </w:p>
    <w:p w:rsidR="00BB422B" w:rsidRPr="003F6316" w:rsidRDefault="00BB422B" w:rsidP="00243CFD">
      <w:pPr>
        <w:spacing w:line="360" w:lineRule="auto"/>
        <w:jc w:val="both"/>
      </w:pPr>
      <w:r w:rsidRPr="003F6316">
        <w:t>The intrinsic dissolution rate</w:t>
      </w:r>
      <w:r w:rsidR="00967E8F" w:rsidRPr="003F6316">
        <w:t>s</w:t>
      </w:r>
      <w:r w:rsidRPr="003F6316">
        <w:t xml:space="preserve"> of rivastigmine polymorphic forms </w:t>
      </w:r>
      <w:r w:rsidR="00967E8F" w:rsidRPr="003F6316">
        <w:t xml:space="preserve">were </w:t>
      </w:r>
      <w:r w:rsidRPr="003F6316">
        <w:t xml:space="preserve">determined following the </w:t>
      </w:r>
      <w:proofErr w:type="spellStart"/>
      <w:r w:rsidRPr="003F6316">
        <w:t>pharmacop</w:t>
      </w:r>
      <w:r w:rsidR="00412EE4" w:rsidRPr="003F6316">
        <w:t>o</w:t>
      </w:r>
      <w:r w:rsidRPr="003F6316">
        <w:t>e</w:t>
      </w:r>
      <w:r w:rsidR="00967E8F" w:rsidRPr="003F6316">
        <w:t>i</w:t>
      </w:r>
      <w:r w:rsidRPr="003F6316">
        <w:t>al</w:t>
      </w:r>
      <w:proofErr w:type="spellEnd"/>
      <w:r w:rsidRPr="003F6316">
        <w:t xml:space="preserve"> </w:t>
      </w:r>
      <w:r w:rsidR="00F96BCB" w:rsidRPr="003F6316">
        <w:t xml:space="preserve">rotating disk method (Wood’s apparatus) </w:t>
      </w:r>
      <w:r w:rsidR="00F020BD" w:rsidRPr="003F6316">
        <w:rPr>
          <w:vertAlign w:val="superscript"/>
        </w:rPr>
        <w:t>[</w:t>
      </w:r>
      <w:r w:rsidR="00FD75AA" w:rsidRPr="003F6316">
        <w:rPr>
          <w:vertAlign w:val="superscript"/>
        </w:rPr>
        <w:t>22</w:t>
      </w:r>
      <w:r w:rsidR="00F020BD" w:rsidRPr="003F6316">
        <w:rPr>
          <w:vertAlign w:val="superscript"/>
        </w:rPr>
        <w:t>]</w:t>
      </w:r>
      <w:r w:rsidR="00967E8F" w:rsidRPr="003F6316">
        <w:t xml:space="preserve">. </w:t>
      </w:r>
      <w:r w:rsidR="00F96BCB" w:rsidRPr="003F6316">
        <w:t xml:space="preserve">A suitable weight of powder, 300 mg, was </w:t>
      </w:r>
      <w:r w:rsidR="007F3E79" w:rsidRPr="003F6316">
        <w:t xml:space="preserve">taken </w:t>
      </w:r>
      <w:r w:rsidR="00F96BCB" w:rsidRPr="003F6316">
        <w:t xml:space="preserve">and </w:t>
      </w:r>
      <w:r w:rsidR="00967E8F" w:rsidRPr="003F6316">
        <w:t xml:space="preserve">inserted </w:t>
      </w:r>
      <w:r w:rsidR="00F96BCB" w:rsidRPr="003F6316">
        <w:t>into the Wood’s apparatus die cavity; after pu</w:t>
      </w:r>
      <w:r w:rsidR="00DA0FC7" w:rsidRPr="003F6316">
        <w:t>n</w:t>
      </w:r>
      <w:r w:rsidR="00F96BCB" w:rsidRPr="003F6316">
        <w:t xml:space="preserve">ch placement, </w:t>
      </w:r>
      <w:r w:rsidR="00967E8F" w:rsidRPr="003F6316">
        <w:t xml:space="preserve">the </w:t>
      </w:r>
      <w:r w:rsidR="00F96BCB" w:rsidRPr="003F6316">
        <w:t>powder was compressed using a Perkin</w:t>
      </w:r>
      <w:r w:rsidR="00C90A06" w:rsidRPr="003F6316">
        <w:t xml:space="preserve"> </w:t>
      </w:r>
      <w:r w:rsidR="00F96BCB" w:rsidRPr="003F6316">
        <w:t>Elmer hydraulic press, for 1.5 min</w:t>
      </w:r>
      <w:r w:rsidR="00DA0FC7" w:rsidRPr="003F6316">
        <w:t xml:space="preserve"> under </w:t>
      </w:r>
      <w:r w:rsidR="00F96BCB" w:rsidRPr="003F6316">
        <w:t>8 tonnes</w:t>
      </w:r>
      <w:r w:rsidR="00DA0FC7" w:rsidRPr="003F6316">
        <w:t xml:space="preserve"> of</w:t>
      </w:r>
      <w:r w:rsidR="00F96BCB" w:rsidRPr="003F6316">
        <w:t xml:space="preserve"> pressure</w:t>
      </w:r>
      <w:r w:rsidR="00DA0FC7" w:rsidRPr="003F6316">
        <w:t>.</w:t>
      </w:r>
    </w:p>
    <w:p w:rsidR="00877758" w:rsidRPr="003F6316" w:rsidRDefault="00877758" w:rsidP="00243CFD">
      <w:pPr>
        <w:spacing w:line="360" w:lineRule="auto"/>
        <w:jc w:val="both"/>
      </w:pPr>
      <w:r w:rsidRPr="003F6316">
        <w:t xml:space="preserve">The dissolution studies were carried out in </w:t>
      </w:r>
      <w:r w:rsidR="00967E8F" w:rsidRPr="003F6316">
        <w:t xml:space="preserve">sink conditions using 500 ml of </w:t>
      </w:r>
      <w:r w:rsidRPr="003F6316">
        <w:t xml:space="preserve">ultra-pure, degassed water at 37 °C, in a paddle apparatus (Apparatus 2, Ph. Eur.) at a rotation speed of 100 rpm. Aliquots (5 ml) were withdrawn at appropriate time intervals, filtered through 0.45 µm </w:t>
      </w:r>
      <w:r w:rsidR="00967E8F" w:rsidRPr="003F6316">
        <w:t xml:space="preserve">membrane </w:t>
      </w:r>
      <w:r w:rsidRPr="003F6316">
        <w:t xml:space="preserve">filters </w:t>
      </w:r>
      <w:r w:rsidR="008D201D" w:rsidRPr="003F6316">
        <w:t>(</w:t>
      </w:r>
      <w:proofErr w:type="spellStart"/>
      <w:r w:rsidR="008D201D" w:rsidRPr="003F6316">
        <w:t>Millex</w:t>
      </w:r>
      <w:proofErr w:type="spellEnd"/>
      <w:r w:rsidR="008D201D" w:rsidRPr="003F6316">
        <w:t xml:space="preserve">-HP PES non-sterile, Merck Millipore, US) </w:t>
      </w:r>
      <w:r w:rsidRPr="003F6316">
        <w:t xml:space="preserve">and analysed for content by HPLC. </w:t>
      </w:r>
      <w:r w:rsidR="00FB045D" w:rsidRPr="003F6316">
        <w:t xml:space="preserve">Assays were </w:t>
      </w:r>
      <w:r w:rsidRPr="003F6316">
        <w:t>performed in triplicate.</w:t>
      </w:r>
    </w:p>
    <w:p w:rsidR="00243CFD" w:rsidRPr="003F6316" w:rsidRDefault="00243CFD" w:rsidP="00531193">
      <w:pPr>
        <w:pStyle w:val="ListParagraph"/>
        <w:numPr>
          <w:ilvl w:val="3"/>
          <w:numId w:val="1"/>
        </w:numPr>
        <w:spacing w:line="360" w:lineRule="auto"/>
        <w:jc w:val="both"/>
        <w:rPr>
          <w:rFonts w:eastAsia="Arial Unicode MS"/>
          <w:b/>
          <w:color w:val="548DD4"/>
        </w:rPr>
      </w:pPr>
      <w:r w:rsidRPr="003F6316">
        <w:rPr>
          <w:rFonts w:eastAsia="Arial Unicode MS"/>
          <w:b/>
        </w:rPr>
        <w:t>High performance liquid chromatography (HPLC)</w:t>
      </w:r>
    </w:p>
    <w:p w:rsidR="00AA0AB2" w:rsidRPr="003F6316" w:rsidRDefault="0005315C" w:rsidP="00243CFD">
      <w:pPr>
        <w:spacing w:line="360" w:lineRule="auto"/>
        <w:jc w:val="both"/>
        <w:rPr>
          <w:rFonts w:eastAsia="Arial Unicode MS"/>
        </w:rPr>
      </w:pPr>
      <w:r w:rsidRPr="003F6316">
        <w:rPr>
          <w:rFonts w:eastAsia="Arial Unicode MS"/>
        </w:rPr>
        <w:t xml:space="preserve">RHT in solution was quantified </w:t>
      </w:r>
      <w:r w:rsidR="00746ADF" w:rsidRPr="003F6316">
        <w:rPr>
          <w:rFonts w:eastAsia="Arial Unicode MS"/>
        </w:rPr>
        <w:t>using a modified USP method</w:t>
      </w:r>
      <w:r w:rsidR="00757B6B" w:rsidRPr="003F6316">
        <w:rPr>
          <w:rFonts w:eastAsia="Arial Unicode MS"/>
        </w:rPr>
        <w:t xml:space="preserve"> </w:t>
      </w:r>
      <w:r w:rsidR="00757B6B" w:rsidRPr="003F6316">
        <w:rPr>
          <w:rFonts w:eastAsia="Arial Unicode MS"/>
        </w:rPr>
        <w:fldChar w:fldCharType="begin" w:fldLock="1"/>
      </w:r>
      <w:r w:rsidR="00364163" w:rsidRPr="003F6316">
        <w:rPr>
          <w:rFonts w:eastAsia="Arial Unicode MS"/>
        </w:rPr>
        <w:instrText>ADDIN CSL_CITATION { "citationItems" : [ { "id" : "ITEM-1", "itemData" : { "author" : [ { "dropping-particle" : "", "family" : "USP37\u2013NF32", "given" : "", "non-dropping-particle" : "", "parse-names" : false, "suffix" : "" } ], "container-title" : "United States Pharmacopoeia", "id" : "ITEM-1", "issue" : "c", "issued" : { "date-parts" : [ [ "2014" ] ] }, "page" : "4614-15", "title" : "Rivastigmine Tartrate Monograph", "type" : "chapter" }, "uris" : [ "http://www.mendeley.com/documents/?uuid=d74ecf12-c7d2-4018-894a-3a16ff453d5f" ] } ], "mendeley" : { "previouslyFormattedCitation" : "&lt;sup&gt;[22]&lt;/sup&gt;" }, "properties" : { "noteIndex" : 0 }, "schema" : "https://github.com/citation-style-language/schema/raw/master/csl-citation.json" }</w:instrText>
      </w:r>
      <w:r w:rsidR="00757B6B" w:rsidRPr="003F6316">
        <w:rPr>
          <w:rFonts w:eastAsia="Arial Unicode MS"/>
        </w:rPr>
        <w:fldChar w:fldCharType="separate"/>
      </w:r>
      <w:r w:rsidR="00364163" w:rsidRPr="003F6316">
        <w:rPr>
          <w:rFonts w:eastAsia="Arial Unicode MS"/>
          <w:noProof/>
          <w:vertAlign w:val="superscript"/>
        </w:rPr>
        <w:t>[22]</w:t>
      </w:r>
      <w:r w:rsidR="00757B6B" w:rsidRPr="003F6316">
        <w:rPr>
          <w:rFonts w:eastAsia="Arial Unicode MS"/>
        </w:rPr>
        <w:fldChar w:fldCharType="end"/>
      </w:r>
      <w:r w:rsidRPr="003F6316">
        <w:rPr>
          <w:rFonts w:eastAsia="Arial Unicode MS"/>
        </w:rPr>
        <w:t xml:space="preserve">. </w:t>
      </w:r>
      <w:r w:rsidR="00431F1F" w:rsidRPr="003F6316">
        <w:rPr>
          <w:rFonts w:eastAsia="Arial Unicode MS"/>
        </w:rPr>
        <w:t xml:space="preserve">A Waters Alliance HPLC system </w:t>
      </w:r>
      <w:r w:rsidR="00552C39" w:rsidRPr="003F6316">
        <w:rPr>
          <w:rFonts w:eastAsia="Arial Unicode MS"/>
        </w:rPr>
        <w:t>with a 2695 separation module</w:t>
      </w:r>
      <w:r w:rsidR="00AA0AB2" w:rsidRPr="003F6316">
        <w:rPr>
          <w:rFonts w:eastAsia="Arial Unicode MS"/>
        </w:rPr>
        <w:t xml:space="preserve"> and a Waters 2487 Dual λ Dual Absorbance </w:t>
      </w:r>
      <w:r w:rsidR="00243CFD" w:rsidRPr="003F6316">
        <w:rPr>
          <w:rFonts w:eastAsia="Arial Unicode MS"/>
        </w:rPr>
        <w:t>UV–VIS-detector (</w:t>
      </w:r>
      <w:r w:rsidR="00AA0AB2" w:rsidRPr="003F6316">
        <w:rPr>
          <w:rFonts w:eastAsia="Arial Unicode MS"/>
        </w:rPr>
        <w:t>Waters, USA</w:t>
      </w:r>
      <w:r w:rsidR="00243CFD" w:rsidRPr="003F6316">
        <w:rPr>
          <w:rFonts w:eastAsia="Arial Unicode MS"/>
        </w:rPr>
        <w:t xml:space="preserve">) were used. The chromatographic system was set up with a </w:t>
      </w:r>
      <w:proofErr w:type="spellStart"/>
      <w:r w:rsidRPr="003F6316">
        <w:rPr>
          <w:rFonts w:eastAsia="Arial Unicode MS"/>
        </w:rPr>
        <w:t>Kromasil</w:t>
      </w:r>
      <w:proofErr w:type="spellEnd"/>
      <w:r w:rsidRPr="003F6316">
        <w:rPr>
          <w:rFonts w:eastAsia="Arial Unicode MS"/>
        </w:rPr>
        <w:t xml:space="preserve"> 100Å C8 </w:t>
      </w:r>
      <w:r w:rsidR="00243CFD" w:rsidRPr="003F6316">
        <w:rPr>
          <w:rFonts w:eastAsia="Arial Unicode MS"/>
        </w:rPr>
        <w:t>column (</w:t>
      </w:r>
      <w:proofErr w:type="spellStart"/>
      <w:r w:rsidRPr="003F6316">
        <w:rPr>
          <w:rFonts w:eastAsia="Arial Unicode MS"/>
        </w:rPr>
        <w:t>Kromasil</w:t>
      </w:r>
      <w:proofErr w:type="spellEnd"/>
      <w:r w:rsidRPr="003F6316">
        <w:rPr>
          <w:rFonts w:eastAsia="Arial Unicode MS"/>
        </w:rPr>
        <w:t>, USA</w:t>
      </w:r>
      <w:r w:rsidR="00243CFD" w:rsidRPr="003F6316">
        <w:rPr>
          <w:rFonts w:eastAsia="Arial Unicode MS"/>
        </w:rPr>
        <w:t>). Measureme</w:t>
      </w:r>
      <w:r w:rsidRPr="003F6316">
        <w:rPr>
          <w:rFonts w:eastAsia="Arial Unicode MS"/>
        </w:rPr>
        <w:t>nt were conducted by injecting 2</w:t>
      </w:r>
      <w:r w:rsidR="00243CFD" w:rsidRPr="003F6316">
        <w:rPr>
          <w:rFonts w:eastAsia="Arial Unicode MS"/>
        </w:rPr>
        <w:t xml:space="preserve">0 </w:t>
      </w:r>
      <w:proofErr w:type="spellStart"/>
      <w:r w:rsidR="00243CFD" w:rsidRPr="003F6316">
        <w:rPr>
          <w:rFonts w:eastAsia="Arial Unicode MS"/>
        </w:rPr>
        <w:t>μl</w:t>
      </w:r>
      <w:proofErr w:type="spellEnd"/>
      <w:r w:rsidR="00243CFD" w:rsidRPr="003F6316">
        <w:rPr>
          <w:rFonts w:eastAsia="Arial Unicode MS"/>
        </w:rPr>
        <w:t xml:space="preserve"> of samples</w:t>
      </w:r>
      <w:r w:rsidR="000E3858" w:rsidRPr="003F6316">
        <w:rPr>
          <w:rFonts w:eastAsia="Arial Unicode MS"/>
        </w:rPr>
        <w:t xml:space="preserve"> or</w:t>
      </w:r>
      <w:r w:rsidR="00243CFD" w:rsidRPr="003F6316">
        <w:rPr>
          <w:rFonts w:eastAsia="Arial Unicode MS"/>
        </w:rPr>
        <w:t xml:space="preserve"> standards in the mobile phase running at 1.</w:t>
      </w:r>
      <w:r w:rsidR="003673A6" w:rsidRPr="003F6316">
        <w:rPr>
          <w:rFonts w:eastAsia="Arial Unicode MS"/>
        </w:rPr>
        <w:t>2</w:t>
      </w:r>
      <w:r w:rsidR="00243CFD" w:rsidRPr="003F6316">
        <w:rPr>
          <w:rFonts w:eastAsia="Arial Unicode MS"/>
        </w:rPr>
        <w:t xml:space="preserve"> ml/min and composed of </w:t>
      </w:r>
      <w:r w:rsidR="003673A6" w:rsidRPr="003F6316">
        <w:rPr>
          <w:rFonts w:eastAsia="Arial Unicode MS"/>
        </w:rPr>
        <w:t>50</w:t>
      </w:r>
      <w:r w:rsidR="00243CFD" w:rsidRPr="003F6316">
        <w:rPr>
          <w:rFonts w:eastAsia="Arial Unicode MS"/>
        </w:rPr>
        <w:t>% v/v of aqueous phase (</w:t>
      </w:r>
      <w:r w:rsidR="003673A6" w:rsidRPr="003F6316">
        <w:rPr>
          <w:rFonts w:eastAsia="Arial Unicode MS"/>
        </w:rPr>
        <w:t>8.6 m</w:t>
      </w:r>
      <w:r w:rsidR="00243CFD" w:rsidRPr="003F6316">
        <w:rPr>
          <w:rFonts w:eastAsia="Arial Unicode MS"/>
        </w:rPr>
        <w:t>g/</w:t>
      </w:r>
      <w:r w:rsidR="003673A6" w:rsidRPr="003F6316">
        <w:rPr>
          <w:rFonts w:eastAsia="Arial Unicode MS"/>
        </w:rPr>
        <w:t>m</w:t>
      </w:r>
      <w:r w:rsidR="00243CFD" w:rsidRPr="003F6316">
        <w:rPr>
          <w:rFonts w:eastAsia="Arial Unicode MS"/>
        </w:rPr>
        <w:t xml:space="preserve">l of </w:t>
      </w:r>
      <w:r w:rsidR="003673A6" w:rsidRPr="003F6316">
        <w:rPr>
          <w:rFonts w:eastAsia="Arial Unicode MS"/>
        </w:rPr>
        <w:t>ammonium phosphate</w:t>
      </w:r>
      <w:r w:rsidR="00243CFD" w:rsidRPr="003F6316">
        <w:rPr>
          <w:rFonts w:eastAsia="Arial Unicode MS"/>
        </w:rPr>
        <w:t xml:space="preserve"> dissolved in H</w:t>
      </w:r>
      <w:r w:rsidR="00243CFD" w:rsidRPr="003F6316">
        <w:rPr>
          <w:rFonts w:eastAsia="Arial Unicode MS"/>
          <w:vertAlign w:val="subscript"/>
        </w:rPr>
        <w:t>2</w:t>
      </w:r>
      <w:r w:rsidR="00243CFD" w:rsidRPr="003F6316">
        <w:rPr>
          <w:rFonts w:eastAsia="Arial Unicode MS"/>
        </w:rPr>
        <w:t>O)</w:t>
      </w:r>
      <w:r w:rsidR="003673A6" w:rsidRPr="003F6316">
        <w:rPr>
          <w:rFonts w:eastAsia="Arial Unicode MS"/>
        </w:rPr>
        <w:t>,</w:t>
      </w:r>
      <w:r w:rsidR="00243CFD" w:rsidRPr="003F6316">
        <w:rPr>
          <w:rFonts w:eastAsia="Arial Unicode MS"/>
        </w:rPr>
        <w:t xml:space="preserve"> </w:t>
      </w:r>
      <w:r w:rsidR="003673A6" w:rsidRPr="003F6316">
        <w:rPr>
          <w:rFonts w:eastAsia="Arial Unicode MS"/>
        </w:rPr>
        <w:t>25</w:t>
      </w:r>
      <w:r w:rsidR="00243CFD" w:rsidRPr="003F6316">
        <w:rPr>
          <w:rFonts w:eastAsia="Arial Unicode MS"/>
        </w:rPr>
        <w:t xml:space="preserve"> % v/v of acetonitrile</w:t>
      </w:r>
      <w:r w:rsidR="003673A6" w:rsidRPr="003F6316">
        <w:rPr>
          <w:rFonts w:eastAsia="Arial Unicode MS"/>
        </w:rPr>
        <w:t xml:space="preserve"> and 25 % v/v methanol</w:t>
      </w:r>
      <w:r w:rsidR="00243CFD" w:rsidRPr="003F6316">
        <w:rPr>
          <w:rFonts w:eastAsia="Arial Unicode MS"/>
        </w:rPr>
        <w:t xml:space="preserve">. </w:t>
      </w:r>
      <w:r w:rsidR="003673A6" w:rsidRPr="003F6316">
        <w:rPr>
          <w:rFonts w:eastAsia="Arial Unicode MS"/>
        </w:rPr>
        <w:t>RHT was</w:t>
      </w:r>
      <w:r w:rsidR="00243CFD" w:rsidRPr="003F6316">
        <w:rPr>
          <w:rFonts w:eastAsia="Arial Unicode MS"/>
        </w:rPr>
        <w:t xml:space="preserve"> detected by measuring the absorbance at 21</w:t>
      </w:r>
      <w:r w:rsidR="003673A6" w:rsidRPr="003F6316">
        <w:rPr>
          <w:rFonts w:eastAsia="Arial Unicode MS"/>
        </w:rPr>
        <w:t>5</w:t>
      </w:r>
      <w:r w:rsidR="00243CFD" w:rsidRPr="003F6316">
        <w:rPr>
          <w:rFonts w:eastAsia="Arial Unicode MS"/>
        </w:rPr>
        <w:t xml:space="preserve"> nm. </w:t>
      </w:r>
      <w:r w:rsidR="00A72C90" w:rsidRPr="003F6316">
        <w:rPr>
          <w:rFonts w:eastAsia="Arial Unicode MS"/>
        </w:rPr>
        <w:t>RHT</w:t>
      </w:r>
      <w:r w:rsidR="00243CFD" w:rsidRPr="003F6316">
        <w:rPr>
          <w:rFonts w:eastAsia="Arial Unicode MS"/>
        </w:rPr>
        <w:t xml:space="preserve"> concentration </w:t>
      </w:r>
      <w:r w:rsidR="00A72C90" w:rsidRPr="003F6316">
        <w:rPr>
          <w:rFonts w:eastAsia="Arial Unicode MS"/>
        </w:rPr>
        <w:t>of the standards ranged from 0.02 µ</w:t>
      </w:r>
      <w:r w:rsidR="00243CFD" w:rsidRPr="003F6316">
        <w:rPr>
          <w:rFonts w:eastAsia="Arial Unicode MS"/>
        </w:rPr>
        <w:t>g/</w:t>
      </w:r>
      <w:r w:rsidR="00A72C90" w:rsidRPr="003F6316">
        <w:rPr>
          <w:rFonts w:eastAsia="Arial Unicode MS"/>
        </w:rPr>
        <w:t>m</w:t>
      </w:r>
      <w:r w:rsidR="00243CFD" w:rsidRPr="003F6316">
        <w:rPr>
          <w:rFonts w:eastAsia="Arial Unicode MS"/>
        </w:rPr>
        <w:t>l to 0.</w:t>
      </w:r>
      <w:r w:rsidR="00A72C90" w:rsidRPr="003F6316">
        <w:rPr>
          <w:rFonts w:eastAsia="Arial Unicode MS"/>
        </w:rPr>
        <w:t>25 µ</w:t>
      </w:r>
      <w:r w:rsidR="00243CFD" w:rsidRPr="003F6316">
        <w:rPr>
          <w:rFonts w:eastAsia="Arial Unicode MS"/>
        </w:rPr>
        <w:t>g/</w:t>
      </w:r>
      <w:r w:rsidR="00A72C90" w:rsidRPr="003F6316">
        <w:rPr>
          <w:rFonts w:eastAsia="Arial Unicode MS"/>
        </w:rPr>
        <w:t>m</w:t>
      </w:r>
      <w:r w:rsidR="00243CFD" w:rsidRPr="003F6316">
        <w:rPr>
          <w:rFonts w:eastAsia="Arial Unicode MS"/>
        </w:rPr>
        <w:t>l and calibration curves were prepared in triplicate</w:t>
      </w:r>
      <w:r w:rsidR="00AA0AB2" w:rsidRPr="003F6316">
        <w:rPr>
          <w:rFonts w:eastAsia="Arial Unicode MS"/>
        </w:rPr>
        <w:t>.</w:t>
      </w:r>
    </w:p>
    <w:p w:rsidR="00FD7152" w:rsidRPr="003F6316" w:rsidRDefault="00FD7152" w:rsidP="00531193">
      <w:pPr>
        <w:pStyle w:val="ListParagraph"/>
        <w:numPr>
          <w:ilvl w:val="2"/>
          <w:numId w:val="1"/>
        </w:numPr>
        <w:spacing w:line="360" w:lineRule="auto"/>
        <w:jc w:val="both"/>
        <w:rPr>
          <w:rFonts w:eastAsia="Arial Unicode MS"/>
          <w:b/>
        </w:rPr>
      </w:pPr>
      <w:r w:rsidRPr="003F6316">
        <w:rPr>
          <w:rFonts w:eastAsia="Arial Unicode MS"/>
          <w:b/>
        </w:rPr>
        <w:t>Dynamic Vapour Sorption (DVS) Studies</w:t>
      </w:r>
    </w:p>
    <w:p w:rsidR="00FD7152" w:rsidRPr="003F6316" w:rsidRDefault="00FD7152" w:rsidP="00243CFD">
      <w:pPr>
        <w:spacing w:line="360" w:lineRule="auto"/>
        <w:jc w:val="both"/>
      </w:pPr>
      <w:r w:rsidRPr="003F6316">
        <w:t xml:space="preserve">Vapour sorption of amorphous RHT was investigated by means of </w:t>
      </w:r>
      <w:r w:rsidR="00EA3387" w:rsidRPr="003F6316">
        <w:t>a</w:t>
      </w:r>
      <w:r w:rsidR="00412EE4" w:rsidRPr="003F6316">
        <w:t xml:space="preserve"> </w:t>
      </w:r>
      <w:r w:rsidRPr="003F6316">
        <w:t>DVS Advantage-1 (Surface Measurements Systems Ltd, UK). Amorphous RHT was prepared by ball milling supplied RHT at 400 rpm for 2 hours</w:t>
      </w:r>
      <w:r w:rsidR="00967E8F" w:rsidRPr="003F6316">
        <w:t>, as described in 2.2.2</w:t>
      </w:r>
      <w:r w:rsidRPr="003F6316">
        <w:t xml:space="preserve">. For the DVS studies, samples (14-16 mg) were equilibrated at </w:t>
      </w:r>
      <w:r w:rsidRPr="003F6316">
        <w:lastRenderedPageBreak/>
        <w:t>0% RH/25 °C</w:t>
      </w:r>
      <w:r w:rsidR="00EA3387" w:rsidRPr="003F6316">
        <w:t xml:space="preserve">, </w:t>
      </w:r>
      <w:r w:rsidR="00412EE4" w:rsidRPr="003F6316">
        <w:t>followed</w:t>
      </w:r>
      <w:r w:rsidR="00EA3387" w:rsidRPr="003F6316">
        <w:t xml:space="preserve"> by</w:t>
      </w:r>
      <w:r w:rsidR="00412EE4" w:rsidRPr="003F6316">
        <w:t xml:space="preserve"> </w:t>
      </w:r>
      <w:r w:rsidRPr="003F6316">
        <w:t>expos</w:t>
      </w:r>
      <w:r w:rsidR="00EA3387" w:rsidRPr="003F6316">
        <w:t>ure</w:t>
      </w:r>
      <w:r w:rsidRPr="003F6316">
        <w:t xml:space="preserve"> to a linearly increasing relative humidity </w:t>
      </w:r>
      <w:r w:rsidR="003A6639" w:rsidRPr="003F6316">
        <w:t xml:space="preserve">(RH) </w:t>
      </w:r>
      <w:r w:rsidRPr="003F6316">
        <w:t xml:space="preserve">environment up to 90% RH. Ramp rates tested were: </w:t>
      </w:r>
      <w:r w:rsidR="00222FDB" w:rsidRPr="003F6316">
        <w:t xml:space="preserve">2.5%, </w:t>
      </w:r>
      <w:r w:rsidR="00422DAF" w:rsidRPr="003F6316">
        <w:t>10%, 15%, 20% and</w:t>
      </w:r>
      <w:r w:rsidRPr="003F6316">
        <w:t xml:space="preserve"> 40% RH</w:t>
      </w:r>
      <w:r w:rsidR="00862E39" w:rsidRPr="003F6316">
        <w:t>/h</w:t>
      </w:r>
      <w:r w:rsidRPr="003F6316">
        <w:t xml:space="preserve">. The glass transition RH </w:t>
      </w:r>
      <w:r w:rsidR="00F16311" w:rsidRPr="003F6316">
        <w:t>(</w:t>
      </w:r>
      <w:proofErr w:type="spellStart"/>
      <w:r w:rsidR="00F16311" w:rsidRPr="003F6316">
        <w:t>RH</w:t>
      </w:r>
      <w:r w:rsidR="00F16311" w:rsidRPr="003F6316">
        <w:rPr>
          <w:vertAlign w:val="subscript"/>
        </w:rPr>
        <w:t>g</w:t>
      </w:r>
      <w:proofErr w:type="spellEnd"/>
      <w:r w:rsidR="00F16311" w:rsidRPr="003F6316">
        <w:t xml:space="preserve">) </w:t>
      </w:r>
      <w:r w:rsidRPr="003F6316">
        <w:t xml:space="preserve">was taken as the inflection point between surface adsorption and absorption in the bulk </w:t>
      </w:r>
      <w:r w:rsidR="00ED0DF9" w:rsidRPr="003F6316">
        <w:t xml:space="preserve">structure of the material </w:t>
      </w:r>
      <w:r w:rsidR="00786315" w:rsidRPr="003F6316">
        <w:t xml:space="preserve">from change in mass versus RH plots </w:t>
      </w:r>
      <w:r w:rsidR="00ED0DF9" w:rsidRPr="003F6316">
        <w:t xml:space="preserve">as </w:t>
      </w:r>
      <w:r w:rsidR="00967E8F" w:rsidRPr="003F6316">
        <w:t>previously reported</w:t>
      </w:r>
      <w:r w:rsidR="00ED0DF9" w:rsidRPr="003F6316">
        <w:t xml:space="preserve"> by </w:t>
      </w:r>
      <w:r w:rsidR="002333DA" w:rsidRPr="003F6316">
        <w:fldChar w:fldCharType="begin" w:fldLock="1"/>
      </w:r>
      <w:r w:rsidR="00364163" w:rsidRPr="003F6316">
        <w:instrText>ADDIN CSL_CITATION { "citationItems" : [ { "id" : "ITEM-1", "itemData" : { "DOI" : "10.1016/j.ijpharm.2004.09.009", "author" : [ { "dropping-particle" : "", "family" : "Burnett", "given" : "DJ", "non-dropping-particle" : "", "parse-names" : false, "suffix" : "" }, { "dropping-particle" : "", "family" : "Thielmann", "given" : "F", "non-dropping-particle" : "", "parse-names" : false, "suffix" : "" }, { "dropping-particle" : "", "family" : "Booth", "given" : "J", "non-dropping-particle" : "", "parse-names" : false, "suffix" : "" } ], "container-title" : "International journal of pharmaceutics", "id" : "ITEM-1", "issued" : { "date-parts" : [ [ "2004" ] ] }, "page" : "123-133", "title" : "Determining the critical relative humidity for moisture-induced phase transitions", "type" : "article-journal", "volume" : "287" }, "uris" : [ "http://www.mendeley.com/documents/?uuid=6f305116-af42-4b03-ac1a-b78e370f9a92" ] } ], "mendeley" : { "manualFormatting" : "Burnett et al. [23]", "previouslyFormattedCitation" : "&lt;sup&gt;[23]&lt;/sup&gt;" }, "properties" : { "noteIndex" : 0 }, "schema" : "https://github.com/citation-style-language/schema/raw/master/csl-citation.json" }</w:instrText>
      </w:r>
      <w:r w:rsidR="002333DA" w:rsidRPr="003F6316">
        <w:fldChar w:fldCharType="separate"/>
      </w:r>
      <w:r w:rsidR="00ED0DF9" w:rsidRPr="003F6316">
        <w:rPr>
          <w:noProof/>
        </w:rPr>
        <w:t xml:space="preserve">Burnett et al. </w:t>
      </w:r>
      <w:r w:rsidR="00955279" w:rsidRPr="003F6316">
        <w:rPr>
          <w:noProof/>
          <w:vertAlign w:val="superscript"/>
        </w:rPr>
        <w:t>[23]</w:t>
      </w:r>
      <w:r w:rsidR="002333DA" w:rsidRPr="003F6316">
        <w:fldChar w:fldCharType="end"/>
      </w:r>
      <w:r w:rsidR="00ED0DF9" w:rsidRPr="003F6316">
        <w:t xml:space="preserve">. The crystallisation RH </w:t>
      </w:r>
      <w:r w:rsidR="00F16311" w:rsidRPr="003F6316">
        <w:t>(</w:t>
      </w:r>
      <w:proofErr w:type="spellStart"/>
      <w:r w:rsidR="00F16311" w:rsidRPr="003F6316">
        <w:t>RH</w:t>
      </w:r>
      <w:r w:rsidR="00F16311" w:rsidRPr="003F6316">
        <w:rPr>
          <w:vertAlign w:val="subscript"/>
        </w:rPr>
        <w:t>c</w:t>
      </w:r>
      <w:proofErr w:type="spellEnd"/>
      <w:r w:rsidR="00F16311" w:rsidRPr="003F6316">
        <w:t xml:space="preserve">) </w:t>
      </w:r>
      <w:r w:rsidR="00ED0DF9" w:rsidRPr="003F6316">
        <w:t xml:space="preserve">was taken as the point where the sample mass </w:t>
      </w:r>
      <w:r w:rsidR="00967E8F" w:rsidRPr="003F6316">
        <w:t xml:space="preserve">decreased </w:t>
      </w:r>
      <w:r w:rsidR="00ED0DF9" w:rsidRPr="003F6316">
        <w:t>due to relaxation to the crystalline state</w:t>
      </w:r>
      <w:r w:rsidR="00CE5DC9" w:rsidRPr="003F6316">
        <w:t xml:space="preserve"> </w:t>
      </w:r>
      <w:r w:rsidR="00955279" w:rsidRPr="003F6316">
        <w:rPr>
          <w:vertAlign w:val="superscript"/>
          <w:lang w:val="en-US"/>
        </w:rPr>
        <w:t>[23]</w:t>
      </w:r>
      <w:r w:rsidR="00ED0DF9" w:rsidRPr="003F6316">
        <w:t xml:space="preserve">. </w:t>
      </w:r>
      <w:r w:rsidR="00F16311" w:rsidRPr="003F6316">
        <w:t xml:space="preserve">The </w:t>
      </w:r>
      <w:proofErr w:type="spellStart"/>
      <w:r w:rsidR="00F16311" w:rsidRPr="003F6316">
        <w:t>RH</w:t>
      </w:r>
      <w:r w:rsidR="00F16311" w:rsidRPr="003F6316">
        <w:rPr>
          <w:vertAlign w:val="subscript"/>
        </w:rPr>
        <w:t>g</w:t>
      </w:r>
      <w:proofErr w:type="spellEnd"/>
      <w:r w:rsidR="00F16311" w:rsidRPr="003F6316">
        <w:t xml:space="preserve"> and </w:t>
      </w:r>
      <w:proofErr w:type="spellStart"/>
      <w:r w:rsidR="00F16311" w:rsidRPr="003F6316">
        <w:t>RH</w:t>
      </w:r>
      <w:r w:rsidR="00F16311" w:rsidRPr="003F6316">
        <w:rPr>
          <w:vertAlign w:val="subscript"/>
        </w:rPr>
        <w:t>c</w:t>
      </w:r>
      <w:proofErr w:type="spellEnd"/>
      <w:r w:rsidR="00F16311" w:rsidRPr="003F6316">
        <w:t xml:space="preserve"> from each ramp study were then plotted versus the ramp rate and the API </w:t>
      </w:r>
      <w:proofErr w:type="spellStart"/>
      <w:r w:rsidR="00F16311" w:rsidRPr="003F6316">
        <w:t>RH</w:t>
      </w:r>
      <w:r w:rsidR="00F16311" w:rsidRPr="003F6316">
        <w:rPr>
          <w:vertAlign w:val="subscript"/>
        </w:rPr>
        <w:t>g</w:t>
      </w:r>
      <w:proofErr w:type="spellEnd"/>
      <w:r w:rsidR="00F16311" w:rsidRPr="003F6316">
        <w:t xml:space="preserve"> and </w:t>
      </w:r>
      <w:proofErr w:type="spellStart"/>
      <w:r w:rsidR="00F16311" w:rsidRPr="003F6316">
        <w:t>RH</w:t>
      </w:r>
      <w:r w:rsidR="00F16311" w:rsidRPr="003F6316">
        <w:rPr>
          <w:vertAlign w:val="subscript"/>
        </w:rPr>
        <w:t>c</w:t>
      </w:r>
      <w:proofErr w:type="spellEnd"/>
      <w:r w:rsidR="00F16311" w:rsidRPr="003F6316">
        <w:t xml:space="preserve"> were extrapolated from the fitted curves </w:t>
      </w:r>
      <w:r w:rsidR="00FD75AA" w:rsidRPr="003F6316">
        <w:rPr>
          <w:vertAlign w:val="superscript"/>
        </w:rPr>
        <w:t>[23]</w:t>
      </w:r>
      <w:r w:rsidR="00F16311" w:rsidRPr="003F6316">
        <w:t xml:space="preserve">. </w:t>
      </w:r>
      <w:r w:rsidR="00ED0DF9" w:rsidRPr="003F6316">
        <w:t xml:space="preserve">The end material crystallinity was verified by </w:t>
      </w:r>
      <w:r w:rsidR="00967E8F" w:rsidRPr="003F6316">
        <w:t>PXRD</w:t>
      </w:r>
      <w:r w:rsidR="00ED0DF9" w:rsidRPr="003F6316">
        <w:t xml:space="preserve">. </w:t>
      </w:r>
      <w:r w:rsidR="00967E8F" w:rsidRPr="003F6316">
        <w:t>E</w:t>
      </w:r>
      <w:r w:rsidR="00ED0DF9" w:rsidRPr="003F6316">
        <w:t>xperiments were performed</w:t>
      </w:r>
      <w:r w:rsidR="00967E8F" w:rsidRPr="003F6316">
        <w:t xml:space="preserve"> in triplicate</w:t>
      </w:r>
      <w:r w:rsidR="00ED0DF9" w:rsidRPr="003F6316">
        <w:t>.</w:t>
      </w:r>
    </w:p>
    <w:p w:rsidR="00E1196C" w:rsidRPr="003F6316" w:rsidRDefault="00E1196C" w:rsidP="00243CFD">
      <w:pPr>
        <w:spacing w:line="360" w:lineRule="auto"/>
        <w:jc w:val="both"/>
        <w:rPr>
          <w:rFonts w:eastAsia="Arial Unicode MS"/>
          <w:b/>
        </w:rPr>
      </w:pPr>
    </w:p>
    <w:p w:rsidR="001638DA" w:rsidRPr="003F6316" w:rsidRDefault="00A93003" w:rsidP="00531193">
      <w:pPr>
        <w:pStyle w:val="ListParagraph"/>
        <w:numPr>
          <w:ilvl w:val="0"/>
          <w:numId w:val="1"/>
        </w:numPr>
        <w:spacing w:line="360" w:lineRule="auto"/>
        <w:jc w:val="both"/>
        <w:rPr>
          <w:b/>
        </w:rPr>
      </w:pPr>
      <w:r w:rsidRPr="003F6316">
        <w:rPr>
          <w:b/>
        </w:rPr>
        <w:t xml:space="preserve">RESULTS </w:t>
      </w:r>
      <w:r w:rsidR="00365F30" w:rsidRPr="003F6316">
        <w:rPr>
          <w:b/>
        </w:rPr>
        <w:t>AND  DISCUSSION</w:t>
      </w:r>
    </w:p>
    <w:p w:rsidR="00B26E20" w:rsidRPr="003F6316" w:rsidRDefault="00B26E20" w:rsidP="00531193">
      <w:pPr>
        <w:pStyle w:val="ListParagraph"/>
        <w:numPr>
          <w:ilvl w:val="1"/>
          <w:numId w:val="1"/>
        </w:numPr>
        <w:spacing w:line="360" w:lineRule="auto"/>
        <w:jc w:val="both"/>
      </w:pPr>
      <w:r w:rsidRPr="003F6316">
        <w:t xml:space="preserve">Physical </w:t>
      </w:r>
      <w:r w:rsidR="00967E8F" w:rsidRPr="003F6316">
        <w:t>c</w:t>
      </w:r>
      <w:r w:rsidRPr="003F6316">
        <w:t>haracterisation of “</w:t>
      </w:r>
      <w:r w:rsidR="00967E8F" w:rsidRPr="003F6316">
        <w:t xml:space="preserve">as </w:t>
      </w:r>
      <w:r w:rsidRPr="003F6316">
        <w:t>supplied</w:t>
      </w:r>
      <w:r w:rsidR="0072246D" w:rsidRPr="003F6316">
        <w:t>”</w:t>
      </w:r>
      <w:r w:rsidRPr="003F6316">
        <w:t xml:space="preserve"> RHT</w:t>
      </w:r>
      <w:r w:rsidR="00E84E70" w:rsidRPr="003F6316">
        <w:t xml:space="preserve"> and </w:t>
      </w:r>
      <w:proofErr w:type="spellStart"/>
      <w:r w:rsidR="00967E8F" w:rsidRPr="003F6316">
        <w:t>recrystallised</w:t>
      </w:r>
      <w:proofErr w:type="spellEnd"/>
      <w:r w:rsidR="00967E8F" w:rsidRPr="003F6316">
        <w:t xml:space="preserve"> </w:t>
      </w:r>
      <w:r w:rsidR="00E84E70" w:rsidRPr="003F6316">
        <w:t>RHT polymorphic forms</w:t>
      </w:r>
    </w:p>
    <w:p w:rsidR="00C6344D" w:rsidRPr="003F6316" w:rsidRDefault="00775ECF" w:rsidP="00C6344D">
      <w:pPr>
        <w:spacing w:line="360" w:lineRule="auto"/>
        <w:jc w:val="both"/>
      </w:pPr>
      <w:r w:rsidRPr="003F6316">
        <w:t xml:space="preserve">The </w:t>
      </w:r>
      <w:r w:rsidR="00C6344D" w:rsidRPr="003F6316">
        <w:t xml:space="preserve">powder </w:t>
      </w:r>
      <w:r w:rsidR="00074BF3" w:rsidRPr="003F6316">
        <w:t xml:space="preserve">X-ray </w:t>
      </w:r>
      <w:proofErr w:type="spellStart"/>
      <w:r w:rsidR="00C6344D" w:rsidRPr="003F6316">
        <w:t>diffractogram</w:t>
      </w:r>
      <w:proofErr w:type="spellEnd"/>
      <w:r w:rsidR="00E84E70" w:rsidRPr="003F6316">
        <w:t xml:space="preserve"> of “</w:t>
      </w:r>
      <w:r w:rsidR="00074BF3" w:rsidRPr="003F6316">
        <w:t xml:space="preserve">as </w:t>
      </w:r>
      <w:r w:rsidR="00E84E70" w:rsidRPr="003F6316">
        <w:t>supplied” RHT</w:t>
      </w:r>
      <w:r w:rsidR="00C6344D" w:rsidRPr="003F6316">
        <w:t xml:space="preserve"> presented peaks at: 9.5</w:t>
      </w:r>
      <w:r w:rsidR="00B26E20" w:rsidRPr="003F6316">
        <w:t>°</w:t>
      </w:r>
      <w:r w:rsidR="00C6344D" w:rsidRPr="003F6316">
        <w:t>, 11.3</w:t>
      </w:r>
      <w:r w:rsidR="00B26E20" w:rsidRPr="003F6316">
        <w:t>°</w:t>
      </w:r>
      <w:r w:rsidR="00C6344D" w:rsidRPr="003F6316">
        <w:t>, 14.2</w:t>
      </w:r>
      <w:r w:rsidR="00B26E20" w:rsidRPr="003F6316">
        <w:t>°</w:t>
      </w:r>
      <w:r w:rsidR="00C6344D" w:rsidRPr="003F6316">
        <w:t>, 15.5</w:t>
      </w:r>
      <w:r w:rsidR="00B26E20" w:rsidRPr="003F6316">
        <w:t>°</w:t>
      </w:r>
      <w:r w:rsidR="00C6344D" w:rsidRPr="003F6316">
        <w:t>,19.1</w:t>
      </w:r>
      <w:r w:rsidR="00B26E20" w:rsidRPr="003F6316">
        <w:t>°</w:t>
      </w:r>
      <w:r w:rsidR="00C6344D" w:rsidRPr="003F6316">
        <w:t xml:space="preserve"> and 20.0</w:t>
      </w:r>
      <w:r w:rsidR="00B26E20" w:rsidRPr="003F6316">
        <w:t>°</w:t>
      </w:r>
      <w:r w:rsidR="00C6344D" w:rsidRPr="003F6316">
        <w:t xml:space="preserve"> 2θ that are characteristic of polymorph II (</w:t>
      </w:r>
      <w:r w:rsidR="006A337A" w:rsidRPr="003F6316">
        <w:t xml:space="preserve">Figure </w:t>
      </w:r>
      <w:r w:rsidR="00B05C07" w:rsidRPr="003F6316">
        <w:t>2</w:t>
      </w:r>
      <w:r w:rsidR="008476F4" w:rsidRPr="003F6316">
        <w:t>(</w:t>
      </w:r>
      <w:r w:rsidR="00902591" w:rsidRPr="003F6316">
        <w:t>a</w:t>
      </w:r>
      <w:r w:rsidR="008476F4" w:rsidRPr="003F6316">
        <w:t>)</w:t>
      </w:r>
      <w:r w:rsidR="006A337A" w:rsidRPr="003F6316">
        <w:t xml:space="preserve">)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"id" : "ITEM-2", "itemData" : { "author" : [ { "dropping-particle" : "", "family" : "Overeem", "given" : "Arjanne", "non-dropping-particle" : "", "parse-names" : false, "suffix" : "" }, { "dropping-particle" : "", "family" : "Vinent", "given" : "HT", "non-dropping-particle" : "", "parse-names" : false, "suffix" : "" } ], "container-title" : "US Patent App. 12/044,626", "id" : "ITEM-2", "issue" : "19", "issued" : { "date-parts" : [ [ "2008" ] ] }, "page" : "0-11", "title" : "Polymorphs of rivastigmine hydrogentartrate", "type" : "patent", "volume" : "1111" }, "uris" : [ "http://www.mendeley.com/documents/?uuid=152118b9-7f82-41ac-aff3-ffd9b9a74095" ] } ], "mendeley" : { "previouslyFormattedCitation" : "&lt;sup&gt;[15,16]&lt;/sup&gt;" }, "properties" : { "noteIndex" : 0 }, "schema" : "https://github.com/citation-style-language/schema/raw/master/csl-citation.json" }</w:instrText>
      </w:r>
      <w:r w:rsidR="002333DA" w:rsidRPr="003F6316">
        <w:fldChar w:fldCharType="separate"/>
      </w:r>
      <w:r w:rsidR="00364163" w:rsidRPr="003F6316">
        <w:rPr>
          <w:noProof/>
          <w:vertAlign w:val="superscript"/>
        </w:rPr>
        <w:t>[15,16]</w:t>
      </w:r>
      <w:r w:rsidR="002333DA" w:rsidRPr="003F6316">
        <w:fldChar w:fldCharType="end"/>
      </w:r>
      <w:r w:rsidR="006A337A" w:rsidRPr="003F6316">
        <w:t xml:space="preserve">. </w:t>
      </w:r>
      <w:r w:rsidR="00C6344D" w:rsidRPr="003F6316">
        <w:t>DSC</w:t>
      </w:r>
      <w:r w:rsidR="006A337A" w:rsidRPr="003F6316">
        <w:t xml:space="preserve"> scans</w:t>
      </w:r>
      <w:r w:rsidR="00C6344D" w:rsidRPr="003F6316">
        <w:t xml:space="preserve"> showed a</w:t>
      </w:r>
      <w:r w:rsidR="004958B4" w:rsidRPr="003F6316">
        <w:t xml:space="preserve"> first </w:t>
      </w:r>
      <w:r w:rsidR="00C6344D" w:rsidRPr="003F6316">
        <w:t xml:space="preserve">melting peak </w:t>
      </w:r>
      <w:r w:rsidR="004958B4" w:rsidRPr="003F6316">
        <w:t xml:space="preserve">with onset </w:t>
      </w:r>
      <w:r w:rsidR="00C6344D" w:rsidRPr="003F6316">
        <w:t xml:space="preserve">at 97.5±0.01 °C </w:t>
      </w:r>
      <w:r w:rsidR="008A393A" w:rsidRPr="003F6316">
        <w:t>(</w:t>
      </w:r>
      <w:proofErr w:type="spellStart"/>
      <w:r w:rsidR="008A393A" w:rsidRPr="003F6316">
        <w:t>ΔH</w:t>
      </w:r>
      <w:r w:rsidR="008A393A" w:rsidRPr="003F6316">
        <w:rPr>
          <w:vertAlign w:val="subscript"/>
        </w:rPr>
        <w:t>m</w:t>
      </w:r>
      <w:proofErr w:type="spellEnd"/>
      <w:r w:rsidR="008A393A" w:rsidRPr="003F6316">
        <w:t xml:space="preserve"> = 45.9±0.64 J/g) </w:t>
      </w:r>
      <w:r w:rsidR="00C6344D" w:rsidRPr="003F6316">
        <w:t xml:space="preserve">followed by an exothermic peak </w:t>
      </w:r>
      <w:r w:rsidR="008A393A" w:rsidRPr="003F6316">
        <w:t>at 105.5±0.28 °C (</w:t>
      </w:r>
      <w:proofErr w:type="spellStart"/>
      <w:r w:rsidR="008A393A" w:rsidRPr="003F6316">
        <w:t>ΔH</w:t>
      </w:r>
      <w:r w:rsidR="008A393A" w:rsidRPr="003F6316">
        <w:rPr>
          <w:vertAlign w:val="subscript"/>
        </w:rPr>
        <w:t>c</w:t>
      </w:r>
      <w:proofErr w:type="spellEnd"/>
      <w:r w:rsidR="008A393A" w:rsidRPr="003F6316">
        <w:t xml:space="preserve"> = 13.3±0.25 J/g) </w:t>
      </w:r>
      <w:r w:rsidR="00C6344D" w:rsidRPr="003F6316">
        <w:t xml:space="preserve">and </w:t>
      </w:r>
      <w:r w:rsidR="008A393A" w:rsidRPr="003F6316">
        <w:t>a second</w:t>
      </w:r>
      <w:r w:rsidR="00C6344D" w:rsidRPr="003F6316">
        <w:t xml:space="preserve"> melting</w:t>
      </w:r>
      <w:r w:rsidR="008A393A" w:rsidRPr="003F6316">
        <w:t xml:space="preserve"> peak</w:t>
      </w:r>
      <w:r w:rsidR="00C6344D" w:rsidRPr="003F6316">
        <w:t xml:space="preserve"> at 124.5±0.08 °C </w:t>
      </w:r>
      <w:r w:rsidR="008A393A" w:rsidRPr="003F6316">
        <w:t>(</w:t>
      </w:r>
      <w:proofErr w:type="spellStart"/>
      <w:r w:rsidR="008A393A" w:rsidRPr="003F6316">
        <w:t>ΔH</w:t>
      </w:r>
      <w:r w:rsidR="008A393A" w:rsidRPr="003F6316">
        <w:rPr>
          <w:vertAlign w:val="subscript"/>
        </w:rPr>
        <w:t>m</w:t>
      </w:r>
      <w:proofErr w:type="spellEnd"/>
      <w:r w:rsidR="008A393A" w:rsidRPr="003F6316">
        <w:t xml:space="preserve"> = 87.9±0.15 J/g) </w:t>
      </w:r>
      <w:r w:rsidR="00C6344D" w:rsidRPr="003F6316">
        <w:t xml:space="preserve">(Figure </w:t>
      </w:r>
      <w:r w:rsidR="00B05C07" w:rsidRPr="003F6316">
        <w:t>3</w:t>
      </w:r>
      <w:r w:rsidR="008476F4" w:rsidRPr="003F6316">
        <w:t>(</w:t>
      </w:r>
      <w:r w:rsidR="00C6344D" w:rsidRPr="003F6316">
        <w:t>a</w:t>
      </w:r>
      <w:r w:rsidR="008476F4" w:rsidRPr="003F6316">
        <w:t>)</w:t>
      </w:r>
      <w:r w:rsidR="00C6344D" w:rsidRPr="003F6316">
        <w:t xml:space="preserve">). </w:t>
      </w:r>
      <w:r w:rsidR="006A337A" w:rsidRPr="003F6316">
        <w:t xml:space="preserve">RHT polymorph </w:t>
      </w:r>
      <w:r w:rsidR="008A393A" w:rsidRPr="003F6316">
        <w:t>F</w:t>
      </w:r>
      <w:r w:rsidR="006A337A" w:rsidRPr="003F6316">
        <w:t>orm I</w:t>
      </w:r>
      <w:r w:rsidR="008A393A" w:rsidRPr="003F6316">
        <w:t>I</w:t>
      </w:r>
      <w:r w:rsidR="006A337A" w:rsidRPr="003F6316">
        <w:t xml:space="preserve"> </w:t>
      </w:r>
      <w:r w:rsidR="00C6344D" w:rsidRPr="003F6316">
        <w:t xml:space="preserve">is known to melt </w:t>
      </w:r>
      <w:r w:rsidR="00074BF3" w:rsidRPr="003F6316">
        <w:t xml:space="preserve">at about </w:t>
      </w:r>
      <w:r w:rsidR="00C6344D" w:rsidRPr="003F6316">
        <w:t>1</w:t>
      </w:r>
      <w:r w:rsidR="008A393A" w:rsidRPr="003F6316">
        <w:t>00</w:t>
      </w:r>
      <w:r w:rsidR="00C6344D" w:rsidRPr="003F6316">
        <w:t xml:space="preserve"> °C and Form I </w:t>
      </w:r>
      <w:r w:rsidR="00074BF3" w:rsidRPr="003F6316">
        <w:t xml:space="preserve">at about </w:t>
      </w:r>
      <w:r w:rsidR="00C6344D" w:rsidRPr="003F6316">
        <w:t>1</w:t>
      </w:r>
      <w:r w:rsidR="008A393A" w:rsidRPr="003F6316">
        <w:t>25</w:t>
      </w:r>
      <w:r w:rsidR="00C6344D" w:rsidRPr="003F6316">
        <w:t xml:space="preserve"> °C</w:t>
      </w:r>
      <w:r w:rsidR="008A393A" w:rsidRPr="003F6316">
        <w:t xml:space="preserve">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"id" : "ITEM-2", "itemData" : { "author" : [ { "dropping-particle" : "", "family" : "Overeem", "given" : "Arjanne", "non-dropping-particle" : "", "parse-names" : false, "suffix" : "" }, { "dropping-particle" : "", "family" : "Vinent", "given" : "HT", "non-dropping-particle" : "", "parse-names" : false, "suffix" : "" } ], "container-title" : "US Patent App. 12/044,626", "id" : "ITEM-2", "issue" : "19", "issued" : { "date-parts" : [ [ "2008" ] ] }, "page" : "0-11", "title" : "Polymorphs of rivastigmine hydrogentartrate", "type" : "patent", "volume" : "1111" }, "uris" : [ "http://www.mendeley.com/documents/?uuid=152118b9-7f82-41ac-aff3-ffd9b9a74095" ] } ], "mendeley" : { "previouslyFormattedCitation" : "&lt;sup&gt;[15,16]&lt;/sup&gt;" }, "properties" : { "noteIndex" : 0 }, "schema" : "https://github.com/citation-style-language/schema/raw/master/csl-citation.json" }</w:instrText>
      </w:r>
      <w:r w:rsidR="002333DA" w:rsidRPr="003F6316">
        <w:fldChar w:fldCharType="separate"/>
      </w:r>
      <w:r w:rsidR="00364163" w:rsidRPr="003F6316">
        <w:rPr>
          <w:noProof/>
          <w:vertAlign w:val="superscript"/>
        </w:rPr>
        <w:t>[15,16]</w:t>
      </w:r>
      <w:r w:rsidR="002333DA" w:rsidRPr="003F6316">
        <w:fldChar w:fldCharType="end"/>
      </w:r>
      <w:r w:rsidR="008A393A" w:rsidRPr="003F6316">
        <w:t>.</w:t>
      </w:r>
      <w:r w:rsidR="00C6344D" w:rsidRPr="003F6316">
        <w:t xml:space="preserve"> The ATR-FTIR </w:t>
      </w:r>
      <w:r w:rsidR="00DA0A0E" w:rsidRPr="003F6316">
        <w:t xml:space="preserve">spectrum of the “as supplied” RHT </w:t>
      </w:r>
      <w:r w:rsidR="00C6344D" w:rsidRPr="003F6316">
        <w:t xml:space="preserve">was similar to that reported by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"mendeley" : { "manualFormatting" : "Benkic et al. [15] ", "previouslyFormattedCitation" : "&lt;sup&gt;[15]&lt;/sup&gt;" }, "properties" : { "noteIndex" : 0 }, "schema" : "https://github.com/citation-style-language/schema/raw/master/csl-citation.json" }</w:instrText>
      </w:r>
      <w:r w:rsidR="002333DA" w:rsidRPr="003F6316">
        <w:fldChar w:fldCharType="separate"/>
      </w:r>
      <w:r w:rsidR="006A337A" w:rsidRPr="003F6316">
        <w:rPr>
          <w:noProof/>
        </w:rPr>
        <w:t>Benkic et al.</w:t>
      </w:r>
      <w:r w:rsidR="00F020BD" w:rsidRPr="003F6316">
        <w:rPr>
          <w:noProof/>
        </w:rPr>
        <w:t xml:space="preserve"> </w:t>
      </w:r>
      <w:r w:rsidR="00F020BD" w:rsidRPr="003F6316">
        <w:rPr>
          <w:noProof/>
          <w:vertAlign w:val="superscript"/>
        </w:rPr>
        <w:t>[15]</w:t>
      </w:r>
      <w:r w:rsidR="00F020BD" w:rsidRPr="003F6316" w:rsidDel="00F020BD">
        <w:rPr>
          <w:noProof/>
        </w:rPr>
        <w:t xml:space="preserve"> </w:t>
      </w:r>
      <w:r w:rsidR="002333DA" w:rsidRPr="003F6316">
        <w:fldChar w:fldCharType="end"/>
      </w:r>
      <w:r w:rsidR="00261647" w:rsidRPr="003F6316">
        <w:t xml:space="preserve">and </w:t>
      </w:r>
      <w:r w:rsidR="00261647" w:rsidRPr="003F6316">
        <w:rPr>
          <w:noProof/>
        </w:rPr>
        <w:t xml:space="preserve">Overeem and Vinent </w:t>
      </w:r>
      <w:r w:rsidR="00FD75AA" w:rsidRPr="003F6316">
        <w:rPr>
          <w:noProof/>
          <w:vertAlign w:val="superscript"/>
        </w:rPr>
        <w:t>[16]</w:t>
      </w:r>
      <w:r w:rsidR="00261647" w:rsidRPr="003F6316">
        <w:rPr>
          <w:noProof/>
        </w:rPr>
        <w:t xml:space="preserve"> for </w:t>
      </w:r>
      <w:r w:rsidR="00C6344D" w:rsidRPr="003F6316">
        <w:t>polymorph II, with the carbamate band present at 169</w:t>
      </w:r>
      <w:r w:rsidR="00201DAC" w:rsidRPr="003F6316">
        <w:t>3</w:t>
      </w:r>
      <w:r w:rsidR="00C6344D" w:rsidRPr="003F6316">
        <w:t xml:space="preserve"> cm</w:t>
      </w:r>
      <w:r w:rsidR="002333DA" w:rsidRPr="003F6316">
        <w:rPr>
          <w:vertAlign w:val="superscript"/>
        </w:rPr>
        <w:t>-1</w:t>
      </w:r>
      <w:r w:rsidR="00261647" w:rsidRPr="003F6316">
        <w:t xml:space="preserve"> (Figure </w:t>
      </w:r>
      <w:r w:rsidR="00B05C07" w:rsidRPr="003F6316">
        <w:t>4</w:t>
      </w:r>
      <w:r w:rsidR="008476F4" w:rsidRPr="003F6316">
        <w:t>(</w:t>
      </w:r>
      <w:r w:rsidR="00261647" w:rsidRPr="003F6316">
        <w:t>a</w:t>
      </w:r>
      <w:r w:rsidR="008476F4" w:rsidRPr="003F6316">
        <w:t>)</w:t>
      </w:r>
      <w:r w:rsidR="00261647" w:rsidRPr="003F6316">
        <w:t>)</w:t>
      </w:r>
      <w:r w:rsidR="00C6344D" w:rsidRPr="003F6316">
        <w:t>.</w:t>
      </w:r>
      <w:r w:rsidR="006A337A" w:rsidRPr="003F6316">
        <w:t xml:space="preserve"> </w:t>
      </w:r>
      <w:r w:rsidR="00CF27AF" w:rsidRPr="003F6316">
        <w:t>“As supplied</w:t>
      </w:r>
      <w:r w:rsidR="00AB274D" w:rsidRPr="003F6316">
        <w:t>”</w:t>
      </w:r>
      <w:r w:rsidR="00CF27AF" w:rsidRPr="003F6316">
        <w:t xml:space="preserve"> RHT presented a true density (ρ) of 1.13±0.001 g.cm</w:t>
      </w:r>
      <w:r w:rsidR="00CF27AF" w:rsidRPr="003F6316">
        <w:rPr>
          <w:vertAlign w:val="superscript"/>
        </w:rPr>
        <w:t>-3</w:t>
      </w:r>
      <w:r w:rsidR="00CF27AF" w:rsidRPr="003F6316">
        <w:t xml:space="preserve">. </w:t>
      </w:r>
      <w:r w:rsidR="008F64CA" w:rsidRPr="003F6316">
        <w:t xml:space="preserve"> The data indicates that the supplied API was </w:t>
      </w:r>
      <w:r w:rsidR="007C3A11" w:rsidRPr="003F6316">
        <w:t>Form</w:t>
      </w:r>
      <w:r w:rsidR="008F64CA" w:rsidRPr="003F6316">
        <w:t xml:space="preserve"> II</w:t>
      </w:r>
      <w:r w:rsidR="008476F4" w:rsidRPr="003F6316">
        <w:t>.</w:t>
      </w:r>
    </w:p>
    <w:p w:rsidR="00E84E70" w:rsidRPr="003F6316" w:rsidRDefault="00E84E70" w:rsidP="00E84E70">
      <w:pPr>
        <w:spacing w:line="360" w:lineRule="auto"/>
        <w:jc w:val="both"/>
      </w:pPr>
      <w:r w:rsidRPr="003F6316">
        <w:t xml:space="preserve">The powder obtained </w:t>
      </w:r>
      <w:r w:rsidR="00DA0A0E" w:rsidRPr="003F6316">
        <w:t xml:space="preserve">by </w:t>
      </w:r>
      <w:proofErr w:type="spellStart"/>
      <w:r w:rsidRPr="003F6316">
        <w:t>recrystallisation</w:t>
      </w:r>
      <w:proofErr w:type="spellEnd"/>
      <w:r w:rsidRPr="003F6316">
        <w:t xml:space="preserve"> of </w:t>
      </w:r>
      <w:r w:rsidR="008F64CA" w:rsidRPr="003F6316">
        <w:t>RHT from ethanol</w:t>
      </w:r>
      <w:r w:rsidRPr="003F6316">
        <w:t xml:space="preserve"> presented comparable physical characteristics </w:t>
      </w:r>
      <w:r w:rsidR="00074BF3" w:rsidRPr="003F6316">
        <w:t xml:space="preserve">to the </w:t>
      </w:r>
      <w:r w:rsidR="00FD75AA" w:rsidRPr="003F6316">
        <w:t xml:space="preserve">“as </w:t>
      </w:r>
      <w:r w:rsidR="00DA0A0E" w:rsidRPr="003F6316">
        <w:t>supplied</w:t>
      </w:r>
      <w:r w:rsidR="00FD75AA" w:rsidRPr="003F6316">
        <w:t>” RHT</w:t>
      </w:r>
      <w:r w:rsidRPr="003F6316">
        <w:t xml:space="preserve"> (</w:t>
      </w:r>
      <w:r w:rsidR="008476F4" w:rsidRPr="003F6316">
        <w:t>data not showed</w:t>
      </w:r>
      <w:r w:rsidRPr="003F6316">
        <w:t>)</w:t>
      </w:r>
      <w:r w:rsidR="008F64CA" w:rsidRPr="003F6316">
        <w:t xml:space="preserve">; </w:t>
      </w:r>
      <w:r w:rsidR="00074BF3" w:rsidRPr="003F6316">
        <w:t>thus</w:t>
      </w:r>
      <w:r w:rsidR="008F64CA" w:rsidRPr="003F6316">
        <w:t xml:space="preserve"> </w:t>
      </w:r>
      <w:r w:rsidR="00074BF3" w:rsidRPr="003F6316">
        <w:t xml:space="preserve">crystalline </w:t>
      </w:r>
      <w:r w:rsidR="008F64CA" w:rsidRPr="003F6316">
        <w:t>polymorph II was obtained as intended.</w:t>
      </w:r>
    </w:p>
    <w:p w:rsidR="004F5CCA" w:rsidRPr="003F6316" w:rsidRDefault="004F5CCA" w:rsidP="004F5CCA">
      <w:pPr>
        <w:spacing w:line="360" w:lineRule="auto"/>
        <w:jc w:val="both"/>
      </w:pPr>
      <w:r w:rsidRPr="003F6316">
        <w:t xml:space="preserve">The X-ray powder </w:t>
      </w:r>
      <w:proofErr w:type="spellStart"/>
      <w:r w:rsidRPr="003F6316">
        <w:t>diffractogram</w:t>
      </w:r>
      <w:proofErr w:type="spellEnd"/>
      <w:r w:rsidRPr="003F6316">
        <w:t xml:space="preserve"> of </w:t>
      </w:r>
      <w:r w:rsidR="008F64CA" w:rsidRPr="003F6316">
        <w:t>powder recrystallized from isopropanol</w:t>
      </w:r>
      <w:r w:rsidRPr="003F6316">
        <w:t xml:space="preserve"> presented peaks at: 5.</w:t>
      </w:r>
      <w:r w:rsidR="00074BF3" w:rsidRPr="003F6316">
        <w:t>1</w:t>
      </w:r>
      <w:r w:rsidR="002333DA" w:rsidRPr="003F6316">
        <w:rPr>
          <w:vertAlign w:val="superscript"/>
        </w:rPr>
        <w:t>o</w:t>
      </w:r>
      <w:r w:rsidRPr="003F6316">
        <w:t>, 14.7</w:t>
      </w:r>
      <w:r w:rsidR="00074BF3" w:rsidRPr="003F6316">
        <w:rPr>
          <w:vertAlign w:val="superscript"/>
        </w:rPr>
        <w:t xml:space="preserve"> o</w:t>
      </w:r>
      <w:r w:rsidRPr="003F6316">
        <w:t>, 16.5</w:t>
      </w:r>
      <w:r w:rsidR="00074BF3" w:rsidRPr="003F6316">
        <w:rPr>
          <w:vertAlign w:val="superscript"/>
        </w:rPr>
        <w:t xml:space="preserve"> o</w:t>
      </w:r>
      <w:r w:rsidRPr="003F6316">
        <w:t>, 17.6</w:t>
      </w:r>
      <w:r w:rsidR="00074BF3" w:rsidRPr="003F6316">
        <w:rPr>
          <w:vertAlign w:val="superscript"/>
        </w:rPr>
        <w:t xml:space="preserve"> o</w:t>
      </w:r>
      <w:r w:rsidRPr="003F6316">
        <w:t>, 18.6</w:t>
      </w:r>
      <w:r w:rsidR="00074BF3" w:rsidRPr="003F6316">
        <w:rPr>
          <w:vertAlign w:val="superscript"/>
        </w:rPr>
        <w:t xml:space="preserve"> o</w:t>
      </w:r>
      <w:r w:rsidRPr="003F6316">
        <w:t>, 20.4</w:t>
      </w:r>
      <w:r w:rsidR="00074BF3" w:rsidRPr="003F6316">
        <w:rPr>
          <w:vertAlign w:val="superscript"/>
        </w:rPr>
        <w:t xml:space="preserve"> o</w:t>
      </w:r>
      <w:r w:rsidRPr="003F6316">
        <w:t xml:space="preserve"> and 21.1</w:t>
      </w:r>
      <w:r w:rsidR="00074BF3" w:rsidRPr="003F6316">
        <w:rPr>
          <w:vertAlign w:val="superscript"/>
        </w:rPr>
        <w:t xml:space="preserve"> o</w:t>
      </w:r>
      <w:r w:rsidRPr="003F6316">
        <w:t xml:space="preserve"> 2θ that are characteristic of polymorph I (Figure </w:t>
      </w:r>
      <w:r w:rsidR="00B05C07" w:rsidRPr="003F6316">
        <w:t>2</w:t>
      </w:r>
      <w:r w:rsidR="008476F4" w:rsidRPr="003F6316">
        <w:t>(g</w:t>
      </w:r>
      <w:r w:rsidRPr="003F6316">
        <w:t>)</w:t>
      </w:r>
      <w:r w:rsidR="008476F4" w:rsidRPr="003F6316">
        <w:t>)</w:t>
      </w:r>
      <w:r w:rsidRPr="003F6316">
        <w:t xml:space="preserve">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"id" : "ITEM-2", "itemData" : { "author" : [ { "dropping-particle" : "", "family" : "Overeem", "given" : "Arjanne", "non-dropping-particle" : "", "parse-names" : false, "suffix" : "" }, { "dropping-particle" : "", "family" : "Vinent", "given" : "HT", "non-dropping-particle" : "", "parse-names" : false, "suffix" : "" } ], "container-title" : "US Patent App. 12/044,626", "id" : "ITEM-2", "issue" : "19", "issued" : { "date-parts" : [ [ "2008" ] ] }, "page" : "0-11", "title" : "Polymorphs of rivastigmine hydrogentartrate", "type" : "patent", "volume" : "1111" }, "uris" : [ "http://www.mendeley.com/documents/?uuid=152118b9-7f82-41ac-aff3-ffd9b9a74095" ] } ], "mendeley" : { "previouslyFormattedCitation" : "&lt;sup&gt;[15,16]&lt;/sup&gt;" }, "properties" : { "noteIndex" : 0 }, "schema" : "https://github.com/citation-style-language/schema/raw/master/csl-citation.json" }</w:instrText>
      </w:r>
      <w:r w:rsidR="002333DA" w:rsidRPr="003F6316">
        <w:fldChar w:fldCharType="separate"/>
      </w:r>
      <w:r w:rsidR="00364163" w:rsidRPr="003F6316">
        <w:rPr>
          <w:noProof/>
          <w:vertAlign w:val="superscript"/>
        </w:rPr>
        <w:t>[15,16]</w:t>
      </w:r>
      <w:r w:rsidR="002333DA" w:rsidRPr="003F6316">
        <w:fldChar w:fldCharType="end"/>
      </w:r>
      <w:r w:rsidRPr="003F6316">
        <w:t xml:space="preserve">. DSC scans showed a single melting peak with onset at </w:t>
      </w:r>
      <w:r w:rsidR="00AF010A" w:rsidRPr="003F6316">
        <w:t>123.5</w:t>
      </w:r>
      <w:r w:rsidRPr="003F6316">
        <w:t>±</w:t>
      </w:r>
      <w:r w:rsidR="00AF010A" w:rsidRPr="003F6316">
        <w:t>0.10</w:t>
      </w:r>
      <w:r w:rsidRPr="003F6316">
        <w:t xml:space="preserve"> °C (</w:t>
      </w:r>
      <w:proofErr w:type="spellStart"/>
      <w:r w:rsidRPr="003F6316">
        <w:t>ΔH</w:t>
      </w:r>
      <w:r w:rsidRPr="003F6316">
        <w:rPr>
          <w:vertAlign w:val="subscript"/>
        </w:rPr>
        <w:t>m</w:t>
      </w:r>
      <w:proofErr w:type="spellEnd"/>
      <w:r w:rsidRPr="003F6316">
        <w:t xml:space="preserve"> = </w:t>
      </w:r>
      <w:r w:rsidR="00AF010A" w:rsidRPr="003F6316">
        <w:t>74.1</w:t>
      </w:r>
      <w:r w:rsidRPr="003F6316">
        <w:t>±</w:t>
      </w:r>
      <w:r w:rsidR="00AF010A" w:rsidRPr="003F6316">
        <w:t xml:space="preserve">3.00 </w:t>
      </w:r>
      <w:r w:rsidRPr="003F6316">
        <w:t xml:space="preserve">J/g) (Figure </w:t>
      </w:r>
      <w:r w:rsidR="00B05C07" w:rsidRPr="003F6316">
        <w:t>3</w:t>
      </w:r>
      <w:r w:rsidR="008476F4" w:rsidRPr="003F6316">
        <w:t>(g)</w:t>
      </w:r>
      <w:r w:rsidRPr="003F6316">
        <w:t xml:space="preserve">). The ATR-FTIR </w:t>
      </w:r>
      <w:r w:rsidR="00074BF3" w:rsidRPr="003F6316">
        <w:t xml:space="preserve">spectrum </w:t>
      </w:r>
      <w:r w:rsidRPr="003F6316">
        <w:t xml:space="preserve">was similar to that reported by </w:t>
      </w:r>
      <w:r w:rsidR="002333DA" w:rsidRPr="003F6316">
        <w:fldChar w:fldCharType="begin" w:fldLock="1"/>
      </w:r>
      <w:r w:rsidR="00364163" w:rsidRPr="003F6316">
        <w:instrText>ADDIN CSL_CITATION { "citationItems" : [ { "id" : "ITEM-1", "itemData" : { "author" : [ { "dropping-particle" : "", "family" : "Benkic", "given" : "Primoz", "non-dropping-particle" : "", "parse-names" : false, "suffix" : "" }, { "dropping-particle" : "", "family" : "Smrkolj", "given" : "Matej", "non-dropping-particle" : "", "parse-names" : false, "suffix" : "" }, { "dropping-particle" : "", "family" : "Pecavar", "given" : "Anica", "non-dropping-particle" : "", "parse-names" : false, "suffix" : "" }, { "dropping-particle" : "", "family" : "Tadej", "given" : "Stropmik.", "non-dropping-particle" : "", "parse-names" : false, "suffix" : "" }, { "dropping-particle" : "", "family" : "Vrbinc", "given" : "Miha", "non-dropping-particle" : "", "parse-names" : false, "suffix" : "" }, { "dropping-particle" : "", "family" : "Vrecer", "given" : "Franc", "non-dropping-particle" : "", "parse-names" : false, "suffix" : "" }, { "dropping-particle" : "", "family" : "Pelko", "given" : "Mitjia", "non-dropping-particle" : "", "parse-names" : false, "suffix" : "" } ], "container-title" : "EP Patent \u2026", "id" : "ITEM-1", "issue" : "19", "issued" : { "date-parts" : [ [ "2008" ] ] }, "page" : "1-30", "title" : "Amorphous and crystalline forms of rivastigmine hydrogentartrate", "type" : "patent", "volume" : "1" }, "uris" : [ "http://www.mendeley.com/documents/?uuid=abf6ef4c-e770-490d-84d0-cbf42e57c3be" ] } ], "mendeley" : { "manualFormatting" : "Benkic et al. ", "previouslyFormattedCitation" : "&lt;sup&gt;[15]&lt;/sup&gt;" }, "properties" : { "noteIndex" : 0 }, "schema" : "https://github.com/citation-style-language/schema/raw/master/csl-citation.json" }</w:instrText>
      </w:r>
      <w:r w:rsidR="002333DA" w:rsidRPr="003F6316">
        <w:fldChar w:fldCharType="separate"/>
      </w:r>
      <w:r w:rsidRPr="003F6316">
        <w:rPr>
          <w:noProof/>
        </w:rPr>
        <w:t xml:space="preserve">Benkic et al. </w:t>
      </w:r>
      <w:r w:rsidR="002333DA" w:rsidRPr="003F6316">
        <w:fldChar w:fldCharType="end"/>
      </w:r>
      <w:r w:rsidR="0028351B" w:rsidRPr="003F6316">
        <w:rPr>
          <w:vertAlign w:val="superscript"/>
        </w:rPr>
        <w:t>[15]</w:t>
      </w:r>
      <w:r w:rsidRPr="003F6316">
        <w:t xml:space="preserve"> and </w:t>
      </w:r>
      <w:r w:rsidRPr="003F6316">
        <w:rPr>
          <w:noProof/>
        </w:rPr>
        <w:t xml:space="preserve">Overeem and Vinent </w:t>
      </w:r>
      <w:r w:rsidR="0028351B" w:rsidRPr="003F6316">
        <w:rPr>
          <w:noProof/>
          <w:vertAlign w:val="superscript"/>
        </w:rPr>
        <w:t>[16]</w:t>
      </w:r>
      <w:r w:rsidRPr="003F6316">
        <w:rPr>
          <w:noProof/>
        </w:rPr>
        <w:t xml:space="preserve"> for </w:t>
      </w:r>
      <w:r w:rsidRPr="003F6316">
        <w:t xml:space="preserve">polymorph I, with the carbamate band present at </w:t>
      </w:r>
      <w:r w:rsidR="008459CB" w:rsidRPr="003F6316">
        <w:t>1725</w:t>
      </w:r>
      <w:r w:rsidRPr="003F6316">
        <w:t xml:space="preserve"> cm</w:t>
      </w:r>
      <w:r w:rsidR="002333DA" w:rsidRPr="003F6316">
        <w:rPr>
          <w:vertAlign w:val="superscript"/>
        </w:rPr>
        <w:t>-1</w:t>
      </w:r>
      <w:r w:rsidRPr="003F6316">
        <w:t xml:space="preserve"> (</w:t>
      </w:r>
      <w:r w:rsidR="008476F4" w:rsidRPr="003F6316">
        <w:t xml:space="preserve">Figure </w:t>
      </w:r>
      <w:r w:rsidR="00B05C07" w:rsidRPr="003F6316">
        <w:t>4</w:t>
      </w:r>
      <w:r w:rsidR="008476F4" w:rsidRPr="003F6316">
        <w:t>(g)</w:t>
      </w:r>
      <w:r w:rsidRPr="003F6316">
        <w:t>). Polymorph I presented a true density (ρ) of 1.</w:t>
      </w:r>
      <w:r w:rsidR="00CB4738" w:rsidRPr="003F6316">
        <w:t>20</w:t>
      </w:r>
      <w:r w:rsidRPr="003F6316">
        <w:t>±0.001 g.cm</w:t>
      </w:r>
      <w:r w:rsidRPr="003F6316">
        <w:rPr>
          <w:vertAlign w:val="superscript"/>
        </w:rPr>
        <w:t>-3</w:t>
      </w:r>
      <w:r w:rsidRPr="003F6316">
        <w:t xml:space="preserve">. </w:t>
      </w:r>
      <w:r w:rsidR="008476F4" w:rsidRPr="003F6316">
        <w:t xml:space="preserve">Polymorph </w:t>
      </w:r>
      <w:r w:rsidR="007C3A11" w:rsidRPr="003F6316">
        <w:t>Form</w:t>
      </w:r>
      <w:r w:rsidR="008476F4" w:rsidRPr="003F6316">
        <w:t xml:space="preserve"> I was ob</w:t>
      </w:r>
      <w:r w:rsidR="008F64CA" w:rsidRPr="003F6316">
        <w:t>tained as intended.</w:t>
      </w:r>
    </w:p>
    <w:p w:rsidR="00757B6B" w:rsidRPr="003F6316" w:rsidRDefault="00757B6B" w:rsidP="004F5CCA">
      <w:pPr>
        <w:spacing w:line="360" w:lineRule="auto"/>
        <w:jc w:val="both"/>
      </w:pPr>
      <w:r w:rsidRPr="003F6316">
        <w:t xml:space="preserve">The morphology of “as supplied” </w:t>
      </w:r>
      <w:r w:rsidR="0069514E" w:rsidRPr="003F6316">
        <w:t>RHT</w:t>
      </w:r>
      <w:r w:rsidRPr="003F6316">
        <w:t xml:space="preserve">, polymorph I and II was evaluated by SEM and is presented in figure 4. Two types of crystal morphology could be identified: plate </w:t>
      </w:r>
      <w:r w:rsidR="00307755" w:rsidRPr="003F6316">
        <w:t xml:space="preserve">like </w:t>
      </w:r>
      <w:r w:rsidRPr="003F6316">
        <w:t>shape</w:t>
      </w:r>
      <w:r w:rsidR="0069514E" w:rsidRPr="003F6316">
        <w:t xml:space="preserve"> for Form I</w:t>
      </w:r>
      <w:r w:rsidRPr="003F6316">
        <w:t xml:space="preserve"> (Figure </w:t>
      </w:r>
      <w:r w:rsidR="00B05C07" w:rsidRPr="003F6316">
        <w:t>5a</w:t>
      </w:r>
      <w:r w:rsidRPr="003F6316">
        <w:t xml:space="preserve">) and an elongated </w:t>
      </w:r>
      <w:proofErr w:type="spellStart"/>
      <w:r w:rsidRPr="003F6316">
        <w:t>tetrahedrical</w:t>
      </w:r>
      <w:proofErr w:type="spellEnd"/>
      <w:r w:rsidRPr="003F6316">
        <w:t xml:space="preserve">/needle like shape </w:t>
      </w:r>
      <w:r w:rsidR="0069514E" w:rsidRPr="003F6316">
        <w:t xml:space="preserve">for Form II and “as </w:t>
      </w:r>
      <w:r w:rsidR="00C90A06" w:rsidRPr="003F6316">
        <w:t>supplied</w:t>
      </w:r>
      <w:r w:rsidR="0069514E" w:rsidRPr="003F6316">
        <w:t xml:space="preserve">” RHT (Figure </w:t>
      </w:r>
      <w:r w:rsidR="00B05C07" w:rsidRPr="003F6316">
        <w:t xml:space="preserve">5b </w:t>
      </w:r>
      <w:r w:rsidR="0069514E" w:rsidRPr="003F6316">
        <w:t xml:space="preserve">and </w:t>
      </w:r>
      <w:r w:rsidR="00E178EF" w:rsidRPr="003F6316">
        <w:t>5</w:t>
      </w:r>
      <w:r w:rsidR="0069514E" w:rsidRPr="003F6316">
        <w:t xml:space="preserve">c); </w:t>
      </w:r>
      <w:r w:rsidR="0069514E" w:rsidRPr="003F6316">
        <w:lastRenderedPageBreak/>
        <w:t>therefore, the polymorphic forms</w:t>
      </w:r>
      <w:r w:rsidR="00E04D9B" w:rsidRPr="003F6316">
        <w:t xml:space="preserve"> present different </w:t>
      </w:r>
      <w:r w:rsidR="00C90A06" w:rsidRPr="003F6316">
        <w:t>morphologies</w:t>
      </w:r>
      <w:r w:rsidR="00E01A3B" w:rsidRPr="003F6316">
        <w:t>,</w:t>
      </w:r>
      <w:r w:rsidR="00C90A06" w:rsidRPr="003F6316">
        <w:t xml:space="preserve"> aiding </w:t>
      </w:r>
      <w:r w:rsidR="00E04D9B" w:rsidRPr="003F6316">
        <w:t xml:space="preserve">in </w:t>
      </w:r>
      <w:r w:rsidR="00C90A06" w:rsidRPr="003F6316">
        <w:t xml:space="preserve">their </w:t>
      </w:r>
      <w:r w:rsidR="00E04D9B" w:rsidRPr="003F6316">
        <w:t>identification and characterisation</w:t>
      </w:r>
      <w:r w:rsidR="0069514E" w:rsidRPr="003F6316">
        <w:t>.</w:t>
      </w:r>
      <w:r w:rsidR="00E04D9B" w:rsidRPr="003F6316">
        <w:t xml:space="preserve"> In addition the crystals of the supplied API presented the same shape as those pertaining to polymorphic Form II, reinforcing the indication by XRPD, DSC and FTIR data that the “as supplied” RHT was in the Form II. </w:t>
      </w:r>
    </w:p>
    <w:p w:rsidR="00CB6C7B" w:rsidRPr="003F6316" w:rsidRDefault="00CB6C7B" w:rsidP="00CB6C7B">
      <w:pPr>
        <w:pStyle w:val="ListParagraph"/>
        <w:numPr>
          <w:ilvl w:val="1"/>
          <w:numId w:val="1"/>
        </w:numPr>
        <w:spacing w:line="360" w:lineRule="auto"/>
        <w:jc w:val="both"/>
      </w:pPr>
      <w:r w:rsidRPr="003F6316">
        <w:t xml:space="preserve">Thermodynamic stability </w:t>
      </w:r>
    </w:p>
    <w:p w:rsidR="00CB6C7B" w:rsidRPr="003F6316" w:rsidRDefault="00CB6C7B" w:rsidP="00CB6C7B">
      <w:pPr>
        <w:spacing w:line="360" w:lineRule="auto"/>
        <w:jc w:val="both"/>
      </w:pPr>
      <w:r w:rsidRPr="003F6316">
        <w:t xml:space="preserve">The identification of types of polymorphs is usually based on their thermodynamic properties or stability; Burger and </w:t>
      </w:r>
      <w:proofErr w:type="spellStart"/>
      <w:r w:rsidRPr="003F6316">
        <w:t>Ramburger</w:t>
      </w:r>
      <w:proofErr w:type="spellEnd"/>
      <w:r w:rsidRPr="003F6316">
        <w:t xml:space="preserve"> have developed useful rules to help in the identification of </w:t>
      </w:r>
      <w:proofErr w:type="spellStart"/>
      <w:r w:rsidRPr="003F6316">
        <w:t>enantiotropic</w:t>
      </w:r>
      <w:proofErr w:type="spellEnd"/>
      <w:r w:rsidRPr="003F6316">
        <w:t xml:space="preserve"> and </w:t>
      </w:r>
      <w:proofErr w:type="spellStart"/>
      <w:r w:rsidRPr="003F6316">
        <w:t>monotropic</w:t>
      </w:r>
      <w:proofErr w:type="spellEnd"/>
      <w:r w:rsidRPr="003F6316">
        <w:t xml:space="preserve"> systems </w:t>
      </w:r>
      <w:r w:rsidR="00FD75AA" w:rsidRPr="003F6316">
        <w:rPr>
          <w:vertAlign w:val="superscript"/>
        </w:rPr>
        <w:t xml:space="preserve">[19, 21, </w:t>
      </w:r>
      <w:proofErr w:type="gramStart"/>
      <w:r w:rsidR="00955279" w:rsidRPr="003F6316">
        <w:rPr>
          <w:vertAlign w:val="superscript"/>
        </w:rPr>
        <w:t>23</w:t>
      </w:r>
      <w:proofErr w:type="gramEnd"/>
      <w:r w:rsidR="00FD75AA" w:rsidRPr="003F6316">
        <w:rPr>
          <w:vertAlign w:val="superscript"/>
        </w:rPr>
        <w:t>]</w:t>
      </w:r>
      <w:r w:rsidRPr="003F6316">
        <w:t xml:space="preserve">. According to Burger’s thermodynamic rules for polymorphic transitions, two polymorphs are </w:t>
      </w:r>
      <w:proofErr w:type="spellStart"/>
      <w:r w:rsidRPr="003F6316">
        <w:t>monotropes</w:t>
      </w:r>
      <w:proofErr w:type="spellEnd"/>
      <w:r w:rsidRPr="003F6316">
        <w:t xml:space="preserve"> if: the transition precedes the melting of the stable form; Form I (stable) has lower solubility than Form II (metastable); the transition of Form II to </w:t>
      </w:r>
      <w:r w:rsidR="00074BF3" w:rsidRPr="003F6316">
        <w:t xml:space="preserve">Form </w:t>
      </w:r>
      <w:r w:rsidRPr="003F6316">
        <w:t xml:space="preserve">I is exothermic (Heat of </w:t>
      </w:r>
      <w:r w:rsidR="00074BF3" w:rsidRPr="003F6316">
        <w:t>Transition R</w:t>
      </w:r>
      <w:r w:rsidRPr="003F6316">
        <w:t xml:space="preserve">ule); enthalpy of fusion and density of Form I is higher than Form II (Heat of </w:t>
      </w:r>
      <w:r w:rsidR="00074BF3" w:rsidRPr="003F6316">
        <w:t>F</w:t>
      </w:r>
      <w:r w:rsidRPr="003F6316">
        <w:t xml:space="preserve">usion and </w:t>
      </w:r>
      <w:r w:rsidR="00074BF3" w:rsidRPr="003F6316">
        <w:t>D</w:t>
      </w:r>
      <w:r w:rsidRPr="003F6316">
        <w:t xml:space="preserve">ensity </w:t>
      </w:r>
      <w:r w:rsidR="00074BF3" w:rsidRPr="003F6316">
        <w:t>R</w:t>
      </w:r>
      <w:r w:rsidRPr="003F6316">
        <w:t xml:space="preserve">ules); and the identifying IR band of Form I is at </w:t>
      </w:r>
      <w:r w:rsidR="00074BF3" w:rsidRPr="003F6316">
        <w:t xml:space="preserve">a </w:t>
      </w:r>
      <w:r w:rsidRPr="003F6316">
        <w:t xml:space="preserve">higher wavenumber than Form II </w:t>
      </w:r>
      <w:r w:rsidR="00FD75AA" w:rsidRPr="003F6316">
        <w:rPr>
          <w:vertAlign w:val="superscript"/>
        </w:rPr>
        <w:t xml:space="preserve">[19, 21, </w:t>
      </w:r>
      <w:r w:rsidR="00955279" w:rsidRPr="003F6316">
        <w:rPr>
          <w:vertAlign w:val="superscript"/>
        </w:rPr>
        <w:t>23</w:t>
      </w:r>
      <w:r w:rsidR="00FD75AA" w:rsidRPr="003F6316">
        <w:rPr>
          <w:vertAlign w:val="superscript"/>
        </w:rPr>
        <w:t>]</w:t>
      </w:r>
      <w:r w:rsidRPr="003F6316">
        <w:t>. Table 1 presents the evaluation of the two RHT polymorphic forms in accordance with Burger-</w:t>
      </w:r>
      <w:proofErr w:type="spellStart"/>
      <w:r w:rsidRPr="003F6316">
        <w:t>Ramburger</w:t>
      </w:r>
      <w:proofErr w:type="spellEnd"/>
      <w:r w:rsidRPr="003F6316">
        <w:t xml:space="preserve"> rules.</w:t>
      </w:r>
    </w:p>
    <w:p w:rsidR="00CB6C7B" w:rsidRPr="003F6316" w:rsidRDefault="00321B05" w:rsidP="00CB6C7B">
      <w:pPr>
        <w:spacing w:line="360" w:lineRule="auto"/>
        <w:jc w:val="both"/>
        <w:rPr>
          <w:color w:val="FF0000"/>
        </w:rPr>
      </w:pPr>
      <w:r w:rsidRPr="003F6316">
        <w:t xml:space="preserve">Work by </w:t>
      </w:r>
      <w:r w:rsidR="002333DA" w:rsidRPr="003F6316">
        <w:fldChar w:fldCharType="begin" w:fldLock="1"/>
      </w:r>
      <w:r w:rsidR="00364163" w:rsidRPr="003F6316">
        <w:instrText>ADDIN CSL_CITATION { "citationItems" : [ { "id" : "ITEM-1", "itemData" : { "DOI" : "10.1002/jps.2600840812", "ISSN" : "0022-3549", "abstract" : "This study investigates the possibility of inferring the thermodynamic stability relationship of polymorphs from their melting data. Thermodynamic formulas are derived for calculating the Gibbs free energy difference (\u0394G) between two polymorphs and its temperature slope from mainly the temperatures and heats of melting. This information is then used to estimate \u0394G, thus relative stability, at other temperatures by extrapolation. Both linear and nonlinear extrapolations are considered. Extrapolating \u0394G to zero gives an estimation of the transition (or virtual transition) temperature, from which the presence of monotropy or enantiotropy is inferred. This procedure is analogous to the use of solubility data measured near the ambient temperature to estimate a transition point at higher temperature. For several systems examined, the two methods are in good agreement. The qualitative rule introduced this way for inferring the presence of monotropy or enantiotropy is approximately the same as The Heat of Fusion Rule introduced previously on a statistical mechanical basis. This method is applied to 96 pairs of polymorphs from the literature. In most cases, the result agrees with the previous determination. The deviation of the calculated transition temperatures from their previous values (n = 18) is 2% on average and 7% at maximum.", "author" : [ { "dropping-particle" : "", "family" : "Yu", "given" : "Lian", "non-dropping-particle" : "", "parse-names" : false, "suffix" : "" } ], "container-title" : "Journal of Pharmaceutical Sciences", "id" : "ITEM-1", "issue" : "8", "issued" : { "date-parts" : [ [ "1995", "8" ] ] }, "page" : "966-974", "title" : "Inferring thermodynamic stability relationship of polymorphs from melting data", "type" : "article-journal", "volume" : "84" }, "uris" : [ "http://www.mendeley.com/documents/?uuid=5cecd023-c1a1-494c-af7f-b08598e65aef" ] } ], "mendeley" : { "manualFormatting" : "Yu [25]", "previouslyFormattedCitation" : "&lt;sup&gt;[24]&lt;/sup&gt;" }, "properties" : { "noteIndex" : 0 }, "schema" : "https://github.com/citation-style-language/schema/raw/master/csl-citation.json" }</w:instrText>
      </w:r>
      <w:r w:rsidR="002333DA" w:rsidRPr="003F6316">
        <w:fldChar w:fldCharType="separate"/>
      </w:r>
      <w:r w:rsidR="009C5D8B" w:rsidRPr="003F6316">
        <w:rPr>
          <w:noProof/>
        </w:rPr>
        <w:t>Yu</w:t>
      </w:r>
      <w:r w:rsidR="00325E07" w:rsidRPr="003F6316">
        <w:rPr>
          <w:noProof/>
        </w:rPr>
        <w:t xml:space="preserve"> </w:t>
      </w:r>
      <w:r w:rsidR="00FD75AA" w:rsidRPr="003F6316">
        <w:rPr>
          <w:noProof/>
          <w:vertAlign w:val="superscript"/>
        </w:rPr>
        <w:t>[25]</w:t>
      </w:r>
      <w:r w:rsidR="002333DA" w:rsidRPr="003F6316">
        <w:fldChar w:fldCharType="end"/>
      </w:r>
      <w:r w:rsidRPr="003F6316">
        <w:t xml:space="preserve"> focused on determining the thermodynamic stability of polymorphs from melting data, where several equations were developed to determine the Gibbs free energy </w:t>
      </w:r>
      <w:r w:rsidR="0009700C" w:rsidRPr="003F6316">
        <w:t xml:space="preserve">difference </w:t>
      </w:r>
      <w:r w:rsidRPr="003F6316">
        <w:t>between two polymorphs and their temperature of transition</w:t>
      </w:r>
      <w:r w:rsidR="00127B88" w:rsidRPr="003F6316">
        <w:t xml:space="preserve"> (Eq. 1</w:t>
      </w:r>
      <w:r w:rsidR="009753BC" w:rsidRPr="003F6316">
        <w:t>-</w:t>
      </w:r>
      <w:r w:rsidR="00127B88" w:rsidRPr="003F6316">
        <w:t>5</w:t>
      </w:r>
      <w:r w:rsidR="009753BC" w:rsidRPr="003F6316">
        <w:t>)</w:t>
      </w:r>
      <w:r w:rsidR="00531567" w:rsidRPr="003F6316">
        <w:t xml:space="preserve">. </w:t>
      </w:r>
      <w:r w:rsidR="00074BF3" w:rsidRPr="003F6316">
        <w:t xml:space="preserve">This </w:t>
      </w:r>
      <w:r w:rsidR="00531567" w:rsidRPr="003F6316">
        <w:t>approach was also applied to the RHT polymorphs for further characterisation of the transition.</w:t>
      </w:r>
    </w:p>
    <w:p w:rsidR="009753BC" w:rsidRPr="003F6316" w:rsidRDefault="0051587C" w:rsidP="00CB6C7B">
      <w:pPr>
        <w:spacing w:line="360" w:lineRule="auto"/>
        <w:jc w:val="both"/>
        <w:rPr>
          <w:rFonts w:eastAsia="Times New Roman"/>
        </w:rPr>
      </w:pPr>
      <m:oMath>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0</m:t>
            </m:r>
          </m:sub>
        </m:sSub>
        <m:r>
          <w:rPr>
            <w:rFonts w:ascii="Cambria Math" w:hAnsi="Cambria Math"/>
          </w:rPr>
          <m:t>= ∆</m:t>
        </m:r>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mII</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0</m:t>
            </m:r>
          </m:sub>
        </m:sSub>
      </m:oMath>
      <w:r w:rsidR="009753BC" w:rsidRPr="003F6316">
        <w:rPr>
          <w:rFonts w:eastAsia="Times New Roman"/>
        </w:rPr>
        <w:tab/>
      </w:r>
      <w:r w:rsidR="009753BC"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t>(</w:t>
      </w:r>
      <w:r w:rsidR="009753BC" w:rsidRPr="003F6316">
        <w:rPr>
          <w:rFonts w:eastAsia="Times New Roman"/>
        </w:rPr>
        <w:t xml:space="preserve">Eq. </w:t>
      </w:r>
      <w:r w:rsidR="00127B88" w:rsidRPr="003F6316">
        <w:rPr>
          <w:rFonts w:eastAsia="Times New Roman"/>
        </w:rPr>
        <w:t>1)</w:t>
      </w:r>
    </w:p>
    <w:p w:rsidR="00FC221E" w:rsidRPr="003F6316" w:rsidRDefault="0051587C" w:rsidP="00CB6C7B">
      <w:pPr>
        <w:spacing w:line="360" w:lineRule="auto"/>
        <w:jc w:val="both"/>
        <w:rPr>
          <w:rFonts w:eastAsia="Times New Roman"/>
        </w:rPr>
      </w:pPr>
      <m:oMath>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0</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mII</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mI</m:t>
            </m:r>
          </m:sub>
        </m:sSub>
        <m:r>
          <w:rPr>
            <w:rFonts w:ascii="Cambria Math" w:eastAsia="Times New Roman" w:hAnsi="Cambria Math"/>
          </w:rPr>
          <m:t>+</m:t>
        </m:r>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pL</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pI</m:t>
                </m:r>
              </m:sub>
            </m:sSub>
          </m:e>
        </m:d>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mII</m:t>
                </m:r>
              </m:sub>
            </m:sSub>
          </m:e>
        </m:d>
      </m:oMath>
      <w:r w:rsidR="00FC221E" w:rsidRPr="003F6316">
        <w:rPr>
          <w:rFonts w:eastAsia="Times New Roman"/>
        </w:rPr>
        <w:t xml:space="preserve"> </w:t>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t>(</w:t>
      </w:r>
      <w:r w:rsidR="00FC221E" w:rsidRPr="003F6316">
        <w:rPr>
          <w:rFonts w:eastAsia="Times New Roman"/>
        </w:rPr>
        <w:t>Eq.</w:t>
      </w:r>
      <w:r w:rsidR="00127B88" w:rsidRPr="003F6316">
        <w:rPr>
          <w:rFonts w:eastAsia="Times New Roman"/>
        </w:rPr>
        <w:t xml:space="preserve"> 2)</w:t>
      </w:r>
    </w:p>
    <w:p w:rsidR="009753BC" w:rsidRPr="003F6316" w:rsidRDefault="0019078B" w:rsidP="00CB6C7B">
      <w:pPr>
        <w:spacing w:line="360" w:lineRule="auto"/>
        <w:jc w:val="both"/>
        <w:rPr>
          <w:rFonts w:eastAsia="Times New Roman"/>
        </w:rPr>
      </w:pPr>
      <w:r w:rsidRPr="003F6316">
        <w:rPr>
          <w:rFonts w:eastAsia="Times New Roman"/>
        </w:rPr>
        <w:t xml:space="preserve">Being </w:t>
      </w:r>
      <w:r w:rsidR="00FC221E" w:rsidRPr="003F6316">
        <w:rPr>
          <w:rFonts w:eastAsia="Times New Roman"/>
        </w:rPr>
        <w:t xml:space="preserve"> </w:t>
      </w:r>
      <m:oMath>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pL</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pI</m:t>
                </m:r>
              </m:sub>
            </m:sSub>
          </m:e>
        </m:d>
        <m:r>
          <w:rPr>
            <w:rFonts w:ascii="Cambria Math" w:eastAsia="Times New Roman" w:hAnsi="Cambria Math"/>
          </w:rPr>
          <m:t>=</m:t>
        </m:r>
        <m:f>
          <m:fPr>
            <m:type m:val="lin"/>
            <m:ctrlPr>
              <w:rPr>
                <w:rFonts w:ascii="Cambria Math" w:eastAsia="Times New Roman" w:hAnsi="Cambria Math"/>
                <w:i/>
              </w:rPr>
            </m:ctrlPr>
          </m:fPr>
          <m:num>
            <m:d>
              <m:dPr>
                <m:ctrlPr>
                  <w:rPr>
                    <w:rFonts w:ascii="Cambria Math" w:eastAsia="Times New Roman" w:hAnsi="Cambria Math"/>
                    <w:i/>
                  </w:rPr>
                </m:ctrlPr>
              </m:dPr>
              <m:e>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mS</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c</m:t>
                    </m:r>
                  </m:sub>
                </m:sSub>
              </m:e>
            </m:d>
          </m:num>
          <m:den>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mA</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c</m:t>
                    </m:r>
                  </m:sub>
                </m:sSub>
              </m:e>
            </m:d>
          </m:den>
        </m:f>
      </m:oMath>
      <w:r w:rsidR="00FC221E" w:rsidRPr="003F6316">
        <w:rPr>
          <w:rFonts w:eastAsia="Times New Roman"/>
        </w:rPr>
        <w:t xml:space="preserve"> </w:t>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t>(</w:t>
      </w:r>
      <w:r w:rsidR="00FC221E" w:rsidRPr="003F6316">
        <w:rPr>
          <w:rFonts w:eastAsia="Times New Roman"/>
        </w:rPr>
        <w:t>Eq</w:t>
      </w:r>
      <w:r w:rsidR="00127B88" w:rsidRPr="003F6316">
        <w:rPr>
          <w:rFonts w:eastAsia="Times New Roman"/>
        </w:rPr>
        <w:t>.</w:t>
      </w:r>
      <w:r w:rsidR="00FC221E" w:rsidRPr="003F6316">
        <w:rPr>
          <w:rFonts w:eastAsia="Times New Roman"/>
        </w:rPr>
        <w:t xml:space="preserve"> </w:t>
      </w:r>
      <w:r w:rsidR="00127B88" w:rsidRPr="003F6316">
        <w:rPr>
          <w:rFonts w:eastAsia="Times New Roman"/>
        </w:rPr>
        <w:t>3)</w:t>
      </w:r>
    </w:p>
    <w:p w:rsidR="00FC221E" w:rsidRPr="003F6316" w:rsidRDefault="0051587C" w:rsidP="00CB6C7B">
      <w:pPr>
        <w:spacing w:line="360" w:lineRule="auto"/>
        <w:jc w:val="both"/>
        <w:rPr>
          <w:rFonts w:eastAsia="Times New Roman"/>
        </w:rPr>
      </w:pPr>
      <m:oMath>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0</m:t>
            </m:r>
          </m:sub>
        </m:sSub>
        <m:r>
          <w:rPr>
            <w:rFonts w:ascii="Cambria Math" w:eastAsia="Times New Roman" w:hAnsi="Cambria Math"/>
          </w:rPr>
          <m:t>=</m:t>
        </m:r>
        <m:f>
          <m:fPr>
            <m:type m:val="lin"/>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mII</m:t>
                </m:r>
              </m:sub>
            </m:sSub>
          </m:num>
          <m:den>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mII</m:t>
                </m:r>
              </m:sub>
            </m:sSub>
          </m:den>
        </m:f>
        <m:r>
          <w:rPr>
            <w:rFonts w:ascii="Cambria Math" w:eastAsia="Times New Roman" w:hAnsi="Cambria Math"/>
          </w:rPr>
          <m:t>-∆</m:t>
        </m:r>
        <m:f>
          <m:fPr>
            <m:type m:val="lin"/>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mI</m:t>
                </m:r>
              </m:sub>
            </m:sSub>
          </m:num>
          <m:den>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m:t>
                </m:r>
              </m:sub>
            </m:sSub>
          </m:den>
        </m:f>
        <m:r>
          <w:rPr>
            <w:rFonts w:ascii="Cambria Math" w:eastAsia="Times New Roman" w:hAnsi="Cambria Math"/>
          </w:rPr>
          <m:t>+</m:t>
        </m:r>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pL</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pI</m:t>
                </m:r>
              </m:sub>
            </m:sSub>
          </m:e>
        </m:d>
        <m:func>
          <m:funcPr>
            <m:ctrlPr>
              <w:rPr>
                <w:rFonts w:ascii="Cambria Math" w:eastAsia="Times New Roman" w:hAnsi="Cambria Math"/>
                <w:i/>
              </w:rPr>
            </m:ctrlPr>
          </m:funcPr>
          <m:fName>
            <m:r>
              <m:rPr>
                <m:sty m:val="p"/>
              </m:rPr>
              <w:rPr>
                <w:rFonts w:ascii="Cambria Math" w:hAnsi="Cambria Math"/>
              </w:rPr>
              <m:t>ln</m:t>
            </m:r>
          </m:fName>
          <m:e>
            <m:d>
              <m:dPr>
                <m:ctrlPr>
                  <w:rPr>
                    <w:rFonts w:ascii="Cambria Math" w:eastAsia="Times New Roman" w:hAnsi="Cambria Math"/>
                    <w:i/>
                  </w:rPr>
                </m:ctrlPr>
              </m:dPr>
              <m:e>
                <m:f>
                  <m:fPr>
                    <m:type m:val="lin"/>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mII</m:t>
                        </m:r>
                      </m:sub>
                    </m:sSub>
                  </m:num>
                  <m:den>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m:t>
                        </m:r>
                      </m:sub>
                    </m:sSub>
                  </m:den>
                </m:f>
              </m:e>
            </m:d>
          </m:e>
        </m:func>
      </m:oMath>
      <w:r w:rsidR="00FC221E"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t>(</w:t>
      </w:r>
      <w:r w:rsidR="00FC221E" w:rsidRPr="003F6316">
        <w:rPr>
          <w:rFonts w:eastAsia="Times New Roman"/>
        </w:rPr>
        <w:t xml:space="preserve">Eq. </w:t>
      </w:r>
      <w:r w:rsidR="00127B88" w:rsidRPr="003F6316">
        <w:rPr>
          <w:rFonts w:eastAsia="Times New Roman"/>
        </w:rPr>
        <w:t>4)</w:t>
      </w:r>
    </w:p>
    <w:p w:rsidR="00A823D3" w:rsidRPr="003F6316" w:rsidRDefault="0050186C" w:rsidP="00CB6C7B">
      <w:pPr>
        <w:spacing w:line="360" w:lineRule="auto"/>
        <w:jc w:val="both"/>
        <w:rPr>
          <w:rFonts w:eastAsia="Times New Roman"/>
        </w:rPr>
      </w:pP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t</m:t>
            </m:r>
          </m:sub>
        </m:sSub>
        <m:r>
          <w:rPr>
            <w:rFonts w:ascii="Cambria Math" w:eastAsia="Times New Roman" w:hAnsi="Cambria Math"/>
          </w:rPr>
          <m:t>=</m:t>
        </m:r>
        <m:f>
          <m:fPr>
            <m:type m:val="lin"/>
            <m:ctrlPr>
              <w:rPr>
                <w:rFonts w:ascii="Cambria Math" w:eastAsia="Times New Roman" w:hAnsi="Cambria Math"/>
                <w:i/>
              </w:rPr>
            </m:ctrlPr>
          </m:fPr>
          <m:num>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0</m:t>
                </m:r>
              </m:sub>
            </m:sSub>
          </m:num>
          <m:den>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0</m:t>
                </m:r>
              </m:sub>
            </m:sSub>
          </m:den>
        </m:f>
      </m:oMath>
      <w:r w:rsidR="0019078B"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t>(Eq. 5)</w:t>
      </w:r>
    </w:p>
    <w:p w:rsidR="009753BC" w:rsidRPr="003F6316" w:rsidRDefault="0019078B" w:rsidP="00CB6C7B">
      <w:pPr>
        <w:spacing w:line="360" w:lineRule="auto"/>
        <w:jc w:val="both"/>
        <w:rPr>
          <w:rFonts w:eastAsia="Times New Roman"/>
        </w:rPr>
      </w:pPr>
      <w:r w:rsidRPr="003F6316">
        <w:rPr>
          <w:rFonts w:eastAsia="Times New Roman"/>
        </w:rPr>
        <w:t xml:space="preserve">Where </w:t>
      </w:r>
      <m:oMath>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0</m:t>
            </m:r>
          </m:sub>
        </m:sSub>
      </m:oMath>
      <w:r w:rsidRPr="003F6316">
        <w:rPr>
          <w:rFonts w:eastAsia="Times New Roman"/>
        </w:rPr>
        <w:t xml:space="preserve"> is Gibbs free energy </w:t>
      </w:r>
      <w:r w:rsidR="00074BF3" w:rsidRPr="003F6316">
        <w:rPr>
          <w:rFonts w:eastAsia="Times New Roman"/>
        </w:rPr>
        <w:t xml:space="preserve">transition </w:t>
      </w:r>
      <w:r w:rsidRPr="003F6316">
        <w:rPr>
          <w:rFonts w:eastAsia="Times New Roman"/>
        </w:rPr>
        <w:t xml:space="preserve">(same as </w:t>
      </w:r>
      <w:r w:rsidRPr="003F6316">
        <w:rPr>
          <w:rFonts w:eastAsia="Times New Roman"/>
          <w:i/>
        </w:rPr>
        <w:t>G</w:t>
      </w:r>
      <w:r w:rsidRPr="003F6316">
        <w:rPr>
          <w:rFonts w:eastAsia="Times New Roman"/>
          <w:i/>
          <w:vertAlign w:val="subscript"/>
        </w:rPr>
        <w:t>I</w:t>
      </w:r>
      <w:r w:rsidRPr="003F6316">
        <w:rPr>
          <w:rFonts w:eastAsia="Times New Roman"/>
          <w:i/>
        </w:rPr>
        <w:t>-G</w:t>
      </w:r>
      <w:r w:rsidRPr="003F6316">
        <w:rPr>
          <w:rFonts w:eastAsia="Times New Roman"/>
          <w:i/>
          <w:vertAlign w:val="subscript"/>
        </w:rPr>
        <w:t>II</w:t>
      </w:r>
      <w:r w:rsidR="00B1363D" w:rsidRPr="003F6316">
        <w:rPr>
          <w:rFonts w:eastAsia="Times New Roman"/>
        </w:rPr>
        <w:t>, that is, the difference between the Gibbs free energy of each polymorph</w:t>
      </w:r>
      <w:r w:rsidRPr="003F6316">
        <w:rPr>
          <w:rFonts w:eastAsia="Times New Roman"/>
        </w:rPr>
        <w:t xml:space="preserve">); </w:t>
      </w:r>
      <m:oMath>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0</m:t>
            </m:r>
          </m:sub>
        </m:sSub>
      </m:oMath>
      <w:r w:rsidRPr="003F6316">
        <w:rPr>
          <w:rFonts w:eastAsia="Times New Roman"/>
        </w:rPr>
        <w:t xml:space="preserve"> and </w:t>
      </w:r>
      <m:oMath>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0</m:t>
            </m:r>
          </m:sub>
        </m:sSub>
      </m:oMath>
      <w:r w:rsidRPr="003F6316">
        <w:rPr>
          <w:rFonts w:eastAsia="Times New Roman"/>
        </w:rPr>
        <w:t xml:space="preserve"> are the </w:t>
      </w:r>
      <w:r w:rsidR="00B1363D" w:rsidRPr="003F6316">
        <w:rPr>
          <w:rFonts w:eastAsia="Times New Roman"/>
        </w:rPr>
        <w:t xml:space="preserve">polymorphic </w:t>
      </w:r>
      <w:r w:rsidRPr="003F6316">
        <w:rPr>
          <w:rFonts w:eastAsia="Times New Roman"/>
        </w:rPr>
        <w:t>transition enthalpy and entropy</w:t>
      </w:r>
      <w:r w:rsidR="00D82A7E" w:rsidRPr="003F6316">
        <w:rPr>
          <w:rFonts w:eastAsia="Times New Roman"/>
        </w:rPr>
        <w:t xml:space="preserve">. The melting temperatures and melting enthalpies for both polymorphs are represented by </w:t>
      </w:r>
      <m:oMath>
        <m:sSub>
          <m:sSubPr>
            <m:ctrlPr>
              <w:rPr>
                <w:rFonts w:ascii="Cambria Math" w:hAnsi="Cambria Math"/>
                <w:i/>
              </w:rPr>
            </m:ctrlPr>
          </m:sSubPr>
          <m:e>
            <m:r>
              <w:rPr>
                <w:rFonts w:ascii="Cambria Math" w:hAnsi="Cambria Math"/>
              </w:rPr>
              <m:t>T</m:t>
            </m:r>
          </m:e>
          <m:sub>
            <m:r>
              <w:rPr>
                <w:rFonts w:ascii="Cambria Math" w:hAnsi="Cambria Math"/>
              </w:rPr>
              <m:t>m</m:t>
            </m:r>
          </m:sub>
        </m:sSub>
      </m:oMath>
      <w:r w:rsidR="00D82A7E" w:rsidRPr="003F6316">
        <w:rPr>
          <w:rFonts w:eastAsia="Times New Roman"/>
        </w:rPr>
        <w:t xml:space="preserve"> </w:t>
      </w:r>
      <w:proofErr w:type="gramStart"/>
      <w:r w:rsidR="00D82A7E" w:rsidRPr="003F6316">
        <w:rPr>
          <w:rFonts w:eastAsia="Times New Roman"/>
        </w:rPr>
        <w:t xml:space="preserve">and </w:t>
      </w:r>
      <w:proofErr w:type="gramEnd"/>
      <m:oMath>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m</m:t>
            </m:r>
          </m:sub>
        </m:sSub>
      </m:oMath>
      <w:r w:rsidR="00D82A7E" w:rsidRPr="003F6316">
        <w:rPr>
          <w:rFonts w:eastAsia="Times New Roman"/>
        </w:rPr>
        <w:t xml:space="preserve">, with the index </w:t>
      </w:r>
      <w:r w:rsidR="00D82A7E" w:rsidRPr="003F6316">
        <w:rPr>
          <w:rFonts w:eastAsia="Times New Roman"/>
          <w:i/>
        </w:rPr>
        <w:t>I</w:t>
      </w:r>
      <w:r w:rsidR="00D82A7E" w:rsidRPr="003F6316">
        <w:rPr>
          <w:rFonts w:eastAsia="Times New Roman"/>
        </w:rPr>
        <w:t xml:space="preserve">, </w:t>
      </w:r>
      <w:r w:rsidR="00D82A7E" w:rsidRPr="003F6316">
        <w:rPr>
          <w:rFonts w:eastAsia="Times New Roman"/>
          <w:i/>
        </w:rPr>
        <w:t>II</w:t>
      </w:r>
      <w:r w:rsidR="00D82A7E" w:rsidRPr="003F6316">
        <w:rPr>
          <w:rFonts w:eastAsia="Times New Roman"/>
        </w:rPr>
        <w:t xml:space="preserve"> and </w:t>
      </w:r>
      <w:r w:rsidR="00B1363D" w:rsidRPr="003F6316">
        <w:rPr>
          <w:rFonts w:eastAsia="Times New Roman"/>
          <w:i/>
        </w:rPr>
        <w:t>A</w:t>
      </w:r>
      <w:r w:rsidR="00D82A7E" w:rsidRPr="003F6316">
        <w:rPr>
          <w:rFonts w:eastAsia="Times New Roman"/>
        </w:rPr>
        <w:t xml:space="preserve"> corresponding to RHT </w:t>
      </w:r>
      <w:r w:rsidR="007C3A11" w:rsidRPr="003F6316">
        <w:rPr>
          <w:rFonts w:eastAsia="Times New Roman"/>
        </w:rPr>
        <w:t>Form</w:t>
      </w:r>
      <w:r w:rsidR="00D82A7E" w:rsidRPr="003F6316">
        <w:rPr>
          <w:rFonts w:eastAsia="Times New Roman"/>
        </w:rPr>
        <w:t xml:space="preserve"> I, II and amorphous</w:t>
      </w:r>
      <w:r w:rsidR="0056103B" w:rsidRPr="003F6316">
        <w:rPr>
          <w:rFonts w:eastAsia="Times New Roman"/>
        </w:rPr>
        <w:t xml:space="preserve"> form</w:t>
      </w:r>
      <w:r w:rsidR="00D82A7E" w:rsidRPr="003F6316">
        <w:rPr>
          <w:rFonts w:eastAsia="Times New Roman"/>
        </w:rPr>
        <w:t xml:space="preserve">. </w:t>
      </w:r>
      <m:oMath>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p</m:t>
            </m:r>
          </m:sub>
        </m:sSub>
      </m:oMath>
      <w:r w:rsidR="00D82A7E" w:rsidRPr="003F6316">
        <w:rPr>
          <w:rFonts w:eastAsia="Times New Roman"/>
        </w:rPr>
        <w:t xml:space="preserve"> </w:t>
      </w:r>
      <w:proofErr w:type="gramStart"/>
      <w:r w:rsidR="00D82A7E" w:rsidRPr="003F6316">
        <w:rPr>
          <w:rFonts w:eastAsia="Times New Roman"/>
        </w:rPr>
        <w:t>is</w:t>
      </w:r>
      <w:proofErr w:type="gramEnd"/>
      <w:r w:rsidR="00D82A7E" w:rsidRPr="003F6316">
        <w:rPr>
          <w:rFonts w:eastAsia="Times New Roman"/>
        </w:rPr>
        <w:t xml:space="preserve"> the heat capacity, with </w:t>
      </w:r>
      <w:r w:rsidR="00D82A7E" w:rsidRPr="003F6316">
        <w:rPr>
          <w:rFonts w:eastAsia="Times New Roman"/>
          <w:i/>
        </w:rPr>
        <w:t>L</w:t>
      </w:r>
      <w:r w:rsidR="00D82A7E" w:rsidRPr="003F6316">
        <w:rPr>
          <w:rFonts w:eastAsia="Times New Roman"/>
        </w:rPr>
        <w:t xml:space="preserve"> corresponding to the </w:t>
      </w:r>
      <w:proofErr w:type="spellStart"/>
      <w:r w:rsidR="00D82A7E" w:rsidRPr="003F6316">
        <w:rPr>
          <w:rFonts w:eastAsia="Times New Roman"/>
        </w:rPr>
        <w:t>supercooled</w:t>
      </w:r>
      <w:proofErr w:type="spellEnd"/>
      <w:r w:rsidR="00D82A7E" w:rsidRPr="003F6316">
        <w:rPr>
          <w:rFonts w:eastAsia="Times New Roman"/>
        </w:rPr>
        <w:t xml:space="preserve"> liquid. Finally, </w:t>
      </w: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t</m:t>
            </m:r>
          </m:sub>
        </m:sSub>
      </m:oMath>
      <w:r w:rsidR="00D82A7E" w:rsidRPr="003F6316">
        <w:rPr>
          <w:rFonts w:eastAsia="Times New Roman"/>
        </w:rPr>
        <w:t xml:space="preserve"> is the </w:t>
      </w:r>
      <w:r w:rsidR="00D82A7E" w:rsidRPr="003F6316">
        <w:t xml:space="preserve">transition </w:t>
      </w:r>
      <w:proofErr w:type="gramStart"/>
      <w:r w:rsidR="00D82A7E" w:rsidRPr="003F6316">
        <w:t>temperature.</w:t>
      </w:r>
      <w:proofErr w:type="gramEnd"/>
    </w:p>
    <w:p w:rsidR="001C4879" w:rsidRPr="003F6316" w:rsidRDefault="00B86040" w:rsidP="00CB6C7B">
      <w:pPr>
        <w:spacing w:line="360" w:lineRule="auto"/>
        <w:jc w:val="both"/>
      </w:pPr>
      <w:r w:rsidRPr="003F6316">
        <w:lastRenderedPageBreak/>
        <w:t>The calculated transition temperature</w:t>
      </w:r>
      <w:r w:rsidR="00CF3F1A" w:rsidRPr="003F6316">
        <w:t xml:space="preserve"> (</w:t>
      </w: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t</m:t>
            </m:r>
          </m:sub>
        </m:sSub>
      </m:oMath>
      <w:r w:rsidR="00CF3F1A" w:rsidRPr="003F6316">
        <w:t>)</w:t>
      </w:r>
      <w:r w:rsidRPr="003F6316">
        <w:t xml:space="preserve"> was very high, </w:t>
      </w:r>
      <w:r w:rsidR="00CF3F1A" w:rsidRPr="003F6316">
        <w:t xml:space="preserve">442.9±1.9 K (169.8±1.9 °C), well above </w:t>
      </w:r>
      <w:r w:rsidR="00074BF3" w:rsidRPr="003F6316">
        <w:t xml:space="preserve">either </w:t>
      </w:r>
      <w:r w:rsidR="00CF3F1A" w:rsidRPr="003F6316">
        <w:t>of the polymorph</w:t>
      </w:r>
      <w:r w:rsidR="00E01A3B" w:rsidRPr="003F6316">
        <w:t>’s</w:t>
      </w:r>
      <w:r w:rsidR="00CF3F1A" w:rsidRPr="003F6316">
        <w:t xml:space="preserve"> melting temperature (97.4±0.6 °C and 124.5±0.4 °C for RHT </w:t>
      </w:r>
      <w:r w:rsidR="00B1363D" w:rsidRPr="003F6316">
        <w:t xml:space="preserve">Form </w:t>
      </w:r>
      <w:r w:rsidR="00CF3F1A" w:rsidRPr="003F6316">
        <w:t>II and I respectively).</w:t>
      </w:r>
      <w:r w:rsidR="009753BC" w:rsidRPr="003F6316">
        <w:t xml:space="preserve"> Calculated transition enthalpy, entropy and Gibbs free energy were: -13.64±0.55 kJ/</w:t>
      </w:r>
      <w:proofErr w:type="spellStart"/>
      <w:r w:rsidR="009753BC" w:rsidRPr="003F6316">
        <w:t>mol</w:t>
      </w:r>
      <w:proofErr w:type="spellEnd"/>
      <w:r w:rsidR="009753BC" w:rsidRPr="003F6316">
        <w:t>, -0.03±0.001 J/K and -2.23±0.04 kJ/</w:t>
      </w:r>
      <w:proofErr w:type="spellStart"/>
      <w:r w:rsidR="009753BC" w:rsidRPr="003F6316">
        <w:t>mol</w:t>
      </w:r>
      <w:proofErr w:type="spellEnd"/>
      <w:r w:rsidR="009753BC" w:rsidRPr="003F6316">
        <w:t xml:space="preserve"> respective</w:t>
      </w:r>
      <w:r w:rsidR="008951CF" w:rsidRPr="003F6316">
        <w:t>ly</w:t>
      </w:r>
      <w:r w:rsidR="001C4879" w:rsidRPr="003F6316">
        <w:t>.</w:t>
      </w:r>
    </w:p>
    <w:p w:rsidR="001C4879" w:rsidRPr="003F6316" w:rsidRDefault="00325E07" w:rsidP="00CB6C7B">
      <w:pPr>
        <w:spacing w:line="360" w:lineRule="auto"/>
        <w:jc w:val="both"/>
      </w:pPr>
      <w:r w:rsidRPr="003F6316">
        <w:t xml:space="preserve">Following the Burger and </w:t>
      </w:r>
      <w:proofErr w:type="spellStart"/>
      <w:r w:rsidRPr="003F6316">
        <w:t>Ramburger</w:t>
      </w:r>
      <w:proofErr w:type="spellEnd"/>
      <w:r w:rsidRPr="003F6316">
        <w:t xml:space="preserve"> rules, the RHT polymorphic pair is monotropic. In this type of system it is known that the Gibbs free energy decreases with a decrease in temperature when the latter is below the melting temperature of polymorph II (</w:t>
      </w:r>
      <w:r w:rsidR="00074BF3" w:rsidRPr="003F6316">
        <w:t xml:space="preserve">lower </w:t>
      </w:r>
      <w:r w:rsidRPr="003F6316">
        <w:t xml:space="preserve">melting point polymorph) </w:t>
      </w:r>
      <w:r w:rsidR="00FD75AA" w:rsidRPr="003F6316">
        <w:rPr>
          <w:vertAlign w:val="superscript"/>
        </w:rPr>
        <w:t>[21,25]</w:t>
      </w:r>
      <w:r w:rsidR="009C5D8B" w:rsidRPr="003F6316">
        <w:t xml:space="preserve">. In general a reaction is considered spontaneous if </w:t>
      </w:r>
      <m:oMath>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0</m:t>
            </m:r>
          </m:sub>
        </m:sSub>
        <m:r>
          <w:rPr>
            <w:rFonts w:ascii="Cambria Math" w:eastAsia="Times New Roman" w:hAnsi="Cambria Math"/>
          </w:rPr>
          <m:t>&lt;0</m:t>
        </m:r>
      </m:oMath>
      <w:r w:rsidR="009C5D8B" w:rsidRPr="003F6316">
        <w:rPr>
          <w:rFonts w:eastAsia="Times New Roman"/>
        </w:rPr>
        <w:t xml:space="preserve"> </w:t>
      </w:r>
      <w:proofErr w:type="gramStart"/>
      <w:r w:rsidR="009C5D8B" w:rsidRPr="003F6316">
        <w:rPr>
          <w:rFonts w:eastAsia="Times New Roman"/>
        </w:rPr>
        <w:t xml:space="preserve">and </w:t>
      </w:r>
      <w:proofErr w:type="gramEnd"/>
      <m:oMath>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0</m:t>
            </m:r>
          </m:sub>
        </m:sSub>
        <m:r>
          <w:rPr>
            <w:rFonts w:ascii="Cambria Math" w:eastAsia="Times New Roman" w:hAnsi="Cambria Math"/>
          </w:rPr>
          <m:t>&gt;0</m:t>
        </m:r>
      </m:oMath>
      <w:r w:rsidR="009C5D8B" w:rsidRPr="003F6316">
        <w:rPr>
          <w:rFonts w:eastAsia="Times New Roman"/>
        </w:rPr>
        <w:t xml:space="preserve">, resulting in </w:t>
      </w:r>
      <m:oMath>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0</m:t>
            </m:r>
          </m:sub>
        </m:sSub>
        <m:r>
          <w:rPr>
            <w:rFonts w:ascii="Cambria Math" w:hAnsi="Cambria Math"/>
          </w:rPr>
          <m:t>&lt;0</m:t>
        </m:r>
      </m:oMath>
      <w:r w:rsidR="009C5D8B" w:rsidRPr="003F6316">
        <w:rPr>
          <w:rFonts w:eastAsia="Times New Roman"/>
        </w:rPr>
        <w:t xml:space="preserve">. The calculated </w:t>
      </w:r>
      <m:oMath>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0</m:t>
            </m:r>
          </m:sub>
        </m:sSub>
      </m:oMath>
      <w:r w:rsidR="009C5D8B" w:rsidRPr="003F6316">
        <w:rPr>
          <w:rFonts w:eastAsia="Times New Roman"/>
        </w:rPr>
        <w:t xml:space="preserve"> was negative and the </w:t>
      </w:r>
      <w:r w:rsidR="009807DA" w:rsidRPr="003F6316">
        <w:rPr>
          <w:rFonts w:eastAsia="Times New Roman"/>
        </w:rPr>
        <w:t>transition</w:t>
      </w:r>
      <w:r w:rsidR="009C5D8B" w:rsidRPr="003F6316">
        <w:rPr>
          <w:rFonts w:eastAsia="Times New Roman"/>
        </w:rPr>
        <w:t xml:space="preserve"> </w:t>
      </w:r>
      <w:r w:rsidR="00074BF3" w:rsidRPr="003F6316">
        <w:rPr>
          <w:rFonts w:eastAsia="Times New Roman"/>
        </w:rPr>
        <w:t xml:space="preserve">should </w:t>
      </w:r>
      <w:r w:rsidR="009C5D8B" w:rsidRPr="003F6316">
        <w:rPr>
          <w:rFonts w:eastAsia="Times New Roman"/>
        </w:rPr>
        <w:t xml:space="preserve">be spontaneous; however the entropy was negative which means that at a certain temperature the transition II→I will no longer occur and polymorph II would </w:t>
      </w:r>
      <w:r w:rsidR="00061345" w:rsidRPr="003F6316">
        <w:rPr>
          <w:rFonts w:eastAsia="Times New Roman"/>
        </w:rPr>
        <w:t xml:space="preserve">then </w:t>
      </w:r>
      <w:r w:rsidR="009C5D8B" w:rsidRPr="003F6316">
        <w:rPr>
          <w:rFonts w:eastAsia="Times New Roman"/>
        </w:rPr>
        <w:t xml:space="preserve">be more stable than polymorph I; this temperature corresponds to the calculated </w:t>
      </w: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t</m:t>
            </m:r>
          </m:sub>
        </m:sSub>
      </m:oMath>
      <w:r w:rsidR="009C5D8B" w:rsidRPr="003F6316">
        <w:rPr>
          <w:rFonts w:eastAsia="Times New Roman"/>
        </w:rPr>
        <w:t xml:space="preserve"> </w:t>
      </w:r>
      <w:r w:rsidR="002C7B65" w:rsidRPr="003F6316">
        <w:rPr>
          <w:rFonts w:eastAsia="Times New Roman"/>
        </w:rPr>
        <w:t xml:space="preserve">(higher than </w:t>
      </w: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mII</m:t>
            </m:r>
          </m:sub>
        </m:sSub>
      </m:oMath>
      <w:r w:rsidR="002C7B65" w:rsidRPr="003F6316">
        <w:rPr>
          <w:rFonts w:eastAsia="Times New Roman"/>
        </w:rPr>
        <w:t xml:space="preserve">) </w:t>
      </w:r>
      <w:r w:rsidR="009C5D8B" w:rsidRPr="003F6316">
        <w:rPr>
          <w:rFonts w:eastAsia="Times New Roman"/>
        </w:rPr>
        <w:t xml:space="preserve">and is often referred as </w:t>
      </w:r>
      <w:r w:rsidR="00061345" w:rsidRPr="003F6316">
        <w:rPr>
          <w:rFonts w:eastAsia="Times New Roman"/>
        </w:rPr>
        <w:t>the “</w:t>
      </w:r>
      <w:r w:rsidR="009C5D8B" w:rsidRPr="003F6316">
        <w:rPr>
          <w:rFonts w:eastAsia="Times New Roman"/>
        </w:rPr>
        <w:t>virtual transition temperature</w:t>
      </w:r>
      <w:r w:rsidR="00061345" w:rsidRPr="003F6316">
        <w:rPr>
          <w:rFonts w:eastAsia="Times New Roman"/>
        </w:rPr>
        <w:t>”</w:t>
      </w:r>
      <w:r w:rsidR="002C7B65" w:rsidRPr="003F6316">
        <w:rPr>
          <w:rFonts w:eastAsia="Times New Roman"/>
        </w:rPr>
        <w:t xml:space="preserve"> in the case of monotropic pairs</w:t>
      </w:r>
      <w:r w:rsidR="00B1363D" w:rsidRPr="003F6316">
        <w:rPr>
          <w:rFonts w:eastAsia="Times New Roman"/>
        </w:rPr>
        <w:t xml:space="preserve"> </w:t>
      </w:r>
      <w:r w:rsidR="00B1363D" w:rsidRPr="003F6316">
        <w:rPr>
          <w:rFonts w:eastAsia="Times New Roman"/>
        </w:rPr>
        <w:fldChar w:fldCharType="begin" w:fldLock="1"/>
      </w:r>
      <w:r w:rsidR="00364163" w:rsidRPr="003F6316">
        <w:rPr>
          <w:rFonts w:eastAsia="Times New Roman"/>
        </w:rPr>
        <w:instrText>ADDIN CSL_CITATION { "citationItems" : [ { "id" : "ITEM-1", "itemData" : { "DOI" : "10.1002/jps.2600840812", "ISSN" : "0022-3549", "abstract" : "This study investigates the possibility of inferring the thermodynamic stability relationship of polymorphs from their melting data. Thermodynamic formulas are derived for calculating the Gibbs free energy difference (\u0394G) between two polymorphs and its temperature slope from mainly the temperatures and heats of melting. This information is then used to estimate \u0394G, thus relative stability, at other temperatures by extrapolation. Both linear and nonlinear extrapolations are considered. Extrapolating \u0394G to zero gives an estimation of the transition (or virtual transition) temperature, from which the presence of monotropy or enantiotropy is inferred. This procedure is analogous to the use of solubility data measured near the ambient temperature to estimate a transition point at higher temperature. For several systems examined, the two methods are in good agreement. The qualitative rule introduced this way for inferring the presence of monotropy or enantiotropy is approximately the same as The Heat of Fusion Rule introduced previously on a statistical mechanical basis. This method is applied to 96 pairs of polymorphs from the literature. In most cases, the result agrees with the previous determination. The deviation of the calculated transition temperatures from their previous values (n = 18) is 2% on average and 7% at maximum.", "author" : [ { "dropping-particle" : "", "family" : "Yu", "given" : "Lian", "non-dropping-particle" : "", "parse-names" : false, "suffix" : "" } ], "container-title" : "Journal of Pharmaceutical Sciences", "id" : "ITEM-1", "issue" : "8", "issued" : { "date-parts" : [ [ "1995", "8" ] ] }, "page" : "966-974", "title" : "Inferring thermodynamic stability relationship of polymorphs from melting data", "type" : "article-journal", "volume" : "84" }, "uris" : [ "http://www.mendeley.com/documents/?uuid=5cecd023-c1a1-494c-af7f-b08598e65aef" ] } ], "mendeley" : { "previouslyFormattedCitation" : "&lt;sup&gt;[24]&lt;/sup&gt;" }, "properties" : { "noteIndex" : 0 }, "schema" : "https://github.com/citation-style-language/schema/raw/master/csl-citation.json" }</w:instrText>
      </w:r>
      <w:r w:rsidR="00B1363D" w:rsidRPr="003F6316">
        <w:rPr>
          <w:rFonts w:eastAsia="Times New Roman"/>
        </w:rPr>
        <w:fldChar w:fldCharType="separate"/>
      </w:r>
      <w:r w:rsidR="00364163" w:rsidRPr="003F6316">
        <w:rPr>
          <w:rFonts w:eastAsia="Times New Roman"/>
          <w:noProof/>
          <w:vertAlign w:val="superscript"/>
        </w:rPr>
        <w:t>[24]</w:t>
      </w:r>
      <w:r w:rsidR="00B1363D" w:rsidRPr="003F6316">
        <w:rPr>
          <w:rFonts w:eastAsia="Times New Roman"/>
        </w:rPr>
        <w:fldChar w:fldCharType="end"/>
      </w:r>
      <w:r w:rsidR="009C5D8B" w:rsidRPr="003F6316">
        <w:rPr>
          <w:rFonts w:eastAsia="Times New Roman"/>
        </w:rPr>
        <w:t xml:space="preserve">. In reality </w:t>
      </w:r>
      <w:r w:rsidR="00B5523D" w:rsidRPr="003F6316">
        <w:rPr>
          <w:rFonts w:eastAsia="Times New Roman"/>
        </w:rPr>
        <w:t xml:space="preserve">(at normal atmospheric pressure) </w:t>
      </w:r>
      <w:r w:rsidR="009C5D8B" w:rsidRPr="003F6316">
        <w:rPr>
          <w:rFonts w:eastAsia="Times New Roman"/>
        </w:rPr>
        <w:t xml:space="preserve">it would not be possible to verify </w:t>
      </w:r>
      <w:r w:rsidR="002C7B65" w:rsidRPr="003F6316">
        <w:rPr>
          <w:rFonts w:eastAsia="Times New Roman"/>
        </w:rPr>
        <w:t xml:space="preserve">non-spontaneity of the transition, </w:t>
      </w:r>
      <w:r w:rsidR="009C5D8B" w:rsidRPr="003F6316">
        <w:rPr>
          <w:rFonts w:eastAsia="Times New Roman"/>
        </w:rPr>
        <w:t xml:space="preserve">as both polymorphic forms would be </w:t>
      </w:r>
      <w:r w:rsidR="00B5523D" w:rsidRPr="003F6316">
        <w:rPr>
          <w:rFonts w:eastAsia="Times New Roman"/>
        </w:rPr>
        <w:t xml:space="preserve">in the </w:t>
      </w:r>
      <w:proofErr w:type="spellStart"/>
      <w:r w:rsidR="00B5523D" w:rsidRPr="003F6316">
        <w:rPr>
          <w:rFonts w:eastAsia="Times New Roman"/>
        </w:rPr>
        <w:t>supercooled</w:t>
      </w:r>
      <w:proofErr w:type="spellEnd"/>
      <w:r w:rsidR="00B5523D" w:rsidRPr="003F6316">
        <w:rPr>
          <w:rFonts w:eastAsia="Times New Roman"/>
        </w:rPr>
        <w:t xml:space="preserve"> liquid state</w:t>
      </w:r>
      <w:r w:rsidR="00EF2781" w:rsidRPr="003F6316">
        <w:rPr>
          <w:rFonts w:eastAsia="Times New Roman"/>
        </w:rPr>
        <w:t xml:space="preserve"> at the “virtual transition temperature”</w:t>
      </w:r>
      <w:r w:rsidR="00B5523D" w:rsidRPr="003F6316">
        <w:rPr>
          <w:rFonts w:eastAsia="Times New Roman"/>
        </w:rPr>
        <w:t>.</w:t>
      </w:r>
      <w:r w:rsidR="002C7B65" w:rsidRPr="003F6316">
        <w:rPr>
          <w:rFonts w:eastAsia="Times New Roman"/>
        </w:rPr>
        <w:t xml:space="preserve"> Therefore, the transition will</w:t>
      </w:r>
      <w:r w:rsidR="00061345" w:rsidRPr="003F6316">
        <w:rPr>
          <w:rFonts w:eastAsia="Times New Roman"/>
        </w:rPr>
        <w:t xml:space="preserve">, </w:t>
      </w:r>
      <w:r w:rsidR="002C7B65" w:rsidRPr="003F6316">
        <w:rPr>
          <w:rFonts w:eastAsia="Times New Roman"/>
        </w:rPr>
        <w:t>in general</w:t>
      </w:r>
      <w:r w:rsidR="00061345" w:rsidRPr="003F6316">
        <w:rPr>
          <w:rFonts w:eastAsia="Times New Roman"/>
        </w:rPr>
        <w:t>,</w:t>
      </w:r>
      <w:r w:rsidR="002C7B65" w:rsidRPr="003F6316">
        <w:rPr>
          <w:rFonts w:eastAsia="Times New Roman"/>
        </w:rPr>
        <w:t xml:space="preserve"> be spontaneous.</w:t>
      </w:r>
    </w:p>
    <w:p w:rsidR="009753BC" w:rsidRPr="003F6316" w:rsidRDefault="00B5523D" w:rsidP="00B5523D">
      <w:pPr>
        <w:pStyle w:val="ListParagraph"/>
        <w:numPr>
          <w:ilvl w:val="1"/>
          <w:numId w:val="1"/>
        </w:numPr>
        <w:spacing w:line="360" w:lineRule="auto"/>
        <w:jc w:val="both"/>
      </w:pPr>
      <w:r w:rsidRPr="003F6316">
        <w:t>Kinetics of RHT polymorphic transition</w:t>
      </w:r>
    </w:p>
    <w:p w:rsidR="00CB6C7B" w:rsidRPr="003F6316" w:rsidRDefault="00CB6C7B" w:rsidP="00CB6C7B">
      <w:pPr>
        <w:spacing w:line="360" w:lineRule="auto"/>
        <w:jc w:val="both"/>
      </w:pPr>
      <w:r w:rsidRPr="003F6316">
        <w:t xml:space="preserve">The kinetics of the polymorphic transition II → I (exothermic event) was evaluated by means of the </w:t>
      </w:r>
      <w:proofErr w:type="spellStart"/>
      <w:r w:rsidRPr="003F6316">
        <w:t>Jeziorny</w:t>
      </w:r>
      <w:proofErr w:type="spellEnd"/>
      <w:r w:rsidRPr="003F6316">
        <w:t>-modified-</w:t>
      </w:r>
      <w:proofErr w:type="spellStart"/>
      <w:r w:rsidRPr="003F6316">
        <w:t>Avrami</w:t>
      </w:r>
      <w:proofErr w:type="spellEnd"/>
      <w:r w:rsidRPr="003F6316">
        <w:t xml:space="preserve"> method (Eq.</w:t>
      </w:r>
      <w:r w:rsidR="00127B88" w:rsidRPr="003F6316">
        <w:t xml:space="preserve"> 6</w:t>
      </w:r>
      <w:r w:rsidRPr="003F6316">
        <w:t xml:space="preserve">) </w:t>
      </w:r>
      <w:r w:rsidR="002333DA" w:rsidRPr="003F6316">
        <w:fldChar w:fldCharType="begin" w:fldLock="1"/>
      </w:r>
      <w:r w:rsidR="00364163" w:rsidRPr="003F6316">
        <w:instrText>ADDIN CSL_CITATION { "citationItems" : [ { "id" : "ITEM-1", "itemData" : { "DOI" : "10.1016/0032-3861(78)90060-5", "ISSN" : "00323861", "author" : [ { "dropping-particle" : "", "family" : "Jeziorny", "given" : "Andrzej", "non-dropping-particle" : "", "parse-names" : false, "suffix" : "" } ], "container-title" : "Polymer", "id" : "ITEM-1", "issue" : "10", "issued" : { "date-parts" : [ [ "1978", "10" ] ] }, "page" : "1142-1144", "title" : "Parameters characterizing the kinetics of the non-isothermal crystallization of poly(ethylene terephthalate) determined by d.s.c.", "type" : "article-journal", "volume" : "19" }, "uris" : [ "http://www.mendeley.com/documents/?uuid=68d85f62-0b26-40cb-90f6-d7428776e653" ] }, { "id" : "ITEM-2", "itemData" : { "DOI" : "10.1016/j.polymertesting.2008.05.003", "ISSN" : "01429418", "abstract" : "The copolymer ethylene-vinyl acetate (EVA) was crosslinked with different amounts (1, 2 and 4wt%) of dicumyl peroxide (DCP) in a differential scanning calorimeter (DSC), under non-isothermal conditions. Crosslinking degree as a function of temperature (or time) was calculated from the crosslinking enthalpies. The feasibility of Avrami, Ozawa, Avrami\u2013Ozawa and Flynn\u2013Wall\u2013Ozawa (FWO) models for the determination of EVA crosslinking kinetic parameters was evaluated. All the models fitted the experimental data very well, providing EVA kinetic parameters such as reaction rate (k), half-life time (t1/2) and activation energy (Ea), as well as inferring the type of process dimensionalities and crosslinking mechanism. The Avrami exponents (n) were found to remain practically constant (2.08\u20132.32) during the course of the reaction and with varying DCP content, suggesting that the growth of crosslinks is sporadic and spherical, and occurs from nuclei. Systematic changes in Ea (FWO analysis), Ozawa exponent (m) and F(T) parameter (Avrami\u2013Ozawa model) values showed that the increase in bulk viscosity during the reaction alters the EVA solid-state process mechanism by lowering radical diffusion and hindering the crosslink growth. On the basis of the results, we can conclude that the Avrami, Ozawa, Avrami\u2013Ozawa and Flynn\u2013Wall\u2013Ozawa (FWO) models successfully describe the EVA crosslinking kinetics.", "author" : [ { "dropping-particle" : "", "family" : "Bianchi", "given" : "O.", "non-dropping-particle" : "", "parse-names" : false, "suffix" : "" }, { "dropping-particle" : "", "family" : "Oliveira", "given" : "R.V.B.", "non-dropping-particle" : "", "parse-names" : false, "suffix" : "" }, { "dropping-particle" : "", "family" : "Fiorio", "given" : "R.", "non-dropping-particle" : "", "parse-names" : false, "suffix" : "" }, { "dropping-particle" : "", "family" : "Martins", "given" : "J. De N.", "non-dropping-particle" : "", "parse-names" : false, "suffix" : "" }, { "dropping-particle" : "", "family" : "Zattera", "given" : "A.J.", "non-dropping-particle" : "", "parse-names" : false, "suffix" : "" }, { "dropping-particle" : "", "family" : "Canto", "given" : "L.B.", "non-dropping-particle" : "", "parse-names" : false, "suffix" : "" } ], "container-title" : "Polymer Testing", "id" : "ITEM-2", "issue" : "6", "issued" : { "date-parts" : [ [ "2008", "9" ] ] }, "page" : "722-729", "title" : "Assessment of Avrami, Ozawa and Avrami\u2013Ozawa equations for determination of EVA crosslinking kinetics from DSC measurements", "type" : "article-journal", "volume" : "27" }, "uris" : [ "http://www.mendeley.com/documents/?uuid=b0cc202b-4d89-45fd-b605-fe8addf29aed" ] }, { "id" : "ITEM-3", "itemData" : { "DOI" : "10.1016/j.tca.2011.07.002", "ISSN" : "00406031", "author" : [ { "dropping-particle" : "", "family" : "Wan", "given" : "Jintao", "non-dropping-particle" : "", "parse-names" : false, "suffix" : "" }, { "dropping-particle" : "", "family" : "Bu", "given" : "Zhi-Yang", "non-dropping-particle" : "", "parse-names" : false, "suffix" : "" }, { "dropping-particle" : "", "family" : "Li", "given" : "Cheng", "non-dropping-particle" : "", "parse-names" : false, "suffix" : "" }, { "dropping-particle" : "", "family" : "Fan", "given" : "Hong", "non-dropping-particle" : "", "parse-names" : false, "suffix" : "" }, { "dropping-particle" : "", "family" : "Li", "given" : "Bo-Geng", "non-dropping-particle" : "", "parse-names" : false, "suffix" : "" } ], "container-title" : "Thermochimica Acta", "id" : "ITEM-3", "issue" : "1-2", "issued" : { "date-parts" : [ [ "2011", "9" ] ] }, "page" : "117-127", "publisher" : "Elsevier B.V.", "title" : "Preparation, melting, glass relaxation and nonisothermal crystallization kinetics of a novel dendritic nylon-11", "type" : "article-journal", "volume" : "524" }, "uris" : [ "http://www.mendeley.com/documents/?uuid=0d86195d-f1c3-485d-b433-dadfac5ffa46" ] } ], "mendeley" : { "previouslyFormattedCitation" : "&lt;sup&gt;[25\u201327]&lt;/sup&gt;" }, "properties" : { "noteIndex" : 0 }, "schema" : "https://github.com/citation-style-language/schema/raw/master/csl-citation.json" }</w:instrText>
      </w:r>
      <w:r w:rsidR="002333DA" w:rsidRPr="003F6316">
        <w:fldChar w:fldCharType="separate"/>
      </w:r>
      <w:r w:rsidR="00364163" w:rsidRPr="003F6316">
        <w:rPr>
          <w:noProof/>
          <w:vertAlign w:val="superscript"/>
        </w:rPr>
        <w:t>[25–27]</w:t>
      </w:r>
      <w:r w:rsidR="002333DA" w:rsidRPr="003F6316">
        <w:fldChar w:fldCharType="end"/>
      </w:r>
      <w:r w:rsidRPr="003F6316">
        <w:t xml:space="preserve">. </w:t>
      </w:r>
      <w:proofErr w:type="spellStart"/>
      <w:r w:rsidRPr="003F6316">
        <w:t>Jeziorny</w:t>
      </w:r>
      <w:proofErr w:type="spellEnd"/>
      <w:r w:rsidRPr="003F6316">
        <w:t xml:space="preserve"> modified </w:t>
      </w:r>
      <w:proofErr w:type="spellStart"/>
      <w:r w:rsidRPr="003F6316">
        <w:t>Avrami’s</w:t>
      </w:r>
      <w:proofErr w:type="spellEnd"/>
      <w:r w:rsidRPr="003F6316">
        <w:t xml:space="preserve"> equation to take into account the influence of heating rate on the </w:t>
      </w:r>
      <w:proofErr w:type="spellStart"/>
      <w:r w:rsidRPr="003F6316">
        <w:t>Avrami</w:t>
      </w:r>
      <w:proofErr w:type="spellEnd"/>
      <w:r w:rsidRPr="003F6316">
        <w:t xml:space="preserve"> constant, allowing fitting of the equation to non-isothermal crystallisation. Hence, the degree of transition (</w:t>
      </w:r>
      <w:r w:rsidRPr="003F6316">
        <w:rPr>
          <w:i/>
        </w:rPr>
        <w:t>α</w:t>
      </w:r>
      <w:r w:rsidRPr="003F6316">
        <w:t>) is now a function of temperature (</w:t>
      </w:r>
      <w:r w:rsidRPr="003F6316">
        <w:rPr>
          <w:i/>
        </w:rPr>
        <w:t>α(T)</w:t>
      </w:r>
      <w:r w:rsidRPr="003F6316">
        <w:t xml:space="preserve">) </w:t>
      </w:r>
      <w:r w:rsidR="002333DA" w:rsidRPr="003F6316">
        <w:fldChar w:fldCharType="begin" w:fldLock="1"/>
      </w:r>
      <w:r w:rsidR="00364163" w:rsidRPr="003F6316">
        <w:instrText>ADDIN CSL_CITATION { "citationItems" : [ { "id" : "ITEM-1", "itemData" : { "DOI" : "10.1016/0032-3861(78)90060-5", "ISSN" : "00323861", "author" : [ { "dropping-particle" : "", "family" : "Jeziorny", "given" : "Andrzej", "non-dropping-particle" : "", "parse-names" : false, "suffix" : "" } ], "container-title" : "Polymer", "id" : "ITEM-1", "issue" : "10", "issued" : { "date-parts" : [ [ "1978", "10" ] ] }, "page" : "1142-1144", "title" : "Parameters characterizing the kinetics of the non-isothermal crystallization of poly(ethylene terephthalate) determined by d.s.c.", "type" : "article-journal", "volume" : "19" }, "uris" : [ "http://www.mendeley.com/documents/?uuid=68d85f62-0b26-40cb-90f6-d7428776e653" ] }, { "id" : "ITEM-2", "itemData" : { "DOI" : "10.1016/j.polymertesting.2008.05.003", "ISSN" : "01429418", "abstract" : "The copolymer ethylene-vinyl acetate (EVA) was crosslinked with different amounts (1, 2 and 4wt%) of dicumyl peroxide (DCP) in a differential scanning calorimeter (DSC), under non-isothermal conditions. Crosslinking degree as a function of temperature (or time) was calculated from the crosslinking enthalpies. The feasibility of Avrami, Ozawa, Avrami\u2013Ozawa and Flynn\u2013Wall\u2013Ozawa (FWO) models for the determination of EVA crosslinking kinetic parameters was evaluated. All the models fitted the experimental data very well, providing EVA kinetic parameters such as reaction rate (k), half-life time (t1/2) and activation energy (Ea), as well as inferring the type of process dimensionalities and crosslinking mechanism. The Avrami exponents (n) were found to remain practically constant (2.08\u20132.32) during the course of the reaction and with varying DCP content, suggesting that the growth of crosslinks is sporadic and spherical, and occurs from nuclei. Systematic changes in Ea (FWO analysis), Ozawa exponent (m) and F(T) parameter (Avrami\u2013Ozawa model) values showed that the increase in bulk viscosity during the reaction alters the EVA solid-state process mechanism by lowering radical diffusion and hindering the crosslink growth. On the basis of the results, we can conclude that the Avrami, Ozawa, Avrami\u2013Ozawa and Flynn\u2013Wall\u2013Ozawa (FWO) models successfully describe the EVA crosslinking kinetics.", "author" : [ { "dropping-particle" : "", "family" : "Bianchi", "given" : "O.", "non-dropping-particle" : "", "parse-names" : false, "suffix" : "" }, { "dropping-particle" : "", "family" : "Oliveira", "given" : "R.V.B.", "non-dropping-particle" : "", "parse-names" : false, "suffix" : "" }, { "dropping-particle" : "", "family" : "Fiorio", "given" : "R.", "non-dropping-particle" : "", "parse-names" : false, "suffix" : "" }, { "dropping-particle" : "", "family" : "Martins", "given" : "J. De N.", "non-dropping-particle" : "", "parse-names" : false, "suffix" : "" }, { "dropping-particle" : "", "family" : "Zattera", "given" : "A.J.", "non-dropping-particle" : "", "parse-names" : false, "suffix" : "" }, { "dropping-particle" : "", "family" : "Canto", "given" : "L.B.", "non-dropping-particle" : "", "parse-names" : false, "suffix" : "" } ], "container-title" : "Polymer Testing", "id" : "ITEM-2", "issue" : "6", "issued" : { "date-parts" : [ [ "2008", "9" ] ] }, "page" : "722-729", "title" : "Assessment of Avrami, Ozawa and Avrami\u2013Ozawa equations for determination of EVA crosslinking kinetics from DSC measurements", "type" : "article-journal", "volume" : "27" }, "uris" : [ "http://www.mendeley.com/documents/?uuid=b0cc202b-4d89-45fd-b605-fe8addf29aed" ] }, { "id" : "ITEM-3", "itemData" : { "DOI" : "10.1016/j.tca.2011.07.002", "ISSN" : "00406031", "author" : [ { "dropping-particle" : "", "family" : "Wan", "given" : "Jintao", "non-dropping-particle" : "", "parse-names" : false, "suffix" : "" }, { "dropping-particle" : "", "family" : "Bu", "given" : "Zhi-Yang", "non-dropping-particle" : "", "parse-names" : false, "suffix" : "" }, { "dropping-particle" : "", "family" : "Li", "given" : "Cheng", "non-dropping-particle" : "", "parse-names" : false, "suffix" : "" }, { "dropping-particle" : "", "family" : "Fan", "given" : "Hong", "non-dropping-particle" : "", "parse-names" : false, "suffix" : "" }, { "dropping-particle" : "", "family" : "Li", "given" : "Bo-Geng", "non-dropping-particle" : "", "parse-names" : false, "suffix" : "" } ], "container-title" : "Thermochimica Acta", "id" : "ITEM-3", "issue" : "1-2", "issued" : { "date-parts" : [ [ "2011", "9" ] ] }, "page" : "117-127", "publisher" : "Elsevier B.V.", "title" : "Preparation, melting, glass relaxation and nonisothermal crystallization kinetics of a novel dendritic nylon-11", "type" : "article-journal", "volume" : "524" }, "uris" : [ "http://www.mendeley.com/documents/?uuid=0d86195d-f1c3-485d-b433-dadfac5ffa46" ] } ], "mendeley" : { "previouslyFormattedCitation" : "&lt;sup&gt;[25\u201327]&lt;/sup&gt;" }, "properties" : { "noteIndex" : 0 }, "schema" : "https://github.com/citation-style-language/schema/raw/master/csl-citation.json" }</w:instrText>
      </w:r>
      <w:r w:rsidR="002333DA" w:rsidRPr="003F6316">
        <w:fldChar w:fldCharType="separate"/>
      </w:r>
      <w:r w:rsidR="00364163" w:rsidRPr="003F6316">
        <w:rPr>
          <w:noProof/>
          <w:vertAlign w:val="superscript"/>
        </w:rPr>
        <w:t>[25–27]</w:t>
      </w:r>
      <w:r w:rsidR="002333DA" w:rsidRPr="003F6316">
        <w:fldChar w:fldCharType="end"/>
      </w:r>
      <w:r w:rsidRPr="003F6316">
        <w:t>.</w:t>
      </w:r>
    </w:p>
    <w:p w:rsidR="00CB6C7B" w:rsidRPr="003F6316" w:rsidRDefault="0050186C" w:rsidP="00CB6C7B">
      <w:pPr>
        <w:spacing w:line="360" w:lineRule="auto"/>
        <w:jc w:val="both"/>
        <w:rPr>
          <w:rFonts w:eastAsia="Times New Roman"/>
        </w:rPr>
      </w:pPr>
      <m:oMath>
        <m:func>
          <m:funcPr>
            <m:ctrlPr>
              <w:rPr>
                <w:rFonts w:ascii="Cambria Math" w:eastAsia="Times New Roman" w:hAnsi="Cambria Math"/>
                <w:i/>
              </w:rPr>
            </m:ctrlPr>
          </m:funcPr>
          <m:fName>
            <m:r>
              <m:rPr>
                <m:sty m:val="p"/>
              </m:rPr>
              <w:rPr>
                <w:rFonts w:ascii="Cambria Math" w:hAnsi="Cambria Math"/>
              </w:rPr>
              <m:t>ln</m:t>
            </m:r>
          </m:fName>
          <m:e>
            <m:r>
              <w:rPr>
                <w:rFonts w:ascii="Cambria Math" w:eastAsia="Times New Roman" w:hAnsi="Cambria Math"/>
              </w:rPr>
              <m:t>[-</m:t>
            </m:r>
            <m:func>
              <m:funcPr>
                <m:ctrlPr>
                  <w:rPr>
                    <w:rFonts w:ascii="Cambria Math" w:eastAsia="Times New Roman" w:hAnsi="Cambria Math"/>
                    <w:i/>
                  </w:rPr>
                </m:ctrlPr>
              </m:funcPr>
              <m:fName>
                <m:r>
                  <m:rPr>
                    <m:sty m:val="p"/>
                  </m:rPr>
                  <w:rPr>
                    <w:rFonts w:ascii="Cambria Math" w:hAnsi="Cambria Math"/>
                  </w:rPr>
                  <m:t>ln</m:t>
                </m:r>
              </m:fName>
              <m:e>
                <m:d>
                  <m:dPr>
                    <m:ctrlPr>
                      <w:rPr>
                        <w:rFonts w:ascii="Cambria Math" w:eastAsia="Times New Roman" w:hAnsi="Cambria Math"/>
                        <w:i/>
                      </w:rPr>
                    </m:ctrlPr>
                  </m:dPr>
                  <m:e>
                    <m:r>
                      <w:rPr>
                        <w:rFonts w:ascii="Cambria Math" w:eastAsia="Times New Roman" w:hAnsi="Cambria Math"/>
                      </w:rPr>
                      <m:t>1-α(t)</m:t>
                    </m:r>
                  </m:e>
                </m:d>
                <m:r>
                  <w:rPr>
                    <w:rFonts w:ascii="Cambria Math" w:eastAsia="Times New Roman" w:hAnsi="Cambria Math"/>
                  </w:rPr>
                  <m:t>]=</m:t>
                </m:r>
                <m:func>
                  <m:funcPr>
                    <m:ctrlPr>
                      <w:rPr>
                        <w:rFonts w:ascii="Cambria Math" w:eastAsia="Times New Roman" w:hAnsi="Cambria Math"/>
                        <w:i/>
                      </w:rPr>
                    </m:ctrlPr>
                  </m:funcPr>
                  <m:fName>
                    <m:r>
                      <m:rPr>
                        <m:sty m:val="p"/>
                      </m:rPr>
                      <w:rPr>
                        <w:rFonts w:ascii="Cambria Math" w:hAnsi="Cambria Math"/>
                      </w:rPr>
                      <m:t>ln</m:t>
                    </m:r>
                  </m:fName>
                  <m:e>
                    <m:r>
                      <w:rPr>
                        <w:rFonts w:ascii="Cambria Math" w:eastAsia="Times New Roman" w:hAnsi="Cambria Math"/>
                      </w:rPr>
                      <m:t>k</m:t>
                    </m:r>
                  </m:e>
                </m:func>
                <m:r>
                  <w:rPr>
                    <w:rFonts w:ascii="Cambria Math" w:eastAsia="Times New Roman" w:hAnsi="Cambria Math"/>
                  </w:rPr>
                  <m:t>+n</m:t>
                </m:r>
                <m:func>
                  <m:funcPr>
                    <m:ctrlPr>
                      <w:rPr>
                        <w:rFonts w:ascii="Cambria Math" w:eastAsia="Times New Roman" w:hAnsi="Cambria Math"/>
                        <w:i/>
                      </w:rPr>
                    </m:ctrlPr>
                  </m:funcPr>
                  <m:fName>
                    <m:r>
                      <m:rPr>
                        <m:sty m:val="p"/>
                      </m:rPr>
                      <w:rPr>
                        <w:rFonts w:ascii="Cambria Math" w:hAnsi="Cambria Math"/>
                      </w:rPr>
                      <m:t>ln</m:t>
                    </m:r>
                  </m:fName>
                  <m:e>
                    <m:r>
                      <w:rPr>
                        <w:rFonts w:ascii="Cambria Math" w:eastAsia="Times New Roman" w:hAnsi="Cambria Math"/>
                      </w:rPr>
                      <m:t>t</m:t>
                    </m:r>
                  </m:e>
                </m:func>
              </m:e>
            </m:func>
          </m:e>
        </m:func>
      </m:oMath>
      <w:r w:rsidR="00CB6C7B" w:rsidRPr="003F6316">
        <w:rPr>
          <w:rFonts w:eastAsia="Times New Roman"/>
        </w:rPr>
        <w:t xml:space="preserve">  </w:t>
      </w:r>
      <w:proofErr w:type="gramStart"/>
      <w:r w:rsidR="00CB6C7B" w:rsidRPr="003F6316">
        <w:rPr>
          <w:rFonts w:eastAsia="Times New Roman"/>
        </w:rPr>
        <w:t>where</w:t>
      </w:r>
      <w:proofErr w:type="gramEnd"/>
      <w:r w:rsidR="00CB6C7B" w:rsidRPr="003F6316">
        <w:rPr>
          <w:rFonts w:eastAsia="Times New Roman"/>
        </w:rPr>
        <w:t xml:space="preserve"> </w:t>
      </w:r>
      <m:oMath>
        <m:r>
          <w:rPr>
            <w:rFonts w:ascii="Cambria Math" w:eastAsia="Times New Roman" w:hAnsi="Cambria Math"/>
          </w:rPr>
          <m:t>t=</m:t>
        </m:r>
        <m:f>
          <m:fPr>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0</m:t>
                </m:r>
              </m:sub>
            </m:sSub>
            <m:r>
              <w:rPr>
                <w:rFonts w:ascii="Cambria Math" w:eastAsia="Times New Roman" w:hAnsi="Cambria Math"/>
              </w:rPr>
              <m:t>-T</m:t>
            </m:r>
          </m:num>
          <m:den>
            <m:r>
              <w:rPr>
                <w:rFonts w:ascii="Cambria Math" w:eastAsia="Times New Roman" w:hAnsi="Cambria Math"/>
              </w:rPr>
              <m:t>∅</m:t>
            </m:r>
          </m:den>
        </m:f>
      </m:oMath>
      <w:r w:rsidR="00CB6C7B" w:rsidRPr="003F6316">
        <w:rPr>
          <w:rFonts w:eastAsia="Times New Roman"/>
        </w:rPr>
        <w:t xml:space="preserve">  </w:t>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CB6C7B" w:rsidRPr="003F6316">
        <w:rPr>
          <w:rFonts w:eastAsia="Times New Roman"/>
        </w:rPr>
        <w:t>(Eq</w:t>
      </w:r>
      <w:r w:rsidR="00127B88" w:rsidRPr="003F6316">
        <w:rPr>
          <w:rFonts w:eastAsia="Times New Roman"/>
        </w:rPr>
        <w:t>. 6</w:t>
      </w:r>
      <w:r w:rsidR="00CB6C7B" w:rsidRPr="003F6316">
        <w:rPr>
          <w:rFonts w:eastAsia="Times New Roman"/>
        </w:rPr>
        <w:t>)</w:t>
      </w:r>
    </w:p>
    <w:p w:rsidR="00CB6C7B" w:rsidRPr="003F6316" w:rsidRDefault="00CB6C7B" w:rsidP="00CB6C7B">
      <w:pPr>
        <w:spacing w:line="360" w:lineRule="auto"/>
        <w:jc w:val="both"/>
      </w:pPr>
      <w:r w:rsidRPr="003F6316">
        <w:rPr>
          <w:rFonts w:eastAsia="Times New Roman"/>
        </w:rPr>
        <w:t>The corrected kinetic constant (</w:t>
      </w:r>
      <w:r w:rsidRPr="003F6316">
        <w:rPr>
          <w:rFonts w:eastAsia="Times New Roman"/>
          <w:i/>
        </w:rPr>
        <w:t>k’</w:t>
      </w:r>
      <w:r w:rsidRPr="003F6316">
        <w:rPr>
          <w:rFonts w:eastAsia="Times New Roman"/>
        </w:rPr>
        <w:t xml:space="preserve">) as </w:t>
      </w:r>
      <w:r w:rsidR="00EF2955" w:rsidRPr="003F6316">
        <w:rPr>
          <w:rFonts w:eastAsia="Times New Roman"/>
        </w:rPr>
        <w:t xml:space="preserve">a </w:t>
      </w:r>
      <w:r w:rsidRPr="003F6316">
        <w:rPr>
          <w:rFonts w:eastAsia="Times New Roman"/>
        </w:rPr>
        <w:t xml:space="preserve">function of the </w:t>
      </w:r>
      <w:proofErr w:type="spellStart"/>
      <w:r w:rsidRPr="003F6316">
        <w:rPr>
          <w:rFonts w:eastAsia="Times New Roman"/>
        </w:rPr>
        <w:t>Avrami</w:t>
      </w:r>
      <w:proofErr w:type="spellEnd"/>
      <w:r w:rsidRPr="003F6316">
        <w:rPr>
          <w:rFonts w:eastAsia="Times New Roman"/>
        </w:rPr>
        <w:t xml:space="preserve"> kinetic constant (</w:t>
      </w:r>
      <w:r w:rsidRPr="003F6316">
        <w:rPr>
          <w:rFonts w:eastAsia="Times New Roman"/>
          <w:i/>
        </w:rPr>
        <w:t>k</w:t>
      </w:r>
      <w:r w:rsidRPr="003F6316">
        <w:rPr>
          <w:rFonts w:eastAsia="Times New Roman"/>
        </w:rPr>
        <w:t>) and the heating rate (</w:t>
      </w:r>
      <m:oMath>
        <m:r>
          <w:rPr>
            <w:rFonts w:ascii="Cambria Math" w:hAnsi="Cambria Math"/>
          </w:rPr>
          <m:t>∅</m:t>
        </m:r>
      </m:oMath>
      <w:r w:rsidRPr="003F6316">
        <w:rPr>
          <w:rFonts w:eastAsia="Times New Roman"/>
        </w:rPr>
        <w:t xml:space="preserve">) is given by equation </w:t>
      </w:r>
      <w:r w:rsidR="00127B88" w:rsidRPr="003F6316">
        <w:rPr>
          <w:rFonts w:eastAsia="Times New Roman"/>
        </w:rPr>
        <w:t>7</w:t>
      </w:r>
      <w:r w:rsidRPr="003F6316">
        <w:rPr>
          <w:rFonts w:eastAsia="Times New Roman"/>
        </w:rPr>
        <w:t>; the reaction half-life time (</w:t>
      </w:r>
      <w:r w:rsidRPr="003F6316">
        <w:rPr>
          <w:rFonts w:eastAsia="Times New Roman"/>
          <w:i/>
        </w:rPr>
        <w:t>t</w:t>
      </w:r>
      <w:r w:rsidRPr="003F6316">
        <w:rPr>
          <w:rFonts w:eastAsia="Times New Roman"/>
          <w:i/>
          <w:vertAlign w:val="subscript"/>
        </w:rPr>
        <w:t>1/2</w:t>
      </w:r>
      <w:r w:rsidRPr="003F6316">
        <w:rPr>
          <w:rFonts w:eastAsia="Times New Roman"/>
        </w:rPr>
        <w:t xml:space="preserve">), that is, time </w:t>
      </w:r>
      <w:r w:rsidR="00061345" w:rsidRPr="003F6316">
        <w:rPr>
          <w:rFonts w:eastAsia="Times New Roman"/>
        </w:rPr>
        <w:t xml:space="preserve">for </w:t>
      </w:r>
      <w:r w:rsidRPr="003F6316">
        <w:rPr>
          <w:rFonts w:eastAsia="Times New Roman"/>
        </w:rPr>
        <w:t>50% transition completion, can be calculated from the corrected constant (</w:t>
      </w:r>
      <w:r w:rsidRPr="003F6316">
        <w:rPr>
          <w:rFonts w:eastAsia="Times New Roman"/>
          <w:i/>
        </w:rPr>
        <w:t>k’</w:t>
      </w:r>
      <w:r w:rsidRPr="003F6316">
        <w:rPr>
          <w:rFonts w:eastAsia="Times New Roman"/>
        </w:rPr>
        <w:t xml:space="preserve">) through the use of equation </w:t>
      </w:r>
      <w:r w:rsidR="00127B88" w:rsidRPr="003F6316">
        <w:rPr>
          <w:rFonts w:eastAsia="Times New Roman"/>
        </w:rPr>
        <w:t>8</w:t>
      </w:r>
      <w:r w:rsidR="00127B88" w:rsidRPr="003F6316">
        <w:rPr>
          <w:rFonts w:eastAsia="Times New Roman"/>
          <w:color w:val="FF0000"/>
        </w:rPr>
        <w:t xml:space="preserve"> </w:t>
      </w:r>
      <w:r w:rsidR="002333DA" w:rsidRPr="003F6316">
        <w:fldChar w:fldCharType="begin" w:fldLock="1"/>
      </w:r>
      <w:r w:rsidR="00364163" w:rsidRPr="003F6316">
        <w:instrText>ADDIN CSL_CITATION { "citationItems" : [ { "id" : "ITEM-1", "itemData" : { "DOI" : "10.1016/0032-3861(78)90060-5", "ISSN" : "00323861", "author" : [ { "dropping-particle" : "", "family" : "Jeziorny", "given" : "Andrzej", "non-dropping-particle" : "", "parse-names" : false, "suffix" : "" } ], "container-title" : "Polymer", "id" : "ITEM-1", "issue" : "10", "issued" : { "date-parts" : [ [ "1978", "10" ] ] }, "page" : "1142-1144", "title" : "Parameters characterizing the kinetics of the non-isothermal crystallization of poly(ethylene terephthalate) determined by d.s.c.", "type" : "article-journal", "volume" : "19" }, "uris" : [ "http://www.mendeley.com/documents/?uuid=68d85f62-0b26-40cb-90f6-d7428776e653" ] }, { "id" : "ITEM-2", "itemData" : { "DOI" : "10.1016/j.polymertesting.2008.05.003", "ISSN" : "01429418", "abstract" : "The copolymer ethylene-vinyl acetate (EVA) was crosslinked with different amounts (1, 2 and 4wt%) of dicumyl peroxide (DCP) in a differential scanning calorimeter (DSC), under non-isothermal conditions. Crosslinking degree as a function of temperature (or time) was calculated from the crosslinking enthalpies. The feasibility of Avrami, Ozawa, Avrami\u2013Ozawa and Flynn\u2013Wall\u2013Ozawa (FWO) models for the determination of EVA crosslinking kinetic parameters was evaluated. All the models fitted the experimental data very well, providing EVA kinetic parameters such as reaction rate (k), half-life time (t1/2) and activation energy (Ea), as well as inferring the type of process dimensionalities and crosslinking mechanism. The Avrami exponents (n) were found to remain practically constant (2.08\u20132.32) during the course of the reaction and with varying DCP content, suggesting that the growth of crosslinks is sporadic and spherical, and occurs from nuclei. Systematic changes in Ea (FWO analysis), Ozawa exponent (m) and F(T) parameter (Avrami\u2013Ozawa model) values showed that the increase in bulk viscosity during the reaction alters the EVA solid-state process mechanism by lowering radical diffusion and hindering the crosslink growth. On the basis of the results, we can conclude that the Avrami, Ozawa, Avrami\u2013Ozawa and Flynn\u2013Wall\u2013Ozawa (FWO) models successfully describe the EVA crosslinking kinetics.", "author" : [ { "dropping-particle" : "", "family" : "Bianchi", "given" : "O.", "non-dropping-particle" : "", "parse-names" : false, "suffix" : "" }, { "dropping-particle" : "", "family" : "Oliveira", "given" : "R.V.B.", "non-dropping-particle" : "", "parse-names" : false, "suffix" : "" }, { "dropping-particle" : "", "family" : "Fiorio", "given" : "R.", "non-dropping-particle" : "", "parse-names" : false, "suffix" : "" }, { "dropping-particle" : "", "family" : "Martins", "given" : "J. De N.", "non-dropping-particle" : "", "parse-names" : false, "suffix" : "" }, { "dropping-particle" : "", "family" : "Zattera", "given" : "A.J.", "non-dropping-particle" : "", "parse-names" : false, "suffix" : "" }, { "dropping-particle" : "", "family" : "Canto", "given" : "L.B.", "non-dropping-particle" : "", "parse-names" : false, "suffix" : "" } ], "container-title" : "Polymer Testing", "id" : "ITEM-2", "issue" : "6", "issued" : { "date-parts" : [ [ "2008", "9" ] ] }, "page" : "722-729", "title" : "Assessment of Avrami, Ozawa and Avrami\u2013Ozawa equations for determination of EVA crosslinking kinetics from DSC measurements", "type" : "article-journal", "volume" : "27" }, "uris" : [ "http://www.mendeley.com/documents/?uuid=b0cc202b-4d89-45fd-b605-fe8addf29aed" ] }, { "id" : "ITEM-3", "itemData" : { "DOI" : "10.1016/j.tca.2011.07.002", "ISSN" : "00406031", "author" : [ { "dropping-particle" : "", "family" : "Wan", "given" : "Jintao", "non-dropping-particle" : "", "parse-names" : false, "suffix" : "" }, { "dropping-particle" : "", "family" : "Bu", "given" : "Zhi-Yang", "non-dropping-particle" : "", "parse-names" : false, "suffix" : "" }, { "dropping-particle" : "", "family" : "Li", "given" : "Cheng", "non-dropping-particle" : "", "parse-names" : false, "suffix" : "" }, { "dropping-particle" : "", "family" : "Fan", "given" : "Hong", "non-dropping-particle" : "", "parse-names" : false, "suffix" : "" }, { "dropping-particle" : "", "family" : "Li", "given" : "Bo-Geng", "non-dropping-particle" : "", "parse-names" : false, "suffix" : "" } ], "container-title" : "Thermochimica Acta", "id" : "ITEM-3", "issue" : "1-2", "issued" : { "date-parts" : [ [ "2011", "9" ] ] }, "page" : "117-127", "publisher" : "Elsevier B.V.", "title" : "Preparation, melting, glass relaxation and nonisothermal crystallization kinetics of a novel dendritic nylon-11", "type" : "article-journal", "volume" : "524" }, "uris" : [ "http://www.mendeley.com/documents/?uuid=0d86195d-f1c3-485d-b433-dadfac5ffa46" ] } ], "mendeley" : { "previouslyFormattedCitation" : "&lt;sup&gt;[25\u201327]&lt;/sup&gt;" }, "properties" : { "noteIndex" : 0 }, "schema" : "https://github.com/citation-style-language/schema/raw/master/csl-citation.json" }</w:instrText>
      </w:r>
      <w:r w:rsidR="002333DA" w:rsidRPr="003F6316">
        <w:fldChar w:fldCharType="separate"/>
      </w:r>
      <w:r w:rsidR="00364163" w:rsidRPr="003F6316">
        <w:rPr>
          <w:noProof/>
          <w:vertAlign w:val="superscript"/>
        </w:rPr>
        <w:t>[25–27]</w:t>
      </w:r>
      <w:r w:rsidR="002333DA" w:rsidRPr="003F6316">
        <w:fldChar w:fldCharType="end"/>
      </w:r>
      <w:r w:rsidRPr="003F6316">
        <w:t>.</w:t>
      </w:r>
    </w:p>
    <w:p w:rsidR="00CB6C7B" w:rsidRPr="003F6316" w:rsidRDefault="0050186C" w:rsidP="00CB6C7B">
      <w:pPr>
        <w:spacing w:line="360" w:lineRule="auto"/>
        <w:jc w:val="both"/>
        <w:rPr>
          <w:rFonts w:eastAsia="Times New Roman"/>
        </w:rPr>
      </w:pPr>
      <m:oMath>
        <m:func>
          <m:funcPr>
            <m:ctrlPr>
              <w:rPr>
                <w:rFonts w:ascii="Cambria Math" w:hAnsi="Cambria Math"/>
                <w:i/>
              </w:rPr>
            </m:ctrlPr>
          </m:funcPr>
          <m:fName>
            <m:r>
              <m:rPr>
                <m:sty m:val="p"/>
              </m:rPr>
              <w:rPr>
                <w:rFonts w:ascii="Cambria Math" w:hAnsi="Cambria Math"/>
              </w:rPr>
              <m:t>ln</m:t>
            </m:r>
          </m:fName>
          <m:e>
            <m:sSup>
              <m:sSupPr>
                <m:ctrlPr>
                  <w:rPr>
                    <w:rFonts w:ascii="Cambria Math" w:hAnsi="Cambria Math"/>
                    <w:i/>
                  </w:rPr>
                </m:ctrlPr>
              </m:sSupPr>
              <m:e>
                <m:r>
                  <w:rPr>
                    <w:rFonts w:ascii="Cambria Math" w:hAnsi="Cambria Math"/>
                  </w:rPr>
                  <m:t>k</m:t>
                </m:r>
              </m:e>
              <m:sup>
                <m:r>
                  <w:rPr>
                    <w:rFonts w:ascii="Cambria Math" w:hAnsi="Cambria Math"/>
                  </w:rPr>
                  <m:t>'</m:t>
                </m:r>
              </m:sup>
            </m:sSup>
            <m:r>
              <w:rPr>
                <w:rFonts w:ascii="Cambria Math" w:hAnsi="Cambria Math"/>
              </w:rPr>
              <m:t>=</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k</m:t>
                    </m:r>
                  </m:e>
                </m:func>
              </m:num>
              <m:den>
                <m:r>
                  <w:rPr>
                    <w:rFonts w:ascii="Cambria Math" w:hAnsi="Cambria Math"/>
                  </w:rPr>
                  <m:t>∅</m:t>
                </m:r>
              </m:den>
            </m:f>
          </m:e>
        </m:func>
      </m:oMath>
      <w:r w:rsidR="00CB6C7B"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CB6C7B" w:rsidRPr="003F6316">
        <w:rPr>
          <w:rFonts w:eastAsia="Times New Roman"/>
        </w:rPr>
        <w:t>(Eq.</w:t>
      </w:r>
      <w:r w:rsidR="00127B88" w:rsidRPr="003F6316">
        <w:rPr>
          <w:rFonts w:eastAsia="Times New Roman"/>
        </w:rPr>
        <w:t xml:space="preserve"> 7</w:t>
      </w:r>
      <w:r w:rsidR="00CB6C7B" w:rsidRPr="003F6316">
        <w:rPr>
          <w:rFonts w:eastAsia="Times New Roman"/>
        </w:rPr>
        <w:t>)</w:t>
      </w:r>
    </w:p>
    <w:p w:rsidR="00CB6C7B" w:rsidRPr="003F6316" w:rsidRDefault="0050186C" w:rsidP="00CB6C7B">
      <w:pPr>
        <w:spacing w:line="360" w:lineRule="auto"/>
        <w:jc w:val="both"/>
        <w:rPr>
          <w:rFonts w:eastAsia="Times New Roman"/>
        </w:rPr>
      </w:pP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1/2</m:t>
            </m:r>
          </m:sub>
        </m:sSub>
        <m:r>
          <w:rPr>
            <w:rFonts w:ascii="Cambria Math" w:eastAsia="Times New Roman" w:hAnsi="Cambria Math"/>
          </w:rPr>
          <m:t>=</m:t>
        </m:r>
        <m:sSup>
          <m:sSupPr>
            <m:ctrlPr>
              <w:rPr>
                <w:rFonts w:ascii="Cambria Math" w:eastAsia="Times New Roman" w:hAnsi="Cambria Math"/>
                <w:i/>
              </w:rPr>
            </m:ctrlPr>
          </m:sSupPr>
          <m:e>
            <m:d>
              <m:dPr>
                <m:ctrlPr>
                  <w:rPr>
                    <w:rFonts w:ascii="Cambria Math" w:eastAsia="Times New Roman" w:hAnsi="Cambria Math"/>
                    <w:i/>
                  </w:rPr>
                </m:ctrlPr>
              </m:dPr>
              <m:e>
                <m:f>
                  <m:fPr>
                    <m:ctrlPr>
                      <w:rPr>
                        <w:rFonts w:ascii="Cambria Math" w:eastAsia="Times New Roman" w:hAnsi="Cambria Math"/>
                        <w:i/>
                      </w:rPr>
                    </m:ctrlPr>
                  </m:fPr>
                  <m:num>
                    <m:func>
                      <m:funcPr>
                        <m:ctrlPr>
                          <w:rPr>
                            <w:rFonts w:ascii="Cambria Math" w:eastAsia="Times New Roman" w:hAnsi="Cambria Math"/>
                            <w:i/>
                          </w:rPr>
                        </m:ctrlPr>
                      </m:funcPr>
                      <m:fName>
                        <m:r>
                          <m:rPr>
                            <m:sty m:val="p"/>
                          </m:rPr>
                          <w:rPr>
                            <w:rFonts w:ascii="Cambria Math" w:hAnsi="Cambria Math"/>
                          </w:rPr>
                          <m:t>ln</m:t>
                        </m:r>
                      </m:fName>
                      <m:e>
                        <m:r>
                          <w:rPr>
                            <w:rFonts w:ascii="Cambria Math" w:eastAsia="Times New Roman" w:hAnsi="Cambria Math"/>
                          </w:rPr>
                          <m:t>2</m:t>
                        </m:r>
                      </m:e>
                    </m:func>
                  </m:num>
                  <m:den>
                    <m:r>
                      <w:rPr>
                        <w:rFonts w:ascii="Cambria Math" w:eastAsia="Times New Roman" w:hAnsi="Cambria Math"/>
                      </w:rPr>
                      <m:t>k'</m:t>
                    </m:r>
                  </m:den>
                </m:f>
              </m:e>
            </m:d>
          </m:e>
          <m:sup>
            <m:r>
              <w:rPr>
                <w:rFonts w:ascii="Cambria Math" w:eastAsia="Times New Roman" w:hAnsi="Cambria Math"/>
              </w:rPr>
              <m:t>1/n</m:t>
            </m:r>
          </m:sup>
        </m:sSup>
      </m:oMath>
      <w:r w:rsidR="00CB6C7B"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CB6C7B" w:rsidRPr="003F6316">
        <w:rPr>
          <w:rFonts w:eastAsia="Times New Roman"/>
        </w:rPr>
        <w:t>(Eq.</w:t>
      </w:r>
      <w:r w:rsidR="00127B88" w:rsidRPr="003F6316">
        <w:rPr>
          <w:rFonts w:eastAsia="Times New Roman"/>
        </w:rPr>
        <w:t xml:space="preserve"> 8</w:t>
      </w:r>
      <w:r w:rsidR="00CB6C7B" w:rsidRPr="003F6316">
        <w:rPr>
          <w:rFonts w:eastAsia="Times New Roman"/>
        </w:rPr>
        <w:t>)</w:t>
      </w:r>
    </w:p>
    <w:p w:rsidR="00CB6C7B" w:rsidRPr="003F6316" w:rsidRDefault="00CB6C7B" w:rsidP="00CB6C7B">
      <w:pPr>
        <w:spacing w:line="360" w:lineRule="auto"/>
        <w:jc w:val="both"/>
      </w:pPr>
      <w:r w:rsidRPr="003F6316">
        <w:lastRenderedPageBreak/>
        <w:t xml:space="preserve">DSC data was obtained </w:t>
      </w:r>
      <w:r w:rsidR="00061345" w:rsidRPr="003F6316">
        <w:t xml:space="preserve">by </w:t>
      </w:r>
      <w:r w:rsidRPr="003F6316">
        <w:t xml:space="preserve">running samples of </w:t>
      </w:r>
      <w:r w:rsidR="00FD75AA" w:rsidRPr="003F6316">
        <w:t xml:space="preserve">“as </w:t>
      </w:r>
      <w:r w:rsidR="00375E25" w:rsidRPr="003F6316">
        <w:t>supplied</w:t>
      </w:r>
      <w:r w:rsidR="00FD75AA" w:rsidRPr="003F6316">
        <w:t>” RHT</w:t>
      </w:r>
      <w:r w:rsidRPr="003F6316">
        <w:t>/polymorph II at different heating rates</w:t>
      </w:r>
      <w:r w:rsidR="00061345" w:rsidRPr="003F6316">
        <w:t>,</w:t>
      </w:r>
      <w:r w:rsidRPr="003F6316">
        <w:t xml:space="preserve"> as described in methodology section 2.2.4. After calculation of </w:t>
      </w:r>
      <w:r w:rsidRPr="003F6316">
        <w:rPr>
          <w:i/>
        </w:rPr>
        <w:t>α(T)</w:t>
      </w:r>
      <w:r w:rsidRPr="003F6316">
        <w:t xml:space="preserve"> and time, the parameters </w:t>
      </w:r>
      <w:r w:rsidRPr="003F6316">
        <w:rPr>
          <w:i/>
        </w:rPr>
        <w:t>n</w:t>
      </w:r>
      <w:r w:rsidRPr="003F6316">
        <w:t xml:space="preserve"> and </w:t>
      </w:r>
      <w:r w:rsidRPr="003F6316">
        <w:rPr>
          <w:i/>
        </w:rPr>
        <w:t>k</w:t>
      </w:r>
      <w:r w:rsidRPr="003F6316">
        <w:t xml:space="preserve"> were determined from the slope and intercept of the linear plot</w:t>
      </w:r>
      <w:r w:rsidR="00061345" w:rsidRPr="003F6316">
        <w:t xml:space="preserve"> of</w:t>
      </w:r>
      <w:r w:rsidRPr="003F6316">
        <w:t xml:space="preserve"> </w:t>
      </w:r>
      <w:r w:rsidRPr="003F6316">
        <w:rPr>
          <w:i/>
        </w:rPr>
        <w:t>ln[-ln(1-α(T))] vs. ln (t)</w:t>
      </w:r>
      <w:r w:rsidRPr="003F6316">
        <w:t>.</w:t>
      </w:r>
    </w:p>
    <w:p w:rsidR="00CB6C7B" w:rsidRPr="003F6316" w:rsidRDefault="00CB6C7B" w:rsidP="00CB6C7B">
      <w:pPr>
        <w:spacing w:line="360" w:lineRule="auto"/>
        <w:jc w:val="both"/>
      </w:pPr>
      <w:r w:rsidRPr="003F6316">
        <w:t xml:space="preserve">Figure </w:t>
      </w:r>
      <w:r w:rsidR="00465D2A" w:rsidRPr="003F6316">
        <w:t xml:space="preserve">5A </w:t>
      </w:r>
      <w:r w:rsidRPr="003F6316">
        <w:t>presents the curves of transition degree (</w:t>
      </w:r>
      <w:proofErr w:type="gramStart"/>
      <w:r w:rsidRPr="003F6316">
        <w:t>α(</w:t>
      </w:r>
      <w:proofErr w:type="gramEnd"/>
      <w:r w:rsidRPr="003F6316">
        <w:t>T)) as a function of transition time. All curves presented a sigmoid shape, indicating a fast transition (nucleation) during the initial stages, and slower transition (nuclear growth) during the latter stages, wh</w:t>
      </w:r>
      <w:r w:rsidR="007524B7" w:rsidRPr="003F6316">
        <w:t xml:space="preserve">ich was more evident for </w:t>
      </w:r>
      <w:r w:rsidRPr="003F6316">
        <w:t>lower rates. Hence, transition at lower heating rates resulted in slower conversion</w:t>
      </w:r>
      <w:r w:rsidR="00061345" w:rsidRPr="003F6316">
        <w:t xml:space="preserve"> of</w:t>
      </w:r>
      <w:r w:rsidRPr="003F6316">
        <w:t xml:space="preserve"> II→I.</w:t>
      </w:r>
    </w:p>
    <w:p w:rsidR="00CB6C7B" w:rsidRPr="003F6316" w:rsidRDefault="00CB6C7B" w:rsidP="00CB6C7B">
      <w:pPr>
        <w:spacing w:line="360" w:lineRule="auto"/>
        <w:jc w:val="both"/>
      </w:pPr>
      <w:r w:rsidRPr="003F6316">
        <w:t xml:space="preserve">Figure </w:t>
      </w:r>
      <w:r w:rsidR="00E178EF" w:rsidRPr="003F6316">
        <w:t xml:space="preserve">6B </w:t>
      </w:r>
      <w:r w:rsidRPr="003F6316">
        <w:t xml:space="preserve">shows the fitting </w:t>
      </w:r>
      <w:r w:rsidR="00061345" w:rsidRPr="003F6316">
        <w:t>of the</w:t>
      </w:r>
      <w:r w:rsidRPr="003F6316">
        <w:t xml:space="preserve"> </w:t>
      </w:r>
      <w:proofErr w:type="spellStart"/>
      <w:r w:rsidRPr="003F6316">
        <w:t>Jeziorny</w:t>
      </w:r>
      <w:proofErr w:type="spellEnd"/>
      <w:r w:rsidRPr="003F6316">
        <w:t>-modified-</w:t>
      </w:r>
      <w:proofErr w:type="spellStart"/>
      <w:r w:rsidRPr="003F6316">
        <w:t>Avrami</w:t>
      </w:r>
      <w:proofErr w:type="spellEnd"/>
      <w:r w:rsidRPr="003F6316">
        <w:t xml:space="preserve"> </w:t>
      </w:r>
      <w:r w:rsidR="00061345" w:rsidRPr="003F6316">
        <w:t xml:space="preserve">equation </w:t>
      </w:r>
      <w:r w:rsidRPr="003F6316">
        <w:t>and table 2 the kinetic parameters. In general the model presented a good fit, with increase of the reaction constant (k’) and decrease of conversion half-time (t</w:t>
      </w:r>
      <w:r w:rsidRPr="003F6316">
        <w:rPr>
          <w:vertAlign w:val="subscript"/>
        </w:rPr>
        <w:t>1/2</w:t>
      </w:r>
      <w:r w:rsidRPr="003F6316">
        <w:t>) as heating rate increased, as would be expected from results obtained (Table 2</w:t>
      </w:r>
      <w:r w:rsidR="007D1218" w:rsidRPr="003F6316">
        <w:t xml:space="preserve"> and Figure </w:t>
      </w:r>
      <w:r w:rsidR="00E178EF" w:rsidRPr="003F6316">
        <w:t>6B</w:t>
      </w:r>
      <w:r w:rsidRPr="003F6316">
        <w:t xml:space="preserve">). The </w:t>
      </w:r>
      <w:proofErr w:type="spellStart"/>
      <w:r w:rsidRPr="003F6316">
        <w:t>Avrami</w:t>
      </w:r>
      <w:proofErr w:type="spellEnd"/>
      <w:r w:rsidRPr="003F6316">
        <w:t xml:space="preserve"> exponent </w:t>
      </w:r>
      <w:r w:rsidRPr="003F6316">
        <w:rPr>
          <w:i/>
        </w:rPr>
        <w:t>n</w:t>
      </w:r>
      <w:r w:rsidRPr="003F6316">
        <w:t xml:space="preserve"> varied between 2.44-3.50 (or 2-4) which </w:t>
      </w:r>
      <w:r w:rsidR="00A50299" w:rsidRPr="003F6316">
        <w:t xml:space="preserve">means the initial transition of Form II to </w:t>
      </w:r>
      <w:r w:rsidR="00061345" w:rsidRPr="003F6316">
        <w:t xml:space="preserve">Form </w:t>
      </w:r>
      <w:r w:rsidR="00A50299" w:rsidRPr="003F6316">
        <w:t>I occurs by</w:t>
      </w:r>
      <w:r w:rsidRPr="003F6316">
        <w:t xml:space="preserve"> heterogeneous nucleation</w:t>
      </w:r>
      <w:r w:rsidR="00A50299" w:rsidRPr="003F6316">
        <w:t xml:space="preserve"> </w:t>
      </w:r>
      <w:r w:rsidRPr="003F6316">
        <w:t xml:space="preserve"> </w:t>
      </w:r>
      <w:r w:rsidR="002333DA" w:rsidRPr="003F6316">
        <w:fldChar w:fldCharType="begin" w:fldLock="1"/>
      </w:r>
      <w:r w:rsidR="00364163" w:rsidRPr="003F6316">
        <w:instrText>ADDIN CSL_CITATION { "citationItems" : [ { "id" : "ITEM-1", "itemData" : { "author" : [ { "dropping-particle" : "", "family" : "Hatakeyama", "given" : "T.", "non-dropping-particle" : "", "parse-names" : false, "suffix" : "" }, { "dropping-particle" : "", "family" : "Zhenhai", "given" : "L.", "non-dropping-particle" : "", "parse-names" : false, "suffix" : "" } ], "id" : "ITEM-1", "issued" : { "date-parts" : [ [ "1998" ] ] }, "publisher" : "John Wiley &amp; Sons Ltd.", "publisher-place" : "England", "title" : "Handbook of thermal analysis", "type" : "book" }, "uris" : [ "http://www.mendeley.com/documents/?uuid=38736f0a-8539-432d-9606-2ca3b7acee1b" ] } ], "mendeley" : { "previouslyFormattedCitation" : "&lt;sup&gt;[28]&lt;/sup&gt;" }, "properties" : { "noteIndex" : 0 }, "schema" : "https://github.com/citation-style-language/schema/raw/master/csl-citation.json" }</w:instrText>
      </w:r>
      <w:r w:rsidR="002333DA" w:rsidRPr="003F6316">
        <w:fldChar w:fldCharType="separate"/>
      </w:r>
      <w:r w:rsidR="00364163" w:rsidRPr="003F6316">
        <w:rPr>
          <w:noProof/>
          <w:vertAlign w:val="superscript"/>
        </w:rPr>
        <w:t>[28]</w:t>
      </w:r>
      <w:r w:rsidR="002333DA" w:rsidRPr="003F6316">
        <w:fldChar w:fldCharType="end"/>
      </w:r>
      <w:r w:rsidRPr="003F6316">
        <w:rPr>
          <w:rFonts w:eastAsia="Times New Roman"/>
        </w:rPr>
        <w:t>.</w:t>
      </w:r>
    </w:p>
    <w:p w:rsidR="00CB6C7B" w:rsidRPr="003F6316" w:rsidRDefault="00CB6C7B" w:rsidP="00CB6C7B">
      <w:pPr>
        <w:spacing w:line="360" w:lineRule="auto"/>
        <w:jc w:val="both"/>
      </w:pPr>
      <w:r w:rsidRPr="003F6316">
        <w:t>The apparent activation energy (</w:t>
      </w:r>
      <w:proofErr w:type="spellStart"/>
      <w:r w:rsidRPr="003F6316">
        <w:rPr>
          <w:i/>
        </w:rPr>
        <w:t>Ea</w:t>
      </w:r>
      <w:proofErr w:type="spellEnd"/>
      <w:r w:rsidRPr="003F6316">
        <w:t>) for the formation of polymorph I and II</w:t>
      </w:r>
      <w:r w:rsidR="00375E25" w:rsidRPr="003F6316">
        <w:t>,</w:t>
      </w:r>
      <w:r w:rsidRPr="003F6316">
        <w:t xml:space="preserve"> and for the transition of polymorph II to I, could be determined from the correlation between peak temperature (</w:t>
      </w:r>
      <w:proofErr w:type="spellStart"/>
      <w:r w:rsidRPr="003F6316">
        <w:rPr>
          <w:i/>
        </w:rPr>
        <w:t>Tp</w:t>
      </w:r>
      <w:proofErr w:type="spellEnd"/>
      <w:r w:rsidRPr="003F6316">
        <w:t>) and the heating rate (</w:t>
      </w:r>
      <m:oMath>
        <m:r>
          <w:rPr>
            <w:rFonts w:ascii="Cambria Math" w:hAnsi="Cambria Math"/>
          </w:rPr>
          <m:t>∅</m:t>
        </m:r>
      </m:oMath>
      <w:r w:rsidRPr="003F6316">
        <w:t xml:space="preserve">) for more than four thermal analysis curves of derivative type, and </w:t>
      </w:r>
      <w:r w:rsidR="00F851CD" w:rsidRPr="003F6316">
        <w:t xml:space="preserve">by </w:t>
      </w:r>
      <w:r w:rsidRPr="003F6316">
        <w:t xml:space="preserve">application of Kissinger equation (Eq. </w:t>
      </w:r>
      <w:r w:rsidR="00127B88" w:rsidRPr="003F6316">
        <w:t>9</w:t>
      </w:r>
      <w:r w:rsidRPr="003F6316">
        <w:t>)</w:t>
      </w:r>
    </w:p>
    <w:p w:rsidR="00CB6C7B" w:rsidRPr="003F6316" w:rsidRDefault="0050186C" w:rsidP="00CB6C7B">
      <w:pPr>
        <w:spacing w:line="360" w:lineRule="auto"/>
        <w:jc w:val="both"/>
        <w:rPr>
          <w:rFonts w:eastAsia="Times New Roman"/>
        </w:rPr>
      </w:pP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d</m:t>
                </m:r>
                <m:d>
                  <m:dPr>
                    <m:ctrlPr>
                      <w:rPr>
                        <w:rFonts w:ascii="Cambria Math" w:hAnsi="Cambria Math"/>
                        <w:i/>
                      </w:rPr>
                    </m:ctrlPr>
                  </m:dPr>
                  <m:e>
                    <m:func>
                      <m:funcPr>
                        <m:ctrlPr>
                          <w:rPr>
                            <w:rFonts w:ascii="Cambria Math" w:hAnsi="Cambria Math"/>
                            <w:i/>
                          </w:rPr>
                        </m:ctrlPr>
                      </m:funcPr>
                      <m:fName>
                        <m:r>
                          <m:rPr>
                            <m:sty m:val="p"/>
                          </m:rPr>
                          <w:rPr>
                            <w:rFonts w:ascii="Cambria Math" w:hAnsi="Cambria Math"/>
                          </w:rPr>
                          <m:t>ln</m:t>
                        </m:r>
                      </m:fName>
                      <m:e>
                        <m:f>
                          <m:fPr>
                            <m:ctrlPr>
                              <w:rPr>
                                <w:rFonts w:ascii="Cambria Math" w:hAnsi="Cambria Math"/>
                                <w:i/>
                              </w:rPr>
                            </m:ctrlPr>
                          </m:fPr>
                          <m:num>
                            <m:r>
                              <w:rPr>
                                <w:rFonts w:ascii="Cambria Math" w:hAnsi="Cambria Math"/>
                              </w:rPr>
                              <m:t>∅</m:t>
                            </m:r>
                          </m:num>
                          <m:den>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2</m:t>
                                </m:r>
                              </m:sup>
                            </m:sSubSup>
                          </m:den>
                        </m:f>
                      </m:e>
                    </m:func>
                  </m:e>
                </m:d>
              </m:e>
            </m:d>
          </m:num>
          <m:den>
            <m:r>
              <w:rPr>
                <w:rFonts w:ascii="Cambria Math" w:hAnsi="Cambria Math"/>
              </w:rPr>
              <m:t>d</m:t>
            </m:r>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p</m:t>
                        </m:r>
                      </m:sub>
                    </m:sSub>
                  </m:den>
                </m:f>
              </m:e>
            </m:d>
          </m:den>
        </m:f>
        <m:r>
          <w:rPr>
            <w:rFonts w:ascii="Cambria Math" w:hAnsi="Cambria Math"/>
          </w:rPr>
          <m:t>=-</m:t>
        </m:r>
        <m:f>
          <m:fPr>
            <m:ctrlPr>
              <w:rPr>
                <w:rFonts w:ascii="Cambria Math" w:hAnsi="Cambria Math"/>
                <w:i/>
              </w:rPr>
            </m:ctrlPr>
          </m:fPr>
          <m:num>
            <m:r>
              <w:rPr>
                <w:rFonts w:ascii="Cambria Math" w:hAnsi="Cambria Math"/>
              </w:rPr>
              <m:t>Ea</m:t>
            </m:r>
          </m:num>
          <m:den>
            <m:r>
              <w:rPr>
                <w:rFonts w:ascii="Cambria Math" w:hAnsi="Cambria Math"/>
              </w:rPr>
              <m:t>R</m:t>
            </m:r>
          </m:den>
        </m:f>
      </m:oMath>
      <w:r w:rsidR="00CB6C7B" w:rsidRPr="003F6316">
        <w:rPr>
          <w:rFonts w:eastAsia="Times New Roman"/>
        </w:rPr>
        <w:t xml:space="preserve"> </w:t>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127B88" w:rsidRPr="003F6316">
        <w:rPr>
          <w:rFonts w:eastAsia="Times New Roman"/>
        </w:rPr>
        <w:tab/>
      </w:r>
      <w:r w:rsidR="00CB6C7B" w:rsidRPr="003F6316">
        <w:rPr>
          <w:rFonts w:eastAsia="Times New Roman"/>
        </w:rPr>
        <w:t xml:space="preserve">(Eq. </w:t>
      </w:r>
      <w:r w:rsidR="00127B88" w:rsidRPr="003F6316">
        <w:rPr>
          <w:rFonts w:eastAsia="Times New Roman"/>
        </w:rPr>
        <w:t>9</w:t>
      </w:r>
      <w:r w:rsidR="00CB6C7B" w:rsidRPr="003F6316">
        <w:rPr>
          <w:rFonts w:eastAsia="Times New Roman"/>
        </w:rPr>
        <w:t>)</w:t>
      </w:r>
    </w:p>
    <w:p w:rsidR="00CB6C7B" w:rsidRPr="003F6316" w:rsidRDefault="00CB6C7B" w:rsidP="00CB6C7B">
      <w:pPr>
        <w:spacing w:line="360" w:lineRule="auto"/>
        <w:jc w:val="both"/>
      </w:pPr>
      <w:r w:rsidRPr="003F6316">
        <w:rPr>
          <w:rFonts w:eastAsia="Times New Roman"/>
        </w:rPr>
        <w:t>Where</w:t>
      </w:r>
      <w:r w:rsidRPr="003F6316">
        <w:rPr>
          <w:rFonts w:eastAsia="Times New Roman"/>
          <w:i/>
        </w:rPr>
        <w:t xml:space="preserve"> </w:t>
      </w:r>
      <w:proofErr w:type="spellStart"/>
      <w:r w:rsidRPr="003F6316">
        <w:rPr>
          <w:rFonts w:eastAsia="Times New Roman"/>
          <w:i/>
        </w:rPr>
        <w:t>Ea</w:t>
      </w:r>
      <w:proofErr w:type="spellEnd"/>
      <w:r w:rsidRPr="003F6316">
        <w:rPr>
          <w:rFonts w:eastAsia="Times New Roman"/>
        </w:rPr>
        <w:t xml:space="preserve"> is the apparent activation energy and </w:t>
      </w:r>
      <w:r w:rsidRPr="003F6316">
        <w:rPr>
          <w:rFonts w:eastAsia="Times New Roman"/>
          <w:i/>
        </w:rPr>
        <w:t>R</w:t>
      </w:r>
      <w:r w:rsidRPr="003F6316">
        <w:rPr>
          <w:rFonts w:eastAsia="Times New Roman"/>
        </w:rPr>
        <w:t xml:space="preserve"> is the gas constant, 8.314 Jmol</w:t>
      </w:r>
      <w:r w:rsidRPr="003F6316">
        <w:rPr>
          <w:rFonts w:eastAsia="Times New Roman"/>
          <w:vertAlign w:val="superscript"/>
        </w:rPr>
        <w:t>-1</w:t>
      </w:r>
      <w:r w:rsidRPr="003F6316">
        <w:rPr>
          <w:rFonts w:eastAsia="Times New Roman"/>
        </w:rPr>
        <w:t>K</w:t>
      </w:r>
      <w:r w:rsidRPr="003F6316">
        <w:rPr>
          <w:rFonts w:eastAsia="Times New Roman"/>
          <w:vertAlign w:val="superscript"/>
        </w:rPr>
        <w:t>-1</w:t>
      </w:r>
      <w:r w:rsidRPr="003F6316">
        <w:rPr>
          <w:rFonts w:eastAsia="Times New Roman"/>
        </w:rPr>
        <w:t xml:space="preserve"> </w:t>
      </w:r>
      <w:r w:rsidR="002333DA" w:rsidRPr="003F6316">
        <w:rPr>
          <w:rFonts w:eastAsia="Times New Roman"/>
        </w:rPr>
        <w:fldChar w:fldCharType="begin" w:fldLock="1"/>
      </w:r>
      <w:r w:rsidR="00364163" w:rsidRPr="003F6316">
        <w:rPr>
          <w:rFonts w:eastAsia="Times New Roman"/>
        </w:rPr>
        <w:instrText>ADDIN CSL_CITATION { "citationItems" : [ { "id" : "ITEM-1", "itemData" : { "author" : [ { "dropping-particle" : "", "family" : "Giron", "given" : "D", "non-dropping-particle" : "", "parse-names" : false, "suffix" : "" } ], "container-title" : "Thermochimica Acta", "id" : "ITEM-1", "issue" : "94", "issued" : { "date-parts" : [ [ "1995" ] ] }, "page" : "1-59", "title" : "Thermal analysis and calorimetric methods in the characterisation of polymorphs and solvates", "type" : "article-journal", "volume" : "248" }, "uris" : [ "http://www.mendeley.com/documents/?uuid=0f2a1e7e-f359-47e2-a812-49a438532a1b" ] }, { "id" : "ITEM-2", "itemData" : { "DOI" : "10.1016/S0254-0584(98)80013-8", "ISSN" : "02540584", "author" : [ { "dropping-particle" : "", "family" : "Cho", "given" : "Young-Shin", "non-dropping-particle" : "", "parse-names" : false, "suffix" : "" }, { "dropping-particle" : "", "family" : "Shim", "given" : "Mi-Ja", "non-dropping-particle" : "", "parse-names" : false, "suffix" : "" }, { "dropping-particle" : "", "family" : "Kim", "given" : "Sang-Wook", "non-dropping-particle" : "", "parse-names" : false, "suffix" : "" } ], "container-title" : "Materials Chemistry and Physics", "id" : "ITEM-2", "issue" : "1", "issued" : { "date-parts" : [ [ "1998", "1" ] ] }, "page" : "94-97", "title" : "Thermal degradation kinetics of PE by the Kissinger equation", "type" : "article-journal", "volume" : "52" }, "uris" : [ "http://www.mendeley.com/documents/?uuid=ff6868e1-b961-481e-bd64-7de08ea3ea5c" ] }, { "id" : "ITEM-3", "itemData" : { "author" : [ { "dropping-particle" : "", "family" : "Hatakeyama", "given" : "T.", "non-dropping-particle" : "", "parse-names" : false, "suffix" : "" }, { "dropping-particle" : "", "family" : "Zhenhai", "given" : "L.", "non-dropping-particle" : "", "parse-names" : false, "suffix" : "" } ], "id" : "ITEM-3", "issued" : { "date-parts" : [ [ "1998" ] ] }, "publisher" : "John Wiley &amp; Sons Ltd.", "publisher-place" : "England", "title" : "Handbook of thermal analysis", "type" : "book" }, "uris" : [ "http://www.mendeley.com/documents/?uuid=38736f0a-8539-432d-9606-2ca3b7acee1b" ] } ], "mendeley" : { "previouslyFormattedCitation" : "&lt;sup&gt;[18,28,29]&lt;/sup&gt;" }, "properties" : { "noteIndex" : 0 }, "schema" : "https://github.com/citation-style-language/schema/raw/master/csl-citation.json" }</w:instrText>
      </w:r>
      <w:r w:rsidR="002333DA" w:rsidRPr="003F6316">
        <w:rPr>
          <w:rFonts w:eastAsia="Times New Roman"/>
        </w:rPr>
        <w:fldChar w:fldCharType="separate"/>
      </w:r>
      <w:r w:rsidR="00364163" w:rsidRPr="003F6316">
        <w:rPr>
          <w:rFonts w:eastAsia="Times New Roman"/>
          <w:noProof/>
          <w:vertAlign w:val="superscript"/>
        </w:rPr>
        <w:t>[18,28,29]</w:t>
      </w:r>
      <w:r w:rsidR="002333DA" w:rsidRPr="003F6316">
        <w:rPr>
          <w:rFonts w:eastAsia="Times New Roman"/>
        </w:rPr>
        <w:fldChar w:fldCharType="end"/>
      </w:r>
      <w:r w:rsidRPr="003F6316">
        <w:rPr>
          <w:rFonts w:eastAsia="Times New Roman"/>
        </w:rPr>
        <w:t xml:space="preserve">. The activation energy </w:t>
      </w:r>
      <w:r w:rsidRPr="003F6316">
        <w:t xml:space="preserve">was obtained from the slope of the straight line </w:t>
      </w:r>
      <w:r w:rsidR="00061345" w:rsidRPr="003F6316">
        <w:t xml:space="preserve">fit to </w:t>
      </w:r>
      <w:r w:rsidRPr="003F6316">
        <w:t>the relation</w:t>
      </w:r>
      <w:r w:rsidR="00061345" w:rsidRPr="003F6316">
        <w:t>ship between</w:t>
      </w:r>
      <w:r w:rsidRPr="003F6316">
        <w:t xml:space="preserve"> </w:t>
      </w:r>
      <w:r w:rsidRPr="003F6316">
        <w:rPr>
          <w:i/>
        </w:rPr>
        <w:t>-</w:t>
      </w:r>
      <w:proofErr w:type="spellStart"/>
      <w:proofErr w:type="gramStart"/>
      <w:r w:rsidRPr="003F6316">
        <w:rPr>
          <w:i/>
        </w:rPr>
        <w:t>Iog</w:t>
      </w:r>
      <w:proofErr w:type="spellEnd"/>
      <w:r w:rsidRPr="003F6316">
        <w:rPr>
          <w:i/>
        </w:rPr>
        <w:t>(</w:t>
      </w:r>
      <w:proofErr w:type="gramEnd"/>
      <m:oMath>
        <m:r>
          <w:rPr>
            <w:rFonts w:ascii="Cambria Math" w:hAnsi="Cambria Math"/>
          </w:rPr>
          <m:t>∅</m:t>
        </m:r>
      </m:oMath>
      <w:r w:rsidRPr="003F6316">
        <w:rPr>
          <w:i/>
        </w:rPr>
        <w:t>/Tp</w:t>
      </w:r>
      <w:r w:rsidRPr="003F6316">
        <w:rPr>
          <w:i/>
          <w:vertAlign w:val="superscript"/>
        </w:rPr>
        <w:t>2</w:t>
      </w:r>
      <w:r w:rsidRPr="003F6316">
        <w:rPr>
          <w:i/>
        </w:rPr>
        <w:t>)</w:t>
      </w:r>
      <w:r w:rsidRPr="003F6316">
        <w:t xml:space="preserve"> </w:t>
      </w:r>
      <w:r w:rsidR="00061345" w:rsidRPr="003F6316">
        <w:t xml:space="preserve">and </w:t>
      </w:r>
      <w:r w:rsidRPr="003F6316">
        <w:rPr>
          <w:i/>
        </w:rPr>
        <w:t>1/Tp</w:t>
      </w:r>
      <w:r w:rsidRPr="003F6316">
        <w:t xml:space="preserve">. The required </w:t>
      </w:r>
      <w:proofErr w:type="spellStart"/>
      <w:r w:rsidRPr="003F6316">
        <w:rPr>
          <w:i/>
        </w:rPr>
        <w:t>Ea</w:t>
      </w:r>
      <w:proofErr w:type="spellEnd"/>
      <w:r w:rsidRPr="003F6316">
        <w:t xml:space="preserve"> to produce </w:t>
      </w:r>
      <w:r w:rsidR="007C3A11" w:rsidRPr="003F6316">
        <w:t>Form</w:t>
      </w:r>
      <w:r w:rsidRPr="003F6316">
        <w:t xml:space="preserve"> I is 496.9±88.5 kJ.mol</w:t>
      </w:r>
      <w:r w:rsidRPr="003F6316">
        <w:rPr>
          <w:vertAlign w:val="superscript"/>
        </w:rPr>
        <w:t>-1</w:t>
      </w:r>
      <w:r w:rsidRPr="003F6316">
        <w:t xml:space="preserve">, for </w:t>
      </w:r>
      <w:r w:rsidR="007C3A11" w:rsidRPr="003F6316">
        <w:t>Form</w:t>
      </w:r>
      <w:r w:rsidRPr="003F6316">
        <w:t xml:space="preserve"> II is 185.7±13.6 kJ.mol</w:t>
      </w:r>
      <w:r w:rsidRPr="003F6316">
        <w:rPr>
          <w:vertAlign w:val="superscript"/>
        </w:rPr>
        <w:t>-1</w:t>
      </w:r>
      <w:r w:rsidRPr="003F6316">
        <w:t xml:space="preserve"> and to promote the polymorphic transition II→I is 104.2±14.4 7 kJ.mol</w:t>
      </w:r>
      <w:r w:rsidRPr="003F6316">
        <w:rPr>
          <w:vertAlign w:val="superscript"/>
        </w:rPr>
        <w:t>-1</w:t>
      </w:r>
      <w:r w:rsidRPr="003F6316">
        <w:t>.</w:t>
      </w:r>
      <w:r w:rsidR="00324FAD" w:rsidRPr="003F6316">
        <w:t xml:space="preserve"> These values define the energy barrier required to produce either form or to convert Form II to Form I.</w:t>
      </w:r>
    </w:p>
    <w:p w:rsidR="008C1789" w:rsidRPr="003F6316" w:rsidRDefault="008C1789" w:rsidP="008C1789">
      <w:pPr>
        <w:pStyle w:val="ListParagraph"/>
        <w:numPr>
          <w:ilvl w:val="1"/>
          <w:numId w:val="1"/>
        </w:numPr>
        <w:spacing w:line="360" w:lineRule="auto"/>
        <w:jc w:val="both"/>
      </w:pPr>
      <w:r w:rsidRPr="003F6316">
        <w:t>Ball milling of “as supplied” RHT</w:t>
      </w:r>
    </w:p>
    <w:p w:rsidR="008C1789" w:rsidRPr="003F6316" w:rsidRDefault="008C1789" w:rsidP="008C1789">
      <w:pPr>
        <w:spacing w:line="360" w:lineRule="auto"/>
        <w:jc w:val="both"/>
      </w:pPr>
      <w:r w:rsidRPr="003F6316">
        <w:t xml:space="preserve">The “as supplied” RHT </w:t>
      </w:r>
      <w:r w:rsidR="00061345" w:rsidRPr="003F6316">
        <w:t xml:space="preserve">(Form II) </w:t>
      </w:r>
      <w:r w:rsidRPr="003F6316">
        <w:t>was ball milled and samples collected at different time points: 15 min, 30</w:t>
      </w:r>
      <w:r w:rsidR="00C90A06" w:rsidRPr="003F6316">
        <w:t xml:space="preserve"> </w:t>
      </w:r>
      <w:r w:rsidRPr="003F6316">
        <w:t>min, 1</w:t>
      </w:r>
      <w:r w:rsidR="00C90A06" w:rsidRPr="003F6316">
        <w:t xml:space="preserve"> </w:t>
      </w:r>
      <w:r w:rsidRPr="003F6316">
        <w:t>h, 2</w:t>
      </w:r>
      <w:r w:rsidR="00C90A06" w:rsidRPr="003F6316">
        <w:t xml:space="preserve"> </w:t>
      </w:r>
      <w:r w:rsidRPr="003F6316">
        <w:t>h and 3</w:t>
      </w:r>
      <w:r w:rsidR="00C90A06" w:rsidRPr="003F6316">
        <w:t xml:space="preserve"> </w:t>
      </w:r>
      <w:r w:rsidRPr="003F6316">
        <w:t xml:space="preserve">h, followed by </w:t>
      </w:r>
      <w:r w:rsidR="00061345" w:rsidRPr="003F6316">
        <w:t>PXRD</w:t>
      </w:r>
      <w:r w:rsidRPr="003F6316">
        <w:t>, ATR-FTIR and DSC analysis. Figure</w:t>
      </w:r>
      <w:r w:rsidRPr="003F6316">
        <w:rPr>
          <w:color w:val="FF0000"/>
        </w:rPr>
        <w:t xml:space="preserve"> </w:t>
      </w:r>
      <w:r w:rsidR="00127ABA" w:rsidRPr="003F6316">
        <w:t>1</w:t>
      </w:r>
      <w:r w:rsidRPr="003F6316">
        <w:rPr>
          <w:color w:val="FF0000"/>
        </w:rPr>
        <w:t xml:space="preserve"> </w:t>
      </w:r>
      <w:r w:rsidRPr="003F6316">
        <w:t xml:space="preserve">presents the </w:t>
      </w:r>
      <w:r w:rsidR="00061345" w:rsidRPr="003F6316">
        <w:t xml:space="preserve">PXRD </w:t>
      </w:r>
      <w:r w:rsidRPr="003F6316">
        <w:t xml:space="preserve">patterns of milled RHT. </w:t>
      </w:r>
    </w:p>
    <w:p w:rsidR="008C1789" w:rsidRPr="003F6316" w:rsidRDefault="008C1789" w:rsidP="008C1789">
      <w:pPr>
        <w:spacing w:line="360" w:lineRule="auto"/>
        <w:jc w:val="both"/>
      </w:pPr>
      <w:r w:rsidRPr="003F6316">
        <w:t>At 15</w:t>
      </w:r>
      <w:r w:rsidR="00061345" w:rsidRPr="003F6316">
        <w:t xml:space="preserve"> </w:t>
      </w:r>
      <w:r w:rsidRPr="003F6316">
        <w:t xml:space="preserve">min milling it was possible to see a reduction in peak intensity and broadening of peaks, that </w:t>
      </w:r>
      <w:r w:rsidR="00EF2955" w:rsidRPr="003F6316">
        <w:t xml:space="preserve">continued </w:t>
      </w:r>
      <w:r w:rsidRPr="003F6316">
        <w:t>until time point 1</w:t>
      </w:r>
      <w:r w:rsidR="00061345" w:rsidRPr="003F6316">
        <w:t xml:space="preserve"> </w:t>
      </w:r>
      <w:r w:rsidRPr="003F6316">
        <w:t xml:space="preserve">h, where peaks were very small and broad (Figure </w:t>
      </w:r>
      <w:r w:rsidR="00E178EF" w:rsidRPr="003F6316">
        <w:t xml:space="preserve">2 </w:t>
      </w:r>
      <w:r w:rsidRPr="003F6316">
        <w:t xml:space="preserve">(b)). At milling time of 2 hours, the </w:t>
      </w:r>
      <w:proofErr w:type="spellStart"/>
      <w:r w:rsidR="00061345" w:rsidRPr="003F6316">
        <w:t>diffractogram</w:t>
      </w:r>
      <w:proofErr w:type="spellEnd"/>
      <w:r w:rsidR="00061345" w:rsidRPr="003F6316">
        <w:t xml:space="preserve"> </w:t>
      </w:r>
      <w:r w:rsidRPr="003F6316">
        <w:t>presented small broaden</w:t>
      </w:r>
      <w:r w:rsidR="00061345" w:rsidRPr="003F6316">
        <w:t>ed</w:t>
      </w:r>
      <w:r w:rsidRPr="003F6316">
        <w:t xml:space="preserve"> peaks at different angles </w:t>
      </w:r>
      <w:r w:rsidR="00061345" w:rsidRPr="003F6316">
        <w:t xml:space="preserve">to those seen for </w:t>
      </w:r>
      <w:r w:rsidRPr="003F6316">
        <w:lastRenderedPageBreak/>
        <w:t xml:space="preserve">the previous time points and </w:t>
      </w:r>
      <w:r w:rsidR="00061345" w:rsidRPr="003F6316">
        <w:t>in</w:t>
      </w:r>
      <w:r w:rsidR="00EF2955" w:rsidRPr="003F6316">
        <w:t xml:space="preserve"> the</w:t>
      </w:r>
      <w:r w:rsidR="00061345" w:rsidRPr="003F6316">
        <w:t xml:space="preserve"> </w:t>
      </w:r>
      <w:r w:rsidRPr="003F6316">
        <w:t xml:space="preserve">initial state/form of the sample (Figure </w:t>
      </w:r>
      <w:r w:rsidR="00E178EF" w:rsidRPr="003F6316">
        <w:t>2</w:t>
      </w:r>
      <w:r w:rsidRPr="003F6316">
        <w:t xml:space="preserve">(e)). After three hours of milling the </w:t>
      </w:r>
      <w:r w:rsidR="00EF2955" w:rsidRPr="003F6316">
        <w:t xml:space="preserve">PXRD </w:t>
      </w:r>
      <w:r w:rsidRPr="003F6316">
        <w:t xml:space="preserve">pattern corresponded/overlaid with the polymorphic Form I pattern (Figure </w:t>
      </w:r>
      <w:r w:rsidR="00127ABA" w:rsidRPr="003F6316">
        <w:t>1</w:t>
      </w:r>
      <w:r w:rsidRPr="003F6316">
        <w:t xml:space="preserve">(f) and </w:t>
      </w:r>
      <w:r w:rsidR="00127ABA" w:rsidRPr="003F6316">
        <w:t>1</w:t>
      </w:r>
      <w:r w:rsidRPr="003F6316">
        <w:t xml:space="preserve">(g)). The characteristic peaks of the latter have been described in section 3.1. </w:t>
      </w:r>
    </w:p>
    <w:p w:rsidR="00127ABA" w:rsidRPr="003F6316" w:rsidRDefault="00127ABA" w:rsidP="00127ABA">
      <w:pPr>
        <w:spacing w:line="360" w:lineRule="auto"/>
        <w:jc w:val="both"/>
      </w:pPr>
      <w:r w:rsidRPr="003F6316">
        <w:t xml:space="preserve">DSC scans (Figure </w:t>
      </w:r>
      <w:r w:rsidR="00E178EF" w:rsidRPr="003F6316">
        <w:t>3</w:t>
      </w:r>
      <w:r w:rsidRPr="003F6316">
        <w:t>) also showed the polymorphic transition upon milling as the melting peak attributed to Form II significantly reduced</w:t>
      </w:r>
      <w:r w:rsidR="00061345" w:rsidRPr="003F6316">
        <w:t xml:space="preserve"> in enthalpy</w:t>
      </w:r>
      <w:r w:rsidRPr="003F6316">
        <w:t xml:space="preserve"> after 15 min milling (Figure </w:t>
      </w:r>
      <w:r w:rsidR="00E178EF" w:rsidRPr="003F6316">
        <w:t>3</w:t>
      </w:r>
      <w:r w:rsidRPr="003F6316">
        <w:t xml:space="preserve">(b)), with eventual disappearance at subsequent times, with </w:t>
      </w:r>
      <w:r w:rsidR="00061345" w:rsidRPr="003F6316">
        <w:t xml:space="preserve">only </w:t>
      </w:r>
      <w:r w:rsidRPr="003F6316">
        <w:t xml:space="preserve">residual transitions detectable in the range of 70 to 100 °C for the ball milling time intervals 30 minutes to 2 h (Figure </w:t>
      </w:r>
      <w:r w:rsidR="00E178EF" w:rsidRPr="003F6316">
        <w:t>3</w:t>
      </w:r>
      <w:r w:rsidRPr="003F6316">
        <w:t xml:space="preserve">(c) to </w:t>
      </w:r>
      <w:r w:rsidR="00E178EF" w:rsidRPr="003F6316">
        <w:t>3</w:t>
      </w:r>
      <w:r w:rsidRPr="003F6316">
        <w:t xml:space="preserve">(e)). After 3 h milling, only an endothermic event at </w:t>
      </w:r>
      <w:r w:rsidR="00061345" w:rsidRPr="003F6316">
        <w:t xml:space="preserve">approximately </w:t>
      </w:r>
      <w:r w:rsidRPr="003F6316">
        <w:t>125 °C was detected.</w:t>
      </w:r>
    </w:p>
    <w:p w:rsidR="008C1789" w:rsidRPr="003F6316" w:rsidRDefault="00127ABA" w:rsidP="008C1789">
      <w:pPr>
        <w:spacing w:line="360" w:lineRule="auto"/>
        <w:jc w:val="both"/>
      </w:pPr>
      <w:r w:rsidRPr="003F6316">
        <w:t>A</w:t>
      </w:r>
      <w:r w:rsidR="008C1789" w:rsidRPr="003F6316">
        <w:t xml:space="preserve">TR-FTIR scans (Figure </w:t>
      </w:r>
      <w:r w:rsidR="00E178EF" w:rsidRPr="003F6316">
        <w:t>4</w:t>
      </w:r>
      <w:r w:rsidR="008C1789" w:rsidRPr="003F6316">
        <w:t xml:space="preserve">) also showed the same trend </w:t>
      </w:r>
      <w:r w:rsidR="006366EC" w:rsidRPr="003F6316">
        <w:t xml:space="preserve">as </w:t>
      </w:r>
      <w:r w:rsidR="008C1789" w:rsidRPr="003F6316">
        <w:t xml:space="preserve">seen on </w:t>
      </w:r>
      <w:r w:rsidR="00EF2955" w:rsidRPr="003F6316">
        <w:t xml:space="preserve">PXRD </w:t>
      </w:r>
      <w:r w:rsidR="008C1789" w:rsidRPr="003F6316">
        <w:t xml:space="preserve">analysis, with band broadening as milling time increased, and </w:t>
      </w:r>
      <w:r w:rsidR="006366EC" w:rsidRPr="003F6316">
        <w:t xml:space="preserve">evidence </w:t>
      </w:r>
      <w:r w:rsidR="008C1789" w:rsidRPr="003F6316">
        <w:t xml:space="preserve">of bands </w:t>
      </w:r>
      <w:r w:rsidR="006366EC" w:rsidRPr="003F6316">
        <w:t>indicative of</w:t>
      </w:r>
      <w:r w:rsidR="008C1789" w:rsidRPr="003F6316">
        <w:t xml:space="preserve"> Form I at </w:t>
      </w:r>
      <w:r w:rsidR="000E0BC4" w:rsidRPr="003F6316">
        <w:t xml:space="preserve">a </w:t>
      </w:r>
      <w:r w:rsidR="008C1789" w:rsidRPr="003F6316">
        <w:t>milling time 2</w:t>
      </w:r>
      <w:r w:rsidR="006366EC" w:rsidRPr="003F6316">
        <w:t xml:space="preserve"> </w:t>
      </w:r>
      <w:r w:rsidR="008C1789" w:rsidRPr="003F6316">
        <w:t xml:space="preserve">h (Figure </w:t>
      </w:r>
      <w:r w:rsidR="00E178EF" w:rsidRPr="003F6316">
        <w:t>4</w:t>
      </w:r>
      <w:r w:rsidR="008C1789" w:rsidRPr="003F6316">
        <w:t>(e)). A shift of the carbamate band from 1694 cm</w:t>
      </w:r>
      <w:r w:rsidR="008C1789" w:rsidRPr="003F6316">
        <w:rPr>
          <w:vertAlign w:val="superscript"/>
        </w:rPr>
        <w:t>-1</w:t>
      </w:r>
      <w:r w:rsidR="008C1789" w:rsidRPr="003F6316">
        <w:t xml:space="preserve"> to</w:t>
      </w:r>
      <w:r w:rsidR="000E0BC4" w:rsidRPr="003F6316">
        <w:t xml:space="preserve"> a</w:t>
      </w:r>
      <w:r w:rsidR="008C1789" w:rsidRPr="003F6316">
        <w:t xml:space="preserve"> higher wavenumbe</w:t>
      </w:r>
      <w:r w:rsidR="000E0BC4" w:rsidRPr="003F6316">
        <w:t>r</w:t>
      </w:r>
      <w:r w:rsidR="008C1789" w:rsidRPr="003F6316">
        <w:t>, 1725 cm</w:t>
      </w:r>
      <w:r w:rsidR="008C1789" w:rsidRPr="003F6316">
        <w:rPr>
          <w:vertAlign w:val="superscript"/>
        </w:rPr>
        <w:t>-1</w:t>
      </w:r>
      <w:r w:rsidR="002333DA" w:rsidRPr="003F6316">
        <w:t>,</w:t>
      </w:r>
      <w:r w:rsidR="008C1789" w:rsidRPr="003F6316">
        <w:t xml:space="preserve"> was also seen. Finally it was observed that the absorbance of the amide region 3700-3500 cm</w:t>
      </w:r>
      <w:r w:rsidR="008C1789" w:rsidRPr="003F6316">
        <w:rPr>
          <w:vertAlign w:val="superscript"/>
        </w:rPr>
        <w:t>-1</w:t>
      </w:r>
      <w:r w:rsidR="008C1789" w:rsidRPr="003F6316">
        <w:t xml:space="preserve"> </w:t>
      </w:r>
      <w:r w:rsidR="000E0BC4" w:rsidRPr="003F6316">
        <w:t xml:space="preserve">was </w:t>
      </w:r>
      <w:r w:rsidR="008C1789" w:rsidRPr="003F6316">
        <w:t>also modified with the polymorphic transition.</w:t>
      </w:r>
    </w:p>
    <w:p w:rsidR="008C1789" w:rsidRPr="003F6316" w:rsidRDefault="008C1789" w:rsidP="008C1789">
      <w:pPr>
        <w:spacing w:line="360" w:lineRule="auto"/>
        <w:jc w:val="both"/>
      </w:pPr>
      <w:r w:rsidRPr="003F6316">
        <w:t>Continuous ball milling of RHT was also performed for 1, 2 and 3 h. All three experiments resulted in the conversion of RHT to the amorphous form</w:t>
      </w:r>
      <w:r w:rsidR="006366EC" w:rsidRPr="003F6316">
        <w:t>,</w:t>
      </w:r>
      <w:r w:rsidRPr="003F6316">
        <w:t xml:space="preserve"> as could be confirmed by </w:t>
      </w:r>
      <w:r w:rsidR="006366EC" w:rsidRPr="003F6316">
        <w:t xml:space="preserve">PXRD </w:t>
      </w:r>
      <w:r w:rsidRPr="003F6316">
        <w:t xml:space="preserve">and DSC (Figure </w:t>
      </w:r>
      <w:r w:rsidR="00E178EF" w:rsidRPr="003F6316">
        <w:t>7</w:t>
      </w:r>
      <w:r w:rsidRPr="003F6316">
        <w:t xml:space="preserve">). The glass transition temperature </w:t>
      </w:r>
      <w:r w:rsidR="00703E49" w:rsidRPr="003F6316">
        <w:t>(</w:t>
      </w:r>
      <w:proofErr w:type="spellStart"/>
      <w:r w:rsidR="00703E49" w:rsidRPr="003F6316">
        <w:t>T</w:t>
      </w:r>
      <w:r w:rsidR="00703E49" w:rsidRPr="003F6316">
        <w:rPr>
          <w:vertAlign w:val="subscript"/>
        </w:rPr>
        <w:t>g</w:t>
      </w:r>
      <w:proofErr w:type="spellEnd"/>
      <w:r w:rsidR="00703E49" w:rsidRPr="003F6316">
        <w:t xml:space="preserve">) </w:t>
      </w:r>
      <w:r w:rsidRPr="003F6316">
        <w:t>was found to vary between 15.4±1.29 °C and 17.4±2.57 °C, followed by an exothermic event between 52.4±2.08 °C and 57.6±2.06 °C (</w:t>
      </w:r>
      <w:proofErr w:type="spellStart"/>
      <w:r w:rsidRPr="003F6316">
        <w:t>ΔH</w:t>
      </w:r>
      <w:r w:rsidRPr="003F6316">
        <w:rPr>
          <w:vertAlign w:val="subscript"/>
        </w:rPr>
        <w:t>c</w:t>
      </w:r>
      <w:proofErr w:type="spellEnd"/>
      <w:r w:rsidR="000E0BC4" w:rsidRPr="003F6316">
        <w:t xml:space="preserve"> = </w:t>
      </w:r>
      <w:r w:rsidRPr="003F6316">
        <w:t>28.4-37.7 J/g). In the range 80-130°C endothermic events could be detected</w:t>
      </w:r>
      <w:r w:rsidR="006366EC" w:rsidRPr="003F6316">
        <w:t>,</w:t>
      </w:r>
      <w:r w:rsidRPr="003F6316">
        <w:t xml:space="preserve"> probably due to molecular rearrangement and melting.</w:t>
      </w:r>
      <w:r w:rsidR="00703E49" w:rsidRPr="003F6316">
        <w:t xml:space="preserve"> </w:t>
      </w:r>
    </w:p>
    <w:p w:rsidR="00A34FBF" w:rsidRPr="003F6316" w:rsidRDefault="00703E49" w:rsidP="008C1789">
      <w:pPr>
        <w:spacing w:line="360" w:lineRule="auto"/>
        <w:jc w:val="both"/>
      </w:pPr>
      <w:r w:rsidRPr="003F6316">
        <w:t xml:space="preserve">The amorphous RHT presents a glass transition of 38.2±0.27 °C when obtained by melt quenching (data not shown). The </w:t>
      </w:r>
      <w:proofErr w:type="spellStart"/>
      <w:r w:rsidR="000E0BC4" w:rsidRPr="003F6316">
        <w:t>T</w:t>
      </w:r>
      <w:r w:rsidR="000E0BC4" w:rsidRPr="003F6316">
        <w:rPr>
          <w:vertAlign w:val="subscript"/>
        </w:rPr>
        <w:t>g</w:t>
      </w:r>
      <w:proofErr w:type="spellEnd"/>
      <w:r w:rsidR="000E0BC4" w:rsidRPr="003F6316">
        <w:t xml:space="preserve"> </w:t>
      </w:r>
      <w:r w:rsidRPr="003F6316">
        <w:t xml:space="preserve">determined for the ball milled samples was very low, which </w:t>
      </w:r>
      <w:r w:rsidR="006366EC" w:rsidRPr="003F6316">
        <w:t>suggested that</w:t>
      </w:r>
      <w:r w:rsidRPr="003F6316">
        <w:t xml:space="preserve"> water vapour was being absorbed and </w:t>
      </w:r>
      <w:r w:rsidR="006366EC" w:rsidRPr="003F6316">
        <w:t xml:space="preserve">exerted </w:t>
      </w:r>
      <w:r w:rsidRPr="003F6316">
        <w:t xml:space="preserve">a plasticizing effect on samples </w:t>
      </w:r>
      <w:r w:rsidR="002333DA" w:rsidRPr="003F6316">
        <w:fldChar w:fldCharType="begin" w:fldLock="1"/>
      </w:r>
      <w:r w:rsidR="00364163" w:rsidRPr="003F6316">
        <w:instrText>ADDIN CSL_CITATION { "citationItems" : [ { "id" : "ITEM-1", "itemData" : { "DOI" : "10.1021/js9601896", "ISSN" : "0022-3549", "PMID" : "9002452", "abstract" : "The amorphous state is critical in determining the solid-state physical and chemical properties of many pharmaceutical dosage forms. This review describes the characteristics of the amorphous state and some of the most common methods that can be used to measure them. Examples of pharmaceutical situations where the presence of the amorphous state plays an important role are presented. The application of our current knowledge to pharmaceutical formulation problems is illustrated, and some strategies for working with amorphous character in pharmaceutical systems are provided.", "author" : [ { "dropping-particle" : "", "family" : "Hancock", "given" : "B C", "non-dropping-particle" : "", "parse-names" : false, "suffix" : "" }, { "dropping-particle" : "", "family" : "Zografi", "given" : "G", "non-dropping-particle" : "", "parse-names" : false, "suffix" : "" } ], "container-title" : "Journal of pharmaceutical sciences", "id" : "ITEM-1", "issue" : "1", "issued" : { "date-parts" : [ [ "1997", "1" ] ] }, "page" : "1-12", "title" : "Characteristics and significance of the amorphous state in pharmaceutical systems.", "type" : "article-journal", "volume" : "86" }, "uris" : [ "http://www.mendeley.com/documents/?uuid=bc43c8be-5d67-4479-971f-edd50fa5c8dd" ] }, { "id" : "ITEM-2", "itemData" : { "DOI" : "10.1016/j.ijpharm.2004.09.009", "author" : [ { "dropping-particle" : "", "family" : "Burnett", "given" : "DJ", "non-dropping-particle" : "", "parse-names" : false, "suffix" : "" }, { "dropping-particle" : "", "family" : "Thielmann", "given" : "F", "non-dropping-particle" : "", "parse-names" : false, "suffix" : "" }, { "dropping-particle" : "", "family" : "Booth", "given" : "J", "non-dropping-particle" : "", "parse-names" : false, "suffix" : "" } ], "container-title" : "International journal of pharmaceutics", "id" : "ITEM-2", "issued" : { "date-parts" : [ [ "2004" ] ] }, "page" : "123-133", "title" : "Determining the critical relative humidity for moisture-induced phase transitions", "type" : "article-journal", "volume" : "287" }, "uris" : [ "http://www.mendeley.com/documents/?uuid=6f305116-af42-4b03-ac1a-b78e370f9a92" ] } ], "mendeley" : { "previouslyFormattedCitation" : "&lt;sup&gt;[23,30]&lt;/sup&gt;" }, "properties" : { "noteIndex" : 0 }, "schema" : "https://github.com/citation-style-language/schema/raw/master/csl-citation.json" }</w:instrText>
      </w:r>
      <w:r w:rsidR="002333DA" w:rsidRPr="003F6316">
        <w:fldChar w:fldCharType="separate"/>
      </w:r>
      <w:r w:rsidR="00364163" w:rsidRPr="003F6316">
        <w:rPr>
          <w:noProof/>
          <w:vertAlign w:val="superscript"/>
        </w:rPr>
        <w:t>[23,30]</w:t>
      </w:r>
      <w:r w:rsidR="002333DA" w:rsidRPr="003F6316">
        <w:fldChar w:fldCharType="end"/>
      </w:r>
      <w:r w:rsidR="00DB2E72" w:rsidRPr="003F6316">
        <w:t>. The residual water content by TGA was 0.98±0.03 % w/w, 1.39±0.04 % w/w</w:t>
      </w:r>
      <w:r w:rsidR="009E2F85" w:rsidRPr="003F6316">
        <w:t xml:space="preserve"> and</w:t>
      </w:r>
      <w:r w:rsidR="00DB2E72" w:rsidRPr="003F6316">
        <w:t xml:space="preserve"> 1.29±0.06 % w/w for </w:t>
      </w:r>
      <w:r w:rsidR="000E0BC4" w:rsidRPr="003F6316">
        <w:t xml:space="preserve">samples which were </w:t>
      </w:r>
      <w:r w:rsidR="00DB2E72" w:rsidRPr="003F6316">
        <w:t xml:space="preserve">ball milled for 1, 2 and 3h respectively; </w:t>
      </w:r>
      <w:r w:rsidR="000E0BC4" w:rsidRPr="003F6316">
        <w:t xml:space="preserve">this water content was </w:t>
      </w:r>
      <w:r w:rsidR="00DB2E72" w:rsidRPr="003F6316">
        <w:t xml:space="preserve">2 fold </w:t>
      </w:r>
      <w:r w:rsidR="000E0BC4" w:rsidRPr="003F6316">
        <w:t xml:space="preserve">that </w:t>
      </w:r>
      <w:r w:rsidR="00DB2E72" w:rsidRPr="003F6316">
        <w:t>of the</w:t>
      </w:r>
      <w:r w:rsidR="009E2F85" w:rsidRPr="003F6316">
        <w:t xml:space="preserve"> </w:t>
      </w:r>
      <w:r w:rsidR="00DB2E72" w:rsidRPr="003F6316">
        <w:t>“as supplied” RHT (0.54±0.02 % w/w), confirming the suggested water vapour absorption by the samples.</w:t>
      </w:r>
      <w:r w:rsidRPr="003F6316">
        <w:t xml:space="preserve"> </w:t>
      </w:r>
      <w:r w:rsidR="00A34FBF" w:rsidRPr="003F6316">
        <w:t xml:space="preserve">Hence, </w:t>
      </w:r>
      <w:r w:rsidR="008C1789" w:rsidRPr="003F6316">
        <w:t xml:space="preserve">DVS was used to study the critical relative humidity for moisture-induced recrystallization of amorphous RHT to RHT polymorphic Form I. </w:t>
      </w:r>
    </w:p>
    <w:p w:rsidR="008C1789" w:rsidRPr="003F6316" w:rsidRDefault="008C1789" w:rsidP="008C1789">
      <w:pPr>
        <w:spacing w:line="360" w:lineRule="auto"/>
        <w:jc w:val="both"/>
      </w:pPr>
      <w:r w:rsidRPr="003F6316">
        <w:t xml:space="preserve">The amorphous RHT was </w:t>
      </w:r>
      <w:r w:rsidR="009E2F85" w:rsidRPr="003F6316">
        <w:t xml:space="preserve">dried </w:t>
      </w:r>
      <w:r w:rsidR="00DB2E72" w:rsidRPr="003F6316">
        <w:t xml:space="preserve">and </w:t>
      </w:r>
      <w:r w:rsidRPr="003F6316">
        <w:t>exposed to a linearly increasing relative humidity environment up to 90% RH at ramp rates between 2.5-40% RH</w:t>
      </w:r>
      <w:r w:rsidR="00200839" w:rsidRPr="003F6316">
        <w:t>/h</w:t>
      </w:r>
      <w:r w:rsidRPr="003F6316">
        <w:t xml:space="preserve">. The glass transition RH </w:t>
      </w:r>
      <w:r w:rsidR="001940DC" w:rsidRPr="003F6316">
        <w:t>(</w:t>
      </w:r>
      <w:proofErr w:type="spellStart"/>
      <w:r w:rsidR="001940DC" w:rsidRPr="003F6316">
        <w:t>RH</w:t>
      </w:r>
      <w:r w:rsidR="001940DC" w:rsidRPr="003F6316">
        <w:rPr>
          <w:vertAlign w:val="subscript"/>
        </w:rPr>
        <w:t>g</w:t>
      </w:r>
      <w:proofErr w:type="spellEnd"/>
      <w:r w:rsidR="001940DC" w:rsidRPr="003F6316">
        <w:t xml:space="preserve">) </w:t>
      </w:r>
      <w:r w:rsidRPr="003F6316">
        <w:t xml:space="preserve">was found to be 2.7±0.16 % RH and the (re)crystallisation RH was 34.4±0.02 %RH (Figure </w:t>
      </w:r>
      <w:r w:rsidR="00E178EF" w:rsidRPr="003F6316">
        <w:t>8</w:t>
      </w:r>
      <w:r w:rsidR="00E04D9B" w:rsidRPr="003F6316">
        <w:t>A</w:t>
      </w:r>
      <w:r w:rsidRPr="003F6316">
        <w:t xml:space="preserve">). The (re)crystallisation was confirmed by </w:t>
      </w:r>
      <w:r w:rsidR="006366EC" w:rsidRPr="003F6316">
        <w:t>PXRD</w:t>
      </w:r>
      <w:r w:rsidRPr="003F6316">
        <w:t xml:space="preserve">, with all </w:t>
      </w:r>
      <w:proofErr w:type="spellStart"/>
      <w:r w:rsidR="006366EC" w:rsidRPr="003F6316">
        <w:t>diffractograms</w:t>
      </w:r>
      <w:proofErr w:type="spellEnd"/>
      <w:r w:rsidR="006366EC" w:rsidRPr="003F6316">
        <w:t xml:space="preserve"> </w:t>
      </w:r>
      <w:r w:rsidRPr="003F6316">
        <w:t xml:space="preserve">showing the characteristic peaks of RHT Form I (Figure </w:t>
      </w:r>
      <w:r w:rsidR="00E178EF" w:rsidRPr="003F6316">
        <w:t>8</w:t>
      </w:r>
      <w:r w:rsidR="00E04D9B" w:rsidRPr="003F6316">
        <w:t>B</w:t>
      </w:r>
      <w:r w:rsidRPr="003F6316">
        <w:t>).</w:t>
      </w:r>
      <w:r w:rsidR="001E1CEA" w:rsidRPr="003F6316">
        <w:t xml:space="preserve"> </w:t>
      </w:r>
    </w:p>
    <w:p w:rsidR="008C1789" w:rsidRPr="003F6316" w:rsidRDefault="008C1789" w:rsidP="008C1789">
      <w:pPr>
        <w:spacing w:line="360" w:lineRule="auto"/>
        <w:jc w:val="both"/>
      </w:pPr>
      <w:r w:rsidRPr="003F6316">
        <w:lastRenderedPageBreak/>
        <w:t xml:space="preserve">To confirm the </w:t>
      </w:r>
      <w:proofErr w:type="spellStart"/>
      <w:r w:rsidRPr="003F6316">
        <w:t>RH</w:t>
      </w:r>
      <w:r w:rsidRPr="003F6316">
        <w:rPr>
          <w:vertAlign w:val="subscript"/>
        </w:rPr>
        <w:t>c</w:t>
      </w:r>
      <w:proofErr w:type="spellEnd"/>
      <w:r w:rsidRPr="003F6316">
        <w:t xml:space="preserve"> another DVS </w:t>
      </w:r>
      <w:r w:rsidR="000E0BC4" w:rsidRPr="003F6316">
        <w:t xml:space="preserve">study </w:t>
      </w:r>
      <w:r w:rsidRPr="003F6316">
        <w:t xml:space="preserve">was performed where the amorphous RHT was subjected to equilibration to a constant mass in the range 0-40% RH; recrystallization occurred in the step region 30-40% with a mass change of approximately of 3% (0.17 </w:t>
      </w:r>
      <w:proofErr w:type="spellStart"/>
      <w:r w:rsidRPr="003F6316">
        <w:t>mol</w:t>
      </w:r>
      <w:proofErr w:type="spellEnd"/>
      <w:r w:rsidRPr="003F6316">
        <w:t xml:space="preserve"> of H</w:t>
      </w:r>
      <w:r w:rsidRPr="003F6316">
        <w:rPr>
          <w:vertAlign w:val="subscript"/>
        </w:rPr>
        <w:t>2</w:t>
      </w:r>
      <w:r w:rsidRPr="003F6316">
        <w:t xml:space="preserve">O), confirming the initial studies (Figure </w:t>
      </w:r>
      <w:r w:rsidR="00E178EF" w:rsidRPr="003F6316">
        <w:t>8A</w:t>
      </w:r>
      <w:r w:rsidRPr="003F6316">
        <w:t>).</w:t>
      </w:r>
    </w:p>
    <w:p w:rsidR="001940DC" w:rsidRPr="003F6316" w:rsidRDefault="001940DC" w:rsidP="008C1789">
      <w:pPr>
        <w:spacing w:line="360" w:lineRule="auto"/>
        <w:jc w:val="both"/>
      </w:pPr>
      <w:r w:rsidRPr="003F6316">
        <w:t xml:space="preserve">The determined </w:t>
      </w:r>
      <w:proofErr w:type="spellStart"/>
      <w:r w:rsidRPr="003F6316">
        <w:t>RH</w:t>
      </w:r>
      <w:r w:rsidRPr="003F6316">
        <w:rPr>
          <w:vertAlign w:val="subscript"/>
        </w:rPr>
        <w:t>g</w:t>
      </w:r>
      <w:proofErr w:type="spellEnd"/>
      <w:r w:rsidRPr="003F6316">
        <w:t xml:space="preserve"> and </w:t>
      </w:r>
      <w:proofErr w:type="spellStart"/>
      <w:r w:rsidRPr="003F6316">
        <w:t>RH</w:t>
      </w:r>
      <w:r w:rsidRPr="003F6316">
        <w:rPr>
          <w:vertAlign w:val="subscript"/>
        </w:rPr>
        <w:t>c</w:t>
      </w:r>
      <w:proofErr w:type="spellEnd"/>
      <w:r w:rsidRPr="003F6316">
        <w:t xml:space="preserve"> </w:t>
      </w:r>
      <w:r w:rsidR="0018670A" w:rsidRPr="003F6316">
        <w:t>shows</w:t>
      </w:r>
      <w:r w:rsidRPr="003F6316">
        <w:t xml:space="preserve"> how sensitive to moisture</w:t>
      </w:r>
      <w:r w:rsidR="001E1CEA" w:rsidRPr="003F6316">
        <w:t xml:space="preserve"> and unstable</w:t>
      </w:r>
      <w:r w:rsidRPr="003F6316">
        <w:t xml:space="preserve"> the amorphous RHT is, with very small quantities of water vapour being required to plasticise and promote recrystallization into polymorphic </w:t>
      </w:r>
      <w:r w:rsidR="00AD2D67" w:rsidRPr="003F6316">
        <w:t>F</w:t>
      </w:r>
      <w:r w:rsidRPr="003F6316">
        <w:t xml:space="preserve">orm I. </w:t>
      </w:r>
      <w:r w:rsidR="003A6639" w:rsidRPr="003F6316">
        <w:t xml:space="preserve">High-energy ball milling (e.g. in planetary mills) can open new reaction paths. In fact ball milling is often used to induce </w:t>
      </w:r>
      <w:proofErr w:type="spellStart"/>
      <w:r w:rsidR="003A6639" w:rsidRPr="003F6316">
        <w:t>cocrystal</w:t>
      </w:r>
      <w:r w:rsidR="006D77E9" w:rsidRPr="003F6316">
        <w:t>lisation</w:t>
      </w:r>
      <w:proofErr w:type="spellEnd"/>
      <w:r w:rsidR="006D77E9" w:rsidRPr="003F6316">
        <w:t xml:space="preserve"> of APIs with </w:t>
      </w:r>
      <w:proofErr w:type="spellStart"/>
      <w:r w:rsidR="006D77E9" w:rsidRPr="003F6316">
        <w:t>coformers</w:t>
      </w:r>
      <w:proofErr w:type="spellEnd"/>
      <w:r w:rsidR="006D77E9" w:rsidRPr="003F6316">
        <w:rPr>
          <w:vertAlign w:val="superscript"/>
        </w:rPr>
        <w:t xml:space="preserve"> </w:t>
      </w:r>
      <w:r w:rsidR="00874D2F" w:rsidRPr="003F6316">
        <w:rPr>
          <w:vertAlign w:val="superscript"/>
        </w:rPr>
        <w:t>[</w:t>
      </w:r>
      <w:r w:rsidR="006D77E9" w:rsidRPr="003F6316">
        <w:rPr>
          <w:vertAlign w:val="superscript"/>
        </w:rPr>
        <w:t>31-33</w:t>
      </w:r>
      <w:r w:rsidR="00874D2F" w:rsidRPr="003F6316">
        <w:rPr>
          <w:vertAlign w:val="superscript"/>
        </w:rPr>
        <w:t>]</w:t>
      </w:r>
      <w:r w:rsidR="003A6639" w:rsidRPr="003F6316">
        <w:t>. Ball milling is also known to promote small levels of disorder or am</w:t>
      </w:r>
      <w:r w:rsidR="00CB664F" w:rsidRPr="003F6316">
        <w:t xml:space="preserve">orphous material formation </w:t>
      </w:r>
      <w:r w:rsidR="00874D2F" w:rsidRPr="003F6316">
        <w:rPr>
          <w:vertAlign w:val="superscript"/>
        </w:rPr>
        <w:t>[</w:t>
      </w:r>
      <w:r w:rsidR="00CB664F" w:rsidRPr="003F6316">
        <w:rPr>
          <w:vertAlign w:val="superscript"/>
        </w:rPr>
        <w:t>34-40</w:t>
      </w:r>
      <w:r w:rsidR="00874D2F" w:rsidRPr="003F6316">
        <w:rPr>
          <w:vertAlign w:val="superscript"/>
        </w:rPr>
        <w:t>]</w:t>
      </w:r>
      <w:r w:rsidR="003A6639" w:rsidRPr="003F6316">
        <w:t xml:space="preserve">. </w:t>
      </w:r>
      <w:r w:rsidRPr="003F6316">
        <w:t>T</w:t>
      </w:r>
      <w:r w:rsidR="002160B1" w:rsidRPr="003F6316">
        <w:t>herefore, the</w:t>
      </w:r>
      <w:r w:rsidRPr="003F6316">
        <w:t xml:space="preserve"> adsorption</w:t>
      </w:r>
      <w:r w:rsidR="002160B1" w:rsidRPr="003F6316">
        <w:t>/</w:t>
      </w:r>
      <w:r w:rsidRPr="003F6316">
        <w:t xml:space="preserve">absorption of water vapour </w:t>
      </w:r>
      <w:r w:rsidR="002160B1" w:rsidRPr="003F6316">
        <w:t>at the powder surface at each collection time</w:t>
      </w:r>
      <w:r w:rsidR="000E0BC4" w:rsidRPr="003F6316">
        <w:t xml:space="preserve"> in the milling sequence</w:t>
      </w:r>
      <w:r w:rsidR="002160B1" w:rsidRPr="003F6316">
        <w:t>,</w:t>
      </w:r>
      <w:r w:rsidRPr="003F6316">
        <w:t xml:space="preserve"> </w:t>
      </w:r>
      <w:r w:rsidR="002160B1" w:rsidRPr="003F6316">
        <w:t>led to the observed transition to the crystalline Form I.</w:t>
      </w:r>
    </w:p>
    <w:p w:rsidR="00E1196C" w:rsidRPr="003F6316" w:rsidRDefault="00E1196C" w:rsidP="008C1789">
      <w:pPr>
        <w:spacing w:line="360" w:lineRule="auto"/>
        <w:jc w:val="both"/>
      </w:pPr>
    </w:p>
    <w:p w:rsidR="001638DA" w:rsidRPr="003F6316" w:rsidRDefault="001638DA" w:rsidP="008C1789">
      <w:pPr>
        <w:pStyle w:val="ListParagraph"/>
        <w:numPr>
          <w:ilvl w:val="0"/>
          <w:numId w:val="1"/>
        </w:numPr>
        <w:spacing w:line="360" w:lineRule="auto"/>
        <w:jc w:val="both"/>
        <w:rPr>
          <w:b/>
        </w:rPr>
      </w:pPr>
      <w:r w:rsidRPr="003F6316">
        <w:rPr>
          <w:b/>
        </w:rPr>
        <w:t>CONCLUSIONS</w:t>
      </w:r>
    </w:p>
    <w:p w:rsidR="001638DA" w:rsidRPr="003F6316" w:rsidRDefault="00365F30" w:rsidP="00243CFD">
      <w:pPr>
        <w:spacing w:line="360" w:lineRule="auto"/>
        <w:jc w:val="both"/>
      </w:pPr>
      <w:r w:rsidRPr="003F6316">
        <w:t xml:space="preserve">The </w:t>
      </w:r>
      <w:r w:rsidR="000526F6" w:rsidRPr="003F6316">
        <w:t xml:space="preserve">current </w:t>
      </w:r>
      <w:r w:rsidRPr="003F6316">
        <w:t xml:space="preserve">study </w:t>
      </w:r>
      <w:r w:rsidR="000526F6" w:rsidRPr="003F6316">
        <w:t>presents</w:t>
      </w:r>
      <w:r w:rsidR="002567BE" w:rsidRPr="003F6316">
        <w:t xml:space="preserve"> for the first time </w:t>
      </w:r>
      <w:r w:rsidRPr="003F6316">
        <w:t xml:space="preserve">the stability of rivastigmine hydrogen tartrate, with full thermodynamic characterisation of </w:t>
      </w:r>
      <w:r w:rsidR="001638DA" w:rsidRPr="003F6316">
        <w:t xml:space="preserve">the polymorphic </w:t>
      </w:r>
      <w:r w:rsidRPr="003F6316">
        <w:t xml:space="preserve">transition. </w:t>
      </w:r>
      <w:r w:rsidR="001638DA" w:rsidRPr="003F6316">
        <w:t xml:space="preserve"> </w:t>
      </w:r>
      <w:r w:rsidRPr="003F6316">
        <w:t xml:space="preserve">The event </w:t>
      </w:r>
      <w:r w:rsidR="007C3A11" w:rsidRPr="003F6316">
        <w:t>Form</w:t>
      </w:r>
      <w:r w:rsidR="001638DA" w:rsidRPr="003F6316">
        <w:t xml:space="preserve"> II → </w:t>
      </w:r>
      <w:r w:rsidR="007C3A11" w:rsidRPr="003F6316">
        <w:t>Form</w:t>
      </w:r>
      <w:r w:rsidR="001638DA" w:rsidRPr="003F6316">
        <w:t xml:space="preserve"> I </w:t>
      </w:r>
      <w:r w:rsidRPr="003F6316">
        <w:t>is a</w:t>
      </w:r>
      <w:r w:rsidR="001638DA" w:rsidRPr="003F6316">
        <w:t xml:space="preserve"> spontaneous (ΔG</w:t>
      </w:r>
      <w:r w:rsidR="001638DA" w:rsidRPr="003F6316">
        <w:rPr>
          <w:vertAlign w:val="subscript"/>
        </w:rPr>
        <w:t>0</w:t>
      </w:r>
      <w:r w:rsidR="001638DA" w:rsidRPr="003F6316">
        <w:t>&lt;0)</w:t>
      </w:r>
      <w:r w:rsidRPr="003F6316">
        <w:t xml:space="preserve"> and exothermic (ΔH</w:t>
      </w:r>
      <w:r w:rsidRPr="003F6316">
        <w:rPr>
          <w:vertAlign w:val="subscript"/>
        </w:rPr>
        <w:t>0</w:t>
      </w:r>
      <w:r w:rsidRPr="003F6316">
        <w:t xml:space="preserve">&lt;0) process, </w:t>
      </w:r>
      <w:r w:rsidR="006366EC" w:rsidRPr="003F6316">
        <w:t xml:space="preserve">indicating that </w:t>
      </w:r>
      <w:r w:rsidRPr="003F6316">
        <w:t xml:space="preserve">the polymorphs </w:t>
      </w:r>
      <w:r w:rsidR="006366EC" w:rsidRPr="003F6316">
        <w:t xml:space="preserve">comprise </w:t>
      </w:r>
      <w:r w:rsidRPr="003F6316">
        <w:t xml:space="preserve">a </w:t>
      </w:r>
      <w:r w:rsidR="001638DA" w:rsidRPr="003F6316">
        <w:t xml:space="preserve">monotropic pair. </w:t>
      </w:r>
    </w:p>
    <w:p w:rsidR="00A50299" w:rsidRPr="003F6316" w:rsidRDefault="00A50299" w:rsidP="00243CFD">
      <w:pPr>
        <w:spacing w:line="360" w:lineRule="auto"/>
        <w:jc w:val="both"/>
      </w:pPr>
      <w:r w:rsidRPr="003F6316">
        <w:t>The kinetic studies showed a fast initial polymorphic transition characterised by a heterogeneous nucleation, followed by a slow crystal growth.</w:t>
      </w:r>
      <w:r w:rsidR="002567BE" w:rsidRPr="003F6316">
        <w:t xml:space="preserve"> The required energy for polymorphs formation was also calculated.</w:t>
      </w:r>
    </w:p>
    <w:p w:rsidR="006E6511" w:rsidRPr="003F6316" w:rsidRDefault="006E6511" w:rsidP="006E6511">
      <w:pPr>
        <w:spacing w:line="360" w:lineRule="auto"/>
        <w:jc w:val="both"/>
        <w:rPr>
          <w:color w:val="17365D"/>
        </w:rPr>
      </w:pPr>
      <w:r w:rsidRPr="003F6316">
        <w:t>Different polymorphic forms presented different crystalline morphologies, which may facilitate polymorph identification alongside PXRD, DSC and FTIR.</w:t>
      </w:r>
    </w:p>
    <w:p w:rsidR="002208AD" w:rsidRPr="003F6316" w:rsidRDefault="006366EC" w:rsidP="00243CFD">
      <w:pPr>
        <w:spacing w:line="360" w:lineRule="auto"/>
        <w:jc w:val="both"/>
      </w:pPr>
      <w:r w:rsidRPr="003F6316">
        <w:t>The a</w:t>
      </w:r>
      <w:r w:rsidR="002208AD" w:rsidRPr="003F6316">
        <w:t>morphous form of RHT can be produced via ball milling, however due to the low glass transition temperature RH and crystallisation RH, it is unstable and reverts to RHT polymorphic Form I. However</w:t>
      </w:r>
      <w:r w:rsidR="005E3B14" w:rsidRPr="003F6316">
        <w:t>,</w:t>
      </w:r>
      <w:r w:rsidR="002208AD" w:rsidRPr="003F6316">
        <w:t xml:space="preserve"> </w:t>
      </w:r>
      <w:r w:rsidR="007002FA" w:rsidRPr="003F6316">
        <w:t xml:space="preserve">such low </w:t>
      </w:r>
      <w:proofErr w:type="spellStart"/>
      <w:r w:rsidR="007002FA" w:rsidRPr="003F6316">
        <w:t>RH</w:t>
      </w:r>
      <w:r w:rsidR="007002FA" w:rsidRPr="003F6316">
        <w:rPr>
          <w:vertAlign w:val="subscript"/>
        </w:rPr>
        <w:t>g</w:t>
      </w:r>
      <w:proofErr w:type="spellEnd"/>
      <w:r w:rsidR="007002FA" w:rsidRPr="003F6316">
        <w:t xml:space="preserve"> and </w:t>
      </w:r>
      <w:proofErr w:type="spellStart"/>
      <w:r w:rsidR="007002FA" w:rsidRPr="003F6316">
        <w:t>RH</w:t>
      </w:r>
      <w:r w:rsidR="007002FA" w:rsidRPr="003F6316">
        <w:rPr>
          <w:vertAlign w:val="subscript"/>
        </w:rPr>
        <w:t>c</w:t>
      </w:r>
      <w:proofErr w:type="spellEnd"/>
      <w:r w:rsidR="002208AD" w:rsidRPr="003F6316">
        <w:t xml:space="preserve"> can be use</w:t>
      </w:r>
      <w:r w:rsidR="00B248E9" w:rsidRPr="003F6316">
        <w:t>ful</w:t>
      </w:r>
      <w:r w:rsidR="002208AD" w:rsidRPr="003F6316">
        <w:t xml:space="preserve"> to promote the transition of Form II to </w:t>
      </w:r>
      <w:proofErr w:type="gramStart"/>
      <w:r w:rsidR="002208AD" w:rsidRPr="003F6316">
        <w:t>I</w:t>
      </w:r>
      <w:proofErr w:type="gramEnd"/>
      <w:r w:rsidR="006E6511" w:rsidRPr="003F6316">
        <w:t xml:space="preserve"> via milling</w:t>
      </w:r>
      <w:r w:rsidR="002208AD" w:rsidRPr="003F6316">
        <w:t>, by exposing the milled material to ambient RH at defined time points.</w:t>
      </w:r>
    </w:p>
    <w:p w:rsidR="001638DA" w:rsidRPr="003F6316" w:rsidRDefault="002208AD" w:rsidP="00243CFD">
      <w:pPr>
        <w:spacing w:line="360" w:lineRule="auto"/>
        <w:jc w:val="both"/>
      </w:pPr>
      <w:r w:rsidRPr="003F6316">
        <w:t>F</w:t>
      </w:r>
      <w:r w:rsidR="001638DA" w:rsidRPr="003F6316">
        <w:t xml:space="preserve">or future formulation development </w:t>
      </w:r>
      <w:r w:rsidR="005E3B14" w:rsidRPr="003F6316">
        <w:t xml:space="preserve">and in order to comply with the regulatory authorities, </w:t>
      </w:r>
      <w:r w:rsidR="001638DA" w:rsidRPr="003F6316">
        <w:t xml:space="preserve">the identification of RHT polymorphic </w:t>
      </w:r>
      <w:r w:rsidR="005E3B14" w:rsidRPr="003F6316">
        <w:t>f</w:t>
      </w:r>
      <w:r w:rsidR="007C3A11" w:rsidRPr="003F6316">
        <w:t>orm</w:t>
      </w:r>
      <w:r w:rsidR="001638DA" w:rsidRPr="003F6316">
        <w:t xml:space="preserve"> is imperative.</w:t>
      </w:r>
    </w:p>
    <w:p w:rsidR="00E1196C" w:rsidRDefault="00E1196C" w:rsidP="00243CFD">
      <w:pPr>
        <w:spacing w:line="360" w:lineRule="auto"/>
        <w:jc w:val="both"/>
      </w:pPr>
    </w:p>
    <w:p w:rsidR="0050186C" w:rsidRPr="003F6316" w:rsidRDefault="0050186C" w:rsidP="00243CFD">
      <w:pPr>
        <w:spacing w:line="360" w:lineRule="auto"/>
        <w:jc w:val="both"/>
      </w:pPr>
    </w:p>
    <w:p w:rsidR="001638DA" w:rsidRPr="003F6316" w:rsidRDefault="001638DA" w:rsidP="00243CFD">
      <w:pPr>
        <w:spacing w:line="360" w:lineRule="auto"/>
        <w:jc w:val="both"/>
        <w:rPr>
          <w:b/>
        </w:rPr>
      </w:pPr>
      <w:r w:rsidRPr="003F6316">
        <w:rPr>
          <w:b/>
        </w:rPr>
        <w:lastRenderedPageBreak/>
        <w:t>ACKNOWLEDGEMENTS</w:t>
      </w:r>
    </w:p>
    <w:p w:rsidR="001638DA" w:rsidRPr="003F6316" w:rsidRDefault="001638DA" w:rsidP="000864AD">
      <w:pPr>
        <w:spacing w:line="360" w:lineRule="auto"/>
        <w:jc w:val="both"/>
      </w:pPr>
      <w:r w:rsidRPr="003F6316">
        <w:t>This material is based upon works supported by the Science Foundation Ireland under Grant No. 12/RC/2275</w:t>
      </w:r>
      <w:r w:rsidR="000864AD" w:rsidRPr="003F6316">
        <w:t xml:space="preserve"> and</w:t>
      </w:r>
      <w:r w:rsidRPr="003F6316">
        <w:t xml:space="preserve"> from FAPERJ (Rio de Janeiro, Brazil) and CAPES (Brasília, Brazil).</w:t>
      </w:r>
    </w:p>
    <w:p w:rsidR="002567BE" w:rsidRPr="003F6316" w:rsidRDefault="002567BE" w:rsidP="000864AD">
      <w:pPr>
        <w:spacing w:line="360" w:lineRule="auto"/>
        <w:jc w:val="both"/>
      </w:pPr>
    </w:p>
    <w:p w:rsidR="002567BE" w:rsidRPr="003F6316" w:rsidRDefault="002567BE" w:rsidP="000864AD">
      <w:pPr>
        <w:spacing w:line="360" w:lineRule="auto"/>
        <w:jc w:val="both"/>
        <w:rPr>
          <w:b/>
        </w:rPr>
      </w:pPr>
      <w:r w:rsidRPr="003F6316">
        <w:rPr>
          <w:b/>
        </w:rPr>
        <w:t>REFERENCES</w:t>
      </w:r>
    </w:p>
    <w:p w:rsidR="00364163" w:rsidRPr="003F6316" w:rsidRDefault="002333DA">
      <w:pPr>
        <w:pStyle w:val="NormalWeb"/>
        <w:ind w:left="640" w:hanging="640"/>
        <w:divId w:val="1343507937"/>
        <w:rPr>
          <w:rFonts w:ascii="Calibri" w:hAnsi="Calibri"/>
          <w:noProof/>
          <w:sz w:val="22"/>
        </w:rPr>
      </w:pPr>
      <w:r w:rsidRPr="003F6316">
        <w:rPr>
          <w:rFonts w:ascii="Calibri" w:eastAsia="Calibri" w:hAnsi="Calibri"/>
          <w:sz w:val="22"/>
          <w:szCs w:val="22"/>
          <w:lang w:eastAsia="en-US"/>
        </w:rPr>
        <w:fldChar w:fldCharType="begin" w:fldLock="1"/>
      </w:r>
      <w:r w:rsidR="005050B3" w:rsidRPr="003F6316">
        <w:instrText xml:space="preserve">ADDIN Mendeley Bibliography CSL_BIBLIOGRAPHY </w:instrText>
      </w:r>
      <w:r w:rsidRPr="003F6316">
        <w:rPr>
          <w:rFonts w:ascii="Calibri" w:eastAsia="Calibri" w:hAnsi="Calibri"/>
          <w:sz w:val="22"/>
          <w:szCs w:val="22"/>
          <w:lang w:eastAsia="en-US"/>
        </w:rPr>
        <w:fldChar w:fldCharType="separate"/>
      </w:r>
      <w:r w:rsidR="00364163" w:rsidRPr="003F6316">
        <w:rPr>
          <w:rFonts w:ascii="Calibri" w:hAnsi="Calibri"/>
          <w:noProof/>
          <w:sz w:val="22"/>
        </w:rPr>
        <w:t xml:space="preserve">1. </w:t>
      </w:r>
      <w:r w:rsidR="00364163" w:rsidRPr="003F6316">
        <w:rPr>
          <w:rFonts w:ascii="Calibri" w:hAnsi="Calibri"/>
          <w:noProof/>
          <w:sz w:val="22"/>
        </w:rPr>
        <w:tab/>
        <w:t xml:space="preserve">Ogorka J, Kalb O. New controlled release oral formulations for rivastigmine. </w:t>
      </w:r>
      <w:r w:rsidR="00364163" w:rsidRPr="003F6316">
        <w:rPr>
          <w:rFonts w:ascii="Calibri" w:hAnsi="Calibri"/>
          <w:i/>
          <w:iCs/>
          <w:noProof/>
          <w:sz w:val="22"/>
        </w:rPr>
        <w:t>EP Pat 1,121,104</w:t>
      </w:r>
      <w:r w:rsidR="00364163" w:rsidRPr="003F6316">
        <w:rPr>
          <w:rFonts w:ascii="Calibri" w:hAnsi="Calibri"/>
          <w:noProof/>
          <w:sz w:val="22"/>
        </w:rPr>
        <w:t xml:space="preserve"> 2005.</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 </w:t>
      </w:r>
      <w:r w:rsidRPr="003F6316">
        <w:rPr>
          <w:rFonts w:ascii="Calibri" w:hAnsi="Calibri"/>
          <w:noProof/>
          <w:sz w:val="22"/>
        </w:rPr>
        <w:tab/>
        <w:t xml:space="preserve">Kapil R </w:t>
      </w:r>
      <w:r w:rsidRPr="003F6316">
        <w:rPr>
          <w:rFonts w:ascii="Calibri" w:hAnsi="Calibri"/>
          <w:i/>
          <w:iCs/>
          <w:noProof/>
          <w:sz w:val="22"/>
        </w:rPr>
        <w:t>et al.</w:t>
      </w:r>
      <w:r w:rsidRPr="003F6316">
        <w:rPr>
          <w:rFonts w:ascii="Calibri" w:hAnsi="Calibri"/>
          <w:noProof/>
          <w:sz w:val="22"/>
        </w:rPr>
        <w:t xml:space="preserve"> Buccoadhesive films for once-a-day administration of rivastigmine: systematic formulation development and pharmacokinetic evaluation. </w:t>
      </w:r>
      <w:r w:rsidRPr="003F6316">
        <w:rPr>
          <w:rFonts w:ascii="Calibri" w:hAnsi="Calibri"/>
          <w:i/>
          <w:iCs/>
          <w:noProof/>
          <w:sz w:val="22"/>
        </w:rPr>
        <w:t>Drug Dev Ind Pharm</w:t>
      </w:r>
      <w:r w:rsidRPr="003F6316">
        <w:rPr>
          <w:rFonts w:ascii="Calibri" w:hAnsi="Calibri"/>
          <w:noProof/>
          <w:sz w:val="22"/>
        </w:rPr>
        <w:t xml:space="preserve"> 2013; 39(3): 466–80. doi:10.3109/03639045.2012.665926.</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3. </w:t>
      </w:r>
      <w:r w:rsidRPr="003F6316">
        <w:rPr>
          <w:rFonts w:ascii="Calibri" w:hAnsi="Calibri"/>
          <w:noProof/>
          <w:sz w:val="22"/>
        </w:rPr>
        <w:tab/>
        <w:t xml:space="preserve">Mutlu NB </w:t>
      </w:r>
      <w:r w:rsidRPr="003F6316">
        <w:rPr>
          <w:rFonts w:ascii="Calibri" w:hAnsi="Calibri"/>
          <w:i/>
          <w:iCs/>
          <w:noProof/>
          <w:sz w:val="22"/>
        </w:rPr>
        <w:t>et al.</w:t>
      </w:r>
      <w:r w:rsidRPr="003F6316">
        <w:rPr>
          <w:rFonts w:ascii="Calibri" w:hAnsi="Calibri"/>
          <w:noProof/>
          <w:sz w:val="22"/>
        </w:rPr>
        <w:t xml:space="preserve"> New perspective for the treatment of Alzheimer diseases: liposomal rivastigmine formulations. </w:t>
      </w:r>
      <w:r w:rsidRPr="003F6316">
        <w:rPr>
          <w:rFonts w:ascii="Calibri" w:hAnsi="Calibri"/>
          <w:i/>
          <w:iCs/>
          <w:noProof/>
          <w:sz w:val="22"/>
        </w:rPr>
        <w:t>Drug Dev Ind Pharm</w:t>
      </w:r>
      <w:r w:rsidRPr="003F6316">
        <w:rPr>
          <w:rFonts w:ascii="Calibri" w:hAnsi="Calibri"/>
          <w:noProof/>
          <w:sz w:val="22"/>
        </w:rPr>
        <w:t xml:space="preserve"> 2011; 37(7): 775–89. doi:10.3109/03639045.2010.541262.</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4. </w:t>
      </w:r>
      <w:r w:rsidRPr="003F6316">
        <w:rPr>
          <w:rFonts w:ascii="Calibri" w:hAnsi="Calibri"/>
          <w:noProof/>
          <w:sz w:val="22"/>
        </w:rPr>
        <w:tab/>
        <w:t xml:space="preserve">Scialabba C </w:t>
      </w:r>
      <w:r w:rsidRPr="003F6316">
        <w:rPr>
          <w:rFonts w:ascii="Calibri" w:hAnsi="Calibri"/>
          <w:i/>
          <w:iCs/>
          <w:noProof/>
          <w:sz w:val="22"/>
        </w:rPr>
        <w:t>et al.</w:t>
      </w:r>
      <w:r w:rsidRPr="003F6316">
        <w:rPr>
          <w:rFonts w:ascii="Calibri" w:hAnsi="Calibri"/>
          <w:noProof/>
          <w:sz w:val="22"/>
        </w:rPr>
        <w:t xml:space="preserve"> Amphiphilic polyaspartamide copolymer-based micelles for rivastigmine delivery to neuronal cells. </w:t>
      </w:r>
      <w:r w:rsidRPr="003F6316">
        <w:rPr>
          <w:rFonts w:ascii="Calibri" w:hAnsi="Calibri"/>
          <w:i/>
          <w:iCs/>
          <w:noProof/>
          <w:sz w:val="22"/>
        </w:rPr>
        <w:t>Drug Deliv</w:t>
      </w:r>
      <w:r w:rsidRPr="003F6316">
        <w:rPr>
          <w:rFonts w:ascii="Calibri" w:hAnsi="Calibri"/>
          <w:noProof/>
          <w:sz w:val="22"/>
        </w:rPr>
        <w:t xml:space="preserve"> 2012; 19(6): 307–16. doi:10.3109/10717544.2012.714813.</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5. </w:t>
      </w:r>
      <w:r w:rsidRPr="003F6316">
        <w:rPr>
          <w:rFonts w:ascii="Calibri" w:hAnsi="Calibri"/>
          <w:noProof/>
          <w:sz w:val="22"/>
        </w:rPr>
        <w:tab/>
        <w:t xml:space="preserve">Yang Z-Z </w:t>
      </w:r>
      <w:r w:rsidRPr="003F6316">
        <w:rPr>
          <w:rFonts w:ascii="Calibri" w:hAnsi="Calibri"/>
          <w:i/>
          <w:iCs/>
          <w:noProof/>
          <w:sz w:val="22"/>
        </w:rPr>
        <w:t>et al.</w:t>
      </w:r>
      <w:r w:rsidRPr="003F6316">
        <w:rPr>
          <w:rFonts w:ascii="Calibri" w:hAnsi="Calibri"/>
          <w:noProof/>
          <w:sz w:val="22"/>
        </w:rPr>
        <w:t xml:space="preserve"> Enhanced brain distribution and pharmacodynamics of rivastigmine by liposomes following intranasal administration. </w:t>
      </w:r>
      <w:r w:rsidRPr="003F6316">
        <w:rPr>
          <w:rFonts w:ascii="Calibri" w:hAnsi="Calibri"/>
          <w:i/>
          <w:iCs/>
          <w:noProof/>
          <w:sz w:val="22"/>
        </w:rPr>
        <w:t>Int J Pharm</w:t>
      </w:r>
      <w:r w:rsidRPr="003F6316">
        <w:rPr>
          <w:rFonts w:ascii="Calibri" w:hAnsi="Calibri"/>
          <w:noProof/>
          <w:sz w:val="22"/>
        </w:rPr>
        <w:t xml:space="preserve"> 2013; 452(1-2): 344–54. doi:10.1016/j.ijpharm.2013.05.009.</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6. </w:t>
      </w:r>
      <w:r w:rsidRPr="003F6316">
        <w:rPr>
          <w:rFonts w:ascii="Calibri" w:hAnsi="Calibri"/>
          <w:noProof/>
          <w:sz w:val="22"/>
        </w:rPr>
        <w:tab/>
        <w:t xml:space="preserve">Craparo EF </w:t>
      </w:r>
      <w:r w:rsidRPr="003F6316">
        <w:rPr>
          <w:rFonts w:ascii="Calibri" w:hAnsi="Calibri"/>
          <w:i/>
          <w:iCs/>
          <w:noProof/>
          <w:sz w:val="22"/>
        </w:rPr>
        <w:t>et al.</w:t>
      </w:r>
      <w:r w:rsidRPr="003F6316">
        <w:rPr>
          <w:rFonts w:ascii="Calibri" w:hAnsi="Calibri"/>
          <w:noProof/>
          <w:sz w:val="22"/>
        </w:rPr>
        <w:t xml:space="preserve"> A nanoparticulate drug-delivery system for rivastigmine: physico-chemical and in vitro biological characterization. </w:t>
      </w:r>
      <w:r w:rsidRPr="003F6316">
        <w:rPr>
          <w:rFonts w:ascii="Calibri" w:hAnsi="Calibri"/>
          <w:i/>
          <w:iCs/>
          <w:noProof/>
          <w:sz w:val="22"/>
        </w:rPr>
        <w:t>Macromol Biosci</w:t>
      </w:r>
      <w:r w:rsidRPr="003F6316">
        <w:rPr>
          <w:rFonts w:ascii="Calibri" w:hAnsi="Calibri"/>
          <w:noProof/>
          <w:sz w:val="22"/>
        </w:rPr>
        <w:t xml:space="preserve"> 2008; 8(3): 247–59. doi:10.1002/mabi.200700165.</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7. </w:t>
      </w:r>
      <w:r w:rsidRPr="003F6316">
        <w:rPr>
          <w:rFonts w:ascii="Calibri" w:hAnsi="Calibri"/>
          <w:noProof/>
          <w:sz w:val="22"/>
        </w:rPr>
        <w:tab/>
        <w:t xml:space="preserve">Wilson B </w:t>
      </w:r>
      <w:r w:rsidRPr="003F6316">
        <w:rPr>
          <w:rFonts w:ascii="Calibri" w:hAnsi="Calibri"/>
          <w:i/>
          <w:iCs/>
          <w:noProof/>
          <w:sz w:val="22"/>
        </w:rPr>
        <w:t>et al.</w:t>
      </w:r>
      <w:r w:rsidRPr="003F6316">
        <w:rPr>
          <w:rFonts w:ascii="Calibri" w:hAnsi="Calibri"/>
          <w:noProof/>
          <w:sz w:val="22"/>
        </w:rPr>
        <w:t xml:space="preserve"> Poly(n-butylcyanoacrylate) nanoparticles coated with polysorbate 80 for the targeted delivery of rivastigmine into the brain to treat Alzheimer’s disease. </w:t>
      </w:r>
      <w:r w:rsidRPr="003F6316">
        <w:rPr>
          <w:rFonts w:ascii="Calibri" w:hAnsi="Calibri"/>
          <w:i/>
          <w:iCs/>
          <w:noProof/>
          <w:sz w:val="22"/>
        </w:rPr>
        <w:t>Brain Res</w:t>
      </w:r>
      <w:r w:rsidRPr="003F6316">
        <w:rPr>
          <w:rFonts w:ascii="Calibri" w:hAnsi="Calibri"/>
          <w:noProof/>
          <w:sz w:val="22"/>
        </w:rPr>
        <w:t xml:space="preserve"> 2008; 1200: 159–68. doi:10.1016/j.brainres.2008.01.039.</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8. </w:t>
      </w:r>
      <w:r w:rsidRPr="003F6316">
        <w:rPr>
          <w:rFonts w:ascii="Calibri" w:hAnsi="Calibri"/>
          <w:noProof/>
          <w:sz w:val="22"/>
        </w:rPr>
        <w:tab/>
        <w:t xml:space="preserve">Joshi S a </w:t>
      </w:r>
      <w:r w:rsidRPr="003F6316">
        <w:rPr>
          <w:rFonts w:ascii="Calibri" w:hAnsi="Calibri"/>
          <w:i/>
          <w:iCs/>
          <w:noProof/>
          <w:sz w:val="22"/>
        </w:rPr>
        <w:t>et al.</w:t>
      </w:r>
      <w:r w:rsidRPr="003F6316">
        <w:rPr>
          <w:rFonts w:ascii="Calibri" w:hAnsi="Calibri"/>
          <w:noProof/>
          <w:sz w:val="22"/>
        </w:rPr>
        <w:t xml:space="preserve"> Rivastigmine-loaded PLGA and PBCA nanoparticles: preparation, optimization, characterization, in vitro and pharmacodynamic studies. </w:t>
      </w:r>
      <w:r w:rsidRPr="003F6316">
        <w:rPr>
          <w:rFonts w:ascii="Calibri" w:hAnsi="Calibri"/>
          <w:i/>
          <w:iCs/>
          <w:noProof/>
          <w:sz w:val="22"/>
        </w:rPr>
        <w:t>Eur J Pharm Biopharm</w:t>
      </w:r>
      <w:r w:rsidRPr="003F6316">
        <w:rPr>
          <w:rFonts w:ascii="Calibri" w:hAnsi="Calibri"/>
          <w:noProof/>
          <w:sz w:val="22"/>
        </w:rPr>
        <w:t xml:space="preserve"> 2010; 76(2): 189–99. doi:10.1016/j.ejpb.2010.07.007.</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9. </w:t>
      </w:r>
      <w:r w:rsidRPr="003F6316">
        <w:rPr>
          <w:rFonts w:ascii="Calibri" w:hAnsi="Calibri"/>
          <w:noProof/>
          <w:sz w:val="22"/>
        </w:rPr>
        <w:tab/>
        <w:t xml:space="preserve">Fazil M </w:t>
      </w:r>
      <w:r w:rsidRPr="003F6316">
        <w:rPr>
          <w:rFonts w:ascii="Calibri" w:hAnsi="Calibri"/>
          <w:i/>
          <w:iCs/>
          <w:noProof/>
          <w:sz w:val="22"/>
        </w:rPr>
        <w:t>et al.</w:t>
      </w:r>
      <w:r w:rsidRPr="003F6316">
        <w:rPr>
          <w:rFonts w:ascii="Calibri" w:hAnsi="Calibri"/>
          <w:noProof/>
          <w:sz w:val="22"/>
        </w:rPr>
        <w:t xml:space="preserve"> Development and evaluation of rivastigmine loaded chitosan nanoparticles for brain targeting. </w:t>
      </w:r>
      <w:r w:rsidRPr="003F6316">
        <w:rPr>
          <w:rFonts w:ascii="Calibri" w:hAnsi="Calibri"/>
          <w:i/>
          <w:iCs/>
          <w:noProof/>
          <w:sz w:val="22"/>
        </w:rPr>
        <w:t>Eur J Pharm Sci</w:t>
      </w:r>
      <w:r w:rsidRPr="003F6316">
        <w:rPr>
          <w:rFonts w:ascii="Calibri" w:hAnsi="Calibri"/>
          <w:noProof/>
          <w:sz w:val="22"/>
        </w:rPr>
        <w:t xml:space="preserve"> 2012; 47(1): 6–15. doi:10.1016/j.ejps.2012.04.013.</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10. </w:t>
      </w:r>
      <w:r w:rsidRPr="003F6316">
        <w:rPr>
          <w:rFonts w:ascii="Calibri" w:hAnsi="Calibri"/>
          <w:noProof/>
          <w:sz w:val="22"/>
        </w:rPr>
        <w:tab/>
        <w:t xml:space="preserve">Nagpal K </w:t>
      </w:r>
      <w:r w:rsidRPr="003F6316">
        <w:rPr>
          <w:rFonts w:ascii="Calibri" w:hAnsi="Calibri"/>
          <w:i/>
          <w:iCs/>
          <w:noProof/>
          <w:sz w:val="22"/>
        </w:rPr>
        <w:t>et al.</w:t>
      </w:r>
      <w:r w:rsidRPr="003F6316">
        <w:rPr>
          <w:rFonts w:ascii="Calibri" w:hAnsi="Calibri"/>
          <w:noProof/>
          <w:sz w:val="22"/>
        </w:rPr>
        <w:t xml:space="preserve"> Optimization of brain targeted chitosan nanoparticles of Rivastigmine for improved efficacy and safety. </w:t>
      </w:r>
      <w:r w:rsidRPr="003F6316">
        <w:rPr>
          <w:rFonts w:ascii="Calibri" w:hAnsi="Calibri"/>
          <w:i/>
          <w:iCs/>
          <w:noProof/>
          <w:sz w:val="22"/>
        </w:rPr>
        <w:t>Int J Biol Macromol</w:t>
      </w:r>
      <w:r w:rsidRPr="003F6316">
        <w:rPr>
          <w:rFonts w:ascii="Calibri" w:hAnsi="Calibri"/>
          <w:noProof/>
          <w:sz w:val="22"/>
        </w:rPr>
        <w:t xml:space="preserve"> 2013; 59: 72–83. doi:10.1016/j.ijbiomac.2013.04.024.</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11. </w:t>
      </w:r>
      <w:r w:rsidRPr="003F6316">
        <w:rPr>
          <w:rFonts w:ascii="Calibri" w:hAnsi="Calibri"/>
          <w:noProof/>
          <w:sz w:val="22"/>
        </w:rPr>
        <w:tab/>
        <w:t xml:space="preserve">Ismail M. Potential therapeutic effect of nanobased formulation of rivastigmine on rat model of Alzheimer’s disease. </w:t>
      </w:r>
      <w:r w:rsidRPr="003F6316">
        <w:rPr>
          <w:rFonts w:ascii="Calibri" w:hAnsi="Calibri"/>
          <w:i/>
          <w:iCs/>
          <w:noProof/>
          <w:sz w:val="22"/>
        </w:rPr>
        <w:t>Int J Nanomedicine</w:t>
      </w:r>
      <w:r w:rsidRPr="003F6316">
        <w:rPr>
          <w:rFonts w:ascii="Calibri" w:hAnsi="Calibri"/>
          <w:noProof/>
          <w:sz w:val="22"/>
        </w:rPr>
        <w:t xml:space="preserve"> 2013: 393–406.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lastRenderedPageBreak/>
        <w:t xml:space="preserve">12. </w:t>
      </w:r>
      <w:r w:rsidRPr="003F6316">
        <w:rPr>
          <w:rFonts w:ascii="Calibri" w:hAnsi="Calibri"/>
          <w:noProof/>
          <w:sz w:val="22"/>
        </w:rPr>
        <w:tab/>
        <w:t xml:space="preserve">Williams B </w:t>
      </w:r>
      <w:r w:rsidRPr="003F6316">
        <w:rPr>
          <w:rFonts w:ascii="Calibri" w:hAnsi="Calibri"/>
          <w:i/>
          <w:iCs/>
          <w:noProof/>
          <w:sz w:val="22"/>
        </w:rPr>
        <w:t>et al.</w:t>
      </w:r>
      <w:r w:rsidRPr="003F6316">
        <w:rPr>
          <w:rFonts w:ascii="Calibri" w:hAnsi="Calibri"/>
          <w:noProof/>
          <w:sz w:val="22"/>
        </w:rPr>
        <w:t xml:space="preserve"> A review of rivastigmine: a reversible cholinesterase inhibitor. </w:t>
      </w:r>
      <w:r w:rsidRPr="003F6316">
        <w:rPr>
          <w:rFonts w:ascii="Calibri" w:hAnsi="Calibri"/>
          <w:i/>
          <w:iCs/>
          <w:noProof/>
          <w:sz w:val="22"/>
        </w:rPr>
        <w:t>Clin Ther</w:t>
      </w:r>
      <w:r w:rsidRPr="003F6316">
        <w:rPr>
          <w:rFonts w:ascii="Calibri" w:hAnsi="Calibri"/>
          <w:noProof/>
          <w:sz w:val="22"/>
        </w:rPr>
        <w:t xml:space="preserve"> 2003: 1634–1653.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13. </w:t>
      </w:r>
      <w:r w:rsidRPr="003F6316">
        <w:rPr>
          <w:rFonts w:ascii="Calibri" w:hAnsi="Calibri"/>
          <w:noProof/>
          <w:sz w:val="22"/>
        </w:rPr>
        <w:tab/>
        <w:t xml:space="preserve">Agid Y </w:t>
      </w:r>
      <w:r w:rsidRPr="003F6316">
        <w:rPr>
          <w:rFonts w:ascii="Calibri" w:hAnsi="Calibri"/>
          <w:i/>
          <w:iCs/>
          <w:noProof/>
          <w:sz w:val="22"/>
        </w:rPr>
        <w:t>et al.</w:t>
      </w:r>
      <w:r w:rsidRPr="003F6316">
        <w:rPr>
          <w:rFonts w:ascii="Calibri" w:hAnsi="Calibri"/>
          <w:noProof/>
          <w:sz w:val="22"/>
        </w:rPr>
        <w:t xml:space="preserve"> Efficacy and tolerability of rivastigmine in patients with dementia of the Alzheimer type. </w:t>
      </w:r>
      <w:r w:rsidRPr="003F6316">
        <w:rPr>
          <w:rFonts w:ascii="Calibri" w:hAnsi="Calibri"/>
          <w:i/>
          <w:iCs/>
          <w:noProof/>
          <w:sz w:val="22"/>
        </w:rPr>
        <w:t>Curr Ther Res</w:t>
      </w:r>
      <w:r w:rsidRPr="003F6316">
        <w:rPr>
          <w:rFonts w:ascii="Calibri" w:hAnsi="Calibri"/>
          <w:noProof/>
          <w:sz w:val="22"/>
        </w:rPr>
        <w:t xml:space="preserve"> 1998; 59(12): 837–845.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14. </w:t>
      </w:r>
      <w:r w:rsidRPr="003F6316">
        <w:rPr>
          <w:rFonts w:ascii="Calibri" w:hAnsi="Calibri"/>
          <w:noProof/>
          <w:sz w:val="22"/>
        </w:rPr>
        <w:tab/>
        <w:t xml:space="preserve">Polinsky RJ. Clinical pharmacology of rivastigmine: a new-generation acetylcholinesterase inhibitor for the treatment of alzheimer’s disease. </w:t>
      </w:r>
      <w:r w:rsidRPr="003F6316">
        <w:rPr>
          <w:rFonts w:ascii="Calibri" w:hAnsi="Calibri"/>
          <w:i/>
          <w:iCs/>
          <w:noProof/>
          <w:sz w:val="22"/>
        </w:rPr>
        <w:t>Clin Ther</w:t>
      </w:r>
      <w:r w:rsidRPr="003F6316">
        <w:rPr>
          <w:rFonts w:ascii="Calibri" w:hAnsi="Calibri"/>
          <w:noProof/>
          <w:sz w:val="22"/>
        </w:rPr>
        <w:t xml:space="preserve"> 1998; 20(4): 634–647. doi:10.1016/S0149-2918(98)80127-6.</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15. </w:t>
      </w:r>
      <w:r w:rsidRPr="003F6316">
        <w:rPr>
          <w:rFonts w:ascii="Calibri" w:hAnsi="Calibri"/>
          <w:noProof/>
          <w:sz w:val="22"/>
        </w:rPr>
        <w:tab/>
        <w:t xml:space="preserve">Benkic P </w:t>
      </w:r>
      <w:r w:rsidRPr="003F6316">
        <w:rPr>
          <w:rFonts w:ascii="Calibri" w:hAnsi="Calibri"/>
          <w:i/>
          <w:iCs/>
          <w:noProof/>
          <w:sz w:val="22"/>
        </w:rPr>
        <w:t>et al.</w:t>
      </w:r>
      <w:r w:rsidRPr="003F6316">
        <w:rPr>
          <w:rFonts w:ascii="Calibri" w:hAnsi="Calibri"/>
          <w:noProof/>
          <w:sz w:val="22"/>
        </w:rPr>
        <w:t xml:space="preserve"> Amorphous and crystalline forms of rivastigmine hydrogentartrate. </w:t>
      </w:r>
      <w:r w:rsidRPr="003F6316">
        <w:rPr>
          <w:rFonts w:ascii="Calibri" w:hAnsi="Calibri"/>
          <w:i/>
          <w:iCs/>
          <w:noProof/>
          <w:sz w:val="22"/>
        </w:rPr>
        <w:t>EP Pat …</w:t>
      </w:r>
      <w:r w:rsidRPr="003F6316">
        <w:rPr>
          <w:rFonts w:ascii="Calibri" w:hAnsi="Calibri"/>
          <w:noProof/>
          <w:sz w:val="22"/>
        </w:rPr>
        <w:t xml:space="preserve"> 2008; 1(19): 1–30.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16. </w:t>
      </w:r>
      <w:r w:rsidRPr="003F6316">
        <w:rPr>
          <w:rFonts w:ascii="Calibri" w:hAnsi="Calibri"/>
          <w:noProof/>
          <w:sz w:val="22"/>
        </w:rPr>
        <w:tab/>
        <w:t xml:space="preserve">Overeem A, Vinent H. Polymorphs of rivastigmine hydrogentartrate. </w:t>
      </w:r>
      <w:r w:rsidRPr="003F6316">
        <w:rPr>
          <w:rFonts w:ascii="Calibri" w:hAnsi="Calibri"/>
          <w:i/>
          <w:iCs/>
          <w:noProof/>
          <w:sz w:val="22"/>
        </w:rPr>
        <w:t>US Pat App 12/044,626</w:t>
      </w:r>
      <w:r w:rsidRPr="003F6316">
        <w:rPr>
          <w:rFonts w:ascii="Calibri" w:hAnsi="Calibri"/>
          <w:noProof/>
          <w:sz w:val="22"/>
        </w:rPr>
        <w:t xml:space="preserve"> 2008; 1111(19): 0–11.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17. </w:t>
      </w:r>
      <w:r w:rsidRPr="003F6316">
        <w:rPr>
          <w:rFonts w:ascii="Calibri" w:hAnsi="Calibri"/>
          <w:noProof/>
          <w:sz w:val="22"/>
        </w:rPr>
        <w:tab/>
        <w:t xml:space="preserve">Craig DQM, Reading M. </w:t>
      </w:r>
      <w:r w:rsidRPr="003F6316">
        <w:rPr>
          <w:rFonts w:ascii="Calibri" w:hAnsi="Calibri"/>
          <w:i/>
          <w:iCs/>
          <w:noProof/>
          <w:sz w:val="22"/>
        </w:rPr>
        <w:t>Thermal analysis of pharamceuticals</w:t>
      </w:r>
      <w:r w:rsidRPr="003F6316">
        <w:rPr>
          <w:rFonts w:ascii="Calibri" w:hAnsi="Calibri"/>
          <w:noProof/>
          <w:sz w:val="22"/>
        </w:rPr>
        <w:t>. United States America: CRC Press Raylor&amp;Francis Group, 2007.</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18. </w:t>
      </w:r>
      <w:r w:rsidRPr="003F6316">
        <w:rPr>
          <w:rFonts w:ascii="Calibri" w:hAnsi="Calibri"/>
          <w:noProof/>
          <w:sz w:val="22"/>
        </w:rPr>
        <w:tab/>
        <w:t xml:space="preserve">Giron D. Thermal analysis and calorimetric methods in the characterisation of polymorphs and solvates. </w:t>
      </w:r>
      <w:r w:rsidRPr="003F6316">
        <w:rPr>
          <w:rFonts w:ascii="Calibri" w:hAnsi="Calibri"/>
          <w:i/>
          <w:iCs/>
          <w:noProof/>
          <w:sz w:val="22"/>
        </w:rPr>
        <w:t>Thermochim Acta</w:t>
      </w:r>
      <w:r w:rsidRPr="003F6316">
        <w:rPr>
          <w:rFonts w:ascii="Calibri" w:hAnsi="Calibri"/>
          <w:noProof/>
          <w:sz w:val="22"/>
        </w:rPr>
        <w:t xml:space="preserve"> 1995; 248(94): 1–59.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19. </w:t>
      </w:r>
      <w:r w:rsidRPr="003F6316">
        <w:rPr>
          <w:rFonts w:ascii="Calibri" w:hAnsi="Calibri"/>
          <w:noProof/>
          <w:sz w:val="22"/>
        </w:rPr>
        <w:tab/>
        <w:t xml:space="preserve">Leung SS </w:t>
      </w:r>
      <w:r w:rsidRPr="003F6316">
        <w:rPr>
          <w:rFonts w:ascii="Calibri" w:hAnsi="Calibri"/>
          <w:i/>
          <w:iCs/>
          <w:noProof/>
          <w:sz w:val="22"/>
        </w:rPr>
        <w:t>et al.</w:t>
      </w:r>
      <w:r w:rsidRPr="003F6316">
        <w:rPr>
          <w:rFonts w:ascii="Calibri" w:hAnsi="Calibri"/>
          <w:noProof/>
          <w:sz w:val="22"/>
        </w:rPr>
        <w:t xml:space="preserve"> Solid-state characterization of two polymorphs of aspartame hemihydrate. </w:t>
      </w:r>
      <w:r w:rsidRPr="003F6316">
        <w:rPr>
          <w:rFonts w:ascii="Calibri" w:hAnsi="Calibri"/>
          <w:i/>
          <w:iCs/>
          <w:noProof/>
          <w:sz w:val="22"/>
        </w:rPr>
        <w:t>J Pharm Sci</w:t>
      </w:r>
      <w:r w:rsidRPr="003F6316">
        <w:rPr>
          <w:rFonts w:ascii="Calibri" w:hAnsi="Calibri"/>
          <w:noProof/>
          <w:sz w:val="22"/>
        </w:rPr>
        <w:t xml:space="preserve"> 1998; 87(4): 501–7. doi:10.1021/js970249n.</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20. </w:t>
      </w:r>
      <w:r w:rsidRPr="003F6316">
        <w:rPr>
          <w:rFonts w:ascii="Calibri" w:hAnsi="Calibri"/>
          <w:noProof/>
          <w:sz w:val="22"/>
        </w:rPr>
        <w:tab/>
        <w:t xml:space="preserve">Colombo I </w:t>
      </w:r>
      <w:r w:rsidRPr="003F6316">
        <w:rPr>
          <w:rFonts w:ascii="Calibri" w:hAnsi="Calibri"/>
          <w:i/>
          <w:iCs/>
          <w:noProof/>
          <w:sz w:val="22"/>
        </w:rPr>
        <w:t>et al.</w:t>
      </w:r>
      <w:r w:rsidRPr="003F6316">
        <w:rPr>
          <w:rFonts w:ascii="Calibri" w:hAnsi="Calibri"/>
          <w:noProof/>
          <w:sz w:val="22"/>
        </w:rPr>
        <w:t xml:space="preserve"> Drug mechanochemical activation. </w:t>
      </w:r>
      <w:r w:rsidRPr="003F6316">
        <w:rPr>
          <w:rFonts w:ascii="Calibri" w:hAnsi="Calibri"/>
          <w:i/>
          <w:iCs/>
          <w:noProof/>
          <w:sz w:val="22"/>
        </w:rPr>
        <w:t>J Pharm Sci</w:t>
      </w:r>
      <w:r w:rsidRPr="003F6316">
        <w:rPr>
          <w:rFonts w:ascii="Calibri" w:hAnsi="Calibri"/>
          <w:noProof/>
          <w:sz w:val="22"/>
        </w:rPr>
        <w:t xml:space="preserve"> 2009; 98(11): 3961–3986. doi:10.1002/jps.</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21. </w:t>
      </w:r>
      <w:r w:rsidRPr="003F6316">
        <w:rPr>
          <w:rFonts w:ascii="Calibri" w:hAnsi="Calibri"/>
          <w:noProof/>
          <w:sz w:val="22"/>
        </w:rPr>
        <w:tab/>
        <w:t xml:space="preserve">Zhang GGZ </w:t>
      </w:r>
      <w:r w:rsidRPr="003F6316">
        <w:rPr>
          <w:rFonts w:ascii="Calibri" w:hAnsi="Calibri"/>
          <w:i/>
          <w:iCs/>
          <w:noProof/>
          <w:sz w:val="22"/>
        </w:rPr>
        <w:t>et al.</w:t>
      </w:r>
      <w:r w:rsidRPr="003F6316">
        <w:rPr>
          <w:rFonts w:ascii="Calibri" w:hAnsi="Calibri"/>
          <w:noProof/>
          <w:sz w:val="22"/>
        </w:rPr>
        <w:t xml:space="preserve"> Crystallization and transitions of sulfamerazine polymorphs. </w:t>
      </w:r>
      <w:r w:rsidRPr="003F6316">
        <w:rPr>
          <w:rFonts w:ascii="Calibri" w:hAnsi="Calibri"/>
          <w:i/>
          <w:iCs/>
          <w:noProof/>
          <w:sz w:val="22"/>
        </w:rPr>
        <w:t>J Pharm Sci</w:t>
      </w:r>
      <w:r w:rsidRPr="003F6316">
        <w:rPr>
          <w:rFonts w:ascii="Calibri" w:hAnsi="Calibri"/>
          <w:noProof/>
          <w:sz w:val="22"/>
        </w:rPr>
        <w:t xml:space="preserve"> 2002; 91(4): 1089–100. </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22. </w:t>
      </w:r>
      <w:r w:rsidRPr="003F6316">
        <w:rPr>
          <w:rFonts w:ascii="Calibri" w:hAnsi="Calibri"/>
          <w:noProof/>
          <w:sz w:val="22"/>
        </w:rPr>
        <w:tab/>
        <w:t xml:space="preserve">USP37–NF32. Rivastigmine Tartrate Monograph. In: </w:t>
      </w:r>
      <w:r w:rsidRPr="003F6316">
        <w:rPr>
          <w:rFonts w:ascii="Calibri" w:hAnsi="Calibri"/>
          <w:i/>
          <w:iCs/>
          <w:noProof/>
          <w:sz w:val="22"/>
        </w:rPr>
        <w:t>United States Pharmacopoeia</w:t>
      </w:r>
      <w:r w:rsidRPr="003F6316">
        <w:rPr>
          <w:rFonts w:ascii="Calibri" w:hAnsi="Calibri"/>
          <w:noProof/>
          <w:sz w:val="22"/>
        </w:rPr>
        <w:t>., 2014: 4614–15.</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23. </w:t>
      </w:r>
      <w:r w:rsidRPr="003F6316">
        <w:rPr>
          <w:rFonts w:ascii="Calibri" w:hAnsi="Calibri"/>
          <w:noProof/>
          <w:sz w:val="22"/>
        </w:rPr>
        <w:tab/>
        <w:t xml:space="preserve">Burnett D </w:t>
      </w:r>
      <w:r w:rsidRPr="003F6316">
        <w:rPr>
          <w:rFonts w:ascii="Calibri" w:hAnsi="Calibri"/>
          <w:i/>
          <w:iCs/>
          <w:noProof/>
          <w:sz w:val="22"/>
        </w:rPr>
        <w:t>et al.</w:t>
      </w:r>
      <w:r w:rsidRPr="003F6316">
        <w:rPr>
          <w:rFonts w:ascii="Calibri" w:hAnsi="Calibri"/>
          <w:noProof/>
          <w:sz w:val="22"/>
        </w:rPr>
        <w:t xml:space="preserve"> Determining the critical relative humidity for moisture-induced phase transitions. </w:t>
      </w:r>
      <w:r w:rsidRPr="003F6316">
        <w:rPr>
          <w:rFonts w:ascii="Calibri" w:hAnsi="Calibri"/>
          <w:i/>
          <w:iCs/>
          <w:noProof/>
          <w:sz w:val="22"/>
        </w:rPr>
        <w:t>Int J Pharm</w:t>
      </w:r>
      <w:r w:rsidRPr="003F6316">
        <w:rPr>
          <w:rFonts w:ascii="Calibri" w:hAnsi="Calibri"/>
          <w:noProof/>
          <w:sz w:val="22"/>
        </w:rPr>
        <w:t xml:space="preserve"> 2004; 287: 123–133. doi:10.1016/j.ijpharm.2004.09.009.</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24. </w:t>
      </w:r>
      <w:r w:rsidRPr="003F6316">
        <w:rPr>
          <w:rFonts w:ascii="Calibri" w:hAnsi="Calibri"/>
          <w:noProof/>
          <w:sz w:val="22"/>
        </w:rPr>
        <w:tab/>
        <w:t xml:space="preserve">Yu L. Inferring thermodynamic stability relationship of polymorphs from melting data. </w:t>
      </w:r>
      <w:r w:rsidRPr="003F6316">
        <w:rPr>
          <w:rFonts w:ascii="Calibri" w:hAnsi="Calibri"/>
          <w:i/>
          <w:iCs/>
          <w:noProof/>
          <w:sz w:val="22"/>
        </w:rPr>
        <w:t>J Pharm Sci</w:t>
      </w:r>
      <w:r w:rsidRPr="003F6316">
        <w:rPr>
          <w:rFonts w:ascii="Calibri" w:hAnsi="Calibri"/>
          <w:noProof/>
          <w:sz w:val="22"/>
        </w:rPr>
        <w:t xml:space="preserve"> 1995; 84(8): 966–974. doi:10.1002/jps.2600840812.</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25. </w:t>
      </w:r>
      <w:r w:rsidRPr="003F6316">
        <w:rPr>
          <w:rFonts w:ascii="Calibri" w:hAnsi="Calibri"/>
          <w:noProof/>
          <w:sz w:val="22"/>
        </w:rPr>
        <w:tab/>
        <w:t xml:space="preserve">Jeziorny A. Parameters characterizing the kinetics of the non-isothermal crystallization of poly(ethylene terephthalate) determined by d.s.c. </w:t>
      </w:r>
      <w:r w:rsidRPr="003F6316">
        <w:rPr>
          <w:rFonts w:ascii="Calibri" w:hAnsi="Calibri"/>
          <w:i/>
          <w:iCs/>
          <w:noProof/>
          <w:sz w:val="22"/>
        </w:rPr>
        <w:t>Polymer (Guildf)</w:t>
      </w:r>
      <w:r w:rsidRPr="003F6316">
        <w:rPr>
          <w:rFonts w:ascii="Calibri" w:hAnsi="Calibri"/>
          <w:noProof/>
          <w:sz w:val="22"/>
        </w:rPr>
        <w:t xml:space="preserve"> 1978; 19(10): 1142–1144. doi:10.1016/0032-3861(78)90060-5.</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26. </w:t>
      </w:r>
      <w:r w:rsidRPr="003F6316">
        <w:rPr>
          <w:rFonts w:ascii="Calibri" w:hAnsi="Calibri"/>
          <w:noProof/>
          <w:sz w:val="22"/>
        </w:rPr>
        <w:tab/>
        <w:t xml:space="preserve">Bianchi O </w:t>
      </w:r>
      <w:r w:rsidRPr="003F6316">
        <w:rPr>
          <w:rFonts w:ascii="Calibri" w:hAnsi="Calibri"/>
          <w:i/>
          <w:iCs/>
          <w:noProof/>
          <w:sz w:val="22"/>
        </w:rPr>
        <w:t>et al.</w:t>
      </w:r>
      <w:r w:rsidRPr="003F6316">
        <w:rPr>
          <w:rFonts w:ascii="Calibri" w:hAnsi="Calibri"/>
          <w:noProof/>
          <w:sz w:val="22"/>
        </w:rPr>
        <w:t xml:space="preserve"> Assessment of Avrami, Ozawa and Avrami–Ozawa equations for determination of EVA crosslinking kinetics from DSC measurements. </w:t>
      </w:r>
      <w:r w:rsidRPr="003F6316">
        <w:rPr>
          <w:rFonts w:ascii="Calibri" w:hAnsi="Calibri"/>
          <w:i/>
          <w:iCs/>
          <w:noProof/>
          <w:sz w:val="22"/>
        </w:rPr>
        <w:t>Polym Test</w:t>
      </w:r>
      <w:r w:rsidRPr="003F6316">
        <w:rPr>
          <w:rFonts w:ascii="Calibri" w:hAnsi="Calibri"/>
          <w:noProof/>
          <w:sz w:val="22"/>
        </w:rPr>
        <w:t xml:space="preserve"> 2008; 27(6): 722–729. doi:10.1016/j.polymertesting.2008.05.003.</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27. </w:t>
      </w:r>
      <w:r w:rsidRPr="003F6316">
        <w:rPr>
          <w:rFonts w:ascii="Calibri" w:hAnsi="Calibri"/>
          <w:noProof/>
          <w:sz w:val="22"/>
        </w:rPr>
        <w:tab/>
        <w:t xml:space="preserve">Wan J </w:t>
      </w:r>
      <w:r w:rsidRPr="003F6316">
        <w:rPr>
          <w:rFonts w:ascii="Calibri" w:hAnsi="Calibri"/>
          <w:i/>
          <w:iCs/>
          <w:noProof/>
          <w:sz w:val="22"/>
        </w:rPr>
        <w:t>et al.</w:t>
      </w:r>
      <w:r w:rsidRPr="003F6316">
        <w:rPr>
          <w:rFonts w:ascii="Calibri" w:hAnsi="Calibri"/>
          <w:noProof/>
          <w:sz w:val="22"/>
        </w:rPr>
        <w:t xml:space="preserve"> Preparation, melting, glass relaxation and nonisothermal crystallization kinetics of a novel dendritic nylon-11. </w:t>
      </w:r>
      <w:r w:rsidRPr="003F6316">
        <w:rPr>
          <w:rFonts w:ascii="Calibri" w:hAnsi="Calibri"/>
          <w:i/>
          <w:iCs/>
          <w:noProof/>
          <w:sz w:val="22"/>
        </w:rPr>
        <w:t>Thermochim Acta</w:t>
      </w:r>
      <w:r w:rsidRPr="003F6316">
        <w:rPr>
          <w:rFonts w:ascii="Calibri" w:hAnsi="Calibri"/>
          <w:noProof/>
          <w:sz w:val="22"/>
        </w:rPr>
        <w:t xml:space="preserve"> 2011; 524(1-2): 117–127. doi:10.1016/j.tca.2011.07.002.</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lastRenderedPageBreak/>
        <w:t xml:space="preserve">28. </w:t>
      </w:r>
      <w:r w:rsidRPr="003F6316">
        <w:rPr>
          <w:rFonts w:ascii="Calibri" w:hAnsi="Calibri"/>
          <w:noProof/>
          <w:sz w:val="22"/>
        </w:rPr>
        <w:tab/>
        <w:t xml:space="preserve">Hatakeyama T, Zhenhai L. </w:t>
      </w:r>
      <w:r w:rsidRPr="003F6316">
        <w:rPr>
          <w:rFonts w:ascii="Calibri" w:hAnsi="Calibri"/>
          <w:i/>
          <w:iCs/>
          <w:noProof/>
          <w:sz w:val="22"/>
        </w:rPr>
        <w:t>Handbook of thermal analysis</w:t>
      </w:r>
      <w:r w:rsidRPr="003F6316">
        <w:rPr>
          <w:rFonts w:ascii="Calibri" w:hAnsi="Calibri"/>
          <w:noProof/>
          <w:sz w:val="22"/>
        </w:rPr>
        <w:t>. England: John Wiley &amp; Sons Ltd., 1998.</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29. </w:t>
      </w:r>
      <w:r w:rsidRPr="003F6316">
        <w:rPr>
          <w:rFonts w:ascii="Calibri" w:hAnsi="Calibri"/>
          <w:noProof/>
          <w:sz w:val="22"/>
        </w:rPr>
        <w:tab/>
        <w:t xml:space="preserve">Cho Y-S </w:t>
      </w:r>
      <w:r w:rsidRPr="003F6316">
        <w:rPr>
          <w:rFonts w:ascii="Calibri" w:hAnsi="Calibri"/>
          <w:i/>
          <w:iCs/>
          <w:noProof/>
          <w:sz w:val="22"/>
        </w:rPr>
        <w:t>et al.</w:t>
      </w:r>
      <w:r w:rsidRPr="003F6316">
        <w:rPr>
          <w:rFonts w:ascii="Calibri" w:hAnsi="Calibri"/>
          <w:noProof/>
          <w:sz w:val="22"/>
        </w:rPr>
        <w:t xml:space="preserve"> Thermal degradation kinetics of PE by the Kissinger equation. </w:t>
      </w:r>
      <w:r w:rsidRPr="003F6316">
        <w:rPr>
          <w:rFonts w:ascii="Calibri" w:hAnsi="Calibri"/>
          <w:i/>
          <w:iCs/>
          <w:noProof/>
          <w:sz w:val="22"/>
        </w:rPr>
        <w:t>Mater Chem Phys</w:t>
      </w:r>
      <w:r w:rsidRPr="003F6316">
        <w:rPr>
          <w:rFonts w:ascii="Calibri" w:hAnsi="Calibri"/>
          <w:noProof/>
          <w:sz w:val="22"/>
        </w:rPr>
        <w:t xml:space="preserve"> 1998; 52(1): 94–97. doi:10.1016/S0254-0584(98)80013-8.</w:t>
      </w:r>
    </w:p>
    <w:p w:rsidR="00364163" w:rsidRPr="003F6316" w:rsidRDefault="00364163">
      <w:pPr>
        <w:pStyle w:val="NormalWeb"/>
        <w:ind w:left="640" w:hanging="640"/>
        <w:divId w:val="1343507937"/>
        <w:rPr>
          <w:rFonts w:ascii="Calibri" w:hAnsi="Calibri"/>
          <w:noProof/>
          <w:sz w:val="22"/>
        </w:rPr>
      </w:pPr>
      <w:r w:rsidRPr="003F6316">
        <w:rPr>
          <w:rFonts w:ascii="Calibri" w:hAnsi="Calibri"/>
          <w:noProof/>
          <w:sz w:val="22"/>
        </w:rPr>
        <w:t xml:space="preserve">30. </w:t>
      </w:r>
      <w:r w:rsidRPr="003F6316">
        <w:rPr>
          <w:rFonts w:ascii="Calibri" w:hAnsi="Calibri"/>
          <w:noProof/>
          <w:sz w:val="22"/>
        </w:rPr>
        <w:tab/>
        <w:t xml:space="preserve">Hancock BC, Zografi G. Characteristics and significance of the amorphous state in pharmaceutical systems. </w:t>
      </w:r>
      <w:r w:rsidRPr="003F6316">
        <w:rPr>
          <w:rFonts w:ascii="Calibri" w:hAnsi="Calibri"/>
          <w:i/>
          <w:iCs/>
          <w:noProof/>
          <w:sz w:val="22"/>
        </w:rPr>
        <w:t>J Pharm Sci</w:t>
      </w:r>
      <w:r w:rsidRPr="003F6316">
        <w:rPr>
          <w:rFonts w:ascii="Calibri" w:hAnsi="Calibri"/>
          <w:noProof/>
          <w:sz w:val="22"/>
        </w:rPr>
        <w:t xml:space="preserve"> 1997; 86(1): 1–12. doi:10.1021/js9601896.</w:t>
      </w:r>
    </w:p>
    <w:p w:rsidR="003A6639" w:rsidRPr="003F6316" w:rsidRDefault="006D77E9" w:rsidP="003A6639">
      <w:pPr>
        <w:pStyle w:val="NormalWeb"/>
        <w:ind w:left="640" w:hanging="640"/>
        <w:divId w:val="1343507937"/>
        <w:rPr>
          <w:rFonts w:ascii="Calibri" w:hAnsi="Calibri"/>
          <w:noProof/>
          <w:sz w:val="22"/>
        </w:rPr>
      </w:pPr>
      <w:r w:rsidRPr="003F6316">
        <w:rPr>
          <w:rFonts w:ascii="Calibri" w:hAnsi="Calibri"/>
          <w:noProof/>
          <w:sz w:val="22"/>
        </w:rPr>
        <w:t>31</w:t>
      </w:r>
      <w:r w:rsidR="003A6639" w:rsidRPr="003F6316">
        <w:rPr>
          <w:rFonts w:ascii="Calibri" w:hAnsi="Calibri"/>
          <w:noProof/>
          <w:sz w:val="22"/>
        </w:rPr>
        <w:t xml:space="preserve">. </w:t>
      </w:r>
      <w:r w:rsidRPr="003F6316">
        <w:rPr>
          <w:rFonts w:ascii="Calibri" w:hAnsi="Calibri"/>
          <w:noProof/>
          <w:sz w:val="22"/>
        </w:rPr>
        <w:tab/>
      </w:r>
      <w:r w:rsidR="003A6639" w:rsidRPr="003F6316">
        <w:rPr>
          <w:rFonts w:ascii="Calibri" w:hAnsi="Calibri"/>
          <w:noProof/>
          <w:sz w:val="22"/>
        </w:rPr>
        <w:t xml:space="preserve">Vishweshwar P </w:t>
      </w:r>
      <w:r w:rsidR="003A6639" w:rsidRPr="003F6316">
        <w:rPr>
          <w:rFonts w:ascii="Calibri" w:hAnsi="Calibri"/>
          <w:i/>
          <w:noProof/>
          <w:sz w:val="22"/>
        </w:rPr>
        <w:t>et al</w:t>
      </w:r>
      <w:r w:rsidR="003A6639" w:rsidRPr="003F6316">
        <w:rPr>
          <w:rFonts w:ascii="Calibri" w:hAnsi="Calibri"/>
          <w:noProof/>
          <w:sz w:val="22"/>
        </w:rPr>
        <w:t>. Pharmaceutical co-crystals. J Pharm Sci 2006 95(3):499–516.</w:t>
      </w:r>
    </w:p>
    <w:p w:rsidR="003A6639" w:rsidRPr="003F6316" w:rsidRDefault="006D77E9" w:rsidP="003A6639">
      <w:pPr>
        <w:pStyle w:val="NormalWeb"/>
        <w:ind w:left="640" w:hanging="640"/>
        <w:divId w:val="1343507937"/>
        <w:rPr>
          <w:rFonts w:ascii="Calibri" w:hAnsi="Calibri"/>
          <w:noProof/>
          <w:sz w:val="22"/>
        </w:rPr>
      </w:pPr>
      <w:r w:rsidRPr="003F6316">
        <w:rPr>
          <w:rFonts w:ascii="Calibri" w:hAnsi="Calibri"/>
          <w:noProof/>
          <w:sz w:val="22"/>
        </w:rPr>
        <w:t>32</w:t>
      </w:r>
      <w:r w:rsidR="003A6639" w:rsidRPr="003F6316">
        <w:rPr>
          <w:rFonts w:ascii="Calibri" w:hAnsi="Calibri"/>
          <w:noProof/>
          <w:sz w:val="22"/>
        </w:rPr>
        <w:t>.</w:t>
      </w:r>
      <w:r w:rsidRPr="003F6316">
        <w:rPr>
          <w:rFonts w:ascii="Calibri" w:hAnsi="Calibri"/>
          <w:noProof/>
          <w:sz w:val="22"/>
        </w:rPr>
        <w:tab/>
      </w:r>
      <w:r w:rsidR="003A6639" w:rsidRPr="003F6316">
        <w:rPr>
          <w:rFonts w:ascii="Calibri" w:hAnsi="Calibri"/>
          <w:noProof/>
          <w:sz w:val="22"/>
        </w:rPr>
        <w:t xml:space="preserve"> Miroshnyk I </w:t>
      </w:r>
      <w:r w:rsidR="003A6639" w:rsidRPr="003F6316">
        <w:rPr>
          <w:rFonts w:ascii="Calibri" w:hAnsi="Calibri"/>
          <w:i/>
          <w:noProof/>
          <w:sz w:val="22"/>
        </w:rPr>
        <w:t xml:space="preserve">et </w:t>
      </w:r>
      <w:r w:rsidR="003A6639" w:rsidRPr="003F6316">
        <w:rPr>
          <w:rFonts w:ascii="Calibri" w:hAnsi="Calibri"/>
          <w:noProof/>
          <w:sz w:val="22"/>
        </w:rPr>
        <w:t xml:space="preserve">al. Pharmaceutical co-crystals - an opportunity for drug product enhancement. </w:t>
      </w:r>
      <w:r w:rsidR="003A6639" w:rsidRPr="003F6316">
        <w:rPr>
          <w:rFonts w:ascii="Calibri" w:hAnsi="Calibri"/>
          <w:i/>
          <w:noProof/>
          <w:sz w:val="22"/>
        </w:rPr>
        <w:t>Expert Opin Drug Deliv</w:t>
      </w:r>
      <w:r w:rsidR="003A6639" w:rsidRPr="003F6316">
        <w:rPr>
          <w:rFonts w:ascii="Calibri" w:hAnsi="Calibri"/>
          <w:noProof/>
          <w:sz w:val="22"/>
        </w:rPr>
        <w:t xml:space="preserve"> 2009 6(4):333–341.</w:t>
      </w:r>
    </w:p>
    <w:p w:rsidR="003A6639" w:rsidRPr="003F6316" w:rsidRDefault="006D77E9" w:rsidP="003A6639">
      <w:pPr>
        <w:pStyle w:val="NormalWeb"/>
        <w:ind w:left="640" w:hanging="640"/>
        <w:divId w:val="1343507937"/>
        <w:rPr>
          <w:rFonts w:ascii="Calibri" w:hAnsi="Calibri"/>
          <w:noProof/>
          <w:sz w:val="22"/>
        </w:rPr>
      </w:pPr>
      <w:r w:rsidRPr="003F6316">
        <w:rPr>
          <w:rFonts w:ascii="Calibri" w:hAnsi="Calibri"/>
          <w:noProof/>
          <w:sz w:val="22"/>
        </w:rPr>
        <w:t>33</w:t>
      </w:r>
      <w:r w:rsidR="003A6639" w:rsidRPr="003F6316">
        <w:rPr>
          <w:rFonts w:ascii="Calibri" w:hAnsi="Calibri"/>
          <w:noProof/>
          <w:sz w:val="22"/>
        </w:rPr>
        <w:t>.</w:t>
      </w:r>
      <w:r w:rsidRPr="003F6316">
        <w:rPr>
          <w:rFonts w:ascii="Calibri" w:hAnsi="Calibri"/>
          <w:noProof/>
          <w:sz w:val="22"/>
        </w:rPr>
        <w:tab/>
      </w:r>
      <w:r w:rsidR="003A6639" w:rsidRPr="003F6316">
        <w:rPr>
          <w:rFonts w:ascii="Calibri" w:hAnsi="Calibri"/>
          <w:noProof/>
          <w:sz w:val="22"/>
        </w:rPr>
        <w:t xml:space="preserve"> Grossjohann, C</w:t>
      </w:r>
      <w:r w:rsidR="003A6639" w:rsidRPr="003F6316">
        <w:rPr>
          <w:rFonts w:ascii="Calibri" w:hAnsi="Calibri"/>
          <w:i/>
          <w:noProof/>
          <w:sz w:val="22"/>
        </w:rPr>
        <w:t xml:space="preserve"> et al.</w:t>
      </w:r>
      <w:r w:rsidR="003A6639" w:rsidRPr="003F6316">
        <w:rPr>
          <w:rFonts w:ascii="Calibri" w:hAnsi="Calibri"/>
          <w:noProof/>
          <w:sz w:val="22"/>
        </w:rPr>
        <w:t xml:space="preserve"> Polymorphism in sulfadimidine/4-aminosalicylic acid cocrystals: solid state characterization and physicochemical properties. </w:t>
      </w:r>
      <w:r w:rsidR="003A6639" w:rsidRPr="003F6316">
        <w:rPr>
          <w:rFonts w:ascii="Calibri" w:hAnsi="Calibri"/>
          <w:i/>
          <w:noProof/>
          <w:sz w:val="22"/>
        </w:rPr>
        <w:t>J Pharm Sci</w:t>
      </w:r>
      <w:r w:rsidRPr="003F6316">
        <w:rPr>
          <w:rFonts w:ascii="Calibri" w:hAnsi="Calibri"/>
          <w:noProof/>
          <w:sz w:val="22"/>
        </w:rPr>
        <w:t xml:space="preserve"> 2015</w:t>
      </w:r>
      <w:r w:rsidR="003A6639" w:rsidRPr="003F6316">
        <w:rPr>
          <w:rFonts w:ascii="Calibri" w:hAnsi="Calibri"/>
          <w:noProof/>
          <w:sz w:val="22"/>
        </w:rPr>
        <w:t xml:space="preserve"> 104(4) (2015) 1385-1398</w:t>
      </w:r>
    </w:p>
    <w:p w:rsidR="005050B3" w:rsidRPr="003F6316" w:rsidRDefault="002333DA" w:rsidP="00364163">
      <w:pPr>
        <w:pStyle w:val="NormalWeb"/>
        <w:ind w:left="640" w:hanging="640"/>
        <w:divId w:val="18971962"/>
        <w:rPr>
          <w:rFonts w:ascii="Calibri" w:hAnsi="Calibri"/>
          <w:noProof/>
          <w:sz w:val="22"/>
        </w:rPr>
      </w:pPr>
      <w:r w:rsidRPr="003F6316">
        <w:fldChar w:fldCharType="end"/>
      </w:r>
      <w:r w:rsidR="006D77E9" w:rsidRPr="003F6316">
        <w:rPr>
          <w:rFonts w:ascii="Calibri" w:hAnsi="Calibri"/>
          <w:noProof/>
          <w:sz w:val="22"/>
        </w:rPr>
        <w:t xml:space="preserve">34. </w:t>
      </w:r>
      <w:r w:rsidR="006D77E9" w:rsidRPr="003F6316">
        <w:rPr>
          <w:rFonts w:ascii="Calibri" w:hAnsi="Calibri"/>
          <w:noProof/>
          <w:sz w:val="22"/>
        </w:rPr>
        <w:tab/>
        <w:t xml:space="preserve">Chikhalia V </w:t>
      </w:r>
      <w:r w:rsidR="006D77E9" w:rsidRPr="003F6316">
        <w:rPr>
          <w:rFonts w:ascii="Calibri" w:hAnsi="Calibri"/>
          <w:i/>
          <w:iCs/>
          <w:noProof/>
          <w:sz w:val="22"/>
        </w:rPr>
        <w:t>et al.</w:t>
      </w:r>
      <w:r w:rsidR="006D77E9" w:rsidRPr="003F6316">
        <w:rPr>
          <w:rFonts w:ascii="Calibri" w:hAnsi="Calibri"/>
          <w:noProof/>
          <w:sz w:val="22"/>
        </w:rPr>
        <w:t xml:space="preserve"> The effect of crystal morphology and mill type on milling induced crystal disorder. </w:t>
      </w:r>
      <w:r w:rsidR="006D77E9" w:rsidRPr="003F6316">
        <w:rPr>
          <w:rFonts w:ascii="Calibri" w:hAnsi="Calibri"/>
          <w:i/>
          <w:iCs/>
          <w:noProof/>
          <w:sz w:val="22"/>
        </w:rPr>
        <w:t>Eur J Pharm Sci</w:t>
      </w:r>
      <w:r w:rsidR="006D77E9" w:rsidRPr="003F6316">
        <w:rPr>
          <w:rFonts w:ascii="Calibri" w:hAnsi="Calibri"/>
          <w:noProof/>
          <w:sz w:val="22"/>
        </w:rPr>
        <w:t xml:space="preserve"> 2006; 27(1): 19–26. doi:10.1016/j.ejps.2005.08.013.</w:t>
      </w:r>
    </w:p>
    <w:p w:rsidR="006D77E9" w:rsidRPr="003F6316"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 xml:space="preserve">35. </w:t>
      </w:r>
      <w:r w:rsidRPr="003F6316">
        <w:rPr>
          <w:rFonts w:asciiTheme="minorHAnsi" w:hAnsiTheme="minorHAnsi"/>
          <w:sz w:val="22"/>
        </w:rPr>
        <w:tab/>
      </w:r>
      <w:r w:rsidR="006D77E9" w:rsidRPr="003F6316">
        <w:rPr>
          <w:rFonts w:asciiTheme="minorHAnsi" w:hAnsiTheme="minorHAnsi"/>
          <w:sz w:val="22"/>
        </w:rPr>
        <w:t>Descamps M</w:t>
      </w:r>
      <w:r w:rsidRPr="003F6316">
        <w:rPr>
          <w:rFonts w:asciiTheme="minorHAnsi" w:hAnsiTheme="minorHAnsi"/>
          <w:sz w:val="22"/>
        </w:rPr>
        <w:t xml:space="preserve"> </w:t>
      </w:r>
      <w:proofErr w:type="gramStart"/>
      <w:r w:rsidRPr="003F6316">
        <w:rPr>
          <w:rFonts w:asciiTheme="minorHAnsi" w:hAnsiTheme="minorHAnsi"/>
          <w:i/>
          <w:sz w:val="22"/>
        </w:rPr>
        <w:t>et</w:t>
      </w:r>
      <w:proofErr w:type="gramEnd"/>
      <w:r w:rsidRPr="003F6316">
        <w:rPr>
          <w:rFonts w:asciiTheme="minorHAnsi" w:hAnsiTheme="minorHAnsi"/>
          <w:i/>
          <w:sz w:val="22"/>
        </w:rPr>
        <w:t xml:space="preserve"> </w:t>
      </w:r>
      <w:proofErr w:type="spellStart"/>
      <w:r w:rsidRPr="003F6316">
        <w:rPr>
          <w:rFonts w:asciiTheme="minorHAnsi" w:hAnsiTheme="minorHAnsi"/>
          <w:i/>
          <w:sz w:val="22"/>
        </w:rPr>
        <w:t>al</w:t>
      </w:r>
      <w:r w:rsidRPr="003F6316">
        <w:rPr>
          <w:rFonts w:asciiTheme="minorHAnsi" w:hAnsiTheme="minorHAnsi"/>
          <w:sz w:val="22"/>
        </w:rPr>
        <w:t>.</w:t>
      </w:r>
      <w:r w:rsidR="006D77E9" w:rsidRPr="003F6316">
        <w:rPr>
          <w:rFonts w:asciiTheme="minorHAnsi" w:hAnsiTheme="minorHAnsi"/>
          <w:sz w:val="22"/>
        </w:rPr>
        <w:t>Transformation</w:t>
      </w:r>
      <w:proofErr w:type="spellEnd"/>
      <w:r w:rsidR="006D77E9" w:rsidRPr="003F6316">
        <w:rPr>
          <w:rFonts w:asciiTheme="minorHAnsi" w:hAnsiTheme="minorHAnsi"/>
          <w:sz w:val="22"/>
        </w:rPr>
        <w:t xml:space="preserve"> of pharmaceutical compounds upon milling and </w:t>
      </w:r>
      <w:proofErr w:type="spellStart"/>
      <w:r w:rsidR="006D77E9" w:rsidRPr="003F6316">
        <w:rPr>
          <w:rFonts w:asciiTheme="minorHAnsi" w:hAnsiTheme="minorHAnsi"/>
          <w:sz w:val="22"/>
        </w:rPr>
        <w:t>comilling</w:t>
      </w:r>
      <w:proofErr w:type="spellEnd"/>
      <w:r w:rsidR="006D77E9" w:rsidRPr="003F6316">
        <w:rPr>
          <w:rFonts w:asciiTheme="minorHAnsi" w:hAnsiTheme="minorHAnsi"/>
          <w:sz w:val="22"/>
        </w:rPr>
        <w:t xml:space="preserve">: The role of </w:t>
      </w:r>
      <w:proofErr w:type="spellStart"/>
      <w:r w:rsidR="006D77E9" w:rsidRPr="003F6316">
        <w:rPr>
          <w:rFonts w:asciiTheme="minorHAnsi" w:hAnsiTheme="minorHAnsi"/>
          <w:sz w:val="22"/>
        </w:rPr>
        <w:t>Tg</w:t>
      </w:r>
      <w:proofErr w:type="spellEnd"/>
      <w:r w:rsidR="006D77E9" w:rsidRPr="003F6316">
        <w:rPr>
          <w:rFonts w:asciiTheme="minorHAnsi" w:hAnsiTheme="minorHAnsi"/>
          <w:sz w:val="22"/>
        </w:rPr>
        <w:t xml:space="preserve">. </w:t>
      </w:r>
      <w:r w:rsidR="006D77E9" w:rsidRPr="003F6316">
        <w:rPr>
          <w:rFonts w:asciiTheme="minorHAnsi" w:hAnsiTheme="minorHAnsi"/>
          <w:i/>
          <w:sz w:val="22"/>
        </w:rPr>
        <w:t xml:space="preserve">J Pharm </w:t>
      </w:r>
      <w:proofErr w:type="spellStart"/>
      <w:r w:rsidR="006D77E9" w:rsidRPr="003F6316">
        <w:rPr>
          <w:rFonts w:asciiTheme="minorHAnsi" w:hAnsiTheme="minorHAnsi"/>
          <w:i/>
          <w:sz w:val="22"/>
        </w:rPr>
        <w:t>Sci</w:t>
      </w:r>
      <w:proofErr w:type="spellEnd"/>
      <w:r w:rsidR="006D77E9" w:rsidRPr="003F6316">
        <w:rPr>
          <w:rFonts w:asciiTheme="minorHAnsi" w:hAnsiTheme="minorHAnsi"/>
          <w:sz w:val="22"/>
        </w:rPr>
        <w:t xml:space="preserve"> </w:t>
      </w:r>
      <w:r w:rsidRPr="003F6316">
        <w:rPr>
          <w:rFonts w:asciiTheme="minorHAnsi" w:hAnsiTheme="minorHAnsi"/>
          <w:sz w:val="22"/>
        </w:rPr>
        <w:t xml:space="preserve">2007 </w:t>
      </w:r>
      <w:r w:rsidR="006D77E9" w:rsidRPr="003F6316">
        <w:rPr>
          <w:rFonts w:asciiTheme="minorHAnsi" w:hAnsiTheme="minorHAnsi"/>
          <w:sz w:val="22"/>
        </w:rPr>
        <w:t>96:1398–1407.</w:t>
      </w:r>
    </w:p>
    <w:p w:rsidR="006D77E9" w:rsidRPr="003F6316"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 xml:space="preserve">36. </w:t>
      </w:r>
      <w:r w:rsidRPr="003F6316">
        <w:rPr>
          <w:rFonts w:asciiTheme="minorHAnsi" w:hAnsiTheme="minorHAnsi"/>
          <w:sz w:val="22"/>
        </w:rPr>
        <w:tab/>
      </w:r>
      <w:proofErr w:type="spellStart"/>
      <w:r w:rsidRPr="003F6316">
        <w:rPr>
          <w:rFonts w:asciiTheme="minorHAnsi" w:hAnsiTheme="minorHAnsi"/>
          <w:sz w:val="22"/>
        </w:rPr>
        <w:t>Willart</w:t>
      </w:r>
      <w:proofErr w:type="spellEnd"/>
      <w:r w:rsidRPr="003F6316">
        <w:rPr>
          <w:rFonts w:asciiTheme="minorHAnsi" w:hAnsiTheme="minorHAnsi"/>
          <w:sz w:val="22"/>
        </w:rPr>
        <w:t xml:space="preserve"> J.F. and</w:t>
      </w:r>
      <w:r w:rsidR="006D77E9" w:rsidRPr="003F6316">
        <w:rPr>
          <w:rFonts w:asciiTheme="minorHAnsi" w:hAnsiTheme="minorHAnsi"/>
          <w:sz w:val="22"/>
        </w:rPr>
        <w:t xml:space="preserve"> Descamps M. Solid state </w:t>
      </w:r>
      <w:proofErr w:type="spellStart"/>
      <w:r w:rsidR="006D77E9" w:rsidRPr="003F6316">
        <w:rPr>
          <w:rFonts w:asciiTheme="minorHAnsi" w:hAnsiTheme="minorHAnsi"/>
          <w:sz w:val="22"/>
        </w:rPr>
        <w:t>amorphization</w:t>
      </w:r>
      <w:proofErr w:type="spellEnd"/>
      <w:r w:rsidR="006D77E9" w:rsidRPr="003F6316">
        <w:rPr>
          <w:rFonts w:asciiTheme="minorHAnsi" w:hAnsiTheme="minorHAnsi"/>
          <w:sz w:val="22"/>
        </w:rPr>
        <w:t xml:space="preserve"> of pharmaceuticals. </w:t>
      </w:r>
      <w:proofErr w:type="spellStart"/>
      <w:r w:rsidR="006D77E9" w:rsidRPr="003F6316">
        <w:rPr>
          <w:rFonts w:asciiTheme="minorHAnsi" w:hAnsiTheme="minorHAnsi"/>
          <w:i/>
          <w:sz w:val="22"/>
        </w:rPr>
        <w:t>Mol</w:t>
      </w:r>
      <w:proofErr w:type="spellEnd"/>
      <w:r w:rsidRPr="003F6316">
        <w:rPr>
          <w:rFonts w:asciiTheme="minorHAnsi" w:hAnsiTheme="minorHAnsi"/>
          <w:i/>
          <w:sz w:val="22"/>
        </w:rPr>
        <w:t xml:space="preserve"> Pharmaceutics </w:t>
      </w:r>
      <w:proofErr w:type="gramStart"/>
      <w:r w:rsidRPr="003F6316">
        <w:rPr>
          <w:rFonts w:asciiTheme="minorHAnsi" w:hAnsiTheme="minorHAnsi"/>
          <w:sz w:val="22"/>
        </w:rPr>
        <w:t xml:space="preserve">2008 </w:t>
      </w:r>
      <w:r w:rsidR="006D77E9" w:rsidRPr="003F6316">
        <w:rPr>
          <w:rFonts w:asciiTheme="minorHAnsi" w:hAnsiTheme="minorHAnsi"/>
          <w:sz w:val="22"/>
        </w:rPr>
        <w:t xml:space="preserve"> 5</w:t>
      </w:r>
      <w:proofErr w:type="gramEnd"/>
      <w:r w:rsidR="006D77E9" w:rsidRPr="003F6316">
        <w:rPr>
          <w:rFonts w:asciiTheme="minorHAnsi" w:hAnsiTheme="minorHAnsi"/>
          <w:sz w:val="22"/>
        </w:rPr>
        <w:t>(6):905–920.</w:t>
      </w:r>
    </w:p>
    <w:p w:rsidR="006D77E9" w:rsidRPr="003F6316"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37.</w:t>
      </w:r>
      <w:r w:rsidRPr="003F6316">
        <w:rPr>
          <w:rFonts w:asciiTheme="minorHAnsi" w:hAnsiTheme="minorHAnsi"/>
          <w:sz w:val="22"/>
        </w:rPr>
        <w:tab/>
      </w:r>
      <w:proofErr w:type="spellStart"/>
      <w:r w:rsidR="006D77E9" w:rsidRPr="003F6316">
        <w:rPr>
          <w:rFonts w:asciiTheme="minorHAnsi" w:hAnsiTheme="minorHAnsi"/>
          <w:sz w:val="22"/>
        </w:rPr>
        <w:t>Brodka</w:t>
      </w:r>
      <w:proofErr w:type="spellEnd"/>
      <w:r w:rsidR="006D77E9" w:rsidRPr="003F6316">
        <w:rPr>
          <w:rFonts w:asciiTheme="minorHAnsi" w:hAnsiTheme="minorHAnsi"/>
          <w:sz w:val="22"/>
        </w:rPr>
        <w:t>-Pfeiffer, K</w:t>
      </w:r>
      <w:r w:rsidRPr="003F6316">
        <w:rPr>
          <w:rFonts w:asciiTheme="minorHAnsi" w:hAnsiTheme="minorHAnsi"/>
          <w:sz w:val="22"/>
        </w:rPr>
        <w:t xml:space="preserve"> </w:t>
      </w:r>
      <w:r w:rsidRPr="003F6316">
        <w:rPr>
          <w:rFonts w:asciiTheme="minorHAnsi" w:hAnsiTheme="minorHAnsi"/>
          <w:i/>
          <w:sz w:val="22"/>
        </w:rPr>
        <w:t>et al</w:t>
      </w:r>
      <w:r w:rsidRPr="003F6316">
        <w:rPr>
          <w:rFonts w:asciiTheme="minorHAnsi" w:hAnsiTheme="minorHAnsi"/>
          <w:sz w:val="22"/>
        </w:rPr>
        <w:t>.</w:t>
      </w:r>
      <w:r w:rsidR="006D77E9" w:rsidRPr="003F6316">
        <w:rPr>
          <w:rFonts w:asciiTheme="minorHAnsi" w:hAnsiTheme="minorHAnsi"/>
          <w:sz w:val="22"/>
        </w:rPr>
        <w:t xml:space="preserve"> Influence of mechanical activation on the physical stability of salbutamol sulphate</w:t>
      </w:r>
      <w:r w:rsidR="006D77E9" w:rsidRPr="003F6316">
        <w:rPr>
          <w:rFonts w:asciiTheme="minorHAnsi" w:hAnsiTheme="minorHAnsi"/>
          <w:i/>
          <w:sz w:val="22"/>
        </w:rPr>
        <w:t xml:space="preserve">. </w:t>
      </w:r>
      <w:proofErr w:type="spellStart"/>
      <w:proofErr w:type="gramStart"/>
      <w:r w:rsidR="006D77E9" w:rsidRPr="003F6316">
        <w:rPr>
          <w:rFonts w:asciiTheme="minorHAnsi" w:hAnsiTheme="minorHAnsi"/>
          <w:i/>
          <w:sz w:val="22"/>
        </w:rPr>
        <w:t>Eur</w:t>
      </w:r>
      <w:proofErr w:type="spellEnd"/>
      <w:r w:rsidR="006D77E9" w:rsidRPr="003F6316">
        <w:rPr>
          <w:rFonts w:asciiTheme="minorHAnsi" w:hAnsiTheme="minorHAnsi"/>
          <w:i/>
          <w:sz w:val="22"/>
        </w:rPr>
        <w:t xml:space="preserve"> </w:t>
      </w:r>
      <w:r w:rsidRPr="003F6316">
        <w:rPr>
          <w:rFonts w:asciiTheme="minorHAnsi" w:hAnsiTheme="minorHAnsi"/>
          <w:i/>
          <w:sz w:val="22"/>
        </w:rPr>
        <w:t xml:space="preserve"> </w:t>
      </w:r>
      <w:r w:rsidR="006D77E9" w:rsidRPr="003F6316">
        <w:rPr>
          <w:rFonts w:asciiTheme="minorHAnsi" w:hAnsiTheme="minorHAnsi"/>
          <w:i/>
          <w:sz w:val="22"/>
        </w:rPr>
        <w:t>J</w:t>
      </w:r>
      <w:proofErr w:type="gramEnd"/>
      <w:r w:rsidR="006D77E9" w:rsidRPr="003F6316">
        <w:rPr>
          <w:rFonts w:asciiTheme="minorHAnsi" w:hAnsiTheme="minorHAnsi"/>
          <w:i/>
          <w:sz w:val="22"/>
        </w:rPr>
        <w:t xml:space="preserve"> Pharm</w:t>
      </w:r>
      <w:r w:rsidRPr="003F6316">
        <w:rPr>
          <w:rFonts w:asciiTheme="minorHAnsi" w:hAnsiTheme="minorHAnsi"/>
          <w:i/>
          <w:sz w:val="22"/>
        </w:rPr>
        <w:t xml:space="preserve"> </w:t>
      </w:r>
      <w:proofErr w:type="spellStart"/>
      <w:r w:rsidR="006D77E9" w:rsidRPr="003F6316">
        <w:rPr>
          <w:rFonts w:asciiTheme="minorHAnsi" w:hAnsiTheme="minorHAnsi"/>
          <w:i/>
          <w:sz w:val="22"/>
        </w:rPr>
        <w:t>Sci</w:t>
      </w:r>
      <w:proofErr w:type="spellEnd"/>
      <w:r w:rsidRPr="003F6316">
        <w:rPr>
          <w:rFonts w:asciiTheme="minorHAnsi" w:hAnsiTheme="minorHAnsi"/>
          <w:sz w:val="22"/>
        </w:rPr>
        <w:t xml:space="preserve"> 2003</w:t>
      </w:r>
      <w:r w:rsidR="006D77E9" w:rsidRPr="003F6316">
        <w:rPr>
          <w:rFonts w:asciiTheme="minorHAnsi" w:hAnsiTheme="minorHAnsi"/>
          <w:sz w:val="22"/>
        </w:rPr>
        <w:t xml:space="preserve">  56(3): 393-400.</w:t>
      </w:r>
    </w:p>
    <w:p w:rsidR="006D77E9" w:rsidRPr="003F6316"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38.</w:t>
      </w:r>
      <w:r w:rsidRPr="003F6316">
        <w:rPr>
          <w:rFonts w:asciiTheme="minorHAnsi" w:hAnsiTheme="minorHAnsi"/>
          <w:sz w:val="22"/>
        </w:rPr>
        <w:tab/>
      </w:r>
      <w:proofErr w:type="spellStart"/>
      <w:r w:rsidRPr="003F6316">
        <w:rPr>
          <w:rFonts w:asciiTheme="minorHAnsi" w:hAnsiTheme="minorHAnsi"/>
          <w:sz w:val="22"/>
        </w:rPr>
        <w:t>Chikhalia</w:t>
      </w:r>
      <w:proofErr w:type="spellEnd"/>
      <w:r w:rsidRPr="003F6316">
        <w:rPr>
          <w:rFonts w:asciiTheme="minorHAnsi" w:hAnsiTheme="minorHAnsi"/>
          <w:sz w:val="22"/>
        </w:rPr>
        <w:t xml:space="preserve"> V1 </w:t>
      </w:r>
      <w:r w:rsidRPr="003F6316">
        <w:rPr>
          <w:rFonts w:asciiTheme="minorHAnsi" w:hAnsiTheme="minorHAnsi"/>
          <w:i/>
          <w:sz w:val="22"/>
        </w:rPr>
        <w:t>et al</w:t>
      </w:r>
      <w:r w:rsidRPr="003F6316">
        <w:rPr>
          <w:rFonts w:asciiTheme="minorHAnsi" w:hAnsiTheme="minorHAnsi"/>
          <w:sz w:val="22"/>
        </w:rPr>
        <w:t xml:space="preserve">. </w:t>
      </w:r>
      <w:r w:rsidR="006D77E9" w:rsidRPr="003F6316">
        <w:rPr>
          <w:rFonts w:asciiTheme="minorHAnsi" w:hAnsiTheme="minorHAnsi"/>
          <w:sz w:val="22"/>
        </w:rPr>
        <w:t>The effect of crystal morphology and mill type on milling induced crystal disorder.</w:t>
      </w:r>
      <w:r w:rsidRPr="003F6316">
        <w:rPr>
          <w:rFonts w:asciiTheme="minorHAnsi" w:hAnsiTheme="minorHAnsi"/>
          <w:sz w:val="22"/>
        </w:rPr>
        <w:t xml:space="preserve"> </w:t>
      </w:r>
      <w:proofErr w:type="spellStart"/>
      <w:r w:rsidRPr="003F6316">
        <w:rPr>
          <w:rFonts w:asciiTheme="minorHAnsi" w:hAnsiTheme="minorHAnsi"/>
          <w:i/>
          <w:sz w:val="22"/>
        </w:rPr>
        <w:t>Eur</w:t>
      </w:r>
      <w:proofErr w:type="spellEnd"/>
      <w:r w:rsidRPr="003F6316">
        <w:rPr>
          <w:rFonts w:asciiTheme="minorHAnsi" w:hAnsiTheme="minorHAnsi"/>
          <w:i/>
          <w:sz w:val="22"/>
        </w:rPr>
        <w:t xml:space="preserve"> J Pharm </w:t>
      </w:r>
      <w:proofErr w:type="spellStart"/>
      <w:r w:rsidRPr="003F6316">
        <w:rPr>
          <w:rFonts w:asciiTheme="minorHAnsi" w:hAnsiTheme="minorHAnsi"/>
          <w:i/>
          <w:sz w:val="22"/>
        </w:rPr>
        <w:t>Sci</w:t>
      </w:r>
      <w:proofErr w:type="spellEnd"/>
      <w:r w:rsidR="006D77E9" w:rsidRPr="003F6316">
        <w:rPr>
          <w:rFonts w:asciiTheme="minorHAnsi" w:hAnsiTheme="minorHAnsi"/>
          <w:sz w:val="22"/>
        </w:rPr>
        <w:t xml:space="preserve"> 2006 Jan</w:t>
      </w:r>
      <w:proofErr w:type="gramStart"/>
      <w:r w:rsidR="006D77E9" w:rsidRPr="003F6316">
        <w:rPr>
          <w:rFonts w:asciiTheme="minorHAnsi" w:hAnsiTheme="minorHAnsi"/>
          <w:sz w:val="22"/>
        </w:rPr>
        <w:t>;27</w:t>
      </w:r>
      <w:proofErr w:type="gramEnd"/>
      <w:r w:rsidR="006D77E9" w:rsidRPr="003F6316">
        <w:rPr>
          <w:rFonts w:asciiTheme="minorHAnsi" w:hAnsiTheme="minorHAnsi"/>
          <w:sz w:val="22"/>
        </w:rPr>
        <w:t>(1):19-26.</w:t>
      </w:r>
    </w:p>
    <w:p w:rsidR="006D77E9" w:rsidRPr="003F6316"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39.</w:t>
      </w:r>
      <w:r w:rsidRPr="003F6316">
        <w:rPr>
          <w:rFonts w:asciiTheme="minorHAnsi" w:hAnsiTheme="minorHAnsi"/>
          <w:sz w:val="22"/>
        </w:rPr>
        <w:tab/>
        <w:t xml:space="preserve">Hu, Y </w:t>
      </w:r>
      <w:r w:rsidRPr="003F6316">
        <w:rPr>
          <w:rFonts w:asciiTheme="minorHAnsi" w:hAnsiTheme="minorHAnsi"/>
          <w:i/>
          <w:sz w:val="22"/>
        </w:rPr>
        <w:t>et al</w:t>
      </w:r>
      <w:r w:rsidRPr="003F6316">
        <w:rPr>
          <w:rFonts w:asciiTheme="minorHAnsi" w:hAnsiTheme="minorHAnsi"/>
          <w:sz w:val="22"/>
        </w:rPr>
        <w:t xml:space="preserve">. </w:t>
      </w:r>
      <w:r w:rsidR="006D77E9" w:rsidRPr="003F6316">
        <w:rPr>
          <w:rFonts w:asciiTheme="minorHAnsi" w:hAnsiTheme="minorHAnsi"/>
          <w:sz w:val="22"/>
        </w:rPr>
        <w:t xml:space="preserve">Formation, physical stability and quantification of process induced disorder in </w:t>
      </w:r>
      <w:proofErr w:type="spellStart"/>
      <w:r w:rsidR="006D77E9" w:rsidRPr="003F6316">
        <w:rPr>
          <w:rFonts w:asciiTheme="minorHAnsi" w:hAnsiTheme="minorHAnsi"/>
          <w:sz w:val="22"/>
        </w:rPr>
        <w:t>cryo</w:t>
      </w:r>
      <w:proofErr w:type="spellEnd"/>
      <w:r w:rsidR="006D77E9" w:rsidRPr="003F6316">
        <w:rPr>
          <w:rFonts w:asciiTheme="minorHAnsi" w:hAnsiTheme="minorHAnsi"/>
          <w:sz w:val="22"/>
        </w:rPr>
        <w:t xml:space="preserve">-milled samples of a model polymorphic drug. </w:t>
      </w:r>
      <w:r w:rsidRPr="003F6316">
        <w:rPr>
          <w:rFonts w:asciiTheme="minorHAnsi" w:hAnsiTheme="minorHAnsi"/>
          <w:i/>
          <w:sz w:val="22"/>
        </w:rPr>
        <w:t>J</w:t>
      </w:r>
      <w:r w:rsidR="006D77E9" w:rsidRPr="003F6316">
        <w:rPr>
          <w:rFonts w:asciiTheme="minorHAnsi" w:hAnsiTheme="minorHAnsi"/>
          <w:i/>
          <w:sz w:val="22"/>
        </w:rPr>
        <w:t xml:space="preserve"> Pharm</w:t>
      </w:r>
      <w:r w:rsidRPr="003F6316">
        <w:rPr>
          <w:rFonts w:asciiTheme="minorHAnsi" w:hAnsiTheme="minorHAnsi"/>
          <w:i/>
          <w:sz w:val="22"/>
        </w:rPr>
        <w:t xml:space="preserve"> </w:t>
      </w:r>
      <w:proofErr w:type="spellStart"/>
      <w:r w:rsidR="006D77E9" w:rsidRPr="003F6316">
        <w:rPr>
          <w:rFonts w:asciiTheme="minorHAnsi" w:hAnsiTheme="minorHAnsi"/>
          <w:i/>
          <w:sz w:val="22"/>
        </w:rPr>
        <w:t>Sci</w:t>
      </w:r>
      <w:proofErr w:type="spellEnd"/>
      <w:r w:rsidRPr="003F6316">
        <w:rPr>
          <w:rFonts w:asciiTheme="minorHAnsi" w:hAnsiTheme="minorHAnsi"/>
          <w:sz w:val="22"/>
        </w:rPr>
        <w:t xml:space="preserve"> 2013</w:t>
      </w:r>
      <w:r w:rsidR="006D77E9" w:rsidRPr="003F6316">
        <w:rPr>
          <w:rFonts w:asciiTheme="minorHAnsi" w:hAnsiTheme="minorHAnsi"/>
          <w:sz w:val="22"/>
        </w:rPr>
        <w:t xml:space="preserve"> 102(1): 93-103.</w:t>
      </w:r>
    </w:p>
    <w:p w:rsidR="006D77E9" w:rsidRPr="00874D2F" w:rsidRDefault="00797162" w:rsidP="006D77E9">
      <w:pPr>
        <w:pStyle w:val="NormalWeb"/>
        <w:ind w:left="640" w:hanging="640"/>
        <w:divId w:val="18971962"/>
        <w:rPr>
          <w:rFonts w:asciiTheme="minorHAnsi" w:hAnsiTheme="minorHAnsi"/>
          <w:sz w:val="22"/>
        </w:rPr>
      </w:pPr>
      <w:r w:rsidRPr="003F6316">
        <w:rPr>
          <w:rFonts w:asciiTheme="minorHAnsi" w:hAnsiTheme="minorHAnsi"/>
          <w:sz w:val="22"/>
        </w:rPr>
        <w:t>40.</w:t>
      </w:r>
      <w:r w:rsidRPr="003F6316">
        <w:rPr>
          <w:rFonts w:asciiTheme="minorHAnsi" w:hAnsiTheme="minorHAnsi"/>
          <w:sz w:val="22"/>
        </w:rPr>
        <w:tab/>
        <w:t xml:space="preserve">Curtin, V </w:t>
      </w:r>
      <w:r w:rsidRPr="003F6316">
        <w:rPr>
          <w:rFonts w:asciiTheme="minorHAnsi" w:hAnsiTheme="minorHAnsi"/>
          <w:i/>
          <w:sz w:val="22"/>
        </w:rPr>
        <w:t>et al</w:t>
      </w:r>
      <w:r w:rsidRPr="003F6316">
        <w:rPr>
          <w:rFonts w:asciiTheme="minorHAnsi" w:hAnsiTheme="minorHAnsi"/>
          <w:sz w:val="22"/>
        </w:rPr>
        <w:t xml:space="preserve">. </w:t>
      </w:r>
      <w:r w:rsidR="006D77E9" w:rsidRPr="003F6316">
        <w:rPr>
          <w:rFonts w:asciiTheme="minorHAnsi" w:hAnsiTheme="minorHAnsi"/>
          <w:sz w:val="22"/>
        </w:rPr>
        <w:t xml:space="preserve">Investigation of the capacity of low glass transition temperature excipients to minimise </w:t>
      </w:r>
      <w:proofErr w:type="spellStart"/>
      <w:r w:rsidR="006D77E9" w:rsidRPr="003F6316">
        <w:rPr>
          <w:rFonts w:asciiTheme="minorHAnsi" w:hAnsiTheme="minorHAnsi"/>
          <w:sz w:val="22"/>
        </w:rPr>
        <w:t>amorphisation</w:t>
      </w:r>
      <w:proofErr w:type="spellEnd"/>
      <w:r w:rsidR="006D77E9" w:rsidRPr="003F6316">
        <w:rPr>
          <w:rFonts w:asciiTheme="minorHAnsi" w:hAnsiTheme="minorHAnsi"/>
          <w:sz w:val="22"/>
        </w:rPr>
        <w:t xml:space="preserve"> of sulfadimidine on co-milling. </w:t>
      </w:r>
      <w:proofErr w:type="spellStart"/>
      <w:r w:rsidR="006D77E9" w:rsidRPr="003F6316">
        <w:rPr>
          <w:rFonts w:asciiTheme="minorHAnsi" w:hAnsiTheme="minorHAnsi"/>
          <w:i/>
          <w:sz w:val="22"/>
        </w:rPr>
        <w:t>Mol</w:t>
      </w:r>
      <w:proofErr w:type="spellEnd"/>
      <w:r w:rsidRPr="003F6316">
        <w:rPr>
          <w:rFonts w:asciiTheme="minorHAnsi" w:hAnsiTheme="minorHAnsi"/>
          <w:i/>
          <w:sz w:val="22"/>
        </w:rPr>
        <w:t xml:space="preserve"> Pharmaceutics</w:t>
      </w:r>
      <w:r w:rsidRPr="003F6316">
        <w:rPr>
          <w:rFonts w:asciiTheme="minorHAnsi" w:hAnsiTheme="minorHAnsi"/>
          <w:sz w:val="22"/>
        </w:rPr>
        <w:t xml:space="preserve"> 2013</w:t>
      </w:r>
      <w:r w:rsidR="006D77E9" w:rsidRPr="003F6316">
        <w:rPr>
          <w:rFonts w:asciiTheme="minorHAnsi" w:hAnsiTheme="minorHAnsi"/>
          <w:sz w:val="22"/>
        </w:rPr>
        <w:t xml:space="preserve"> 10(1): 386-396.</w:t>
      </w:r>
    </w:p>
    <w:p w:rsidR="00B919FD" w:rsidRDefault="00B919FD" w:rsidP="00364163">
      <w:pPr>
        <w:pStyle w:val="NormalWeb"/>
        <w:ind w:left="640" w:hanging="640"/>
        <w:divId w:val="18971962"/>
      </w:pPr>
    </w:p>
    <w:p w:rsidR="00B919FD" w:rsidRDefault="00B919FD" w:rsidP="00364163">
      <w:pPr>
        <w:pStyle w:val="NormalWeb"/>
        <w:ind w:left="640" w:hanging="640"/>
        <w:divId w:val="18971962"/>
      </w:pPr>
    </w:p>
    <w:p w:rsidR="0050186C" w:rsidRDefault="0050186C" w:rsidP="00364163">
      <w:pPr>
        <w:pStyle w:val="NormalWeb"/>
        <w:ind w:left="640" w:hanging="640"/>
        <w:divId w:val="18971962"/>
      </w:pPr>
    </w:p>
    <w:p w:rsidR="0050186C" w:rsidRDefault="0050186C" w:rsidP="00364163">
      <w:pPr>
        <w:pStyle w:val="NormalWeb"/>
        <w:ind w:left="640" w:hanging="640"/>
        <w:divId w:val="18971962"/>
      </w:pPr>
    </w:p>
    <w:p w:rsidR="00B919FD" w:rsidRDefault="00B919FD" w:rsidP="00364163">
      <w:pPr>
        <w:pStyle w:val="NormalWeb"/>
        <w:ind w:left="640" w:hanging="640"/>
        <w:divId w:val="18971962"/>
      </w:pPr>
    </w:p>
    <w:p w:rsidR="00B919FD" w:rsidRPr="008358D3" w:rsidRDefault="00B919FD" w:rsidP="00B919FD">
      <w:pPr>
        <w:pStyle w:val="Caption"/>
        <w:keepNext/>
        <w:divId w:val="18971962"/>
        <w:rPr>
          <w:b w:val="0"/>
          <w:color w:val="auto"/>
          <w:sz w:val="22"/>
          <w:szCs w:val="22"/>
        </w:rPr>
      </w:pPr>
      <w:r w:rsidRPr="00441BDA">
        <w:rPr>
          <w:b w:val="0"/>
          <w:color w:val="auto"/>
          <w:sz w:val="22"/>
          <w:szCs w:val="22"/>
        </w:rPr>
        <w:lastRenderedPageBreak/>
        <w:t xml:space="preserve">Table </w:t>
      </w:r>
      <w:r w:rsidRPr="00441BDA">
        <w:rPr>
          <w:b w:val="0"/>
          <w:color w:val="auto"/>
          <w:sz w:val="22"/>
          <w:szCs w:val="22"/>
        </w:rPr>
        <w:fldChar w:fldCharType="begin"/>
      </w:r>
      <w:r w:rsidRPr="00441BDA">
        <w:rPr>
          <w:b w:val="0"/>
          <w:color w:val="auto"/>
          <w:sz w:val="22"/>
          <w:szCs w:val="22"/>
        </w:rPr>
        <w:instrText xml:space="preserve"> SEQ Table \* ARABIC </w:instrText>
      </w:r>
      <w:r w:rsidRPr="00441BDA">
        <w:rPr>
          <w:b w:val="0"/>
          <w:color w:val="auto"/>
          <w:sz w:val="22"/>
          <w:szCs w:val="22"/>
        </w:rPr>
        <w:fldChar w:fldCharType="separate"/>
      </w:r>
      <w:r>
        <w:rPr>
          <w:b w:val="0"/>
          <w:noProof/>
          <w:color w:val="auto"/>
          <w:sz w:val="22"/>
          <w:szCs w:val="22"/>
        </w:rPr>
        <w:t>1</w:t>
      </w:r>
      <w:r w:rsidRPr="00441BDA">
        <w:rPr>
          <w:b w:val="0"/>
          <w:color w:val="auto"/>
          <w:sz w:val="22"/>
          <w:szCs w:val="22"/>
        </w:rPr>
        <w:fldChar w:fldCharType="end"/>
      </w:r>
      <w:r>
        <w:rPr>
          <w:b w:val="0"/>
          <w:color w:val="auto"/>
          <w:sz w:val="22"/>
          <w:szCs w:val="22"/>
        </w:rPr>
        <w:t xml:space="preserve"> Burger-</w:t>
      </w:r>
      <w:proofErr w:type="spellStart"/>
      <w:r>
        <w:rPr>
          <w:b w:val="0"/>
          <w:color w:val="auto"/>
          <w:sz w:val="22"/>
          <w:szCs w:val="22"/>
        </w:rPr>
        <w:t>R</w:t>
      </w:r>
      <w:r w:rsidRPr="00441BDA">
        <w:rPr>
          <w:b w:val="0"/>
          <w:color w:val="auto"/>
          <w:sz w:val="22"/>
          <w:szCs w:val="22"/>
        </w:rPr>
        <w:t>amburger</w:t>
      </w:r>
      <w:proofErr w:type="spellEnd"/>
      <w:r w:rsidRPr="00441BDA">
        <w:rPr>
          <w:b w:val="0"/>
          <w:color w:val="auto"/>
          <w:sz w:val="22"/>
          <w:szCs w:val="22"/>
        </w:rPr>
        <w:t xml:space="preserve"> </w:t>
      </w:r>
      <w:r w:rsidRPr="00441BDA">
        <w:rPr>
          <w:rFonts w:cs="Arial"/>
          <w:b w:val="0"/>
          <w:color w:val="auto"/>
          <w:sz w:val="22"/>
          <w:szCs w:val="22"/>
        </w:rPr>
        <w:t xml:space="preserve">thermodynamic rules for </w:t>
      </w:r>
      <w:r>
        <w:rPr>
          <w:rFonts w:cs="Arial"/>
          <w:b w:val="0"/>
          <w:color w:val="auto"/>
          <w:sz w:val="22"/>
          <w:szCs w:val="22"/>
        </w:rPr>
        <w:t xml:space="preserve">RHT </w:t>
      </w:r>
      <w:r w:rsidRPr="00441BDA">
        <w:rPr>
          <w:rFonts w:cs="Arial"/>
          <w:b w:val="0"/>
          <w:color w:val="auto"/>
          <w:sz w:val="22"/>
          <w:szCs w:val="22"/>
        </w:rPr>
        <w:t>polymorphic transi</w:t>
      </w:r>
      <w:r w:rsidRPr="008358D3">
        <w:rPr>
          <w:rFonts w:cs="Arial"/>
          <w:b w:val="0"/>
          <w:color w:val="auto"/>
          <w:sz w:val="22"/>
          <w:szCs w:val="22"/>
        </w:rPr>
        <w:t xml:space="preserve">tion. </w:t>
      </w:r>
      <m:oMath>
        <m:sSub>
          <m:sSubPr>
            <m:ctrlPr>
              <w:rPr>
                <w:rFonts w:ascii="Cambria Math" w:hAnsi="Cambria Math" w:cs="Arial"/>
                <w:i/>
              </w:rPr>
            </m:ctrlPr>
          </m:sSubPr>
          <m:e>
            <m:r>
              <m:rPr>
                <m:sty m:val="bi"/>
              </m:rPr>
              <w:rPr>
                <w:rFonts w:ascii="Cambria Math" w:hAnsi="Cambria Math" w:cs="Arial"/>
              </w:rPr>
              <m:t>∆H</m:t>
            </m:r>
          </m:e>
          <m:sub>
            <m:r>
              <m:rPr>
                <m:sty m:val="bi"/>
              </m:rPr>
              <w:rPr>
                <w:rFonts w:ascii="Cambria Math" w:hAnsi="Cambria Math" w:cs="Arial"/>
              </w:rPr>
              <m:t>f</m:t>
            </m:r>
          </m:sub>
        </m:sSub>
      </m:oMath>
      <w:r w:rsidRPr="00B919FD">
        <w:rPr>
          <w:rFonts w:eastAsia="Times New Roman" w:cs="Arial"/>
          <w:b w:val="0"/>
          <w:color w:val="auto"/>
          <w:sz w:val="22"/>
          <w:szCs w:val="22"/>
        </w:rPr>
        <w:t xml:space="preserve"> – </w:t>
      </w:r>
      <w:proofErr w:type="gramStart"/>
      <w:r w:rsidRPr="00B919FD">
        <w:rPr>
          <w:rFonts w:eastAsia="Times New Roman" w:cs="Arial"/>
          <w:b w:val="0"/>
          <w:color w:val="auto"/>
          <w:sz w:val="22"/>
          <w:szCs w:val="22"/>
        </w:rPr>
        <w:t>enthalpy</w:t>
      </w:r>
      <w:proofErr w:type="gramEnd"/>
      <w:r w:rsidRPr="00B919FD">
        <w:rPr>
          <w:rFonts w:eastAsia="Times New Roman" w:cs="Arial"/>
          <w:b w:val="0"/>
          <w:color w:val="auto"/>
          <w:sz w:val="22"/>
          <w:szCs w:val="22"/>
        </w:rPr>
        <w:t xml:space="preserve"> of fusion, </w:t>
      </w:r>
      <w:r w:rsidRPr="00B919FD">
        <w:rPr>
          <w:rFonts w:eastAsia="Times New Roman" w:cs="Arial"/>
          <w:b w:val="0"/>
          <w:i/>
          <w:color w:val="auto"/>
          <w:sz w:val="22"/>
          <w:szCs w:val="22"/>
        </w:rPr>
        <w:t xml:space="preserve">IDR – </w:t>
      </w:r>
      <w:r w:rsidRPr="00B919FD">
        <w:rPr>
          <w:rFonts w:eastAsia="Times New Roman" w:cs="Arial"/>
          <w:b w:val="0"/>
          <w:color w:val="auto"/>
          <w:sz w:val="22"/>
          <w:szCs w:val="22"/>
        </w:rPr>
        <w:t xml:space="preserve">intrinsic dissolution rate, </w:t>
      </w:r>
      <w:r w:rsidRPr="00B919FD">
        <w:rPr>
          <w:rFonts w:eastAsia="Times New Roman" w:cs="Arial"/>
          <w:b w:val="0"/>
          <w:i/>
          <w:color w:val="auto"/>
          <w:sz w:val="22"/>
          <w:szCs w:val="22"/>
        </w:rPr>
        <w:t>ρ</w:t>
      </w:r>
      <w:r w:rsidRPr="00B919FD">
        <w:rPr>
          <w:rFonts w:eastAsia="Times New Roman" w:cs="Arial"/>
          <w:b w:val="0"/>
          <w:color w:val="auto"/>
          <w:sz w:val="22"/>
          <w:szCs w:val="22"/>
        </w:rPr>
        <w:t xml:space="preserve"> – true density</w:t>
      </w:r>
    </w:p>
    <w:tbl>
      <w:tblPr>
        <w:tblW w:w="5000" w:type="pct"/>
        <w:tblBorders>
          <w:top w:val="single" w:sz="4" w:space="0" w:color="auto"/>
          <w:bottom w:val="single" w:sz="4" w:space="0" w:color="auto"/>
          <w:insideV w:val="single" w:sz="4" w:space="0" w:color="auto"/>
        </w:tblBorders>
        <w:tblLook w:val="04A0" w:firstRow="1" w:lastRow="0" w:firstColumn="1" w:lastColumn="0" w:noHBand="0" w:noVBand="1"/>
      </w:tblPr>
      <w:tblGrid>
        <w:gridCol w:w="1948"/>
        <w:gridCol w:w="7078"/>
      </w:tblGrid>
      <w:tr w:rsidR="00B919FD" w:rsidRPr="00441BDA" w:rsidTr="00B919FD">
        <w:trPr>
          <w:divId w:val="18971962"/>
        </w:trPr>
        <w:tc>
          <w:tcPr>
            <w:tcW w:w="1079" w:type="pct"/>
            <w:shd w:val="clear" w:color="auto" w:fill="auto"/>
            <w:vAlign w:val="center"/>
          </w:tcPr>
          <w:p w:rsidR="00B919FD" w:rsidRPr="00B919FD" w:rsidRDefault="00B919FD" w:rsidP="00B919FD">
            <w:pPr>
              <w:spacing w:after="120"/>
              <w:jc w:val="center"/>
              <w:rPr>
                <w:rFonts w:cs="Arial"/>
                <w:b/>
              </w:rPr>
            </w:pPr>
            <w:r w:rsidRPr="00B919FD">
              <w:rPr>
                <w:rFonts w:cs="Arial"/>
                <w:b/>
              </w:rPr>
              <w:t>DSC</w:t>
            </w:r>
          </w:p>
        </w:tc>
        <w:tc>
          <w:tcPr>
            <w:tcW w:w="3921" w:type="pct"/>
            <w:shd w:val="clear" w:color="auto" w:fill="auto"/>
            <w:vAlign w:val="center"/>
          </w:tcPr>
          <w:p w:rsidR="00B919FD" w:rsidRPr="00B919FD" w:rsidRDefault="00B919FD" w:rsidP="00B919FD">
            <w:pPr>
              <w:pStyle w:val="ListParagraph"/>
              <w:numPr>
                <w:ilvl w:val="0"/>
                <w:numId w:val="7"/>
              </w:numPr>
              <w:spacing w:after="120" w:line="240" w:lineRule="auto"/>
              <w:ind w:left="176" w:hanging="284"/>
              <w:rPr>
                <w:rFonts w:cs="Arial"/>
              </w:rPr>
            </w:pPr>
            <w:r w:rsidRPr="00B919FD">
              <w:rPr>
                <w:rFonts w:cs="Arial"/>
              </w:rPr>
              <w:t xml:space="preserve">Transition of Form II →I shows an exothermic peak before melting of Form I </w:t>
            </w:r>
          </w:p>
          <w:p w:rsidR="00B919FD" w:rsidRPr="00B919FD" w:rsidRDefault="0050186C" w:rsidP="00B919FD">
            <w:pPr>
              <w:pStyle w:val="ListParagraph"/>
              <w:numPr>
                <w:ilvl w:val="0"/>
                <w:numId w:val="7"/>
              </w:numPr>
              <w:spacing w:after="120" w:line="240" w:lineRule="auto"/>
              <w:ind w:left="176" w:hanging="284"/>
              <w:rPr>
                <w:rFonts w:cs="Arial"/>
              </w:rPr>
            </w:pPr>
            <m:oMath>
              <m:sSubSup>
                <m:sSubSupPr>
                  <m:ctrlPr>
                    <w:rPr>
                      <w:rFonts w:ascii="Cambria Math" w:hAnsi="Cambria Math" w:cs="Arial"/>
                      <w:i/>
                    </w:rPr>
                  </m:ctrlPr>
                </m:sSubSupPr>
                <m:e>
                  <m:r>
                    <w:rPr>
                      <w:rFonts w:ascii="Cambria Math" w:hAnsi="Cambria Math" w:cs="Arial"/>
                    </w:rPr>
                    <m:t>∆H</m:t>
                  </m:r>
                </m:e>
                <m:sub>
                  <m:r>
                    <w:rPr>
                      <w:rFonts w:ascii="Cambria Math" w:hAnsi="Cambria Math" w:cs="Arial"/>
                    </w:rPr>
                    <m:t>f</m:t>
                  </m:r>
                </m:sub>
                <m:sup>
                  <m:r>
                    <w:rPr>
                      <w:rFonts w:ascii="Cambria Math" w:hAnsi="Cambria Math" w:cs="Arial"/>
                    </w:rPr>
                    <m:t>I</m:t>
                  </m:r>
                </m:sup>
              </m:sSubSup>
              <m:r>
                <w:rPr>
                  <w:rFonts w:ascii="Cambria Math" w:hAnsi="Cambria Math" w:cs="Arial"/>
                </w:rPr>
                <m:t xml:space="preserve"> (34.57 </m:t>
              </m:r>
              <m:sSup>
                <m:sSupPr>
                  <m:ctrlPr>
                    <w:rPr>
                      <w:rFonts w:ascii="Cambria Math" w:hAnsi="Cambria Math" w:cs="Arial"/>
                      <w:i/>
                    </w:rPr>
                  </m:ctrlPr>
                </m:sSupPr>
                <m:e>
                  <m:r>
                    <w:rPr>
                      <w:rFonts w:ascii="Cambria Math" w:hAnsi="Cambria Math" w:cs="Arial"/>
                    </w:rPr>
                    <m:t>KJ.mol</m:t>
                  </m:r>
                </m:e>
                <m:sup>
                  <m:r>
                    <w:rPr>
                      <w:rFonts w:ascii="Cambria Math" w:hAnsi="Cambria Math" w:cs="Arial"/>
                    </w:rPr>
                    <m:t>-1</m:t>
                  </m:r>
                </m:sup>
              </m:sSup>
              <m:r>
                <w:rPr>
                  <w:rFonts w:ascii="Cambria Math" w:hAnsi="Cambria Math" w:cs="Arial"/>
                </w:rPr>
                <m:t>)&gt;</m:t>
              </m:r>
              <m:sSubSup>
                <m:sSubSupPr>
                  <m:ctrlPr>
                    <w:rPr>
                      <w:rFonts w:ascii="Cambria Math" w:hAnsi="Cambria Math" w:cs="Arial"/>
                      <w:i/>
                    </w:rPr>
                  </m:ctrlPr>
                </m:sSubSupPr>
                <m:e>
                  <m:r>
                    <w:rPr>
                      <w:rFonts w:ascii="Cambria Math" w:hAnsi="Cambria Math" w:cs="Arial"/>
                    </w:rPr>
                    <m:t>∆H</m:t>
                  </m:r>
                </m:e>
                <m:sub>
                  <m:r>
                    <w:rPr>
                      <w:rFonts w:ascii="Cambria Math" w:hAnsi="Cambria Math" w:cs="Arial"/>
                    </w:rPr>
                    <m:t>f</m:t>
                  </m:r>
                </m:sub>
                <m:sup>
                  <m:r>
                    <w:rPr>
                      <w:rFonts w:ascii="Cambria Math" w:hAnsi="Cambria Math" w:cs="Arial"/>
                    </w:rPr>
                    <m:t>II</m:t>
                  </m:r>
                </m:sup>
              </m:sSubSup>
              <m:r>
                <w:rPr>
                  <w:rFonts w:ascii="Cambria Math" w:hAnsi="Cambria Math" w:cs="Arial"/>
                </w:rPr>
                <m:t>(18.05</m:t>
              </m:r>
              <m:sSup>
                <m:sSupPr>
                  <m:ctrlPr>
                    <w:rPr>
                      <w:rFonts w:ascii="Cambria Math" w:hAnsi="Cambria Math" w:cs="Arial"/>
                      <w:i/>
                    </w:rPr>
                  </m:ctrlPr>
                </m:sSupPr>
                <m:e>
                  <m:r>
                    <w:rPr>
                      <w:rFonts w:ascii="Cambria Math" w:hAnsi="Cambria Math" w:cs="Arial"/>
                    </w:rPr>
                    <m:t>KJ.mol</m:t>
                  </m:r>
                </m:e>
                <m:sup>
                  <m:r>
                    <w:rPr>
                      <w:rFonts w:ascii="Cambria Math" w:hAnsi="Cambria Math" w:cs="Arial"/>
                    </w:rPr>
                    <m:t>-1</m:t>
                  </m:r>
                </m:sup>
              </m:sSup>
              <m:r>
                <w:rPr>
                  <w:rFonts w:ascii="Cambria Math" w:hAnsi="Cambria Math" w:cs="Arial"/>
                </w:rPr>
                <m:t>)</m:t>
              </m:r>
            </m:oMath>
          </w:p>
        </w:tc>
      </w:tr>
      <w:tr w:rsidR="00B919FD" w:rsidRPr="00441BDA" w:rsidTr="00B919FD">
        <w:trPr>
          <w:divId w:val="18971962"/>
        </w:trPr>
        <w:tc>
          <w:tcPr>
            <w:tcW w:w="1079" w:type="pct"/>
            <w:shd w:val="clear" w:color="auto" w:fill="auto"/>
            <w:vAlign w:val="center"/>
          </w:tcPr>
          <w:p w:rsidR="00B919FD" w:rsidRPr="00B919FD" w:rsidRDefault="00B919FD" w:rsidP="00B919FD">
            <w:pPr>
              <w:spacing w:after="120"/>
              <w:jc w:val="center"/>
              <w:rPr>
                <w:rFonts w:cs="Arial"/>
                <w:b/>
              </w:rPr>
            </w:pPr>
            <w:r w:rsidRPr="00B919FD">
              <w:rPr>
                <w:rFonts w:cs="Arial"/>
                <w:b/>
              </w:rPr>
              <w:t>IR</w:t>
            </w:r>
          </w:p>
        </w:tc>
        <w:tc>
          <w:tcPr>
            <w:tcW w:w="3921" w:type="pct"/>
            <w:shd w:val="clear" w:color="auto" w:fill="auto"/>
            <w:vAlign w:val="center"/>
          </w:tcPr>
          <w:p w:rsidR="00B919FD" w:rsidRPr="00B919FD" w:rsidRDefault="00B919FD" w:rsidP="00B919FD">
            <w:pPr>
              <w:rPr>
                <w:rFonts w:cs="Arial"/>
              </w:rPr>
            </w:pPr>
            <w:r w:rsidRPr="00B919FD">
              <w:rPr>
                <w:rFonts w:cs="Arial"/>
              </w:rPr>
              <w:t xml:space="preserve">Carbamate band: </w:t>
            </w:r>
          </w:p>
          <w:p w:rsidR="00B919FD" w:rsidRPr="00B919FD" w:rsidRDefault="00B919FD" w:rsidP="00B919FD">
            <w:pPr>
              <w:spacing w:after="60"/>
              <w:rPr>
                <w:rFonts w:cs="Arial"/>
              </w:rPr>
            </w:pPr>
            <w:r w:rsidRPr="00B919FD">
              <w:rPr>
                <w:rFonts w:cs="Arial"/>
              </w:rPr>
              <w:t>Form II: 1694 cm</w:t>
            </w:r>
            <w:r w:rsidRPr="00B919FD">
              <w:rPr>
                <w:rFonts w:cs="Arial"/>
                <w:vertAlign w:val="superscript"/>
              </w:rPr>
              <w:t xml:space="preserve">-1 </w:t>
            </w:r>
            <w:r w:rsidRPr="00B919FD">
              <w:rPr>
                <w:rFonts w:cs="Arial"/>
              </w:rPr>
              <w:t>→ Form I: 1725 cm</w:t>
            </w:r>
            <w:r w:rsidRPr="00B919FD">
              <w:rPr>
                <w:rFonts w:cs="Arial"/>
                <w:vertAlign w:val="superscript"/>
              </w:rPr>
              <w:t>-1</w:t>
            </w:r>
          </w:p>
        </w:tc>
      </w:tr>
      <w:tr w:rsidR="00B919FD" w:rsidRPr="00441BDA" w:rsidTr="00B919FD">
        <w:trPr>
          <w:divId w:val="18971962"/>
        </w:trPr>
        <w:tc>
          <w:tcPr>
            <w:tcW w:w="1079" w:type="pct"/>
            <w:shd w:val="clear" w:color="auto" w:fill="auto"/>
            <w:vAlign w:val="center"/>
          </w:tcPr>
          <w:p w:rsidR="00B919FD" w:rsidRPr="00B919FD" w:rsidRDefault="00B919FD" w:rsidP="00B919FD">
            <w:pPr>
              <w:spacing w:after="120"/>
              <w:jc w:val="center"/>
              <w:rPr>
                <w:rFonts w:cs="Arial"/>
                <w:b/>
              </w:rPr>
            </w:pPr>
            <w:r w:rsidRPr="00B919FD">
              <w:rPr>
                <w:rFonts w:cs="Arial"/>
                <w:b/>
              </w:rPr>
              <w:t>Solubility</w:t>
            </w:r>
          </w:p>
        </w:tc>
        <w:tc>
          <w:tcPr>
            <w:tcW w:w="3921" w:type="pct"/>
            <w:shd w:val="clear" w:color="auto" w:fill="auto"/>
            <w:vAlign w:val="center"/>
          </w:tcPr>
          <w:p w:rsidR="00B919FD" w:rsidRPr="00B919FD" w:rsidRDefault="0050186C" w:rsidP="00B919FD">
            <w:pPr>
              <w:spacing w:after="60"/>
              <w:ind w:left="176" w:hanging="284"/>
              <w:rPr>
                <w:rFonts w:cs="Arial"/>
              </w:rPr>
            </w:pPr>
            <m:oMath>
              <m:sSub>
                <m:sSubPr>
                  <m:ctrlPr>
                    <w:rPr>
                      <w:rFonts w:ascii="Cambria Math" w:hAnsi="Cambria Math" w:cs="Arial"/>
                      <w:i/>
                    </w:rPr>
                  </m:ctrlPr>
                </m:sSubPr>
                <m:e>
                  <m:r>
                    <w:rPr>
                      <w:rFonts w:ascii="Cambria Math" w:hAnsi="Cambria Math" w:cs="Arial"/>
                    </w:rPr>
                    <m:t>IDR</m:t>
                  </m:r>
                </m:e>
                <m:sub>
                  <m:r>
                    <w:rPr>
                      <w:rFonts w:ascii="Cambria Math" w:hAnsi="Cambria Math" w:cs="Arial"/>
                    </w:rPr>
                    <m:t>I</m:t>
                  </m:r>
                </m:sub>
              </m:sSub>
              <m:r>
                <w:rPr>
                  <w:rFonts w:ascii="Cambria Math" w:hAnsi="Cambria Math" w:cs="Arial"/>
                </w:rPr>
                <m:t>=69.0±7.2 mg.</m:t>
              </m:r>
              <m:sSup>
                <m:sSupPr>
                  <m:ctrlPr>
                    <w:rPr>
                      <w:rFonts w:ascii="Cambria Math" w:hAnsi="Cambria Math" w:cs="Arial"/>
                      <w:i/>
                    </w:rPr>
                  </m:ctrlPr>
                </m:sSupPr>
                <m:e>
                  <m:r>
                    <w:rPr>
                      <w:rFonts w:ascii="Cambria Math" w:hAnsi="Cambria Math" w:cs="Arial"/>
                    </w:rPr>
                    <m:t>min</m:t>
                  </m:r>
                </m:e>
                <m:sup>
                  <m:r>
                    <w:rPr>
                      <w:rFonts w:ascii="Cambria Math" w:hAnsi="Cambria Math" w:cs="Arial"/>
                    </w:rPr>
                    <m:t>-1</m:t>
                  </m:r>
                </m:sup>
              </m:sSup>
              <m:r>
                <w:rPr>
                  <w:rFonts w:ascii="Cambria Math" w:hAnsi="Cambria Math" w:cs="Arial"/>
                </w:rPr>
                <m:t>.</m:t>
              </m:r>
              <m:sSup>
                <m:sSupPr>
                  <m:ctrlPr>
                    <w:rPr>
                      <w:rFonts w:ascii="Cambria Math" w:hAnsi="Cambria Math" w:cs="Arial"/>
                      <w:i/>
                    </w:rPr>
                  </m:ctrlPr>
                </m:sSupPr>
                <m:e>
                  <m:r>
                    <w:rPr>
                      <w:rFonts w:ascii="Cambria Math" w:hAnsi="Cambria Math" w:cs="Arial"/>
                    </w:rPr>
                    <m:t>cm</m:t>
                  </m:r>
                </m:e>
                <m:sup>
                  <m:r>
                    <w:rPr>
                      <w:rFonts w:ascii="Cambria Math" w:hAnsi="Cambria Math" w:cs="Arial"/>
                    </w:rPr>
                    <m:t>-2</m:t>
                  </m:r>
                </m:sup>
              </m:sSup>
              <m:r>
                <w:rPr>
                  <w:rFonts w:ascii="Cambria Math" w:hAnsi="Cambria Math" w:cs="Arial"/>
                </w:rPr>
                <m:t>&lt;</m:t>
              </m:r>
              <m:sSub>
                <m:sSubPr>
                  <m:ctrlPr>
                    <w:rPr>
                      <w:rFonts w:ascii="Cambria Math" w:hAnsi="Cambria Math" w:cs="Arial"/>
                      <w:i/>
                    </w:rPr>
                  </m:ctrlPr>
                </m:sSubPr>
                <m:e>
                  <m:r>
                    <w:rPr>
                      <w:rFonts w:ascii="Cambria Math" w:hAnsi="Cambria Math" w:cs="Arial"/>
                    </w:rPr>
                    <m:t>IDR</m:t>
                  </m:r>
                </m:e>
                <m:sub>
                  <m:r>
                    <w:rPr>
                      <w:rFonts w:ascii="Cambria Math" w:hAnsi="Cambria Math" w:cs="Arial"/>
                    </w:rPr>
                    <m:t>II</m:t>
                  </m:r>
                </m:sub>
              </m:sSub>
              <m:r>
                <w:rPr>
                  <w:rFonts w:ascii="Cambria Math" w:hAnsi="Cambria Math" w:cs="Arial"/>
                </w:rPr>
                <m:t>=80.2±7.4 mg.</m:t>
              </m:r>
              <m:sSup>
                <m:sSupPr>
                  <m:ctrlPr>
                    <w:rPr>
                      <w:rFonts w:ascii="Cambria Math" w:hAnsi="Cambria Math" w:cs="Arial"/>
                      <w:i/>
                    </w:rPr>
                  </m:ctrlPr>
                </m:sSupPr>
                <m:e>
                  <m:r>
                    <w:rPr>
                      <w:rFonts w:ascii="Cambria Math" w:hAnsi="Cambria Math" w:cs="Arial"/>
                    </w:rPr>
                    <m:t>min</m:t>
                  </m:r>
                </m:e>
                <m:sup>
                  <m:r>
                    <w:rPr>
                      <w:rFonts w:ascii="Cambria Math" w:hAnsi="Cambria Math" w:cs="Arial"/>
                    </w:rPr>
                    <m:t>-1</m:t>
                  </m:r>
                </m:sup>
              </m:sSup>
              <m:sSup>
                <m:sSupPr>
                  <m:ctrlPr>
                    <w:rPr>
                      <w:rFonts w:ascii="Cambria Math" w:hAnsi="Cambria Math" w:cs="Arial"/>
                      <w:i/>
                    </w:rPr>
                  </m:ctrlPr>
                </m:sSupPr>
                <m:e>
                  <m:r>
                    <w:rPr>
                      <w:rFonts w:ascii="Cambria Math" w:hAnsi="Cambria Math" w:cs="Arial"/>
                    </w:rPr>
                    <m:t>.cm</m:t>
                  </m:r>
                </m:e>
                <m:sup>
                  <m:r>
                    <w:rPr>
                      <w:rFonts w:ascii="Cambria Math" w:hAnsi="Cambria Math" w:cs="Arial"/>
                    </w:rPr>
                    <m:t>-2</m:t>
                  </m:r>
                </m:sup>
              </m:sSup>
            </m:oMath>
            <w:r w:rsidR="00B919FD" w:rsidRPr="00B919FD">
              <w:rPr>
                <w:rFonts w:cs="Arial"/>
              </w:rPr>
              <w:t xml:space="preserve"> </w:t>
            </w:r>
          </w:p>
        </w:tc>
      </w:tr>
      <w:tr w:rsidR="00B919FD" w:rsidRPr="00441BDA" w:rsidTr="00B919FD">
        <w:trPr>
          <w:divId w:val="18971962"/>
        </w:trPr>
        <w:tc>
          <w:tcPr>
            <w:tcW w:w="1079" w:type="pct"/>
            <w:shd w:val="clear" w:color="auto" w:fill="auto"/>
            <w:vAlign w:val="center"/>
          </w:tcPr>
          <w:p w:rsidR="00B919FD" w:rsidRPr="00B919FD" w:rsidRDefault="00B919FD" w:rsidP="00B919FD">
            <w:pPr>
              <w:spacing w:after="120"/>
              <w:jc w:val="center"/>
              <w:rPr>
                <w:rFonts w:cs="Arial"/>
                <w:b/>
              </w:rPr>
            </w:pPr>
            <w:r w:rsidRPr="00B919FD">
              <w:rPr>
                <w:rFonts w:cs="Arial"/>
                <w:b/>
              </w:rPr>
              <w:t>True density</w:t>
            </w:r>
          </w:p>
        </w:tc>
        <w:tc>
          <w:tcPr>
            <w:tcW w:w="3921" w:type="pct"/>
            <w:shd w:val="clear" w:color="auto" w:fill="auto"/>
            <w:vAlign w:val="center"/>
          </w:tcPr>
          <w:p w:rsidR="00B919FD" w:rsidRPr="00B919FD" w:rsidRDefault="0050186C" w:rsidP="00B919FD">
            <w:pPr>
              <w:spacing w:after="60"/>
              <w:rPr>
                <w:rFonts w:eastAsia="Times New Roman" w:cs="Arial"/>
              </w:rPr>
            </w:pPr>
            <m:oMath>
              <m:sSub>
                <m:sSubPr>
                  <m:ctrlPr>
                    <w:rPr>
                      <w:rFonts w:ascii="Cambria Math" w:hAnsi="Cambria Math" w:cs="Arial"/>
                      <w:i/>
                    </w:rPr>
                  </m:ctrlPr>
                </m:sSubPr>
                <m:e>
                  <m:r>
                    <w:rPr>
                      <w:rFonts w:ascii="Cambria Math" w:hAnsi="Cambria Math" w:cs="Arial"/>
                    </w:rPr>
                    <m:t>ρ</m:t>
                  </m:r>
                </m:e>
                <m:sub>
                  <m:r>
                    <w:rPr>
                      <w:rFonts w:ascii="Cambria Math" w:hAnsi="Cambria Math" w:cs="Arial"/>
                    </w:rPr>
                    <m:t>I</m:t>
                  </m:r>
                </m:sub>
              </m:sSub>
              <m:r>
                <w:rPr>
                  <w:rFonts w:ascii="Cambria Math" w:hAnsi="Cambria Math" w:cs="Arial"/>
                </w:rPr>
                <m:t>=1.20±0.001 g.</m:t>
              </m:r>
              <m:sSup>
                <m:sSupPr>
                  <m:ctrlPr>
                    <w:rPr>
                      <w:rFonts w:ascii="Cambria Math" w:hAnsi="Cambria Math" w:cs="Arial"/>
                      <w:i/>
                    </w:rPr>
                  </m:ctrlPr>
                </m:sSupPr>
                <m:e>
                  <m:r>
                    <w:rPr>
                      <w:rFonts w:ascii="Cambria Math" w:hAnsi="Cambria Math" w:cs="Arial"/>
                    </w:rPr>
                    <m:t>cm</m:t>
                  </m:r>
                </m:e>
                <m:sup>
                  <m:r>
                    <w:rPr>
                      <w:rFonts w:ascii="Cambria Math" w:hAnsi="Cambria Math" w:cs="Arial"/>
                    </w:rPr>
                    <m:t>-3</m:t>
                  </m:r>
                </m:sup>
              </m:sSup>
              <m:r>
                <w:rPr>
                  <w:rFonts w:ascii="Cambria Math" w:hAnsi="Cambria Math" w:cs="Arial"/>
                </w:rPr>
                <m:t>&gt;</m:t>
              </m:r>
              <m:sSub>
                <m:sSubPr>
                  <m:ctrlPr>
                    <w:rPr>
                      <w:rFonts w:ascii="Cambria Math" w:hAnsi="Cambria Math" w:cs="Arial"/>
                      <w:i/>
                    </w:rPr>
                  </m:ctrlPr>
                </m:sSubPr>
                <m:e>
                  <m:r>
                    <w:rPr>
                      <w:rFonts w:ascii="Cambria Math" w:hAnsi="Cambria Math" w:cs="Arial"/>
                    </w:rPr>
                    <m:t>ρ</m:t>
                  </m:r>
                </m:e>
                <m:sub>
                  <m:r>
                    <w:rPr>
                      <w:rFonts w:ascii="Cambria Math" w:hAnsi="Cambria Math" w:cs="Arial"/>
                    </w:rPr>
                    <m:t>II</m:t>
                  </m:r>
                </m:sub>
              </m:sSub>
              <m:r>
                <w:rPr>
                  <w:rFonts w:ascii="Cambria Math" w:hAnsi="Cambria Math" w:cs="Arial"/>
                </w:rPr>
                <m:t>=1.13±0.001 g.</m:t>
              </m:r>
              <m:sSup>
                <m:sSupPr>
                  <m:ctrlPr>
                    <w:rPr>
                      <w:rFonts w:ascii="Cambria Math" w:hAnsi="Cambria Math" w:cs="Arial"/>
                      <w:i/>
                    </w:rPr>
                  </m:ctrlPr>
                </m:sSupPr>
                <m:e>
                  <m:r>
                    <w:rPr>
                      <w:rFonts w:ascii="Cambria Math" w:hAnsi="Cambria Math" w:cs="Arial"/>
                    </w:rPr>
                    <m:t>cm</m:t>
                  </m:r>
                </m:e>
                <m:sup>
                  <m:r>
                    <w:rPr>
                      <w:rFonts w:ascii="Cambria Math" w:hAnsi="Cambria Math" w:cs="Arial"/>
                    </w:rPr>
                    <m:t>-3</m:t>
                  </m:r>
                </m:sup>
              </m:sSup>
            </m:oMath>
            <w:r w:rsidR="00B919FD" w:rsidRPr="00B919FD">
              <w:rPr>
                <w:rFonts w:eastAsia="Times New Roman" w:cs="Arial"/>
              </w:rPr>
              <w:t xml:space="preserve"> </w:t>
            </w:r>
          </w:p>
        </w:tc>
      </w:tr>
    </w:tbl>
    <w:p w:rsidR="00B919FD" w:rsidRDefault="00B919FD" w:rsidP="00B919FD">
      <w:pPr>
        <w:divId w:val="18971962"/>
      </w:pPr>
    </w:p>
    <w:p w:rsidR="003F6316" w:rsidRDefault="003F6316" w:rsidP="00B919FD">
      <w:pPr>
        <w:divId w:val="18971962"/>
      </w:pPr>
    </w:p>
    <w:p w:rsidR="00B919FD" w:rsidRPr="00573D0F" w:rsidRDefault="00B919FD" w:rsidP="00B919FD">
      <w:pPr>
        <w:pStyle w:val="Caption"/>
        <w:keepNext/>
        <w:divId w:val="18971962"/>
        <w:rPr>
          <w:b w:val="0"/>
          <w:color w:val="auto"/>
          <w:sz w:val="22"/>
        </w:rPr>
      </w:pPr>
      <w:r w:rsidRPr="00573D0F">
        <w:rPr>
          <w:b w:val="0"/>
          <w:color w:val="auto"/>
          <w:sz w:val="22"/>
        </w:rPr>
        <w:t xml:space="preserve">Table </w:t>
      </w:r>
      <w:r w:rsidRPr="00573D0F">
        <w:rPr>
          <w:b w:val="0"/>
          <w:color w:val="auto"/>
          <w:sz w:val="22"/>
        </w:rPr>
        <w:fldChar w:fldCharType="begin"/>
      </w:r>
      <w:r w:rsidRPr="00573D0F">
        <w:rPr>
          <w:b w:val="0"/>
          <w:color w:val="auto"/>
          <w:sz w:val="22"/>
        </w:rPr>
        <w:instrText xml:space="preserve"> SEQ Table \* ARABIC </w:instrText>
      </w:r>
      <w:r w:rsidRPr="00573D0F">
        <w:rPr>
          <w:b w:val="0"/>
          <w:color w:val="auto"/>
          <w:sz w:val="22"/>
        </w:rPr>
        <w:fldChar w:fldCharType="separate"/>
      </w:r>
      <w:r w:rsidRPr="00573D0F">
        <w:rPr>
          <w:b w:val="0"/>
          <w:noProof/>
          <w:color w:val="auto"/>
          <w:sz w:val="22"/>
        </w:rPr>
        <w:t>2</w:t>
      </w:r>
      <w:r w:rsidRPr="00573D0F">
        <w:rPr>
          <w:b w:val="0"/>
          <w:color w:val="auto"/>
          <w:sz w:val="22"/>
        </w:rPr>
        <w:fldChar w:fldCharType="end"/>
      </w:r>
      <w:r w:rsidRPr="00573D0F">
        <w:rPr>
          <w:b w:val="0"/>
          <w:color w:val="auto"/>
          <w:sz w:val="22"/>
        </w:rPr>
        <w:t xml:space="preserve"> Non-isothermal polymorphic transition kinetic parameters based on </w:t>
      </w:r>
      <w:proofErr w:type="spellStart"/>
      <w:r w:rsidRPr="00573D0F">
        <w:rPr>
          <w:b w:val="0"/>
          <w:color w:val="auto"/>
          <w:sz w:val="22"/>
        </w:rPr>
        <w:t>Jeziorny</w:t>
      </w:r>
      <w:proofErr w:type="spellEnd"/>
      <w:r w:rsidRPr="00573D0F">
        <w:rPr>
          <w:b w:val="0"/>
          <w:color w:val="auto"/>
          <w:sz w:val="22"/>
        </w:rPr>
        <w:t>-modified-</w:t>
      </w:r>
      <w:proofErr w:type="spellStart"/>
      <w:r w:rsidRPr="00573D0F">
        <w:rPr>
          <w:b w:val="0"/>
          <w:color w:val="auto"/>
          <w:sz w:val="22"/>
        </w:rPr>
        <w:t>Avrami</w:t>
      </w:r>
      <w:proofErr w:type="spellEnd"/>
      <w:r w:rsidRPr="00573D0F">
        <w:rPr>
          <w:b w:val="0"/>
          <w:color w:val="auto"/>
          <w:sz w:val="22"/>
        </w:rPr>
        <w:t xml:space="preserve"> method</w:t>
      </w:r>
      <w:r>
        <w:rPr>
          <w:b w:val="0"/>
          <w:color w:val="auto"/>
          <w:sz w:val="22"/>
        </w:rPr>
        <w:t xml:space="preserve">. </w:t>
      </w:r>
      <w:r>
        <w:rPr>
          <w:b w:val="0"/>
          <w:i/>
          <w:color w:val="auto"/>
          <w:sz w:val="22"/>
        </w:rPr>
        <w:t>n</w:t>
      </w:r>
      <w:r>
        <w:rPr>
          <w:b w:val="0"/>
          <w:color w:val="auto"/>
          <w:sz w:val="22"/>
        </w:rPr>
        <w:t xml:space="preserve"> –</w:t>
      </w:r>
      <w:proofErr w:type="spellStart"/>
      <w:r>
        <w:rPr>
          <w:b w:val="0"/>
          <w:color w:val="auto"/>
          <w:sz w:val="22"/>
        </w:rPr>
        <w:t>Avrami</w:t>
      </w:r>
      <w:proofErr w:type="spellEnd"/>
      <w:r>
        <w:rPr>
          <w:b w:val="0"/>
          <w:color w:val="auto"/>
          <w:sz w:val="22"/>
        </w:rPr>
        <w:t xml:space="preserve"> exponent, </w:t>
      </w:r>
      <w:r w:rsidRPr="008358D3">
        <w:rPr>
          <w:b w:val="0"/>
          <w:i/>
          <w:color w:val="auto"/>
          <w:sz w:val="22"/>
        </w:rPr>
        <w:t>k’</w:t>
      </w:r>
      <w:r>
        <w:rPr>
          <w:b w:val="0"/>
          <w:color w:val="auto"/>
          <w:sz w:val="22"/>
        </w:rPr>
        <w:t xml:space="preserve"> – reaction constant, </w:t>
      </w:r>
      <w:r w:rsidRPr="008358D3">
        <w:rPr>
          <w:b w:val="0"/>
          <w:i/>
          <w:color w:val="auto"/>
          <w:sz w:val="22"/>
        </w:rPr>
        <w:t>t</w:t>
      </w:r>
      <w:r w:rsidRPr="008358D3">
        <w:rPr>
          <w:b w:val="0"/>
          <w:i/>
          <w:color w:val="auto"/>
          <w:sz w:val="22"/>
          <w:vertAlign w:val="subscript"/>
        </w:rPr>
        <w:t>1/2</w:t>
      </w:r>
      <w:r w:rsidRPr="008358D3">
        <w:rPr>
          <w:b w:val="0"/>
          <w:color w:val="auto"/>
          <w:sz w:val="22"/>
          <w:vertAlign w:val="subscript"/>
        </w:rPr>
        <w:t xml:space="preserve"> </w:t>
      </w:r>
      <w:r>
        <w:rPr>
          <w:b w:val="0"/>
          <w:color w:val="auto"/>
          <w:sz w:val="22"/>
        </w:rPr>
        <w:t>– conversion half-time</w:t>
      </w:r>
    </w:p>
    <w:tbl>
      <w:tblPr>
        <w:tblW w:w="5000" w:type="pct"/>
        <w:tblBorders>
          <w:top w:val="single" w:sz="8" w:space="0" w:color="000000"/>
          <w:bottom w:val="single" w:sz="8" w:space="0" w:color="000000"/>
        </w:tblBorders>
        <w:tblLook w:val="04A0" w:firstRow="1" w:lastRow="0" w:firstColumn="1" w:lastColumn="0" w:noHBand="0" w:noVBand="1"/>
      </w:tblPr>
      <w:tblGrid>
        <w:gridCol w:w="1806"/>
        <w:gridCol w:w="1805"/>
        <w:gridCol w:w="1805"/>
        <w:gridCol w:w="1805"/>
        <w:gridCol w:w="1805"/>
      </w:tblGrid>
      <w:tr w:rsidR="00B919FD" w:rsidTr="00B919FD">
        <w:trPr>
          <w:divId w:val="18971962"/>
          <w:trHeight w:val="567"/>
        </w:trPr>
        <w:tc>
          <w:tcPr>
            <w:tcW w:w="1000" w:type="pct"/>
            <w:tcBorders>
              <w:top w:val="single" w:sz="8" w:space="0" w:color="000000"/>
              <w:left w:val="nil"/>
              <w:bottom w:val="single" w:sz="8" w:space="0" w:color="000000"/>
              <w:right w:val="nil"/>
            </w:tcBorders>
            <w:shd w:val="clear" w:color="auto" w:fill="auto"/>
          </w:tcPr>
          <w:p w:rsidR="00B919FD" w:rsidRPr="00B919FD" w:rsidRDefault="00B919FD" w:rsidP="00B919FD">
            <w:pPr>
              <w:jc w:val="center"/>
              <w:rPr>
                <w:b/>
                <w:bCs/>
                <w:color w:val="000000"/>
              </w:rPr>
            </w:pPr>
            <w:r w:rsidRPr="00B919FD">
              <w:rPr>
                <w:b/>
                <w:bCs/>
                <w:color w:val="000000"/>
              </w:rPr>
              <w:t>Heating rate (°C/min)</w:t>
            </w:r>
          </w:p>
        </w:tc>
        <w:tc>
          <w:tcPr>
            <w:tcW w:w="1000" w:type="pct"/>
            <w:tcBorders>
              <w:top w:val="single" w:sz="8" w:space="0" w:color="000000"/>
              <w:left w:val="nil"/>
              <w:bottom w:val="single" w:sz="8" w:space="0" w:color="000000"/>
              <w:right w:val="nil"/>
            </w:tcBorders>
            <w:shd w:val="clear" w:color="auto" w:fill="auto"/>
          </w:tcPr>
          <w:p w:rsidR="00B919FD" w:rsidRPr="00B919FD" w:rsidRDefault="00B919FD" w:rsidP="00B919FD">
            <w:pPr>
              <w:jc w:val="center"/>
              <w:rPr>
                <w:b/>
                <w:bCs/>
                <w:i/>
                <w:color w:val="000000"/>
              </w:rPr>
            </w:pPr>
            <w:r w:rsidRPr="00B919FD">
              <w:rPr>
                <w:b/>
                <w:bCs/>
                <w:i/>
                <w:color w:val="000000"/>
              </w:rPr>
              <w:t>n</w:t>
            </w:r>
          </w:p>
        </w:tc>
        <w:tc>
          <w:tcPr>
            <w:tcW w:w="1000" w:type="pct"/>
            <w:tcBorders>
              <w:top w:val="single" w:sz="8" w:space="0" w:color="000000"/>
              <w:left w:val="nil"/>
              <w:bottom w:val="single" w:sz="8" w:space="0" w:color="000000"/>
              <w:right w:val="nil"/>
            </w:tcBorders>
            <w:shd w:val="clear" w:color="auto" w:fill="auto"/>
          </w:tcPr>
          <w:p w:rsidR="00B919FD" w:rsidRPr="00B919FD" w:rsidRDefault="00B919FD" w:rsidP="00B919FD">
            <w:pPr>
              <w:jc w:val="center"/>
              <w:rPr>
                <w:b/>
                <w:bCs/>
                <w:i/>
                <w:color w:val="000000"/>
              </w:rPr>
            </w:pPr>
            <w:r w:rsidRPr="00B919FD">
              <w:rPr>
                <w:b/>
                <w:bCs/>
                <w:i/>
                <w:color w:val="000000"/>
              </w:rPr>
              <w:t>k’</w:t>
            </w:r>
            <w:r w:rsidRPr="00B919FD">
              <w:rPr>
                <w:b/>
                <w:bCs/>
                <w:color w:val="000000"/>
              </w:rPr>
              <w:t>(min</w:t>
            </w:r>
            <w:r w:rsidRPr="00B919FD">
              <w:rPr>
                <w:b/>
                <w:bCs/>
                <w:color w:val="000000"/>
                <w:vertAlign w:val="superscript"/>
              </w:rPr>
              <w:t>-1</w:t>
            </w:r>
            <w:r w:rsidRPr="00B919FD">
              <w:rPr>
                <w:b/>
                <w:bCs/>
                <w:color w:val="000000"/>
              </w:rPr>
              <w:t>)</w:t>
            </w:r>
          </w:p>
        </w:tc>
        <w:tc>
          <w:tcPr>
            <w:tcW w:w="1000" w:type="pct"/>
            <w:tcBorders>
              <w:top w:val="single" w:sz="8" w:space="0" w:color="000000"/>
              <w:left w:val="nil"/>
              <w:bottom w:val="single" w:sz="8" w:space="0" w:color="000000"/>
              <w:right w:val="nil"/>
            </w:tcBorders>
            <w:shd w:val="clear" w:color="auto" w:fill="auto"/>
          </w:tcPr>
          <w:p w:rsidR="00B919FD" w:rsidRPr="00B919FD" w:rsidRDefault="00B919FD" w:rsidP="00B919FD">
            <w:pPr>
              <w:jc w:val="center"/>
              <w:rPr>
                <w:b/>
                <w:bCs/>
                <w:i/>
                <w:color w:val="000000"/>
              </w:rPr>
            </w:pPr>
            <w:r w:rsidRPr="00B919FD">
              <w:rPr>
                <w:b/>
                <w:bCs/>
                <w:i/>
                <w:color w:val="000000"/>
              </w:rPr>
              <w:t>t</w:t>
            </w:r>
            <w:r w:rsidRPr="00B919FD">
              <w:rPr>
                <w:b/>
                <w:bCs/>
                <w:i/>
                <w:color w:val="000000"/>
                <w:vertAlign w:val="subscript"/>
              </w:rPr>
              <w:t>1/2</w:t>
            </w:r>
            <w:r w:rsidRPr="00B919FD">
              <w:rPr>
                <w:b/>
                <w:bCs/>
                <w:i/>
                <w:color w:val="000000"/>
              </w:rPr>
              <w:t xml:space="preserve"> </w:t>
            </w:r>
            <w:r w:rsidRPr="00B919FD">
              <w:rPr>
                <w:b/>
                <w:bCs/>
                <w:color w:val="000000"/>
              </w:rPr>
              <w:t>(min)</w:t>
            </w:r>
          </w:p>
        </w:tc>
        <w:tc>
          <w:tcPr>
            <w:tcW w:w="1000" w:type="pct"/>
            <w:tcBorders>
              <w:top w:val="single" w:sz="8" w:space="0" w:color="000000"/>
              <w:left w:val="nil"/>
              <w:bottom w:val="single" w:sz="8" w:space="0" w:color="000000"/>
              <w:right w:val="nil"/>
            </w:tcBorders>
            <w:shd w:val="clear" w:color="auto" w:fill="auto"/>
          </w:tcPr>
          <w:p w:rsidR="00B919FD" w:rsidRPr="00B919FD" w:rsidRDefault="00B919FD" w:rsidP="00B919FD">
            <w:pPr>
              <w:jc w:val="center"/>
              <w:rPr>
                <w:b/>
                <w:bCs/>
                <w:i/>
                <w:color w:val="000000"/>
                <w:vertAlign w:val="superscript"/>
              </w:rPr>
            </w:pPr>
            <w:r w:rsidRPr="00B919FD">
              <w:rPr>
                <w:b/>
                <w:bCs/>
                <w:i/>
                <w:color w:val="000000"/>
              </w:rPr>
              <w:t>R</w:t>
            </w:r>
            <w:r w:rsidRPr="00B919FD">
              <w:rPr>
                <w:b/>
                <w:bCs/>
                <w:i/>
                <w:color w:val="000000"/>
                <w:vertAlign w:val="superscript"/>
              </w:rPr>
              <w:t>2</w:t>
            </w:r>
          </w:p>
        </w:tc>
      </w:tr>
      <w:tr w:rsidR="00B919FD" w:rsidTr="00B919FD">
        <w:trPr>
          <w:divId w:val="18971962"/>
          <w:trHeight w:val="567"/>
        </w:trPr>
        <w:tc>
          <w:tcPr>
            <w:tcW w:w="1000" w:type="pct"/>
            <w:tcBorders>
              <w:left w:val="nil"/>
              <w:right w:val="nil"/>
            </w:tcBorders>
            <w:shd w:val="clear" w:color="auto" w:fill="auto"/>
          </w:tcPr>
          <w:p w:rsidR="00B919FD" w:rsidRPr="00B919FD" w:rsidRDefault="00B919FD" w:rsidP="00B919FD">
            <w:pPr>
              <w:jc w:val="center"/>
              <w:rPr>
                <w:b/>
                <w:bCs/>
                <w:color w:val="000000"/>
              </w:rPr>
            </w:pPr>
            <w:r w:rsidRPr="00B919FD">
              <w:rPr>
                <w:b/>
                <w:bCs/>
                <w:color w:val="000000"/>
              </w:rPr>
              <w:t>1</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3.22</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0.14</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1.66</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0.975</w:t>
            </w:r>
          </w:p>
        </w:tc>
      </w:tr>
      <w:tr w:rsidR="00B919FD" w:rsidTr="00B919FD">
        <w:trPr>
          <w:divId w:val="18971962"/>
          <w:trHeight w:val="567"/>
        </w:trPr>
        <w:tc>
          <w:tcPr>
            <w:tcW w:w="1000" w:type="pct"/>
            <w:shd w:val="clear" w:color="auto" w:fill="auto"/>
          </w:tcPr>
          <w:p w:rsidR="00B919FD" w:rsidRPr="00B919FD" w:rsidRDefault="00B919FD" w:rsidP="00B919FD">
            <w:pPr>
              <w:jc w:val="center"/>
              <w:rPr>
                <w:b/>
                <w:bCs/>
                <w:color w:val="000000"/>
              </w:rPr>
            </w:pPr>
            <w:r w:rsidRPr="00B919FD">
              <w:rPr>
                <w:b/>
                <w:bCs/>
                <w:color w:val="000000"/>
              </w:rPr>
              <w:t>2.5</w:t>
            </w:r>
          </w:p>
        </w:tc>
        <w:tc>
          <w:tcPr>
            <w:tcW w:w="1000" w:type="pct"/>
            <w:shd w:val="clear" w:color="auto" w:fill="auto"/>
          </w:tcPr>
          <w:p w:rsidR="00B919FD" w:rsidRPr="00B919FD" w:rsidRDefault="00B919FD" w:rsidP="00B919FD">
            <w:pPr>
              <w:jc w:val="center"/>
              <w:rPr>
                <w:color w:val="000000"/>
              </w:rPr>
            </w:pPr>
            <w:r w:rsidRPr="00B919FD">
              <w:rPr>
                <w:color w:val="000000"/>
              </w:rPr>
              <w:t>3.50</w:t>
            </w:r>
          </w:p>
        </w:tc>
        <w:tc>
          <w:tcPr>
            <w:tcW w:w="1000" w:type="pct"/>
            <w:shd w:val="clear" w:color="auto" w:fill="auto"/>
          </w:tcPr>
          <w:p w:rsidR="00B919FD" w:rsidRPr="00B919FD" w:rsidRDefault="00B919FD" w:rsidP="00B919FD">
            <w:pPr>
              <w:jc w:val="center"/>
              <w:rPr>
                <w:color w:val="000000"/>
              </w:rPr>
            </w:pPr>
            <w:r w:rsidRPr="00B919FD">
              <w:rPr>
                <w:color w:val="000000"/>
              </w:rPr>
              <w:t>0.81</w:t>
            </w:r>
          </w:p>
        </w:tc>
        <w:tc>
          <w:tcPr>
            <w:tcW w:w="1000" w:type="pct"/>
            <w:shd w:val="clear" w:color="auto" w:fill="auto"/>
          </w:tcPr>
          <w:p w:rsidR="00B919FD" w:rsidRPr="00B919FD" w:rsidRDefault="00B919FD" w:rsidP="00B919FD">
            <w:pPr>
              <w:jc w:val="center"/>
              <w:rPr>
                <w:color w:val="000000"/>
              </w:rPr>
            </w:pPr>
            <w:r w:rsidRPr="00B919FD">
              <w:rPr>
                <w:color w:val="000000"/>
              </w:rPr>
              <w:t>0.96</w:t>
            </w:r>
          </w:p>
        </w:tc>
        <w:tc>
          <w:tcPr>
            <w:tcW w:w="1000" w:type="pct"/>
            <w:shd w:val="clear" w:color="auto" w:fill="auto"/>
          </w:tcPr>
          <w:p w:rsidR="00B919FD" w:rsidRPr="00B919FD" w:rsidRDefault="00B919FD" w:rsidP="00B919FD">
            <w:pPr>
              <w:jc w:val="center"/>
              <w:rPr>
                <w:color w:val="000000"/>
              </w:rPr>
            </w:pPr>
            <w:r w:rsidRPr="00B919FD">
              <w:rPr>
                <w:color w:val="000000"/>
              </w:rPr>
              <w:t>0.975</w:t>
            </w:r>
          </w:p>
        </w:tc>
      </w:tr>
      <w:tr w:rsidR="00B919FD" w:rsidTr="00B919FD">
        <w:trPr>
          <w:divId w:val="18971962"/>
          <w:trHeight w:val="567"/>
        </w:trPr>
        <w:tc>
          <w:tcPr>
            <w:tcW w:w="1000" w:type="pct"/>
            <w:tcBorders>
              <w:left w:val="nil"/>
              <w:right w:val="nil"/>
            </w:tcBorders>
            <w:shd w:val="clear" w:color="auto" w:fill="auto"/>
          </w:tcPr>
          <w:p w:rsidR="00B919FD" w:rsidRPr="00B919FD" w:rsidRDefault="00B919FD" w:rsidP="00B919FD">
            <w:pPr>
              <w:jc w:val="center"/>
              <w:rPr>
                <w:b/>
                <w:bCs/>
                <w:color w:val="000000"/>
              </w:rPr>
            </w:pPr>
            <w:r w:rsidRPr="00B919FD">
              <w:rPr>
                <w:b/>
                <w:bCs/>
                <w:color w:val="000000"/>
              </w:rPr>
              <w:t>5</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2.66</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0.95</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0.89</w:t>
            </w:r>
          </w:p>
        </w:tc>
        <w:tc>
          <w:tcPr>
            <w:tcW w:w="1000" w:type="pct"/>
            <w:tcBorders>
              <w:left w:val="nil"/>
              <w:right w:val="nil"/>
            </w:tcBorders>
            <w:shd w:val="clear" w:color="auto" w:fill="auto"/>
          </w:tcPr>
          <w:p w:rsidR="00B919FD" w:rsidRPr="00B919FD" w:rsidRDefault="00B919FD" w:rsidP="00B919FD">
            <w:pPr>
              <w:jc w:val="center"/>
              <w:rPr>
                <w:color w:val="000000"/>
              </w:rPr>
            </w:pPr>
            <w:r w:rsidRPr="00B919FD">
              <w:rPr>
                <w:color w:val="000000"/>
              </w:rPr>
              <w:t>0.994</w:t>
            </w:r>
          </w:p>
        </w:tc>
      </w:tr>
      <w:tr w:rsidR="00B919FD" w:rsidTr="00B919FD">
        <w:trPr>
          <w:divId w:val="18971962"/>
          <w:trHeight w:val="567"/>
        </w:trPr>
        <w:tc>
          <w:tcPr>
            <w:tcW w:w="1000" w:type="pct"/>
            <w:shd w:val="clear" w:color="auto" w:fill="auto"/>
          </w:tcPr>
          <w:p w:rsidR="00B919FD" w:rsidRPr="00B919FD" w:rsidRDefault="00B919FD" w:rsidP="00B919FD">
            <w:pPr>
              <w:jc w:val="center"/>
              <w:rPr>
                <w:b/>
                <w:bCs/>
                <w:color w:val="000000"/>
              </w:rPr>
            </w:pPr>
            <w:r w:rsidRPr="00B919FD">
              <w:rPr>
                <w:b/>
                <w:bCs/>
                <w:color w:val="000000"/>
              </w:rPr>
              <w:t>10</w:t>
            </w:r>
          </w:p>
        </w:tc>
        <w:tc>
          <w:tcPr>
            <w:tcW w:w="1000" w:type="pct"/>
            <w:shd w:val="clear" w:color="auto" w:fill="auto"/>
          </w:tcPr>
          <w:p w:rsidR="00B919FD" w:rsidRPr="00B919FD" w:rsidRDefault="00B919FD" w:rsidP="00B919FD">
            <w:pPr>
              <w:jc w:val="center"/>
              <w:rPr>
                <w:color w:val="000000"/>
              </w:rPr>
            </w:pPr>
            <w:r w:rsidRPr="00B919FD">
              <w:rPr>
                <w:color w:val="000000"/>
              </w:rPr>
              <w:t>2.44</w:t>
            </w:r>
          </w:p>
        </w:tc>
        <w:tc>
          <w:tcPr>
            <w:tcW w:w="1000" w:type="pct"/>
            <w:shd w:val="clear" w:color="auto" w:fill="auto"/>
          </w:tcPr>
          <w:p w:rsidR="00B919FD" w:rsidRPr="00B919FD" w:rsidRDefault="00B919FD" w:rsidP="00B919FD">
            <w:pPr>
              <w:jc w:val="center"/>
              <w:rPr>
                <w:color w:val="000000"/>
              </w:rPr>
            </w:pPr>
            <w:r w:rsidRPr="00B919FD">
              <w:rPr>
                <w:color w:val="000000"/>
              </w:rPr>
              <w:t>1.09</w:t>
            </w:r>
          </w:p>
        </w:tc>
        <w:tc>
          <w:tcPr>
            <w:tcW w:w="1000" w:type="pct"/>
            <w:shd w:val="clear" w:color="auto" w:fill="auto"/>
          </w:tcPr>
          <w:p w:rsidR="00B919FD" w:rsidRPr="00B919FD" w:rsidRDefault="00B919FD" w:rsidP="00B919FD">
            <w:pPr>
              <w:jc w:val="center"/>
              <w:rPr>
                <w:color w:val="000000"/>
              </w:rPr>
            </w:pPr>
            <w:r w:rsidRPr="00B919FD">
              <w:rPr>
                <w:color w:val="000000"/>
              </w:rPr>
              <w:t>0.83</w:t>
            </w:r>
          </w:p>
        </w:tc>
        <w:tc>
          <w:tcPr>
            <w:tcW w:w="1000" w:type="pct"/>
            <w:shd w:val="clear" w:color="auto" w:fill="auto"/>
          </w:tcPr>
          <w:p w:rsidR="00B919FD" w:rsidRPr="00B919FD" w:rsidRDefault="00B919FD" w:rsidP="00B919FD">
            <w:pPr>
              <w:jc w:val="center"/>
              <w:rPr>
                <w:color w:val="000000"/>
              </w:rPr>
            </w:pPr>
            <w:r w:rsidRPr="00B919FD">
              <w:rPr>
                <w:color w:val="000000"/>
              </w:rPr>
              <w:t>0.997</w:t>
            </w:r>
          </w:p>
        </w:tc>
      </w:tr>
    </w:tbl>
    <w:p w:rsidR="00B919FD" w:rsidRPr="00243CFD" w:rsidRDefault="00B919FD" w:rsidP="00364163">
      <w:pPr>
        <w:pStyle w:val="NormalWeb"/>
        <w:ind w:left="640" w:hanging="640"/>
        <w:divId w:val="18971962"/>
      </w:pPr>
    </w:p>
    <w:sectPr w:rsidR="00B919FD" w:rsidRPr="00243CFD" w:rsidSect="000743FE">
      <w:pgSz w:w="11906" w:h="16838"/>
      <w:pgMar w:top="1440" w:right="1440" w:bottom="1440" w:left="1440" w:header="709" w:footer="709" w:gutter="0"/>
      <w:lnNumType w:countBy="5"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30540"/>
    <w:multiLevelType w:val="multilevel"/>
    <w:tmpl w:val="0E4AA0DE"/>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C8378AE"/>
    <w:multiLevelType w:val="multilevel"/>
    <w:tmpl w:val="024C81B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FC752C5"/>
    <w:multiLevelType w:val="multilevel"/>
    <w:tmpl w:val="566A8C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77B4CF6"/>
    <w:multiLevelType w:val="multilevel"/>
    <w:tmpl w:val="858E30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B367BC6"/>
    <w:multiLevelType w:val="multilevel"/>
    <w:tmpl w:val="858E30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430137C"/>
    <w:multiLevelType w:val="multilevel"/>
    <w:tmpl w:val="858E30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4C204EF"/>
    <w:multiLevelType w:val="hybridMultilevel"/>
    <w:tmpl w:val="A83A27F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8DA"/>
    <w:rsid w:val="000023FB"/>
    <w:rsid w:val="000113B7"/>
    <w:rsid w:val="00011DCA"/>
    <w:rsid w:val="00015208"/>
    <w:rsid w:val="000526F6"/>
    <w:rsid w:val="0005315C"/>
    <w:rsid w:val="000537A5"/>
    <w:rsid w:val="000545EB"/>
    <w:rsid w:val="00060E2D"/>
    <w:rsid w:val="00061345"/>
    <w:rsid w:val="000659EB"/>
    <w:rsid w:val="000743FE"/>
    <w:rsid w:val="00074BF3"/>
    <w:rsid w:val="000844A9"/>
    <w:rsid w:val="000864AD"/>
    <w:rsid w:val="00086FC8"/>
    <w:rsid w:val="000915A1"/>
    <w:rsid w:val="00095F91"/>
    <w:rsid w:val="00096F23"/>
    <w:rsid w:val="0009700C"/>
    <w:rsid w:val="000B3D5F"/>
    <w:rsid w:val="000E0BC4"/>
    <w:rsid w:val="000E3858"/>
    <w:rsid w:val="000F0FF1"/>
    <w:rsid w:val="000F18A9"/>
    <w:rsid w:val="00102BA2"/>
    <w:rsid w:val="00121B24"/>
    <w:rsid w:val="00125137"/>
    <w:rsid w:val="00127ABA"/>
    <w:rsid w:val="00127B88"/>
    <w:rsid w:val="001343B8"/>
    <w:rsid w:val="0014189A"/>
    <w:rsid w:val="001601E0"/>
    <w:rsid w:val="001638DA"/>
    <w:rsid w:val="0017698B"/>
    <w:rsid w:val="0018670A"/>
    <w:rsid w:val="0019078B"/>
    <w:rsid w:val="001922C9"/>
    <w:rsid w:val="001940DC"/>
    <w:rsid w:val="001A057C"/>
    <w:rsid w:val="001B0211"/>
    <w:rsid w:val="001C4879"/>
    <w:rsid w:val="001D718B"/>
    <w:rsid w:val="001E1CEA"/>
    <w:rsid w:val="001E204C"/>
    <w:rsid w:val="001F0A6F"/>
    <w:rsid w:val="001F2DFA"/>
    <w:rsid w:val="00200839"/>
    <w:rsid w:val="00201DAC"/>
    <w:rsid w:val="002160B1"/>
    <w:rsid w:val="002208AD"/>
    <w:rsid w:val="00222C17"/>
    <w:rsid w:val="00222FDB"/>
    <w:rsid w:val="00230C16"/>
    <w:rsid w:val="002333DA"/>
    <w:rsid w:val="00243CFD"/>
    <w:rsid w:val="002567BE"/>
    <w:rsid w:val="00261647"/>
    <w:rsid w:val="00264D6C"/>
    <w:rsid w:val="002716F8"/>
    <w:rsid w:val="00276E52"/>
    <w:rsid w:val="0028351B"/>
    <w:rsid w:val="00295686"/>
    <w:rsid w:val="002B01BD"/>
    <w:rsid w:val="002C7B65"/>
    <w:rsid w:val="002F158F"/>
    <w:rsid w:val="00307755"/>
    <w:rsid w:val="00312DD2"/>
    <w:rsid w:val="00321B05"/>
    <w:rsid w:val="00324FAD"/>
    <w:rsid w:val="00325E07"/>
    <w:rsid w:val="003365E4"/>
    <w:rsid w:val="003377E6"/>
    <w:rsid w:val="00341B40"/>
    <w:rsid w:val="00342505"/>
    <w:rsid w:val="003503A1"/>
    <w:rsid w:val="003523ED"/>
    <w:rsid w:val="00364163"/>
    <w:rsid w:val="00365F30"/>
    <w:rsid w:val="003673A6"/>
    <w:rsid w:val="00372A49"/>
    <w:rsid w:val="00375E25"/>
    <w:rsid w:val="00393E1E"/>
    <w:rsid w:val="00394129"/>
    <w:rsid w:val="0039560B"/>
    <w:rsid w:val="003A6639"/>
    <w:rsid w:val="003B1236"/>
    <w:rsid w:val="003E6D57"/>
    <w:rsid w:val="003F0C78"/>
    <w:rsid w:val="003F150D"/>
    <w:rsid w:val="003F1D1C"/>
    <w:rsid w:val="003F3487"/>
    <w:rsid w:val="003F6316"/>
    <w:rsid w:val="00401349"/>
    <w:rsid w:val="004056B8"/>
    <w:rsid w:val="00410690"/>
    <w:rsid w:val="00412EE4"/>
    <w:rsid w:val="00422DAF"/>
    <w:rsid w:val="00423898"/>
    <w:rsid w:val="00425AA1"/>
    <w:rsid w:val="00431F1F"/>
    <w:rsid w:val="00432CAD"/>
    <w:rsid w:val="00437368"/>
    <w:rsid w:val="00443C6C"/>
    <w:rsid w:val="0044660F"/>
    <w:rsid w:val="00450809"/>
    <w:rsid w:val="0045668D"/>
    <w:rsid w:val="00465D2A"/>
    <w:rsid w:val="00467CAA"/>
    <w:rsid w:val="0047116E"/>
    <w:rsid w:val="004755DC"/>
    <w:rsid w:val="00475943"/>
    <w:rsid w:val="00480FC2"/>
    <w:rsid w:val="004958B4"/>
    <w:rsid w:val="004B4DE4"/>
    <w:rsid w:val="004D5AA6"/>
    <w:rsid w:val="004E5CE1"/>
    <w:rsid w:val="004F2FB6"/>
    <w:rsid w:val="004F5CCA"/>
    <w:rsid w:val="0050186C"/>
    <w:rsid w:val="005050B3"/>
    <w:rsid w:val="005069CB"/>
    <w:rsid w:val="00507132"/>
    <w:rsid w:val="0051587C"/>
    <w:rsid w:val="0053079D"/>
    <w:rsid w:val="00531193"/>
    <w:rsid w:val="00531567"/>
    <w:rsid w:val="00533812"/>
    <w:rsid w:val="005367DF"/>
    <w:rsid w:val="005513EA"/>
    <w:rsid w:val="00552C39"/>
    <w:rsid w:val="00554126"/>
    <w:rsid w:val="005561EB"/>
    <w:rsid w:val="0056103B"/>
    <w:rsid w:val="005632EE"/>
    <w:rsid w:val="0056483F"/>
    <w:rsid w:val="00573B43"/>
    <w:rsid w:val="00575AD4"/>
    <w:rsid w:val="00586ADD"/>
    <w:rsid w:val="005D3C19"/>
    <w:rsid w:val="005E077B"/>
    <w:rsid w:val="005E2AB9"/>
    <w:rsid w:val="005E3B14"/>
    <w:rsid w:val="005E5186"/>
    <w:rsid w:val="005F0834"/>
    <w:rsid w:val="006150A7"/>
    <w:rsid w:val="00623357"/>
    <w:rsid w:val="00626E16"/>
    <w:rsid w:val="00630FD5"/>
    <w:rsid w:val="0063318B"/>
    <w:rsid w:val="006358C9"/>
    <w:rsid w:val="006366EC"/>
    <w:rsid w:val="0065362F"/>
    <w:rsid w:val="00660B8F"/>
    <w:rsid w:val="00684EC6"/>
    <w:rsid w:val="006856DA"/>
    <w:rsid w:val="00685C56"/>
    <w:rsid w:val="006933F5"/>
    <w:rsid w:val="0069514E"/>
    <w:rsid w:val="006A161C"/>
    <w:rsid w:val="006A337A"/>
    <w:rsid w:val="006B14E6"/>
    <w:rsid w:val="006D77E9"/>
    <w:rsid w:val="006E309E"/>
    <w:rsid w:val="006E441F"/>
    <w:rsid w:val="006E6511"/>
    <w:rsid w:val="006F3EB8"/>
    <w:rsid w:val="007002FA"/>
    <w:rsid w:val="00703E49"/>
    <w:rsid w:val="007078B0"/>
    <w:rsid w:val="0071115E"/>
    <w:rsid w:val="007156F1"/>
    <w:rsid w:val="0072246D"/>
    <w:rsid w:val="007319E7"/>
    <w:rsid w:val="007402DE"/>
    <w:rsid w:val="00743F9E"/>
    <w:rsid w:val="00746ADF"/>
    <w:rsid w:val="007524B7"/>
    <w:rsid w:val="00756386"/>
    <w:rsid w:val="00757B6B"/>
    <w:rsid w:val="00775ECF"/>
    <w:rsid w:val="00786315"/>
    <w:rsid w:val="00797162"/>
    <w:rsid w:val="007B64A4"/>
    <w:rsid w:val="007C3A11"/>
    <w:rsid w:val="007D1218"/>
    <w:rsid w:val="007E5021"/>
    <w:rsid w:val="007F3E79"/>
    <w:rsid w:val="008051C5"/>
    <w:rsid w:val="00810F52"/>
    <w:rsid w:val="00823DE0"/>
    <w:rsid w:val="00831708"/>
    <w:rsid w:val="0084343F"/>
    <w:rsid w:val="00845071"/>
    <w:rsid w:val="008459CB"/>
    <w:rsid w:val="008476F4"/>
    <w:rsid w:val="00862E39"/>
    <w:rsid w:val="00874D2F"/>
    <w:rsid w:val="00877758"/>
    <w:rsid w:val="00877D09"/>
    <w:rsid w:val="00881201"/>
    <w:rsid w:val="008821C5"/>
    <w:rsid w:val="008951CF"/>
    <w:rsid w:val="0089534A"/>
    <w:rsid w:val="008A341A"/>
    <w:rsid w:val="008A393A"/>
    <w:rsid w:val="008A4DCB"/>
    <w:rsid w:val="008B661D"/>
    <w:rsid w:val="008B6992"/>
    <w:rsid w:val="008C1789"/>
    <w:rsid w:val="008D201D"/>
    <w:rsid w:val="008D34C5"/>
    <w:rsid w:val="008D53EF"/>
    <w:rsid w:val="008F64CA"/>
    <w:rsid w:val="00902591"/>
    <w:rsid w:val="00904DF6"/>
    <w:rsid w:val="0095353A"/>
    <w:rsid w:val="00955279"/>
    <w:rsid w:val="00967E8F"/>
    <w:rsid w:val="00973874"/>
    <w:rsid w:val="009753BC"/>
    <w:rsid w:val="009773F7"/>
    <w:rsid w:val="009807DA"/>
    <w:rsid w:val="009A4760"/>
    <w:rsid w:val="009C5D8B"/>
    <w:rsid w:val="009C78EA"/>
    <w:rsid w:val="009E2F85"/>
    <w:rsid w:val="009F3643"/>
    <w:rsid w:val="00A04D89"/>
    <w:rsid w:val="00A11EBF"/>
    <w:rsid w:val="00A202C3"/>
    <w:rsid w:val="00A25B82"/>
    <w:rsid w:val="00A321C4"/>
    <w:rsid w:val="00A34FBF"/>
    <w:rsid w:val="00A50299"/>
    <w:rsid w:val="00A71DC6"/>
    <w:rsid w:val="00A72C90"/>
    <w:rsid w:val="00A8211E"/>
    <w:rsid w:val="00A823D3"/>
    <w:rsid w:val="00A917ED"/>
    <w:rsid w:val="00A93003"/>
    <w:rsid w:val="00AA0AB2"/>
    <w:rsid w:val="00AA262B"/>
    <w:rsid w:val="00AA2A58"/>
    <w:rsid w:val="00AA3A31"/>
    <w:rsid w:val="00AB274D"/>
    <w:rsid w:val="00AB2F4C"/>
    <w:rsid w:val="00AC2491"/>
    <w:rsid w:val="00AD2D67"/>
    <w:rsid w:val="00AD302D"/>
    <w:rsid w:val="00AD30D1"/>
    <w:rsid w:val="00AF010A"/>
    <w:rsid w:val="00AF0F97"/>
    <w:rsid w:val="00B05C07"/>
    <w:rsid w:val="00B1363D"/>
    <w:rsid w:val="00B1562C"/>
    <w:rsid w:val="00B248E9"/>
    <w:rsid w:val="00B26E20"/>
    <w:rsid w:val="00B46227"/>
    <w:rsid w:val="00B4787E"/>
    <w:rsid w:val="00B5523D"/>
    <w:rsid w:val="00B7261C"/>
    <w:rsid w:val="00B735DA"/>
    <w:rsid w:val="00B86040"/>
    <w:rsid w:val="00B919FD"/>
    <w:rsid w:val="00BB422B"/>
    <w:rsid w:val="00BB646A"/>
    <w:rsid w:val="00BC24B9"/>
    <w:rsid w:val="00BD3211"/>
    <w:rsid w:val="00BE721F"/>
    <w:rsid w:val="00C01511"/>
    <w:rsid w:val="00C247B1"/>
    <w:rsid w:val="00C36697"/>
    <w:rsid w:val="00C4147A"/>
    <w:rsid w:val="00C41E98"/>
    <w:rsid w:val="00C568B1"/>
    <w:rsid w:val="00C57606"/>
    <w:rsid w:val="00C57E59"/>
    <w:rsid w:val="00C6344D"/>
    <w:rsid w:val="00C723B3"/>
    <w:rsid w:val="00C86457"/>
    <w:rsid w:val="00C867F8"/>
    <w:rsid w:val="00C87161"/>
    <w:rsid w:val="00C875D6"/>
    <w:rsid w:val="00C90A06"/>
    <w:rsid w:val="00CA04A8"/>
    <w:rsid w:val="00CA67B7"/>
    <w:rsid w:val="00CB4738"/>
    <w:rsid w:val="00CB664F"/>
    <w:rsid w:val="00CB6C7B"/>
    <w:rsid w:val="00CD161C"/>
    <w:rsid w:val="00CD3F20"/>
    <w:rsid w:val="00CE5DC9"/>
    <w:rsid w:val="00CE7D81"/>
    <w:rsid w:val="00CF27AF"/>
    <w:rsid w:val="00CF3F1A"/>
    <w:rsid w:val="00D22165"/>
    <w:rsid w:val="00D22349"/>
    <w:rsid w:val="00D23E60"/>
    <w:rsid w:val="00D2590B"/>
    <w:rsid w:val="00D2725C"/>
    <w:rsid w:val="00D52C91"/>
    <w:rsid w:val="00D5401B"/>
    <w:rsid w:val="00D55BC6"/>
    <w:rsid w:val="00D60422"/>
    <w:rsid w:val="00D75512"/>
    <w:rsid w:val="00D815A1"/>
    <w:rsid w:val="00D82A7E"/>
    <w:rsid w:val="00D914D0"/>
    <w:rsid w:val="00DA0A0E"/>
    <w:rsid w:val="00DA0FC7"/>
    <w:rsid w:val="00DA3AC7"/>
    <w:rsid w:val="00DA5112"/>
    <w:rsid w:val="00DA69BF"/>
    <w:rsid w:val="00DB2E72"/>
    <w:rsid w:val="00DB3D73"/>
    <w:rsid w:val="00DB3D88"/>
    <w:rsid w:val="00DB478F"/>
    <w:rsid w:val="00DC4118"/>
    <w:rsid w:val="00DC441B"/>
    <w:rsid w:val="00DD2EAA"/>
    <w:rsid w:val="00DF46C3"/>
    <w:rsid w:val="00E01A3B"/>
    <w:rsid w:val="00E03B4B"/>
    <w:rsid w:val="00E04D9B"/>
    <w:rsid w:val="00E1196C"/>
    <w:rsid w:val="00E158A4"/>
    <w:rsid w:val="00E178EF"/>
    <w:rsid w:val="00E17AFB"/>
    <w:rsid w:val="00E44803"/>
    <w:rsid w:val="00E619AE"/>
    <w:rsid w:val="00E7704F"/>
    <w:rsid w:val="00E84E70"/>
    <w:rsid w:val="00EA3387"/>
    <w:rsid w:val="00EB06B4"/>
    <w:rsid w:val="00EB706F"/>
    <w:rsid w:val="00EC2C85"/>
    <w:rsid w:val="00ED0452"/>
    <w:rsid w:val="00ED0DF9"/>
    <w:rsid w:val="00ED1315"/>
    <w:rsid w:val="00ED3BD8"/>
    <w:rsid w:val="00ED5A9C"/>
    <w:rsid w:val="00EE29F0"/>
    <w:rsid w:val="00EF0215"/>
    <w:rsid w:val="00EF2781"/>
    <w:rsid w:val="00EF2955"/>
    <w:rsid w:val="00EF68FD"/>
    <w:rsid w:val="00F020BD"/>
    <w:rsid w:val="00F065AE"/>
    <w:rsid w:val="00F16311"/>
    <w:rsid w:val="00F354A6"/>
    <w:rsid w:val="00F7714D"/>
    <w:rsid w:val="00F851CD"/>
    <w:rsid w:val="00F96BCB"/>
    <w:rsid w:val="00FB045D"/>
    <w:rsid w:val="00FC221E"/>
    <w:rsid w:val="00FD7152"/>
    <w:rsid w:val="00FD75AA"/>
    <w:rsid w:val="00FF7BA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619BF9-07E3-423E-ACFE-6248CFA8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638DA"/>
    <w:rPr>
      <w:color w:val="0000FF"/>
      <w:u w:val="single"/>
    </w:rPr>
  </w:style>
  <w:style w:type="character" w:styleId="CommentReference">
    <w:name w:val="annotation reference"/>
    <w:uiPriority w:val="99"/>
    <w:semiHidden/>
    <w:unhideWhenUsed/>
    <w:rsid w:val="00243CFD"/>
    <w:rPr>
      <w:sz w:val="16"/>
      <w:szCs w:val="16"/>
    </w:rPr>
  </w:style>
  <w:style w:type="paragraph" w:styleId="CommentText">
    <w:name w:val="annotation text"/>
    <w:basedOn w:val="Normal"/>
    <w:link w:val="CommentTextChar"/>
    <w:uiPriority w:val="99"/>
    <w:semiHidden/>
    <w:unhideWhenUsed/>
    <w:rsid w:val="00243CFD"/>
    <w:pPr>
      <w:spacing w:line="240" w:lineRule="auto"/>
    </w:pPr>
    <w:rPr>
      <w:sz w:val="20"/>
      <w:szCs w:val="20"/>
      <w:lang w:val="en-US"/>
    </w:rPr>
  </w:style>
  <w:style w:type="character" w:customStyle="1" w:styleId="CommentTextChar">
    <w:name w:val="Comment Text Char"/>
    <w:link w:val="CommentText"/>
    <w:uiPriority w:val="99"/>
    <w:semiHidden/>
    <w:rsid w:val="00243CFD"/>
    <w:rPr>
      <w:sz w:val="20"/>
      <w:szCs w:val="20"/>
      <w:lang w:val="en-US"/>
    </w:rPr>
  </w:style>
  <w:style w:type="paragraph" w:styleId="BalloonText">
    <w:name w:val="Balloon Text"/>
    <w:basedOn w:val="Normal"/>
    <w:link w:val="BalloonTextChar"/>
    <w:uiPriority w:val="99"/>
    <w:semiHidden/>
    <w:unhideWhenUsed/>
    <w:rsid w:val="00243C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3CFD"/>
    <w:rPr>
      <w:rFonts w:ascii="Tahoma" w:hAnsi="Tahoma" w:cs="Tahoma"/>
      <w:sz w:val="16"/>
      <w:szCs w:val="16"/>
    </w:rPr>
  </w:style>
  <w:style w:type="character" w:styleId="PlaceholderText">
    <w:name w:val="Placeholder Text"/>
    <w:uiPriority w:val="99"/>
    <w:semiHidden/>
    <w:rsid w:val="00DF46C3"/>
    <w:rPr>
      <w:color w:val="808080"/>
    </w:rPr>
  </w:style>
  <w:style w:type="paragraph" w:styleId="NormalWeb">
    <w:name w:val="Normal (Web)"/>
    <w:basedOn w:val="Normal"/>
    <w:uiPriority w:val="99"/>
    <w:unhideWhenUsed/>
    <w:rsid w:val="005050B3"/>
    <w:pPr>
      <w:spacing w:before="100" w:beforeAutospacing="1" w:after="100" w:afterAutospacing="1" w:line="240" w:lineRule="auto"/>
    </w:pPr>
    <w:rPr>
      <w:rFonts w:ascii="Times New Roman" w:eastAsia="Times New Roman" w:hAnsi="Times New Roman"/>
      <w:sz w:val="24"/>
      <w:szCs w:val="24"/>
      <w:lang w:eastAsia="en-IE"/>
    </w:rPr>
  </w:style>
  <w:style w:type="paragraph" w:styleId="ListParagraph">
    <w:name w:val="List Paragraph"/>
    <w:basedOn w:val="Normal"/>
    <w:uiPriority w:val="34"/>
    <w:qFormat/>
    <w:rsid w:val="005561EB"/>
    <w:pPr>
      <w:ind w:left="720"/>
      <w:contextualSpacing/>
    </w:pPr>
  </w:style>
  <w:style w:type="paragraph" w:styleId="CommentSubject">
    <w:name w:val="annotation subject"/>
    <w:basedOn w:val="CommentText"/>
    <w:next w:val="CommentText"/>
    <w:link w:val="CommentSubjectChar"/>
    <w:uiPriority w:val="99"/>
    <w:semiHidden/>
    <w:unhideWhenUsed/>
    <w:rsid w:val="004F5CCA"/>
    <w:rPr>
      <w:b/>
      <w:bCs/>
      <w:lang w:val="en-IE"/>
    </w:rPr>
  </w:style>
  <w:style w:type="character" w:customStyle="1" w:styleId="CommentSubjectChar">
    <w:name w:val="Comment Subject Char"/>
    <w:link w:val="CommentSubject"/>
    <w:uiPriority w:val="99"/>
    <w:semiHidden/>
    <w:rsid w:val="004F5CCA"/>
    <w:rPr>
      <w:b/>
      <w:bCs/>
      <w:sz w:val="20"/>
      <w:szCs w:val="20"/>
      <w:lang w:val="en-US"/>
    </w:rPr>
  </w:style>
  <w:style w:type="character" w:styleId="LineNumber">
    <w:name w:val="line number"/>
    <w:basedOn w:val="DefaultParagraphFont"/>
    <w:uiPriority w:val="99"/>
    <w:semiHidden/>
    <w:unhideWhenUsed/>
    <w:rsid w:val="000743FE"/>
  </w:style>
  <w:style w:type="table" w:styleId="TableGrid">
    <w:name w:val="Table Grid"/>
    <w:basedOn w:val="TableNormal"/>
    <w:uiPriority w:val="59"/>
    <w:rsid w:val="00B919F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919FD"/>
    <w:pPr>
      <w:spacing w:line="240" w:lineRule="auto"/>
    </w:pPr>
    <w:rPr>
      <w:b/>
      <w:bCs/>
      <w:color w:val="4F81BD"/>
      <w:sz w:val="18"/>
      <w:szCs w:val="18"/>
    </w:rPr>
  </w:style>
  <w:style w:type="table" w:styleId="LightShading">
    <w:name w:val="Light Shading"/>
    <w:basedOn w:val="TableNormal"/>
    <w:uiPriority w:val="60"/>
    <w:rsid w:val="00B919FD"/>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99122">
      <w:bodyDiv w:val="1"/>
      <w:marLeft w:val="0"/>
      <w:marRight w:val="0"/>
      <w:marTop w:val="0"/>
      <w:marBottom w:val="0"/>
      <w:divBdr>
        <w:top w:val="none" w:sz="0" w:space="0" w:color="auto"/>
        <w:left w:val="none" w:sz="0" w:space="0" w:color="auto"/>
        <w:bottom w:val="none" w:sz="0" w:space="0" w:color="auto"/>
        <w:right w:val="none" w:sz="0" w:space="0" w:color="auto"/>
      </w:divBdr>
      <w:divsChild>
        <w:div w:id="1013458947">
          <w:marLeft w:val="0"/>
          <w:marRight w:val="0"/>
          <w:marTop w:val="0"/>
          <w:marBottom w:val="0"/>
          <w:divBdr>
            <w:top w:val="none" w:sz="0" w:space="0" w:color="auto"/>
            <w:left w:val="none" w:sz="0" w:space="0" w:color="auto"/>
            <w:bottom w:val="none" w:sz="0" w:space="0" w:color="auto"/>
            <w:right w:val="none" w:sz="0" w:space="0" w:color="auto"/>
          </w:divBdr>
        </w:div>
        <w:div w:id="1817723597">
          <w:marLeft w:val="0"/>
          <w:marRight w:val="0"/>
          <w:marTop w:val="0"/>
          <w:marBottom w:val="0"/>
          <w:divBdr>
            <w:top w:val="none" w:sz="0" w:space="0" w:color="auto"/>
            <w:left w:val="none" w:sz="0" w:space="0" w:color="auto"/>
            <w:bottom w:val="none" w:sz="0" w:space="0" w:color="auto"/>
            <w:right w:val="none" w:sz="0" w:space="0" w:color="auto"/>
          </w:divBdr>
        </w:div>
      </w:divsChild>
    </w:div>
    <w:div w:id="155537164">
      <w:bodyDiv w:val="1"/>
      <w:marLeft w:val="0"/>
      <w:marRight w:val="0"/>
      <w:marTop w:val="0"/>
      <w:marBottom w:val="0"/>
      <w:divBdr>
        <w:top w:val="none" w:sz="0" w:space="0" w:color="auto"/>
        <w:left w:val="none" w:sz="0" w:space="0" w:color="auto"/>
        <w:bottom w:val="none" w:sz="0" w:space="0" w:color="auto"/>
        <w:right w:val="none" w:sz="0" w:space="0" w:color="auto"/>
      </w:divBdr>
    </w:div>
    <w:div w:id="472143333">
      <w:bodyDiv w:val="1"/>
      <w:marLeft w:val="0"/>
      <w:marRight w:val="0"/>
      <w:marTop w:val="0"/>
      <w:marBottom w:val="0"/>
      <w:divBdr>
        <w:top w:val="none" w:sz="0" w:space="0" w:color="auto"/>
        <w:left w:val="none" w:sz="0" w:space="0" w:color="auto"/>
        <w:bottom w:val="none" w:sz="0" w:space="0" w:color="auto"/>
        <w:right w:val="none" w:sz="0" w:space="0" w:color="auto"/>
      </w:divBdr>
      <w:divsChild>
        <w:div w:id="1756972221">
          <w:marLeft w:val="547"/>
          <w:marRight w:val="0"/>
          <w:marTop w:val="96"/>
          <w:marBottom w:val="0"/>
          <w:divBdr>
            <w:top w:val="none" w:sz="0" w:space="0" w:color="auto"/>
            <w:left w:val="none" w:sz="0" w:space="0" w:color="auto"/>
            <w:bottom w:val="none" w:sz="0" w:space="0" w:color="auto"/>
            <w:right w:val="none" w:sz="0" w:space="0" w:color="auto"/>
          </w:divBdr>
        </w:div>
      </w:divsChild>
    </w:div>
    <w:div w:id="751122929">
      <w:bodyDiv w:val="1"/>
      <w:marLeft w:val="0"/>
      <w:marRight w:val="0"/>
      <w:marTop w:val="0"/>
      <w:marBottom w:val="0"/>
      <w:divBdr>
        <w:top w:val="none" w:sz="0" w:space="0" w:color="auto"/>
        <w:left w:val="none" w:sz="0" w:space="0" w:color="auto"/>
        <w:bottom w:val="none" w:sz="0" w:space="0" w:color="auto"/>
        <w:right w:val="none" w:sz="0" w:space="0" w:color="auto"/>
      </w:divBdr>
    </w:div>
    <w:div w:id="987902990">
      <w:bodyDiv w:val="1"/>
      <w:marLeft w:val="0"/>
      <w:marRight w:val="0"/>
      <w:marTop w:val="0"/>
      <w:marBottom w:val="0"/>
      <w:divBdr>
        <w:top w:val="none" w:sz="0" w:space="0" w:color="auto"/>
        <w:left w:val="none" w:sz="0" w:space="0" w:color="auto"/>
        <w:bottom w:val="none" w:sz="0" w:space="0" w:color="auto"/>
        <w:right w:val="none" w:sz="0" w:space="0" w:color="auto"/>
      </w:divBdr>
      <w:divsChild>
        <w:div w:id="1913347725">
          <w:marLeft w:val="0"/>
          <w:marRight w:val="0"/>
          <w:marTop w:val="0"/>
          <w:marBottom w:val="0"/>
          <w:divBdr>
            <w:top w:val="none" w:sz="0" w:space="0" w:color="auto"/>
            <w:left w:val="none" w:sz="0" w:space="0" w:color="auto"/>
            <w:bottom w:val="none" w:sz="0" w:space="0" w:color="auto"/>
            <w:right w:val="none" w:sz="0" w:space="0" w:color="auto"/>
          </w:divBdr>
          <w:divsChild>
            <w:div w:id="410587732">
              <w:marLeft w:val="0"/>
              <w:marRight w:val="0"/>
              <w:marTop w:val="0"/>
              <w:marBottom w:val="0"/>
              <w:divBdr>
                <w:top w:val="none" w:sz="0" w:space="0" w:color="auto"/>
                <w:left w:val="none" w:sz="0" w:space="0" w:color="auto"/>
                <w:bottom w:val="none" w:sz="0" w:space="0" w:color="auto"/>
                <w:right w:val="none" w:sz="0" w:space="0" w:color="auto"/>
              </w:divBdr>
              <w:divsChild>
                <w:div w:id="1727798296">
                  <w:marLeft w:val="0"/>
                  <w:marRight w:val="0"/>
                  <w:marTop w:val="0"/>
                  <w:marBottom w:val="0"/>
                  <w:divBdr>
                    <w:top w:val="none" w:sz="0" w:space="0" w:color="auto"/>
                    <w:left w:val="none" w:sz="0" w:space="0" w:color="auto"/>
                    <w:bottom w:val="none" w:sz="0" w:space="0" w:color="auto"/>
                    <w:right w:val="none" w:sz="0" w:space="0" w:color="auto"/>
                  </w:divBdr>
                  <w:divsChild>
                    <w:div w:id="18971962">
                      <w:marLeft w:val="0"/>
                      <w:marRight w:val="0"/>
                      <w:marTop w:val="0"/>
                      <w:marBottom w:val="0"/>
                      <w:divBdr>
                        <w:top w:val="none" w:sz="0" w:space="0" w:color="auto"/>
                        <w:left w:val="none" w:sz="0" w:space="0" w:color="auto"/>
                        <w:bottom w:val="none" w:sz="0" w:space="0" w:color="auto"/>
                        <w:right w:val="none" w:sz="0" w:space="0" w:color="auto"/>
                      </w:divBdr>
                      <w:divsChild>
                        <w:div w:id="13435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618082">
      <w:bodyDiv w:val="1"/>
      <w:marLeft w:val="0"/>
      <w:marRight w:val="0"/>
      <w:marTop w:val="0"/>
      <w:marBottom w:val="0"/>
      <w:divBdr>
        <w:top w:val="none" w:sz="0" w:space="0" w:color="auto"/>
        <w:left w:val="none" w:sz="0" w:space="0" w:color="auto"/>
        <w:bottom w:val="none" w:sz="0" w:space="0" w:color="auto"/>
        <w:right w:val="none" w:sz="0" w:space="0" w:color="auto"/>
      </w:divBdr>
      <w:divsChild>
        <w:div w:id="1606619745">
          <w:marLeft w:val="0"/>
          <w:marRight w:val="0"/>
          <w:marTop w:val="0"/>
          <w:marBottom w:val="0"/>
          <w:divBdr>
            <w:top w:val="none" w:sz="0" w:space="0" w:color="auto"/>
            <w:left w:val="none" w:sz="0" w:space="0" w:color="auto"/>
            <w:bottom w:val="none" w:sz="0" w:space="0" w:color="auto"/>
            <w:right w:val="none" w:sz="0" w:space="0" w:color="auto"/>
          </w:divBdr>
          <w:divsChild>
            <w:div w:id="2058124092">
              <w:marLeft w:val="0"/>
              <w:marRight w:val="0"/>
              <w:marTop w:val="0"/>
              <w:marBottom w:val="0"/>
              <w:divBdr>
                <w:top w:val="none" w:sz="0" w:space="0" w:color="auto"/>
                <w:left w:val="none" w:sz="0" w:space="0" w:color="auto"/>
                <w:bottom w:val="none" w:sz="0" w:space="0" w:color="auto"/>
                <w:right w:val="none" w:sz="0" w:space="0" w:color="auto"/>
              </w:divBdr>
              <w:divsChild>
                <w:div w:id="703138430">
                  <w:marLeft w:val="0"/>
                  <w:marRight w:val="0"/>
                  <w:marTop w:val="0"/>
                  <w:marBottom w:val="0"/>
                  <w:divBdr>
                    <w:top w:val="none" w:sz="0" w:space="0" w:color="auto"/>
                    <w:left w:val="none" w:sz="0" w:space="0" w:color="auto"/>
                    <w:bottom w:val="none" w:sz="0" w:space="0" w:color="auto"/>
                    <w:right w:val="none" w:sz="0" w:space="0" w:color="auto"/>
                  </w:divBdr>
                  <w:divsChild>
                    <w:div w:id="202181398">
                      <w:marLeft w:val="0"/>
                      <w:marRight w:val="0"/>
                      <w:marTop w:val="0"/>
                      <w:marBottom w:val="0"/>
                      <w:divBdr>
                        <w:top w:val="none" w:sz="0" w:space="0" w:color="auto"/>
                        <w:left w:val="none" w:sz="0" w:space="0" w:color="auto"/>
                        <w:bottom w:val="none" w:sz="0" w:space="0" w:color="auto"/>
                        <w:right w:val="none" w:sz="0" w:space="0" w:color="auto"/>
                      </w:divBdr>
                      <w:divsChild>
                        <w:div w:id="1091048894">
                          <w:marLeft w:val="0"/>
                          <w:marRight w:val="0"/>
                          <w:marTop w:val="0"/>
                          <w:marBottom w:val="0"/>
                          <w:divBdr>
                            <w:top w:val="none" w:sz="0" w:space="0" w:color="auto"/>
                            <w:left w:val="none" w:sz="0" w:space="0" w:color="auto"/>
                            <w:bottom w:val="none" w:sz="0" w:space="0" w:color="auto"/>
                            <w:right w:val="none" w:sz="0" w:space="0" w:color="auto"/>
                          </w:divBdr>
                          <w:divsChild>
                            <w:div w:id="931206537">
                              <w:marLeft w:val="0"/>
                              <w:marRight w:val="0"/>
                              <w:marTop w:val="0"/>
                              <w:marBottom w:val="0"/>
                              <w:divBdr>
                                <w:top w:val="none" w:sz="0" w:space="0" w:color="auto"/>
                                <w:left w:val="none" w:sz="0" w:space="0" w:color="auto"/>
                                <w:bottom w:val="none" w:sz="0" w:space="0" w:color="auto"/>
                                <w:right w:val="none" w:sz="0" w:space="0" w:color="auto"/>
                              </w:divBdr>
                              <w:divsChild>
                                <w:div w:id="1111632815">
                                  <w:marLeft w:val="0"/>
                                  <w:marRight w:val="0"/>
                                  <w:marTop w:val="0"/>
                                  <w:marBottom w:val="0"/>
                                  <w:divBdr>
                                    <w:top w:val="none" w:sz="0" w:space="0" w:color="auto"/>
                                    <w:left w:val="none" w:sz="0" w:space="0" w:color="auto"/>
                                    <w:bottom w:val="none" w:sz="0" w:space="0" w:color="auto"/>
                                    <w:right w:val="none" w:sz="0" w:space="0" w:color="auto"/>
                                  </w:divBdr>
                                  <w:divsChild>
                                    <w:div w:id="1628194453">
                                      <w:marLeft w:val="0"/>
                                      <w:marRight w:val="0"/>
                                      <w:marTop w:val="0"/>
                                      <w:marBottom w:val="0"/>
                                      <w:divBdr>
                                        <w:top w:val="none" w:sz="0" w:space="0" w:color="auto"/>
                                        <w:left w:val="none" w:sz="0" w:space="0" w:color="auto"/>
                                        <w:bottom w:val="none" w:sz="0" w:space="0" w:color="auto"/>
                                        <w:right w:val="none" w:sz="0" w:space="0" w:color="auto"/>
                                      </w:divBdr>
                                      <w:divsChild>
                                        <w:div w:id="714089594">
                                          <w:marLeft w:val="0"/>
                                          <w:marRight w:val="0"/>
                                          <w:marTop w:val="0"/>
                                          <w:marBottom w:val="0"/>
                                          <w:divBdr>
                                            <w:top w:val="none" w:sz="0" w:space="0" w:color="auto"/>
                                            <w:left w:val="none" w:sz="0" w:space="0" w:color="auto"/>
                                            <w:bottom w:val="none" w:sz="0" w:space="0" w:color="auto"/>
                                            <w:right w:val="none" w:sz="0" w:space="0" w:color="auto"/>
                                          </w:divBdr>
                                          <w:divsChild>
                                            <w:div w:id="286857476">
                                              <w:marLeft w:val="0"/>
                                              <w:marRight w:val="0"/>
                                              <w:marTop w:val="0"/>
                                              <w:marBottom w:val="0"/>
                                              <w:divBdr>
                                                <w:top w:val="none" w:sz="0" w:space="0" w:color="auto"/>
                                                <w:left w:val="none" w:sz="0" w:space="0" w:color="auto"/>
                                                <w:bottom w:val="none" w:sz="0" w:space="0" w:color="auto"/>
                                                <w:right w:val="none" w:sz="0" w:space="0" w:color="auto"/>
                                              </w:divBdr>
                                              <w:divsChild>
                                                <w:div w:id="188952902">
                                                  <w:marLeft w:val="0"/>
                                                  <w:marRight w:val="0"/>
                                                  <w:marTop w:val="0"/>
                                                  <w:marBottom w:val="0"/>
                                                  <w:divBdr>
                                                    <w:top w:val="none" w:sz="0" w:space="0" w:color="auto"/>
                                                    <w:left w:val="none" w:sz="0" w:space="0" w:color="auto"/>
                                                    <w:bottom w:val="none" w:sz="0" w:space="0" w:color="auto"/>
                                                    <w:right w:val="none" w:sz="0" w:space="0" w:color="auto"/>
                                                  </w:divBdr>
                                                  <w:divsChild>
                                                    <w:div w:id="710690634">
                                                      <w:marLeft w:val="0"/>
                                                      <w:marRight w:val="0"/>
                                                      <w:marTop w:val="0"/>
                                                      <w:marBottom w:val="0"/>
                                                      <w:divBdr>
                                                        <w:top w:val="none" w:sz="0" w:space="0" w:color="auto"/>
                                                        <w:left w:val="none" w:sz="0" w:space="0" w:color="auto"/>
                                                        <w:bottom w:val="none" w:sz="0" w:space="0" w:color="auto"/>
                                                        <w:right w:val="none" w:sz="0" w:space="0" w:color="auto"/>
                                                      </w:divBdr>
                                                      <w:divsChild>
                                                        <w:div w:id="1140809283">
                                                          <w:marLeft w:val="0"/>
                                                          <w:marRight w:val="0"/>
                                                          <w:marTop w:val="0"/>
                                                          <w:marBottom w:val="0"/>
                                                          <w:divBdr>
                                                            <w:top w:val="none" w:sz="0" w:space="0" w:color="auto"/>
                                                            <w:left w:val="none" w:sz="0" w:space="0" w:color="auto"/>
                                                            <w:bottom w:val="none" w:sz="0" w:space="0" w:color="auto"/>
                                                            <w:right w:val="none" w:sz="0" w:space="0" w:color="auto"/>
                                                          </w:divBdr>
                                                          <w:divsChild>
                                                            <w:div w:id="1937667310">
                                                              <w:marLeft w:val="0"/>
                                                              <w:marRight w:val="0"/>
                                                              <w:marTop w:val="0"/>
                                                              <w:marBottom w:val="0"/>
                                                              <w:divBdr>
                                                                <w:top w:val="none" w:sz="0" w:space="0" w:color="auto"/>
                                                                <w:left w:val="none" w:sz="0" w:space="0" w:color="auto"/>
                                                                <w:bottom w:val="none" w:sz="0" w:space="0" w:color="auto"/>
                                                                <w:right w:val="none" w:sz="0" w:space="0" w:color="auto"/>
                                                              </w:divBdr>
                                                              <w:divsChild>
                                                                <w:div w:id="308829150">
                                                                  <w:marLeft w:val="0"/>
                                                                  <w:marRight w:val="0"/>
                                                                  <w:marTop w:val="0"/>
                                                                  <w:marBottom w:val="0"/>
                                                                  <w:divBdr>
                                                                    <w:top w:val="none" w:sz="0" w:space="0" w:color="auto"/>
                                                                    <w:left w:val="none" w:sz="0" w:space="0" w:color="auto"/>
                                                                    <w:bottom w:val="none" w:sz="0" w:space="0" w:color="auto"/>
                                                                    <w:right w:val="none" w:sz="0" w:space="0" w:color="auto"/>
                                                                  </w:divBdr>
                                                                  <w:divsChild>
                                                                    <w:div w:id="312565170">
                                                                      <w:marLeft w:val="0"/>
                                                                      <w:marRight w:val="0"/>
                                                                      <w:marTop w:val="0"/>
                                                                      <w:marBottom w:val="0"/>
                                                                      <w:divBdr>
                                                                        <w:top w:val="none" w:sz="0" w:space="0" w:color="auto"/>
                                                                        <w:left w:val="none" w:sz="0" w:space="0" w:color="auto"/>
                                                                        <w:bottom w:val="none" w:sz="0" w:space="0" w:color="auto"/>
                                                                        <w:right w:val="none" w:sz="0" w:space="0" w:color="auto"/>
                                                                      </w:divBdr>
                                                                      <w:divsChild>
                                                                        <w:div w:id="767505641">
                                                                          <w:marLeft w:val="0"/>
                                                                          <w:marRight w:val="0"/>
                                                                          <w:marTop w:val="0"/>
                                                                          <w:marBottom w:val="0"/>
                                                                          <w:divBdr>
                                                                            <w:top w:val="none" w:sz="0" w:space="0" w:color="auto"/>
                                                                            <w:left w:val="none" w:sz="0" w:space="0" w:color="auto"/>
                                                                            <w:bottom w:val="none" w:sz="0" w:space="0" w:color="auto"/>
                                                                            <w:right w:val="none" w:sz="0" w:space="0" w:color="auto"/>
                                                                          </w:divBdr>
                                                                          <w:divsChild>
                                                                            <w:div w:id="1861354764">
                                                                              <w:marLeft w:val="0"/>
                                                                              <w:marRight w:val="0"/>
                                                                              <w:marTop w:val="0"/>
                                                                              <w:marBottom w:val="0"/>
                                                                              <w:divBdr>
                                                                                <w:top w:val="none" w:sz="0" w:space="0" w:color="auto"/>
                                                                                <w:left w:val="none" w:sz="0" w:space="0" w:color="auto"/>
                                                                                <w:bottom w:val="none" w:sz="0" w:space="0" w:color="auto"/>
                                                                                <w:right w:val="none" w:sz="0" w:space="0" w:color="auto"/>
                                                                              </w:divBdr>
                                                                              <w:divsChild>
                                                                                <w:div w:id="1242375566">
                                                                                  <w:marLeft w:val="0"/>
                                                                                  <w:marRight w:val="0"/>
                                                                                  <w:marTop w:val="0"/>
                                                                                  <w:marBottom w:val="0"/>
                                                                                  <w:divBdr>
                                                                                    <w:top w:val="none" w:sz="0" w:space="0" w:color="auto"/>
                                                                                    <w:left w:val="none" w:sz="0" w:space="0" w:color="auto"/>
                                                                                    <w:bottom w:val="none" w:sz="0" w:space="0" w:color="auto"/>
                                                                                    <w:right w:val="none" w:sz="0" w:space="0" w:color="auto"/>
                                                                                  </w:divBdr>
                                                                                  <w:divsChild>
                                                                                    <w:div w:id="922687834">
                                                                                      <w:marLeft w:val="0"/>
                                                                                      <w:marRight w:val="0"/>
                                                                                      <w:marTop w:val="0"/>
                                                                                      <w:marBottom w:val="0"/>
                                                                                      <w:divBdr>
                                                                                        <w:top w:val="none" w:sz="0" w:space="0" w:color="auto"/>
                                                                                        <w:left w:val="none" w:sz="0" w:space="0" w:color="auto"/>
                                                                                        <w:bottom w:val="none" w:sz="0" w:space="0" w:color="auto"/>
                                                                                        <w:right w:val="none" w:sz="0" w:space="0" w:color="auto"/>
                                                                                      </w:divBdr>
                                                                                      <w:divsChild>
                                                                                        <w:div w:id="198670390">
                                                                                          <w:marLeft w:val="0"/>
                                                                                          <w:marRight w:val="0"/>
                                                                                          <w:marTop w:val="0"/>
                                                                                          <w:marBottom w:val="0"/>
                                                                                          <w:divBdr>
                                                                                            <w:top w:val="none" w:sz="0" w:space="0" w:color="auto"/>
                                                                                            <w:left w:val="none" w:sz="0" w:space="0" w:color="auto"/>
                                                                                            <w:bottom w:val="none" w:sz="0" w:space="0" w:color="auto"/>
                                                                                            <w:right w:val="none" w:sz="0" w:space="0" w:color="auto"/>
                                                                                          </w:divBdr>
                                                                                          <w:divsChild>
                                                                                            <w:div w:id="255093122">
                                                                                              <w:marLeft w:val="0"/>
                                                                                              <w:marRight w:val="0"/>
                                                                                              <w:marTop w:val="0"/>
                                                                                              <w:marBottom w:val="0"/>
                                                                                              <w:divBdr>
                                                                                                <w:top w:val="none" w:sz="0" w:space="0" w:color="auto"/>
                                                                                                <w:left w:val="none" w:sz="0" w:space="0" w:color="auto"/>
                                                                                                <w:bottom w:val="none" w:sz="0" w:space="0" w:color="auto"/>
                                                                                                <w:right w:val="none" w:sz="0" w:space="0" w:color="auto"/>
                                                                                              </w:divBdr>
                                                                                              <w:divsChild>
                                                                                                <w:div w:id="1973831115">
                                                                                                  <w:marLeft w:val="0"/>
                                                                                                  <w:marRight w:val="0"/>
                                                                                                  <w:marTop w:val="0"/>
                                                                                                  <w:marBottom w:val="0"/>
                                                                                                  <w:divBdr>
                                                                                                    <w:top w:val="none" w:sz="0" w:space="0" w:color="auto"/>
                                                                                                    <w:left w:val="none" w:sz="0" w:space="0" w:color="auto"/>
                                                                                                    <w:bottom w:val="none" w:sz="0" w:space="0" w:color="auto"/>
                                                                                                    <w:right w:val="none" w:sz="0" w:space="0" w:color="auto"/>
                                                                                                  </w:divBdr>
                                                                                                  <w:divsChild>
                                                                                                    <w:div w:id="1173569016">
                                                                                                      <w:marLeft w:val="0"/>
                                                                                                      <w:marRight w:val="0"/>
                                                                                                      <w:marTop w:val="0"/>
                                                                                                      <w:marBottom w:val="0"/>
                                                                                                      <w:divBdr>
                                                                                                        <w:top w:val="none" w:sz="0" w:space="0" w:color="auto"/>
                                                                                                        <w:left w:val="none" w:sz="0" w:space="0" w:color="auto"/>
                                                                                                        <w:bottom w:val="none" w:sz="0" w:space="0" w:color="auto"/>
                                                                                                        <w:right w:val="none" w:sz="0" w:space="0" w:color="auto"/>
                                                                                                      </w:divBdr>
                                                                                                      <w:divsChild>
                                                                                                        <w:div w:id="465243521">
                                                                                                          <w:marLeft w:val="0"/>
                                                                                                          <w:marRight w:val="0"/>
                                                                                                          <w:marTop w:val="0"/>
                                                                                                          <w:marBottom w:val="0"/>
                                                                                                          <w:divBdr>
                                                                                                            <w:top w:val="none" w:sz="0" w:space="0" w:color="auto"/>
                                                                                                            <w:left w:val="none" w:sz="0" w:space="0" w:color="auto"/>
                                                                                                            <w:bottom w:val="none" w:sz="0" w:space="0" w:color="auto"/>
                                                                                                            <w:right w:val="none" w:sz="0" w:space="0" w:color="auto"/>
                                                                                                          </w:divBdr>
                                                                                                          <w:divsChild>
                                                                                                            <w:div w:id="1479804485">
                                                                                                              <w:marLeft w:val="0"/>
                                                                                                              <w:marRight w:val="0"/>
                                                                                                              <w:marTop w:val="0"/>
                                                                                                              <w:marBottom w:val="0"/>
                                                                                                              <w:divBdr>
                                                                                                                <w:top w:val="none" w:sz="0" w:space="0" w:color="auto"/>
                                                                                                                <w:left w:val="none" w:sz="0" w:space="0" w:color="auto"/>
                                                                                                                <w:bottom w:val="none" w:sz="0" w:space="0" w:color="auto"/>
                                                                                                                <w:right w:val="none" w:sz="0" w:space="0" w:color="auto"/>
                                                                                                              </w:divBdr>
                                                                                                              <w:divsChild>
                                                                                                                <w:div w:id="94325562">
                                                                                                                  <w:marLeft w:val="0"/>
                                                                                                                  <w:marRight w:val="0"/>
                                                                                                                  <w:marTop w:val="0"/>
                                                                                                                  <w:marBottom w:val="0"/>
                                                                                                                  <w:divBdr>
                                                                                                                    <w:top w:val="none" w:sz="0" w:space="0" w:color="auto"/>
                                                                                                                    <w:left w:val="none" w:sz="0" w:space="0" w:color="auto"/>
                                                                                                                    <w:bottom w:val="none" w:sz="0" w:space="0" w:color="auto"/>
                                                                                                                    <w:right w:val="none" w:sz="0" w:space="0" w:color="auto"/>
                                                                                                                  </w:divBdr>
                                                                                                                  <w:divsChild>
                                                                                                                    <w:div w:id="500587208">
                                                                                                                      <w:marLeft w:val="0"/>
                                                                                                                      <w:marRight w:val="0"/>
                                                                                                                      <w:marTop w:val="0"/>
                                                                                                                      <w:marBottom w:val="0"/>
                                                                                                                      <w:divBdr>
                                                                                                                        <w:top w:val="none" w:sz="0" w:space="0" w:color="auto"/>
                                                                                                                        <w:left w:val="none" w:sz="0" w:space="0" w:color="auto"/>
                                                                                                                        <w:bottom w:val="none" w:sz="0" w:space="0" w:color="auto"/>
                                                                                                                        <w:right w:val="none" w:sz="0" w:space="0" w:color="auto"/>
                                                                                                                      </w:divBdr>
                                                                                                                      <w:divsChild>
                                                                                                                        <w:div w:id="846751330">
                                                                                                                          <w:marLeft w:val="0"/>
                                                                                                                          <w:marRight w:val="0"/>
                                                                                                                          <w:marTop w:val="0"/>
                                                                                                                          <w:marBottom w:val="0"/>
                                                                                                                          <w:divBdr>
                                                                                                                            <w:top w:val="none" w:sz="0" w:space="0" w:color="auto"/>
                                                                                                                            <w:left w:val="none" w:sz="0" w:space="0" w:color="auto"/>
                                                                                                                            <w:bottom w:val="none" w:sz="0" w:space="0" w:color="auto"/>
                                                                                                                            <w:right w:val="none" w:sz="0" w:space="0" w:color="auto"/>
                                                                                                                          </w:divBdr>
                                                                                                                          <w:divsChild>
                                                                                                                            <w:div w:id="1500077074">
                                                                                                                              <w:marLeft w:val="0"/>
                                                                                                                              <w:marRight w:val="0"/>
                                                                                                                              <w:marTop w:val="0"/>
                                                                                                                              <w:marBottom w:val="0"/>
                                                                                                                              <w:divBdr>
                                                                                                                                <w:top w:val="none" w:sz="0" w:space="0" w:color="auto"/>
                                                                                                                                <w:left w:val="none" w:sz="0" w:space="0" w:color="auto"/>
                                                                                                                                <w:bottom w:val="none" w:sz="0" w:space="0" w:color="auto"/>
                                                                                                                                <w:right w:val="none" w:sz="0" w:space="0" w:color="auto"/>
                                                                                                                              </w:divBdr>
                                                                                                                              <w:divsChild>
                                                                                                                                <w:div w:id="1509364939">
                                                                                                                                  <w:marLeft w:val="0"/>
                                                                                                                                  <w:marRight w:val="0"/>
                                                                                                                                  <w:marTop w:val="0"/>
                                                                                                                                  <w:marBottom w:val="0"/>
                                                                                                                                  <w:divBdr>
                                                                                                                                    <w:top w:val="none" w:sz="0" w:space="0" w:color="auto"/>
                                                                                                                                    <w:left w:val="none" w:sz="0" w:space="0" w:color="auto"/>
                                                                                                                                    <w:bottom w:val="none" w:sz="0" w:space="0" w:color="auto"/>
                                                                                                                                    <w:right w:val="none" w:sz="0" w:space="0" w:color="auto"/>
                                                                                                                                  </w:divBdr>
                                                                                                                                  <w:divsChild>
                                                                                                                                    <w:div w:id="118300095">
                                                                                                                                      <w:marLeft w:val="0"/>
                                                                                                                                      <w:marRight w:val="0"/>
                                                                                                                                      <w:marTop w:val="0"/>
                                                                                                                                      <w:marBottom w:val="0"/>
                                                                                                                                      <w:divBdr>
                                                                                                                                        <w:top w:val="none" w:sz="0" w:space="0" w:color="auto"/>
                                                                                                                                        <w:left w:val="none" w:sz="0" w:space="0" w:color="auto"/>
                                                                                                                                        <w:bottom w:val="none" w:sz="0" w:space="0" w:color="auto"/>
                                                                                                                                        <w:right w:val="none" w:sz="0" w:space="0" w:color="auto"/>
                                                                                                                                      </w:divBdr>
                                                                                                                                      <w:divsChild>
                                                                                                                                        <w:div w:id="1527527356">
                                                                                                                                          <w:marLeft w:val="0"/>
                                                                                                                                          <w:marRight w:val="0"/>
                                                                                                                                          <w:marTop w:val="0"/>
                                                                                                                                          <w:marBottom w:val="0"/>
                                                                                                                                          <w:divBdr>
                                                                                                                                            <w:top w:val="none" w:sz="0" w:space="0" w:color="auto"/>
                                                                                                                                            <w:left w:val="none" w:sz="0" w:space="0" w:color="auto"/>
                                                                                                                                            <w:bottom w:val="none" w:sz="0" w:space="0" w:color="auto"/>
                                                                                                                                            <w:right w:val="none" w:sz="0" w:space="0" w:color="auto"/>
                                                                                                                                          </w:divBdr>
                                                                                                                                          <w:divsChild>
                                                                                                                                            <w:div w:id="1560550606">
                                                                                                                                              <w:marLeft w:val="0"/>
                                                                                                                                              <w:marRight w:val="0"/>
                                                                                                                                              <w:marTop w:val="0"/>
                                                                                                                                              <w:marBottom w:val="0"/>
                                                                                                                                              <w:divBdr>
                                                                                                                                                <w:top w:val="none" w:sz="0" w:space="0" w:color="auto"/>
                                                                                                                                                <w:left w:val="none" w:sz="0" w:space="0" w:color="auto"/>
                                                                                                                                                <w:bottom w:val="none" w:sz="0" w:space="0" w:color="auto"/>
                                                                                                                                                <w:right w:val="none" w:sz="0" w:space="0" w:color="auto"/>
                                                                                                                                              </w:divBdr>
                                                                                                                                              <w:divsChild>
                                                                                                                                                <w:div w:id="1680812203">
                                                                                                                                                  <w:marLeft w:val="0"/>
                                                                                                                                                  <w:marRight w:val="0"/>
                                                                                                                                                  <w:marTop w:val="0"/>
                                                                                                                                                  <w:marBottom w:val="0"/>
                                                                                                                                                  <w:divBdr>
                                                                                                                                                    <w:top w:val="none" w:sz="0" w:space="0" w:color="auto"/>
                                                                                                                                                    <w:left w:val="none" w:sz="0" w:space="0" w:color="auto"/>
                                                                                                                                                    <w:bottom w:val="none" w:sz="0" w:space="0" w:color="auto"/>
                                                                                                                                                    <w:right w:val="none" w:sz="0" w:space="0" w:color="auto"/>
                                                                                                                                                  </w:divBdr>
                                                                                                                                                  <w:divsChild>
                                                                                                                                                    <w:div w:id="1026252253">
                                                                                                                                                      <w:marLeft w:val="0"/>
                                                                                                                                                      <w:marRight w:val="0"/>
                                                                                                                                                      <w:marTop w:val="0"/>
                                                                                                                                                      <w:marBottom w:val="0"/>
                                                                                                                                                      <w:divBdr>
                                                                                                                                                        <w:top w:val="none" w:sz="0" w:space="0" w:color="auto"/>
                                                                                                                                                        <w:left w:val="none" w:sz="0" w:space="0" w:color="auto"/>
                                                                                                                                                        <w:bottom w:val="none" w:sz="0" w:space="0" w:color="auto"/>
                                                                                                                                                        <w:right w:val="none" w:sz="0" w:space="0" w:color="auto"/>
                                                                                                                                                      </w:divBdr>
                                                                                                                                                      <w:divsChild>
                                                                                                                                                        <w:div w:id="55277152">
                                                                                                                                                          <w:marLeft w:val="0"/>
                                                                                                                                                          <w:marRight w:val="0"/>
                                                                                                                                                          <w:marTop w:val="0"/>
                                                                                                                                                          <w:marBottom w:val="0"/>
                                                                                                                                                          <w:divBdr>
                                                                                                                                                            <w:top w:val="none" w:sz="0" w:space="0" w:color="auto"/>
                                                                                                                                                            <w:left w:val="none" w:sz="0" w:space="0" w:color="auto"/>
                                                                                                                                                            <w:bottom w:val="none" w:sz="0" w:space="0" w:color="auto"/>
                                                                                                                                                            <w:right w:val="none" w:sz="0" w:space="0" w:color="auto"/>
                                                                                                                                                          </w:divBdr>
                                                                                                                                                          <w:divsChild>
                                                                                                                                                            <w:div w:id="1535849460">
                                                                                                                                                              <w:marLeft w:val="0"/>
                                                                                                                                                              <w:marRight w:val="0"/>
                                                                                                                                                              <w:marTop w:val="0"/>
                                                                                                                                                              <w:marBottom w:val="0"/>
                                                                                                                                                              <w:divBdr>
                                                                                                                                                                <w:top w:val="none" w:sz="0" w:space="0" w:color="auto"/>
                                                                                                                                                                <w:left w:val="none" w:sz="0" w:space="0" w:color="auto"/>
                                                                                                                                                                <w:bottom w:val="none" w:sz="0" w:space="0" w:color="auto"/>
                                                                                                                                                                <w:right w:val="none" w:sz="0" w:space="0" w:color="auto"/>
                                                                                                                                                              </w:divBdr>
                                                                                                                                                              <w:divsChild>
                                                                                                                                                                <w:div w:id="101340307">
                                                                                                                                                                  <w:marLeft w:val="0"/>
                                                                                                                                                                  <w:marRight w:val="0"/>
                                                                                                                                                                  <w:marTop w:val="0"/>
                                                                                                                                                                  <w:marBottom w:val="0"/>
                                                                                                                                                                  <w:divBdr>
                                                                                                                                                                    <w:top w:val="none" w:sz="0" w:space="0" w:color="auto"/>
                                                                                                                                                                    <w:left w:val="none" w:sz="0" w:space="0" w:color="auto"/>
                                                                                                                                                                    <w:bottom w:val="none" w:sz="0" w:space="0" w:color="auto"/>
                                                                                                                                                                    <w:right w:val="none" w:sz="0" w:space="0" w:color="auto"/>
                                                                                                                                                                  </w:divBdr>
                                                                                                                                                                  <w:divsChild>
                                                                                                                                                                    <w:div w:id="743573953">
                                                                                                                                                                      <w:marLeft w:val="0"/>
                                                                                                                                                                      <w:marRight w:val="0"/>
                                                                                                                                                                      <w:marTop w:val="0"/>
                                                                                                                                                                      <w:marBottom w:val="0"/>
                                                                                                                                                                      <w:divBdr>
                                                                                                                                                                        <w:top w:val="none" w:sz="0" w:space="0" w:color="auto"/>
                                                                                                                                                                        <w:left w:val="none" w:sz="0" w:space="0" w:color="auto"/>
                                                                                                                                                                        <w:bottom w:val="none" w:sz="0" w:space="0" w:color="auto"/>
                                                                                                                                                                        <w:right w:val="none" w:sz="0" w:space="0" w:color="auto"/>
                                                                                                                                                                      </w:divBdr>
                                                                                                                                                                      <w:divsChild>
                                                                                                                                                                        <w:div w:id="1010565457">
                                                                                                                                                                          <w:marLeft w:val="0"/>
                                                                                                                                                                          <w:marRight w:val="0"/>
                                                                                                                                                                          <w:marTop w:val="0"/>
                                                                                                                                                                          <w:marBottom w:val="0"/>
                                                                                                                                                                          <w:divBdr>
                                                                                                                                                                            <w:top w:val="none" w:sz="0" w:space="0" w:color="auto"/>
                                                                                                                                                                            <w:left w:val="none" w:sz="0" w:space="0" w:color="auto"/>
                                                                                                                                                                            <w:bottom w:val="none" w:sz="0" w:space="0" w:color="auto"/>
                                                                                                                                                                            <w:right w:val="none" w:sz="0" w:space="0" w:color="auto"/>
                                                                                                                                                                          </w:divBdr>
                                                                                                                                                                          <w:divsChild>
                                                                                                                                                                            <w:div w:id="227696014">
                                                                                                                                                                              <w:marLeft w:val="0"/>
                                                                                                                                                                              <w:marRight w:val="0"/>
                                                                                                                                                                              <w:marTop w:val="0"/>
                                                                                                                                                                              <w:marBottom w:val="0"/>
                                                                                                                                                                              <w:divBdr>
                                                                                                                                                                                <w:top w:val="none" w:sz="0" w:space="0" w:color="auto"/>
                                                                                                                                                                                <w:left w:val="none" w:sz="0" w:space="0" w:color="auto"/>
                                                                                                                                                                                <w:bottom w:val="none" w:sz="0" w:space="0" w:color="auto"/>
                                                                                                                                                                                <w:right w:val="none" w:sz="0" w:space="0" w:color="auto"/>
                                                                                                                                                                              </w:divBdr>
                                                                                                                                                                              <w:divsChild>
                                                                                                                                                                                <w:div w:id="1600987909">
                                                                                                                                                                                  <w:marLeft w:val="0"/>
                                                                                                                                                                                  <w:marRight w:val="0"/>
                                                                                                                                                                                  <w:marTop w:val="0"/>
                                                                                                                                                                                  <w:marBottom w:val="0"/>
                                                                                                                                                                                  <w:divBdr>
                                                                                                                                                                                    <w:top w:val="none" w:sz="0" w:space="0" w:color="auto"/>
                                                                                                                                                                                    <w:left w:val="none" w:sz="0" w:space="0" w:color="auto"/>
                                                                                                                                                                                    <w:bottom w:val="none" w:sz="0" w:space="0" w:color="auto"/>
                                                                                                                                                                                    <w:right w:val="none" w:sz="0" w:space="0" w:color="auto"/>
                                                                                                                                                                                  </w:divBdr>
                                                                                                                                                                                  <w:divsChild>
                                                                                                                                                                                    <w:div w:id="1937903652">
                                                                                                                                                                                      <w:marLeft w:val="0"/>
                                                                                                                                                                                      <w:marRight w:val="0"/>
                                                                                                                                                                                      <w:marTop w:val="0"/>
                                                                                                                                                                                      <w:marBottom w:val="0"/>
                                                                                                                                                                                      <w:divBdr>
                                                                                                                                                                                        <w:top w:val="none" w:sz="0" w:space="0" w:color="auto"/>
                                                                                                                                                                                        <w:left w:val="none" w:sz="0" w:space="0" w:color="auto"/>
                                                                                                                                                                                        <w:bottom w:val="none" w:sz="0" w:space="0" w:color="auto"/>
                                                                                                                                                                                        <w:right w:val="none" w:sz="0" w:space="0" w:color="auto"/>
                                                                                                                                                                                      </w:divBdr>
                                                                                                                                                                                    </w:div>
                                                                                                                                                                                    <w:div w:id="1981765362">
                                                                                                                                                                                      <w:marLeft w:val="0"/>
                                                                                                                                                                                      <w:marRight w:val="0"/>
                                                                                                                                                                                      <w:marTop w:val="0"/>
                                                                                                                                                                                      <w:marBottom w:val="0"/>
                                                                                                                                                                                      <w:divBdr>
                                                                                                                                                                                        <w:top w:val="none" w:sz="0" w:space="0" w:color="auto"/>
                                                                                                                                                                                        <w:left w:val="none" w:sz="0" w:space="0" w:color="auto"/>
                                                                                                                                                                                        <w:bottom w:val="none" w:sz="0" w:space="0" w:color="auto"/>
                                                                                                                                                                                        <w:right w:val="none" w:sz="0" w:space="0" w:color="auto"/>
                                                                                                                                                                                      </w:divBdr>
                                                                                                                                                                                      <w:divsChild>
                                                                                                                                                                                        <w:div w:id="36780210">
                                                                                                                                                                                          <w:marLeft w:val="0"/>
                                                                                                                                                                                          <w:marRight w:val="0"/>
                                                                                                                                                                                          <w:marTop w:val="0"/>
                                                                                                                                                                                          <w:marBottom w:val="0"/>
                                                                                                                                                                                          <w:divBdr>
                                                                                                                                                                                            <w:top w:val="none" w:sz="0" w:space="0" w:color="auto"/>
                                                                                                                                                                                            <w:left w:val="none" w:sz="0" w:space="0" w:color="auto"/>
                                                                                                                                                                                            <w:bottom w:val="none" w:sz="0" w:space="0" w:color="auto"/>
                                                                                                                                                                                            <w:right w:val="none" w:sz="0" w:space="0" w:color="auto"/>
                                                                                                                                                                                          </w:divBdr>
                                                                                                                                                                                          <w:divsChild>
                                                                                                                                                                                            <w:div w:id="51393151">
                                                                                                                                                                                              <w:marLeft w:val="0"/>
                                                                                                                                                                                              <w:marRight w:val="0"/>
                                                                                                                                                                                              <w:marTop w:val="0"/>
                                                                                                                                                                                              <w:marBottom w:val="0"/>
                                                                                                                                                                                              <w:divBdr>
                                                                                                                                                                                                <w:top w:val="none" w:sz="0" w:space="0" w:color="auto"/>
                                                                                                                                                                                                <w:left w:val="none" w:sz="0" w:space="0" w:color="auto"/>
                                                                                                                                                                                                <w:bottom w:val="none" w:sz="0" w:space="0" w:color="auto"/>
                                                                                                                                                                                                <w:right w:val="none" w:sz="0" w:space="0" w:color="auto"/>
                                                                                                                                                                                              </w:divBdr>
                                                                                                                                                                                              <w:divsChild>
                                                                                                                                                                                                <w:div w:id="171652493">
                                                                                                                                                                                                  <w:marLeft w:val="0"/>
                                                                                                                                                                                                  <w:marRight w:val="0"/>
                                                                                                                                                                                                  <w:marTop w:val="0"/>
                                                                                                                                                                                                  <w:marBottom w:val="0"/>
                                                                                                                                                                                                  <w:divBdr>
                                                                                                                                                                                                    <w:top w:val="none" w:sz="0" w:space="0" w:color="auto"/>
                                                                                                                                                                                                    <w:left w:val="none" w:sz="0" w:space="0" w:color="auto"/>
                                                                                                                                                                                                    <w:bottom w:val="none" w:sz="0" w:space="0" w:color="auto"/>
                                                                                                                                                                                                    <w:right w:val="none" w:sz="0" w:space="0" w:color="auto"/>
                                                                                                                                                                                                  </w:divBdr>
                                                                                                                                                                                                  <w:divsChild>
                                                                                                                                                                                                    <w:div w:id="1237938613">
                                                                                                                                                                                                      <w:marLeft w:val="0"/>
                                                                                                                                                                                                      <w:marRight w:val="0"/>
                                                                                                                                                                                                      <w:marTop w:val="0"/>
                                                                                                                                                                                                      <w:marBottom w:val="0"/>
                                                                                                                                                                                                      <w:divBdr>
                                                                                                                                                                                                        <w:top w:val="none" w:sz="0" w:space="0" w:color="auto"/>
                                                                                                                                                                                                        <w:left w:val="none" w:sz="0" w:space="0" w:color="auto"/>
                                                                                                                                                                                                        <w:bottom w:val="none" w:sz="0" w:space="0" w:color="auto"/>
                                                                                                                                                                                                        <w:right w:val="none" w:sz="0" w:space="0" w:color="auto"/>
                                                                                                                                                                                                      </w:divBdr>
                                                                                                                                                                                                      <w:divsChild>
                                                                                                                                                                                                        <w:div w:id="321616800">
                                                                                                                                                                                                          <w:marLeft w:val="0"/>
                                                                                                                                                                                                          <w:marRight w:val="0"/>
                                                                                                                                                                                                          <w:marTop w:val="0"/>
                                                                                                                                                                                                          <w:marBottom w:val="0"/>
                                                                                                                                                                                                          <w:divBdr>
                                                                                                                                                                                                            <w:top w:val="none" w:sz="0" w:space="0" w:color="auto"/>
                                                                                                                                                                                                            <w:left w:val="none" w:sz="0" w:space="0" w:color="auto"/>
                                                                                                                                                                                                            <w:bottom w:val="none" w:sz="0" w:space="0" w:color="auto"/>
                                                                                                                                                                                                            <w:right w:val="none" w:sz="0" w:space="0" w:color="auto"/>
                                                                                                                                                                                                          </w:divBdr>
                                                                                                                                                                                                          <w:divsChild>
                                                                                                                                                                                                            <w:div w:id="1732339148">
                                                                                                                                                                                                              <w:marLeft w:val="0"/>
                                                                                                                                                                                                              <w:marRight w:val="0"/>
                                                                                                                                                                                                              <w:marTop w:val="0"/>
                                                                                                                                                                                                              <w:marBottom w:val="0"/>
                                                                                                                                                                                                              <w:divBdr>
                                                                                                                                                                                                                <w:top w:val="none" w:sz="0" w:space="0" w:color="auto"/>
                                                                                                                                                                                                                <w:left w:val="none" w:sz="0" w:space="0" w:color="auto"/>
                                                                                                                                                                                                                <w:bottom w:val="none" w:sz="0" w:space="0" w:color="auto"/>
                                                                                                                                                                                                                <w:right w:val="none" w:sz="0" w:space="0" w:color="auto"/>
                                                                                                                                                                                                              </w:divBdr>
                                                                                                                                                                                                              <w:divsChild>
                                                                                                                                                                                                                <w:div w:id="1562980288">
                                                                                                                                                                                                                  <w:marLeft w:val="0"/>
                                                                                                                                                                                                                  <w:marRight w:val="0"/>
                                                                                                                                                                                                                  <w:marTop w:val="0"/>
                                                                                                                                                                                                                  <w:marBottom w:val="0"/>
                                                                                                                                                                                                                  <w:divBdr>
                                                                                                                                                                                                                    <w:top w:val="none" w:sz="0" w:space="0" w:color="auto"/>
                                                                                                                                                                                                                    <w:left w:val="none" w:sz="0" w:space="0" w:color="auto"/>
                                                                                                                                                                                                                    <w:bottom w:val="none" w:sz="0" w:space="0" w:color="auto"/>
                                                                                                                                                                                                                    <w:right w:val="none" w:sz="0" w:space="0" w:color="auto"/>
                                                                                                                                                                                                                  </w:divBdr>
                                                                                                                                                                                                                  <w:divsChild>
                                                                                                                                                                                                                    <w:div w:id="610209714">
                                                                                                                                                                                                                      <w:marLeft w:val="0"/>
                                                                                                                                                                                                                      <w:marRight w:val="0"/>
                                                                                                                                                                                                                      <w:marTop w:val="0"/>
                                                                                                                                                                                                                      <w:marBottom w:val="0"/>
                                                                                                                                                                                                                      <w:divBdr>
                                                                                                                                                                                                                        <w:top w:val="none" w:sz="0" w:space="0" w:color="auto"/>
                                                                                                                                                                                                                        <w:left w:val="none" w:sz="0" w:space="0" w:color="auto"/>
                                                                                                                                                                                                                        <w:bottom w:val="none" w:sz="0" w:space="0" w:color="auto"/>
                                                                                                                                                                                                                        <w:right w:val="none" w:sz="0" w:space="0" w:color="auto"/>
                                                                                                                                                                                                                      </w:divBdr>
                                                                                                                                                                                                                      <w:divsChild>
                                                                                                                                                                                                                        <w:div w:id="1021200696">
                                                                                                                                                                                                                          <w:marLeft w:val="0"/>
                                                                                                                                                                                                                          <w:marRight w:val="0"/>
                                                                                                                                                                                                                          <w:marTop w:val="0"/>
                                                                                                                                                                                                                          <w:marBottom w:val="0"/>
                                                                                                                                                                                                                          <w:divBdr>
                                                                                                                                                                                                                            <w:top w:val="none" w:sz="0" w:space="0" w:color="auto"/>
                                                                                                                                                                                                                            <w:left w:val="none" w:sz="0" w:space="0" w:color="auto"/>
                                                                                                                                                                                                                            <w:bottom w:val="none" w:sz="0" w:space="0" w:color="auto"/>
                                                                                                                                                                                                                            <w:right w:val="none" w:sz="0" w:space="0" w:color="auto"/>
                                                                                                                                                                                                                          </w:divBdr>
                                                                                                                                                                                                                          <w:divsChild>
                                                                                                                                                                                                                            <w:div w:id="1973436712">
                                                                                                                                                                                                                              <w:marLeft w:val="0"/>
                                                                                                                                                                                                                              <w:marRight w:val="0"/>
                                                                                                                                                                                                                              <w:marTop w:val="0"/>
                                                                                                                                                                                                                              <w:marBottom w:val="0"/>
                                                                                                                                                                                                                              <w:divBdr>
                                                                                                                                                                                                                                <w:top w:val="none" w:sz="0" w:space="0" w:color="auto"/>
                                                                                                                                                                                                                                <w:left w:val="none" w:sz="0" w:space="0" w:color="auto"/>
                                                                                                                                                                                                                                <w:bottom w:val="none" w:sz="0" w:space="0" w:color="auto"/>
                                                                                                                                                                                                                                <w:right w:val="none" w:sz="0" w:space="0" w:color="auto"/>
                                                                                                                                                                                                                              </w:divBdr>
                                                                                                                                                                                                                              <w:divsChild>
                                                                                                                                                                                                                                <w:div w:id="465125992">
                                                                                                                                                                                                                                  <w:marLeft w:val="0"/>
                                                                                                                                                                                                                                  <w:marRight w:val="0"/>
                                                                                                                                                                                                                                  <w:marTop w:val="0"/>
                                                                                                                                                                                                                                  <w:marBottom w:val="0"/>
                                                                                                                                                                                                                                  <w:divBdr>
                                                                                                                                                                                                                                    <w:top w:val="none" w:sz="0" w:space="0" w:color="auto"/>
                                                                                                                                                                                                                                    <w:left w:val="none" w:sz="0" w:space="0" w:color="auto"/>
                                                                                                                                                                                                                                    <w:bottom w:val="none" w:sz="0" w:space="0" w:color="auto"/>
                                                                                                                                                                                                                                    <w:right w:val="none" w:sz="0" w:space="0" w:color="auto"/>
                                                                                                                                                                                                                                  </w:divBdr>
                                                                                                                                                                                                                                  <w:divsChild>
                                                                                                                                                                                                                                    <w:div w:id="1642541857">
                                                                                                                                                                                                                                      <w:marLeft w:val="0"/>
                                                                                                                                                                                                                                      <w:marRight w:val="0"/>
                                                                                                                                                                                                                                      <w:marTop w:val="0"/>
                                                                                                                                                                                                                                      <w:marBottom w:val="0"/>
                                                                                                                                                                                                                                      <w:divBdr>
                                                                                                                                                                                                                                        <w:top w:val="none" w:sz="0" w:space="0" w:color="auto"/>
                                                                                                                                                                                                                                        <w:left w:val="none" w:sz="0" w:space="0" w:color="auto"/>
                                                                                                                                                                                                                                        <w:bottom w:val="none" w:sz="0" w:space="0" w:color="auto"/>
                                                                                                                                                                                                                                        <w:right w:val="none" w:sz="0" w:space="0" w:color="auto"/>
                                                                                                                                                                                                                                      </w:divBdr>
                                                                                                                                                                                                                                      <w:divsChild>
                                                                                                                                                                                                                                        <w:div w:id="863591829">
                                                                                                                                                                                                                                          <w:marLeft w:val="0"/>
                                                                                                                                                                                                                                          <w:marRight w:val="0"/>
                                                                                                                                                                                                                                          <w:marTop w:val="0"/>
                                                                                                                                                                                                                                          <w:marBottom w:val="0"/>
                                                                                                                                                                                                                                          <w:divBdr>
                                                                                                                                                                                                                                            <w:top w:val="none" w:sz="0" w:space="0" w:color="auto"/>
                                                                                                                                                                                                                                            <w:left w:val="none" w:sz="0" w:space="0" w:color="auto"/>
                                                                                                                                                                                                                                            <w:bottom w:val="none" w:sz="0" w:space="0" w:color="auto"/>
                                                                                                                                                                                                                                            <w:right w:val="none" w:sz="0" w:space="0" w:color="auto"/>
                                                                                                                                                                                                                                          </w:divBdr>
                                                                                                                                                                                                                                          <w:divsChild>
                                                                                                                                                                                                                                            <w:div w:id="1810709338">
                                                                                                                                                                                                                                              <w:marLeft w:val="0"/>
                                                                                                                                                                                                                                              <w:marRight w:val="0"/>
                                                                                                                                                                                                                                              <w:marTop w:val="0"/>
                                                                                                                                                                                                                                              <w:marBottom w:val="0"/>
                                                                                                                                                                                                                                              <w:divBdr>
                                                                                                                                                                                                                                                <w:top w:val="none" w:sz="0" w:space="0" w:color="auto"/>
                                                                                                                                                                                                                                                <w:left w:val="none" w:sz="0" w:space="0" w:color="auto"/>
                                                                                                                                                                                                                                                <w:bottom w:val="none" w:sz="0" w:space="0" w:color="auto"/>
                                                                                                                                                                                                                                                <w:right w:val="none" w:sz="0" w:space="0" w:color="auto"/>
                                                                                                                                                                                                                                              </w:divBdr>
                                                                                                                                                                                                                                              <w:divsChild>
                                                                                                                                                                                                                                                <w:div w:id="1278440079">
                                                                                                                                                                                                                                                  <w:marLeft w:val="0"/>
                                                                                                                                                                                                                                                  <w:marRight w:val="0"/>
                                                                                                                                                                                                                                                  <w:marTop w:val="0"/>
                                                                                                                                                                                                                                                  <w:marBottom w:val="0"/>
                                                                                                                                                                                                                                                  <w:divBdr>
                                                                                                                                                                                                                                                    <w:top w:val="none" w:sz="0" w:space="0" w:color="auto"/>
                                                                                                                                                                                                                                                    <w:left w:val="none" w:sz="0" w:space="0" w:color="auto"/>
                                                                                                                                                                                                                                                    <w:bottom w:val="none" w:sz="0" w:space="0" w:color="auto"/>
                                                                                                                                                                                                                                                    <w:right w:val="none" w:sz="0" w:space="0" w:color="auto"/>
                                                                                                                                                                                                                                                  </w:divBdr>
                                                                                                                                                                                                                                                  <w:divsChild>
                                                                                                                                                                                                                                                    <w:div w:id="1568491486">
                                                                                                                                                                                                                                                      <w:marLeft w:val="0"/>
                                                                                                                                                                                                                                                      <w:marRight w:val="0"/>
                                                                                                                                                                                                                                                      <w:marTop w:val="0"/>
                                                                                                                                                                                                                                                      <w:marBottom w:val="0"/>
                                                                                                                                                                                                                                                      <w:divBdr>
                                                                                                                                                                                                                                                        <w:top w:val="none" w:sz="0" w:space="0" w:color="auto"/>
                                                                                                                                                                                                                                                        <w:left w:val="none" w:sz="0" w:space="0" w:color="auto"/>
                                                                                                                                                                                                                                                        <w:bottom w:val="none" w:sz="0" w:space="0" w:color="auto"/>
                                                                                                                                                                                                                                                        <w:right w:val="none" w:sz="0" w:space="0" w:color="auto"/>
                                                                                                                                                                                                                                                      </w:divBdr>
                                                                                                                                                                                                                                                      <w:divsChild>
                                                                                                                                                                                                                                                        <w:div w:id="129521409">
                                                                                                                                                                                                                                                          <w:marLeft w:val="0"/>
                                                                                                                                                                                                                                                          <w:marRight w:val="0"/>
                                                                                                                                                                                                                                                          <w:marTop w:val="0"/>
                                                                                                                                                                                                                                                          <w:marBottom w:val="0"/>
                                                                                                                                                                                                                                                          <w:divBdr>
                                                                                                                                                                                                                                                            <w:top w:val="none" w:sz="0" w:space="0" w:color="auto"/>
                                                                                                                                                                                                                                                            <w:left w:val="none" w:sz="0" w:space="0" w:color="auto"/>
                                                                                                                                                                                                                                                            <w:bottom w:val="none" w:sz="0" w:space="0" w:color="auto"/>
                                                                                                                                                                                                                                                            <w:right w:val="none" w:sz="0" w:space="0" w:color="auto"/>
                                                                                                                                                                                                                                                          </w:divBdr>
                                                                                                                                                                                                                                                          <w:divsChild>
                                                                                                                                                                                                                                                            <w:div w:id="1826242437">
                                                                                                                                                                                                                                                              <w:marLeft w:val="0"/>
                                                                                                                                                                                                                                                              <w:marRight w:val="0"/>
                                                                                                                                                                                                                                                              <w:marTop w:val="0"/>
                                                                                                                                                                                                                                                              <w:marBottom w:val="0"/>
                                                                                                                                                                                                                                                              <w:divBdr>
                                                                                                                                                                                                                                                                <w:top w:val="none" w:sz="0" w:space="0" w:color="auto"/>
                                                                                                                                                                                                                                                                <w:left w:val="none" w:sz="0" w:space="0" w:color="auto"/>
                                                                                                                                                                                                                                                                <w:bottom w:val="none" w:sz="0" w:space="0" w:color="auto"/>
                                                                                                                                                                                                                                                                <w:right w:val="none" w:sz="0" w:space="0" w:color="auto"/>
                                                                                                                                                                                                                                                              </w:divBdr>
                                                                                                                                                                                                                                                              <w:divsChild>
                                                                                                                                                                                                                                                                <w:div w:id="1914654715">
                                                                                                                                                                                                                                                                  <w:marLeft w:val="0"/>
                                                                                                                                                                                                                                                                  <w:marRight w:val="0"/>
                                                                                                                                                                                                                                                                  <w:marTop w:val="0"/>
                                                                                                                                                                                                                                                                  <w:marBottom w:val="0"/>
                                                                                                                                                                                                                                                                  <w:divBdr>
                                                                                                                                                                                                                                                                    <w:top w:val="none" w:sz="0" w:space="0" w:color="auto"/>
                                                                                                                                                                                                                                                                    <w:left w:val="none" w:sz="0" w:space="0" w:color="auto"/>
                                                                                                                                                                                                                                                                    <w:bottom w:val="none" w:sz="0" w:space="0" w:color="auto"/>
                                                                                                                                                                                                                                                                    <w:right w:val="none" w:sz="0" w:space="0" w:color="auto"/>
                                                                                                                                                                                                                                                                  </w:divBdr>
                                                                                                                                                                                                                                                                  <w:divsChild>
                                                                                                                                                                                                                                                                    <w:div w:id="1688213946">
                                                                                                                                                                                                                                                                      <w:marLeft w:val="0"/>
                                                                                                                                                                                                                                                                      <w:marRight w:val="0"/>
                                                                                                                                                                                                                                                                      <w:marTop w:val="0"/>
                                                                                                                                                                                                                                                                      <w:marBottom w:val="0"/>
                                                                                                                                                                                                                                                                      <w:divBdr>
                                                                                                                                                                                                                                                                        <w:top w:val="none" w:sz="0" w:space="0" w:color="auto"/>
                                                                                                                                                                                                                                                                        <w:left w:val="none" w:sz="0" w:space="0" w:color="auto"/>
                                                                                                                                                                                                                                                                        <w:bottom w:val="none" w:sz="0" w:space="0" w:color="auto"/>
                                                                                                                                                                                                                                                                        <w:right w:val="none" w:sz="0" w:space="0" w:color="auto"/>
                                                                                                                                                                                                                                                                      </w:divBdr>
                                                                                                                                                                                                                                                                      <w:divsChild>
                                                                                                                                                                                                                                                                        <w:div w:id="586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34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4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073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5F6AC-EA5C-4D6F-952E-ABFAC2B7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17761</Words>
  <Characters>101240</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Anne-Marie Healy</cp:lastModifiedBy>
  <cp:revision>3</cp:revision>
  <dcterms:created xsi:type="dcterms:W3CDTF">2017-01-17T23:04:00Z</dcterms:created>
  <dcterms:modified xsi:type="dcterms:W3CDTF">2017-01-17T23:05:00Z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amaromi@tcd.ie@www.mendeley.com</vt:lpwstr>
  </property>
  <property fmtid="{D5CDD505-2E9C-101B-9397-08002B2CF9AE}" pid="4" name="Mendeley Citation Style_1">
    <vt:lpwstr>http://www.zotero.org/styles/journal-of-pharmacy-and-pharmacology</vt:lpwstr>
  </property>
  <property fmtid="{D5CDD505-2E9C-101B-9397-08002B2CF9AE}" pid="5" name="Mendeley Recent Style Id 0_1">
    <vt:lpwstr>http://www.zotero.org/styles/aaps-pharmscitech</vt:lpwstr>
  </property>
  <property fmtid="{D5CDD505-2E9C-101B-9397-08002B2CF9AE}" pid="6" name="Mendeley Recent Style Name 0_1">
    <vt:lpwstr>AAPS PharmSciTech</vt:lpwstr>
  </property>
  <property fmtid="{D5CDD505-2E9C-101B-9397-08002B2CF9AE}" pid="7" name="Mendeley Recent Style Id 1_1">
    <vt:lpwstr>http://www.zotero.org/styles/advanced-drug-delivery-reviews</vt:lpwstr>
  </property>
  <property fmtid="{D5CDD505-2E9C-101B-9397-08002B2CF9AE}" pid="8" name="Mendeley Recent Style Name 1_1">
    <vt:lpwstr>Advanced Drug Delivery Reviews</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http://www.zotero.org/styles/international-journal-of-pharmaceutics</vt:lpwstr>
  </property>
  <property fmtid="{D5CDD505-2E9C-101B-9397-08002B2CF9AE}" pid="16" name="Mendeley Recent Style Name 5_1">
    <vt:lpwstr>International Journal of Pharmaceutics</vt:lpwstr>
  </property>
  <property fmtid="{D5CDD505-2E9C-101B-9397-08002B2CF9AE}" pid="17" name="Mendeley Recent Style Id 6_1">
    <vt:lpwstr>http://www.zotero.org/styles/journal-of-pharmacy-and-pharmacology</vt:lpwstr>
  </property>
  <property fmtid="{D5CDD505-2E9C-101B-9397-08002B2CF9AE}" pid="18" name="Mendeley Recent Style Name 6_1">
    <vt:lpwstr>Journal of Pharmacy and Pharmacology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7th edition</vt:lpwstr>
  </property>
  <property fmtid="{D5CDD505-2E9C-101B-9397-08002B2CF9AE}" pid="21" name="Mendeley Recent Style Id 8_1">
    <vt:lpwstr>http://www.zotero.org/styles/pharmaceutical-research</vt:lpwstr>
  </property>
  <property fmtid="{D5CDD505-2E9C-101B-9397-08002B2CF9AE}" pid="22" name="Mendeley Recent Style Name 8_1">
    <vt:lpwstr>Pharmaceutical Research</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