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70DC9" w14:textId="4A7E7874" w:rsidR="00B73400" w:rsidRDefault="00B73400" w:rsidP="00B73400">
      <w:pPr>
        <w:spacing w:before="0" w:after="0" w:line="259" w:lineRule="auto"/>
        <w:rPr>
          <w:rFonts w:ascii="Arial" w:hAnsi="Arial"/>
          <w:sz w:val="32"/>
          <w:szCs w:val="20"/>
          <w:lang w:val="en-GB" w:eastAsia="en-GB"/>
        </w:rPr>
      </w:pPr>
    </w:p>
    <w:p w14:paraId="6197B081" w14:textId="77777777" w:rsidR="00B73400" w:rsidRPr="00B73400" w:rsidRDefault="00B73400" w:rsidP="00B73400">
      <w:pPr>
        <w:spacing w:before="0" w:after="0" w:line="259" w:lineRule="auto"/>
        <w:jc w:val="center"/>
        <w:rPr>
          <w:rFonts w:ascii="Arial" w:hAnsi="Arial"/>
          <w:i/>
          <w:iCs/>
          <w:sz w:val="32"/>
          <w:szCs w:val="20"/>
          <w:lang w:val="en-GB" w:eastAsia="en-GB"/>
        </w:rPr>
      </w:pPr>
      <w:r w:rsidRPr="00B73400">
        <w:rPr>
          <w:rFonts w:ascii="Arial" w:hAnsi="Arial"/>
          <w:i/>
          <w:iCs/>
          <w:sz w:val="32"/>
          <w:szCs w:val="20"/>
          <w:lang w:val="en-GB" w:eastAsia="en-GB"/>
        </w:rPr>
        <w:t xml:space="preserve">The EU Directive on Adequate Minimum Wages: </w:t>
      </w:r>
    </w:p>
    <w:p w14:paraId="2B453F16" w14:textId="77777777" w:rsidR="00B73400" w:rsidRDefault="00B73400" w:rsidP="00B73400">
      <w:pPr>
        <w:spacing w:before="0" w:after="0" w:line="259" w:lineRule="auto"/>
        <w:jc w:val="center"/>
        <w:rPr>
          <w:rFonts w:ascii="Arial" w:hAnsi="Arial"/>
          <w:sz w:val="32"/>
          <w:szCs w:val="20"/>
          <w:lang w:val="en-GB" w:eastAsia="en-GB"/>
        </w:rPr>
      </w:pPr>
      <w:r w:rsidRPr="00B73400">
        <w:rPr>
          <w:rFonts w:ascii="Arial" w:hAnsi="Arial"/>
          <w:i/>
          <w:iCs/>
          <w:sz w:val="32"/>
          <w:szCs w:val="20"/>
          <w:lang w:val="en-GB" w:eastAsia="en-GB"/>
        </w:rPr>
        <w:t>Context, Commentary and Trajectories</w:t>
      </w:r>
    </w:p>
    <w:p w14:paraId="6FBD014C" w14:textId="77777777" w:rsidR="00B73400" w:rsidRDefault="00B73400" w:rsidP="00B73400">
      <w:pPr>
        <w:spacing w:before="0" w:after="0" w:line="259" w:lineRule="auto"/>
        <w:jc w:val="center"/>
        <w:rPr>
          <w:rFonts w:ascii="Arial" w:hAnsi="Arial"/>
          <w:sz w:val="32"/>
          <w:szCs w:val="20"/>
          <w:lang w:val="en-GB" w:eastAsia="en-GB"/>
        </w:rPr>
      </w:pPr>
    </w:p>
    <w:p w14:paraId="11C6ABF0" w14:textId="77777777" w:rsidR="00B73400" w:rsidRDefault="00B73400" w:rsidP="00B73400">
      <w:pPr>
        <w:spacing w:before="0" w:after="0" w:line="259" w:lineRule="auto"/>
        <w:jc w:val="center"/>
        <w:rPr>
          <w:rFonts w:ascii="Arial" w:hAnsi="Arial"/>
          <w:sz w:val="32"/>
          <w:szCs w:val="20"/>
          <w:lang w:val="en-GB" w:eastAsia="en-GB"/>
        </w:rPr>
      </w:pPr>
    </w:p>
    <w:p w14:paraId="6B98ECEF" w14:textId="77777777" w:rsidR="00B73400" w:rsidRDefault="00B73400" w:rsidP="00B73400">
      <w:pPr>
        <w:spacing w:before="0" w:after="0" w:line="259" w:lineRule="auto"/>
        <w:jc w:val="center"/>
        <w:rPr>
          <w:rFonts w:ascii="Arial" w:hAnsi="Arial"/>
          <w:sz w:val="32"/>
          <w:szCs w:val="20"/>
          <w:lang w:val="en-GB" w:eastAsia="en-GB"/>
        </w:rPr>
      </w:pPr>
    </w:p>
    <w:p w14:paraId="309E7165" w14:textId="77777777" w:rsidR="00B73400" w:rsidRDefault="00B73400" w:rsidP="00B73400">
      <w:pPr>
        <w:spacing w:before="0" w:after="0" w:line="259" w:lineRule="auto"/>
        <w:jc w:val="center"/>
        <w:rPr>
          <w:rFonts w:ascii="Arial" w:hAnsi="Arial"/>
          <w:sz w:val="32"/>
          <w:szCs w:val="20"/>
          <w:lang w:val="en-GB" w:eastAsia="en-GB"/>
        </w:rPr>
      </w:pPr>
    </w:p>
    <w:p w14:paraId="090DB228" w14:textId="64C69065" w:rsidR="00B73400" w:rsidRDefault="00B73400" w:rsidP="00B73400">
      <w:pPr>
        <w:spacing w:before="0" w:after="0" w:line="259" w:lineRule="auto"/>
        <w:jc w:val="center"/>
        <w:rPr>
          <w:rFonts w:ascii="Arial" w:hAnsi="Arial"/>
          <w:sz w:val="32"/>
          <w:szCs w:val="20"/>
          <w:lang w:val="en-GB" w:eastAsia="en-GB"/>
        </w:rPr>
      </w:pPr>
      <w:r>
        <w:rPr>
          <w:rFonts w:ascii="Arial" w:hAnsi="Arial"/>
          <w:sz w:val="32"/>
          <w:szCs w:val="20"/>
          <w:lang w:val="en-GB" w:eastAsia="en-GB"/>
        </w:rPr>
        <w:t xml:space="preserve">Luca </w:t>
      </w:r>
      <w:proofErr w:type="spellStart"/>
      <w:r>
        <w:rPr>
          <w:rFonts w:ascii="Arial" w:hAnsi="Arial"/>
          <w:sz w:val="32"/>
          <w:szCs w:val="20"/>
          <w:lang w:val="en-GB" w:eastAsia="en-GB"/>
        </w:rPr>
        <w:t>Ratti</w:t>
      </w:r>
      <w:proofErr w:type="spellEnd"/>
      <w:r>
        <w:rPr>
          <w:rFonts w:ascii="Arial" w:hAnsi="Arial"/>
          <w:sz w:val="32"/>
          <w:szCs w:val="20"/>
          <w:lang w:val="en-GB" w:eastAsia="en-GB"/>
        </w:rPr>
        <w:t xml:space="preserve">, Elisabeth </w:t>
      </w:r>
      <w:proofErr w:type="spellStart"/>
      <w:r>
        <w:rPr>
          <w:rFonts w:ascii="Arial" w:hAnsi="Arial"/>
          <w:sz w:val="32"/>
          <w:szCs w:val="20"/>
          <w:lang w:val="en-GB" w:eastAsia="en-GB"/>
        </w:rPr>
        <w:t>Brameshuber</w:t>
      </w:r>
      <w:proofErr w:type="spellEnd"/>
      <w:r>
        <w:rPr>
          <w:rFonts w:ascii="Arial" w:hAnsi="Arial"/>
          <w:sz w:val="32"/>
          <w:szCs w:val="20"/>
          <w:lang w:val="en-GB" w:eastAsia="en-GB"/>
        </w:rPr>
        <w:t xml:space="preserve"> </w:t>
      </w:r>
    </w:p>
    <w:p w14:paraId="3EAD9C0B" w14:textId="77777777" w:rsidR="00B73400" w:rsidRDefault="00B73400" w:rsidP="00B73400">
      <w:pPr>
        <w:spacing w:before="0" w:after="0" w:line="259" w:lineRule="auto"/>
        <w:jc w:val="center"/>
        <w:rPr>
          <w:rFonts w:ascii="Arial" w:hAnsi="Arial"/>
          <w:sz w:val="32"/>
          <w:szCs w:val="20"/>
          <w:lang w:val="en-GB" w:eastAsia="en-GB"/>
        </w:rPr>
      </w:pPr>
      <w:r>
        <w:rPr>
          <w:rFonts w:ascii="Arial" w:hAnsi="Arial"/>
          <w:sz w:val="32"/>
          <w:szCs w:val="20"/>
          <w:lang w:val="en-GB" w:eastAsia="en-GB"/>
        </w:rPr>
        <w:t xml:space="preserve">and Vincenzo </w:t>
      </w:r>
      <w:proofErr w:type="spellStart"/>
      <w:r>
        <w:rPr>
          <w:rFonts w:ascii="Arial" w:hAnsi="Arial"/>
          <w:sz w:val="32"/>
          <w:szCs w:val="20"/>
          <w:lang w:val="en-GB" w:eastAsia="en-GB"/>
        </w:rPr>
        <w:t>Pietrogiovanni</w:t>
      </w:r>
      <w:proofErr w:type="spellEnd"/>
      <w:r>
        <w:rPr>
          <w:rFonts w:ascii="Arial" w:hAnsi="Arial"/>
          <w:sz w:val="32"/>
          <w:szCs w:val="20"/>
          <w:lang w:val="en-GB" w:eastAsia="en-GB"/>
        </w:rPr>
        <w:t xml:space="preserve"> (eds)</w:t>
      </w:r>
    </w:p>
    <w:p w14:paraId="5D283E04" w14:textId="77777777" w:rsidR="00B73400" w:rsidRDefault="00B73400" w:rsidP="00B73400">
      <w:pPr>
        <w:spacing w:before="0" w:after="0" w:line="259" w:lineRule="auto"/>
        <w:jc w:val="center"/>
        <w:rPr>
          <w:rFonts w:ascii="Arial" w:hAnsi="Arial"/>
          <w:sz w:val="32"/>
          <w:szCs w:val="20"/>
          <w:lang w:val="en-GB" w:eastAsia="en-GB"/>
        </w:rPr>
      </w:pPr>
    </w:p>
    <w:p w14:paraId="116A8DDD" w14:textId="77777777" w:rsidR="00B73400" w:rsidRDefault="00B73400" w:rsidP="00B73400">
      <w:pPr>
        <w:spacing w:before="0" w:after="0" w:line="259" w:lineRule="auto"/>
        <w:jc w:val="center"/>
        <w:rPr>
          <w:rFonts w:ascii="Arial" w:hAnsi="Arial"/>
          <w:sz w:val="32"/>
          <w:szCs w:val="20"/>
          <w:lang w:val="en-GB" w:eastAsia="en-GB"/>
        </w:rPr>
      </w:pPr>
    </w:p>
    <w:p w14:paraId="54796B46" w14:textId="77777777" w:rsidR="00B73400" w:rsidRDefault="00B73400" w:rsidP="00B73400">
      <w:pPr>
        <w:spacing w:before="0" w:after="0" w:line="259" w:lineRule="auto"/>
        <w:jc w:val="center"/>
        <w:rPr>
          <w:rFonts w:ascii="Arial" w:hAnsi="Arial"/>
          <w:sz w:val="32"/>
          <w:szCs w:val="20"/>
          <w:lang w:val="en-GB" w:eastAsia="en-GB"/>
        </w:rPr>
      </w:pPr>
    </w:p>
    <w:p w14:paraId="38004D85" w14:textId="77777777" w:rsidR="00B73400" w:rsidRDefault="00B73400" w:rsidP="00B73400">
      <w:pPr>
        <w:spacing w:before="0" w:after="0" w:line="259" w:lineRule="auto"/>
        <w:jc w:val="center"/>
        <w:rPr>
          <w:rFonts w:ascii="Arial" w:hAnsi="Arial"/>
          <w:sz w:val="32"/>
          <w:szCs w:val="20"/>
          <w:lang w:val="en-GB" w:eastAsia="en-GB"/>
        </w:rPr>
      </w:pPr>
    </w:p>
    <w:p w14:paraId="70DFDD31" w14:textId="511544E1" w:rsidR="00B73400" w:rsidRDefault="00B73400" w:rsidP="00B73400">
      <w:pPr>
        <w:spacing w:before="0" w:after="0" w:line="259" w:lineRule="auto"/>
        <w:jc w:val="center"/>
        <w:rPr>
          <w:rFonts w:ascii="Arial" w:hAnsi="Arial"/>
          <w:sz w:val="32"/>
          <w:szCs w:val="20"/>
          <w:lang w:val="en-GB" w:eastAsia="en-GB"/>
        </w:rPr>
      </w:pPr>
      <w:r>
        <w:rPr>
          <w:rFonts w:ascii="Arial" w:hAnsi="Arial"/>
          <w:sz w:val="32"/>
          <w:szCs w:val="20"/>
          <w:lang w:val="en-GB" w:eastAsia="en-GB"/>
        </w:rPr>
        <w:t>Hart Publishing 2024</w:t>
      </w:r>
      <w:r>
        <w:rPr>
          <w:rFonts w:ascii="Arial" w:hAnsi="Arial"/>
          <w:sz w:val="32"/>
          <w:szCs w:val="20"/>
          <w:lang w:val="en-GB" w:eastAsia="en-GB"/>
        </w:rPr>
        <w:br w:type="page"/>
      </w:r>
    </w:p>
    <w:p w14:paraId="49F8A21C" w14:textId="08B5666D" w:rsidR="00B46B46" w:rsidRDefault="001E4D3A" w:rsidP="00B46B46">
      <w:pPr>
        <w:pStyle w:val="ChapNumber"/>
      </w:pPr>
      <w:r w:rsidRPr="00D66C22">
        <w:lastRenderedPageBreak/>
        <w:t>32</w:t>
      </w:r>
    </w:p>
    <w:p w14:paraId="00000001" w14:textId="2973EDD4" w:rsidR="000F6456" w:rsidRPr="00D66C22" w:rsidRDefault="00B0656D" w:rsidP="00B46B46">
      <w:pPr>
        <w:pStyle w:val="ChapTitle"/>
      </w:pPr>
      <w:r w:rsidRPr="00D66C22">
        <w:t>Ireland</w:t>
      </w:r>
    </w:p>
    <w:p w14:paraId="1D1F1DA9" w14:textId="75FDE50C" w:rsidR="001729B1" w:rsidRPr="001729B1" w:rsidRDefault="00B0656D" w:rsidP="00B46B46">
      <w:pPr>
        <w:pStyle w:val="Author"/>
      </w:pPr>
      <w:r w:rsidRPr="00D66C22">
        <w:t>Mark Bell</w:t>
      </w:r>
      <w:r w:rsidR="00B46B46">
        <w:t xml:space="preserve"> </w:t>
      </w:r>
      <w:r w:rsidR="00D16B55" w:rsidRPr="00D66C22">
        <w:t xml:space="preserve">&amp; </w:t>
      </w:r>
      <w:r w:rsidRPr="00D66C22">
        <w:t>Alan Eustace</w:t>
      </w:r>
      <w:r w:rsidR="00E42523" w:rsidRPr="00B46B46">
        <w:rPr>
          <w:rStyle w:val="FootnoteReference"/>
          <w:sz w:val="22"/>
          <w:szCs w:val="22"/>
        </w:rPr>
        <w:footnoteReference w:id="1"/>
      </w:r>
    </w:p>
    <w:p w14:paraId="00000007" w14:textId="3FAE5C80" w:rsidR="000F6456" w:rsidRPr="001729B1" w:rsidRDefault="00B46B46" w:rsidP="00B46B46">
      <w:pPr>
        <w:pStyle w:val="Heading1"/>
      </w:pPr>
      <w:r>
        <w:t>I.</w:t>
      </w:r>
      <w:r w:rsidR="001729B1" w:rsidRPr="001729B1">
        <w:t xml:space="preserve"> </w:t>
      </w:r>
      <w:r w:rsidR="00B0656D" w:rsidRPr="001729B1">
        <w:t>Introduction</w:t>
      </w:r>
    </w:p>
    <w:p w14:paraId="00000009" w14:textId="55CAB9F2" w:rsidR="000F6456" w:rsidRPr="001E4D3A" w:rsidRDefault="00B0656D" w:rsidP="00FF5485">
      <w:r w:rsidRPr="001E4D3A">
        <w:t>As readers will be aware, Directive 2022/2041 on adequate minimum wages in the European Union</w:t>
      </w:r>
      <w:r w:rsidR="002079DF">
        <w:t xml:space="preserve"> (</w:t>
      </w:r>
      <w:r w:rsidR="00C54315">
        <w:t>the AMW Directive</w:t>
      </w:r>
      <w:r w:rsidR="00FF5485">
        <w:t>)</w:t>
      </w:r>
      <w:r w:rsidRPr="001E4D3A">
        <w:t xml:space="preserve"> ‘sets a dual goal’: ‘improving the adequacy of statutory minimum wages as well as the promotion of collective bargaining’.</w:t>
      </w:r>
      <w:r w:rsidRPr="001E4D3A">
        <w:rPr>
          <w:vertAlign w:val="superscript"/>
        </w:rPr>
        <w:footnoteReference w:id="2"/>
      </w:r>
      <w:r w:rsidRPr="001E4D3A">
        <w:t xml:space="preserve"> Starting with the former, the process for setting and updating the statutory minimum wage in Ireland is broadly in conformity with the standards of the Directive.</w:t>
      </w:r>
      <w:r w:rsidRPr="001E4D3A">
        <w:rPr>
          <w:vertAlign w:val="superscript"/>
        </w:rPr>
        <w:footnoteReference w:id="3"/>
      </w:r>
      <w:r w:rsidRPr="001E4D3A">
        <w:t xml:space="preserve"> In 2023, the national minimum hourly rate of pay was </w:t>
      </w:r>
      <w:r w:rsidR="00FF5485">
        <w:t>€</w:t>
      </w:r>
      <w:r w:rsidRPr="001E4D3A">
        <w:t>11</w:t>
      </w:r>
      <w:r w:rsidR="00FF5485">
        <w:t>.</w:t>
      </w:r>
      <w:r w:rsidRPr="001E4D3A">
        <w:t xml:space="preserve">30. When adjusted for purchasing power, this was the sixth highest amongst the 21 EU Member States </w:t>
      </w:r>
      <w:r w:rsidR="00AA2543">
        <w:t>that have</w:t>
      </w:r>
      <w:r w:rsidRPr="001E4D3A">
        <w:t xml:space="preserve"> statutory minimum wages.</w:t>
      </w:r>
      <w:bookmarkStart w:id="0" w:name="_Ref144125776"/>
      <w:r w:rsidRPr="001E4D3A">
        <w:rPr>
          <w:vertAlign w:val="superscript"/>
        </w:rPr>
        <w:footnoteReference w:id="4"/>
      </w:r>
      <w:bookmarkEnd w:id="0"/>
      <w:r w:rsidRPr="001E4D3A">
        <w:t xml:space="preserve"> Nevertheless, when viewed as a proportion of median hourly wages, the national minimum wage is estimated to have fallen between 2019 and 2021, from 53.5</w:t>
      </w:r>
      <w:r w:rsidR="00FF5485">
        <w:t xml:space="preserve"> per cent</w:t>
      </w:r>
      <w:r w:rsidRPr="001E4D3A">
        <w:t xml:space="preserve"> to </w:t>
      </w:r>
      <w:r w:rsidR="00FF5485">
        <w:t>50.9 per cent</w:t>
      </w:r>
      <w:r w:rsidRPr="001E4D3A">
        <w:t>.</w:t>
      </w:r>
      <w:r w:rsidRPr="001E4D3A">
        <w:rPr>
          <w:vertAlign w:val="superscript"/>
        </w:rPr>
        <w:footnoteReference w:id="5"/>
      </w:r>
      <w:r w:rsidRPr="001E4D3A">
        <w:t xml:space="preserve"> As discussed later in this chapter, the Irish government </w:t>
      </w:r>
      <w:r w:rsidR="00E70ED9" w:rsidRPr="001E4D3A">
        <w:t>has</w:t>
      </w:r>
      <w:r w:rsidRPr="001E4D3A">
        <w:t xml:space="preserve"> a target of raising the national minimum wage to 60</w:t>
      </w:r>
      <w:r w:rsidR="00FF5485" w:rsidRPr="00FF5485">
        <w:t xml:space="preserve"> </w:t>
      </w:r>
      <w:r w:rsidR="00FF5485">
        <w:t>per cent</w:t>
      </w:r>
      <w:r w:rsidRPr="001E4D3A">
        <w:t xml:space="preserve"> of median hourly wages by 2026.</w:t>
      </w:r>
      <w:r w:rsidRPr="001E4D3A">
        <w:rPr>
          <w:vertAlign w:val="superscript"/>
        </w:rPr>
        <w:footnoteReference w:id="6"/>
      </w:r>
      <w:r w:rsidRPr="001E4D3A">
        <w:t xml:space="preserve"> The </w:t>
      </w:r>
      <w:r w:rsidR="00AA2543">
        <w:t xml:space="preserve">AMW </w:t>
      </w:r>
      <w:r w:rsidRPr="001E4D3A">
        <w:t xml:space="preserve">Directive is likely to make a contribution insofar as it reinforces the rationale for pursuing this objective. It will also pose questions about some of the detailed aspects of Ireland’s statutory minimum wage system. </w:t>
      </w:r>
    </w:p>
    <w:p w14:paraId="0000000A" w14:textId="7831A2FB" w:rsidR="000F6456" w:rsidRPr="001E4D3A" w:rsidRDefault="00FF5485" w:rsidP="00FF5485">
      <w:r>
        <w:lastRenderedPageBreak/>
        <w:tab/>
      </w:r>
      <w:r w:rsidR="00B0656D" w:rsidRPr="001E4D3A">
        <w:t>If the</w:t>
      </w:r>
      <w:r w:rsidR="00D86C9F">
        <w:t xml:space="preserve"> AMW</w:t>
      </w:r>
      <w:r w:rsidR="00B0656D" w:rsidRPr="001E4D3A">
        <w:t xml:space="preserve"> Directive’s impact on the statutory minimum wage seems incremental in nature, its industrial relations elements have the potential to be very significant indeed. Ireland has relatively low collective bargaining coverage:</w:t>
      </w:r>
    </w:p>
    <w:p w14:paraId="0000000B" w14:textId="77777777" w:rsidR="000F6456" w:rsidRPr="001E4D3A" w:rsidRDefault="00B0656D" w:rsidP="00FF5485">
      <w:pPr>
        <w:pStyle w:val="Quote"/>
      </w:pPr>
      <w:r w:rsidRPr="001E4D3A">
        <w:t>Ireland has a collective bargaining coverage rate of 33.5% of the workforce. This compares very unfavourably with the EU average of 60%... [Among pre-2004 Member States] Ireland’s rate of collective bargaining coverage is the second-lowest (ahead of Greece), and less than half the average of 73%.</w:t>
      </w:r>
      <w:bookmarkStart w:id="1" w:name="_Ref147330287"/>
      <w:r w:rsidRPr="001E4D3A">
        <w:rPr>
          <w:vertAlign w:val="superscript"/>
        </w:rPr>
        <w:footnoteReference w:id="7"/>
      </w:r>
      <w:bookmarkEnd w:id="1"/>
    </w:p>
    <w:p w14:paraId="0000000C" w14:textId="56B8C922" w:rsidR="000F6456" w:rsidRPr="001E4D3A" w:rsidRDefault="00FF5485" w:rsidP="00FF5485">
      <w:r>
        <w:tab/>
      </w:r>
      <w:r w:rsidR="00B0656D" w:rsidRPr="001E4D3A">
        <w:t>In particular, bargaining coverage in the private sector is extremely low, at 18</w:t>
      </w:r>
      <w:r w:rsidRPr="00FF5485">
        <w:t xml:space="preserve"> </w:t>
      </w:r>
      <w:r>
        <w:t>per cent</w:t>
      </w:r>
      <w:r w:rsidR="00B0656D" w:rsidRPr="001E4D3A">
        <w:t>.</w:t>
      </w:r>
      <w:r w:rsidR="00B0656D" w:rsidRPr="001E4D3A">
        <w:rPr>
          <w:vertAlign w:val="superscript"/>
        </w:rPr>
        <w:footnoteReference w:id="8"/>
      </w:r>
      <w:r w:rsidR="00B0656D" w:rsidRPr="001E4D3A">
        <w:t xml:space="preserve"> Ireland also rates poorly on various metrics used by </w:t>
      </w:r>
      <w:proofErr w:type="spellStart"/>
      <w:r w:rsidR="00B0656D" w:rsidRPr="001E4D3A">
        <w:t>Eurofound</w:t>
      </w:r>
      <w:proofErr w:type="spellEnd"/>
      <w:r w:rsidR="00B0656D" w:rsidRPr="001E4D3A">
        <w:t xml:space="preserve"> to assess worker participation in business management more broadly.</w:t>
      </w:r>
      <w:r w:rsidR="00B0656D" w:rsidRPr="001E4D3A">
        <w:rPr>
          <w:vertAlign w:val="superscript"/>
        </w:rPr>
        <w:footnoteReference w:id="9"/>
      </w:r>
      <w:r w:rsidR="00B0656D" w:rsidRPr="001E4D3A">
        <w:t xml:space="preserve"> It is not clear at</w:t>
      </w:r>
      <w:r w:rsidR="00D86C9F">
        <w:t xml:space="preserve"> the</w:t>
      </w:r>
      <w:r w:rsidR="00B0656D" w:rsidRPr="001E4D3A">
        <w:t xml:space="preserve"> time of writing what the government’s plans are to increase this coverage rate in line with the obligations of the </w:t>
      </w:r>
      <w:r w:rsidR="00D86C9F">
        <w:t xml:space="preserve">AMW </w:t>
      </w:r>
      <w:r w:rsidR="00B0656D" w:rsidRPr="001E4D3A">
        <w:t xml:space="preserve">Directive, but they will need to be radical. This will be returned to later. First, this </w:t>
      </w:r>
      <w:r w:rsidR="00D86C9F">
        <w:t>chapter</w:t>
      </w:r>
      <w:r w:rsidR="00B0656D" w:rsidRPr="001E4D3A">
        <w:t xml:space="preserve"> will discuss the implications of the Directive for the scope of minimum wage and collective bargaining rights in Ireland. Second, it will set out the position of collective bargaining in Irish law, and consider options for the Irish government in implementing the Directive to increase collective bargaining coverage. Third, it will assess the statutory minimum wage framework in Ireland in the light of the </w:t>
      </w:r>
      <w:r w:rsidR="00D86C9F">
        <w:t xml:space="preserve">AMW </w:t>
      </w:r>
      <w:r w:rsidR="00B0656D" w:rsidRPr="001E4D3A">
        <w:t xml:space="preserve">Directive’s standards, including with respect to enforcement in practice. </w:t>
      </w:r>
    </w:p>
    <w:p w14:paraId="2BDB9725" w14:textId="053E1DDA" w:rsidR="00965222" w:rsidRDefault="00FD08EF" w:rsidP="00FD08EF">
      <w:pPr>
        <w:pStyle w:val="Heading1"/>
      </w:pPr>
      <w:r>
        <w:t>II.</w:t>
      </w:r>
      <w:r w:rsidR="00965222">
        <w:t xml:space="preserve"> </w:t>
      </w:r>
      <w:r w:rsidR="00B0656D" w:rsidRPr="001E4D3A">
        <w:t xml:space="preserve">Implications of the </w:t>
      </w:r>
      <w:r w:rsidR="001648AE">
        <w:t xml:space="preserve">AMW </w:t>
      </w:r>
      <w:r w:rsidR="00B0656D" w:rsidRPr="001E4D3A">
        <w:t>Directive</w:t>
      </w:r>
    </w:p>
    <w:p w14:paraId="00000011" w14:textId="6603A276" w:rsidR="000F6456" w:rsidRPr="00965222" w:rsidRDefault="00FD08EF" w:rsidP="00FD08EF">
      <w:pPr>
        <w:pStyle w:val="Heading2"/>
        <w:rPr>
          <w:rStyle w:val="BookTitle"/>
        </w:rPr>
      </w:pPr>
      <w:r>
        <w:rPr>
          <w:rStyle w:val="BookTitle"/>
        </w:rPr>
        <w:t xml:space="preserve">A. </w:t>
      </w:r>
      <w:r w:rsidR="00B0656D" w:rsidRPr="00965222">
        <w:rPr>
          <w:rStyle w:val="BookTitle"/>
        </w:rPr>
        <w:t xml:space="preserve">Scope of </w:t>
      </w:r>
      <w:r w:rsidR="00B0656D" w:rsidRPr="004451D8">
        <w:rPr>
          <w:rStyle w:val="BookTitle"/>
          <w:iCs w:val="0"/>
        </w:rPr>
        <w:t>Application</w:t>
      </w:r>
    </w:p>
    <w:p w14:paraId="00000013" w14:textId="0A090B80" w:rsidR="000F6456" w:rsidRPr="001E4D3A" w:rsidRDefault="00B0656D" w:rsidP="006840A4">
      <w:r w:rsidRPr="001E4D3A">
        <w:t xml:space="preserve">Article 2 of </w:t>
      </w:r>
      <w:r w:rsidR="00FF5485">
        <w:t xml:space="preserve">the AMW </w:t>
      </w:r>
      <w:r w:rsidRPr="001E4D3A">
        <w:t>Directive states that it applies to ‘workers in the Union who have an employment contract or employment relationship as defined by law, collective agreements or practice in force in each Member State, with consideration to the case-law of the Court of Justice.’ In Ireland, the National Minimum Wage Act 2000 provides that the right to be paid ‘not less than the national minimum hourly rate of pay’ applies to ‘an employee’.</w:t>
      </w:r>
      <w:r w:rsidRPr="001E4D3A">
        <w:rPr>
          <w:vertAlign w:val="superscript"/>
        </w:rPr>
        <w:footnoteReference w:id="10"/>
      </w:r>
      <w:r w:rsidRPr="001E4D3A">
        <w:t xml:space="preserve"> Section 2 </w:t>
      </w:r>
      <w:r w:rsidRPr="001E4D3A">
        <w:lastRenderedPageBreak/>
        <w:t>explains that an employee is someone who works under a ‘contract of employment’ and that the latter means:</w:t>
      </w:r>
    </w:p>
    <w:p w14:paraId="00000014" w14:textId="77777777" w:rsidR="000F6456" w:rsidRPr="001E4D3A" w:rsidRDefault="00B0656D" w:rsidP="006840A4">
      <w:pPr>
        <w:pStyle w:val="Quote"/>
      </w:pPr>
      <w:r w:rsidRPr="001E4D3A">
        <w:t>(a) a contract of service or apprenticeship, or</w:t>
      </w:r>
    </w:p>
    <w:p w14:paraId="00000016" w14:textId="2BFD0040" w:rsidR="000F6456" w:rsidRPr="001E4D3A" w:rsidRDefault="00B0656D" w:rsidP="006840A4">
      <w:pPr>
        <w:pStyle w:val="Quote"/>
      </w:pPr>
      <w:r w:rsidRPr="001E4D3A">
        <w:t>(b) any other contract whereby an individual agrees with another person to do or perform personally any work or service for that person or a third person (whether or not the third person is a party to the contract) ...</w:t>
      </w:r>
    </w:p>
    <w:p w14:paraId="00000018" w14:textId="10A43E83" w:rsidR="000F6456" w:rsidRPr="001E4D3A" w:rsidRDefault="006840A4" w:rsidP="006840A4">
      <w:r>
        <w:tab/>
      </w:r>
      <w:r w:rsidR="00B0656D" w:rsidRPr="001E4D3A">
        <w:t xml:space="preserve">The two limbs to this test indicate that the Act covers several types of employment relationship. Paragraph (a) refers to a ‘contract of service’. In the common law, this has traditionally been distinguished from a ‘contract </w:t>
      </w:r>
      <w:r w:rsidR="00B0656D" w:rsidRPr="001E4D3A">
        <w:rPr>
          <w:i/>
        </w:rPr>
        <w:t>for services</w:t>
      </w:r>
      <w:r w:rsidR="00B0656D" w:rsidRPr="001E4D3A">
        <w:t xml:space="preserve">’. Whereas a contract of service is often </w:t>
      </w:r>
      <w:proofErr w:type="spellStart"/>
      <w:r w:rsidR="00B0656D" w:rsidRPr="001E4D3A">
        <w:t>characterised</w:t>
      </w:r>
      <w:proofErr w:type="spellEnd"/>
      <w:r w:rsidR="00B0656D" w:rsidRPr="001E4D3A">
        <w:t xml:space="preserve"> by factors such as control and integration into the employer’s business,</w:t>
      </w:r>
      <w:r w:rsidR="00B0656D" w:rsidRPr="001E4D3A">
        <w:rPr>
          <w:vertAlign w:val="superscript"/>
        </w:rPr>
        <w:footnoteReference w:id="11"/>
      </w:r>
      <w:r w:rsidR="00B0656D" w:rsidRPr="001E4D3A">
        <w:t xml:space="preserve"> a contract for services concerns those who are independent contractors. The latter typically enjoy more autonomy in how they perform their tasks, including the opportunity to earn profits (or risk losses).</w:t>
      </w:r>
      <w:r w:rsidR="00B0656D" w:rsidRPr="001E4D3A">
        <w:rPr>
          <w:vertAlign w:val="superscript"/>
        </w:rPr>
        <w:footnoteReference w:id="12"/>
      </w:r>
      <w:r w:rsidR="00B0656D" w:rsidRPr="001E4D3A">
        <w:t xml:space="preserve"> A substantial body of case</w:t>
      </w:r>
      <w:r w:rsidR="001648AE">
        <w:t xml:space="preserve"> </w:t>
      </w:r>
      <w:r w:rsidR="00B0656D" w:rsidRPr="001E4D3A">
        <w:t>law explores the dichotomy between these concepts.</w:t>
      </w:r>
      <w:bookmarkStart w:id="2" w:name="_Ref144125329"/>
      <w:r w:rsidR="00B0656D" w:rsidRPr="001E4D3A">
        <w:rPr>
          <w:vertAlign w:val="superscript"/>
        </w:rPr>
        <w:footnoteReference w:id="13"/>
      </w:r>
      <w:bookmarkEnd w:id="2"/>
      <w:r w:rsidR="00B0656D" w:rsidRPr="001E4D3A">
        <w:t xml:space="preserve"> A contract of service normally requires the existence of ‘mutuality of obligation’, which entails an obligation on the part of the employer to provide work, and a reciprocal obligation on the worker to perform work.</w:t>
      </w:r>
      <w:r w:rsidR="00B0656D" w:rsidRPr="001E4D3A">
        <w:rPr>
          <w:vertAlign w:val="superscript"/>
        </w:rPr>
        <w:footnoteReference w:id="14"/>
      </w:r>
      <w:r w:rsidR="00B0656D" w:rsidRPr="001E4D3A">
        <w:t xml:space="preserve"> This is, of course, problematic for on-demand contracts and equivalent relationships where there is no commitment by the employer to provide work or where the volume of work is unpredictable. These issues are acute in the gig </w:t>
      </w:r>
      <w:proofErr w:type="gramStart"/>
      <w:r w:rsidR="00B0656D" w:rsidRPr="001E4D3A">
        <w:t>economy</w:t>
      </w:r>
      <w:proofErr w:type="gramEnd"/>
      <w:r w:rsidR="00B0656D" w:rsidRPr="001E4D3A">
        <w:t xml:space="preserve"> and they are at the heart of a case </w:t>
      </w:r>
      <w:r w:rsidR="00185E24">
        <w:t xml:space="preserve">recently decided by </w:t>
      </w:r>
      <w:r w:rsidR="00B0656D" w:rsidRPr="001E4D3A">
        <w:t>the Supreme Court over the status of pizza delivery drivers.</w:t>
      </w:r>
      <w:r w:rsidR="00B0656D" w:rsidRPr="001E4D3A">
        <w:rPr>
          <w:vertAlign w:val="superscript"/>
        </w:rPr>
        <w:footnoteReference w:id="15"/>
      </w:r>
      <w:r w:rsidR="00B0656D" w:rsidRPr="001E4D3A">
        <w:t xml:space="preserve"> </w:t>
      </w:r>
    </w:p>
    <w:p w14:paraId="0000001A" w14:textId="07FED1C7" w:rsidR="000F6456" w:rsidRPr="001E4D3A" w:rsidRDefault="006840A4" w:rsidP="006840A4">
      <w:r>
        <w:tab/>
      </w:r>
      <w:r w:rsidR="00B0656D" w:rsidRPr="001E4D3A">
        <w:t>Given the requirement for mutuality of obligation in a contract of service, it is important that paragraph (b) extends the scope of the National Minimum Wage Act. It applies to a wider range of employment relationships where the worker may be less closely integrated into the employer’s business, but where there is a contract to ‘perform personally any work or service’. A similar form of words can be found in the Employment Equality Act.</w:t>
      </w:r>
      <w:r w:rsidR="00B0656D" w:rsidRPr="001E4D3A">
        <w:rPr>
          <w:vertAlign w:val="superscript"/>
        </w:rPr>
        <w:footnoteReference w:id="16"/>
      </w:r>
      <w:r w:rsidR="00B0656D" w:rsidRPr="001E4D3A">
        <w:t xml:space="preserve"> This formula was used in that legislation in order to comply with the definition of worker that the CJEU had </w:t>
      </w:r>
      <w:r w:rsidR="00B0656D" w:rsidRPr="001E4D3A">
        <w:lastRenderedPageBreak/>
        <w:t>adopted in its case</w:t>
      </w:r>
      <w:r w:rsidR="001648AE">
        <w:t xml:space="preserve"> </w:t>
      </w:r>
      <w:r w:rsidR="00B0656D" w:rsidRPr="001E4D3A">
        <w:t>law on EU anti-discrimination law.</w:t>
      </w:r>
      <w:r w:rsidR="00B0656D" w:rsidRPr="001E4D3A">
        <w:rPr>
          <w:vertAlign w:val="superscript"/>
        </w:rPr>
        <w:footnoteReference w:id="17"/>
      </w:r>
      <w:r w:rsidR="00B0656D" w:rsidRPr="001E4D3A">
        <w:t xml:space="preserve"> On that basis, it should be possible for Irish courts and adjudicators to interpret the National Minimum Wage Act in a manner that takes into account the criteria used by the CJEU on the status of worker. </w:t>
      </w:r>
    </w:p>
    <w:p w14:paraId="0000001C" w14:textId="213DCFC8" w:rsidR="000F6456" w:rsidRPr="001E4D3A" w:rsidRDefault="006840A4" w:rsidP="006840A4">
      <w:r>
        <w:tab/>
      </w:r>
      <w:r w:rsidR="00B0656D" w:rsidRPr="001E4D3A">
        <w:t xml:space="preserve">Paragraph (b) limits the scope of the Act to contracts that entail performing work ‘personally’. This is significant, because it can exclude contractual relationships where the worker is permitted to perform his or her duties through substitutes, </w:t>
      </w:r>
      <w:proofErr w:type="spellStart"/>
      <w:proofErr w:type="gramStart"/>
      <w:r w:rsidR="00965122">
        <w:t>ie</w:t>
      </w:r>
      <w:proofErr w:type="spellEnd"/>
      <w:proofErr w:type="gramEnd"/>
      <w:r w:rsidR="00B0656D" w:rsidRPr="001E4D3A">
        <w:t xml:space="preserve"> someone who replaces the worker either temporarily or for specific tasks. If a substitution clause is genuine, then the contractual relationship may fall outside the scope of the Act. This may be consistent with the case</w:t>
      </w:r>
      <w:r w:rsidR="001648AE">
        <w:t xml:space="preserve"> </w:t>
      </w:r>
      <w:r w:rsidR="00B0656D" w:rsidRPr="001E4D3A">
        <w:t xml:space="preserve">law of the CJEU. In its order in </w:t>
      </w:r>
      <w:r w:rsidR="00B0656D" w:rsidRPr="001E4D3A">
        <w:rPr>
          <w:i/>
        </w:rPr>
        <w:t>Yodel</w:t>
      </w:r>
      <w:r w:rsidR="00B0656D" w:rsidRPr="001E4D3A">
        <w:t>,</w:t>
      </w:r>
      <w:r w:rsidR="00B0656D" w:rsidRPr="001E4D3A">
        <w:rPr>
          <w:vertAlign w:val="superscript"/>
        </w:rPr>
        <w:footnoteReference w:id="18"/>
      </w:r>
      <w:r w:rsidR="00B0656D" w:rsidRPr="001E4D3A">
        <w:t xml:space="preserve"> it accepted that the possibility to send a substitute to perform tasks was a factor that could lead to a finding that there was not a relationship of subordination between the contractor and the employer, and that consequently the contractor was not a worker. </w:t>
      </w:r>
    </w:p>
    <w:p w14:paraId="0000001E" w14:textId="76F8250B" w:rsidR="000F6456" w:rsidRPr="001E4D3A" w:rsidRDefault="006840A4" w:rsidP="006840A4">
      <w:r>
        <w:tab/>
      </w:r>
      <w:r w:rsidR="00B0656D" w:rsidRPr="001E4D3A">
        <w:t>The Act contains certain exclusions to its personal scope. It does not apply to the remuneration of a person who is related to the employer in various ways, such as spouses, parents, or siblings.</w:t>
      </w:r>
      <w:r w:rsidR="00B0656D" w:rsidRPr="001E4D3A">
        <w:rPr>
          <w:vertAlign w:val="superscript"/>
        </w:rPr>
        <w:footnoteReference w:id="19"/>
      </w:r>
      <w:r w:rsidR="00B0656D" w:rsidRPr="001E4D3A">
        <w:t xml:space="preserve"> This </w:t>
      </w:r>
      <w:r w:rsidR="00E70ED9" w:rsidRPr="001E4D3A">
        <w:t xml:space="preserve">exclusion </w:t>
      </w:r>
      <w:r w:rsidR="00B0656D" w:rsidRPr="001E4D3A">
        <w:t xml:space="preserve">is not found in the Directive, so this aspect of Irish law may not be in conformity with its requirements, unless it could be justified under other legal provisions, such as the right to respect for private and family life in Article 7 of the Charter of Fundamental Rights. </w:t>
      </w:r>
    </w:p>
    <w:p w14:paraId="00000020" w14:textId="437C29E7" w:rsidR="000F6456" w:rsidRPr="001E4D3A" w:rsidRDefault="006840A4" w:rsidP="006840A4">
      <w:r>
        <w:tab/>
      </w:r>
      <w:r w:rsidR="00B0656D" w:rsidRPr="001E4D3A">
        <w:t xml:space="preserve">Furthermore, the Act does not apply to certain types of </w:t>
      </w:r>
      <w:proofErr w:type="gramStart"/>
      <w:r w:rsidR="00B0656D" w:rsidRPr="001E4D3A">
        <w:t>apprentice</w:t>
      </w:r>
      <w:proofErr w:type="gramEnd"/>
      <w:r w:rsidR="00B0656D" w:rsidRPr="001E4D3A">
        <w:t xml:space="preserve"> or ‘any non-commercial activity or work engaged in by prisoners’.</w:t>
      </w:r>
      <w:r w:rsidR="00B0656D" w:rsidRPr="001E4D3A">
        <w:rPr>
          <w:vertAlign w:val="superscript"/>
        </w:rPr>
        <w:footnoteReference w:id="20"/>
      </w:r>
      <w:r w:rsidR="00B0656D" w:rsidRPr="001E4D3A">
        <w:t xml:space="preserve"> The </w:t>
      </w:r>
      <w:r w:rsidR="001648AE">
        <w:t xml:space="preserve">AMW </w:t>
      </w:r>
      <w:r w:rsidR="00B0656D" w:rsidRPr="001E4D3A">
        <w:t>Directive does not address the question of work performed by prisoners, nor has this yet arisen in CJEU case</w:t>
      </w:r>
      <w:r w:rsidR="00D731C0">
        <w:t xml:space="preserve"> </w:t>
      </w:r>
      <w:r w:rsidR="00B0656D" w:rsidRPr="001E4D3A">
        <w:t xml:space="preserve">law. In contrast, recital 21 explicitly mentions that apprentices </w:t>
      </w:r>
      <w:r w:rsidR="00B0656D" w:rsidRPr="001E4D3A">
        <w:rPr>
          <w:i/>
        </w:rPr>
        <w:t>could</w:t>
      </w:r>
      <w:r w:rsidR="00B0656D" w:rsidRPr="001E4D3A">
        <w:t xml:space="preserve"> fall within the scope of the Directive if they fulfil the criteria for the status of worker found in CJEU case</w:t>
      </w:r>
      <w:r w:rsidR="00D731C0">
        <w:t xml:space="preserve"> </w:t>
      </w:r>
      <w:r w:rsidR="00B0656D" w:rsidRPr="001E4D3A">
        <w:t xml:space="preserve">law. Therefore, it will be necessary for Ireland to review the types of apprenticeship that are currently excluded from the Act and to determine </w:t>
      </w:r>
      <w:r w:rsidR="001648AE">
        <w:t>whether</w:t>
      </w:r>
      <w:r w:rsidR="00B0656D" w:rsidRPr="001E4D3A">
        <w:t xml:space="preserve"> this is in conformity with CJEU case</w:t>
      </w:r>
      <w:r w:rsidR="00965122">
        <w:t xml:space="preserve"> </w:t>
      </w:r>
      <w:r w:rsidR="00B0656D" w:rsidRPr="001E4D3A">
        <w:t xml:space="preserve">law. </w:t>
      </w:r>
    </w:p>
    <w:p w14:paraId="00000022" w14:textId="347C8553" w:rsidR="000F6456" w:rsidRPr="00965222" w:rsidRDefault="00FD08EF" w:rsidP="00FD08EF">
      <w:pPr>
        <w:pStyle w:val="Heading2"/>
        <w:rPr>
          <w:rStyle w:val="BookTitle"/>
        </w:rPr>
      </w:pPr>
      <w:r>
        <w:rPr>
          <w:rStyle w:val="BookTitle"/>
        </w:rPr>
        <w:t xml:space="preserve">B. </w:t>
      </w:r>
      <w:r w:rsidR="00B0656D" w:rsidRPr="00965222">
        <w:rPr>
          <w:rStyle w:val="BookTitle"/>
        </w:rPr>
        <w:t>Definitions</w:t>
      </w:r>
    </w:p>
    <w:p w14:paraId="00000024" w14:textId="74AF586D" w:rsidR="000F6456" w:rsidRPr="001E4D3A" w:rsidRDefault="00B0656D" w:rsidP="006840A4">
      <w:r w:rsidRPr="001E4D3A">
        <w:lastRenderedPageBreak/>
        <w:t xml:space="preserve">Article 3(2) of the </w:t>
      </w:r>
      <w:r w:rsidR="001648AE">
        <w:t xml:space="preserve">AMW </w:t>
      </w:r>
      <w:r w:rsidRPr="001E4D3A">
        <w:t xml:space="preserve">Directive defines ‘statutory minimum wage’ as ‘a minimum wage set by law or other binding legal provisions’. The National Minimum Wage Act 2000 clearly falls within this definition. Its binding effect is confirmed in section 7(2). This provides that any contractual provision that purports to ‘exclude or limit’ the operation of the Act is void. </w:t>
      </w:r>
    </w:p>
    <w:p w14:paraId="00000026" w14:textId="50ACEE3E" w:rsidR="000F6456" w:rsidRPr="001E4D3A" w:rsidRDefault="006840A4" w:rsidP="006840A4">
      <w:r>
        <w:tab/>
      </w:r>
      <w:r w:rsidR="00B0656D" w:rsidRPr="001E4D3A">
        <w:t>Turning to the definition of collective bargaining found in the Directive, two questions of interpretation may arise when considering its effects in Ireland: (a) whether the definitions of collective bargaining in national law conform to the Directive; and (b) whether sector-specific minimum wages fall within the scope of statutory minimum wages or collective bargaining. In respect of the first, the Directive says:</w:t>
      </w:r>
    </w:p>
    <w:p w14:paraId="00000028" w14:textId="41C0B15D" w:rsidR="000F6456" w:rsidRPr="001E4D3A" w:rsidRDefault="00B0656D" w:rsidP="006840A4">
      <w:pPr>
        <w:pStyle w:val="Quote"/>
      </w:pPr>
      <w:r w:rsidRPr="001E4D3A">
        <w:t xml:space="preserve">(3) ‘collective bargaining’ means all negotiations which take place according to national law and practice in each Member State between an employer, a group of employers or one or more employers’ organisations on the one hand, and </w:t>
      </w:r>
      <w:r w:rsidRPr="001E4D3A">
        <w:rPr>
          <w:i/>
        </w:rPr>
        <w:t xml:space="preserve">one or more trade unions </w:t>
      </w:r>
      <w:r w:rsidRPr="001E4D3A">
        <w:t>on the other, for determining working conditions and terms of employment;</w:t>
      </w:r>
    </w:p>
    <w:p w14:paraId="0000002A" w14:textId="462EC907" w:rsidR="000F6456" w:rsidRPr="001B1374" w:rsidRDefault="00B0656D" w:rsidP="006840A4">
      <w:pPr>
        <w:pStyle w:val="Quote"/>
      </w:pPr>
      <w:r w:rsidRPr="001E4D3A">
        <w:t xml:space="preserve">(4) ‘collective agreement’ means a written agreement regarding provisions on working conditions and terms of employment concluded by the </w:t>
      </w:r>
      <w:r w:rsidRPr="001E4D3A">
        <w:rPr>
          <w:i/>
        </w:rPr>
        <w:t>social partners that have the capacity to bargain on behalf of workers and employers respectively according to national law and practice</w:t>
      </w:r>
      <w:r w:rsidRPr="001E4D3A">
        <w:t>, including collective agreements that have been declared universally applicable…</w:t>
      </w:r>
      <w:r w:rsidRPr="001E4D3A">
        <w:rPr>
          <w:vertAlign w:val="superscript"/>
        </w:rPr>
        <w:footnoteReference w:id="21"/>
      </w:r>
      <w:r w:rsidR="001B1374">
        <w:t xml:space="preserve"> </w:t>
      </w:r>
      <w:r w:rsidR="001B1374" w:rsidRPr="001B1374">
        <w:t>(emphasis added)</w:t>
      </w:r>
    </w:p>
    <w:p w14:paraId="0000002B" w14:textId="153CA348" w:rsidR="000F6456" w:rsidRPr="001E4D3A" w:rsidRDefault="006840A4" w:rsidP="006840A4">
      <w:r>
        <w:tab/>
      </w:r>
      <w:r w:rsidR="00B0656D" w:rsidRPr="001E4D3A">
        <w:t>Existing national law defines collective bargaining as follows:</w:t>
      </w:r>
    </w:p>
    <w:p w14:paraId="0000002E" w14:textId="70E59E85" w:rsidR="000F6456" w:rsidRPr="001E4D3A" w:rsidRDefault="00B0656D" w:rsidP="006840A4">
      <w:pPr>
        <w:pStyle w:val="Quote"/>
      </w:pPr>
      <w:r w:rsidRPr="001E4D3A">
        <w:t>voluntary engagements or negotiations between any employer or employers’ organisation on the one hand and a trade union of workers or excepted body to which this Act applies on the other, with the object of reaching agreement regarding working conditions or terms of employment, or non-employment, of workers… [‘Excepted body’] means a body that is independent and not under the domination and control of an employer or trade union of employers, all the members of which body are employed by the same employer and which carries on engagements or negotiations with the object of reaching agreement regarding the wages or other conditions of employment of its own members (but of no other employees).</w:t>
      </w:r>
      <w:r w:rsidRPr="001E4D3A">
        <w:rPr>
          <w:vertAlign w:val="superscript"/>
        </w:rPr>
        <w:footnoteReference w:id="22"/>
      </w:r>
    </w:p>
    <w:p w14:paraId="00000030" w14:textId="0D606215" w:rsidR="000F6456" w:rsidRPr="00D731C0" w:rsidRDefault="006840A4" w:rsidP="006840A4">
      <w:r>
        <w:tab/>
      </w:r>
      <w:r w:rsidR="00B0656D" w:rsidRPr="001E4D3A">
        <w:t xml:space="preserve">It is unclear at this point whether the provisions of Irish law relating to ‘excepted bodies’ are compatible with the reference in the Directive to ‘trade </w:t>
      </w:r>
      <w:proofErr w:type="gramStart"/>
      <w:r w:rsidR="00B0656D" w:rsidRPr="001E4D3A">
        <w:t>unions’</w:t>
      </w:r>
      <w:proofErr w:type="gramEnd"/>
      <w:r w:rsidR="00B0656D" w:rsidRPr="001E4D3A">
        <w:t xml:space="preserve">. Excepted bodies are representative </w:t>
      </w:r>
      <w:proofErr w:type="spellStart"/>
      <w:r w:rsidR="00B0656D" w:rsidRPr="001E4D3A">
        <w:t>organisations</w:t>
      </w:r>
      <w:proofErr w:type="spellEnd"/>
      <w:r w:rsidR="00B0656D" w:rsidRPr="001E4D3A">
        <w:t xml:space="preserve"> confined to a single business, and do not hold negotiation </w:t>
      </w:r>
      <w:proofErr w:type="spellStart"/>
      <w:r w:rsidR="00B0656D" w:rsidRPr="001E4D3A">
        <w:t>licences</w:t>
      </w:r>
      <w:proofErr w:type="spellEnd"/>
      <w:r w:rsidR="00B0656D" w:rsidRPr="001E4D3A">
        <w:t xml:space="preserve"> in accordance with the Trade Union Act 1941;</w:t>
      </w:r>
      <w:r w:rsidR="00B0656D" w:rsidRPr="001E4D3A">
        <w:rPr>
          <w:vertAlign w:val="superscript"/>
        </w:rPr>
        <w:footnoteReference w:id="23"/>
      </w:r>
      <w:r w:rsidR="00B0656D" w:rsidRPr="001E4D3A">
        <w:t xml:space="preserve"> they are widely relied on by employers as an alternative to bargaining with an ‘external’ trade union.</w:t>
      </w:r>
      <w:r w:rsidR="00B0656D" w:rsidRPr="001E4D3A">
        <w:rPr>
          <w:vertAlign w:val="superscript"/>
        </w:rPr>
        <w:footnoteReference w:id="24"/>
      </w:r>
      <w:r w:rsidR="00B0656D" w:rsidRPr="001E4D3A">
        <w:t xml:space="preserve"> The requirement that </w:t>
      </w:r>
      <w:r w:rsidR="00B0656D" w:rsidRPr="001E4D3A">
        <w:lastRenderedPageBreak/>
        <w:t xml:space="preserve">excepted bodies be independent from the ‘domination and control’ of the employer is a legislative response to the Supreme Court decision in </w:t>
      </w:r>
      <w:r w:rsidR="00B0656D" w:rsidRPr="001E4D3A">
        <w:rPr>
          <w:i/>
        </w:rPr>
        <w:t xml:space="preserve">Ryanair v </w:t>
      </w:r>
      <w:proofErr w:type="spellStart"/>
      <w:r w:rsidR="00B0656D" w:rsidRPr="001E4D3A">
        <w:rPr>
          <w:i/>
        </w:rPr>
        <w:t>Labour</w:t>
      </w:r>
      <w:proofErr w:type="spellEnd"/>
      <w:r w:rsidR="00B0656D" w:rsidRPr="001E4D3A">
        <w:rPr>
          <w:i/>
        </w:rPr>
        <w:t xml:space="preserve"> Court</w:t>
      </w:r>
      <w:r w:rsidR="00B0656D" w:rsidRPr="001E4D3A">
        <w:t xml:space="preserve"> to the effect that an employer may escape obligations under the Industrial Relations (Amendment) Acts 2001</w:t>
      </w:r>
      <w:r w:rsidR="001648AE">
        <w:t>–</w:t>
      </w:r>
      <w:r w:rsidR="00B0656D" w:rsidRPr="001E4D3A">
        <w:t xml:space="preserve">2004 (which will be returned to below) if it chooses to deal exclusively with an ‘in-house’ employee representative </w:t>
      </w:r>
      <w:proofErr w:type="spellStart"/>
      <w:r w:rsidR="00B0656D" w:rsidRPr="001E4D3A">
        <w:t>organisation</w:t>
      </w:r>
      <w:proofErr w:type="spellEnd"/>
      <w:r w:rsidR="00B0656D" w:rsidRPr="001E4D3A">
        <w:t>.</w:t>
      </w:r>
      <w:r w:rsidR="00B0656D" w:rsidRPr="001E4D3A">
        <w:rPr>
          <w:vertAlign w:val="superscript"/>
        </w:rPr>
        <w:footnoteReference w:id="25"/>
      </w:r>
      <w:r w:rsidR="00B0656D" w:rsidRPr="001E4D3A">
        <w:t xml:space="preserve"> It remains unclear whether negotiations </w:t>
      </w:r>
      <w:r w:rsidR="00B0656D" w:rsidRPr="00D731C0">
        <w:t xml:space="preserve">between an excepted body and the employer of its members will count as ‘collective bargaining’ for the purposes of the Directive. They are not ‘trade unions’, but arguably fall within the scope of ‘the social partners that have the capacity to bargain on behalf of workers and employers respectively </w:t>
      </w:r>
      <w:r w:rsidR="00B0656D" w:rsidRPr="00D731C0">
        <w:rPr>
          <w:i/>
        </w:rPr>
        <w:t>according to national law and practice</w:t>
      </w:r>
      <w:r w:rsidR="00B0656D" w:rsidRPr="00D731C0">
        <w:t>’ (emphasis added).</w:t>
      </w:r>
      <w:r w:rsidR="00B0656D" w:rsidRPr="00D731C0">
        <w:rPr>
          <w:vertAlign w:val="superscript"/>
        </w:rPr>
        <w:footnoteReference w:id="26"/>
      </w:r>
    </w:p>
    <w:p w14:paraId="00000032" w14:textId="459F66F7" w:rsidR="000F6456" w:rsidRPr="001E4D3A" w:rsidRDefault="00A50841" w:rsidP="00A50841">
      <w:r w:rsidRPr="00D731C0">
        <w:tab/>
      </w:r>
      <w:r w:rsidR="00B0656D" w:rsidRPr="00D731C0">
        <w:t xml:space="preserve">The second concern was that certain sectors enjoy a higher minimum wage than that provided under the </w:t>
      </w:r>
      <w:r w:rsidR="00E70ED9" w:rsidRPr="00D731C0">
        <w:t>National Minimum Wage</w:t>
      </w:r>
      <w:r w:rsidR="00B0656D" w:rsidRPr="00D731C0">
        <w:t xml:space="preserve"> Act</w:t>
      </w:r>
      <w:r w:rsidR="00E70ED9" w:rsidRPr="00D731C0">
        <w:t xml:space="preserve"> 2000</w:t>
      </w:r>
      <w:r w:rsidR="00B0656D" w:rsidRPr="00D731C0">
        <w:t>: the</w:t>
      </w:r>
      <w:r w:rsidR="00A60A2C" w:rsidRPr="00D731C0">
        <w:t xml:space="preserve"> </w:t>
      </w:r>
      <w:r w:rsidR="00EF34C3" w:rsidRPr="00D731C0">
        <w:t xml:space="preserve">statutory </w:t>
      </w:r>
      <w:r w:rsidR="00A60A2C" w:rsidRPr="00D731C0">
        <w:t>industrial relations f</w:t>
      </w:r>
      <w:r w:rsidR="00EF34C3" w:rsidRPr="00D731C0">
        <w:t xml:space="preserve">ramework which culminated in the </w:t>
      </w:r>
      <w:r w:rsidR="00E70ED9" w:rsidRPr="00D731C0">
        <w:t xml:space="preserve">Industrial Relations (Amendment) Act </w:t>
      </w:r>
      <w:r w:rsidR="00B0656D" w:rsidRPr="00D731C0">
        <w:t xml:space="preserve">2015 empowers Joint </w:t>
      </w:r>
      <w:proofErr w:type="spellStart"/>
      <w:r w:rsidR="00B0656D" w:rsidRPr="00D731C0">
        <w:t>Labour</w:t>
      </w:r>
      <w:proofErr w:type="spellEnd"/>
      <w:r w:rsidR="00B0656D" w:rsidRPr="00D731C0">
        <w:t xml:space="preserve"> Committees (JLCs, which are tripartite bodies) to formulate Employment Regulation Orders (EROs) that are binding within specific sectors. </w:t>
      </w:r>
      <w:r w:rsidR="00B3387E" w:rsidRPr="00D731C0">
        <w:t>Similarly, a Sectoral Employment Order (</w:t>
      </w:r>
      <w:r w:rsidR="008C44F4" w:rsidRPr="00D731C0">
        <w:t xml:space="preserve">SEO) is promulgated by the </w:t>
      </w:r>
      <w:proofErr w:type="spellStart"/>
      <w:r w:rsidR="008C44F4" w:rsidRPr="00D731C0">
        <w:t>Labour</w:t>
      </w:r>
      <w:proofErr w:type="spellEnd"/>
      <w:r w:rsidR="008C44F4" w:rsidRPr="00D731C0">
        <w:t xml:space="preserve"> Court after hearing submissions from the social partners, but not </w:t>
      </w:r>
      <w:r w:rsidR="00E4552F" w:rsidRPr="00D731C0">
        <w:t xml:space="preserve">(formal) </w:t>
      </w:r>
      <w:r w:rsidR="008C44F4" w:rsidRPr="00D731C0">
        <w:t xml:space="preserve">negotiations. </w:t>
      </w:r>
      <w:r w:rsidR="00B0656D" w:rsidRPr="00D731C0">
        <w:t>We will return to this system in the context of collective bargaining, but ultimately EROs</w:t>
      </w:r>
      <w:r w:rsidR="00E4552F" w:rsidRPr="00D731C0">
        <w:t xml:space="preserve"> and SEOs</w:t>
      </w:r>
      <w:r w:rsidR="00B0656D" w:rsidRPr="00D731C0">
        <w:t xml:space="preserve"> are form</w:t>
      </w:r>
      <w:r w:rsidR="00E4552F" w:rsidRPr="00D731C0">
        <w:t>s</w:t>
      </w:r>
      <w:r w:rsidR="00B0656D" w:rsidRPr="00D731C0">
        <w:t xml:space="preserve"> of statutory minimum wage. The output of negotiations at the JLC is not, as a matter of law, a ‘collective agreement that has been declared universally applicable’,</w:t>
      </w:r>
      <w:r w:rsidR="00B0656D" w:rsidRPr="00D731C0">
        <w:rPr>
          <w:vertAlign w:val="superscript"/>
        </w:rPr>
        <w:footnoteReference w:id="27"/>
      </w:r>
      <w:r w:rsidR="00B0656D" w:rsidRPr="00D731C0">
        <w:t xml:space="preserve"> but rather a statutory instrument, the </w:t>
      </w:r>
      <w:r w:rsidR="00B0656D" w:rsidRPr="00D731C0">
        <w:rPr>
          <w:i/>
        </w:rPr>
        <w:t>content</w:t>
      </w:r>
      <w:r w:rsidR="00B0656D" w:rsidRPr="00D731C0">
        <w:t xml:space="preserve"> of which has been negotiated on a tripartite basis. Moreover, the </w:t>
      </w:r>
      <w:proofErr w:type="spellStart"/>
      <w:r w:rsidR="00B0656D" w:rsidRPr="00D731C0">
        <w:t>Labour</w:t>
      </w:r>
      <w:proofErr w:type="spellEnd"/>
      <w:r w:rsidR="00B0656D" w:rsidRPr="00D731C0">
        <w:t xml:space="preserve"> Court has the power to refuse the recommendation of the JLC, or to propose amendments to terms of the ERO recommended by the JLC.</w:t>
      </w:r>
      <w:r w:rsidR="00B0656D" w:rsidRPr="00D731C0">
        <w:rPr>
          <w:vertAlign w:val="superscript"/>
        </w:rPr>
        <w:footnoteReference w:id="28"/>
      </w:r>
      <w:r w:rsidR="00B0656D" w:rsidRPr="00D731C0">
        <w:t xml:space="preserve"> Thus, workers whose pay</w:t>
      </w:r>
      <w:r w:rsidR="00B0656D" w:rsidRPr="001E4D3A">
        <w:t xml:space="preserve"> is set by an ERO should not count towards the collective bargaining coverage rate (and do not, on standard measures such as that given above). What remains to be seen is whether the JLC-ERO system</w:t>
      </w:r>
      <w:r w:rsidR="009A017F" w:rsidRPr="001E4D3A">
        <w:t xml:space="preserve"> in particular </w:t>
      </w:r>
      <w:r w:rsidR="00B0656D" w:rsidRPr="001E4D3A">
        <w:t xml:space="preserve">will count as part of the ‘framework of enabling conditions for collective bargaining’ under Article 4 of the Directive (in particular, whether it is part of ‘the capacity of the social partners to engage in collective bargaining on wage-setting, in particular at sector or cross-industry level’ which </w:t>
      </w:r>
      <w:r w:rsidR="00B0656D" w:rsidRPr="001E4D3A">
        <w:lastRenderedPageBreak/>
        <w:t xml:space="preserve">Member States are required to ‘strengthen’), and whether strengthening that system will be part of the Irish government’s action plan to promote collective bargaining required by that </w:t>
      </w:r>
      <w:r w:rsidR="001C53F3">
        <w:t>a</w:t>
      </w:r>
      <w:r w:rsidR="00B0656D" w:rsidRPr="001E4D3A">
        <w:t xml:space="preserve">rticle. </w:t>
      </w:r>
    </w:p>
    <w:p w14:paraId="00000034" w14:textId="28138FAE" w:rsidR="000F6456" w:rsidRPr="00D66C22" w:rsidRDefault="00FD08EF" w:rsidP="00FD08EF">
      <w:pPr>
        <w:pStyle w:val="Heading2"/>
      </w:pPr>
      <w:r>
        <w:t xml:space="preserve">C. </w:t>
      </w:r>
      <w:r w:rsidR="00B0656D" w:rsidRPr="00D66C22">
        <w:t xml:space="preserve">Promotion of Collective Bargaining Coverage </w:t>
      </w:r>
    </w:p>
    <w:p w14:paraId="00000036" w14:textId="69AEAC06" w:rsidR="000F6456" w:rsidRPr="001E4D3A" w:rsidRDefault="00B0656D" w:rsidP="00A50841">
      <w:r w:rsidRPr="001E4D3A">
        <w:t>The Irish law on collective bargaining has both constitutional and statutory elements.</w:t>
      </w:r>
      <w:bookmarkStart w:id="3" w:name="_Ref144125401"/>
      <w:r w:rsidRPr="001E4D3A">
        <w:rPr>
          <w:vertAlign w:val="superscript"/>
        </w:rPr>
        <w:footnoteReference w:id="29"/>
      </w:r>
      <w:bookmarkEnd w:id="3"/>
      <w:r w:rsidRPr="001E4D3A">
        <w:t xml:space="preserve"> The Constitution gives only very qualified protection to the right to freedom of association, which includes collective bargaining.</w:t>
      </w:r>
      <w:r w:rsidRPr="001E4D3A">
        <w:rPr>
          <w:vertAlign w:val="superscript"/>
        </w:rPr>
        <w:footnoteReference w:id="30"/>
      </w:r>
      <w:r w:rsidRPr="001E4D3A">
        <w:t xml:space="preserve"> Workers are free to form or join trade unions, but this is circumscribed by the freedom of that union to refuse membership. The operation and enforcement (whether by the employer or the union) of a closed shop is unconstitutional. There is substantial latitude given to the state to regulate the conduct of industrial relations, and both constitutional and statutory protections for trade union activities are limited by the constitutional rights of other workers (both inside and outside the union), customers or service users (in certain circumstances), and employers, which significantly constrain the rights to strike and picket. Employers are not obliged to </w:t>
      </w:r>
      <w:proofErr w:type="spellStart"/>
      <w:r w:rsidRPr="001E4D3A">
        <w:t>recognise</w:t>
      </w:r>
      <w:proofErr w:type="spellEnd"/>
      <w:r w:rsidRPr="001E4D3A">
        <w:t xml:space="preserve"> or bargain with any union, and one case has even suggested that employers have a constitutional </w:t>
      </w:r>
      <w:r w:rsidRPr="001E4D3A">
        <w:rPr>
          <w:i/>
        </w:rPr>
        <w:t>right</w:t>
      </w:r>
      <w:r w:rsidRPr="001E4D3A">
        <w:t xml:space="preserve"> not to be forced (whether by statute or by industrial action) to bargain with a trade union.</w:t>
      </w:r>
      <w:r w:rsidRPr="001E4D3A">
        <w:rPr>
          <w:vertAlign w:val="superscript"/>
        </w:rPr>
        <w:footnoteReference w:id="31"/>
      </w:r>
    </w:p>
    <w:p w14:paraId="00000038" w14:textId="6D0A6155" w:rsidR="000F6456" w:rsidRPr="00D731C0" w:rsidRDefault="00A50841" w:rsidP="00A50841">
      <w:r>
        <w:tab/>
      </w:r>
      <w:r w:rsidR="00B0656D" w:rsidRPr="001E4D3A">
        <w:t xml:space="preserve">There is additional case law on the operation of subsidiary </w:t>
      </w:r>
      <w:proofErr w:type="spellStart"/>
      <w:r w:rsidR="00B0656D" w:rsidRPr="001E4D3A">
        <w:t>labour</w:t>
      </w:r>
      <w:proofErr w:type="spellEnd"/>
      <w:r w:rsidR="00B0656D" w:rsidRPr="001E4D3A">
        <w:t xml:space="preserve">-regulatory institutions. These bodies (of which the Workplace Relations </w:t>
      </w:r>
      <w:r w:rsidR="00B0656D" w:rsidRPr="00D731C0">
        <w:t>Commission (WRC) and th</w:t>
      </w:r>
      <w:r w:rsidR="00B0656D" w:rsidRPr="001E4D3A">
        <w:t xml:space="preserve">e </w:t>
      </w:r>
      <w:proofErr w:type="spellStart"/>
      <w:r w:rsidR="00B0656D" w:rsidRPr="001E4D3A">
        <w:t>Labour</w:t>
      </w:r>
      <w:proofErr w:type="spellEnd"/>
      <w:r w:rsidR="00B0656D" w:rsidRPr="001E4D3A">
        <w:t xml:space="preserve"> Court are of paramount importance) are responsible for the resolution of individual employment litigation (unfair dismissal, pay claims, </w:t>
      </w:r>
      <w:proofErr w:type="spellStart"/>
      <w:r w:rsidR="00B0656D" w:rsidRPr="001648AE">
        <w:t>etc</w:t>
      </w:r>
      <w:proofErr w:type="spellEnd"/>
      <w:r w:rsidR="00B0656D" w:rsidRPr="001E4D3A">
        <w:t xml:space="preserve">), the facilitation of collective negotiation, and the setting of certain sectoral standards (on which more below). The Industrial Relations Act 1946 established a </w:t>
      </w:r>
      <w:r w:rsidR="00B0656D" w:rsidRPr="00D731C0">
        <w:t xml:space="preserve">form of mandatory sectoral collective agreements called </w:t>
      </w:r>
      <w:r w:rsidR="00B0656D" w:rsidRPr="00D731C0">
        <w:lastRenderedPageBreak/>
        <w:t>Registered Employment Agreements (REAs)</w:t>
      </w:r>
      <w:r w:rsidR="00B0656D" w:rsidRPr="00D731C0">
        <w:rPr>
          <w:vertAlign w:val="superscript"/>
        </w:rPr>
        <w:footnoteReference w:id="32"/>
      </w:r>
      <w:r w:rsidR="00B0656D" w:rsidRPr="00D731C0">
        <w:t xml:space="preserve"> and sectoral regulation through tripartite bodies (the JLCs discussed above)</w:t>
      </w:r>
      <w:r w:rsidR="00B0656D" w:rsidRPr="00D731C0">
        <w:rPr>
          <w:vertAlign w:val="superscript"/>
        </w:rPr>
        <w:footnoteReference w:id="33"/>
      </w:r>
      <w:r w:rsidR="00B0656D" w:rsidRPr="00D731C0">
        <w:t xml:space="preserve"> under the auspices of the </w:t>
      </w:r>
      <w:proofErr w:type="spellStart"/>
      <w:r w:rsidR="00B0656D" w:rsidRPr="00D731C0">
        <w:t>Labour</w:t>
      </w:r>
      <w:proofErr w:type="spellEnd"/>
      <w:r w:rsidR="00B0656D" w:rsidRPr="00D731C0">
        <w:t xml:space="preserve"> Court. </w:t>
      </w:r>
    </w:p>
    <w:p w14:paraId="0000003A" w14:textId="4244DD16" w:rsidR="000F6456" w:rsidRPr="001E4D3A" w:rsidRDefault="00A50841" w:rsidP="00A50841">
      <w:r w:rsidRPr="00D731C0">
        <w:tab/>
      </w:r>
      <w:r w:rsidR="00B0656D" w:rsidRPr="00D731C0">
        <w:t>In recent decades, there has been much discussion over whether the powers of such institutions are consistent with the Constitution.</w:t>
      </w:r>
      <w:bookmarkStart w:id="4" w:name="_Ref144125411"/>
      <w:r w:rsidR="00B0656D" w:rsidRPr="00D731C0">
        <w:rPr>
          <w:vertAlign w:val="superscript"/>
        </w:rPr>
        <w:footnoteReference w:id="34"/>
      </w:r>
      <w:bookmarkEnd w:id="4"/>
      <w:r w:rsidR="00B0656D" w:rsidRPr="00D731C0">
        <w:t xml:space="preserve"> In</w:t>
      </w:r>
      <w:r w:rsidR="00B0656D" w:rsidRPr="001E4D3A">
        <w:t xml:space="preserve"> </w:t>
      </w:r>
      <w:r w:rsidR="00B0656D" w:rsidRPr="001E4D3A">
        <w:rPr>
          <w:i/>
        </w:rPr>
        <w:t>John Grace Fried Chicken v Catering JLC</w:t>
      </w:r>
      <w:r w:rsidR="00B0656D" w:rsidRPr="001E4D3A">
        <w:rPr>
          <w:vertAlign w:val="superscript"/>
        </w:rPr>
        <w:footnoteReference w:id="35"/>
      </w:r>
      <w:r w:rsidR="00B0656D" w:rsidRPr="001E4D3A">
        <w:rPr>
          <w:i/>
        </w:rPr>
        <w:t xml:space="preserve"> </w:t>
      </w:r>
      <w:r w:rsidR="00B0656D" w:rsidRPr="001E4D3A">
        <w:t xml:space="preserve">and </w:t>
      </w:r>
      <w:r w:rsidR="00B0656D" w:rsidRPr="001E4D3A">
        <w:rPr>
          <w:i/>
        </w:rPr>
        <w:t xml:space="preserve">McGowan v </w:t>
      </w:r>
      <w:proofErr w:type="spellStart"/>
      <w:r w:rsidR="00B0656D" w:rsidRPr="001E4D3A">
        <w:rPr>
          <w:i/>
        </w:rPr>
        <w:t>Labour</w:t>
      </w:r>
      <w:proofErr w:type="spellEnd"/>
      <w:r w:rsidR="00B0656D" w:rsidRPr="001E4D3A">
        <w:rPr>
          <w:i/>
        </w:rPr>
        <w:t xml:space="preserve"> Court</w:t>
      </w:r>
      <w:r w:rsidR="00B0656D" w:rsidRPr="001E4D3A">
        <w:t>,</w:t>
      </w:r>
      <w:r w:rsidR="00B0656D" w:rsidRPr="001E4D3A">
        <w:rPr>
          <w:vertAlign w:val="superscript"/>
        </w:rPr>
        <w:footnoteReference w:id="36"/>
      </w:r>
      <w:r w:rsidR="00B0656D" w:rsidRPr="001E4D3A">
        <w:t xml:space="preserve"> the courts held that Parts III and IV of the 1946 Act were unconstitutional because they impermissibly delegated the legislative power reserved to the</w:t>
      </w:r>
      <w:r w:rsidR="00B0656D" w:rsidRPr="001E4D3A">
        <w:rPr>
          <w:i/>
        </w:rPr>
        <w:t xml:space="preserve"> </w:t>
      </w:r>
      <w:r w:rsidR="00B0656D" w:rsidRPr="001E4D3A">
        <w:t xml:space="preserve">national parliament to unelected administrative bodies and the social partners (which the Supreme Court </w:t>
      </w:r>
      <w:proofErr w:type="spellStart"/>
      <w:r w:rsidR="00B0656D" w:rsidRPr="001E4D3A">
        <w:t>characterised</w:t>
      </w:r>
      <w:proofErr w:type="spellEnd"/>
      <w:r w:rsidR="00B0656D" w:rsidRPr="001E4D3A">
        <w:t xml:space="preserve"> as wholly private entities). However, in the recent case of </w:t>
      </w:r>
      <w:r w:rsidR="00B0656D" w:rsidRPr="001E4D3A">
        <w:rPr>
          <w:i/>
        </w:rPr>
        <w:t xml:space="preserve">NECI v </w:t>
      </w:r>
      <w:proofErr w:type="spellStart"/>
      <w:r w:rsidR="00B0656D" w:rsidRPr="001E4D3A">
        <w:rPr>
          <w:i/>
        </w:rPr>
        <w:t>Labour</w:t>
      </w:r>
      <w:proofErr w:type="spellEnd"/>
      <w:r w:rsidR="00B0656D" w:rsidRPr="001E4D3A">
        <w:rPr>
          <w:i/>
        </w:rPr>
        <w:t xml:space="preserve"> Court</w:t>
      </w:r>
      <w:r w:rsidR="00B0656D" w:rsidRPr="001E4D3A">
        <w:t>,</w:t>
      </w:r>
      <w:r w:rsidR="00B0656D" w:rsidRPr="001E4D3A">
        <w:rPr>
          <w:vertAlign w:val="superscript"/>
        </w:rPr>
        <w:footnoteReference w:id="37"/>
      </w:r>
      <w:r w:rsidR="00B0656D" w:rsidRPr="001E4D3A">
        <w:t xml:space="preserve"> the Supreme Court determined that the replacement for the REA and ERO system found in the 2015 Act (on which more below) was constitutional, on the basis that the promotion of collective bargaining is part of the common good, that this is better achieved by expert subsidiary regulatory bodies than by the national parliament, and that participation of the social partners lends democratic </w:t>
      </w:r>
      <w:r w:rsidR="00B0656D" w:rsidRPr="001E4D3A">
        <w:rPr>
          <w:i/>
        </w:rPr>
        <w:t>imprimatur</w:t>
      </w:r>
      <w:r w:rsidR="00B0656D" w:rsidRPr="001E4D3A">
        <w:t xml:space="preserve"> to the process, so long as there remains some political oversight by the relevant government minister.</w:t>
      </w:r>
    </w:p>
    <w:p w14:paraId="0000003C" w14:textId="0F3DF96F" w:rsidR="000F6456" w:rsidRPr="001E4D3A" w:rsidRDefault="00A50841" w:rsidP="00A50841">
      <w:r>
        <w:tab/>
      </w:r>
      <w:r w:rsidR="00B0656D" w:rsidRPr="001E4D3A">
        <w:t>We turn now to the present statutory framework.</w:t>
      </w:r>
      <w:r w:rsidR="00B0656D" w:rsidRPr="001E4D3A">
        <w:rPr>
          <w:vertAlign w:val="superscript"/>
        </w:rPr>
        <w:footnoteReference w:id="38"/>
      </w:r>
      <w:r w:rsidR="00B0656D" w:rsidRPr="001E4D3A">
        <w:t xml:space="preserve"> The Trade Disputes Act 1906 granted limited immunities from the position at common law (both civil and criminal) that trade unions were unlawful conspiracies, strikes were breaches of contract, and pickets a form of harassment. Subsequent legislation has retained this fundamental approach, granting trade unions that hold a </w:t>
      </w:r>
      <w:proofErr w:type="spellStart"/>
      <w:r w:rsidR="00B0656D" w:rsidRPr="001E4D3A">
        <w:t>licence</w:t>
      </w:r>
      <w:proofErr w:type="spellEnd"/>
      <w:r w:rsidR="00B0656D" w:rsidRPr="001E4D3A">
        <w:t xml:space="preserve"> from the state protection against legal liability that would otherwise attach to their activities.</w:t>
      </w:r>
      <w:r w:rsidR="00B0656D" w:rsidRPr="001E4D3A">
        <w:rPr>
          <w:vertAlign w:val="superscript"/>
        </w:rPr>
        <w:footnoteReference w:id="39"/>
      </w:r>
      <w:r w:rsidR="00B0656D" w:rsidRPr="001E4D3A">
        <w:t xml:space="preserve"> Unions have an obligation to follow the various procedural requirements set out in statute, but failure to do so does not generate legal liability to employers </w:t>
      </w:r>
      <w:r w:rsidR="00B0656D" w:rsidRPr="001E4D3A">
        <w:lastRenderedPageBreak/>
        <w:t>for the impact of a strike (though it may lead to an injunction against the strike).</w:t>
      </w:r>
      <w:r w:rsidR="00B0656D" w:rsidRPr="001E4D3A">
        <w:rPr>
          <w:vertAlign w:val="superscript"/>
        </w:rPr>
        <w:footnoteReference w:id="40"/>
      </w:r>
      <w:r w:rsidR="00B0656D" w:rsidRPr="001E4D3A">
        <w:t xml:space="preserve"> The most significant pieces of legislation currently in force are the Industrial Relations Acts 1946</w:t>
      </w:r>
      <w:r w:rsidR="00660AF9">
        <w:t>–</w:t>
      </w:r>
      <w:r w:rsidR="00B0656D" w:rsidRPr="001E4D3A">
        <w:t xml:space="preserve">1990 (as amended, most notably in 2015) and the Workplace Relations Act 2015. Specifically in respect of collective bargaining, this legislation provides for voluntary negotiations between employers and licensed trade unions, with recourse to industrial action (in accordance with the procedural requirements mentioned above). There is no procedure for mandatory recognition of trade unions. Instead, there is provision for referral of a trade dispute to the WRC and the </w:t>
      </w:r>
      <w:proofErr w:type="spellStart"/>
      <w:r w:rsidR="00B0656D" w:rsidRPr="001E4D3A">
        <w:t>Labour</w:t>
      </w:r>
      <w:proofErr w:type="spellEnd"/>
      <w:r w:rsidR="00B0656D" w:rsidRPr="001E4D3A">
        <w:t xml:space="preserve"> Court. In principle, these bodies merely act in a conciliatory or mediatory role – the parties are entitled to reject recommendations.</w:t>
      </w:r>
      <w:r w:rsidR="00B0656D" w:rsidRPr="001E4D3A">
        <w:rPr>
          <w:vertAlign w:val="superscript"/>
        </w:rPr>
        <w:footnoteReference w:id="41"/>
      </w:r>
      <w:r w:rsidR="00B0656D" w:rsidRPr="001E4D3A">
        <w:t xml:space="preserve"> </w:t>
      </w:r>
    </w:p>
    <w:p w14:paraId="0000003E" w14:textId="64A5C7C2" w:rsidR="000F6456" w:rsidRPr="001E4D3A" w:rsidRDefault="00A50841" w:rsidP="00A50841">
      <w:r>
        <w:tab/>
      </w:r>
      <w:r w:rsidR="00B0656D" w:rsidRPr="001E4D3A">
        <w:t>However, as set out above, there has historically been a role for the regulatory bodies in setting binding sectoral standards. Under the 1946 Act, this included the extension of collective agreements, but this power was held to be unconstitutional.</w:t>
      </w:r>
      <w:r w:rsidR="00B0656D" w:rsidRPr="001E4D3A">
        <w:rPr>
          <w:vertAlign w:val="superscript"/>
        </w:rPr>
        <w:footnoteReference w:id="42"/>
      </w:r>
      <w:r w:rsidR="00B0656D" w:rsidRPr="001E4D3A">
        <w:t xml:space="preserve"> Under the 2015 Act, one of the social partners (who must meet a threshold of ‘substantially representative’) may apply to the </w:t>
      </w:r>
      <w:proofErr w:type="spellStart"/>
      <w:r w:rsidR="00B0656D" w:rsidRPr="001E4D3A">
        <w:t>Labour</w:t>
      </w:r>
      <w:proofErr w:type="spellEnd"/>
      <w:r w:rsidR="00B0656D" w:rsidRPr="001E4D3A">
        <w:t xml:space="preserve"> Court for a review of pay and working conditions in a </w:t>
      </w:r>
      <w:r w:rsidR="00B0656D" w:rsidRPr="00D731C0">
        <w:t>sector of the economy; the Court then holds hearings at which any party affected by a potential SEO</w:t>
      </w:r>
      <w:r w:rsidR="004E26D2">
        <w:t xml:space="preserve"> may make submissions</w:t>
      </w:r>
      <w:r w:rsidR="00B0656D" w:rsidRPr="00D731C0">
        <w:t xml:space="preserve">, and </w:t>
      </w:r>
      <w:r w:rsidR="004E26D2">
        <w:t xml:space="preserve">the Court </w:t>
      </w:r>
      <w:r w:rsidR="00B0656D" w:rsidRPr="00D731C0">
        <w:t xml:space="preserve">may recommend an SEO to the relevant government minister. These are not negotiations in the ordinary sense – however, the Supreme Court expressed approval in </w:t>
      </w:r>
      <w:r w:rsidR="00B0656D" w:rsidRPr="00D731C0">
        <w:rPr>
          <w:i/>
        </w:rPr>
        <w:t xml:space="preserve">NECI </w:t>
      </w:r>
      <w:r w:rsidR="00B0656D" w:rsidRPr="00D731C0">
        <w:t>for the practice</w:t>
      </w:r>
      <w:r w:rsidR="00B0656D" w:rsidRPr="001E4D3A">
        <w:t xml:space="preserve"> by which a trade union or employers’ </w:t>
      </w:r>
      <w:proofErr w:type="spellStart"/>
      <w:r w:rsidR="00B0656D" w:rsidRPr="001E4D3A">
        <w:t>organisation</w:t>
      </w:r>
      <w:proofErr w:type="spellEnd"/>
      <w:r w:rsidR="00B0656D" w:rsidRPr="001E4D3A">
        <w:t xml:space="preserve"> may present to the Court the terms of a collective agreement already reached between the social partners. Rather than this agreement being </w:t>
      </w:r>
      <w:r w:rsidR="00B0656D" w:rsidRPr="001E4D3A">
        <w:rPr>
          <w:i/>
        </w:rPr>
        <w:t>extended</w:t>
      </w:r>
      <w:r w:rsidR="00B0656D" w:rsidRPr="001E4D3A">
        <w:t xml:space="preserve"> to cover non-signatory employers in the sector, the Court may draw up an SEO </w:t>
      </w:r>
      <w:r w:rsidR="00B0656D" w:rsidRPr="001E4D3A">
        <w:rPr>
          <w:i/>
        </w:rPr>
        <w:t>based on</w:t>
      </w:r>
      <w:r w:rsidR="00B0656D" w:rsidRPr="001E4D3A">
        <w:t xml:space="preserve"> the agreement (with broad discretion to vary the terms), to be promulgated as a statutory instrument by the minister. Elsewhere, this author has called this ‘bargaining by the back door’,</w:t>
      </w:r>
      <w:r w:rsidR="00B0656D" w:rsidRPr="001E4D3A">
        <w:rPr>
          <w:vertAlign w:val="superscript"/>
        </w:rPr>
        <w:footnoteReference w:id="43"/>
      </w:r>
      <w:r w:rsidR="00B0656D" w:rsidRPr="001E4D3A">
        <w:t xml:space="preserve"> but it raises the same questions as the JLC-ERO system, discussed in the section above on Definitions.</w:t>
      </w:r>
    </w:p>
    <w:p w14:paraId="00000040" w14:textId="7B164FCB" w:rsidR="000F6456" w:rsidRPr="001E4D3A" w:rsidRDefault="00A50841" w:rsidP="00A50841">
      <w:r>
        <w:lastRenderedPageBreak/>
        <w:tab/>
      </w:r>
      <w:r w:rsidR="00B0656D" w:rsidRPr="001E4D3A">
        <w:t>As readers can see, the Irish industrial relations framework is complicated, and badly in need of consolidation and reform.</w:t>
      </w:r>
      <w:r w:rsidR="00B0656D" w:rsidRPr="001E4D3A">
        <w:rPr>
          <w:vertAlign w:val="superscript"/>
        </w:rPr>
        <w:footnoteReference w:id="44"/>
      </w:r>
      <w:r w:rsidR="00B0656D" w:rsidRPr="001E4D3A">
        <w:t xml:space="preserve"> The implementation of the </w:t>
      </w:r>
      <w:r w:rsidR="00660AF9">
        <w:t xml:space="preserve">AMW </w:t>
      </w:r>
      <w:r w:rsidR="00B0656D" w:rsidRPr="001E4D3A">
        <w:t>Directive offers a welcome opportunity to do that. There has been some indication from the incumbent government of a desire to strengthen collective bargaining rights; however, it remains unclear at the time of writing whether the reform will be comprehensive or piecemeal.</w:t>
      </w:r>
    </w:p>
    <w:p w14:paraId="00000046" w14:textId="73D09CDB" w:rsidR="000F6456" w:rsidRPr="001E4D3A" w:rsidRDefault="00A50841" w:rsidP="00A50841">
      <w:r>
        <w:tab/>
      </w:r>
      <w:r w:rsidR="00B0656D" w:rsidRPr="001E4D3A">
        <w:t xml:space="preserve">Recall that Article 4(2) of the </w:t>
      </w:r>
      <w:r w:rsidR="00660AF9">
        <w:t xml:space="preserve">AMW </w:t>
      </w:r>
      <w:r w:rsidR="00B0656D" w:rsidRPr="001E4D3A">
        <w:t xml:space="preserve">Directive </w:t>
      </w:r>
      <w:r w:rsidR="00022DF8" w:rsidRPr="001E4D3A">
        <w:t xml:space="preserve">imposes </w:t>
      </w:r>
      <w:r w:rsidR="00B0656D" w:rsidRPr="001E4D3A">
        <w:t>four distinct obligations</w:t>
      </w:r>
      <w:r w:rsidR="00022DF8" w:rsidRPr="001E4D3A">
        <w:t xml:space="preserve"> on Member States with less than 80</w:t>
      </w:r>
      <w:r w:rsidR="009F6A57" w:rsidRPr="009F6A57">
        <w:t xml:space="preserve"> </w:t>
      </w:r>
      <w:r w:rsidR="009F6A57">
        <w:t>per cent</w:t>
      </w:r>
      <w:r w:rsidR="00022DF8" w:rsidRPr="001E4D3A">
        <w:t xml:space="preserve"> collective bargaining coverage</w:t>
      </w:r>
      <w:r w:rsidR="00B0656D" w:rsidRPr="001E4D3A">
        <w:t>:</w:t>
      </w:r>
      <w:r w:rsidR="00022DF8" w:rsidRPr="001E4D3A">
        <w:rPr>
          <w:rStyle w:val="FootnoteReference"/>
        </w:rPr>
        <w:footnoteReference w:id="45"/>
      </w:r>
      <w:r w:rsidR="00B0656D" w:rsidRPr="001E4D3A">
        <w:t xml:space="preserve"> (a) there must be a ‘framework of enabling conditions for collective bargaining’; (b) there must be an ‘action plan to promote collective bargaining’; (c) the action plan must aim to ‘progressively increase’ the rate of bargaining coverage along a ‘clear timeline’; and (d) all the above must be drawn up in consultation with the social partners, while respecting their autonomy. The rest of this section will consider the impact of each obligation on Ireland.</w:t>
      </w:r>
      <w:r w:rsidR="00B0656D" w:rsidRPr="001E4D3A">
        <w:rPr>
          <w:vertAlign w:val="superscript"/>
        </w:rPr>
        <w:footnoteReference w:id="46"/>
      </w:r>
    </w:p>
    <w:p w14:paraId="00000048" w14:textId="251E8614" w:rsidR="000F6456" w:rsidRPr="001E4D3A" w:rsidRDefault="00A50841" w:rsidP="00A50841">
      <w:r>
        <w:tab/>
      </w:r>
      <w:r w:rsidR="00B0656D" w:rsidRPr="001E4D3A">
        <w:t xml:space="preserve">As mentioned above, there are elaborate frameworks under the auspices of the WRC and </w:t>
      </w:r>
      <w:proofErr w:type="spellStart"/>
      <w:r w:rsidR="00B0656D" w:rsidRPr="001E4D3A">
        <w:t>Labour</w:t>
      </w:r>
      <w:proofErr w:type="spellEnd"/>
      <w:r w:rsidR="00B0656D" w:rsidRPr="001E4D3A">
        <w:t xml:space="preserve"> Court to facilitate voluntary collective bargaining between social partners, and to supplement collective bargaining with tripartite sectoral regulation. However, for these to fulfil the role envisaged by the Directive, they will need to be strengthened. A 2018 report from the </w:t>
      </w:r>
      <w:proofErr w:type="spellStart"/>
      <w:r w:rsidR="00B0656D" w:rsidRPr="001E4D3A">
        <w:t>Labour</w:t>
      </w:r>
      <w:proofErr w:type="spellEnd"/>
      <w:r w:rsidR="00B0656D" w:rsidRPr="001E4D3A">
        <w:t xml:space="preserve"> Court exposed how the JLC system does not work as intended, because employers’ representatives are refusing to participate in many of the Committees.</w:t>
      </w:r>
      <w:r w:rsidR="00B0656D" w:rsidRPr="001E4D3A">
        <w:rPr>
          <w:vertAlign w:val="superscript"/>
        </w:rPr>
        <w:footnoteReference w:id="47"/>
      </w:r>
      <w:r w:rsidR="00B0656D" w:rsidRPr="001E4D3A">
        <w:t xml:space="preserve"> Participation by all parties is a prerequisite to produce valid EROs, but employers can no longer be compelled to </w:t>
      </w:r>
      <w:r w:rsidR="00B0656D" w:rsidRPr="00D731C0">
        <w:lastRenderedPageBreak/>
        <w:t>participate</w:t>
      </w:r>
      <w:r w:rsidR="00660AF9">
        <w:t>,</w:t>
      </w:r>
      <w:r w:rsidR="00B0656D" w:rsidRPr="00D731C0">
        <w:t xml:space="preserve"> after the </w:t>
      </w:r>
      <w:r w:rsidR="00B0656D" w:rsidRPr="00D731C0">
        <w:rPr>
          <w:i/>
        </w:rPr>
        <w:t>John Grace</w:t>
      </w:r>
      <w:r w:rsidR="00B0656D" w:rsidRPr="00D731C0">
        <w:t xml:space="preserve"> decision referred to above. The obligations of the </w:t>
      </w:r>
      <w:r w:rsidR="00660AF9">
        <w:t xml:space="preserve">AMW </w:t>
      </w:r>
      <w:r w:rsidR="00B0656D" w:rsidRPr="00D731C0">
        <w:t xml:space="preserve">Directive may provide legal impetus to recent proposals from the </w:t>
      </w:r>
      <w:proofErr w:type="spellStart"/>
      <w:r w:rsidR="00B0656D" w:rsidRPr="00D731C0">
        <w:t>Labour</w:t>
      </w:r>
      <w:proofErr w:type="spellEnd"/>
      <w:r w:rsidR="00B0656D" w:rsidRPr="00D731C0">
        <w:t xml:space="preserve">-Employer Economic Forum (LEEF) to strengthen the JLC system by allowing the </w:t>
      </w:r>
      <w:proofErr w:type="spellStart"/>
      <w:r w:rsidR="00B0656D" w:rsidRPr="00D731C0">
        <w:t>Labour</w:t>
      </w:r>
      <w:proofErr w:type="spellEnd"/>
      <w:r w:rsidR="00B0656D" w:rsidRPr="00D731C0">
        <w:t xml:space="preserve"> Court to make recommendations in</w:t>
      </w:r>
      <w:r w:rsidR="00B0656D" w:rsidRPr="001E4D3A">
        <w:t xml:space="preserve"> the absence of employer engagement, and to impose a statutory duty on employers to </w:t>
      </w:r>
      <w:proofErr w:type="spellStart"/>
      <w:r w:rsidR="00B0656D" w:rsidRPr="001E4D3A">
        <w:t>recognise</w:t>
      </w:r>
      <w:proofErr w:type="spellEnd"/>
      <w:r w:rsidR="00B0656D" w:rsidRPr="001E4D3A">
        <w:t xml:space="preserve"> and bargain in good faith with trade unions at enterprise level.</w:t>
      </w:r>
      <w:bookmarkStart w:id="5" w:name="_Ref147330295"/>
      <w:r w:rsidR="00B0656D" w:rsidRPr="001E4D3A">
        <w:rPr>
          <w:vertAlign w:val="superscript"/>
        </w:rPr>
        <w:footnoteReference w:id="48"/>
      </w:r>
      <w:bookmarkEnd w:id="5"/>
      <w:r w:rsidR="00B0656D" w:rsidRPr="001E4D3A">
        <w:t xml:space="preserve"> The LEEF explicitly acknowledged its role in providing options for the government in implementing the Directive.</w:t>
      </w:r>
      <w:r w:rsidR="00B0656D" w:rsidRPr="001E4D3A">
        <w:rPr>
          <w:vertAlign w:val="superscript"/>
        </w:rPr>
        <w:footnoteReference w:id="49"/>
      </w:r>
      <w:r w:rsidR="00B0656D" w:rsidRPr="001E4D3A">
        <w:t xml:space="preserve"> This adds to an earlier report sponsored by a major trade </w:t>
      </w:r>
      <w:r w:rsidR="001F338F">
        <w:t>union, surveying comparable EU M</w:t>
      </w:r>
      <w:r w:rsidR="00B0656D" w:rsidRPr="001E4D3A">
        <w:t xml:space="preserve">ember </w:t>
      </w:r>
      <w:r w:rsidR="001F338F">
        <w:t>S</w:t>
      </w:r>
      <w:r w:rsidR="00B0656D" w:rsidRPr="001E4D3A">
        <w:t>tates to offer lessons Ireland may draw on to increase collective bargaining coverage.</w:t>
      </w:r>
      <w:r w:rsidR="00B0656D" w:rsidRPr="001E4D3A">
        <w:rPr>
          <w:vertAlign w:val="superscript"/>
        </w:rPr>
        <w:footnoteReference w:id="50"/>
      </w:r>
    </w:p>
    <w:p w14:paraId="0000004A" w14:textId="55B8F8D9" w:rsidR="000F6456" w:rsidRPr="001E4D3A" w:rsidRDefault="00A50841" w:rsidP="00A50841">
      <w:r>
        <w:tab/>
      </w:r>
      <w:r w:rsidR="00B0656D" w:rsidRPr="001E4D3A">
        <w:t xml:space="preserve">The LEEF report states that Ireland’s action plans under the </w:t>
      </w:r>
      <w:r w:rsidR="001F338F">
        <w:t xml:space="preserve">AMW </w:t>
      </w:r>
      <w:r w:rsidR="00B0656D" w:rsidRPr="001E4D3A">
        <w:t xml:space="preserve">Directive should be drawn up by ‘the social partners in conjunction with the state’, under the auspices of established subsidiary bodies like the WRC and </w:t>
      </w:r>
      <w:proofErr w:type="spellStart"/>
      <w:r w:rsidR="00B0656D" w:rsidRPr="001E4D3A">
        <w:t>Labour</w:t>
      </w:r>
      <w:proofErr w:type="spellEnd"/>
      <w:r w:rsidR="00B0656D" w:rsidRPr="001E4D3A">
        <w:t xml:space="preserve"> Court.</w:t>
      </w:r>
      <w:r w:rsidR="00B0656D" w:rsidRPr="001E4D3A">
        <w:rPr>
          <w:vertAlign w:val="superscript"/>
        </w:rPr>
        <w:footnoteReference w:id="51"/>
      </w:r>
      <w:r w:rsidR="00B0656D" w:rsidRPr="001E4D3A">
        <w:t xml:space="preserve"> This reflects the fact that there exist reasonably robust, well-</w:t>
      </w:r>
      <w:proofErr w:type="spellStart"/>
      <w:r w:rsidR="00B0656D" w:rsidRPr="001E4D3A">
        <w:t>utilised</w:t>
      </w:r>
      <w:proofErr w:type="spellEnd"/>
      <w:r w:rsidR="00B0656D" w:rsidRPr="001E4D3A">
        <w:t xml:space="preserve"> mechanisms for consultation between the Irish government and the social partners.</w:t>
      </w:r>
      <w:r w:rsidR="00B0656D" w:rsidRPr="001E4D3A">
        <w:rPr>
          <w:vertAlign w:val="superscript"/>
        </w:rPr>
        <w:footnoteReference w:id="52"/>
      </w:r>
      <w:r w:rsidR="00B0656D" w:rsidRPr="001E4D3A">
        <w:t xml:space="preserve"> There is regular negotiation between the state and public sector trade unions, and virtually all public sector workers are covered by collective agreements.</w:t>
      </w:r>
      <w:r w:rsidR="00B0656D" w:rsidRPr="001E4D3A">
        <w:rPr>
          <w:vertAlign w:val="superscript"/>
        </w:rPr>
        <w:footnoteReference w:id="53"/>
      </w:r>
      <w:r w:rsidR="00B0656D" w:rsidRPr="001E4D3A">
        <w:t xml:space="preserve"> The LEEF itself is a non-statutory forum within government which aims ‘to provide a space to discuss areas of shared concern affecting the economy, employment and the </w:t>
      </w:r>
      <w:proofErr w:type="spellStart"/>
      <w:r w:rsidR="00B0656D" w:rsidRPr="001E4D3A">
        <w:t>labour</w:t>
      </w:r>
      <w:proofErr w:type="spellEnd"/>
      <w:r w:rsidR="00B0656D" w:rsidRPr="001E4D3A">
        <w:t xml:space="preserve"> market on a thematic </w:t>
      </w:r>
      <w:proofErr w:type="spellStart"/>
      <w:r w:rsidR="00B0656D" w:rsidRPr="001E4D3A">
        <w:t>basis’</w:t>
      </w:r>
      <w:proofErr w:type="spellEnd"/>
      <w:r w:rsidR="00B0656D" w:rsidRPr="001E4D3A">
        <w:rPr>
          <w:vertAlign w:val="superscript"/>
        </w:rPr>
        <w:footnoteReference w:id="54"/>
      </w:r>
      <w:r w:rsidR="00B0656D" w:rsidRPr="001E4D3A">
        <w:t xml:space="preserve"> among representatives of the social partners, government departments, and academic experts, appointed on an </w:t>
      </w:r>
      <w:r w:rsidR="00B0656D" w:rsidRPr="001F338F">
        <w:t>ad hoc</w:t>
      </w:r>
      <w:r w:rsidR="00B0656D" w:rsidRPr="001E4D3A">
        <w:t xml:space="preserve"> basis to consider specific issues. One way to implement this obligation of the Directive would be to </w:t>
      </w:r>
      <w:proofErr w:type="spellStart"/>
      <w:r w:rsidR="00B0656D" w:rsidRPr="001E4D3A">
        <w:t>formalise</w:t>
      </w:r>
      <w:proofErr w:type="spellEnd"/>
      <w:r w:rsidR="00B0656D" w:rsidRPr="001E4D3A">
        <w:t xml:space="preserve"> the LEEF as an independent </w:t>
      </w:r>
      <w:r w:rsidR="00B0656D" w:rsidRPr="001E4D3A">
        <w:lastRenderedPageBreak/>
        <w:t xml:space="preserve">state agency, or to integrate its operation alongside the WRC and </w:t>
      </w:r>
      <w:proofErr w:type="spellStart"/>
      <w:r w:rsidR="00B0656D" w:rsidRPr="001E4D3A">
        <w:t>Labour</w:t>
      </w:r>
      <w:proofErr w:type="spellEnd"/>
      <w:r w:rsidR="00B0656D" w:rsidRPr="001E4D3A">
        <w:t xml:space="preserve"> Court, the Low Pay Commission, and other actors in the (complex) industrial relations and employment regulatory landscape. </w:t>
      </w:r>
    </w:p>
    <w:p w14:paraId="0000004C" w14:textId="6889BE0B" w:rsidR="000F6456" w:rsidRPr="00782E0A" w:rsidRDefault="00A50841" w:rsidP="00A50841">
      <w:r>
        <w:tab/>
      </w:r>
      <w:r w:rsidR="00B0656D" w:rsidRPr="001E4D3A">
        <w:t>As for the process of drawing up an action plan, this is not alien to the field of employment regulation in Ireland. The most prominent in recent years was the strategy on remote working.</w:t>
      </w:r>
      <w:r w:rsidR="00B0656D" w:rsidRPr="001E4D3A">
        <w:rPr>
          <w:vertAlign w:val="superscript"/>
        </w:rPr>
        <w:footnoteReference w:id="55"/>
      </w:r>
      <w:r w:rsidR="00B0656D" w:rsidRPr="001E4D3A">
        <w:t xml:space="preserve"> Unfortunately, the timelines in this plan were missed – in particular, legislation on remote working was promised by September 2021 but was only enacted in April 2023 (after the initial Bill proposed in January 2022 was strongly </w:t>
      </w:r>
      <w:proofErr w:type="spellStart"/>
      <w:r w:rsidR="00B0656D" w:rsidRPr="001E4D3A">
        <w:t>criticised</w:t>
      </w:r>
      <w:proofErr w:type="spellEnd"/>
      <w:r w:rsidR="00B0656D" w:rsidRPr="001E4D3A">
        <w:t xml:space="preserve"> by social partners, parliamentarians and academic commentators).</w:t>
      </w:r>
      <w:r w:rsidR="00B0656D" w:rsidRPr="001E4D3A">
        <w:rPr>
          <w:vertAlign w:val="superscript"/>
        </w:rPr>
        <w:footnoteReference w:id="56"/>
      </w:r>
      <w:r w:rsidR="00B0656D" w:rsidRPr="001E4D3A">
        <w:t xml:space="preserve"> Even</w:t>
      </w:r>
      <w:r w:rsidR="001F338F">
        <w:t xml:space="preserve"> </w:t>
      </w:r>
      <w:r w:rsidR="00B0656D" w:rsidRPr="001E4D3A">
        <w:t xml:space="preserve">at </w:t>
      </w:r>
      <w:r w:rsidR="001F338F">
        <w:t xml:space="preserve">the </w:t>
      </w:r>
      <w:r w:rsidR="00B0656D" w:rsidRPr="001E4D3A">
        <w:t xml:space="preserve">time of writing, the </w:t>
      </w:r>
      <w:r w:rsidR="00E70ED9" w:rsidRPr="001E4D3A">
        <w:t xml:space="preserve">provisions of the </w:t>
      </w:r>
      <w:r w:rsidR="00B0656D" w:rsidRPr="001E4D3A">
        <w:t>Work Life Balance and Miscellaneous Provisions Act 2023</w:t>
      </w:r>
      <w:r w:rsidR="00E70ED9" w:rsidRPr="001E4D3A">
        <w:t xml:space="preserve"> relating to remote working have</w:t>
      </w:r>
      <w:r w:rsidR="00B0656D" w:rsidRPr="001E4D3A">
        <w:t xml:space="preserve"> yet to be commenced (</w:t>
      </w:r>
      <w:proofErr w:type="spellStart"/>
      <w:r w:rsidR="001F338F">
        <w:t>ie</w:t>
      </w:r>
      <w:proofErr w:type="spellEnd"/>
      <w:r w:rsidR="00B0656D" w:rsidRPr="001E4D3A">
        <w:t xml:space="preserve"> enter into legal force). The </w:t>
      </w:r>
      <w:r w:rsidR="001F338F">
        <w:t xml:space="preserve">AMW </w:t>
      </w:r>
      <w:r w:rsidR="00B0656D" w:rsidRPr="001E4D3A">
        <w:t>Directive does not appear to provide for specific co</w:t>
      </w:r>
      <w:r w:rsidR="001F338F">
        <w:t>nsequences in the event that a M</w:t>
      </w:r>
      <w:r w:rsidR="00B0656D" w:rsidRPr="001E4D3A">
        <w:t xml:space="preserve">ember </w:t>
      </w:r>
      <w:r w:rsidR="001F338F">
        <w:t>S</w:t>
      </w:r>
      <w:r w:rsidR="00B0656D" w:rsidRPr="001E4D3A">
        <w:t>tate misses the targets in its action plan for promoting collective bargaining, but one hopes this will be avoided in Ireland.</w:t>
      </w:r>
    </w:p>
    <w:p w14:paraId="0000004E" w14:textId="00D8BDF3" w:rsidR="000F6456" w:rsidRPr="001E4D3A" w:rsidRDefault="00A50841" w:rsidP="00A50841">
      <w:r>
        <w:tab/>
      </w:r>
      <w:r w:rsidR="00B0656D" w:rsidRPr="001E4D3A">
        <w:t>Finally, measures to progressively increase collective bargaining coverage have been proposed by the LEEF and by independent research in recent years.</w:t>
      </w:r>
      <w:r w:rsidR="00B0656D" w:rsidRPr="001E4D3A">
        <w:rPr>
          <w:vertAlign w:val="superscript"/>
        </w:rPr>
        <w:footnoteReference w:id="57"/>
      </w:r>
      <w:r w:rsidR="00B0656D" w:rsidRPr="001E4D3A">
        <w:t xml:space="preserve"> Some cover industrial relations more broadly, in an effort to indirectly support collective bargaining by strengthening trade union membership and activity; others directly focus on increasing coverage rates. Proposals </w:t>
      </w:r>
      <w:proofErr w:type="gramStart"/>
      <w:r w:rsidR="00B0656D" w:rsidRPr="001E4D3A">
        <w:t>include:</w:t>
      </w:r>
      <w:proofErr w:type="gramEnd"/>
      <w:r w:rsidR="00B0656D" w:rsidRPr="001E4D3A">
        <w:t xml:space="preserve"> state subsidy for union membership dues; a ‘Ghent system’ approach to social benefits; the adoption of enterprise-level works councils; extension of collective agreements (with constitutional change to permit this, if necessary</w:t>
      </w:r>
      <w:r w:rsidR="004E26D2">
        <w:t>)</w:t>
      </w:r>
      <w:r w:rsidR="00B0656D" w:rsidRPr="001E4D3A">
        <w:t xml:space="preserve">; and the LEEF proposal mentioned above of a mandatory recognition procedure, including an obligation to bargain in good faith. Additionally, the LEEF proposed to strengthen the JLC-ERO and SEO systems, to override employer boycotts. This would not, strictly speaking, increase collective bargaining coverage because, as set out above, these are a form of statutory regulation. However, the existence of stronger measures may </w:t>
      </w:r>
      <w:proofErr w:type="spellStart"/>
      <w:r w:rsidR="00B0656D" w:rsidRPr="001E4D3A">
        <w:t>incentivise</w:t>
      </w:r>
      <w:proofErr w:type="spellEnd"/>
      <w:r w:rsidR="00B0656D" w:rsidRPr="001E4D3A">
        <w:t xml:space="preserve"> employers to engage in collective bargaining – ‘in the shadow of the law’ – and, as mentioned above, the JLCs may count as ‘enabling </w:t>
      </w:r>
      <w:r w:rsidR="00B0656D" w:rsidRPr="001E4D3A">
        <w:lastRenderedPageBreak/>
        <w:t xml:space="preserve">conditions for collective bargaining’ and help to build institutional capacity, in line with Article 4 of the </w:t>
      </w:r>
      <w:proofErr w:type="spellStart"/>
      <w:r w:rsidR="001F338F">
        <w:t>AMW</w:t>
      </w:r>
      <w:r w:rsidR="00B0656D" w:rsidRPr="001E4D3A">
        <w:t>Directive</w:t>
      </w:r>
      <w:proofErr w:type="spellEnd"/>
      <w:r w:rsidR="00B0656D" w:rsidRPr="001E4D3A">
        <w:t>.</w:t>
      </w:r>
    </w:p>
    <w:p w14:paraId="00000050" w14:textId="117BC77A" w:rsidR="000F6456" w:rsidRPr="00782E0A" w:rsidRDefault="00FD08EF" w:rsidP="00FD08EF">
      <w:pPr>
        <w:pStyle w:val="Heading2"/>
      </w:pPr>
      <w:r>
        <w:t xml:space="preserve">D. </w:t>
      </w:r>
      <w:r w:rsidR="00B0656D" w:rsidRPr="00782E0A">
        <w:t>Promotion of Adequate Statutory Minimum Wages</w:t>
      </w:r>
    </w:p>
    <w:p w14:paraId="00000052" w14:textId="5619B3B7" w:rsidR="000F6456" w:rsidRPr="001E4D3A" w:rsidRDefault="00B0656D" w:rsidP="00A50841">
      <w:r w:rsidRPr="001E4D3A">
        <w:t xml:space="preserve">Article 5 of the </w:t>
      </w:r>
      <w:r w:rsidR="000618EA" w:rsidRPr="000618EA">
        <w:t xml:space="preserve">AMW Directive </w:t>
      </w:r>
      <w:r w:rsidRPr="001E4D3A">
        <w:t>requires Member States to ‘establish the necessary procedures for the setting and updating of statutory minimum wages’. For the most part, Irish law is in conformity with this aspect of the Directive. The central institution in Ireland is the Low Pay Commission, which was created in 2015.</w:t>
      </w:r>
      <w:r w:rsidRPr="001E4D3A">
        <w:rPr>
          <w:vertAlign w:val="superscript"/>
        </w:rPr>
        <w:footnoteReference w:id="58"/>
      </w:r>
      <w:r w:rsidRPr="001E4D3A">
        <w:t xml:space="preserve"> This is an independent body charged with making an annual recommendation to the Minister for Enterprise, Trade and Employment on the national minimum hourly rate of pay.</w:t>
      </w:r>
      <w:r w:rsidRPr="001E4D3A">
        <w:rPr>
          <w:vertAlign w:val="superscript"/>
        </w:rPr>
        <w:footnoteReference w:id="59"/>
      </w:r>
      <w:r w:rsidRPr="001E4D3A">
        <w:t xml:space="preserve"> It is composed of three representatives of employers, three representatives of employees, two independent experts (who are currently </w:t>
      </w:r>
      <w:proofErr w:type="spellStart"/>
      <w:r w:rsidRPr="001E4D3A">
        <w:t>labour</w:t>
      </w:r>
      <w:proofErr w:type="spellEnd"/>
      <w:r w:rsidRPr="001E4D3A">
        <w:t xml:space="preserve"> market economists), and an independent chair.</w:t>
      </w:r>
      <w:r w:rsidRPr="001E4D3A">
        <w:rPr>
          <w:vertAlign w:val="superscript"/>
        </w:rPr>
        <w:footnoteReference w:id="60"/>
      </w:r>
      <w:r w:rsidRPr="001E4D3A">
        <w:t xml:space="preserve"> Its annual recommendation is accompanied by a detailed report </w:t>
      </w:r>
      <w:proofErr w:type="spellStart"/>
      <w:r w:rsidRPr="001E4D3A">
        <w:t>analysing</w:t>
      </w:r>
      <w:proofErr w:type="spellEnd"/>
      <w:r w:rsidRPr="001E4D3A">
        <w:t xml:space="preserve"> the </w:t>
      </w:r>
      <w:proofErr w:type="spellStart"/>
      <w:r w:rsidRPr="001E4D3A">
        <w:t>labour</w:t>
      </w:r>
      <w:proofErr w:type="spellEnd"/>
      <w:r w:rsidRPr="001E4D3A">
        <w:t xml:space="preserve"> market situation. According to the Act, the hourly rate of pay that it recommends must be based upon the following considerations:</w:t>
      </w:r>
    </w:p>
    <w:p w14:paraId="00000053" w14:textId="709A41F8" w:rsidR="000F6456" w:rsidRPr="001E4D3A" w:rsidRDefault="00B0656D" w:rsidP="00A50841">
      <w:pPr>
        <w:pStyle w:val="List"/>
      </w:pPr>
      <w:r w:rsidRPr="001E4D3A">
        <w:t>(a)</w:t>
      </w:r>
      <w:r w:rsidR="00A50841">
        <w:tab/>
      </w:r>
      <w:r w:rsidRPr="001E4D3A">
        <w:t>is</w:t>
      </w:r>
      <w:r w:rsidR="001F338F">
        <w:t xml:space="preserve"> designed to assist as many low-</w:t>
      </w:r>
      <w:r w:rsidRPr="001E4D3A">
        <w:t>paid workers as is reasonably practicable,</w:t>
      </w:r>
    </w:p>
    <w:p w14:paraId="00000054" w14:textId="6735DDB2" w:rsidR="000F6456" w:rsidRPr="001E4D3A" w:rsidRDefault="00B0656D" w:rsidP="00A50841">
      <w:pPr>
        <w:pStyle w:val="List"/>
      </w:pPr>
      <w:r w:rsidRPr="001E4D3A">
        <w:t>(b)</w:t>
      </w:r>
      <w:r w:rsidR="00A50841">
        <w:tab/>
      </w:r>
      <w:r w:rsidRPr="001E4D3A">
        <w:t>is set at a rate that is both fair and sustainable,</w:t>
      </w:r>
    </w:p>
    <w:p w14:paraId="00000055" w14:textId="0C063DA9" w:rsidR="000F6456" w:rsidRPr="001E4D3A" w:rsidRDefault="00B0656D" w:rsidP="00A50841">
      <w:pPr>
        <w:pStyle w:val="List"/>
      </w:pPr>
      <w:r w:rsidRPr="001E4D3A">
        <w:t>(c)</w:t>
      </w:r>
      <w:r w:rsidR="00A50841">
        <w:tab/>
      </w:r>
      <w:r w:rsidRPr="001E4D3A">
        <w:t>where adjustment is appropriate, is adjusted incrementally, and</w:t>
      </w:r>
    </w:p>
    <w:p w14:paraId="00000056" w14:textId="2D441F01" w:rsidR="000F6456" w:rsidRPr="001E4D3A" w:rsidRDefault="00B0656D" w:rsidP="00A50841">
      <w:pPr>
        <w:pStyle w:val="List"/>
      </w:pPr>
      <w:r w:rsidRPr="001E4D3A">
        <w:t>(d)</w:t>
      </w:r>
      <w:r w:rsidR="00A50841">
        <w:tab/>
      </w:r>
      <w:r w:rsidRPr="001E4D3A">
        <w:t>over time, is progressively increased,</w:t>
      </w:r>
    </w:p>
    <w:p w14:paraId="00000058" w14:textId="4378C6AC" w:rsidR="000F6456" w:rsidRPr="001E4D3A" w:rsidRDefault="00B0656D" w:rsidP="00A50841">
      <w:r w:rsidRPr="001E4D3A">
        <w:t>without creating significant adverse consequences for employment or competitiveness.</w:t>
      </w:r>
      <w:r w:rsidRPr="001E4D3A">
        <w:rPr>
          <w:vertAlign w:val="superscript"/>
        </w:rPr>
        <w:footnoteReference w:id="61"/>
      </w:r>
    </w:p>
    <w:p w14:paraId="0000005A" w14:textId="3985903E" w:rsidR="000F6456" w:rsidRPr="001E4D3A" w:rsidRDefault="00202AEE" w:rsidP="00202AEE">
      <w:r>
        <w:tab/>
      </w:r>
      <w:r w:rsidR="00B0656D" w:rsidRPr="001E4D3A">
        <w:t>In addition, the Act identifies a range of factors that the Commission ‘shall have regard to’, such as increases or decreases in employment, unemployment, and productivity, or the cost of living.</w:t>
      </w:r>
      <w:r w:rsidR="00B0656D" w:rsidRPr="001E4D3A">
        <w:rPr>
          <w:vertAlign w:val="superscript"/>
        </w:rPr>
        <w:footnoteReference w:id="62"/>
      </w:r>
      <w:r w:rsidR="00B0656D" w:rsidRPr="001E4D3A">
        <w:t xml:space="preserve"> </w:t>
      </w:r>
    </w:p>
    <w:p w14:paraId="0000005C" w14:textId="15FBC1D0" w:rsidR="000F6456" w:rsidRPr="001E4D3A" w:rsidRDefault="00202AEE" w:rsidP="00202AEE">
      <w:r>
        <w:tab/>
      </w:r>
      <w:r w:rsidR="00B0656D" w:rsidRPr="001E4D3A">
        <w:t xml:space="preserve">Article 5(1) of the </w:t>
      </w:r>
      <w:r w:rsidR="001F338F">
        <w:t xml:space="preserve">AMW </w:t>
      </w:r>
      <w:r w:rsidR="00B0656D" w:rsidRPr="001E4D3A">
        <w:t xml:space="preserve">Directive provides that the setting and updating of statutory minimum wages ‘shall be guided by criteria set to contribute to their adequacy, with the aim of achieving a decent standard of living, reducing in-work poverty, as well as promoting social cohesion and upward social convergence, and reducing the gender pay gap’. On the one hand, the criteria found in Irish legislation are, broadly speaking, in line with those found in the </w:t>
      </w:r>
      <w:r w:rsidR="00B0656D" w:rsidRPr="001E4D3A">
        <w:lastRenderedPageBreak/>
        <w:t>Directive. On the other hand, the ‘aims’ mentioned in Article 5</w:t>
      </w:r>
      <w:r w:rsidR="001F338F">
        <w:t>(1)</w:t>
      </w:r>
      <w:r w:rsidR="00B0656D" w:rsidRPr="001E4D3A">
        <w:t xml:space="preserve"> are not all explicitly mentioned in the National Minimum Wage Act. Notably, the aim of reducing the gender pay gap is not referred to in the Act. To some extent, this gap may be addressed by the statutory duty on all public bodies, including the Low Pay Commission, to ‘have regard’ to promoting equality of opportunity in performing their functions.</w:t>
      </w:r>
      <w:r w:rsidR="00B0656D" w:rsidRPr="001E4D3A">
        <w:rPr>
          <w:vertAlign w:val="superscript"/>
        </w:rPr>
        <w:footnoteReference w:id="63"/>
      </w:r>
      <w:r w:rsidR="00B0656D" w:rsidRPr="001E4D3A">
        <w:t xml:space="preserve"> </w:t>
      </w:r>
    </w:p>
    <w:p w14:paraId="0000005E" w14:textId="183CBE76" w:rsidR="000F6456" w:rsidRPr="001E4D3A" w:rsidRDefault="00202AEE" w:rsidP="00202AEE">
      <w:r>
        <w:tab/>
      </w:r>
      <w:r w:rsidR="00B0656D" w:rsidRPr="001E4D3A">
        <w:t>Within three months of the Commission’s recommendation, the Minister is required by order to declare a national minimum hourly rate of pay or to decline to do so.</w:t>
      </w:r>
      <w:r w:rsidR="00B0656D" w:rsidRPr="001E4D3A">
        <w:rPr>
          <w:vertAlign w:val="superscript"/>
        </w:rPr>
        <w:footnoteReference w:id="64"/>
      </w:r>
      <w:r w:rsidR="00B0656D" w:rsidRPr="001E4D3A">
        <w:t xml:space="preserve"> If the Minister sets a different rate from that recommended by the Commission, or declines to set a rate, a statement of reasons must be laid before both Houses of the Oireachtas (the Irish Parliament).</w:t>
      </w:r>
      <w:r w:rsidR="00B0656D" w:rsidRPr="001E4D3A">
        <w:rPr>
          <w:vertAlign w:val="superscript"/>
        </w:rPr>
        <w:footnoteReference w:id="65"/>
      </w:r>
      <w:r w:rsidR="00B0656D" w:rsidRPr="001E4D3A">
        <w:t xml:space="preserve"> Following the financial crisis, the national minimum wage remained unchanged between </w:t>
      </w:r>
      <w:r w:rsidR="001F338F">
        <w:t>2007 and 2015, apart from a six-</w:t>
      </w:r>
      <w:r w:rsidR="00B0656D" w:rsidRPr="001E4D3A">
        <w:t>month period in 2011 when it was reduced.</w:t>
      </w:r>
      <w:r w:rsidR="00B0656D" w:rsidRPr="001E4D3A">
        <w:rPr>
          <w:vertAlign w:val="superscript"/>
        </w:rPr>
        <w:footnoteReference w:id="66"/>
      </w:r>
      <w:r w:rsidR="00B0656D" w:rsidRPr="001E4D3A">
        <w:t xml:space="preserve"> Since 2016, the hourly rate has been increased annually.</w:t>
      </w:r>
      <w:r w:rsidR="00B0656D" w:rsidRPr="001E4D3A">
        <w:rPr>
          <w:vertAlign w:val="superscript"/>
        </w:rPr>
        <w:footnoteReference w:id="67"/>
      </w:r>
      <w:r w:rsidR="00B0656D" w:rsidRPr="001E4D3A">
        <w:t xml:space="preserve"> On each of these occasions, the Minister has raised the rate in accordance with the recommendation of the Commission, which indicates that it has acquired significant influence since its establishment.</w:t>
      </w:r>
    </w:p>
    <w:p w14:paraId="00000060" w14:textId="71AB026D" w:rsidR="000F6456" w:rsidRPr="001E4D3A" w:rsidRDefault="00202AEE" w:rsidP="00202AEE">
      <w:r>
        <w:tab/>
      </w:r>
      <w:r w:rsidR="00B0656D" w:rsidRPr="001E4D3A">
        <w:t xml:space="preserve">Article 5(4) of the </w:t>
      </w:r>
      <w:r w:rsidR="00511E4A">
        <w:t xml:space="preserve">AMW </w:t>
      </w:r>
      <w:r w:rsidR="00B0656D" w:rsidRPr="001E4D3A">
        <w:t xml:space="preserve">Directive provides that ‘Member States shall use indicative reference values to guide their assessment of adequacy of statutory minimum wages’. Such values are not mentioned in the National Minimum Wage Act. Nevertheless, they do feature in the reports of the Low Pay Commission. As mentioned in the </w:t>
      </w:r>
      <w:r w:rsidR="004E26D2">
        <w:t>I</w:t>
      </w:r>
      <w:r w:rsidR="00B0656D" w:rsidRPr="001E4D3A">
        <w:t>ntroduction</w:t>
      </w:r>
      <w:r w:rsidR="001F338F">
        <w:t xml:space="preserve"> above</w:t>
      </w:r>
      <w:r w:rsidR="00B0656D" w:rsidRPr="001E4D3A">
        <w:t>, in 2022, the government announced that it intended to create a ‘national living wage’ set at 60</w:t>
      </w:r>
      <w:r w:rsidR="009F6A57" w:rsidRPr="009F6A57">
        <w:t xml:space="preserve"> </w:t>
      </w:r>
      <w:r w:rsidR="009F6A57">
        <w:t>per cent</w:t>
      </w:r>
      <w:r w:rsidR="00B0656D" w:rsidRPr="001E4D3A">
        <w:t xml:space="preserve"> of hourly median wages. This is to be achieved by 2026 through a series of increases in the rate of the national minimum wage. Although the government maintains that the ‘living wage’ will replace the ‘minimum wage’, it is not clear if the underpinning legislation will be amended to incorporate the 60</w:t>
      </w:r>
      <w:r w:rsidR="009F6A57" w:rsidRPr="009F6A57">
        <w:t xml:space="preserve"> </w:t>
      </w:r>
      <w:r w:rsidR="009F6A57">
        <w:t>per cent</w:t>
      </w:r>
      <w:r w:rsidR="00B0656D" w:rsidRPr="001E4D3A">
        <w:t xml:space="preserve"> reference value. For the time being, this represents a political, rather than legal, commitment. </w:t>
      </w:r>
    </w:p>
    <w:p w14:paraId="00000061" w14:textId="54A04ED0" w:rsidR="000F6456" w:rsidRPr="00782E0A" w:rsidRDefault="00FD08EF" w:rsidP="00FD08EF">
      <w:pPr>
        <w:pStyle w:val="Heading2"/>
      </w:pPr>
      <w:r>
        <w:t xml:space="preserve">E. </w:t>
      </w:r>
      <w:r w:rsidR="00B0656D" w:rsidRPr="00782E0A">
        <w:t xml:space="preserve">Effective Access of Workers to Statutory Minimum Wages </w:t>
      </w:r>
    </w:p>
    <w:p w14:paraId="00000064" w14:textId="611AF8F6" w:rsidR="000F6456" w:rsidRPr="001E4D3A" w:rsidRDefault="00B0656D" w:rsidP="00202AEE">
      <w:r w:rsidRPr="001E4D3A">
        <w:lastRenderedPageBreak/>
        <w:t xml:space="preserve">This section will examine the legal procedures through which individual workers can enforce the right to be paid the national minimum wage, followed by a discussion of other mechanisms for enforcement. </w:t>
      </w:r>
    </w:p>
    <w:p w14:paraId="00000066" w14:textId="1E85C324" w:rsidR="000F6456" w:rsidRPr="001E4D3A" w:rsidRDefault="00202AEE" w:rsidP="00202AEE">
      <w:r>
        <w:tab/>
      </w:r>
      <w:r w:rsidR="00B0656D" w:rsidRPr="001E4D3A">
        <w:t>Where an employee is concerned that he or she is not being paid the national minimum wage, then the first step is to request from the employer ‘a written statement of the employee’s average hourly pay for any pay reference period … falling within the 12 month period immediately preceding the request’.</w:t>
      </w:r>
      <w:r w:rsidR="00B0656D" w:rsidRPr="001E4D3A">
        <w:rPr>
          <w:vertAlign w:val="superscript"/>
        </w:rPr>
        <w:footnoteReference w:id="68"/>
      </w:r>
      <w:r w:rsidR="00B0656D" w:rsidRPr="001E4D3A">
        <w:t xml:space="preserve"> The ‘pay reference period’ is a period not exceeding one month.</w:t>
      </w:r>
      <w:r w:rsidR="00B0656D" w:rsidRPr="001E4D3A">
        <w:rPr>
          <w:vertAlign w:val="superscript"/>
        </w:rPr>
        <w:footnoteReference w:id="69"/>
      </w:r>
      <w:r w:rsidR="00B0656D" w:rsidRPr="001E4D3A">
        <w:t xml:space="preserve"> The ‘gross remuneration’ paid in this period is divided by the total working hours in order to determine the hourly rate of pay.</w:t>
      </w:r>
      <w:r w:rsidR="00B0656D" w:rsidRPr="001E4D3A">
        <w:rPr>
          <w:vertAlign w:val="superscript"/>
        </w:rPr>
        <w:footnoteReference w:id="70"/>
      </w:r>
      <w:r w:rsidR="00B0656D" w:rsidRPr="001E4D3A">
        <w:t xml:space="preserve"> In undertaking this exercise, the meaning of ‘working hours’ is critical to the calculation of the hourly rate of pay. According to the Act, this is the greater of </w:t>
      </w:r>
      <w:r w:rsidR="00B0656D" w:rsidRPr="001E4D3A">
        <w:rPr>
          <w:i/>
        </w:rPr>
        <w:t>either</w:t>
      </w:r>
      <w:r w:rsidR="00B0656D" w:rsidRPr="001E4D3A">
        <w:t xml:space="preserve"> the hours determined by the employee’s contract, collective agreement, or other certain other legal sources (</w:t>
      </w:r>
      <w:proofErr w:type="spellStart"/>
      <w:r w:rsidR="001F338F">
        <w:t>e</w:t>
      </w:r>
      <w:r w:rsidR="00B0656D" w:rsidRPr="001F338F">
        <w:t>g</w:t>
      </w:r>
      <w:proofErr w:type="spellEnd"/>
      <w:r w:rsidR="00B0656D" w:rsidRPr="001E4D3A">
        <w:t xml:space="preserve"> an ERO), </w:t>
      </w:r>
      <w:r w:rsidR="00B0656D" w:rsidRPr="001E4D3A">
        <w:rPr>
          <w:i/>
        </w:rPr>
        <w:t xml:space="preserve">or </w:t>
      </w:r>
      <w:r w:rsidR="00B0656D" w:rsidRPr="001E4D3A">
        <w:t>it is the hours when the employee carried out the activities of his or her work.</w:t>
      </w:r>
      <w:r w:rsidR="00B0656D" w:rsidRPr="001E4D3A">
        <w:rPr>
          <w:vertAlign w:val="superscript"/>
        </w:rPr>
        <w:footnoteReference w:id="71"/>
      </w:r>
      <w:r w:rsidR="00B0656D" w:rsidRPr="001E4D3A">
        <w:t xml:space="preserve"> A practical illustration of why this matters can be found in </w:t>
      </w:r>
      <w:r w:rsidR="00B0656D" w:rsidRPr="001E4D3A">
        <w:rPr>
          <w:i/>
        </w:rPr>
        <w:t xml:space="preserve">Karpenko v </w:t>
      </w:r>
      <w:proofErr w:type="spellStart"/>
      <w:r w:rsidR="00B0656D" w:rsidRPr="001E4D3A">
        <w:rPr>
          <w:i/>
        </w:rPr>
        <w:t>Freshcut</w:t>
      </w:r>
      <w:proofErr w:type="spellEnd"/>
      <w:r w:rsidR="00B0656D" w:rsidRPr="001E4D3A">
        <w:rPr>
          <w:i/>
        </w:rPr>
        <w:t xml:space="preserve"> Food Services Ltd</w:t>
      </w:r>
      <w:r w:rsidR="00B0656D" w:rsidRPr="001E4D3A">
        <w:t>.</w:t>
      </w:r>
      <w:r w:rsidR="00B0656D" w:rsidRPr="001E4D3A">
        <w:rPr>
          <w:vertAlign w:val="superscript"/>
        </w:rPr>
        <w:footnoteReference w:id="72"/>
      </w:r>
      <w:r w:rsidR="00B0656D" w:rsidRPr="001E4D3A">
        <w:t xml:space="preserve"> In that case, the employee claimed that his contract provided for 66 working hours per week, whereas his employer insisted that he did not actually work more than 40 hours per week. On the basis of the hours that he actually worked, the </w:t>
      </w:r>
      <w:proofErr w:type="spellStart"/>
      <w:r w:rsidR="00B0656D" w:rsidRPr="001E4D3A">
        <w:t>Labour</w:t>
      </w:r>
      <w:proofErr w:type="spellEnd"/>
      <w:r w:rsidR="00B0656D" w:rsidRPr="001E4D3A">
        <w:t xml:space="preserve"> Court found that his hourly pay was not in breach of the national minimum wage. The High Court held that the </w:t>
      </w:r>
      <w:proofErr w:type="spellStart"/>
      <w:r w:rsidR="00B0656D" w:rsidRPr="001E4D3A">
        <w:t>Labour</w:t>
      </w:r>
      <w:proofErr w:type="spellEnd"/>
      <w:r w:rsidR="00B0656D" w:rsidRPr="001E4D3A">
        <w:t xml:space="preserve"> Court had failed to apply the legislation correctly, because it needed to determine his contractual working hours. If these were greater than his actual working hours, then the hourly rate of pay had to be calculated on that basis. </w:t>
      </w:r>
    </w:p>
    <w:p w14:paraId="00000068" w14:textId="2B617CCA" w:rsidR="000F6456" w:rsidRPr="001E4D3A" w:rsidRDefault="00E2458A" w:rsidP="00E2458A">
      <w:r>
        <w:tab/>
      </w:r>
      <w:r w:rsidR="00B0656D" w:rsidRPr="001E4D3A">
        <w:t>Following the employee’s request, the employer has four weeks to provide a written statement of the employee’s pay components, working hours, average hourly pay, and the minimum rate of pay to which the employee is entitled to under the Act.</w:t>
      </w:r>
      <w:r w:rsidR="00B0656D" w:rsidRPr="001E4D3A">
        <w:rPr>
          <w:vertAlign w:val="superscript"/>
        </w:rPr>
        <w:footnoteReference w:id="73"/>
      </w:r>
      <w:r w:rsidR="00B0656D" w:rsidRPr="001E4D3A">
        <w:t xml:space="preserve"> The latter may vary according to the age of the employee. At present, those under 18 are entitled to 70</w:t>
      </w:r>
      <w:r w:rsidR="009F6A57" w:rsidRPr="009F6A57">
        <w:t xml:space="preserve"> </w:t>
      </w:r>
      <w:r w:rsidR="009F6A57">
        <w:t>per cent</w:t>
      </w:r>
      <w:r w:rsidR="00B0656D" w:rsidRPr="001E4D3A">
        <w:t xml:space="preserve"> of the national minimum wage rate, rising to 80</w:t>
      </w:r>
      <w:r w:rsidR="009F6A57" w:rsidRPr="009F6A57">
        <w:t xml:space="preserve"> </w:t>
      </w:r>
      <w:r w:rsidR="009F6A57">
        <w:t>per cent</w:t>
      </w:r>
      <w:r w:rsidR="00B0656D" w:rsidRPr="001E4D3A">
        <w:t xml:space="preserve"> for those who are 18, and 90</w:t>
      </w:r>
      <w:r w:rsidR="009F6A57" w:rsidRPr="009F6A57">
        <w:t xml:space="preserve"> </w:t>
      </w:r>
      <w:r w:rsidR="009F6A57">
        <w:t>per cent</w:t>
      </w:r>
      <w:r w:rsidR="00B0656D" w:rsidRPr="001E4D3A">
        <w:t xml:space="preserve"> for </w:t>
      </w:r>
      <w:r w:rsidR="00B0656D" w:rsidRPr="001E4D3A">
        <w:lastRenderedPageBreak/>
        <w:t>those who are 19.</w:t>
      </w:r>
      <w:r w:rsidR="00B0656D" w:rsidRPr="001E4D3A">
        <w:rPr>
          <w:vertAlign w:val="superscript"/>
        </w:rPr>
        <w:footnoteReference w:id="74"/>
      </w:r>
      <w:r w:rsidR="00B0656D" w:rsidRPr="001E4D3A">
        <w:t xml:space="preserve"> In 2023, the European Committee of Social Rights found that the lower rates applicable to younger employees are in breach of the right to fair remuneration in the Revised European Social Charter because they are not sufficient to provide a decent standard of living.</w:t>
      </w:r>
      <w:r w:rsidR="00B0656D" w:rsidRPr="001E4D3A">
        <w:rPr>
          <w:vertAlign w:val="superscript"/>
        </w:rPr>
        <w:footnoteReference w:id="75"/>
      </w:r>
      <w:r w:rsidR="00B0656D" w:rsidRPr="001E4D3A">
        <w:t xml:space="preserve"> </w:t>
      </w:r>
    </w:p>
    <w:p w14:paraId="0000006A" w14:textId="6E9240A6" w:rsidR="000F6456" w:rsidRPr="001E4D3A" w:rsidRDefault="00E2458A" w:rsidP="00E2458A">
      <w:r>
        <w:tab/>
      </w:r>
      <w:r w:rsidR="00B0656D" w:rsidRPr="001E4D3A">
        <w:t>Following the provision of the written statement, or if the time permitted for the employer to do this elapses, an employee normally has up to six months to raise a complaint with the WRC.</w:t>
      </w:r>
      <w:r w:rsidR="00B0656D" w:rsidRPr="001E4D3A">
        <w:rPr>
          <w:vertAlign w:val="superscript"/>
        </w:rPr>
        <w:footnoteReference w:id="76"/>
      </w:r>
      <w:r w:rsidR="00B0656D" w:rsidRPr="001E4D3A">
        <w:t xml:space="preserve"> This complaint will not be considered if it has previously been investigated by a WRC inspector (see further below).</w:t>
      </w:r>
      <w:r w:rsidR="00B0656D" w:rsidRPr="001E4D3A">
        <w:rPr>
          <w:vertAlign w:val="superscript"/>
        </w:rPr>
        <w:footnoteReference w:id="77"/>
      </w:r>
      <w:r w:rsidR="00B0656D" w:rsidRPr="001E4D3A">
        <w:t xml:space="preserve"> If the complaint is upheld, a WRC adjudicator has the power to direct the employer to pay arrears to the employee, reflecting any difference between the rate that the employee was paid and the minimum amount to which the employee was entitled.</w:t>
      </w:r>
      <w:r w:rsidR="00B0656D" w:rsidRPr="001E4D3A">
        <w:rPr>
          <w:vertAlign w:val="superscript"/>
        </w:rPr>
        <w:footnoteReference w:id="78"/>
      </w:r>
      <w:r w:rsidR="00B0656D" w:rsidRPr="001E4D3A">
        <w:t xml:space="preserve"> There is also a broader power to make ‘such direction and such requirement, as the adjudication officer considers appropriate’.</w:t>
      </w:r>
      <w:r w:rsidR="00B0656D" w:rsidRPr="001E4D3A">
        <w:rPr>
          <w:vertAlign w:val="superscript"/>
        </w:rPr>
        <w:footnoteReference w:id="79"/>
      </w:r>
      <w:r w:rsidR="00B0656D" w:rsidRPr="001E4D3A">
        <w:t xml:space="preserve"> Decisions of adjudicators can be appealed to the </w:t>
      </w:r>
      <w:proofErr w:type="spellStart"/>
      <w:r w:rsidR="00B0656D" w:rsidRPr="001E4D3A">
        <w:t>Labour</w:t>
      </w:r>
      <w:proofErr w:type="spellEnd"/>
      <w:r w:rsidR="00B0656D" w:rsidRPr="001E4D3A">
        <w:t xml:space="preserve"> Court. While this procedure permits an employee to recover wages to which they were entitled, but not paid, the Directive requires penalties to be ‘effective, proportionate and dissuasive’.</w:t>
      </w:r>
      <w:bookmarkStart w:id="6" w:name="_Ref144125796"/>
      <w:r w:rsidR="00B0656D" w:rsidRPr="001E4D3A">
        <w:rPr>
          <w:vertAlign w:val="superscript"/>
        </w:rPr>
        <w:footnoteReference w:id="80"/>
      </w:r>
      <w:bookmarkEnd w:id="6"/>
      <w:r w:rsidR="00B0656D" w:rsidRPr="001E4D3A">
        <w:t xml:space="preserve"> Ireland’s individual complaint procedure does not include any possibility for adjudicators to impose stronger remedies, such as compensation for non-material losses. This may not be in conformity with the standards required by the </w:t>
      </w:r>
      <w:r w:rsidR="001F338F">
        <w:t xml:space="preserve">AMW </w:t>
      </w:r>
      <w:r w:rsidR="00B0656D" w:rsidRPr="001E4D3A">
        <w:t>Directive.</w:t>
      </w:r>
    </w:p>
    <w:p w14:paraId="21606D8D" w14:textId="55FD2454" w:rsidR="001F338F" w:rsidRDefault="00E2458A" w:rsidP="00E2458A">
      <w:r>
        <w:tab/>
      </w:r>
      <w:r w:rsidR="00B0656D" w:rsidRPr="001E4D3A">
        <w:t>Article 12(2) of the Directive requires that workers and workers’ representatives should be protected from</w:t>
      </w:r>
      <w:r w:rsidR="001F338F">
        <w:t>:</w:t>
      </w:r>
    </w:p>
    <w:p w14:paraId="36C45EEC" w14:textId="6B678746" w:rsidR="001F338F" w:rsidRDefault="00B0656D" w:rsidP="001F338F">
      <w:pPr>
        <w:pStyle w:val="Quote"/>
      </w:pPr>
      <w:r w:rsidRPr="001E4D3A">
        <w:t>any adverse treatment by the employer and from any adverse consequences resulting from a complaint lodged with the employer or resulting from any proceedings initiated with the aim of enforcing compliance in the case of infringements of rights relati</w:t>
      </w:r>
      <w:r w:rsidR="001F338F">
        <w:t>ng to minimum wage protection.</w:t>
      </w:r>
    </w:p>
    <w:p w14:paraId="0000006C" w14:textId="3C11C85B" w:rsidR="000F6456" w:rsidRPr="001E4D3A" w:rsidRDefault="001F338F" w:rsidP="00E2458A">
      <w:r>
        <w:tab/>
      </w:r>
      <w:r w:rsidR="00B0656D" w:rsidRPr="001E4D3A">
        <w:t xml:space="preserve">Section 36 of the National Minimum Wage Act prohibits </w:t>
      </w:r>
      <w:proofErr w:type="spellStart"/>
      <w:r w:rsidR="00B0656D" w:rsidRPr="001E4D3A">
        <w:t>victimisation</w:t>
      </w:r>
      <w:proofErr w:type="spellEnd"/>
      <w:r w:rsidR="00B0656D" w:rsidRPr="001E4D3A">
        <w:t xml:space="preserve"> of employees in several circumstances, including where the employee has ‘exercised’ or ‘proposed to exercise a right under this Act’. It will be a breach of the law on unfair dismissal to dismiss an employee </w:t>
      </w:r>
      <w:r w:rsidR="00B0656D" w:rsidRPr="001E4D3A">
        <w:lastRenderedPageBreak/>
        <w:t>for this reason,</w:t>
      </w:r>
      <w:r w:rsidR="00B0656D" w:rsidRPr="001E4D3A">
        <w:rPr>
          <w:vertAlign w:val="superscript"/>
        </w:rPr>
        <w:footnoteReference w:id="81"/>
      </w:r>
      <w:r w:rsidR="00B0656D" w:rsidRPr="001E4D3A">
        <w:t xml:space="preserve"> and remedies can be provided under the Act where </w:t>
      </w:r>
      <w:proofErr w:type="spellStart"/>
      <w:r w:rsidR="00B0656D" w:rsidRPr="001E4D3A">
        <w:t>victimisation</w:t>
      </w:r>
      <w:proofErr w:type="spellEnd"/>
      <w:r w:rsidR="00B0656D" w:rsidRPr="001E4D3A">
        <w:t xml:space="preserve"> results in underpayment of the employee.</w:t>
      </w:r>
      <w:r w:rsidR="00B0656D" w:rsidRPr="001E4D3A">
        <w:rPr>
          <w:vertAlign w:val="superscript"/>
        </w:rPr>
        <w:footnoteReference w:id="82"/>
      </w:r>
      <w:r w:rsidR="00B0656D" w:rsidRPr="001E4D3A">
        <w:t xml:space="preserve"> Unlike the Directive, the Act does not expressly confer protection from </w:t>
      </w:r>
      <w:proofErr w:type="spellStart"/>
      <w:r w:rsidR="00B0656D" w:rsidRPr="001E4D3A">
        <w:t>victimisation</w:t>
      </w:r>
      <w:proofErr w:type="spellEnd"/>
      <w:r w:rsidR="00B0656D" w:rsidRPr="001E4D3A">
        <w:t xml:space="preserve"> on workers’ representatives. </w:t>
      </w:r>
    </w:p>
    <w:p w14:paraId="0000006E" w14:textId="7DBD83AF" w:rsidR="000F6456" w:rsidRPr="001E4D3A" w:rsidRDefault="00E2458A" w:rsidP="00E2458A">
      <w:r>
        <w:tab/>
      </w:r>
      <w:r w:rsidR="00B0656D" w:rsidRPr="001E4D3A">
        <w:t>Although there are clear procedures for enforcement of the national minimum wage, the volume of complaints brought under the legislation remains modest. The WRC annual report for 2022 recorded 12,790 complaints, of which 55 concerned alleged breaches of the National Minimum Wage Act.</w:t>
      </w:r>
      <w:bookmarkStart w:id="7" w:name="_Ref144125807"/>
      <w:r w:rsidR="00B0656D" w:rsidRPr="001E4D3A">
        <w:rPr>
          <w:vertAlign w:val="superscript"/>
        </w:rPr>
        <w:footnoteReference w:id="83"/>
      </w:r>
      <w:bookmarkEnd w:id="7"/>
      <w:r w:rsidR="00B0656D" w:rsidRPr="001E4D3A">
        <w:t xml:space="preserve"> Patterns of enforcement of employment rights were disrupted during the Covid-19 pandemic, so it is also instructive to consider the data from 2019. In that year, 20,939 individual complaints were made to the WRC, of which 356 concerned the National Minimum Wage Act.</w:t>
      </w:r>
      <w:bookmarkStart w:id="8" w:name="_Ref144125821"/>
      <w:r w:rsidR="00B0656D" w:rsidRPr="001E4D3A">
        <w:rPr>
          <w:vertAlign w:val="superscript"/>
        </w:rPr>
        <w:footnoteReference w:id="84"/>
      </w:r>
      <w:bookmarkEnd w:id="8"/>
      <w:r w:rsidR="00B0656D" w:rsidRPr="001E4D3A">
        <w:t xml:space="preserve"> Workers do not require legal representation to bring a complaint to the WRC, nor are any fees charged by the WRC. In the event of a complaint being rejected, the worker is not liable for any legal costs of the employer. While these are factors that seek to make the WRC a more accessible forum than the courts, it remains challenging for a complainant to navigate the intricacies of the law without advice and representation. This is especially true for migrant workers. Access to justice is also hindered by the lack of any publicly-funded legal aid for proceedings before the WRC.</w:t>
      </w:r>
    </w:p>
    <w:p w14:paraId="00000070" w14:textId="55D652BA" w:rsidR="000F6456" w:rsidRPr="001E4D3A" w:rsidRDefault="00E2458A" w:rsidP="00E2458A">
      <w:r>
        <w:tab/>
      </w:r>
      <w:r w:rsidR="00B0656D" w:rsidRPr="001E4D3A">
        <w:t xml:space="preserve">Article 8(a) of the </w:t>
      </w:r>
      <w:r w:rsidR="0075043A">
        <w:t xml:space="preserve">AMW </w:t>
      </w:r>
      <w:r w:rsidR="00B0656D" w:rsidRPr="001E4D3A">
        <w:t xml:space="preserve">Directive requires Member States to complement the right of individual redress with ‘effective, proportionate and non-discriminatory controls and field inspections conducted by </w:t>
      </w:r>
      <w:proofErr w:type="spellStart"/>
      <w:r w:rsidR="00B0656D" w:rsidRPr="001E4D3A">
        <w:t>labour</w:t>
      </w:r>
      <w:proofErr w:type="spellEnd"/>
      <w:r w:rsidR="00B0656D" w:rsidRPr="001E4D3A">
        <w:t xml:space="preserve"> inspectorates or the bodies responsible for the enforcement of statutory minimum wages’. In Ireland, this function is performed by the WRC. Employees may request a WRC inspector to investigate alleged breaches of the national minimum wage: in 2022, 72 such requests were received by the WRC.</w:t>
      </w:r>
      <w:r w:rsidR="00B0656D" w:rsidRPr="001E4D3A">
        <w:rPr>
          <w:vertAlign w:val="superscript"/>
        </w:rPr>
        <w:footnoteReference w:id="85"/>
      </w:r>
      <w:r w:rsidR="00B0656D" w:rsidRPr="001E4D3A">
        <w:t xml:space="preserve"> The Act permits WRC inspectors to investigate on their own motion where they believe that there has been underpayment of an employee.</w:t>
      </w:r>
      <w:r w:rsidR="00B0656D" w:rsidRPr="001E4D3A">
        <w:rPr>
          <w:vertAlign w:val="superscript"/>
        </w:rPr>
        <w:footnoteReference w:id="86"/>
      </w:r>
      <w:r w:rsidR="00B0656D" w:rsidRPr="001E4D3A">
        <w:t xml:space="preserve"> Such investigations are facilitated by the duty on employers to keep records that show that the National Minimum Wage Act is being complied with and to retain these for a </w:t>
      </w:r>
      <w:r w:rsidR="00B0656D" w:rsidRPr="001E4D3A">
        <w:lastRenderedPageBreak/>
        <w:t>period of three years.</w:t>
      </w:r>
      <w:r w:rsidR="00B0656D" w:rsidRPr="001E4D3A">
        <w:rPr>
          <w:vertAlign w:val="superscript"/>
        </w:rPr>
        <w:footnoteReference w:id="87"/>
      </w:r>
      <w:r w:rsidR="00B0656D" w:rsidRPr="001E4D3A">
        <w:t xml:space="preserve"> As an illustration of the role played by inspections, in 2019, the WRC carried out a targeted campaign of inspecting 169 nail bars and car washes. In 12</w:t>
      </w:r>
      <w:r w:rsidR="009F6A57" w:rsidRPr="009F6A57">
        <w:t xml:space="preserve"> </w:t>
      </w:r>
      <w:r w:rsidR="009F6A57">
        <w:t>per cent</w:t>
      </w:r>
      <w:r w:rsidR="00B0656D" w:rsidRPr="001E4D3A">
        <w:t xml:space="preserve"> of these firms it found breaches of the minimum wage.</w:t>
      </w:r>
      <w:r w:rsidR="00B0656D" w:rsidRPr="001E4D3A">
        <w:rPr>
          <w:vertAlign w:val="superscript"/>
        </w:rPr>
        <w:footnoteReference w:id="88"/>
      </w:r>
      <w:r w:rsidR="00B0656D" w:rsidRPr="001E4D3A">
        <w:t xml:space="preserve"> Employers may choose to comply voluntarily following an inspection, but ultimately the WRC can bring a criminal prosecution against an employer for failing to pay the national minimum wage.</w:t>
      </w:r>
      <w:r w:rsidR="00B0656D" w:rsidRPr="001E4D3A">
        <w:rPr>
          <w:vertAlign w:val="superscript"/>
        </w:rPr>
        <w:footnoteReference w:id="89"/>
      </w:r>
      <w:r w:rsidR="00B0656D" w:rsidRPr="001E4D3A">
        <w:t xml:space="preserve"> The maximum penalty, if convicted on indictment, is a fine not exceeding </w:t>
      </w:r>
      <w:r w:rsidR="006B0FF4">
        <w:t>€</w:t>
      </w:r>
      <w:r w:rsidR="00B0656D" w:rsidRPr="001E4D3A">
        <w:t>12</w:t>
      </w:r>
      <w:r w:rsidR="006B0FF4">
        <w:t>,697.</w:t>
      </w:r>
      <w:r w:rsidR="00B0656D" w:rsidRPr="001E4D3A">
        <w:t xml:space="preserve">38 and/or imprisonment for a term not exceeding </w:t>
      </w:r>
      <w:r w:rsidR="0075043A">
        <w:t>three</w:t>
      </w:r>
      <w:r w:rsidR="00B0656D" w:rsidRPr="001E4D3A">
        <w:t xml:space="preserve"> years.</w:t>
      </w:r>
      <w:r w:rsidR="00B0656D" w:rsidRPr="001E4D3A">
        <w:rPr>
          <w:vertAlign w:val="superscript"/>
        </w:rPr>
        <w:footnoteReference w:id="90"/>
      </w:r>
      <w:r w:rsidR="00B0656D" w:rsidRPr="001E4D3A">
        <w:t xml:space="preserve"> The WRC’s annual reports identify those employers who have been convicted of breach of the National Minimum Wage Act.</w:t>
      </w:r>
    </w:p>
    <w:p w14:paraId="00000072" w14:textId="0A0990BB" w:rsidR="000F6456" w:rsidRPr="001E4D3A" w:rsidRDefault="00E2458A" w:rsidP="00E2458A">
      <w:r>
        <w:tab/>
      </w:r>
      <w:r w:rsidR="00B0656D" w:rsidRPr="001E4D3A">
        <w:t xml:space="preserve">It is difficult to determine the extent of non-compliance with the minimum wage. According to the </w:t>
      </w:r>
      <w:proofErr w:type="spellStart"/>
      <w:r w:rsidR="00B0656D" w:rsidRPr="001E4D3A">
        <w:t>Labour</w:t>
      </w:r>
      <w:proofErr w:type="spellEnd"/>
      <w:r w:rsidR="00B0656D" w:rsidRPr="001E4D3A">
        <w:t xml:space="preserve"> Force Surveys conducted during 2016 to 2021, between 1.3</w:t>
      </w:r>
      <w:r w:rsidR="009F6A57" w:rsidRPr="009F6A57">
        <w:t xml:space="preserve"> </w:t>
      </w:r>
      <w:r w:rsidR="009F6A57">
        <w:t>per cent</w:t>
      </w:r>
      <w:r w:rsidR="00B0656D" w:rsidRPr="001E4D3A">
        <w:t xml:space="preserve"> and 1.8</w:t>
      </w:r>
      <w:r w:rsidR="009F6A57" w:rsidRPr="009F6A57">
        <w:t xml:space="preserve"> </w:t>
      </w:r>
      <w:r w:rsidR="009F6A57">
        <w:t>per cent</w:t>
      </w:r>
      <w:r w:rsidR="00B0656D" w:rsidRPr="001E4D3A">
        <w:t xml:space="preserve"> of respondents said that they were paid less than the minimum wage.</w:t>
      </w:r>
      <w:r w:rsidR="00B0656D" w:rsidRPr="001E4D3A">
        <w:rPr>
          <w:vertAlign w:val="superscript"/>
        </w:rPr>
        <w:footnoteReference w:id="91"/>
      </w:r>
      <w:r w:rsidR="00B0656D" w:rsidRPr="001E4D3A">
        <w:t xml:space="preserve"> When asked for the reason, the majority attributed this to being aged 19 or younger, or in an apprenticeship, which may constitute lawful reasons to be paid less than the minimum wage. </w:t>
      </w:r>
      <w:r w:rsidR="0075043A">
        <w:t xml:space="preserve">However, </w:t>
      </w:r>
      <w:r w:rsidR="00B0656D" w:rsidRPr="001E4D3A">
        <w:t>34.3</w:t>
      </w:r>
      <w:r w:rsidR="009F6A57" w:rsidRPr="009F6A57">
        <w:t xml:space="preserve"> </w:t>
      </w:r>
      <w:r w:rsidR="009F6A57">
        <w:t>per cent</w:t>
      </w:r>
      <w:r w:rsidR="00B0656D" w:rsidRPr="001E4D3A">
        <w:t xml:space="preserve"> </w:t>
      </w:r>
      <w:proofErr w:type="gramStart"/>
      <w:r w:rsidR="00B0656D" w:rsidRPr="001E4D3A">
        <w:t>stated</w:t>
      </w:r>
      <w:proofErr w:type="gramEnd"/>
      <w:r w:rsidR="00B0656D" w:rsidRPr="001E4D3A">
        <w:t xml:space="preserve"> ‘other reason’. The Low Pay Commission points out that such reasons are unlikely to be lawful.</w:t>
      </w:r>
      <w:r w:rsidR="00B0656D" w:rsidRPr="001E4D3A">
        <w:rPr>
          <w:vertAlign w:val="superscript"/>
        </w:rPr>
        <w:footnoteReference w:id="92"/>
      </w:r>
      <w:r w:rsidR="00B0656D" w:rsidRPr="001E4D3A">
        <w:t xml:space="preserve"> The Commission also highlights evidence that undocumented migrants are particularly vulnerable to being paid less than the minimum wage.</w:t>
      </w:r>
      <w:r w:rsidR="00B0656D" w:rsidRPr="001E4D3A">
        <w:rPr>
          <w:vertAlign w:val="superscript"/>
        </w:rPr>
        <w:footnoteReference w:id="93"/>
      </w:r>
      <w:r w:rsidR="00B0656D" w:rsidRPr="001E4D3A">
        <w:t xml:space="preserve"> </w:t>
      </w:r>
    </w:p>
    <w:p w14:paraId="00000074" w14:textId="2C02171F" w:rsidR="000F6456" w:rsidRPr="001E4D3A" w:rsidRDefault="00FD08EF" w:rsidP="00FD08EF">
      <w:pPr>
        <w:pStyle w:val="Heading2"/>
      </w:pPr>
      <w:r>
        <w:t xml:space="preserve">F. </w:t>
      </w:r>
      <w:r w:rsidR="00D66C22" w:rsidRPr="00782E0A">
        <w:t xml:space="preserve">Monitoring and </w:t>
      </w:r>
      <w:r>
        <w:t>D</w:t>
      </w:r>
      <w:r w:rsidR="00D66C22" w:rsidRPr="00782E0A">
        <w:t xml:space="preserve">ata </w:t>
      </w:r>
      <w:r>
        <w:t>C</w:t>
      </w:r>
      <w:r w:rsidR="00D66C22" w:rsidRPr="00782E0A">
        <w:t>ollection</w:t>
      </w:r>
    </w:p>
    <w:p w14:paraId="00000076" w14:textId="511163BA" w:rsidR="000F6456" w:rsidRPr="001E4D3A" w:rsidRDefault="00B0656D" w:rsidP="00E2458A">
      <w:r w:rsidRPr="001E4D3A">
        <w:t xml:space="preserve">Article 10 of the </w:t>
      </w:r>
      <w:r w:rsidR="000618EA" w:rsidRPr="000618EA">
        <w:t xml:space="preserve">AMW Directive </w:t>
      </w:r>
      <w:r w:rsidRPr="001E4D3A">
        <w:t xml:space="preserve">requires Member States to gather data and periodically to report this to the European Commission. As regards statutory minimum wages, the annual reports of the Low Pay Commission already include much of the required data, including disaggregation by gender, age, and sector of the economy. The Directive requires information to be disaggregated by disability and company size ‘as far as available’. Such data is not currently included in the annual reports of the Commission, so this may require further action. </w:t>
      </w:r>
    </w:p>
    <w:p w14:paraId="00000078" w14:textId="44B6F6F2" w:rsidR="000F6456" w:rsidRPr="001E4D3A" w:rsidRDefault="00E2458A" w:rsidP="00E2458A">
      <w:r>
        <w:lastRenderedPageBreak/>
        <w:tab/>
      </w:r>
      <w:r w:rsidR="00B0656D" w:rsidRPr="001E4D3A">
        <w:t>Article 10(2)(b)(ii) of the Directive requires information to be provided on the share of workers covered by variations and deductions from the national minimum wage. As mentioned above, there is some information on the number of workers who say that they are paid less than the minimum wage because of their age. As regards deductions, the Act permits the monetary value of board and/or lodgings that the employer provides to be included in the calculation of the minimum wage, subject to limits. Currently, this is a maximum of: (</w:t>
      </w:r>
      <w:proofErr w:type="spellStart"/>
      <w:r w:rsidR="00B0656D" w:rsidRPr="001E4D3A">
        <w:t>i</w:t>
      </w:r>
      <w:proofErr w:type="spellEnd"/>
      <w:r w:rsidR="00B0656D" w:rsidRPr="001E4D3A">
        <w:t xml:space="preserve">) </w:t>
      </w:r>
      <w:r>
        <w:t>€</w:t>
      </w:r>
      <w:r w:rsidR="00B0656D" w:rsidRPr="001E4D3A">
        <w:t>1</w:t>
      </w:r>
      <w:r>
        <w:t xml:space="preserve">.01 per hour worked for board; </w:t>
      </w:r>
      <w:r w:rsidR="00B0656D" w:rsidRPr="001E4D3A">
        <w:t xml:space="preserve">and (ii) </w:t>
      </w:r>
      <w:r>
        <w:t>€</w:t>
      </w:r>
      <w:r w:rsidR="00B0656D" w:rsidRPr="001E4D3A">
        <w:t>26</w:t>
      </w:r>
      <w:r>
        <w:t>.</w:t>
      </w:r>
      <w:r w:rsidR="00B0656D" w:rsidRPr="001E4D3A">
        <w:t xml:space="preserve">70 per week, or </w:t>
      </w:r>
      <w:r>
        <w:t>€</w:t>
      </w:r>
      <w:r w:rsidR="00B0656D" w:rsidRPr="001E4D3A">
        <w:t>3</w:t>
      </w:r>
      <w:r>
        <w:t>.</w:t>
      </w:r>
      <w:r w:rsidR="00B0656D" w:rsidRPr="001E4D3A">
        <w:t>81 per day, for lodgings.</w:t>
      </w:r>
      <w:r w:rsidR="00B0656D" w:rsidRPr="001E4D3A">
        <w:rPr>
          <w:vertAlign w:val="superscript"/>
        </w:rPr>
        <w:footnoteReference w:id="94"/>
      </w:r>
      <w:r w:rsidR="00B0656D" w:rsidRPr="001E4D3A">
        <w:t xml:space="preserve"> Data is not collected on the proportion of workers who are affected by such permitted deductions.</w:t>
      </w:r>
      <w:r w:rsidR="00B0656D" w:rsidRPr="001E4D3A">
        <w:rPr>
          <w:vertAlign w:val="superscript"/>
        </w:rPr>
        <w:footnoteReference w:id="95"/>
      </w:r>
      <w:r w:rsidR="00B0656D" w:rsidRPr="001E4D3A">
        <w:t xml:space="preserve"> Beyond the variations and deductions </w:t>
      </w:r>
      <w:proofErr w:type="spellStart"/>
      <w:r w:rsidR="00B0656D" w:rsidRPr="001E4D3A">
        <w:t>authorised</w:t>
      </w:r>
      <w:proofErr w:type="spellEnd"/>
      <w:r w:rsidR="00B0656D" w:rsidRPr="001E4D3A">
        <w:t xml:space="preserve"> by the National Minimum Wage Act, it should be noted that the Payment of Wages Act 1991 regulates other circumstances where deductions may be made from wages. Without exploring the detail of that legislation, the European Committee of Social Rights has expressed concern that there are insufficient safeguards in relation to: (</w:t>
      </w:r>
      <w:proofErr w:type="spellStart"/>
      <w:r w:rsidR="00B0656D" w:rsidRPr="001E4D3A">
        <w:t>i</w:t>
      </w:r>
      <w:proofErr w:type="spellEnd"/>
      <w:r w:rsidR="00B0656D" w:rsidRPr="001E4D3A">
        <w:t>) preventing workers from waiving their rights, and (ii) ensuring that wages do not fall below subsidence level after permitted deductions.</w:t>
      </w:r>
      <w:r w:rsidR="00B0656D" w:rsidRPr="001E4D3A">
        <w:rPr>
          <w:vertAlign w:val="superscript"/>
        </w:rPr>
        <w:footnoteReference w:id="96"/>
      </w:r>
      <w:r w:rsidR="00B0656D" w:rsidRPr="001E4D3A">
        <w:t xml:space="preserve"> Consequently, questions arise concerning the conformity of the law on deductions with the </w:t>
      </w:r>
      <w:r w:rsidR="0075043A">
        <w:t xml:space="preserve">AMW </w:t>
      </w:r>
      <w:r w:rsidR="00B0656D" w:rsidRPr="001E4D3A">
        <w:t xml:space="preserve">Directive. </w:t>
      </w:r>
    </w:p>
    <w:p w14:paraId="0000007A" w14:textId="3A2C8C76" w:rsidR="000F6456" w:rsidRPr="001E4D3A" w:rsidRDefault="00E2458A" w:rsidP="00E2458A">
      <w:r>
        <w:tab/>
      </w:r>
      <w:r w:rsidR="00B0656D" w:rsidRPr="001E4D3A">
        <w:t>As regards collective bargaining, Article 10(2)(a) of the Directive requires information to be submitted on the rate and development of collective bargaining coverage. Data on wage bargaining in Ireland can be identified from a number of different sources, such as the European Company Survey or Eurostat’s Structure of Earnings Survey.</w:t>
      </w:r>
      <w:r w:rsidR="00B0656D" w:rsidRPr="001E4D3A">
        <w:rPr>
          <w:vertAlign w:val="superscript"/>
        </w:rPr>
        <w:footnoteReference w:id="97"/>
      </w:r>
      <w:r w:rsidR="00B0656D" w:rsidRPr="001E4D3A">
        <w:t xml:space="preserve"> </w:t>
      </w:r>
      <w:r w:rsidR="005D13E7">
        <w:t>We submit that</w:t>
      </w:r>
      <w:r w:rsidR="00B0656D" w:rsidRPr="001E4D3A">
        <w:t xml:space="preserve"> there should be more regular and systematic gathering of such data at domestic level in Ireland. </w:t>
      </w:r>
    </w:p>
    <w:p w14:paraId="0000007C" w14:textId="08D7EA14" w:rsidR="000F6456" w:rsidRPr="001E4D3A" w:rsidRDefault="00FD08EF" w:rsidP="00FD08EF">
      <w:pPr>
        <w:pStyle w:val="Heading1"/>
      </w:pPr>
      <w:r>
        <w:t xml:space="preserve">III. </w:t>
      </w:r>
      <w:r w:rsidR="00D66C22" w:rsidRPr="001E4D3A">
        <w:t>Conclusion</w:t>
      </w:r>
    </w:p>
    <w:p w14:paraId="0000007E" w14:textId="5A156FF2" w:rsidR="000F6456" w:rsidRPr="001E4D3A" w:rsidRDefault="00B0656D" w:rsidP="00E2458A">
      <w:r w:rsidRPr="001E4D3A">
        <w:t xml:space="preserve">This chapter reveals that the impact of the </w:t>
      </w:r>
      <w:r w:rsidR="000618EA" w:rsidRPr="000618EA">
        <w:t xml:space="preserve">AMW Directive </w:t>
      </w:r>
      <w:r w:rsidRPr="001E4D3A">
        <w:t xml:space="preserve">in Ireland varies considerably depending on which of its provisions are under consideration. In relation to statutory minimum wages, the legislation and institutional architecture that already exists is broadly in keeping with the standards found in the Directive. Moreover, the government’s political commitment </w:t>
      </w:r>
      <w:r w:rsidRPr="001E4D3A">
        <w:lastRenderedPageBreak/>
        <w:t>to raise the national minimum wage to 60</w:t>
      </w:r>
      <w:r w:rsidR="000F38A6" w:rsidRPr="000F38A6">
        <w:t xml:space="preserve"> </w:t>
      </w:r>
      <w:r w:rsidR="000F38A6">
        <w:t>per cent</w:t>
      </w:r>
      <w:r w:rsidRPr="001E4D3A">
        <w:t xml:space="preserve"> of hourly median wages by 2026 is in harmony with the indicative reference values that the Directive proposes for use by Member States. At the same time, questions arise as to whether some of the detailed elements of the statutory minimum wage are in conformity with the Directive. Divergence may arise on personal scope, such as Ireland’s exclusion of family members from the minimum wage. Ireland’s lower rates of minimum wage for those aged 19 and younger, or for certain types of apprenticeship, may be compatible with the Directive, but this is not certain. Whether the penalties for breach of the legislation meet the Directive’s standards of ‘effective, proportionate and dissuasive’ may also be open to challenge. </w:t>
      </w:r>
    </w:p>
    <w:p w14:paraId="0000007F" w14:textId="03747208" w:rsidR="000F6456" w:rsidRPr="001E4D3A" w:rsidRDefault="00E2458A" w:rsidP="00E2458A">
      <w:r>
        <w:rPr>
          <w:color w:val="000000"/>
        </w:rPr>
        <w:tab/>
      </w:r>
      <w:r w:rsidR="00B0656D" w:rsidRPr="001E4D3A">
        <w:rPr>
          <w:color w:val="000000"/>
        </w:rPr>
        <w:t>If the relationship between the Directive and statutory minimum wages in Ireland is one of nuance and interpretation, the picture in relation to c</w:t>
      </w:r>
      <w:r w:rsidR="00B0656D" w:rsidRPr="001E4D3A">
        <w:t>ollective bargaining is a different story. Ireland’s system of industrial relations is weak by the standards of comparable EU Member States, and has, over the course of the past century, accrued significant complexity. This has contributed to levels of collective bargaining coverage significantly below the 80</w:t>
      </w:r>
      <w:r w:rsidR="00047D80">
        <w:t xml:space="preserve"> per cent</w:t>
      </w:r>
      <w:r w:rsidR="00B0656D" w:rsidRPr="001E4D3A">
        <w:t xml:space="preserve"> threshold in the Directive. The adoption of the </w:t>
      </w:r>
      <w:r w:rsidR="0075043A">
        <w:t xml:space="preserve">AMW </w:t>
      </w:r>
      <w:r w:rsidR="00B0656D" w:rsidRPr="001E4D3A">
        <w:t xml:space="preserve">Directive therefore offers a welcome opportunity to </w:t>
      </w:r>
      <w:proofErr w:type="spellStart"/>
      <w:r w:rsidR="00B0656D" w:rsidRPr="001E4D3A">
        <w:t>rationalise</w:t>
      </w:r>
      <w:proofErr w:type="spellEnd"/>
      <w:r w:rsidR="00B0656D" w:rsidRPr="001E4D3A">
        <w:t xml:space="preserve"> and strengthen aspects of the system. </w:t>
      </w:r>
    </w:p>
    <w:sectPr w:rsidR="000F6456" w:rsidRPr="001E4D3A">
      <w:footerReference w:type="even"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3134A" w14:textId="77777777" w:rsidR="003B23F7" w:rsidRDefault="003B23F7">
      <w:pPr>
        <w:spacing w:line="240" w:lineRule="auto"/>
      </w:pPr>
      <w:r>
        <w:separator/>
      </w:r>
    </w:p>
  </w:endnote>
  <w:endnote w:type="continuationSeparator" w:id="0">
    <w:p w14:paraId="5FFA819C" w14:textId="77777777" w:rsidR="003B23F7" w:rsidRDefault="003B2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R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3" w14:textId="77777777" w:rsidR="000F6456" w:rsidRDefault="00B0656D">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000000E4" w14:textId="77777777" w:rsidR="000F6456" w:rsidRDefault="000F6456">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6EF9A" w14:textId="77777777" w:rsidR="003B23F7" w:rsidRDefault="003B23F7">
      <w:pPr>
        <w:spacing w:line="240" w:lineRule="auto"/>
      </w:pPr>
      <w:r>
        <w:separator/>
      </w:r>
    </w:p>
  </w:footnote>
  <w:footnote w:type="continuationSeparator" w:id="0">
    <w:p w14:paraId="657722EE" w14:textId="77777777" w:rsidR="003B23F7" w:rsidRDefault="003B23F7">
      <w:pPr>
        <w:spacing w:line="240" w:lineRule="auto"/>
      </w:pPr>
      <w:r>
        <w:continuationSeparator/>
      </w:r>
    </w:p>
  </w:footnote>
  <w:footnote w:id="1">
    <w:p w14:paraId="46D5F986" w14:textId="2705AB97" w:rsidR="00E42523" w:rsidRPr="00D66C22" w:rsidRDefault="00F1187C" w:rsidP="00D32A62">
      <w:pPr>
        <w:pStyle w:val="FootnoteText"/>
      </w:pPr>
      <w:r>
        <w:rPr>
          <w:rStyle w:val="FootnoteReference"/>
        </w:rPr>
        <w:footnoteRef/>
      </w:r>
      <w:r w:rsidR="00E24696">
        <w:t xml:space="preserve"> </w:t>
      </w:r>
      <w:r w:rsidR="00E24696" w:rsidRPr="00E24696">
        <w:t xml:space="preserve">See also A Eustace, ‘EU Directive on Adequate Minimum Wages: The Impact on Ireland’ </w:t>
      </w:r>
      <w:r w:rsidR="00D66C22">
        <w:t xml:space="preserve">(2023) 2 </w:t>
      </w:r>
      <w:r w:rsidR="00D66C22" w:rsidRPr="00D66C22">
        <w:rPr>
          <w:i/>
          <w:iCs/>
        </w:rPr>
        <w:t xml:space="preserve">Revue de droit du travail </w:t>
      </w:r>
      <w:r w:rsidR="00D66C22">
        <w:t>137.</w:t>
      </w:r>
    </w:p>
  </w:footnote>
  <w:footnote w:id="2">
    <w:p w14:paraId="00000082" w14:textId="05EE8518" w:rsidR="000F6456" w:rsidRDefault="00B0656D" w:rsidP="00D32A62">
      <w:pPr>
        <w:pStyle w:val="FootnoteText"/>
        <w:rPr>
          <w:color w:val="000000"/>
        </w:rPr>
      </w:pPr>
      <w:r>
        <w:rPr>
          <w:rStyle w:val="FootnoteReference"/>
        </w:rPr>
        <w:footnoteRef/>
      </w:r>
      <w:r>
        <w:rPr>
          <w:color w:val="000000"/>
        </w:rPr>
        <w:t xml:space="preserve"> Directive 2022/2041/EU of the European Parliament and of the Council on adequate minim</w:t>
      </w:r>
      <w:r w:rsidR="00AA2543">
        <w:rPr>
          <w:color w:val="000000"/>
        </w:rPr>
        <w:t xml:space="preserve">um wages in the European Union </w:t>
      </w:r>
      <w:r>
        <w:rPr>
          <w:color w:val="000000"/>
        </w:rPr>
        <w:t>[2022] OJ L275/33; D</w:t>
      </w:r>
      <w:r w:rsidR="00DD7714">
        <w:rPr>
          <w:color w:val="000000"/>
        </w:rPr>
        <w:t>K</w:t>
      </w:r>
      <w:r w:rsidR="00D32A62">
        <w:rPr>
          <w:color w:val="000000"/>
        </w:rPr>
        <w:t xml:space="preserve"> Sari, ‘The New EU Directive on Minimum W</w:t>
      </w:r>
      <w:r>
        <w:rPr>
          <w:color w:val="000000"/>
        </w:rPr>
        <w:t xml:space="preserve">age </w:t>
      </w:r>
      <w:r w:rsidR="00D32A62">
        <w:rPr>
          <w:color w:val="000000"/>
        </w:rPr>
        <w:t>Sets a D</w:t>
      </w:r>
      <w:r>
        <w:rPr>
          <w:color w:val="000000"/>
        </w:rPr>
        <w:t xml:space="preserve">ual </w:t>
      </w:r>
      <w:r w:rsidR="00D32A62">
        <w:rPr>
          <w:color w:val="000000"/>
        </w:rPr>
        <w:t>G</w:t>
      </w:r>
      <w:r>
        <w:rPr>
          <w:color w:val="000000"/>
        </w:rPr>
        <w:t xml:space="preserve">oal’ (ILO, 16 November 2022) </w:t>
      </w:r>
      <w:r w:rsidRPr="00D32A62">
        <w:t>https://www.ilo.org/global/about-the-ilo/newsroom/news/WCMS_861051/lang--en/index.htm</w:t>
      </w:r>
      <w:r>
        <w:rPr>
          <w:color w:val="000000"/>
        </w:rPr>
        <w:t>.</w:t>
      </w:r>
    </w:p>
  </w:footnote>
  <w:footnote w:id="3">
    <w:p w14:paraId="00000083" w14:textId="77777777" w:rsidR="000F6456" w:rsidRDefault="00B0656D" w:rsidP="00D32A62">
      <w:pPr>
        <w:pStyle w:val="FootnoteText"/>
        <w:rPr>
          <w:color w:val="000000"/>
        </w:rPr>
      </w:pPr>
      <w:r>
        <w:rPr>
          <w:rStyle w:val="FootnoteReference"/>
        </w:rPr>
        <w:footnoteRef/>
      </w:r>
      <w:r>
        <w:rPr>
          <w:color w:val="000000"/>
        </w:rPr>
        <w:t xml:space="preserve"> National Minimum Wage Act </w:t>
      </w:r>
      <w:r w:rsidRPr="00D731C0">
        <w:rPr>
          <w:color w:val="000000"/>
        </w:rPr>
        <w:t>2000 (NMW Act 2000</w:t>
      </w:r>
      <w:r>
        <w:rPr>
          <w:color w:val="000000"/>
        </w:rPr>
        <w:t xml:space="preserve">). </w:t>
      </w:r>
    </w:p>
  </w:footnote>
  <w:footnote w:id="4">
    <w:p w14:paraId="00000084" w14:textId="56D377EE" w:rsidR="000F6456" w:rsidRDefault="00B0656D" w:rsidP="00D32A62">
      <w:pPr>
        <w:pStyle w:val="FootnoteText"/>
        <w:rPr>
          <w:color w:val="000000"/>
        </w:rPr>
      </w:pPr>
      <w:r>
        <w:rPr>
          <w:rStyle w:val="FootnoteReference"/>
        </w:rPr>
        <w:footnoteRef/>
      </w:r>
      <w:r>
        <w:rPr>
          <w:color w:val="000000"/>
        </w:rPr>
        <w:t xml:space="preserve"> Low Pay </w:t>
      </w:r>
      <w:r w:rsidRPr="00D731C0">
        <w:rPr>
          <w:color w:val="000000"/>
        </w:rPr>
        <w:t>Commission (LPC), ‘Recommendations</w:t>
      </w:r>
      <w:r>
        <w:rPr>
          <w:color w:val="000000"/>
        </w:rPr>
        <w:t xml:space="preserve"> for the National Minimum Wage 2022’ LPC </w:t>
      </w:r>
      <w:r w:rsidR="00AA2543">
        <w:rPr>
          <w:color w:val="000000"/>
        </w:rPr>
        <w:t>N</w:t>
      </w:r>
      <w:r>
        <w:rPr>
          <w:color w:val="000000"/>
        </w:rPr>
        <w:t>o 18 (LPC, 2022) 27.</w:t>
      </w:r>
    </w:p>
  </w:footnote>
  <w:footnote w:id="5">
    <w:p w14:paraId="00000085" w14:textId="77777777" w:rsidR="000F6456" w:rsidRDefault="00B0656D" w:rsidP="00D32A62">
      <w:pPr>
        <w:pStyle w:val="FootnoteText"/>
        <w:rPr>
          <w:color w:val="000000"/>
        </w:rPr>
      </w:pPr>
      <w:r>
        <w:rPr>
          <w:rStyle w:val="FootnoteReference"/>
        </w:rPr>
        <w:footnoteRef/>
      </w:r>
      <w:r>
        <w:rPr>
          <w:color w:val="000000"/>
        </w:rPr>
        <w:t xml:space="preserve"> ibid 24. </w:t>
      </w:r>
    </w:p>
  </w:footnote>
  <w:footnote w:id="6">
    <w:p w14:paraId="00000086" w14:textId="3492D4E5" w:rsidR="000F6456" w:rsidRPr="00D32A62" w:rsidRDefault="00B0656D" w:rsidP="00D32A62">
      <w:pPr>
        <w:pStyle w:val="FootnoteText"/>
      </w:pPr>
      <w:r>
        <w:rPr>
          <w:rStyle w:val="FootnoteReference"/>
        </w:rPr>
        <w:footnoteRef/>
      </w:r>
      <w:r>
        <w:rPr>
          <w:color w:val="000000"/>
        </w:rPr>
        <w:t xml:space="preserve"> Department of Trade, </w:t>
      </w:r>
      <w:proofErr w:type="gramStart"/>
      <w:r>
        <w:rPr>
          <w:color w:val="000000"/>
        </w:rPr>
        <w:t>Enterp</w:t>
      </w:r>
      <w:r w:rsidR="00AA2543">
        <w:rPr>
          <w:color w:val="000000"/>
        </w:rPr>
        <w:t>rise</w:t>
      </w:r>
      <w:proofErr w:type="gramEnd"/>
      <w:r w:rsidR="00AA2543">
        <w:rPr>
          <w:color w:val="000000"/>
        </w:rPr>
        <w:t xml:space="preserve"> and Employment, ‘Tánaiste Announces Introduction of N</w:t>
      </w:r>
      <w:r>
        <w:rPr>
          <w:color w:val="000000"/>
        </w:rPr>
        <w:t xml:space="preserve">ational </w:t>
      </w:r>
      <w:r w:rsidR="00AA2543">
        <w:rPr>
          <w:color w:val="000000"/>
        </w:rPr>
        <w:t>Living W</w:t>
      </w:r>
      <w:r>
        <w:rPr>
          <w:color w:val="000000"/>
        </w:rPr>
        <w:t xml:space="preserve">age’ (16 November 2022) </w:t>
      </w:r>
      <w:r w:rsidR="00DD7714" w:rsidRPr="00D32A62">
        <w:t>https://www.gov.ie/en/press-release/39867-tanaiste-announces-introduction-of-national-living-wage/#:~:text=The%20first%20step%20towards%20reaching,60%25%20of%20hourly%20median%20earnings</w:t>
      </w:r>
      <w:r w:rsidRPr="00D32A62">
        <w:t>.</w:t>
      </w:r>
      <w:r w:rsidR="00E70ED9" w:rsidRPr="00D32A62">
        <w:t xml:space="preserve"> In line with this objective, it has been reported that the LPC </w:t>
      </w:r>
      <w:r w:rsidR="00D86C9F">
        <w:t>is</w:t>
      </w:r>
      <w:r w:rsidR="00E70ED9" w:rsidRPr="00D32A62">
        <w:t xml:space="preserve"> expected to recommend an increase in the national minimum wage to </w:t>
      </w:r>
      <w:r w:rsidR="00D32A62">
        <w:t>€</w:t>
      </w:r>
      <w:r w:rsidR="00E70ED9" w:rsidRPr="00D32A62">
        <w:t>12</w:t>
      </w:r>
      <w:r w:rsidR="00D32A62">
        <w:t>.</w:t>
      </w:r>
      <w:r w:rsidR="00E70ED9" w:rsidRPr="00D32A62">
        <w:t>70 from 2024: B O’D</w:t>
      </w:r>
      <w:r w:rsidR="00D32A62">
        <w:t>onovan, ‘Low Pay Commission to Recommend 12% I</w:t>
      </w:r>
      <w:r w:rsidR="00E70ED9" w:rsidRPr="00D32A62">
        <w:t xml:space="preserve">ncrease to </w:t>
      </w:r>
      <w:r w:rsidR="00D32A62">
        <w:t>M</w:t>
      </w:r>
      <w:r w:rsidR="00E70ED9" w:rsidRPr="00D32A62">
        <w:t xml:space="preserve">inimum </w:t>
      </w:r>
      <w:r w:rsidR="00D32A62">
        <w:t>W</w:t>
      </w:r>
      <w:r w:rsidR="00E70ED9" w:rsidRPr="00D32A62">
        <w:t xml:space="preserve">age’ (18 July 2023) </w:t>
      </w:r>
      <w:r w:rsidR="00DD7714" w:rsidRPr="00D32A62">
        <w:t>https://www.rte.ie/news/2023/0718/1395164-minimum-wage/</w:t>
      </w:r>
      <w:r w:rsidR="00E70ED9" w:rsidRPr="00D32A62">
        <w:t>.</w:t>
      </w:r>
    </w:p>
  </w:footnote>
  <w:footnote w:id="7">
    <w:p w14:paraId="00000087" w14:textId="7FFE11BB" w:rsidR="000F6456" w:rsidRDefault="00B0656D" w:rsidP="00D32A62">
      <w:pPr>
        <w:pStyle w:val="FootnoteText"/>
        <w:rPr>
          <w:color w:val="000000"/>
        </w:rPr>
      </w:pPr>
      <w:r>
        <w:rPr>
          <w:rStyle w:val="FootnoteReference"/>
        </w:rPr>
        <w:footnoteRef/>
      </w:r>
      <w:r>
        <w:rPr>
          <w:color w:val="000000"/>
        </w:rPr>
        <w:t xml:space="preserve"> A Eustace, </w:t>
      </w:r>
      <w:r>
        <w:rPr>
          <w:i/>
          <w:color w:val="000000"/>
        </w:rPr>
        <w:t>Collective Benefit: Harnessing the Power of Representation for Economic and Social Progress</w:t>
      </w:r>
      <w:r>
        <w:rPr>
          <w:color w:val="000000"/>
        </w:rPr>
        <w:t xml:space="preserve"> (FÓRSA, 2021) 16 (internal citations omitted).</w:t>
      </w:r>
    </w:p>
  </w:footnote>
  <w:footnote w:id="8">
    <w:p w14:paraId="00000088" w14:textId="77777777" w:rsidR="000F6456" w:rsidRDefault="00B0656D" w:rsidP="00D32A62">
      <w:pPr>
        <w:pStyle w:val="FootnoteText"/>
        <w:rPr>
          <w:color w:val="000000"/>
        </w:rPr>
      </w:pPr>
      <w:r>
        <w:rPr>
          <w:rStyle w:val="FootnoteReference"/>
        </w:rPr>
        <w:footnoteRef/>
      </w:r>
      <w:r>
        <w:rPr>
          <w:color w:val="000000"/>
        </w:rPr>
        <w:t xml:space="preserve"> ibid. This was calculated on the basis that virtually all public sector workers are covered by collective agreements, and the public sector is 15% of the Irish workforce.</w:t>
      </w:r>
    </w:p>
  </w:footnote>
  <w:footnote w:id="9">
    <w:p w14:paraId="00000089" w14:textId="50FB2A25" w:rsidR="000F6456" w:rsidRDefault="00B0656D" w:rsidP="00D32A62">
      <w:pPr>
        <w:pStyle w:val="FootnoteText"/>
        <w:rPr>
          <w:color w:val="000000"/>
        </w:rPr>
      </w:pPr>
      <w:r>
        <w:rPr>
          <w:rStyle w:val="FootnoteReference"/>
        </w:rPr>
        <w:footnoteRef/>
      </w:r>
      <w:r>
        <w:rPr>
          <w:color w:val="000000"/>
        </w:rPr>
        <w:t xml:space="preserve"> ibid 15</w:t>
      </w:r>
      <w:r w:rsidR="00920B03">
        <w:rPr>
          <w:color w:val="000000"/>
        </w:rPr>
        <w:t xml:space="preserve"> </w:t>
      </w:r>
      <w:r>
        <w:rPr>
          <w:color w:val="000000"/>
        </w:rPr>
        <w:t>ff.</w:t>
      </w:r>
    </w:p>
  </w:footnote>
  <w:footnote w:id="10">
    <w:p w14:paraId="0000008A" w14:textId="77777777" w:rsidR="000F6456" w:rsidRDefault="00B0656D" w:rsidP="00D32A62">
      <w:pPr>
        <w:pStyle w:val="FootnoteText"/>
        <w:rPr>
          <w:color w:val="000000"/>
        </w:rPr>
      </w:pPr>
      <w:r>
        <w:rPr>
          <w:rStyle w:val="FootnoteReference"/>
        </w:rPr>
        <w:footnoteRef/>
      </w:r>
      <w:r>
        <w:rPr>
          <w:color w:val="000000"/>
        </w:rPr>
        <w:t xml:space="preserve"> NMW Act 2000, s 14.</w:t>
      </w:r>
    </w:p>
  </w:footnote>
  <w:footnote w:id="11">
    <w:p w14:paraId="0000008B" w14:textId="4E8CA6FB" w:rsidR="000F6456" w:rsidRDefault="00B0656D" w:rsidP="00D32A62">
      <w:pPr>
        <w:pStyle w:val="FootnoteText"/>
        <w:rPr>
          <w:color w:val="000000"/>
        </w:rPr>
      </w:pPr>
      <w:r>
        <w:rPr>
          <w:rStyle w:val="FootnoteReference"/>
        </w:rPr>
        <w:footnoteRef/>
      </w:r>
      <w:r>
        <w:rPr>
          <w:color w:val="000000"/>
        </w:rPr>
        <w:t xml:space="preserve"> M Regan, ‘The Contract and Relationship of Employment’ in A Murphy and M Regan (eds), </w:t>
      </w:r>
      <w:r>
        <w:rPr>
          <w:i/>
          <w:color w:val="000000"/>
        </w:rPr>
        <w:t>Employment Law</w:t>
      </w:r>
      <w:r>
        <w:rPr>
          <w:color w:val="000000"/>
        </w:rPr>
        <w:t xml:space="preserve">, 2nd </w:t>
      </w:r>
      <w:proofErr w:type="spellStart"/>
      <w:r>
        <w:rPr>
          <w:color w:val="000000"/>
        </w:rPr>
        <w:t>edn</w:t>
      </w:r>
      <w:proofErr w:type="spellEnd"/>
      <w:r>
        <w:rPr>
          <w:color w:val="000000"/>
        </w:rPr>
        <w:t xml:space="preserve"> (Bloomsbury Professional, 2017) 23, 25. </w:t>
      </w:r>
    </w:p>
  </w:footnote>
  <w:footnote w:id="12">
    <w:p w14:paraId="0000008C" w14:textId="77777777" w:rsidR="000F6456" w:rsidRDefault="00B0656D" w:rsidP="00D32A62">
      <w:pPr>
        <w:pStyle w:val="FootnoteText"/>
        <w:rPr>
          <w:color w:val="000000"/>
        </w:rPr>
      </w:pPr>
      <w:r>
        <w:rPr>
          <w:rStyle w:val="FootnoteReference"/>
        </w:rPr>
        <w:footnoteRef/>
      </w:r>
      <w:r>
        <w:rPr>
          <w:color w:val="000000"/>
        </w:rPr>
        <w:t xml:space="preserve"> ibid 32.</w:t>
      </w:r>
    </w:p>
  </w:footnote>
  <w:footnote w:id="13">
    <w:p w14:paraId="0000008D" w14:textId="576264D7" w:rsidR="000F6456" w:rsidRDefault="00B0656D" w:rsidP="00D32A62">
      <w:pPr>
        <w:pStyle w:val="FootnoteText"/>
        <w:rPr>
          <w:color w:val="000000"/>
        </w:rPr>
      </w:pPr>
      <w:r>
        <w:rPr>
          <w:rStyle w:val="FootnoteReference"/>
        </w:rPr>
        <w:footnoteRef/>
      </w:r>
      <w:r>
        <w:rPr>
          <w:color w:val="000000"/>
        </w:rPr>
        <w:t xml:space="preserve"> See further F </w:t>
      </w:r>
      <w:proofErr w:type="spellStart"/>
      <w:r>
        <w:rPr>
          <w:color w:val="000000"/>
        </w:rPr>
        <w:t>Meenan</w:t>
      </w:r>
      <w:proofErr w:type="spellEnd"/>
      <w:r>
        <w:rPr>
          <w:color w:val="000000"/>
        </w:rPr>
        <w:t xml:space="preserve">, </w:t>
      </w:r>
      <w:r>
        <w:rPr>
          <w:i/>
          <w:color w:val="000000"/>
        </w:rPr>
        <w:t>Employment Law</w:t>
      </w:r>
      <w:r>
        <w:rPr>
          <w:color w:val="000000"/>
        </w:rPr>
        <w:t>,</w:t>
      </w:r>
      <w:r>
        <w:rPr>
          <w:i/>
          <w:color w:val="000000"/>
        </w:rPr>
        <w:t xml:space="preserve"> </w:t>
      </w:r>
      <w:r>
        <w:rPr>
          <w:color w:val="000000"/>
        </w:rPr>
        <w:t xml:space="preserve">2nd </w:t>
      </w:r>
      <w:proofErr w:type="spellStart"/>
      <w:r>
        <w:rPr>
          <w:color w:val="000000"/>
        </w:rPr>
        <w:t>edn</w:t>
      </w:r>
      <w:proofErr w:type="spellEnd"/>
      <w:r>
        <w:rPr>
          <w:color w:val="000000"/>
        </w:rPr>
        <w:t xml:space="preserve"> (Round Hall, 2023) </w:t>
      </w:r>
      <w:proofErr w:type="spellStart"/>
      <w:r>
        <w:rPr>
          <w:color w:val="000000"/>
        </w:rPr>
        <w:t>ch</w:t>
      </w:r>
      <w:proofErr w:type="spellEnd"/>
      <w:r>
        <w:rPr>
          <w:color w:val="000000"/>
        </w:rPr>
        <w:t xml:space="preserve"> 2. </w:t>
      </w:r>
    </w:p>
  </w:footnote>
  <w:footnote w:id="14">
    <w:p w14:paraId="0000008E" w14:textId="77777777" w:rsidR="000F6456" w:rsidRDefault="00B0656D" w:rsidP="00D32A62">
      <w:pPr>
        <w:pStyle w:val="FootnoteText"/>
        <w:rPr>
          <w:color w:val="000000"/>
        </w:rPr>
      </w:pPr>
      <w:r>
        <w:rPr>
          <w:rStyle w:val="FootnoteReference"/>
        </w:rPr>
        <w:footnoteRef/>
      </w:r>
      <w:r>
        <w:rPr>
          <w:color w:val="000000"/>
        </w:rPr>
        <w:t xml:space="preserve"> ibid para 2-29.</w:t>
      </w:r>
    </w:p>
  </w:footnote>
  <w:footnote w:id="15">
    <w:p w14:paraId="0000008F" w14:textId="39C2A71C" w:rsidR="000F6456" w:rsidRDefault="00B0656D" w:rsidP="00D32A62">
      <w:pPr>
        <w:pStyle w:val="FootnoteText"/>
        <w:rPr>
          <w:color w:val="000000"/>
        </w:rPr>
      </w:pPr>
      <w:r>
        <w:rPr>
          <w:rStyle w:val="FootnoteReference"/>
        </w:rPr>
        <w:footnoteRef/>
      </w:r>
      <w:r>
        <w:rPr>
          <w:color w:val="000000"/>
        </w:rPr>
        <w:t xml:space="preserve"> </w:t>
      </w:r>
      <w:r>
        <w:rPr>
          <w:i/>
          <w:color w:val="000000"/>
        </w:rPr>
        <w:t>Revenue Commissioners</w:t>
      </w:r>
      <w:r w:rsidR="00185E24">
        <w:rPr>
          <w:i/>
          <w:color w:val="000000"/>
        </w:rPr>
        <w:t xml:space="preserve"> v </w:t>
      </w:r>
      <w:proofErr w:type="spellStart"/>
      <w:r w:rsidR="00185E24">
        <w:rPr>
          <w:i/>
          <w:color w:val="000000"/>
        </w:rPr>
        <w:t>Karshan</w:t>
      </w:r>
      <w:proofErr w:type="spellEnd"/>
      <w:r w:rsidR="00185E24">
        <w:rPr>
          <w:i/>
          <w:color w:val="000000"/>
        </w:rPr>
        <w:t xml:space="preserve"> (Midlands) Ltd t/a Domino’s Pizza</w:t>
      </w:r>
      <w:r w:rsidR="00185E24">
        <w:rPr>
          <w:iCs/>
          <w:color w:val="000000"/>
        </w:rPr>
        <w:t xml:space="preserve"> [</w:t>
      </w:r>
      <w:r w:rsidR="00185E24" w:rsidRPr="00185E24">
        <w:rPr>
          <w:iCs/>
          <w:color w:val="000000"/>
        </w:rPr>
        <w:t>2023] IESC 24</w:t>
      </w:r>
      <w:r w:rsidR="00185E24">
        <w:rPr>
          <w:iCs/>
          <w:color w:val="000000"/>
        </w:rPr>
        <w:t>.</w:t>
      </w:r>
    </w:p>
  </w:footnote>
  <w:footnote w:id="16">
    <w:p w14:paraId="00000090" w14:textId="77777777" w:rsidR="000F6456" w:rsidRDefault="00B0656D" w:rsidP="00D32A62">
      <w:pPr>
        <w:pStyle w:val="FootnoteText"/>
        <w:rPr>
          <w:color w:val="000000"/>
        </w:rPr>
      </w:pPr>
      <w:r>
        <w:rPr>
          <w:rStyle w:val="FootnoteReference"/>
        </w:rPr>
        <w:footnoteRef/>
      </w:r>
      <w:r>
        <w:rPr>
          <w:color w:val="000000"/>
        </w:rPr>
        <w:t xml:space="preserve"> Employment Equality Acts 1998 to 2021, s 2. </w:t>
      </w:r>
    </w:p>
  </w:footnote>
  <w:footnote w:id="17">
    <w:p w14:paraId="00000091" w14:textId="7B91BD87" w:rsidR="000F6456" w:rsidRDefault="00B0656D" w:rsidP="00D32A62">
      <w:pPr>
        <w:pStyle w:val="FootnoteText"/>
        <w:rPr>
          <w:color w:val="000000"/>
        </w:rPr>
      </w:pPr>
      <w:r>
        <w:rPr>
          <w:rStyle w:val="FootnoteReference"/>
        </w:rPr>
        <w:footnoteRef/>
      </w:r>
      <w:r>
        <w:rPr>
          <w:color w:val="000000"/>
        </w:rPr>
        <w:t xml:space="preserve"> </w:t>
      </w:r>
      <w:proofErr w:type="spellStart"/>
      <w:r>
        <w:rPr>
          <w:color w:val="000000"/>
        </w:rPr>
        <w:t>Meenan</w:t>
      </w:r>
      <w:proofErr w:type="spellEnd"/>
      <w:r>
        <w:rPr>
          <w:color w:val="000000"/>
        </w:rPr>
        <w:t xml:space="preserve"> (n </w:t>
      </w:r>
      <w:r w:rsidR="00733F2B">
        <w:rPr>
          <w:color w:val="000000"/>
        </w:rPr>
        <w:t>13</w:t>
      </w:r>
      <w:r>
        <w:rPr>
          <w:color w:val="000000"/>
        </w:rPr>
        <w:t>) para 2-102.</w:t>
      </w:r>
    </w:p>
  </w:footnote>
  <w:footnote w:id="18">
    <w:p w14:paraId="00000092" w14:textId="77777777" w:rsidR="000F6456" w:rsidRDefault="00B0656D" w:rsidP="00D32A62">
      <w:pPr>
        <w:pStyle w:val="FootnoteText"/>
        <w:rPr>
          <w:color w:val="000000"/>
        </w:rPr>
      </w:pPr>
      <w:r>
        <w:rPr>
          <w:rStyle w:val="FootnoteReference"/>
        </w:rPr>
        <w:footnoteRef/>
      </w:r>
      <w:r>
        <w:rPr>
          <w:color w:val="000000"/>
        </w:rPr>
        <w:t xml:space="preserve"> Case C-692/19 </w:t>
      </w:r>
      <w:r>
        <w:rPr>
          <w:i/>
          <w:color w:val="000000"/>
        </w:rPr>
        <w:t xml:space="preserve">B v Yodel Delivery Network </w:t>
      </w:r>
      <w:r>
        <w:rPr>
          <w:color w:val="000000"/>
        </w:rPr>
        <w:t>ECLI:EU:</w:t>
      </w:r>
      <w:proofErr w:type="gramStart"/>
      <w:r>
        <w:rPr>
          <w:color w:val="000000"/>
        </w:rPr>
        <w:t>C:2020:288</w:t>
      </w:r>
      <w:proofErr w:type="gramEnd"/>
      <w:r>
        <w:rPr>
          <w:color w:val="000000"/>
        </w:rPr>
        <w:t>.</w:t>
      </w:r>
    </w:p>
  </w:footnote>
  <w:footnote w:id="19">
    <w:p w14:paraId="00000093" w14:textId="77777777" w:rsidR="000F6456" w:rsidRDefault="00B0656D" w:rsidP="00D32A62">
      <w:pPr>
        <w:pStyle w:val="FootnoteText"/>
        <w:rPr>
          <w:color w:val="000000"/>
        </w:rPr>
      </w:pPr>
      <w:r>
        <w:rPr>
          <w:rStyle w:val="FootnoteReference"/>
        </w:rPr>
        <w:footnoteRef/>
      </w:r>
      <w:r>
        <w:rPr>
          <w:color w:val="000000"/>
        </w:rPr>
        <w:t xml:space="preserve"> NMW Act 2000, s 5(1)(a). </w:t>
      </w:r>
    </w:p>
  </w:footnote>
  <w:footnote w:id="20">
    <w:p w14:paraId="00000094" w14:textId="77777777" w:rsidR="000F6456" w:rsidRDefault="00B0656D" w:rsidP="00D32A62">
      <w:pPr>
        <w:pStyle w:val="FootnoteText"/>
        <w:rPr>
          <w:color w:val="000000"/>
        </w:rPr>
      </w:pPr>
      <w:r>
        <w:rPr>
          <w:rStyle w:val="FootnoteReference"/>
        </w:rPr>
        <w:footnoteRef/>
      </w:r>
      <w:r>
        <w:rPr>
          <w:color w:val="000000"/>
        </w:rPr>
        <w:t xml:space="preserve"> ibid ss 5(1)(b) and 5(2).</w:t>
      </w:r>
    </w:p>
  </w:footnote>
  <w:footnote w:id="21">
    <w:p w14:paraId="00000095" w14:textId="038571CC" w:rsidR="000F6456" w:rsidRDefault="00B0656D" w:rsidP="00D32A62">
      <w:pPr>
        <w:pStyle w:val="FootnoteText"/>
        <w:rPr>
          <w:color w:val="000000"/>
        </w:rPr>
      </w:pPr>
      <w:r>
        <w:rPr>
          <w:rStyle w:val="FootnoteReference"/>
        </w:rPr>
        <w:footnoteRef/>
      </w:r>
      <w:r w:rsidR="001B1374">
        <w:rPr>
          <w:color w:val="000000"/>
        </w:rPr>
        <w:t xml:space="preserve"> Art 3</w:t>
      </w:r>
      <w:r>
        <w:rPr>
          <w:color w:val="000000"/>
        </w:rPr>
        <w:t>.</w:t>
      </w:r>
    </w:p>
  </w:footnote>
  <w:footnote w:id="22">
    <w:p w14:paraId="00000096" w14:textId="316B482C" w:rsidR="000F6456" w:rsidRDefault="00B0656D" w:rsidP="00D32A62">
      <w:pPr>
        <w:pStyle w:val="FootnoteText"/>
        <w:rPr>
          <w:color w:val="000000"/>
        </w:rPr>
      </w:pPr>
      <w:r>
        <w:rPr>
          <w:rStyle w:val="FootnoteReference"/>
        </w:rPr>
        <w:footnoteRef/>
      </w:r>
      <w:r>
        <w:rPr>
          <w:color w:val="000000"/>
        </w:rPr>
        <w:t xml:space="preserve"> Industrial Relations (Amendment) Act 2001, ss 1A</w:t>
      </w:r>
      <w:r w:rsidR="001B1374">
        <w:rPr>
          <w:color w:val="000000"/>
        </w:rPr>
        <w:t>–</w:t>
      </w:r>
      <w:r>
        <w:rPr>
          <w:color w:val="000000"/>
        </w:rPr>
        <w:t>1B, as inserted by the Industrial Relations (Amendment) Act 2015, s 27.</w:t>
      </w:r>
    </w:p>
  </w:footnote>
  <w:footnote w:id="23">
    <w:p w14:paraId="00000097" w14:textId="77777777" w:rsidR="000F6456" w:rsidRDefault="00B0656D" w:rsidP="00D32A62">
      <w:pPr>
        <w:pStyle w:val="FootnoteText"/>
        <w:rPr>
          <w:color w:val="000000"/>
        </w:rPr>
      </w:pPr>
      <w:r>
        <w:rPr>
          <w:rStyle w:val="FootnoteReference"/>
        </w:rPr>
        <w:footnoteRef/>
      </w:r>
      <w:r>
        <w:rPr>
          <w:color w:val="000000"/>
        </w:rPr>
        <w:t xml:space="preserve"> As amended, most recently by the Industrial Relations Act 1990.</w:t>
      </w:r>
    </w:p>
  </w:footnote>
  <w:footnote w:id="24">
    <w:p w14:paraId="00000098" w14:textId="77777777" w:rsidR="000F6456" w:rsidRDefault="00B0656D" w:rsidP="00D32A62">
      <w:pPr>
        <w:pStyle w:val="FootnoteText"/>
        <w:rPr>
          <w:color w:val="000000"/>
        </w:rPr>
      </w:pPr>
      <w:r>
        <w:rPr>
          <w:rStyle w:val="FootnoteReference"/>
        </w:rPr>
        <w:footnoteRef/>
      </w:r>
      <w:r>
        <w:rPr>
          <w:color w:val="000000"/>
        </w:rPr>
        <w:t xml:space="preserve"> N Cullinane and A Dobbins, ‘Considering the Impact of the “Right to Bargain” Legislation in Ireland: A Review’ (2014) 43(1) </w:t>
      </w:r>
      <w:r>
        <w:rPr>
          <w:i/>
          <w:color w:val="000000"/>
        </w:rPr>
        <w:t>Industrial Law Journal</w:t>
      </w:r>
      <w:r>
        <w:rPr>
          <w:color w:val="000000"/>
        </w:rPr>
        <w:t xml:space="preserve"> 52, 78.</w:t>
      </w:r>
    </w:p>
  </w:footnote>
  <w:footnote w:id="25">
    <w:p w14:paraId="00000099" w14:textId="77777777" w:rsidR="000F6456" w:rsidRDefault="00B0656D" w:rsidP="00D32A62">
      <w:pPr>
        <w:pStyle w:val="FootnoteText"/>
        <w:rPr>
          <w:color w:val="000000"/>
        </w:rPr>
      </w:pPr>
      <w:r>
        <w:rPr>
          <w:rStyle w:val="FootnoteReference"/>
        </w:rPr>
        <w:footnoteRef/>
      </w:r>
      <w:r>
        <w:rPr>
          <w:color w:val="000000"/>
        </w:rPr>
        <w:t xml:space="preserve"> </w:t>
      </w:r>
      <w:r>
        <w:rPr>
          <w:i/>
          <w:color w:val="000000"/>
        </w:rPr>
        <w:t xml:space="preserve">Ryanair v </w:t>
      </w:r>
      <w:proofErr w:type="spellStart"/>
      <w:r>
        <w:rPr>
          <w:i/>
          <w:color w:val="000000"/>
        </w:rPr>
        <w:t>Labour</w:t>
      </w:r>
      <w:proofErr w:type="spellEnd"/>
      <w:r>
        <w:rPr>
          <w:i/>
          <w:color w:val="000000"/>
        </w:rPr>
        <w:t xml:space="preserve"> Court</w:t>
      </w:r>
      <w:r>
        <w:rPr>
          <w:color w:val="000000"/>
        </w:rPr>
        <w:t xml:space="preserve"> [2007] IESC 6.</w:t>
      </w:r>
    </w:p>
  </w:footnote>
  <w:footnote w:id="26">
    <w:p w14:paraId="0000009A" w14:textId="77777777" w:rsidR="000F6456" w:rsidRDefault="00B0656D" w:rsidP="00D32A62">
      <w:pPr>
        <w:pStyle w:val="FootnoteText"/>
        <w:rPr>
          <w:color w:val="000000"/>
        </w:rPr>
      </w:pPr>
      <w:r>
        <w:rPr>
          <w:rStyle w:val="FootnoteReference"/>
        </w:rPr>
        <w:footnoteRef/>
      </w:r>
      <w:r>
        <w:rPr>
          <w:color w:val="000000"/>
        </w:rPr>
        <w:t xml:space="preserve"> The Industrial Relations (Amendment) Act 2015, s 6 defines ‘employment agreement’ as being made between employers and ‘a trade union or trade unions’, but this definition only applies to collective agreements that are put forward to the </w:t>
      </w:r>
      <w:proofErr w:type="spellStart"/>
      <w:r>
        <w:rPr>
          <w:color w:val="000000"/>
        </w:rPr>
        <w:t>Labour</w:t>
      </w:r>
      <w:proofErr w:type="spellEnd"/>
      <w:r>
        <w:rPr>
          <w:color w:val="000000"/>
        </w:rPr>
        <w:t xml:space="preserve"> Court for registration (which gives them legal effect). Thus negotiations with excepted bodies are still collective bargaining, and produce collective agreements.</w:t>
      </w:r>
    </w:p>
  </w:footnote>
  <w:footnote w:id="27">
    <w:p w14:paraId="0000009B" w14:textId="7BBC8823" w:rsidR="000F6456" w:rsidRDefault="00B0656D" w:rsidP="00D32A62">
      <w:pPr>
        <w:pStyle w:val="FootnoteText"/>
        <w:rPr>
          <w:color w:val="000000"/>
        </w:rPr>
      </w:pPr>
      <w:r>
        <w:rPr>
          <w:rStyle w:val="FootnoteReference"/>
        </w:rPr>
        <w:footnoteRef/>
      </w:r>
      <w:r>
        <w:rPr>
          <w:color w:val="000000"/>
        </w:rPr>
        <w:t xml:space="preserve"> Art 3(2) of the </w:t>
      </w:r>
      <w:r w:rsidR="001648AE">
        <w:rPr>
          <w:color w:val="000000"/>
        </w:rPr>
        <w:t xml:space="preserve">AMW </w:t>
      </w:r>
      <w:r>
        <w:rPr>
          <w:color w:val="000000"/>
        </w:rPr>
        <w:t>Directive.</w:t>
      </w:r>
    </w:p>
  </w:footnote>
  <w:footnote w:id="28">
    <w:p w14:paraId="0000009C" w14:textId="77777777" w:rsidR="000F6456" w:rsidRDefault="00B0656D" w:rsidP="00D32A62">
      <w:pPr>
        <w:pStyle w:val="FootnoteText"/>
        <w:rPr>
          <w:color w:val="000000"/>
        </w:rPr>
      </w:pPr>
      <w:r>
        <w:rPr>
          <w:rStyle w:val="FootnoteReference"/>
        </w:rPr>
        <w:footnoteRef/>
      </w:r>
      <w:r>
        <w:rPr>
          <w:color w:val="000000"/>
        </w:rPr>
        <w:t xml:space="preserve"> Industrial Relations Act 1946 (as amended), s 42B.</w:t>
      </w:r>
    </w:p>
  </w:footnote>
  <w:footnote w:id="29">
    <w:p w14:paraId="0000009D" w14:textId="3B9DE49C" w:rsidR="000F6456" w:rsidRDefault="00B0656D" w:rsidP="00D32A62">
      <w:pPr>
        <w:pStyle w:val="FootnoteText"/>
        <w:rPr>
          <w:color w:val="000000"/>
        </w:rPr>
      </w:pPr>
      <w:r>
        <w:rPr>
          <w:rStyle w:val="FootnoteReference"/>
        </w:rPr>
        <w:footnoteRef/>
      </w:r>
      <w:r w:rsidR="001C53F3">
        <w:rPr>
          <w:color w:val="000000"/>
        </w:rPr>
        <w:t xml:space="preserve"> See further</w:t>
      </w:r>
      <w:r>
        <w:rPr>
          <w:color w:val="000000"/>
        </w:rPr>
        <w:t xml:space="preserve"> J Wallace</w:t>
      </w:r>
      <w:r w:rsidR="001C53F3">
        <w:rPr>
          <w:color w:val="000000"/>
        </w:rPr>
        <w:t xml:space="preserve"> et al</w:t>
      </w:r>
      <w:r>
        <w:rPr>
          <w:color w:val="000000"/>
        </w:rPr>
        <w:t xml:space="preserve">, </w:t>
      </w:r>
      <w:r>
        <w:rPr>
          <w:i/>
          <w:color w:val="000000"/>
        </w:rPr>
        <w:t>Industrial Relations in Ireland</w:t>
      </w:r>
      <w:r>
        <w:rPr>
          <w:color w:val="000000"/>
        </w:rPr>
        <w:t xml:space="preserve">, 5th </w:t>
      </w:r>
      <w:proofErr w:type="spellStart"/>
      <w:r>
        <w:rPr>
          <w:color w:val="000000"/>
        </w:rPr>
        <w:t>edn</w:t>
      </w:r>
      <w:proofErr w:type="spellEnd"/>
      <w:r>
        <w:rPr>
          <w:color w:val="000000"/>
        </w:rPr>
        <w:t xml:space="preserve"> (Institute of Public Administration, 2020); A Elebert, ‘Striking a Balance: Freedom of Association in Ireland and Germany’ (2020) 38 </w:t>
      </w:r>
      <w:r>
        <w:rPr>
          <w:i/>
          <w:color w:val="000000"/>
        </w:rPr>
        <w:t>Irish Law Times</w:t>
      </w:r>
      <w:r>
        <w:rPr>
          <w:color w:val="000000"/>
        </w:rPr>
        <w:t xml:space="preserve"> 80; D </w:t>
      </w:r>
      <w:proofErr w:type="spellStart"/>
      <w:r>
        <w:rPr>
          <w:color w:val="000000"/>
        </w:rPr>
        <w:t>D’Art</w:t>
      </w:r>
      <w:proofErr w:type="spellEnd"/>
      <w:r>
        <w:rPr>
          <w:color w:val="000000"/>
        </w:rPr>
        <w:t xml:space="preserve">, ‘Freedom of Association and Statutory Union Recognition: A Constitutional Impossibility?’ (2020) 63 </w:t>
      </w:r>
      <w:r>
        <w:rPr>
          <w:i/>
          <w:color w:val="000000"/>
        </w:rPr>
        <w:t>Irish Jurist</w:t>
      </w:r>
      <w:r>
        <w:rPr>
          <w:color w:val="000000"/>
        </w:rPr>
        <w:t xml:space="preserve"> 82; M Doherty, ‘New Morning? Irish </w:t>
      </w:r>
      <w:proofErr w:type="spellStart"/>
      <w:r>
        <w:rPr>
          <w:color w:val="000000"/>
        </w:rPr>
        <w:t>Labour</w:t>
      </w:r>
      <w:proofErr w:type="spellEnd"/>
      <w:r>
        <w:rPr>
          <w:color w:val="000000"/>
        </w:rPr>
        <w:t xml:space="preserve"> Law Post-Austerity’ (2016) 39 </w:t>
      </w:r>
      <w:r>
        <w:rPr>
          <w:i/>
          <w:color w:val="000000"/>
        </w:rPr>
        <w:t>Dublin University Law Journal</w:t>
      </w:r>
      <w:r>
        <w:rPr>
          <w:color w:val="000000"/>
        </w:rPr>
        <w:t xml:space="preserve"> 51; K O’Connell and R Neville, ‘The Industrial Relations (Amendment) Act 2012 and the Future of JLCs and REAs Post-</w:t>
      </w:r>
      <w:r>
        <w:rPr>
          <w:i/>
          <w:color w:val="000000"/>
        </w:rPr>
        <w:t>McGowan</w:t>
      </w:r>
      <w:r>
        <w:rPr>
          <w:color w:val="000000"/>
        </w:rPr>
        <w:t xml:space="preserve">’ (2015) 12 </w:t>
      </w:r>
      <w:r>
        <w:rPr>
          <w:i/>
          <w:color w:val="000000"/>
        </w:rPr>
        <w:t>Irish Employment Law Journal</w:t>
      </w:r>
      <w:r>
        <w:rPr>
          <w:color w:val="000000"/>
        </w:rPr>
        <w:t xml:space="preserve"> 50; M Doherty, ‘Battered and Fried? Regulation of Working Conditions and Wage-Setting after the </w:t>
      </w:r>
      <w:r>
        <w:rPr>
          <w:i/>
          <w:color w:val="000000"/>
        </w:rPr>
        <w:t>John Grace</w:t>
      </w:r>
      <w:r>
        <w:rPr>
          <w:color w:val="000000"/>
        </w:rPr>
        <w:t xml:space="preserve"> Decision’ (2012) 35 </w:t>
      </w:r>
      <w:r>
        <w:rPr>
          <w:i/>
          <w:color w:val="000000"/>
        </w:rPr>
        <w:t>Dublin University Law Journal</w:t>
      </w:r>
      <w:r>
        <w:rPr>
          <w:color w:val="000000"/>
        </w:rPr>
        <w:t xml:space="preserve"> 97.</w:t>
      </w:r>
    </w:p>
  </w:footnote>
  <w:footnote w:id="30">
    <w:p w14:paraId="0000009E" w14:textId="335811CF" w:rsidR="000F6456" w:rsidRPr="000618EA" w:rsidRDefault="00B0656D" w:rsidP="00D32A62">
      <w:pPr>
        <w:pStyle w:val="FootnoteText"/>
        <w:rPr>
          <w:color w:val="000000"/>
        </w:rPr>
      </w:pPr>
      <w:r>
        <w:rPr>
          <w:rStyle w:val="FootnoteReference"/>
        </w:rPr>
        <w:footnoteRef/>
      </w:r>
      <w:r w:rsidRPr="000618EA">
        <w:rPr>
          <w:color w:val="000000"/>
        </w:rPr>
        <w:t xml:space="preserve"> </w:t>
      </w:r>
      <w:proofErr w:type="spellStart"/>
      <w:r w:rsidRPr="000618EA">
        <w:rPr>
          <w:i/>
          <w:color w:val="000000"/>
        </w:rPr>
        <w:t>Bunreacht</w:t>
      </w:r>
      <w:proofErr w:type="spellEnd"/>
      <w:r w:rsidRPr="000618EA">
        <w:rPr>
          <w:i/>
          <w:color w:val="000000"/>
        </w:rPr>
        <w:t xml:space="preserve"> </w:t>
      </w:r>
      <w:proofErr w:type="spellStart"/>
      <w:r w:rsidRPr="000618EA">
        <w:rPr>
          <w:i/>
          <w:color w:val="000000"/>
        </w:rPr>
        <w:t>na</w:t>
      </w:r>
      <w:proofErr w:type="spellEnd"/>
      <w:r w:rsidRPr="000618EA">
        <w:rPr>
          <w:i/>
          <w:color w:val="000000"/>
        </w:rPr>
        <w:t xml:space="preserve"> </w:t>
      </w:r>
      <w:proofErr w:type="spellStart"/>
      <w:r w:rsidRPr="000618EA">
        <w:rPr>
          <w:i/>
          <w:color w:val="000000"/>
        </w:rPr>
        <w:t>hÉireann</w:t>
      </w:r>
      <w:proofErr w:type="spellEnd"/>
      <w:r w:rsidRPr="000618EA">
        <w:rPr>
          <w:color w:val="000000"/>
        </w:rPr>
        <w:t>, Art 40.6.1.iii.</w:t>
      </w:r>
    </w:p>
  </w:footnote>
  <w:footnote w:id="31">
    <w:p w14:paraId="0000009F" w14:textId="7693E0E1" w:rsidR="000F6456" w:rsidRDefault="00B0656D" w:rsidP="00D32A62">
      <w:pPr>
        <w:pStyle w:val="FootnoteText"/>
        <w:rPr>
          <w:color w:val="000000"/>
        </w:rPr>
      </w:pPr>
      <w:r>
        <w:rPr>
          <w:rStyle w:val="FootnoteReference"/>
        </w:rPr>
        <w:footnoteRef/>
      </w:r>
      <w:r>
        <w:rPr>
          <w:color w:val="000000"/>
        </w:rPr>
        <w:t xml:space="preserve"> </w:t>
      </w:r>
      <w:r>
        <w:rPr>
          <w:i/>
          <w:color w:val="000000"/>
        </w:rPr>
        <w:t xml:space="preserve">Ryanair v </w:t>
      </w:r>
      <w:proofErr w:type="spellStart"/>
      <w:r>
        <w:rPr>
          <w:i/>
          <w:color w:val="000000"/>
        </w:rPr>
        <w:t>Labour</w:t>
      </w:r>
      <w:proofErr w:type="spellEnd"/>
      <w:r>
        <w:rPr>
          <w:i/>
          <w:color w:val="000000"/>
        </w:rPr>
        <w:t xml:space="preserve"> Court</w:t>
      </w:r>
      <w:r>
        <w:rPr>
          <w:color w:val="000000"/>
        </w:rPr>
        <w:t xml:space="preserve"> [2007] IESC 6. The suggestion that employers have a constitutional right not to be forced to bargain with a trade union is made </w:t>
      </w:r>
      <w:r w:rsidRPr="001C53F3">
        <w:t>obiter</w:t>
      </w:r>
      <w:r>
        <w:rPr>
          <w:color w:val="000000"/>
        </w:rPr>
        <w:t xml:space="preserve"> by Geoghegan J in </w:t>
      </w:r>
      <w:r>
        <w:rPr>
          <w:i/>
          <w:color w:val="000000"/>
        </w:rPr>
        <w:t>Ryanair</w:t>
      </w:r>
      <w:r>
        <w:rPr>
          <w:color w:val="000000"/>
        </w:rPr>
        <w:t xml:space="preserve">; it has not yet been considered in any other case, and has been strongly </w:t>
      </w:r>
      <w:proofErr w:type="spellStart"/>
      <w:r>
        <w:rPr>
          <w:color w:val="000000"/>
        </w:rPr>
        <w:t>criticised</w:t>
      </w:r>
      <w:proofErr w:type="spellEnd"/>
      <w:r>
        <w:rPr>
          <w:color w:val="000000"/>
        </w:rPr>
        <w:t>: see G Hogan</w:t>
      </w:r>
      <w:r w:rsidR="001C53F3">
        <w:rPr>
          <w:color w:val="000000"/>
        </w:rPr>
        <w:t xml:space="preserve"> et al</w:t>
      </w:r>
      <w:r>
        <w:rPr>
          <w:color w:val="000000"/>
        </w:rPr>
        <w:t xml:space="preserve">, </w:t>
      </w:r>
      <w:r>
        <w:rPr>
          <w:i/>
          <w:color w:val="000000"/>
        </w:rPr>
        <w:t>Kelly: The Irish Constitution</w:t>
      </w:r>
      <w:r w:rsidR="001C53F3">
        <w:rPr>
          <w:color w:val="000000"/>
        </w:rPr>
        <w:t>,</w:t>
      </w:r>
      <w:r>
        <w:rPr>
          <w:color w:val="000000"/>
        </w:rPr>
        <w:t xml:space="preserve"> 5th </w:t>
      </w:r>
      <w:proofErr w:type="spellStart"/>
      <w:r>
        <w:rPr>
          <w:color w:val="000000"/>
        </w:rPr>
        <w:t>edn</w:t>
      </w:r>
      <w:proofErr w:type="spellEnd"/>
      <w:r>
        <w:rPr>
          <w:color w:val="000000"/>
        </w:rPr>
        <w:t xml:space="preserve"> (</w:t>
      </w:r>
      <w:r w:rsidR="0007713C">
        <w:rPr>
          <w:color w:val="000000"/>
        </w:rPr>
        <w:t xml:space="preserve">Bloomsbury, 2018) para </w:t>
      </w:r>
      <w:r>
        <w:rPr>
          <w:color w:val="000000"/>
        </w:rPr>
        <w:t>7.6.195.</w:t>
      </w:r>
    </w:p>
  </w:footnote>
  <w:footnote w:id="32">
    <w:p w14:paraId="000000A0" w14:textId="77777777" w:rsidR="000F6456" w:rsidRDefault="00B0656D" w:rsidP="00D32A62">
      <w:pPr>
        <w:pStyle w:val="FootnoteText"/>
        <w:rPr>
          <w:color w:val="000000"/>
        </w:rPr>
      </w:pPr>
      <w:r>
        <w:rPr>
          <w:rStyle w:val="FootnoteReference"/>
        </w:rPr>
        <w:footnoteRef/>
      </w:r>
      <w:r>
        <w:rPr>
          <w:color w:val="000000"/>
        </w:rPr>
        <w:t xml:space="preserve"> Industrial Relations Act 1946, Part III.</w:t>
      </w:r>
    </w:p>
  </w:footnote>
  <w:footnote w:id="33">
    <w:p w14:paraId="000000A1" w14:textId="50D6E9FC" w:rsidR="000F6456" w:rsidRDefault="00B0656D" w:rsidP="00D32A62">
      <w:pPr>
        <w:pStyle w:val="FootnoteText"/>
        <w:rPr>
          <w:color w:val="000000"/>
        </w:rPr>
      </w:pPr>
      <w:r>
        <w:rPr>
          <w:rStyle w:val="FootnoteReference"/>
        </w:rPr>
        <w:footnoteRef/>
      </w:r>
      <w:r>
        <w:rPr>
          <w:color w:val="000000"/>
        </w:rPr>
        <w:t xml:space="preserve"> </w:t>
      </w:r>
      <w:r w:rsidR="00660AF9">
        <w:rPr>
          <w:color w:val="000000"/>
        </w:rPr>
        <w:t>ibid</w:t>
      </w:r>
      <w:r>
        <w:rPr>
          <w:color w:val="000000"/>
        </w:rPr>
        <w:t xml:space="preserve"> Part IV. The ten JLCs were responsible for setting wages and conditions in specific industries which were historically low-paid</w:t>
      </w:r>
      <w:r w:rsidR="00660AF9">
        <w:rPr>
          <w:color w:val="000000"/>
        </w:rPr>
        <w:t xml:space="preserve"> and</w:t>
      </w:r>
      <w:r>
        <w:rPr>
          <w:color w:val="000000"/>
        </w:rPr>
        <w:t xml:space="preserve"> </w:t>
      </w:r>
      <w:proofErr w:type="spellStart"/>
      <w:r>
        <w:rPr>
          <w:color w:val="000000"/>
        </w:rPr>
        <w:t>labour-intensive</w:t>
      </w:r>
      <w:proofErr w:type="spellEnd"/>
      <w:r>
        <w:rPr>
          <w:color w:val="000000"/>
        </w:rPr>
        <w:t>, with low trade union density.</w:t>
      </w:r>
    </w:p>
  </w:footnote>
  <w:footnote w:id="34">
    <w:p w14:paraId="000000A2" w14:textId="5FDB4382" w:rsidR="000F6456" w:rsidRDefault="00B0656D" w:rsidP="00D32A62">
      <w:pPr>
        <w:pStyle w:val="FootnoteText"/>
        <w:rPr>
          <w:color w:val="000000"/>
        </w:rPr>
      </w:pPr>
      <w:r>
        <w:rPr>
          <w:rStyle w:val="FootnoteReference"/>
        </w:rPr>
        <w:footnoteRef/>
      </w:r>
      <w:r>
        <w:rPr>
          <w:color w:val="000000"/>
        </w:rPr>
        <w:t xml:space="preserve"> For more on what follows, see A Eustace, ‘A Shock to t</w:t>
      </w:r>
      <w:r w:rsidR="00733F2B">
        <w:rPr>
          <w:color w:val="000000"/>
        </w:rPr>
        <w:t>he System: Sectoral Bargaining u</w:t>
      </w:r>
      <w:r>
        <w:rPr>
          <w:color w:val="000000"/>
        </w:rPr>
        <w:t xml:space="preserve">nder Threat in Ireland’ (2021) 12 </w:t>
      </w:r>
      <w:r>
        <w:rPr>
          <w:i/>
          <w:color w:val="000000"/>
        </w:rPr>
        <w:t xml:space="preserve">European </w:t>
      </w:r>
      <w:proofErr w:type="spellStart"/>
      <w:r>
        <w:rPr>
          <w:i/>
          <w:color w:val="000000"/>
        </w:rPr>
        <w:t>Labour</w:t>
      </w:r>
      <w:proofErr w:type="spellEnd"/>
      <w:r>
        <w:rPr>
          <w:i/>
          <w:color w:val="000000"/>
        </w:rPr>
        <w:t xml:space="preserve"> Law Journal </w:t>
      </w:r>
      <w:r>
        <w:rPr>
          <w:color w:val="000000"/>
        </w:rPr>
        <w:t xml:space="preserve">211; and ‘The </w:t>
      </w:r>
      <w:r>
        <w:rPr>
          <w:i/>
          <w:color w:val="000000"/>
        </w:rPr>
        <w:t>Electrical Contractors</w:t>
      </w:r>
      <w:r>
        <w:rPr>
          <w:color w:val="000000"/>
        </w:rPr>
        <w:t xml:space="preserve"> Case: Irish Supreme Court Illuminates Collective Bargaining and Delegated Legislation’ (2022) 85 </w:t>
      </w:r>
      <w:r>
        <w:rPr>
          <w:i/>
          <w:color w:val="000000"/>
        </w:rPr>
        <w:t>Modern Law Review</w:t>
      </w:r>
      <w:r>
        <w:rPr>
          <w:color w:val="000000"/>
        </w:rPr>
        <w:t xml:space="preserve"> 1029 and commentary cited therein.</w:t>
      </w:r>
    </w:p>
  </w:footnote>
  <w:footnote w:id="35">
    <w:p w14:paraId="000000A3" w14:textId="77777777" w:rsidR="000F6456" w:rsidRDefault="00B0656D" w:rsidP="00D32A62">
      <w:pPr>
        <w:pStyle w:val="FootnoteText"/>
        <w:rPr>
          <w:color w:val="000000"/>
        </w:rPr>
      </w:pPr>
      <w:r>
        <w:rPr>
          <w:rStyle w:val="FootnoteReference"/>
        </w:rPr>
        <w:footnoteRef/>
      </w:r>
      <w:r>
        <w:rPr>
          <w:color w:val="000000"/>
        </w:rPr>
        <w:t xml:space="preserve"> </w:t>
      </w:r>
      <w:r>
        <w:rPr>
          <w:i/>
          <w:color w:val="000000"/>
        </w:rPr>
        <w:t>John Grace Fried Chicken v Catering JLC</w:t>
      </w:r>
      <w:r>
        <w:rPr>
          <w:color w:val="000000"/>
        </w:rPr>
        <w:t xml:space="preserve"> [2011] IEHC 277. </w:t>
      </w:r>
    </w:p>
  </w:footnote>
  <w:footnote w:id="36">
    <w:p w14:paraId="000000A4" w14:textId="77777777" w:rsidR="000F6456" w:rsidRDefault="00B0656D" w:rsidP="00D32A62">
      <w:pPr>
        <w:pStyle w:val="FootnoteText"/>
        <w:rPr>
          <w:color w:val="000000"/>
        </w:rPr>
      </w:pPr>
      <w:r>
        <w:rPr>
          <w:rStyle w:val="FootnoteReference"/>
        </w:rPr>
        <w:footnoteRef/>
      </w:r>
      <w:r>
        <w:rPr>
          <w:color w:val="000000"/>
        </w:rPr>
        <w:t xml:space="preserve"> </w:t>
      </w:r>
      <w:r>
        <w:rPr>
          <w:i/>
          <w:color w:val="000000"/>
        </w:rPr>
        <w:t xml:space="preserve">McGowan v </w:t>
      </w:r>
      <w:proofErr w:type="spellStart"/>
      <w:r>
        <w:rPr>
          <w:i/>
          <w:color w:val="000000"/>
        </w:rPr>
        <w:t>Labour</w:t>
      </w:r>
      <w:proofErr w:type="spellEnd"/>
      <w:r>
        <w:rPr>
          <w:i/>
          <w:color w:val="000000"/>
        </w:rPr>
        <w:t xml:space="preserve"> Court</w:t>
      </w:r>
      <w:r>
        <w:rPr>
          <w:color w:val="000000"/>
        </w:rPr>
        <w:t xml:space="preserve"> [2013] IESC 21.</w:t>
      </w:r>
    </w:p>
  </w:footnote>
  <w:footnote w:id="37">
    <w:p w14:paraId="000000A5" w14:textId="65FBF7F6" w:rsidR="000F6456" w:rsidRPr="00733F2B" w:rsidRDefault="00B0656D" w:rsidP="00D32A62">
      <w:pPr>
        <w:pStyle w:val="FootnoteText"/>
        <w:rPr>
          <w:color w:val="000000"/>
        </w:rPr>
      </w:pPr>
      <w:r>
        <w:rPr>
          <w:rStyle w:val="FootnoteReference"/>
        </w:rPr>
        <w:footnoteRef/>
      </w:r>
      <w:r>
        <w:rPr>
          <w:color w:val="000000"/>
        </w:rPr>
        <w:t xml:space="preserve"> </w:t>
      </w:r>
      <w:r>
        <w:rPr>
          <w:i/>
          <w:color w:val="000000"/>
        </w:rPr>
        <w:t xml:space="preserve">NECI v </w:t>
      </w:r>
      <w:proofErr w:type="spellStart"/>
      <w:r>
        <w:rPr>
          <w:i/>
          <w:color w:val="000000"/>
        </w:rPr>
        <w:t>Labour</w:t>
      </w:r>
      <w:proofErr w:type="spellEnd"/>
      <w:r>
        <w:rPr>
          <w:i/>
          <w:color w:val="000000"/>
        </w:rPr>
        <w:t xml:space="preserve"> Court</w:t>
      </w:r>
      <w:r>
        <w:rPr>
          <w:color w:val="000000"/>
        </w:rPr>
        <w:t xml:space="preserve"> [2020] IEHC 303</w:t>
      </w:r>
      <w:r w:rsidR="00733F2B">
        <w:rPr>
          <w:color w:val="000000"/>
        </w:rPr>
        <w:t>,</w:t>
      </w:r>
      <w:r>
        <w:rPr>
          <w:color w:val="000000"/>
        </w:rPr>
        <w:t xml:space="preserve"> [2020] IEHC 342</w:t>
      </w:r>
      <w:r w:rsidR="00733F2B">
        <w:rPr>
          <w:color w:val="000000"/>
        </w:rPr>
        <w:t>,</w:t>
      </w:r>
      <w:r>
        <w:rPr>
          <w:color w:val="000000"/>
        </w:rPr>
        <w:t xml:space="preserve"> [2021] IESC 36.</w:t>
      </w:r>
    </w:p>
  </w:footnote>
  <w:footnote w:id="38">
    <w:p w14:paraId="000000A6" w14:textId="0E649294" w:rsidR="000F6456" w:rsidRDefault="00B0656D" w:rsidP="00D32A62">
      <w:pPr>
        <w:pStyle w:val="FootnoteText"/>
        <w:rPr>
          <w:color w:val="000000"/>
        </w:rPr>
      </w:pPr>
      <w:r>
        <w:rPr>
          <w:rStyle w:val="FootnoteReference"/>
        </w:rPr>
        <w:footnoteRef/>
      </w:r>
      <w:r>
        <w:rPr>
          <w:color w:val="000000"/>
        </w:rPr>
        <w:t xml:space="preserve"> For detailed consideration, see A Kerr, </w:t>
      </w:r>
      <w:r>
        <w:rPr>
          <w:i/>
          <w:color w:val="000000"/>
        </w:rPr>
        <w:t>The Trade Union and Industrial Relations Acts</w:t>
      </w:r>
      <w:r>
        <w:rPr>
          <w:color w:val="000000"/>
        </w:rPr>
        <w:t xml:space="preserve">, 5th </w:t>
      </w:r>
      <w:proofErr w:type="spellStart"/>
      <w:r>
        <w:rPr>
          <w:color w:val="000000"/>
        </w:rPr>
        <w:t>edn</w:t>
      </w:r>
      <w:proofErr w:type="spellEnd"/>
      <w:r>
        <w:rPr>
          <w:color w:val="000000"/>
        </w:rPr>
        <w:t xml:space="preserve"> (Round Hall, 2015).</w:t>
      </w:r>
    </w:p>
  </w:footnote>
  <w:footnote w:id="39">
    <w:p w14:paraId="000000A7" w14:textId="20610A41" w:rsidR="000F6456" w:rsidRPr="00B33D43" w:rsidRDefault="00B0656D" w:rsidP="00D32A62">
      <w:pPr>
        <w:pStyle w:val="FootnoteText"/>
        <w:rPr>
          <w:color w:val="000000"/>
          <w:lang w:val="fr-FR"/>
        </w:rPr>
      </w:pPr>
      <w:r>
        <w:rPr>
          <w:rStyle w:val="FootnoteReference"/>
        </w:rPr>
        <w:footnoteRef/>
      </w:r>
      <w:r w:rsidRPr="00B33D43">
        <w:rPr>
          <w:color w:val="000000"/>
          <w:lang w:val="fr-FR"/>
        </w:rPr>
        <w:t xml:space="preserve"> Wallace</w:t>
      </w:r>
      <w:r w:rsidRPr="00B33D43">
        <w:rPr>
          <w:lang w:val="fr-FR"/>
        </w:rPr>
        <w:t xml:space="preserve"> et al</w:t>
      </w:r>
      <w:r w:rsidRPr="00B33D43">
        <w:rPr>
          <w:color w:val="000000"/>
          <w:lang w:val="fr-FR"/>
        </w:rPr>
        <w:t xml:space="preserve"> (n</w:t>
      </w:r>
      <w:r w:rsidR="00221F94" w:rsidRPr="00B33D43">
        <w:rPr>
          <w:color w:val="000000"/>
          <w:lang w:val="fr-FR"/>
        </w:rPr>
        <w:t xml:space="preserve"> </w:t>
      </w:r>
      <w:r w:rsidR="00733F2B" w:rsidRPr="00B33D43">
        <w:rPr>
          <w:color w:val="000000"/>
          <w:lang w:val="fr-FR"/>
        </w:rPr>
        <w:t>29</w:t>
      </w:r>
      <w:r w:rsidRPr="00B33D43">
        <w:rPr>
          <w:color w:val="000000"/>
          <w:lang w:val="fr-FR"/>
        </w:rPr>
        <w:t>) 30</w:t>
      </w:r>
      <w:r w:rsidR="00733F2B" w:rsidRPr="00B33D43">
        <w:rPr>
          <w:color w:val="000000"/>
          <w:lang w:val="fr-FR"/>
        </w:rPr>
        <w:t xml:space="preserve"> </w:t>
      </w:r>
      <w:proofErr w:type="spellStart"/>
      <w:r w:rsidRPr="00B33D43">
        <w:rPr>
          <w:color w:val="000000"/>
          <w:lang w:val="fr-FR"/>
        </w:rPr>
        <w:t>ff</w:t>
      </w:r>
      <w:proofErr w:type="spellEnd"/>
      <w:r w:rsidRPr="00B33D43">
        <w:rPr>
          <w:color w:val="000000"/>
          <w:lang w:val="fr-FR"/>
        </w:rPr>
        <w:t>.</w:t>
      </w:r>
    </w:p>
  </w:footnote>
  <w:footnote w:id="40">
    <w:p w14:paraId="000000A8" w14:textId="35CF83A8" w:rsidR="000F6456" w:rsidRDefault="00B0656D" w:rsidP="00D32A62">
      <w:pPr>
        <w:pStyle w:val="FootnoteText"/>
        <w:rPr>
          <w:color w:val="000000"/>
        </w:rPr>
      </w:pPr>
      <w:r>
        <w:rPr>
          <w:rStyle w:val="FootnoteReference"/>
        </w:rPr>
        <w:footnoteRef/>
      </w:r>
      <w:r>
        <w:rPr>
          <w:color w:val="000000"/>
        </w:rPr>
        <w:t xml:space="preserve"> </w:t>
      </w:r>
      <w:r w:rsidR="00B30700">
        <w:rPr>
          <w:color w:val="000000"/>
        </w:rPr>
        <w:t>i</w:t>
      </w:r>
      <w:r>
        <w:rPr>
          <w:color w:val="000000"/>
        </w:rPr>
        <w:t>bid 38</w:t>
      </w:r>
      <w:r w:rsidR="00B30700">
        <w:rPr>
          <w:color w:val="000000"/>
        </w:rPr>
        <w:t>–</w:t>
      </w:r>
      <w:r>
        <w:rPr>
          <w:color w:val="000000"/>
        </w:rPr>
        <w:t xml:space="preserve">39; A Kerr (ed), </w:t>
      </w:r>
      <w:r>
        <w:rPr>
          <w:i/>
          <w:color w:val="000000"/>
        </w:rPr>
        <w:t>The Industrial Relations Act 1990: 20 Years On</w:t>
      </w:r>
      <w:r>
        <w:rPr>
          <w:color w:val="000000"/>
        </w:rPr>
        <w:t xml:space="preserve"> (Round Hall, 2010) 66.</w:t>
      </w:r>
    </w:p>
  </w:footnote>
  <w:footnote w:id="41">
    <w:p w14:paraId="000000A9" w14:textId="77777777" w:rsidR="000F6456" w:rsidRDefault="00B0656D" w:rsidP="00D32A62">
      <w:pPr>
        <w:pStyle w:val="FootnoteText"/>
        <w:rPr>
          <w:color w:val="000000"/>
        </w:rPr>
      </w:pPr>
      <w:r>
        <w:rPr>
          <w:rStyle w:val="FootnoteReference"/>
        </w:rPr>
        <w:footnoteRef/>
      </w:r>
      <w:r>
        <w:rPr>
          <w:color w:val="000000"/>
        </w:rPr>
        <w:t xml:space="preserve"> There are additional provisions empowering the </w:t>
      </w:r>
      <w:proofErr w:type="spellStart"/>
      <w:r>
        <w:rPr>
          <w:color w:val="000000"/>
        </w:rPr>
        <w:t>Labour</w:t>
      </w:r>
      <w:proofErr w:type="spellEnd"/>
      <w:r>
        <w:rPr>
          <w:color w:val="000000"/>
        </w:rPr>
        <w:t xml:space="preserve"> Court to impose binding decisions on parties to a trade dispute where there is no practice of collective bargaining between the parties, but these decisions are limited in their substantive scope, and cannot oblige the employer to </w:t>
      </w:r>
      <w:proofErr w:type="spellStart"/>
      <w:r>
        <w:rPr>
          <w:color w:val="000000"/>
        </w:rPr>
        <w:t>recognise</w:t>
      </w:r>
      <w:proofErr w:type="spellEnd"/>
      <w:r>
        <w:rPr>
          <w:color w:val="000000"/>
        </w:rPr>
        <w:t xml:space="preserve"> the trade union for the purposes of collective bargaining. See Industrial Relations (Amendment) Act 2001 (as amended), s 6.</w:t>
      </w:r>
    </w:p>
  </w:footnote>
  <w:footnote w:id="42">
    <w:p w14:paraId="000000AA" w14:textId="77777777" w:rsidR="000F6456" w:rsidRDefault="00B0656D" w:rsidP="00D32A62">
      <w:pPr>
        <w:pStyle w:val="FootnoteText"/>
        <w:rPr>
          <w:color w:val="000000"/>
        </w:rPr>
      </w:pPr>
      <w:r>
        <w:rPr>
          <w:rStyle w:val="FootnoteReference"/>
        </w:rPr>
        <w:footnoteRef/>
      </w:r>
      <w:r>
        <w:rPr>
          <w:color w:val="000000"/>
        </w:rPr>
        <w:t xml:space="preserve"> In </w:t>
      </w:r>
      <w:r>
        <w:rPr>
          <w:i/>
          <w:color w:val="000000"/>
        </w:rPr>
        <w:t xml:space="preserve">McGowan v </w:t>
      </w:r>
      <w:proofErr w:type="spellStart"/>
      <w:r>
        <w:rPr>
          <w:i/>
          <w:color w:val="000000"/>
        </w:rPr>
        <w:t>Labour</w:t>
      </w:r>
      <w:proofErr w:type="spellEnd"/>
      <w:r>
        <w:rPr>
          <w:i/>
          <w:color w:val="000000"/>
        </w:rPr>
        <w:t xml:space="preserve"> Court</w:t>
      </w:r>
      <w:r>
        <w:rPr>
          <w:color w:val="000000"/>
        </w:rPr>
        <w:t xml:space="preserve"> [2013] IESC 21.</w:t>
      </w:r>
    </w:p>
  </w:footnote>
  <w:footnote w:id="43">
    <w:p w14:paraId="000000AB" w14:textId="74FA8225" w:rsidR="000F6456" w:rsidRDefault="00B0656D" w:rsidP="00D32A62">
      <w:pPr>
        <w:pStyle w:val="FootnoteText"/>
        <w:rPr>
          <w:color w:val="000000"/>
        </w:rPr>
      </w:pPr>
      <w:r>
        <w:rPr>
          <w:rStyle w:val="FootnoteReference"/>
        </w:rPr>
        <w:footnoteRef/>
      </w:r>
      <w:r>
        <w:rPr>
          <w:color w:val="000000"/>
        </w:rPr>
        <w:t xml:space="preserve"> See Eustace (n</w:t>
      </w:r>
      <w:r w:rsidR="00221F94">
        <w:rPr>
          <w:color w:val="000000"/>
        </w:rPr>
        <w:t xml:space="preserve"> </w:t>
      </w:r>
      <w:r w:rsidR="00733F2B">
        <w:rPr>
          <w:color w:val="000000"/>
        </w:rPr>
        <w:t>34</w:t>
      </w:r>
      <w:r>
        <w:rPr>
          <w:color w:val="000000"/>
        </w:rPr>
        <w:t>).</w:t>
      </w:r>
    </w:p>
  </w:footnote>
  <w:footnote w:id="44">
    <w:p w14:paraId="000000AC" w14:textId="77777777" w:rsidR="000F6456" w:rsidRDefault="00B0656D" w:rsidP="00D32A62">
      <w:pPr>
        <w:pStyle w:val="FootnoteText"/>
        <w:rPr>
          <w:color w:val="000000"/>
        </w:rPr>
      </w:pPr>
      <w:r>
        <w:rPr>
          <w:rStyle w:val="FootnoteReference"/>
        </w:rPr>
        <w:footnoteRef/>
      </w:r>
      <w:r>
        <w:rPr>
          <w:color w:val="000000"/>
        </w:rPr>
        <w:t xml:space="preserve"> A Eustace, ‘An Alternative Future? Lessons for Ireland on Trade Union </w:t>
      </w:r>
      <w:proofErr w:type="spellStart"/>
      <w:r>
        <w:rPr>
          <w:color w:val="000000"/>
        </w:rPr>
        <w:t>Victimisation</w:t>
      </w:r>
      <w:proofErr w:type="spellEnd"/>
      <w:r>
        <w:rPr>
          <w:color w:val="000000"/>
        </w:rPr>
        <w:t xml:space="preserve"> and Art 11 ECHR’ (2021) 18 </w:t>
      </w:r>
      <w:r>
        <w:rPr>
          <w:i/>
          <w:color w:val="000000"/>
        </w:rPr>
        <w:t>Irish Employment Law Journal</w:t>
      </w:r>
      <w:r>
        <w:rPr>
          <w:color w:val="000000"/>
        </w:rPr>
        <w:t xml:space="preserve"> 97. </w:t>
      </w:r>
    </w:p>
  </w:footnote>
  <w:footnote w:id="45">
    <w:p w14:paraId="0595BFB4" w14:textId="495FB589" w:rsidR="00022DF8" w:rsidRDefault="00022DF8" w:rsidP="00D32A62">
      <w:pPr>
        <w:pStyle w:val="FootnoteText"/>
      </w:pPr>
      <w:r>
        <w:rPr>
          <w:rStyle w:val="FootnoteReference"/>
        </w:rPr>
        <w:footnoteRef/>
      </w:r>
      <w:r>
        <w:t xml:space="preserve"> The text of Art 4(2) reads, in relevant part: ‘</w:t>
      </w:r>
      <w:r w:rsidRPr="00022DF8">
        <w:t>[E]ach Member State in which the collective bargaining coverage rate is less than a threshold of 80% shall provide for a framework of enabling conditions for collective bargaining, either by law after consulting the social partners or by agreement with them</w:t>
      </w:r>
      <w:r>
        <w:t>… [and]</w:t>
      </w:r>
      <w:r w:rsidRPr="00022DF8">
        <w:t xml:space="preserve"> establish an action plan to promote collective bargaining. The Member State shall establish such an action plan after consulting the social partners or by agreement with the social partners, or, following a joint request by the social partners, as agreed between the social partners. The action plan shall set out a clear timeline and concrete measures to progressively increase the rate of collective bargaining coverage, in full respect for the autonomy of the social partners.</w:t>
      </w:r>
      <w:r>
        <w:t>’</w:t>
      </w:r>
    </w:p>
  </w:footnote>
  <w:footnote w:id="46">
    <w:p w14:paraId="000000AD" w14:textId="1745292D" w:rsidR="000F6456" w:rsidRDefault="00B0656D" w:rsidP="00D32A62">
      <w:pPr>
        <w:pStyle w:val="FootnoteText"/>
        <w:rPr>
          <w:color w:val="000000"/>
        </w:rPr>
      </w:pPr>
      <w:r>
        <w:rPr>
          <w:rStyle w:val="FootnoteReference"/>
        </w:rPr>
        <w:footnoteRef/>
      </w:r>
      <w:r>
        <w:rPr>
          <w:color w:val="000000"/>
        </w:rPr>
        <w:t xml:space="preserve"> In the interests of brevity and because the potential impact is less clear at this stage, the other obligations under the </w:t>
      </w:r>
      <w:r w:rsidR="00660AF9">
        <w:t xml:space="preserve">AMW </w:t>
      </w:r>
      <w:r>
        <w:rPr>
          <w:color w:val="000000"/>
        </w:rPr>
        <w:t>Directive (including various obligations to protect trade unions and their officials and members, encourage the social partners to voluntarily negotiate, and help develop the capacity of industrial relations actors to engage in collective bargaining) will not be considered here.</w:t>
      </w:r>
    </w:p>
  </w:footnote>
  <w:footnote w:id="47">
    <w:p w14:paraId="000000AE" w14:textId="5F96E20E" w:rsidR="000F6456" w:rsidRPr="000031AA" w:rsidRDefault="00B0656D" w:rsidP="00D32A62">
      <w:pPr>
        <w:pStyle w:val="FootnoteText"/>
        <w:rPr>
          <w:bCs/>
        </w:rPr>
      </w:pPr>
      <w:r>
        <w:rPr>
          <w:rStyle w:val="FootnoteReference"/>
        </w:rPr>
        <w:footnoteRef/>
      </w:r>
      <w:r>
        <w:rPr>
          <w:color w:val="000000"/>
        </w:rPr>
        <w:t xml:space="preserve"> Review of Joint </w:t>
      </w:r>
      <w:proofErr w:type="spellStart"/>
      <w:r>
        <w:rPr>
          <w:color w:val="000000"/>
        </w:rPr>
        <w:t>Labour</w:t>
      </w:r>
      <w:proofErr w:type="spellEnd"/>
      <w:r>
        <w:rPr>
          <w:color w:val="000000"/>
        </w:rPr>
        <w:t xml:space="preserve"> Committees carried out by the </w:t>
      </w:r>
      <w:proofErr w:type="spellStart"/>
      <w:r>
        <w:rPr>
          <w:color w:val="000000"/>
        </w:rPr>
        <w:t>Labour</w:t>
      </w:r>
      <w:proofErr w:type="spellEnd"/>
      <w:r>
        <w:rPr>
          <w:color w:val="000000"/>
        </w:rPr>
        <w:t xml:space="preserve"> Court in accordance with Section 41a(1) [of] the Industrial Relations Act, 1946 (</w:t>
      </w:r>
      <w:proofErr w:type="spellStart"/>
      <w:r>
        <w:rPr>
          <w:color w:val="000000"/>
        </w:rPr>
        <w:t>Labour</w:t>
      </w:r>
      <w:proofErr w:type="spellEnd"/>
      <w:r>
        <w:rPr>
          <w:color w:val="000000"/>
        </w:rPr>
        <w:t xml:space="preserve"> Co</w:t>
      </w:r>
      <w:r w:rsidR="00C80168">
        <w:rPr>
          <w:color w:val="000000"/>
        </w:rPr>
        <w:t xml:space="preserve">urt, April 2018), available at </w:t>
      </w:r>
      <w:hyperlink r:id="rId1" w:history="1">
        <w:r w:rsidR="000A3421" w:rsidRPr="00D35C78">
          <w:rPr>
            <w:rStyle w:val="Hyperlink"/>
          </w:rPr>
          <w:t>https://www.labourcourt.ie/en/publications/joint-labour-committees-reviews/review-of-joint-labour-committees-2018.pdf</w:t>
        </w:r>
      </w:hyperlink>
      <w:r w:rsidR="000A3421">
        <w:t xml:space="preserve"> .</w:t>
      </w:r>
      <w:r w:rsidR="000031AA">
        <w:rPr>
          <w:bCs/>
        </w:rPr>
        <w:t xml:space="preserve">The findings of the most recent report confirm that many of these JLCs remain inactive: </w:t>
      </w:r>
      <w:r w:rsidR="000031AA">
        <w:rPr>
          <w:color w:val="000000"/>
        </w:rPr>
        <w:t xml:space="preserve">Review of Joint </w:t>
      </w:r>
      <w:proofErr w:type="spellStart"/>
      <w:r w:rsidR="000031AA">
        <w:rPr>
          <w:color w:val="000000"/>
        </w:rPr>
        <w:t>Labour</w:t>
      </w:r>
      <w:proofErr w:type="spellEnd"/>
      <w:r w:rsidR="000031AA">
        <w:rPr>
          <w:color w:val="000000"/>
        </w:rPr>
        <w:t xml:space="preserve"> Committees carried out by the </w:t>
      </w:r>
      <w:proofErr w:type="spellStart"/>
      <w:r w:rsidR="000031AA">
        <w:rPr>
          <w:color w:val="000000"/>
        </w:rPr>
        <w:t>Labour</w:t>
      </w:r>
      <w:proofErr w:type="spellEnd"/>
      <w:r w:rsidR="000031AA">
        <w:rPr>
          <w:color w:val="000000"/>
        </w:rPr>
        <w:t xml:space="preserve"> Court in accordance with Section 41a(1) [of] the Industrial Relations Act, 1946 (</w:t>
      </w:r>
      <w:proofErr w:type="spellStart"/>
      <w:r w:rsidR="000031AA">
        <w:rPr>
          <w:color w:val="000000"/>
        </w:rPr>
        <w:t>Labour</w:t>
      </w:r>
      <w:proofErr w:type="spellEnd"/>
      <w:r w:rsidR="000031AA">
        <w:rPr>
          <w:color w:val="000000"/>
        </w:rPr>
        <w:t xml:space="preserve"> Court, April 2023), available at </w:t>
      </w:r>
      <w:hyperlink r:id="rId2" w:history="1">
        <w:r w:rsidR="000031AA" w:rsidRPr="00AE395C">
          <w:rPr>
            <w:rStyle w:val="Hyperlink"/>
          </w:rPr>
          <w:t>https://www.labourcourt.ie/en/publications/joint-labour-committees-reviews/review-of-joint-labour-committees-2023.pdf</w:t>
        </w:r>
      </w:hyperlink>
      <w:r w:rsidR="000031AA">
        <w:rPr>
          <w:color w:val="000000"/>
        </w:rPr>
        <w:t xml:space="preserve">. </w:t>
      </w:r>
    </w:p>
  </w:footnote>
  <w:footnote w:id="48">
    <w:p w14:paraId="000000AF" w14:textId="79AD645F" w:rsidR="000F6456" w:rsidRDefault="00B0656D" w:rsidP="00D32A62">
      <w:pPr>
        <w:pStyle w:val="FootnoteText"/>
        <w:rPr>
          <w:color w:val="000000"/>
        </w:rPr>
      </w:pPr>
      <w:r>
        <w:rPr>
          <w:rStyle w:val="FootnoteReference"/>
        </w:rPr>
        <w:footnoteRef/>
      </w:r>
      <w:r>
        <w:rPr>
          <w:color w:val="000000"/>
        </w:rPr>
        <w:t xml:space="preserve"> Final Report of the LEEF High Level Working Group on Collective Bargaining (</w:t>
      </w:r>
      <w:proofErr w:type="spellStart"/>
      <w:r>
        <w:rPr>
          <w:color w:val="000000"/>
        </w:rPr>
        <w:t>Labour</w:t>
      </w:r>
      <w:proofErr w:type="spellEnd"/>
      <w:r>
        <w:rPr>
          <w:color w:val="000000"/>
        </w:rPr>
        <w:t>-Employer Economic Foru</w:t>
      </w:r>
      <w:r w:rsidR="007B261A">
        <w:rPr>
          <w:color w:val="000000"/>
        </w:rPr>
        <w:t xml:space="preserve">m, October 2022), available at </w:t>
      </w:r>
      <w:r w:rsidRPr="007B261A">
        <w:t>https://enterprise.gov.ie/en/publications/publication-files/final-report-of-the-leef-high-level-working-group-on-collective-bargaining.pdf</w:t>
      </w:r>
      <w:r>
        <w:rPr>
          <w:color w:val="000000"/>
        </w:rPr>
        <w:t>.</w:t>
      </w:r>
    </w:p>
  </w:footnote>
  <w:footnote w:id="49">
    <w:p w14:paraId="000000B0" w14:textId="0BF076DE" w:rsidR="000F6456" w:rsidRDefault="00B0656D" w:rsidP="00D32A62">
      <w:pPr>
        <w:pStyle w:val="FootnoteText"/>
        <w:rPr>
          <w:color w:val="000000"/>
        </w:rPr>
      </w:pPr>
      <w:r>
        <w:rPr>
          <w:rStyle w:val="FootnoteReference"/>
        </w:rPr>
        <w:footnoteRef/>
      </w:r>
      <w:r w:rsidR="007B261A">
        <w:rPr>
          <w:color w:val="000000"/>
        </w:rPr>
        <w:t xml:space="preserve"> ibid 5–</w:t>
      </w:r>
      <w:r>
        <w:rPr>
          <w:color w:val="000000"/>
        </w:rPr>
        <w:t>8.</w:t>
      </w:r>
    </w:p>
  </w:footnote>
  <w:footnote w:id="50">
    <w:p w14:paraId="000000B1" w14:textId="230CDAEC" w:rsidR="000F6456" w:rsidRDefault="00B0656D" w:rsidP="00D32A62">
      <w:pPr>
        <w:pStyle w:val="FootnoteText"/>
        <w:rPr>
          <w:color w:val="000000"/>
        </w:rPr>
      </w:pPr>
      <w:r>
        <w:rPr>
          <w:rStyle w:val="FootnoteReference"/>
        </w:rPr>
        <w:footnoteRef/>
      </w:r>
      <w:r>
        <w:rPr>
          <w:color w:val="000000"/>
        </w:rPr>
        <w:t xml:space="preserve"> Eustace (n</w:t>
      </w:r>
      <w:r w:rsidR="00221F94">
        <w:rPr>
          <w:color w:val="000000"/>
        </w:rPr>
        <w:t xml:space="preserve"> </w:t>
      </w:r>
      <w:r w:rsidR="00733F2B">
        <w:rPr>
          <w:color w:val="000000"/>
        </w:rPr>
        <w:t>7</w:t>
      </w:r>
      <w:r>
        <w:rPr>
          <w:color w:val="000000"/>
        </w:rPr>
        <w:t>).</w:t>
      </w:r>
    </w:p>
  </w:footnote>
  <w:footnote w:id="51">
    <w:p w14:paraId="000000B2" w14:textId="3F375305" w:rsidR="000F6456" w:rsidRDefault="00B0656D" w:rsidP="00D32A62">
      <w:pPr>
        <w:pStyle w:val="FootnoteText"/>
        <w:rPr>
          <w:color w:val="000000"/>
        </w:rPr>
      </w:pPr>
      <w:r>
        <w:rPr>
          <w:rStyle w:val="FootnoteReference"/>
        </w:rPr>
        <w:footnoteRef/>
      </w:r>
      <w:r>
        <w:rPr>
          <w:color w:val="000000"/>
        </w:rPr>
        <w:t xml:space="preserve"> LEEF (n </w:t>
      </w:r>
      <w:r w:rsidR="00733F2B">
        <w:rPr>
          <w:color w:val="000000"/>
        </w:rPr>
        <w:t>48</w:t>
      </w:r>
      <w:r>
        <w:rPr>
          <w:color w:val="000000"/>
        </w:rPr>
        <w:t>) 6.</w:t>
      </w:r>
    </w:p>
  </w:footnote>
  <w:footnote w:id="52">
    <w:p w14:paraId="000000B3" w14:textId="23FCD91D" w:rsidR="000F6456" w:rsidRDefault="00B0656D" w:rsidP="00D32A62">
      <w:pPr>
        <w:pStyle w:val="FootnoteText"/>
        <w:rPr>
          <w:color w:val="000000"/>
        </w:rPr>
      </w:pPr>
      <w:r>
        <w:rPr>
          <w:rStyle w:val="FootnoteReference"/>
        </w:rPr>
        <w:footnoteRef/>
      </w:r>
      <w:r>
        <w:rPr>
          <w:color w:val="000000"/>
        </w:rPr>
        <w:t xml:space="preserve"> In the past, Ireland had a model of national wage bargaining called ‘Social Partnership’ which has been credited with supporting dramatic economic development from the 1980s to mid-2000s: see S McGuinness</w:t>
      </w:r>
      <w:r w:rsidR="003440B8">
        <w:rPr>
          <w:color w:val="000000"/>
        </w:rPr>
        <w:t xml:space="preserve"> et al</w:t>
      </w:r>
      <w:r>
        <w:rPr>
          <w:color w:val="000000"/>
        </w:rPr>
        <w:t xml:space="preserve">, ‘The Impact of Wage Bargaining Regime on Firm-level Competitiveness and Wage Inequality: The Case of Ireland’ (2010) 49 </w:t>
      </w:r>
      <w:r>
        <w:rPr>
          <w:i/>
          <w:color w:val="000000"/>
        </w:rPr>
        <w:t>Industrial Relations</w:t>
      </w:r>
      <w:r>
        <w:rPr>
          <w:color w:val="000000"/>
        </w:rPr>
        <w:t xml:space="preserve"> 593; V </w:t>
      </w:r>
      <w:proofErr w:type="spellStart"/>
      <w:r>
        <w:rPr>
          <w:color w:val="000000"/>
        </w:rPr>
        <w:t>Maccarrone</w:t>
      </w:r>
      <w:proofErr w:type="spellEnd"/>
      <w:r w:rsidR="003440B8">
        <w:rPr>
          <w:color w:val="000000"/>
        </w:rPr>
        <w:t xml:space="preserve"> et al, ‘Ireland: Life a</w:t>
      </w:r>
      <w:r>
        <w:rPr>
          <w:color w:val="000000"/>
        </w:rPr>
        <w:t>fter Social Partnership’ in T Müller</w:t>
      </w:r>
      <w:r w:rsidR="003440B8">
        <w:rPr>
          <w:color w:val="000000"/>
        </w:rPr>
        <w:t xml:space="preserve"> et al</w:t>
      </w:r>
      <w:r>
        <w:rPr>
          <w:color w:val="000000"/>
        </w:rPr>
        <w:t xml:space="preserve"> (eds), </w:t>
      </w:r>
      <w:r>
        <w:rPr>
          <w:i/>
          <w:color w:val="000000"/>
        </w:rPr>
        <w:t>Collective Bargaining in Europe: Towards and Endgame</w:t>
      </w:r>
      <w:r>
        <w:rPr>
          <w:color w:val="000000"/>
        </w:rPr>
        <w:t xml:space="preserve"> (ETUI, 2019) </w:t>
      </w:r>
      <w:r w:rsidR="003440B8">
        <w:rPr>
          <w:color w:val="000000"/>
        </w:rPr>
        <w:t>C</w:t>
      </w:r>
      <w:r>
        <w:rPr>
          <w:color w:val="000000"/>
        </w:rPr>
        <w:t>h 15. This system fell into abeyance during the Great Recession, but other structures and a tradition of consultation remain.</w:t>
      </w:r>
    </w:p>
  </w:footnote>
  <w:footnote w:id="53">
    <w:p w14:paraId="000000B4" w14:textId="3621ED1D" w:rsidR="000F6456" w:rsidRDefault="00B0656D" w:rsidP="00D32A62">
      <w:pPr>
        <w:pStyle w:val="FootnoteText"/>
        <w:rPr>
          <w:color w:val="000000"/>
        </w:rPr>
      </w:pPr>
      <w:r>
        <w:rPr>
          <w:rStyle w:val="FootnoteReference"/>
        </w:rPr>
        <w:footnoteRef/>
      </w:r>
      <w:r>
        <w:rPr>
          <w:color w:val="000000"/>
        </w:rPr>
        <w:t xml:space="preserve"> The current agreement is called ‘Building Momentum’: see </w:t>
      </w:r>
      <w:r w:rsidRPr="00512DB3">
        <w:t>https://www.forsa.ie/building-momentum-a-new-public-sector-agreement-faqs/</w:t>
      </w:r>
      <w:r>
        <w:rPr>
          <w:color w:val="000000"/>
        </w:rPr>
        <w:t>. This agreement was initially due to expire in 2022, but the parties agreed to extend it to the end of 2023.</w:t>
      </w:r>
    </w:p>
  </w:footnote>
  <w:footnote w:id="54">
    <w:p w14:paraId="000000B5" w14:textId="4E923CE0" w:rsidR="000F6456" w:rsidRDefault="00B0656D" w:rsidP="00D32A62">
      <w:pPr>
        <w:pStyle w:val="FootnoteText"/>
        <w:rPr>
          <w:color w:val="000000"/>
        </w:rPr>
      </w:pPr>
      <w:r>
        <w:rPr>
          <w:rStyle w:val="FootnoteReference"/>
        </w:rPr>
        <w:footnoteRef/>
      </w:r>
      <w:r>
        <w:rPr>
          <w:color w:val="000000"/>
        </w:rPr>
        <w:t xml:space="preserve"> See terms of reference </w:t>
      </w:r>
      <w:r w:rsidR="00512DB3">
        <w:rPr>
          <w:color w:val="000000"/>
        </w:rPr>
        <w:t>at</w:t>
      </w:r>
      <w:r>
        <w:rPr>
          <w:color w:val="000000"/>
        </w:rPr>
        <w:t xml:space="preserve"> </w:t>
      </w:r>
      <w:r w:rsidRPr="00512DB3">
        <w:t>https://www.gov.ie/pdf/?file=https://assets.gov.ie/40567/9711579662a048a8b7f1e39c416b4984.pdf#page=1</w:t>
      </w:r>
      <w:r>
        <w:rPr>
          <w:color w:val="000000"/>
        </w:rPr>
        <w:t>.</w:t>
      </w:r>
    </w:p>
  </w:footnote>
  <w:footnote w:id="55">
    <w:p w14:paraId="000000B6" w14:textId="4ABD2178" w:rsidR="000F6456" w:rsidRDefault="00B0656D" w:rsidP="00D32A62">
      <w:pPr>
        <w:pStyle w:val="FootnoteText"/>
        <w:rPr>
          <w:color w:val="000000"/>
        </w:rPr>
      </w:pPr>
      <w:r>
        <w:rPr>
          <w:rStyle w:val="FootnoteReference"/>
        </w:rPr>
        <w:footnoteRef/>
      </w:r>
      <w:r>
        <w:rPr>
          <w:color w:val="000000"/>
        </w:rPr>
        <w:t xml:space="preserve"> ‘Making Remote Work: National Remote Work Strategy’ (Department of Enterprise, Trade and Employment, January 2021), available a</w:t>
      </w:r>
      <w:r w:rsidRPr="00A3085D">
        <w:t>t https://enterprise.gov.ie/en/publications/publication-files/making-remote-work.pdf</w:t>
      </w:r>
      <w:r>
        <w:rPr>
          <w:color w:val="000000"/>
        </w:rPr>
        <w:t>.</w:t>
      </w:r>
    </w:p>
  </w:footnote>
  <w:footnote w:id="56">
    <w:p w14:paraId="000000B7" w14:textId="6F345705" w:rsidR="000F6456" w:rsidRDefault="00B0656D" w:rsidP="00D32A62">
      <w:pPr>
        <w:pStyle w:val="FootnoteText"/>
        <w:rPr>
          <w:color w:val="000000"/>
        </w:rPr>
      </w:pPr>
      <w:r>
        <w:rPr>
          <w:rStyle w:val="FootnoteReference"/>
        </w:rPr>
        <w:footnoteRef/>
      </w:r>
      <w:r>
        <w:rPr>
          <w:color w:val="000000"/>
        </w:rPr>
        <w:t xml:space="preserve"> See A Eustace, ‘Remote Working Bill </w:t>
      </w:r>
      <w:r w:rsidR="00A3085D">
        <w:rPr>
          <w:color w:val="000000"/>
        </w:rPr>
        <w:t>D</w:t>
      </w:r>
      <w:r>
        <w:rPr>
          <w:color w:val="000000"/>
        </w:rPr>
        <w:t xml:space="preserve">emonstrates </w:t>
      </w:r>
      <w:r w:rsidR="00A3085D">
        <w:rPr>
          <w:color w:val="000000"/>
        </w:rPr>
        <w:t>Failure of I</w:t>
      </w:r>
      <w:r>
        <w:rPr>
          <w:color w:val="000000"/>
        </w:rPr>
        <w:t>magination’ (</w:t>
      </w:r>
      <w:r>
        <w:rPr>
          <w:i/>
          <w:color w:val="000000"/>
        </w:rPr>
        <w:t>The Irish Times</w:t>
      </w:r>
      <w:r>
        <w:rPr>
          <w:color w:val="000000"/>
        </w:rPr>
        <w:t xml:space="preserve">, 27 January 2022). </w:t>
      </w:r>
    </w:p>
  </w:footnote>
  <w:footnote w:id="57">
    <w:p w14:paraId="000000B8" w14:textId="24BD0C58" w:rsidR="000F6456" w:rsidRDefault="00B0656D" w:rsidP="00D32A62">
      <w:pPr>
        <w:pStyle w:val="FootnoteText"/>
        <w:rPr>
          <w:color w:val="000000"/>
        </w:rPr>
      </w:pPr>
      <w:r>
        <w:rPr>
          <w:rStyle w:val="FootnoteReference"/>
        </w:rPr>
        <w:footnoteRef/>
      </w:r>
      <w:r w:rsidR="00A3085D">
        <w:rPr>
          <w:color w:val="000000"/>
        </w:rPr>
        <w:t xml:space="preserve"> See</w:t>
      </w:r>
      <w:r>
        <w:rPr>
          <w:color w:val="000000"/>
        </w:rPr>
        <w:t xml:space="preserve"> LEEF report (n </w:t>
      </w:r>
      <w:r w:rsidR="00733F2B">
        <w:rPr>
          <w:color w:val="000000"/>
        </w:rPr>
        <w:t>48</w:t>
      </w:r>
      <w:r>
        <w:rPr>
          <w:color w:val="000000"/>
        </w:rPr>
        <w:t xml:space="preserve">); Eustace (n </w:t>
      </w:r>
      <w:r w:rsidR="00733F2B">
        <w:rPr>
          <w:color w:val="000000"/>
        </w:rPr>
        <w:t>7</w:t>
      </w:r>
      <w:r>
        <w:rPr>
          <w:color w:val="000000"/>
        </w:rPr>
        <w:t xml:space="preserve">); O </w:t>
      </w:r>
      <w:proofErr w:type="spellStart"/>
      <w:r>
        <w:rPr>
          <w:color w:val="000000"/>
        </w:rPr>
        <w:t>Roethig</w:t>
      </w:r>
      <w:proofErr w:type="spellEnd"/>
      <w:r>
        <w:rPr>
          <w:color w:val="000000"/>
        </w:rPr>
        <w:t xml:space="preserve">, ‘Collective </w:t>
      </w:r>
      <w:r w:rsidR="00A3085D">
        <w:rPr>
          <w:color w:val="000000"/>
        </w:rPr>
        <w:t>B</w:t>
      </w:r>
      <w:r>
        <w:rPr>
          <w:color w:val="000000"/>
        </w:rPr>
        <w:t xml:space="preserve">argaining – </w:t>
      </w:r>
      <w:r w:rsidR="00A3085D">
        <w:rPr>
          <w:color w:val="000000"/>
        </w:rPr>
        <w:t>A</w:t>
      </w:r>
      <w:r>
        <w:rPr>
          <w:color w:val="000000"/>
        </w:rPr>
        <w:t xml:space="preserve"> </w:t>
      </w:r>
      <w:r w:rsidR="00A3085D">
        <w:rPr>
          <w:color w:val="000000"/>
        </w:rPr>
        <w:t>L</w:t>
      </w:r>
      <w:r>
        <w:rPr>
          <w:color w:val="000000"/>
        </w:rPr>
        <w:t xml:space="preserve">egal </w:t>
      </w:r>
      <w:r w:rsidR="00A3085D">
        <w:rPr>
          <w:color w:val="000000"/>
        </w:rPr>
        <w:t xml:space="preserve">Right </w:t>
      </w:r>
      <w:proofErr w:type="spellStart"/>
      <w:r w:rsidR="00A3085D">
        <w:rPr>
          <w:color w:val="000000"/>
        </w:rPr>
        <w:t>U</w:t>
      </w:r>
      <w:r>
        <w:rPr>
          <w:color w:val="000000"/>
        </w:rPr>
        <w:t>nrecognised</w:t>
      </w:r>
      <w:proofErr w:type="spellEnd"/>
      <w:r>
        <w:rPr>
          <w:color w:val="000000"/>
        </w:rPr>
        <w:t xml:space="preserve"> in Ireland</w:t>
      </w:r>
      <w:r w:rsidR="00A3085D">
        <w:rPr>
          <w:color w:val="000000"/>
        </w:rPr>
        <w:t xml:space="preserve">’ (Social Europe, 8 July 2020) </w:t>
      </w:r>
      <w:r w:rsidRPr="00A3085D">
        <w:t>https://www.socialeurope.eu/collective-bargaining-a-legal-right-unrecognised-in-ireland</w:t>
      </w:r>
      <w:r>
        <w:rPr>
          <w:color w:val="000000"/>
        </w:rPr>
        <w:t>.</w:t>
      </w:r>
    </w:p>
  </w:footnote>
  <w:footnote w:id="58">
    <w:p w14:paraId="000000B9" w14:textId="77777777" w:rsidR="000F6456" w:rsidRDefault="00B0656D" w:rsidP="00D32A62">
      <w:pPr>
        <w:pStyle w:val="FootnoteText"/>
        <w:rPr>
          <w:color w:val="000000"/>
        </w:rPr>
      </w:pPr>
      <w:r>
        <w:rPr>
          <w:rStyle w:val="FootnoteReference"/>
        </w:rPr>
        <w:footnoteRef/>
      </w:r>
      <w:r>
        <w:rPr>
          <w:color w:val="000000"/>
        </w:rPr>
        <w:t xml:space="preserve"> National Minimum Wage (Low Pay Commission) Act 2015. </w:t>
      </w:r>
    </w:p>
  </w:footnote>
  <w:footnote w:id="59">
    <w:p w14:paraId="000000BA" w14:textId="77777777" w:rsidR="000F6456" w:rsidRDefault="00B0656D" w:rsidP="00D32A62">
      <w:pPr>
        <w:pStyle w:val="FootnoteText"/>
        <w:rPr>
          <w:color w:val="000000"/>
        </w:rPr>
      </w:pPr>
      <w:r>
        <w:rPr>
          <w:rStyle w:val="FootnoteReference"/>
        </w:rPr>
        <w:footnoteRef/>
      </w:r>
      <w:r>
        <w:rPr>
          <w:color w:val="000000"/>
        </w:rPr>
        <w:t xml:space="preserve"> NMW Act 2000, s 10C(1)(b). </w:t>
      </w:r>
    </w:p>
  </w:footnote>
  <w:footnote w:id="60">
    <w:p w14:paraId="000000BB" w14:textId="2A50C0C7" w:rsidR="000F6456" w:rsidRDefault="00B0656D" w:rsidP="00D32A62">
      <w:pPr>
        <w:pStyle w:val="FootnoteText"/>
        <w:rPr>
          <w:color w:val="000000"/>
        </w:rPr>
      </w:pPr>
      <w:r>
        <w:rPr>
          <w:rStyle w:val="FootnoteReference"/>
        </w:rPr>
        <w:footnoteRef/>
      </w:r>
      <w:r>
        <w:rPr>
          <w:color w:val="000000"/>
        </w:rPr>
        <w:t xml:space="preserve"> ibid Schedule 2; Department of Enterprise, Trade and Employment, ‘Current Low Pay Commission </w:t>
      </w:r>
      <w:r w:rsidR="00453C39">
        <w:rPr>
          <w:color w:val="000000"/>
        </w:rPr>
        <w:t xml:space="preserve">Members’ (14 September 2022) </w:t>
      </w:r>
      <w:r w:rsidR="00022DF8" w:rsidRPr="00733F2B">
        <w:t>https://www.gov.ie/en/publication/df3007-current-low-pay-commission-members/</w:t>
      </w:r>
      <w:r>
        <w:rPr>
          <w:color w:val="000000"/>
        </w:rPr>
        <w:t>.</w:t>
      </w:r>
    </w:p>
  </w:footnote>
  <w:footnote w:id="61">
    <w:p w14:paraId="000000BC" w14:textId="77777777" w:rsidR="000F6456" w:rsidRDefault="00B0656D" w:rsidP="00D32A62">
      <w:pPr>
        <w:pStyle w:val="FootnoteText"/>
        <w:rPr>
          <w:color w:val="000000"/>
        </w:rPr>
      </w:pPr>
      <w:r>
        <w:rPr>
          <w:rStyle w:val="FootnoteReference"/>
        </w:rPr>
        <w:footnoteRef/>
      </w:r>
      <w:r>
        <w:rPr>
          <w:color w:val="000000"/>
        </w:rPr>
        <w:t xml:space="preserve"> NMW Act 2000, s 10B.</w:t>
      </w:r>
    </w:p>
  </w:footnote>
  <w:footnote w:id="62">
    <w:p w14:paraId="000000BD" w14:textId="77777777" w:rsidR="000F6456" w:rsidRDefault="00B0656D" w:rsidP="00D32A62">
      <w:pPr>
        <w:pStyle w:val="FootnoteText"/>
        <w:rPr>
          <w:color w:val="000000"/>
        </w:rPr>
      </w:pPr>
      <w:r>
        <w:rPr>
          <w:rStyle w:val="FootnoteReference"/>
        </w:rPr>
        <w:footnoteRef/>
      </w:r>
      <w:r>
        <w:rPr>
          <w:color w:val="000000"/>
        </w:rPr>
        <w:t xml:space="preserve"> ibid s 10C(d) and (g).</w:t>
      </w:r>
    </w:p>
  </w:footnote>
  <w:footnote w:id="63">
    <w:p w14:paraId="000000BE" w14:textId="77777777" w:rsidR="000F6456" w:rsidRDefault="00B0656D" w:rsidP="00D32A62">
      <w:pPr>
        <w:pStyle w:val="FootnoteText"/>
        <w:rPr>
          <w:color w:val="000000"/>
        </w:rPr>
      </w:pPr>
      <w:r>
        <w:rPr>
          <w:rStyle w:val="FootnoteReference"/>
        </w:rPr>
        <w:footnoteRef/>
      </w:r>
      <w:r>
        <w:rPr>
          <w:color w:val="000000"/>
        </w:rPr>
        <w:t xml:space="preserve"> Irish Human Rights and Equality Commission Act 2014, s 42(1). </w:t>
      </w:r>
    </w:p>
  </w:footnote>
  <w:footnote w:id="64">
    <w:p w14:paraId="000000BF" w14:textId="77777777" w:rsidR="000F6456" w:rsidRDefault="00B0656D" w:rsidP="00D32A62">
      <w:pPr>
        <w:pStyle w:val="FootnoteText"/>
        <w:rPr>
          <w:color w:val="000000"/>
        </w:rPr>
      </w:pPr>
      <w:r>
        <w:rPr>
          <w:rStyle w:val="FootnoteReference"/>
        </w:rPr>
        <w:footnoteRef/>
      </w:r>
      <w:r>
        <w:rPr>
          <w:color w:val="000000"/>
        </w:rPr>
        <w:t xml:space="preserve"> NMW Act 2000, s 10</w:t>
      </w:r>
      <w:proofErr w:type="gramStart"/>
      <w:r>
        <w:rPr>
          <w:color w:val="000000"/>
        </w:rPr>
        <w:t>D(</w:t>
      </w:r>
      <w:proofErr w:type="gramEnd"/>
      <w:r>
        <w:rPr>
          <w:color w:val="000000"/>
        </w:rPr>
        <w:t xml:space="preserve">1). </w:t>
      </w:r>
    </w:p>
  </w:footnote>
  <w:footnote w:id="65">
    <w:p w14:paraId="000000C0" w14:textId="77004F82" w:rsidR="000F6456" w:rsidRDefault="00B0656D" w:rsidP="00D32A62">
      <w:pPr>
        <w:pStyle w:val="FootnoteText"/>
        <w:rPr>
          <w:color w:val="000000"/>
        </w:rPr>
      </w:pPr>
      <w:r>
        <w:rPr>
          <w:rStyle w:val="FootnoteReference"/>
        </w:rPr>
        <w:footnoteRef/>
      </w:r>
      <w:r>
        <w:rPr>
          <w:color w:val="000000"/>
        </w:rPr>
        <w:t xml:space="preserve"> ibid s 10</w:t>
      </w:r>
      <w:proofErr w:type="gramStart"/>
      <w:r>
        <w:rPr>
          <w:color w:val="000000"/>
        </w:rPr>
        <w:t>D(</w:t>
      </w:r>
      <w:proofErr w:type="gramEnd"/>
      <w:r>
        <w:rPr>
          <w:color w:val="000000"/>
        </w:rPr>
        <w:t xml:space="preserve">2). </w:t>
      </w:r>
    </w:p>
  </w:footnote>
  <w:footnote w:id="66">
    <w:p w14:paraId="000000C1" w14:textId="61F7176D" w:rsidR="000F6456" w:rsidRDefault="00B0656D" w:rsidP="00D32A62">
      <w:pPr>
        <w:pStyle w:val="FootnoteText"/>
        <w:rPr>
          <w:color w:val="000000"/>
        </w:rPr>
      </w:pPr>
      <w:r>
        <w:rPr>
          <w:rStyle w:val="FootnoteReference"/>
        </w:rPr>
        <w:footnoteRef/>
      </w:r>
      <w:r>
        <w:rPr>
          <w:color w:val="000000"/>
        </w:rPr>
        <w:t xml:space="preserve"> LPC (n</w:t>
      </w:r>
      <w:r w:rsidR="006769C1">
        <w:rPr>
          <w:color w:val="000000"/>
        </w:rPr>
        <w:t xml:space="preserve"> </w:t>
      </w:r>
      <w:r w:rsidR="00733F2B">
        <w:rPr>
          <w:color w:val="000000"/>
        </w:rPr>
        <w:t>4</w:t>
      </w:r>
      <w:r>
        <w:rPr>
          <w:color w:val="000000"/>
        </w:rPr>
        <w:t>) 21.</w:t>
      </w:r>
    </w:p>
  </w:footnote>
  <w:footnote w:id="67">
    <w:p w14:paraId="000000C2" w14:textId="77777777" w:rsidR="000F6456" w:rsidRDefault="00B0656D" w:rsidP="00D32A62">
      <w:pPr>
        <w:pStyle w:val="FootnoteText"/>
        <w:rPr>
          <w:color w:val="000000"/>
        </w:rPr>
      </w:pPr>
      <w:r>
        <w:rPr>
          <w:rStyle w:val="FootnoteReference"/>
        </w:rPr>
        <w:footnoteRef/>
      </w:r>
      <w:r>
        <w:rPr>
          <w:color w:val="000000"/>
        </w:rPr>
        <w:t xml:space="preserve"> ibid.</w:t>
      </w:r>
    </w:p>
  </w:footnote>
  <w:footnote w:id="68">
    <w:p w14:paraId="000000C3" w14:textId="77777777" w:rsidR="000F6456" w:rsidRDefault="00B0656D" w:rsidP="00D32A62">
      <w:pPr>
        <w:pStyle w:val="FootnoteText"/>
        <w:rPr>
          <w:color w:val="000000"/>
        </w:rPr>
      </w:pPr>
      <w:r>
        <w:rPr>
          <w:rStyle w:val="FootnoteReference"/>
        </w:rPr>
        <w:footnoteRef/>
      </w:r>
      <w:r>
        <w:rPr>
          <w:color w:val="000000"/>
        </w:rPr>
        <w:t xml:space="preserve"> NMW Act 2000, s 23(1). </w:t>
      </w:r>
    </w:p>
  </w:footnote>
  <w:footnote w:id="69">
    <w:p w14:paraId="000000C4" w14:textId="77777777" w:rsidR="000F6456" w:rsidRDefault="00B0656D" w:rsidP="00D32A62">
      <w:pPr>
        <w:pStyle w:val="FootnoteText"/>
        <w:rPr>
          <w:color w:val="000000"/>
        </w:rPr>
      </w:pPr>
      <w:r>
        <w:rPr>
          <w:rStyle w:val="FootnoteReference"/>
        </w:rPr>
        <w:footnoteRef/>
      </w:r>
      <w:r>
        <w:rPr>
          <w:color w:val="000000"/>
        </w:rPr>
        <w:t xml:space="preserve"> ibid s 10.</w:t>
      </w:r>
    </w:p>
  </w:footnote>
  <w:footnote w:id="70">
    <w:p w14:paraId="000000C5" w14:textId="77777777" w:rsidR="000F6456" w:rsidRDefault="00B0656D" w:rsidP="00D32A62">
      <w:pPr>
        <w:pStyle w:val="FootnoteText"/>
        <w:rPr>
          <w:color w:val="000000"/>
        </w:rPr>
      </w:pPr>
      <w:r>
        <w:rPr>
          <w:rStyle w:val="FootnoteReference"/>
        </w:rPr>
        <w:footnoteRef/>
      </w:r>
      <w:r>
        <w:rPr>
          <w:color w:val="000000"/>
        </w:rPr>
        <w:t xml:space="preserve"> ibid s 20.</w:t>
      </w:r>
    </w:p>
  </w:footnote>
  <w:footnote w:id="71">
    <w:p w14:paraId="000000C6" w14:textId="77777777" w:rsidR="000F6456" w:rsidRDefault="00B0656D" w:rsidP="00D32A62">
      <w:pPr>
        <w:pStyle w:val="FootnoteText"/>
        <w:rPr>
          <w:color w:val="000000"/>
        </w:rPr>
      </w:pPr>
      <w:r>
        <w:rPr>
          <w:rStyle w:val="FootnoteReference"/>
        </w:rPr>
        <w:footnoteRef/>
      </w:r>
      <w:r>
        <w:rPr>
          <w:color w:val="000000"/>
        </w:rPr>
        <w:t xml:space="preserve"> ibid s 8(1). </w:t>
      </w:r>
    </w:p>
  </w:footnote>
  <w:footnote w:id="72">
    <w:p w14:paraId="000000C7" w14:textId="77777777" w:rsidR="000F6456" w:rsidRDefault="00B0656D" w:rsidP="00D32A62">
      <w:pPr>
        <w:pStyle w:val="FootnoteText"/>
        <w:rPr>
          <w:color w:val="000000"/>
        </w:rPr>
      </w:pPr>
      <w:r>
        <w:rPr>
          <w:rStyle w:val="FootnoteReference"/>
        </w:rPr>
        <w:footnoteRef/>
      </w:r>
      <w:r>
        <w:rPr>
          <w:color w:val="000000"/>
        </w:rPr>
        <w:t xml:space="preserve"> </w:t>
      </w:r>
      <w:r>
        <w:rPr>
          <w:i/>
          <w:color w:val="000000"/>
        </w:rPr>
        <w:t xml:space="preserve">Karpenko v </w:t>
      </w:r>
      <w:proofErr w:type="spellStart"/>
      <w:r>
        <w:rPr>
          <w:i/>
          <w:color w:val="000000"/>
        </w:rPr>
        <w:t>Freshcut</w:t>
      </w:r>
      <w:proofErr w:type="spellEnd"/>
      <w:r>
        <w:rPr>
          <w:i/>
          <w:color w:val="000000"/>
        </w:rPr>
        <w:t xml:space="preserve"> Food Services Ltd</w:t>
      </w:r>
      <w:r>
        <w:rPr>
          <w:color w:val="000000"/>
        </w:rPr>
        <w:t xml:space="preserve"> [2019] IEHC 693.</w:t>
      </w:r>
    </w:p>
  </w:footnote>
  <w:footnote w:id="73">
    <w:p w14:paraId="000000C8" w14:textId="77777777" w:rsidR="000F6456" w:rsidRDefault="00B0656D" w:rsidP="00D32A62">
      <w:pPr>
        <w:pStyle w:val="FootnoteText"/>
        <w:rPr>
          <w:color w:val="000000"/>
        </w:rPr>
      </w:pPr>
      <w:r>
        <w:rPr>
          <w:rStyle w:val="FootnoteReference"/>
        </w:rPr>
        <w:footnoteRef/>
      </w:r>
      <w:r>
        <w:rPr>
          <w:color w:val="000000"/>
        </w:rPr>
        <w:t xml:space="preserve"> NMW Act 2000, s 23(4). </w:t>
      </w:r>
    </w:p>
  </w:footnote>
  <w:footnote w:id="74">
    <w:p w14:paraId="000000C9" w14:textId="77777777" w:rsidR="000F6456" w:rsidRDefault="00B0656D" w:rsidP="00D32A62">
      <w:pPr>
        <w:pStyle w:val="FootnoteText"/>
        <w:rPr>
          <w:color w:val="000000"/>
        </w:rPr>
      </w:pPr>
      <w:r>
        <w:rPr>
          <w:rStyle w:val="FootnoteReference"/>
        </w:rPr>
        <w:footnoteRef/>
      </w:r>
      <w:r>
        <w:rPr>
          <w:color w:val="000000"/>
        </w:rPr>
        <w:t xml:space="preserve"> ibid s 15; National Minimum Wage (Prescription of Percentages of Hourly Rate of Pay) Order 2019, SI 2019/72. </w:t>
      </w:r>
    </w:p>
  </w:footnote>
  <w:footnote w:id="75">
    <w:p w14:paraId="000000CA" w14:textId="5F4A8B56" w:rsidR="000F6456" w:rsidRDefault="00B0656D" w:rsidP="00D32A62">
      <w:pPr>
        <w:pStyle w:val="FootnoteText"/>
        <w:rPr>
          <w:color w:val="000000"/>
        </w:rPr>
      </w:pPr>
      <w:r>
        <w:rPr>
          <w:rStyle w:val="FootnoteReference"/>
        </w:rPr>
        <w:footnoteRef/>
      </w:r>
      <w:r>
        <w:rPr>
          <w:color w:val="000000"/>
        </w:rPr>
        <w:t xml:space="preserve"> European Committee of Social Rights, ‘Conclusions 2022. Ireland’ (Council of Europe, 2023) 17.</w:t>
      </w:r>
    </w:p>
  </w:footnote>
  <w:footnote w:id="76">
    <w:p w14:paraId="000000CB" w14:textId="77777777" w:rsidR="000F6456" w:rsidRDefault="00B0656D" w:rsidP="00D32A62">
      <w:pPr>
        <w:pStyle w:val="FootnoteText"/>
        <w:rPr>
          <w:color w:val="000000"/>
        </w:rPr>
      </w:pPr>
      <w:r>
        <w:rPr>
          <w:rStyle w:val="FootnoteReference"/>
        </w:rPr>
        <w:footnoteRef/>
      </w:r>
      <w:r>
        <w:rPr>
          <w:color w:val="000000"/>
        </w:rPr>
        <w:t xml:space="preserve"> Workplace Relations Commission Act 2015, s 41(2) and NMW Act 2000, s 24(2).</w:t>
      </w:r>
    </w:p>
  </w:footnote>
  <w:footnote w:id="77">
    <w:p w14:paraId="000000CC" w14:textId="77777777" w:rsidR="000F6456" w:rsidRDefault="00B0656D" w:rsidP="00D32A62">
      <w:pPr>
        <w:pStyle w:val="FootnoteText"/>
        <w:rPr>
          <w:color w:val="000000"/>
        </w:rPr>
      </w:pPr>
      <w:r>
        <w:rPr>
          <w:rStyle w:val="FootnoteReference"/>
        </w:rPr>
        <w:footnoteRef/>
      </w:r>
      <w:r>
        <w:rPr>
          <w:color w:val="000000"/>
        </w:rPr>
        <w:t xml:space="preserve"> </w:t>
      </w:r>
      <w:r w:rsidRPr="0075043A">
        <w:t>NMW Act 2000</w:t>
      </w:r>
      <w:r>
        <w:rPr>
          <w:color w:val="000000"/>
        </w:rPr>
        <w:t>, s 24(2)(b).</w:t>
      </w:r>
    </w:p>
  </w:footnote>
  <w:footnote w:id="78">
    <w:p w14:paraId="000000CD" w14:textId="77777777" w:rsidR="000F6456" w:rsidRDefault="00B0656D" w:rsidP="00D32A62">
      <w:pPr>
        <w:pStyle w:val="FootnoteText"/>
        <w:rPr>
          <w:color w:val="000000"/>
        </w:rPr>
      </w:pPr>
      <w:r>
        <w:rPr>
          <w:rStyle w:val="FootnoteReference"/>
        </w:rPr>
        <w:footnoteRef/>
      </w:r>
      <w:r>
        <w:rPr>
          <w:color w:val="000000"/>
        </w:rPr>
        <w:t xml:space="preserve"> ibid s 26(1). The adjudicator can also direct the employer to pay ‘reasonable expenses’ that the employee incurred ‘in connection with the dispute’.</w:t>
      </w:r>
    </w:p>
  </w:footnote>
  <w:footnote w:id="79">
    <w:p w14:paraId="000000CE" w14:textId="77777777" w:rsidR="000F6456" w:rsidRDefault="00B0656D" w:rsidP="00D32A62">
      <w:pPr>
        <w:pStyle w:val="FootnoteText"/>
        <w:rPr>
          <w:color w:val="000000"/>
        </w:rPr>
      </w:pPr>
      <w:r>
        <w:rPr>
          <w:rStyle w:val="FootnoteReference"/>
        </w:rPr>
        <w:footnoteRef/>
      </w:r>
      <w:r>
        <w:rPr>
          <w:color w:val="000000"/>
        </w:rPr>
        <w:t xml:space="preserve"> ibid. </w:t>
      </w:r>
    </w:p>
  </w:footnote>
  <w:footnote w:id="80">
    <w:p w14:paraId="000000CF" w14:textId="49D03ACF" w:rsidR="000F6456" w:rsidRDefault="00B0656D" w:rsidP="00D32A62">
      <w:pPr>
        <w:pStyle w:val="FootnoteText"/>
        <w:rPr>
          <w:color w:val="000000"/>
        </w:rPr>
      </w:pPr>
      <w:r>
        <w:rPr>
          <w:rStyle w:val="FootnoteReference"/>
        </w:rPr>
        <w:footnoteRef/>
      </w:r>
      <w:r>
        <w:rPr>
          <w:color w:val="000000"/>
        </w:rPr>
        <w:t xml:space="preserve"> Art 13</w:t>
      </w:r>
      <w:r w:rsidR="0075043A">
        <w:rPr>
          <w:color w:val="000000"/>
        </w:rPr>
        <w:t xml:space="preserve"> of the AMW Directive</w:t>
      </w:r>
      <w:r>
        <w:rPr>
          <w:color w:val="000000"/>
        </w:rPr>
        <w:t>.</w:t>
      </w:r>
    </w:p>
  </w:footnote>
  <w:footnote w:id="81">
    <w:p w14:paraId="000000D0" w14:textId="546CE580" w:rsidR="000F6456" w:rsidRDefault="00B0656D" w:rsidP="00D32A62">
      <w:pPr>
        <w:pStyle w:val="FootnoteText"/>
        <w:rPr>
          <w:color w:val="000000"/>
        </w:rPr>
      </w:pPr>
      <w:r>
        <w:rPr>
          <w:rStyle w:val="FootnoteReference"/>
        </w:rPr>
        <w:footnoteRef/>
      </w:r>
      <w:r>
        <w:rPr>
          <w:color w:val="000000"/>
        </w:rPr>
        <w:t xml:space="preserve"> </w:t>
      </w:r>
      <w:r w:rsidR="0075043A" w:rsidRPr="0075043A">
        <w:t>NMW Act 2000</w:t>
      </w:r>
      <w:r w:rsidR="0075043A">
        <w:t xml:space="preserve">, </w:t>
      </w:r>
      <w:r>
        <w:rPr>
          <w:color w:val="000000"/>
        </w:rPr>
        <w:t>s 36(2).</w:t>
      </w:r>
    </w:p>
  </w:footnote>
  <w:footnote w:id="82">
    <w:p w14:paraId="000000D1" w14:textId="77777777" w:rsidR="000F6456" w:rsidRDefault="00B0656D" w:rsidP="00D32A62">
      <w:pPr>
        <w:pStyle w:val="FootnoteText"/>
        <w:rPr>
          <w:color w:val="000000"/>
        </w:rPr>
      </w:pPr>
      <w:r>
        <w:rPr>
          <w:rStyle w:val="FootnoteReference"/>
        </w:rPr>
        <w:footnoteRef/>
      </w:r>
      <w:r>
        <w:rPr>
          <w:color w:val="000000"/>
        </w:rPr>
        <w:t xml:space="preserve"> ibid s 36(3).</w:t>
      </w:r>
    </w:p>
  </w:footnote>
  <w:footnote w:id="83">
    <w:p w14:paraId="000000D2" w14:textId="70AD3238" w:rsidR="000F6456" w:rsidRDefault="00B0656D" w:rsidP="00D32A62">
      <w:pPr>
        <w:pStyle w:val="FootnoteText"/>
        <w:rPr>
          <w:color w:val="000000"/>
        </w:rPr>
      </w:pPr>
      <w:r>
        <w:rPr>
          <w:rStyle w:val="FootnoteReference"/>
        </w:rPr>
        <w:footnoteRef/>
      </w:r>
      <w:r>
        <w:rPr>
          <w:color w:val="000000"/>
        </w:rPr>
        <w:t xml:space="preserve"> WRC, ‘Workplace Relations Commission Annual Report 2022’ (WRC, 2023) 100.</w:t>
      </w:r>
    </w:p>
  </w:footnote>
  <w:footnote w:id="84">
    <w:p w14:paraId="000000D3" w14:textId="3F6C7C90" w:rsidR="000F6456" w:rsidRDefault="00B0656D" w:rsidP="00D32A62">
      <w:pPr>
        <w:pStyle w:val="FootnoteText"/>
        <w:rPr>
          <w:color w:val="000000"/>
        </w:rPr>
      </w:pPr>
      <w:r>
        <w:rPr>
          <w:rStyle w:val="FootnoteReference"/>
        </w:rPr>
        <w:footnoteRef/>
      </w:r>
      <w:r>
        <w:rPr>
          <w:color w:val="000000"/>
        </w:rPr>
        <w:t xml:space="preserve"> WRC, ‘Workplace Relations Commission Annual Report 2019’ (WRC, 2020) 22 and 45.</w:t>
      </w:r>
    </w:p>
  </w:footnote>
  <w:footnote w:id="85">
    <w:p w14:paraId="000000D4" w14:textId="515ECD6F" w:rsidR="000F6456" w:rsidRPr="000A3421" w:rsidRDefault="00B0656D" w:rsidP="00D32A62">
      <w:pPr>
        <w:pStyle w:val="FootnoteText"/>
        <w:rPr>
          <w:color w:val="000000"/>
        </w:rPr>
      </w:pPr>
      <w:r w:rsidRPr="000A3421">
        <w:rPr>
          <w:rStyle w:val="FootnoteReference"/>
        </w:rPr>
        <w:footnoteRef/>
      </w:r>
      <w:r w:rsidRPr="000A3421">
        <w:rPr>
          <w:color w:val="000000"/>
        </w:rPr>
        <w:t xml:space="preserve"> </w:t>
      </w:r>
      <w:r w:rsidR="00DD7714" w:rsidRPr="000A3421">
        <w:rPr>
          <w:color w:val="000000"/>
        </w:rPr>
        <w:t xml:space="preserve">ibid </w:t>
      </w:r>
      <w:r w:rsidRPr="000A3421">
        <w:rPr>
          <w:color w:val="000000"/>
        </w:rPr>
        <w:t>100.</w:t>
      </w:r>
    </w:p>
  </w:footnote>
  <w:footnote w:id="86">
    <w:p w14:paraId="000000D5" w14:textId="3A6B10F9" w:rsidR="000F6456" w:rsidRDefault="00B0656D" w:rsidP="00D32A62">
      <w:pPr>
        <w:pStyle w:val="FootnoteText"/>
        <w:rPr>
          <w:color w:val="000000"/>
        </w:rPr>
      </w:pPr>
      <w:r w:rsidRPr="000A3421">
        <w:rPr>
          <w:rStyle w:val="FootnoteReference"/>
        </w:rPr>
        <w:footnoteRef/>
      </w:r>
      <w:r w:rsidRPr="000A3421">
        <w:rPr>
          <w:color w:val="000000"/>
        </w:rPr>
        <w:t xml:space="preserve"> </w:t>
      </w:r>
      <w:r w:rsidR="000031AA" w:rsidRPr="000A3421">
        <w:rPr>
          <w:color w:val="000000"/>
        </w:rPr>
        <w:t xml:space="preserve">NMW </w:t>
      </w:r>
      <w:r w:rsidRPr="000A3421">
        <w:rPr>
          <w:color w:val="000000"/>
        </w:rPr>
        <w:t>Act 2000, s 34(2)</w:t>
      </w:r>
      <w:r>
        <w:rPr>
          <w:color w:val="000000"/>
        </w:rPr>
        <w:t xml:space="preserve">. </w:t>
      </w:r>
    </w:p>
  </w:footnote>
  <w:footnote w:id="87">
    <w:p w14:paraId="000000D6" w14:textId="77777777" w:rsidR="000F6456" w:rsidRDefault="00B0656D" w:rsidP="00D32A62">
      <w:pPr>
        <w:pStyle w:val="FootnoteText"/>
        <w:rPr>
          <w:color w:val="000000"/>
        </w:rPr>
      </w:pPr>
      <w:r>
        <w:rPr>
          <w:rStyle w:val="FootnoteReference"/>
        </w:rPr>
        <w:footnoteRef/>
      </w:r>
      <w:r>
        <w:rPr>
          <w:color w:val="000000"/>
        </w:rPr>
        <w:t xml:space="preserve"> ibid s 22(1). </w:t>
      </w:r>
    </w:p>
  </w:footnote>
  <w:footnote w:id="88">
    <w:p w14:paraId="000000D7" w14:textId="7BC16EE7" w:rsidR="000F6456" w:rsidRDefault="00B0656D" w:rsidP="00D32A62">
      <w:pPr>
        <w:pStyle w:val="FootnoteText"/>
        <w:rPr>
          <w:color w:val="000000"/>
        </w:rPr>
      </w:pPr>
      <w:r>
        <w:rPr>
          <w:rStyle w:val="FootnoteReference"/>
        </w:rPr>
        <w:footnoteRef/>
      </w:r>
      <w:r>
        <w:rPr>
          <w:color w:val="000000"/>
        </w:rPr>
        <w:t xml:space="preserve"> WRC (n </w:t>
      </w:r>
      <w:r w:rsidR="00733F2B">
        <w:rPr>
          <w:color w:val="000000"/>
        </w:rPr>
        <w:t>84</w:t>
      </w:r>
      <w:r>
        <w:rPr>
          <w:color w:val="000000"/>
        </w:rPr>
        <w:t>) 31.</w:t>
      </w:r>
    </w:p>
  </w:footnote>
  <w:footnote w:id="89">
    <w:p w14:paraId="000000D8" w14:textId="3876EAC9" w:rsidR="000F6456" w:rsidRDefault="00B0656D" w:rsidP="00D32A62">
      <w:pPr>
        <w:pStyle w:val="FootnoteText"/>
        <w:rPr>
          <w:color w:val="000000"/>
        </w:rPr>
      </w:pPr>
      <w:r w:rsidRPr="000A3421">
        <w:rPr>
          <w:rStyle w:val="FootnoteReference"/>
        </w:rPr>
        <w:footnoteRef/>
      </w:r>
      <w:r w:rsidRPr="000A3421">
        <w:rPr>
          <w:color w:val="000000"/>
        </w:rPr>
        <w:t xml:space="preserve"> </w:t>
      </w:r>
      <w:r w:rsidR="000031AA" w:rsidRPr="000A3421">
        <w:rPr>
          <w:color w:val="000000"/>
        </w:rPr>
        <w:t xml:space="preserve">NMW </w:t>
      </w:r>
      <w:r w:rsidRPr="000A3421">
        <w:rPr>
          <w:color w:val="000000"/>
        </w:rPr>
        <w:t>Act 2000</w:t>
      </w:r>
      <w:r>
        <w:rPr>
          <w:color w:val="000000"/>
        </w:rPr>
        <w:t>, s 37.</w:t>
      </w:r>
    </w:p>
  </w:footnote>
  <w:footnote w:id="90">
    <w:p w14:paraId="000000D9" w14:textId="77777777" w:rsidR="000F6456" w:rsidRDefault="00B0656D" w:rsidP="00D32A62">
      <w:pPr>
        <w:pStyle w:val="FootnoteText"/>
        <w:rPr>
          <w:color w:val="000000"/>
        </w:rPr>
      </w:pPr>
      <w:r>
        <w:rPr>
          <w:rStyle w:val="FootnoteReference"/>
        </w:rPr>
        <w:footnoteRef/>
      </w:r>
      <w:r>
        <w:rPr>
          <w:color w:val="000000"/>
        </w:rPr>
        <w:t xml:space="preserve"> NMW Act 2000, s 37(1). </w:t>
      </w:r>
    </w:p>
  </w:footnote>
  <w:footnote w:id="91">
    <w:p w14:paraId="000000DA" w14:textId="19516AB7" w:rsidR="000F6456" w:rsidRDefault="00B0656D" w:rsidP="00D32A62">
      <w:pPr>
        <w:pStyle w:val="FootnoteText"/>
        <w:rPr>
          <w:color w:val="000000"/>
        </w:rPr>
      </w:pPr>
      <w:r>
        <w:rPr>
          <w:rStyle w:val="FootnoteReference"/>
        </w:rPr>
        <w:footnoteRef/>
      </w:r>
      <w:r>
        <w:rPr>
          <w:color w:val="000000"/>
        </w:rPr>
        <w:t xml:space="preserve"> LPC (n</w:t>
      </w:r>
      <w:r w:rsidR="006769C1">
        <w:rPr>
          <w:color w:val="000000"/>
        </w:rPr>
        <w:t xml:space="preserve"> </w:t>
      </w:r>
      <w:r w:rsidR="00733F2B">
        <w:rPr>
          <w:color w:val="000000"/>
        </w:rPr>
        <w:t>4</w:t>
      </w:r>
      <w:r>
        <w:rPr>
          <w:color w:val="000000"/>
        </w:rPr>
        <w:t>) 35.</w:t>
      </w:r>
    </w:p>
  </w:footnote>
  <w:footnote w:id="92">
    <w:p w14:paraId="000000DB" w14:textId="6377BA4E" w:rsidR="000F6456" w:rsidRDefault="00B0656D" w:rsidP="00D32A62">
      <w:pPr>
        <w:pStyle w:val="FootnoteText"/>
        <w:rPr>
          <w:color w:val="000000"/>
        </w:rPr>
      </w:pPr>
      <w:r>
        <w:rPr>
          <w:rStyle w:val="FootnoteReference"/>
        </w:rPr>
        <w:footnoteRef/>
      </w:r>
      <w:r w:rsidR="006B0FF4">
        <w:rPr>
          <w:color w:val="000000"/>
        </w:rPr>
        <w:t xml:space="preserve"> ibid 43–</w:t>
      </w:r>
      <w:r>
        <w:rPr>
          <w:color w:val="000000"/>
        </w:rPr>
        <w:t>44.</w:t>
      </w:r>
    </w:p>
  </w:footnote>
  <w:footnote w:id="93">
    <w:p w14:paraId="000000DC" w14:textId="77777777" w:rsidR="000F6456" w:rsidRDefault="00B0656D" w:rsidP="00D32A62">
      <w:pPr>
        <w:pStyle w:val="FootnoteText"/>
        <w:rPr>
          <w:color w:val="000000"/>
        </w:rPr>
      </w:pPr>
      <w:r>
        <w:rPr>
          <w:rStyle w:val="FootnoteReference"/>
        </w:rPr>
        <w:footnoteRef/>
      </w:r>
      <w:r>
        <w:rPr>
          <w:color w:val="000000"/>
        </w:rPr>
        <w:t xml:space="preserve"> ibid 44.</w:t>
      </w:r>
    </w:p>
  </w:footnote>
  <w:footnote w:id="94">
    <w:p w14:paraId="000000DD" w14:textId="5F8405B3" w:rsidR="000F6456" w:rsidRDefault="00B0656D" w:rsidP="00D32A62">
      <w:pPr>
        <w:pStyle w:val="FootnoteText"/>
        <w:rPr>
          <w:color w:val="000000"/>
        </w:rPr>
      </w:pPr>
      <w:r>
        <w:rPr>
          <w:rStyle w:val="FootnoteReference"/>
        </w:rPr>
        <w:footnoteRef/>
      </w:r>
      <w:r>
        <w:rPr>
          <w:color w:val="000000"/>
        </w:rPr>
        <w:t xml:space="preserve"> National Minimum Wage Order 2022, SI 2022/500, </w:t>
      </w:r>
      <w:r w:rsidR="006B174E">
        <w:rPr>
          <w:color w:val="000000"/>
        </w:rPr>
        <w:t>A</w:t>
      </w:r>
      <w:r>
        <w:rPr>
          <w:color w:val="000000"/>
        </w:rPr>
        <w:t>rts 2</w:t>
      </w:r>
      <w:r w:rsidR="006B174E">
        <w:rPr>
          <w:color w:val="000000"/>
        </w:rPr>
        <w:t>–</w:t>
      </w:r>
      <w:r>
        <w:rPr>
          <w:color w:val="000000"/>
        </w:rPr>
        <w:t>3.</w:t>
      </w:r>
    </w:p>
  </w:footnote>
  <w:footnote w:id="95">
    <w:p w14:paraId="000000DE" w14:textId="66DB9F49" w:rsidR="000F6456" w:rsidRDefault="00B0656D" w:rsidP="00D32A62">
      <w:pPr>
        <w:pStyle w:val="FootnoteText"/>
        <w:rPr>
          <w:color w:val="000000"/>
        </w:rPr>
      </w:pPr>
      <w:r>
        <w:rPr>
          <w:rStyle w:val="FootnoteReference"/>
        </w:rPr>
        <w:footnoteRef/>
      </w:r>
      <w:r>
        <w:rPr>
          <w:color w:val="000000"/>
        </w:rPr>
        <w:t xml:space="preserve"> LPC, ‘Report on the allowances provided for board &amp; lodgings und</w:t>
      </w:r>
      <w:r w:rsidR="0075043A">
        <w:rPr>
          <w:color w:val="000000"/>
        </w:rPr>
        <w:t>er the national minimum wage’ (</w:t>
      </w:r>
      <w:r>
        <w:rPr>
          <w:color w:val="000000"/>
        </w:rPr>
        <w:t>LPC, 2017) 6.</w:t>
      </w:r>
    </w:p>
  </w:footnote>
  <w:footnote w:id="96">
    <w:p w14:paraId="000000DF" w14:textId="04D839B7" w:rsidR="000F6456" w:rsidRDefault="00B0656D" w:rsidP="00D32A62">
      <w:pPr>
        <w:pStyle w:val="FootnoteText"/>
        <w:rPr>
          <w:color w:val="000000"/>
        </w:rPr>
      </w:pPr>
      <w:r>
        <w:rPr>
          <w:rStyle w:val="FootnoteReference"/>
        </w:rPr>
        <w:footnoteRef/>
      </w:r>
      <w:r>
        <w:rPr>
          <w:color w:val="000000"/>
        </w:rPr>
        <w:t xml:space="preserve"> European Committee of Social Rights, ‘Conclusions 2022. Ireland’ (Council of Europe, 2023) 27.</w:t>
      </w:r>
    </w:p>
  </w:footnote>
  <w:footnote w:id="97">
    <w:p w14:paraId="000000E0" w14:textId="762AD7CD" w:rsidR="000F6456" w:rsidRDefault="00B0656D" w:rsidP="00D32A62">
      <w:pPr>
        <w:pStyle w:val="FootnoteText"/>
        <w:rPr>
          <w:color w:val="000000"/>
        </w:rPr>
      </w:pPr>
      <w:r>
        <w:rPr>
          <w:rStyle w:val="FootnoteReference"/>
        </w:rPr>
        <w:footnoteRef/>
      </w:r>
      <w:r>
        <w:rPr>
          <w:color w:val="000000"/>
        </w:rPr>
        <w:t xml:space="preserve"> </w:t>
      </w:r>
      <w:proofErr w:type="spellStart"/>
      <w:r>
        <w:rPr>
          <w:color w:val="000000"/>
        </w:rPr>
        <w:t>Eurofound</w:t>
      </w:r>
      <w:proofErr w:type="spellEnd"/>
      <w:r>
        <w:rPr>
          <w:color w:val="000000"/>
        </w:rPr>
        <w:t>, ‘Living and Worki</w:t>
      </w:r>
      <w:r w:rsidR="006B174E">
        <w:rPr>
          <w:color w:val="000000"/>
        </w:rPr>
        <w:t xml:space="preserve">ng in Ireland’ (27 April 2023) </w:t>
      </w:r>
      <w:r w:rsidR="00DD7714" w:rsidRPr="00733F2B">
        <w:t>https://www.eurofound.europa.eu/country/ireland#collective-bargaining</w:t>
      </w:r>
      <w:r>
        <w:rPr>
          <w:color w:val="00000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3A679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C216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DD498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8E009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9EB2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C433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0255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EA072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7642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9087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3C636F"/>
    <w:multiLevelType w:val="multilevel"/>
    <w:tmpl w:val="570CEAA6"/>
    <w:lvl w:ilvl="0">
      <w:start w:val="32"/>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EA7730F"/>
    <w:multiLevelType w:val="multilevel"/>
    <w:tmpl w:val="AA0AEEE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CE1937"/>
    <w:multiLevelType w:val="multilevel"/>
    <w:tmpl w:val="163C83D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5FF712B"/>
    <w:multiLevelType w:val="hybridMultilevel"/>
    <w:tmpl w:val="B22CE870"/>
    <w:lvl w:ilvl="0" w:tplc="4E4C1EEC">
      <w:start w:val="1"/>
      <w:numFmt w:val="upperRoman"/>
      <w:pStyle w:val="ListParagraph"/>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71B462B2"/>
    <w:multiLevelType w:val="hybridMultilevel"/>
    <w:tmpl w:val="3BB4BD9E"/>
    <w:lvl w:ilvl="0" w:tplc="C8F26B8A">
      <w:start w:val="1"/>
      <w:numFmt w:val="upperLetter"/>
      <w:lvlText w:val="%1.  "/>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884054737">
    <w:abstractNumId w:val="12"/>
  </w:num>
  <w:num w:numId="2" w16cid:durableId="509612898">
    <w:abstractNumId w:val="11"/>
  </w:num>
  <w:num w:numId="3" w16cid:durableId="1227574292">
    <w:abstractNumId w:val="10"/>
  </w:num>
  <w:num w:numId="4" w16cid:durableId="1076051402">
    <w:abstractNumId w:val="10"/>
    <w:lvlOverride w:ilvl="0">
      <w:startOverride w:val="32"/>
    </w:lvlOverride>
    <w:lvlOverride w:ilvl="1">
      <w:startOverride w:val="2"/>
    </w:lvlOverride>
    <w:lvlOverride w:ilvl="2">
      <w:startOverride w:val="3"/>
    </w:lvlOverride>
  </w:num>
  <w:num w:numId="5" w16cid:durableId="1974871319">
    <w:abstractNumId w:val="10"/>
  </w:num>
  <w:num w:numId="6" w16cid:durableId="777598535">
    <w:abstractNumId w:val="13"/>
  </w:num>
  <w:num w:numId="7" w16cid:durableId="1401060152">
    <w:abstractNumId w:val="14"/>
  </w:num>
  <w:num w:numId="8" w16cid:durableId="461702757">
    <w:abstractNumId w:val="9"/>
  </w:num>
  <w:num w:numId="9" w16cid:durableId="556402106">
    <w:abstractNumId w:val="7"/>
  </w:num>
  <w:num w:numId="10" w16cid:durableId="998729241">
    <w:abstractNumId w:val="6"/>
  </w:num>
  <w:num w:numId="11" w16cid:durableId="975989916">
    <w:abstractNumId w:val="5"/>
  </w:num>
  <w:num w:numId="12" w16cid:durableId="88893065">
    <w:abstractNumId w:val="4"/>
  </w:num>
  <w:num w:numId="13" w16cid:durableId="532577685">
    <w:abstractNumId w:val="8"/>
  </w:num>
  <w:num w:numId="14" w16cid:durableId="820777353">
    <w:abstractNumId w:val="3"/>
  </w:num>
  <w:num w:numId="15" w16cid:durableId="1929387885">
    <w:abstractNumId w:val="2"/>
  </w:num>
  <w:num w:numId="16" w16cid:durableId="73017710">
    <w:abstractNumId w:val="1"/>
  </w:num>
  <w:num w:numId="17" w16cid:durableId="574240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56"/>
    <w:rsid w:val="000031AA"/>
    <w:rsid w:val="00022DF8"/>
    <w:rsid w:val="00047D80"/>
    <w:rsid w:val="000618EA"/>
    <w:rsid w:val="0007713C"/>
    <w:rsid w:val="000A3421"/>
    <w:rsid w:val="000F38A6"/>
    <w:rsid w:val="000F6456"/>
    <w:rsid w:val="00134DCB"/>
    <w:rsid w:val="001401D8"/>
    <w:rsid w:val="001648AE"/>
    <w:rsid w:val="001729B1"/>
    <w:rsid w:val="001729F1"/>
    <w:rsid w:val="00185E24"/>
    <w:rsid w:val="00191BDD"/>
    <w:rsid w:val="001B1374"/>
    <w:rsid w:val="001C53F3"/>
    <w:rsid w:val="001D2AEF"/>
    <w:rsid w:val="001E4D3A"/>
    <w:rsid w:val="001F338F"/>
    <w:rsid w:val="00202AEE"/>
    <w:rsid w:val="002079DF"/>
    <w:rsid w:val="00221F94"/>
    <w:rsid w:val="00261B9B"/>
    <w:rsid w:val="00292A09"/>
    <w:rsid w:val="002B521C"/>
    <w:rsid w:val="00333D70"/>
    <w:rsid w:val="003440B8"/>
    <w:rsid w:val="003943F5"/>
    <w:rsid w:val="003B23F7"/>
    <w:rsid w:val="00443FFA"/>
    <w:rsid w:val="004451D8"/>
    <w:rsid w:val="00453C39"/>
    <w:rsid w:val="00473865"/>
    <w:rsid w:val="004E26D2"/>
    <w:rsid w:val="00511E4A"/>
    <w:rsid w:val="00512DB3"/>
    <w:rsid w:val="00547FD7"/>
    <w:rsid w:val="005B4BBB"/>
    <w:rsid w:val="005B5BB5"/>
    <w:rsid w:val="005B681F"/>
    <w:rsid w:val="005D1345"/>
    <w:rsid w:val="005D13E7"/>
    <w:rsid w:val="00604DF2"/>
    <w:rsid w:val="00660AF9"/>
    <w:rsid w:val="006769C1"/>
    <w:rsid w:val="006840A4"/>
    <w:rsid w:val="006B0FF4"/>
    <w:rsid w:val="006B174E"/>
    <w:rsid w:val="00701EBD"/>
    <w:rsid w:val="00703707"/>
    <w:rsid w:val="00733F2B"/>
    <w:rsid w:val="0075043A"/>
    <w:rsid w:val="00764EF2"/>
    <w:rsid w:val="00782E0A"/>
    <w:rsid w:val="00795DCE"/>
    <w:rsid w:val="007B261A"/>
    <w:rsid w:val="0081311F"/>
    <w:rsid w:val="008C1245"/>
    <w:rsid w:val="008C44F4"/>
    <w:rsid w:val="008E7C5F"/>
    <w:rsid w:val="008F1229"/>
    <w:rsid w:val="00920B03"/>
    <w:rsid w:val="009353DF"/>
    <w:rsid w:val="009612F7"/>
    <w:rsid w:val="00965122"/>
    <w:rsid w:val="00965222"/>
    <w:rsid w:val="009714CF"/>
    <w:rsid w:val="009A017F"/>
    <w:rsid w:val="009F6A57"/>
    <w:rsid w:val="009F7AB0"/>
    <w:rsid w:val="00A3085D"/>
    <w:rsid w:val="00A33279"/>
    <w:rsid w:val="00A50841"/>
    <w:rsid w:val="00A533BE"/>
    <w:rsid w:val="00A60A2C"/>
    <w:rsid w:val="00A960B7"/>
    <w:rsid w:val="00AA2543"/>
    <w:rsid w:val="00B0656D"/>
    <w:rsid w:val="00B30700"/>
    <w:rsid w:val="00B3387E"/>
    <w:rsid w:val="00B33D43"/>
    <w:rsid w:val="00B46B46"/>
    <w:rsid w:val="00B46ED1"/>
    <w:rsid w:val="00B64962"/>
    <w:rsid w:val="00B73400"/>
    <w:rsid w:val="00BE02A3"/>
    <w:rsid w:val="00C54315"/>
    <w:rsid w:val="00C62E62"/>
    <w:rsid w:val="00C80168"/>
    <w:rsid w:val="00CB2463"/>
    <w:rsid w:val="00D16B55"/>
    <w:rsid w:val="00D32A62"/>
    <w:rsid w:val="00D47367"/>
    <w:rsid w:val="00D66C22"/>
    <w:rsid w:val="00D731C0"/>
    <w:rsid w:val="00D86C9F"/>
    <w:rsid w:val="00DB7D8A"/>
    <w:rsid w:val="00DD1EFF"/>
    <w:rsid w:val="00DD7714"/>
    <w:rsid w:val="00E058A6"/>
    <w:rsid w:val="00E12B05"/>
    <w:rsid w:val="00E2458A"/>
    <w:rsid w:val="00E24696"/>
    <w:rsid w:val="00E3356F"/>
    <w:rsid w:val="00E41B3A"/>
    <w:rsid w:val="00E42523"/>
    <w:rsid w:val="00E4552F"/>
    <w:rsid w:val="00E70ED9"/>
    <w:rsid w:val="00ED5595"/>
    <w:rsid w:val="00ED7424"/>
    <w:rsid w:val="00EF34C3"/>
    <w:rsid w:val="00F1187C"/>
    <w:rsid w:val="00F670CD"/>
    <w:rsid w:val="00F94FDF"/>
    <w:rsid w:val="00FA6ADC"/>
    <w:rsid w:val="00FD08EF"/>
    <w:rsid w:val="00FD4A79"/>
    <w:rsid w:val="00FF5485"/>
  </w:rsids>
  <m:mathPr>
    <m:mathFont m:val="Cambria Math"/>
    <m:brkBin m:val="before"/>
    <m:brkBinSub m:val="--"/>
    <m:smallFrac m:val="0"/>
    <m:dispDef/>
    <m:lMargin m:val="0"/>
    <m:rMargin m:val="0"/>
    <m:defJc m:val="centerGroup"/>
    <m:wrapIndent m:val="1440"/>
    <m:intLim m:val="subSup"/>
    <m:naryLim m:val="undOvr"/>
  </m:mathPr>
  <w:themeFontLang w:val="en-IE"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F7D9"/>
  <w15:docId w15:val="{A576A23C-35E0-48B8-A206-2A85BA645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E" w:eastAsia="en-IE"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70"/>
    <w:pPr>
      <w:spacing w:before="120" w:after="120" w:line="360" w:lineRule="auto"/>
      <w:jc w:val="both"/>
    </w:pPr>
    <w:rPr>
      <w:lang w:val="en-US" w:eastAsia="en-US"/>
    </w:rPr>
  </w:style>
  <w:style w:type="paragraph" w:styleId="Heading1">
    <w:name w:val="heading 1"/>
    <w:basedOn w:val="Normal"/>
    <w:next w:val="Normal"/>
    <w:qFormat/>
    <w:rsid w:val="00333D70"/>
    <w:pPr>
      <w:autoSpaceDE w:val="0"/>
      <w:autoSpaceDN w:val="0"/>
      <w:adjustRightInd w:val="0"/>
      <w:spacing w:before="480" w:after="360"/>
      <w:jc w:val="center"/>
      <w:outlineLvl w:val="0"/>
    </w:pPr>
    <w:rPr>
      <w:rFonts w:ascii="TimesNRMT" w:hAnsi="TimesNRMT" w:cs="TimesNRMT"/>
      <w:sz w:val="32"/>
      <w:szCs w:val="28"/>
    </w:rPr>
  </w:style>
  <w:style w:type="paragraph" w:styleId="Heading2">
    <w:name w:val="heading 2"/>
    <w:next w:val="Normal"/>
    <w:qFormat/>
    <w:rsid w:val="00333D70"/>
    <w:pPr>
      <w:spacing w:before="480" w:after="240" w:line="240" w:lineRule="auto"/>
      <w:outlineLvl w:val="1"/>
    </w:pPr>
    <w:rPr>
      <w:bCs/>
      <w:color w:val="000080"/>
      <w:sz w:val="28"/>
      <w:szCs w:val="28"/>
      <w:lang w:val="en-US" w:eastAsia="en-US"/>
    </w:rPr>
  </w:style>
  <w:style w:type="paragraph" w:styleId="Heading3">
    <w:name w:val="heading 3"/>
    <w:next w:val="Normal"/>
    <w:qFormat/>
    <w:rsid w:val="00333D70"/>
    <w:pPr>
      <w:keepNext/>
      <w:spacing w:before="360" w:after="240" w:line="240" w:lineRule="auto"/>
      <w:outlineLvl w:val="2"/>
    </w:pPr>
    <w:rPr>
      <w:rFonts w:ascii="Arial" w:hAnsi="Arial" w:cs="Arial"/>
      <w:bCs/>
      <w:color w:val="FF0000"/>
      <w:lang w:val="en-US" w:eastAsia="en-US"/>
    </w:rPr>
  </w:style>
  <w:style w:type="paragraph" w:styleId="Heading4">
    <w:name w:val="heading 4"/>
    <w:next w:val="Normal"/>
    <w:qFormat/>
    <w:rsid w:val="00333D70"/>
    <w:pPr>
      <w:spacing w:before="360" w:line="240" w:lineRule="auto"/>
      <w:outlineLvl w:val="3"/>
    </w:pPr>
    <w:rPr>
      <w:bCs/>
      <w:color w:val="800080"/>
      <w:lang w:val="en-GB" w:eastAsia="en-US"/>
    </w:rPr>
  </w:style>
  <w:style w:type="paragraph" w:styleId="Heading5">
    <w:name w:val="heading 5"/>
    <w:basedOn w:val="Normal"/>
    <w:next w:val="Normal"/>
    <w:qFormat/>
    <w:rsid w:val="00333D70"/>
    <w:pPr>
      <w:spacing w:before="360"/>
      <w:outlineLvl w:val="4"/>
    </w:pPr>
    <w:rPr>
      <w:color w:val="FF6600"/>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33D70"/>
    <w:pPr>
      <w:spacing w:before="240" w:after="60"/>
      <w:jc w:val="center"/>
      <w:outlineLvl w:val="0"/>
    </w:pPr>
    <w:rPr>
      <w:rFonts w:ascii="Arial" w:hAnsi="Arial" w:cs="Arial"/>
      <w:b/>
      <w:bCs/>
      <w:kern w:val="28"/>
      <w:sz w:val="32"/>
      <w:szCs w:val="32"/>
    </w:rPr>
  </w:style>
  <w:style w:type="paragraph" w:styleId="FootnoteText">
    <w:name w:val="footnote text"/>
    <w:basedOn w:val="Normal"/>
    <w:link w:val="FootnoteTextChar"/>
    <w:uiPriority w:val="99"/>
    <w:unhideWhenUsed/>
    <w:rsid w:val="00557A1C"/>
    <w:pPr>
      <w:spacing w:line="240" w:lineRule="auto"/>
    </w:pPr>
    <w:rPr>
      <w:sz w:val="20"/>
      <w:szCs w:val="20"/>
    </w:rPr>
  </w:style>
  <w:style w:type="character" w:customStyle="1" w:styleId="FootnoteTextChar">
    <w:name w:val="Footnote Text Char"/>
    <w:basedOn w:val="DefaultParagraphFont"/>
    <w:link w:val="FootnoteText"/>
    <w:uiPriority w:val="99"/>
    <w:rsid w:val="00557A1C"/>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557A1C"/>
    <w:rPr>
      <w:vertAlign w:val="superscript"/>
    </w:rPr>
  </w:style>
  <w:style w:type="character" w:styleId="Hyperlink">
    <w:name w:val="Hyperlink"/>
    <w:basedOn w:val="DefaultParagraphFont"/>
    <w:uiPriority w:val="99"/>
    <w:unhideWhenUsed/>
    <w:rsid w:val="00AB40F8"/>
    <w:rPr>
      <w:color w:val="0563C1" w:themeColor="hyperlink"/>
      <w:u w:val="single"/>
    </w:rPr>
  </w:style>
  <w:style w:type="paragraph" w:styleId="ListParagraph">
    <w:name w:val="List Paragraph"/>
    <w:basedOn w:val="Normal"/>
    <w:uiPriority w:val="34"/>
    <w:qFormat/>
    <w:rsid w:val="004451D8"/>
    <w:pPr>
      <w:numPr>
        <w:numId w:val="6"/>
      </w:numPr>
      <w:pBdr>
        <w:top w:val="nil"/>
        <w:left w:val="nil"/>
        <w:bottom w:val="nil"/>
        <w:right w:val="nil"/>
        <w:between w:val="nil"/>
      </w:pBdr>
      <w:spacing w:before="240" w:line="276" w:lineRule="auto"/>
      <w:ind w:left="360"/>
      <w:contextualSpacing/>
    </w:pPr>
    <w:rPr>
      <w:rFonts w:cstheme="minorBidi"/>
      <w:bCs/>
      <w:color w:val="000000"/>
      <w:szCs w:val="22"/>
    </w:rPr>
  </w:style>
  <w:style w:type="character" w:customStyle="1" w:styleId="UnresolvedMention1">
    <w:name w:val="Unresolved Mention1"/>
    <w:basedOn w:val="DefaultParagraphFont"/>
    <w:uiPriority w:val="99"/>
    <w:semiHidden/>
    <w:unhideWhenUsed/>
    <w:rsid w:val="003E0152"/>
    <w:rPr>
      <w:color w:val="605E5C"/>
      <w:shd w:val="clear" w:color="auto" w:fill="E1DFDD"/>
    </w:rPr>
  </w:style>
  <w:style w:type="paragraph" w:styleId="Footer">
    <w:name w:val="footer"/>
    <w:basedOn w:val="Normal"/>
    <w:link w:val="FooterChar"/>
    <w:uiPriority w:val="99"/>
    <w:unhideWhenUsed/>
    <w:rsid w:val="00B8048E"/>
    <w:pPr>
      <w:tabs>
        <w:tab w:val="center" w:pos="4513"/>
        <w:tab w:val="right" w:pos="9026"/>
      </w:tabs>
      <w:spacing w:line="240" w:lineRule="auto"/>
    </w:pPr>
  </w:style>
  <w:style w:type="character" w:customStyle="1" w:styleId="FooterChar">
    <w:name w:val="Footer Char"/>
    <w:basedOn w:val="DefaultParagraphFont"/>
    <w:link w:val="Footer"/>
    <w:uiPriority w:val="99"/>
    <w:rsid w:val="00B8048E"/>
    <w:rPr>
      <w:rFonts w:ascii="Times New Roman" w:hAnsi="Times New Roman" w:cs="Times New Roman"/>
      <w:sz w:val="24"/>
      <w:szCs w:val="24"/>
    </w:rPr>
  </w:style>
  <w:style w:type="character" w:styleId="PageNumber">
    <w:name w:val="page number"/>
    <w:basedOn w:val="DefaultParagraphFont"/>
    <w:uiPriority w:val="99"/>
    <w:semiHidden/>
    <w:unhideWhenUsed/>
    <w:rsid w:val="00B8048E"/>
  </w:style>
  <w:style w:type="character" w:styleId="CommentReference">
    <w:name w:val="annotation reference"/>
    <w:basedOn w:val="DefaultParagraphFont"/>
    <w:uiPriority w:val="99"/>
    <w:semiHidden/>
    <w:unhideWhenUsed/>
    <w:rsid w:val="0038314C"/>
    <w:rPr>
      <w:sz w:val="16"/>
      <w:szCs w:val="16"/>
    </w:rPr>
  </w:style>
  <w:style w:type="paragraph" w:styleId="CommentText">
    <w:name w:val="annotation text"/>
    <w:basedOn w:val="Normal"/>
    <w:link w:val="CommentTextChar"/>
    <w:uiPriority w:val="99"/>
    <w:unhideWhenUsed/>
    <w:rsid w:val="0038314C"/>
    <w:pPr>
      <w:spacing w:line="240" w:lineRule="auto"/>
    </w:pPr>
    <w:rPr>
      <w:sz w:val="20"/>
      <w:szCs w:val="20"/>
    </w:rPr>
  </w:style>
  <w:style w:type="character" w:customStyle="1" w:styleId="CommentTextChar">
    <w:name w:val="Comment Text Char"/>
    <w:basedOn w:val="DefaultParagraphFont"/>
    <w:link w:val="CommentText"/>
    <w:uiPriority w:val="99"/>
    <w:rsid w:val="0038314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314C"/>
    <w:rPr>
      <w:b/>
      <w:bCs/>
    </w:rPr>
  </w:style>
  <w:style w:type="character" w:customStyle="1" w:styleId="CommentSubjectChar">
    <w:name w:val="Comment Subject Char"/>
    <w:basedOn w:val="CommentTextChar"/>
    <w:link w:val="CommentSubject"/>
    <w:uiPriority w:val="99"/>
    <w:semiHidden/>
    <w:rsid w:val="0038314C"/>
    <w:rPr>
      <w:rFonts w:ascii="Times New Roman" w:hAnsi="Times New Roman" w:cs="Times New Roman"/>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022DF8"/>
    <w:pPr>
      <w:spacing w:line="240" w:lineRule="auto"/>
    </w:pPr>
  </w:style>
  <w:style w:type="character" w:styleId="BookTitle">
    <w:name w:val="Book Title"/>
    <w:uiPriority w:val="33"/>
    <w:qFormat/>
    <w:rsid w:val="00965222"/>
    <w:rPr>
      <w:iCs/>
    </w:rPr>
  </w:style>
  <w:style w:type="paragraph" w:customStyle="1" w:styleId="ShortHead">
    <w:name w:val="ShortHead"/>
    <w:rsid w:val="00333D70"/>
    <w:pPr>
      <w:tabs>
        <w:tab w:val="left" w:pos="567"/>
      </w:tabs>
      <w:spacing w:line="240" w:lineRule="auto"/>
    </w:pPr>
    <w:rPr>
      <w:rFonts w:ascii="Arial" w:hAnsi="Arial"/>
      <w:b/>
      <w:color w:val="008000"/>
      <w:sz w:val="20"/>
      <w:szCs w:val="20"/>
      <w:lang w:val="en-GB" w:eastAsia="en-GB"/>
    </w:rPr>
  </w:style>
  <w:style w:type="paragraph" w:customStyle="1" w:styleId="Dedication">
    <w:name w:val="Dedication"/>
    <w:basedOn w:val="Normal"/>
    <w:rsid w:val="00333D70"/>
    <w:pPr>
      <w:tabs>
        <w:tab w:val="left" w:pos="567"/>
      </w:tabs>
      <w:jc w:val="center"/>
    </w:pPr>
    <w:rPr>
      <w:rFonts w:ascii="Arial" w:hAnsi="Arial"/>
      <w:sz w:val="20"/>
      <w:szCs w:val="20"/>
      <w:lang w:val="en-GB" w:eastAsia="en-GB"/>
    </w:rPr>
  </w:style>
  <w:style w:type="paragraph" w:customStyle="1" w:styleId="TitlePageSubtitle">
    <w:name w:val="TitlePageSubtitle"/>
    <w:basedOn w:val="TitlePageTitle"/>
    <w:rsid w:val="00333D70"/>
    <w:rPr>
      <w:sz w:val="40"/>
    </w:rPr>
  </w:style>
  <w:style w:type="paragraph" w:customStyle="1" w:styleId="TitlePageTitle">
    <w:name w:val="TitlePageTitle"/>
    <w:rsid w:val="00333D70"/>
    <w:pPr>
      <w:spacing w:line="240" w:lineRule="auto"/>
      <w:jc w:val="center"/>
    </w:pPr>
    <w:rPr>
      <w:sz w:val="52"/>
      <w:lang w:val="en-US" w:eastAsia="en-US"/>
    </w:rPr>
  </w:style>
  <w:style w:type="paragraph" w:customStyle="1" w:styleId="SeriesInfoTitle">
    <w:name w:val="SeriesInfoTitle"/>
    <w:basedOn w:val="Normal"/>
    <w:rsid w:val="00333D70"/>
    <w:pPr>
      <w:jc w:val="center"/>
    </w:pPr>
    <w:rPr>
      <w:b/>
      <w:szCs w:val="20"/>
      <w:lang w:val="en-GB"/>
    </w:rPr>
  </w:style>
  <w:style w:type="paragraph" w:customStyle="1" w:styleId="HalfTitle">
    <w:name w:val="HalfTitle"/>
    <w:basedOn w:val="Normal"/>
    <w:rsid w:val="00333D70"/>
    <w:pPr>
      <w:tabs>
        <w:tab w:val="left" w:pos="567"/>
      </w:tabs>
      <w:jc w:val="center"/>
    </w:pPr>
    <w:rPr>
      <w:rFonts w:ascii="Arial" w:hAnsi="Arial"/>
      <w:smallCaps/>
      <w:sz w:val="28"/>
      <w:szCs w:val="20"/>
      <w:lang w:val="en-GB" w:eastAsia="en-GB"/>
    </w:rPr>
  </w:style>
  <w:style w:type="paragraph" w:styleId="List">
    <w:name w:val="List"/>
    <w:basedOn w:val="Normal"/>
    <w:rsid w:val="00333D70"/>
    <w:pPr>
      <w:spacing w:before="240" w:line="240" w:lineRule="auto"/>
      <w:contextualSpacing/>
    </w:pPr>
    <w:rPr>
      <w:lang w:val="en-GB"/>
    </w:rPr>
  </w:style>
  <w:style w:type="paragraph" w:styleId="List2">
    <w:name w:val="List 2"/>
    <w:basedOn w:val="Normal"/>
    <w:rsid w:val="00333D70"/>
    <w:pPr>
      <w:spacing w:before="0" w:line="240" w:lineRule="auto"/>
      <w:ind w:left="568" w:hanging="284"/>
      <w:contextualSpacing/>
    </w:pPr>
  </w:style>
  <w:style w:type="paragraph" w:styleId="ListContinue">
    <w:name w:val="List Continue"/>
    <w:basedOn w:val="List"/>
    <w:rsid w:val="00333D70"/>
  </w:style>
  <w:style w:type="paragraph" w:styleId="ListContinue2">
    <w:name w:val="List Continue 2"/>
    <w:basedOn w:val="List2"/>
    <w:rsid w:val="00333D70"/>
  </w:style>
  <w:style w:type="paragraph" w:customStyle="1" w:styleId="Index1">
    <w:name w:val="Index1"/>
    <w:next w:val="Normal"/>
    <w:rsid w:val="00333D70"/>
    <w:pPr>
      <w:tabs>
        <w:tab w:val="right" w:pos="8312"/>
      </w:tabs>
      <w:spacing w:before="120" w:line="240" w:lineRule="auto"/>
    </w:pPr>
    <w:rPr>
      <w:rFonts w:ascii="Arial" w:hAnsi="Arial"/>
      <w:sz w:val="20"/>
      <w:szCs w:val="20"/>
      <w:lang w:val="en-GB" w:eastAsia="en-GB"/>
    </w:rPr>
  </w:style>
  <w:style w:type="paragraph" w:customStyle="1" w:styleId="Index2">
    <w:name w:val="Index2"/>
    <w:rsid w:val="00333D70"/>
    <w:pPr>
      <w:tabs>
        <w:tab w:val="right" w:pos="8312"/>
      </w:tabs>
      <w:spacing w:before="120" w:line="240" w:lineRule="auto"/>
      <w:ind w:left="567"/>
    </w:pPr>
    <w:rPr>
      <w:rFonts w:ascii="Arial" w:hAnsi="Arial"/>
      <w:sz w:val="20"/>
      <w:szCs w:val="20"/>
      <w:lang w:val="en-GB" w:eastAsia="en-GB"/>
    </w:rPr>
  </w:style>
  <w:style w:type="paragraph" w:customStyle="1" w:styleId="Index3">
    <w:name w:val="Index3"/>
    <w:rsid w:val="00333D70"/>
    <w:pPr>
      <w:tabs>
        <w:tab w:val="right" w:pos="8312"/>
      </w:tabs>
      <w:spacing w:before="120" w:line="240" w:lineRule="auto"/>
      <w:ind w:left="1134"/>
    </w:pPr>
    <w:rPr>
      <w:rFonts w:ascii="Arial" w:hAnsi="Arial"/>
      <w:sz w:val="20"/>
      <w:szCs w:val="20"/>
      <w:lang w:val="en-GB" w:eastAsia="en-GB"/>
    </w:rPr>
  </w:style>
  <w:style w:type="paragraph" w:customStyle="1" w:styleId="Index4">
    <w:name w:val="Index4"/>
    <w:rsid w:val="00333D70"/>
    <w:pPr>
      <w:tabs>
        <w:tab w:val="right" w:pos="8312"/>
      </w:tabs>
      <w:spacing w:before="120" w:line="240" w:lineRule="auto"/>
      <w:ind w:left="1701"/>
    </w:pPr>
    <w:rPr>
      <w:rFonts w:ascii="Arial" w:hAnsi="Arial"/>
      <w:sz w:val="20"/>
      <w:szCs w:val="20"/>
      <w:lang w:val="en-GB" w:eastAsia="en-GB"/>
    </w:rPr>
  </w:style>
  <w:style w:type="paragraph" w:customStyle="1" w:styleId="ArtworkB">
    <w:name w:val="#ArtworkB"/>
    <w:rsid w:val="00333D70"/>
    <w:pPr>
      <w:pBdr>
        <w:top w:val="thickThinMediumGap" w:sz="12" w:space="1" w:color="auto"/>
        <w:left w:val="thickThinMediumGap" w:sz="12" w:space="4" w:color="auto"/>
        <w:bottom w:val="thickThinMediumGap" w:sz="12" w:space="1" w:color="auto"/>
        <w:right w:val="thickThinMediumGap" w:sz="12" w:space="4" w:color="auto"/>
      </w:pBdr>
      <w:shd w:val="clear" w:color="auto" w:fill="808000"/>
      <w:tabs>
        <w:tab w:val="left" w:pos="567"/>
      </w:tabs>
      <w:spacing w:before="120" w:line="240" w:lineRule="auto"/>
    </w:pPr>
    <w:rPr>
      <w:rFonts w:ascii="Arial" w:hAnsi="Arial"/>
      <w:b/>
      <w:color w:val="00FFFF"/>
      <w:sz w:val="20"/>
      <w:szCs w:val="20"/>
      <w:lang w:val="en-GB" w:eastAsia="en-GB"/>
    </w:rPr>
  </w:style>
  <w:style w:type="paragraph" w:customStyle="1" w:styleId="ArtworkE">
    <w:name w:val="#ArtworkE"/>
    <w:rsid w:val="00333D70"/>
    <w:pPr>
      <w:pBdr>
        <w:top w:val="single" w:sz="6" w:space="1" w:color="auto"/>
        <w:left w:val="single" w:sz="6" w:space="4" w:color="auto"/>
        <w:bottom w:val="single" w:sz="6" w:space="1" w:color="auto"/>
        <w:right w:val="single" w:sz="6" w:space="4" w:color="auto"/>
      </w:pBdr>
      <w:shd w:val="clear" w:color="auto" w:fill="808000"/>
      <w:tabs>
        <w:tab w:val="left" w:pos="567"/>
      </w:tabs>
      <w:spacing w:before="120" w:line="240" w:lineRule="auto"/>
      <w:jc w:val="right"/>
    </w:pPr>
    <w:rPr>
      <w:rFonts w:ascii="Arial" w:hAnsi="Arial"/>
      <w:b/>
      <w:color w:val="00FFFF"/>
      <w:sz w:val="20"/>
      <w:szCs w:val="20"/>
      <w:lang w:val="en-GB" w:eastAsia="en-GB"/>
    </w:rPr>
  </w:style>
  <w:style w:type="paragraph" w:customStyle="1" w:styleId="Artwork">
    <w:name w:val="Artwork"/>
    <w:rsid w:val="00333D70"/>
    <w:pPr>
      <w:tabs>
        <w:tab w:val="left" w:pos="567"/>
      </w:tabs>
      <w:spacing w:before="120" w:line="240" w:lineRule="auto"/>
    </w:pPr>
    <w:rPr>
      <w:rFonts w:ascii="Arial" w:hAnsi="Arial"/>
      <w:b/>
      <w:color w:val="0000FF"/>
      <w:sz w:val="20"/>
      <w:szCs w:val="20"/>
      <w:lang w:val="en-GB" w:eastAsia="en-GB"/>
    </w:rPr>
  </w:style>
  <w:style w:type="paragraph" w:customStyle="1" w:styleId="Author">
    <w:name w:val="Author"/>
    <w:rsid w:val="00333D70"/>
    <w:pPr>
      <w:tabs>
        <w:tab w:val="left" w:pos="567"/>
      </w:tabs>
      <w:spacing w:line="240" w:lineRule="auto"/>
      <w:jc w:val="center"/>
    </w:pPr>
    <w:rPr>
      <w:rFonts w:ascii="Arial" w:hAnsi="Arial"/>
      <w:sz w:val="20"/>
      <w:szCs w:val="20"/>
      <w:lang w:val="en-GB" w:eastAsia="en-GB"/>
    </w:rPr>
  </w:style>
  <w:style w:type="paragraph" w:styleId="Quote">
    <w:name w:val="Quote"/>
    <w:link w:val="QuoteChar"/>
    <w:qFormat/>
    <w:rsid w:val="00333D70"/>
    <w:pPr>
      <w:tabs>
        <w:tab w:val="left" w:pos="567"/>
      </w:tabs>
      <w:spacing w:before="120" w:after="120" w:line="240" w:lineRule="auto"/>
      <w:ind w:left="680"/>
    </w:pPr>
    <w:rPr>
      <w:sz w:val="22"/>
      <w:szCs w:val="20"/>
      <w:lang w:val="en-GB" w:eastAsia="en-GB"/>
    </w:rPr>
  </w:style>
  <w:style w:type="character" w:customStyle="1" w:styleId="QuoteChar">
    <w:name w:val="Quote Char"/>
    <w:basedOn w:val="DefaultParagraphFont"/>
    <w:link w:val="Quote"/>
    <w:rsid w:val="00B46B46"/>
    <w:rPr>
      <w:sz w:val="22"/>
      <w:szCs w:val="20"/>
      <w:lang w:val="en-GB" w:eastAsia="en-GB"/>
    </w:rPr>
  </w:style>
  <w:style w:type="paragraph" w:customStyle="1" w:styleId="QuoteContinued">
    <w:name w:val="QuoteContinued"/>
    <w:rsid w:val="00333D70"/>
    <w:pPr>
      <w:tabs>
        <w:tab w:val="left" w:pos="567"/>
      </w:tabs>
      <w:spacing w:before="60" w:line="240" w:lineRule="auto"/>
      <w:ind w:left="680"/>
    </w:pPr>
    <w:rPr>
      <w:sz w:val="22"/>
      <w:szCs w:val="20"/>
      <w:lang w:val="en-GB" w:eastAsia="en-GB"/>
    </w:rPr>
  </w:style>
  <w:style w:type="paragraph" w:customStyle="1" w:styleId="ChapNumber">
    <w:name w:val="ChapNumber"/>
    <w:rsid w:val="00333D70"/>
    <w:pPr>
      <w:tabs>
        <w:tab w:val="left" w:pos="567"/>
      </w:tabs>
      <w:spacing w:before="120" w:line="240" w:lineRule="auto"/>
      <w:jc w:val="center"/>
    </w:pPr>
    <w:rPr>
      <w:rFonts w:ascii="Arial" w:hAnsi="Arial"/>
      <w:sz w:val="32"/>
      <w:szCs w:val="20"/>
      <w:lang w:val="en-GB" w:eastAsia="en-GB"/>
    </w:rPr>
  </w:style>
  <w:style w:type="paragraph" w:customStyle="1" w:styleId="ChapTitle">
    <w:name w:val="ChapTitle"/>
    <w:rsid w:val="00333D70"/>
    <w:pPr>
      <w:tabs>
        <w:tab w:val="left" w:pos="567"/>
      </w:tabs>
      <w:spacing w:before="240" w:line="240" w:lineRule="auto"/>
      <w:jc w:val="center"/>
    </w:pPr>
    <w:rPr>
      <w:rFonts w:ascii="Arial" w:hAnsi="Arial"/>
      <w:sz w:val="40"/>
      <w:szCs w:val="20"/>
      <w:lang w:val="en-GB" w:eastAsia="en-GB"/>
    </w:rPr>
  </w:style>
  <w:style w:type="paragraph" w:customStyle="1" w:styleId="ChapSubtitle">
    <w:name w:val="ChapSubtitle"/>
    <w:basedOn w:val="Title"/>
    <w:rsid w:val="00333D70"/>
    <w:pPr>
      <w:spacing w:before="360" w:after="360"/>
      <w:outlineLvl w:val="9"/>
    </w:pPr>
    <w:rPr>
      <w:rFonts w:ascii="Times New Roman" w:hAnsi="Times New Roman" w:cs="Times New Roman"/>
      <w:kern w:val="0"/>
      <w:szCs w:val="28"/>
      <w:lang w:val="en-GB"/>
    </w:rPr>
  </w:style>
  <w:style w:type="paragraph" w:customStyle="1" w:styleId="NormalContinued">
    <w:name w:val="NormalContinued"/>
    <w:basedOn w:val="Normal"/>
    <w:rsid w:val="00333D70"/>
  </w:style>
  <w:style w:type="paragraph" w:customStyle="1" w:styleId="BiblioEntry">
    <w:name w:val="BiblioEntry"/>
    <w:rsid w:val="00333D70"/>
    <w:pPr>
      <w:tabs>
        <w:tab w:val="left" w:pos="567"/>
      </w:tabs>
      <w:spacing w:before="120" w:line="240" w:lineRule="auto"/>
      <w:ind w:left="567" w:hanging="567"/>
    </w:pPr>
    <w:rPr>
      <w:szCs w:val="20"/>
      <w:lang w:val="en-GB" w:eastAsia="en-GB"/>
    </w:rPr>
  </w:style>
  <w:style w:type="paragraph" w:customStyle="1" w:styleId="TableB">
    <w:name w:val="#TableB"/>
    <w:rsid w:val="00333D70"/>
    <w:pPr>
      <w:pBdr>
        <w:top w:val="thickThinMediumGap" w:sz="12" w:space="1" w:color="auto"/>
        <w:left w:val="thickThinMediumGap" w:sz="12" w:space="4" w:color="auto"/>
        <w:bottom w:val="thickThinMediumGap" w:sz="12" w:space="1" w:color="auto"/>
        <w:right w:val="thickThinMediumGap" w:sz="12" w:space="4" w:color="auto"/>
      </w:pBdr>
      <w:shd w:val="clear" w:color="auto" w:fill="00FF00"/>
      <w:tabs>
        <w:tab w:val="left" w:pos="567"/>
      </w:tabs>
      <w:spacing w:before="120" w:after="120" w:line="240" w:lineRule="auto"/>
    </w:pPr>
    <w:rPr>
      <w:rFonts w:ascii="Arial" w:hAnsi="Arial"/>
      <w:b/>
      <w:sz w:val="20"/>
      <w:szCs w:val="20"/>
      <w:lang w:val="en-GB" w:eastAsia="en-GB"/>
    </w:rPr>
  </w:style>
  <w:style w:type="paragraph" w:customStyle="1" w:styleId="TableE">
    <w:name w:val="#TableE"/>
    <w:rsid w:val="00333D70"/>
    <w:pPr>
      <w:pBdr>
        <w:top w:val="single" w:sz="6" w:space="1" w:color="auto"/>
        <w:left w:val="single" w:sz="6" w:space="4" w:color="auto"/>
        <w:bottom w:val="single" w:sz="6" w:space="1" w:color="auto"/>
        <w:right w:val="single" w:sz="6" w:space="4" w:color="auto"/>
      </w:pBdr>
      <w:shd w:val="clear" w:color="auto" w:fill="00FF00"/>
      <w:tabs>
        <w:tab w:val="left" w:pos="567"/>
      </w:tabs>
      <w:spacing w:before="120" w:line="240" w:lineRule="auto"/>
      <w:jc w:val="right"/>
    </w:pPr>
    <w:rPr>
      <w:rFonts w:ascii="Arial" w:hAnsi="Arial"/>
      <w:b/>
      <w:sz w:val="20"/>
      <w:szCs w:val="20"/>
      <w:lang w:val="en-GB" w:eastAsia="en-GB"/>
    </w:rPr>
  </w:style>
  <w:style w:type="paragraph" w:customStyle="1" w:styleId="Quote-list">
    <w:name w:val="Quote-list"/>
    <w:basedOn w:val="Quote"/>
    <w:rsid w:val="00333D70"/>
    <w:pPr>
      <w:keepLines/>
      <w:contextualSpacing/>
    </w:pPr>
  </w:style>
  <w:style w:type="paragraph" w:customStyle="1" w:styleId="Quote-sublist">
    <w:name w:val="Quote-sublist"/>
    <w:basedOn w:val="Quote-list"/>
    <w:rsid w:val="00333D70"/>
    <w:pPr>
      <w:ind w:left="1134"/>
    </w:pPr>
  </w:style>
  <w:style w:type="paragraph" w:customStyle="1" w:styleId="PartNumber">
    <w:name w:val="PartNumber"/>
    <w:rsid w:val="00333D70"/>
    <w:pPr>
      <w:tabs>
        <w:tab w:val="left" w:pos="567"/>
      </w:tabs>
      <w:spacing w:before="240" w:line="240" w:lineRule="auto"/>
    </w:pPr>
    <w:rPr>
      <w:rFonts w:ascii="Arial" w:hAnsi="Arial"/>
      <w:b/>
      <w:sz w:val="44"/>
      <w:szCs w:val="20"/>
      <w:lang w:val="en-GB" w:eastAsia="en-GB"/>
    </w:rPr>
  </w:style>
  <w:style w:type="paragraph" w:customStyle="1" w:styleId="PartTitle">
    <w:name w:val="PartTitle"/>
    <w:rsid w:val="00333D70"/>
    <w:pPr>
      <w:tabs>
        <w:tab w:val="left" w:pos="567"/>
      </w:tabs>
      <w:spacing w:after="360" w:line="240" w:lineRule="auto"/>
    </w:pPr>
    <w:rPr>
      <w:rFonts w:ascii="Arial" w:hAnsi="Arial"/>
      <w:sz w:val="44"/>
      <w:szCs w:val="20"/>
      <w:lang w:val="en-GB" w:eastAsia="en-GB"/>
    </w:rPr>
  </w:style>
  <w:style w:type="character" w:customStyle="1" w:styleId="leader-fill">
    <w:name w:val="leader-fill"/>
    <w:basedOn w:val="DefaultParagraphFont"/>
    <w:rsid w:val="00333D70"/>
    <w:rPr>
      <w:rFonts w:cs="Times New Roman"/>
      <w:color w:val="800000"/>
      <w:shd w:val="clear" w:color="auto" w:fill="auto"/>
      <w:lang w:val="en-GB" w:eastAsia="x-none"/>
    </w:rPr>
  </w:style>
  <w:style w:type="paragraph" w:customStyle="1" w:styleId="Epigraph">
    <w:name w:val="Epigraph"/>
    <w:basedOn w:val="Quote"/>
    <w:rsid w:val="00333D70"/>
    <w:pPr>
      <w:jc w:val="right"/>
    </w:pPr>
  </w:style>
  <w:style w:type="paragraph" w:customStyle="1" w:styleId="Figurecaption">
    <w:name w:val="Figure caption"/>
    <w:basedOn w:val="Normal"/>
    <w:rsid w:val="00333D70"/>
    <w:pPr>
      <w:spacing w:before="240"/>
      <w:jc w:val="left"/>
    </w:pPr>
    <w:rPr>
      <w:b/>
    </w:rPr>
  </w:style>
  <w:style w:type="paragraph" w:customStyle="1" w:styleId="Abstract">
    <w:name w:val="Abstract"/>
    <w:basedOn w:val="Normal"/>
    <w:rsid w:val="00333D70"/>
    <w:pPr>
      <w:ind w:left="284" w:right="284"/>
    </w:pPr>
    <w:rPr>
      <w:sz w:val="20"/>
    </w:rPr>
  </w:style>
  <w:style w:type="paragraph" w:customStyle="1" w:styleId="TableCaption">
    <w:name w:val="TableCaption"/>
    <w:basedOn w:val="Figurecaption"/>
    <w:next w:val="Normal"/>
    <w:rsid w:val="00333D70"/>
    <w:pPr>
      <w:spacing w:line="240" w:lineRule="auto"/>
    </w:pPr>
  </w:style>
  <w:style w:type="paragraph" w:styleId="BalloonText">
    <w:name w:val="Balloon Text"/>
    <w:basedOn w:val="Normal"/>
    <w:link w:val="BalloonTextChar"/>
    <w:uiPriority w:val="99"/>
    <w:semiHidden/>
    <w:unhideWhenUsed/>
    <w:rsid w:val="00FD08E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8EF"/>
    <w:rPr>
      <w:rFonts w:ascii="Tahoma" w:hAnsi="Tahoma" w:cs="Tahoma"/>
      <w:sz w:val="16"/>
      <w:szCs w:val="16"/>
      <w:lang w:val="en-US" w:eastAsia="en-US"/>
    </w:rPr>
  </w:style>
  <w:style w:type="paragraph" w:styleId="Header">
    <w:name w:val="header"/>
    <w:basedOn w:val="Normal"/>
    <w:link w:val="HeaderChar"/>
    <w:uiPriority w:val="99"/>
    <w:unhideWhenUsed/>
    <w:rsid w:val="005B681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B681F"/>
    <w:rPr>
      <w:lang w:val="en-US" w:eastAsia="en-US"/>
    </w:rPr>
  </w:style>
  <w:style w:type="character" w:styleId="UnresolvedMention">
    <w:name w:val="Unresolved Mention"/>
    <w:basedOn w:val="DefaultParagraphFont"/>
    <w:uiPriority w:val="99"/>
    <w:semiHidden/>
    <w:unhideWhenUsed/>
    <w:rsid w:val="000031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labourcourt.ie/en/publications/joint-labour-committees-reviews/review-of-joint-labour-committees-2023.pdf" TargetMode="External"/><Relationship Id="rId1" Type="http://schemas.openxmlformats.org/officeDocument/2006/relationships/hyperlink" Target="https://www.labourcourt.ie/en/publications/joint-labour-committees-reviews/review-of-joint-labour-committees-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sk\Documents\EU%20Directive%20on%20Minimum%20Wage\HAR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yNh5PFGT7tzdYCbF0B2P9CSqUw==">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27776A-81EC-409F-9CEC-DEE23455E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HART TEMPLATE</Template>
  <TotalTime>0</TotalTime>
  <Pages>21</Pages>
  <Words>6080</Words>
  <Characters>34661</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Eustace</dc:creator>
  <cp:lastModifiedBy>Monica Sanchidrian</cp:lastModifiedBy>
  <cp:revision>2</cp:revision>
  <dcterms:created xsi:type="dcterms:W3CDTF">2024-03-07T16:39:00Z</dcterms:created>
  <dcterms:modified xsi:type="dcterms:W3CDTF">2024-03-07T16:39:00Z</dcterms:modified>
</cp:coreProperties>
</file>