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FE88A9" w14:textId="76A1735B" w:rsidR="00E3598C" w:rsidRDefault="003240D6" w:rsidP="0074314C">
      <w:pPr>
        <w:jc w:val="center"/>
        <w:rPr>
          <w:b/>
          <w:bCs/>
          <w:sz w:val="24"/>
          <w:szCs w:val="24"/>
        </w:rPr>
      </w:pPr>
      <w:r w:rsidRPr="0074314C">
        <w:rPr>
          <w:b/>
          <w:bCs/>
          <w:sz w:val="24"/>
          <w:szCs w:val="24"/>
        </w:rPr>
        <w:t xml:space="preserve">‘This Thing Called a Bank’: Swift’s </w:t>
      </w:r>
      <w:r w:rsidRPr="0074314C">
        <w:rPr>
          <w:b/>
          <w:bCs/>
          <w:i/>
          <w:iCs/>
          <w:sz w:val="24"/>
          <w:szCs w:val="24"/>
        </w:rPr>
        <w:t>Proposal</w:t>
      </w:r>
      <w:r w:rsidR="009E678A">
        <w:rPr>
          <w:b/>
          <w:bCs/>
          <w:i/>
          <w:iCs/>
          <w:sz w:val="24"/>
          <w:szCs w:val="24"/>
        </w:rPr>
        <w:t xml:space="preserve"> for the Universal Use of Irish Manufacture</w:t>
      </w:r>
      <w:r w:rsidRPr="0074314C">
        <w:rPr>
          <w:b/>
          <w:bCs/>
          <w:i/>
          <w:iCs/>
          <w:sz w:val="24"/>
          <w:szCs w:val="24"/>
        </w:rPr>
        <w:t xml:space="preserve"> </w:t>
      </w:r>
      <w:r w:rsidRPr="0074314C">
        <w:rPr>
          <w:b/>
          <w:bCs/>
          <w:sz w:val="24"/>
          <w:szCs w:val="24"/>
        </w:rPr>
        <w:t>and the 1720 national bank proposals</w:t>
      </w:r>
      <w:r w:rsidR="00A95A64">
        <w:rPr>
          <w:rStyle w:val="FootnoteReference"/>
          <w:b/>
          <w:bCs/>
          <w:sz w:val="24"/>
          <w:szCs w:val="24"/>
        </w:rPr>
        <w:footnoteReference w:id="1"/>
      </w:r>
    </w:p>
    <w:p w14:paraId="7C70A4FD" w14:textId="77777777" w:rsidR="009E678A" w:rsidRDefault="009E678A" w:rsidP="0074314C">
      <w:pPr>
        <w:jc w:val="center"/>
        <w:rPr>
          <w:b/>
          <w:bCs/>
          <w:sz w:val="24"/>
          <w:szCs w:val="24"/>
        </w:rPr>
      </w:pPr>
    </w:p>
    <w:p w14:paraId="4401F998" w14:textId="70638D71" w:rsidR="009E678A" w:rsidRDefault="009E678A" w:rsidP="0074314C">
      <w:pPr>
        <w:jc w:val="center"/>
        <w:rPr>
          <w:sz w:val="24"/>
          <w:szCs w:val="24"/>
        </w:rPr>
      </w:pPr>
      <w:r>
        <w:rPr>
          <w:sz w:val="24"/>
          <w:szCs w:val="24"/>
        </w:rPr>
        <w:t>Abstract</w:t>
      </w:r>
    </w:p>
    <w:p w14:paraId="354F5060" w14:textId="5A187085" w:rsidR="009E678A" w:rsidRPr="00A95A64" w:rsidRDefault="009E678A" w:rsidP="00A95A64">
      <w:pPr>
        <w:jc w:val="both"/>
        <w:rPr>
          <w:i/>
          <w:iCs/>
          <w:sz w:val="24"/>
          <w:szCs w:val="24"/>
        </w:rPr>
      </w:pPr>
      <w:r w:rsidRPr="00A95A64">
        <w:rPr>
          <w:i/>
          <w:iCs/>
          <w:sz w:val="24"/>
          <w:szCs w:val="24"/>
        </w:rPr>
        <w:t xml:space="preserve">This article revisits Jonathan Swift’s Proposal for the Universal Use of Irish Manufacture (1720) and seeks to place it within the context of the debates surrounding the proposed establishment of an Irish national bank in 1720. It shows how Swift’s </w:t>
      </w:r>
      <w:r w:rsidR="00A95A64" w:rsidRPr="00A95A64">
        <w:rPr>
          <w:i/>
          <w:iCs/>
          <w:sz w:val="24"/>
          <w:szCs w:val="24"/>
        </w:rPr>
        <w:t xml:space="preserve">discussion of the ills facing the Irish economy might be placed in conversation with the projects for a bank. In doing so it both takes Swift’s commentary on the bank seriously and speculates that it may have been an addendum to the original text of the pamphlet. Engaging with recent Swift scholarship and the literature on the bank it shows how the Dean’s arguments fitted into wider arguments and the economic future of a dependent province and how these debates were fundamentally shaped and reshaped by the wider context of the South Sea Bubble.  </w:t>
      </w:r>
    </w:p>
    <w:p w14:paraId="3345F03E" w14:textId="1D1E4FA5" w:rsidR="003240D6" w:rsidRDefault="003240D6"/>
    <w:p w14:paraId="2C576223" w14:textId="44AA81E5" w:rsidR="00054BBD" w:rsidRPr="00C25C93" w:rsidRDefault="009E678A" w:rsidP="009E678A">
      <w:pPr>
        <w:spacing w:after="0" w:line="360" w:lineRule="auto"/>
        <w:jc w:val="both"/>
        <w:rPr>
          <w:sz w:val="24"/>
          <w:szCs w:val="24"/>
        </w:rPr>
      </w:pPr>
      <w:r>
        <w:rPr>
          <w:sz w:val="24"/>
          <w:szCs w:val="24"/>
        </w:rPr>
        <w:t xml:space="preserve">The final paragraph of Jonathan Swift’s </w:t>
      </w:r>
      <w:r>
        <w:rPr>
          <w:i/>
          <w:iCs/>
          <w:sz w:val="24"/>
          <w:szCs w:val="24"/>
        </w:rPr>
        <w:t xml:space="preserve">Proposal for the Universal Use of Irish Manufacture </w:t>
      </w:r>
      <w:proofErr w:type="gramStart"/>
      <w:r>
        <w:rPr>
          <w:sz w:val="24"/>
          <w:szCs w:val="24"/>
        </w:rPr>
        <w:t>makes reference</w:t>
      </w:r>
      <w:proofErr w:type="gramEnd"/>
      <w:r>
        <w:rPr>
          <w:sz w:val="24"/>
          <w:szCs w:val="24"/>
        </w:rPr>
        <w:t xml:space="preserve"> to ‘this thing called a bank’. This article starts with this allusion </w:t>
      </w:r>
      <w:r w:rsidRPr="00C25C93">
        <w:rPr>
          <w:sz w:val="24"/>
          <w:szCs w:val="24"/>
        </w:rPr>
        <w:t xml:space="preserve">to the first bank project in the </w:t>
      </w:r>
      <w:r w:rsidRPr="00C25C93">
        <w:rPr>
          <w:i/>
          <w:iCs/>
          <w:sz w:val="24"/>
          <w:szCs w:val="24"/>
        </w:rPr>
        <w:t xml:space="preserve">Proposal, </w:t>
      </w:r>
      <w:r w:rsidRPr="00C25C93">
        <w:rPr>
          <w:sz w:val="24"/>
          <w:szCs w:val="24"/>
        </w:rPr>
        <w:t xml:space="preserve">before turning to explore how Swift’s diagnosis of the ills affecting the Irish economy </w:t>
      </w:r>
      <w:r>
        <w:rPr>
          <w:sz w:val="24"/>
          <w:szCs w:val="24"/>
        </w:rPr>
        <w:t>in the pamphlet can be read alongside and in conversation with the panaceas</w:t>
      </w:r>
      <w:r w:rsidRPr="00C25C93">
        <w:rPr>
          <w:sz w:val="24"/>
          <w:szCs w:val="24"/>
        </w:rPr>
        <w:t xml:space="preserve"> described by the various Bank projectors</w:t>
      </w:r>
      <w:r>
        <w:rPr>
          <w:sz w:val="24"/>
          <w:szCs w:val="24"/>
        </w:rPr>
        <w:t xml:space="preserve"> in their proposals for revolutionising the Irish economy. </w:t>
      </w:r>
      <w:r w:rsidR="00DC747F" w:rsidRPr="00C25C93">
        <w:rPr>
          <w:sz w:val="24"/>
          <w:szCs w:val="24"/>
        </w:rPr>
        <w:t>The failed schemes for a national bank in 1720-21 occupy a curious place both in Swift scholarship and more generally in the historiography of eighteenth-century Ireland. There were three sc</w:t>
      </w:r>
      <w:r w:rsidR="004E1CA3" w:rsidRPr="00C25C93">
        <w:rPr>
          <w:sz w:val="24"/>
          <w:szCs w:val="24"/>
        </w:rPr>
        <w:t>heme</w:t>
      </w:r>
      <w:r w:rsidR="00DC747F" w:rsidRPr="00C25C93">
        <w:rPr>
          <w:sz w:val="24"/>
          <w:szCs w:val="24"/>
        </w:rPr>
        <w:t>s proposed for a national bank between May and September 1720 before a final proposal was laid before the Irish house of commons in September 1721.</w:t>
      </w:r>
      <w:r w:rsidR="00C574CD" w:rsidRPr="00C25C93">
        <w:rPr>
          <w:rStyle w:val="FootnoteReference"/>
          <w:sz w:val="24"/>
          <w:szCs w:val="24"/>
        </w:rPr>
        <w:footnoteReference w:id="2"/>
      </w:r>
      <w:r w:rsidR="00DC747F" w:rsidRPr="00C25C93">
        <w:rPr>
          <w:sz w:val="24"/>
          <w:szCs w:val="24"/>
        </w:rPr>
        <w:t xml:space="preserve"> By December 1721 the idea of a Bank of Ireland had been firmly rejected by the Dublin legislature and </w:t>
      </w:r>
      <w:r w:rsidR="004E1CA3" w:rsidRPr="00C25C93">
        <w:rPr>
          <w:sz w:val="24"/>
          <w:szCs w:val="24"/>
        </w:rPr>
        <w:t>mock elegies and last speeches</w:t>
      </w:r>
      <w:r w:rsidR="00DC747F" w:rsidRPr="00C25C93">
        <w:rPr>
          <w:sz w:val="24"/>
          <w:szCs w:val="24"/>
        </w:rPr>
        <w:t xml:space="preserve"> were circulating in </w:t>
      </w:r>
      <w:r w:rsidR="004E1CA3" w:rsidRPr="00C25C93">
        <w:rPr>
          <w:sz w:val="24"/>
          <w:szCs w:val="24"/>
        </w:rPr>
        <w:t>print.</w:t>
      </w:r>
      <w:r w:rsidR="00C574CD" w:rsidRPr="00C25C93">
        <w:rPr>
          <w:rStyle w:val="FootnoteReference"/>
          <w:sz w:val="24"/>
          <w:szCs w:val="24"/>
        </w:rPr>
        <w:footnoteReference w:id="3"/>
      </w:r>
      <w:r w:rsidR="004E1CA3" w:rsidRPr="00C25C93">
        <w:rPr>
          <w:sz w:val="24"/>
          <w:szCs w:val="24"/>
        </w:rPr>
        <w:t xml:space="preserve"> These included the </w:t>
      </w:r>
      <w:r w:rsidR="00054BBD" w:rsidRPr="00C25C93">
        <w:rPr>
          <w:sz w:val="24"/>
          <w:szCs w:val="24"/>
        </w:rPr>
        <w:t xml:space="preserve">poem </w:t>
      </w:r>
      <w:r w:rsidR="00054BBD" w:rsidRPr="00C25C93">
        <w:rPr>
          <w:i/>
          <w:iCs/>
          <w:sz w:val="24"/>
          <w:szCs w:val="24"/>
        </w:rPr>
        <w:t xml:space="preserve">The Bank </w:t>
      </w:r>
      <w:proofErr w:type="spellStart"/>
      <w:r w:rsidR="00054BBD" w:rsidRPr="00C25C93">
        <w:rPr>
          <w:i/>
          <w:iCs/>
          <w:sz w:val="24"/>
          <w:szCs w:val="24"/>
        </w:rPr>
        <w:t>Throw’n</w:t>
      </w:r>
      <w:proofErr w:type="spellEnd"/>
      <w:r w:rsidR="00054BBD" w:rsidRPr="00C25C93">
        <w:rPr>
          <w:i/>
          <w:iCs/>
          <w:sz w:val="24"/>
          <w:szCs w:val="24"/>
        </w:rPr>
        <w:t xml:space="preserve"> Down</w:t>
      </w:r>
      <w:r w:rsidR="004E1CA3" w:rsidRPr="00C25C93">
        <w:rPr>
          <w:sz w:val="24"/>
          <w:szCs w:val="24"/>
        </w:rPr>
        <w:t xml:space="preserve"> and the broadside</w:t>
      </w:r>
      <w:r w:rsidR="00054BBD" w:rsidRPr="00C25C93">
        <w:rPr>
          <w:b/>
          <w:bCs/>
          <w:sz w:val="24"/>
          <w:szCs w:val="24"/>
        </w:rPr>
        <w:t xml:space="preserve"> </w:t>
      </w:r>
      <w:r w:rsidR="00054BBD" w:rsidRPr="00C25C93">
        <w:rPr>
          <w:i/>
          <w:iCs/>
          <w:sz w:val="24"/>
          <w:szCs w:val="24"/>
        </w:rPr>
        <w:t xml:space="preserve">The Last Speech of and Dying </w:t>
      </w:r>
      <w:r w:rsidR="00054BBD" w:rsidRPr="00C25C93">
        <w:rPr>
          <w:i/>
          <w:iCs/>
          <w:sz w:val="24"/>
          <w:szCs w:val="24"/>
        </w:rPr>
        <w:lastRenderedPageBreak/>
        <w:t xml:space="preserve">Words of the Bank </w:t>
      </w:r>
      <w:r w:rsidR="004E1CA3" w:rsidRPr="00C25C93">
        <w:rPr>
          <w:sz w:val="24"/>
          <w:szCs w:val="24"/>
        </w:rPr>
        <w:t>both of which have been attributed to Swift</w:t>
      </w:r>
      <w:r w:rsidR="00054BBD" w:rsidRPr="00C25C93">
        <w:rPr>
          <w:sz w:val="24"/>
          <w:szCs w:val="24"/>
        </w:rPr>
        <w:t xml:space="preserve"> with varying degrees of confidence</w:t>
      </w:r>
      <w:r w:rsidR="004E1CA3" w:rsidRPr="00C25C93">
        <w:rPr>
          <w:sz w:val="24"/>
          <w:szCs w:val="24"/>
        </w:rPr>
        <w:t>.</w:t>
      </w:r>
      <w:r w:rsidR="00C574CD" w:rsidRPr="00C25C93">
        <w:rPr>
          <w:rStyle w:val="FootnoteReference"/>
          <w:sz w:val="24"/>
          <w:szCs w:val="24"/>
        </w:rPr>
        <w:footnoteReference w:id="4"/>
      </w:r>
      <w:r w:rsidR="004E1CA3" w:rsidRPr="00C25C93">
        <w:rPr>
          <w:sz w:val="24"/>
          <w:szCs w:val="24"/>
        </w:rPr>
        <w:t xml:space="preserve"> They formed part of an efflorescence of printed material, serious pamphlets – by Henry Maxwell and Hercules Rowley amongst others – broadsides and popular verse, which helped bring the debate over the idea of a national bank into the extra-parliamentary sphere.</w:t>
      </w:r>
      <w:r w:rsidR="00C574CD" w:rsidRPr="00C25C93">
        <w:rPr>
          <w:rStyle w:val="FootnoteReference"/>
          <w:sz w:val="24"/>
          <w:szCs w:val="24"/>
        </w:rPr>
        <w:footnoteReference w:id="5"/>
      </w:r>
      <w:r w:rsidR="004E1CA3" w:rsidRPr="00C25C93">
        <w:rPr>
          <w:sz w:val="24"/>
          <w:szCs w:val="24"/>
        </w:rPr>
        <w:t xml:space="preserve"> This controversy with its focus on monetary matters intertwined with questions about the sovereignty of the Irish parliament in the af</w:t>
      </w:r>
      <w:r w:rsidR="00E66A51" w:rsidRPr="00C25C93">
        <w:rPr>
          <w:sz w:val="24"/>
          <w:szCs w:val="24"/>
        </w:rPr>
        <w:t>t</w:t>
      </w:r>
      <w:r w:rsidR="004E1CA3" w:rsidRPr="00C25C93">
        <w:rPr>
          <w:sz w:val="24"/>
          <w:szCs w:val="24"/>
        </w:rPr>
        <w:t xml:space="preserve">ermath of the Declaratory Act </w:t>
      </w:r>
      <w:r w:rsidR="00E66A51" w:rsidRPr="00C25C93">
        <w:rPr>
          <w:sz w:val="24"/>
          <w:szCs w:val="24"/>
        </w:rPr>
        <w:t>has sometimes been read as a precursor to the Wood’s Halfpence Affair.</w:t>
      </w:r>
      <w:r w:rsidR="00C574CD" w:rsidRPr="00C25C93">
        <w:rPr>
          <w:rStyle w:val="FootnoteReference"/>
          <w:sz w:val="24"/>
          <w:szCs w:val="24"/>
        </w:rPr>
        <w:footnoteReference w:id="6"/>
      </w:r>
      <w:r w:rsidR="00E66A51" w:rsidRPr="00C25C93">
        <w:rPr>
          <w:sz w:val="24"/>
          <w:szCs w:val="24"/>
        </w:rPr>
        <w:t xml:space="preserve"> The seductive presence of Swift, even if his involvement and therefore influence was relatively limited, adds to this temptation to situate it within the arc of his active engagement in Irish affairs beginning in 1719/20.</w:t>
      </w:r>
      <w:r w:rsidR="00C574CD" w:rsidRPr="00C25C93">
        <w:rPr>
          <w:rStyle w:val="FootnoteReference"/>
          <w:sz w:val="24"/>
          <w:szCs w:val="24"/>
        </w:rPr>
        <w:footnoteReference w:id="7"/>
      </w:r>
      <w:r w:rsidR="00E66A51" w:rsidRPr="00C25C93">
        <w:rPr>
          <w:sz w:val="24"/>
          <w:szCs w:val="24"/>
        </w:rPr>
        <w:t xml:space="preserve"> Moving beyond the Dean the debates over the bank have attracted scholarly interest because they allow </w:t>
      </w:r>
      <w:r w:rsidR="00054BBD" w:rsidRPr="00C25C93">
        <w:rPr>
          <w:sz w:val="24"/>
          <w:szCs w:val="24"/>
        </w:rPr>
        <w:t xml:space="preserve">the historian </w:t>
      </w:r>
      <w:r w:rsidR="00E66A51" w:rsidRPr="00C25C93">
        <w:rPr>
          <w:sz w:val="24"/>
          <w:szCs w:val="24"/>
        </w:rPr>
        <w:t>a window into a reasonably well-documented political controversy at a moment of high-political tension following the passage of the Declaratory Act in 1720.</w:t>
      </w:r>
      <w:r w:rsidR="00C574CD" w:rsidRPr="00C25C93">
        <w:rPr>
          <w:rStyle w:val="FootnoteReference"/>
          <w:sz w:val="24"/>
          <w:szCs w:val="24"/>
        </w:rPr>
        <w:footnoteReference w:id="8"/>
      </w:r>
      <w:r w:rsidR="00E66A51" w:rsidRPr="00C25C93">
        <w:rPr>
          <w:sz w:val="24"/>
          <w:szCs w:val="24"/>
        </w:rPr>
        <w:t xml:space="preserve"> They also offer important evidence for the percolation of the ideas and languages of the still nascent Irish version of the financial revolution</w:t>
      </w:r>
      <w:r w:rsidR="00C574CD" w:rsidRPr="00C25C93">
        <w:rPr>
          <w:sz w:val="24"/>
          <w:szCs w:val="24"/>
        </w:rPr>
        <w:t>.</w:t>
      </w:r>
      <w:r w:rsidR="00C574CD" w:rsidRPr="00C25C93">
        <w:rPr>
          <w:rStyle w:val="FootnoteReference"/>
          <w:sz w:val="24"/>
          <w:szCs w:val="24"/>
        </w:rPr>
        <w:footnoteReference w:id="9"/>
      </w:r>
      <w:r w:rsidR="00E66A51" w:rsidRPr="00C25C93">
        <w:rPr>
          <w:sz w:val="24"/>
          <w:szCs w:val="24"/>
        </w:rPr>
        <w:t xml:space="preserve"> National banks had after all played key roles in the English and Scottish iterations of financial revolution</w:t>
      </w:r>
      <w:r w:rsidR="00C0640A" w:rsidRPr="00C25C93">
        <w:rPr>
          <w:sz w:val="24"/>
          <w:szCs w:val="24"/>
        </w:rPr>
        <w:t xml:space="preserve"> so explaining why one didn’t emerge in Ireland is a question that has been deemed worthy of study.</w:t>
      </w:r>
      <w:r w:rsidR="00C574CD" w:rsidRPr="00C25C93">
        <w:rPr>
          <w:rStyle w:val="FootnoteReference"/>
          <w:sz w:val="24"/>
          <w:szCs w:val="24"/>
        </w:rPr>
        <w:footnoteReference w:id="10"/>
      </w:r>
      <w:r w:rsidR="00C0640A" w:rsidRPr="00C25C93">
        <w:rPr>
          <w:sz w:val="24"/>
          <w:szCs w:val="24"/>
        </w:rPr>
        <w:t xml:space="preserve"> Finally</w:t>
      </w:r>
      <w:r w:rsidR="008710C2">
        <w:rPr>
          <w:sz w:val="24"/>
          <w:szCs w:val="24"/>
        </w:rPr>
        <w:t xml:space="preserve"> Patrick Walsh has </w:t>
      </w:r>
      <w:r w:rsidR="00C0640A" w:rsidRPr="00C25C93">
        <w:rPr>
          <w:sz w:val="24"/>
          <w:szCs w:val="24"/>
        </w:rPr>
        <w:t xml:space="preserve">drawn some of these themes together to try and situate the competing schemes for a national bank within the transnational and comparative context of the ‘year of the bubbles’ arguing that they are part of a wider phenomenon with its own </w:t>
      </w:r>
      <w:r w:rsidR="00C0640A" w:rsidRPr="00C25C93">
        <w:rPr>
          <w:sz w:val="24"/>
          <w:szCs w:val="24"/>
        </w:rPr>
        <w:lastRenderedPageBreak/>
        <w:t>causes and contexts.</w:t>
      </w:r>
      <w:r w:rsidR="00C574CD" w:rsidRPr="00C25C93">
        <w:rPr>
          <w:rStyle w:val="FootnoteReference"/>
          <w:sz w:val="24"/>
          <w:szCs w:val="24"/>
        </w:rPr>
        <w:footnoteReference w:id="11"/>
      </w:r>
      <w:r w:rsidR="00C0640A" w:rsidRPr="00C25C93">
        <w:rPr>
          <w:sz w:val="24"/>
          <w:szCs w:val="24"/>
        </w:rPr>
        <w:t xml:space="preserve">  All of this helps explain why the history of something that didn’t happen continues to generate some scholarly interest. </w:t>
      </w:r>
    </w:p>
    <w:p w14:paraId="1F350078" w14:textId="15F264C5" w:rsidR="00C0640A" w:rsidRPr="00C25C93" w:rsidRDefault="00C0640A" w:rsidP="00AC0FF9">
      <w:pPr>
        <w:spacing w:after="0" w:line="360" w:lineRule="auto"/>
        <w:ind w:firstLine="720"/>
        <w:rPr>
          <w:sz w:val="24"/>
          <w:szCs w:val="24"/>
        </w:rPr>
      </w:pPr>
      <w:r w:rsidRPr="00C25C93">
        <w:rPr>
          <w:sz w:val="24"/>
          <w:szCs w:val="24"/>
        </w:rPr>
        <w:t xml:space="preserve">And of course, something did happen. There were </w:t>
      </w:r>
      <w:r w:rsidR="007E0FE7" w:rsidRPr="00C25C93">
        <w:rPr>
          <w:sz w:val="24"/>
          <w:szCs w:val="24"/>
        </w:rPr>
        <w:t xml:space="preserve">three </w:t>
      </w:r>
      <w:r w:rsidRPr="00C25C93">
        <w:rPr>
          <w:sz w:val="24"/>
          <w:szCs w:val="24"/>
        </w:rPr>
        <w:t xml:space="preserve">attempts to establish a national bank and </w:t>
      </w:r>
      <w:r w:rsidR="007E0FE7" w:rsidRPr="00C25C93">
        <w:rPr>
          <w:sz w:val="24"/>
          <w:szCs w:val="24"/>
        </w:rPr>
        <w:t>a significant number of individuals were quite invested in their prospects of success or failure</w:t>
      </w:r>
      <w:r w:rsidR="00D95F03" w:rsidRPr="00C25C93">
        <w:rPr>
          <w:sz w:val="24"/>
          <w:szCs w:val="24"/>
        </w:rPr>
        <w:t>, with almost four hundred individuals appearing on successive subscription lists alone</w:t>
      </w:r>
      <w:r w:rsidR="007E0FE7" w:rsidRPr="00C25C93">
        <w:rPr>
          <w:sz w:val="24"/>
          <w:szCs w:val="24"/>
        </w:rPr>
        <w:t xml:space="preserve">. This is where I turn to Swift’s comments on the bank in the </w:t>
      </w:r>
      <w:r w:rsidR="007E0FE7" w:rsidRPr="00C25C93">
        <w:rPr>
          <w:i/>
          <w:iCs/>
          <w:sz w:val="24"/>
          <w:szCs w:val="24"/>
        </w:rPr>
        <w:t>Proposal</w:t>
      </w:r>
      <w:r w:rsidR="007E0FE7" w:rsidRPr="00C25C93">
        <w:rPr>
          <w:sz w:val="24"/>
          <w:szCs w:val="24"/>
        </w:rPr>
        <w:t xml:space="preserve">.  </w:t>
      </w:r>
      <w:r w:rsidR="00DE01CF" w:rsidRPr="00C25C93">
        <w:rPr>
          <w:sz w:val="24"/>
          <w:szCs w:val="24"/>
        </w:rPr>
        <w:t xml:space="preserve">In his last paragraph he writes: </w:t>
      </w:r>
    </w:p>
    <w:p w14:paraId="2A7DE7FC" w14:textId="77777777" w:rsidR="00FA19EF" w:rsidRPr="00C25C93" w:rsidRDefault="00FA19EF" w:rsidP="00FA19EF">
      <w:pPr>
        <w:spacing w:after="0" w:line="360" w:lineRule="auto"/>
        <w:rPr>
          <w:sz w:val="24"/>
          <w:szCs w:val="24"/>
        </w:rPr>
      </w:pPr>
    </w:p>
    <w:p w14:paraId="5652B141" w14:textId="35263A26" w:rsidR="00684580" w:rsidRPr="00C25C93" w:rsidRDefault="00684580" w:rsidP="00FA19EF">
      <w:pPr>
        <w:spacing w:after="0" w:line="360" w:lineRule="auto"/>
        <w:ind w:left="720" w:right="1088"/>
        <w:jc w:val="both"/>
        <w:rPr>
          <w:sz w:val="24"/>
          <w:szCs w:val="24"/>
        </w:rPr>
      </w:pPr>
      <w:r w:rsidRPr="00C25C93">
        <w:rPr>
          <w:sz w:val="24"/>
          <w:szCs w:val="24"/>
        </w:rPr>
        <w:t xml:space="preserve">I CANNOT forbear saying one Word upon a </w:t>
      </w:r>
      <w:r w:rsidRPr="00C25C93">
        <w:rPr>
          <w:i/>
          <w:iCs/>
          <w:sz w:val="24"/>
          <w:szCs w:val="24"/>
        </w:rPr>
        <w:t xml:space="preserve">Thing </w:t>
      </w:r>
      <w:r w:rsidRPr="00C25C93">
        <w:rPr>
          <w:sz w:val="24"/>
          <w:szCs w:val="24"/>
        </w:rPr>
        <w:t xml:space="preserve">they call a bank, which I hear is projecting in this Town. I never saw the </w:t>
      </w:r>
      <w:r w:rsidRPr="00C25C93">
        <w:rPr>
          <w:i/>
          <w:iCs/>
          <w:sz w:val="24"/>
          <w:szCs w:val="24"/>
        </w:rPr>
        <w:t xml:space="preserve">Proposals, </w:t>
      </w:r>
      <w:r w:rsidRPr="00C25C93">
        <w:rPr>
          <w:sz w:val="24"/>
          <w:szCs w:val="24"/>
        </w:rPr>
        <w:t>nor understand any one Particula</w:t>
      </w:r>
      <w:r w:rsidR="003429A7" w:rsidRPr="00C25C93">
        <w:rPr>
          <w:sz w:val="24"/>
          <w:szCs w:val="24"/>
        </w:rPr>
        <w:t>r</w:t>
      </w:r>
      <w:r w:rsidRPr="00C25C93">
        <w:rPr>
          <w:sz w:val="24"/>
          <w:szCs w:val="24"/>
        </w:rPr>
        <w:t xml:space="preserve"> of their Scheme: What I wish for, at present, is only a sufficient Provision of </w:t>
      </w:r>
      <w:r w:rsidRPr="00C25C93">
        <w:rPr>
          <w:i/>
          <w:iCs/>
          <w:sz w:val="24"/>
          <w:szCs w:val="24"/>
        </w:rPr>
        <w:t xml:space="preserve">Hemp, </w:t>
      </w:r>
      <w:r w:rsidRPr="00C25C93">
        <w:rPr>
          <w:sz w:val="24"/>
          <w:szCs w:val="24"/>
        </w:rPr>
        <w:t xml:space="preserve">and </w:t>
      </w:r>
      <w:r w:rsidRPr="00C25C93">
        <w:rPr>
          <w:i/>
          <w:iCs/>
          <w:sz w:val="24"/>
          <w:szCs w:val="24"/>
        </w:rPr>
        <w:t>Caps</w:t>
      </w:r>
      <w:r w:rsidRPr="00C25C93">
        <w:rPr>
          <w:sz w:val="24"/>
          <w:szCs w:val="24"/>
        </w:rPr>
        <w:t xml:space="preserve">, and </w:t>
      </w:r>
      <w:r w:rsidRPr="00C25C93">
        <w:rPr>
          <w:i/>
          <w:iCs/>
          <w:sz w:val="24"/>
          <w:szCs w:val="24"/>
        </w:rPr>
        <w:t>Bells</w:t>
      </w:r>
      <w:r w:rsidRPr="00C25C93">
        <w:rPr>
          <w:sz w:val="24"/>
          <w:szCs w:val="24"/>
        </w:rPr>
        <w:t xml:space="preserve">, to distribute according to the several Degrees of </w:t>
      </w:r>
      <w:r w:rsidRPr="00C25C93">
        <w:rPr>
          <w:i/>
          <w:iCs/>
          <w:sz w:val="24"/>
          <w:szCs w:val="24"/>
        </w:rPr>
        <w:t xml:space="preserve">Honesty </w:t>
      </w:r>
      <w:r w:rsidRPr="00C25C93">
        <w:rPr>
          <w:sz w:val="24"/>
          <w:szCs w:val="24"/>
        </w:rPr>
        <w:t xml:space="preserve">and </w:t>
      </w:r>
      <w:r w:rsidRPr="00C25C93">
        <w:rPr>
          <w:i/>
          <w:iCs/>
          <w:sz w:val="24"/>
          <w:szCs w:val="24"/>
        </w:rPr>
        <w:t>Prudence</w:t>
      </w:r>
      <w:r w:rsidRPr="00C25C93">
        <w:rPr>
          <w:sz w:val="24"/>
          <w:szCs w:val="24"/>
        </w:rPr>
        <w:t xml:space="preserve"> in some </w:t>
      </w:r>
      <w:r w:rsidRPr="00C25C93">
        <w:rPr>
          <w:i/>
          <w:iCs/>
          <w:sz w:val="24"/>
          <w:szCs w:val="24"/>
        </w:rPr>
        <w:t xml:space="preserve">Persons. </w:t>
      </w:r>
      <w:r w:rsidRPr="00C25C93">
        <w:rPr>
          <w:sz w:val="24"/>
          <w:szCs w:val="24"/>
        </w:rPr>
        <w:t xml:space="preserve">I </w:t>
      </w:r>
      <w:r w:rsidRPr="00C25C93">
        <w:rPr>
          <w:i/>
          <w:iCs/>
          <w:sz w:val="24"/>
          <w:szCs w:val="24"/>
        </w:rPr>
        <w:t xml:space="preserve">hear </w:t>
      </w:r>
      <w:r w:rsidRPr="00C25C93">
        <w:rPr>
          <w:sz w:val="24"/>
          <w:szCs w:val="24"/>
        </w:rPr>
        <w:t>only of a monstrous Sum already named</w:t>
      </w:r>
      <w:r w:rsidR="003429A7" w:rsidRPr="00C25C93">
        <w:rPr>
          <w:sz w:val="24"/>
          <w:szCs w:val="24"/>
        </w:rPr>
        <w:t>;</w:t>
      </w:r>
      <w:r w:rsidRPr="00C25C93">
        <w:rPr>
          <w:sz w:val="24"/>
          <w:szCs w:val="24"/>
        </w:rPr>
        <w:t xml:space="preserve"> and if OTHERS do not soon hear of it too, and </w:t>
      </w:r>
      <w:r w:rsidRPr="00C25C93">
        <w:rPr>
          <w:i/>
          <w:iCs/>
          <w:sz w:val="24"/>
          <w:szCs w:val="24"/>
        </w:rPr>
        <w:t xml:space="preserve">hear </w:t>
      </w:r>
      <w:r w:rsidRPr="00C25C93">
        <w:rPr>
          <w:sz w:val="24"/>
          <w:szCs w:val="24"/>
        </w:rPr>
        <w:t xml:space="preserve">it with a </w:t>
      </w:r>
      <w:r w:rsidRPr="00C25C93">
        <w:rPr>
          <w:i/>
          <w:iCs/>
          <w:sz w:val="24"/>
          <w:szCs w:val="24"/>
        </w:rPr>
        <w:t>Venge</w:t>
      </w:r>
      <w:r w:rsidR="003429A7" w:rsidRPr="00C25C93">
        <w:rPr>
          <w:i/>
          <w:iCs/>
          <w:sz w:val="24"/>
          <w:szCs w:val="24"/>
        </w:rPr>
        <w:t>a</w:t>
      </w:r>
      <w:r w:rsidRPr="00C25C93">
        <w:rPr>
          <w:i/>
          <w:iCs/>
          <w:sz w:val="24"/>
          <w:szCs w:val="24"/>
        </w:rPr>
        <w:t>nce</w:t>
      </w:r>
      <w:r w:rsidR="003429A7" w:rsidRPr="00C25C93">
        <w:rPr>
          <w:i/>
          <w:iCs/>
          <w:sz w:val="24"/>
          <w:szCs w:val="24"/>
        </w:rPr>
        <w:t>,</w:t>
      </w:r>
      <w:r w:rsidRPr="00C25C93">
        <w:rPr>
          <w:i/>
          <w:iCs/>
          <w:sz w:val="24"/>
          <w:szCs w:val="24"/>
        </w:rPr>
        <w:t xml:space="preserve"> </w:t>
      </w:r>
      <w:r w:rsidRPr="00C25C93">
        <w:rPr>
          <w:sz w:val="24"/>
          <w:szCs w:val="24"/>
        </w:rPr>
        <w:t xml:space="preserve">then am I a Gentleman of less Sagacity than </w:t>
      </w:r>
      <w:proofErr w:type="spellStart"/>
      <w:r w:rsidRPr="00C25C93">
        <w:rPr>
          <w:sz w:val="24"/>
          <w:szCs w:val="24"/>
        </w:rPr>
        <w:t>my self</w:t>
      </w:r>
      <w:proofErr w:type="spellEnd"/>
      <w:r w:rsidRPr="00C25C93">
        <w:rPr>
          <w:sz w:val="24"/>
          <w:szCs w:val="24"/>
        </w:rPr>
        <w:t xml:space="preserve">, and very few besides, take me to be. And the Jest will </w:t>
      </w:r>
      <w:r w:rsidR="003429A7" w:rsidRPr="00C25C93">
        <w:rPr>
          <w:sz w:val="24"/>
          <w:szCs w:val="24"/>
        </w:rPr>
        <w:t xml:space="preserve">be </w:t>
      </w:r>
      <w:r w:rsidRPr="00C25C93">
        <w:rPr>
          <w:sz w:val="24"/>
          <w:szCs w:val="24"/>
        </w:rPr>
        <w:t>still</w:t>
      </w:r>
      <w:r w:rsidR="003429A7" w:rsidRPr="00C25C93">
        <w:rPr>
          <w:sz w:val="24"/>
          <w:szCs w:val="24"/>
        </w:rPr>
        <w:t xml:space="preserve"> the better, if it be true, as judicious Persons have assured me, that one Half of this Money will be </w:t>
      </w:r>
      <w:r w:rsidR="003429A7" w:rsidRPr="00C25C93">
        <w:rPr>
          <w:i/>
          <w:iCs/>
          <w:sz w:val="24"/>
          <w:szCs w:val="24"/>
        </w:rPr>
        <w:t xml:space="preserve">real, </w:t>
      </w:r>
      <w:r w:rsidR="003429A7" w:rsidRPr="00C25C93">
        <w:rPr>
          <w:sz w:val="24"/>
          <w:szCs w:val="24"/>
        </w:rPr>
        <w:t>and the</w:t>
      </w:r>
      <w:r w:rsidR="003429A7" w:rsidRPr="00C25C93">
        <w:rPr>
          <w:i/>
          <w:iCs/>
          <w:sz w:val="24"/>
          <w:szCs w:val="24"/>
        </w:rPr>
        <w:t xml:space="preserve"> </w:t>
      </w:r>
      <w:r w:rsidR="003429A7" w:rsidRPr="00C25C93">
        <w:rPr>
          <w:sz w:val="24"/>
          <w:szCs w:val="24"/>
        </w:rPr>
        <w:t>other Half altogether imaginary. The Matter will be likewise much mended, if the Merchants continue to carry off our Gold and our Goldsmiths to melt down our heavy Silver</w:t>
      </w:r>
      <w:r w:rsidR="00C574CD" w:rsidRPr="00C25C93">
        <w:rPr>
          <w:rStyle w:val="FootnoteReference"/>
          <w:sz w:val="24"/>
          <w:szCs w:val="24"/>
        </w:rPr>
        <w:footnoteReference w:id="12"/>
      </w:r>
      <w:r w:rsidR="003429A7" w:rsidRPr="00C25C93">
        <w:rPr>
          <w:sz w:val="24"/>
          <w:szCs w:val="24"/>
        </w:rPr>
        <w:t xml:space="preserve"> </w:t>
      </w:r>
      <w:r w:rsidRPr="00C25C93">
        <w:rPr>
          <w:sz w:val="24"/>
          <w:szCs w:val="24"/>
        </w:rPr>
        <w:t xml:space="preserve">    </w:t>
      </w:r>
      <w:r w:rsidRPr="00C25C93">
        <w:rPr>
          <w:i/>
          <w:iCs/>
          <w:sz w:val="24"/>
          <w:szCs w:val="24"/>
        </w:rPr>
        <w:t xml:space="preserve"> </w:t>
      </w:r>
      <w:r w:rsidRPr="00C25C93">
        <w:rPr>
          <w:sz w:val="24"/>
          <w:szCs w:val="24"/>
        </w:rPr>
        <w:t xml:space="preserve"> </w:t>
      </w:r>
    </w:p>
    <w:p w14:paraId="27C50010" w14:textId="77777777" w:rsidR="00FA19EF" w:rsidRPr="00C25C93" w:rsidRDefault="00FA19EF" w:rsidP="00FA19EF">
      <w:pPr>
        <w:spacing w:after="0" w:line="360" w:lineRule="auto"/>
        <w:ind w:left="720"/>
        <w:rPr>
          <w:sz w:val="24"/>
          <w:szCs w:val="24"/>
        </w:rPr>
      </w:pPr>
    </w:p>
    <w:p w14:paraId="7BE7FE08" w14:textId="45371F23" w:rsidR="008D0B26" w:rsidRPr="00C25C93" w:rsidRDefault="003429A7" w:rsidP="008D0B26">
      <w:pPr>
        <w:spacing w:after="0" w:line="360" w:lineRule="auto"/>
        <w:jc w:val="both"/>
        <w:rPr>
          <w:sz w:val="24"/>
          <w:szCs w:val="24"/>
        </w:rPr>
      </w:pPr>
      <w:r w:rsidRPr="00C25C93">
        <w:rPr>
          <w:sz w:val="24"/>
          <w:szCs w:val="24"/>
        </w:rPr>
        <w:t xml:space="preserve">There is much to unpick here. </w:t>
      </w:r>
      <w:r w:rsidR="00FA19EF" w:rsidRPr="00C25C93">
        <w:rPr>
          <w:sz w:val="24"/>
          <w:szCs w:val="24"/>
        </w:rPr>
        <w:t xml:space="preserve">Swift’s antipathy towards paper credit is immediately clear </w:t>
      </w:r>
      <w:r w:rsidR="007A1E2C" w:rsidRPr="00C25C93">
        <w:rPr>
          <w:sz w:val="24"/>
          <w:szCs w:val="24"/>
        </w:rPr>
        <w:t>with the use of terms like ‘projecting’ and ‘scheme’ which had already acquired pejorative meanings</w:t>
      </w:r>
      <w:r w:rsidR="008D0B26" w:rsidRPr="00C25C93">
        <w:rPr>
          <w:sz w:val="24"/>
          <w:szCs w:val="24"/>
        </w:rPr>
        <w:t xml:space="preserve"> in contemporary discourse</w:t>
      </w:r>
      <w:r w:rsidR="007A1E2C" w:rsidRPr="00C25C93">
        <w:rPr>
          <w:sz w:val="24"/>
          <w:szCs w:val="24"/>
        </w:rPr>
        <w:t>.</w:t>
      </w:r>
      <w:r w:rsidR="00C574CD" w:rsidRPr="00C25C93">
        <w:rPr>
          <w:rStyle w:val="FootnoteReference"/>
          <w:sz w:val="24"/>
          <w:szCs w:val="24"/>
        </w:rPr>
        <w:footnoteReference w:id="13"/>
      </w:r>
      <w:r w:rsidR="007A1E2C" w:rsidRPr="00C25C93">
        <w:rPr>
          <w:sz w:val="24"/>
          <w:szCs w:val="24"/>
        </w:rPr>
        <w:t xml:space="preserve"> He claims not to understand the proposals though the reader should always be wary of any statement made by Swift regarding his comprehension </w:t>
      </w:r>
      <w:r w:rsidR="007A1E2C" w:rsidRPr="00C25C93">
        <w:rPr>
          <w:sz w:val="24"/>
          <w:szCs w:val="24"/>
        </w:rPr>
        <w:lastRenderedPageBreak/>
        <w:t>of the matter before him.</w:t>
      </w:r>
      <w:r w:rsidR="00C574CD" w:rsidRPr="00C25C93">
        <w:rPr>
          <w:rStyle w:val="FootnoteReference"/>
          <w:sz w:val="24"/>
          <w:szCs w:val="24"/>
        </w:rPr>
        <w:footnoteReference w:id="14"/>
      </w:r>
      <w:r w:rsidR="007A1E2C" w:rsidRPr="00C25C93">
        <w:rPr>
          <w:sz w:val="24"/>
          <w:szCs w:val="24"/>
        </w:rPr>
        <w:t xml:space="preserve"> His grasp of the details of the bank proposals </w:t>
      </w:r>
      <w:r w:rsidR="00D95F03" w:rsidRPr="00C25C93">
        <w:rPr>
          <w:sz w:val="24"/>
          <w:szCs w:val="24"/>
        </w:rPr>
        <w:t>wa</w:t>
      </w:r>
      <w:r w:rsidR="007A1E2C" w:rsidRPr="00C25C93">
        <w:rPr>
          <w:sz w:val="24"/>
          <w:szCs w:val="24"/>
        </w:rPr>
        <w:t xml:space="preserve">s, as we shall see, limited. His claim that the sums involved are ‘monstrous’ combined with the use of the word ‘jest’ to describe the imagined balance between the capital reserves and the credit offered by the proposed bank further highlights his </w:t>
      </w:r>
      <w:r w:rsidR="008D0B26" w:rsidRPr="00C25C93">
        <w:rPr>
          <w:sz w:val="24"/>
          <w:szCs w:val="24"/>
        </w:rPr>
        <w:t>deeply held sceptical views on financial innovation. Finally, we get an attack on the Dublin merchants and their alleged propensity to remove circulating specie from the Irish economy – a well established trope which had some basis in fact</w:t>
      </w:r>
      <w:r w:rsidR="00D95F03" w:rsidRPr="00C25C93">
        <w:rPr>
          <w:sz w:val="24"/>
          <w:szCs w:val="24"/>
        </w:rPr>
        <w:t xml:space="preserve"> and one which was continuously highlighted by the promoters of the various bank schemes</w:t>
      </w:r>
      <w:r w:rsidR="00511900" w:rsidRPr="00C25C93">
        <w:rPr>
          <w:sz w:val="24"/>
          <w:szCs w:val="24"/>
        </w:rPr>
        <w:t xml:space="preserve"> and one which would of course shape the Wood’s halfpence </w:t>
      </w:r>
      <w:r w:rsidR="008710C2">
        <w:rPr>
          <w:sz w:val="24"/>
          <w:szCs w:val="24"/>
        </w:rPr>
        <w:t>affair</w:t>
      </w:r>
      <w:r w:rsidR="00D95F03" w:rsidRPr="00C25C93">
        <w:rPr>
          <w:sz w:val="24"/>
          <w:szCs w:val="24"/>
        </w:rPr>
        <w:t xml:space="preserve">. </w:t>
      </w:r>
      <w:r w:rsidR="006E746A" w:rsidRPr="00C25C93">
        <w:rPr>
          <w:sz w:val="24"/>
          <w:szCs w:val="24"/>
        </w:rPr>
        <w:t>So</w:t>
      </w:r>
      <w:r w:rsidR="00511900" w:rsidRPr="00C25C93">
        <w:rPr>
          <w:sz w:val="24"/>
          <w:szCs w:val="24"/>
        </w:rPr>
        <w:t>,</w:t>
      </w:r>
      <w:r w:rsidR="006E746A" w:rsidRPr="00C25C93">
        <w:rPr>
          <w:sz w:val="24"/>
          <w:szCs w:val="24"/>
        </w:rPr>
        <w:t xml:space="preserve"> for example a petition in favour of a national bank presented to the </w:t>
      </w:r>
      <w:r w:rsidR="00525B37" w:rsidRPr="00C25C93">
        <w:rPr>
          <w:sz w:val="24"/>
          <w:szCs w:val="24"/>
        </w:rPr>
        <w:t xml:space="preserve">king via the </w:t>
      </w:r>
      <w:r w:rsidR="006E746A" w:rsidRPr="00C25C93">
        <w:rPr>
          <w:sz w:val="24"/>
          <w:szCs w:val="24"/>
        </w:rPr>
        <w:t xml:space="preserve">incoming Lord lieutenant, the second Duke of Grafton, in June 1720 whose signatories included the outgoing vicereine, the Duchess of Bolton as well as the lords justices Alan </w:t>
      </w:r>
      <w:proofErr w:type="spellStart"/>
      <w:r w:rsidR="006E746A" w:rsidRPr="00C25C93">
        <w:rPr>
          <w:sz w:val="24"/>
          <w:szCs w:val="24"/>
        </w:rPr>
        <w:t>Brodrick</w:t>
      </w:r>
      <w:proofErr w:type="spellEnd"/>
      <w:r w:rsidR="006E746A" w:rsidRPr="00C25C93">
        <w:rPr>
          <w:sz w:val="24"/>
          <w:szCs w:val="24"/>
        </w:rPr>
        <w:t xml:space="preserve">, Lord Midleton and William Conolly cited ‘the mischief we lie under from the scarcity of coin’ as the principle motivating factor for </w:t>
      </w:r>
      <w:r w:rsidR="00AE2738" w:rsidRPr="00C25C93">
        <w:rPr>
          <w:sz w:val="24"/>
          <w:szCs w:val="24"/>
        </w:rPr>
        <w:t xml:space="preserve">a </w:t>
      </w:r>
      <w:r w:rsidR="006E746A" w:rsidRPr="00C25C93">
        <w:rPr>
          <w:sz w:val="24"/>
          <w:szCs w:val="24"/>
        </w:rPr>
        <w:t>new form of paper credit.</w:t>
      </w:r>
      <w:r w:rsidR="006E746A" w:rsidRPr="00C25C93">
        <w:rPr>
          <w:rStyle w:val="FootnoteReference"/>
          <w:sz w:val="24"/>
          <w:szCs w:val="24"/>
        </w:rPr>
        <w:footnoteReference w:id="15"/>
      </w:r>
      <w:r w:rsidR="006E746A" w:rsidRPr="00C25C93">
        <w:rPr>
          <w:sz w:val="24"/>
          <w:szCs w:val="24"/>
        </w:rPr>
        <w:t xml:space="preserve">     </w:t>
      </w:r>
      <w:r w:rsidR="00D95F03" w:rsidRPr="00C25C93">
        <w:rPr>
          <w:sz w:val="24"/>
          <w:szCs w:val="24"/>
        </w:rPr>
        <w:t xml:space="preserve"> </w:t>
      </w:r>
      <w:r w:rsidR="008D0B26" w:rsidRPr="00C25C93">
        <w:rPr>
          <w:sz w:val="24"/>
          <w:szCs w:val="24"/>
        </w:rPr>
        <w:t xml:space="preserve"> </w:t>
      </w:r>
    </w:p>
    <w:p w14:paraId="71D972D4" w14:textId="33801404" w:rsidR="000726AA" w:rsidRPr="00C25C93" w:rsidRDefault="008D0B26" w:rsidP="006E746A">
      <w:pPr>
        <w:spacing w:after="0" w:line="360" w:lineRule="auto"/>
        <w:ind w:firstLine="720"/>
        <w:jc w:val="both"/>
        <w:rPr>
          <w:sz w:val="24"/>
          <w:szCs w:val="24"/>
        </w:rPr>
      </w:pPr>
      <w:r w:rsidRPr="00C25C93">
        <w:rPr>
          <w:sz w:val="24"/>
          <w:szCs w:val="24"/>
        </w:rPr>
        <w:t xml:space="preserve"> </w:t>
      </w:r>
      <w:proofErr w:type="gramStart"/>
      <w:r w:rsidRPr="00C25C93">
        <w:rPr>
          <w:sz w:val="24"/>
          <w:szCs w:val="24"/>
        </w:rPr>
        <w:t>In order to</w:t>
      </w:r>
      <w:proofErr w:type="gramEnd"/>
      <w:r w:rsidRPr="00C25C93">
        <w:rPr>
          <w:sz w:val="24"/>
          <w:szCs w:val="24"/>
        </w:rPr>
        <w:t xml:space="preserve"> more fully appreciate Swift’s </w:t>
      </w:r>
      <w:r w:rsidR="0029369F" w:rsidRPr="00C25C93">
        <w:rPr>
          <w:sz w:val="24"/>
          <w:szCs w:val="24"/>
        </w:rPr>
        <w:t xml:space="preserve">critique of the national bank proposals we need to look more closely at </w:t>
      </w:r>
      <w:r w:rsidR="00901DFD">
        <w:rPr>
          <w:sz w:val="24"/>
          <w:szCs w:val="24"/>
        </w:rPr>
        <w:t xml:space="preserve">what </w:t>
      </w:r>
      <w:r w:rsidR="0029369F" w:rsidRPr="00C25C93">
        <w:rPr>
          <w:sz w:val="24"/>
          <w:szCs w:val="24"/>
        </w:rPr>
        <w:t xml:space="preserve">was actually being proposed and how much Swift could have known about them at the time he was writing the </w:t>
      </w:r>
      <w:r w:rsidR="0029369F" w:rsidRPr="00C25C93">
        <w:rPr>
          <w:i/>
          <w:iCs/>
          <w:sz w:val="24"/>
          <w:szCs w:val="24"/>
        </w:rPr>
        <w:t>Proposal</w:t>
      </w:r>
      <w:r w:rsidR="006E746A" w:rsidRPr="00C25C93">
        <w:rPr>
          <w:sz w:val="24"/>
          <w:szCs w:val="24"/>
        </w:rPr>
        <w:t xml:space="preserve"> and therefore what this might tell us about the writing of the </w:t>
      </w:r>
      <w:r w:rsidR="006E746A" w:rsidRPr="00C25C93">
        <w:rPr>
          <w:i/>
          <w:iCs/>
          <w:sz w:val="24"/>
          <w:szCs w:val="24"/>
        </w:rPr>
        <w:t>Proposal</w:t>
      </w:r>
      <w:r w:rsidR="006E746A" w:rsidRPr="00C25C93">
        <w:rPr>
          <w:sz w:val="24"/>
          <w:szCs w:val="24"/>
        </w:rPr>
        <w:t xml:space="preserve">. </w:t>
      </w:r>
      <w:r w:rsidR="0029369F" w:rsidRPr="00C25C93">
        <w:rPr>
          <w:sz w:val="24"/>
          <w:szCs w:val="24"/>
        </w:rPr>
        <w:t xml:space="preserve">It is generally accepted that the </w:t>
      </w:r>
      <w:r w:rsidR="0029369F" w:rsidRPr="00C25C93">
        <w:rPr>
          <w:i/>
          <w:iCs/>
          <w:sz w:val="24"/>
          <w:szCs w:val="24"/>
        </w:rPr>
        <w:t xml:space="preserve">Proposal </w:t>
      </w:r>
      <w:r w:rsidR="0029369F" w:rsidRPr="00C25C93">
        <w:rPr>
          <w:sz w:val="24"/>
          <w:szCs w:val="24"/>
        </w:rPr>
        <w:t>was published no later than the week of 24 to 28 May 1720 to allow for its appearance before the King’s birthday, on which occasion Swift’s readers were encouraged to wear garments of Irish manufacture as part of the civic and court celebrations on the latter date.</w:t>
      </w:r>
      <w:r w:rsidR="00040E7B" w:rsidRPr="00C25C93">
        <w:rPr>
          <w:rStyle w:val="FootnoteReference"/>
          <w:sz w:val="24"/>
          <w:szCs w:val="24"/>
        </w:rPr>
        <w:footnoteReference w:id="16"/>
      </w:r>
      <w:r w:rsidR="0029369F" w:rsidRPr="00C25C93">
        <w:rPr>
          <w:sz w:val="24"/>
          <w:szCs w:val="24"/>
        </w:rPr>
        <w:t xml:space="preserve"> This is helpful in terms </w:t>
      </w:r>
      <w:r w:rsidR="00901DFD">
        <w:rPr>
          <w:sz w:val="24"/>
          <w:szCs w:val="24"/>
        </w:rPr>
        <w:t xml:space="preserve">of </w:t>
      </w:r>
      <w:r w:rsidR="0029369F" w:rsidRPr="00C25C93">
        <w:rPr>
          <w:sz w:val="24"/>
          <w:szCs w:val="24"/>
        </w:rPr>
        <w:t xml:space="preserve">understanding the limits of his knowledge of the Bank proposals. </w:t>
      </w:r>
      <w:r w:rsidR="00B97530" w:rsidRPr="00C25C93">
        <w:rPr>
          <w:sz w:val="24"/>
          <w:szCs w:val="24"/>
        </w:rPr>
        <w:t xml:space="preserve">The first thing to stress is that were three separate sets of proposals for a national bank, one by a consortium led by James Hamilton, sixth earl of Abercorn, one led by George Forbes, </w:t>
      </w:r>
      <w:r w:rsidR="0082224C" w:rsidRPr="00C25C93">
        <w:rPr>
          <w:sz w:val="24"/>
          <w:szCs w:val="24"/>
        </w:rPr>
        <w:t xml:space="preserve">later third </w:t>
      </w:r>
      <w:r w:rsidR="00B97530" w:rsidRPr="00C25C93">
        <w:rPr>
          <w:sz w:val="24"/>
          <w:szCs w:val="24"/>
        </w:rPr>
        <w:t>earl of Granard</w:t>
      </w:r>
      <w:r w:rsidR="00F97489" w:rsidRPr="00C25C93">
        <w:rPr>
          <w:sz w:val="24"/>
          <w:szCs w:val="24"/>
        </w:rPr>
        <w:t>, and Brabazon Ponsonby, and finally one sponsored by the Dublin private banker James Swift.</w:t>
      </w:r>
      <w:r w:rsidR="00040E7B" w:rsidRPr="00C25C93">
        <w:rPr>
          <w:rStyle w:val="FootnoteReference"/>
          <w:sz w:val="24"/>
          <w:szCs w:val="24"/>
        </w:rPr>
        <w:footnoteReference w:id="17"/>
      </w:r>
      <w:r w:rsidR="00F97489" w:rsidRPr="00C25C93">
        <w:rPr>
          <w:sz w:val="24"/>
          <w:szCs w:val="24"/>
        </w:rPr>
        <w:t xml:space="preserve"> The first two proposals were the most significant and each </w:t>
      </w:r>
      <w:r w:rsidR="000726AA" w:rsidRPr="00C25C93">
        <w:rPr>
          <w:sz w:val="24"/>
          <w:szCs w:val="24"/>
        </w:rPr>
        <w:t xml:space="preserve">of </w:t>
      </w:r>
      <w:r w:rsidR="00F97489" w:rsidRPr="00C25C93">
        <w:rPr>
          <w:sz w:val="24"/>
          <w:szCs w:val="24"/>
        </w:rPr>
        <w:t xml:space="preserve">them first </w:t>
      </w:r>
      <w:r w:rsidR="00F97489" w:rsidRPr="00C25C93">
        <w:rPr>
          <w:sz w:val="24"/>
          <w:szCs w:val="24"/>
        </w:rPr>
        <w:lastRenderedPageBreak/>
        <w:t xml:space="preserve">appeared in public in early summer 1720. Of these only the Abercorn proposal was current at the time Swift took up </w:t>
      </w:r>
      <w:r w:rsidR="00EB2A66">
        <w:rPr>
          <w:sz w:val="24"/>
          <w:szCs w:val="24"/>
        </w:rPr>
        <w:t>h</w:t>
      </w:r>
      <w:r w:rsidR="00F97489" w:rsidRPr="00C25C93">
        <w:rPr>
          <w:sz w:val="24"/>
          <w:szCs w:val="24"/>
        </w:rPr>
        <w:t xml:space="preserve">is pen. </w:t>
      </w:r>
    </w:p>
    <w:p w14:paraId="086CD070" w14:textId="15C755AD" w:rsidR="00694FBC" w:rsidRPr="00C25C93" w:rsidRDefault="000726AA" w:rsidP="00694FBC">
      <w:pPr>
        <w:spacing w:after="0" w:line="360" w:lineRule="auto"/>
        <w:ind w:firstLine="720"/>
        <w:jc w:val="both"/>
        <w:rPr>
          <w:sz w:val="24"/>
          <w:szCs w:val="24"/>
        </w:rPr>
      </w:pPr>
      <w:r w:rsidRPr="00C25C93">
        <w:rPr>
          <w:sz w:val="24"/>
          <w:szCs w:val="24"/>
        </w:rPr>
        <w:t>The first reference to it comes in a newspaper report in</w:t>
      </w:r>
      <w:r w:rsidR="00525B37" w:rsidRPr="00C25C93">
        <w:rPr>
          <w:sz w:val="24"/>
          <w:szCs w:val="24"/>
        </w:rPr>
        <w:t xml:space="preserve"> </w:t>
      </w:r>
      <w:r w:rsidR="00525B37" w:rsidRPr="00C25C93">
        <w:rPr>
          <w:i/>
          <w:iCs/>
          <w:sz w:val="24"/>
          <w:szCs w:val="24"/>
        </w:rPr>
        <w:t xml:space="preserve">The Dublin Courant </w:t>
      </w:r>
      <w:r w:rsidRPr="00C25C93">
        <w:rPr>
          <w:i/>
          <w:iCs/>
          <w:sz w:val="24"/>
          <w:szCs w:val="24"/>
        </w:rPr>
        <w:t xml:space="preserve"> </w:t>
      </w:r>
      <w:r w:rsidRPr="00C25C93">
        <w:rPr>
          <w:sz w:val="24"/>
          <w:szCs w:val="24"/>
        </w:rPr>
        <w:t xml:space="preserve">of </w:t>
      </w:r>
      <w:r w:rsidR="00525B37" w:rsidRPr="00C25C93">
        <w:rPr>
          <w:sz w:val="24"/>
          <w:szCs w:val="24"/>
        </w:rPr>
        <w:t>30</w:t>
      </w:r>
      <w:r w:rsidRPr="00C25C93">
        <w:rPr>
          <w:sz w:val="24"/>
          <w:szCs w:val="24"/>
        </w:rPr>
        <w:t xml:space="preserve"> </w:t>
      </w:r>
      <w:r w:rsidR="00525B37" w:rsidRPr="00C25C93">
        <w:rPr>
          <w:sz w:val="24"/>
          <w:szCs w:val="24"/>
        </w:rPr>
        <w:t>April</w:t>
      </w:r>
      <w:r w:rsidRPr="00C25C93">
        <w:rPr>
          <w:sz w:val="24"/>
          <w:szCs w:val="24"/>
        </w:rPr>
        <w:t xml:space="preserve"> while an undated printed proposal usually credited to a mercurial projector by the name of John Irwin was circulating in print around </w:t>
      </w:r>
      <w:r w:rsidR="006E746A" w:rsidRPr="00C25C93">
        <w:rPr>
          <w:sz w:val="24"/>
          <w:szCs w:val="24"/>
        </w:rPr>
        <w:t xml:space="preserve">about </w:t>
      </w:r>
      <w:r w:rsidRPr="00C25C93">
        <w:rPr>
          <w:sz w:val="24"/>
          <w:szCs w:val="24"/>
        </w:rPr>
        <w:t>the same time.</w:t>
      </w:r>
      <w:r w:rsidR="00040E7B" w:rsidRPr="00C25C93">
        <w:rPr>
          <w:rStyle w:val="FootnoteReference"/>
          <w:sz w:val="24"/>
          <w:szCs w:val="24"/>
        </w:rPr>
        <w:footnoteReference w:id="18"/>
      </w:r>
      <w:r w:rsidRPr="00C25C93">
        <w:rPr>
          <w:sz w:val="24"/>
          <w:szCs w:val="24"/>
        </w:rPr>
        <w:t xml:space="preserve"> We shall return to Irwin’s pamphlet momentarily, but it is worth noting that the bank proposals were been discussed in private letters and </w:t>
      </w:r>
      <w:r w:rsidR="006E746A" w:rsidRPr="00C25C93">
        <w:rPr>
          <w:sz w:val="24"/>
          <w:szCs w:val="24"/>
        </w:rPr>
        <w:t xml:space="preserve">therefore </w:t>
      </w:r>
      <w:r w:rsidRPr="00C25C93">
        <w:rPr>
          <w:sz w:val="24"/>
          <w:szCs w:val="24"/>
        </w:rPr>
        <w:t xml:space="preserve">presumably </w:t>
      </w:r>
      <w:r w:rsidR="006E746A" w:rsidRPr="00C25C93">
        <w:rPr>
          <w:sz w:val="24"/>
          <w:szCs w:val="24"/>
        </w:rPr>
        <w:t xml:space="preserve">in </w:t>
      </w:r>
      <w:r w:rsidRPr="00C25C93">
        <w:rPr>
          <w:sz w:val="24"/>
          <w:szCs w:val="24"/>
        </w:rPr>
        <w:t>conversation at this time.</w:t>
      </w:r>
      <w:r w:rsidR="00040E7B" w:rsidRPr="00C25C93">
        <w:rPr>
          <w:rStyle w:val="FootnoteReference"/>
          <w:sz w:val="24"/>
          <w:szCs w:val="24"/>
        </w:rPr>
        <w:footnoteReference w:id="19"/>
      </w:r>
      <w:r w:rsidRPr="00C25C93">
        <w:rPr>
          <w:sz w:val="24"/>
          <w:szCs w:val="24"/>
        </w:rPr>
        <w:t xml:space="preserve"> Some sense of the excitement generated by the proposals, whether spontaneous or organised, can be seen in the speed with which over one hundred putative subscribers indicated their interest at a Dublin coffee house within </w:t>
      </w:r>
      <w:r w:rsidR="006E746A" w:rsidRPr="00C25C93">
        <w:rPr>
          <w:sz w:val="24"/>
          <w:szCs w:val="24"/>
        </w:rPr>
        <w:t>one</w:t>
      </w:r>
      <w:r w:rsidRPr="00C25C93">
        <w:rPr>
          <w:sz w:val="24"/>
          <w:szCs w:val="24"/>
        </w:rPr>
        <w:t xml:space="preserve"> week</w:t>
      </w:r>
      <w:r w:rsidR="006E746A" w:rsidRPr="00C25C93">
        <w:rPr>
          <w:sz w:val="24"/>
          <w:szCs w:val="24"/>
        </w:rPr>
        <w:t xml:space="preserve"> of the subscription book opening in Dublin’s Merchant’s Coffee House in Essex Street on 19 May</w:t>
      </w:r>
      <w:r w:rsidRPr="00C25C93">
        <w:rPr>
          <w:sz w:val="24"/>
          <w:szCs w:val="24"/>
        </w:rPr>
        <w:t>.</w:t>
      </w:r>
      <w:r w:rsidR="00040E7B" w:rsidRPr="00C25C93">
        <w:rPr>
          <w:rStyle w:val="FootnoteReference"/>
          <w:sz w:val="24"/>
          <w:szCs w:val="24"/>
        </w:rPr>
        <w:footnoteReference w:id="20"/>
      </w:r>
      <w:r w:rsidR="006E746A" w:rsidRPr="00C25C93">
        <w:rPr>
          <w:sz w:val="24"/>
          <w:szCs w:val="24"/>
        </w:rPr>
        <w:t xml:space="preserve"> These </w:t>
      </w:r>
      <w:r w:rsidR="00AE2738" w:rsidRPr="00C25C93">
        <w:rPr>
          <w:sz w:val="24"/>
          <w:szCs w:val="24"/>
        </w:rPr>
        <w:t xml:space="preserve">subscribers came </w:t>
      </w:r>
      <w:r w:rsidR="00A424A7" w:rsidRPr="00C25C93">
        <w:rPr>
          <w:sz w:val="24"/>
          <w:szCs w:val="24"/>
        </w:rPr>
        <w:t>from a reasonably broad base within Protestant Irish society with the list headed by the peers, Lords Abercorn</w:t>
      </w:r>
      <w:r w:rsidR="00AE2738" w:rsidRPr="00C25C93">
        <w:rPr>
          <w:sz w:val="24"/>
          <w:szCs w:val="24"/>
        </w:rPr>
        <w:t xml:space="preserve"> and</w:t>
      </w:r>
      <w:r w:rsidR="00A424A7" w:rsidRPr="00C25C93">
        <w:rPr>
          <w:sz w:val="24"/>
          <w:szCs w:val="24"/>
        </w:rPr>
        <w:t xml:space="preserve"> Boyne </w:t>
      </w:r>
      <w:r w:rsidR="00C743E2" w:rsidRPr="00C25C93">
        <w:rPr>
          <w:sz w:val="24"/>
          <w:szCs w:val="24"/>
        </w:rPr>
        <w:t xml:space="preserve">while other prominent subscribers included the </w:t>
      </w:r>
      <w:r w:rsidR="00AE2738" w:rsidRPr="00C25C93">
        <w:rPr>
          <w:sz w:val="24"/>
          <w:szCs w:val="24"/>
        </w:rPr>
        <w:t xml:space="preserve">chancellor of the exchequer Sir Ralph Gore as well as the </w:t>
      </w:r>
      <w:r w:rsidR="00C743E2" w:rsidRPr="00C25C93">
        <w:rPr>
          <w:sz w:val="24"/>
          <w:szCs w:val="24"/>
        </w:rPr>
        <w:t>Co. Down landowner and later judge Michael Ward who alongside Oliver St George took an especially active role in soliciting support for the project in Dublin and London.</w:t>
      </w:r>
      <w:r w:rsidR="00040E7B" w:rsidRPr="00C25C93">
        <w:rPr>
          <w:rStyle w:val="FootnoteReference"/>
          <w:sz w:val="24"/>
          <w:szCs w:val="24"/>
        </w:rPr>
        <w:footnoteReference w:id="21"/>
      </w:r>
      <w:r w:rsidR="00C743E2" w:rsidRPr="00C25C93">
        <w:rPr>
          <w:sz w:val="24"/>
          <w:szCs w:val="24"/>
        </w:rPr>
        <w:t xml:space="preserve"> Beyond the parliamentary elite (</w:t>
      </w:r>
      <w:r w:rsidR="00BB0284" w:rsidRPr="00C25C93">
        <w:rPr>
          <w:sz w:val="24"/>
          <w:szCs w:val="24"/>
        </w:rPr>
        <w:t>3 Irish Peers and 48</w:t>
      </w:r>
      <w:r w:rsidR="00C743E2" w:rsidRPr="00C25C93">
        <w:rPr>
          <w:b/>
          <w:bCs/>
          <w:sz w:val="24"/>
          <w:szCs w:val="24"/>
        </w:rPr>
        <w:t xml:space="preserve"> </w:t>
      </w:r>
      <w:r w:rsidR="00C743E2" w:rsidRPr="00C25C93">
        <w:rPr>
          <w:sz w:val="24"/>
          <w:szCs w:val="24"/>
        </w:rPr>
        <w:t xml:space="preserve">MPs appear on the list) there were a select few wealthy women and a number of prominent Dublin merchants including </w:t>
      </w:r>
      <w:r w:rsidR="00BB0284" w:rsidRPr="00C25C93">
        <w:rPr>
          <w:sz w:val="24"/>
          <w:szCs w:val="24"/>
        </w:rPr>
        <w:t>Sir William Fownes and John Porter</w:t>
      </w:r>
      <w:r w:rsidR="00C743E2" w:rsidRPr="00C25C93">
        <w:rPr>
          <w:sz w:val="24"/>
          <w:szCs w:val="24"/>
        </w:rPr>
        <w:t>. This level of interest and the sums been promised (subscriptions ranged from £</w:t>
      </w:r>
      <w:r w:rsidR="00AE2738" w:rsidRPr="00C25C93">
        <w:rPr>
          <w:sz w:val="24"/>
          <w:szCs w:val="24"/>
        </w:rPr>
        <w:t>500</w:t>
      </w:r>
      <w:r w:rsidR="00C743E2" w:rsidRPr="00C25C93">
        <w:rPr>
          <w:sz w:val="24"/>
          <w:szCs w:val="24"/>
        </w:rPr>
        <w:t xml:space="preserve"> to £</w:t>
      </w:r>
      <w:r w:rsidR="00AE2738" w:rsidRPr="00C25C93">
        <w:rPr>
          <w:sz w:val="24"/>
          <w:szCs w:val="24"/>
        </w:rPr>
        <w:t>10</w:t>
      </w:r>
      <w:r w:rsidR="00C743E2" w:rsidRPr="00C25C93">
        <w:rPr>
          <w:sz w:val="24"/>
          <w:szCs w:val="24"/>
        </w:rPr>
        <w:t>,000) suggests the idea of a national bank had an audience</w:t>
      </w:r>
      <w:r w:rsidR="00694FBC" w:rsidRPr="00C25C93">
        <w:rPr>
          <w:sz w:val="24"/>
          <w:szCs w:val="24"/>
        </w:rPr>
        <w:t>. By the 24</w:t>
      </w:r>
      <w:r w:rsidR="00694FBC" w:rsidRPr="00C25C93">
        <w:rPr>
          <w:sz w:val="24"/>
          <w:szCs w:val="24"/>
          <w:vertAlign w:val="superscript"/>
        </w:rPr>
        <w:t>th</w:t>
      </w:r>
      <w:r w:rsidR="00694FBC" w:rsidRPr="00C25C93">
        <w:rPr>
          <w:sz w:val="24"/>
          <w:szCs w:val="24"/>
        </w:rPr>
        <w:t xml:space="preserve"> May, only five days after the subscription book opened, thirteen managers were elected </w:t>
      </w:r>
      <w:r w:rsidR="00C11EF3">
        <w:rPr>
          <w:sz w:val="24"/>
          <w:szCs w:val="24"/>
        </w:rPr>
        <w:t xml:space="preserve">according to the bank’s publicly stated regulations </w:t>
      </w:r>
      <w:r w:rsidR="00694FBC" w:rsidRPr="00C25C93">
        <w:rPr>
          <w:sz w:val="24"/>
          <w:szCs w:val="24"/>
        </w:rPr>
        <w:t>to oversee the bank’s governance with Michael Ward, Sir Ralph Gore, Henry Sandford and Lord Abercorn heading the poll.</w:t>
      </w:r>
      <w:r w:rsidR="00694FBC" w:rsidRPr="00C25C93">
        <w:rPr>
          <w:rStyle w:val="FootnoteReference"/>
          <w:sz w:val="24"/>
          <w:szCs w:val="24"/>
        </w:rPr>
        <w:footnoteReference w:id="22"/>
      </w:r>
      <w:r w:rsidR="00694FBC" w:rsidRPr="00C25C93">
        <w:rPr>
          <w:sz w:val="24"/>
          <w:szCs w:val="24"/>
        </w:rPr>
        <w:t xml:space="preserve"> The political character of those elected crossed old partisan boundaries </w:t>
      </w:r>
      <w:r w:rsidR="00694FBC" w:rsidRPr="00C25C93">
        <w:rPr>
          <w:sz w:val="24"/>
          <w:szCs w:val="24"/>
        </w:rPr>
        <w:lastRenderedPageBreak/>
        <w:t>with so-called Hanoverian Tories like Francis Bernard, and even the chameleon-like Abercorn himself, appearing alongside avowed Whigs like Ward, Gore and Oliver St George. The landed interest dominated but Alderman Porter of Dublin and possibly the shadowy Irwin himself represented Dublin’s commercial elite amongst the bank’s trustees.</w:t>
      </w:r>
      <w:r w:rsidR="00694FBC" w:rsidRPr="00C25C93">
        <w:rPr>
          <w:rStyle w:val="FootnoteReference"/>
          <w:sz w:val="24"/>
          <w:szCs w:val="24"/>
        </w:rPr>
        <w:footnoteReference w:id="23"/>
      </w:r>
      <w:r w:rsidR="00694FBC" w:rsidRPr="00C25C93">
        <w:rPr>
          <w:sz w:val="24"/>
          <w:szCs w:val="24"/>
        </w:rPr>
        <w:t xml:space="preserve"> </w:t>
      </w:r>
    </w:p>
    <w:p w14:paraId="37992C0C" w14:textId="0CCAE5C8" w:rsidR="006A6579" w:rsidRPr="00C25C93" w:rsidRDefault="00694FBC" w:rsidP="00C11EF3">
      <w:pPr>
        <w:spacing w:after="0" w:line="360" w:lineRule="auto"/>
        <w:ind w:firstLine="720"/>
        <w:jc w:val="both"/>
        <w:rPr>
          <w:sz w:val="24"/>
          <w:szCs w:val="24"/>
        </w:rPr>
      </w:pPr>
      <w:r w:rsidRPr="00C25C93">
        <w:rPr>
          <w:sz w:val="24"/>
          <w:szCs w:val="24"/>
        </w:rPr>
        <w:t xml:space="preserve">All of this activity together with the organisation of </w:t>
      </w:r>
      <w:r w:rsidR="00D55130" w:rsidRPr="00C25C93">
        <w:rPr>
          <w:sz w:val="24"/>
          <w:szCs w:val="24"/>
        </w:rPr>
        <w:t>carefully</w:t>
      </w:r>
      <w:r w:rsidRPr="00C25C93">
        <w:rPr>
          <w:sz w:val="24"/>
          <w:szCs w:val="24"/>
        </w:rPr>
        <w:t xml:space="preserve"> coordinated lobbying activity involving Irish interests at Westminster points towards the serious</w:t>
      </w:r>
      <w:r w:rsidR="00EB2A66">
        <w:rPr>
          <w:sz w:val="24"/>
          <w:szCs w:val="24"/>
        </w:rPr>
        <w:t>ness</w:t>
      </w:r>
      <w:r w:rsidRPr="00C25C93">
        <w:rPr>
          <w:sz w:val="24"/>
          <w:szCs w:val="24"/>
        </w:rPr>
        <w:t xml:space="preserve"> of the proposals and it is eas</w:t>
      </w:r>
      <w:r w:rsidR="00D55130" w:rsidRPr="00C25C93">
        <w:rPr>
          <w:sz w:val="24"/>
          <w:szCs w:val="24"/>
        </w:rPr>
        <w:t>y</w:t>
      </w:r>
      <w:r w:rsidRPr="00C25C93">
        <w:rPr>
          <w:sz w:val="24"/>
          <w:szCs w:val="24"/>
        </w:rPr>
        <w:t xml:space="preserve"> to imagine the stir that was created</w:t>
      </w:r>
      <w:r w:rsidR="00A25554" w:rsidRPr="00C25C93">
        <w:rPr>
          <w:sz w:val="24"/>
          <w:szCs w:val="24"/>
        </w:rPr>
        <w:t xml:space="preserve"> in political, commercial and official circles in Dublin</w:t>
      </w:r>
      <w:r w:rsidRPr="00C25C93">
        <w:rPr>
          <w:sz w:val="24"/>
          <w:szCs w:val="24"/>
        </w:rPr>
        <w:t xml:space="preserve">. As such it is no surprise that </w:t>
      </w:r>
      <w:r w:rsidR="00D55130" w:rsidRPr="00C25C93">
        <w:rPr>
          <w:sz w:val="24"/>
          <w:szCs w:val="24"/>
        </w:rPr>
        <w:t>Swift’s</w:t>
      </w:r>
      <w:r w:rsidRPr="00C25C93">
        <w:rPr>
          <w:sz w:val="24"/>
          <w:szCs w:val="24"/>
        </w:rPr>
        <w:t xml:space="preserve"> interest was piqued </w:t>
      </w:r>
      <w:r w:rsidR="00A25554" w:rsidRPr="00C25C93">
        <w:rPr>
          <w:sz w:val="24"/>
          <w:szCs w:val="24"/>
        </w:rPr>
        <w:t xml:space="preserve">sufficiently </w:t>
      </w:r>
      <w:r w:rsidR="00D55130" w:rsidRPr="00C25C93">
        <w:rPr>
          <w:sz w:val="24"/>
          <w:szCs w:val="24"/>
        </w:rPr>
        <w:t xml:space="preserve">while he was preparing the </w:t>
      </w:r>
      <w:r w:rsidR="00D55130" w:rsidRPr="00C25C93">
        <w:rPr>
          <w:i/>
          <w:iCs/>
          <w:sz w:val="24"/>
          <w:szCs w:val="24"/>
        </w:rPr>
        <w:t>Proposal</w:t>
      </w:r>
      <w:r w:rsidR="00A25554" w:rsidRPr="00C25C93">
        <w:rPr>
          <w:i/>
          <w:iCs/>
          <w:sz w:val="24"/>
          <w:szCs w:val="24"/>
        </w:rPr>
        <w:t xml:space="preserve"> </w:t>
      </w:r>
      <w:r w:rsidR="00A25554" w:rsidRPr="00C25C93">
        <w:rPr>
          <w:sz w:val="24"/>
          <w:szCs w:val="24"/>
        </w:rPr>
        <w:t xml:space="preserve">to conclude his text with a paragraph on ‘this thing called a bank’. In the absence of a detailed </w:t>
      </w:r>
      <w:r w:rsidR="0090765D" w:rsidRPr="00C25C93">
        <w:rPr>
          <w:sz w:val="24"/>
          <w:szCs w:val="24"/>
        </w:rPr>
        <w:t>account of his writing and publication process the question of whether he intended to finish with the bank or whether this paragraph was a late addition must remain a speculative one. The use of the phrase, ‘I Cannot forbear saying one word’ is however suggestive here,</w:t>
      </w:r>
      <w:r w:rsidR="00C45CD9" w:rsidRPr="00C25C93">
        <w:rPr>
          <w:sz w:val="24"/>
          <w:szCs w:val="24"/>
        </w:rPr>
        <w:t xml:space="preserve"> though Oliver Ferguson has read this as evidence of the disjointed nature of the pamphlet whereby a litany of complaints </w:t>
      </w:r>
      <w:r w:rsidR="00EB2A66">
        <w:rPr>
          <w:sz w:val="24"/>
          <w:szCs w:val="24"/>
        </w:rPr>
        <w:t xml:space="preserve">are itemised </w:t>
      </w:r>
      <w:r w:rsidR="00C45CD9" w:rsidRPr="00C25C93">
        <w:rPr>
          <w:sz w:val="24"/>
          <w:szCs w:val="24"/>
        </w:rPr>
        <w:t>in a ‘mechanical manner’.</w:t>
      </w:r>
      <w:r w:rsidR="00C45CD9" w:rsidRPr="00C25C93">
        <w:rPr>
          <w:rStyle w:val="FootnoteReference"/>
          <w:sz w:val="24"/>
          <w:szCs w:val="24"/>
        </w:rPr>
        <w:footnoteReference w:id="24"/>
      </w:r>
      <w:r w:rsidR="00C45CD9" w:rsidRPr="00C25C93">
        <w:rPr>
          <w:sz w:val="24"/>
          <w:szCs w:val="24"/>
        </w:rPr>
        <w:t xml:space="preserve"> </w:t>
      </w:r>
      <w:r w:rsidR="001210EE" w:rsidRPr="00C25C93">
        <w:rPr>
          <w:sz w:val="24"/>
          <w:szCs w:val="24"/>
        </w:rPr>
        <w:t xml:space="preserve"> </w:t>
      </w:r>
      <w:r w:rsidR="00C45CD9" w:rsidRPr="00C25C93">
        <w:rPr>
          <w:sz w:val="24"/>
          <w:szCs w:val="24"/>
        </w:rPr>
        <w:t>However it is worth  drawing attention to</w:t>
      </w:r>
      <w:r w:rsidR="0090765D" w:rsidRPr="00C25C93">
        <w:rPr>
          <w:sz w:val="24"/>
          <w:szCs w:val="24"/>
        </w:rPr>
        <w:t xml:space="preserve"> the punch packed by the previous line</w:t>
      </w:r>
      <w:r w:rsidR="00DD6037" w:rsidRPr="00C25C93">
        <w:rPr>
          <w:sz w:val="24"/>
          <w:szCs w:val="24"/>
        </w:rPr>
        <w:t xml:space="preserve">: </w:t>
      </w:r>
      <w:r w:rsidR="0090765D" w:rsidRPr="00C25C93">
        <w:rPr>
          <w:sz w:val="24"/>
          <w:szCs w:val="24"/>
        </w:rPr>
        <w:t>‘</w:t>
      </w:r>
      <w:r w:rsidR="00DD6037" w:rsidRPr="00C25C93">
        <w:rPr>
          <w:sz w:val="24"/>
          <w:szCs w:val="24"/>
        </w:rPr>
        <w:t xml:space="preserve">Whoever travels this country and observes the </w:t>
      </w:r>
      <w:r w:rsidR="00DD6037" w:rsidRPr="00C25C93">
        <w:rPr>
          <w:i/>
          <w:iCs/>
          <w:sz w:val="24"/>
          <w:szCs w:val="24"/>
        </w:rPr>
        <w:t>Face</w:t>
      </w:r>
      <w:r w:rsidR="00DD6037" w:rsidRPr="00C25C93">
        <w:rPr>
          <w:sz w:val="24"/>
          <w:szCs w:val="24"/>
        </w:rPr>
        <w:t xml:space="preserve"> of Nature, or the </w:t>
      </w:r>
      <w:r w:rsidR="00DD6037" w:rsidRPr="00C25C93">
        <w:rPr>
          <w:i/>
          <w:iCs/>
          <w:sz w:val="24"/>
          <w:szCs w:val="24"/>
        </w:rPr>
        <w:t>Faces</w:t>
      </w:r>
      <w:r w:rsidR="00DD6037" w:rsidRPr="00C25C93">
        <w:rPr>
          <w:sz w:val="24"/>
          <w:szCs w:val="24"/>
        </w:rPr>
        <w:t xml:space="preserve">, and Habits, and Dwellings of the </w:t>
      </w:r>
      <w:r w:rsidR="00DD6037" w:rsidRPr="00C25C93">
        <w:rPr>
          <w:i/>
          <w:iCs/>
          <w:sz w:val="24"/>
          <w:szCs w:val="24"/>
        </w:rPr>
        <w:t>Natives</w:t>
      </w:r>
      <w:r w:rsidR="00DD6037" w:rsidRPr="00C25C93">
        <w:rPr>
          <w:sz w:val="24"/>
          <w:szCs w:val="24"/>
        </w:rPr>
        <w:t xml:space="preserve">, </w:t>
      </w:r>
      <w:r w:rsidR="0090765D" w:rsidRPr="00C25C93">
        <w:rPr>
          <w:sz w:val="24"/>
          <w:szCs w:val="24"/>
        </w:rPr>
        <w:t xml:space="preserve">will hardly think of himself in a Land whether either </w:t>
      </w:r>
      <w:r w:rsidR="0090765D" w:rsidRPr="00C25C93">
        <w:rPr>
          <w:i/>
          <w:iCs/>
          <w:sz w:val="24"/>
          <w:szCs w:val="24"/>
        </w:rPr>
        <w:t xml:space="preserve">Law, Religion, </w:t>
      </w:r>
      <w:r w:rsidR="0090765D" w:rsidRPr="00C25C93">
        <w:rPr>
          <w:sz w:val="24"/>
          <w:szCs w:val="24"/>
        </w:rPr>
        <w:t>or</w:t>
      </w:r>
      <w:r w:rsidR="0090765D" w:rsidRPr="00C25C93">
        <w:rPr>
          <w:i/>
          <w:iCs/>
          <w:sz w:val="24"/>
          <w:szCs w:val="24"/>
        </w:rPr>
        <w:t xml:space="preserve"> common Humanity </w:t>
      </w:r>
      <w:r w:rsidR="0090765D" w:rsidRPr="00C25C93">
        <w:rPr>
          <w:sz w:val="24"/>
          <w:szCs w:val="24"/>
        </w:rPr>
        <w:t>is professed’.</w:t>
      </w:r>
      <w:r w:rsidR="00E91394" w:rsidRPr="00C25C93">
        <w:rPr>
          <w:rStyle w:val="FootnoteReference"/>
          <w:sz w:val="24"/>
          <w:szCs w:val="24"/>
        </w:rPr>
        <w:footnoteReference w:id="25"/>
      </w:r>
      <w:r w:rsidR="0090765D" w:rsidRPr="00C25C93">
        <w:rPr>
          <w:sz w:val="24"/>
          <w:szCs w:val="24"/>
        </w:rPr>
        <w:t xml:space="preserve"> </w:t>
      </w:r>
      <w:r w:rsidR="00DD6037" w:rsidRPr="00C25C93">
        <w:rPr>
          <w:sz w:val="24"/>
          <w:szCs w:val="24"/>
        </w:rPr>
        <w:t xml:space="preserve">Could these </w:t>
      </w:r>
      <w:r w:rsidR="00E91394" w:rsidRPr="00C25C93">
        <w:rPr>
          <w:sz w:val="24"/>
          <w:szCs w:val="24"/>
        </w:rPr>
        <w:t xml:space="preserve">powerful </w:t>
      </w:r>
      <w:r w:rsidR="008710C2">
        <w:rPr>
          <w:sz w:val="24"/>
          <w:szCs w:val="24"/>
        </w:rPr>
        <w:t xml:space="preserve">emotive </w:t>
      </w:r>
      <w:r w:rsidR="00E91394" w:rsidRPr="00C25C93">
        <w:rPr>
          <w:sz w:val="24"/>
          <w:szCs w:val="24"/>
        </w:rPr>
        <w:t xml:space="preserve">words be the </w:t>
      </w:r>
      <w:r w:rsidR="00DD6037" w:rsidRPr="00C25C93">
        <w:rPr>
          <w:sz w:val="24"/>
          <w:szCs w:val="24"/>
        </w:rPr>
        <w:t xml:space="preserve">original concluding lines?  </w:t>
      </w:r>
      <w:r w:rsidR="0090765D" w:rsidRPr="00C25C93">
        <w:rPr>
          <w:sz w:val="24"/>
          <w:szCs w:val="24"/>
        </w:rPr>
        <w:t>Furthermore, the penultimate paragraph with its ferocious denunciation of the rack-renting practices of Irish landlords returns to a theme first raised in the opening p</w:t>
      </w:r>
      <w:r w:rsidR="006A6579" w:rsidRPr="00C25C93">
        <w:rPr>
          <w:sz w:val="24"/>
          <w:szCs w:val="24"/>
        </w:rPr>
        <w:t>aragraph</w:t>
      </w:r>
      <w:r w:rsidR="0090765D" w:rsidRPr="00C25C93">
        <w:rPr>
          <w:sz w:val="24"/>
          <w:szCs w:val="24"/>
        </w:rPr>
        <w:t xml:space="preserve"> of the pamphlet </w:t>
      </w:r>
      <w:r w:rsidR="006A6579" w:rsidRPr="00C25C93">
        <w:rPr>
          <w:sz w:val="24"/>
          <w:szCs w:val="24"/>
        </w:rPr>
        <w:t xml:space="preserve">with its focus on the conversion of tenanted farmland to sheep walks – the pernicious role of Irish landlords </w:t>
      </w:r>
      <w:r w:rsidR="00AD1A14">
        <w:rPr>
          <w:sz w:val="24"/>
          <w:szCs w:val="24"/>
        </w:rPr>
        <w:t xml:space="preserve">rather than </w:t>
      </w:r>
      <w:r w:rsidR="006A6579" w:rsidRPr="00C25C93">
        <w:rPr>
          <w:sz w:val="24"/>
          <w:szCs w:val="24"/>
        </w:rPr>
        <w:t>English policymakers in retarding Irish economic development</w:t>
      </w:r>
      <w:r w:rsidR="008710C2">
        <w:rPr>
          <w:sz w:val="24"/>
          <w:szCs w:val="24"/>
        </w:rPr>
        <w:t>.</w:t>
      </w:r>
      <w:r w:rsidR="006A6579" w:rsidRPr="00C25C93">
        <w:rPr>
          <w:sz w:val="24"/>
          <w:szCs w:val="24"/>
        </w:rPr>
        <w:t xml:space="preserve"> </w:t>
      </w:r>
      <w:proofErr w:type="gramStart"/>
      <w:r w:rsidR="008710C2">
        <w:rPr>
          <w:sz w:val="24"/>
          <w:szCs w:val="24"/>
        </w:rPr>
        <w:t xml:space="preserve">This </w:t>
      </w:r>
      <w:r w:rsidR="006A6579" w:rsidRPr="00C25C93">
        <w:rPr>
          <w:sz w:val="24"/>
          <w:szCs w:val="24"/>
        </w:rPr>
        <w:t xml:space="preserve"> is</w:t>
      </w:r>
      <w:proofErr w:type="gramEnd"/>
      <w:r w:rsidR="006A6579" w:rsidRPr="00C25C93">
        <w:rPr>
          <w:sz w:val="24"/>
          <w:szCs w:val="24"/>
        </w:rPr>
        <w:t xml:space="preserve"> possibly indicative of a greater unity of purpose</w:t>
      </w:r>
      <w:r w:rsidR="00DF1A98" w:rsidRPr="00C25C93">
        <w:rPr>
          <w:sz w:val="24"/>
          <w:szCs w:val="24"/>
        </w:rPr>
        <w:t xml:space="preserve"> in the pamphlet</w:t>
      </w:r>
      <w:r w:rsidR="00AD1A14">
        <w:rPr>
          <w:sz w:val="24"/>
          <w:szCs w:val="24"/>
        </w:rPr>
        <w:t xml:space="preserve">, and </w:t>
      </w:r>
      <w:r w:rsidR="008710C2">
        <w:rPr>
          <w:sz w:val="24"/>
          <w:szCs w:val="24"/>
        </w:rPr>
        <w:t xml:space="preserve">this </w:t>
      </w:r>
      <w:r w:rsidR="00AD1A14">
        <w:rPr>
          <w:sz w:val="24"/>
          <w:szCs w:val="24"/>
        </w:rPr>
        <w:t>is</w:t>
      </w:r>
      <w:r w:rsidR="00DF1A98" w:rsidRPr="00C25C93">
        <w:rPr>
          <w:sz w:val="24"/>
          <w:szCs w:val="24"/>
        </w:rPr>
        <w:t xml:space="preserve"> </w:t>
      </w:r>
      <w:r w:rsidR="00AD1A14">
        <w:rPr>
          <w:sz w:val="24"/>
          <w:szCs w:val="24"/>
        </w:rPr>
        <w:t xml:space="preserve"> </w:t>
      </w:r>
      <w:r w:rsidR="00DF1A98" w:rsidRPr="00C25C93">
        <w:rPr>
          <w:sz w:val="24"/>
          <w:szCs w:val="24"/>
        </w:rPr>
        <w:t>an argument that permeates two recent reassessments</w:t>
      </w:r>
      <w:r w:rsidR="006A6579" w:rsidRPr="00C25C93">
        <w:rPr>
          <w:sz w:val="24"/>
          <w:szCs w:val="24"/>
        </w:rPr>
        <w:t xml:space="preserve">. Ian McBride </w:t>
      </w:r>
      <w:r w:rsidR="00DF1A98" w:rsidRPr="00C25C93">
        <w:rPr>
          <w:sz w:val="24"/>
          <w:szCs w:val="24"/>
        </w:rPr>
        <w:t xml:space="preserve">in an important contribution has </w:t>
      </w:r>
      <w:r w:rsidR="006A6579" w:rsidRPr="00C25C93">
        <w:rPr>
          <w:sz w:val="24"/>
          <w:szCs w:val="24"/>
        </w:rPr>
        <w:t xml:space="preserve">argued more broadly that Swift’s animus towards the Irish landed interest is the key connecting thread across his output on Irish affairs in the 1720s </w:t>
      </w:r>
      <w:r w:rsidR="006A6579" w:rsidRPr="00C25C93">
        <w:rPr>
          <w:sz w:val="24"/>
          <w:szCs w:val="24"/>
        </w:rPr>
        <w:lastRenderedPageBreak/>
        <w:t xml:space="preserve">beginning with the </w:t>
      </w:r>
      <w:r w:rsidR="006A6579" w:rsidRPr="00C25C93">
        <w:rPr>
          <w:i/>
          <w:iCs/>
          <w:sz w:val="24"/>
          <w:szCs w:val="24"/>
        </w:rPr>
        <w:t>Proposal.</w:t>
      </w:r>
      <w:r w:rsidR="00DF1A98" w:rsidRPr="00C25C93">
        <w:rPr>
          <w:rStyle w:val="FootnoteReference"/>
          <w:i/>
          <w:iCs/>
          <w:sz w:val="24"/>
          <w:szCs w:val="24"/>
        </w:rPr>
        <w:footnoteReference w:id="26"/>
      </w:r>
      <w:r w:rsidR="006A6579" w:rsidRPr="00C25C93">
        <w:rPr>
          <w:sz w:val="24"/>
          <w:szCs w:val="24"/>
        </w:rPr>
        <w:t xml:space="preserve">  </w:t>
      </w:r>
      <w:r w:rsidR="00DF1A98" w:rsidRPr="00C25C93">
        <w:rPr>
          <w:sz w:val="24"/>
          <w:szCs w:val="24"/>
        </w:rPr>
        <w:t>Meanwhile,</w:t>
      </w:r>
      <w:r w:rsidR="006A6579" w:rsidRPr="00C25C93">
        <w:rPr>
          <w:sz w:val="24"/>
          <w:szCs w:val="24"/>
        </w:rPr>
        <w:t xml:space="preserve"> </w:t>
      </w:r>
      <w:r w:rsidR="001210EE" w:rsidRPr="00C25C93">
        <w:rPr>
          <w:sz w:val="24"/>
          <w:szCs w:val="24"/>
        </w:rPr>
        <w:t>Andreas Hess and Ivar McGrath in a challenging new reading of Swift’s Irish writings</w:t>
      </w:r>
      <w:r w:rsidR="00DF1A98" w:rsidRPr="00C25C93">
        <w:rPr>
          <w:sz w:val="24"/>
          <w:szCs w:val="24"/>
        </w:rPr>
        <w:t xml:space="preserve"> which complements McBride’s argument </w:t>
      </w:r>
      <w:r w:rsidR="001210EE" w:rsidRPr="00C25C93">
        <w:rPr>
          <w:sz w:val="24"/>
          <w:szCs w:val="24"/>
        </w:rPr>
        <w:t>reject interpretations of the pamphlet that either see it as dominated by Swift’s response to the Declaratory Act or as somehow anticipating modern economic theory.</w:t>
      </w:r>
      <w:r w:rsidR="008776CF" w:rsidRPr="00C25C93">
        <w:rPr>
          <w:rStyle w:val="FootnoteReference"/>
          <w:sz w:val="24"/>
          <w:szCs w:val="24"/>
        </w:rPr>
        <w:footnoteReference w:id="27"/>
      </w:r>
      <w:r w:rsidR="001210EE" w:rsidRPr="00C25C93">
        <w:rPr>
          <w:sz w:val="24"/>
          <w:szCs w:val="24"/>
        </w:rPr>
        <w:t xml:space="preserve"> Instead </w:t>
      </w:r>
      <w:r w:rsidR="00AD1A14">
        <w:rPr>
          <w:sz w:val="24"/>
          <w:szCs w:val="24"/>
        </w:rPr>
        <w:t xml:space="preserve">they </w:t>
      </w:r>
      <w:r w:rsidR="001210EE" w:rsidRPr="00C25C93">
        <w:rPr>
          <w:sz w:val="24"/>
          <w:szCs w:val="24"/>
        </w:rPr>
        <w:t xml:space="preserve">make the case for the unity of the disparate elements within it in describing Swift’s argument as an attack on </w:t>
      </w:r>
      <w:r w:rsidR="00DF1A98" w:rsidRPr="00C25C93">
        <w:rPr>
          <w:sz w:val="24"/>
          <w:szCs w:val="24"/>
        </w:rPr>
        <w:t xml:space="preserve">the failures of </w:t>
      </w:r>
      <w:r w:rsidR="001210EE" w:rsidRPr="00C25C93">
        <w:rPr>
          <w:sz w:val="24"/>
          <w:szCs w:val="24"/>
        </w:rPr>
        <w:t>various groups in Irish society, the graziers, the parliamentarians, the shopkeepers</w:t>
      </w:r>
      <w:r w:rsidR="00DF1A98" w:rsidRPr="00C25C93">
        <w:rPr>
          <w:sz w:val="24"/>
          <w:szCs w:val="24"/>
        </w:rPr>
        <w:t xml:space="preserve">, </w:t>
      </w:r>
      <w:r w:rsidR="001210EE" w:rsidRPr="00C25C93">
        <w:rPr>
          <w:sz w:val="24"/>
          <w:szCs w:val="24"/>
        </w:rPr>
        <w:t xml:space="preserve">the landlords </w:t>
      </w:r>
      <w:r w:rsidR="00DF1A98" w:rsidRPr="00C25C93">
        <w:rPr>
          <w:sz w:val="24"/>
          <w:szCs w:val="24"/>
        </w:rPr>
        <w:t>and the bank promoters ‘</w:t>
      </w:r>
      <w:r w:rsidR="001210EE" w:rsidRPr="00C25C93">
        <w:rPr>
          <w:sz w:val="24"/>
          <w:szCs w:val="24"/>
        </w:rPr>
        <w:t>to act in a moral way in relation to their role within an early modern civil society, in the best interest of all with regard to the commerce, industry and productivity of the common weal</w:t>
      </w:r>
      <w:r w:rsidR="00DF1A98" w:rsidRPr="00C25C93">
        <w:rPr>
          <w:sz w:val="24"/>
          <w:szCs w:val="24"/>
        </w:rPr>
        <w:t>’</w:t>
      </w:r>
      <w:r w:rsidR="001210EE" w:rsidRPr="00C25C93">
        <w:rPr>
          <w:sz w:val="24"/>
          <w:szCs w:val="24"/>
        </w:rPr>
        <w:t>.</w:t>
      </w:r>
      <w:r w:rsidR="00DF1A98" w:rsidRPr="00C25C93">
        <w:rPr>
          <w:sz w:val="24"/>
          <w:szCs w:val="24"/>
        </w:rPr>
        <w:t xml:space="preserve"> This argument however works well </w:t>
      </w:r>
      <w:proofErr w:type="gramStart"/>
      <w:r w:rsidR="00DF1A98" w:rsidRPr="00C25C93">
        <w:rPr>
          <w:sz w:val="24"/>
          <w:szCs w:val="24"/>
        </w:rPr>
        <w:t>whether or not</w:t>
      </w:r>
      <w:proofErr w:type="gramEnd"/>
      <w:r w:rsidR="00DF1A98" w:rsidRPr="00C25C93">
        <w:rPr>
          <w:sz w:val="24"/>
          <w:szCs w:val="24"/>
        </w:rPr>
        <w:t xml:space="preserve"> the bank paragraph is integral to the pamphlet.</w:t>
      </w:r>
      <w:r w:rsidR="008710C2">
        <w:rPr>
          <w:rStyle w:val="FootnoteReference"/>
          <w:sz w:val="24"/>
          <w:szCs w:val="24"/>
        </w:rPr>
        <w:footnoteReference w:id="28"/>
      </w:r>
    </w:p>
    <w:p w14:paraId="0BADCDAF" w14:textId="5EDDEBF7" w:rsidR="00AC0FF9" w:rsidRPr="00C25C93" w:rsidRDefault="000C26B1" w:rsidP="00911D75">
      <w:pPr>
        <w:spacing w:after="0" w:line="360" w:lineRule="auto"/>
        <w:jc w:val="both"/>
        <w:rPr>
          <w:sz w:val="24"/>
          <w:szCs w:val="24"/>
        </w:rPr>
      </w:pPr>
      <w:r w:rsidRPr="00C25C93">
        <w:rPr>
          <w:sz w:val="24"/>
          <w:szCs w:val="24"/>
        </w:rPr>
        <w:tab/>
        <w:t xml:space="preserve">Christopher Fauske has described Swift’s reference to the </w:t>
      </w:r>
      <w:r w:rsidR="00911D75" w:rsidRPr="00C25C93">
        <w:rPr>
          <w:sz w:val="24"/>
          <w:szCs w:val="24"/>
        </w:rPr>
        <w:t>bank scheme as no more than a ‘passing comment’</w:t>
      </w:r>
      <w:r w:rsidR="005630DD" w:rsidRPr="00C25C93">
        <w:rPr>
          <w:sz w:val="24"/>
          <w:szCs w:val="24"/>
        </w:rPr>
        <w:t>,</w:t>
      </w:r>
      <w:r w:rsidR="00911D75" w:rsidRPr="00C25C93">
        <w:rPr>
          <w:sz w:val="24"/>
          <w:szCs w:val="24"/>
        </w:rPr>
        <w:t xml:space="preserve"> while</w:t>
      </w:r>
      <w:r w:rsidR="005630DD" w:rsidRPr="00C25C93">
        <w:rPr>
          <w:sz w:val="24"/>
          <w:szCs w:val="24"/>
        </w:rPr>
        <w:t xml:space="preserve"> both Oliver Ferguson and later Sean Moore largely concur seeing it as a jumping off point for wider discussions of Swift’s anti-bank writing in 1720-21</w:t>
      </w:r>
      <w:r w:rsidR="00911D75" w:rsidRPr="00C25C93">
        <w:rPr>
          <w:sz w:val="24"/>
          <w:szCs w:val="24"/>
        </w:rPr>
        <w:t>.</w:t>
      </w:r>
      <w:r w:rsidR="00911D75" w:rsidRPr="00C25C93">
        <w:rPr>
          <w:rStyle w:val="FootnoteReference"/>
          <w:sz w:val="24"/>
          <w:szCs w:val="24"/>
        </w:rPr>
        <w:footnoteReference w:id="29"/>
      </w:r>
      <w:r w:rsidR="00911D75" w:rsidRPr="00C25C93">
        <w:rPr>
          <w:sz w:val="24"/>
          <w:szCs w:val="24"/>
        </w:rPr>
        <w:t xml:space="preserve"> </w:t>
      </w:r>
      <w:r w:rsidR="005630DD" w:rsidRPr="00C25C93">
        <w:rPr>
          <w:sz w:val="24"/>
          <w:szCs w:val="24"/>
        </w:rPr>
        <w:t xml:space="preserve">It is, I think, however, more significant than that. </w:t>
      </w:r>
      <w:r w:rsidR="00511900" w:rsidRPr="00C25C93">
        <w:rPr>
          <w:sz w:val="24"/>
          <w:szCs w:val="24"/>
        </w:rPr>
        <w:t xml:space="preserve">Swift’s decision to devote the final paragraph of his pamphlet to it should be read as evidence for the seriousness </w:t>
      </w:r>
      <w:r w:rsidR="00E13A85">
        <w:rPr>
          <w:sz w:val="24"/>
          <w:szCs w:val="24"/>
        </w:rPr>
        <w:t xml:space="preserve">with which </w:t>
      </w:r>
      <w:r w:rsidR="00511900" w:rsidRPr="00C25C93">
        <w:rPr>
          <w:sz w:val="24"/>
          <w:szCs w:val="24"/>
        </w:rPr>
        <w:t>he took these proposals. His opposition to them was unambiguous – the proposed capital of the bank was ‘monstrous’ while its reliance on the creation of</w:t>
      </w:r>
      <w:r w:rsidR="00DA77A9" w:rsidRPr="00C25C93">
        <w:rPr>
          <w:sz w:val="24"/>
          <w:szCs w:val="24"/>
        </w:rPr>
        <w:t xml:space="preserve"> credit was a form of jest played upon the public. In the corrected 1735 edition he described the banks funds as one ‘ half altogether imaginary’ – a phrase damning in </w:t>
      </w:r>
      <w:r w:rsidR="00E13A85">
        <w:rPr>
          <w:sz w:val="24"/>
          <w:szCs w:val="24"/>
        </w:rPr>
        <w:t xml:space="preserve">its </w:t>
      </w:r>
      <w:r w:rsidR="00DA77A9" w:rsidRPr="00C25C93">
        <w:rPr>
          <w:sz w:val="24"/>
          <w:szCs w:val="24"/>
        </w:rPr>
        <w:t xml:space="preserve">own right while in the first edition this read as ‘half only </w:t>
      </w:r>
      <w:proofErr w:type="spellStart"/>
      <w:r w:rsidR="00F15477" w:rsidRPr="00C25C93">
        <w:rPr>
          <w:i/>
          <w:iCs/>
          <w:sz w:val="24"/>
          <w:szCs w:val="24"/>
        </w:rPr>
        <w:t>G</w:t>
      </w:r>
      <w:r w:rsidR="00DA77A9" w:rsidRPr="00C25C93">
        <w:rPr>
          <w:i/>
          <w:iCs/>
          <w:sz w:val="24"/>
          <w:szCs w:val="24"/>
        </w:rPr>
        <w:t>ascon</w:t>
      </w:r>
      <w:r w:rsidR="00F15477" w:rsidRPr="00C25C93">
        <w:rPr>
          <w:i/>
          <w:iCs/>
          <w:sz w:val="24"/>
          <w:szCs w:val="24"/>
        </w:rPr>
        <w:t>n</w:t>
      </w:r>
      <w:r w:rsidR="00DA77A9" w:rsidRPr="00C25C93">
        <w:rPr>
          <w:i/>
          <w:iCs/>
          <w:sz w:val="24"/>
          <w:szCs w:val="24"/>
        </w:rPr>
        <w:t>ade</w:t>
      </w:r>
      <w:proofErr w:type="spellEnd"/>
      <w:r w:rsidR="00DA77A9" w:rsidRPr="00C25C93">
        <w:rPr>
          <w:sz w:val="24"/>
          <w:szCs w:val="24"/>
        </w:rPr>
        <w:t>’</w:t>
      </w:r>
      <w:r w:rsidR="00E13A85">
        <w:rPr>
          <w:sz w:val="24"/>
          <w:szCs w:val="24"/>
        </w:rPr>
        <w:t>,</w:t>
      </w:r>
      <w:r w:rsidR="00DA77A9" w:rsidRPr="00C25C93">
        <w:rPr>
          <w:sz w:val="24"/>
          <w:szCs w:val="24"/>
        </w:rPr>
        <w:t xml:space="preserve"> a </w:t>
      </w:r>
      <w:r w:rsidR="00F15477" w:rsidRPr="00C25C93">
        <w:rPr>
          <w:sz w:val="24"/>
          <w:szCs w:val="24"/>
        </w:rPr>
        <w:t>G</w:t>
      </w:r>
      <w:r w:rsidR="00DA77A9" w:rsidRPr="00C25C93">
        <w:rPr>
          <w:sz w:val="24"/>
          <w:szCs w:val="24"/>
        </w:rPr>
        <w:t>allic turn of phrase which hinted at what he saw as the exaggerated promises inherent in the scheme.</w:t>
      </w:r>
      <w:r w:rsidR="00F15477" w:rsidRPr="00C25C93">
        <w:rPr>
          <w:rStyle w:val="FootnoteReference"/>
          <w:sz w:val="24"/>
          <w:szCs w:val="24"/>
        </w:rPr>
        <w:footnoteReference w:id="30"/>
      </w:r>
      <w:r w:rsidR="00DA77A9" w:rsidRPr="00C25C93">
        <w:rPr>
          <w:sz w:val="24"/>
          <w:szCs w:val="24"/>
        </w:rPr>
        <w:t xml:space="preserve"> This sense of exaggeration, of unnecessary grandiloquence, </w:t>
      </w:r>
      <w:r w:rsidR="00F15477" w:rsidRPr="00C25C93">
        <w:rPr>
          <w:sz w:val="24"/>
          <w:szCs w:val="24"/>
        </w:rPr>
        <w:t xml:space="preserve">of course echoes Swift’s more general attack in the pamphlet on the pretensions of the Irish political establishment and what he perceived as their lack of focus on the issues that really mattered – namely the dire state of the Irish economy. A national bank could if we follow this line of argument be seen as an out-sized answer to the particular problems at hand, perhaps </w:t>
      </w:r>
      <w:r w:rsidR="00F15477" w:rsidRPr="00C25C93">
        <w:rPr>
          <w:sz w:val="24"/>
          <w:szCs w:val="24"/>
        </w:rPr>
        <w:lastRenderedPageBreak/>
        <w:t xml:space="preserve">even one if we take Swift’s monstrous metaphor further which might devour up political as well as available financial capital. Here the juxtaposition of the bank’s pretensions with what he claims to really want, ‘a sufficient Provision of </w:t>
      </w:r>
      <w:r w:rsidR="00F15477" w:rsidRPr="00C25C93">
        <w:rPr>
          <w:i/>
          <w:iCs/>
          <w:sz w:val="24"/>
          <w:szCs w:val="24"/>
        </w:rPr>
        <w:t xml:space="preserve">Hemp, </w:t>
      </w:r>
      <w:r w:rsidR="00F15477" w:rsidRPr="00C25C93">
        <w:rPr>
          <w:sz w:val="24"/>
          <w:szCs w:val="24"/>
        </w:rPr>
        <w:t xml:space="preserve">and </w:t>
      </w:r>
      <w:r w:rsidR="00F15477" w:rsidRPr="00C25C93">
        <w:rPr>
          <w:i/>
          <w:iCs/>
          <w:sz w:val="24"/>
          <w:szCs w:val="24"/>
        </w:rPr>
        <w:t>Caps</w:t>
      </w:r>
      <w:r w:rsidR="00F15477" w:rsidRPr="00C25C93">
        <w:rPr>
          <w:sz w:val="24"/>
          <w:szCs w:val="24"/>
        </w:rPr>
        <w:t xml:space="preserve">, and </w:t>
      </w:r>
      <w:r w:rsidR="00F15477" w:rsidRPr="00C25C93">
        <w:rPr>
          <w:i/>
          <w:iCs/>
          <w:sz w:val="24"/>
          <w:szCs w:val="24"/>
        </w:rPr>
        <w:t xml:space="preserve">Bells’ </w:t>
      </w:r>
      <w:r w:rsidR="00F15477" w:rsidRPr="00C25C93">
        <w:rPr>
          <w:sz w:val="24"/>
          <w:szCs w:val="24"/>
        </w:rPr>
        <w:t xml:space="preserve">is revealing. </w:t>
      </w:r>
    </w:p>
    <w:p w14:paraId="7916F198" w14:textId="3457CC11" w:rsidR="00E91394" w:rsidRPr="00C25C93" w:rsidRDefault="00AC0FF9" w:rsidP="00AC0FF9">
      <w:pPr>
        <w:spacing w:after="0" w:line="360" w:lineRule="auto"/>
        <w:jc w:val="both"/>
        <w:rPr>
          <w:sz w:val="24"/>
          <w:szCs w:val="24"/>
        </w:rPr>
      </w:pPr>
      <w:r w:rsidRPr="00C25C93">
        <w:rPr>
          <w:sz w:val="24"/>
          <w:szCs w:val="24"/>
        </w:rPr>
        <w:tab/>
        <w:t xml:space="preserve">It is now necessary to turn to the bank promoter’s pretensions to explore just what the bank project hoped to do and </w:t>
      </w:r>
      <w:r w:rsidR="005F366D" w:rsidRPr="00C25C93">
        <w:rPr>
          <w:sz w:val="24"/>
          <w:szCs w:val="24"/>
        </w:rPr>
        <w:t xml:space="preserve">why it </w:t>
      </w:r>
      <w:r w:rsidRPr="00C25C93">
        <w:rPr>
          <w:sz w:val="24"/>
          <w:szCs w:val="24"/>
        </w:rPr>
        <w:t xml:space="preserve">was so </w:t>
      </w:r>
      <w:r w:rsidR="005F366D" w:rsidRPr="00C25C93">
        <w:rPr>
          <w:sz w:val="24"/>
          <w:szCs w:val="24"/>
        </w:rPr>
        <w:t>attractive to this emerging Irish investor community</w:t>
      </w:r>
      <w:r w:rsidR="00C743E2" w:rsidRPr="00C25C93">
        <w:rPr>
          <w:sz w:val="24"/>
          <w:szCs w:val="24"/>
        </w:rPr>
        <w:t xml:space="preserve">? </w:t>
      </w:r>
      <w:r w:rsidR="005F366D" w:rsidRPr="00C25C93">
        <w:rPr>
          <w:sz w:val="24"/>
          <w:szCs w:val="24"/>
        </w:rPr>
        <w:t>This is where we return to Irwin’s pamphlet.</w:t>
      </w:r>
      <w:r w:rsidR="008427EB" w:rsidRPr="00C25C93">
        <w:rPr>
          <w:rStyle w:val="FootnoteReference"/>
          <w:sz w:val="24"/>
          <w:szCs w:val="24"/>
        </w:rPr>
        <w:footnoteReference w:id="31"/>
      </w:r>
      <w:r w:rsidR="005F366D" w:rsidRPr="00C25C93">
        <w:rPr>
          <w:sz w:val="24"/>
          <w:szCs w:val="24"/>
        </w:rPr>
        <w:t xml:space="preserve"> It can be divided into two sections, the first outlining the reasons why Ireland needed a national bank and the second outlining how it was proposed to work. </w:t>
      </w:r>
      <w:r w:rsidR="008427EB" w:rsidRPr="00C25C93">
        <w:rPr>
          <w:sz w:val="24"/>
          <w:szCs w:val="24"/>
        </w:rPr>
        <w:t xml:space="preserve">Careful consideration of each </w:t>
      </w:r>
      <w:r w:rsidR="005F366D" w:rsidRPr="00C25C93">
        <w:rPr>
          <w:sz w:val="24"/>
          <w:szCs w:val="24"/>
        </w:rPr>
        <w:t>help</w:t>
      </w:r>
      <w:r w:rsidR="008427EB" w:rsidRPr="00C25C93">
        <w:rPr>
          <w:sz w:val="24"/>
          <w:szCs w:val="24"/>
        </w:rPr>
        <w:t>s</w:t>
      </w:r>
      <w:r w:rsidR="005F366D" w:rsidRPr="00C25C93">
        <w:rPr>
          <w:sz w:val="24"/>
          <w:szCs w:val="24"/>
        </w:rPr>
        <w:t xml:space="preserve"> us to better understand </w:t>
      </w:r>
      <w:r w:rsidRPr="00C25C93">
        <w:rPr>
          <w:sz w:val="24"/>
          <w:szCs w:val="24"/>
        </w:rPr>
        <w:t xml:space="preserve">the reaction to the bank in </w:t>
      </w:r>
      <w:r w:rsidR="005F366D" w:rsidRPr="00C25C93">
        <w:rPr>
          <w:sz w:val="24"/>
          <w:szCs w:val="24"/>
        </w:rPr>
        <w:t xml:space="preserve">Swift’s </w:t>
      </w:r>
      <w:r w:rsidR="005F366D" w:rsidRPr="00C25C93">
        <w:rPr>
          <w:i/>
          <w:iCs/>
          <w:sz w:val="24"/>
          <w:szCs w:val="24"/>
        </w:rPr>
        <w:t>Proposal.</w:t>
      </w:r>
      <w:r w:rsidR="008427EB" w:rsidRPr="00C25C93">
        <w:rPr>
          <w:sz w:val="24"/>
          <w:szCs w:val="24"/>
        </w:rPr>
        <w:t xml:space="preserve"> </w:t>
      </w:r>
      <w:r w:rsidR="005F366D" w:rsidRPr="00C25C93">
        <w:rPr>
          <w:sz w:val="24"/>
          <w:szCs w:val="24"/>
        </w:rPr>
        <w:t xml:space="preserve"> </w:t>
      </w:r>
      <w:r w:rsidR="00B94EAB" w:rsidRPr="00C25C93">
        <w:rPr>
          <w:sz w:val="24"/>
          <w:szCs w:val="24"/>
        </w:rPr>
        <w:t>Addressed to the ‘Nobility, gentry and commonalty of this kingdom of Ireland’ it opens with a diagnosis of the ailments affecting the Irish economy. Chief amongst these are</w:t>
      </w:r>
      <w:r w:rsidR="001F4092" w:rsidRPr="00C25C93">
        <w:rPr>
          <w:sz w:val="24"/>
          <w:szCs w:val="24"/>
        </w:rPr>
        <w:t>,</w:t>
      </w:r>
      <w:r w:rsidR="00B94EAB" w:rsidRPr="00C25C93">
        <w:rPr>
          <w:sz w:val="24"/>
          <w:szCs w:val="24"/>
        </w:rPr>
        <w:t xml:space="preserve"> the negative balance of payments, the drain of ‘rents, salaries and pensions’ payable to absentee landowners and officeholders, the negative Dublin/London exchange rate</w:t>
      </w:r>
      <w:r w:rsidR="001F4092" w:rsidRPr="00C25C93">
        <w:rPr>
          <w:sz w:val="24"/>
          <w:szCs w:val="24"/>
        </w:rPr>
        <w:t>,</w:t>
      </w:r>
      <w:r w:rsidR="00B94EAB" w:rsidRPr="00C25C93">
        <w:rPr>
          <w:sz w:val="24"/>
          <w:szCs w:val="24"/>
        </w:rPr>
        <w:t xml:space="preserve"> and the consequent drain of bullion. Added to these well</w:t>
      </w:r>
      <w:r w:rsidR="00A60C3D" w:rsidRPr="00C25C93">
        <w:rPr>
          <w:sz w:val="24"/>
          <w:szCs w:val="24"/>
        </w:rPr>
        <w:t>-</w:t>
      </w:r>
      <w:r w:rsidR="00B94EAB" w:rsidRPr="00C25C93">
        <w:rPr>
          <w:sz w:val="24"/>
          <w:szCs w:val="24"/>
        </w:rPr>
        <w:t>established problems is the immediate issue of</w:t>
      </w:r>
      <w:r w:rsidR="00A60C3D" w:rsidRPr="00C25C93">
        <w:rPr>
          <w:sz w:val="24"/>
          <w:szCs w:val="24"/>
        </w:rPr>
        <w:t xml:space="preserve"> how ‘</w:t>
      </w:r>
      <w:r w:rsidR="00B94EAB" w:rsidRPr="00C25C93">
        <w:rPr>
          <w:sz w:val="24"/>
          <w:szCs w:val="24"/>
        </w:rPr>
        <w:t xml:space="preserve">the </w:t>
      </w:r>
      <w:r w:rsidR="00A60C3D" w:rsidRPr="00C25C93">
        <w:rPr>
          <w:sz w:val="24"/>
          <w:szCs w:val="24"/>
        </w:rPr>
        <w:t xml:space="preserve">expectation of extravagant gain has prevailed on many persons to send over all the money they had credit for to purchase Mississippi and South Sea Stocks’. This outflow of the ‘greatest part of the current cash’ of the kingdom has in the author’s view depleted the already severely limited reserves of Irish capital to breaking point stifling native industry and commerce. Specific mention is made of the precarious position of the Dublin weavers – even they ‘have been idle and unemployed, for no other reason but want of money to set them at work, few of our manufacturers have stock enough to keep their looms at work the year round, especially when the markets are bad’. </w:t>
      </w:r>
    </w:p>
    <w:p w14:paraId="428AA808" w14:textId="06DC100F" w:rsidR="00480BBA" w:rsidRPr="00C25C93" w:rsidRDefault="00E3598C" w:rsidP="00AC0FF9">
      <w:pPr>
        <w:spacing w:after="0" w:line="360" w:lineRule="auto"/>
        <w:ind w:firstLine="720"/>
        <w:jc w:val="both"/>
        <w:rPr>
          <w:sz w:val="24"/>
          <w:szCs w:val="24"/>
        </w:rPr>
      </w:pPr>
      <w:r w:rsidRPr="00C25C93">
        <w:rPr>
          <w:sz w:val="24"/>
          <w:szCs w:val="24"/>
        </w:rPr>
        <w:t xml:space="preserve">This assessment of the early-eighteenth-century Irish economy and its circumstances is not especially revelatory. Indeed, it is striking how similar Irwin’s assessment was to that offered by Swift in </w:t>
      </w:r>
      <w:r w:rsidR="001F4092" w:rsidRPr="00C25C93">
        <w:rPr>
          <w:sz w:val="24"/>
          <w:szCs w:val="24"/>
        </w:rPr>
        <w:t>the</w:t>
      </w:r>
      <w:r w:rsidRPr="00C25C93">
        <w:rPr>
          <w:sz w:val="24"/>
          <w:szCs w:val="24"/>
        </w:rPr>
        <w:t xml:space="preserve"> </w:t>
      </w:r>
      <w:r w:rsidRPr="00C25C93">
        <w:rPr>
          <w:i/>
          <w:iCs/>
          <w:sz w:val="24"/>
          <w:szCs w:val="24"/>
        </w:rPr>
        <w:t>Proposal</w:t>
      </w:r>
      <w:r w:rsidRPr="00C25C93">
        <w:rPr>
          <w:sz w:val="24"/>
          <w:szCs w:val="24"/>
        </w:rPr>
        <w:t xml:space="preserve"> reminding us how conventional much of Swift’s analysis was. Both highlighted</w:t>
      </w:r>
      <w:r w:rsidR="00F97489" w:rsidRPr="00C25C93">
        <w:rPr>
          <w:sz w:val="24"/>
          <w:szCs w:val="24"/>
        </w:rPr>
        <w:t xml:space="preserve"> </w:t>
      </w:r>
      <w:r w:rsidRPr="00C25C93">
        <w:rPr>
          <w:sz w:val="24"/>
          <w:szCs w:val="24"/>
        </w:rPr>
        <w:t>the negative balance of trade, the drain of Irish income to pay absentees and the profiteering of Irish private bankers and merchants on the course of exchange between Dublin and London – a</w:t>
      </w:r>
      <w:r w:rsidR="00040E7B" w:rsidRPr="00C25C93">
        <w:rPr>
          <w:sz w:val="24"/>
          <w:szCs w:val="24"/>
        </w:rPr>
        <w:t>l</w:t>
      </w:r>
      <w:r w:rsidRPr="00C25C93">
        <w:rPr>
          <w:sz w:val="24"/>
          <w:szCs w:val="24"/>
        </w:rPr>
        <w:t xml:space="preserve">l topics that would become tropes of the burgeoning economic </w:t>
      </w:r>
      <w:r w:rsidRPr="00C25C93">
        <w:rPr>
          <w:sz w:val="24"/>
          <w:szCs w:val="24"/>
        </w:rPr>
        <w:lastRenderedPageBreak/>
        <w:t>literature produced in Dublin over the next decade and a half.</w:t>
      </w:r>
      <w:r w:rsidR="00040E7B" w:rsidRPr="00C25C93">
        <w:rPr>
          <w:rStyle w:val="FootnoteReference"/>
          <w:sz w:val="24"/>
          <w:szCs w:val="24"/>
        </w:rPr>
        <w:footnoteReference w:id="32"/>
      </w:r>
      <w:r w:rsidRPr="00C25C93">
        <w:rPr>
          <w:sz w:val="24"/>
          <w:szCs w:val="24"/>
        </w:rPr>
        <w:t xml:space="preserve"> Swift’s well attested concern for the weavers concentrated in the neighbourhood of his deanery is also echoed in Irwin’s pamphlet where he pays special attention to them as well to the commission merchants in Irish ports as particular sufferers by the lack of </w:t>
      </w:r>
      <w:r w:rsidR="006143F5" w:rsidRPr="00C25C93">
        <w:rPr>
          <w:sz w:val="24"/>
          <w:szCs w:val="24"/>
        </w:rPr>
        <w:t>access to appropriate credit</w:t>
      </w:r>
      <w:r w:rsidRPr="00C25C93">
        <w:rPr>
          <w:sz w:val="24"/>
          <w:szCs w:val="24"/>
        </w:rPr>
        <w:t>.</w:t>
      </w:r>
      <w:r w:rsidR="006143F5" w:rsidRPr="00C25C93">
        <w:rPr>
          <w:rStyle w:val="FootnoteReference"/>
          <w:sz w:val="24"/>
          <w:szCs w:val="24"/>
        </w:rPr>
        <w:footnoteReference w:id="33"/>
      </w:r>
      <w:r w:rsidRPr="00C25C93">
        <w:rPr>
          <w:sz w:val="24"/>
          <w:szCs w:val="24"/>
        </w:rPr>
        <w:t xml:space="preserve"> Their tone was of course </w:t>
      </w:r>
      <w:r w:rsidR="006143F5" w:rsidRPr="00C25C93">
        <w:rPr>
          <w:sz w:val="24"/>
          <w:szCs w:val="24"/>
        </w:rPr>
        <w:t>very</w:t>
      </w:r>
      <w:r w:rsidRPr="00C25C93">
        <w:rPr>
          <w:sz w:val="24"/>
          <w:szCs w:val="24"/>
        </w:rPr>
        <w:t xml:space="preserve"> different and absent of course from Irwin’s manifesto is any direct criticism of the predatory activity of</w:t>
      </w:r>
      <w:r w:rsidR="00040E7B" w:rsidRPr="00C25C93">
        <w:rPr>
          <w:sz w:val="24"/>
          <w:szCs w:val="24"/>
        </w:rPr>
        <w:t xml:space="preserve"> rack-renting </w:t>
      </w:r>
      <w:r w:rsidRPr="00C25C93">
        <w:rPr>
          <w:sz w:val="24"/>
          <w:szCs w:val="24"/>
        </w:rPr>
        <w:t>Irish landlords</w:t>
      </w:r>
      <w:r w:rsidR="007368C9">
        <w:rPr>
          <w:sz w:val="24"/>
          <w:szCs w:val="24"/>
        </w:rPr>
        <w:t>,</w:t>
      </w:r>
      <w:r w:rsidR="00040E7B" w:rsidRPr="00C25C93">
        <w:rPr>
          <w:sz w:val="24"/>
          <w:szCs w:val="24"/>
        </w:rPr>
        <w:t xml:space="preserve"> </w:t>
      </w:r>
      <w:r w:rsidR="006143F5" w:rsidRPr="00C25C93">
        <w:rPr>
          <w:sz w:val="24"/>
          <w:szCs w:val="24"/>
        </w:rPr>
        <w:t xml:space="preserve">a defining </w:t>
      </w:r>
      <w:r w:rsidR="00040E7B" w:rsidRPr="00C25C93">
        <w:rPr>
          <w:sz w:val="24"/>
          <w:szCs w:val="24"/>
        </w:rPr>
        <w:t>feature of Swift’s text</w:t>
      </w:r>
      <w:r w:rsidR="007368C9">
        <w:rPr>
          <w:sz w:val="24"/>
          <w:szCs w:val="24"/>
        </w:rPr>
        <w:t>,</w:t>
      </w:r>
      <w:r w:rsidR="006143F5" w:rsidRPr="00C25C93">
        <w:rPr>
          <w:sz w:val="24"/>
          <w:szCs w:val="24"/>
        </w:rPr>
        <w:t xml:space="preserve"> or indeed a direct assault on their consumption practices beyond their stock-market investments</w:t>
      </w:r>
      <w:r w:rsidRPr="00C25C93">
        <w:rPr>
          <w:sz w:val="24"/>
          <w:szCs w:val="24"/>
        </w:rPr>
        <w:t xml:space="preserve">. </w:t>
      </w:r>
      <w:r w:rsidR="00040E7B" w:rsidRPr="00C25C93">
        <w:rPr>
          <w:sz w:val="24"/>
          <w:szCs w:val="24"/>
        </w:rPr>
        <w:t>Irwin and his f</w:t>
      </w:r>
      <w:r w:rsidR="001D4208" w:rsidRPr="00C25C93">
        <w:rPr>
          <w:sz w:val="24"/>
          <w:szCs w:val="24"/>
        </w:rPr>
        <w:t>ellow promoters</w:t>
      </w:r>
      <w:r w:rsidRPr="00C25C93">
        <w:rPr>
          <w:sz w:val="24"/>
          <w:szCs w:val="24"/>
        </w:rPr>
        <w:t xml:space="preserve"> w</w:t>
      </w:r>
      <w:r w:rsidR="001D4208" w:rsidRPr="00C25C93">
        <w:rPr>
          <w:sz w:val="24"/>
          <w:szCs w:val="24"/>
        </w:rPr>
        <w:t>ere</w:t>
      </w:r>
      <w:r w:rsidRPr="00C25C93">
        <w:rPr>
          <w:sz w:val="24"/>
          <w:szCs w:val="24"/>
        </w:rPr>
        <w:t xml:space="preserve"> </w:t>
      </w:r>
      <w:r w:rsidR="0038737D" w:rsidRPr="00C25C93">
        <w:rPr>
          <w:sz w:val="24"/>
          <w:szCs w:val="24"/>
        </w:rPr>
        <w:t>o</w:t>
      </w:r>
      <w:r w:rsidRPr="00C25C93">
        <w:rPr>
          <w:sz w:val="24"/>
          <w:szCs w:val="24"/>
        </w:rPr>
        <w:t>f course</w:t>
      </w:r>
      <w:r w:rsidR="006143F5" w:rsidRPr="00C25C93">
        <w:rPr>
          <w:sz w:val="24"/>
          <w:szCs w:val="24"/>
        </w:rPr>
        <w:t xml:space="preserve"> largely drawn from the landed interest and landed income including mortgage loans backed by landed security were going to be an essential part of the bank’s initial capital</w:t>
      </w:r>
      <w:r w:rsidRPr="00C25C93">
        <w:rPr>
          <w:sz w:val="24"/>
          <w:szCs w:val="24"/>
        </w:rPr>
        <w:t xml:space="preserve">. </w:t>
      </w:r>
      <w:r w:rsidR="0038737D" w:rsidRPr="00C25C93">
        <w:rPr>
          <w:sz w:val="24"/>
          <w:szCs w:val="24"/>
        </w:rPr>
        <w:t>The rise of John Law’s Mississippi Company and the South Sea Company and the perception of a consequent flow of Irish capital to Paris and London played an important role in Irwin’s argument</w:t>
      </w:r>
      <w:r w:rsidR="006143F5" w:rsidRPr="00C25C93">
        <w:rPr>
          <w:sz w:val="24"/>
          <w:szCs w:val="24"/>
        </w:rPr>
        <w:t xml:space="preserve">. These capital flows, while difficult to quantify, were a cause of contemporary concern and were </w:t>
      </w:r>
      <w:r w:rsidR="0038737D" w:rsidRPr="00C25C93">
        <w:rPr>
          <w:sz w:val="24"/>
          <w:szCs w:val="24"/>
        </w:rPr>
        <w:t>referenced in Lord Abercorn’s private correspondence on the bank proposals and clearly played a role in the timing of the bank project, whether</w:t>
      </w:r>
      <w:r w:rsidR="006143F5" w:rsidRPr="00C25C93">
        <w:rPr>
          <w:sz w:val="24"/>
          <w:szCs w:val="24"/>
        </w:rPr>
        <w:t xml:space="preserve"> </w:t>
      </w:r>
      <w:r w:rsidR="0038737D" w:rsidRPr="00C25C93">
        <w:rPr>
          <w:sz w:val="24"/>
          <w:szCs w:val="24"/>
        </w:rPr>
        <w:t>we see it</w:t>
      </w:r>
      <w:r w:rsidR="006143F5" w:rsidRPr="00C25C93">
        <w:rPr>
          <w:sz w:val="24"/>
          <w:szCs w:val="24"/>
        </w:rPr>
        <w:t>,</w:t>
      </w:r>
      <w:r w:rsidR="0038737D" w:rsidRPr="00C25C93">
        <w:rPr>
          <w:sz w:val="24"/>
          <w:szCs w:val="24"/>
        </w:rPr>
        <w:t xml:space="preserve"> </w:t>
      </w:r>
      <w:r w:rsidR="006143F5" w:rsidRPr="00C25C93">
        <w:rPr>
          <w:sz w:val="24"/>
          <w:szCs w:val="24"/>
        </w:rPr>
        <w:t xml:space="preserve">itself, </w:t>
      </w:r>
      <w:r w:rsidR="0038737D" w:rsidRPr="00C25C93">
        <w:rPr>
          <w:sz w:val="24"/>
          <w:szCs w:val="24"/>
        </w:rPr>
        <w:t>as a bubble enterprise.</w:t>
      </w:r>
      <w:r w:rsidR="00EF60C6" w:rsidRPr="00C25C93">
        <w:rPr>
          <w:rStyle w:val="FootnoteReference"/>
          <w:sz w:val="24"/>
          <w:szCs w:val="24"/>
        </w:rPr>
        <w:footnoteReference w:id="34"/>
      </w:r>
      <w:r w:rsidR="0038737D" w:rsidRPr="00C25C93">
        <w:rPr>
          <w:sz w:val="24"/>
          <w:szCs w:val="24"/>
        </w:rPr>
        <w:t xml:space="preserve"> Swift</w:t>
      </w:r>
      <w:r w:rsidR="005F7F6D" w:rsidRPr="00C25C93">
        <w:rPr>
          <w:sz w:val="24"/>
          <w:szCs w:val="24"/>
        </w:rPr>
        <w:t>,</w:t>
      </w:r>
      <w:r w:rsidR="00B05ABF" w:rsidRPr="00C25C93">
        <w:rPr>
          <w:sz w:val="24"/>
          <w:szCs w:val="24"/>
        </w:rPr>
        <w:t xml:space="preserve"> </w:t>
      </w:r>
      <w:r w:rsidR="005F7F6D" w:rsidRPr="00C25C93">
        <w:rPr>
          <w:sz w:val="24"/>
          <w:szCs w:val="24"/>
        </w:rPr>
        <w:t>who</w:t>
      </w:r>
      <w:r w:rsidR="0038737D" w:rsidRPr="00C25C93">
        <w:rPr>
          <w:sz w:val="24"/>
          <w:szCs w:val="24"/>
        </w:rPr>
        <w:t xml:space="preserve"> would later emerge as a </w:t>
      </w:r>
      <w:r w:rsidR="006143F5" w:rsidRPr="00C25C93">
        <w:rPr>
          <w:sz w:val="24"/>
          <w:szCs w:val="24"/>
        </w:rPr>
        <w:t>ferocious</w:t>
      </w:r>
      <w:r w:rsidR="0038737D" w:rsidRPr="00C25C93">
        <w:rPr>
          <w:sz w:val="24"/>
          <w:szCs w:val="24"/>
        </w:rPr>
        <w:t xml:space="preserve"> critic of the investment mania in London</w:t>
      </w:r>
      <w:r w:rsidR="006143F5" w:rsidRPr="00C25C93">
        <w:rPr>
          <w:sz w:val="24"/>
          <w:szCs w:val="24"/>
        </w:rPr>
        <w:t xml:space="preserve"> sparked by the South Sea Company</w:t>
      </w:r>
      <w:r w:rsidR="005F7F6D" w:rsidRPr="00C25C93">
        <w:rPr>
          <w:sz w:val="24"/>
          <w:szCs w:val="24"/>
        </w:rPr>
        <w:t>,</w:t>
      </w:r>
      <w:r w:rsidR="0038737D" w:rsidRPr="00C25C93">
        <w:rPr>
          <w:sz w:val="24"/>
          <w:szCs w:val="24"/>
        </w:rPr>
        <w:t xml:space="preserve"> did not however draw attention to this phenomenon in his </w:t>
      </w:r>
      <w:r w:rsidR="0038737D" w:rsidRPr="00C25C93">
        <w:rPr>
          <w:i/>
          <w:iCs/>
          <w:sz w:val="24"/>
          <w:szCs w:val="24"/>
        </w:rPr>
        <w:t xml:space="preserve">Proposal. </w:t>
      </w:r>
      <w:r w:rsidR="0038737D" w:rsidRPr="00C25C93">
        <w:rPr>
          <w:sz w:val="24"/>
          <w:szCs w:val="24"/>
        </w:rPr>
        <w:t xml:space="preserve">It </w:t>
      </w:r>
      <w:r w:rsidR="006143F5" w:rsidRPr="00C25C93">
        <w:rPr>
          <w:sz w:val="24"/>
          <w:szCs w:val="24"/>
        </w:rPr>
        <w:t>has been</w:t>
      </w:r>
      <w:r w:rsidR="0038737D" w:rsidRPr="00C25C93">
        <w:rPr>
          <w:sz w:val="24"/>
          <w:szCs w:val="24"/>
        </w:rPr>
        <w:t xml:space="preserve"> speculate</w:t>
      </w:r>
      <w:r w:rsidR="006143F5" w:rsidRPr="00C25C93">
        <w:rPr>
          <w:sz w:val="24"/>
          <w:szCs w:val="24"/>
        </w:rPr>
        <w:t>d</w:t>
      </w:r>
      <w:r w:rsidR="0038737D" w:rsidRPr="00C25C93">
        <w:rPr>
          <w:sz w:val="24"/>
          <w:szCs w:val="24"/>
        </w:rPr>
        <w:t xml:space="preserve"> that his own holdings of South Sea stock combined with his</w:t>
      </w:r>
      <w:r w:rsidR="00EF60C6" w:rsidRPr="00C25C93">
        <w:rPr>
          <w:sz w:val="24"/>
          <w:szCs w:val="24"/>
        </w:rPr>
        <w:t xml:space="preserve"> earlier promotion of the company during Harley’s ministry encouraged some </w:t>
      </w:r>
      <w:r w:rsidR="001D4208" w:rsidRPr="00C25C93">
        <w:rPr>
          <w:sz w:val="24"/>
          <w:szCs w:val="24"/>
        </w:rPr>
        <w:t>mental evasion</w:t>
      </w:r>
      <w:r w:rsidR="00EF60C6" w:rsidRPr="00C25C93">
        <w:rPr>
          <w:sz w:val="24"/>
          <w:szCs w:val="24"/>
        </w:rPr>
        <w:t xml:space="preserve"> on the matter with such reticence extending to his surviving private correspondence in this period.</w:t>
      </w:r>
      <w:r w:rsidR="001D4208" w:rsidRPr="00C25C93">
        <w:rPr>
          <w:rStyle w:val="FootnoteReference"/>
          <w:sz w:val="24"/>
          <w:szCs w:val="24"/>
        </w:rPr>
        <w:footnoteReference w:id="35"/>
      </w:r>
      <w:r w:rsidR="00EF60C6" w:rsidRPr="00C25C93">
        <w:rPr>
          <w:sz w:val="24"/>
          <w:szCs w:val="24"/>
        </w:rPr>
        <w:t xml:space="preserve">  </w:t>
      </w:r>
      <w:r w:rsidR="00C11EF3">
        <w:rPr>
          <w:sz w:val="24"/>
          <w:szCs w:val="24"/>
        </w:rPr>
        <w:t>He had however idly wondered whether there would be any Irish imitation of these schemes in early April 1720 in the aftermath of the South  Sea Act writing to a friend: ‘</w:t>
      </w:r>
      <w:r w:rsidR="00C11EF3" w:rsidRPr="00CD0B31">
        <w:rPr>
          <w:sz w:val="24"/>
          <w:szCs w:val="24"/>
          <w:lang w:val="en-GB"/>
        </w:rPr>
        <w:t xml:space="preserve">I cannot understand the South Sea mystery: perhaps the </w:t>
      </w:r>
      <w:proofErr w:type="spellStart"/>
      <w:r w:rsidR="00C11EF3" w:rsidRPr="00CD0B31">
        <w:rPr>
          <w:sz w:val="24"/>
          <w:szCs w:val="24"/>
          <w:lang w:val="en-GB"/>
        </w:rPr>
        <w:t>frolick</w:t>
      </w:r>
      <w:proofErr w:type="spellEnd"/>
      <w:r w:rsidR="00C11EF3" w:rsidRPr="00CD0B31">
        <w:rPr>
          <w:sz w:val="24"/>
          <w:szCs w:val="24"/>
          <w:lang w:val="en-GB"/>
        </w:rPr>
        <w:t xml:space="preserve"> may go round and every Nation (except this which is no Nation) will have its Mississippi</w:t>
      </w:r>
      <w:r w:rsidR="00C11EF3">
        <w:rPr>
          <w:sz w:val="24"/>
          <w:szCs w:val="24"/>
          <w:lang w:val="en-GB"/>
        </w:rPr>
        <w:t>’.</w:t>
      </w:r>
      <w:r w:rsidR="00C11EF3">
        <w:rPr>
          <w:rStyle w:val="FootnoteReference"/>
          <w:sz w:val="24"/>
          <w:szCs w:val="24"/>
          <w:lang w:val="en-GB"/>
        </w:rPr>
        <w:footnoteReference w:id="36"/>
      </w:r>
      <w:r w:rsidR="00C11EF3" w:rsidRPr="00C25C93">
        <w:rPr>
          <w:sz w:val="24"/>
          <w:szCs w:val="24"/>
        </w:rPr>
        <w:t xml:space="preserve"> </w:t>
      </w:r>
      <w:r w:rsidR="004F5128" w:rsidRPr="00C25C93">
        <w:rPr>
          <w:sz w:val="24"/>
          <w:szCs w:val="24"/>
        </w:rPr>
        <w:t xml:space="preserve">If Swift and Irwin largely agreed on the nature of the </w:t>
      </w:r>
      <w:r w:rsidR="004F5128" w:rsidRPr="00C25C93">
        <w:rPr>
          <w:sz w:val="24"/>
          <w:szCs w:val="24"/>
        </w:rPr>
        <w:lastRenderedPageBreak/>
        <w:t xml:space="preserve">problems facing the Irish economy in this period, they found </w:t>
      </w:r>
      <w:r w:rsidR="00480BBA" w:rsidRPr="00C25C93">
        <w:rPr>
          <w:sz w:val="24"/>
          <w:szCs w:val="24"/>
        </w:rPr>
        <w:t xml:space="preserve">far </w:t>
      </w:r>
      <w:r w:rsidR="004F5128" w:rsidRPr="00C25C93">
        <w:rPr>
          <w:sz w:val="24"/>
          <w:szCs w:val="24"/>
        </w:rPr>
        <w:t>less common ground as far as solutions were concerned.</w:t>
      </w:r>
      <w:r w:rsidR="004F5128" w:rsidRPr="00C25C93">
        <w:rPr>
          <w:rStyle w:val="FootnoteReference"/>
          <w:sz w:val="24"/>
          <w:szCs w:val="24"/>
        </w:rPr>
        <w:footnoteReference w:id="37"/>
      </w:r>
      <w:r w:rsidR="004F5128" w:rsidRPr="00C25C93">
        <w:rPr>
          <w:sz w:val="24"/>
          <w:szCs w:val="24"/>
        </w:rPr>
        <w:t xml:space="preserve"> </w:t>
      </w:r>
    </w:p>
    <w:p w14:paraId="20DDEA9C" w14:textId="02B2596C" w:rsidR="009B7C39" w:rsidRPr="00C25C93" w:rsidRDefault="00480BBA" w:rsidP="0074314C">
      <w:pPr>
        <w:spacing w:after="0" w:line="360" w:lineRule="auto"/>
        <w:ind w:firstLine="720"/>
        <w:jc w:val="both"/>
        <w:rPr>
          <w:sz w:val="24"/>
          <w:szCs w:val="24"/>
        </w:rPr>
      </w:pPr>
      <w:r w:rsidRPr="00C25C93">
        <w:rPr>
          <w:sz w:val="24"/>
          <w:szCs w:val="24"/>
        </w:rPr>
        <w:t>Swift was in many ways not interested in solutions – his role as he saw it was to highlight the errors of men’s ways and to issue polemics in response to them</w:t>
      </w:r>
      <w:r w:rsidR="003967C6" w:rsidRPr="00C25C93">
        <w:rPr>
          <w:sz w:val="24"/>
          <w:szCs w:val="24"/>
        </w:rPr>
        <w:t xml:space="preserve"> – he was not as Louis Cullen </w:t>
      </w:r>
      <w:r w:rsidR="00D51058">
        <w:rPr>
          <w:sz w:val="24"/>
          <w:szCs w:val="24"/>
        </w:rPr>
        <w:t xml:space="preserve">has noted </w:t>
      </w:r>
      <w:r w:rsidR="003967C6" w:rsidRPr="00C25C93">
        <w:rPr>
          <w:sz w:val="24"/>
          <w:szCs w:val="24"/>
        </w:rPr>
        <w:t xml:space="preserve">in a trenchant recent </w:t>
      </w:r>
      <w:proofErr w:type="gramStart"/>
      <w:r w:rsidR="003967C6" w:rsidRPr="00C25C93">
        <w:rPr>
          <w:sz w:val="24"/>
          <w:szCs w:val="24"/>
        </w:rPr>
        <w:t>contribution  writing</w:t>
      </w:r>
      <w:proofErr w:type="gramEnd"/>
      <w:r w:rsidR="003967C6" w:rsidRPr="00C25C93">
        <w:rPr>
          <w:sz w:val="24"/>
          <w:szCs w:val="24"/>
        </w:rPr>
        <w:t xml:space="preserve"> economic treatises</w:t>
      </w:r>
      <w:r w:rsidRPr="00C25C93">
        <w:rPr>
          <w:sz w:val="24"/>
          <w:szCs w:val="24"/>
        </w:rPr>
        <w:t>.</w:t>
      </w:r>
      <w:r w:rsidR="003967C6" w:rsidRPr="00C25C93">
        <w:rPr>
          <w:rStyle w:val="FootnoteReference"/>
          <w:sz w:val="24"/>
          <w:szCs w:val="24"/>
        </w:rPr>
        <w:footnoteReference w:id="38"/>
      </w:r>
      <w:r w:rsidRPr="00C25C93">
        <w:rPr>
          <w:sz w:val="24"/>
          <w:szCs w:val="24"/>
        </w:rPr>
        <w:t xml:space="preserve"> The </w:t>
      </w:r>
      <w:r w:rsidRPr="00C25C93">
        <w:rPr>
          <w:i/>
          <w:iCs/>
          <w:sz w:val="24"/>
          <w:szCs w:val="24"/>
        </w:rPr>
        <w:t xml:space="preserve">Proposal </w:t>
      </w:r>
      <w:r w:rsidRPr="00C25C93">
        <w:rPr>
          <w:sz w:val="24"/>
          <w:szCs w:val="24"/>
        </w:rPr>
        <w:t>was obviously very effective in this regard</w:t>
      </w:r>
      <w:r w:rsidR="00804F94" w:rsidRPr="00C25C93">
        <w:rPr>
          <w:sz w:val="24"/>
          <w:szCs w:val="24"/>
        </w:rPr>
        <w:t xml:space="preserve"> if much less so in real practical terms</w:t>
      </w:r>
      <w:r w:rsidRPr="00C25C93">
        <w:rPr>
          <w:sz w:val="24"/>
          <w:szCs w:val="24"/>
        </w:rPr>
        <w:t xml:space="preserve">. If we </w:t>
      </w:r>
      <w:r w:rsidR="00804F94" w:rsidRPr="00C25C93">
        <w:rPr>
          <w:sz w:val="24"/>
          <w:szCs w:val="24"/>
        </w:rPr>
        <w:t>concentrate</w:t>
      </w:r>
      <w:r w:rsidRPr="00C25C93">
        <w:rPr>
          <w:sz w:val="24"/>
          <w:szCs w:val="24"/>
        </w:rPr>
        <w:t xml:space="preserve"> on his critique of the bank proposals his focus was on expressing disbelief about the sums involved, and to wonder at the mechanisms involved in creating credit – to treat them as a form of alchemy or as a trick or as a ‘jest’. Similar arguments and language appear in his later </w:t>
      </w:r>
      <w:r w:rsidR="009D6860" w:rsidRPr="00C25C93">
        <w:rPr>
          <w:sz w:val="24"/>
          <w:szCs w:val="24"/>
        </w:rPr>
        <w:t>literary</w:t>
      </w:r>
      <w:r w:rsidR="00816F59" w:rsidRPr="00C25C93">
        <w:rPr>
          <w:sz w:val="24"/>
          <w:szCs w:val="24"/>
        </w:rPr>
        <w:t xml:space="preserve"> assaults</w:t>
      </w:r>
      <w:r w:rsidRPr="00C25C93">
        <w:rPr>
          <w:sz w:val="24"/>
          <w:szCs w:val="24"/>
        </w:rPr>
        <w:t xml:space="preserve"> on both the bank </w:t>
      </w:r>
      <w:r w:rsidR="00816F59" w:rsidRPr="00C25C93">
        <w:rPr>
          <w:sz w:val="24"/>
          <w:szCs w:val="24"/>
        </w:rPr>
        <w:t xml:space="preserve">in </w:t>
      </w:r>
      <w:r w:rsidR="009D6860" w:rsidRPr="00C25C93">
        <w:rPr>
          <w:i/>
          <w:iCs/>
          <w:sz w:val="24"/>
          <w:szCs w:val="24"/>
        </w:rPr>
        <w:t>The Wonder</w:t>
      </w:r>
      <w:r w:rsidR="00AD7ED8" w:rsidRPr="00C25C93">
        <w:rPr>
          <w:i/>
          <w:iCs/>
          <w:sz w:val="24"/>
          <w:szCs w:val="24"/>
        </w:rPr>
        <w:t xml:space="preserve">ful Wonder </w:t>
      </w:r>
      <w:r w:rsidR="009D6860" w:rsidRPr="00C25C93">
        <w:rPr>
          <w:i/>
          <w:iCs/>
          <w:sz w:val="24"/>
          <w:szCs w:val="24"/>
        </w:rPr>
        <w:t xml:space="preserve">of Wonders </w:t>
      </w:r>
      <w:r w:rsidRPr="00C25C93">
        <w:rPr>
          <w:sz w:val="24"/>
          <w:szCs w:val="24"/>
        </w:rPr>
        <w:t xml:space="preserve">and </w:t>
      </w:r>
      <w:r w:rsidR="00E86D7A" w:rsidRPr="00C25C93">
        <w:rPr>
          <w:sz w:val="24"/>
          <w:szCs w:val="24"/>
        </w:rPr>
        <w:t xml:space="preserve">in </w:t>
      </w:r>
      <w:r w:rsidRPr="00C25C93">
        <w:rPr>
          <w:sz w:val="24"/>
          <w:szCs w:val="24"/>
        </w:rPr>
        <w:t>his celebrated</w:t>
      </w:r>
      <w:r w:rsidR="00AD7ED8" w:rsidRPr="00C25C93">
        <w:rPr>
          <w:sz w:val="24"/>
          <w:szCs w:val="24"/>
        </w:rPr>
        <w:t xml:space="preserve"> </w:t>
      </w:r>
      <w:r w:rsidRPr="00C25C93">
        <w:rPr>
          <w:sz w:val="24"/>
          <w:szCs w:val="24"/>
        </w:rPr>
        <w:t>poem on the South Sea Bubble</w:t>
      </w:r>
      <w:r w:rsidR="009D6860" w:rsidRPr="00C25C93">
        <w:rPr>
          <w:sz w:val="24"/>
          <w:szCs w:val="24"/>
        </w:rPr>
        <w:t xml:space="preserve">, </w:t>
      </w:r>
      <w:r w:rsidR="009D6860" w:rsidRPr="00C25C93">
        <w:rPr>
          <w:i/>
          <w:iCs/>
          <w:sz w:val="24"/>
          <w:szCs w:val="24"/>
        </w:rPr>
        <w:t>The Bubble</w:t>
      </w:r>
      <w:r w:rsidRPr="00C25C93">
        <w:rPr>
          <w:sz w:val="24"/>
          <w:szCs w:val="24"/>
        </w:rPr>
        <w:t>.</w:t>
      </w:r>
      <w:r w:rsidR="00E86D7A" w:rsidRPr="00C25C93">
        <w:rPr>
          <w:rStyle w:val="FootnoteReference"/>
          <w:sz w:val="24"/>
          <w:szCs w:val="24"/>
        </w:rPr>
        <w:footnoteReference w:id="39"/>
      </w:r>
      <w:r w:rsidRPr="00C25C93">
        <w:rPr>
          <w:sz w:val="24"/>
          <w:szCs w:val="24"/>
        </w:rPr>
        <w:t xml:space="preserve"> Banks and other financial innovations were absurd and dangerous artifices which needed to be mocked to expose their shaky foundations.  Such a critique focusing on the jesting quality of the bank and indeed the evasive, even dismissive, language of a phrase like ‘this thing’ shows however that Swift understood the role of confidence in such schemes and</w:t>
      </w:r>
      <w:r w:rsidR="00F33D37" w:rsidRPr="00C25C93">
        <w:rPr>
          <w:sz w:val="24"/>
          <w:szCs w:val="24"/>
        </w:rPr>
        <w:t>,</w:t>
      </w:r>
      <w:r w:rsidRPr="00C25C93">
        <w:rPr>
          <w:sz w:val="24"/>
          <w:szCs w:val="24"/>
        </w:rPr>
        <w:t xml:space="preserve"> </w:t>
      </w:r>
      <w:r w:rsidR="00D8470E" w:rsidRPr="00C25C93">
        <w:rPr>
          <w:sz w:val="24"/>
          <w:szCs w:val="24"/>
        </w:rPr>
        <w:t xml:space="preserve">also how that might be undermined. </w:t>
      </w:r>
      <w:r w:rsidR="009B7C39" w:rsidRPr="00C25C93">
        <w:rPr>
          <w:sz w:val="24"/>
          <w:szCs w:val="24"/>
        </w:rPr>
        <w:t>But what was Swift trying to kno</w:t>
      </w:r>
      <w:r w:rsidR="00F33D37" w:rsidRPr="00C25C93">
        <w:rPr>
          <w:sz w:val="24"/>
          <w:szCs w:val="24"/>
        </w:rPr>
        <w:t>ck</w:t>
      </w:r>
      <w:r w:rsidR="009B7C39" w:rsidRPr="00C25C93">
        <w:rPr>
          <w:sz w:val="24"/>
          <w:szCs w:val="24"/>
        </w:rPr>
        <w:t xml:space="preserve"> down? </w:t>
      </w:r>
    </w:p>
    <w:p w14:paraId="073C902A" w14:textId="0F1D2CEC" w:rsidR="00611A61" w:rsidRPr="00C25C93" w:rsidRDefault="009B7C39" w:rsidP="00002FAD">
      <w:pPr>
        <w:spacing w:after="0" w:line="360" w:lineRule="auto"/>
        <w:ind w:firstLine="720"/>
        <w:jc w:val="both"/>
        <w:rPr>
          <w:sz w:val="24"/>
          <w:szCs w:val="24"/>
        </w:rPr>
      </w:pPr>
      <w:r w:rsidRPr="00C25C93">
        <w:rPr>
          <w:sz w:val="24"/>
          <w:szCs w:val="24"/>
        </w:rPr>
        <w:t xml:space="preserve">Having laid out both the </w:t>
      </w:r>
      <w:r w:rsidR="00F33D37" w:rsidRPr="00C25C93">
        <w:rPr>
          <w:sz w:val="24"/>
          <w:szCs w:val="24"/>
        </w:rPr>
        <w:t xml:space="preserve">real and perceived </w:t>
      </w:r>
      <w:r w:rsidRPr="00C25C93">
        <w:rPr>
          <w:sz w:val="24"/>
          <w:szCs w:val="24"/>
        </w:rPr>
        <w:t xml:space="preserve">structural problems </w:t>
      </w:r>
      <w:r w:rsidR="00F33D37" w:rsidRPr="00C25C93">
        <w:rPr>
          <w:sz w:val="24"/>
          <w:szCs w:val="24"/>
        </w:rPr>
        <w:t xml:space="preserve">within the Irish economy </w:t>
      </w:r>
      <w:r w:rsidRPr="00C25C93">
        <w:rPr>
          <w:sz w:val="24"/>
          <w:szCs w:val="24"/>
        </w:rPr>
        <w:t xml:space="preserve">and </w:t>
      </w:r>
      <w:r w:rsidR="00F33D37" w:rsidRPr="00C25C93">
        <w:rPr>
          <w:sz w:val="24"/>
          <w:szCs w:val="24"/>
        </w:rPr>
        <w:t xml:space="preserve">then in </w:t>
      </w:r>
      <w:r w:rsidRPr="00C25C93">
        <w:rPr>
          <w:sz w:val="24"/>
          <w:szCs w:val="24"/>
        </w:rPr>
        <w:t xml:space="preserve">a rather alarmist tone the more immediate consequences of the speculative moment in Paris and London </w:t>
      </w:r>
      <w:r w:rsidR="00F33D37" w:rsidRPr="00C25C93">
        <w:rPr>
          <w:sz w:val="24"/>
          <w:szCs w:val="24"/>
        </w:rPr>
        <w:t xml:space="preserve">Irwin’s pamphlet moved on to explain how a national bank could act as a ‘proper remedy’, how it would allow paper credit to pass ‘as current and free as gold and silver’ as had already happened in England and Scotland. The consequences would be increased trade, </w:t>
      </w:r>
      <w:r w:rsidR="00002FAD" w:rsidRPr="00C25C93">
        <w:rPr>
          <w:sz w:val="24"/>
          <w:szCs w:val="24"/>
        </w:rPr>
        <w:t xml:space="preserve">greater </w:t>
      </w:r>
      <w:r w:rsidR="00F33D37" w:rsidRPr="00C25C93">
        <w:rPr>
          <w:sz w:val="24"/>
          <w:szCs w:val="24"/>
        </w:rPr>
        <w:t xml:space="preserve">circulating cash and </w:t>
      </w:r>
      <w:r w:rsidR="00002FAD" w:rsidRPr="00C25C93">
        <w:rPr>
          <w:sz w:val="24"/>
          <w:szCs w:val="24"/>
        </w:rPr>
        <w:t xml:space="preserve">increased </w:t>
      </w:r>
      <w:r w:rsidR="00F33D37" w:rsidRPr="00C25C93">
        <w:rPr>
          <w:sz w:val="24"/>
          <w:szCs w:val="24"/>
        </w:rPr>
        <w:t>national wealth. The proposal was light on detail and supporting evidence with Irwin merely asserting</w:t>
      </w:r>
      <w:r w:rsidR="00002FAD" w:rsidRPr="00C25C93">
        <w:rPr>
          <w:sz w:val="24"/>
          <w:szCs w:val="24"/>
        </w:rPr>
        <w:t xml:space="preserve"> somewhat </w:t>
      </w:r>
      <w:r w:rsidR="00002FAD" w:rsidRPr="00C25C93">
        <w:rPr>
          <w:sz w:val="24"/>
          <w:szCs w:val="24"/>
        </w:rPr>
        <w:lastRenderedPageBreak/>
        <w:t>presumptively</w:t>
      </w:r>
      <w:r w:rsidR="00F33D37" w:rsidRPr="00C25C93">
        <w:rPr>
          <w:sz w:val="24"/>
          <w:szCs w:val="24"/>
        </w:rPr>
        <w:t>, ‘whoever considers that almost all the trading nations of Europe, and even the meanest republic have their several banks … will think it needless to spend more time enquiring into the advantages of it’.</w:t>
      </w:r>
      <w:r w:rsidR="00002FAD" w:rsidRPr="00C25C93">
        <w:rPr>
          <w:rStyle w:val="FootnoteReference"/>
          <w:sz w:val="24"/>
          <w:szCs w:val="24"/>
        </w:rPr>
        <w:footnoteReference w:id="40"/>
      </w:r>
      <w:r w:rsidR="00F33D37" w:rsidRPr="00C25C93">
        <w:rPr>
          <w:sz w:val="24"/>
          <w:szCs w:val="24"/>
        </w:rPr>
        <w:t xml:space="preserve"> The final section of the pamphlet </w:t>
      </w:r>
      <w:r w:rsidR="00165908" w:rsidRPr="00C25C93">
        <w:rPr>
          <w:sz w:val="24"/>
          <w:szCs w:val="24"/>
        </w:rPr>
        <w:t xml:space="preserve">laid out the structure of the proposed bank in a series of </w:t>
      </w:r>
      <w:r w:rsidR="00002FAD" w:rsidRPr="00C25C93">
        <w:rPr>
          <w:sz w:val="24"/>
          <w:szCs w:val="24"/>
        </w:rPr>
        <w:t xml:space="preserve">governing </w:t>
      </w:r>
      <w:r w:rsidR="00165908" w:rsidRPr="00C25C93">
        <w:rPr>
          <w:sz w:val="24"/>
          <w:szCs w:val="24"/>
        </w:rPr>
        <w:t xml:space="preserve">articles. The first of these </w:t>
      </w:r>
      <w:r w:rsidR="00FE01A5" w:rsidRPr="00C25C93">
        <w:rPr>
          <w:sz w:val="24"/>
          <w:szCs w:val="24"/>
        </w:rPr>
        <w:t>established the bank’s foundation capital at</w:t>
      </w:r>
      <w:r w:rsidR="00002FAD" w:rsidRPr="00C25C93">
        <w:rPr>
          <w:sz w:val="24"/>
          <w:szCs w:val="24"/>
        </w:rPr>
        <w:t xml:space="preserve"> £500,000 of </w:t>
      </w:r>
      <w:r w:rsidR="00FE01A5" w:rsidRPr="00C25C93">
        <w:rPr>
          <w:sz w:val="24"/>
          <w:szCs w:val="24"/>
        </w:rPr>
        <w:t xml:space="preserve">which </w:t>
      </w:r>
      <w:r w:rsidR="00002FAD" w:rsidRPr="00C25C93">
        <w:rPr>
          <w:sz w:val="24"/>
          <w:szCs w:val="24"/>
        </w:rPr>
        <w:t xml:space="preserve">£100,000 </w:t>
      </w:r>
      <w:r w:rsidR="00FE01A5" w:rsidRPr="00C25C93">
        <w:rPr>
          <w:sz w:val="24"/>
          <w:szCs w:val="24"/>
        </w:rPr>
        <w:t xml:space="preserve">was to be raised by individual subscriptions ranging from five hundred to ten thousand pounds. These were to be paid in cash or by mortgaging subscribers’ </w:t>
      </w:r>
      <w:r w:rsidR="00002FAD" w:rsidRPr="00C25C93">
        <w:rPr>
          <w:sz w:val="24"/>
          <w:szCs w:val="24"/>
        </w:rPr>
        <w:t xml:space="preserve">landed </w:t>
      </w:r>
      <w:r w:rsidR="00FE01A5" w:rsidRPr="00C25C93">
        <w:rPr>
          <w:sz w:val="24"/>
          <w:szCs w:val="24"/>
        </w:rPr>
        <w:t>property. Thirteen managers</w:t>
      </w:r>
      <w:r w:rsidR="00EC775E" w:rsidRPr="00C25C93">
        <w:rPr>
          <w:rStyle w:val="FootnoteReference"/>
          <w:sz w:val="24"/>
          <w:szCs w:val="24"/>
        </w:rPr>
        <w:footnoteReference w:id="41"/>
      </w:r>
      <w:r w:rsidR="00FE01A5" w:rsidRPr="00C25C93">
        <w:rPr>
          <w:sz w:val="24"/>
          <w:szCs w:val="24"/>
        </w:rPr>
        <w:t xml:space="preserve"> were to be elected from within the body of subscribers to act as trustees to oversee the bank’s affairs. </w:t>
      </w:r>
    </w:p>
    <w:p w14:paraId="2640F8F6" w14:textId="77777777" w:rsidR="00BA1F68" w:rsidRPr="00C25C93" w:rsidRDefault="00002FAD" w:rsidP="0074314C">
      <w:pPr>
        <w:spacing w:after="0" w:line="360" w:lineRule="auto"/>
        <w:ind w:firstLine="720"/>
        <w:jc w:val="both"/>
        <w:rPr>
          <w:sz w:val="24"/>
          <w:szCs w:val="24"/>
        </w:rPr>
      </w:pPr>
      <w:r w:rsidRPr="00C25C93">
        <w:rPr>
          <w:sz w:val="24"/>
          <w:szCs w:val="24"/>
        </w:rPr>
        <w:t xml:space="preserve">These were well developed proposals and the </w:t>
      </w:r>
      <w:r w:rsidR="00BA1F68" w:rsidRPr="00C25C93">
        <w:rPr>
          <w:sz w:val="24"/>
          <w:szCs w:val="24"/>
        </w:rPr>
        <w:t xml:space="preserve">prompt election of the ‘managers’ as well as the speedy organisation of a more general petition to the lord lieutenant in favour of a bank speaks to the preparations made by Abercorn and his partners. </w:t>
      </w:r>
      <w:r w:rsidR="00611A61" w:rsidRPr="00C25C93">
        <w:rPr>
          <w:sz w:val="24"/>
          <w:szCs w:val="24"/>
        </w:rPr>
        <w:t>The scale</w:t>
      </w:r>
      <w:r w:rsidR="00BA1F68" w:rsidRPr="00C25C93">
        <w:rPr>
          <w:sz w:val="24"/>
          <w:szCs w:val="24"/>
        </w:rPr>
        <w:t xml:space="preserve"> of their ambition as we have seen </w:t>
      </w:r>
      <w:r w:rsidR="00611A61" w:rsidRPr="00C25C93">
        <w:rPr>
          <w:sz w:val="24"/>
          <w:szCs w:val="24"/>
        </w:rPr>
        <w:t>caused Swift some alarm with his fears about the ‘monstrous’ nature of the bank’s capital</w:t>
      </w:r>
      <w:r w:rsidR="00BA1F68" w:rsidRPr="00C25C93">
        <w:rPr>
          <w:sz w:val="24"/>
          <w:szCs w:val="24"/>
        </w:rPr>
        <w:t xml:space="preserve"> immediately obvious</w:t>
      </w:r>
      <w:r w:rsidR="00611A61" w:rsidRPr="00C25C93">
        <w:rPr>
          <w:sz w:val="24"/>
          <w:szCs w:val="24"/>
        </w:rPr>
        <w:t>. Five hundred thousand pounds was a huge sum of money at least when placed within an Irish context where annual government taxation revenues</w:t>
      </w:r>
      <w:r w:rsidR="00783367" w:rsidRPr="00C25C93">
        <w:rPr>
          <w:sz w:val="24"/>
          <w:szCs w:val="24"/>
        </w:rPr>
        <w:t xml:space="preserve"> had only </w:t>
      </w:r>
      <w:r w:rsidR="00BA1F68" w:rsidRPr="00C25C93">
        <w:rPr>
          <w:sz w:val="24"/>
          <w:szCs w:val="24"/>
        </w:rPr>
        <w:t xml:space="preserve">just </w:t>
      </w:r>
      <w:r w:rsidR="00783367" w:rsidRPr="00C25C93">
        <w:rPr>
          <w:sz w:val="24"/>
          <w:szCs w:val="24"/>
        </w:rPr>
        <w:t>passed the £500,000 barrier in 1719 for the first time.</w:t>
      </w:r>
      <w:r w:rsidR="005A6758" w:rsidRPr="00C25C93">
        <w:rPr>
          <w:rStyle w:val="FootnoteReference"/>
          <w:sz w:val="24"/>
          <w:szCs w:val="24"/>
        </w:rPr>
        <w:footnoteReference w:id="42"/>
      </w:r>
      <w:r w:rsidR="00783367" w:rsidRPr="00C25C93">
        <w:rPr>
          <w:sz w:val="24"/>
          <w:szCs w:val="24"/>
        </w:rPr>
        <w:t xml:space="preserve"> Such concerns </w:t>
      </w:r>
      <w:r w:rsidR="00BA1F68" w:rsidRPr="00C25C93">
        <w:rPr>
          <w:sz w:val="24"/>
          <w:szCs w:val="24"/>
        </w:rPr>
        <w:t xml:space="preserve">about the scale of the proposed enterprise </w:t>
      </w:r>
      <w:r w:rsidR="00783367" w:rsidRPr="00C25C93">
        <w:rPr>
          <w:sz w:val="24"/>
          <w:szCs w:val="24"/>
        </w:rPr>
        <w:t xml:space="preserve">would later play a role in the eventual rejection of the rival bank proposal championed by Lord </w:t>
      </w:r>
      <w:r w:rsidR="00BA1F68" w:rsidRPr="00C25C93">
        <w:rPr>
          <w:sz w:val="24"/>
          <w:szCs w:val="24"/>
        </w:rPr>
        <w:t xml:space="preserve">George </w:t>
      </w:r>
      <w:r w:rsidR="00783367" w:rsidRPr="00C25C93">
        <w:rPr>
          <w:sz w:val="24"/>
          <w:szCs w:val="24"/>
        </w:rPr>
        <w:t>Forbes and Brabazon Ponsonby which proposed to raise over one million pounds in capital.</w:t>
      </w:r>
      <w:r w:rsidR="005A6758" w:rsidRPr="00C25C93">
        <w:rPr>
          <w:rStyle w:val="FootnoteReference"/>
          <w:sz w:val="24"/>
          <w:szCs w:val="24"/>
        </w:rPr>
        <w:footnoteReference w:id="43"/>
      </w:r>
      <w:r w:rsidR="00783367" w:rsidRPr="00C25C93">
        <w:rPr>
          <w:sz w:val="24"/>
          <w:szCs w:val="24"/>
        </w:rPr>
        <w:t xml:space="preserve"> This together with their proposal to pay off the Irish national debt alarmed the Irish lords justices who feared for the consequences of regular meetings of parliament if such a powerful and wealth institution was established.</w:t>
      </w:r>
      <w:r w:rsidR="00BA1F68" w:rsidRPr="00C25C93">
        <w:rPr>
          <w:rStyle w:val="FootnoteReference"/>
          <w:sz w:val="24"/>
          <w:szCs w:val="24"/>
        </w:rPr>
        <w:footnoteReference w:id="44"/>
      </w:r>
      <w:r w:rsidR="00783367" w:rsidRPr="00C25C93">
        <w:rPr>
          <w:sz w:val="24"/>
          <w:szCs w:val="24"/>
        </w:rPr>
        <w:t xml:space="preserve"> The ratio between the Abercorn consortium’s proposed reserves and </w:t>
      </w:r>
      <w:r w:rsidR="00151001" w:rsidRPr="00C25C93">
        <w:rPr>
          <w:sz w:val="24"/>
          <w:szCs w:val="24"/>
        </w:rPr>
        <w:t xml:space="preserve">loans – what Swift termed ‘real’ and ‘imaginary’ money - was not </w:t>
      </w:r>
      <w:r w:rsidR="00BA1F68" w:rsidRPr="00C25C93">
        <w:rPr>
          <w:sz w:val="24"/>
          <w:szCs w:val="24"/>
        </w:rPr>
        <w:t xml:space="preserve">precisely </w:t>
      </w:r>
      <w:r w:rsidR="00151001" w:rsidRPr="00C25C93">
        <w:rPr>
          <w:sz w:val="24"/>
          <w:szCs w:val="24"/>
        </w:rPr>
        <w:t xml:space="preserve">stipulated in the original proposal but later iterations of their proposal suggest a </w:t>
      </w:r>
      <w:r w:rsidR="00BA1F68" w:rsidRPr="00C25C93">
        <w:rPr>
          <w:sz w:val="24"/>
          <w:szCs w:val="24"/>
        </w:rPr>
        <w:t xml:space="preserve">more </w:t>
      </w:r>
      <w:r w:rsidR="00151001" w:rsidRPr="00C25C93">
        <w:rPr>
          <w:sz w:val="24"/>
          <w:szCs w:val="24"/>
        </w:rPr>
        <w:t>cautious approach indicating that Swift’s critique did not stick to the known facts</w:t>
      </w:r>
      <w:r w:rsidR="00BA1F68" w:rsidRPr="00C25C93">
        <w:rPr>
          <w:sz w:val="24"/>
          <w:szCs w:val="24"/>
        </w:rPr>
        <w:t>,</w:t>
      </w:r>
      <w:r w:rsidR="00151001" w:rsidRPr="00C25C93">
        <w:rPr>
          <w:sz w:val="24"/>
          <w:szCs w:val="24"/>
        </w:rPr>
        <w:t xml:space="preserve"> but was instead intended to unsettle and undermine confidence in the scheme. </w:t>
      </w:r>
    </w:p>
    <w:p w14:paraId="2908CC20" w14:textId="6C44AB67" w:rsidR="00C733B8" w:rsidRPr="00C25C93" w:rsidRDefault="00BA1F68" w:rsidP="00C733B8">
      <w:pPr>
        <w:spacing w:after="0" w:line="360" w:lineRule="auto"/>
        <w:ind w:firstLine="720"/>
        <w:jc w:val="both"/>
        <w:rPr>
          <w:sz w:val="24"/>
          <w:szCs w:val="24"/>
        </w:rPr>
      </w:pPr>
      <w:r w:rsidRPr="00C25C93">
        <w:rPr>
          <w:sz w:val="24"/>
          <w:szCs w:val="24"/>
        </w:rPr>
        <w:lastRenderedPageBreak/>
        <w:t xml:space="preserve">If this was his aim the impact of his words was negligible. </w:t>
      </w:r>
      <w:r w:rsidR="007E498D" w:rsidRPr="00C25C93">
        <w:rPr>
          <w:sz w:val="24"/>
          <w:szCs w:val="24"/>
        </w:rPr>
        <w:t>The widespread enthusiasm for a national bank amongst the Irish elite can be seen in the appearance of rival proposals in the following weeks and months</w:t>
      </w:r>
      <w:r w:rsidR="00C733B8" w:rsidRPr="00C25C93">
        <w:rPr>
          <w:sz w:val="24"/>
          <w:szCs w:val="24"/>
        </w:rPr>
        <w:t xml:space="preserve"> each of which had significant backing from new and diverse groups of subscribers</w:t>
      </w:r>
      <w:r w:rsidR="007E498D" w:rsidRPr="00C25C93">
        <w:rPr>
          <w:sz w:val="24"/>
          <w:szCs w:val="24"/>
        </w:rPr>
        <w:t>.</w:t>
      </w:r>
      <w:r w:rsidR="005A6758" w:rsidRPr="00C25C93">
        <w:rPr>
          <w:rStyle w:val="FootnoteReference"/>
          <w:sz w:val="24"/>
          <w:szCs w:val="24"/>
        </w:rPr>
        <w:footnoteReference w:id="45"/>
      </w:r>
      <w:r w:rsidR="007E498D" w:rsidRPr="00C25C93">
        <w:rPr>
          <w:sz w:val="24"/>
          <w:szCs w:val="24"/>
        </w:rPr>
        <w:t xml:space="preserve"> The following eighteen months would see the topic remain high on the Irish political agenda even as the fortunes of the South Sea Company faltered</w:t>
      </w:r>
      <w:r w:rsidR="003C4C2A" w:rsidRPr="00C25C93">
        <w:rPr>
          <w:sz w:val="24"/>
          <w:szCs w:val="24"/>
        </w:rPr>
        <w:t xml:space="preserve"> and then collapsed in Autumn 1720</w:t>
      </w:r>
      <w:r w:rsidR="00301852" w:rsidRPr="00C25C93">
        <w:rPr>
          <w:sz w:val="24"/>
          <w:szCs w:val="24"/>
        </w:rPr>
        <w:t xml:space="preserve">. Its collapse </w:t>
      </w:r>
      <w:r w:rsidR="003C4C2A" w:rsidRPr="00C25C93">
        <w:rPr>
          <w:sz w:val="24"/>
          <w:szCs w:val="24"/>
        </w:rPr>
        <w:t>spark</w:t>
      </w:r>
      <w:r w:rsidR="00301852" w:rsidRPr="00C25C93">
        <w:rPr>
          <w:sz w:val="24"/>
          <w:szCs w:val="24"/>
        </w:rPr>
        <w:t>ed</w:t>
      </w:r>
      <w:r w:rsidR="003C4C2A" w:rsidRPr="00C25C93">
        <w:rPr>
          <w:sz w:val="24"/>
          <w:szCs w:val="24"/>
        </w:rPr>
        <w:t xml:space="preserve"> amongst other things the short-lived run on the Dublin private banks which </w:t>
      </w:r>
      <w:r w:rsidR="00301852" w:rsidRPr="00C25C93">
        <w:rPr>
          <w:sz w:val="24"/>
          <w:szCs w:val="24"/>
        </w:rPr>
        <w:t xml:space="preserve">in turn </w:t>
      </w:r>
      <w:r w:rsidR="003C4C2A" w:rsidRPr="00C25C93">
        <w:rPr>
          <w:sz w:val="24"/>
          <w:szCs w:val="24"/>
        </w:rPr>
        <w:t xml:space="preserve">inspired Swift’s </w:t>
      </w:r>
      <w:r w:rsidR="00301852" w:rsidRPr="00C25C93">
        <w:rPr>
          <w:sz w:val="24"/>
          <w:szCs w:val="24"/>
        </w:rPr>
        <w:t xml:space="preserve">poem </w:t>
      </w:r>
      <w:r w:rsidR="00301852" w:rsidRPr="00C25C93">
        <w:rPr>
          <w:i/>
          <w:iCs/>
          <w:sz w:val="24"/>
          <w:szCs w:val="24"/>
        </w:rPr>
        <w:t xml:space="preserve">The Run Upon the Bankers, </w:t>
      </w:r>
      <w:r w:rsidR="00301852" w:rsidRPr="00C25C93">
        <w:rPr>
          <w:sz w:val="24"/>
          <w:szCs w:val="24"/>
        </w:rPr>
        <w:t>which again made use of metaphors of enchantment and conjuring to cast doubt on the banker’s business and practice</w:t>
      </w:r>
      <w:r w:rsidR="00301852" w:rsidRPr="00C25C93">
        <w:rPr>
          <w:i/>
          <w:iCs/>
          <w:sz w:val="24"/>
          <w:szCs w:val="24"/>
        </w:rPr>
        <w:t>.</w:t>
      </w:r>
      <w:r w:rsidR="00C733B8" w:rsidRPr="00C25C93">
        <w:rPr>
          <w:rStyle w:val="FootnoteReference"/>
          <w:sz w:val="24"/>
          <w:szCs w:val="24"/>
        </w:rPr>
        <w:footnoteReference w:id="46"/>
      </w:r>
      <w:r w:rsidR="00301852" w:rsidRPr="00C25C93">
        <w:rPr>
          <w:i/>
          <w:iCs/>
          <w:sz w:val="24"/>
          <w:szCs w:val="24"/>
        </w:rPr>
        <w:t xml:space="preserve"> </w:t>
      </w:r>
      <w:r w:rsidR="00301852" w:rsidRPr="00C25C93">
        <w:rPr>
          <w:sz w:val="24"/>
          <w:szCs w:val="24"/>
        </w:rPr>
        <w:t>The impact of the stock-market crash in London could also be seen in the wider economy with the Dublin textile workers suffering significant distress, trade levels decreasing and government revenues falling. Swift while expressing some glee at the losses experienced by the private bankers and wealthy speculators was also attuned to the more immediate distress experienced in the streets around him offering both practical help as well as penning an epilogue for a benefit performance of Hamlet in early 1721.</w:t>
      </w:r>
      <w:r w:rsidR="00C733B8" w:rsidRPr="00C25C93">
        <w:rPr>
          <w:rStyle w:val="FootnoteReference"/>
          <w:sz w:val="24"/>
          <w:szCs w:val="24"/>
        </w:rPr>
        <w:footnoteReference w:id="47"/>
      </w:r>
      <w:r w:rsidR="00301852" w:rsidRPr="00C25C93">
        <w:rPr>
          <w:sz w:val="24"/>
          <w:szCs w:val="24"/>
        </w:rPr>
        <w:t xml:space="preserve">   </w:t>
      </w:r>
    </w:p>
    <w:p w14:paraId="6D58C726" w14:textId="45BD784D" w:rsidR="00B05ABF" w:rsidRPr="00C25C93" w:rsidRDefault="00301852" w:rsidP="00086820">
      <w:pPr>
        <w:spacing w:after="0" w:line="360" w:lineRule="auto"/>
        <w:ind w:firstLine="720"/>
        <w:jc w:val="both"/>
        <w:rPr>
          <w:sz w:val="24"/>
          <w:szCs w:val="24"/>
        </w:rPr>
      </w:pPr>
      <w:r w:rsidRPr="00C25C93">
        <w:rPr>
          <w:sz w:val="24"/>
          <w:szCs w:val="24"/>
        </w:rPr>
        <w:t>Despite or perhaps because of these setbacks the bank project continued to rumble on through late 1720 and a</w:t>
      </w:r>
      <w:r w:rsidR="001C7833" w:rsidRPr="00C25C93">
        <w:rPr>
          <w:sz w:val="24"/>
          <w:szCs w:val="24"/>
        </w:rPr>
        <w:t xml:space="preserve"> royal charter for a bank was eventually granted in the summer of 1721</w:t>
      </w:r>
      <w:r w:rsidRPr="00C25C93">
        <w:rPr>
          <w:sz w:val="24"/>
          <w:szCs w:val="24"/>
        </w:rPr>
        <w:t xml:space="preserve">. It was presented to the Dublin parliament in </w:t>
      </w:r>
      <w:r w:rsidR="00C733B8" w:rsidRPr="00C25C93">
        <w:rPr>
          <w:sz w:val="24"/>
          <w:szCs w:val="24"/>
        </w:rPr>
        <w:t xml:space="preserve">September 1721 and became the defining issue of that parliamentary session instigating </w:t>
      </w:r>
      <w:r w:rsidR="00020629" w:rsidRPr="00C25C93">
        <w:rPr>
          <w:sz w:val="24"/>
          <w:szCs w:val="24"/>
        </w:rPr>
        <w:t>a vociferous</w:t>
      </w:r>
      <w:r w:rsidR="00C733B8" w:rsidRPr="00C25C93">
        <w:rPr>
          <w:sz w:val="24"/>
          <w:szCs w:val="24"/>
        </w:rPr>
        <w:t xml:space="preserve"> extra-parliamentary pamphlet debate. Thanks to a combination of increased political factionalism and the power of the pamphleteer’s pens in drawing out the echoes of the South Sea scheme the bank charter was never ratified bringing an end to the episode and to any serious proposals for a national bank until the middle of the next decade.</w:t>
      </w:r>
      <w:r w:rsidR="00020629" w:rsidRPr="00C25C93">
        <w:rPr>
          <w:rStyle w:val="FootnoteReference"/>
          <w:sz w:val="24"/>
          <w:szCs w:val="24"/>
        </w:rPr>
        <w:footnoteReference w:id="48"/>
      </w:r>
      <w:r w:rsidR="00C733B8" w:rsidRPr="00C25C93">
        <w:rPr>
          <w:sz w:val="24"/>
          <w:szCs w:val="24"/>
        </w:rPr>
        <w:t xml:space="preserve"> It is worth stressing that even as the prospects of the bank began to recede there was still a substantial appetite for it with large numbers of new subscribers appearing in printed lists circulating as late as November 1721.</w:t>
      </w:r>
      <w:r w:rsidR="001A2E80" w:rsidRPr="00C25C93">
        <w:rPr>
          <w:rStyle w:val="FootnoteReference"/>
          <w:sz w:val="24"/>
          <w:szCs w:val="24"/>
        </w:rPr>
        <w:footnoteReference w:id="49"/>
      </w:r>
      <w:r w:rsidR="00C733B8" w:rsidRPr="00C25C93">
        <w:rPr>
          <w:sz w:val="24"/>
          <w:szCs w:val="24"/>
        </w:rPr>
        <w:t xml:space="preserve"> To be sure the character of Ireland’s prospective monied elite was changing </w:t>
      </w:r>
      <w:r w:rsidR="001A2E80" w:rsidRPr="00C25C93">
        <w:rPr>
          <w:sz w:val="24"/>
          <w:szCs w:val="24"/>
        </w:rPr>
        <w:t xml:space="preserve">with the investor profile becoming less landed, more urban, and perhaps more obscure. This of course led to Swift’s most notable interventions in the bank paper wars, his sometimes xenophobic and misogynist </w:t>
      </w:r>
      <w:r w:rsidR="001A2E80" w:rsidRPr="00C25C93">
        <w:rPr>
          <w:sz w:val="24"/>
          <w:szCs w:val="24"/>
        </w:rPr>
        <w:lastRenderedPageBreak/>
        <w:t xml:space="preserve">pamphlets, </w:t>
      </w:r>
      <w:r w:rsidR="001A2E80" w:rsidRPr="00C25C93">
        <w:rPr>
          <w:i/>
          <w:iCs/>
          <w:sz w:val="24"/>
          <w:szCs w:val="24"/>
        </w:rPr>
        <w:t xml:space="preserve">Subscribers to the Bank </w:t>
      </w:r>
      <w:proofErr w:type="spellStart"/>
      <w:r w:rsidR="001A2E80" w:rsidRPr="00C25C93">
        <w:rPr>
          <w:i/>
          <w:iCs/>
          <w:sz w:val="24"/>
          <w:szCs w:val="24"/>
        </w:rPr>
        <w:t>Plac’d</w:t>
      </w:r>
      <w:proofErr w:type="spellEnd"/>
      <w:r w:rsidR="001A2E80" w:rsidRPr="00C25C93">
        <w:rPr>
          <w:i/>
          <w:iCs/>
          <w:sz w:val="24"/>
          <w:szCs w:val="24"/>
        </w:rPr>
        <w:t xml:space="preserve"> According to their Order and Quality with Notes and Queries </w:t>
      </w:r>
      <w:r w:rsidR="001A2E80" w:rsidRPr="00C25C93">
        <w:rPr>
          <w:sz w:val="24"/>
          <w:szCs w:val="24"/>
        </w:rPr>
        <w:t xml:space="preserve">and </w:t>
      </w:r>
      <w:r w:rsidR="001A2E80" w:rsidRPr="00C25C93">
        <w:rPr>
          <w:i/>
          <w:iCs/>
          <w:sz w:val="24"/>
          <w:szCs w:val="24"/>
        </w:rPr>
        <w:t xml:space="preserve">A Letter to the King at Arms, </w:t>
      </w:r>
      <w:r w:rsidR="001A2E80" w:rsidRPr="00C25C93">
        <w:rPr>
          <w:sz w:val="24"/>
          <w:szCs w:val="24"/>
        </w:rPr>
        <w:t>each of which focused on the character and attributes of the bank’s new subscribers including the significant Huguenot presence.</w:t>
      </w:r>
      <w:r w:rsidR="001A2E80" w:rsidRPr="00C25C93">
        <w:rPr>
          <w:rStyle w:val="FootnoteReference"/>
          <w:sz w:val="24"/>
          <w:szCs w:val="24"/>
        </w:rPr>
        <w:footnoteReference w:id="50"/>
      </w:r>
      <w:r w:rsidR="00086820" w:rsidRPr="00C25C93">
        <w:rPr>
          <w:sz w:val="24"/>
          <w:szCs w:val="24"/>
        </w:rPr>
        <w:t xml:space="preserve"> Questions arise </w:t>
      </w:r>
      <w:r w:rsidR="001C7833" w:rsidRPr="00C25C93">
        <w:rPr>
          <w:sz w:val="24"/>
          <w:szCs w:val="24"/>
        </w:rPr>
        <w:t>again</w:t>
      </w:r>
      <w:r w:rsidR="00086820" w:rsidRPr="00C25C93">
        <w:rPr>
          <w:sz w:val="24"/>
          <w:szCs w:val="24"/>
        </w:rPr>
        <w:t xml:space="preserve"> about the significance of </w:t>
      </w:r>
      <w:r w:rsidR="001C7833" w:rsidRPr="00C25C93">
        <w:rPr>
          <w:sz w:val="24"/>
          <w:szCs w:val="24"/>
        </w:rPr>
        <w:t>Swift</w:t>
      </w:r>
      <w:r w:rsidR="00086820" w:rsidRPr="00C25C93">
        <w:rPr>
          <w:sz w:val="24"/>
          <w:szCs w:val="24"/>
        </w:rPr>
        <w:t xml:space="preserve">’s role in the downfall of the bank and most commentators now exercise caution in their treatment of his influence. </w:t>
      </w:r>
    </w:p>
    <w:p w14:paraId="3CF0E706" w14:textId="1F04BC39" w:rsidR="00C11EF3" w:rsidRPr="00C25C93" w:rsidRDefault="00B05ABF" w:rsidP="00C11EF3">
      <w:pPr>
        <w:spacing w:after="0" w:line="360" w:lineRule="auto"/>
        <w:ind w:firstLine="720"/>
        <w:jc w:val="both"/>
        <w:rPr>
          <w:sz w:val="24"/>
          <w:szCs w:val="24"/>
        </w:rPr>
      </w:pPr>
      <w:r w:rsidRPr="00C25C93">
        <w:rPr>
          <w:sz w:val="24"/>
          <w:szCs w:val="24"/>
        </w:rPr>
        <w:t xml:space="preserve">This might seem a rather negative place to stop this </w:t>
      </w:r>
      <w:r w:rsidR="00D51058">
        <w:rPr>
          <w:sz w:val="24"/>
          <w:szCs w:val="24"/>
        </w:rPr>
        <w:t>article</w:t>
      </w:r>
      <w:r w:rsidRPr="00C25C93">
        <w:rPr>
          <w:sz w:val="24"/>
          <w:szCs w:val="24"/>
        </w:rPr>
        <w:t>. In some ways it is</w:t>
      </w:r>
      <w:r w:rsidR="00086820" w:rsidRPr="00C25C93">
        <w:rPr>
          <w:sz w:val="24"/>
          <w:szCs w:val="24"/>
        </w:rPr>
        <w:t>.</w:t>
      </w:r>
      <w:r w:rsidRPr="00C25C93">
        <w:rPr>
          <w:sz w:val="24"/>
          <w:szCs w:val="24"/>
        </w:rPr>
        <w:t xml:space="preserve"> </w:t>
      </w:r>
      <w:r w:rsidR="00086820" w:rsidRPr="00C25C93">
        <w:rPr>
          <w:sz w:val="24"/>
          <w:szCs w:val="24"/>
        </w:rPr>
        <w:t>T</w:t>
      </w:r>
      <w:r w:rsidRPr="00C25C93">
        <w:rPr>
          <w:sz w:val="24"/>
          <w:szCs w:val="24"/>
        </w:rPr>
        <w:t xml:space="preserve">he available evidence is resistant to an interpretation that places the Dean </w:t>
      </w:r>
      <w:r w:rsidR="00EA3CE5" w:rsidRPr="00C25C93">
        <w:rPr>
          <w:sz w:val="24"/>
          <w:szCs w:val="24"/>
        </w:rPr>
        <w:t>at</w:t>
      </w:r>
      <w:r w:rsidRPr="00C25C93">
        <w:rPr>
          <w:sz w:val="24"/>
          <w:szCs w:val="24"/>
        </w:rPr>
        <w:t xml:space="preserve"> the forefront of the demise of the bank proposals in a way that foreshadow</w:t>
      </w:r>
      <w:r w:rsidR="00EA3CE5" w:rsidRPr="00C25C93">
        <w:rPr>
          <w:sz w:val="24"/>
          <w:szCs w:val="24"/>
        </w:rPr>
        <w:t>s</w:t>
      </w:r>
      <w:r w:rsidRPr="00C25C93">
        <w:rPr>
          <w:sz w:val="24"/>
          <w:szCs w:val="24"/>
        </w:rPr>
        <w:t xml:space="preserve"> his transmogrification into the Drapier. Nevertheless, the bank proposals and their particular context in spring-summer 1720 do help us to better understand Swift’s concerns in </w:t>
      </w:r>
      <w:r w:rsidR="00EA3CE5" w:rsidRPr="00C25C93">
        <w:rPr>
          <w:sz w:val="24"/>
          <w:szCs w:val="24"/>
        </w:rPr>
        <w:t>the</w:t>
      </w:r>
      <w:r w:rsidRPr="00C25C93">
        <w:rPr>
          <w:i/>
          <w:iCs/>
          <w:sz w:val="24"/>
          <w:szCs w:val="24"/>
        </w:rPr>
        <w:t xml:space="preserve"> Proposal</w:t>
      </w:r>
      <w:r w:rsidR="00DC7CE7" w:rsidRPr="00C25C93">
        <w:rPr>
          <w:i/>
          <w:iCs/>
          <w:sz w:val="24"/>
          <w:szCs w:val="24"/>
        </w:rPr>
        <w:t>.</w:t>
      </w:r>
      <w:r w:rsidR="00EA3CE5" w:rsidRPr="00C25C93">
        <w:rPr>
          <w:sz w:val="24"/>
          <w:szCs w:val="24"/>
        </w:rPr>
        <w:t xml:space="preserve"> </w:t>
      </w:r>
      <w:r w:rsidR="00DC7CE7" w:rsidRPr="00C25C93">
        <w:rPr>
          <w:sz w:val="24"/>
          <w:szCs w:val="24"/>
        </w:rPr>
        <w:t>His diagnosis of the problems affecting the Irish economy did not stand out</w:t>
      </w:r>
      <w:r w:rsidR="000A5301" w:rsidRPr="00C25C93">
        <w:rPr>
          <w:sz w:val="24"/>
          <w:szCs w:val="24"/>
        </w:rPr>
        <w:t xml:space="preserve"> and can instead be related to his wider preoccupations regarding the </w:t>
      </w:r>
      <w:r w:rsidR="00562776" w:rsidRPr="00C25C93">
        <w:rPr>
          <w:sz w:val="24"/>
          <w:szCs w:val="24"/>
        </w:rPr>
        <w:t>role of the Irish political and social elite whether as landlords, avaricious consumers of foreign luxuries or meddling policy makers interfering with the rights of the church when they should have been wrestling with the failing economy. Swift connected these grievances</w:t>
      </w:r>
      <w:r w:rsidR="00806351">
        <w:rPr>
          <w:sz w:val="24"/>
          <w:szCs w:val="24"/>
        </w:rPr>
        <w:t>,</w:t>
      </w:r>
      <w:r w:rsidR="00562776" w:rsidRPr="00C25C93">
        <w:rPr>
          <w:sz w:val="24"/>
          <w:szCs w:val="24"/>
        </w:rPr>
        <w:t xml:space="preserve"> some of which were shared by the bank promoters</w:t>
      </w:r>
      <w:r w:rsidR="00806351">
        <w:rPr>
          <w:sz w:val="24"/>
          <w:szCs w:val="24"/>
        </w:rPr>
        <w:t>,</w:t>
      </w:r>
      <w:r w:rsidR="00562776" w:rsidRPr="00C25C93">
        <w:rPr>
          <w:sz w:val="24"/>
          <w:szCs w:val="24"/>
        </w:rPr>
        <w:t xml:space="preserve"> to the recent passage of the Declaratory Act adding a further level of doom to his outlook expressed most vividly in his hyperbolic characterisation of the Irish establishment as slaves but also perhaps in his characterisation of the proposed bank as a monster. The putative creators of that monster on the other hand saw the bank as a way out of a dismal economic situation. </w:t>
      </w:r>
      <w:r w:rsidR="00F56645" w:rsidRPr="00C25C93">
        <w:rPr>
          <w:sz w:val="24"/>
          <w:szCs w:val="24"/>
        </w:rPr>
        <w:t xml:space="preserve">They identified the same economic problems but saw a bank </w:t>
      </w:r>
      <w:r w:rsidR="00926C7C">
        <w:rPr>
          <w:sz w:val="24"/>
          <w:szCs w:val="24"/>
        </w:rPr>
        <w:t xml:space="preserve">as </w:t>
      </w:r>
      <w:r w:rsidR="00F56645" w:rsidRPr="00C25C93">
        <w:rPr>
          <w:sz w:val="24"/>
          <w:szCs w:val="24"/>
        </w:rPr>
        <w:t xml:space="preserve">the answer to the underdeveloped and stagnant economy. </w:t>
      </w:r>
      <w:r w:rsidR="00761D3D" w:rsidRPr="00C25C93">
        <w:rPr>
          <w:sz w:val="24"/>
          <w:szCs w:val="24"/>
        </w:rPr>
        <w:t xml:space="preserve"> </w:t>
      </w:r>
      <w:r w:rsidR="00D51058">
        <w:rPr>
          <w:sz w:val="24"/>
          <w:szCs w:val="24"/>
        </w:rPr>
        <w:t xml:space="preserve">Anticipating mid -late eighteenth-century thinkers as varied as Montesquieu, David </w:t>
      </w:r>
      <w:proofErr w:type="gramStart"/>
      <w:r w:rsidR="00D51058">
        <w:rPr>
          <w:sz w:val="24"/>
          <w:szCs w:val="24"/>
        </w:rPr>
        <w:t>Hume</w:t>
      </w:r>
      <w:proofErr w:type="gramEnd"/>
      <w:r w:rsidR="00D51058">
        <w:rPr>
          <w:sz w:val="24"/>
          <w:szCs w:val="24"/>
        </w:rPr>
        <w:t xml:space="preserve"> and Adam Smith </w:t>
      </w:r>
      <w:r w:rsidR="00761D3D" w:rsidRPr="00C25C93">
        <w:rPr>
          <w:sz w:val="24"/>
          <w:szCs w:val="24"/>
        </w:rPr>
        <w:t>they sought to capitalise on Ireland’s provincial status pulling funds away from the centrifugal force that was the London markets in an attempt to resolve the conundrum of achieving financial sovereignty within a dependent kingdom.</w:t>
      </w:r>
      <w:r w:rsidR="0078440B">
        <w:rPr>
          <w:rStyle w:val="FootnoteReference"/>
          <w:sz w:val="24"/>
          <w:szCs w:val="24"/>
        </w:rPr>
        <w:footnoteReference w:id="51"/>
      </w:r>
      <w:r w:rsidR="00761D3D" w:rsidRPr="00C25C93">
        <w:rPr>
          <w:sz w:val="24"/>
          <w:szCs w:val="24"/>
        </w:rPr>
        <w:t xml:space="preserve"> They would be undone by events at the centre, the passage of more restrictive legislation on company formation – the Bubble Act – and the spectacular crash of the South Sea Company</w:t>
      </w:r>
      <w:r w:rsidR="00926C7C">
        <w:rPr>
          <w:sz w:val="24"/>
          <w:szCs w:val="24"/>
        </w:rPr>
        <w:t>,</w:t>
      </w:r>
      <w:r w:rsidR="00761D3D" w:rsidRPr="00C25C93">
        <w:rPr>
          <w:sz w:val="24"/>
          <w:szCs w:val="24"/>
        </w:rPr>
        <w:t xml:space="preserve"> an event which seemed to confirm Swift’s scepticism about the links between </w:t>
      </w:r>
      <w:r w:rsidR="00761D3D" w:rsidRPr="00C25C93">
        <w:rPr>
          <w:sz w:val="24"/>
          <w:szCs w:val="24"/>
        </w:rPr>
        <w:lastRenderedPageBreak/>
        <w:t>real and imaginary money</w:t>
      </w:r>
      <w:r w:rsidR="00C11EF3">
        <w:rPr>
          <w:sz w:val="24"/>
          <w:szCs w:val="24"/>
        </w:rPr>
        <w:t xml:space="preserve"> and indeed to confirm his views about the status of Ireland as ‘no nation’</w:t>
      </w:r>
      <w:r w:rsidR="00761D3D" w:rsidRPr="00C25C93">
        <w:rPr>
          <w:sz w:val="24"/>
          <w:szCs w:val="24"/>
        </w:rPr>
        <w:t>.</w:t>
      </w:r>
      <w:r w:rsidR="00F56645" w:rsidRPr="00C25C93">
        <w:rPr>
          <w:rStyle w:val="FootnoteReference"/>
          <w:sz w:val="24"/>
          <w:szCs w:val="24"/>
        </w:rPr>
        <w:footnoteReference w:id="52"/>
      </w:r>
      <w:r w:rsidR="00761D3D" w:rsidRPr="00C25C93">
        <w:rPr>
          <w:sz w:val="24"/>
          <w:szCs w:val="24"/>
        </w:rPr>
        <w:t xml:space="preserve"> </w:t>
      </w:r>
      <w:r w:rsidR="00F56645" w:rsidRPr="00C25C93">
        <w:rPr>
          <w:sz w:val="24"/>
          <w:szCs w:val="24"/>
        </w:rPr>
        <w:t xml:space="preserve">From then on, the debate about the bank regardless of its potential merits became fixated on the question posed by a contemporary pamphleteer, ‘When is a bank not a bubble’? </w:t>
      </w:r>
      <w:r w:rsidR="00C11EF3">
        <w:rPr>
          <w:sz w:val="24"/>
          <w:szCs w:val="24"/>
        </w:rPr>
        <w:t xml:space="preserve">Swift’s </w:t>
      </w:r>
      <w:r w:rsidR="00C11EF3">
        <w:rPr>
          <w:sz w:val="24"/>
          <w:szCs w:val="24"/>
        </w:rPr>
        <w:t>language of</w:t>
      </w:r>
      <w:r w:rsidR="00C11EF3">
        <w:rPr>
          <w:sz w:val="24"/>
          <w:szCs w:val="24"/>
        </w:rPr>
        <w:t xml:space="preserve"> </w:t>
      </w:r>
      <w:r w:rsidR="00C11EF3">
        <w:rPr>
          <w:sz w:val="24"/>
          <w:szCs w:val="24"/>
        </w:rPr>
        <w:t>‘</w:t>
      </w:r>
      <w:r w:rsidR="00C11EF3">
        <w:rPr>
          <w:sz w:val="24"/>
          <w:szCs w:val="24"/>
        </w:rPr>
        <w:t>jests</w:t>
      </w:r>
      <w:r w:rsidR="00C11EF3">
        <w:rPr>
          <w:sz w:val="24"/>
          <w:szCs w:val="24"/>
        </w:rPr>
        <w:t>’</w:t>
      </w:r>
      <w:r w:rsidR="00C11EF3">
        <w:rPr>
          <w:sz w:val="24"/>
          <w:szCs w:val="24"/>
        </w:rPr>
        <w:t xml:space="preserve"> and </w:t>
      </w:r>
      <w:r w:rsidR="00C11EF3">
        <w:rPr>
          <w:sz w:val="24"/>
          <w:szCs w:val="24"/>
        </w:rPr>
        <w:t>‘</w:t>
      </w:r>
      <w:proofErr w:type="spellStart"/>
      <w:r w:rsidR="00C11EF3">
        <w:rPr>
          <w:sz w:val="24"/>
          <w:szCs w:val="24"/>
        </w:rPr>
        <w:t>gasconades</w:t>
      </w:r>
      <w:proofErr w:type="spellEnd"/>
      <w:r w:rsidR="00C11EF3">
        <w:rPr>
          <w:sz w:val="24"/>
          <w:szCs w:val="24"/>
        </w:rPr>
        <w:t>’</w:t>
      </w:r>
      <w:r w:rsidR="00C11EF3">
        <w:rPr>
          <w:sz w:val="24"/>
          <w:szCs w:val="24"/>
        </w:rPr>
        <w:t xml:space="preserve"> became more prescient in retrospect while the partisan nature of the public debate over the bank appealed to his baser literary sensibilities as much as to the grander political notions of the Hibernian Patriot. </w:t>
      </w:r>
    </w:p>
    <w:p w14:paraId="45F3CDB3" w14:textId="0832BA7F" w:rsidR="000A5301" w:rsidRPr="00C25C93" w:rsidRDefault="000A5301" w:rsidP="000A5301">
      <w:pPr>
        <w:spacing w:after="0" w:line="360" w:lineRule="auto"/>
        <w:ind w:firstLine="720"/>
        <w:jc w:val="both"/>
        <w:rPr>
          <w:sz w:val="24"/>
          <w:szCs w:val="24"/>
        </w:rPr>
      </w:pPr>
    </w:p>
    <w:p w14:paraId="3901718A" w14:textId="77777777" w:rsidR="000A5301" w:rsidRPr="00C25C93" w:rsidRDefault="000A5301" w:rsidP="000A5301">
      <w:pPr>
        <w:spacing w:after="0" w:line="360" w:lineRule="auto"/>
        <w:ind w:firstLine="720"/>
        <w:jc w:val="both"/>
        <w:rPr>
          <w:sz w:val="24"/>
          <w:szCs w:val="24"/>
        </w:rPr>
      </w:pPr>
    </w:p>
    <w:p w14:paraId="0EF3A8EC" w14:textId="77777777" w:rsidR="000A5301" w:rsidRPr="00C25C93" w:rsidRDefault="000A5301" w:rsidP="000A5301">
      <w:pPr>
        <w:spacing w:after="0" w:line="360" w:lineRule="auto"/>
        <w:ind w:firstLine="720"/>
        <w:jc w:val="both"/>
        <w:rPr>
          <w:sz w:val="24"/>
          <w:szCs w:val="24"/>
        </w:rPr>
      </w:pPr>
    </w:p>
    <w:p w14:paraId="15BE65EC" w14:textId="77777777" w:rsidR="000A5301" w:rsidRPr="00C25C93" w:rsidRDefault="000A5301" w:rsidP="000A5301">
      <w:pPr>
        <w:spacing w:after="0" w:line="360" w:lineRule="auto"/>
        <w:ind w:firstLine="720"/>
        <w:jc w:val="both"/>
        <w:rPr>
          <w:sz w:val="24"/>
          <w:szCs w:val="24"/>
        </w:rPr>
      </w:pPr>
    </w:p>
    <w:p w14:paraId="212F1507" w14:textId="0EE0DCCC" w:rsidR="00E678E3" w:rsidRPr="00C25C93" w:rsidRDefault="00E678E3" w:rsidP="000A5301">
      <w:pPr>
        <w:spacing w:after="0" w:line="360" w:lineRule="auto"/>
        <w:ind w:firstLine="720"/>
        <w:jc w:val="both"/>
        <w:rPr>
          <w:sz w:val="24"/>
          <w:szCs w:val="24"/>
        </w:rPr>
      </w:pPr>
    </w:p>
    <w:sectPr w:rsidR="00E678E3" w:rsidRPr="00C25C93">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BE00AD" w14:textId="77777777" w:rsidR="00B12980" w:rsidRDefault="00B12980" w:rsidP="008427EB">
      <w:pPr>
        <w:spacing w:after="0" w:line="240" w:lineRule="auto"/>
      </w:pPr>
      <w:r>
        <w:separator/>
      </w:r>
    </w:p>
  </w:endnote>
  <w:endnote w:type="continuationSeparator" w:id="0">
    <w:p w14:paraId="44623B8B" w14:textId="77777777" w:rsidR="00B12980" w:rsidRDefault="00B12980" w:rsidP="00842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098677"/>
      <w:docPartObj>
        <w:docPartGallery w:val="Page Numbers (Bottom of Page)"/>
        <w:docPartUnique/>
      </w:docPartObj>
    </w:sdtPr>
    <w:sdtEndPr>
      <w:rPr>
        <w:noProof/>
      </w:rPr>
    </w:sdtEndPr>
    <w:sdtContent>
      <w:p w14:paraId="1B0A6175" w14:textId="3500CEE0" w:rsidR="00C25C93" w:rsidRDefault="00C25C93">
        <w:pPr>
          <w:pStyle w:val="Footer"/>
        </w:pPr>
        <w:r>
          <w:fldChar w:fldCharType="begin"/>
        </w:r>
        <w:r>
          <w:instrText xml:space="preserve"> PAGE   \* MERGEFORMAT </w:instrText>
        </w:r>
        <w:r>
          <w:fldChar w:fldCharType="separate"/>
        </w:r>
        <w:r>
          <w:rPr>
            <w:noProof/>
          </w:rPr>
          <w:t>2</w:t>
        </w:r>
        <w:r>
          <w:rPr>
            <w:noProof/>
          </w:rPr>
          <w:fldChar w:fldCharType="end"/>
        </w:r>
      </w:p>
    </w:sdtContent>
  </w:sdt>
  <w:p w14:paraId="0BBF6D62" w14:textId="77777777" w:rsidR="00C25C93" w:rsidRDefault="00C25C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E9776F" w14:textId="77777777" w:rsidR="00B12980" w:rsidRDefault="00B12980" w:rsidP="008427EB">
      <w:pPr>
        <w:spacing w:after="0" w:line="240" w:lineRule="auto"/>
      </w:pPr>
      <w:r>
        <w:separator/>
      </w:r>
    </w:p>
  </w:footnote>
  <w:footnote w:type="continuationSeparator" w:id="0">
    <w:p w14:paraId="5F3202B8" w14:textId="77777777" w:rsidR="00B12980" w:rsidRDefault="00B12980" w:rsidP="008427EB">
      <w:pPr>
        <w:spacing w:after="0" w:line="240" w:lineRule="auto"/>
      </w:pPr>
      <w:r>
        <w:continuationSeparator/>
      </w:r>
    </w:p>
  </w:footnote>
  <w:footnote w:id="1">
    <w:p w14:paraId="2AD3707B" w14:textId="4BF225FC" w:rsidR="00A95A64" w:rsidRDefault="00A95A64">
      <w:pPr>
        <w:pStyle w:val="FootnoteText"/>
      </w:pPr>
      <w:r>
        <w:rPr>
          <w:rStyle w:val="FootnoteReference"/>
        </w:rPr>
        <w:footnoteRef/>
      </w:r>
      <w:r>
        <w:t xml:space="preserve"> This article was first delivered as part of a delayed symposium to mark the 300</w:t>
      </w:r>
      <w:r w:rsidRPr="00A95A64">
        <w:rPr>
          <w:vertAlign w:val="superscript"/>
        </w:rPr>
        <w:t>th</w:t>
      </w:r>
      <w:r>
        <w:t xml:space="preserve"> anniversary of the Proposal in 2021. I am grateful to the organisers for the invitation to present at this event. </w:t>
      </w:r>
    </w:p>
  </w:footnote>
  <w:footnote w:id="2">
    <w:p w14:paraId="7E1BBEA4" w14:textId="68B44C26" w:rsidR="00B8468D" w:rsidRPr="00515D25" w:rsidRDefault="00B8468D" w:rsidP="00020629">
      <w:pPr>
        <w:pStyle w:val="FootnoteText"/>
      </w:pPr>
      <w:r>
        <w:rPr>
          <w:rStyle w:val="FootnoteReference"/>
        </w:rPr>
        <w:footnoteRef/>
      </w:r>
      <w:r>
        <w:t xml:space="preserve"> See Oliver Ferguson, Jonathan Swift and Ireland (Urbana, Ill., 1962), Michael Ryder,</w:t>
      </w:r>
      <w:r>
        <w:rPr>
          <w:lang w:val="en-US"/>
        </w:rPr>
        <w:t xml:space="preserve"> 'The Bank of Ireland 1721: Land, Credit, and Dependency', </w:t>
      </w:r>
      <w:r>
        <w:rPr>
          <w:i/>
          <w:iCs/>
          <w:lang w:val="en-US"/>
        </w:rPr>
        <w:t>Historical Journal,</w:t>
      </w:r>
      <w:r>
        <w:rPr>
          <w:lang w:val="en-US"/>
        </w:rPr>
        <w:t xml:space="preserve"> 25 (1982</w:t>
      </w:r>
      <w:r w:rsidRPr="00F65277">
        <w:rPr>
          <w:lang w:val="en-US"/>
        </w:rPr>
        <w:t>), pp.</w:t>
      </w:r>
      <w:r>
        <w:rPr>
          <w:lang w:val="en-US"/>
        </w:rPr>
        <w:t xml:space="preserve"> 557-82; </w:t>
      </w:r>
      <w:r>
        <w:t>Sean Moore,</w:t>
      </w:r>
      <w:r>
        <w:rPr>
          <w:lang w:val="en-US"/>
        </w:rPr>
        <w:t xml:space="preserve">'Satiric Norms, Swift's Financial Satires and the Bank of Ireland Controversy of 1720-1', </w:t>
      </w:r>
      <w:r>
        <w:rPr>
          <w:i/>
          <w:iCs/>
          <w:lang w:val="en-US"/>
        </w:rPr>
        <w:t>Eighteenth Century Ireland,</w:t>
      </w:r>
      <w:r>
        <w:rPr>
          <w:lang w:val="en-US"/>
        </w:rPr>
        <w:t xml:space="preserve"> 17 (2002), pp. 26-56; </w:t>
      </w:r>
      <w:r>
        <w:t xml:space="preserve">Jill Bradbury, ‘’Interest’ and Anglo-Irish Political Discourses in the 1720-21 Bank Pamphlet Literature’, in </w:t>
      </w:r>
      <w:r>
        <w:rPr>
          <w:i/>
          <w:iCs/>
        </w:rPr>
        <w:t xml:space="preserve">Eighteenth-Century Ireland, </w:t>
      </w:r>
      <w:r>
        <w:t xml:space="preserve">29(2014), pp. 31-46; Charles Ivar McGrath, ‘Banks, Paper Currency and the Fiscal State: The Case of Ireland, Stated, 1660–1783’, in Aaron Graham and Patrick Walsh (eds), </w:t>
      </w:r>
      <w:r>
        <w:rPr>
          <w:i/>
          <w:iCs/>
        </w:rPr>
        <w:t xml:space="preserve">The British Fiscal-Military States, 1660-1783 </w:t>
      </w:r>
      <w:r>
        <w:t>(London 2016),pp.35-60;</w:t>
      </w:r>
      <w:r>
        <w:rPr>
          <w:i/>
          <w:iCs/>
        </w:rPr>
        <w:t xml:space="preserve"> </w:t>
      </w:r>
      <w:r>
        <w:t xml:space="preserve"> and Patrick Walsh </w:t>
      </w:r>
      <w:r>
        <w:rPr>
          <w:i/>
          <w:iCs/>
        </w:rPr>
        <w:t xml:space="preserve">The South Sea Bubble and Ireland, Money Investment and Banking, 1691-1721 </w:t>
      </w:r>
      <w:r>
        <w:t xml:space="preserve">(Woodbridge, 2014). </w:t>
      </w:r>
    </w:p>
  </w:footnote>
  <w:footnote w:id="3">
    <w:p w14:paraId="7D02DDC5" w14:textId="6927ADF2" w:rsidR="00B8468D" w:rsidRPr="00B434CE" w:rsidRDefault="00B8468D">
      <w:pPr>
        <w:pStyle w:val="FootnoteText"/>
      </w:pPr>
      <w:r>
        <w:rPr>
          <w:rStyle w:val="FootnoteReference"/>
        </w:rPr>
        <w:footnoteRef/>
      </w:r>
      <w:r>
        <w:t xml:space="preserve"> For a list of the key interventions see </w:t>
      </w:r>
      <w:r>
        <w:rPr>
          <w:lang w:val="en-GB"/>
        </w:rPr>
        <w:t xml:space="preserve">Jonathan Swift, </w:t>
      </w:r>
      <w:r w:rsidRPr="00B434CE">
        <w:rPr>
          <w:i/>
          <w:iCs/>
          <w:lang w:val="en-GB"/>
        </w:rPr>
        <w:t>Prose Works</w:t>
      </w:r>
      <w:r>
        <w:rPr>
          <w:lang w:val="en-GB"/>
        </w:rPr>
        <w:t xml:space="preserve"> ed. Herbert Davis, Vol. IX, (1948) hereafter </w:t>
      </w:r>
      <w:r>
        <w:rPr>
          <w:i/>
          <w:iCs/>
          <w:lang w:val="en-GB"/>
        </w:rPr>
        <w:t>Works</w:t>
      </w:r>
      <w:r>
        <w:rPr>
          <w:lang w:val="en-GB"/>
        </w:rPr>
        <w:t xml:space="preserve">, p. 320-21. </w:t>
      </w:r>
    </w:p>
  </w:footnote>
  <w:footnote w:id="4">
    <w:p w14:paraId="24B22D5B" w14:textId="4B649FB5" w:rsidR="00B8468D" w:rsidRPr="00B434CE" w:rsidRDefault="00B8468D">
      <w:pPr>
        <w:pStyle w:val="FootnoteText"/>
      </w:pPr>
      <w:r>
        <w:rPr>
          <w:rStyle w:val="FootnoteReference"/>
        </w:rPr>
        <w:footnoteRef/>
      </w:r>
      <w:r>
        <w:t xml:space="preserve"> </w:t>
      </w:r>
      <w:r>
        <w:rPr>
          <w:i/>
          <w:iCs/>
        </w:rPr>
        <w:t xml:space="preserve">Works, </w:t>
      </w:r>
      <w:r>
        <w:t xml:space="preserve">IX, pp. 281-84, 306-7; Ferguson, </w:t>
      </w:r>
      <w:r w:rsidRPr="00C11EF3">
        <w:rPr>
          <w:i/>
          <w:iCs/>
        </w:rPr>
        <w:t>Swift and Ireland</w:t>
      </w:r>
      <w:r>
        <w:t xml:space="preserve">, pp. 69, 75. </w:t>
      </w:r>
    </w:p>
  </w:footnote>
  <w:footnote w:id="5">
    <w:p w14:paraId="42E1DFE9" w14:textId="795A47B9" w:rsidR="00B8468D" w:rsidRPr="00B434CE" w:rsidRDefault="00B8468D">
      <w:pPr>
        <w:pStyle w:val="FootnoteText"/>
      </w:pPr>
      <w:r>
        <w:rPr>
          <w:rStyle w:val="FootnoteReference"/>
        </w:rPr>
        <w:footnoteRef/>
      </w:r>
      <w:r>
        <w:t xml:space="preserve"> On this debate see Ryder, ‘Bank of Ireland’, </w:t>
      </w:r>
      <w:r>
        <w:rPr>
          <w:i/>
          <w:iCs/>
        </w:rPr>
        <w:t xml:space="preserve">passim </w:t>
      </w:r>
      <w:r>
        <w:t xml:space="preserve">and Walsh, </w:t>
      </w:r>
      <w:r>
        <w:rPr>
          <w:i/>
          <w:iCs/>
        </w:rPr>
        <w:t xml:space="preserve">South Sea Bubble, </w:t>
      </w:r>
      <w:r>
        <w:t xml:space="preserve">pp. 163-80. </w:t>
      </w:r>
    </w:p>
  </w:footnote>
  <w:footnote w:id="6">
    <w:p w14:paraId="199A6556" w14:textId="6C803EAC" w:rsidR="00B8468D" w:rsidRDefault="00B8468D">
      <w:pPr>
        <w:pStyle w:val="FootnoteText"/>
      </w:pPr>
      <w:r>
        <w:rPr>
          <w:rStyle w:val="FootnoteReference"/>
        </w:rPr>
        <w:footnoteRef/>
      </w:r>
      <w:r>
        <w:t xml:space="preserve"> Ferguson, </w:t>
      </w:r>
      <w:r w:rsidRPr="00276E91">
        <w:rPr>
          <w:i/>
          <w:iCs/>
        </w:rPr>
        <w:t>Jonathan Swift and Ireland</w:t>
      </w:r>
      <w:r>
        <w:t>, pp. 45-49; Moore, ‘Satiric Norms’,</w:t>
      </w:r>
      <w:r w:rsidRPr="00276E91">
        <w:rPr>
          <w:i/>
          <w:iCs/>
        </w:rPr>
        <w:t xml:space="preserve"> passim</w:t>
      </w:r>
      <w:r>
        <w:t xml:space="preserve">. See also Sean Moore, </w:t>
      </w:r>
      <w:r w:rsidRPr="00B434CE">
        <w:rPr>
          <w:i/>
        </w:rPr>
        <w:t>Swift, The Book, and the Irish Financial Revolution: Satire and Sovereignty in Colonial Ireland</w:t>
      </w:r>
      <w:r w:rsidRPr="00B434CE">
        <w:t xml:space="preserve"> (Baltimore, 2010)</w:t>
      </w:r>
      <w:r>
        <w:t xml:space="preserve">, pp. 56-59, 61-62. </w:t>
      </w:r>
      <w:r w:rsidRPr="00B434CE">
        <w:t xml:space="preserve">  </w:t>
      </w:r>
      <w:r>
        <w:t xml:space="preserve"> </w:t>
      </w:r>
    </w:p>
  </w:footnote>
  <w:footnote w:id="7">
    <w:p w14:paraId="25530218" w14:textId="7DFDCB9D" w:rsidR="00B8468D" w:rsidRPr="00276E91" w:rsidRDefault="00B8468D">
      <w:pPr>
        <w:pStyle w:val="FootnoteText"/>
        <w:rPr>
          <w:lang w:val="en-GB"/>
        </w:rPr>
      </w:pPr>
      <w:r>
        <w:rPr>
          <w:rStyle w:val="FootnoteReference"/>
        </w:rPr>
        <w:footnoteRef/>
      </w:r>
      <w:r>
        <w:t xml:space="preserve"> Ferguson, </w:t>
      </w:r>
      <w:r w:rsidRPr="00276E91">
        <w:rPr>
          <w:i/>
          <w:iCs/>
        </w:rPr>
        <w:t>Swift and Ireland</w:t>
      </w:r>
      <w:r>
        <w:t xml:space="preserve">, </w:t>
      </w:r>
      <w:r>
        <w:rPr>
          <w:i/>
          <w:iCs/>
        </w:rPr>
        <w:t xml:space="preserve">passim; </w:t>
      </w:r>
      <w:r>
        <w:t xml:space="preserve">Irvin Ehrenpreis, </w:t>
      </w:r>
      <w:r w:rsidRPr="00276E91">
        <w:rPr>
          <w:i/>
          <w:iCs/>
          <w:lang w:val="en-US"/>
        </w:rPr>
        <w:t>Swift: The Man, His Works and His Age</w:t>
      </w:r>
      <w:r w:rsidRPr="00276E91">
        <w:rPr>
          <w:lang w:val="en-US"/>
        </w:rPr>
        <w:t xml:space="preserve"> Volume </w:t>
      </w:r>
      <w:r w:rsidRPr="00276E91">
        <w:rPr>
          <w:i/>
          <w:lang w:val="en-US"/>
        </w:rPr>
        <w:t>III</w:t>
      </w:r>
      <w:r w:rsidRPr="00276E91">
        <w:rPr>
          <w:lang w:val="en-US"/>
        </w:rPr>
        <w:t xml:space="preserve"> (London, 1983).</w:t>
      </w:r>
    </w:p>
  </w:footnote>
  <w:footnote w:id="8">
    <w:p w14:paraId="6A3B0B25" w14:textId="3F0FE467" w:rsidR="00B8468D" w:rsidRDefault="00B8468D">
      <w:pPr>
        <w:pStyle w:val="FootnoteText"/>
      </w:pPr>
      <w:r>
        <w:rPr>
          <w:rStyle w:val="FootnoteReference"/>
        </w:rPr>
        <w:footnoteRef/>
      </w:r>
      <w:r>
        <w:t xml:space="preserve"> See Ryder, ‘Bank of Ireland’, R.E. Burns, </w:t>
      </w:r>
      <w:r>
        <w:rPr>
          <w:lang w:val="en-US"/>
        </w:rPr>
        <w:t xml:space="preserve">Burns, </w:t>
      </w:r>
      <w:r>
        <w:rPr>
          <w:i/>
          <w:iCs/>
          <w:lang w:val="en-US"/>
        </w:rPr>
        <w:t xml:space="preserve">Irish Parliamentary Politics in the Eighteenth Century, </w:t>
      </w:r>
      <w:r>
        <w:rPr>
          <w:lang w:val="en-US"/>
        </w:rPr>
        <w:t xml:space="preserve">Vol. 1 (Washington D.C., 1990), pp.113-33; </w:t>
      </w:r>
      <w:r>
        <w:t xml:space="preserve">D. W. Hayton, </w:t>
      </w:r>
      <w:r w:rsidRPr="00276E91">
        <w:rPr>
          <w:i/>
          <w:iCs/>
        </w:rPr>
        <w:t>The Anglo-Irish Experience, 1680–1730: Religion, Identity and Patriotism</w:t>
      </w:r>
      <w:r>
        <w:t xml:space="preserve"> (Woodbridge, 2012), pp. 114–16; C. I. McGrath, ‘“The Public Wealth is the Sinew, the Life, of Every Public Measure”: The Creation and Maintenance of a National Debt in Ireland, 1716–45’, in Daniel Carey and Christopher Finlay (eds),</w:t>
      </w:r>
      <w:r w:rsidRPr="00276E91">
        <w:rPr>
          <w:i/>
          <w:iCs/>
        </w:rPr>
        <w:t xml:space="preserve"> The Empire of Credit: The Financial Revolution in Britain, Ireland and America, 1688–1815</w:t>
      </w:r>
      <w:r>
        <w:t xml:space="preserve">, (Dublin, 2011), pp. 171–208; and Walsh, </w:t>
      </w:r>
      <w:r>
        <w:rPr>
          <w:i/>
          <w:iCs/>
        </w:rPr>
        <w:t xml:space="preserve">South Sea Bubble and Ireland, </w:t>
      </w:r>
      <w:r>
        <w:t xml:space="preserve">pp. 164-70. </w:t>
      </w:r>
    </w:p>
  </w:footnote>
  <w:footnote w:id="9">
    <w:p w14:paraId="0E1C4336" w14:textId="11753FB7" w:rsidR="00B8468D" w:rsidRDefault="00B8468D">
      <w:pPr>
        <w:pStyle w:val="FootnoteText"/>
      </w:pPr>
      <w:r>
        <w:rPr>
          <w:rStyle w:val="FootnoteReference"/>
        </w:rPr>
        <w:footnoteRef/>
      </w:r>
      <w:r>
        <w:t xml:space="preserve"> C.I. McGrath, </w:t>
      </w:r>
      <w:r>
        <w:rPr>
          <w:lang w:val="en-GB"/>
        </w:rPr>
        <w:t>‘The Irish Experience of “Financial R</w:t>
      </w:r>
      <w:r w:rsidRPr="00B94C2F">
        <w:rPr>
          <w:lang w:val="en-GB"/>
        </w:rPr>
        <w:t>evolution”’</w:t>
      </w:r>
      <w:r>
        <w:rPr>
          <w:lang w:val="en-GB"/>
        </w:rPr>
        <w:t>,</w:t>
      </w:r>
      <w:r w:rsidRPr="00B94C2F">
        <w:rPr>
          <w:lang w:val="en-GB"/>
        </w:rPr>
        <w:t xml:space="preserve"> in C.I. McGrath and Chris Fauske (eds) </w:t>
      </w:r>
      <w:r>
        <w:rPr>
          <w:i/>
          <w:lang w:val="en-GB"/>
        </w:rPr>
        <w:t>Money, Power and Print: I</w:t>
      </w:r>
      <w:r w:rsidRPr="00B94C2F">
        <w:rPr>
          <w:i/>
          <w:lang w:val="en-GB"/>
        </w:rPr>
        <w:t>nterdisciplina</w:t>
      </w:r>
      <w:r>
        <w:rPr>
          <w:i/>
          <w:lang w:val="en-GB"/>
        </w:rPr>
        <w:t>ry Studies on the Financial R</w:t>
      </w:r>
      <w:r w:rsidRPr="00B94C2F">
        <w:rPr>
          <w:i/>
          <w:lang w:val="en-GB"/>
        </w:rPr>
        <w:t xml:space="preserve">evolution in the British Isles </w:t>
      </w:r>
      <w:r>
        <w:rPr>
          <w:lang w:val="en-GB"/>
        </w:rPr>
        <w:t>(Newark</w:t>
      </w:r>
      <w:r w:rsidRPr="00B94C2F">
        <w:rPr>
          <w:lang w:val="en-GB"/>
        </w:rPr>
        <w:t>, 2008), pp</w:t>
      </w:r>
      <w:r>
        <w:rPr>
          <w:lang w:val="en-GB"/>
        </w:rPr>
        <w:t>.</w:t>
      </w:r>
      <w:r w:rsidRPr="00B94C2F">
        <w:rPr>
          <w:lang w:val="en-GB"/>
        </w:rPr>
        <w:t xml:space="preserve"> 157-88.   </w:t>
      </w:r>
    </w:p>
  </w:footnote>
  <w:footnote w:id="10">
    <w:p w14:paraId="3A4F29B1" w14:textId="50225A13" w:rsidR="00B8468D" w:rsidRDefault="00B8468D">
      <w:pPr>
        <w:pStyle w:val="FootnoteText"/>
      </w:pPr>
      <w:r>
        <w:rPr>
          <w:rStyle w:val="FootnoteReference"/>
        </w:rPr>
        <w:footnoteRef/>
      </w:r>
      <w:r>
        <w:t xml:space="preserve"> Walsh, </w:t>
      </w:r>
      <w:r w:rsidRPr="00082E77">
        <w:rPr>
          <w:i/>
          <w:iCs/>
        </w:rPr>
        <w:t>South Sea Bubble and Ireland</w:t>
      </w:r>
      <w:r>
        <w:t>, pp. 27-34; McGrath, ‘Banks, Paper Currency and the Fiscal State’, pp. 45-47.</w:t>
      </w:r>
    </w:p>
  </w:footnote>
  <w:footnote w:id="11">
    <w:p w14:paraId="21C05FD4" w14:textId="49CE3C36" w:rsidR="00B8468D" w:rsidRDefault="00B8468D">
      <w:pPr>
        <w:pStyle w:val="FootnoteText"/>
      </w:pPr>
      <w:r>
        <w:rPr>
          <w:rStyle w:val="FootnoteReference"/>
        </w:rPr>
        <w:footnoteRef/>
      </w:r>
      <w:r>
        <w:t xml:space="preserve"> See </w:t>
      </w:r>
      <w:proofErr w:type="spellStart"/>
      <w:r>
        <w:t>Steffano</w:t>
      </w:r>
      <w:proofErr w:type="spellEnd"/>
      <w:r>
        <w:t xml:space="preserve"> </w:t>
      </w:r>
      <w:proofErr w:type="spellStart"/>
      <w:r>
        <w:t>Condorelli</w:t>
      </w:r>
      <w:proofErr w:type="spellEnd"/>
      <w:r>
        <w:t xml:space="preserve"> and Daniel </w:t>
      </w:r>
      <w:proofErr w:type="spellStart"/>
      <w:r>
        <w:t>Menning</w:t>
      </w:r>
      <w:proofErr w:type="spellEnd"/>
      <w:r>
        <w:t xml:space="preserve"> (eds), </w:t>
      </w:r>
      <w:r>
        <w:rPr>
          <w:i/>
          <w:iCs/>
        </w:rPr>
        <w:t xml:space="preserve">Boom, Bust and Beyond: New Perspectives on the 1720 Stock Market Bubble </w:t>
      </w:r>
      <w:r>
        <w:t xml:space="preserve">(Oldenburg, 2019), esp. introduction and </w:t>
      </w:r>
      <w:proofErr w:type="spellStart"/>
      <w:r>
        <w:t>chs</w:t>
      </w:r>
      <w:proofErr w:type="spellEnd"/>
      <w:r>
        <w:t xml:space="preserve">, 2 &amp; 3.  </w:t>
      </w:r>
    </w:p>
  </w:footnote>
  <w:footnote w:id="12">
    <w:p w14:paraId="16919302" w14:textId="25388A09" w:rsidR="00B8468D" w:rsidRPr="00062A7B" w:rsidRDefault="00B8468D">
      <w:pPr>
        <w:pStyle w:val="FootnoteText"/>
      </w:pPr>
      <w:r>
        <w:rPr>
          <w:rStyle w:val="FootnoteReference"/>
        </w:rPr>
        <w:footnoteRef/>
      </w:r>
      <w:r>
        <w:t xml:space="preserve"> </w:t>
      </w:r>
      <w:r w:rsidRPr="00062A7B">
        <w:rPr>
          <w:i/>
          <w:iCs/>
        </w:rPr>
        <w:t>Works</w:t>
      </w:r>
      <w:r>
        <w:rPr>
          <w:i/>
          <w:iCs/>
        </w:rPr>
        <w:t xml:space="preserve">, </w:t>
      </w:r>
      <w:r>
        <w:t xml:space="preserve">IX, 22. </w:t>
      </w:r>
    </w:p>
  </w:footnote>
  <w:footnote w:id="13">
    <w:p w14:paraId="03BDDABD" w14:textId="27461F08" w:rsidR="00B8468D" w:rsidRPr="00062A7B" w:rsidRDefault="00B8468D">
      <w:pPr>
        <w:pStyle w:val="FootnoteText"/>
        <w:rPr>
          <w:lang w:val="en-GB"/>
        </w:rPr>
      </w:pPr>
      <w:r>
        <w:rPr>
          <w:rStyle w:val="FootnoteReference"/>
        </w:rPr>
        <w:footnoteRef/>
      </w:r>
      <w:r>
        <w:t xml:space="preserve"> The literature on Swift and Finance is extensive but see especially Colin Nicholson, </w:t>
      </w:r>
      <w:r w:rsidRPr="005909E6">
        <w:rPr>
          <w:i/>
          <w:lang w:val="en-GB"/>
        </w:rPr>
        <w:t xml:space="preserve">Writing and the Rise of Finance: </w:t>
      </w:r>
      <w:r w:rsidRPr="005909E6">
        <w:rPr>
          <w:i/>
        </w:rPr>
        <w:t xml:space="preserve">Capital Satires of the Early Eighteenth Century </w:t>
      </w:r>
      <w:r w:rsidRPr="005909E6">
        <w:t>(Cambridge, 1994)</w:t>
      </w:r>
      <w:r>
        <w:t xml:space="preserve">; Moore, </w:t>
      </w:r>
      <w:r>
        <w:rPr>
          <w:i/>
          <w:iCs/>
        </w:rPr>
        <w:t>Swift, the Book and the Irish Financial Revolution</w:t>
      </w:r>
      <w:r>
        <w:t>; and Chris Fauske</w:t>
      </w:r>
      <w:bookmarkStart w:id="0" w:name="_Hlk83287809"/>
      <w:r w:rsidRPr="00062A7B">
        <w:rPr>
          <w:lang w:val="en-GB"/>
        </w:rPr>
        <w:t>, ‘Misunderstanding what Swift misunderstood</w:t>
      </w:r>
      <w:bookmarkEnd w:id="0"/>
      <w:r w:rsidRPr="00062A7B">
        <w:rPr>
          <w:lang w:val="en-GB"/>
        </w:rPr>
        <w:t xml:space="preserve">, or the economy of a province’ in C.I. McGrath and Chris Fauske (eds), </w:t>
      </w:r>
      <w:r w:rsidRPr="00062A7B">
        <w:rPr>
          <w:i/>
          <w:lang w:val="en-GB"/>
        </w:rPr>
        <w:t xml:space="preserve">Money, Power, and Print: Interdisciplinary Studies on the Financial Revolution in the British Isles </w:t>
      </w:r>
      <w:r w:rsidRPr="00062A7B">
        <w:rPr>
          <w:lang w:val="en-GB"/>
        </w:rPr>
        <w:t>(Newark, 2008), pp. 137-38.</w:t>
      </w:r>
    </w:p>
  </w:footnote>
  <w:footnote w:id="14">
    <w:p w14:paraId="3F61027F" w14:textId="0C3A1EEF" w:rsidR="00B8468D" w:rsidRPr="00062A7B" w:rsidRDefault="00B8468D">
      <w:pPr>
        <w:pStyle w:val="FootnoteText"/>
        <w:rPr>
          <w:i/>
          <w:iCs/>
        </w:rPr>
      </w:pPr>
      <w:r>
        <w:rPr>
          <w:rStyle w:val="FootnoteReference"/>
        </w:rPr>
        <w:footnoteRef/>
      </w:r>
      <w:r>
        <w:t xml:space="preserve"> </w:t>
      </w:r>
      <w:proofErr w:type="gramStart"/>
      <w:r>
        <w:t>Fauske,</w:t>
      </w:r>
      <w:r w:rsidRPr="00062A7B">
        <w:rPr>
          <w:lang w:val="en-GB"/>
        </w:rPr>
        <w:t>‘</w:t>
      </w:r>
      <w:proofErr w:type="gramEnd"/>
      <w:r w:rsidRPr="00062A7B">
        <w:rPr>
          <w:lang w:val="en-GB"/>
        </w:rPr>
        <w:t>Misunderstanding what Swift misunderstood</w:t>
      </w:r>
      <w:r>
        <w:rPr>
          <w:lang w:val="en-GB"/>
        </w:rPr>
        <w:t xml:space="preserve">’, </w:t>
      </w:r>
      <w:r>
        <w:rPr>
          <w:i/>
          <w:iCs/>
          <w:lang w:val="en-GB"/>
        </w:rPr>
        <w:t xml:space="preserve">passim. </w:t>
      </w:r>
    </w:p>
  </w:footnote>
  <w:footnote w:id="15">
    <w:p w14:paraId="3A9EB36D" w14:textId="291F2353" w:rsidR="00B8468D" w:rsidRDefault="00B8468D" w:rsidP="00525B37">
      <w:pPr>
        <w:pStyle w:val="FootnoteText"/>
      </w:pPr>
      <w:r>
        <w:rPr>
          <w:rStyle w:val="FootnoteReference"/>
        </w:rPr>
        <w:footnoteRef/>
      </w:r>
      <w:r>
        <w:t>A list of the petitioners to His Majesty for a charter to erect a bank in Ireland, 28 May 1720 (NLI, MS 2256, fol. 27</w:t>
      </w:r>
      <w:proofErr w:type="gramStart"/>
      <w:r>
        <w:t>)..</w:t>
      </w:r>
      <w:proofErr w:type="gramEnd"/>
      <w:r>
        <w:t xml:space="preserve"> </w:t>
      </w:r>
    </w:p>
  </w:footnote>
  <w:footnote w:id="16">
    <w:p w14:paraId="120B1C39" w14:textId="6FD20CFE" w:rsidR="00B8468D" w:rsidRDefault="00B8468D">
      <w:pPr>
        <w:pStyle w:val="FootnoteText"/>
      </w:pPr>
      <w:r>
        <w:rPr>
          <w:rStyle w:val="FootnoteReference"/>
        </w:rPr>
        <w:footnoteRef/>
      </w:r>
      <w:r>
        <w:t xml:space="preserve"> Ferguson, </w:t>
      </w:r>
      <w:r>
        <w:rPr>
          <w:i/>
          <w:iCs/>
        </w:rPr>
        <w:t xml:space="preserve">Jonathan Swift and Ireland, </w:t>
      </w:r>
      <w:r>
        <w:t xml:space="preserve">p. 54. I am indebted to Ian McBride for some advice on this point. On the celebrations of Royal Birthdays in Ireland see D.W. Hayton, ‘Representations of Monarchy in Early Eighteenth-Century Ireland’, in D.W. Hayton and Andrew Holmes (eds), </w:t>
      </w:r>
      <w:r>
        <w:rPr>
          <w:i/>
          <w:iCs/>
        </w:rPr>
        <w:t xml:space="preserve">Ourselves Alone? Religion, Society and Politics in Eighteenth and Nineteenth Century Ireland </w:t>
      </w:r>
      <w:r>
        <w:t xml:space="preserve">(Dublin, 2016), pp. 20-41 esp. 26-7. </w:t>
      </w:r>
      <w:r>
        <w:rPr>
          <w:i/>
          <w:iCs/>
        </w:rPr>
        <w:t xml:space="preserve"> </w:t>
      </w:r>
      <w:r>
        <w:t xml:space="preserve"> </w:t>
      </w:r>
    </w:p>
  </w:footnote>
  <w:footnote w:id="17">
    <w:p w14:paraId="2EE73B8E" w14:textId="5E997474" w:rsidR="00B8468D" w:rsidRPr="00525B37" w:rsidRDefault="00B8468D">
      <w:pPr>
        <w:pStyle w:val="FootnoteText"/>
      </w:pPr>
      <w:r>
        <w:rPr>
          <w:rStyle w:val="FootnoteReference"/>
        </w:rPr>
        <w:footnoteRef/>
      </w:r>
      <w:r>
        <w:t xml:space="preserve"> For details see Walsh, </w:t>
      </w:r>
      <w:r>
        <w:rPr>
          <w:i/>
          <w:iCs/>
        </w:rPr>
        <w:t xml:space="preserve">South Sea Bubble, </w:t>
      </w:r>
      <w:r>
        <w:t xml:space="preserve">pp. 132-37. </w:t>
      </w:r>
    </w:p>
  </w:footnote>
  <w:footnote w:id="18">
    <w:p w14:paraId="1D2C8E9A" w14:textId="0798AC97" w:rsidR="00B8468D" w:rsidRPr="00525B37" w:rsidRDefault="00B8468D">
      <w:pPr>
        <w:pStyle w:val="FootnoteText"/>
      </w:pPr>
      <w:r>
        <w:rPr>
          <w:rStyle w:val="FootnoteReference"/>
        </w:rPr>
        <w:footnoteRef/>
      </w:r>
      <w:r>
        <w:t xml:space="preserve"> Walsh, </w:t>
      </w:r>
      <w:r w:rsidRPr="00525B37">
        <w:rPr>
          <w:i/>
          <w:iCs/>
        </w:rPr>
        <w:t>South Sea Bubble and Ireland</w:t>
      </w:r>
      <w:r>
        <w:t xml:space="preserve">, p. 126. See Also </w:t>
      </w:r>
      <w:r>
        <w:rPr>
          <w:i/>
          <w:iCs/>
        </w:rPr>
        <w:t xml:space="preserve">Whalley’s Newsletter </w:t>
      </w:r>
      <w:r>
        <w:t>of 7 May 1720.</w:t>
      </w:r>
    </w:p>
  </w:footnote>
  <w:footnote w:id="19">
    <w:p w14:paraId="18F054DA" w14:textId="0A4C8EA3" w:rsidR="00B8468D" w:rsidRDefault="00B8468D" w:rsidP="00525B37">
      <w:pPr>
        <w:pStyle w:val="FootnoteText"/>
      </w:pPr>
      <w:r>
        <w:rPr>
          <w:rStyle w:val="FootnoteReference"/>
        </w:rPr>
        <w:footnoteRef/>
      </w:r>
      <w:r>
        <w:t xml:space="preserve"> Letitia, Lady Molesworth to Hon. John Molesworth, 17 May 1720, in </w:t>
      </w:r>
      <w:r w:rsidRPr="00525B37">
        <w:rPr>
          <w:i/>
          <w:iCs/>
        </w:rPr>
        <w:t xml:space="preserve">HMC, Report on Manuscripts in Various Collections, vol. 8 The Hon. Frederick Lindley Wood; M. L. S. Clements, </w:t>
      </w:r>
      <w:proofErr w:type="spellStart"/>
      <w:r w:rsidRPr="00525B37">
        <w:rPr>
          <w:i/>
          <w:iCs/>
        </w:rPr>
        <w:t>Esq.</w:t>
      </w:r>
      <w:proofErr w:type="spellEnd"/>
      <w:r w:rsidRPr="00525B37">
        <w:rPr>
          <w:i/>
          <w:iCs/>
        </w:rPr>
        <w:t xml:space="preserve">; S. Philip Unwin, </w:t>
      </w:r>
      <w:proofErr w:type="spellStart"/>
      <w:r w:rsidRPr="00525B37">
        <w:rPr>
          <w:i/>
          <w:iCs/>
        </w:rPr>
        <w:t>Esq</w:t>
      </w:r>
      <w:r>
        <w:t>.</w:t>
      </w:r>
      <w:proofErr w:type="spellEnd"/>
      <w:r>
        <w:t xml:space="preserve"> (London, 1913), p. 287; Archbishop William King to James, 6</w:t>
      </w:r>
      <w:r w:rsidRPr="00525B37">
        <w:rPr>
          <w:vertAlign w:val="superscript"/>
        </w:rPr>
        <w:t>th</w:t>
      </w:r>
      <w:r>
        <w:t xml:space="preserve"> earl of Abercorn, 27 May 1720 (TCD, MSS 1995–2008,</w:t>
      </w:r>
    </w:p>
    <w:p w14:paraId="59FD1DCB" w14:textId="56F3E285" w:rsidR="00B8468D" w:rsidRDefault="00B8468D" w:rsidP="00525B37">
      <w:pPr>
        <w:pStyle w:val="FootnoteText"/>
      </w:pPr>
      <w:r>
        <w:t>fol. 1954).</w:t>
      </w:r>
    </w:p>
  </w:footnote>
  <w:footnote w:id="20">
    <w:p w14:paraId="37265B3D" w14:textId="7C669CE5" w:rsidR="00B8468D" w:rsidRDefault="00B8468D">
      <w:pPr>
        <w:pStyle w:val="FootnoteText"/>
      </w:pPr>
      <w:r>
        <w:rPr>
          <w:rStyle w:val="FootnoteReference"/>
        </w:rPr>
        <w:footnoteRef/>
      </w:r>
      <w:r>
        <w:t xml:space="preserve"> ‘List of subscribers for a national bank, May 1720’ (NLI Ms 2256 Bank of Ireland Papers, ff. 63-65). </w:t>
      </w:r>
    </w:p>
  </w:footnote>
  <w:footnote w:id="21">
    <w:p w14:paraId="51597DEF" w14:textId="65780FB7" w:rsidR="00B8468D" w:rsidRPr="00040E7B" w:rsidRDefault="00B8468D">
      <w:pPr>
        <w:pStyle w:val="FootnoteText"/>
      </w:pPr>
      <w:r>
        <w:rPr>
          <w:rStyle w:val="FootnoteReference"/>
        </w:rPr>
        <w:footnoteRef/>
      </w:r>
      <w:r>
        <w:t xml:space="preserve"> For Ward and St George see their entries in Edith Johnston-Liik </w:t>
      </w:r>
      <w:r>
        <w:rPr>
          <w:i/>
          <w:iCs/>
        </w:rPr>
        <w:t xml:space="preserve">History of the Irish Parliament </w:t>
      </w:r>
      <w:r>
        <w:t xml:space="preserve">(6 vols, Belfast, 2002). For his active role in soliciting for the bank see </w:t>
      </w:r>
      <w:r w:rsidRPr="00BB0284">
        <w:t xml:space="preserve">Michael Ward to John Irwin, 11 and 23 May 1721 (printed in </w:t>
      </w:r>
      <w:r>
        <w:t xml:space="preserve">F.G. </w:t>
      </w:r>
      <w:r w:rsidRPr="00BB0284">
        <w:t>Hall,</w:t>
      </w:r>
      <w:r w:rsidRPr="00BB0284">
        <w:rPr>
          <w:i/>
          <w:iCs/>
          <w:lang w:val="en-US"/>
        </w:rPr>
        <w:t xml:space="preserve"> </w:t>
      </w:r>
      <w:r>
        <w:rPr>
          <w:i/>
          <w:iCs/>
          <w:lang w:val="en-US"/>
        </w:rPr>
        <w:t>The Bank of Ireland, 1783-1946</w:t>
      </w:r>
      <w:r>
        <w:rPr>
          <w:lang w:val="en-US"/>
        </w:rPr>
        <w:t xml:space="preserve"> (Dublin, 1949),</w:t>
      </w:r>
      <w:r w:rsidRPr="00BB0284">
        <w:t xml:space="preserve"> pp. 372–3).</w:t>
      </w:r>
      <w:r>
        <w:t xml:space="preserve"> I</w:t>
      </w:r>
      <w:r w:rsidR="008710C2">
        <w:t>t</w:t>
      </w:r>
      <w:r>
        <w:t xml:space="preserve"> i</w:t>
      </w:r>
      <w:r w:rsidR="008710C2">
        <w:t>s</w:t>
      </w:r>
      <w:r>
        <w:t xml:space="preserve"> </w:t>
      </w:r>
      <w:r w:rsidR="008710C2">
        <w:t>p</w:t>
      </w:r>
      <w:r>
        <w:t xml:space="preserve">ossible that the characters Michy </w:t>
      </w:r>
      <w:proofErr w:type="spellStart"/>
      <w:r>
        <w:t>Windybank</w:t>
      </w:r>
      <w:proofErr w:type="spellEnd"/>
      <w:r>
        <w:t xml:space="preserve"> and Sir Oliver </w:t>
      </w:r>
      <w:proofErr w:type="spellStart"/>
      <w:r>
        <w:t>Windybank</w:t>
      </w:r>
      <w:proofErr w:type="spellEnd"/>
      <w:r>
        <w:t xml:space="preserve"> the anonymous poem </w:t>
      </w:r>
      <w:r>
        <w:rPr>
          <w:i/>
          <w:iCs/>
        </w:rPr>
        <w:t xml:space="preserve">An Account of the Short Life, sudden </w:t>
      </w:r>
      <w:proofErr w:type="gramStart"/>
      <w:r>
        <w:rPr>
          <w:i/>
          <w:iCs/>
        </w:rPr>
        <w:t>death</w:t>
      </w:r>
      <w:proofErr w:type="gramEnd"/>
      <w:r>
        <w:rPr>
          <w:i/>
          <w:iCs/>
        </w:rPr>
        <w:t xml:space="preserve"> and pompous Funeral of Michy </w:t>
      </w:r>
      <w:proofErr w:type="spellStart"/>
      <w:r>
        <w:rPr>
          <w:i/>
          <w:iCs/>
        </w:rPr>
        <w:t>Windybank</w:t>
      </w:r>
      <w:proofErr w:type="spellEnd"/>
      <w:r>
        <w:rPr>
          <w:i/>
          <w:iCs/>
        </w:rPr>
        <w:t xml:space="preserve"> &amp;c. </w:t>
      </w:r>
      <w:r>
        <w:t xml:space="preserve">(1721) which is sometimes attributed to Swift are Swiftian illusions to Ward and St George. See </w:t>
      </w:r>
      <w:r>
        <w:rPr>
          <w:i/>
          <w:iCs/>
        </w:rPr>
        <w:t xml:space="preserve">Works </w:t>
      </w:r>
      <w:r>
        <w:t xml:space="preserve">IX, pp. 308-311.  </w:t>
      </w:r>
    </w:p>
  </w:footnote>
  <w:footnote w:id="22">
    <w:p w14:paraId="0CB44BB8" w14:textId="72A5C793" w:rsidR="00B8468D" w:rsidRDefault="00B8468D" w:rsidP="00694FBC">
      <w:pPr>
        <w:pStyle w:val="FootnoteText"/>
      </w:pPr>
      <w:r>
        <w:rPr>
          <w:rStyle w:val="FootnoteReference"/>
        </w:rPr>
        <w:footnoteRef/>
      </w:r>
      <w:r>
        <w:t xml:space="preserve"> Election results, 24 May 1720 (N.L.I., Ms 2256 f.35). The thirteen managers elected were Michael Ward, Sir Ralph Gore, Mr Henry Sandford, Lord Abercorn, Francis Bernard, Thomas Coote, Oliver St George, Alderman Porter, St John Brodrick, James MacCartney, Thomas Marlay, John </w:t>
      </w:r>
      <w:proofErr w:type="gramStart"/>
      <w:r>
        <w:t>Irwin</w:t>
      </w:r>
      <w:proofErr w:type="gramEnd"/>
      <w:r>
        <w:t xml:space="preserve"> and Sir Thomas Taylor.</w:t>
      </w:r>
      <w:r w:rsidR="00C11EF3">
        <w:t xml:space="preserve"> </w:t>
      </w:r>
      <w:r w:rsidR="00C11EF3">
        <w:t xml:space="preserve">On corporate governance and projects see </w:t>
      </w:r>
      <w:r w:rsidR="00C11EF3" w:rsidRPr="00C11EF3">
        <w:t>Philip J. Stern</w:t>
      </w:r>
      <w:r w:rsidR="00C11EF3">
        <w:t xml:space="preserve">, </w:t>
      </w:r>
      <w:r w:rsidR="00C11EF3">
        <w:rPr>
          <w:i/>
          <w:iCs/>
        </w:rPr>
        <w:t xml:space="preserve">Empire Incorporated: </w:t>
      </w:r>
      <w:proofErr w:type="gramStart"/>
      <w:r w:rsidR="00C11EF3">
        <w:rPr>
          <w:i/>
          <w:iCs/>
        </w:rPr>
        <w:t>the</w:t>
      </w:r>
      <w:proofErr w:type="gramEnd"/>
      <w:r w:rsidR="00C11EF3">
        <w:rPr>
          <w:i/>
          <w:iCs/>
        </w:rPr>
        <w:t xml:space="preserve"> Corporations that built British Colonialism </w:t>
      </w:r>
      <w:r w:rsidR="00C11EF3">
        <w:t xml:space="preserve">(London, 2023). </w:t>
      </w:r>
      <w:r w:rsidR="00C11EF3">
        <w:t xml:space="preserve">    </w:t>
      </w:r>
      <w:r>
        <w:t xml:space="preserve">     </w:t>
      </w:r>
    </w:p>
  </w:footnote>
  <w:footnote w:id="23">
    <w:p w14:paraId="7BC98325" w14:textId="77777777" w:rsidR="00B8468D" w:rsidRDefault="00B8468D" w:rsidP="00694FBC">
      <w:pPr>
        <w:pStyle w:val="FootnoteText"/>
      </w:pPr>
      <w:r>
        <w:rPr>
          <w:rStyle w:val="FootnoteReference"/>
        </w:rPr>
        <w:footnoteRef/>
      </w:r>
      <w:r>
        <w:t xml:space="preserve"> See Walsh, </w:t>
      </w:r>
      <w:r w:rsidRPr="005A6758">
        <w:rPr>
          <w:i/>
          <w:iCs/>
        </w:rPr>
        <w:t>South Sea Bubble and Ireland</w:t>
      </w:r>
      <w:r>
        <w:t xml:space="preserve">, pp. </w:t>
      </w:r>
    </w:p>
  </w:footnote>
  <w:footnote w:id="24">
    <w:p w14:paraId="3FEB347D" w14:textId="2E8953BE" w:rsidR="00B8468D" w:rsidRDefault="00B8468D">
      <w:pPr>
        <w:pStyle w:val="FootnoteText"/>
      </w:pPr>
      <w:r>
        <w:rPr>
          <w:rStyle w:val="FootnoteReference"/>
        </w:rPr>
        <w:footnoteRef/>
      </w:r>
      <w:r>
        <w:t xml:space="preserve"> Ferguson,</w:t>
      </w:r>
      <w:r w:rsidRPr="006A6579">
        <w:rPr>
          <w:i/>
          <w:iCs/>
        </w:rPr>
        <w:t xml:space="preserve"> </w:t>
      </w:r>
      <w:r>
        <w:rPr>
          <w:i/>
          <w:iCs/>
        </w:rPr>
        <w:t>Swift and Ireland,</w:t>
      </w:r>
      <w:r>
        <w:t xml:space="preserve"> p. 56. </w:t>
      </w:r>
    </w:p>
  </w:footnote>
  <w:footnote w:id="25">
    <w:p w14:paraId="7A092E56" w14:textId="3061C002" w:rsidR="00B8468D" w:rsidRDefault="00B8468D" w:rsidP="00E91394">
      <w:pPr>
        <w:pStyle w:val="FootnoteText"/>
      </w:pPr>
      <w:r>
        <w:rPr>
          <w:rStyle w:val="FootnoteReference"/>
        </w:rPr>
        <w:footnoteRef/>
      </w:r>
      <w:r>
        <w:rPr>
          <w:i/>
          <w:iCs/>
        </w:rPr>
        <w:t xml:space="preserve"> Works, IX, </w:t>
      </w:r>
      <w:r>
        <w:t>p. 21. See Ferguson,</w:t>
      </w:r>
      <w:bookmarkStart w:id="1" w:name="_Hlk83195837"/>
      <w:r>
        <w:t xml:space="preserve"> </w:t>
      </w:r>
      <w:r>
        <w:rPr>
          <w:i/>
          <w:iCs/>
        </w:rPr>
        <w:t>Swift and Ireland</w:t>
      </w:r>
      <w:bookmarkEnd w:id="1"/>
      <w:r>
        <w:t xml:space="preserve">, p. 50 for a perceptive comment on the combination of indignation and compassion in this line.  </w:t>
      </w:r>
    </w:p>
  </w:footnote>
  <w:footnote w:id="26">
    <w:p w14:paraId="17732BD9" w14:textId="3608BDE2" w:rsidR="00B8468D" w:rsidRDefault="00B8468D">
      <w:pPr>
        <w:pStyle w:val="FootnoteText"/>
      </w:pPr>
      <w:r>
        <w:rPr>
          <w:rStyle w:val="FootnoteReference"/>
        </w:rPr>
        <w:footnoteRef/>
      </w:r>
      <w:r>
        <w:t xml:space="preserve"> Ian McBride, ‘The Politics of </w:t>
      </w:r>
      <w:proofErr w:type="gramStart"/>
      <w:r>
        <w:t>A</w:t>
      </w:r>
      <w:proofErr w:type="gramEnd"/>
      <w:r>
        <w:t xml:space="preserve"> Modest Proposal: Swift and the Irish Crisis of the Late 1720s’, in </w:t>
      </w:r>
      <w:r>
        <w:rPr>
          <w:i/>
          <w:iCs/>
        </w:rPr>
        <w:t xml:space="preserve">Past &amp;Present, </w:t>
      </w:r>
      <w:r>
        <w:t xml:space="preserve">244 (2019), pp. 89-123, esp. p. 98, 118-22. </w:t>
      </w:r>
    </w:p>
  </w:footnote>
  <w:footnote w:id="27">
    <w:p w14:paraId="3DBC7C1C" w14:textId="1EE87306" w:rsidR="00B8468D" w:rsidRDefault="00B8468D">
      <w:pPr>
        <w:pStyle w:val="FootnoteText"/>
      </w:pPr>
      <w:r>
        <w:rPr>
          <w:rStyle w:val="FootnoteReference"/>
        </w:rPr>
        <w:footnoteRef/>
      </w:r>
      <w:r>
        <w:t xml:space="preserve"> For a recent attempt to do this vis a vis mercantilism see, Aida Ramos, ‘Provision and Power: Jonathan Swift’s Economic Thought as an Alternative to Mercantilism’, in </w:t>
      </w:r>
      <w:r>
        <w:rPr>
          <w:i/>
          <w:iCs/>
        </w:rPr>
        <w:t xml:space="preserve">Eighteenth-Century Ireland, </w:t>
      </w:r>
      <w:r>
        <w:t xml:space="preserve">32 (2017), pp. 65-86.  </w:t>
      </w:r>
    </w:p>
  </w:footnote>
  <w:footnote w:id="28">
    <w:p w14:paraId="43D46BA2" w14:textId="7B906D46" w:rsidR="008710C2" w:rsidRPr="00C11EF3" w:rsidRDefault="008710C2">
      <w:pPr>
        <w:pStyle w:val="FootnoteText"/>
        <w:rPr>
          <w:b/>
        </w:rPr>
      </w:pPr>
      <w:r>
        <w:rPr>
          <w:rStyle w:val="FootnoteReference"/>
        </w:rPr>
        <w:footnoteRef/>
      </w:r>
      <w:r>
        <w:t xml:space="preserve"> Andreas Hess and C.I. McGrath, ‘Swift’s Moral Economy</w:t>
      </w:r>
      <w:r w:rsidR="00D51058">
        <w:t>:</w:t>
      </w:r>
      <w:r w:rsidR="00D51058" w:rsidRPr="00D51058">
        <w:rPr>
          <w:rFonts w:ascii="Times New Roman" w:hAnsi="Times New Roman" w:cs="Times New Roman"/>
          <w:b/>
          <w:sz w:val="28"/>
          <w:szCs w:val="28"/>
        </w:rPr>
        <w:t xml:space="preserve"> </w:t>
      </w:r>
      <w:r w:rsidR="00D51058">
        <w:rPr>
          <w:bCs/>
        </w:rPr>
        <w:t>A</w:t>
      </w:r>
      <w:r w:rsidR="00D51058" w:rsidRPr="00C11EF3">
        <w:rPr>
          <w:bCs/>
        </w:rPr>
        <w:t xml:space="preserve"> </w:t>
      </w:r>
      <w:r w:rsidR="00D51058">
        <w:rPr>
          <w:bCs/>
        </w:rPr>
        <w:t>S</w:t>
      </w:r>
      <w:r w:rsidR="00D51058" w:rsidRPr="00C11EF3">
        <w:rPr>
          <w:bCs/>
        </w:rPr>
        <w:t>uggestion for a</w:t>
      </w:r>
      <w:r w:rsidR="00D51058" w:rsidRPr="00C11EF3">
        <w:rPr>
          <w:bCs/>
        </w:rPr>
        <w:t xml:space="preserve"> </w:t>
      </w:r>
      <w:r w:rsidR="00D51058">
        <w:rPr>
          <w:bCs/>
        </w:rPr>
        <w:t>M</w:t>
      </w:r>
      <w:r w:rsidR="00D51058" w:rsidRPr="00C11EF3">
        <w:rPr>
          <w:bCs/>
        </w:rPr>
        <w:t xml:space="preserve">odest </w:t>
      </w:r>
      <w:r w:rsidR="00D51058">
        <w:rPr>
          <w:bCs/>
        </w:rPr>
        <w:t>P</w:t>
      </w:r>
      <w:r w:rsidR="00D51058" w:rsidRPr="00C11EF3">
        <w:rPr>
          <w:bCs/>
        </w:rPr>
        <w:t xml:space="preserve">aradigm </w:t>
      </w:r>
      <w:r w:rsidR="00D51058">
        <w:rPr>
          <w:bCs/>
        </w:rPr>
        <w:t>C</w:t>
      </w:r>
      <w:r w:rsidR="00D51058" w:rsidRPr="00C11EF3">
        <w:rPr>
          <w:bCs/>
        </w:rPr>
        <w:t>hange</w:t>
      </w:r>
      <w:r w:rsidR="00D51058">
        <w:rPr>
          <w:bCs/>
        </w:rPr>
        <w:t xml:space="preserve">’, in </w:t>
      </w:r>
      <w:r w:rsidR="00D51058">
        <w:rPr>
          <w:bCs/>
          <w:i/>
          <w:iCs/>
        </w:rPr>
        <w:t xml:space="preserve">History of European Ideas, 46 </w:t>
      </w:r>
      <w:r w:rsidR="00D51058">
        <w:rPr>
          <w:bCs/>
        </w:rPr>
        <w:t xml:space="preserve">(2020): 1183-1196. </w:t>
      </w:r>
    </w:p>
  </w:footnote>
  <w:footnote w:id="29">
    <w:p w14:paraId="05992825" w14:textId="03F07DAD" w:rsidR="00B8468D" w:rsidRDefault="00B8468D">
      <w:pPr>
        <w:pStyle w:val="FootnoteText"/>
      </w:pPr>
      <w:r>
        <w:rPr>
          <w:rStyle w:val="FootnoteReference"/>
        </w:rPr>
        <w:footnoteRef/>
      </w:r>
      <w:r>
        <w:t xml:space="preserve"> Chris </w:t>
      </w:r>
      <w:proofErr w:type="spellStart"/>
      <w:r>
        <w:t>Fauske</w:t>
      </w:r>
      <w:proofErr w:type="spellEnd"/>
      <w:r>
        <w:t xml:space="preserve">, ‘Misunderstanding what Swift misunderstood’, p. 142. </w:t>
      </w:r>
    </w:p>
  </w:footnote>
  <w:footnote w:id="30">
    <w:p w14:paraId="6D760B34" w14:textId="618B0C61" w:rsidR="00B8468D" w:rsidRPr="00E91394" w:rsidRDefault="00B8468D">
      <w:pPr>
        <w:pStyle w:val="FootnoteText"/>
      </w:pPr>
      <w:r>
        <w:rPr>
          <w:rStyle w:val="FootnoteReference"/>
        </w:rPr>
        <w:footnoteRef/>
      </w:r>
      <w:r>
        <w:t xml:space="preserve"> ‘Textual note’ in </w:t>
      </w:r>
      <w:r w:rsidRPr="00F15477">
        <w:rPr>
          <w:i/>
          <w:iCs/>
        </w:rPr>
        <w:t>Work</w:t>
      </w:r>
      <w:r>
        <w:t xml:space="preserve">s, XI, p. 372 The </w:t>
      </w:r>
      <w:r w:rsidRPr="00E91394">
        <w:rPr>
          <w:i/>
          <w:iCs/>
        </w:rPr>
        <w:t>OED</w:t>
      </w:r>
      <w:r>
        <w:rPr>
          <w:i/>
          <w:iCs/>
        </w:rPr>
        <w:t xml:space="preserve"> </w:t>
      </w:r>
      <w:r>
        <w:t xml:space="preserve">defines </w:t>
      </w:r>
      <w:proofErr w:type="spellStart"/>
      <w:r>
        <w:t>Gasconnade</w:t>
      </w:r>
      <w:proofErr w:type="spellEnd"/>
      <w:r>
        <w:t xml:space="preserve"> as ’</w:t>
      </w:r>
      <w:r w:rsidRPr="00E91394">
        <w:t>Extravagant boasting or exaggeration; boastful or bombastic language; (also) an instance of this</w:t>
      </w:r>
      <w:r>
        <w:t>’</w:t>
      </w:r>
      <w:r w:rsidRPr="00E91394">
        <w:t>.</w:t>
      </w:r>
    </w:p>
  </w:footnote>
  <w:footnote w:id="31">
    <w:p w14:paraId="0757DEE4" w14:textId="2E642C69" w:rsidR="00B8468D" w:rsidRDefault="00B8468D">
      <w:pPr>
        <w:pStyle w:val="FootnoteText"/>
      </w:pPr>
      <w:r>
        <w:rPr>
          <w:rStyle w:val="FootnoteReference"/>
        </w:rPr>
        <w:footnoteRef/>
      </w:r>
      <w:r>
        <w:t xml:space="preserve"> John Irwin, </w:t>
      </w:r>
      <w:r w:rsidRPr="00B94EAB">
        <w:rPr>
          <w:i/>
          <w:iCs/>
        </w:rPr>
        <w:t>To the Nobility, gentry and commonalty of this kingdom of Ireland</w:t>
      </w:r>
      <w:r>
        <w:t xml:space="preserve"> (Dublin 1720). The paper cites an annotated copy in a collection of miscellaneous papers related to the bank in NLI Ms 2256, ff. 59-61.</w:t>
      </w:r>
    </w:p>
  </w:footnote>
  <w:footnote w:id="32">
    <w:p w14:paraId="504308F6" w14:textId="4ED13009" w:rsidR="00B8468D" w:rsidRDefault="00B8468D">
      <w:pPr>
        <w:pStyle w:val="FootnoteText"/>
      </w:pPr>
      <w:r>
        <w:rPr>
          <w:rStyle w:val="FootnoteReference"/>
        </w:rPr>
        <w:footnoteRef/>
      </w:r>
      <w:r>
        <w:t xml:space="preserve"> James Kelly, ‘Jonathan Swift and the Irish Economy in the 1720s’, in </w:t>
      </w:r>
      <w:r>
        <w:rPr>
          <w:i/>
          <w:iCs/>
        </w:rPr>
        <w:t xml:space="preserve">Eighteenth-Century Ireland, </w:t>
      </w:r>
      <w:r>
        <w:t xml:space="preserve">6 (1991), pp. 12-13. More generally see Patrick Kelly, ‘The Politics of Political Economy in Mid-Eighteenth-Century Ireland’, in S.J. Connolly (ed.), </w:t>
      </w:r>
      <w:r>
        <w:rPr>
          <w:i/>
          <w:iCs/>
        </w:rPr>
        <w:t xml:space="preserve">Political Ideas in Eighteenth-century Ireland </w:t>
      </w:r>
      <w:r>
        <w:t xml:space="preserve">(Dublin, 2000), pp. 105-30.  </w:t>
      </w:r>
    </w:p>
  </w:footnote>
  <w:footnote w:id="33">
    <w:p w14:paraId="3A401E22" w14:textId="49FFC4C9" w:rsidR="00B8468D" w:rsidRDefault="00B8468D">
      <w:pPr>
        <w:pStyle w:val="FootnoteText"/>
      </w:pPr>
      <w:r>
        <w:rPr>
          <w:rStyle w:val="FootnoteReference"/>
        </w:rPr>
        <w:footnoteRef/>
      </w:r>
      <w:r>
        <w:t xml:space="preserve"> Recent work by Brendan Twomey however has begun to revolutionise our understanding of Irish credit markets in this period. See Twomey, ‘Personal financial management in early eighteenth-century Ireland: practices, </w:t>
      </w:r>
      <w:proofErr w:type="gramStart"/>
      <w:r>
        <w:t>participants</w:t>
      </w:r>
      <w:proofErr w:type="gramEnd"/>
      <w:r>
        <w:t xml:space="preserve"> and outcomes’, (T.C.D. PhD thesis, 2018).</w:t>
      </w:r>
    </w:p>
  </w:footnote>
  <w:footnote w:id="34">
    <w:p w14:paraId="0B35BC90" w14:textId="67BB0816" w:rsidR="00B8468D" w:rsidRDefault="00B8468D" w:rsidP="00B8468D">
      <w:pPr>
        <w:pStyle w:val="FootnoteText"/>
      </w:pPr>
      <w:r>
        <w:rPr>
          <w:rStyle w:val="FootnoteReference"/>
        </w:rPr>
        <w:footnoteRef/>
      </w:r>
      <w:r>
        <w:t xml:space="preserve"> For early expressions of this concern see Abercorn to John, Lord Perceval Jan. and 18 Feb. 1720 (B.L., Add MS 47029, </w:t>
      </w:r>
      <w:proofErr w:type="spellStart"/>
      <w:r>
        <w:t>fols</w:t>
      </w:r>
      <w:proofErr w:type="spellEnd"/>
      <w:r w:rsidR="003967C6">
        <w:t>.</w:t>
      </w:r>
      <w:r>
        <w:t xml:space="preserve"> 3–4 and 31–2). See also same to same, </w:t>
      </w:r>
      <w:r w:rsidRPr="00B8468D">
        <w:t>2 June 1720 (B</w:t>
      </w:r>
      <w:r>
        <w:t>.</w:t>
      </w:r>
      <w:r w:rsidRPr="00B8468D">
        <w:t>L</w:t>
      </w:r>
      <w:r>
        <w:t>.</w:t>
      </w:r>
      <w:r w:rsidRPr="00B8468D">
        <w:t>, Add MS 47029, fol. 65).</w:t>
      </w:r>
    </w:p>
  </w:footnote>
  <w:footnote w:id="35">
    <w:p w14:paraId="0F142446" w14:textId="0BBFB8ED" w:rsidR="00B8468D" w:rsidRDefault="00B8468D">
      <w:pPr>
        <w:pStyle w:val="FootnoteText"/>
      </w:pPr>
      <w:r>
        <w:rPr>
          <w:rStyle w:val="FootnoteReference"/>
        </w:rPr>
        <w:footnoteRef/>
      </w:r>
      <w:r>
        <w:t xml:space="preserve">For Swift’s investment and consequent reluctance to write about the South Sea Company see Fauske, ‘Misunderstanding what Swift Misunderstood’, pp. 142-43. </w:t>
      </w:r>
    </w:p>
  </w:footnote>
  <w:footnote w:id="36">
    <w:p w14:paraId="6D5B1AF9" w14:textId="1E8CF0D3" w:rsidR="00C11EF3" w:rsidRPr="00615AA6" w:rsidRDefault="00C11EF3" w:rsidP="00C11EF3">
      <w:pPr>
        <w:pStyle w:val="FootnoteText"/>
      </w:pPr>
      <w:r>
        <w:rPr>
          <w:rStyle w:val="FootnoteReference"/>
        </w:rPr>
        <w:footnoteRef/>
      </w:r>
      <w:r>
        <w:t xml:space="preserve"> </w:t>
      </w:r>
      <w:r w:rsidRPr="00615AA6">
        <w:t xml:space="preserve">Swift </w:t>
      </w:r>
      <w:r w:rsidR="00615AA6" w:rsidRPr="00615AA6">
        <w:t>to Charles Ford, 4 Apr., 1720 in David Woolley (ed)</w:t>
      </w:r>
      <w:r w:rsidRPr="00615AA6">
        <w:t xml:space="preserve"> </w:t>
      </w:r>
      <w:r w:rsidRPr="00615AA6">
        <w:rPr>
          <w:i/>
          <w:iCs/>
        </w:rPr>
        <w:t>Correspondence</w:t>
      </w:r>
      <w:r>
        <w:rPr>
          <w:i/>
          <w:iCs/>
        </w:rPr>
        <w:t xml:space="preserve"> </w:t>
      </w:r>
      <w:r w:rsidR="00615AA6">
        <w:rPr>
          <w:i/>
          <w:iCs/>
        </w:rPr>
        <w:t xml:space="preserve">of Jonathan Swift D.D., </w:t>
      </w:r>
      <w:r w:rsidR="00615AA6">
        <w:t xml:space="preserve">(4 </w:t>
      </w:r>
      <w:proofErr w:type="gramStart"/>
      <w:r w:rsidR="00615AA6">
        <w:t>vols:,</w:t>
      </w:r>
      <w:proofErr w:type="gramEnd"/>
      <w:r w:rsidR="00615AA6">
        <w:t xml:space="preserve"> Frankfurt, 2001), ii, 328. </w:t>
      </w:r>
    </w:p>
  </w:footnote>
  <w:footnote w:id="37">
    <w:p w14:paraId="4E77B078" w14:textId="0FB285FF" w:rsidR="00B8468D" w:rsidRDefault="00B8468D" w:rsidP="00B8468D">
      <w:pPr>
        <w:pStyle w:val="FootnoteText"/>
      </w:pPr>
      <w:r>
        <w:rPr>
          <w:rStyle w:val="FootnoteReference"/>
        </w:rPr>
        <w:footnoteRef/>
      </w:r>
      <w:r>
        <w:t xml:space="preserve"> There is a significant debate about how much Swift’s commentary on economic matters can be trusted. L.M. Cullen’s deep scepticism famously expressed in his ‘The Value of Contemporary Printed Sources for Irish Economic History in the Eighteenth Century’, </w:t>
      </w:r>
      <w:r>
        <w:rPr>
          <w:i/>
          <w:iCs/>
        </w:rPr>
        <w:t xml:space="preserve">Irish Historical Studies </w:t>
      </w:r>
      <w:r>
        <w:t xml:space="preserve">14, (1964), pp 142-55 has been </w:t>
      </w:r>
      <w:r w:rsidR="00E959D9">
        <w:t xml:space="preserve">significantly modified </w:t>
      </w:r>
      <w:r>
        <w:t>by James Kelly</w:t>
      </w:r>
      <w:r w:rsidR="00E959D9">
        <w:t xml:space="preserve">, ‘Swift and the Irish Economy in the 1720s’ in </w:t>
      </w:r>
      <w:r w:rsidR="00E959D9">
        <w:rPr>
          <w:i/>
          <w:iCs/>
        </w:rPr>
        <w:t xml:space="preserve">Eighteenth-Century Ireland, </w:t>
      </w:r>
      <w:r w:rsidR="00E959D9">
        <w:t>6 (1991), pp 7-36;</w:t>
      </w:r>
      <w:r>
        <w:t xml:space="preserve">  Patrick Kelly</w:t>
      </w:r>
      <w:r w:rsidR="00E959D9">
        <w:t xml:space="preserve">, ‘Swift on money and economics’, in Christopher Fox (ed.), </w:t>
      </w:r>
      <w:r w:rsidR="00E959D9">
        <w:rPr>
          <w:i/>
          <w:iCs/>
        </w:rPr>
        <w:t>The Cambridge Companion to Jonathan Swift</w:t>
      </w:r>
      <w:r w:rsidR="00E959D9">
        <w:t xml:space="preserve">, (Cambridge, 2003); </w:t>
      </w:r>
      <w:r>
        <w:t>and</w:t>
      </w:r>
      <w:r w:rsidR="00E959D9">
        <w:t xml:space="preserve"> </w:t>
      </w:r>
      <w:r>
        <w:t>Fauske</w:t>
      </w:r>
      <w:r w:rsidR="00E959D9">
        <w:t xml:space="preserve"> ‘Misunderstanding what Swift understood’. </w:t>
      </w:r>
    </w:p>
  </w:footnote>
  <w:footnote w:id="38">
    <w:p w14:paraId="3A664F0D" w14:textId="6549359E" w:rsidR="003967C6" w:rsidRPr="003967C6" w:rsidRDefault="003967C6">
      <w:pPr>
        <w:pStyle w:val="FootnoteText"/>
        <w:rPr>
          <w:i/>
          <w:iCs/>
        </w:rPr>
      </w:pPr>
      <w:r>
        <w:rPr>
          <w:rStyle w:val="FootnoteReference"/>
        </w:rPr>
        <w:footnoteRef/>
      </w:r>
      <w:r>
        <w:t xml:space="preserve"> L.M. Cullen, </w:t>
      </w:r>
      <w:r w:rsidRPr="003967C6">
        <w:t>‘Swift’s Modest Proposal (1729): Historical Context and Political Purpose’,</w:t>
      </w:r>
      <w:r>
        <w:t xml:space="preserve"> </w:t>
      </w:r>
      <w:r w:rsidRPr="003967C6">
        <w:t>in</w:t>
      </w:r>
      <w:r>
        <w:t xml:space="preserve"> Hayton &amp; Holmes (eds), </w:t>
      </w:r>
      <w:r w:rsidRPr="003967C6">
        <w:rPr>
          <w:i/>
          <w:iCs/>
        </w:rPr>
        <w:t>Ourselves Alone?</w:t>
      </w:r>
      <w:r w:rsidRPr="003967C6">
        <w:t xml:space="preserve"> 49–50</w:t>
      </w:r>
      <w:r>
        <w:t xml:space="preserve">. See also Hess and McGrath, ‘Swift’s Moral Economy’, p. 1187 for a more nuanced if broadly sympathetic argument. </w:t>
      </w:r>
    </w:p>
  </w:footnote>
  <w:footnote w:id="39">
    <w:p w14:paraId="682D734E" w14:textId="0DD60CF0" w:rsidR="00B8468D" w:rsidRPr="003967C6" w:rsidRDefault="00B8468D">
      <w:pPr>
        <w:pStyle w:val="FootnoteText"/>
        <w:rPr>
          <w:lang w:val="en-GB"/>
        </w:rPr>
      </w:pPr>
      <w:r>
        <w:rPr>
          <w:rStyle w:val="FootnoteReference"/>
        </w:rPr>
        <w:footnoteRef/>
      </w:r>
      <w:r>
        <w:t xml:space="preserve"> </w:t>
      </w:r>
      <w:r w:rsidRPr="00AD7ED8">
        <w:rPr>
          <w:i/>
          <w:iCs/>
        </w:rPr>
        <w:t>Works, XI</w:t>
      </w:r>
      <w:r>
        <w:t xml:space="preserve">, pp. 281-84. See Moore, </w:t>
      </w:r>
      <w:r w:rsidRPr="00804F94">
        <w:rPr>
          <w:i/>
          <w:iCs/>
        </w:rPr>
        <w:t>Swift, The Book</w:t>
      </w:r>
      <w:r>
        <w:t xml:space="preserve">, pp. 70-71, 78-79; </w:t>
      </w:r>
      <w:r w:rsidRPr="003967C6">
        <w:t>and Pat Rogers,</w:t>
      </w:r>
      <w:r w:rsidR="003967C6" w:rsidRPr="003967C6">
        <w:rPr>
          <w:rFonts w:ascii="Times New Roman" w:eastAsia="Times New Roman" w:hAnsi="Times New Roman" w:cs="Times New Roman"/>
          <w:sz w:val="24"/>
          <w:szCs w:val="24"/>
          <w:lang w:val="en-GB"/>
        </w:rPr>
        <w:t xml:space="preserve"> </w:t>
      </w:r>
      <w:r w:rsidR="003967C6" w:rsidRPr="003967C6">
        <w:rPr>
          <w:lang w:val="en-GB"/>
        </w:rPr>
        <w:t xml:space="preserve">‘Plunging in the Southern Waves: Swift’s Poem on the Bubble’, </w:t>
      </w:r>
      <w:r w:rsidR="003967C6" w:rsidRPr="003967C6">
        <w:rPr>
          <w:i/>
          <w:lang w:val="en-US"/>
        </w:rPr>
        <w:t>The Yearbook of English Studies</w:t>
      </w:r>
      <w:r w:rsidR="003967C6" w:rsidRPr="003967C6">
        <w:rPr>
          <w:lang w:val="en-US"/>
        </w:rPr>
        <w:t>, 18, (1988), pp. 41-50.</w:t>
      </w:r>
      <w:r w:rsidR="003967C6">
        <w:rPr>
          <w:lang w:val="en-GB"/>
        </w:rPr>
        <w:t xml:space="preserve"> </w:t>
      </w:r>
      <w:r>
        <w:t>The Bubble (1720) was one of the most popular texts produced upon the fall of the South Sea Company with extracts appearing in a wide variety of printed media from playing cards to prints to broadsheets.</w:t>
      </w:r>
    </w:p>
  </w:footnote>
  <w:footnote w:id="40">
    <w:p w14:paraId="7A1E4E75" w14:textId="27E32180" w:rsidR="00B8468D" w:rsidRDefault="00B8468D">
      <w:pPr>
        <w:pStyle w:val="FootnoteText"/>
      </w:pPr>
      <w:r>
        <w:rPr>
          <w:rStyle w:val="FootnoteReference"/>
        </w:rPr>
        <w:footnoteRef/>
      </w:r>
      <w:r>
        <w:t xml:space="preserve"> Later pro-bank pamphleteers writing during the parliamentary debates over in the charter in October 1721 needed to develop this comparative point. See Henry Maxwell</w:t>
      </w:r>
      <w:r w:rsidR="003967C6">
        <w:t xml:space="preserve">, </w:t>
      </w:r>
      <w:r w:rsidR="003967C6" w:rsidRPr="007F1F38">
        <w:rPr>
          <w:i/>
          <w:lang w:val="en-GB"/>
        </w:rPr>
        <w:t xml:space="preserve">Reasons </w:t>
      </w:r>
      <w:proofErr w:type="spellStart"/>
      <w:r w:rsidR="003967C6" w:rsidRPr="007F1F38">
        <w:rPr>
          <w:i/>
          <w:lang w:val="en-GB"/>
        </w:rPr>
        <w:t>Offer’d</w:t>
      </w:r>
      <w:proofErr w:type="spellEnd"/>
      <w:r w:rsidR="003967C6" w:rsidRPr="007F1F38">
        <w:rPr>
          <w:i/>
          <w:lang w:val="en-GB"/>
        </w:rPr>
        <w:t xml:space="preserve"> for Erecting a Bank in Ireland; in a Letter to Hercules Rowley, Esq</w:t>
      </w:r>
      <w:r w:rsidR="003967C6">
        <w:rPr>
          <w:i/>
          <w:lang w:val="en-GB"/>
        </w:rPr>
        <w:t xml:space="preserve"> </w:t>
      </w:r>
      <w:r w:rsidR="003967C6">
        <w:rPr>
          <w:lang w:val="en-GB"/>
        </w:rPr>
        <w:t>(Dublin, 1721).</w:t>
      </w:r>
    </w:p>
  </w:footnote>
  <w:footnote w:id="41">
    <w:p w14:paraId="026CCC50" w14:textId="7ECCF3BE" w:rsidR="00B8468D" w:rsidRDefault="00B8468D">
      <w:pPr>
        <w:pStyle w:val="FootnoteText"/>
      </w:pPr>
      <w:r>
        <w:rPr>
          <w:rStyle w:val="FootnoteReference"/>
        </w:rPr>
        <w:footnoteRef/>
      </w:r>
      <w:r>
        <w:t xml:space="preserve"> A handwritten amendment to the N.L.I. text changed the word directors to ‘</w:t>
      </w:r>
      <w:proofErr w:type="gramStart"/>
      <w:r>
        <w:t>managers’</w:t>
      </w:r>
      <w:proofErr w:type="gramEnd"/>
      <w:r>
        <w:t xml:space="preserve">.  </w:t>
      </w:r>
    </w:p>
  </w:footnote>
  <w:footnote w:id="42">
    <w:p w14:paraId="687E6780" w14:textId="217F4207" w:rsidR="00B8468D" w:rsidRPr="009D12A8" w:rsidRDefault="00B8468D">
      <w:pPr>
        <w:pStyle w:val="FootnoteText"/>
        <w:rPr>
          <w:lang w:val="en-US"/>
        </w:rPr>
      </w:pPr>
      <w:r>
        <w:rPr>
          <w:rStyle w:val="FootnoteReference"/>
        </w:rPr>
        <w:footnoteRef/>
      </w:r>
      <w:r w:rsidR="009D12A8">
        <w:t xml:space="preserve"> For revenue figures covering 1715-25</w:t>
      </w:r>
      <w:r>
        <w:t xml:space="preserve"> </w:t>
      </w:r>
      <w:r w:rsidR="009D12A8">
        <w:t xml:space="preserve">see </w:t>
      </w:r>
      <w:r w:rsidR="009D12A8" w:rsidRPr="009D12A8">
        <w:t>C</w:t>
      </w:r>
      <w:r w:rsidR="009D12A8">
        <w:t xml:space="preserve">ommons </w:t>
      </w:r>
      <w:r w:rsidR="009D12A8" w:rsidRPr="009D12A8">
        <w:t>J</w:t>
      </w:r>
      <w:r w:rsidR="009D12A8">
        <w:t xml:space="preserve">ournals of </w:t>
      </w:r>
      <w:proofErr w:type="spellStart"/>
      <w:r w:rsidR="009D12A8">
        <w:t>Ire</w:t>
      </w:r>
      <w:r w:rsidR="009D12A8" w:rsidRPr="009D12A8">
        <w:t>I</w:t>
      </w:r>
      <w:r w:rsidR="009D12A8">
        <w:t>and</w:t>
      </w:r>
      <w:proofErr w:type="spellEnd"/>
      <w:r w:rsidR="009D12A8" w:rsidRPr="009D12A8">
        <w:t xml:space="preserve">, </w:t>
      </w:r>
      <w:r w:rsidR="009D12A8">
        <w:t xml:space="preserve">(Dublin, 1796- 1801), Vol. III, </w:t>
      </w:r>
      <w:r w:rsidR="009D12A8" w:rsidRPr="009D12A8">
        <w:t>Appendix, pp. v, civ, cliv, cxcii, ccxxxiv, cclxxxix and cccxxviii</w:t>
      </w:r>
      <w:r w:rsidR="009D12A8">
        <w:t>.</w:t>
      </w:r>
      <w:r w:rsidR="009D12A8" w:rsidRPr="009D12A8">
        <w:rPr>
          <w:lang w:val="en-US"/>
        </w:rPr>
        <w:t xml:space="preserve"> </w:t>
      </w:r>
    </w:p>
  </w:footnote>
  <w:footnote w:id="43">
    <w:p w14:paraId="3F9184E3" w14:textId="2DEB0306" w:rsidR="00B8468D" w:rsidRDefault="00B8468D">
      <w:pPr>
        <w:pStyle w:val="FootnoteText"/>
      </w:pPr>
      <w:r>
        <w:rPr>
          <w:rStyle w:val="FootnoteReference"/>
        </w:rPr>
        <w:footnoteRef/>
      </w:r>
      <w:r>
        <w:t xml:space="preserve"> </w:t>
      </w:r>
      <w:r w:rsidRPr="005A6758">
        <w:t xml:space="preserve">The humble petition of George Lord Forbes, </w:t>
      </w:r>
      <w:proofErr w:type="spellStart"/>
      <w:r w:rsidRPr="005A6758">
        <w:t>Brabazon</w:t>
      </w:r>
      <w:proofErr w:type="spellEnd"/>
      <w:r w:rsidRPr="005A6758">
        <w:t xml:space="preserve"> Ponsonby esq</w:t>
      </w:r>
      <w:r>
        <w:t>.</w:t>
      </w:r>
      <w:r w:rsidRPr="005A6758">
        <w:t xml:space="preserve"> on behalf of themselves and several other persons in Ireland who have engaged to subscribe a sum not exceeding a million in order to erect a bank in that kingdom</w:t>
      </w:r>
      <w:r>
        <w:t xml:space="preserve">, June 1720 (N.L.I., Ms 2256, ff. 13-14). </w:t>
      </w:r>
    </w:p>
  </w:footnote>
  <w:footnote w:id="44">
    <w:p w14:paraId="2A07D7A0" w14:textId="5A54CA79" w:rsidR="00B8468D" w:rsidRPr="00BA1F68" w:rsidRDefault="00B8468D">
      <w:pPr>
        <w:pStyle w:val="FootnoteText"/>
        <w:rPr>
          <w:i/>
          <w:iCs/>
        </w:rPr>
      </w:pPr>
      <w:r>
        <w:rPr>
          <w:rStyle w:val="FootnoteReference"/>
        </w:rPr>
        <w:footnoteRef/>
      </w:r>
      <w:r>
        <w:t xml:space="preserve"> Walsh, </w:t>
      </w:r>
      <w:r>
        <w:rPr>
          <w:i/>
          <w:iCs/>
        </w:rPr>
        <w:t xml:space="preserve">South Sea Bubble, </w:t>
      </w:r>
      <w:r>
        <w:t>pp.</w:t>
      </w:r>
      <w:r w:rsidR="009D12A8">
        <w:t xml:space="preserve"> 139-40. </w:t>
      </w:r>
    </w:p>
  </w:footnote>
  <w:footnote w:id="45">
    <w:p w14:paraId="53118EB3" w14:textId="01E86CA3" w:rsidR="00B8468D" w:rsidRPr="005A6758" w:rsidRDefault="00B8468D">
      <w:pPr>
        <w:pStyle w:val="FootnoteText"/>
      </w:pPr>
      <w:r>
        <w:rPr>
          <w:rStyle w:val="FootnoteReference"/>
        </w:rPr>
        <w:footnoteRef/>
      </w:r>
      <w:r>
        <w:t xml:space="preserve"> A list of the petitioners to his majesty for a charter to erect a bank in Ireland (N.L.I., Ms 2256, ff. 27-28). </w:t>
      </w:r>
    </w:p>
  </w:footnote>
  <w:footnote w:id="46">
    <w:p w14:paraId="3146A6A7" w14:textId="01D40649" w:rsidR="00B8468D" w:rsidRDefault="00B8468D">
      <w:pPr>
        <w:pStyle w:val="FootnoteText"/>
      </w:pPr>
      <w:r>
        <w:rPr>
          <w:rStyle w:val="FootnoteReference"/>
        </w:rPr>
        <w:footnoteRef/>
      </w:r>
      <w:r>
        <w:t xml:space="preserve"> The Run Upon the Bankers (1721). On the run on the banks see Walsh, </w:t>
      </w:r>
      <w:r>
        <w:rPr>
          <w:i/>
          <w:iCs/>
        </w:rPr>
        <w:t xml:space="preserve">South Sea Bubble, </w:t>
      </w:r>
      <w:r>
        <w:t xml:space="preserve">pp. </w:t>
      </w:r>
      <w:r w:rsidR="009D12A8">
        <w:t xml:space="preserve">115-16. </w:t>
      </w:r>
    </w:p>
  </w:footnote>
  <w:footnote w:id="47">
    <w:p w14:paraId="5A6A3707" w14:textId="2482EC8E" w:rsidR="00B8468D" w:rsidRPr="00C733B8" w:rsidRDefault="00B8468D" w:rsidP="009D12A8">
      <w:pPr>
        <w:pStyle w:val="FootnoteText"/>
      </w:pPr>
      <w:r>
        <w:rPr>
          <w:rStyle w:val="FootnoteReference"/>
        </w:rPr>
        <w:footnoteRef/>
      </w:r>
      <w:r>
        <w:t xml:space="preserve"> </w:t>
      </w:r>
      <w:r w:rsidR="009D12A8">
        <w:t>See Abp. King to William Wake, 23 Mar. 1721 (B.L., Add MS 6117, fol.70</w:t>
      </w:r>
      <w:proofErr w:type="gramStart"/>
      <w:r w:rsidR="009D12A8">
        <w:t xml:space="preserve">);  </w:t>
      </w:r>
      <w:r>
        <w:t>‘</w:t>
      </w:r>
      <w:proofErr w:type="gramEnd"/>
      <w:r>
        <w:t xml:space="preserve">An Epilogue to a Play for the Benefit of the Weavers’ in Carole Fabricant and Robert Mahony (eds), </w:t>
      </w:r>
      <w:r>
        <w:rPr>
          <w:i/>
          <w:iCs/>
        </w:rPr>
        <w:t xml:space="preserve">Swift’s Irish Writings </w:t>
      </w:r>
      <w:r>
        <w:t xml:space="preserve">(New York, 2010), pp. 201-04. </w:t>
      </w:r>
    </w:p>
  </w:footnote>
  <w:footnote w:id="48">
    <w:p w14:paraId="0D2D6B8A" w14:textId="1AFF23E0" w:rsidR="00B8468D" w:rsidRDefault="00B8468D">
      <w:pPr>
        <w:pStyle w:val="FootnoteText"/>
      </w:pPr>
      <w:r>
        <w:rPr>
          <w:rStyle w:val="FootnoteReference"/>
        </w:rPr>
        <w:footnoteRef/>
      </w:r>
      <w:r>
        <w:t xml:space="preserve"> See McGrath, ’Banks, paper currency and the fiscal state’ pp. 51-54. </w:t>
      </w:r>
    </w:p>
  </w:footnote>
  <w:footnote w:id="49">
    <w:p w14:paraId="5ED27788" w14:textId="55479A43" w:rsidR="00B8468D" w:rsidRDefault="00B8468D">
      <w:pPr>
        <w:pStyle w:val="FootnoteText"/>
      </w:pPr>
      <w:r>
        <w:rPr>
          <w:rStyle w:val="FootnoteReference"/>
        </w:rPr>
        <w:footnoteRef/>
      </w:r>
      <w:r>
        <w:t xml:space="preserve"> Printed List of Subscribers to the Bank of Ireland (November, 1721</w:t>
      </w:r>
      <w:proofErr w:type="gramStart"/>
      <w:r>
        <w:t>)  (</w:t>
      </w:r>
      <w:proofErr w:type="gramEnd"/>
      <w:r>
        <w:t>N.L.I. Ms2256, f. 67.)</w:t>
      </w:r>
    </w:p>
  </w:footnote>
  <w:footnote w:id="50">
    <w:p w14:paraId="5AB14CBB" w14:textId="3A56A72D" w:rsidR="00B8468D" w:rsidRPr="009D12A8" w:rsidRDefault="00B8468D">
      <w:pPr>
        <w:pStyle w:val="FootnoteText"/>
        <w:rPr>
          <w:lang w:val="en-US"/>
        </w:rPr>
      </w:pPr>
      <w:r>
        <w:rPr>
          <w:rStyle w:val="FootnoteReference"/>
        </w:rPr>
        <w:footnoteRef/>
      </w:r>
      <w:r>
        <w:t xml:space="preserve"> Works, IX, pp. 288-93. On this </w:t>
      </w:r>
      <w:r w:rsidR="009D12A8">
        <w:t xml:space="preserve">see </w:t>
      </w:r>
      <w:r>
        <w:t>Vivien Costello</w:t>
      </w:r>
      <w:r w:rsidR="009D12A8">
        <w:t xml:space="preserve">e, </w:t>
      </w:r>
      <w:r w:rsidR="009D12A8" w:rsidRPr="009D12A8">
        <w:rPr>
          <w:b/>
          <w:iCs/>
          <w:lang w:val="en-GB"/>
        </w:rPr>
        <w:t>‘</w:t>
      </w:r>
      <w:r w:rsidR="009D12A8" w:rsidRPr="009D12A8">
        <w:rPr>
          <w:iCs/>
          <w:lang w:val="en-GB"/>
        </w:rPr>
        <w:t>‘Pensioners, Barbers, Valets or Markees</w:t>
      </w:r>
      <w:proofErr w:type="gramStart"/>
      <w:r w:rsidR="009D12A8" w:rsidRPr="009D12A8">
        <w:rPr>
          <w:iCs/>
          <w:lang w:val="en-GB"/>
        </w:rPr>
        <w:t>’?:</w:t>
      </w:r>
      <w:proofErr w:type="gramEnd"/>
      <w:r w:rsidR="009D12A8" w:rsidRPr="009D12A8">
        <w:rPr>
          <w:iCs/>
          <w:lang w:val="en-GB"/>
        </w:rPr>
        <w:t xml:space="preserve"> Jonathan Swift and Huguenot Bank Investors in Ireland, 1721’, </w:t>
      </w:r>
      <w:r w:rsidR="009D12A8" w:rsidRPr="009D12A8">
        <w:rPr>
          <w:i/>
          <w:iCs/>
          <w:lang w:val="en-GB"/>
        </w:rPr>
        <w:t xml:space="preserve">Proceedings of the Huguenot Society of Great Britain and Ireland, </w:t>
      </w:r>
      <w:r w:rsidR="009D12A8" w:rsidRPr="009D12A8">
        <w:rPr>
          <w:iCs/>
          <w:lang w:val="en-GB"/>
        </w:rPr>
        <w:t>29 (2008), pp. 62-92</w:t>
      </w:r>
      <w:r w:rsidR="009D12A8">
        <w:rPr>
          <w:iCs/>
          <w:lang w:val="en-GB"/>
        </w:rPr>
        <w:t xml:space="preserve">. </w:t>
      </w:r>
      <w:r>
        <w:t xml:space="preserve">More generally on the role of xenophobia as a tool in undermining investment in this period see H.J. Paul, </w:t>
      </w:r>
      <w:r>
        <w:rPr>
          <w:i/>
          <w:iCs/>
        </w:rPr>
        <w:t>The South Sea Bubble</w:t>
      </w:r>
      <w:r w:rsidR="009D12A8">
        <w:rPr>
          <w:i/>
          <w:iCs/>
        </w:rPr>
        <w:t xml:space="preserve">: </w:t>
      </w:r>
      <w:r w:rsidR="009D12A8" w:rsidRPr="00DA6303">
        <w:rPr>
          <w:i/>
          <w:lang w:val="en-US"/>
        </w:rPr>
        <w:t xml:space="preserve">An Economic History of its Origins and Consequences </w:t>
      </w:r>
      <w:r w:rsidR="009D12A8">
        <w:rPr>
          <w:lang w:val="en-US"/>
        </w:rPr>
        <w:t xml:space="preserve">(London, 2010), pp. 93-4. </w:t>
      </w:r>
      <w:r>
        <w:rPr>
          <w:i/>
          <w:iCs/>
        </w:rPr>
        <w:t xml:space="preserve"> </w:t>
      </w:r>
    </w:p>
  </w:footnote>
  <w:footnote w:id="51">
    <w:p w14:paraId="1CB2F61F" w14:textId="7905A941" w:rsidR="0078440B" w:rsidRPr="00C11EF3" w:rsidRDefault="0078440B">
      <w:pPr>
        <w:pStyle w:val="FootnoteText"/>
        <w:rPr>
          <w:i/>
          <w:iCs/>
        </w:rPr>
      </w:pPr>
      <w:r>
        <w:rPr>
          <w:rStyle w:val="FootnoteReference"/>
        </w:rPr>
        <w:footnoteRef/>
      </w:r>
      <w:r>
        <w:t xml:space="preserve"> James Stafford, </w:t>
      </w:r>
      <w:r>
        <w:rPr>
          <w:i/>
          <w:iCs/>
        </w:rPr>
        <w:t>The Case of Ireland</w:t>
      </w:r>
    </w:p>
  </w:footnote>
  <w:footnote w:id="52">
    <w:p w14:paraId="192B1F6D" w14:textId="68CEF234" w:rsidR="00F56645" w:rsidRPr="00615AA6" w:rsidRDefault="00F56645" w:rsidP="00340B33">
      <w:pPr>
        <w:pStyle w:val="FootnoteText"/>
      </w:pPr>
      <w:r>
        <w:rPr>
          <w:rStyle w:val="FootnoteReference"/>
        </w:rPr>
        <w:footnoteRef/>
      </w:r>
      <w:r>
        <w:t xml:space="preserve"> The passage of the Bubble Act in Ju</w:t>
      </w:r>
      <w:r w:rsidR="00340B33">
        <w:t>ne</w:t>
      </w:r>
      <w:r>
        <w:t xml:space="preserve"> 1720 has been underappreciated as</w:t>
      </w:r>
      <w:r w:rsidR="00340B33">
        <w:t xml:space="preserve"> </w:t>
      </w:r>
      <w:r>
        <w:t>a complicating factor in</w:t>
      </w:r>
      <w:r w:rsidR="00340B33">
        <w:t xml:space="preserve"> delaying both the Bank of Ireland’s charter and that of an Irish fire insurance scheme promoted around the same time. See Ron Harris, ‘The Bubble Act: Its Passage and Its Effects on Business Organization’, </w:t>
      </w:r>
      <w:r w:rsidR="00340B33" w:rsidRPr="00340B33">
        <w:rPr>
          <w:i/>
          <w:iCs/>
        </w:rPr>
        <w:t>The Journal of Economic History</w:t>
      </w:r>
      <w:r w:rsidR="00340B33">
        <w:t xml:space="preserve">, 54 (1994), 610–27. On the fire insurance scheme </w:t>
      </w:r>
      <w:r w:rsidR="00C11EF3">
        <w:t xml:space="preserve">see </w:t>
      </w:r>
      <w:r w:rsidR="00340B33">
        <w:t xml:space="preserve">Undated (but almost certainly Sep. </w:t>
      </w:r>
      <w:r w:rsidR="00340B33">
        <w:t>1720) notes on the fire insurance companies</w:t>
      </w:r>
      <w:r w:rsidR="00615AA6">
        <w:t xml:space="preserve"> see </w:t>
      </w:r>
      <w:r w:rsidR="00340B33">
        <w:t xml:space="preserve">Surrey History Centre, Midleton Papers, MS 1248/8, </w:t>
      </w:r>
      <w:proofErr w:type="spellStart"/>
      <w:r w:rsidR="00340B33">
        <w:t>fols</w:t>
      </w:r>
      <w:proofErr w:type="spellEnd"/>
      <w:r w:rsidR="00C11EF3">
        <w:t>.,</w:t>
      </w:r>
      <w:r w:rsidR="00340B33">
        <w:t xml:space="preserve"> 126 and 132).</w:t>
      </w:r>
      <w:r w:rsidR="00340B33">
        <w:rPr>
          <w:i/>
          <w:iC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1A75A" w14:textId="664CC875" w:rsidR="00C25C93" w:rsidRDefault="00C25C93">
    <w:pPr>
      <w:pStyle w:val="Header"/>
    </w:pPr>
    <w:r>
      <w:t xml:space="preserve"> ‘This Thing Called a Bank’ </w:t>
    </w:r>
    <w:r w:rsidR="009E678A">
      <w:t xml:space="preserve">ECI Submission 2024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40D6"/>
    <w:rsid w:val="00002FAD"/>
    <w:rsid w:val="00020629"/>
    <w:rsid w:val="0003440D"/>
    <w:rsid w:val="00040E7B"/>
    <w:rsid w:val="000411FA"/>
    <w:rsid w:val="00054BBD"/>
    <w:rsid w:val="00062A7B"/>
    <w:rsid w:val="000726AA"/>
    <w:rsid w:val="00082E77"/>
    <w:rsid w:val="00086820"/>
    <w:rsid w:val="000A5301"/>
    <w:rsid w:val="000B27C7"/>
    <w:rsid w:val="000C26B1"/>
    <w:rsid w:val="001210EE"/>
    <w:rsid w:val="00134CDC"/>
    <w:rsid w:val="00151001"/>
    <w:rsid w:val="00165908"/>
    <w:rsid w:val="001A2E80"/>
    <w:rsid w:val="001C7833"/>
    <w:rsid w:val="001D4208"/>
    <w:rsid w:val="001D7BE7"/>
    <w:rsid w:val="001F4092"/>
    <w:rsid w:val="00227A56"/>
    <w:rsid w:val="00276E91"/>
    <w:rsid w:val="0029369F"/>
    <w:rsid w:val="00301852"/>
    <w:rsid w:val="003240D6"/>
    <w:rsid w:val="00340B33"/>
    <w:rsid w:val="003429A7"/>
    <w:rsid w:val="0038737D"/>
    <w:rsid w:val="003967C6"/>
    <w:rsid w:val="003B24C6"/>
    <w:rsid w:val="003B4FF0"/>
    <w:rsid w:val="003C2F92"/>
    <w:rsid w:val="003C4C2A"/>
    <w:rsid w:val="00404445"/>
    <w:rsid w:val="00480BBA"/>
    <w:rsid w:val="004E1CA3"/>
    <w:rsid w:val="004F5128"/>
    <w:rsid w:val="00511900"/>
    <w:rsid w:val="00515D25"/>
    <w:rsid w:val="00525B37"/>
    <w:rsid w:val="005619D0"/>
    <w:rsid w:val="00562776"/>
    <w:rsid w:val="005630DD"/>
    <w:rsid w:val="005A6758"/>
    <w:rsid w:val="005D4DBB"/>
    <w:rsid w:val="005F366D"/>
    <w:rsid w:val="005F7F6D"/>
    <w:rsid w:val="00611A61"/>
    <w:rsid w:val="006143F5"/>
    <w:rsid w:val="00615AA6"/>
    <w:rsid w:val="00684580"/>
    <w:rsid w:val="00694FBC"/>
    <w:rsid w:val="006A6579"/>
    <w:rsid w:val="006E746A"/>
    <w:rsid w:val="007368C9"/>
    <w:rsid w:val="0074314C"/>
    <w:rsid w:val="00761D3D"/>
    <w:rsid w:val="00783367"/>
    <w:rsid w:val="0078440B"/>
    <w:rsid w:val="007A1E2C"/>
    <w:rsid w:val="007E0FE7"/>
    <w:rsid w:val="007E498D"/>
    <w:rsid w:val="00804F94"/>
    <w:rsid w:val="00806351"/>
    <w:rsid w:val="00816F59"/>
    <w:rsid w:val="0082224C"/>
    <w:rsid w:val="008427EB"/>
    <w:rsid w:val="008655CF"/>
    <w:rsid w:val="008710C2"/>
    <w:rsid w:val="008776CF"/>
    <w:rsid w:val="008D0B26"/>
    <w:rsid w:val="00901DFD"/>
    <w:rsid w:val="0090765D"/>
    <w:rsid w:val="00911D75"/>
    <w:rsid w:val="00926C7C"/>
    <w:rsid w:val="009B7C39"/>
    <w:rsid w:val="009D12A8"/>
    <w:rsid w:val="009D6860"/>
    <w:rsid w:val="009E4C75"/>
    <w:rsid w:val="009E678A"/>
    <w:rsid w:val="00A25554"/>
    <w:rsid w:val="00A424A7"/>
    <w:rsid w:val="00A60C3D"/>
    <w:rsid w:val="00A95A64"/>
    <w:rsid w:val="00AC0FF9"/>
    <w:rsid w:val="00AD1A14"/>
    <w:rsid w:val="00AD7ED8"/>
    <w:rsid w:val="00AE2738"/>
    <w:rsid w:val="00B05ABF"/>
    <w:rsid w:val="00B12980"/>
    <w:rsid w:val="00B434CE"/>
    <w:rsid w:val="00B51D91"/>
    <w:rsid w:val="00B8468D"/>
    <w:rsid w:val="00B94EAB"/>
    <w:rsid w:val="00B95784"/>
    <w:rsid w:val="00B97530"/>
    <w:rsid w:val="00BA1F68"/>
    <w:rsid w:val="00BB0284"/>
    <w:rsid w:val="00BC3E69"/>
    <w:rsid w:val="00BD1B2B"/>
    <w:rsid w:val="00C0640A"/>
    <w:rsid w:val="00C11EF3"/>
    <w:rsid w:val="00C23085"/>
    <w:rsid w:val="00C25C93"/>
    <w:rsid w:val="00C36E50"/>
    <w:rsid w:val="00C45CD9"/>
    <w:rsid w:val="00C574CD"/>
    <w:rsid w:val="00C733B8"/>
    <w:rsid w:val="00C743E2"/>
    <w:rsid w:val="00D51058"/>
    <w:rsid w:val="00D55130"/>
    <w:rsid w:val="00D8470E"/>
    <w:rsid w:val="00D95F03"/>
    <w:rsid w:val="00DA77A9"/>
    <w:rsid w:val="00DC747F"/>
    <w:rsid w:val="00DC7CE7"/>
    <w:rsid w:val="00DD2AE8"/>
    <w:rsid w:val="00DD6037"/>
    <w:rsid w:val="00DE01CF"/>
    <w:rsid w:val="00DF1A98"/>
    <w:rsid w:val="00E073AB"/>
    <w:rsid w:val="00E13A85"/>
    <w:rsid w:val="00E3598C"/>
    <w:rsid w:val="00E56E49"/>
    <w:rsid w:val="00E61586"/>
    <w:rsid w:val="00E66A51"/>
    <w:rsid w:val="00E678E3"/>
    <w:rsid w:val="00E86D7A"/>
    <w:rsid w:val="00E91394"/>
    <w:rsid w:val="00E959D9"/>
    <w:rsid w:val="00EA3CE5"/>
    <w:rsid w:val="00EB2A66"/>
    <w:rsid w:val="00EC775E"/>
    <w:rsid w:val="00ED65A1"/>
    <w:rsid w:val="00EF2B57"/>
    <w:rsid w:val="00EF60C6"/>
    <w:rsid w:val="00F15477"/>
    <w:rsid w:val="00F33D37"/>
    <w:rsid w:val="00F56645"/>
    <w:rsid w:val="00F75243"/>
    <w:rsid w:val="00F97489"/>
    <w:rsid w:val="00FA1679"/>
    <w:rsid w:val="00FA19EF"/>
    <w:rsid w:val="00FE01A5"/>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7A6E6"/>
  <w15:chartTrackingRefBased/>
  <w15:docId w15:val="{B4884D9D-E558-4617-A478-250EC9A0F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427EB"/>
    <w:pPr>
      <w:spacing w:after="0" w:line="240" w:lineRule="auto"/>
    </w:pPr>
    <w:rPr>
      <w:sz w:val="20"/>
      <w:szCs w:val="20"/>
    </w:rPr>
  </w:style>
  <w:style w:type="character" w:customStyle="1" w:styleId="FootnoteTextChar">
    <w:name w:val="Footnote Text Char"/>
    <w:basedOn w:val="DefaultParagraphFont"/>
    <w:link w:val="FootnoteText"/>
    <w:uiPriority w:val="99"/>
    <w:rsid w:val="008427EB"/>
    <w:rPr>
      <w:sz w:val="20"/>
      <w:szCs w:val="20"/>
    </w:rPr>
  </w:style>
  <w:style w:type="character" w:styleId="FootnoteReference">
    <w:name w:val="footnote reference"/>
    <w:basedOn w:val="DefaultParagraphFont"/>
    <w:uiPriority w:val="99"/>
    <w:semiHidden/>
    <w:unhideWhenUsed/>
    <w:rsid w:val="008427EB"/>
    <w:rPr>
      <w:vertAlign w:val="superscript"/>
    </w:rPr>
  </w:style>
  <w:style w:type="paragraph" w:styleId="Header">
    <w:name w:val="header"/>
    <w:basedOn w:val="Normal"/>
    <w:link w:val="HeaderChar"/>
    <w:uiPriority w:val="99"/>
    <w:unhideWhenUsed/>
    <w:rsid w:val="00C25C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25C93"/>
  </w:style>
  <w:style w:type="paragraph" w:styleId="Footer">
    <w:name w:val="footer"/>
    <w:basedOn w:val="Normal"/>
    <w:link w:val="FooterChar"/>
    <w:uiPriority w:val="99"/>
    <w:unhideWhenUsed/>
    <w:rsid w:val="00C25C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25C93"/>
  </w:style>
  <w:style w:type="character" w:styleId="Hyperlink">
    <w:name w:val="Hyperlink"/>
    <w:basedOn w:val="DefaultParagraphFont"/>
    <w:uiPriority w:val="99"/>
    <w:unhideWhenUsed/>
    <w:rsid w:val="00C25C93"/>
    <w:rPr>
      <w:color w:val="0563C1" w:themeColor="hyperlink"/>
      <w:u w:val="single"/>
    </w:rPr>
  </w:style>
  <w:style w:type="character" w:styleId="UnresolvedMention">
    <w:name w:val="Unresolved Mention"/>
    <w:basedOn w:val="DefaultParagraphFont"/>
    <w:uiPriority w:val="99"/>
    <w:semiHidden/>
    <w:unhideWhenUsed/>
    <w:rsid w:val="00C25C93"/>
    <w:rPr>
      <w:color w:val="605E5C"/>
      <w:shd w:val="clear" w:color="auto" w:fill="E1DFDD"/>
    </w:rPr>
  </w:style>
  <w:style w:type="paragraph" w:styleId="Revision">
    <w:name w:val="Revision"/>
    <w:hidden/>
    <w:uiPriority w:val="99"/>
    <w:semiHidden/>
    <w:rsid w:val="00FA1679"/>
    <w:pPr>
      <w:spacing w:after="0" w:line="240" w:lineRule="auto"/>
    </w:pPr>
  </w:style>
  <w:style w:type="character" w:styleId="CommentReference">
    <w:name w:val="annotation reference"/>
    <w:basedOn w:val="DefaultParagraphFont"/>
    <w:uiPriority w:val="99"/>
    <w:semiHidden/>
    <w:unhideWhenUsed/>
    <w:rsid w:val="00AD1A14"/>
    <w:rPr>
      <w:sz w:val="16"/>
      <w:szCs w:val="16"/>
    </w:rPr>
  </w:style>
  <w:style w:type="paragraph" w:styleId="CommentText">
    <w:name w:val="annotation text"/>
    <w:basedOn w:val="Normal"/>
    <w:link w:val="CommentTextChar"/>
    <w:uiPriority w:val="99"/>
    <w:unhideWhenUsed/>
    <w:rsid w:val="00AD1A14"/>
    <w:pPr>
      <w:spacing w:line="240" w:lineRule="auto"/>
    </w:pPr>
    <w:rPr>
      <w:sz w:val="20"/>
      <w:szCs w:val="20"/>
    </w:rPr>
  </w:style>
  <w:style w:type="character" w:customStyle="1" w:styleId="CommentTextChar">
    <w:name w:val="Comment Text Char"/>
    <w:basedOn w:val="DefaultParagraphFont"/>
    <w:link w:val="CommentText"/>
    <w:uiPriority w:val="99"/>
    <w:rsid w:val="00AD1A14"/>
    <w:rPr>
      <w:sz w:val="20"/>
      <w:szCs w:val="20"/>
    </w:rPr>
  </w:style>
  <w:style w:type="paragraph" w:styleId="CommentSubject">
    <w:name w:val="annotation subject"/>
    <w:basedOn w:val="CommentText"/>
    <w:next w:val="CommentText"/>
    <w:link w:val="CommentSubjectChar"/>
    <w:uiPriority w:val="99"/>
    <w:semiHidden/>
    <w:unhideWhenUsed/>
    <w:rsid w:val="00AD1A14"/>
    <w:rPr>
      <w:b/>
      <w:bCs/>
    </w:rPr>
  </w:style>
  <w:style w:type="character" w:customStyle="1" w:styleId="CommentSubjectChar">
    <w:name w:val="Comment Subject Char"/>
    <w:basedOn w:val="CommentTextChar"/>
    <w:link w:val="CommentSubject"/>
    <w:uiPriority w:val="99"/>
    <w:semiHidden/>
    <w:rsid w:val="00AD1A1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EBD0EC-FD55-4237-B38F-2293ADB81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4268</Words>
  <Characters>24334</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Walsh</dc:creator>
  <cp:keywords/>
  <dc:description/>
  <cp:lastModifiedBy>Patrick Walsh</cp:lastModifiedBy>
  <cp:revision>2</cp:revision>
  <dcterms:created xsi:type="dcterms:W3CDTF">2024-04-09T17:00:00Z</dcterms:created>
  <dcterms:modified xsi:type="dcterms:W3CDTF">2024-04-09T17:00:00Z</dcterms:modified>
</cp:coreProperties>
</file>